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59413495"/>
    <w:bookmarkStart w:id="1" w:name="_Toc159415018"/>
    <w:bookmarkStart w:id="2" w:name="_Toc159944824"/>
    <w:bookmarkStart w:id="3" w:name="_Toc161751991"/>
    <w:bookmarkStart w:id="4" w:name="_Toc161952411"/>
    <w:bookmarkStart w:id="5" w:name="_Toc161952553"/>
    <w:bookmarkStart w:id="6" w:name="_Toc162017768"/>
    <w:bookmarkStart w:id="7" w:name="_GoBack"/>
    <w:bookmarkEnd w:id="7"/>
    <w:p w:rsidR="005B6C61" w:rsidRDefault="00BE3540" w:rsidP="00617D3D">
      <w:pPr>
        <w:pStyle w:val="TOCLevel2"/>
        <w:spacing w:after="120"/>
      </w:pPr>
      <w:r>
        <w:rPr>
          <w:noProof/>
          <w:lang w:eastAsia="en-AU"/>
        </w:rPr>
        <mc:AlternateContent>
          <mc:Choice Requires="wpg">
            <w:drawing>
              <wp:anchor distT="0" distB="0" distL="114300" distR="114300" simplePos="0" relativeHeight="251659264" behindDoc="1" locked="0" layoutInCell="1" allowOverlap="1" wp14:anchorId="4CDFBE5A" wp14:editId="5965EDEC">
                <wp:simplePos x="0" y="0"/>
                <wp:positionH relativeFrom="margin">
                  <wp:align>left</wp:align>
                </wp:positionH>
                <wp:positionV relativeFrom="page">
                  <wp:posOffset>-95249</wp:posOffset>
                </wp:positionV>
                <wp:extent cx="2132965" cy="11201400"/>
                <wp:effectExtent l="0" t="0" r="19685" b="19050"/>
                <wp:wrapNone/>
                <wp:docPr id="2" name="Group 2"/>
                <wp:cNvGraphicFramePr/>
                <a:graphic xmlns:a="http://schemas.openxmlformats.org/drawingml/2006/main">
                  <a:graphicData uri="http://schemas.microsoft.com/office/word/2010/wordprocessingGroup">
                    <wpg:wgp>
                      <wpg:cNvGrpSpPr/>
                      <wpg:grpSpPr>
                        <a:xfrm>
                          <a:off x="0" y="0"/>
                          <a:ext cx="2132965" cy="11201400"/>
                          <a:chOff x="1" y="0"/>
                          <a:chExt cx="2133599" cy="9125712"/>
                        </a:xfrm>
                      </wpg:grpSpPr>
                      <wps:wsp>
                        <wps:cNvPr id="3" name="Rectangle 3"/>
                        <wps:cNvSpPr/>
                        <wps:spPr>
                          <a:xfrm>
                            <a:off x="1" y="0"/>
                            <a:ext cx="520261" cy="9125712"/>
                          </a:xfrm>
                          <a:prstGeom prst="rect">
                            <a:avLst/>
                          </a:prstGeom>
                          <a:solidFill>
                            <a:srgbClr val="44546A"/>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06F12116" id="Group 2" o:spid="_x0000_s1026" style="position:absolute;margin-left:0;margin-top:-7.5pt;width:167.95pt;height:882pt;z-index:-251657216;mso-position-horizontal:left;mso-position-horizontal-relative:margin;mso-position-vertical-relative:page" coordorigin="" coordsize="2133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">
                <v:rect id="Rectangle 3" o:spid="_x0000_s1027" style="position:absolute;width:5202;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group id="Gro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margin" anchory="page"/>
              </v:group>
            </w:pict>
          </mc:Fallback>
        </mc:AlternateContent>
      </w:r>
      <w:r w:rsidR="00617D3D">
        <w:rPr>
          <w:noProof/>
          <w:lang w:eastAsia="en-AU"/>
        </w:rPr>
        <w:drawing>
          <wp:inline distT="0" distB="0" distL="0" distR="0" wp14:anchorId="6CD023C5" wp14:editId="63ECEFFB">
            <wp:extent cx="2657475" cy="1209675"/>
            <wp:effectExtent l="0" t="0" r="9525" b="9525"/>
            <wp:docPr id="4" name="Picture 4" descr="cid:image001.png@01DA7B88.9B7CB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A7B88.9B7CB1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57475" cy="1209675"/>
                    </a:xfrm>
                    <a:prstGeom prst="rect">
                      <a:avLst/>
                    </a:prstGeom>
                    <a:noFill/>
                    <a:ln>
                      <a:noFill/>
                    </a:ln>
                  </pic:spPr>
                </pic:pic>
              </a:graphicData>
            </a:graphic>
          </wp:inline>
        </w:drawing>
      </w:r>
      <w:bookmarkEnd w:id="0"/>
      <w:bookmarkEnd w:id="1"/>
      <w:bookmarkEnd w:id="2"/>
      <w:bookmarkEnd w:id="3"/>
      <w:bookmarkEnd w:id="4"/>
      <w:bookmarkEnd w:id="5"/>
      <w:bookmarkEnd w:id="6"/>
    </w:p>
    <w:p w:rsidR="005B6C61" w:rsidRDefault="005B6C61" w:rsidP="00534D8B">
      <w:pPr>
        <w:pStyle w:val="TOCLevel2"/>
        <w:spacing w:after="120"/>
      </w:pPr>
    </w:p>
    <w:p w:rsidR="005B6C61" w:rsidRDefault="005B6C61" w:rsidP="00534D8B">
      <w:pPr>
        <w:pStyle w:val="TOCLevel2"/>
        <w:spacing w:after="120"/>
      </w:pPr>
    </w:p>
    <w:p w:rsidR="00BE3540" w:rsidRDefault="00BE3540" w:rsidP="00534D8B">
      <w:pPr>
        <w:pStyle w:val="TOCLevel2"/>
        <w:spacing w:after="120"/>
      </w:pPr>
    </w:p>
    <w:p w:rsidR="00BE3540" w:rsidRDefault="00BE3540" w:rsidP="00BE3540">
      <w:pPr>
        <w:jc w:val="center"/>
        <w:rPr>
          <w:rFonts w:ascii="Century Gothic" w:hAnsi="Century Gothic"/>
          <w:color w:val="1F3864" w:themeColor="accent5" w:themeShade="80"/>
          <w:sz w:val="36"/>
          <w:szCs w:val="36"/>
          <w:lang w:eastAsia="en-AU"/>
        </w:rPr>
      </w:pPr>
      <w:r>
        <w:rPr>
          <w:rFonts w:ascii="Century Gothic" w:hAnsi="Century Gothic"/>
          <w:noProof/>
          <w:color w:val="1F3864" w:themeColor="accent5" w:themeShade="80"/>
          <w:sz w:val="36"/>
          <w:szCs w:val="36"/>
          <w:lang w:eastAsia="en-AU"/>
        </w:rPr>
        <mc:AlternateContent>
          <mc:Choice Requires="wps">
            <w:drawing>
              <wp:anchor distT="0" distB="0" distL="114300" distR="114300" simplePos="0" relativeHeight="251660288" behindDoc="0" locked="0" layoutInCell="1" allowOverlap="1" wp14:anchorId="13A61DDF" wp14:editId="19DD9C11">
                <wp:simplePos x="0" y="0"/>
                <wp:positionH relativeFrom="column">
                  <wp:posOffset>800100</wp:posOffset>
                </wp:positionH>
                <wp:positionV relativeFrom="paragraph">
                  <wp:posOffset>27940</wp:posOffset>
                </wp:positionV>
                <wp:extent cx="5295900" cy="2362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295900" cy="2362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722" w:rsidRPr="00BE3540" w:rsidRDefault="00824722" w:rsidP="00BE3540">
                            <w:pPr>
                              <w:pStyle w:val="TOCLevel2"/>
                              <w:shd w:val="clear" w:color="auto" w:fill="2F5496" w:themeFill="accent5" w:themeFillShade="BF"/>
                              <w:spacing w:after="120"/>
                              <w:rPr>
                                <w:rFonts w:ascii="Times New Roman" w:hAnsi="Times New Roman" w:cs="Times New Roman"/>
                                <w:b w:val="0"/>
                                <w:color w:val="FFFFFF" w:themeColor="background1"/>
                                <w:sz w:val="56"/>
                                <w:szCs w:val="56"/>
                              </w:rPr>
                            </w:pPr>
                            <w:bookmarkStart w:id="8" w:name="_Toc158286892"/>
                            <w:bookmarkStart w:id="9" w:name="_Toc158287987"/>
                            <w:bookmarkStart w:id="10" w:name="_Toc158299072"/>
                            <w:bookmarkStart w:id="11" w:name="_Toc159413496"/>
                            <w:bookmarkStart w:id="12" w:name="_Toc159415019"/>
                            <w:bookmarkStart w:id="13" w:name="_Toc159944825"/>
                            <w:bookmarkStart w:id="14" w:name="_Toc161741391"/>
                            <w:bookmarkStart w:id="15" w:name="_Toc161751992"/>
                            <w:bookmarkStart w:id="16" w:name="_Toc161952412"/>
                            <w:bookmarkStart w:id="17" w:name="_Toc161952554"/>
                            <w:bookmarkStart w:id="18" w:name="_Toc162017769"/>
                            <w:r w:rsidRPr="00BE3540">
                              <w:rPr>
                                <w:rFonts w:ascii="Times New Roman" w:hAnsi="Times New Roman" w:cs="Times New Roman"/>
                                <w:b w:val="0"/>
                                <w:color w:val="FFFFFF" w:themeColor="background1"/>
                                <w:sz w:val="56"/>
                                <w:szCs w:val="56"/>
                              </w:rPr>
                              <w:t>Privately Practising Midwives Access to Professional Indemnity and Midwife Professional Indemnity Run-</w:t>
                            </w:r>
                            <w:r>
                              <w:rPr>
                                <w:rFonts w:ascii="Times New Roman" w:hAnsi="Times New Roman" w:cs="Times New Roman"/>
                                <w:b w:val="0"/>
                                <w:color w:val="FFFFFF" w:themeColor="background1"/>
                                <w:sz w:val="56"/>
                                <w:szCs w:val="56"/>
                              </w:rPr>
                              <w:t>o</w:t>
                            </w:r>
                            <w:r w:rsidRPr="00BE3540">
                              <w:rPr>
                                <w:rFonts w:ascii="Times New Roman" w:hAnsi="Times New Roman" w:cs="Times New Roman"/>
                                <w:b w:val="0"/>
                                <w:color w:val="FFFFFF" w:themeColor="background1"/>
                                <w:sz w:val="56"/>
                                <w:szCs w:val="56"/>
                              </w:rPr>
                              <w:t>ff Cover Schemes</w:t>
                            </w:r>
                            <w:bookmarkEnd w:id="8"/>
                            <w:bookmarkEnd w:id="9"/>
                            <w:bookmarkEnd w:id="10"/>
                            <w:bookmarkEnd w:id="11"/>
                            <w:bookmarkEnd w:id="12"/>
                            <w:bookmarkEnd w:id="13"/>
                            <w:bookmarkEnd w:id="14"/>
                            <w:bookmarkEnd w:id="15"/>
                            <w:bookmarkEnd w:id="16"/>
                            <w:bookmarkEnd w:id="17"/>
                            <w:bookmarkEnd w:id="18"/>
                          </w:p>
                          <w:p w:rsidR="00824722" w:rsidRDefault="00824722" w:rsidP="00BE3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61DDF" id="Rectangle 1" o:spid="_x0000_s1026" style="position:absolute;left:0;text-align:left;margin-left:63pt;margin-top:2.2pt;width:417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" fillcolor="white [3212]" strokecolor="#1f4d78 [1604]" strokeweight="1pt">
                <v:textbox>
                  <w:txbxContent>
                    <w:p w:rsidR="00824722" w:rsidRPr="00BE3540" w:rsidRDefault="00824722" w:rsidP="00BE3540">
                      <w:pPr>
                        <w:pStyle w:val="TOCLevel2"/>
                        <w:shd w:val="clear" w:color="auto" w:fill="2F5496" w:themeFill="accent5" w:themeFillShade="BF"/>
                        <w:spacing w:after="120"/>
                        <w:rPr>
                          <w:rFonts w:ascii="Times New Roman" w:hAnsi="Times New Roman" w:cs="Times New Roman"/>
                          <w:b w:val="0"/>
                          <w:color w:val="FFFFFF" w:themeColor="background1"/>
                          <w:sz w:val="56"/>
                          <w:szCs w:val="56"/>
                        </w:rPr>
                      </w:pPr>
                      <w:bookmarkStart w:id="18" w:name="_Toc158286892"/>
                      <w:bookmarkStart w:id="19" w:name="_Toc158287987"/>
                      <w:bookmarkStart w:id="20" w:name="_Toc158299072"/>
                      <w:bookmarkStart w:id="21" w:name="_Toc159413496"/>
                      <w:bookmarkStart w:id="22" w:name="_Toc159415019"/>
                      <w:bookmarkStart w:id="23" w:name="_Toc159944825"/>
                      <w:bookmarkStart w:id="24" w:name="_Toc161741391"/>
                      <w:bookmarkStart w:id="25" w:name="_Toc161751992"/>
                      <w:bookmarkStart w:id="26" w:name="_Toc161952412"/>
                      <w:bookmarkStart w:id="27" w:name="_Toc161952554"/>
                      <w:bookmarkStart w:id="28" w:name="_Toc162017769"/>
                      <w:r w:rsidRPr="00BE3540">
                        <w:rPr>
                          <w:rFonts w:ascii="Times New Roman" w:hAnsi="Times New Roman" w:cs="Times New Roman"/>
                          <w:b w:val="0"/>
                          <w:color w:val="FFFFFF" w:themeColor="background1"/>
                          <w:sz w:val="56"/>
                          <w:szCs w:val="56"/>
                        </w:rPr>
                        <w:t>Privately Practising Midwives Access to Professional Indemnity and Midwife Professional Indemnity Run-</w:t>
                      </w:r>
                      <w:r>
                        <w:rPr>
                          <w:rFonts w:ascii="Times New Roman" w:hAnsi="Times New Roman" w:cs="Times New Roman"/>
                          <w:b w:val="0"/>
                          <w:color w:val="FFFFFF" w:themeColor="background1"/>
                          <w:sz w:val="56"/>
                          <w:szCs w:val="56"/>
                        </w:rPr>
                        <w:t>o</w:t>
                      </w:r>
                      <w:r w:rsidRPr="00BE3540">
                        <w:rPr>
                          <w:rFonts w:ascii="Times New Roman" w:hAnsi="Times New Roman" w:cs="Times New Roman"/>
                          <w:b w:val="0"/>
                          <w:color w:val="FFFFFF" w:themeColor="background1"/>
                          <w:sz w:val="56"/>
                          <w:szCs w:val="56"/>
                        </w:rPr>
                        <w:t>ff Cover Schemes</w:t>
                      </w:r>
                      <w:bookmarkEnd w:id="18"/>
                      <w:bookmarkEnd w:id="19"/>
                      <w:bookmarkEnd w:id="20"/>
                      <w:bookmarkEnd w:id="21"/>
                      <w:bookmarkEnd w:id="22"/>
                      <w:bookmarkEnd w:id="23"/>
                      <w:bookmarkEnd w:id="24"/>
                      <w:bookmarkEnd w:id="25"/>
                      <w:bookmarkEnd w:id="26"/>
                      <w:bookmarkEnd w:id="27"/>
                      <w:bookmarkEnd w:id="28"/>
                    </w:p>
                    <w:p w:rsidR="00824722" w:rsidRDefault="00824722" w:rsidP="00BE3540">
                      <w:pPr>
                        <w:jc w:val="center"/>
                      </w:pPr>
                    </w:p>
                  </w:txbxContent>
                </v:textbox>
              </v:rect>
            </w:pict>
          </mc:Fallback>
        </mc:AlternateContent>
      </w:r>
    </w:p>
    <w:p w:rsidR="00BE3540" w:rsidRDefault="00BE3540" w:rsidP="00BE3540">
      <w:pPr>
        <w:jc w:val="center"/>
        <w:rPr>
          <w:rFonts w:ascii="Century Gothic" w:hAnsi="Century Gothic"/>
          <w:color w:val="1F3864" w:themeColor="accent5" w:themeShade="80"/>
          <w:sz w:val="36"/>
          <w:szCs w:val="36"/>
          <w:lang w:eastAsia="en-AU"/>
        </w:rPr>
      </w:pPr>
    </w:p>
    <w:p w:rsidR="00BE3540" w:rsidRDefault="00BE3540" w:rsidP="00BE3540">
      <w:pPr>
        <w:jc w:val="center"/>
        <w:rPr>
          <w:rFonts w:ascii="Century Gothic" w:hAnsi="Century Gothic"/>
          <w:color w:val="1F3864" w:themeColor="accent5" w:themeShade="80"/>
          <w:sz w:val="36"/>
          <w:szCs w:val="36"/>
          <w:lang w:eastAsia="en-AU"/>
        </w:rPr>
      </w:pPr>
    </w:p>
    <w:p w:rsidR="00BE3540" w:rsidRDefault="00BE3540" w:rsidP="00BE3540">
      <w:pPr>
        <w:jc w:val="center"/>
        <w:rPr>
          <w:rFonts w:ascii="Century Gothic" w:hAnsi="Century Gothic"/>
          <w:color w:val="1F3864" w:themeColor="accent5" w:themeShade="80"/>
          <w:sz w:val="36"/>
          <w:szCs w:val="36"/>
          <w:lang w:eastAsia="en-AU"/>
        </w:rPr>
      </w:pPr>
    </w:p>
    <w:p w:rsidR="00BE3540" w:rsidRDefault="00BE3540" w:rsidP="00BE3540">
      <w:pPr>
        <w:jc w:val="center"/>
        <w:rPr>
          <w:rFonts w:ascii="Century Gothic" w:hAnsi="Century Gothic"/>
          <w:color w:val="1F3864" w:themeColor="accent5" w:themeShade="80"/>
          <w:sz w:val="36"/>
          <w:szCs w:val="36"/>
          <w:lang w:eastAsia="en-AU"/>
        </w:rPr>
      </w:pPr>
    </w:p>
    <w:p w:rsidR="00BE3540" w:rsidRDefault="00BE3540" w:rsidP="00BE3540">
      <w:pPr>
        <w:jc w:val="center"/>
        <w:rPr>
          <w:rFonts w:ascii="Century Gothic" w:hAnsi="Century Gothic"/>
          <w:color w:val="1F3864" w:themeColor="accent5" w:themeShade="80"/>
          <w:sz w:val="36"/>
          <w:szCs w:val="36"/>
          <w:lang w:eastAsia="en-AU"/>
        </w:rPr>
      </w:pPr>
    </w:p>
    <w:p w:rsidR="00BE3540" w:rsidRPr="00BE3540" w:rsidRDefault="00BE3540" w:rsidP="00BE3540">
      <w:pPr>
        <w:jc w:val="center"/>
        <w:rPr>
          <w:rFonts w:ascii="Century Gothic" w:hAnsi="Century Gothic"/>
          <w:color w:val="1F3864" w:themeColor="accent5" w:themeShade="80"/>
          <w:sz w:val="36"/>
          <w:szCs w:val="36"/>
          <w:lang w:eastAsia="en-AU"/>
        </w:rPr>
      </w:pPr>
      <w:r w:rsidRPr="00BE3540">
        <w:rPr>
          <w:rFonts w:ascii="Century Gothic" w:hAnsi="Century Gothic"/>
          <w:color w:val="1F3864" w:themeColor="accent5" w:themeShade="80"/>
          <w:sz w:val="36"/>
          <w:szCs w:val="36"/>
          <w:lang w:eastAsia="en-AU"/>
        </w:rPr>
        <w:t>Impact Analysis</w:t>
      </w:r>
    </w:p>
    <w:p w:rsidR="00E135EA" w:rsidRPr="00BE3540" w:rsidRDefault="00E135EA">
      <w:pPr>
        <w:rPr>
          <w:rFonts w:ascii="Century Gothic" w:hAnsi="Century Gothic"/>
          <w:sz w:val="36"/>
          <w:szCs w:val="36"/>
        </w:rPr>
      </w:pPr>
    </w:p>
    <w:p w:rsidR="00E135EA" w:rsidRDefault="00E135EA">
      <w:pPr>
        <w:sectPr w:rsidR="00E135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br w:type="page"/>
      </w:r>
    </w:p>
    <w:sdt>
      <w:sdtPr>
        <w:rPr>
          <w:rFonts w:asciiTheme="minorHAnsi" w:eastAsiaTheme="minorEastAsia" w:hAnsiTheme="minorHAnsi" w:cstheme="minorBidi"/>
          <w:color w:val="auto"/>
          <w:sz w:val="22"/>
          <w:szCs w:val="22"/>
        </w:rPr>
        <w:id w:val="1548018574"/>
        <w:docPartObj>
          <w:docPartGallery w:val="Table of Contents"/>
          <w:docPartUnique/>
        </w:docPartObj>
      </w:sdtPr>
      <w:sdtEndPr>
        <w:rPr>
          <w:b/>
          <w:bCs/>
          <w:noProof/>
        </w:rPr>
      </w:sdtEndPr>
      <w:sdtContent>
        <w:p w:rsidR="00FD554B" w:rsidRDefault="005C7705" w:rsidP="00FD554B">
          <w:pPr>
            <w:pStyle w:val="TOCHeading"/>
            <w:rPr>
              <w:noProof/>
              <w:lang w:eastAsia="en-AU"/>
            </w:rPr>
          </w:pPr>
          <w:r>
            <w:t>Contents</w:t>
          </w:r>
          <w:r>
            <w:fldChar w:fldCharType="begin"/>
          </w:r>
          <w:r>
            <w:instrText xml:space="preserve"> TOC \o "1-3" \h \z \u </w:instrText>
          </w:r>
          <w:r>
            <w:fldChar w:fldCharType="separate"/>
          </w:r>
        </w:p>
        <w:p w:rsidR="00FD554B" w:rsidRPr="00CD6B34" w:rsidRDefault="00076049">
          <w:pPr>
            <w:pStyle w:val="TOC1"/>
            <w:rPr>
              <w:noProof/>
              <w:lang w:eastAsia="en-AU"/>
            </w:rPr>
          </w:pPr>
          <w:hyperlink w:anchor="_Toc162017770" w:history="1">
            <w:r w:rsidR="00FD554B" w:rsidRPr="00CD6B34">
              <w:rPr>
                <w:rStyle w:val="Hyperlink"/>
                <w:noProof/>
              </w:rPr>
              <w:t>Executive Summary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_Toc162017770 \h </w:instrText>
            </w:r>
            <w:r w:rsidR="00FD554B" w:rsidRPr="00CD6B34">
              <w:rPr>
                <w:noProof/>
                <w:webHidden/>
              </w:rPr>
            </w:r>
            <w:r w:rsidR="00FD554B" w:rsidRPr="00CD6B34">
              <w:rPr>
                <w:noProof/>
                <w:webHidden/>
              </w:rPr>
              <w:fldChar w:fldCharType="separate"/>
            </w:r>
            <w:r w:rsidR="00134E75">
              <w:rPr>
                <w:noProof/>
                <w:webHidden/>
              </w:rPr>
              <w:t>1</w:t>
            </w:r>
            <w:r w:rsidR="00FD554B" w:rsidRPr="00CD6B34">
              <w:rPr>
                <w:noProof/>
                <w:webHidden/>
              </w:rPr>
              <w:fldChar w:fldCharType="end"/>
            </w:r>
          </w:hyperlink>
        </w:p>
        <w:p w:rsidR="00FD554B" w:rsidRPr="00CD6B34" w:rsidRDefault="00076049">
          <w:pPr>
            <w:pStyle w:val="TOC1"/>
            <w:rPr>
              <w:noProof/>
              <w:lang w:eastAsia="en-AU"/>
            </w:rPr>
          </w:pPr>
          <w:hyperlink w:anchor="_Toc162017771" w:history="1">
            <w:r w:rsidR="00FD554B" w:rsidRPr="00CD6B34">
              <w:rPr>
                <w:rStyle w:val="Hyperlink"/>
                <w:noProof/>
              </w:rPr>
              <w:t>1. What is the policy problem to be solved?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_Toc162017771 \h </w:instrText>
            </w:r>
            <w:r w:rsidR="00FD554B" w:rsidRPr="00CD6B34">
              <w:rPr>
                <w:noProof/>
                <w:webHidden/>
              </w:rPr>
            </w:r>
            <w:r w:rsidR="00FD554B" w:rsidRPr="00CD6B34">
              <w:rPr>
                <w:noProof/>
                <w:webHidden/>
              </w:rPr>
              <w:fldChar w:fldCharType="separate"/>
            </w:r>
            <w:r w:rsidR="00134E75">
              <w:rPr>
                <w:noProof/>
                <w:webHidden/>
              </w:rPr>
              <w:t>2</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72" w:history="1">
            <w:r w:rsidR="00FD554B" w:rsidRPr="00CD6B34">
              <w:rPr>
                <w:rStyle w:val="Hyperlink"/>
                <w:noProof/>
              </w:rPr>
              <w:t>Overview</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_Toc162017772 \h </w:instrText>
            </w:r>
            <w:r w:rsidR="00FD554B" w:rsidRPr="00CD6B34">
              <w:rPr>
                <w:noProof/>
                <w:webHidden/>
              </w:rPr>
            </w:r>
            <w:r w:rsidR="00FD554B" w:rsidRPr="00CD6B34">
              <w:rPr>
                <w:noProof/>
                <w:webHidden/>
              </w:rPr>
              <w:fldChar w:fldCharType="separate"/>
            </w:r>
            <w:r w:rsidR="00134E75">
              <w:rPr>
                <w:noProof/>
                <w:webHidden/>
              </w:rPr>
              <w:t>2</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73" w:history="1">
            <w:r w:rsidR="00FD554B" w:rsidRPr="00CD6B34">
              <w:rPr>
                <w:rStyle w:val="Hyperlink"/>
                <w:noProof/>
              </w:rPr>
              <w:t>Problem 1: No available insured homebirth product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_Toc162017773 \h </w:instrText>
            </w:r>
            <w:r w:rsidR="00FD554B" w:rsidRPr="00CD6B34">
              <w:rPr>
                <w:noProof/>
                <w:webHidden/>
              </w:rPr>
            </w:r>
            <w:r w:rsidR="00FD554B" w:rsidRPr="00CD6B34">
              <w:rPr>
                <w:noProof/>
                <w:webHidden/>
              </w:rPr>
              <w:fldChar w:fldCharType="separate"/>
            </w:r>
            <w:r w:rsidR="00134E75">
              <w:rPr>
                <w:noProof/>
                <w:webHidden/>
              </w:rPr>
              <w:t>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74" w:history="1">
            <w:r w:rsidR="00FD554B" w:rsidRPr="00CD6B34">
              <w:rPr>
                <w:rStyle w:val="Hyperlink"/>
                <w:noProof/>
              </w:rPr>
              <w:t>Problem 2: What women want?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_Toc162017774 \h </w:instrText>
            </w:r>
            <w:r w:rsidR="00FD554B" w:rsidRPr="00CD6B34">
              <w:rPr>
                <w:noProof/>
                <w:webHidden/>
              </w:rPr>
            </w:r>
            <w:r w:rsidR="00FD554B" w:rsidRPr="00CD6B34">
              <w:rPr>
                <w:noProof/>
                <w:webHidden/>
              </w:rPr>
              <w:fldChar w:fldCharType="separate"/>
            </w:r>
            <w:r w:rsidR="00134E75">
              <w:rPr>
                <w:noProof/>
                <w:webHidden/>
              </w:rPr>
              <w:t>4</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75" w:history="1">
            <w:r w:rsidR="00FD554B" w:rsidRPr="00CD6B34">
              <w:rPr>
                <w:rStyle w:val="Hyperlink"/>
                <w:noProof/>
              </w:rPr>
              <w:t>Problem 3: Birthing on Country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_Toc162017775 \h </w:instrText>
            </w:r>
            <w:r w:rsidR="00FD554B" w:rsidRPr="00CD6B34">
              <w:rPr>
                <w:noProof/>
                <w:webHidden/>
              </w:rPr>
            </w:r>
            <w:r w:rsidR="00FD554B" w:rsidRPr="00CD6B34">
              <w:rPr>
                <w:noProof/>
                <w:webHidden/>
              </w:rPr>
              <w:fldChar w:fldCharType="separate"/>
            </w:r>
            <w:r w:rsidR="00134E75">
              <w:rPr>
                <w:noProof/>
                <w:webHidden/>
              </w:rPr>
              <w:t>6</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76" w:history="1">
            <w:r w:rsidR="00FD554B" w:rsidRPr="00CD6B34">
              <w:rPr>
                <w:rStyle w:val="Hyperlink"/>
                <w:noProof/>
              </w:rPr>
              <w:t>Problem 4: Barriers discouraging insurers from entering the market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_Toc162017776 \h </w:instrText>
            </w:r>
            <w:r w:rsidR="00FD554B" w:rsidRPr="00CD6B34">
              <w:rPr>
                <w:noProof/>
                <w:webHidden/>
              </w:rPr>
            </w:r>
            <w:r w:rsidR="00FD554B" w:rsidRPr="00CD6B34">
              <w:rPr>
                <w:noProof/>
                <w:webHidden/>
              </w:rPr>
              <w:fldChar w:fldCharType="separate"/>
            </w:r>
            <w:r w:rsidR="00134E75">
              <w:rPr>
                <w:noProof/>
                <w:webHidden/>
              </w:rPr>
              <w:t>7</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77" w:history="1">
            <w:r w:rsidR="00FD554B" w:rsidRPr="00CD6B34">
              <w:rPr>
                <w:rStyle w:val="Hyperlink"/>
                <w:noProof/>
              </w:rPr>
              <w:t>Who are the affected stakeholders?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_Toc162017777 \h </w:instrText>
            </w:r>
            <w:r w:rsidR="00FD554B" w:rsidRPr="00CD6B34">
              <w:rPr>
                <w:noProof/>
                <w:webHidden/>
              </w:rPr>
            </w:r>
            <w:r w:rsidR="00FD554B" w:rsidRPr="00CD6B34">
              <w:rPr>
                <w:noProof/>
                <w:webHidden/>
              </w:rPr>
              <w:fldChar w:fldCharType="separate"/>
            </w:r>
            <w:r w:rsidR="00134E75">
              <w:rPr>
                <w:noProof/>
                <w:webHidden/>
              </w:rPr>
              <w:t>12</w:t>
            </w:r>
            <w:r w:rsidR="00FD554B" w:rsidRPr="00CD6B34">
              <w:rPr>
                <w:noProof/>
                <w:webHidden/>
              </w:rPr>
              <w:fldChar w:fldCharType="end"/>
            </w:r>
          </w:hyperlink>
        </w:p>
        <w:p w:rsidR="00FD554B" w:rsidRPr="00CD6B34" w:rsidRDefault="00076049">
          <w:pPr>
            <w:pStyle w:val="TOC1"/>
            <w:rPr>
              <w:noProof/>
              <w:lang w:eastAsia="en-AU"/>
            </w:rPr>
          </w:pPr>
          <w:hyperlink w:anchor="_Toc162017778" w:history="1">
            <w:r w:rsidR="00FD554B" w:rsidRPr="00CD6B34">
              <w:rPr>
                <w:rStyle w:val="Hyperlink"/>
                <w:rFonts w:cstheme="majorHAnsi"/>
                <w:noProof/>
              </w:rPr>
              <w:t>2. What are the objectives, why is government intervention needed to achieve them, and how will success be measured?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_Toc162017778 \h </w:instrText>
            </w:r>
            <w:r w:rsidR="00FD554B" w:rsidRPr="00CD6B34">
              <w:rPr>
                <w:noProof/>
                <w:webHidden/>
              </w:rPr>
            </w:r>
            <w:r w:rsidR="00FD554B" w:rsidRPr="00CD6B34">
              <w:rPr>
                <w:noProof/>
                <w:webHidden/>
              </w:rPr>
              <w:fldChar w:fldCharType="separate"/>
            </w:r>
            <w:r w:rsidR="00134E75">
              <w:rPr>
                <w:noProof/>
                <w:webHidden/>
              </w:rPr>
              <w:t>12</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79" w:history="1">
            <w:r w:rsidR="00FD554B" w:rsidRPr="00CD6B34">
              <w:rPr>
                <w:rStyle w:val="Hyperlink"/>
                <w:noProof/>
              </w:rPr>
              <w:t>Rationale for Government involvement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_Toc162017779 \h </w:instrText>
            </w:r>
            <w:r w:rsidR="00FD554B" w:rsidRPr="00CD6B34">
              <w:rPr>
                <w:noProof/>
                <w:webHidden/>
              </w:rPr>
            </w:r>
            <w:r w:rsidR="00FD554B" w:rsidRPr="00CD6B34">
              <w:rPr>
                <w:noProof/>
                <w:webHidden/>
              </w:rPr>
              <w:fldChar w:fldCharType="separate"/>
            </w:r>
            <w:r w:rsidR="00134E75">
              <w:rPr>
                <w:noProof/>
                <w:webHidden/>
              </w:rPr>
              <w:t>12</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80" w:history="1">
            <w:r w:rsidR="00FD554B" w:rsidRPr="00CD6B34">
              <w:rPr>
                <w:rStyle w:val="Hyperlink"/>
                <w:noProof/>
              </w:rPr>
              <w:t>Objectives of Government Involvement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_Toc162017780 \h </w:instrText>
            </w:r>
            <w:r w:rsidR="00FD554B" w:rsidRPr="00CD6B34">
              <w:rPr>
                <w:noProof/>
                <w:webHidden/>
              </w:rPr>
            </w:r>
            <w:r w:rsidR="00FD554B" w:rsidRPr="00CD6B34">
              <w:rPr>
                <w:noProof/>
                <w:webHidden/>
              </w:rPr>
              <w:fldChar w:fldCharType="separate"/>
            </w:r>
            <w:r w:rsidR="00134E75">
              <w:rPr>
                <w:noProof/>
                <w:webHidden/>
              </w:rPr>
              <w:t>13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81" w:history="1">
            <w:r w:rsidR="00FD554B" w:rsidRPr="00CD6B34">
              <w:rPr>
                <w:rStyle w:val="Hyperlink"/>
                <w:rFonts w:cstheme="minorHAnsi"/>
                <w:noProof/>
              </w:rPr>
              <w:t>Barriers discouraging insurers from entering the market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_Toc162017781 \h </w:instrText>
            </w:r>
            <w:r w:rsidR="00FD554B" w:rsidRPr="00CD6B34">
              <w:rPr>
                <w:noProof/>
                <w:webHidden/>
              </w:rPr>
            </w:r>
            <w:r w:rsidR="00FD554B" w:rsidRPr="00CD6B34">
              <w:rPr>
                <w:noProof/>
                <w:webHidden/>
              </w:rPr>
              <w:fldChar w:fldCharType="separate"/>
            </w:r>
            <w:r w:rsidR="00134E75">
              <w:rPr>
                <w:noProof/>
                <w:webHidden/>
              </w:rPr>
              <w:t>15</w:t>
            </w:r>
            <w:r w:rsidR="00FD554B" w:rsidRPr="00CD6B34">
              <w:rPr>
                <w:noProof/>
                <w:webHidden/>
              </w:rPr>
              <w:fldChar w:fldCharType="end"/>
            </w:r>
          </w:hyperlink>
        </w:p>
        <w:p w:rsidR="00FD554B" w:rsidRPr="00CD6B34" w:rsidRDefault="00076049">
          <w:pPr>
            <w:pStyle w:val="TOC1"/>
            <w:rPr>
              <w:noProof/>
              <w:lang w:eastAsia="en-AU"/>
            </w:rPr>
          </w:pPr>
          <w:hyperlink w:anchor="_Toc162017782" w:history="1">
            <w:r w:rsidR="00FD554B" w:rsidRPr="00CD6B34">
              <w:rPr>
                <w:rStyle w:val="Hyperlink"/>
                <w:rFonts w:cstheme="majorHAnsi"/>
                <w:noProof/>
              </w:rPr>
              <w:t>3. What policy options are you considering, and what is their likely net benefit?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_Toc162017782 \h </w:instrText>
            </w:r>
            <w:r w:rsidR="00FD554B" w:rsidRPr="00CD6B34">
              <w:rPr>
                <w:noProof/>
                <w:webHidden/>
              </w:rPr>
            </w:r>
            <w:r w:rsidR="00FD554B" w:rsidRPr="00CD6B34">
              <w:rPr>
                <w:noProof/>
                <w:webHidden/>
              </w:rPr>
              <w:fldChar w:fldCharType="separate"/>
            </w:r>
            <w:r w:rsidR="00134E75">
              <w:rPr>
                <w:noProof/>
                <w:webHidden/>
              </w:rPr>
              <w:t>15</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83" w:history="1">
            <w:r w:rsidR="00FD554B" w:rsidRPr="00CD6B34">
              <w:rPr>
                <w:rStyle w:val="Hyperlink"/>
                <w:noProof/>
              </w:rPr>
              <w:t>Background and Context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_Toc162017783 \h </w:instrText>
            </w:r>
            <w:r w:rsidR="00FD554B" w:rsidRPr="00CD6B34">
              <w:rPr>
                <w:noProof/>
                <w:webHidden/>
              </w:rPr>
            </w:r>
            <w:r w:rsidR="00FD554B" w:rsidRPr="00CD6B34">
              <w:rPr>
                <w:noProof/>
                <w:webHidden/>
              </w:rPr>
              <w:fldChar w:fldCharType="separate"/>
            </w:r>
            <w:r w:rsidR="00134E75">
              <w:rPr>
                <w:noProof/>
                <w:webHidden/>
              </w:rPr>
              <w:t>15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84" w:history="1">
            <w:r w:rsidR="00FD554B" w:rsidRPr="00CD6B34">
              <w:rPr>
                <w:rStyle w:val="Hyperlink"/>
                <w:noProof/>
              </w:rPr>
              <w:t>Australian maternity services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_Toc162017784 \h </w:instrText>
            </w:r>
            <w:r w:rsidR="00FD554B" w:rsidRPr="00CD6B34">
              <w:rPr>
                <w:noProof/>
                <w:webHidden/>
              </w:rPr>
            </w:r>
            <w:r w:rsidR="00FD554B" w:rsidRPr="00CD6B34">
              <w:rPr>
                <w:noProof/>
                <w:webHidden/>
              </w:rPr>
              <w:fldChar w:fldCharType="separate"/>
            </w:r>
            <w:r w:rsidR="00134E75">
              <w:rPr>
                <w:noProof/>
                <w:webHidden/>
              </w:rPr>
              <w:t>15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85" w:history="1">
            <w:r w:rsidR="00FD554B" w:rsidRPr="00CD6B34">
              <w:rPr>
                <w:rStyle w:val="Hyperlink"/>
                <w:noProof/>
              </w:rPr>
              <w:t>Midwife Schemes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_Toc162017785 \h </w:instrText>
            </w:r>
            <w:r w:rsidR="00FD554B" w:rsidRPr="00CD6B34">
              <w:rPr>
                <w:noProof/>
                <w:webHidden/>
              </w:rPr>
            </w:r>
            <w:r w:rsidR="00FD554B" w:rsidRPr="00CD6B34">
              <w:rPr>
                <w:noProof/>
                <w:webHidden/>
              </w:rPr>
              <w:fldChar w:fldCharType="separate"/>
            </w:r>
            <w:r w:rsidR="00134E75">
              <w:rPr>
                <w:noProof/>
                <w:webHidden/>
              </w:rPr>
              <w:t>16</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86" w:history="1">
            <w:r w:rsidR="00FD554B" w:rsidRPr="00CD6B34">
              <w:rPr>
                <w:rStyle w:val="Hyperlink"/>
                <w:noProof/>
              </w:rPr>
              <w:t>Health Practitioner Regulation National Law</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_Toc162017786 \h </w:instrText>
            </w:r>
            <w:r w:rsidR="00FD554B" w:rsidRPr="00CD6B34">
              <w:rPr>
                <w:noProof/>
                <w:webHidden/>
              </w:rPr>
            </w:r>
            <w:r w:rsidR="00FD554B" w:rsidRPr="00CD6B34">
              <w:rPr>
                <w:noProof/>
                <w:webHidden/>
              </w:rPr>
              <w:fldChar w:fldCharType="separate"/>
            </w:r>
            <w:r w:rsidR="00134E75">
              <w:rPr>
                <w:noProof/>
                <w:webHidden/>
              </w:rPr>
              <w:t>16</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87" w:history="1">
            <w:r w:rsidR="00FD554B" w:rsidRPr="00CD6B34">
              <w:rPr>
                <w:rStyle w:val="Hyperlink"/>
                <w:noProof/>
              </w:rPr>
              <w:t>Birthing on Country models of care</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_Toc162017787 \h </w:instrText>
            </w:r>
            <w:r w:rsidR="00FD554B" w:rsidRPr="00CD6B34">
              <w:rPr>
                <w:noProof/>
                <w:webHidden/>
              </w:rPr>
            </w:r>
            <w:r w:rsidR="00FD554B" w:rsidRPr="00CD6B34">
              <w:rPr>
                <w:noProof/>
                <w:webHidden/>
              </w:rPr>
              <w:fldChar w:fldCharType="separate"/>
            </w:r>
            <w:r w:rsidR="00134E75">
              <w:rPr>
                <w:noProof/>
                <w:webHidden/>
              </w:rPr>
              <w:t>17</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88" w:history="1">
            <w:r w:rsidR="00FD554B" w:rsidRPr="00CD6B34">
              <w:rPr>
                <w:rStyle w:val="Hyperlink"/>
                <w:noProof/>
              </w:rPr>
              <w:t>Policy authority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_Toc162017788 \h </w:instrText>
            </w:r>
            <w:r w:rsidR="00FD554B" w:rsidRPr="00CD6B34">
              <w:rPr>
                <w:noProof/>
                <w:webHidden/>
              </w:rPr>
            </w:r>
            <w:r w:rsidR="00FD554B" w:rsidRPr="00CD6B34">
              <w:rPr>
                <w:noProof/>
                <w:webHidden/>
              </w:rPr>
              <w:fldChar w:fldCharType="separate"/>
            </w:r>
            <w:r w:rsidR="00134E75">
              <w:rPr>
                <w:noProof/>
                <w:webHidden/>
              </w:rPr>
              <w:t>18</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789" w:history="1">
            <w:r w:rsidR="00FD554B" w:rsidRPr="00CD6B34">
              <w:rPr>
                <w:rStyle w:val="Hyperlink"/>
                <w:noProof/>
              </w:rPr>
              <w:t>Proposed Options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_Toc162017789 \h </w:instrText>
            </w:r>
            <w:r w:rsidR="00FD554B" w:rsidRPr="00CD6B34">
              <w:rPr>
                <w:noProof/>
                <w:webHidden/>
              </w:rPr>
            </w:r>
            <w:r w:rsidR="00FD554B" w:rsidRPr="00CD6B34">
              <w:rPr>
                <w:noProof/>
                <w:webHidden/>
              </w:rPr>
              <w:fldChar w:fldCharType="separate"/>
            </w:r>
            <w:r w:rsidR="00134E75">
              <w:rPr>
                <w:noProof/>
                <w:webHidden/>
              </w:rPr>
              <w:t>18</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0" w:history="1">
            <w:r w:rsidR="00FD554B" w:rsidRPr="00CD6B34">
              <w:rPr>
                <w:rStyle w:val="Hyperlink"/>
                <w:noProof/>
              </w:rPr>
              <w:t>Option 1: Maintain the Status-Quo</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_Toc162017790 \h </w:instrText>
            </w:r>
            <w:r w:rsidR="00FD554B" w:rsidRPr="00CD6B34">
              <w:rPr>
                <w:noProof/>
                <w:webHidden/>
              </w:rPr>
            </w:r>
            <w:r w:rsidR="00FD554B" w:rsidRPr="00CD6B34">
              <w:rPr>
                <w:noProof/>
                <w:webHidden/>
              </w:rPr>
              <w:fldChar w:fldCharType="separate"/>
            </w:r>
            <w:r w:rsidR="00134E75">
              <w:rPr>
                <w:noProof/>
                <w:webHidden/>
              </w:rPr>
              <w:t>18</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1" w:history="1">
            <w:r w:rsidR="00FD554B" w:rsidRPr="00CD6B34">
              <w:rPr>
                <w:rStyle w:val="Hyperlink"/>
                <w:noProof/>
              </w:rPr>
              <w:t>Option 2: Expand the Midwife Schemes (preferred option)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_Toc162017791 \h </w:instrText>
            </w:r>
            <w:r w:rsidR="00FD554B" w:rsidRPr="00CD6B34">
              <w:rPr>
                <w:noProof/>
                <w:webHidden/>
              </w:rPr>
            </w:r>
            <w:r w:rsidR="00FD554B" w:rsidRPr="00CD6B34">
              <w:rPr>
                <w:noProof/>
                <w:webHidden/>
              </w:rPr>
              <w:fldChar w:fldCharType="separate"/>
            </w:r>
            <w:r w:rsidR="00134E75">
              <w:rPr>
                <w:noProof/>
                <w:webHidden/>
              </w:rPr>
              <w:t>19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2" w:history="1">
            <w:r w:rsidR="00FD554B" w:rsidRPr="00CD6B34">
              <w:rPr>
                <w:rStyle w:val="Hyperlink"/>
                <w:noProof/>
              </w:rPr>
              <w:t>Legislative change</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_Toc162017792 \h </w:instrText>
            </w:r>
            <w:r w:rsidR="00FD554B" w:rsidRPr="00CD6B34">
              <w:rPr>
                <w:noProof/>
                <w:webHidden/>
              </w:rPr>
            </w:r>
            <w:r w:rsidR="00FD554B" w:rsidRPr="00CD6B34">
              <w:rPr>
                <w:noProof/>
                <w:webHidden/>
              </w:rPr>
              <w:fldChar w:fldCharType="separate"/>
            </w:r>
            <w:r w:rsidR="00134E75">
              <w:rPr>
                <w:noProof/>
                <w:webHidden/>
              </w:rPr>
              <w:t>21</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3" w:history="1">
            <w:r w:rsidR="00FD554B" w:rsidRPr="00CD6B34">
              <w:rPr>
                <w:rStyle w:val="Hyperlink"/>
                <w:noProof/>
              </w:rPr>
              <w:t>Capacity for Government involvement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_Toc162017793 \h </w:instrText>
            </w:r>
            <w:r w:rsidR="00FD554B" w:rsidRPr="00CD6B34">
              <w:rPr>
                <w:noProof/>
                <w:webHidden/>
              </w:rPr>
            </w:r>
            <w:r w:rsidR="00FD554B" w:rsidRPr="00CD6B34">
              <w:rPr>
                <w:noProof/>
                <w:webHidden/>
              </w:rPr>
              <w:fldChar w:fldCharType="separate"/>
            </w:r>
            <w:r w:rsidR="00134E75">
              <w:rPr>
                <w:noProof/>
                <w:webHidden/>
              </w:rPr>
              <w:t>21</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4" w:history="1">
            <w:r w:rsidR="00FD554B" w:rsidRPr="00CD6B34">
              <w:rPr>
                <w:rStyle w:val="Hyperlink"/>
                <w:noProof/>
              </w:rPr>
              <w:t>Risks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_Toc162017794 \h </w:instrText>
            </w:r>
            <w:r w:rsidR="00FD554B" w:rsidRPr="00CD6B34">
              <w:rPr>
                <w:noProof/>
                <w:webHidden/>
              </w:rPr>
            </w:r>
            <w:r w:rsidR="00FD554B" w:rsidRPr="00CD6B34">
              <w:rPr>
                <w:noProof/>
                <w:webHidden/>
              </w:rPr>
              <w:fldChar w:fldCharType="separate"/>
            </w:r>
            <w:r w:rsidR="00134E75">
              <w:rPr>
                <w:noProof/>
                <w:webHidden/>
              </w:rPr>
              <w:t>21</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5" w:history="1">
            <w:r w:rsidR="00FD554B" w:rsidRPr="00CD6B34">
              <w:rPr>
                <w:rStyle w:val="Hyperlink"/>
                <w:noProof/>
              </w:rPr>
              <w:t>Option 3: State and territory homebirth programs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_Toc162017795 \h </w:instrText>
            </w:r>
            <w:r w:rsidR="00FD554B" w:rsidRPr="00CD6B34">
              <w:rPr>
                <w:noProof/>
                <w:webHidden/>
              </w:rPr>
            </w:r>
            <w:r w:rsidR="00FD554B" w:rsidRPr="00CD6B34">
              <w:rPr>
                <w:noProof/>
                <w:webHidden/>
              </w:rPr>
              <w:fldChar w:fldCharType="separate"/>
            </w:r>
            <w:r w:rsidR="00134E75">
              <w:rPr>
                <w:noProof/>
                <w:webHidden/>
              </w:rPr>
              <w:t>23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6" w:history="1">
            <w:r w:rsidR="00FD554B" w:rsidRPr="00CD6B34">
              <w:rPr>
                <w:rStyle w:val="Hyperlink"/>
                <w:rFonts w:cstheme="minorHAnsi"/>
                <w:noProof/>
              </w:rPr>
              <w:t>Risks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_Toc162017796 \h </w:instrText>
            </w:r>
            <w:r w:rsidR="00FD554B" w:rsidRPr="00CD6B34">
              <w:rPr>
                <w:noProof/>
                <w:webHidden/>
              </w:rPr>
            </w:r>
            <w:r w:rsidR="00FD554B" w:rsidRPr="00CD6B34">
              <w:rPr>
                <w:noProof/>
                <w:webHidden/>
              </w:rPr>
              <w:fldChar w:fldCharType="separate"/>
            </w:r>
            <w:r w:rsidR="00134E75">
              <w:rPr>
                <w:noProof/>
                <w:webHidden/>
              </w:rPr>
              <w:t>24</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7" w:history="1">
            <w:r w:rsidR="00FD554B" w:rsidRPr="00CD6B34">
              <w:rPr>
                <w:rStyle w:val="Hyperlink"/>
                <w:noProof/>
              </w:rPr>
              <w:t>Option 3(a): Remove the exemption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_Toc162017797 \h </w:instrText>
            </w:r>
            <w:r w:rsidR="00FD554B" w:rsidRPr="00CD6B34">
              <w:rPr>
                <w:noProof/>
                <w:webHidden/>
              </w:rPr>
            </w:r>
            <w:r w:rsidR="00FD554B" w:rsidRPr="00CD6B34">
              <w:rPr>
                <w:noProof/>
                <w:webHidden/>
              </w:rPr>
              <w:fldChar w:fldCharType="separate"/>
            </w:r>
            <w:r w:rsidR="00134E75">
              <w:rPr>
                <w:noProof/>
                <w:webHidden/>
              </w:rPr>
              <w:t>25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798" w:history="1">
            <w:r w:rsidR="00FD554B" w:rsidRPr="00CD6B34">
              <w:rPr>
                <w:rStyle w:val="Hyperlink"/>
                <w:rFonts w:cstheme="minorHAnsi"/>
                <w:noProof/>
              </w:rPr>
              <w:t>Risks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_Toc162017798 \h </w:instrText>
            </w:r>
            <w:r w:rsidR="00FD554B" w:rsidRPr="00CD6B34">
              <w:rPr>
                <w:noProof/>
                <w:webHidden/>
              </w:rPr>
            </w:r>
            <w:r w:rsidR="00FD554B" w:rsidRPr="00CD6B34">
              <w:rPr>
                <w:noProof/>
                <w:webHidden/>
              </w:rPr>
              <w:fldChar w:fldCharType="separate"/>
            </w:r>
            <w:r w:rsidR="00134E75">
              <w:rPr>
                <w:noProof/>
                <w:webHidden/>
              </w:rPr>
              <w:t>25</w:t>
            </w:r>
            <w:r w:rsidR="00FD554B" w:rsidRPr="00CD6B34">
              <w:rPr>
                <w:noProof/>
                <w:webHidden/>
              </w:rPr>
              <w:fldChar w:fldCharType="end"/>
            </w:r>
          </w:hyperlink>
        </w:p>
        <w:p w:rsidR="00FD554B" w:rsidRPr="00CD6B34" w:rsidRDefault="00076049">
          <w:pPr>
            <w:pStyle w:val="TOC1"/>
            <w:rPr>
              <w:noProof/>
              <w:lang w:eastAsia="en-AU"/>
            </w:rPr>
          </w:pPr>
          <w:hyperlink w:anchor="_Toc162017799" w:history="1">
            <w:r w:rsidR="00FD554B" w:rsidRPr="00CD6B34">
              <w:rPr>
                <w:rStyle w:val="Hyperlink"/>
                <w:noProof/>
              </w:rPr>
              <w:t>4. What is the likely net-benefit of each option?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_Toc162017799 \h </w:instrText>
            </w:r>
            <w:r w:rsidR="00FD554B" w:rsidRPr="00CD6B34">
              <w:rPr>
                <w:noProof/>
                <w:webHidden/>
              </w:rPr>
            </w:r>
            <w:r w:rsidR="00FD554B" w:rsidRPr="00CD6B34">
              <w:rPr>
                <w:noProof/>
                <w:webHidden/>
              </w:rPr>
              <w:fldChar w:fldCharType="separate"/>
            </w:r>
            <w:r w:rsidR="00134E75">
              <w:rPr>
                <w:noProof/>
                <w:webHidden/>
              </w:rPr>
              <w:t>26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00" w:history="1">
            <w:r w:rsidR="00FD554B" w:rsidRPr="00CD6B34">
              <w:rPr>
                <w:rStyle w:val="Hyperlink"/>
                <w:noProof/>
              </w:rPr>
              <w:t>Option 1: Status-Quo - Retain the exemption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_Toc162017800 \h </w:instrText>
            </w:r>
            <w:r w:rsidR="00FD554B" w:rsidRPr="00CD6B34">
              <w:rPr>
                <w:noProof/>
                <w:webHidden/>
              </w:rPr>
            </w:r>
            <w:r w:rsidR="00FD554B" w:rsidRPr="00CD6B34">
              <w:rPr>
                <w:noProof/>
                <w:webHidden/>
              </w:rPr>
              <w:fldChar w:fldCharType="separate"/>
            </w:r>
            <w:r w:rsidR="00134E75">
              <w:rPr>
                <w:noProof/>
                <w:webHidden/>
              </w:rPr>
              <w:t>26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01" w:history="1">
            <w:r w:rsidR="00FD554B" w:rsidRPr="00CD6B34">
              <w:rPr>
                <w:rStyle w:val="Hyperlink"/>
                <w:noProof/>
              </w:rPr>
              <w:t>Option 2: Expand the Midwife Schemes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_Toc162017801 \h </w:instrText>
            </w:r>
            <w:r w:rsidR="00FD554B" w:rsidRPr="00CD6B34">
              <w:rPr>
                <w:noProof/>
                <w:webHidden/>
              </w:rPr>
            </w:r>
            <w:r w:rsidR="00FD554B" w:rsidRPr="00CD6B34">
              <w:rPr>
                <w:noProof/>
                <w:webHidden/>
              </w:rPr>
              <w:fldChar w:fldCharType="separate"/>
            </w:r>
            <w:r w:rsidR="00134E75">
              <w:rPr>
                <w:noProof/>
                <w:webHidden/>
              </w:rPr>
              <w:t>26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02" w:history="1">
            <w:r w:rsidR="00FD554B" w:rsidRPr="00CD6B34">
              <w:rPr>
                <w:rStyle w:val="Hyperlink"/>
                <w:noProof/>
              </w:rPr>
              <w:t>Option 3: State and territory homebirth programs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_Toc162017802 \h </w:instrText>
            </w:r>
            <w:r w:rsidR="00FD554B" w:rsidRPr="00CD6B34">
              <w:rPr>
                <w:noProof/>
                <w:webHidden/>
              </w:rPr>
            </w:r>
            <w:r w:rsidR="00FD554B" w:rsidRPr="00CD6B34">
              <w:rPr>
                <w:noProof/>
                <w:webHidden/>
              </w:rPr>
              <w:fldChar w:fldCharType="separate"/>
            </w:r>
            <w:r w:rsidR="00134E75">
              <w:rPr>
                <w:noProof/>
                <w:webHidden/>
              </w:rPr>
              <w:t>31</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03" w:history="1">
            <w:r w:rsidR="00FD554B" w:rsidRPr="00CD6B34">
              <w:rPr>
                <w:rStyle w:val="Hyperlink"/>
                <w:noProof/>
              </w:rPr>
              <w:t>Option 3(a): Remove exemption under National Law</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_Toc162017803 \h </w:instrText>
            </w:r>
            <w:r w:rsidR="00FD554B" w:rsidRPr="00CD6B34">
              <w:rPr>
                <w:noProof/>
                <w:webHidden/>
              </w:rPr>
            </w:r>
            <w:r w:rsidR="00FD554B" w:rsidRPr="00CD6B34">
              <w:rPr>
                <w:noProof/>
                <w:webHidden/>
              </w:rPr>
              <w:fldChar w:fldCharType="separate"/>
            </w:r>
            <w:r w:rsidR="00134E75">
              <w:rPr>
                <w:noProof/>
                <w:webHidden/>
              </w:rPr>
              <w:t>32</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04" w:history="1">
            <w:r w:rsidR="00FD554B" w:rsidRPr="00CD6B34">
              <w:rPr>
                <w:rStyle w:val="Hyperlink"/>
                <w:noProof/>
              </w:rPr>
              <w:t>Impacts of Options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_Toc162017804 \h </w:instrText>
            </w:r>
            <w:r w:rsidR="00FD554B" w:rsidRPr="00CD6B34">
              <w:rPr>
                <w:noProof/>
                <w:webHidden/>
              </w:rPr>
            </w:r>
            <w:r w:rsidR="00FD554B" w:rsidRPr="00CD6B34">
              <w:rPr>
                <w:noProof/>
                <w:webHidden/>
              </w:rPr>
              <w:fldChar w:fldCharType="separate"/>
            </w:r>
            <w:r w:rsidR="00134E75">
              <w:rPr>
                <w:noProof/>
                <w:webHidden/>
              </w:rPr>
              <w:t>32</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05" w:history="1">
            <w:r w:rsidR="00FD554B" w:rsidRPr="00CD6B34">
              <w:rPr>
                <w:rStyle w:val="Hyperlink"/>
                <w:noProof/>
              </w:rPr>
              <w:t>Financial impacts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_Toc162017805 \h </w:instrText>
            </w:r>
            <w:r w:rsidR="00FD554B" w:rsidRPr="00CD6B34">
              <w:rPr>
                <w:noProof/>
                <w:webHidden/>
              </w:rPr>
            </w:r>
            <w:r w:rsidR="00FD554B" w:rsidRPr="00CD6B34">
              <w:rPr>
                <w:noProof/>
                <w:webHidden/>
              </w:rPr>
              <w:fldChar w:fldCharType="separate"/>
            </w:r>
            <w:r w:rsidR="00134E75">
              <w:rPr>
                <w:noProof/>
                <w:webHidden/>
              </w:rPr>
              <w:t>32</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06" w:history="1">
            <w:r w:rsidR="00FD554B" w:rsidRPr="00CD6B34">
              <w:rPr>
                <w:rStyle w:val="Hyperlink"/>
                <w:noProof/>
              </w:rPr>
              <w:t>Gender Equality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_Toc162017806 \h </w:instrText>
            </w:r>
            <w:r w:rsidR="00FD554B" w:rsidRPr="00CD6B34">
              <w:rPr>
                <w:noProof/>
                <w:webHidden/>
              </w:rPr>
            </w:r>
            <w:r w:rsidR="00FD554B" w:rsidRPr="00CD6B34">
              <w:rPr>
                <w:noProof/>
                <w:webHidden/>
              </w:rPr>
              <w:fldChar w:fldCharType="separate"/>
            </w:r>
            <w:r w:rsidR="00134E75">
              <w:rPr>
                <w:noProof/>
                <w:webHidden/>
              </w:rPr>
              <w:t>33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07" w:history="1">
            <w:r w:rsidR="00FD554B" w:rsidRPr="00CD6B34">
              <w:rPr>
                <w:rStyle w:val="Hyperlink"/>
                <w:noProof/>
              </w:rPr>
              <w:t>Impact Analysis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_Toc162017807 \h </w:instrText>
            </w:r>
            <w:r w:rsidR="00FD554B" w:rsidRPr="00CD6B34">
              <w:rPr>
                <w:noProof/>
                <w:webHidden/>
              </w:rPr>
            </w:r>
            <w:r w:rsidR="00FD554B" w:rsidRPr="00CD6B34">
              <w:rPr>
                <w:noProof/>
                <w:webHidden/>
              </w:rPr>
              <w:fldChar w:fldCharType="separate"/>
            </w:r>
            <w:r w:rsidR="00134E75">
              <w:rPr>
                <w:noProof/>
                <w:webHidden/>
              </w:rPr>
              <w:t>33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08" w:history="1">
            <w:r w:rsidR="00FD554B" w:rsidRPr="00CD6B34">
              <w:rPr>
                <w:rStyle w:val="Hyperlink"/>
                <w:noProof/>
              </w:rPr>
              <w:t>Market risk</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_Toc162017808 \h </w:instrText>
            </w:r>
            <w:r w:rsidR="00FD554B" w:rsidRPr="00CD6B34">
              <w:rPr>
                <w:noProof/>
                <w:webHidden/>
              </w:rPr>
            </w:r>
            <w:r w:rsidR="00FD554B" w:rsidRPr="00CD6B34">
              <w:rPr>
                <w:noProof/>
                <w:webHidden/>
              </w:rPr>
              <w:fldChar w:fldCharType="separate"/>
            </w:r>
            <w:r w:rsidR="00134E75">
              <w:rPr>
                <w:noProof/>
                <w:webHidden/>
              </w:rPr>
              <w:t>34</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09" w:history="1">
            <w:r w:rsidR="00FD554B" w:rsidRPr="00CD6B34">
              <w:rPr>
                <w:rStyle w:val="Hyperlink"/>
                <w:noProof/>
              </w:rPr>
              <w:t>Constitutional risk</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_Toc162017809 \h </w:instrText>
            </w:r>
            <w:r w:rsidR="00FD554B" w:rsidRPr="00CD6B34">
              <w:rPr>
                <w:noProof/>
                <w:webHidden/>
              </w:rPr>
            </w:r>
            <w:r w:rsidR="00FD554B" w:rsidRPr="00CD6B34">
              <w:rPr>
                <w:noProof/>
                <w:webHidden/>
              </w:rPr>
              <w:fldChar w:fldCharType="separate"/>
            </w:r>
            <w:r w:rsidR="00134E75">
              <w:rPr>
                <w:noProof/>
                <w:webHidden/>
              </w:rPr>
              <w:t>35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0" w:history="1">
            <w:r w:rsidR="00FD554B" w:rsidRPr="00CD6B34">
              <w:rPr>
                <w:rStyle w:val="Hyperlink"/>
                <w:noProof/>
              </w:rPr>
              <w:t>Regional impact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_Toc162017810 \h </w:instrText>
            </w:r>
            <w:r w:rsidR="00FD554B" w:rsidRPr="00CD6B34">
              <w:rPr>
                <w:noProof/>
                <w:webHidden/>
              </w:rPr>
            </w:r>
            <w:r w:rsidR="00FD554B" w:rsidRPr="00CD6B34">
              <w:rPr>
                <w:noProof/>
                <w:webHidden/>
              </w:rPr>
              <w:fldChar w:fldCharType="separate"/>
            </w:r>
            <w:r w:rsidR="00134E75">
              <w:rPr>
                <w:noProof/>
                <w:webHidden/>
              </w:rPr>
              <w:t>35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1" w:history="1">
            <w:r w:rsidR="00FD554B" w:rsidRPr="00CD6B34">
              <w:rPr>
                <w:rStyle w:val="Hyperlink"/>
                <w:noProof/>
              </w:rPr>
              <w:t>Distributional Impacts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_Toc162017811 \h </w:instrText>
            </w:r>
            <w:r w:rsidR="00FD554B" w:rsidRPr="00CD6B34">
              <w:rPr>
                <w:noProof/>
                <w:webHidden/>
              </w:rPr>
            </w:r>
            <w:r w:rsidR="00FD554B" w:rsidRPr="00CD6B34">
              <w:rPr>
                <w:noProof/>
                <w:webHidden/>
              </w:rPr>
              <w:fldChar w:fldCharType="separate"/>
            </w:r>
            <w:r w:rsidR="00134E75">
              <w:rPr>
                <w:noProof/>
                <w:webHidden/>
              </w:rPr>
              <w:t>35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2" w:history="1">
            <w:r w:rsidR="00FD554B" w:rsidRPr="00CD6B34">
              <w:rPr>
                <w:rStyle w:val="Hyperlink"/>
                <w:noProof/>
              </w:rPr>
              <w:t>Commonwealth-State relations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_Toc162017812 \h </w:instrText>
            </w:r>
            <w:r w:rsidR="00FD554B" w:rsidRPr="00CD6B34">
              <w:rPr>
                <w:noProof/>
                <w:webHidden/>
              </w:rPr>
            </w:r>
            <w:r w:rsidR="00FD554B" w:rsidRPr="00CD6B34">
              <w:rPr>
                <w:noProof/>
                <w:webHidden/>
              </w:rPr>
              <w:fldChar w:fldCharType="separate"/>
            </w:r>
            <w:r w:rsidR="00134E75">
              <w:rPr>
                <w:noProof/>
                <w:webHidden/>
              </w:rPr>
              <w:t>35</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3" w:history="1">
            <w:r w:rsidR="00FD554B" w:rsidRPr="00CD6B34">
              <w:rPr>
                <w:rStyle w:val="Hyperlink"/>
                <w:noProof/>
              </w:rPr>
              <w:t>Regulatory impacts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_Toc162017813 \h </w:instrText>
            </w:r>
            <w:r w:rsidR="00FD554B" w:rsidRPr="00CD6B34">
              <w:rPr>
                <w:noProof/>
                <w:webHidden/>
              </w:rPr>
            </w:r>
            <w:r w:rsidR="00FD554B" w:rsidRPr="00CD6B34">
              <w:rPr>
                <w:noProof/>
                <w:webHidden/>
              </w:rPr>
              <w:fldChar w:fldCharType="separate"/>
            </w:r>
            <w:r w:rsidR="00134E75">
              <w:rPr>
                <w:noProof/>
                <w:webHidden/>
              </w:rPr>
              <w:t>35</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14" w:history="1">
            <w:r w:rsidR="00FD554B" w:rsidRPr="00CD6B34">
              <w:rPr>
                <w:rStyle w:val="Hyperlink"/>
                <w:rFonts w:cstheme="minorHAnsi"/>
                <w:noProof/>
              </w:rPr>
              <w:t>Impacts on Stakeholders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_Toc162017814 \h </w:instrText>
            </w:r>
            <w:r w:rsidR="00FD554B" w:rsidRPr="00CD6B34">
              <w:rPr>
                <w:noProof/>
                <w:webHidden/>
              </w:rPr>
            </w:r>
            <w:r w:rsidR="00FD554B" w:rsidRPr="00CD6B34">
              <w:rPr>
                <w:noProof/>
                <w:webHidden/>
              </w:rPr>
              <w:fldChar w:fldCharType="separate"/>
            </w:r>
            <w:r w:rsidR="00134E75">
              <w:rPr>
                <w:noProof/>
                <w:webHidden/>
              </w:rPr>
              <w:t>36</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5" w:history="1">
            <w:r w:rsidR="00FD554B" w:rsidRPr="00CD6B34">
              <w:rPr>
                <w:rStyle w:val="Hyperlink"/>
                <w:noProof/>
              </w:rPr>
              <w:t>How were impacts assessed?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_Toc162017815 \h </w:instrText>
            </w:r>
            <w:r w:rsidR="00FD554B" w:rsidRPr="00CD6B34">
              <w:rPr>
                <w:noProof/>
                <w:webHidden/>
              </w:rPr>
            </w:r>
            <w:r w:rsidR="00FD554B" w:rsidRPr="00CD6B34">
              <w:rPr>
                <w:noProof/>
                <w:webHidden/>
              </w:rPr>
              <w:fldChar w:fldCharType="separate"/>
            </w:r>
            <w:r w:rsidR="00134E75">
              <w:rPr>
                <w:noProof/>
                <w:webHidden/>
              </w:rPr>
              <w:t>36</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6" w:history="1">
            <w:r w:rsidR="00FD554B" w:rsidRPr="00CD6B34">
              <w:rPr>
                <w:rStyle w:val="Hyperlink"/>
                <w:noProof/>
              </w:rPr>
              <w:t>Li</w:t>
            </w:r>
            <w:r w:rsidR="00FD554B" w:rsidRPr="00CD6B34">
              <w:rPr>
                <w:rStyle w:val="Hyperlink"/>
                <w:iCs/>
                <w:noProof/>
              </w:rPr>
              <w:t>mitations and assumptions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_Toc162017816 \h </w:instrText>
            </w:r>
            <w:r w:rsidR="00FD554B" w:rsidRPr="00CD6B34">
              <w:rPr>
                <w:noProof/>
                <w:webHidden/>
              </w:rPr>
            </w:r>
            <w:r w:rsidR="00FD554B" w:rsidRPr="00CD6B34">
              <w:rPr>
                <w:noProof/>
                <w:webHidden/>
              </w:rPr>
              <w:fldChar w:fldCharType="separate"/>
            </w:r>
            <w:r w:rsidR="00134E75">
              <w:rPr>
                <w:noProof/>
                <w:webHidden/>
              </w:rPr>
              <w:t>37</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17" w:history="1">
            <w:r w:rsidR="00FD554B" w:rsidRPr="00CD6B34">
              <w:rPr>
                <w:rStyle w:val="Hyperlink"/>
                <w:noProof/>
              </w:rPr>
              <w:t>Summary by reform option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_Toc162017817 \h </w:instrText>
            </w:r>
            <w:r w:rsidR="00FD554B" w:rsidRPr="00CD6B34">
              <w:rPr>
                <w:noProof/>
                <w:webHidden/>
              </w:rPr>
            </w:r>
            <w:r w:rsidR="00FD554B" w:rsidRPr="00CD6B34">
              <w:rPr>
                <w:noProof/>
                <w:webHidden/>
              </w:rPr>
              <w:fldChar w:fldCharType="separate"/>
            </w:r>
            <w:r w:rsidR="00134E75">
              <w:rPr>
                <w:noProof/>
                <w:webHidden/>
              </w:rPr>
              <w:t>37</w:t>
            </w:r>
            <w:r w:rsidR="00FD554B" w:rsidRPr="00CD6B34">
              <w:rPr>
                <w:noProof/>
                <w:webHidden/>
              </w:rPr>
              <w:fldChar w:fldCharType="end"/>
            </w:r>
          </w:hyperlink>
        </w:p>
        <w:p w:rsidR="00FD554B" w:rsidRPr="00CD6B34" w:rsidRDefault="00076049">
          <w:pPr>
            <w:pStyle w:val="TOC1"/>
            <w:rPr>
              <w:noProof/>
              <w:lang w:eastAsia="en-AU"/>
            </w:rPr>
          </w:pPr>
          <w:hyperlink w:anchor="_Toc162017818" w:history="1">
            <w:r w:rsidR="00FD554B" w:rsidRPr="00CD6B34">
              <w:rPr>
                <w:rStyle w:val="Hyperlink"/>
                <w:noProof/>
              </w:rPr>
              <w:t>5. Who did you consult and how did you incorporate their feedback?</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_Toc162017818 \h </w:instrText>
            </w:r>
            <w:r w:rsidR="00FD554B" w:rsidRPr="00CD6B34">
              <w:rPr>
                <w:noProof/>
                <w:webHidden/>
              </w:rPr>
            </w:r>
            <w:r w:rsidR="00FD554B" w:rsidRPr="00CD6B34">
              <w:rPr>
                <w:noProof/>
                <w:webHidden/>
              </w:rPr>
              <w:fldChar w:fldCharType="separate"/>
            </w:r>
            <w:r w:rsidR="00134E75">
              <w:rPr>
                <w:noProof/>
                <w:webHidden/>
              </w:rPr>
              <w:t>38</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19" w:history="1">
            <w:r w:rsidR="00FD554B" w:rsidRPr="00CD6B34">
              <w:rPr>
                <w:rStyle w:val="Hyperlink"/>
                <w:noProof/>
              </w:rPr>
              <w:t>Purpose of Consultation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_Toc162017819 \h </w:instrText>
            </w:r>
            <w:r w:rsidR="00FD554B" w:rsidRPr="00CD6B34">
              <w:rPr>
                <w:noProof/>
                <w:webHidden/>
              </w:rPr>
            </w:r>
            <w:r w:rsidR="00FD554B" w:rsidRPr="00CD6B34">
              <w:rPr>
                <w:noProof/>
                <w:webHidden/>
              </w:rPr>
              <w:fldChar w:fldCharType="separate"/>
            </w:r>
            <w:r w:rsidR="00134E75">
              <w:rPr>
                <w:noProof/>
                <w:webHidden/>
              </w:rPr>
              <w:t>38</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20" w:history="1">
            <w:r w:rsidR="00FD554B" w:rsidRPr="00CD6B34">
              <w:rPr>
                <w:rStyle w:val="Hyperlink"/>
                <w:noProof/>
              </w:rPr>
              <w:t>Who should be consulted?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_Toc162017820 \h </w:instrText>
            </w:r>
            <w:r w:rsidR="00FD554B" w:rsidRPr="00CD6B34">
              <w:rPr>
                <w:noProof/>
                <w:webHidden/>
              </w:rPr>
            </w:r>
            <w:r w:rsidR="00FD554B" w:rsidRPr="00CD6B34">
              <w:rPr>
                <w:noProof/>
                <w:webHidden/>
              </w:rPr>
              <w:fldChar w:fldCharType="separate"/>
            </w:r>
            <w:r w:rsidR="00134E75">
              <w:rPr>
                <w:noProof/>
                <w:webHidden/>
              </w:rPr>
              <w:t>38</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21" w:history="1">
            <w:r w:rsidR="00FD554B" w:rsidRPr="00CD6B34">
              <w:rPr>
                <w:rStyle w:val="Hyperlink"/>
                <w:noProof/>
              </w:rPr>
              <w:t>When will/were they consulted?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_Toc162017821 \h </w:instrText>
            </w:r>
            <w:r w:rsidR="00FD554B" w:rsidRPr="00CD6B34">
              <w:rPr>
                <w:noProof/>
                <w:webHidden/>
              </w:rPr>
            </w:r>
            <w:r w:rsidR="00FD554B" w:rsidRPr="00CD6B34">
              <w:rPr>
                <w:noProof/>
                <w:webHidden/>
              </w:rPr>
              <w:fldChar w:fldCharType="separate"/>
            </w:r>
            <w:r w:rsidR="00134E75">
              <w:rPr>
                <w:noProof/>
                <w:webHidden/>
              </w:rPr>
              <w:t>39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22" w:history="1">
            <w:r w:rsidR="00FD554B" w:rsidRPr="00CD6B34">
              <w:rPr>
                <w:rStyle w:val="Hyperlink"/>
                <w:noProof/>
              </w:rPr>
              <w:t>How were they consulted?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_Toc162017822 \h </w:instrText>
            </w:r>
            <w:r w:rsidR="00FD554B" w:rsidRPr="00CD6B34">
              <w:rPr>
                <w:noProof/>
                <w:webHidden/>
              </w:rPr>
            </w:r>
            <w:r w:rsidR="00FD554B" w:rsidRPr="00CD6B34">
              <w:rPr>
                <w:noProof/>
                <w:webHidden/>
              </w:rPr>
              <w:fldChar w:fldCharType="separate"/>
            </w:r>
            <w:r w:rsidR="00134E75">
              <w:rPr>
                <w:noProof/>
                <w:webHidden/>
              </w:rPr>
              <w:t>39</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23" w:history="1">
            <w:r w:rsidR="00FD554B" w:rsidRPr="00CD6B34">
              <w:rPr>
                <w:rStyle w:val="Hyperlink"/>
                <w:noProof/>
              </w:rPr>
              <w:t>Outcome of Consultation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_Toc162017823 \h </w:instrText>
            </w:r>
            <w:r w:rsidR="00FD554B" w:rsidRPr="00CD6B34">
              <w:rPr>
                <w:noProof/>
                <w:webHidden/>
              </w:rPr>
            </w:r>
            <w:r w:rsidR="00FD554B" w:rsidRPr="00CD6B34">
              <w:rPr>
                <w:noProof/>
                <w:webHidden/>
              </w:rPr>
              <w:fldChar w:fldCharType="separate"/>
            </w:r>
            <w:r w:rsidR="00134E75">
              <w:rPr>
                <w:noProof/>
                <w:webHidden/>
              </w:rPr>
              <w:t>40</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24" w:history="1">
            <w:r w:rsidR="00FD554B" w:rsidRPr="00CD6B34">
              <w:rPr>
                <w:rStyle w:val="Hyperlink"/>
                <w:noProof/>
              </w:rPr>
              <w:t>Views of Stakeholders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_Toc162017824 \h </w:instrText>
            </w:r>
            <w:r w:rsidR="00FD554B" w:rsidRPr="00CD6B34">
              <w:rPr>
                <w:noProof/>
                <w:webHidden/>
              </w:rPr>
            </w:r>
            <w:r w:rsidR="00FD554B" w:rsidRPr="00CD6B34">
              <w:rPr>
                <w:noProof/>
                <w:webHidden/>
              </w:rPr>
              <w:fldChar w:fldCharType="separate"/>
            </w:r>
            <w:r w:rsidR="00134E75">
              <w:rPr>
                <w:noProof/>
                <w:webHidden/>
              </w:rPr>
              <w:t>41</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25" w:history="1">
            <w:r w:rsidR="00FD554B" w:rsidRPr="00CD6B34">
              <w:rPr>
                <w:rStyle w:val="Hyperlink"/>
                <w:noProof/>
              </w:rPr>
              <w:t>Impact on Policy Options and/or Impact Analysis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_Toc162017825 \h </w:instrText>
            </w:r>
            <w:r w:rsidR="00FD554B" w:rsidRPr="00CD6B34">
              <w:rPr>
                <w:noProof/>
                <w:webHidden/>
              </w:rPr>
            </w:r>
            <w:r w:rsidR="00FD554B" w:rsidRPr="00CD6B34">
              <w:rPr>
                <w:noProof/>
                <w:webHidden/>
              </w:rPr>
              <w:fldChar w:fldCharType="separate"/>
            </w:r>
            <w:r w:rsidR="00134E75">
              <w:rPr>
                <w:noProof/>
                <w:webHidden/>
              </w:rPr>
              <w:t>42</w:t>
            </w:r>
            <w:r w:rsidR="00FD554B" w:rsidRPr="00CD6B34">
              <w:rPr>
                <w:noProof/>
                <w:webHidden/>
              </w:rPr>
              <w:fldChar w:fldCharType="end"/>
            </w:r>
          </w:hyperlink>
        </w:p>
        <w:p w:rsidR="00FD554B" w:rsidRPr="00CD6B34" w:rsidRDefault="00076049">
          <w:pPr>
            <w:pStyle w:val="TOC1"/>
            <w:rPr>
              <w:noProof/>
              <w:lang w:eastAsia="en-AU"/>
            </w:rPr>
          </w:pPr>
          <w:hyperlink w:anchor="_Toc162017826" w:history="1">
            <w:r w:rsidR="00FD554B" w:rsidRPr="00CD6B34">
              <w:rPr>
                <w:rStyle w:val="Hyperlink"/>
                <w:noProof/>
              </w:rPr>
              <w:t>6. What the best option from those you have considered and how will it be implemented?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_Toc162017826 \h </w:instrText>
            </w:r>
            <w:r w:rsidR="00FD554B" w:rsidRPr="00CD6B34">
              <w:rPr>
                <w:noProof/>
                <w:webHidden/>
              </w:rPr>
            </w:r>
            <w:r w:rsidR="00FD554B" w:rsidRPr="00CD6B34">
              <w:rPr>
                <w:noProof/>
                <w:webHidden/>
              </w:rPr>
              <w:fldChar w:fldCharType="separate"/>
            </w:r>
            <w:r w:rsidR="00134E75">
              <w:rPr>
                <w:noProof/>
                <w:webHidden/>
              </w:rPr>
              <w:t>43</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27" w:history="1">
            <w:r w:rsidR="00FD554B" w:rsidRPr="00CD6B34">
              <w:rPr>
                <w:rStyle w:val="Hyperlink"/>
                <w:noProof/>
              </w:rPr>
              <w:t>Do the options meet the objectives?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_Toc162017827 \h </w:instrText>
            </w:r>
            <w:r w:rsidR="00FD554B" w:rsidRPr="00CD6B34">
              <w:rPr>
                <w:noProof/>
                <w:webHidden/>
              </w:rPr>
            </w:r>
            <w:r w:rsidR="00FD554B" w:rsidRPr="00CD6B34">
              <w:rPr>
                <w:noProof/>
                <w:webHidden/>
              </w:rPr>
              <w:fldChar w:fldCharType="separate"/>
            </w:r>
            <w:r w:rsidR="00134E75">
              <w:rPr>
                <w:noProof/>
                <w:webHidden/>
              </w:rPr>
              <w:t>43</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28" w:history="1">
            <w:r w:rsidR="00FD554B" w:rsidRPr="00CD6B34">
              <w:rPr>
                <w:rStyle w:val="Hyperlink"/>
                <w:noProof/>
              </w:rPr>
              <w:t>What is the preferred option?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_Toc162017828 \h </w:instrText>
            </w:r>
            <w:r w:rsidR="00FD554B" w:rsidRPr="00CD6B34">
              <w:rPr>
                <w:noProof/>
                <w:webHidden/>
              </w:rPr>
            </w:r>
            <w:r w:rsidR="00FD554B" w:rsidRPr="00CD6B34">
              <w:rPr>
                <w:noProof/>
                <w:webHidden/>
              </w:rPr>
              <w:fldChar w:fldCharType="separate"/>
            </w:r>
            <w:r w:rsidR="00134E75">
              <w:rPr>
                <w:noProof/>
                <w:webHidden/>
              </w:rPr>
              <w:t>44</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29" w:history="1">
            <w:r w:rsidR="00FD554B" w:rsidRPr="00CD6B34">
              <w:rPr>
                <w:rStyle w:val="Hyperlink"/>
                <w:noProof/>
              </w:rPr>
              <w:t>How will it be implemented?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_Toc162017829 \h </w:instrText>
            </w:r>
            <w:r w:rsidR="00FD554B" w:rsidRPr="00CD6B34">
              <w:rPr>
                <w:noProof/>
                <w:webHidden/>
              </w:rPr>
            </w:r>
            <w:r w:rsidR="00FD554B" w:rsidRPr="00CD6B34">
              <w:rPr>
                <w:noProof/>
                <w:webHidden/>
              </w:rPr>
              <w:fldChar w:fldCharType="separate"/>
            </w:r>
            <w:r w:rsidR="00134E75">
              <w:rPr>
                <w:noProof/>
                <w:webHidden/>
              </w:rPr>
              <w:t>44</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0" w:history="1">
            <w:r w:rsidR="00FD554B" w:rsidRPr="00CD6B34">
              <w:rPr>
                <w:rStyle w:val="Hyperlink"/>
                <w:noProof/>
              </w:rPr>
              <w:t>What are the risks of implementation?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_Toc162017830 \h </w:instrText>
            </w:r>
            <w:r w:rsidR="00FD554B" w:rsidRPr="00CD6B34">
              <w:rPr>
                <w:noProof/>
                <w:webHidden/>
              </w:rPr>
            </w:r>
            <w:r w:rsidR="00FD554B" w:rsidRPr="00CD6B34">
              <w:rPr>
                <w:noProof/>
                <w:webHidden/>
              </w:rPr>
              <w:fldChar w:fldCharType="separate"/>
            </w:r>
            <w:r w:rsidR="00134E75">
              <w:rPr>
                <w:noProof/>
                <w:webHidden/>
              </w:rPr>
              <w:t>45</w:t>
            </w:r>
            <w:r w:rsidR="00FD554B" w:rsidRPr="00CD6B34">
              <w:rPr>
                <w:noProof/>
                <w:webHidden/>
              </w:rPr>
              <w:fldChar w:fldCharType="end"/>
            </w:r>
          </w:hyperlink>
        </w:p>
        <w:p w:rsidR="00FD554B" w:rsidRPr="00CD6B34" w:rsidRDefault="00076049">
          <w:pPr>
            <w:pStyle w:val="TOC1"/>
            <w:rPr>
              <w:noProof/>
              <w:lang w:eastAsia="en-AU"/>
            </w:rPr>
          </w:pPr>
          <w:hyperlink w:anchor="_Toc162017831" w:history="1">
            <w:r w:rsidR="00FD554B" w:rsidRPr="00CD6B34">
              <w:rPr>
                <w:rStyle w:val="Hyperlink"/>
                <w:noProof/>
              </w:rPr>
              <w:t>7. How will you evaluate your chosen option?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_Toc162017831 \h </w:instrText>
            </w:r>
            <w:r w:rsidR="00FD554B" w:rsidRPr="00CD6B34">
              <w:rPr>
                <w:noProof/>
                <w:webHidden/>
              </w:rPr>
            </w:r>
            <w:r w:rsidR="00FD554B" w:rsidRPr="00CD6B34">
              <w:rPr>
                <w:noProof/>
                <w:webHidden/>
              </w:rPr>
              <w:fldChar w:fldCharType="separate"/>
            </w:r>
            <w:r w:rsidR="00134E75">
              <w:rPr>
                <w:noProof/>
                <w:webHidden/>
              </w:rPr>
              <w:t>46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2" w:history="1">
            <w:r w:rsidR="00FD554B" w:rsidRPr="00CD6B34">
              <w:rPr>
                <w:rStyle w:val="Hyperlink"/>
                <w:noProof/>
              </w:rPr>
              <w:t>Purpose</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_Toc162017832 \h </w:instrText>
            </w:r>
            <w:r w:rsidR="00FD554B" w:rsidRPr="00CD6B34">
              <w:rPr>
                <w:noProof/>
                <w:webHidden/>
              </w:rPr>
            </w:r>
            <w:r w:rsidR="00FD554B" w:rsidRPr="00CD6B34">
              <w:rPr>
                <w:noProof/>
                <w:webHidden/>
              </w:rPr>
              <w:fldChar w:fldCharType="separate"/>
            </w:r>
            <w:r w:rsidR="00134E75">
              <w:rPr>
                <w:noProof/>
                <w:webHidden/>
              </w:rPr>
              <w:t>46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3" w:history="1">
            <w:r w:rsidR="00FD554B" w:rsidRPr="00CD6B34">
              <w:rPr>
                <w:rStyle w:val="Hyperlink"/>
                <w:noProof/>
              </w:rPr>
              <w:t>Audience</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_Toc162017833 \h </w:instrText>
            </w:r>
            <w:r w:rsidR="00FD554B" w:rsidRPr="00CD6B34">
              <w:rPr>
                <w:noProof/>
                <w:webHidden/>
              </w:rPr>
            </w:r>
            <w:r w:rsidR="00FD554B" w:rsidRPr="00CD6B34">
              <w:rPr>
                <w:noProof/>
                <w:webHidden/>
              </w:rPr>
              <w:fldChar w:fldCharType="separate"/>
            </w:r>
            <w:r w:rsidR="00134E75">
              <w:rPr>
                <w:noProof/>
                <w:webHidden/>
              </w:rPr>
              <w:t>46</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4" w:history="1">
            <w:r w:rsidR="00FD554B" w:rsidRPr="00CD6B34">
              <w:rPr>
                <w:rStyle w:val="Hyperlink"/>
                <w:noProof/>
              </w:rPr>
              <w:t>Objectives and principles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_Toc162017834 \h </w:instrText>
            </w:r>
            <w:r w:rsidR="00FD554B" w:rsidRPr="00CD6B34">
              <w:rPr>
                <w:noProof/>
                <w:webHidden/>
              </w:rPr>
            </w:r>
            <w:r w:rsidR="00FD554B" w:rsidRPr="00CD6B34">
              <w:rPr>
                <w:noProof/>
                <w:webHidden/>
              </w:rPr>
              <w:fldChar w:fldCharType="separate"/>
            </w:r>
            <w:r w:rsidR="00134E75">
              <w:rPr>
                <w:noProof/>
                <w:webHidden/>
              </w:rPr>
              <w:t>47</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5" w:history="1">
            <w:r w:rsidR="00FD554B" w:rsidRPr="00CD6B34">
              <w:rPr>
                <w:rStyle w:val="Hyperlink"/>
                <w:noProof/>
              </w:rPr>
              <w:t>Methodology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_Toc162017835 \h </w:instrText>
            </w:r>
            <w:r w:rsidR="00FD554B" w:rsidRPr="00CD6B34">
              <w:rPr>
                <w:noProof/>
                <w:webHidden/>
              </w:rPr>
            </w:r>
            <w:r w:rsidR="00FD554B" w:rsidRPr="00CD6B34">
              <w:rPr>
                <w:noProof/>
                <w:webHidden/>
              </w:rPr>
              <w:fldChar w:fldCharType="separate"/>
            </w:r>
            <w:r w:rsidR="00134E75">
              <w:rPr>
                <w:noProof/>
                <w:webHidden/>
              </w:rPr>
              <w:t>47</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6" w:history="1">
            <w:r w:rsidR="00FD554B" w:rsidRPr="00CD6B34">
              <w:rPr>
                <w:rStyle w:val="Hyperlink"/>
                <w:noProof/>
              </w:rPr>
              <w:t>Data Collection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_Toc162017836 \h </w:instrText>
            </w:r>
            <w:r w:rsidR="00FD554B" w:rsidRPr="00CD6B34">
              <w:rPr>
                <w:noProof/>
                <w:webHidden/>
              </w:rPr>
            </w:r>
            <w:r w:rsidR="00FD554B" w:rsidRPr="00CD6B34">
              <w:rPr>
                <w:noProof/>
                <w:webHidden/>
              </w:rPr>
              <w:fldChar w:fldCharType="separate"/>
            </w:r>
            <w:r w:rsidR="00134E75">
              <w:rPr>
                <w:noProof/>
                <w:webHidden/>
              </w:rPr>
              <w:t>48</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7" w:history="1">
            <w:r w:rsidR="00FD554B" w:rsidRPr="00CD6B34">
              <w:rPr>
                <w:rStyle w:val="Hyperlink"/>
                <w:noProof/>
              </w:rPr>
              <w:t>Quality and ethical considerations</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_Toc162017837 \h </w:instrText>
            </w:r>
            <w:r w:rsidR="00FD554B" w:rsidRPr="00CD6B34">
              <w:rPr>
                <w:noProof/>
                <w:webHidden/>
              </w:rPr>
            </w:r>
            <w:r w:rsidR="00FD554B" w:rsidRPr="00CD6B34">
              <w:rPr>
                <w:noProof/>
                <w:webHidden/>
              </w:rPr>
              <w:fldChar w:fldCharType="separate"/>
            </w:r>
            <w:r w:rsidR="00134E75">
              <w:rPr>
                <w:noProof/>
                <w:webHidden/>
              </w:rPr>
              <w:t>48</w:t>
            </w:r>
            <w:r w:rsidR="00FD554B" w:rsidRPr="00CD6B34">
              <w:rPr>
                <w:noProof/>
                <w:webHidden/>
              </w:rPr>
              <w:fldChar w:fldCharType="end"/>
            </w:r>
          </w:hyperlink>
        </w:p>
        <w:p w:rsidR="00FD554B" w:rsidRPr="00CD6B34" w:rsidRDefault="00076049">
          <w:pPr>
            <w:pStyle w:val="TOC2"/>
            <w:tabs>
              <w:tab w:val="right" w:leader="dot" w:pos="8602"/>
            </w:tabs>
            <w:rPr>
              <w:noProof/>
              <w:lang w:eastAsia="en-AU"/>
            </w:rPr>
          </w:pPr>
          <w:hyperlink w:anchor="_Toc162017838" w:history="1">
            <w:r w:rsidR="00FD554B" w:rsidRPr="00CD6B34">
              <w:rPr>
                <w:rStyle w:val="Hyperlink"/>
                <w:noProof/>
              </w:rPr>
              <w:t>Evaluation Plan and Strategy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_Toc162017838 \h </w:instrText>
            </w:r>
            <w:r w:rsidR="00FD554B" w:rsidRPr="00CD6B34">
              <w:rPr>
                <w:noProof/>
                <w:webHidden/>
              </w:rPr>
            </w:r>
            <w:r w:rsidR="00FD554B" w:rsidRPr="00CD6B34">
              <w:rPr>
                <w:noProof/>
                <w:webHidden/>
              </w:rPr>
              <w:fldChar w:fldCharType="separate"/>
            </w:r>
            <w:r w:rsidR="00134E75">
              <w:rPr>
                <w:noProof/>
                <w:webHidden/>
              </w:rPr>
              <w:t>49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39" w:history="1">
            <w:r w:rsidR="00FD554B" w:rsidRPr="00CD6B34">
              <w:rPr>
                <w:rStyle w:val="Hyperlink"/>
                <w:noProof/>
              </w:rPr>
              <w:t>Governance and management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_Toc162017839 \h </w:instrText>
            </w:r>
            <w:r w:rsidR="00FD554B" w:rsidRPr="00CD6B34">
              <w:rPr>
                <w:noProof/>
                <w:webHidden/>
              </w:rPr>
            </w:r>
            <w:r w:rsidR="00FD554B" w:rsidRPr="00CD6B34">
              <w:rPr>
                <w:noProof/>
                <w:webHidden/>
              </w:rPr>
              <w:fldChar w:fldCharType="separate"/>
            </w:r>
            <w:r w:rsidR="00134E75">
              <w:rPr>
                <w:noProof/>
                <w:webHidden/>
              </w:rPr>
              <w:t>49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0" w:history="1">
            <w:r w:rsidR="00FD554B" w:rsidRPr="00CD6B34">
              <w:rPr>
                <w:rStyle w:val="Hyperlink"/>
                <w:noProof/>
              </w:rPr>
              <w:t>Reporting and communication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_Toc162017840 \h </w:instrText>
            </w:r>
            <w:r w:rsidR="00FD554B" w:rsidRPr="00CD6B34">
              <w:rPr>
                <w:noProof/>
                <w:webHidden/>
              </w:rPr>
            </w:r>
            <w:r w:rsidR="00FD554B" w:rsidRPr="00CD6B34">
              <w:rPr>
                <w:noProof/>
                <w:webHidden/>
              </w:rPr>
              <w:fldChar w:fldCharType="separate"/>
            </w:r>
            <w:r w:rsidR="00134E75">
              <w:rPr>
                <w:noProof/>
                <w:webHidden/>
              </w:rPr>
              <w:t>49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1" w:history="1">
            <w:r w:rsidR="00FD554B" w:rsidRPr="00CD6B34">
              <w:rPr>
                <w:rStyle w:val="Hyperlink"/>
                <w:noProof/>
              </w:rPr>
              <w:t>Communication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_Toc162017841 \h </w:instrText>
            </w:r>
            <w:r w:rsidR="00FD554B" w:rsidRPr="00CD6B34">
              <w:rPr>
                <w:noProof/>
                <w:webHidden/>
              </w:rPr>
            </w:r>
            <w:r w:rsidR="00FD554B" w:rsidRPr="00CD6B34">
              <w:rPr>
                <w:noProof/>
                <w:webHidden/>
              </w:rPr>
              <w:fldChar w:fldCharType="separate"/>
            </w:r>
            <w:r w:rsidR="00134E75">
              <w:rPr>
                <w:noProof/>
                <w:webHidden/>
              </w:rPr>
              <w:t>49</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2" w:history="1">
            <w:r w:rsidR="00FD554B" w:rsidRPr="00CD6B34">
              <w:rPr>
                <w:rStyle w:val="Hyperlink"/>
                <w:noProof/>
              </w:rPr>
              <w:t>Stakeholder engagement</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_Toc162017842 \h </w:instrText>
            </w:r>
            <w:r w:rsidR="00FD554B" w:rsidRPr="00CD6B34">
              <w:rPr>
                <w:noProof/>
                <w:webHidden/>
              </w:rPr>
            </w:r>
            <w:r w:rsidR="00FD554B" w:rsidRPr="00CD6B34">
              <w:rPr>
                <w:noProof/>
                <w:webHidden/>
              </w:rPr>
              <w:fldChar w:fldCharType="separate"/>
            </w:r>
            <w:r w:rsidR="00134E75">
              <w:rPr>
                <w:noProof/>
                <w:webHidden/>
              </w:rPr>
              <w:t>49</w:t>
            </w:r>
            <w:r w:rsidR="00FD554B" w:rsidRPr="00CD6B34">
              <w:rPr>
                <w:noProof/>
                <w:webHidden/>
              </w:rPr>
              <w:fldChar w:fldCharType="end"/>
            </w:r>
          </w:hyperlink>
        </w:p>
        <w:p w:rsidR="00FD554B" w:rsidRPr="00CD6B34" w:rsidRDefault="00076049">
          <w:pPr>
            <w:pStyle w:val="TOC1"/>
            <w:rPr>
              <w:noProof/>
              <w:lang w:eastAsia="en-AU"/>
            </w:rPr>
          </w:pPr>
          <w:hyperlink w:anchor="_Toc162017843" w:history="1">
            <w:r w:rsidR="00FD554B" w:rsidRPr="00CD6B34">
              <w:rPr>
                <w:rStyle w:val="Hyperlink"/>
                <w:noProof/>
              </w:rPr>
              <w:t>8. Conclusion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_Toc162017843 \h </w:instrText>
            </w:r>
            <w:r w:rsidR="00FD554B" w:rsidRPr="00CD6B34">
              <w:rPr>
                <w:noProof/>
                <w:webHidden/>
              </w:rPr>
            </w:r>
            <w:r w:rsidR="00FD554B" w:rsidRPr="00CD6B34">
              <w:rPr>
                <w:noProof/>
                <w:webHidden/>
              </w:rPr>
              <w:fldChar w:fldCharType="separate"/>
            </w:r>
            <w:r w:rsidR="00134E75">
              <w:rPr>
                <w:noProof/>
                <w:webHidden/>
              </w:rPr>
              <w:t>53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4" w:history="1">
            <w:r w:rsidR="00FD554B" w:rsidRPr="00CD6B34">
              <w:rPr>
                <w:rStyle w:val="Hyperlink"/>
                <w:noProof/>
              </w:rPr>
              <w:t>Option 2 - preferred</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_Toc162017844 \h </w:instrText>
            </w:r>
            <w:r w:rsidR="00FD554B" w:rsidRPr="00CD6B34">
              <w:rPr>
                <w:noProof/>
                <w:webHidden/>
              </w:rPr>
            </w:r>
            <w:r w:rsidR="00FD554B" w:rsidRPr="00CD6B34">
              <w:rPr>
                <w:noProof/>
                <w:webHidden/>
              </w:rPr>
              <w:fldChar w:fldCharType="separate"/>
            </w:r>
            <w:r w:rsidR="00134E75">
              <w:rPr>
                <w:noProof/>
                <w:webHidden/>
              </w:rPr>
              <w:t>53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5" w:history="1">
            <w:r w:rsidR="00FD554B" w:rsidRPr="00CD6B34">
              <w:rPr>
                <w:rStyle w:val="Hyperlink"/>
                <w:noProof/>
              </w:rPr>
              <w:t>Option 1 – retain exemption (status quo)</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_Toc162017845 \h </w:instrText>
            </w:r>
            <w:r w:rsidR="00FD554B" w:rsidRPr="00CD6B34">
              <w:rPr>
                <w:noProof/>
                <w:webHidden/>
              </w:rPr>
            </w:r>
            <w:r w:rsidR="00FD554B" w:rsidRPr="00CD6B34">
              <w:rPr>
                <w:noProof/>
                <w:webHidden/>
              </w:rPr>
              <w:fldChar w:fldCharType="separate"/>
            </w:r>
            <w:r w:rsidR="00134E75">
              <w:rPr>
                <w:noProof/>
                <w:webHidden/>
              </w:rPr>
              <w:t>53</w:t>
            </w:r>
            <w:r w:rsidR="00FD554B" w:rsidRPr="00CD6B34">
              <w:rPr>
                <w:noProof/>
                <w:webHidden/>
              </w:rPr>
              <w:fldChar w:fldCharType="end"/>
            </w:r>
          </w:hyperlink>
        </w:p>
        <w:p w:rsidR="00FD554B" w:rsidRPr="00CD6B34" w:rsidRDefault="00076049">
          <w:pPr>
            <w:pStyle w:val="TOC3"/>
            <w:tabs>
              <w:tab w:val="right" w:leader="dot" w:pos="8602"/>
            </w:tabs>
            <w:rPr>
              <w:noProof/>
              <w:lang w:eastAsia="en-AU"/>
            </w:rPr>
          </w:pPr>
          <w:hyperlink w:anchor="_Toc162017846" w:history="1">
            <w:r w:rsidR="00FD554B" w:rsidRPr="00CD6B34">
              <w:rPr>
                <w:rStyle w:val="Hyperlink"/>
                <w:noProof/>
              </w:rPr>
              <w:t>Option 3 – remove exemption</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_Toc162017846 \h </w:instrText>
            </w:r>
            <w:r w:rsidR="00FD554B" w:rsidRPr="00CD6B34">
              <w:rPr>
                <w:noProof/>
                <w:webHidden/>
              </w:rPr>
            </w:r>
            <w:r w:rsidR="00FD554B" w:rsidRPr="00CD6B34">
              <w:rPr>
                <w:noProof/>
                <w:webHidden/>
              </w:rPr>
              <w:fldChar w:fldCharType="separate"/>
            </w:r>
            <w:r w:rsidR="00134E75">
              <w:rPr>
                <w:noProof/>
                <w:webHidden/>
              </w:rPr>
              <w:t>54</w:t>
            </w:r>
            <w:r w:rsidR="00FD554B" w:rsidRPr="00CD6B34">
              <w:rPr>
                <w:noProof/>
                <w:webHidden/>
              </w:rPr>
              <w:fldChar w:fldCharType="end"/>
            </w:r>
          </w:hyperlink>
        </w:p>
        <w:p w:rsidR="00FD554B" w:rsidRDefault="00076049">
          <w:pPr>
            <w:pStyle w:val="TOC1"/>
            <w:rPr>
              <w:noProof/>
              <w:lang w:eastAsia="en-AU"/>
            </w:rPr>
          </w:pPr>
          <w:hyperlink w:anchor="_Toc162017847" w:history="1">
            <w:r w:rsidR="00FD554B" w:rsidRPr="00CD6B34">
              <w:rPr>
                <w:rStyle w:val="Hyperlink"/>
                <w:noProof/>
              </w:rPr>
              <w:t>Appendix 1: Glossary</w:t>
            </w:r>
            <w:r w:rsidR="00FD554B" w:rsidRPr="00CD6B34">
              <w:rPr>
                <w:noProof/>
                <w:webHidden/>
              </w:rPr>
              <w:tab/>
            </w:r>
            <w:r w:rsidR="00FD554B" w:rsidRPr="00CD6B34">
              <w:rPr>
                <w:noProof/>
                <w:webHidden/>
              </w:rPr>
              <w:fldChar w:fldCharType="begin"/>
            </w:r>
            <w:r w:rsidR="00FD554B" w:rsidRPr="00CD6B34">
              <w:rPr>
                <w:noProof/>
                <w:webHidden/>
              </w:rPr>
              <w:instrText xml:space="preserve"> PAGEREF _Toc162017847 \h </w:instrText>
            </w:r>
            <w:r w:rsidR="00FD554B" w:rsidRPr="00CD6B34">
              <w:rPr>
                <w:noProof/>
                <w:webHidden/>
              </w:rPr>
            </w:r>
            <w:r w:rsidR="00FD554B" w:rsidRPr="00CD6B34">
              <w:rPr>
                <w:noProof/>
                <w:webHidden/>
              </w:rPr>
              <w:fldChar w:fldCharType="separate"/>
            </w:r>
            <w:r w:rsidR="00134E75">
              <w:rPr>
                <w:noProof/>
                <w:webHidden/>
              </w:rPr>
              <w:t>55</w:t>
            </w:r>
            <w:r w:rsidR="00FD554B" w:rsidRPr="00CD6B34">
              <w:rPr>
                <w:noProof/>
                <w:webHidden/>
              </w:rPr>
              <w:fldChar w:fldCharType="end"/>
            </w:r>
          </w:hyperlink>
        </w:p>
        <w:p w:rsidR="00FD554B" w:rsidRDefault="00076049">
          <w:pPr>
            <w:pStyle w:val="TOC1"/>
            <w:rPr>
              <w:noProof/>
              <w:lang w:eastAsia="en-AU"/>
            </w:rPr>
          </w:pPr>
          <w:hyperlink w:anchor="_Toc162017848" w:history="1">
            <w:r w:rsidR="00FD554B" w:rsidRPr="0094740E">
              <w:rPr>
                <w:rStyle w:val="Hyperlink"/>
                <w:noProof/>
              </w:rPr>
              <w:t>Appendix 2: Costing the regulatory burden of changes to midwifery services</w:t>
            </w:r>
            <w:r w:rsidR="00FD554B">
              <w:rPr>
                <w:noProof/>
                <w:webHidden/>
              </w:rPr>
              <w:tab/>
            </w:r>
            <w:r w:rsidR="00FD554B">
              <w:rPr>
                <w:noProof/>
                <w:webHidden/>
              </w:rPr>
              <w:fldChar w:fldCharType="begin"/>
            </w:r>
            <w:r w:rsidR="00FD554B">
              <w:rPr>
                <w:noProof/>
                <w:webHidden/>
              </w:rPr>
              <w:instrText xml:space="preserve"> PAGEREF _Toc162017848 \h </w:instrText>
            </w:r>
            <w:r w:rsidR="00FD554B">
              <w:rPr>
                <w:noProof/>
                <w:webHidden/>
              </w:rPr>
            </w:r>
            <w:r w:rsidR="00FD554B">
              <w:rPr>
                <w:noProof/>
                <w:webHidden/>
              </w:rPr>
              <w:fldChar w:fldCharType="separate"/>
            </w:r>
            <w:r w:rsidR="00134E75">
              <w:rPr>
                <w:noProof/>
                <w:webHidden/>
              </w:rPr>
              <w:t>56</w:t>
            </w:r>
            <w:r w:rsidR="00FD554B">
              <w:rPr>
                <w:noProof/>
                <w:webHidden/>
              </w:rPr>
              <w:fldChar w:fldCharType="end"/>
            </w:r>
          </w:hyperlink>
        </w:p>
        <w:p w:rsidR="00FD554B" w:rsidRDefault="00076049">
          <w:pPr>
            <w:pStyle w:val="TOC1"/>
            <w:rPr>
              <w:noProof/>
              <w:lang w:eastAsia="en-AU"/>
            </w:rPr>
          </w:pPr>
          <w:hyperlink w:anchor="_Toc162017849" w:history="1">
            <w:r w:rsidR="00FD554B" w:rsidRPr="0094740E">
              <w:rPr>
                <w:rStyle w:val="Hyperlink"/>
                <w:noProof/>
              </w:rPr>
              <w:t>Appendix 3: Impact on stakeholders</w:t>
            </w:r>
            <w:r w:rsidR="00FD554B">
              <w:rPr>
                <w:noProof/>
                <w:webHidden/>
              </w:rPr>
              <w:tab/>
            </w:r>
            <w:r w:rsidR="00FD554B">
              <w:rPr>
                <w:noProof/>
                <w:webHidden/>
              </w:rPr>
              <w:fldChar w:fldCharType="begin"/>
            </w:r>
            <w:r w:rsidR="00FD554B">
              <w:rPr>
                <w:noProof/>
                <w:webHidden/>
              </w:rPr>
              <w:instrText xml:space="preserve"> PAGEREF _Toc162017849 \h </w:instrText>
            </w:r>
            <w:r w:rsidR="00FD554B">
              <w:rPr>
                <w:noProof/>
                <w:webHidden/>
              </w:rPr>
            </w:r>
            <w:r w:rsidR="00FD554B">
              <w:rPr>
                <w:noProof/>
                <w:webHidden/>
              </w:rPr>
              <w:fldChar w:fldCharType="separate"/>
            </w:r>
            <w:r w:rsidR="00134E75">
              <w:rPr>
                <w:noProof/>
                <w:webHidden/>
              </w:rPr>
              <w:t>65</w:t>
            </w:r>
            <w:r w:rsidR="00FD554B">
              <w:rPr>
                <w:noProof/>
                <w:webHidden/>
              </w:rPr>
              <w:fldChar w:fldCharType="end"/>
            </w:r>
          </w:hyperlink>
        </w:p>
        <w:p w:rsidR="005C7705" w:rsidRDefault="005C7705">
          <w:pPr>
            <w:rPr>
              <w:b/>
              <w:bCs/>
              <w:noProof/>
            </w:rPr>
          </w:pPr>
          <w:r>
            <w:rPr>
              <w:b/>
              <w:bCs/>
              <w:noProof/>
            </w:rPr>
            <w:fldChar w:fldCharType="end"/>
          </w:r>
        </w:p>
      </w:sdtContent>
    </w:sdt>
    <w:p w:rsidR="00483C24" w:rsidRDefault="000E478C">
      <w:pPr>
        <w:rPr>
          <w:rFonts w:cstheme="minorHAnsi"/>
          <w:color w:val="009999"/>
          <w:sz w:val="32"/>
          <w:szCs w:val="32"/>
        </w:rPr>
      </w:pPr>
      <w:r>
        <w:rPr>
          <w:rFonts w:cstheme="minorHAnsi"/>
          <w:color w:val="009999"/>
          <w:sz w:val="32"/>
          <w:szCs w:val="32"/>
        </w:rPr>
        <w:br w:type="page"/>
      </w:r>
    </w:p>
    <w:p w:rsidR="006651BA" w:rsidRPr="005C7705" w:rsidRDefault="006651BA">
      <w:pPr>
        <w:sectPr w:rsidR="006651BA" w:rsidRPr="005C7705" w:rsidSect="005C7705">
          <w:footerReference w:type="default" r:id="rId15"/>
          <w:footerReference w:type="first" r:id="rId16"/>
          <w:pgSz w:w="9980" w:h="14180"/>
          <w:pgMar w:top="709" w:right="908" w:bottom="960" w:left="460" w:header="0" w:footer="767" w:gutter="0"/>
          <w:pgBorders w:offsetFrom="page">
            <w:top w:val="single" w:sz="4" w:space="24" w:color="auto"/>
            <w:left w:val="single" w:sz="4" w:space="24" w:color="auto"/>
            <w:bottom w:val="single" w:sz="4" w:space="24" w:color="auto"/>
            <w:right w:val="single" w:sz="4" w:space="24" w:color="auto"/>
          </w:pgBorders>
          <w:pgNumType w:start="41"/>
          <w:cols w:space="720"/>
          <w:docGrid w:linePitch="326"/>
        </w:sectPr>
      </w:pPr>
    </w:p>
    <w:p w:rsidR="00E135EA" w:rsidRPr="00522663" w:rsidRDefault="00E135EA" w:rsidP="0058344C">
      <w:pPr>
        <w:pStyle w:val="Heading1"/>
      </w:pPr>
      <w:bookmarkStart w:id="19" w:name="_Toc162017770"/>
      <w:r w:rsidRPr="00522663">
        <w:lastRenderedPageBreak/>
        <w:t>Executive Summary</w:t>
      </w:r>
      <w:bookmarkEnd w:id="19"/>
    </w:p>
    <w:p w:rsidR="00264743" w:rsidRDefault="00E135EA" w:rsidP="00541655">
      <w:pPr>
        <w:tabs>
          <w:tab w:val="left" w:pos="2127"/>
        </w:tabs>
        <w:ind w:left="567"/>
        <w:rPr>
          <w:rFonts w:cstheme="minorHAnsi"/>
          <w:sz w:val="24"/>
          <w:szCs w:val="24"/>
        </w:rPr>
      </w:pPr>
      <w:r w:rsidRPr="00483C24">
        <w:rPr>
          <w:rFonts w:cstheme="minorHAnsi"/>
          <w:sz w:val="24"/>
          <w:szCs w:val="24"/>
        </w:rPr>
        <w:t xml:space="preserve">This Impact Analysis (IA) sets out the reform options </w:t>
      </w:r>
      <w:r w:rsidR="0085489C" w:rsidRPr="00483C24">
        <w:rPr>
          <w:rFonts w:cstheme="minorHAnsi"/>
          <w:sz w:val="24"/>
          <w:szCs w:val="24"/>
        </w:rPr>
        <w:t xml:space="preserve">for </w:t>
      </w:r>
      <w:r w:rsidR="003216A1">
        <w:rPr>
          <w:rFonts w:cstheme="minorHAnsi"/>
          <w:sz w:val="24"/>
          <w:szCs w:val="24"/>
        </w:rPr>
        <w:t>privately practising midwives (PPMs) to deliver</w:t>
      </w:r>
      <w:r w:rsidR="00264743">
        <w:rPr>
          <w:rFonts w:cstheme="minorHAnsi"/>
          <w:sz w:val="24"/>
          <w:szCs w:val="24"/>
        </w:rPr>
        <w:t>:</w:t>
      </w:r>
    </w:p>
    <w:p w:rsidR="00264743" w:rsidRDefault="003216A1" w:rsidP="00A622D8">
      <w:pPr>
        <w:pStyle w:val="ListParagraph"/>
        <w:numPr>
          <w:ilvl w:val="0"/>
          <w:numId w:val="10"/>
        </w:numPr>
        <w:tabs>
          <w:tab w:val="left" w:pos="2127"/>
        </w:tabs>
        <w:rPr>
          <w:rFonts w:cstheme="minorHAnsi"/>
          <w:sz w:val="24"/>
          <w:szCs w:val="24"/>
        </w:rPr>
      </w:pPr>
      <w:r w:rsidRPr="00264743">
        <w:rPr>
          <w:rFonts w:cstheme="minorHAnsi"/>
          <w:sz w:val="24"/>
          <w:szCs w:val="24"/>
        </w:rPr>
        <w:t>low risk</w:t>
      </w:r>
      <w:r w:rsidR="00264743">
        <w:rPr>
          <w:rFonts w:cstheme="minorHAnsi"/>
          <w:sz w:val="24"/>
          <w:szCs w:val="24"/>
        </w:rPr>
        <w:t xml:space="preserve"> home births</w:t>
      </w:r>
      <w:r w:rsidR="00E54E79">
        <w:rPr>
          <w:rFonts w:cstheme="minorHAnsi"/>
          <w:sz w:val="24"/>
          <w:szCs w:val="24"/>
        </w:rPr>
        <w:t>, and</w:t>
      </w:r>
    </w:p>
    <w:p w:rsidR="003216A1" w:rsidRPr="00264743" w:rsidRDefault="00784176" w:rsidP="00A622D8">
      <w:pPr>
        <w:pStyle w:val="ListParagraph"/>
        <w:numPr>
          <w:ilvl w:val="0"/>
          <w:numId w:val="10"/>
        </w:numPr>
        <w:tabs>
          <w:tab w:val="left" w:pos="2127"/>
        </w:tabs>
        <w:rPr>
          <w:rFonts w:cstheme="minorHAnsi"/>
          <w:sz w:val="24"/>
          <w:szCs w:val="24"/>
        </w:rPr>
      </w:pPr>
      <w:r w:rsidRPr="00264743">
        <w:rPr>
          <w:rFonts w:cstheme="minorHAnsi"/>
          <w:sz w:val="24"/>
          <w:szCs w:val="24"/>
        </w:rPr>
        <w:t xml:space="preserve">intrapartum </w:t>
      </w:r>
      <w:r w:rsidR="00264743" w:rsidRPr="00264743">
        <w:rPr>
          <w:rFonts w:cstheme="minorHAnsi"/>
          <w:sz w:val="24"/>
          <w:szCs w:val="24"/>
        </w:rPr>
        <w:t xml:space="preserve">(labour) </w:t>
      </w:r>
      <w:r w:rsidRPr="00264743">
        <w:rPr>
          <w:rFonts w:cstheme="minorHAnsi"/>
          <w:sz w:val="24"/>
          <w:szCs w:val="24"/>
        </w:rPr>
        <w:t>care services</w:t>
      </w:r>
      <w:r w:rsidR="003216A1" w:rsidRPr="00264743">
        <w:rPr>
          <w:rFonts w:cstheme="minorHAnsi"/>
          <w:sz w:val="24"/>
          <w:szCs w:val="24"/>
        </w:rPr>
        <w:t xml:space="preserve"> outside a hospital setting</w:t>
      </w:r>
      <w:r w:rsidR="00264743" w:rsidRPr="00264743">
        <w:rPr>
          <w:rFonts w:cstheme="minorHAnsi"/>
          <w:sz w:val="24"/>
          <w:szCs w:val="24"/>
        </w:rPr>
        <w:t xml:space="preserve"> prior to a planned hospital birth</w:t>
      </w:r>
      <w:r w:rsidR="003216A1" w:rsidRPr="00264743">
        <w:rPr>
          <w:rFonts w:cstheme="minorHAnsi"/>
          <w:sz w:val="24"/>
          <w:szCs w:val="24"/>
        </w:rPr>
        <w:t>.</w:t>
      </w:r>
    </w:p>
    <w:p w:rsidR="001649B2" w:rsidRPr="00483C24" w:rsidRDefault="00333CE8" w:rsidP="00541655">
      <w:pPr>
        <w:tabs>
          <w:tab w:val="left" w:pos="2127"/>
        </w:tabs>
        <w:ind w:left="567"/>
        <w:rPr>
          <w:rFonts w:cstheme="minorHAnsi"/>
          <w:color w:val="000000" w:themeColor="text1"/>
          <w:sz w:val="24"/>
          <w:szCs w:val="24"/>
        </w:rPr>
      </w:pPr>
      <w:r w:rsidRPr="00483C24">
        <w:rPr>
          <w:rFonts w:cstheme="minorHAnsi"/>
          <w:sz w:val="24"/>
          <w:szCs w:val="24"/>
        </w:rPr>
        <w:t>Th</w:t>
      </w:r>
      <w:r w:rsidR="0070745D">
        <w:rPr>
          <w:rFonts w:cstheme="minorHAnsi"/>
          <w:sz w:val="24"/>
          <w:szCs w:val="24"/>
        </w:rPr>
        <w:t xml:space="preserve">e preferred option </w:t>
      </w:r>
      <w:r w:rsidRPr="00483C24">
        <w:rPr>
          <w:rFonts w:cstheme="minorHAnsi"/>
          <w:sz w:val="24"/>
          <w:szCs w:val="24"/>
        </w:rPr>
        <w:t>would extend</w:t>
      </w:r>
      <w:r w:rsidR="0085489C" w:rsidRPr="00483C24">
        <w:rPr>
          <w:rFonts w:cstheme="minorHAnsi"/>
          <w:sz w:val="24"/>
          <w:szCs w:val="24"/>
        </w:rPr>
        <w:t xml:space="preserve"> the </w:t>
      </w:r>
      <w:r w:rsidRPr="00483C24">
        <w:rPr>
          <w:rFonts w:cstheme="minorHAnsi"/>
          <w:sz w:val="24"/>
          <w:szCs w:val="24"/>
        </w:rPr>
        <w:t xml:space="preserve">Commonwealth’s </w:t>
      </w:r>
      <w:r w:rsidR="0085489C" w:rsidRPr="00483C24">
        <w:rPr>
          <w:rFonts w:cstheme="minorHAnsi"/>
          <w:color w:val="000000" w:themeColor="text1"/>
          <w:sz w:val="24"/>
          <w:szCs w:val="24"/>
        </w:rPr>
        <w:t>Midwife Professional Indemnity Scheme (MPIS) and Midwife Professional Run-off Cover Scheme (MPI</w:t>
      </w:r>
      <w:r w:rsidR="00534D8B" w:rsidRPr="00483C24">
        <w:rPr>
          <w:rFonts w:cstheme="minorHAnsi"/>
          <w:color w:val="000000" w:themeColor="text1"/>
          <w:sz w:val="24"/>
          <w:szCs w:val="24"/>
        </w:rPr>
        <w:t>S</w:t>
      </w:r>
      <w:r w:rsidR="0085489C" w:rsidRPr="00483C24">
        <w:rPr>
          <w:rFonts w:cstheme="minorHAnsi"/>
          <w:color w:val="000000" w:themeColor="text1"/>
          <w:sz w:val="24"/>
          <w:szCs w:val="24"/>
        </w:rPr>
        <w:t>ROCS</w:t>
      </w:r>
      <w:r w:rsidR="00B340B4" w:rsidRPr="00483C24">
        <w:rPr>
          <w:rFonts w:cstheme="minorHAnsi"/>
          <w:color w:val="000000" w:themeColor="text1"/>
          <w:sz w:val="24"/>
          <w:szCs w:val="24"/>
        </w:rPr>
        <w:t>) (</w:t>
      </w:r>
      <w:r w:rsidR="001F1023" w:rsidRPr="00483C24">
        <w:rPr>
          <w:rFonts w:cstheme="minorHAnsi"/>
          <w:color w:val="000000" w:themeColor="text1"/>
          <w:sz w:val="24"/>
          <w:szCs w:val="24"/>
        </w:rPr>
        <w:t>the Midwife Schemes)</w:t>
      </w:r>
      <w:r w:rsidR="0085489C" w:rsidRPr="00483C24">
        <w:rPr>
          <w:rFonts w:cstheme="minorHAnsi"/>
          <w:color w:val="000000" w:themeColor="text1"/>
          <w:sz w:val="24"/>
          <w:szCs w:val="24"/>
        </w:rPr>
        <w:t xml:space="preserve"> </w:t>
      </w:r>
      <w:r w:rsidR="00752FD1" w:rsidRPr="00483C24">
        <w:rPr>
          <w:rFonts w:cstheme="minorHAnsi"/>
          <w:sz w:val="24"/>
          <w:szCs w:val="24"/>
        </w:rPr>
        <w:t xml:space="preserve">to </w:t>
      </w:r>
      <w:r w:rsidR="001F1023" w:rsidRPr="00483C24">
        <w:rPr>
          <w:rFonts w:cstheme="minorHAnsi"/>
          <w:sz w:val="24"/>
          <w:szCs w:val="24"/>
        </w:rPr>
        <w:t>cover</w:t>
      </w:r>
      <w:r w:rsidR="00752FD1" w:rsidRPr="00483C24">
        <w:rPr>
          <w:rFonts w:cstheme="minorHAnsi"/>
          <w:sz w:val="24"/>
          <w:szCs w:val="24"/>
        </w:rPr>
        <w:t xml:space="preserve"> </w:t>
      </w:r>
      <w:r w:rsidR="00264743">
        <w:rPr>
          <w:rFonts w:cstheme="minorHAnsi"/>
          <w:sz w:val="24"/>
          <w:szCs w:val="24"/>
        </w:rPr>
        <w:t>these products.</w:t>
      </w:r>
    </w:p>
    <w:p w:rsidR="00541655" w:rsidRDefault="00FD4218" w:rsidP="00C72F31">
      <w:pPr>
        <w:pStyle w:val="ListParagraph"/>
        <w:numPr>
          <w:ilvl w:val="0"/>
          <w:numId w:val="3"/>
        </w:numPr>
        <w:tabs>
          <w:tab w:val="left" w:pos="2127"/>
        </w:tabs>
        <w:ind w:hanging="357"/>
        <w:contextualSpacing w:val="0"/>
        <w:rPr>
          <w:rFonts w:cstheme="minorHAnsi"/>
          <w:sz w:val="24"/>
          <w:szCs w:val="24"/>
          <w:lang w:eastAsia="en-AU"/>
        </w:rPr>
      </w:pPr>
      <w:r w:rsidRPr="00483C24">
        <w:rPr>
          <w:rFonts w:cstheme="minorHAnsi"/>
          <w:sz w:val="24"/>
          <w:szCs w:val="24"/>
        </w:rPr>
        <w:t xml:space="preserve">The MPIS provides professional indemnity insurance </w:t>
      </w:r>
      <w:r w:rsidR="00264743">
        <w:rPr>
          <w:rFonts w:cstheme="minorHAnsi"/>
          <w:sz w:val="24"/>
          <w:szCs w:val="24"/>
        </w:rPr>
        <w:t xml:space="preserve">(PII) </w:t>
      </w:r>
      <w:r w:rsidRPr="00483C24">
        <w:rPr>
          <w:rFonts w:cstheme="minorHAnsi"/>
          <w:sz w:val="24"/>
          <w:szCs w:val="24"/>
        </w:rPr>
        <w:t xml:space="preserve">to Endorsed Midwives (midwives who have been endorsed by the Nursing and Midwifery Board of Australia (NMBA) to prescribe scheduled medicines). </w:t>
      </w:r>
      <w:r w:rsidR="00263C30" w:rsidRPr="00483C24">
        <w:rPr>
          <w:rFonts w:cstheme="minorHAnsi"/>
          <w:sz w:val="24"/>
          <w:szCs w:val="24"/>
          <w:lang w:eastAsia="en-AU"/>
        </w:rPr>
        <w:t>It provides them with the financial assistance for eligible claims arising from their professional negligence.</w:t>
      </w:r>
      <w:r w:rsidR="001F1023" w:rsidRPr="00483C24">
        <w:rPr>
          <w:rFonts w:cstheme="minorHAnsi"/>
          <w:sz w:val="24"/>
          <w:szCs w:val="24"/>
          <w:lang w:eastAsia="en-AU"/>
        </w:rPr>
        <w:t xml:space="preserve"> </w:t>
      </w:r>
      <w:r w:rsidR="00522663" w:rsidRPr="00483C24">
        <w:rPr>
          <w:rFonts w:cstheme="minorHAnsi"/>
          <w:sz w:val="24"/>
          <w:szCs w:val="24"/>
          <w:lang w:eastAsia="en-AU"/>
        </w:rPr>
        <w:t>T</w:t>
      </w:r>
      <w:r w:rsidR="00263C30" w:rsidRPr="00483C24">
        <w:rPr>
          <w:rFonts w:cstheme="minorHAnsi"/>
          <w:sz w:val="24"/>
          <w:szCs w:val="24"/>
          <w:lang w:eastAsia="en-AU"/>
        </w:rPr>
        <w:t xml:space="preserve">he Australian Government </w:t>
      </w:r>
      <w:r w:rsidR="00241FED" w:rsidRPr="00241FED">
        <w:rPr>
          <w:rFonts w:cstheme="minorHAnsi"/>
          <w:sz w:val="24"/>
          <w:szCs w:val="24"/>
        </w:rPr>
        <w:t>supports the professional indemnity insurance market by subsidising the costs of claims over certain thresholds to facilitate provision of cover. The</w:t>
      </w:r>
      <w:r w:rsidR="00861F4B">
        <w:rPr>
          <w:rFonts w:cstheme="minorHAnsi"/>
          <w:sz w:val="24"/>
          <w:szCs w:val="24"/>
        </w:rPr>
        <w:t xml:space="preserve"> current insurer </w:t>
      </w:r>
      <w:r w:rsidR="00241FED" w:rsidRPr="00241FED">
        <w:rPr>
          <w:rFonts w:cstheme="minorHAnsi"/>
          <w:sz w:val="24"/>
          <w:szCs w:val="24"/>
        </w:rPr>
        <w:t>is responsible for covering 100% of the cost of the claim up to $100,000. For claims that exceed $100,000 up to $2 million the insurer will cover 20% of any portion of the cost and Government 80%, and for claims over $2 million the insurer will bear no additional costs, with any amounts beyond these thresholds being 100% covered by the Commonwealth</w:t>
      </w:r>
    </w:p>
    <w:p w:rsidR="00541655" w:rsidRPr="00483C24" w:rsidRDefault="00C702F8" w:rsidP="00C72F31">
      <w:pPr>
        <w:pStyle w:val="ListParagraph"/>
        <w:numPr>
          <w:ilvl w:val="0"/>
          <w:numId w:val="3"/>
        </w:numPr>
        <w:tabs>
          <w:tab w:val="left" w:pos="2127"/>
        </w:tabs>
        <w:ind w:hanging="357"/>
        <w:contextualSpacing w:val="0"/>
        <w:rPr>
          <w:rFonts w:cstheme="minorHAnsi"/>
          <w:sz w:val="24"/>
          <w:szCs w:val="24"/>
          <w:lang w:eastAsia="en-AU"/>
        </w:rPr>
      </w:pPr>
      <w:r>
        <w:rPr>
          <w:rFonts w:cstheme="minorHAnsi"/>
          <w:sz w:val="24"/>
          <w:szCs w:val="24"/>
          <w:lang w:eastAsia="en-AU"/>
        </w:rPr>
        <w:t>The MPIS</w:t>
      </w:r>
      <w:r w:rsidR="00541655" w:rsidRPr="00483C24">
        <w:rPr>
          <w:rFonts w:cstheme="minorHAnsi"/>
          <w:sz w:val="24"/>
          <w:szCs w:val="24"/>
          <w:lang w:eastAsia="en-AU"/>
        </w:rPr>
        <w:t>ROCS provides secure ongoing insurance for eligible midwives who have ceased private practice because of retirement, disability, maternity leave, death or other reason, with 100% of costs covered by the Commonwealth (funded via a levy on premium income).</w:t>
      </w:r>
    </w:p>
    <w:p w:rsidR="00534D8B" w:rsidRDefault="00541655" w:rsidP="001C54B8">
      <w:pPr>
        <w:tabs>
          <w:tab w:val="left" w:pos="2127"/>
        </w:tabs>
        <w:ind w:left="567"/>
        <w:rPr>
          <w:rFonts w:cstheme="minorHAnsi"/>
          <w:sz w:val="24"/>
          <w:szCs w:val="24"/>
        </w:rPr>
      </w:pPr>
      <w:r w:rsidRPr="00483C24">
        <w:rPr>
          <w:rFonts w:cstheme="minorHAnsi"/>
          <w:sz w:val="24"/>
          <w:szCs w:val="24"/>
          <w:lang w:eastAsia="en-AU"/>
        </w:rPr>
        <w:t>This IA</w:t>
      </w:r>
      <w:r w:rsidR="00534D8B" w:rsidRPr="00483C24">
        <w:rPr>
          <w:rFonts w:cstheme="minorHAnsi"/>
          <w:sz w:val="24"/>
          <w:szCs w:val="24"/>
          <w:lang w:eastAsia="en-AU"/>
        </w:rPr>
        <w:t xml:space="preserve"> has been developed by the Department of Health and Aged Care </w:t>
      </w:r>
      <w:r w:rsidR="006D7718">
        <w:rPr>
          <w:rFonts w:cstheme="minorHAnsi"/>
          <w:sz w:val="24"/>
          <w:szCs w:val="24"/>
          <w:lang w:eastAsia="en-AU"/>
        </w:rPr>
        <w:t xml:space="preserve">(Department) </w:t>
      </w:r>
      <w:r w:rsidR="00534D8B" w:rsidRPr="00483C24">
        <w:rPr>
          <w:rFonts w:cstheme="minorHAnsi"/>
          <w:sz w:val="24"/>
          <w:szCs w:val="24"/>
        </w:rPr>
        <w:t xml:space="preserve">in accordance with </w:t>
      </w:r>
      <w:r w:rsidR="00534D8B" w:rsidRPr="00483C24">
        <w:rPr>
          <w:rFonts w:cstheme="minorHAnsi"/>
          <w:i/>
          <w:sz w:val="24"/>
          <w:szCs w:val="24"/>
        </w:rPr>
        <w:t>The Australian Government Guide to Policy Impact Analysis</w:t>
      </w:r>
      <w:r w:rsidR="00534D8B" w:rsidRPr="00483C24">
        <w:rPr>
          <w:rFonts w:cstheme="minorHAnsi"/>
          <w:sz w:val="24"/>
          <w:szCs w:val="24"/>
        </w:rPr>
        <w:t xml:space="preserve"> and in consultation with the Office of </w:t>
      </w:r>
      <w:r w:rsidRPr="00483C24">
        <w:rPr>
          <w:rFonts w:cstheme="minorHAnsi"/>
          <w:sz w:val="24"/>
          <w:szCs w:val="24"/>
        </w:rPr>
        <w:t>Impact Analysis</w:t>
      </w:r>
      <w:r w:rsidR="00C702F8">
        <w:rPr>
          <w:rFonts w:cstheme="minorHAnsi"/>
          <w:sz w:val="24"/>
          <w:szCs w:val="24"/>
        </w:rPr>
        <w:t>. The</w:t>
      </w:r>
      <w:r w:rsidR="00534D8B" w:rsidRPr="00483C24">
        <w:rPr>
          <w:rFonts w:cstheme="minorHAnsi"/>
          <w:sz w:val="24"/>
          <w:szCs w:val="24"/>
        </w:rPr>
        <w:t xml:space="preserve"> IA will be used to inform government to make a decision on reforming Australia's midwifery indemnity laws.</w:t>
      </w:r>
    </w:p>
    <w:p w:rsidR="0094302E" w:rsidRDefault="0094302E">
      <w:pPr>
        <w:rPr>
          <w:rFonts w:cstheme="minorHAnsi"/>
          <w:sz w:val="24"/>
          <w:szCs w:val="24"/>
        </w:rPr>
      </w:pPr>
      <w:r>
        <w:rPr>
          <w:rFonts w:cstheme="minorHAnsi"/>
          <w:sz w:val="24"/>
          <w:szCs w:val="24"/>
        </w:rPr>
        <w:br w:type="page"/>
      </w:r>
    </w:p>
    <w:p w:rsidR="00534D8B" w:rsidRPr="00483C24" w:rsidRDefault="00534D8B" w:rsidP="001C54B8">
      <w:pPr>
        <w:tabs>
          <w:tab w:val="left" w:pos="2127"/>
        </w:tabs>
        <w:ind w:left="567"/>
        <w:rPr>
          <w:rFonts w:cstheme="minorHAnsi"/>
          <w:sz w:val="24"/>
          <w:szCs w:val="24"/>
        </w:rPr>
      </w:pPr>
      <w:r w:rsidRPr="00483C24">
        <w:rPr>
          <w:rFonts w:cstheme="minorHAnsi"/>
          <w:sz w:val="24"/>
          <w:szCs w:val="24"/>
        </w:rPr>
        <w:t xml:space="preserve">This document covers the seven standard </w:t>
      </w:r>
      <w:r w:rsidR="00541655" w:rsidRPr="00483C24">
        <w:rPr>
          <w:rFonts w:cstheme="minorHAnsi"/>
          <w:sz w:val="24"/>
          <w:szCs w:val="24"/>
        </w:rPr>
        <w:t xml:space="preserve">IA </w:t>
      </w:r>
      <w:r w:rsidRPr="00483C24">
        <w:rPr>
          <w:rFonts w:cstheme="minorHAnsi"/>
          <w:sz w:val="24"/>
          <w:szCs w:val="24"/>
        </w:rPr>
        <w:t>questions:</w:t>
      </w:r>
    </w:p>
    <w:p w:rsidR="00534D8B" w:rsidRPr="00483C24" w:rsidRDefault="00534D8B" w:rsidP="00C72F31">
      <w:pPr>
        <w:pStyle w:val="numbering"/>
        <w:numPr>
          <w:ilvl w:val="0"/>
          <w:numId w:val="4"/>
        </w:numPr>
        <w:tabs>
          <w:tab w:val="left" w:pos="2127"/>
        </w:tabs>
        <w:rPr>
          <w:sz w:val="24"/>
          <w:szCs w:val="24"/>
        </w:rPr>
      </w:pPr>
      <w:r w:rsidRPr="00483C24">
        <w:rPr>
          <w:sz w:val="24"/>
          <w:szCs w:val="24"/>
        </w:rPr>
        <w:t>What is the policy problem to be solved?</w:t>
      </w:r>
    </w:p>
    <w:p w:rsidR="00534D8B" w:rsidRPr="00483C24" w:rsidRDefault="00534D8B" w:rsidP="00C72F31">
      <w:pPr>
        <w:pStyle w:val="numbering"/>
        <w:numPr>
          <w:ilvl w:val="0"/>
          <w:numId w:val="4"/>
        </w:numPr>
        <w:tabs>
          <w:tab w:val="left" w:pos="2127"/>
        </w:tabs>
        <w:rPr>
          <w:sz w:val="24"/>
          <w:szCs w:val="24"/>
        </w:rPr>
      </w:pPr>
      <w:r w:rsidRPr="00483C24">
        <w:rPr>
          <w:sz w:val="24"/>
          <w:szCs w:val="24"/>
        </w:rPr>
        <w:t>W</w:t>
      </w:r>
      <w:r w:rsidR="00A7238D" w:rsidRPr="00483C24">
        <w:rPr>
          <w:sz w:val="24"/>
          <w:szCs w:val="24"/>
        </w:rPr>
        <w:t>hat are the objectives, why is government intervention needed to achieve them, and how will success be measured?</w:t>
      </w:r>
    </w:p>
    <w:p w:rsidR="00534D8B" w:rsidRPr="00483C24" w:rsidRDefault="00534D8B" w:rsidP="00C72F31">
      <w:pPr>
        <w:pStyle w:val="numbering"/>
        <w:numPr>
          <w:ilvl w:val="0"/>
          <w:numId w:val="4"/>
        </w:numPr>
        <w:tabs>
          <w:tab w:val="left" w:pos="2127"/>
        </w:tabs>
        <w:rPr>
          <w:sz w:val="24"/>
          <w:szCs w:val="24"/>
        </w:rPr>
      </w:pPr>
      <w:r w:rsidRPr="00483C24">
        <w:rPr>
          <w:sz w:val="24"/>
          <w:szCs w:val="24"/>
        </w:rPr>
        <w:t>What policy options are being considered?</w:t>
      </w:r>
    </w:p>
    <w:p w:rsidR="00534D8B" w:rsidRPr="00483C24" w:rsidRDefault="00534D8B" w:rsidP="00C72F31">
      <w:pPr>
        <w:pStyle w:val="numbering"/>
        <w:numPr>
          <w:ilvl w:val="0"/>
          <w:numId w:val="4"/>
        </w:numPr>
        <w:tabs>
          <w:tab w:val="left" w:pos="2127"/>
        </w:tabs>
        <w:rPr>
          <w:sz w:val="24"/>
          <w:szCs w:val="24"/>
        </w:rPr>
      </w:pPr>
      <w:r w:rsidRPr="00483C24">
        <w:rPr>
          <w:sz w:val="24"/>
          <w:szCs w:val="24"/>
        </w:rPr>
        <w:t>What is the likely net benefit of each option?</w:t>
      </w:r>
    </w:p>
    <w:p w:rsidR="00534D8B" w:rsidRPr="00483C24" w:rsidRDefault="00534D8B" w:rsidP="00C72F31">
      <w:pPr>
        <w:pStyle w:val="numbering"/>
        <w:numPr>
          <w:ilvl w:val="0"/>
          <w:numId w:val="4"/>
        </w:numPr>
        <w:tabs>
          <w:tab w:val="left" w:pos="2127"/>
        </w:tabs>
        <w:rPr>
          <w:sz w:val="24"/>
          <w:szCs w:val="24"/>
        </w:rPr>
      </w:pPr>
      <w:r w:rsidRPr="00483C24">
        <w:rPr>
          <w:sz w:val="24"/>
          <w:szCs w:val="24"/>
        </w:rPr>
        <w:t>Who was consulted and was their feedback incorporated?</w:t>
      </w:r>
    </w:p>
    <w:p w:rsidR="00534D8B" w:rsidRPr="00483C24" w:rsidRDefault="00534D8B" w:rsidP="00C72F31">
      <w:pPr>
        <w:pStyle w:val="numbering"/>
        <w:numPr>
          <w:ilvl w:val="0"/>
          <w:numId w:val="4"/>
        </w:numPr>
        <w:tabs>
          <w:tab w:val="left" w:pos="2127"/>
        </w:tabs>
        <w:rPr>
          <w:sz w:val="24"/>
          <w:szCs w:val="24"/>
        </w:rPr>
      </w:pPr>
      <w:r w:rsidRPr="00483C24">
        <w:rPr>
          <w:sz w:val="24"/>
          <w:szCs w:val="24"/>
        </w:rPr>
        <w:t>What is the best option from those considered?</w:t>
      </w:r>
    </w:p>
    <w:p w:rsidR="00534D8B" w:rsidRPr="00483C24" w:rsidRDefault="00534D8B" w:rsidP="00CD6B34">
      <w:pPr>
        <w:pStyle w:val="numbering"/>
        <w:numPr>
          <w:ilvl w:val="0"/>
          <w:numId w:val="4"/>
        </w:numPr>
        <w:tabs>
          <w:tab w:val="left" w:pos="2127"/>
        </w:tabs>
        <w:ind w:left="1491" w:hanging="357"/>
        <w:rPr>
          <w:sz w:val="24"/>
          <w:szCs w:val="24"/>
        </w:rPr>
      </w:pPr>
      <w:r w:rsidRPr="00483C24">
        <w:rPr>
          <w:sz w:val="24"/>
          <w:szCs w:val="24"/>
        </w:rPr>
        <w:t>How will the chosen option be evaluated</w:t>
      </w:r>
      <w:r w:rsidR="00A7238D" w:rsidRPr="00483C24">
        <w:rPr>
          <w:sz w:val="24"/>
          <w:szCs w:val="24"/>
        </w:rPr>
        <w:t xml:space="preserve"> against success metrics</w:t>
      </w:r>
      <w:r w:rsidRPr="00483C24">
        <w:rPr>
          <w:sz w:val="24"/>
          <w:szCs w:val="24"/>
        </w:rPr>
        <w:t>?</w:t>
      </w:r>
    </w:p>
    <w:p w:rsidR="00086E06" w:rsidRDefault="005B55E9" w:rsidP="0058344C">
      <w:pPr>
        <w:pStyle w:val="Heading1"/>
      </w:pPr>
      <w:bookmarkStart w:id="20" w:name="_Toc162017771"/>
      <w:r>
        <w:rPr>
          <w:color w:val="1F4E79"/>
        </w:rPr>
        <w:t>1</w:t>
      </w:r>
      <w:r w:rsidR="00086E06">
        <w:rPr>
          <w:color w:val="1F4E79"/>
        </w:rPr>
        <w:t>.</w:t>
      </w:r>
      <w:r>
        <w:rPr>
          <w:color w:val="1F4E79"/>
        </w:rPr>
        <w:t xml:space="preserve"> </w:t>
      </w:r>
      <w:r w:rsidR="003428A8" w:rsidRPr="00ED6695">
        <w:rPr>
          <w:color w:val="1F4E79"/>
        </w:rPr>
        <w:t>What</w:t>
      </w:r>
      <w:r w:rsidR="003428A8" w:rsidRPr="00522663">
        <w:t xml:space="preserve"> is the policy problem to be solved</w:t>
      </w:r>
      <w:r w:rsidR="00422BF6" w:rsidRPr="00522663">
        <w:t>?</w:t>
      </w:r>
      <w:bookmarkEnd w:id="20"/>
    </w:p>
    <w:p w:rsidR="00086E06" w:rsidRDefault="00E53ACA" w:rsidP="0058344C">
      <w:pPr>
        <w:pStyle w:val="Heading2"/>
      </w:pPr>
      <w:bookmarkStart w:id="21" w:name="_Toc162017772"/>
      <w:r>
        <w:t>Overview</w:t>
      </w:r>
      <w:bookmarkEnd w:id="21"/>
    </w:p>
    <w:p w:rsidR="00086E06" w:rsidRPr="00C60D79" w:rsidRDefault="00086E06" w:rsidP="00C60D79">
      <w:pPr>
        <w:tabs>
          <w:tab w:val="left" w:pos="2127"/>
        </w:tabs>
        <w:ind w:left="567"/>
        <w:rPr>
          <w:rFonts w:cstheme="minorHAnsi"/>
          <w:color w:val="1F1F1F"/>
          <w:sz w:val="24"/>
          <w:szCs w:val="24"/>
        </w:rPr>
      </w:pPr>
      <w:r w:rsidRPr="00C60D79">
        <w:rPr>
          <w:rFonts w:cstheme="minorHAnsi"/>
          <w:color w:val="1F1F1F"/>
          <w:sz w:val="24"/>
          <w:szCs w:val="24"/>
        </w:rPr>
        <w:t>Australia is regarded as a safe country in which to have a baby and compares well on a number of accepted measures of safety and quality of care. However, as for all systems of health care and service delivery, there are areas for continued improvement. Across states and territories there are differences in women’s access to services, their choice of care and/or carers and the provision of culturally safe care that ensures women are always treated with respect and dignity.</w:t>
      </w:r>
    </w:p>
    <w:p w:rsidR="00086E06" w:rsidRPr="00C60D79" w:rsidRDefault="00086E06" w:rsidP="00C60D79">
      <w:pPr>
        <w:tabs>
          <w:tab w:val="left" w:pos="2127"/>
        </w:tabs>
        <w:ind w:left="567"/>
        <w:rPr>
          <w:rFonts w:cstheme="minorHAnsi"/>
          <w:color w:val="1F1F1F"/>
          <w:sz w:val="24"/>
          <w:szCs w:val="24"/>
        </w:rPr>
      </w:pPr>
      <w:r w:rsidRPr="00C60D79">
        <w:rPr>
          <w:rFonts w:cstheme="minorHAnsi"/>
          <w:color w:val="1F1F1F"/>
          <w:sz w:val="24"/>
          <w:szCs w:val="24"/>
        </w:rPr>
        <w:t>In line with Woman-centred care “Strategic directions for Australian maternity services” (WCC strategy), the Commonwealth is aiming to increase the availability of private midwifery care to the community while at the same time achieving the best outcome in the interest of public health and safety.</w:t>
      </w:r>
    </w:p>
    <w:p w:rsidR="00086E06" w:rsidRPr="00C60D79" w:rsidRDefault="00086E06" w:rsidP="00C60D79">
      <w:pPr>
        <w:tabs>
          <w:tab w:val="left" w:pos="2127"/>
        </w:tabs>
        <w:ind w:left="567"/>
        <w:rPr>
          <w:rFonts w:cstheme="minorHAnsi"/>
          <w:color w:val="1F1F1F"/>
          <w:sz w:val="24"/>
          <w:szCs w:val="24"/>
        </w:rPr>
      </w:pPr>
      <w:r w:rsidRPr="00C60D79">
        <w:rPr>
          <w:rFonts w:cstheme="minorHAnsi"/>
          <w:color w:val="1F1F1F"/>
          <w:sz w:val="24"/>
          <w:szCs w:val="24"/>
        </w:rPr>
        <w:t xml:space="preserve">The Midwife Schemes currently indemnify midwives for antenatal and postnatal care but not homebirth and intrapartum care outside hospital. </w:t>
      </w:r>
      <w:r w:rsidR="00006683" w:rsidRPr="00C60D79">
        <w:rPr>
          <w:rFonts w:cstheme="minorHAnsi"/>
          <w:color w:val="1F1F1F"/>
          <w:sz w:val="24"/>
          <w:szCs w:val="24"/>
        </w:rPr>
        <w:t xml:space="preserve">Section 284 of the Health Practitioner Regulation National Law (National Law) currently allows an exemption from PII for homebirths and intrapartum care outside hospitals due to the unavailability of suitable insurance products. </w:t>
      </w:r>
      <w:r w:rsidR="0099402E" w:rsidRPr="00824722">
        <w:rPr>
          <w:rFonts w:cstheme="minorHAnsi"/>
          <w:color w:val="1F1F1F"/>
          <w:sz w:val="24"/>
          <w:szCs w:val="24"/>
        </w:rPr>
        <w:t xml:space="preserve">The exemption was approved through Health Ministers via the Health Ministers Meeting (then COAG Health Council) in 2013, demonstrating recognition of the issue's impact on maternity services. </w:t>
      </w:r>
      <w:r w:rsidR="00006683" w:rsidRPr="00C60D79">
        <w:rPr>
          <w:rFonts w:cstheme="minorHAnsi"/>
          <w:color w:val="1F1F1F"/>
          <w:sz w:val="24"/>
          <w:szCs w:val="24"/>
        </w:rPr>
        <w:t xml:space="preserve">The exemption is currently proposed to end on 30 June 2025. </w:t>
      </w:r>
    </w:p>
    <w:p w:rsidR="00086E06" w:rsidRPr="00483C24" w:rsidRDefault="00006683" w:rsidP="00C60D79">
      <w:pPr>
        <w:tabs>
          <w:tab w:val="left" w:pos="2127"/>
        </w:tabs>
        <w:ind w:left="567"/>
        <w:rPr>
          <w:rFonts w:cstheme="minorHAnsi"/>
          <w:sz w:val="24"/>
          <w:szCs w:val="24"/>
          <w:lang w:eastAsia="en-AU"/>
        </w:rPr>
      </w:pPr>
      <w:r w:rsidRPr="00006683">
        <w:rPr>
          <w:rFonts w:cstheme="minorHAnsi"/>
          <w:color w:val="1F1F1F"/>
          <w:sz w:val="24"/>
          <w:szCs w:val="24"/>
        </w:rPr>
        <w:t xml:space="preserve">Jurisdictions have previously opposed making the current National Law insurance exemption permanent. </w:t>
      </w:r>
      <w:r w:rsidR="0099402E" w:rsidRPr="00483C24">
        <w:rPr>
          <w:rFonts w:cstheme="minorHAnsi"/>
          <w:sz w:val="24"/>
          <w:szCs w:val="24"/>
        </w:rPr>
        <w:t>All jurisdictions agreed on the importance of a national solution and supported the development of a PII product through the commercial insurance market.</w:t>
      </w:r>
      <w:r w:rsidR="0099402E">
        <w:rPr>
          <w:rFonts w:cstheme="minorHAnsi"/>
          <w:sz w:val="24"/>
          <w:szCs w:val="24"/>
        </w:rPr>
        <w:t xml:space="preserve"> </w:t>
      </w:r>
      <w:r w:rsidR="00086E06" w:rsidRPr="00006683">
        <w:rPr>
          <w:rFonts w:cstheme="minorHAnsi"/>
          <w:sz w:val="24"/>
          <w:szCs w:val="24"/>
        </w:rPr>
        <w:t>The</w:t>
      </w:r>
      <w:r w:rsidR="00086E06" w:rsidRPr="00483C24">
        <w:rPr>
          <w:rFonts w:cstheme="minorHAnsi"/>
          <w:sz w:val="24"/>
          <w:szCs w:val="24"/>
        </w:rPr>
        <w:t xml:space="preserve"> Commonwealth agreed to explore the possibility of expanding the MPIS to cover low risk homebirth as a solution to removing barriers for commercial insurers to </w:t>
      </w:r>
      <w:r w:rsidR="00086E06" w:rsidRPr="00483C24">
        <w:rPr>
          <w:rFonts w:cstheme="minorHAnsi"/>
          <w:sz w:val="24"/>
          <w:szCs w:val="24"/>
          <w:lang w:eastAsia="en-AU"/>
        </w:rPr>
        <w:t>offer a PII product for low-risk homebirths, contingent on the risk, liability and financial impacts being acceptable to insurers.</w:t>
      </w:r>
    </w:p>
    <w:p w:rsidR="00086E06" w:rsidRPr="00483C24" w:rsidRDefault="00086E06" w:rsidP="00C60D79">
      <w:pPr>
        <w:tabs>
          <w:tab w:val="left" w:pos="2127"/>
        </w:tabs>
        <w:ind w:left="567"/>
        <w:rPr>
          <w:rFonts w:cstheme="minorHAnsi"/>
          <w:sz w:val="24"/>
          <w:szCs w:val="24"/>
          <w:lang w:eastAsia="en-AU"/>
        </w:rPr>
      </w:pPr>
      <w:r w:rsidRPr="00483C24">
        <w:rPr>
          <w:rFonts w:cstheme="minorHAnsi"/>
          <w:sz w:val="24"/>
          <w:szCs w:val="24"/>
          <w:lang w:eastAsia="en-AU"/>
        </w:rPr>
        <w:t>The Commonwealth is aiming to make low-risk homebirths an eligible product under the MPIS. The timing is set to coincide with the expiry of the exemption (noting the exemption could be repealed if a low-risk homebirth product is in place by 1 July 2025, which is the intended implementation date for the new product).</w:t>
      </w:r>
    </w:p>
    <w:p w:rsidR="00086E06" w:rsidRPr="00483C24" w:rsidRDefault="00086E06" w:rsidP="00C60D79">
      <w:pPr>
        <w:tabs>
          <w:tab w:val="left" w:pos="2127"/>
        </w:tabs>
        <w:ind w:left="567"/>
        <w:rPr>
          <w:rFonts w:cstheme="minorHAnsi"/>
          <w:sz w:val="24"/>
          <w:szCs w:val="24"/>
          <w:lang w:eastAsia="en-AU"/>
        </w:rPr>
      </w:pPr>
      <w:r w:rsidRPr="00483C24">
        <w:rPr>
          <w:rFonts w:cstheme="minorHAnsi"/>
          <w:sz w:val="24"/>
          <w:szCs w:val="24"/>
          <w:lang w:eastAsia="en-AU"/>
        </w:rPr>
        <w:t xml:space="preserve">The low-risk definition of homebirth has been set by the Commonwealth in collaboration with jurisdictions and stakeholders. The definition has been based on public program definitions for which there have been no claims since the inception of public programs in any state/territory under their insurances. </w:t>
      </w:r>
    </w:p>
    <w:p w:rsidR="00086E06" w:rsidRPr="0058344C" w:rsidRDefault="00086E06" w:rsidP="0058344C">
      <w:pPr>
        <w:tabs>
          <w:tab w:val="left" w:pos="2127"/>
        </w:tabs>
        <w:spacing w:after="0"/>
        <w:rPr>
          <w:rFonts w:cstheme="minorHAnsi"/>
          <w:sz w:val="24"/>
          <w:szCs w:val="24"/>
        </w:rPr>
      </w:pPr>
      <w:r w:rsidRPr="0058344C">
        <w:rPr>
          <w:rFonts w:cstheme="minorHAnsi"/>
          <w:sz w:val="24"/>
          <w:szCs w:val="24"/>
        </w:rPr>
        <w:t xml:space="preserve">A low risk birth is defined as: </w:t>
      </w:r>
    </w:p>
    <w:p w:rsidR="00086E06" w:rsidRPr="00816F23" w:rsidRDefault="00086E06" w:rsidP="00A622D8">
      <w:pPr>
        <w:pStyle w:val="ListParagraph"/>
        <w:numPr>
          <w:ilvl w:val="0"/>
          <w:numId w:val="24"/>
        </w:numPr>
        <w:tabs>
          <w:tab w:val="left" w:pos="2127"/>
        </w:tabs>
        <w:spacing w:after="0"/>
        <w:rPr>
          <w:rFonts w:cstheme="minorHAnsi"/>
          <w:sz w:val="24"/>
          <w:szCs w:val="24"/>
        </w:rPr>
      </w:pPr>
      <w:r>
        <w:rPr>
          <w:rFonts w:cstheme="minorHAnsi"/>
          <w:sz w:val="24"/>
          <w:szCs w:val="24"/>
        </w:rPr>
        <w:t>single birth</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cephal</w:t>
      </w:r>
      <w:r>
        <w:rPr>
          <w:rFonts w:cstheme="minorHAnsi"/>
          <w:sz w:val="24"/>
          <w:szCs w:val="24"/>
        </w:rPr>
        <w:t>ic presentation (head is down)</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labour is for a ter</w:t>
      </w:r>
      <w:r>
        <w:rPr>
          <w:rFonts w:cstheme="minorHAnsi"/>
          <w:sz w:val="24"/>
          <w:szCs w:val="24"/>
        </w:rPr>
        <w:t>m pregnancy between 37-42 weeks</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 xml:space="preserve">the home is within a catchment area or is within a 30 minute </w:t>
      </w:r>
      <w:r>
        <w:rPr>
          <w:rFonts w:cstheme="minorHAnsi"/>
          <w:sz w:val="24"/>
          <w:szCs w:val="24"/>
        </w:rPr>
        <w:t>drive to an obstetric hospital;</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where the mother has Category B conditions listed in the Australian College of Midwives (ACM) National Midwifery Guidelines for Consultation and Referral (ACM Guidelines), there must be evidence the midwife has consulted with a qualified health care provider with the knowledge and skills to mak</w:t>
      </w:r>
      <w:r>
        <w:rPr>
          <w:rFonts w:cstheme="minorHAnsi"/>
          <w:sz w:val="24"/>
          <w:szCs w:val="24"/>
        </w:rPr>
        <w:t>e decisions about women’s care</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mother is free from all Level C condition</w:t>
      </w:r>
      <w:r>
        <w:rPr>
          <w:rFonts w:cstheme="minorHAnsi"/>
          <w:sz w:val="24"/>
          <w:szCs w:val="24"/>
        </w:rPr>
        <w:t xml:space="preserve">s listed in the </w:t>
      </w:r>
      <w:r w:rsidR="004720AD">
        <w:rPr>
          <w:rFonts w:cstheme="minorHAnsi"/>
          <w:sz w:val="24"/>
          <w:szCs w:val="24"/>
        </w:rPr>
        <w:t xml:space="preserve">ACM </w:t>
      </w:r>
      <w:r>
        <w:rPr>
          <w:rFonts w:cstheme="minorHAnsi"/>
          <w:sz w:val="24"/>
          <w:szCs w:val="24"/>
        </w:rPr>
        <w:t>Guidelines</w:t>
      </w:r>
    </w:p>
    <w:p w:rsidR="00086E06" w:rsidRPr="00816F23" w:rsidRDefault="00086E06" w:rsidP="00A622D8">
      <w:pPr>
        <w:pStyle w:val="ListParagraph"/>
        <w:numPr>
          <w:ilvl w:val="0"/>
          <w:numId w:val="24"/>
        </w:numPr>
        <w:tabs>
          <w:tab w:val="left" w:pos="2127"/>
        </w:tabs>
        <w:spacing w:after="0"/>
        <w:rPr>
          <w:rFonts w:cstheme="minorHAnsi"/>
          <w:sz w:val="24"/>
          <w:szCs w:val="24"/>
        </w:rPr>
      </w:pPr>
      <w:r w:rsidRPr="00816F23">
        <w:rPr>
          <w:rFonts w:cstheme="minorHAnsi"/>
          <w:sz w:val="24"/>
          <w:szCs w:val="24"/>
        </w:rPr>
        <w:t>mother must attend antenatal screening and appointments in line with A</w:t>
      </w:r>
      <w:r>
        <w:rPr>
          <w:rFonts w:cstheme="minorHAnsi"/>
          <w:sz w:val="24"/>
          <w:szCs w:val="24"/>
        </w:rPr>
        <w:t>ustralian Pregnancy Guidelines</w:t>
      </w:r>
    </w:p>
    <w:p w:rsidR="00086E06" w:rsidRDefault="00086E06" w:rsidP="00CD6B34">
      <w:pPr>
        <w:pStyle w:val="ListParagraph"/>
        <w:numPr>
          <w:ilvl w:val="0"/>
          <w:numId w:val="24"/>
        </w:numPr>
        <w:tabs>
          <w:tab w:val="left" w:pos="2127"/>
        </w:tabs>
        <w:ind w:hanging="357"/>
        <w:contextualSpacing w:val="0"/>
        <w:rPr>
          <w:rFonts w:cstheme="minorHAnsi"/>
          <w:sz w:val="24"/>
          <w:szCs w:val="24"/>
        </w:rPr>
      </w:pPr>
      <w:r w:rsidRPr="00816F23">
        <w:rPr>
          <w:rFonts w:cstheme="minorHAnsi"/>
          <w:sz w:val="24"/>
          <w:szCs w:val="24"/>
        </w:rPr>
        <w:t>mother has not previously birthed by caesarean section.</w:t>
      </w:r>
    </w:p>
    <w:p w:rsidR="006043E1" w:rsidRPr="00ED6695" w:rsidRDefault="006043E1" w:rsidP="0058344C">
      <w:pPr>
        <w:pStyle w:val="Heading3"/>
      </w:pPr>
      <w:bookmarkStart w:id="22" w:name="_Toc162017773"/>
      <w:r w:rsidRPr="00ED6695">
        <w:t>P</w:t>
      </w:r>
      <w:r w:rsidR="00C702F8">
        <w:t>roblem 1: No available insured</w:t>
      </w:r>
      <w:r w:rsidRPr="00ED6695">
        <w:t xml:space="preserve"> homebirth product</w:t>
      </w:r>
      <w:bookmarkEnd w:id="22"/>
    </w:p>
    <w:p w:rsidR="00447E34" w:rsidRDefault="007F0907" w:rsidP="007F0907">
      <w:pPr>
        <w:tabs>
          <w:tab w:val="left" w:pos="2127"/>
        </w:tabs>
        <w:ind w:left="567"/>
        <w:rPr>
          <w:sz w:val="24"/>
          <w:szCs w:val="24"/>
        </w:rPr>
      </w:pPr>
      <w:r w:rsidRPr="007F0907">
        <w:rPr>
          <w:sz w:val="24"/>
          <w:szCs w:val="24"/>
        </w:rPr>
        <w:t xml:space="preserve">There is demand in the community for </w:t>
      </w:r>
      <w:r>
        <w:rPr>
          <w:sz w:val="24"/>
          <w:szCs w:val="24"/>
        </w:rPr>
        <w:t>PPMs</w:t>
      </w:r>
      <w:r w:rsidRPr="007F0907">
        <w:rPr>
          <w:sz w:val="24"/>
          <w:szCs w:val="24"/>
        </w:rPr>
        <w:t xml:space="preserve"> to </w:t>
      </w:r>
      <w:r w:rsidR="005C072D">
        <w:rPr>
          <w:sz w:val="24"/>
          <w:szCs w:val="24"/>
        </w:rPr>
        <w:t>provide</w:t>
      </w:r>
      <w:r w:rsidRPr="007F0907">
        <w:rPr>
          <w:sz w:val="24"/>
          <w:szCs w:val="24"/>
        </w:rPr>
        <w:t xml:space="preserve"> </w:t>
      </w:r>
      <w:r w:rsidR="00447E34">
        <w:rPr>
          <w:sz w:val="24"/>
          <w:szCs w:val="24"/>
        </w:rPr>
        <w:t>two new midwifery services:</w:t>
      </w:r>
    </w:p>
    <w:p w:rsidR="00447E34" w:rsidRPr="00447E34" w:rsidRDefault="00447E34" w:rsidP="00A622D8">
      <w:pPr>
        <w:pStyle w:val="ListParagraph"/>
        <w:numPr>
          <w:ilvl w:val="0"/>
          <w:numId w:val="14"/>
        </w:numPr>
        <w:tabs>
          <w:tab w:val="left" w:pos="2127"/>
        </w:tabs>
        <w:rPr>
          <w:sz w:val="24"/>
          <w:szCs w:val="24"/>
        </w:rPr>
      </w:pPr>
      <w:r w:rsidRPr="00447E34">
        <w:rPr>
          <w:sz w:val="24"/>
          <w:szCs w:val="24"/>
        </w:rPr>
        <w:t>low- risk home birth</w:t>
      </w:r>
    </w:p>
    <w:p w:rsidR="00447E34" w:rsidRPr="00447E34" w:rsidRDefault="007F0907" w:rsidP="00A622D8">
      <w:pPr>
        <w:pStyle w:val="ListParagraph"/>
        <w:numPr>
          <w:ilvl w:val="0"/>
          <w:numId w:val="14"/>
        </w:numPr>
        <w:tabs>
          <w:tab w:val="left" w:pos="2127"/>
        </w:tabs>
        <w:rPr>
          <w:sz w:val="24"/>
          <w:szCs w:val="24"/>
        </w:rPr>
      </w:pPr>
      <w:r w:rsidRPr="00447E34">
        <w:rPr>
          <w:sz w:val="24"/>
          <w:szCs w:val="24"/>
        </w:rPr>
        <w:t>intr</w:t>
      </w:r>
      <w:r w:rsidR="004218DC">
        <w:rPr>
          <w:sz w:val="24"/>
          <w:szCs w:val="24"/>
        </w:rPr>
        <w:t xml:space="preserve">apartum (labour) care outside </w:t>
      </w:r>
      <w:r w:rsidRPr="00447E34">
        <w:rPr>
          <w:sz w:val="24"/>
          <w:szCs w:val="24"/>
        </w:rPr>
        <w:t xml:space="preserve">hospital prior to a planned hospital birth.  </w:t>
      </w:r>
    </w:p>
    <w:p w:rsidR="00F03AAA" w:rsidRDefault="00F03AAA" w:rsidP="00F03AAA">
      <w:pPr>
        <w:tabs>
          <w:tab w:val="left" w:pos="2127"/>
        </w:tabs>
        <w:ind w:left="567"/>
        <w:rPr>
          <w:sz w:val="24"/>
          <w:szCs w:val="24"/>
        </w:rPr>
      </w:pPr>
      <w:r w:rsidRPr="00241FED">
        <w:rPr>
          <w:sz w:val="24"/>
          <w:szCs w:val="24"/>
        </w:rPr>
        <w:t>The existing Midwives Schemes cover antenatal, postnatal and intra</w:t>
      </w:r>
      <w:r w:rsidR="00447E34">
        <w:rPr>
          <w:sz w:val="24"/>
          <w:szCs w:val="24"/>
        </w:rPr>
        <w:t>partum care in hospital but do</w:t>
      </w:r>
      <w:r w:rsidRPr="00241FED">
        <w:rPr>
          <w:sz w:val="24"/>
          <w:szCs w:val="24"/>
        </w:rPr>
        <w:t xml:space="preserve"> not provide cover for low risk home births or intrapartum care outside of hospital prior to a planned hospital birth.  </w:t>
      </w:r>
    </w:p>
    <w:p w:rsidR="005C072D" w:rsidRDefault="005C072D" w:rsidP="00C72F31">
      <w:pPr>
        <w:pStyle w:val="ListParagraph"/>
        <w:numPr>
          <w:ilvl w:val="0"/>
          <w:numId w:val="3"/>
        </w:numPr>
        <w:tabs>
          <w:tab w:val="left" w:pos="2127"/>
        </w:tabs>
        <w:spacing w:after="0"/>
        <w:ind w:hanging="357"/>
        <w:contextualSpacing w:val="0"/>
        <w:rPr>
          <w:rFonts w:cstheme="minorHAnsi"/>
          <w:sz w:val="24"/>
          <w:szCs w:val="24"/>
        </w:rPr>
      </w:pPr>
      <w:r>
        <w:rPr>
          <w:rFonts w:cstheme="minorHAnsi"/>
          <w:sz w:val="24"/>
          <w:szCs w:val="24"/>
        </w:rPr>
        <w:t>a</w:t>
      </w:r>
      <w:r w:rsidRPr="00483C24">
        <w:rPr>
          <w:rFonts w:cstheme="minorHAnsi"/>
          <w:sz w:val="24"/>
          <w:szCs w:val="24"/>
        </w:rPr>
        <w:t>ntenatal covers the period spanning conception to the beginning of labour</w:t>
      </w:r>
    </w:p>
    <w:p w:rsidR="005C072D" w:rsidRDefault="005C072D" w:rsidP="00C72F31">
      <w:pPr>
        <w:pStyle w:val="ListParagraph"/>
        <w:numPr>
          <w:ilvl w:val="0"/>
          <w:numId w:val="3"/>
        </w:numPr>
        <w:tabs>
          <w:tab w:val="left" w:pos="2127"/>
        </w:tabs>
        <w:spacing w:after="0"/>
        <w:ind w:hanging="357"/>
        <w:contextualSpacing w:val="0"/>
        <w:rPr>
          <w:rFonts w:cstheme="minorHAnsi"/>
          <w:sz w:val="24"/>
          <w:szCs w:val="24"/>
        </w:rPr>
      </w:pPr>
      <w:r w:rsidRPr="00483C24">
        <w:rPr>
          <w:rFonts w:cstheme="minorHAnsi"/>
          <w:sz w:val="24"/>
          <w:szCs w:val="24"/>
        </w:rPr>
        <w:t>intrapartum covers the period from onset of labour to d</w:t>
      </w:r>
      <w:r>
        <w:rPr>
          <w:rFonts w:cstheme="minorHAnsi"/>
          <w:sz w:val="24"/>
          <w:szCs w:val="24"/>
        </w:rPr>
        <w:t>elivery of newborn</w:t>
      </w:r>
    </w:p>
    <w:p w:rsidR="005C072D" w:rsidRDefault="005C072D" w:rsidP="00C72F31">
      <w:pPr>
        <w:pStyle w:val="ListParagraph"/>
        <w:numPr>
          <w:ilvl w:val="0"/>
          <w:numId w:val="3"/>
        </w:numPr>
        <w:tabs>
          <w:tab w:val="left" w:pos="2127"/>
        </w:tabs>
        <w:ind w:hanging="357"/>
        <w:contextualSpacing w:val="0"/>
        <w:rPr>
          <w:rFonts w:cstheme="minorHAnsi"/>
          <w:sz w:val="24"/>
          <w:szCs w:val="24"/>
        </w:rPr>
      </w:pPr>
      <w:r>
        <w:rPr>
          <w:rFonts w:cstheme="minorHAnsi"/>
          <w:sz w:val="24"/>
          <w:szCs w:val="24"/>
        </w:rPr>
        <w:t>postnatal</w:t>
      </w:r>
      <w:r w:rsidRPr="00483C24">
        <w:rPr>
          <w:rFonts w:cstheme="minorHAnsi"/>
          <w:sz w:val="24"/>
          <w:szCs w:val="24"/>
        </w:rPr>
        <w:t xml:space="preserve"> </w:t>
      </w:r>
      <w:r>
        <w:rPr>
          <w:rFonts w:cstheme="minorHAnsi"/>
          <w:sz w:val="24"/>
          <w:szCs w:val="24"/>
        </w:rPr>
        <w:t xml:space="preserve">(perinatal) </w:t>
      </w:r>
      <w:r w:rsidRPr="00483C24">
        <w:rPr>
          <w:rFonts w:cstheme="minorHAnsi"/>
          <w:sz w:val="24"/>
          <w:szCs w:val="24"/>
        </w:rPr>
        <w:t>spans from birth of the newborn to 6-8 weeks after delivery.</w:t>
      </w:r>
    </w:p>
    <w:p w:rsidR="0074574A" w:rsidRDefault="0074574A" w:rsidP="0074574A">
      <w:pPr>
        <w:tabs>
          <w:tab w:val="left" w:pos="2127"/>
        </w:tabs>
        <w:ind w:left="567"/>
        <w:rPr>
          <w:sz w:val="24"/>
          <w:szCs w:val="24"/>
        </w:rPr>
      </w:pPr>
      <w:r w:rsidRPr="0074574A">
        <w:rPr>
          <w:sz w:val="24"/>
          <w:szCs w:val="24"/>
        </w:rPr>
        <w:t>The Commonwealth has sought to find a lasting market based solution through the recent approach to market for insurers to offer cover for low risk homebirths and intrapartum care outside a hospital</w:t>
      </w:r>
      <w:r w:rsidR="00E27B16">
        <w:rPr>
          <w:sz w:val="24"/>
          <w:szCs w:val="24"/>
        </w:rPr>
        <w:t>, which was not successful</w:t>
      </w:r>
      <w:r w:rsidRPr="0074574A">
        <w:rPr>
          <w:sz w:val="24"/>
          <w:szCs w:val="24"/>
        </w:rPr>
        <w:t xml:space="preserve">.  </w:t>
      </w:r>
    </w:p>
    <w:p w:rsidR="0074574A" w:rsidRPr="00523CB3" w:rsidRDefault="005C072D" w:rsidP="0074574A">
      <w:pPr>
        <w:tabs>
          <w:tab w:val="left" w:pos="2127"/>
        </w:tabs>
        <w:ind w:left="567"/>
        <w:rPr>
          <w:sz w:val="24"/>
          <w:szCs w:val="24"/>
        </w:rPr>
      </w:pPr>
      <w:r w:rsidRPr="00D961EC">
        <w:rPr>
          <w:sz w:val="24"/>
          <w:szCs w:val="24"/>
        </w:rPr>
        <w:t>Currently there is no PII on the market for these services.</w:t>
      </w:r>
      <w:r>
        <w:rPr>
          <w:sz w:val="24"/>
          <w:szCs w:val="24"/>
        </w:rPr>
        <w:t xml:space="preserve"> </w:t>
      </w:r>
      <w:r w:rsidR="0074574A" w:rsidRPr="00523CB3">
        <w:rPr>
          <w:sz w:val="24"/>
          <w:szCs w:val="24"/>
        </w:rPr>
        <w:t xml:space="preserve">The lack of insurers willing to provide cover for low risk home births and intrapartum care outside a hospital reflects a view that it is difficult for insurers to accurately quantify risks due to a lack of data, particularly given the small pool of midwives providing such services, and that the nature of services could lead to some significant high cost claims. </w:t>
      </w:r>
    </w:p>
    <w:p w:rsidR="00523CB3" w:rsidRDefault="00523CB3" w:rsidP="00CD6B34">
      <w:pPr>
        <w:tabs>
          <w:tab w:val="left" w:pos="2127"/>
        </w:tabs>
        <w:spacing w:after="240"/>
        <w:ind w:left="567"/>
        <w:rPr>
          <w:sz w:val="24"/>
          <w:szCs w:val="24"/>
        </w:rPr>
      </w:pPr>
      <w:r w:rsidRPr="00824722">
        <w:rPr>
          <w:sz w:val="24"/>
          <w:szCs w:val="24"/>
        </w:rPr>
        <w:t xml:space="preserve">The Government recently granted a separate time limited (to June 2025) indemnity to </w:t>
      </w:r>
      <w:r w:rsidR="00861F4B" w:rsidRPr="00824722">
        <w:rPr>
          <w:sz w:val="24"/>
          <w:szCs w:val="24"/>
        </w:rPr>
        <w:t xml:space="preserve">the insurer </w:t>
      </w:r>
      <w:r w:rsidRPr="00824722">
        <w:rPr>
          <w:sz w:val="24"/>
          <w:szCs w:val="24"/>
        </w:rPr>
        <w:t>to cover 100% of the costs for this service.</w:t>
      </w:r>
      <w:r w:rsidRPr="00824722" w:rsidDel="005A345F">
        <w:rPr>
          <w:sz w:val="24"/>
          <w:szCs w:val="24"/>
        </w:rPr>
        <w:t xml:space="preserve"> </w:t>
      </w:r>
      <w:r w:rsidRPr="00824722">
        <w:rPr>
          <w:sz w:val="24"/>
          <w:szCs w:val="24"/>
        </w:rPr>
        <w:t xml:space="preserve">This indemnity addresses a recently identified gap in cover which was threatening delivery of these services, and which was a particular concern for </w:t>
      </w:r>
      <w:r w:rsidR="00EB0D79" w:rsidRPr="00824722">
        <w:rPr>
          <w:rFonts w:cstheme="minorHAnsi"/>
          <w:sz w:val="24"/>
          <w:szCs w:val="24"/>
        </w:rPr>
        <w:t>Aboriginal Community Controlled Health Organisations (</w:t>
      </w:r>
      <w:r w:rsidRPr="00824722">
        <w:rPr>
          <w:sz w:val="24"/>
          <w:szCs w:val="24"/>
        </w:rPr>
        <w:t>ACCHOs</w:t>
      </w:r>
      <w:r w:rsidR="00EB0D79" w:rsidRPr="00824722">
        <w:rPr>
          <w:sz w:val="24"/>
          <w:szCs w:val="24"/>
        </w:rPr>
        <w:t>)</w:t>
      </w:r>
      <w:r w:rsidRPr="00824722">
        <w:rPr>
          <w:sz w:val="24"/>
          <w:szCs w:val="24"/>
        </w:rPr>
        <w:t xml:space="preserve"> </w:t>
      </w:r>
      <w:r w:rsidR="00C87DE9" w:rsidRPr="00824722">
        <w:rPr>
          <w:sz w:val="24"/>
          <w:szCs w:val="24"/>
        </w:rPr>
        <w:t>delivering</w:t>
      </w:r>
      <w:r w:rsidRPr="00824722">
        <w:rPr>
          <w:sz w:val="24"/>
          <w:szCs w:val="24"/>
        </w:rPr>
        <w:t xml:space="preserve"> BoC midwifery </w:t>
      </w:r>
      <w:r w:rsidR="00C87DE9" w:rsidRPr="00824722">
        <w:rPr>
          <w:sz w:val="24"/>
          <w:szCs w:val="24"/>
        </w:rPr>
        <w:t>services</w:t>
      </w:r>
      <w:r w:rsidRPr="00824722">
        <w:rPr>
          <w:sz w:val="24"/>
          <w:szCs w:val="24"/>
        </w:rPr>
        <w:t xml:space="preserve">. The indemnity was granted </w:t>
      </w:r>
      <w:r w:rsidR="00C87DE9" w:rsidRPr="00824722">
        <w:rPr>
          <w:sz w:val="24"/>
          <w:szCs w:val="24"/>
        </w:rPr>
        <w:t>until</w:t>
      </w:r>
      <w:r w:rsidRPr="00824722">
        <w:rPr>
          <w:sz w:val="24"/>
          <w:szCs w:val="24"/>
        </w:rPr>
        <w:t xml:space="preserve"> 2025 to address the immediate gap in cover while Government considered longer term solutions and the outcomes of the recent market tender for these services.</w:t>
      </w:r>
    </w:p>
    <w:p w:rsidR="007F0907" w:rsidRPr="00ED6695" w:rsidRDefault="00170F4A" w:rsidP="0058344C">
      <w:pPr>
        <w:pStyle w:val="Heading3"/>
      </w:pPr>
      <w:bookmarkStart w:id="23" w:name="_Toc162017774"/>
      <w:r>
        <w:t xml:space="preserve">Problem 2: </w:t>
      </w:r>
      <w:r w:rsidR="007F0907" w:rsidRPr="00ED6695">
        <w:t xml:space="preserve">What women </w:t>
      </w:r>
      <w:r w:rsidR="00B91718" w:rsidRPr="00ED6695">
        <w:t>want?</w:t>
      </w:r>
      <w:bookmarkEnd w:id="23"/>
    </w:p>
    <w:p w:rsidR="006C58B7" w:rsidRDefault="006C58B7" w:rsidP="006C58B7">
      <w:pPr>
        <w:tabs>
          <w:tab w:val="left" w:pos="2127"/>
        </w:tabs>
        <w:ind w:left="567"/>
        <w:rPr>
          <w:rFonts w:cstheme="minorHAnsi"/>
          <w:sz w:val="24"/>
          <w:szCs w:val="24"/>
        </w:rPr>
      </w:pPr>
      <w:r w:rsidRPr="006C58B7">
        <w:rPr>
          <w:rFonts w:cstheme="minorHAnsi"/>
          <w:sz w:val="24"/>
          <w:szCs w:val="24"/>
        </w:rPr>
        <w:t xml:space="preserve">Women are increasingly seeking greater choice in </w:t>
      </w:r>
      <w:hyperlink r:id="rId17" w:tooltip="Learn more about birth place from ScienceDirect's AI-generated Topic Pages" w:history="1">
        <w:r w:rsidRPr="006C58B7">
          <w:rPr>
            <w:rFonts w:cstheme="minorHAnsi"/>
          </w:rPr>
          <w:t>birth place</w:t>
        </w:r>
      </w:hyperlink>
      <w:r w:rsidRPr="006C58B7">
        <w:rPr>
          <w:rFonts w:cstheme="minorHAnsi"/>
          <w:sz w:val="24"/>
          <w:szCs w:val="24"/>
        </w:rPr>
        <w:t xml:space="preserve">, including options other than hospitals that offer </w:t>
      </w:r>
      <w:r>
        <w:rPr>
          <w:rFonts w:cstheme="minorHAnsi"/>
          <w:sz w:val="24"/>
          <w:szCs w:val="24"/>
        </w:rPr>
        <w:t xml:space="preserve">fewer interventions and greater </w:t>
      </w:r>
      <w:hyperlink r:id="rId18" w:tooltip="Learn more about autonomy from ScienceDirect's AI-generated Topic Pages" w:history="1">
        <w:r w:rsidRPr="006C58B7">
          <w:rPr>
            <w:rFonts w:cstheme="minorHAnsi"/>
          </w:rPr>
          <w:t>autonomy</w:t>
        </w:r>
      </w:hyperlink>
      <w:r w:rsidRPr="006C58B7">
        <w:rPr>
          <w:rFonts w:ascii="Calibri" w:hAnsi="Calibri" w:cstheme="minorHAnsi"/>
          <w:sz w:val="24"/>
          <w:szCs w:val="24"/>
          <w:vertAlign w:val="superscript"/>
        </w:rPr>
        <w:footnoteReference w:id="1"/>
      </w:r>
      <w:r w:rsidRPr="006C58B7">
        <w:rPr>
          <w:rFonts w:cstheme="minorHAnsi"/>
          <w:sz w:val="24"/>
          <w:szCs w:val="24"/>
        </w:rPr>
        <w:t>. There is a cohort of women who, given the opportunity, would prefer to labour and birth in their own home. Literature that discusses women’s experiences/reasons for choosing to give birth at home suggests that they see it as a choice that promotes a feeling of more control in their birth process and one that allows immediate and better family integration of the new baby</w:t>
      </w:r>
      <w:r w:rsidRPr="006C58B7">
        <w:rPr>
          <w:rFonts w:ascii="Calibri" w:hAnsi="Calibri" w:cstheme="minorHAnsi"/>
          <w:sz w:val="24"/>
          <w:szCs w:val="24"/>
          <w:vertAlign w:val="superscript"/>
        </w:rPr>
        <w:footnoteReference w:id="2"/>
      </w:r>
      <w:r w:rsidRPr="006C58B7">
        <w:rPr>
          <w:rFonts w:cstheme="minorHAnsi"/>
          <w:sz w:val="24"/>
          <w:szCs w:val="24"/>
        </w:rPr>
        <w:t>.</w:t>
      </w:r>
    </w:p>
    <w:p w:rsidR="001943CD" w:rsidRPr="006C58B7" w:rsidRDefault="001943CD" w:rsidP="006C58B7">
      <w:pPr>
        <w:tabs>
          <w:tab w:val="left" w:pos="2127"/>
        </w:tabs>
        <w:ind w:left="567"/>
        <w:rPr>
          <w:rFonts w:cstheme="minorHAnsi"/>
          <w:sz w:val="24"/>
          <w:szCs w:val="24"/>
        </w:rPr>
      </w:pPr>
      <w:r w:rsidRPr="00824722">
        <w:rPr>
          <w:rFonts w:cstheme="minorHAnsi"/>
          <w:sz w:val="24"/>
          <w:szCs w:val="24"/>
        </w:rPr>
        <w:t xml:space="preserve">The Senate </w:t>
      </w:r>
      <w:r w:rsidR="00EB0D79" w:rsidRPr="00824722">
        <w:rPr>
          <w:rFonts w:cstheme="minorHAnsi"/>
          <w:sz w:val="24"/>
          <w:szCs w:val="24"/>
        </w:rPr>
        <w:t>‘</w:t>
      </w:r>
      <w:r w:rsidRPr="00824722">
        <w:rPr>
          <w:rFonts w:cstheme="minorHAnsi"/>
          <w:sz w:val="24"/>
          <w:szCs w:val="24"/>
        </w:rPr>
        <w:t>Child-Birth</w:t>
      </w:r>
      <w:r w:rsidR="00EB0D79" w:rsidRPr="00824722">
        <w:rPr>
          <w:rFonts w:cstheme="minorHAnsi"/>
          <w:sz w:val="24"/>
          <w:szCs w:val="24"/>
        </w:rPr>
        <w:t>’</w:t>
      </w:r>
      <w:r w:rsidRPr="00824722">
        <w:rPr>
          <w:rFonts w:cstheme="minorHAnsi"/>
          <w:sz w:val="24"/>
          <w:szCs w:val="24"/>
        </w:rPr>
        <w:t xml:space="preserve"> report suggests that women resent the way in which childbirth has been taken over by the medical profession rather than treated as a natural process, with a concomitant increase in the level of interventions and consequent morbidity outcomes (described in the following chapters) and in the disempowerment of the women giving birth. While acknowledging that the medical approach may be necessary in a small number of cases they consider it inappropriate for most women compelled or persuaded to submit to it without any medical justification. They are further alienated by a system which too often fails to provide continuity of carer so that they may be tended during birth by total strangers. The Senate found that d</w:t>
      </w:r>
      <w:r w:rsidRPr="00824722">
        <w:rPr>
          <w:rFonts w:cstheme="minorHAnsi"/>
          <w:color w:val="222222"/>
          <w:sz w:val="24"/>
          <w:szCs w:val="24"/>
          <w:shd w:val="clear" w:color="auto" w:fill="FFFFFF"/>
        </w:rPr>
        <w:t>issatisfaction with the medical emphasis of hospital births and with discontinuity of care were major factors driving consumer demand for alternative, more woman centred approaches to birth, with midwives as the primary care givers</w:t>
      </w:r>
      <w:r w:rsidRPr="00824722">
        <w:rPr>
          <w:rStyle w:val="FootnoteReference"/>
          <w:rFonts w:cstheme="minorHAnsi"/>
          <w:color w:val="222222"/>
          <w:sz w:val="24"/>
          <w:szCs w:val="24"/>
          <w:shd w:val="clear" w:color="auto" w:fill="FFFFFF"/>
        </w:rPr>
        <w:footnoteReference w:id="3"/>
      </w:r>
      <w:r w:rsidRPr="00824722">
        <w:rPr>
          <w:rFonts w:cstheme="minorHAnsi"/>
          <w:color w:val="222222"/>
          <w:sz w:val="24"/>
          <w:szCs w:val="24"/>
          <w:shd w:val="clear" w:color="auto" w:fill="FFFFFF"/>
        </w:rPr>
        <w:t>.</w:t>
      </w:r>
    </w:p>
    <w:p w:rsidR="00251D76" w:rsidRPr="00553E17" w:rsidRDefault="00251D76" w:rsidP="00251D76">
      <w:pPr>
        <w:tabs>
          <w:tab w:val="left" w:pos="2127"/>
        </w:tabs>
        <w:ind w:left="567"/>
        <w:rPr>
          <w:rFonts w:cstheme="minorHAnsi"/>
          <w:color w:val="1F1F1F"/>
          <w:sz w:val="24"/>
          <w:szCs w:val="24"/>
        </w:rPr>
      </w:pPr>
      <w:r w:rsidRPr="0058344C">
        <w:rPr>
          <w:rFonts w:cstheme="minorHAnsi"/>
          <w:color w:val="1F1F1F"/>
          <w:sz w:val="24"/>
          <w:szCs w:val="24"/>
        </w:rPr>
        <w:t>Currently, there are 15 publicly funded home birth programs in Australia and a further two under development.</w:t>
      </w:r>
      <w:r>
        <w:rPr>
          <w:rFonts w:cstheme="minorHAnsi"/>
          <w:color w:val="1F1F1F"/>
          <w:sz w:val="24"/>
          <w:szCs w:val="24"/>
        </w:rPr>
        <w:t xml:space="preserve"> </w:t>
      </w:r>
      <w:r w:rsidRPr="00553E17">
        <w:rPr>
          <w:rFonts w:cstheme="minorHAnsi"/>
          <w:color w:val="1F1F1F"/>
          <w:sz w:val="24"/>
          <w:szCs w:val="24"/>
        </w:rPr>
        <w:t>The increasing number of publicly funded home birth programs in Australia may indicate a growing desire for birth options that better meet the needs of Australian women</w:t>
      </w:r>
    </w:p>
    <w:p w:rsidR="004920CD" w:rsidRPr="003968FD" w:rsidRDefault="006336DB" w:rsidP="000B3074">
      <w:pPr>
        <w:tabs>
          <w:tab w:val="left" w:pos="2127"/>
        </w:tabs>
        <w:ind w:left="567"/>
        <w:rPr>
          <w:rFonts w:cstheme="minorHAnsi"/>
          <w:sz w:val="24"/>
          <w:szCs w:val="24"/>
        </w:rPr>
      </w:pPr>
      <w:r w:rsidRPr="003968FD">
        <w:rPr>
          <w:rFonts w:cstheme="minorHAnsi"/>
          <w:sz w:val="24"/>
          <w:szCs w:val="24"/>
        </w:rPr>
        <w:t xml:space="preserve">The COAG Women Centred Care: Strategic directions for Australian maternity Services 2019 </w:t>
      </w:r>
      <w:r w:rsidR="00FF3E5C" w:rsidRPr="003968FD">
        <w:rPr>
          <w:rFonts w:cstheme="minorHAnsi"/>
          <w:sz w:val="24"/>
          <w:szCs w:val="24"/>
        </w:rPr>
        <w:t>identified that women want:</w:t>
      </w:r>
    </w:p>
    <w:p w:rsidR="0082753F" w:rsidRPr="003968FD" w:rsidRDefault="00B12316" w:rsidP="00C72F31">
      <w:pPr>
        <w:pStyle w:val="ListParagraph"/>
        <w:numPr>
          <w:ilvl w:val="0"/>
          <w:numId w:val="2"/>
        </w:numPr>
        <w:tabs>
          <w:tab w:val="left" w:pos="2127"/>
        </w:tabs>
        <w:spacing w:after="120"/>
        <w:ind w:left="1208" w:hanging="357"/>
        <w:contextualSpacing w:val="0"/>
        <w:rPr>
          <w:rFonts w:cstheme="minorHAnsi"/>
          <w:sz w:val="24"/>
          <w:szCs w:val="24"/>
        </w:rPr>
      </w:pPr>
      <w:r w:rsidRPr="003968FD">
        <w:rPr>
          <w:rFonts w:cstheme="minorHAnsi"/>
          <w:sz w:val="24"/>
          <w:szCs w:val="24"/>
        </w:rPr>
        <w:t xml:space="preserve">to be respected for their </w:t>
      </w:r>
      <w:r w:rsidR="0082753F" w:rsidRPr="003968FD">
        <w:rPr>
          <w:rFonts w:cstheme="minorHAnsi"/>
          <w:sz w:val="24"/>
          <w:szCs w:val="24"/>
        </w:rPr>
        <w:t>c</w:t>
      </w:r>
      <w:r w:rsidR="006336DB" w:rsidRPr="003968FD">
        <w:rPr>
          <w:rFonts w:cstheme="minorHAnsi"/>
          <w:sz w:val="24"/>
          <w:szCs w:val="24"/>
        </w:rPr>
        <w:t xml:space="preserve">hoices </w:t>
      </w:r>
      <w:r w:rsidR="009172FC" w:rsidRPr="003968FD">
        <w:rPr>
          <w:rFonts w:cstheme="minorHAnsi"/>
          <w:sz w:val="24"/>
          <w:szCs w:val="24"/>
        </w:rPr>
        <w:t>of models of care that meet</w:t>
      </w:r>
      <w:r w:rsidRPr="003968FD">
        <w:rPr>
          <w:rFonts w:cstheme="minorHAnsi"/>
          <w:sz w:val="24"/>
          <w:szCs w:val="24"/>
        </w:rPr>
        <w:t xml:space="preserve"> their needs</w:t>
      </w:r>
      <w:r w:rsidR="009172FC" w:rsidRPr="003968FD">
        <w:rPr>
          <w:rFonts w:cstheme="minorHAnsi"/>
          <w:sz w:val="24"/>
          <w:szCs w:val="24"/>
        </w:rPr>
        <w:t xml:space="preserve">, and </w:t>
      </w:r>
      <w:r w:rsidR="006336DB" w:rsidRPr="003968FD">
        <w:rPr>
          <w:rFonts w:cstheme="minorHAnsi"/>
          <w:sz w:val="24"/>
          <w:szCs w:val="24"/>
        </w:rPr>
        <w:t>the right to freedom from coercion</w:t>
      </w:r>
      <w:r w:rsidR="00422BF6" w:rsidRPr="003968FD">
        <w:rPr>
          <w:rFonts w:cstheme="minorHAnsi"/>
          <w:sz w:val="24"/>
          <w:szCs w:val="24"/>
        </w:rPr>
        <w:t xml:space="preserve"> about decisions concern</w:t>
      </w:r>
      <w:r w:rsidR="004920CD" w:rsidRPr="003968FD">
        <w:rPr>
          <w:rFonts w:cstheme="minorHAnsi"/>
          <w:sz w:val="24"/>
          <w:szCs w:val="24"/>
        </w:rPr>
        <w:t>ing their maternity care</w:t>
      </w:r>
    </w:p>
    <w:p w:rsidR="009172FC" w:rsidRPr="003968FD" w:rsidRDefault="009172FC" w:rsidP="00C72F31">
      <w:pPr>
        <w:pStyle w:val="ListParagraph"/>
        <w:numPr>
          <w:ilvl w:val="0"/>
          <w:numId w:val="2"/>
        </w:numPr>
        <w:tabs>
          <w:tab w:val="left" w:pos="2127"/>
        </w:tabs>
        <w:spacing w:after="120"/>
        <w:ind w:left="1208" w:hanging="357"/>
        <w:contextualSpacing w:val="0"/>
        <w:rPr>
          <w:rFonts w:cstheme="minorHAnsi"/>
          <w:sz w:val="24"/>
          <w:szCs w:val="24"/>
        </w:rPr>
      </w:pPr>
      <w:r w:rsidRPr="003968FD">
        <w:rPr>
          <w:rFonts w:cstheme="minorHAnsi"/>
          <w:sz w:val="24"/>
          <w:szCs w:val="24"/>
        </w:rPr>
        <w:t>health professionals to work together respectfully and collaboratively to support them in their choices</w:t>
      </w:r>
    </w:p>
    <w:p w:rsidR="004920CD" w:rsidRPr="003968FD" w:rsidRDefault="004920CD" w:rsidP="00C72F31">
      <w:pPr>
        <w:pStyle w:val="ListParagraph"/>
        <w:numPr>
          <w:ilvl w:val="0"/>
          <w:numId w:val="2"/>
        </w:numPr>
        <w:tabs>
          <w:tab w:val="left" w:pos="2127"/>
        </w:tabs>
        <w:spacing w:after="120"/>
        <w:ind w:left="1208" w:hanging="357"/>
        <w:contextualSpacing w:val="0"/>
        <w:rPr>
          <w:rFonts w:cstheme="minorHAnsi"/>
          <w:sz w:val="24"/>
          <w:szCs w:val="24"/>
        </w:rPr>
      </w:pPr>
      <w:r w:rsidRPr="003968FD">
        <w:rPr>
          <w:rFonts w:cstheme="minorHAnsi"/>
          <w:sz w:val="24"/>
          <w:szCs w:val="24"/>
        </w:rPr>
        <w:t>continuity of care and carer</w:t>
      </w:r>
    </w:p>
    <w:p w:rsidR="009172FC" w:rsidRPr="003968FD" w:rsidRDefault="009172FC" w:rsidP="00C72F31">
      <w:pPr>
        <w:pStyle w:val="ListParagraph"/>
        <w:numPr>
          <w:ilvl w:val="0"/>
          <w:numId w:val="2"/>
        </w:numPr>
        <w:tabs>
          <w:tab w:val="left" w:pos="2127"/>
        </w:tabs>
        <w:spacing w:after="120"/>
        <w:ind w:left="1208" w:hanging="357"/>
        <w:contextualSpacing w:val="0"/>
        <w:rPr>
          <w:rFonts w:cstheme="minorHAnsi"/>
          <w:sz w:val="24"/>
          <w:szCs w:val="24"/>
        </w:rPr>
      </w:pPr>
      <w:r w:rsidRPr="003968FD">
        <w:rPr>
          <w:rFonts w:cstheme="minorHAnsi"/>
          <w:sz w:val="24"/>
          <w:szCs w:val="24"/>
        </w:rPr>
        <w:t>access to care in their geographic location</w:t>
      </w:r>
      <w:r w:rsidR="00B12316" w:rsidRPr="003968FD">
        <w:rPr>
          <w:rFonts w:cstheme="minorHAnsi"/>
          <w:sz w:val="24"/>
          <w:szCs w:val="24"/>
        </w:rPr>
        <w:t xml:space="preserve"> - </w:t>
      </w:r>
      <w:r w:rsidRPr="003968FD">
        <w:rPr>
          <w:rFonts w:cstheme="minorHAnsi"/>
          <w:sz w:val="24"/>
          <w:szCs w:val="24"/>
        </w:rPr>
        <w:t>as close to home as possible</w:t>
      </w:r>
    </w:p>
    <w:p w:rsidR="004920CD" w:rsidRPr="003968FD" w:rsidRDefault="004920CD" w:rsidP="00C72F31">
      <w:pPr>
        <w:pStyle w:val="ListParagraph"/>
        <w:numPr>
          <w:ilvl w:val="0"/>
          <w:numId w:val="2"/>
        </w:numPr>
        <w:tabs>
          <w:tab w:val="left" w:pos="2127"/>
        </w:tabs>
        <w:spacing w:after="120"/>
        <w:ind w:left="1208" w:hanging="357"/>
        <w:contextualSpacing w:val="0"/>
        <w:rPr>
          <w:rFonts w:cstheme="minorHAnsi"/>
          <w:sz w:val="24"/>
          <w:szCs w:val="24"/>
        </w:rPr>
      </w:pPr>
      <w:r w:rsidRPr="003968FD">
        <w:rPr>
          <w:rFonts w:cstheme="minorHAnsi"/>
          <w:sz w:val="24"/>
          <w:szCs w:val="24"/>
        </w:rPr>
        <w:t>access to</w:t>
      </w:r>
      <w:r w:rsidR="009172FC" w:rsidRPr="003968FD">
        <w:rPr>
          <w:rFonts w:cstheme="minorHAnsi"/>
          <w:sz w:val="24"/>
          <w:szCs w:val="24"/>
        </w:rPr>
        <w:t xml:space="preserve"> evidence and</w:t>
      </w:r>
      <w:r w:rsidRPr="003968FD">
        <w:rPr>
          <w:rFonts w:cstheme="minorHAnsi"/>
          <w:sz w:val="24"/>
          <w:szCs w:val="24"/>
        </w:rPr>
        <w:t xml:space="preserve"> information</w:t>
      </w:r>
      <w:r w:rsidR="009172FC" w:rsidRPr="003968FD">
        <w:rPr>
          <w:rFonts w:cstheme="minorHAnsi"/>
          <w:sz w:val="24"/>
          <w:szCs w:val="24"/>
        </w:rPr>
        <w:t xml:space="preserve"> to inform their decisions regarding their care</w:t>
      </w:r>
    </w:p>
    <w:p w:rsidR="00E52600" w:rsidRPr="003968FD" w:rsidRDefault="00E52600"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3968FD">
        <w:rPr>
          <w:rFonts w:cstheme="minorHAnsi"/>
          <w:sz w:val="24"/>
          <w:szCs w:val="24"/>
        </w:rPr>
        <w:t>consistency in the availability of postnatal care.</w:t>
      </w:r>
    </w:p>
    <w:p w:rsidR="004720AD" w:rsidRPr="004720AD" w:rsidRDefault="004720AD" w:rsidP="004720AD">
      <w:pPr>
        <w:tabs>
          <w:tab w:val="left" w:pos="2127"/>
        </w:tabs>
        <w:ind w:left="567"/>
        <w:rPr>
          <w:rFonts w:cstheme="minorHAnsi"/>
          <w:sz w:val="24"/>
          <w:szCs w:val="24"/>
        </w:rPr>
      </w:pPr>
      <w:r w:rsidRPr="004720AD">
        <w:rPr>
          <w:rFonts w:cstheme="minorHAnsi"/>
          <w:sz w:val="24"/>
          <w:szCs w:val="24"/>
        </w:rPr>
        <w:t>In 2023 the Australian Institute of Health and Welfare</w:t>
      </w:r>
      <w:r>
        <w:rPr>
          <w:rFonts w:cstheme="minorHAnsi"/>
          <w:sz w:val="24"/>
          <w:szCs w:val="24"/>
        </w:rPr>
        <w:t xml:space="preserve"> (AIHW) </w:t>
      </w:r>
      <w:r w:rsidRPr="004720AD">
        <w:rPr>
          <w:rFonts w:cstheme="minorHAnsi"/>
          <w:sz w:val="24"/>
          <w:szCs w:val="24"/>
        </w:rPr>
        <w:t>report on Australia’s mothers and babies</w:t>
      </w:r>
      <w:r w:rsidRPr="00394E7D">
        <w:footnoteReference w:id="4"/>
      </w:r>
      <w:r w:rsidRPr="004720AD">
        <w:rPr>
          <w:rFonts w:cstheme="minorHAnsi"/>
          <w:sz w:val="24"/>
          <w:szCs w:val="24"/>
        </w:rPr>
        <w:t xml:space="preserve"> reported that in 2021, there were 315,705 babies born to 311,360 mothers in Australia. Of these, 97% of women with both low and high-risk profiles gave birth in public and private hospitals. A small proportion of mothers gave birth elsewhere, including birth centres (2%), at home (0.5%), or in other settings (arrival before hospital) (0.7%). </w:t>
      </w:r>
    </w:p>
    <w:p w:rsidR="00EF0FE1" w:rsidRPr="003968FD" w:rsidRDefault="0058344C" w:rsidP="00EF0FE1">
      <w:pPr>
        <w:tabs>
          <w:tab w:val="left" w:pos="2127"/>
        </w:tabs>
        <w:ind w:left="567"/>
        <w:rPr>
          <w:rFonts w:cstheme="minorHAnsi"/>
          <w:sz w:val="24"/>
          <w:szCs w:val="24"/>
        </w:rPr>
      </w:pPr>
      <w:r>
        <w:rPr>
          <w:rFonts w:cstheme="minorHAnsi"/>
          <w:sz w:val="24"/>
          <w:szCs w:val="24"/>
        </w:rPr>
        <w:t xml:space="preserve">Dr </w:t>
      </w:r>
      <w:r w:rsidR="00EF0FE1" w:rsidRPr="003968FD">
        <w:rPr>
          <w:rFonts w:cstheme="minorHAnsi"/>
          <w:sz w:val="24"/>
          <w:szCs w:val="24"/>
        </w:rPr>
        <w:t xml:space="preserve">Davis-Tuck et al in BMC Pregnancy and Childbirth (2018) </w:t>
      </w:r>
      <w:r w:rsidR="00EF0FE1">
        <w:rPr>
          <w:rFonts w:cstheme="minorHAnsi"/>
          <w:sz w:val="24"/>
          <w:szCs w:val="24"/>
        </w:rPr>
        <w:t>compared Australia</w:t>
      </w:r>
      <w:r>
        <w:rPr>
          <w:rFonts w:cstheme="minorHAnsi"/>
          <w:sz w:val="24"/>
          <w:szCs w:val="24"/>
        </w:rPr>
        <w:t xml:space="preserve"> </w:t>
      </w:r>
      <w:r w:rsidR="00EF0FE1">
        <w:rPr>
          <w:rFonts w:cstheme="minorHAnsi"/>
          <w:sz w:val="24"/>
          <w:szCs w:val="24"/>
        </w:rPr>
        <w:t xml:space="preserve">to </w:t>
      </w:r>
      <w:r w:rsidR="00EF0FE1" w:rsidRPr="003968FD">
        <w:rPr>
          <w:rFonts w:cstheme="minorHAnsi"/>
          <w:sz w:val="24"/>
          <w:szCs w:val="24"/>
        </w:rPr>
        <w:t>New Zealand</w:t>
      </w:r>
      <w:r w:rsidR="00EF0FE1">
        <w:rPr>
          <w:rFonts w:cstheme="minorHAnsi"/>
          <w:sz w:val="24"/>
          <w:szCs w:val="24"/>
        </w:rPr>
        <w:t xml:space="preserve"> (3.4%</w:t>
      </w:r>
      <w:r>
        <w:rPr>
          <w:rFonts w:cstheme="minorHAnsi"/>
          <w:sz w:val="24"/>
          <w:szCs w:val="24"/>
        </w:rPr>
        <w:t xml:space="preserve"> homebirths</w:t>
      </w:r>
      <w:r w:rsidR="00EF0FE1">
        <w:rPr>
          <w:rFonts w:cstheme="minorHAnsi"/>
          <w:sz w:val="24"/>
          <w:szCs w:val="24"/>
        </w:rPr>
        <w:t xml:space="preserve">), </w:t>
      </w:r>
      <w:r w:rsidR="00EF0FE1" w:rsidRPr="003968FD">
        <w:rPr>
          <w:rFonts w:cstheme="minorHAnsi"/>
          <w:sz w:val="24"/>
          <w:szCs w:val="24"/>
        </w:rPr>
        <w:t>Canada and United Kingdom</w:t>
      </w:r>
      <w:r w:rsidR="00EF0FE1">
        <w:rPr>
          <w:rFonts w:cstheme="minorHAnsi"/>
          <w:sz w:val="24"/>
          <w:szCs w:val="24"/>
        </w:rPr>
        <w:t xml:space="preserve"> (2%</w:t>
      </w:r>
      <w:r>
        <w:rPr>
          <w:rFonts w:cstheme="minorHAnsi"/>
          <w:sz w:val="24"/>
          <w:szCs w:val="24"/>
        </w:rPr>
        <w:t xml:space="preserve"> homebirths</w:t>
      </w:r>
      <w:r w:rsidR="00EF0FE1">
        <w:rPr>
          <w:rFonts w:cstheme="minorHAnsi"/>
          <w:sz w:val="24"/>
          <w:szCs w:val="24"/>
        </w:rPr>
        <w:t>)</w:t>
      </w:r>
      <w:r w:rsidR="00EF0FE1" w:rsidRPr="003968FD">
        <w:rPr>
          <w:rFonts w:cstheme="minorHAnsi"/>
          <w:sz w:val="24"/>
          <w:szCs w:val="24"/>
        </w:rPr>
        <w:t xml:space="preserve">, and </w:t>
      </w:r>
      <w:r w:rsidR="00EF0FE1">
        <w:rPr>
          <w:rFonts w:cstheme="minorHAnsi"/>
          <w:sz w:val="24"/>
          <w:szCs w:val="24"/>
        </w:rPr>
        <w:t>the</w:t>
      </w:r>
      <w:r w:rsidR="00EF0FE1" w:rsidRPr="003968FD">
        <w:rPr>
          <w:rFonts w:cstheme="minorHAnsi"/>
          <w:sz w:val="24"/>
          <w:szCs w:val="24"/>
        </w:rPr>
        <w:t xml:space="preserve"> Netherlands</w:t>
      </w:r>
      <w:r w:rsidR="00EF0FE1">
        <w:rPr>
          <w:rFonts w:cstheme="minorHAnsi"/>
          <w:sz w:val="24"/>
          <w:szCs w:val="24"/>
        </w:rPr>
        <w:t xml:space="preserve"> (20%</w:t>
      </w:r>
      <w:r>
        <w:rPr>
          <w:rFonts w:cstheme="minorHAnsi"/>
          <w:sz w:val="24"/>
          <w:szCs w:val="24"/>
        </w:rPr>
        <w:t xml:space="preserve"> homebirths</w:t>
      </w:r>
      <w:r w:rsidR="00EF0FE1">
        <w:rPr>
          <w:rFonts w:cstheme="minorHAnsi"/>
          <w:sz w:val="24"/>
          <w:szCs w:val="24"/>
        </w:rPr>
        <w:t>)</w:t>
      </w:r>
      <w:r>
        <w:rPr>
          <w:rFonts w:cstheme="minorHAnsi"/>
          <w:sz w:val="24"/>
          <w:szCs w:val="24"/>
        </w:rPr>
        <w:t xml:space="preserve">, and </w:t>
      </w:r>
      <w:r w:rsidR="00EF0FE1" w:rsidRPr="003968FD">
        <w:rPr>
          <w:rFonts w:cstheme="minorHAnsi"/>
          <w:sz w:val="24"/>
          <w:szCs w:val="24"/>
        </w:rPr>
        <w:t xml:space="preserve">attributed Australia’s low rate of planned homebirths to the lack of evidence around Australian homebirth outcomes. </w:t>
      </w:r>
    </w:p>
    <w:p w:rsidR="008C57DC" w:rsidRPr="00824722" w:rsidRDefault="00E76864" w:rsidP="008C57DC">
      <w:pPr>
        <w:tabs>
          <w:tab w:val="left" w:pos="2127"/>
        </w:tabs>
        <w:ind w:left="567"/>
        <w:rPr>
          <w:rFonts w:cstheme="minorHAnsi"/>
          <w:sz w:val="24"/>
          <w:szCs w:val="24"/>
        </w:rPr>
      </w:pPr>
      <w:r w:rsidRPr="00E76864">
        <w:rPr>
          <w:color w:val="000000"/>
          <w:sz w:val="24"/>
          <w:szCs w:val="24"/>
        </w:rPr>
        <w:t>As at September 2023</w:t>
      </w:r>
      <w:r>
        <w:rPr>
          <w:color w:val="000000"/>
          <w:sz w:val="24"/>
          <w:szCs w:val="24"/>
        </w:rPr>
        <w:t>,</w:t>
      </w:r>
      <w:r w:rsidRPr="00E76864">
        <w:rPr>
          <w:color w:val="000000"/>
          <w:sz w:val="24"/>
          <w:szCs w:val="24"/>
        </w:rPr>
        <w:t xml:space="preserve"> there are 380 midwives insured with </w:t>
      </w:r>
      <w:r w:rsidR="00861F4B">
        <w:rPr>
          <w:color w:val="000000"/>
          <w:sz w:val="24"/>
          <w:szCs w:val="24"/>
        </w:rPr>
        <w:t>the current insurer</w:t>
      </w:r>
      <w:r w:rsidRPr="00E76864">
        <w:rPr>
          <w:color w:val="000000"/>
          <w:sz w:val="24"/>
          <w:szCs w:val="24"/>
        </w:rPr>
        <w:t xml:space="preserve"> under the MPIS</w:t>
      </w:r>
      <w:r>
        <w:rPr>
          <w:color w:val="000000"/>
          <w:sz w:val="24"/>
          <w:szCs w:val="24"/>
        </w:rPr>
        <w:t xml:space="preserve"> and </w:t>
      </w:r>
      <w:r w:rsidRPr="00D961EC">
        <w:rPr>
          <w:color w:val="000000"/>
          <w:sz w:val="24"/>
          <w:szCs w:val="24"/>
        </w:rPr>
        <w:t>104</w:t>
      </w:r>
      <w:r>
        <w:rPr>
          <w:color w:val="000000"/>
          <w:sz w:val="24"/>
          <w:szCs w:val="24"/>
        </w:rPr>
        <w:t xml:space="preserve"> PPMs </w:t>
      </w:r>
      <w:r w:rsidRPr="003968FD">
        <w:rPr>
          <w:rFonts w:cstheme="minorHAnsi"/>
          <w:sz w:val="24"/>
          <w:szCs w:val="24"/>
        </w:rPr>
        <w:t>providing private homebirth in Australia</w:t>
      </w:r>
      <w:r>
        <w:rPr>
          <w:rFonts w:cstheme="minorHAnsi"/>
          <w:sz w:val="24"/>
          <w:szCs w:val="24"/>
        </w:rPr>
        <w:t>.</w:t>
      </w:r>
      <w:r w:rsidR="00EF0FE1">
        <w:rPr>
          <w:rFonts w:cstheme="minorHAnsi"/>
          <w:sz w:val="24"/>
          <w:szCs w:val="24"/>
        </w:rPr>
        <w:t xml:space="preserve"> </w:t>
      </w:r>
      <w:r w:rsidR="008C57DC" w:rsidRPr="00824722">
        <w:rPr>
          <w:rFonts w:cstheme="minorHAnsi"/>
          <w:sz w:val="24"/>
          <w:szCs w:val="24"/>
        </w:rPr>
        <w:t xml:space="preserve">The exact number of women and PPMs impacted by the gap in insurance is still being determined. </w:t>
      </w:r>
    </w:p>
    <w:p w:rsidR="00D346D4" w:rsidRPr="00824722" w:rsidRDefault="00D346D4" w:rsidP="000B3074">
      <w:pPr>
        <w:tabs>
          <w:tab w:val="left" w:pos="2127"/>
        </w:tabs>
        <w:ind w:left="567"/>
        <w:rPr>
          <w:rFonts w:cstheme="minorHAnsi"/>
          <w:sz w:val="24"/>
          <w:szCs w:val="24"/>
        </w:rPr>
      </w:pPr>
      <w:r w:rsidRPr="00824722">
        <w:rPr>
          <w:rFonts w:cstheme="minorHAnsi"/>
          <w:sz w:val="24"/>
          <w:szCs w:val="24"/>
        </w:rPr>
        <w:t>The 2018 First Principles Review of the Medical Indemnity Insurance Fund</w:t>
      </w:r>
      <w:r w:rsidR="0058344C" w:rsidRPr="00824722">
        <w:rPr>
          <w:rFonts w:cstheme="minorHAnsi"/>
          <w:sz w:val="24"/>
          <w:szCs w:val="24"/>
        </w:rPr>
        <w:t>, which</w:t>
      </w:r>
      <w:r w:rsidRPr="00824722">
        <w:rPr>
          <w:rFonts w:cstheme="minorHAnsi"/>
          <w:sz w:val="24"/>
          <w:szCs w:val="24"/>
        </w:rPr>
        <w:t xml:space="preserve"> provides data </w:t>
      </w:r>
      <w:r w:rsidR="0058344C" w:rsidRPr="00824722">
        <w:rPr>
          <w:rFonts w:cstheme="minorHAnsi"/>
          <w:sz w:val="24"/>
          <w:szCs w:val="24"/>
        </w:rPr>
        <w:t xml:space="preserve">on </w:t>
      </w:r>
      <w:r w:rsidRPr="00824722">
        <w:rPr>
          <w:rFonts w:cstheme="minorHAnsi"/>
          <w:sz w:val="24"/>
          <w:szCs w:val="24"/>
        </w:rPr>
        <w:t>the risk of liability for homebirth</w:t>
      </w:r>
      <w:r w:rsidR="0058344C" w:rsidRPr="00824722">
        <w:rPr>
          <w:rFonts w:cstheme="minorHAnsi"/>
          <w:sz w:val="24"/>
          <w:szCs w:val="24"/>
        </w:rPr>
        <w:t xml:space="preserve"> reported that</w:t>
      </w:r>
      <w:r w:rsidRPr="00824722">
        <w:rPr>
          <w:rFonts w:cstheme="minorHAnsi"/>
          <w:sz w:val="24"/>
          <w:szCs w:val="24"/>
        </w:rPr>
        <w:t>:</w:t>
      </w:r>
    </w:p>
    <w:p w:rsidR="00D346D4" w:rsidRPr="00824722" w:rsidRDefault="0058344C" w:rsidP="00C72F31">
      <w:pPr>
        <w:pStyle w:val="ListParagraph"/>
        <w:numPr>
          <w:ilvl w:val="0"/>
          <w:numId w:val="5"/>
        </w:numPr>
        <w:tabs>
          <w:tab w:val="left" w:pos="2127"/>
        </w:tabs>
        <w:ind w:left="1281" w:hanging="357"/>
        <w:contextualSpacing w:val="0"/>
        <w:rPr>
          <w:rFonts w:cstheme="minorHAnsi"/>
          <w:sz w:val="24"/>
          <w:szCs w:val="24"/>
        </w:rPr>
      </w:pPr>
      <w:r w:rsidRPr="00824722">
        <w:rPr>
          <w:rFonts w:cstheme="minorHAnsi"/>
          <w:sz w:val="24"/>
          <w:szCs w:val="24"/>
        </w:rPr>
        <w:t>b</w:t>
      </w:r>
      <w:r w:rsidR="00D346D4" w:rsidRPr="00824722">
        <w:rPr>
          <w:rFonts w:cstheme="minorHAnsi"/>
          <w:sz w:val="24"/>
          <w:szCs w:val="24"/>
        </w:rPr>
        <w:t>etween 2010 and 2017</w:t>
      </w:r>
      <w:r w:rsidR="00DF244C" w:rsidRPr="00824722">
        <w:rPr>
          <w:rFonts w:cstheme="minorHAnsi"/>
          <w:sz w:val="24"/>
          <w:szCs w:val="24"/>
        </w:rPr>
        <w:t xml:space="preserve"> there had</w:t>
      </w:r>
      <w:r w:rsidR="00D346D4" w:rsidRPr="00824722">
        <w:rPr>
          <w:rFonts w:cstheme="minorHAnsi"/>
          <w:sz w:val="24"/>
          <w:szCs w:val="24"/>
        </w:rPr>
        <w:t xml:space="preserve"> only been two claims made against midwives insured under the MPIS</w:t>
      </w:r>
      <w:r w:rsidR="007F218A" w:rsidRPr="00824722">
        <w:rPr>
          <w:rFonts w:cstheme="minorHAnsi"/>
          <w:sz w:val="24"/>
          <w:szCs w:val="24"/>
        </w:rPr>
        <w:t>. Neither of these reached the $100,000 threshold for a claim to be made under the MPIS</w:t>
      </w:r>
    </w:p>
    <w:p w:rsidR="007F218A" w:rsidRPr="00824722" w:rsidRDefault="0058344C" w:rsidP="00C72F31">
      <w:pPr>
        <w:pStyle w:val="ListParagraph"/>
        <w:numPr>
          <w:ilvl w:val="0"/>
          <w:numId w:val="5"/>
        </w:numPr>
        <w:tabs>
          <w:tab w:val="left" w:pos="2127"/>
        </w:tabs>
        <w:ind w:left="1281" w:hanging="357"/>
        <w:contextualSpacing w:val="0"/>
        <w:rPr>
          <w:rFonts w:cstheme="minorHAnsi"/>
          <w:sz w:val="24"/>
          <w:szCs w:val="24"/>
        </w:rPr>
      </w:pPr>
      <w:r w:rsidRPr="00824722">
        <w:rPr>
          <w:rFonts w:cstheme="minorHAnsi"/>
          <w:sz w:val="24"/>
          <w:szCs w:val="24"/>
        </w:rPr>
        <w:t>o</w:t>
      </w:r>
      <w:r w:rsidR="00DF244C" w:rsidRPr="00824722">
        <w:rPr>
          <w:rFonts w:cstheme="minorHAnsi"/>
          <w:sz w:val="24"/>
          <w:szCs w:val="24"/>
        </w:rPr>
        <w:t>ver the 2010-2017, there had</w:t>
      </w:r>
      <w:r w:rsidR="007F218A" w:rsidRPr="00824722">
        <w:rPr>
          <w:rFonts w:cstheme="minorHAnsi"/>
          <w:sz w:val="24"/>
          <w:szCs w:val="24"/>
        </w:rPr>
        <w:t xml:space="preserve"> been 15 legal expense only matters (not reaching the threshold) and 95 incidents reported to the insurer which have not yet to a claim</w:t>
      </w:r>
    </w:p>
    <w:p w:rsidR="007F218A" w:rsidRPr="00824722" w:rsidRDefault="0058344C" w:rsidP="00C72F31">
      <w:pPr>
        <w:pStyle w:val="ListParagraph"/>
        <w:numPr>
          <w:ilvl w:val="0"/>
          <w:numId w:val="5"/>
        </w:numPr>
        <w:tabs>
          <w:tab w:val="left" w:pos="2127"/>
        </w:tabs>
        <w:ind w:left="1281" w:hanging="357"/>
        <w:contextualSpacing w:val="0"/>
        <w:rPr>
          <w:rFonts w:cstheme="minorHAnsi"/>
          <w:sz w:val="24"/>
          <w:szCs w:val="24"/>
        </w:rPr>
      </w:pPr>
      <w:r w:rsidRPr="00824722">
        <w:rPr>
          <w:rFonts w:cstheme="minorHAnsi"/>
          <w:sz w:val="24"/>
          <w:szCs w:val="24"/>
        </w:rPr>
        <w:t>n</w:t>
      </w:r>
      <w:r w:rsidR="007F218A" w:rsidRPr="00824722">
        <w:rPr>
          <w:rFonts w:cstheme="minorHAnsi"/>
          <w:sz w:val="24"/>
          <w:szCs w:val="24"/>
        </w:rPr>
        <w:t>o payments have been incurred under the MPIS since the inception of the scheme.</w:t>
      </w:r>
    </w:p>
    <w:p w:rsidR="00F03AAA" w:rsidRPr="00ED6695" w:rsidRDefault="00170F4A" w:rsidP="0058344C">
      <w:pPr>
        <w:pStyle w:val="Heading3"/>
      </w:pPr>
      <w:bookmarkStart w:id="24" w:name="_Toc162017775"/>
      <w:r w:rsidRPr="00824722">
        <w:t xml:space="preserve">Problem 3: </w:t>
      </w:r>
      <w:r w:rsidR="00F03AAA" w:rsidRPr="00824722">
        <w:t xml:space="preserve">Birthing on </w:t>
      </w:r>
      <w:r w:rsidR="0021158D" w:rsidRPr="00824722">
        <w:t>C</w:t>
      </w:r>
      <w:r w:rsidR="00F03AAA" w:rsidRPr="00824722">
        <w:t>ountry</w:t>
      </w:r>
      <w:bookmarkEnd w:id="24"/>
    </w:p>
    <w:p w:rsidR="004773F7" w:rsidRPr="004773F7" w:rsidRDefault="00677FB0" w:rsidP="00677FB0">
      <w:pPr>
        <w:tabs>
          <w:tab w:val="left" w:pos="2127"/>
        </w:tabs>
        <w:ind w:left="567"/>
        <w:rPr>
          <w:rFonts w:cstheme="minorHAnsi"/>
          <w:sz w:val="24"/>
          <w:szCs w:val="24"/>
        </w:rPr>
      </w:pPr>
      <w:r w:rsidRPr="004773F7">
        <w:rPr>
          <w:rFonts w:cstheme="minorHAnsi"/>
          <w:sz w:val="24"/>
          <w:szCs w:val="24"/>
        </w:rPr>
        <w:t>ACCHOs have advised they may need to cease pr</w:t>
      </w:r>
      <w:r w:rsidR="00291C47">
        <w:rPr>
          <w:rFonts w:cstheme="minorHAnsi"/>
          <w:sz w:val="24"/>
          <w:szCs w:val="24"/>
        </w:rPr>
        <w:t xml:space="preserve">ovision of </w:t>
      </w:r>
      <w:r w:rsidRPr="004773F7">
        <w:rPr>
          <w:rFonts w:cstheme="minorHAnsi"/>
          <w:sz w:val="24"/>
          <w:szCs w:val="24"/>
        </w:rPr>
        <w:t xml:space="preserve">BoC services for First National women and women giving birth to a First Nations baby if insurance cover is not available for intrapartum out of hospital services. </w:t>
      </w:r>
      <w:r w:rsidR="00F03AAA" w:rsidRPr="004773F7">
        <w:rPr>
          <w:rFonts w:cstheme="minorHAnsi"/>
          <w:sz w:val="24"/>
          <w:szCs w:val="24"/>
        </w:rPr>
        <w:t>The cessation of services would adversely impact the progress made towards the implementation of BoC models and leave many First Nations women without access to culturally safe, continuous maternity care. It could also hamper efforts to achieve Closing the Gap Target 2 to increase the proportion of Aboriginal and Torres Strait Islander babies with a healthy birthweight to 91%, by 2031</w:t>
      </w:r>
      <w:r w:rsidR="001B45F0">
        <w:rPr>
          <w:sz w:val="24"/>
          <w:szCs w:val="24"/>
        </w:rPr>
        <w:t xml:space="preserve"> and </w:t>
      </w:r>
      <w:r w:rsidR="004773F7" w:rsidRPr="004773F7">
        <w:rPr>
          <w:sz w:val="24"/>
          <w:szCs w:val="24"/>
        </w:rPr>
        <w:t xml:space="preserve">Target 12, by 2031, reduce the rate of over-representation of Aboriginal and Torres Strait Islander children in out-of-home care by 45 percent. Research shows that BoC models are contributing to better health outcomes for First Nations mothers and babies, including a </w:t>
      </w:r>
      <w:r w:rsidR="00ED6695">
        <w:rPr>
          <w:sz w:val="24"/>
          <w:szCs w:val="24"/>
        </w:rPr>
        <w:br/>
      </w:r>
      <w:r w:rsidR="004773F7" w:rsidRPr="004773F7">
        <w:rPr>
          <w:sz w:val="24"/>
          <w:szCs w:val="24"/>
        </w:rPr>
        <w:t>50% reduction in preterm birth r</w:t>
      </w:r>
      <w:r w:rsidR="00ED6695">
        <w:rPr>
          <w:sz w:val="24"/>
          <w:szCs w:val="24"/>
        </w:rPr>
        <w:t>ates where trialled and a three-</w:t>
      </w:r>
      <w:r w:rsidR="004773F7" w:rsidRPr="004773F7">
        <w:rPr>
          <w:sz w:val="24"/>
          <w:szCs w:val="24"/>
        </w:rPr>
        <w:t xml:space="preserve">fold decrease in the number of children being removed from their family at birth. </w:t>
      </w:r>
    </w:p>
    <w:p w:rsidR="004773F7" w:rsidRDefault="00006683" w:rsidP="00677FB0">
      <w:pPr>
        <w:tabs>
          <w:tab w:val="left" w:pos="2127"/>
        </w:tabs>
        <w:ind w:left="567"/>
        <w:rPr>
          <w:rFonts w:cstheme="minorHAnsi"/>
          <w:sz w:val="24"/>
          <w:szCs w:val="24"/>
        </w:rPr>
      </w:pPr>
      <w:r w:rsidRPr="00824722">
        <w:rPr>
          <w:rFonts w:cstheme="minorHAnsi"/>
          <w:sz w:val="24"/>
          <w:szCs w:val="24"/>
        </w:rPr>
        <w:t xml:space="preserve">If the insurance gap is not resolved, </w:t>
      </w:r>
      <w:r w:rsidR="00C87DE9" w:rsidRPr="00824722">
        <w:rPr>
          <w:rFonts w:cstheme="minorHAnsi"/>
          <w:sz w:val="24"/>
          <w:szCs w:val="24"/>
        </w:rPr>
        <w:t>current BoC</w:t>
      </w:r>
      <w:r w:rsidRPr="00824722">
        <w:rPr>
          <w:rFonts w:cstheme="minorHAnsi"/>
          <w:sz w:val="24"/>
          <w:szCs w:val="24"/>
        </w:rPr>
        <w:t xml:space="preserve"> investments </w:t>
      </w:r>
      <w:r w:rsidR="00C87DE9" w:rsidRPr="00824722">
        <w:rPr>
          <w:rFonts w:cstheme="minorHAnsi"/>
          <w:sz w:val="24"/>
          <w:szCs w:val="24"/>
        </w:rPr>
        <w:t xml:space="preserve">including the construction of a dedicated BoC </w:t>
      </w:r>
      <w:r w:rsidR="00CD6B34" w:rsidRPr="00824722">
        <w:rPr>
          <w:rFonts w:cstheme="minorHAnsi"/>
          <w:sz w:val="24"/>
          <w:szCs w:val="24"/>
        </w:rPr>
        <w:t>centre</w:t>
      </w:r>
      <w:r w:rsidR="00C87DE9" w:rsidRPr="00824722">
        <w:rPr>
          <w:rFonts w:cstheme="minorHAnsi"/>
          <w:sz w:val="24"/>
          <w:szCs w:val="24"/>
        </w:rPr>
        <w:t xml:space="preserve"> of excellence in Nowra, NSW, </w:t>
      </w:r>
      <w:r w:rsidRPr="00824722">
        <w:rPr>
          <w:rFonts w:cstheme="minorHAnsi"/>
          <w:sz w:val="24"/>
          <w:szCs w:val="24"/>
        </w:rPr>
        <w:t xml:space="preserve">and the positive impacts of BoC models are at risk. </w:t>
      </w:r>
      <w:r w:rsidR="00F03AAA" w:rsidRPr="00824722">
        <w:rPr>
          <w:rFonts w:cstheme="minorHAnsi"/>
          <w:sz w:val="24"/>
          <w:szCs w:val="24"/>
        </w:rPr>
        <w:t xml:space="preserve">The cessation of BoC services due to gaps in insurance coverage could lead to increased risks, including women </w:t>
      </w:r>
      <w:r w:rsidR="004773F7" w:rsidRPr="00824722">
        <w:rPr>
          <w:rFonts w:cstheme="minorHAnsi"/>
          <w:sz w:val="24"/>
          <w:szCs w:val="24"/>
        </w:rPr>
        <w:t xml:space="preserve">labouring and birthing </w:t>
      </w:r>
      <w:r w:rsidR="00F03AAA" w:rsidRPr="00824722">
        <w:rPr>
          <w:rFonts w:cstheme="minorHAnsi"/>
          <w:sz w:val="24"/>
          <w:szCs w:val="24"/>
        </w:rPr>
        <w:t xml:space="preserve">alone or entering hospitals prematurely, </w:t>
      </w:r>
      <w:r w:rsidR="004773F7" w:rsidRPr="00824722">
        <w:rPr>
          <w:rFonts w:cstheme="minorHAnsi"/>
          <w:sz w:val="24"/>
          <w:szCs w:val="24"/>
        </w:rPr>
        <w:t xml:space="preserve">which is shown to increase the risk of </w:t>
      </w:r>
      <w:r w:rsidR="00F03AAA" w:rsidRPr="00824722">
        <w:rPr>
          <w:rFonts w:cstheme="minorHAnsi"/>
          <w:sz w:val="24"/>
          <w:szCs w:val="24"/>
        </w:rPr>
        <w:t>birth interventions and trauma</w:t>
      </w:r>
      <w:r w:rsidR="004773F7" w:rsidRPr="00824722">
        <w:rPr>
          <w:rFonts w:cstheme="minorHAnsi"/>
          <w:sz w:val="24"/>
          <w:szCs w:val="24"/>
        </w:rPr>
        <w:t>.</w:t>
      </w:r>
      <w:r w:rsidRPr="00824722">
        <w:rPr>
          <w:rFonts w:cstheme="minorHAnsi"/>
          <w:sz w:val="24"/>
          <w:szCs w:val="24"/>
        </w:rPr>
        <w:t xml:space="preserve"> </w:t>
      </w:r>
      <w:r w:rsidR="008C57DC" w:rsidRPr="00824722">
        <w:rPr>
          <w:rFonts w:cstheme="minorHAnsi"/>
          <w:sz w:val="24"/>
          <w:szCs w:val="24"/>
        </w:rPr>
        <w:t>There are currently 3 ACCHOs impacted by the gap in insurance.</w:t>
      </w:r>
    </w:p>
    <w:p w:rsidR="009C7FA8" w:rsidRPr="00ED6695" w:rsidRDefault="00170F4A" w:rsidP="0058344C">
      <w:pPr>
        <w:pStyle w:val="Heading3"/>
      </w:pPr>
      <w:bookmarkStart w:id="25" w:name="_Toc162017776"/>
      <w:r>
        <w:t xml:space="preserve">Problem 4: </w:t>
      </w:r>
      <w:r w:rsidR="009C7FA8" w:rsidRPr="00ED6695">
        <w:t>Barriers discouraging insurers from entering the market</w:t>
      </w:r>
      <w:bookmarkEnd w:id="25"/>
      <w:r w:rsidR="009C7FA8" w:rsidRPr="00ED6695">
        <w:t xml:space="preserve"> </w:t>
      </w:r>
    </w:p>
    <w:p w:rsidR="000625AB" w:rsidRPr="00523CB3" w:rsidRDefault="00C702F8" w:rsidP="000625AB">
      <w:pPr>
        <w:tabs>
          <w:tab w:val="left" w:pos="2127"/>
        </w:tabs>
        <w:ind w:left="567"/>
        <w:rPr>
          <w:rFonts w:cstheme="minorHAnsi"/>
          <w:sz w:val="24"/>
          <w:szCs w:val="24"/>
        </w:rPr>
      </w:pPr>
      <w:r w:rsidRPr="002540A2">
        <w:rPr>
          <w:rFonts w:cstheme="minorHAnsi"/>
          <w:color w:val="000000" w:themeColor="text1"/>
          <w:sz w:val="24"/>
          <w:szCs w:val="24"/>
        </w:rPr>
        <w:t>Currently, no insurer is prepared to insure PPMs for low-risk home births or intrapartum c</w:t>
      </w:r>
      <w:r>
        <w:rPr>
          <w:rFonts w:cstheme="minorHAnsi"/>
          <w:color w:val="000000" w:themeColor="text1"/>
          <w:sz w:val="24"/>
          <w:szCs w:val="24"/>
        </w:rPr>
        <w:t xml:space="preserve">are outside a hospital setting </w:t>
      </w:r>
      <w:r w:rsidR="00523CB3" w:rsidRPr="00523CB3">
        <w:rPr>
          <w:sz w:val="24"/>
          <w:szCs w:val="24"/>
        </w:rPr>
        <w:t xml:space="preserve">under the existing Government supports available through the Midwives Schemes. </w:t>
      </w:r>
      <w:r w:rsidR="00523CB3" w:rsidRPr="00523CB3">
        <w:rPr>
          <w:rFonts w:cstheme="minorHAnsi"/>
          <w:sz w:val="24"/>
          <w:szCs w:val="24"/>
        </w:rPr>
        <w:t>This</w:t>
      </w:r>
      <w:r w:rsidR="000625AB" w:rsidRPr="00523CB3">
        <w:rPr>
          <w:rFonts w:cstheme="minorHAnsi"/>
          <w:sz w:val="24"/>
          <w:szCs w:val="24"/>
        </w:rPr>
        <w:t xml:space="preserve"> lack of </w:t>
      </w:r>
      <w:r w:rsidR="0021158D">
        <w:rPr>
          <w:rFonts w:cstheme="minorHAnsi"/>
          <w:sz w:val="24"/>
          <w:szCs w:val="24"/>
        </w:rPr>
        <w:t xml:space="preserve">interest </w:t>
      </w:r>
      <w:r w:rsidR="000625AB" w:rsidRPr="00523CB3">
        <w:rPr>
          <w:rFonts w:cstheme="minorHAnsi"/>
          <w:sz w:val="24"/>
          <w:szCs w:val="24"/>
        </w:rPr>
        <w:t xml:space="preserve">reflects a view that it is difficult for insurers to accurately quantify risks due to a lack of data to form a risk profile of PPMs conducting homebirth intrapartum care services, the nature of </w:t>
      </w:r>
      <w:r w:rsidR="000625AB" w:rsidRPr="007D70EC">
        <w:rPr>
          <w:rFonts w:cstheme="minorHAnsi"/>
          <w:sz w:val="24"/>
          <w:szCs w:val="24"/>
        </w:rPr>
        <w:t xml:space="preserve">services that could lead to significant high cost claims, and lack of assurance that the regulatory framework is sufficient. Insurers risk profiling follows a structured and auditable process, and the </w:t>
      </w:r>
      <w:r w:rsidR="008A58DF" w:rsidRPr="007D70EC">
        <w:rPr>
          <w:rFonts w:cstheme="minorHAnsi"/>
          <w:sz w:val="24"/>
          <w:szCs w:val="24"/>
        </w:rPr>
        <w:t>market</w:t>
      </w:r>
      <w:r w:rsidR="008A58DF">
        <w:rPr>
          <w:rFonts w:cstheme="minorHAnsi"/>
          <w:sz w:val="24"/>
          <w:szCs w:val="24"/>
        </w:rPr>
        <w:t xml:space="preserve"> is too small to generat</w:t>
      </w:r>
      <w:r w:rsidR="00433559">
        <w:rPr>
          <w:rFonts w:cstheme="minorHAnsi"/>
          <w:sz w:val="24"/>
          <w:szCs w:val="24"/>
        </w:rPr>
        <w:t>e a risk pool specifically for privately p</w:t>
      </w:r>
      <w:r w:rsidR="008A58DF">
        <w:rPr>
          <w:rFonts w:cstheme="minorHAnsi"/>
          <w:sz w:val="24"/>
          <w:szCs w:val="24"/>
        </w:rPr>
        <w:t>ractising midwifery services.</w:t>
      </w:r>
    </w:p>
    <w:p w:rsidR="006D7718" w:rsidRDefault="009C7FA8" w:rsidP="006D7718">
      <w:pPr>
        <w:tabs>
          <w:tab w:val="left" w:pos="2127"/>
        </w:tabs>
        <w:ind w:left="567"/>
        <w:rPr>
          <w:sz w:val="24"/>
          <w:szCs w:val="24"/>
        </w:rPr>
      </w:pPr>
      <w:r w:rsidRPr="003968FD">
        <w:rPr>
          <w:rFonts w:cstheme="minorHAnsi"/>
          <w:sz w:val="24"/>
          <w:szCs w:val="24"/>
        </w:rPr>
        <w:t xml:space="preserve">Australian medical indemnity Insurers have </w:t>
      </w:r>
      <w:r w:rsidR="000625AB">
        <w:rPr>
          <w:rFonts w:cstheme="minorHAnsi"/>
          <w:sz w:val="24"/>
          <w:szCs w:val="24"/>
        </w:rPr>
        <w:t xml:space="preserve">also </w:t>
      </w:r>
      <w:r w:rsidRPr="003968FD">
        <w:rPr>
          <w:rFonts w:cstheme="minorHAnsi"/>
          <w:sz w:val="24"/>
          <w:szCs w:val="24"/>
        </w:rPr>
        <w:t>advised Government that the lack of coverage for</w:t>
      </w:r>
      <w:r w:rsidR="0021158D">
        <w:rPr>
          <w:rFonts w:cstheme="minorHAnsi"/>
          <w:sz w:val="24"/>
          <w:szCs w:val="24"/>
        </w:rPr>
        <w:t xml:space="preserve"> low-risk</w:t>
      </w:r>
      <w:r w:rsidRPr="003968FD">
        <w:rPr>
          <w:rFonts w:cstheme="minorHAnsi"/>
          <w:sz w:val="24"/>
          <w:szCs w:val="24"/>
        </w:rPr>
        <w:t xml:space="preserve"> home birth </w:t>
      </w:r>
      <w:r w:rsidR="00E7165D" w:rsidRPr="003968FD">
        <w:rPr>
          <w:rFonts w:cstheme="minorHAnsi"/>
          <w:sz w:val="24"/>
          <w:szCs w:val="24"/>
        </w:rPr>
        <w:t xml:space="preserve">intrapartum care </w:t>
      </w:r>
      <w:r w:rsidRPr="003968FD">
        <w:rPr>
          <w:rFonts w:cstheme="minorHAnsi"/>
          <w:sz w:val="24"/>
          <w:szCs w:val="24"/>
        </w:rPr>
        <w:t>under the MPIS is a significant barrier to offering an insurance product</w:t>
      </w:r>
      <w:r w:rsidRPr="00E820EF">
        <w:rPr>
          <w:rFonts w:cstheme="minorHAnsi"/>
          <w:sz w:val="24"/>
          <w:szCs w:val="24"/>
        </w:rPr>
        <w:t xml:space="preserve">. </w:t>
      </w:r>
      <w:r w:rsidR="006D7718" w:rsidRPr="00E820EF">
        <w:rPr>
          <w:rFonts w:cstheme="minorHAnsi"/>
          <w:color w:val="000000" w:themeColor="text1"/>
          <w:sz w:val="24"/>
          <w:szCs w:val="24"/>
        </w:rPr>
        <w:t xml:space="preserve">A recent approach to market to find an insurer </w:t>
      </w:r>
      <w:r w:rsidR="006D7718" w:rsidRPr="00E820EF">
        <w:rPr>
          <w:sz w:val="24"/>
          <w:szCs w:val="24"/>
        </w:rPr>
        <w:t>who would cover existin</w:t>
      </w:r>
      <w:r w:rsidR="00C702F8" w:rsidRPr="00E820EF">
        <w:rPr>
          <w:sz w:val="24"/>
          <w:szCs w:val="24"/>
        </w:rPr>
        <w:t xml:space="preserve">g services under the existing </w:t>
      </w:r>
      <w:r w:rsidR="006D7718" w:rsidRPr="00E820EF">
        <w:rPr>
          <w:sz w:val="24"/>
          <w:szCs w:val="24"/>
        </w:rPr>
        <w:t>MPIS</w:t>
      </w:r>
      <w:r w:rsidR="00E820EF" w:rsidRPr="00E820EF">
        <w:rPr>
          <w:sz w:val="24"/>
          <w:szCs w:val="24"/>
        </w:rPr>
        <w:t xml:space="preserve"> </w:t>
      </w:r>
      <w:r w:rsidR="00E820EF" w:rsidRPr="00824722">
        <w:rPr>
          <w:sz w:val="24"/>
          <w:szCs w:val="24"/>
        </w:rPr>
        <w:t>gave insurers the option to propose changes to the Commonwealth contributions and subsidy thresholds for the new products, including the Commonwealth covering most or all risk.</w:t>
      </w:r>
      <w:r w:rsidR="006651BA" w:rsidRPr="00824722">
        <w:rPr>
          <w:sz w:val="24"/>
          <w:szCs w:val="24"/>
        </w:rPr>
        <w:t xml:space="preserve"> This approach </w:t>
      </w:r>
      <w:r w:rsidR="006D7718" w:rsidRPr="00824722">
        <w:rPr>
          <w:sz w:val="24"/>
          <w:szCs w:val="24"/>
        </w:rPr>
        <w:t>revealed a market failure in insurance availability.</w:t>
      </w:r>
      <w:r w:rsidR="002D7BB0" w:rsidRPr="00824722">
        <w:rPr>
          <w:sz w:val="24"/>
          <w:szCs w:val="24"/>
        </w:rPr>
        <w:t xml:space="preserve"> </w:t>
      </w:r>
      <w:r w:rsidR="006D7718" w:rsidRPr="00824722">
        <w:rPr>
          <w:rFonts w:cstheme="minorHAnsi"/>
          <w:color w:val="000000" w:themeColor="text1"/>
          <w:sz w:val="24"/>
          <w:szCs w:val="24"/>
        </w:rPr>
        <w:t xml:space="preserve">Only one tenderer responded, who has bid to manage the existing Midwives Scheme from </w:t>
      </w:r>
      <w:r w:rsidR="006651BA" w:rsidRPr="00824722">
        <w:rPr>
          <w:rFonts w:cstheme="minorHAnsi"/>
          <w:color w:val="000000" w:themeColor="text1"/>
          <w:sz w:val="24"/>
          <w:szCs w:val="24"/>
        </w:rPr>
        <w:br/>
      </w:r>
      <w:r w:rsidR="006D7718" w:rsidRPr="00824722">
        <w:rPr>
          <w:rFonts w:cstheme="minorHAnsi"/>
          <w:color w:val="000000" w:themeColor="text1"/>
          <w:sz w:val="24"/>
          <w:szCs w:val="24"/>
        </w:rPr>
        <w:t xml:space="preserve">1 July 2025 when the current contract ends. </w:t>
      </w:r>
      <w:r w:rsidR="002D7BB0" w:rsidRPr="00824722">
        <w:rPr>
          <w:rFonts w:cstheme="minorHAnsi"/>
          <w:color w:val="000000" w:themeColor="text1"/>
          <w:sz w:val="24"/>
          <w:szCs w:val="24"/>
        </w:rPr>
        <w:t>The insurer</w:t>
      </w:r>
      <w:r w:rsidR="006D7718" w:rsidRPr="00824722">
        <w:rPr>
          <w:rFonts w:cstheme="minorHAnsi"/>
          <w:color w:val="000000" w:themeColor="text1"/>
          <w:sz w:val="24"/>
          <w:szCs w:val="24"/>
        </w:rPr>
        <w:t xml:space="preserve"> will only cover these</w:t>
      </w:r>
      <w:r w:rsidR="006D7718">
        <w:rPr>
          <w:rFonts w:cstheme="minorHAnsi"/>
          <w:color w:val="000000" w:themeColor="text1"/>
          <w:sz w:val="24"/>
          <w:szCs w:val="24"/>
        </w:rPr>
        <w:t xml:space="preserve"> two new services </w:t>
      </w:r>
      <w:r w:rsidR="006D7718" w:rsidRPr="00447E34">
        <w:rPr>
          <w:sz w:val="24"/>
          <w:szCs w:val="24"/>
        </w:rPr>
        <w:t xml:space="preserve">if the Commonwealth covers 100% of claim costs for low-risk home births and intrapartum care outside </w:t>
      </w:r>
      <w:r w:rsidR="0021158D">
        <w:rPr>
          <w:sz w:val="24"/>
          <w:szCs w:val="24"/>
        </w:rPr>
        <w:t xml:space="preserve">a </w:t>
      </w:r>
      <w:r w:rsidR="006D7718" w:rsidRPr="00447E34">
        <w:rPr>
          <w:sz w:val="24"/>
          <w:szCs w:val="24"/>
        </w:rPr>
        <w:t>hospital.</w:t>
      </w:r>
    </w:p>
    <w:p w:rsidR="00AC0509" w:rsidRPr="00824722" w:rsidRDefault="00395C5C" w:rsidP="00C60D79">
      <w:pPr>
        <w:pStyle w:val="Heading4"/>
        <w:rPr>
          <w:rFonts w:cstheme="minorHAnsi"/>
          <w:color w:val="0070C0"/>
          <w:u w:val="single"/>
        </w:rPr>
      </w:pPr>
      <w:r w:rsidRPr="00824722">
        <w:rPr>
          <w:rFonts w:cstheme="minorHAnsi"/>
          <w:color w:val="0070C0"/>
          <w:u w:val="single"/>
        </w:rPr>
        <w:t>Analysis of i</w:t>
      </w:r>
      <w:r w:rsidR="00AC0509" w:rsidRPr="00824722">
        <w:rPr>
          <w:rFonts w:cstheme="minorHAnsi"/>
          <w:color w:val="0070C0"/>
          <w:u w:val="single"/>
        </w:rPr>
        <w:t xml:space="preserve">nternational </w:t>
      </w:r>
      <w:r w:rsidRPr="00824722">
        <w:rPr>
          <w:rFonts w:cstheme="minorHAnsi"/>
          <w:color w:val="0070C0"/>
          <w:u w:val="single"/>
        </w:rPr>
        <w:t>models</w:t>
      </w:r>
    </w:p>
    <w:p w:rsidR="00642B1B" w:rsidRPr="00824722" w:rsidRDefault="001B656E" w:rsidP="00642B1B">
      <w:pPr>
        <w:tabs>
          <w:tab w:val="left" w:pos="2127"/>
        </w:tabs>
        <w:ind w:left="567"/>
        <w:rPr>
          <w:rFonts w:cstheme="minorHAnsi"/>
          <w:color w:val="000000" w:themeColor="text1"/>
          <w:sz w:val="24"/>
          <w:szCs w:val="24"/>
        </w:rPr>
      </w:pPr>
      <w:r w:rsidRPr="00824722">
        <w:rPr>
          <w:rFonts w:cstheme="minorHAnsi"/>
          <w:color w:val="000000" w:themeColor="text1"/>
          <w:sz w:val="24"/>
          <w:szCs w:val="24"/>
        </w:rPr>
        <w:t>In Australia, Medicare provides universal public healthcare. However, medical indemnity arrangements for endorsed midwives practising in Australia differ considerably from insurance arrangements</w:t>
      </w:r>
      <w:r w:rsidR="00E84590" w:rsidRPr="00824722">
        <w:rPr>
          <w:rFonts w:cstheme="minorHAnsi"/>
          <w:color w:val="000000" w:themeColor="text1"/>
          <w:sz w:val="24"/>
          <w:szCs w:val="24"/>
        </w:rPr>
        <w:t xml:space="preserve"> for midwives practising</w:t>
      </w:r>
      <w:r w:rsidRPr="00824722">
        <w:rPr>
          <w:rFonts w:cstheme="minorHAnsi"/>
          <w:color w:val="000000" w:themeColor="text1"/>
          <w:sz w:val="24"/>
          <w:szCs w:val="24"/>
        </w:rPr>
        <w:t xml:space="preserve"> in other countries with universal public healthcare systems.</w:t>
      </w:r>
    </w:p>
    <w:p w:rsidR="00AC0509" w:rsidRPr="00824722" w:rsidRDefault="00CB1441" w:rsidP="00A622D8">
      <w:pPr>
        <w:pStyle w:val="ListParagraph"/>
        <w:numPr>
          <w:ilvl w:val="0"/>
          <w:numId w:val="25"/>
        </w:numPr>
        <w:tabs>
          <w:tab w:val="left" w:pos="2127"/>
        </w:tabs>
        <w:ind w:left="1281" w:hanging="357"/>
        <w:contextualSpacing w:val="0"/>
        <w:rPr>
          <w:rFonts w:cstheme="minorHAnsi"/>
          <w:color w:val="000000" w:themeColor="text1"/>
          <w:sz w:val="24"/>
          <w:szCs w:val="24"/>
        </w:rPr>
      </w:pPr>
      <w:r w:rsidRPr="00824722">
        <w:rPr>
          <w:rFonts w:cstheme="minorHAnsi"/>
          <w:color w:val="000000" w:themeColor="text1"/>
          <w:sz w:val="24"/>
          <w:szCs w:val="24"/>
        </w:rPr>
        <w:t xml:space="preserve">Sweden has a universal public healthcare system. </w:t>
      </w:r>
      <w:r w:rsidR="00B117A2" w:rsidRPr="00824722">
        <w:rPr>
          <w:rFonts w:cstheme="minorHAnsi"/>
          <w:color w:val="000000" w:themeColor="text1"/>
          <w:sz w:val="24"/>
          <w:szCs w:val="24"/>
        </w:rPr>
        <w:t>P</w:t>
      </w:r>
      <w:r w:rsidR="00746F9B" w:rsidRPr="00824722">
        <w:rPr>
          <w:rFonts w:cstheme="minorHAnsi"/>
          <w:color w:val="000000" w:themeColor="text1"/>
          <w:sz w:val="24"/>
          <w:szCs w:val="24"/>
        </w:rPr>
        <w:t>renatal and postnatal care in Sweden is primarily delivered through midwives</w:t>
      </w:r>
      <w:r w:rsidR="00746F9B" w:rsidRPr="00824722">
        <w:rPr>
          <w:rFonts w:cstheme="minorHAnsi"/>
          <w:i/>
          <w:iCs/>
          <w:color w:val="000000" w:themeColor="text1"/>
        </w:rPr>
        <w:t>.</w:t>
      </w:r>
      <w:r w:rsidR="00746F9B" w:rsidRPr="00824722">
        <w:rPr>
          <w:rFonts w:cstheme="minorHAnsi"/>
          <w:color w:val="000000" w:themeColor="text1"/>
          <w:sz w:val="24"/>
          <w:szCs w:val="24"/>
        </w:rPr>
        <w:t xml:space="preserve"> The average pregnant person in Sweden only sees a doctor if there is a complication during pregnancy or if they require anaesthesia during delivery</w:t>
      </w:r>
      <w:r w:rsidR="00746F9B" w:rsidRPr="00824722">
        <w:rPr>
          <w:rStyle w:val="FootnoteReference"/>
          <w:rFonts w:cstheme="minorHAnsi"/>
          <w:color w:val="000000" w:themeColor="text1"/>
          <w:sz w:val="24"/>
          <w:szCs w:val="24"/>
        </w:rPr>
        <w:footnoteReference w:id="5"/>
      </w:r>
      <w:r w:rsidR="00746F9B" w:rsidRPr="00824722">
        <w:rPr>
          <w:rFonts w:cstheme="minorHAnsi"/>
          <w:color w:val="000000" w:themeColor="text1"/>
          <w:sz w:val="24"/>
          <w:szCs w:val="24"/>
        </w:rPr>
        <w:t xml:space="preserve">. </w:t>
      </w:r>
      <w:r w:rsidR="00AC0509" w:rsidRPr="00824722">
        <w:rPr>
          <w:rFonts w:cstheme="minorHAnsi"/>
          <w:color w:val="000000" w:themeColor="text1"/>
          <w:sz w:val="24"/>
          <w:szCs w:val="24"/>
        </w:rPr>
        <w:t>The Swedish insurance model indemnifies all health professionals, including midwives for all medical injuries. Under this scheme, injuries are compensated by healthcare insurers on the basis of whether or not the harm was considered to have been avoidab</w:t>
      </w:r>
      <w:r w:rsidR="001B656E" w:rsidRPr="00824722">
        <w:rPr>
          <w:rFonts w:cstheme="minorHAnsi"/>
          <w:color w:val="000000" w:themeColor="text1"/>
          <w:sz w:val="24"/>
          <w:szCs w:val="24"/>
        </w:rPr>
        <w:t>le rather on the basis of fault</w:t>
      </w:r>
      <w:r w:rsidR="00AC0509" w:rsidRPr="00824722">
        <w:rPr>
          <w:rStyle w:val="FootnoteReference"/>
          <w:rFonts w:cstheme="minorHAnsi"/>
          <w:color w:val="000000" w:themeColor="text1"/>
          <w:sz w:val="24"/>
          <w:szCs w:val="24"/>
        </w:rPr>
        <w:footnoteReference w:id="6"/>
      </w:r>
      <w:r w:rsidR="00AC0509" w:rsidRPr="00824722">
        <w:rPr>
          <w:rFonts w:cstheme="minorHAnsi"/>
          <w:color w:val="000000" w:themeColor="text1"/>
          <w:sz w:val="24"/>
          <w:szCs w:val="24"/>
        </w:rPr>
        <w:t>.</w:t>
      </w:r>
    </w:p>
    <w:p w:rsidR="00642B1B" w:rsidRPr="00824722" w:rsidRDefault="00642B1B" w:rsidP="00A622D8">
      <w:pPr>
        <w:pStyle w:val="ListParagraph"/>
        <w:numPr>
          <w:ilvl w:val="0"/>
          <w:numId w:val="25"/>
        </w:numPr>
        <w:tabs>
          <w:tab w:val="left" w:pos="2127"/>
        </w:tabs>
        <w:ind w:left="1281" w:hanging="357"/>
        <w:contextualSpacing w:val="0"/>
        <w:rPr>
          <w:sz w:val="24"/>
          <w:szCs w:val="24"/>
        </w:rPr>
      </w:pPr>
      <w:r w:rsidRPr="00824722">
        <w:rPr>
          <w:rFonts w:cstheme="minorHAnsi"/>
          <w:color w:val="000000" w:themeColor="text1"/>
          <w:sz w:val="24"/>
          <w:szCs w:val="24"/>
        </w:rPr>
        <w:t>New Zealand has a universal public healthcare system. The</w:t>
      </w:r>
      <w:r w:rsidRPr="00824722">
        <w:rPr>
          <w:sz w:val="24"/>
          <w:szCs w:val="24"/>
        </w:rPr>
        <w:t xml:space="preserve"> New Zealand College of Midwives provides professional indemnity insurance, general liability and statutory insurance for self-employed midwives. Entitlement to these insurances is an automatic benefit of membership of the College</w:t>
      </w:r>
      <w:r w:rsidR="00B907E9" w:rsidRPr="00824722">
        <w:rPr>
          <w:rStyle w:val="FootnoteReference"/>
          <w:sz w:val="24"/>
          <w:szCs w:val="24"/>
        </w:rPr>
        <w:footnoteReference w:id="7"/>
      </w:r>
      <w:r w:rsidRPr="00824722">
        <w:rPr>
          <w:sz w:val="24"/>
          <w:szCs w:val="24"/>
        </w:rPr>
        <w:t>.</w:t>
      </w:r>
    </w:p>
    <w:p w:rsidR="00B117A2" w:rsidRPr="00824722" w:rsidRDefault="00E02516" w:rsidP="00A622D8">
      <w:pPr>
        <w:pStyle w:val="ListParagraph"/>
        <w:numPr>
          <w:ilvl w:val="0"/>
          <w:numId w:val="25"/>
        </w:numPr>
        <w:tabs>
          <w:tab w:val="left" w:pos="2127"/>
        </w:tabs>
        <w:ind w:left="1281" w:hanging="357"/>
        <w:contextualSpacing w:val="0"/>
        <w:rPr>
          <w:rFonts w:cstheme="minorHAnsi"/>
          <w:color w:val="000000" w:themeColor="text1"/>
          <w:sz w:val="24"/>
          <w:szCs w:val="24"/>
        </w:rPr>
      </w:pPr>
      <w:r w:rsidRPr="00824722">
        <w:rPr>
          <w:rFonts w:cstheme="minorHAnsi"/>
          <w:color w:val="000000" w:themeColor="text1"/>
          <w:sz w:val="24"/>
          <w:szCs w:val="24"/>
        </w:rPr>
        <w:t>The National Health Service (NHS) provides universal public healthcare i</w:t>
      </w:r>
      <w:r w:rsidR="00B117A2" w:rsidRPr="00824722">
        <w:rPr>
          <w:rFonts w:cstheme="minorHAnsi"/>
          <w:color w:val="000000" w:themeColor="text1"/>
          <w:sz w:val="24"/>
          <w:szCs w:val="24"/>
        </w:rPr>
        <w:t>n the United Kingdom</w:t>
      </w:r>
      <w:r w:rsidR="00636090" w:rsidRPr="00824722">
        <w:rPr>
          <w:rFonts w:cstheme="minorHAnsi"/>
          <w:color w:val="000000" w:themeColor="text1"/>
          <w:sz w:val="24"/>
          <w:szCs w:val="24"/>
        </w:rPr>
        <w:t>, and s</w:t>
      </w:r>
      <w:r w:rsidR="00F65B33" w:rsidRPr="00824722">
        <w:rPr>
          <w:rFonts w:cstheme="minorHAnsi"/>
          <w:color w:val="000000" w:themeColor="text1"/>
          <w:sz w:val="24"/>
          <w:szCs w:val="24"/>
        </w:rPr>
        <w:t xml:space="preserve">upports </w:t>
      </w:r>
      <w:r w:rsidRPr="00824722">
        <w:rPr>
          <w:rFonts w:cstheme="minorHAnsi"/>
          <w:color w:val="000000" w:themeColor="text1"/>
          <w:sz w:val="24"/>
          <w:szCs w:val="24"/>
        </w:rPr>
        <w:t xml:space="preserve">midwives with </w:t>
      </w:r>
      <w:r w:rsidR="00B117A2" w:rsidRPr="00824722">
        <w:rPr>
          <w:rFonts w:cstheme="minorHAnsi"/>
          <w:color w:val="000000" w:themeColor="text1"/>
          <w:sz w:val="24"/>
          <w:szCs w:val="24"/>
        </w:rPr>
        <w:t>appropriate indemnity arrangements. Outside the NHS, many employers are likely to have professional indemnity arrangements that will provide appropriate cover for all the relevant risks related to midwifery scope of practice</w:t>
      </w:r>
      <w:r w:rsidR="00642B1B" w:rsidRPr="00824722">
        <w:rPr>
          <w:rStyle w:val="FootnoteReference"/>
          <w:rFonts w:cstheme="minorHAnsi"/>
          <w:color w:val="000000" w:themeColor="text1"/>
          <w:sz w:val="24"/>
          <w:szCs w:val="24"/>
        </w:rPr>
        <w:footnoteReference w:id="8"/>
      </w:r>
      <w:r w:rsidR="00B117A2" w:rsidRPr="00824722">
        <w:rPr>
          <w:rFonts w:cstheme="minorHAnsi"/>
          <w:color w:val="000000" w:themeColor="text1"/>
          <w:sz w:val="24"/>
          <w:szCs w:val="24"/>
        </w:rPr>
        <w:t>.</w:t>
      </w:r>
    </w:p>
    <w:p w:rsidR="00E02516" w:rsidRPr="00824722" w:rsidRDefault="00E02516" w:rsidP="00A622D8">
      <w:pPr>
        <w:pStyle w:val="ListParagraph"/>
        <w:numPr>
          <w:ilvl w:val="0"/>
          <w:numId w:val="25"/>
        </w:numPr>
        <w:tabs>
          <w:tab w:val="left" w:pos="2127"/>
        </w:tabs>
        <w:rPr>
          <w:rFonts w:cstheme="minorHAnsi"/>
          <w:color w:val="000000" w:themeColor="text1"/>
          <w:sz w:val="24"/>
          <w:szCs w:val="24"/>
        </w:rPr>
      </w:pPr>
      <w:r w:rsidRPr="00824722">
        <w:rPr>
          <w:rFonts w:cstheme="minorHAnsi"/>
          <w:color w:val="000000" w:themeColor="text1"/>
          <w:sz w:val="24"/>
          <w:szCs w:val="24"/>
        </w:rPr>
        <w:t xml:space="preserve">The </w:t>
      </w:r>
      <w:r w:rsidR="00CA7A9A" w:rsidRPr="00824722">
        <w:rPr>
          <w:rFonts w:cstheme="minorHAnsi"/>
          <w:color w:val="000000" w:themeColor="text1"/>
          <w:sz w:val="24"/>
          <w:szCs w:val="24"/>
        </w:rPr>
        <w:t>United States</w:t>
      </w:r>
      <w:r w:rsidRPr="00824722">
        <w:rPr>
          <w:rFonts w:cstheme="minorHAnsi"/>
          <w:color w:val="000000" w:themeColor="text1"/>
          <w:sz w:val="24"/>
          <w:szCs w:val="24"/>
        </w:rPr>
        <w:t xml:space="preserve"> health system is a mix of public and private, for-profit and </w:t>
      </w:r>
      <w:r w:rsidR="00AC2647" w:rsidRPr="00824722">
        <w:rPr>
          <w:rFonts w:cstheme="minorHAnsi"/>
          <w:color w:val="000000" w:themeColor="text1"/>
          <w:sz w:val="24"/>
          <w:szCs w:val="24"/>
        </w:rPr>
        <w:br/>
      </w:r>
      <w:r w:rsidRPr="00824722">
        <w:rPr>
          <w:rFonts w:cstheme="minorHAnsi"/>
          <w:color w:val="000000" w:themeColor="text1"/>
          <w:sz w:val="24"/>
          <w:szCs w:val="24"/>
        </w:rPr>
        <w:t>non-profit insurers and health care providers. Medicare ensures a universal right to health care for persons age 65 and older, and individuals with long-term disabilities or end-stage renal disease</w:t>
      </w:r>
      <w:r w:rsidR="00CA7A9A" w:rsidRPr="00824722">
        <w:rPr>
          <w:vertAlign w:val="superscript"/>
        </w:rPr>
        <w:footnoteReference w:id="9"/>
      </w:r>
      <w:r w:rsidR="00A622D8" w:rsidRPr="00824722">
        <w:rPr>
          <w:rFonts w:cstheme="minorHAnsi"/>
          <w:color w:val="000000" w:themeColor="text1"/>
          <w:sz w:val="24"/>
          <w:szCs w:val="24"/>
        </w:rPr>
        <w:t>.</w:t>
      </w:r>
      <w:r w:rsidR="00A622D8" w:rsidRPr="00824722">
        <w:rPr>
          <w:rFonts w:cstheme="minorHAnsi"/>
          <w:color w:val="000000" w:themeColor="text1"/>
          <w:sz w:val="24"/>
          <w:szCs w:val="24"/>
          <w:vertAlign w:val="superscript"/>
        </w:rPr>
        <w:t xml:space="preserve"> </w:t>
      </w:r>
      <w:r w:rsidR="00636090" w:rsidRPr="00824722">
        <w:rPr>
          <w:rFonts w:cstheme="minorHAnsi"/>
          <w:color w:val="000000" w:themeColor="text1"/>
          <w:sz w:val="24"/>
          <w:szCs w:val="24"/>
        </w:rPr>
        <w:t>The US sets strict limits on where certain midwives can work and how they obtain insurance</w:t>
      </w:r>
      <w:r w:rsidR="00F372D2" w:rsidRPr="00824722">
        <w:rPr>
          <w:rFonts w:cstheme="minorHAnsi"/>
          <w:color w:val="000000" w:themeColor="text1"/>
          <w:vertAlign w:val="superscript"/>
        </w:rPr>
        <w:footnoteReference w:id="10"/>
      </w:r>
      <w:r w:rsidR="00A622D8" w:rsidRPr="00824722">
        <w:rPr>
          <w:rFonts w:cstheme="minorHAnsi"/>
          <w:color w:val="000000" w:themeColor="text1"/>
          <w:sz w:val="24"/>
          <w:szCs w:val="24"/>
        </w:rPr>
        <w:t>.</w:t>
      </w:r>
    </w:p>
    <w:p w:rsidR="00E64B75" w:rsidRPr="00824722" w:rsidRDefault="00E64B75" w:rsidP="00E64B75">
      <w:pPr>
        <w:tabs>
          <w:tab w:val="left" w:pos="2127"/>
        </w:tabs>
        <w:ind w:left="567"/>
        <w:rPr>
          <w:rFonts w:cstheme="minorHAnsi"/>
          <w:color w:val="000000" w:themeColor="text1"/>
          <w:sz w:val="24"/>
          <w:szCs w:val="24"/>
        </w:rPr>
      </w:pPr>
      <w:r w:rsidRPr="00824722">
        <w:rPr>
          <w:rFonts w:cstheme="minorHAnsi"/>
          <w:color w:val="000000" w:themeColor="text1"/>
          <w:sz w:val="24"/>
          <w:szCs w:val="24"/>
        </w:rPr>
        <w:t>International and Australian longitudinal studies have provided evidence that low-risk homebirth is as safe as hospital birth, as long as low-risk criteria is used when assessing whether a woman is suitable for homebirth, and that the woman is informed that this may change if complications arise.</w:t>
      </w:r>
    </w:p>
    <w:p w:rsidR="00E64B75" w:rsidRPr="00824722" w:rsidRDefault="00E64B75" w:rsidP="00E64B75">
      <w:pPr>
        <w:tabs>
          <w:tab w:val="left" w:pos="2127"/>
        </w:tabs>
        <w:ind w:left="567"/>
        <w:rPr>
          <w:rFonts w:cstheme="minorHAnsi"/>
          <w:color w:val="000000" w:themeColor="text1"/>
          <w:sz w:val="24"/>
          <w:szCs w:val="24"/>
        </w:rPr>
      </w:pPr>
      <w:r w:rsidRPr="00824722">
        <w:rPr>
          <w:rFonts w:cstheme="minorHAnsi"/>
          <w:color w:val="000000" w:themeColor="text1"/>
          <w:sz w:val="24"/>
          <w:szCs w:val="24"/>
        </w:rPr>
        <w:t>Zielinski et al reviewed 23 primary quantitative research reports and 9 qualitative research studies related to maternal and neonatal outcomes of planned home birth. The review discussed the strengths, limitations, and opportunities regarding planned home birth in the United Kingdom, Sweden, Finland, Norway, the Netherlands, United States of America, Canada, Japan, Australia, and New Zealand</w:t>
      </w:r>
      <w:r w:rsidRPr="00824722">
        <w:rPr>
          <w:color w:val="000000" w:themeColor="text1"/>
        </w:rPr>
        <w:footnoteReference w:id="11"/>
      </w:r>
      <w:r w:rsidRPr="00824722">
        <w:rPr>
          <w:rFonts w:cstheme="minorHAnsi"/>
          <w:color w:val="000000" w:themeColor="text1"/>
          <w:sz w:val="24"/>
          <w:szCs w:val="24"/>
        </w:rPr>
        <w:t>. Zielinski reported there is evidence that more women would choose the option of home birth if it were readily available. The report highlighted the benefits of planned home birth, including lower rates of maternal morbidity, such as postpartum haemorrhage, and perineal lacerations, and lower rates of interventions such as episiotomy, instrumental vaginal birth, and caesarean birth. Women who have a planned home birth have high rates of satisfaction related to home being a more comfortable environment and feeling more in control of the experience. While maternal outcomes related to planned birth at home have been consistently positive within the literature, reported neonatal outcomes during planned home birth are more variable. While the majority of investigations of planned home birth compared with hospital birth have found no difference in intrapartum foetal deaths, neonatal deaths, low Apgar scores, or admission to the neonatal intensive care unit, there have been reports in the US, as well as a meta-analysis, that indicated more adverse neonatal outcomes associated with home birth.</w:t>
      </w:r>
    </w:p>
    <w:p w:rsidR="00E64B75" w:rsidRPr="00824722" w:rsidRDefault="00E64B75" w:rsidP="00E64B75">
      <w:pPr>
        <w:tabs>
          <w:tab w:val="left" w:pos="2127"/>
        </w:tabs>
        <w:ind w:left="567"/>
        <w:rPr>
          <w:rFonts w:cstheme="minorHAnsi"/>
          <w:color w:val="000000" w:themeColor="text1"/>
          <w:sz w:val="24"/>
          <w:szCs w:val="24"/>
        </w:rPr>
      </w:pPr>
      <w:r w:rsidRPr="00824722">
        <w:rPr>
          <w:rFonts w:cstheme="minorHAnsi"/>
          <w:color w:val="000000" w:themeColor="text1"/>
          <w:sz w:val="24"/>
          <w:szCs w:val="24"/>
        </w:rPr>
        <w:t>Tarrant et al concluded that birth at home is a safe option for healthy women with an uncomplicated pregnancy. Data from European countries and to some extent from the United States, suggest home birth is a safe option in selective cases. Studies from the United Kingdom and Australia show less risk of intervention in women opting for home birth without any additional risks to women and their babies in healthy pregnancy</w:t>
      </w:r>
      <w:r w:rsidRPr="00824722">
        <w:rPr>
          <w:color w:val="000000" w:themeColor="text1"/>
        </w:rPr>
        <w:footnoteReference w:id="12"/>
      </w:r>
      <w:r w:rsidRPr="00824722">
        <w:rPr>
          <w:rFonts w:cstheme="minorHAnsi"/>
          <w:color w:val="000000" w:themeColor="text1"/>
          <w:sz w:val="24"/>
          <w:szCs w:val="24"/>
        </w:rPr>
        <w:t xml:space="preserve">. It is increasingly recognised that home birth is a safe and appropriate choice for many women, particularly healthy multiparous, and that it is associated with fewer interventions and better maternal satisfaction than hospital-based birth. </w:t>
      </w:r>
    </w:p>
    <w:p w:rsidR="00E64B75" w:rsidRPr="00824722" w:rsidRDefault="00E64B75" w:rsidP="00E64B75">
      <w:pPr>
        <w:tabs>
          <w:tab w:val="left" w:pos="2127"/>
        </w:tabs>
        <w:ind w:left="567"/>
        <w:rPr>
          <w:rFonts w:cstheme="minorHAnsi"/>
          <w:color w:val="1F1F1F"/>
          <w:sz w:val="24"/>
          <w:szCs w:val="24"/>
        </w:rPr>
      </w:pPr>
      <w:r w:rsidRPr="00824722">
        <w:rPr>
          <w:rFonts w:cstheme="minorHAnsi"/>
          <w:color w:val="000000" w:themeColor="text1"/>
          <w:sz w:val="24"/>
          <w:szCs w:val="24"/>
        </w:rPr>
        <w:t>Davis et al compared mode of birth and intrapartum intervention rates for low-risk women planning to give birth in home, primary units, and secondary and tertiary level hospitals under the care of midwives in New Zealand. The results of this study found that women planning to give birth in secondary and tertiary hospitals had a higher risk of caesarean section, assisted modes of birth, and intrapartum interventions than similar women planning to give birth at home and in primary units. Newborns of women planning to give birth in secondary and tertiary hospitals also had a higher risk of admission to a neonatal intensive care unit than women planning to give birth in a primary unit. The study concluded that planned place of birth has a significant influence on mode of birth and rates of intrapartum</w:t>
      </w:r>
      <w:r w:rsidRPr="00824722">
        <w:rPr>
          <w:rFonts w:cstheme="minorHAnsi"/>
          <w:color w:val="1F1F1F"/>
          <w:sz w:val="24"/>
          <w:szCs w:val="24"/>
        </w:rPr>
        <w:t xml:space="preserve"> intervention in childbirth</w:t>
      </w:r>
      <w:r w:rsidRPr="00824722">
        <w:rPr>
          <w:rStyle w:val="FootnoteReference"/>
          <w:rFonts w:cstheme="minorHAnsi"/>
          <w:color w:val="1F1F1F"/>
          <w:sz w:val="24"/>
          <w:szCs w:val="24"/>
        </w:rPr>
        <w:footnoteReference w:id="13"/>
      </w:r>
      <w:r w:rsidRPr="00824722">
        <w:rPr>
          <w:rFonts w:cstheme="minorHAnsi"/>
          <w:color w:val="1F1F1F"/>
          <w:sz w:val="24"/>
          <w:szCs w:val="24"/>
        </w:rPr>
        <w:t>.</w:t>
      </w:r>
    </w:p>
    <w:p w:rsidR="00E64B75" w:rsidRPr="00824722" w:rsidRDefault="00E64B75" w:rsidP="00E64B75">
      <w:pPr>
        <w:tabs>
          <w:tab w:val="left" w:pos="2127"/>
        </w:tabs>
        <w:ind w:left="567"/>
        <w:rPr>
          <w:rFonts w:cstheme="minorHAnsi"/>
          <w:color w:val="000000" w:themeColor="text1"/>
          <w:sz w:val="24"/>
          <w:szCs w:val="24"/>
        </w:rPr>
      </w:pPr>
      <w:r w:rsidRPr="00824722">
        <w:rPr>
          <w:rFonts w:cstheme="minorHAnsi"/>
          <w:color w:val="000000" w:themeColor="text1"/>
          <w:sz w:val="24"/>
          <w:szCs w:val="24"/>
        </w:rPr>
        <w:t>While the provision of home births is embedded as a core component of national maternity services in several countries, such as the Netherlands, United Kingdom, and New Zealand, it has not been promoted or well integrated in Australia, even in low risk populations. Tarrant identified the main argument used to dissuade women, and government against home birth has been the rare but unpredictable occurrence of serious intrapartum complications and resultant maternal or perinatal harm.</w:t>
      </w:r>
    </w:p>
    <w:p w:rsidR="00E64B75" w:rsidRPr="00824722" w:rsidRDefault="00E64B75" w:rsidP="00E64B75">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Tarrant identified the key issues underlying the low uptake of home birth by women, which may be influenced by inflexible birthing services with a lack of midwifery led care, out of pocket costs for private midwifery care, and the complicated indemnity landscape of private midwifery care. There is also a lack of support for home birth in the wider community and from leading medical professional bodies. The result is that the rate of home birth in Australia is a tenth of other similar countries such as the UK. </w:t>
      </w:r>
    </w:p>
    <w:p w:rsidR="00260B45" w:rsidRPr="00C60D79" w:rsidRDefault="00260B45" w:rsidP="00C60D79">
      <w:pPr>
        <w:pStyle w:val="Heading4"/>
        <w:rPr>
          <w:rFonts w:asciiTheme="minorHAnsi" w:hAnsiTheme="minorHAnsi" w:cstheme="minorHAnsi"/>
          <w:color w:val="0070C0"/>
          <w:u w:val="single"/>
        </w:rPr>
      </w:pPr>
      <w:r w:rsidRPr="00C60D79">
        <w:rPr>
          <w:rFonts w:asciiTheme="minorHAnsi" w:hAnsiTheme="minorHAnsi" w:cstheme="minorHAnsi"/>
          <w:color w:val="0070C0"/>
          <w:u w:val="single"/>
        </w:rPr>
        <w:t>Why isn’t there a market for midwife indemnity insurance in Australia?</w:t>
      </w:r>
    </w:p>
    <w:p w:rsidR="003B2CCB" w:rsidRPr="00824722" w:rsidRDefault="00F372D2" w:rsidP="003B2CCB">
      <w:pPr>
        <w:tabs>
          <w:tab w:val="left" w:pos="2127"/>
        </w:tabs>
        <w:ind w:left="567"/>
        <w:rPr>
          <w:rFonts w:cstheme="minorHAnsi"/>
          <w:color w:val="000000" w:themeColor="text1"/>
          <w:sz w:val="24"/>
          <w:szCs w:val="24"/>
        </w:rPr>
      </w:pPr>
      <w:r w:rsidRPr="00824722">
        <w:rPr>
          <w:rFonts w:cstheme="minorHAnsi"/>
          <w:color w:val="000000" w:themeColor="text1"/>
          <w:sz w:val="24"/>
          <w:szCs w:val="24"/>
        </w:rPr>
        <w:t>Cani</w:t>
      </w:r>
      <w:r w:rsidR="00517BBD" w:rsidRPr="00824722">
        <w:rPr>
          <w:rFonts w:cstheme="minorHAnsi"/>
          <w:color w:val="000000" w:themeColor="text1"/>
          <w:sz w:val="24"/>
          <w:szCs w:val="24"/>
        </w:rPr>
        <w:t>l</w:t>
      </w:r>
      <w:r w:rsidRPr="00824722">
        <w:rPr>
          <w:rFonts w:cstheme="minorHAnsi"/>
          <w:color w:val="000000" w:themeColor="text1"/>
          <w:sz w:val="24"/>
          <w:szCs w:val="24"/>
        </w:rPr>
        <w:t xml:space="preserve"> </w:t>
      </w:r>
      <w:r w:rsidR="003B2CCB" w:rsidRPr="00824722">
        <w:rPr>
          <w:rFonts w:cstheme="minorHAnsi"/>
          <w:color w:val="000000" w:themeColor="text1"/>
          <w:sz w:val="24"/>
          <w:szCs w:val="24"/>
        </w:rPr>
        <w:t xml:space="preserve">used a case study approach to investigate why, when compared with other small business operators, including medical specialists, the economic viability of the businesses of self-employed midwives has not been protected. </w:t>
      </w:r>
      <w:r w:rsidR="0023573F" w:rsidRPr="00824722">
        <w:rPr>
          <w:rFonts w:cstheme="minorHAnsi"/>
          <w:color w:val="000000" w:themeColor="text1"/>
          <w:sz w:val="24"/>
          <w:szCs w:val="24"/>
        </w:rPr>
        <w:t>Canil</w:t>
      </w:r>
      <w:r w:rsidR="00860059" w:rsidRPr="00824722">
        <w:rPr>
          <w:rFonts w:cstheme="minorHAnsi"/>
          <w:color w:val="000000" w:themeColor="text1"/>
          <w:sz w:val="24"/>
          <w:szCs w:val="24"/>
        </w:rPr>
        <w:t xml:space="preserve"> s</w:t>
      </w:r>
      <w:r w:rsidR="003B2CCB" w:rsidRPr="00824722">
        <w:rPr>
          <w:rFonts w:cstheme="minorHAnsi"/>
          <w:color w:val="000000" w:themeColor="text1"/>
          <w:sz w:val="24"/>
          <w:szCs w:val="24"/>
        </w:rPr>
        <w:t xml:space="preserve">uggests that </w:t>
      </w:r>
      <w:r w:rsidR="00860059" w:rsidRPr="00824722">
        <w:rPr>
          <w:rFonts w:cstheme="minorHAnsi"/>
          <w:color w:val="000000" w:themeColor="text1"/>
          <w:sz w:val="24"/>
          <w:szCs w:val="24"/>
        </w:rPr>
        <w:t xml:space="preserve">in the past, </w:t>
      </w:r>
      <w:r w:rsidR="003B2CCB" w:rsidRPr="00824722">
        <w:rPr>
          <w:rFonts w:cstheme="minorHAnsi"/>
          <w:color w:val="000000" w:themeColor="text1"/>
          <w:sz w:val="24"/>
          <w:szCs w:val="24"/>
        </w:rPr>
        <w:t>the reluctance of governments to assist self-employed midwives has been underpinned by the medical profession's entrenched "monopoly</w:t>
      </w:r>
      <w:r w:rsidRPr="00824722">
        <w:rPr>
          <w:rFonts w:cstheme="minorHAnsi"/>
          <w:color w:val="000000" w:themeColor="text1"/>
          <w:sz w:val="24"/>
          <w:szCs w:val="24"/>
        </w:rPr>
        <w:t>”</w:t>
      </w:r>
      <w:r w:rsidR="003B2CCB" w:rsidRPr="00824722">
        <w:rPr>
          <w:rFonts w:cstheme="minorHAnsi"/>
          <w:color w:val="000000" w:themeColor="text1"/>
          <w:sz w:val="24"/>
          <w:szCs w:val="24"/>
        </w:rPr>
        <w:t xml:space="preserve"> over the provision of obstetric services</w:t>
      </w:r>
      <w:r w:rsidRPr="00824722">
        <w:rPr>
          <w:rStyle w:val="FootnoteReference"/>
          <w:rFonts w:cstheme="minorHAnsi"/>
          <w:color w:val="000000" w:themeColor="text1"/>
          <w:sz w:val="24"/>
          <w:szCs w:val="24"/>
        </w:rPr>
        <w:footnoteReference w:id="14"/>
      </w:r>
      <w:r w:rsidRPr="00824722">
        <w:rPr>
          <w:rFonts w:cstheme="minorHAnsi"/>
          <w:color w:val="000000" w:themeColor="text1"/>
          <w:sz w:val="24"/>
          <w:szCs w:val="24"/>
        </w:rPr>
        <w:t>.</w:t>
      </w:r>
    </w:p>
    <w:p w:rsidR="00260B45" w:rsidRPr="00824722" w:rsidRDefault="00260B45" w:rsidP="00260B45">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Up until mid-2001, some 80 of Australia's 200 self-employed midwives purchased their professional indemnity insurance cover from Guild Insurance through an arrangement with the Australian College of Midwives Incorporated (ACMI). The option to purchase professional indemnity insurance cover through this arrangement was available for all midwives who were members of ACMI. When Guild Insurance advised ACMI and its members in June 2001 that professional indemnity insurance cover for self-employed midwives would no longer be available after 1 July 2001, it explained that its decision to withdraw from the midwifery insurance market was based upon a review of its portfolio and a </w:t>
      </w:r>
      <w:r w:rsidRPr="00824722">
        <w:rPr>
          <w:rFonts w:cstheme="minorHAnsi"/>
          <w:color w:val="000000" w:themeColor="text1"/>
          <w:sz w:val="24"/>
          <w:szCs w:val="24"/>
        </w:rPr>
        <w:br/>
        <w:t>re-evaluation of the risks of midwifery. Guild Insurance advised that such cover could be better provided by others in the market. A significant consideration for Guild Insurance was that even though it had not received any claims against an insured midwife, the number of self-employed midwives that it insured was small and the premiums collected were insufficient to cover even a single large damages award.</w:t>
      </w:r>
    </w:p>
    <w:p w:rsidR="003B2CCB" w:rsidRPr="00824722" w:rsidRDefault="003B2CCB" w:rsidP="003B2CCB">
      <w:pPr>
        <w:tabs>
          <w:tab w:val="left" w:pos="2127"/>
        </w:tabs>
        <w:ind w:left="567"/>
        <w:rPr>
          <w:rFonts w:cstheme="minorHAnsi"/>
          <w:color w:val="000000" w:themeColor="text1"/>
          <w:sz w:val="24"/>
          <w:szCs w:val="24"/>
        </w:rPr>
      </w:pPr>
      <w:r w:rsidRPr="00824722">
        <w:rPr>
          <w:rFonts w:cstheme="minorHAnsi"/>
          <w:color w:val="000000" w:themeColor="text1"/>
          <w:sz w:val="24"/>
          <w:szCs w:val="24"/>
        </w:rPr>
        <w:t>Subsequently, within a short space of time, professional indemnity cover for those midwives could no longer be purchased from any insurer either in Australia or elsewhere in the world. Faced with the prospect of continuing to operate their businesses uninsured in terms of their professional indemnity risk, the majority of Australia's self-employed midwives eventually stopped providing services.</w:t>
      </w:r>
      <w:r w:rsidR="00F372D2" w:rsidRPr="00824722">
        <w:rPr>
          <w:rFonts w:cstheme="minorHAnsi"/>
          <w:color w:val="000000" w:themeColor="text1"/>
          <w:sz w:val="24"/>
          <w:szCs w:val="24"/>
        </w:rPr>
        <w:t xml:space="preserve"> </w:t>
      </w:r>
      <w:r w:rsidRPr="00824722">
        <w:rPr>
          <w:rFonts w:cstheme="minorHAnsi"/>
          <w:color w:val="000000" w:themeColor="text1"/>
          <w:sz w:val="24"/>
          <w:szCs w:val="24"/>
        </w:rPr>
        <w:t>In response to local pressures, some state and territory governments intervened to provide self-employed midwives with varying degrees of assistance</w:t>
      </w:r>
      <w:r w:rsidR="00EB0D79" w:rsidRPr="00824722">
        <w:rPr>
          <w:rStyle w:val="FootnoteReference"/>
          <w:rFonts w:cstheme="minorHAnsi"/>
          <w:color w:val="000000" w:themeColor="text1"/>
          <w:sz w:val="24"/>
          <w:szCs w:val="24"/>
        </w:rPr>
        <w:footnoteReference w:id="15"/>
      </w:r>
      <w:r w:rsidR="00EB0D79" w:rsidRPr="00824722">
        <w:rPr>
          <w:rFonts w:cstheme="minorHAnsi"/>
          <w:color w:val="000000" w:themeColor="text1"/>
          <w:sz w:val="24"/>
          <w:szCs w:val="24"/>
        </w:rPr>
        <w:t>.</w:t>
      </w:r>
    </w:p>
    <w:p w:rsidR="00BD6F50" w:rsidRPr="00824722" w:rsidRDefault="00BD6F50" w:rsidP="00C60D79">
      <w:pPr>
        <w:pStyle w:val="Heading4"/>
        <w:rPr>
          <w:rFonts w:cstheme="minorHAnsi"/>
          <w:color w:val="0070C0"/>
          <w:u w:val="single"/>
        </w:rPr>
      </w:pPr>
      <w:r w:rsidRPr="00824722">
        <w:rPr>
          <w:rFonts w:cstheme="minorHAnsi"/>
          <w:color w:val="0070C0"/>
          <w:u w:val="single"/>
        </w:rPr>
        <w:t>Overcoming market barriers</w:t>
      </w:r>
    </w:p>
    <w:p w:rsidR="00860059" w:rsidRPr="00824722" w:rsidRDefault="00301EA0" w:rsidP="003B2CCB">
      <w:pPr>
        <w:tabs>
          <w:tab w:val="left" w:pos="2127"/>
        </w:tabs>
        <w:ind w:left="567"/>
        <w:rPr>
          <w:rFonts w:cstheme="minorHAnsi"/>
          <w:color w:val="000000" w:themeColor="text1"/>
          <w:sz w:val="24"/>
          <w:szCs w:val="24"/>
        </w:rPr>
      </w:pPr>
      <w:r w:rsidRPr="00824722">
        <w:rPr>
          <w:rFonts w:cstheme="minorHAnsi"/>
          <w:color w:val="000000" w:themeColor="text1"/>
          <w:sz w:val="24"/>
          <w:szCs w:val="24"/>
        </w:rPr>
        <w:t>T</w:t>
      </w:r>
      <w:r w:rsidR="00860059" w:rsidRPr="00824722">
        <w:rPr>
          <w:rFonts w:cstheme="minorHAnsi"/>
          <w:color w:val="000000" w:themeColor="text1"/>
          <w:sz w:val="24"/>
          <w:szCs w:val="24"/>
        </w:rPr>
        <w:t>he Government is taking action to rectify market failure</w:t>
      </w:r>
      <w:r w:rsidR="0040479B" w:rsidRPr="00824722">
        <w:rPr>
          <w:rFonts w:cstheme="minorHAnsi"/>
          <w:color w:val="000000" w:themeColor="text1"/>
          <w:sz w:val="24"/>
          <w:szCs w:val="24"/>
        </w:rPr>
        <w:t xml:space="preserve"> by </w:t>
      </w:r>
      <w:r w:rsidR="00F372D2" w:rsidRPr="00824722">
        <w:rPr>
          <w:rFonts w:cstheme="minorHAnsi"/>
          <w:color w:val="000000" w:themeColor="text1"/>
          <w:sz w:val="24"/>
          <w:szCs w:val="24"/>
        </w:rPr>
        <w:t>establishing</w:t>
      </w:r>
      <w:r w:rsidR="0040479B" w:rsidRPr="00824722">
        <w:rPr>
          <w:rFonts w:cstheme="minorHAnsi"/>
          <w:color w:val="000000" w:themeColor="text1"/>
          <w:sz w:val="24"/>
          <w:szCs w:val="24"/>
        </w:rPr>
        <w:t xml:space="preserve"> a regulatory framework to support PPMs to work to their full scope of practice as insured practitioners.</w:t>
      </w:r>
    </w:p>
    <w:p w:rsidR="00006683" w:rsidRPr="00824722" w:rsidRDefault="00BD6F50" w:rsidP="00006683">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In the future, the Government </w:t>
      </w:r>
      <w:r w:rsidR="00006683" w:rsidRPr="00824722">
        <w:rPr>
          <w:rFonts w:cstheme="minorHAnsi"/>
          <w:color w:val="000000" w:themeColor="text1"/>
          <w:sz w:val="24"/>
          <w:szCs w:val="24"/>
        </w:rPr>
        <w:t>would reassess risk levels with insurers leading up to 2029-30, potentially paving the way for a more market-driven solution in the future</w:t>
      </w:r>
      <w:r w:rsidR="001943CD" w:rsidRPr="00824722">
        <w:rPr>
          <w:rFonts w:cstheme="minorHAnsi"/>
          <w:color w:val="000000" w:themeColor="text1"/>
          <w:sz w:val="24"/>
          <w:szCs w:val="24"/>
        </w:rPr>
        <w:t>. Option that could be considered include</w:t>
      </w:r>
      <w:r w:rsidR="004720AD" w:rsidRPr="00824722">
        <w:rPr>
          <w:rFonts w:cstheme="minorHAnsi"/>
          <w:color w:val="000000" w:themeColor="text1"/>
          <w:sz w:val="24"/>
          <w:szCs w:val="24"/>
        </w:rPr>
        <w:t xml:space="preserve"> whether</w:t>
      </w:r>
      <w:r w:rsidR="00006683" w:rsidRPr="00824722">
        <w:rPr>
          <w:rFonts w:cstheme="minorHAnsi"/>
          <w:color w:val="000000" w:themeColor="text1"/>
          <w:sz w:val="24"/>
          <w:szCs w:val="24"/>
        </w:rPr>
        <w:t>:</w:t>
      </w:r>
    </w:p>
    <w:p w:rsidR="00BD6F50" w:rsidRPr="00824722" w:rsidRDefault="00BD6F50" w:rsidP="00A622D8">
      <w:pPr>
        <w:pStyle w:val="ListParagraph"/>
        <w:numPr>
          <w:ilvl w:val="0"/>
          <w:numId w:val="26"/>
        </w:numPr>
        <w:tabs>
          <w:tab w:val="left" w:pos="2127"/>
        </w:tabs>
        <w:ind w:left="1281" w:hanging="357"/>
        <w:contextualSpacing w:val="0"/>
        <w:rPr>
          <w:rFonts w:cstheme="minorHAnsi"/>
          <w:color w:val="000000" w:themeColor="text1"/>
          <w:sz w:val="24"/>
          <w:szCs w:val="24"/>
        </w:rPr>
      </w:pPr>
      <w:r w:rsidRPr="00824722">
        <w:rPr>
          <w:rFonts w:cstheme="minorHAnsi"/>
          <w:color w:val="000000" w:themeColor="text1"/>
          <w:sz w:val="24"/>
          <w:szCs w:val="24"/>
        </w:rPr>
        <w:t xml:space="preserve">existing medical indemnity insurers </w:t>
      </w:r>
      <w:r w:rsidR="00006683" w:rsidRPr="00824722">
        <w:rPr>
          <w:rFonts w:cstheme="minorHAnsi"/>
          <w:color w:val="000000" w:themeColor="text1"/>
          <w:sz w:val="24"/>
          <w:szCs w:val="24"/>
        </w:rPr>
        <w:t>could</w:t>
      </w:r>
      <w:r w:rsidR="00F372D2" w:rsidRPr="00824722">
        <w:rPr>
          <w:rFonts w:cstheme="minorHAnsi"/>
          <w:color w:val="000000" w:themeColor="text1"/>
          <w:sz w:val="24"/>
          <w:szCs w:val="24"/>
        </w:rPr>
        <w:t xml:space="preserve"> pool comparable risks and</w:t>
      </w:r>
      <w:r w:rsidRPr="00824722">
        <w:rPr>
          <w:rFonts w:cstheme="minorHAnsi"/>
          <w:color w:val="000000" w:themeColor="text1"/>
          <w:sz w:val="24"/>
          <w:szCs w:val="24"/>
        </w:rPr>
        <w:t xml:space="preserve"> extend </w:t>
      </w:r>
      <w:r w:rsidR="00586220" w:rsidRPr="00824722">
        <w:rPr>
          <w:rFonts w:cstheme="minorHAnsi"/>
          <w:color w:val="000000" w:themeColor="text1"/>
          <w:sz w:val="24"/>
          <w:szCs w:val="24"/>
        </w:rPr>
        <w:t>PII</w:t>
      </w:r>
      <w:r w:rsidRPr="00824722">
        <w:rPr>
          <w:rFonts w:cstheme="minorHAnsi"/>
          <w:color w:val="000000" w:themeColor="text1"/>
          <w:sz w:val="24"/>
          <w:szCs w:val="24"/>
        </w:rPr>
        <w:t xml:space="preserve"> cover to endorsed midwives</w:t>
      </w:r>
      <w:r w:rsidR="00586220" w:rsidRPr="00824722">
        <w:rPr>
          <w:rFonts w:cstheme="minorHAnsi"/>
          <w:color w:val="000000" w:themeColor="text1"/>
          <w:sz w:val="24"/>
          <w:szCs w:val="24"/>
        </w:rPr>
        <w:t>. This option would initially require Government funding until the insurer bodies can build up an adequate pool of capital to cover any large damages award</w:t>
      </w:r>
    </w:p>
    <w:p w:rsidR="00F372D2" w:rsidRPr="00824722" w:rsidRDefault="00F372D2" w:rsidP="00A622D8">
      <w:pPr>
        <w:pStyle w:val="ListParagraph"/>
        <w:numPr>
          <w:ilvl w:val="0"/>
          <w:numId w:val="26"/>
        </w:numPr>
        <w:tabs>
          <w:tab w:val="left" w:pos="2127"/>
        </w:tabs>
        <w:ind w:left="1281" w:hanging="357"/>
        <w:contextualSpacing w:val="0"/>
        <w:rPr>
          <w:rFonts w:cstheme="minorHAnsi"/>
          <w:color w:val="000000" w:themeColor="text1"/>
          <w:sz w:val="24"/>
          <w:szCs w:val="24"/>
        </w:rPr>
      </w:pPr>
      <w:r w:rsidRPr="00824722">
        <w:rPr>
          <w:rFonts w:cstheme="minorHAnsi"/>
          <w:color w:val="000000" w:themeColor="text1"/>
          <w:sz w:val="24"/>
          <w:szCs w:val="24"/>
        </w:rPr>
        <w:t xml:space="preserve">ACM </w:t>
      </w:r>
      <w:r w:rsidR="004720AD" w:rsidRPr="00824722">
        <w:rPr>
          <w:rFonts w:cstheme="minorHAnsi"/>
          <w:color w:val="000000" w:themeColor="text1"/>
          <w:sz w:val="24"/>
          <w:szCs w:val="24"/>
        </w:rPr>
        <w:t>would</w:t>
      </w:r>
      <w:r w:rsidRPr="00824722">
        <w:rPr>
          <w:rFonts w:cstheme="minorHAnsi"/>
          <w:color w:val="000000" w:themeColor="text1"/>
          <w:sz w:val="24"/>
          <w:szCs w:val="24"/>
        </w:rPr>
        <w:t xml:space="preserve"> consider </w:t>
      </w:r>
      <w:r w:rsidR="004720AD" w:rsidRPr="00824722">
        <w:rPr>
          <w:rFonts w:cstheme="minorHAnsi"/>
          <w:color w:val="000000" w:themeColor="text1"/>
          <w:sz w:val="24"/>
          <w:szCs w:val="24"/>
        </w:rPr>
        <w:t xml:space="preserve">providing </w:t>
      </w:r>
      <w:r w:rsidR="00586220" w:rsidRPr="00824722">
        <w:rPr>
          <w:rFonts w:cstheme="minorHAnsi"/>
          <w:color w:val="000000" w:themeColor="text1"/>
          <w:sz w:val="24"/>
          <w:szCs w:val="24"/>
        </w:rPr>
        <w:t xml:space="preserve">a </w:t>
      </w:r>
      <w:r w:rsidRPr="00824722">
        <w:rPr>
          <w:rFonts w:cstheme="minorHAnsi"/>
          <w:color w:val="000000" w:themeColor="text1"/>
          <w:sz w:val="24"/>
          <w:szCs w:val="24"/>
        </w:rPr>
        <w:t xml:space="preserve">medical indemnity </w:t>
      </w:r>
      <w:r w:rsidR="00586220" w:rsidRPr="00824722">
        <w:rPr>
          <w:rFonts w:cstheme="minorHAnsi"/>
          <w:color w:val="000000" w:themeColor="text1"/>
          <w:sz w:val="24"/>
          <w:szCs w:val="24"/>
        </w:rPr>
        <w:t xml:space="preserve">model </w:t>
      </w:r>
      <w:r w:rsidRPr="00824722">
        <w:rPr>
          <w:rFonts w:cstheme="minorHAnsi"/>
          <w:color w:val="000000" w:themeColor="text1"/>
          <w:sz w:val="24"/>
          <w:szCs w:val="24"/>
        </w:rPr>
        <w:t>based on the New Zealand model</w:t>
      </w:r>
      <w:r w:rsidR="00586220" w:rsidRPr="00824722">
        <w:rPr>
          <w:rFonts w:cstheme="minorHAnsi"/>
          <w:color w:val="000000" w:themeColor="text1"/>
          <w:sz w:val="24"/>
          <w:szCs w:val="24"/>
        </w:rPr>
        <w:t xml:space="preserve">, whereby the ACM underwrites the liability of member PPMs. This option </w:t>
      </w:r>
      <w:r w:rsidR="00301EA0" w:rsidRPr="00824722">
        <w:rPr>
          <w:rFonts w:cstheme="minorHAnsi"/>
          <w:color w:val="000000" w:themeColor="text1"/>
          <w:sz w:val="24"/>
          <w:szCs w:val="24"/>
        </w:rPr>
        <w:t>would require the development of new legislation to underpin a new role for the ACM, and funding of establishment and administration costs.</w:t>
      </w:r>
    </w:p>
    <w:p w:rsidR="00E278D0" w:rsidRPr="00ED6695" w:rsidRDefault="00E278D0" w:rsidP="0058344C">
      <w:pPr>
        <w:pStyle w:val="Heading2"/>
      </w:pPr>
      <w:bookmarkStart w:id="26" w:name="_Toc162017777"/>
      <w:r w:rsidRPr="00ED6695">
        <w:t xml:space="preserve">Who </w:t>
      </w:r>
      <w:r w:rsidR="003008B2">
        <w:t>are</w:t>
      </w:r>
      <w:r w:rsidRPr="00ED6695">
        <w:t xml:space="preserve"> </w:t>
      </w:r>
      <w:r w:rsidR="003008B2">
        <w:t xml:space="preserve">the </w:t>
      </w:r>
      <w:r w:rsidRPr="00ED6695">
        <w:t>affected</w:t>
      </w:r>
      <w:r w:rsidR="003008B2">
        <w:t xml:space="preserve"> stakeholders</w:t>
      </w:r>
      <w:r w:rsidRPr="00ED6695">
        <w:t>?</w:t>
      </w:r>
      <w:bookmarkEnd w:id="26"/>
    </w:p>
    <w:p w:rsidR="00E278D0" w:rsidRPr="00DF244C" w:rsidRDefault="00E278D0" w:rsidP="00A622D8">
      <w:pPr>
        <w:pStyle w:val="ListParagraph"/>
        <w:numPr>
          <w:ilvl w:val="0"/>
          <w:numId w:val="9"/>
        </w:numPr>
        <w:tabs>
          <w:tab w:val="left" w:pos="2127"/>
        </w:tabs>
        <w:contextualSpacing w:val="0"/>
        <w:rPr>
          <w:rFonts w:cstheme="minorHAnsi"/>
          <w:sz w:val="24"/>
          <w:szCs w:val="24"/>
        </w:rPr>
      </w:pPr>
      <w:r w:rsidRPr="00DF244C">
        <w:rPr>
          <w:rFonts w:cstheme="minorHAnsi"/>
          <w:sz w:val="24"/>
          <w:szCs w:val="24"/>
        </w:rPr>
        <w:t xml:space="preserve">Women who wish to have a low-risk homebirth within the confines of the low-risk definition can have the choice of care and carer, knowing </w:t>
      </w:r>
      <w:r>
        <w:rPr>
          <w:rFonts w:cstheme="minorHAnsi"/>
          <w:sz w:val="24"/>
          <w:szCs w:val="24"/>
        </w:rPr>
        <w:t>PII</w:t>
      </w:r>
      <w:r w:rsidRPr="00DF244C">
        <w:rPr>
          <w:rFonts w:cstheme="minorHAnsi"/>
          <w:sz w:val="24"/>
          <w:szCs w:val="24"/>
        </w:rPr>
        <w:t xml:space="preserve"> coverage would be available in the case of an adverse event.</w:t>
      </w:r>
    </w:p>
    <w:p w:rsidR="00447AB2" w:rsidRDefault="00447AB2" w:rsidP="00A622D8">
      <w:pPr>
        <w:pStyle w:val="ListParagraph"/>
        <w:numPr>
          <w:ilvl w:val="0"/>
          <w:numId w:val="9"/>
        </w:numPr>
        <w:tabs>
          <w:tab w:val="left" w:pos="2127"/>
        </w:tabs>
        <w:contextualSpacing w:val="0"/>
        <w:rPr>
          <w:rFonts w:cstheme="minorHAnsi"/>
          <w:sz w:val="24"/>
          <w:szCs w:val="24"/>
        </w:rPr>
      </w:pPr>
      <w:r>
        <w:rPr>
          <w:rFonts w:cstheme="minorHAnsi"/>
          <w:sz w:val="24"/>
          <w:szCs w:val="24"/>
        </w:rPr>
        <w:t>First Nations women who wish to</w:t>
      </w:r>
      <w:r w:rsidRPr="003968FD">
        <w:rPr>
          <w:rFonts w:cstheme="minorHAnsi"/>
          <w:sz w:val="24"/>
          <w:szCs w:val="24"/>
        </w:rPr>
        <w:t xml:space="preserve"> </w:t>
      </w:r>
      <w:r>
        <w:rPr>
          <w:rFonts w:cstheme="minorHAnsi"/>
          <w:sz w:val="24"/>
          <w:szCs w:val="24"/>
        </w:rPr>
        <w:t>receive intrapartum care outside of a hospital setting through an ACCHO led BoC model</w:t>
      </w:r>
      <w:r w:rsidRPr="003968FD">
        <w:rPr>
          <w:rFonts w:cstheme="minorHAnsi"/>
          <w:sz w:val="24"/>
          <w:szCs w:val="24"/>
        </w:rPr>
        <w:t xml:space="preserve"> </w:t>
      </w:r>
      <w:r>
        <w:rPr>
          <w:rFonts w:cstheme="minorHAnsi"/>
          <w:sz w:val="24"/>
          <w:szCs w:val="24"/>
        </w:rPr>
        <w:t xml:space="preserve">and </w:t>
      </w:r>
      <w:r w:rsidRPr="003968FD">
        <w:rPr>
          <w:rFonts w:cstheme="minorHAnsi"/>
          <w:sz w:val="24"/>
          <w:szCs w:val="24"/>
        </w:rPr>
        <w:t xml:space="preserve">with </w:t>
      </w:r>
      <w:r>
        <w:rPr>
          <w:rFonts w:cstheme="minorHAnsi"/>
          <w:sz w:val="24"/>
          <w:szCs w:val="24"/>
        </w:rPr>
        <w:t xml:space="preserve">access to </w:t>
      </w:r>
      <w:r w:rsidRPr="003968FD">
        <w:rPr>
          <w:rFonts w:cstheme="minorHAnsi"/>
          <w:sz w:val="24"/>
          <w:szCs w:val="24"/>
        </w:rPr>
        <w:t>an insured midwife.</w:t>
      </w:r>
    </w:p>
    <w:p w:rsidR="00E278D0" w:rsidRDefault="00E278D0" w:rsidP="00A622D8">
      <w:pPr>
        <w:pStyle w:val="ListParagraph"/>
        <w:numPr>
          <w:ilvl w:val="0"/>
          <w:numId w:val="9"/>
        </w:numPr>
        <w:tabs>
          <w:tab w:val="left" w:pos="2127"/>
        </w:tabs>
        <w:contextualSpacing w:val="0"/>
        <w:rPr>
          <w:rFonts w:cstheme="minorHAnsi"/>
          <w:sz w:val="24"/>
          <w:szCs w:val="24"/>
        </w:rPr>
      </w:pPr>
      <w:r w:rsidRPr="00DF244C">
        <w:rPr>
          <w:rFonts w:cstheme="minorHAnsi"/>
          <w:sz w:val="24"/>
          <w:szCs w:val="24"/>
        </w:rPr>
        <w:t>Endorsed midwives, working in private practice, wanting to provide a low-risk homebirth service. Endorsed midwives are those who have been</w:t>
      </w:r>
      <w:r>
        <w:rPr>
          <w:rFonts w:cstheme="minorHAnsi"/>
          <w:sz w:val="24"/>
          <w:szCs w:val="24"/>
        </w:rPr>
        <w:t xml:space="preserve"> endorsed by the </w:t>
      </w:r>
      <w:r w:rsidRPr="00DF244C">
        <w:rPr>
          <w:rFonts w:cstheme="minorHAnsi"/>
          <w:sz w:val="24"/>
          <w:szCs w:val="24"/>
        </w:rPr>
        <w:t xml:space="preserve">NMBA to prescribe scheduled medicines. </w:t>
      </w:r>
    </w:p>
    <w:p w:rsidR="00E278D0" w:rsidRDefault="00E278D0" w:rsidP="00A622D8">
      <w:pPr>
        <w:pStyle w:val="ListParagraph"/>
        <w:numPr>
          <w:ilvl w:val="0"/>
          <w:numId w:val="9"/>
        </w:numPr>
        <w:tabs>
          <w:tab w:val="left" w:pos="2127"/>
        </w:tabs>
        <w:contextualSpacing w:val="0"/>
        <w:rPr>
          <w:rFonts w:cstheme="minorHAnsi"/>
          <w:sz w:val="24"/>
          <w:szCs w:val="24"/>
        </w:rPr>
      </w:pPr>
      <w:r>
        <w:rPr>
          <w:rFonts w:cstheme="minorHAnsi"/>
          <w:sz w:val="24"/>
          <w:szCs w:val="24"/>
        </w:rPr>
        <w:t>Industry (insurers) providing medical indemnity insurance coverage to PPMs.</w:t>
      </w:r>
    </w:p>
    <w:p w:rsidR="00E278D0" w:rsidRPr="007250DA" w:rsidRDefault="00E278D0" w:rsidP="00A622D8">
      <w:pPr>
        <w:pStyle w:val="ListParagraph"/>
        <w:numPr>
          <w:ilvl w:val="0"/>
          <w:numId w:val="9"/>
        </w:numPr>
        <w:tabs>
          <w:tab w:val="left" w:pos="2127"/>
        </w:tabs>
        <w:contextualSpacing w:val="0"/>
        <w:rPr>
          <w:rFonts w:cstheme="minorHAnsi"/>
          <w:sz w:val="24"/>
          <w:szCs w:val="24"/>
        </w:rPr>
      </w:pPr>
      <w:r w:rsidRPr="007250DA">
        <w:rPr>
          <w:rFonts w:cstheme="minorHAnsi"/>
          <w:sz w:val="24"/>
          <w:szCs w:val="24"/>
        </w:rPr>
        <w:t xml:space="preserve">Regulator (NMBA) who provides safety and quality guidelines which form the foundation of clinical care guidelines for homebirth. </w:t>
      </w:r>
    </w:p>
    <w:p w:rsidR="00E278D0" w:rsidRPr="00DF244C" w:rsidRDefault="00C7092D" w:rsidP="00A622D8">
      <w:pPr>
        <w:pStyle w:val="ListParagraph"/>
        <w:numPr>
          <w:ilvl w:val="0"/>
          <w:numId w:val="9"/>
        </w:numPr>
        <w:tabs>
          <w:tab w:val="left" w:pos="2127"/>
        </w:tabs>
        <w:contextualSpacing w:val="0"/>
        <w:rPr>
          <w:rFonts w:cstheme="minorHAnsi"/>
          <w:sz w:val="24"/>
          <w:szCs w:val="24"/>
        </w:rPr>
      </w:pPr>
      <w:r>
        <w:rPr>
          <w:rFonts w:cstheme="minorHAnsi"/>
          <w:sz w:val="24"/>
          <w:szCs w:val="24"/>
        </w:rPr>
        <w:t xml:space="preserve">ACCHOS </w:t>
      </w:r>
      <w:r w:rsidR="00E278D0">
        <w:rPr>
          <w:rFonts w:cstheme="minorHAnsi"/>
          <w:sz w:val="24"/>
          <w:szCs w:val="24"/>
        </w:rPr>
        <w:t xml:space="preserve">providing </w:t>
      </w:r>
      <w:r>
        <w:rPr>
          <w:rFonts w:cstheme="minorHAnsi"/>
          <w:sz w:val="24"/>
          <w:szCs w:val="24"/>
        </w:rPr>
        <w:t xml:space="preserve">BoC </w:t>
      </w:r>
      <w:r w:rsidR="00E278D0">
        <w:rPr>
          <w:rFonts w:cstheme="minorHAnsi"/>
          <w:sz w:val="24"/>
          <w:szCs w:val="24"/>
        </w:rPr>
        <w:t>midwifery services</w:t>
      </w:r>
      <w:r>
        <w:rPr>
          <w:rFonts w:cstheme="minorHAnsi"/>
          <w:sz w:val="24"/>
          <w:szCs w:val="24"/>
        </w:rPr>
        <w:t xml:space="preserve"> for b</w:t>
      </w:r>
      <w:r w:rsidRPr="003968FD">
        <w:rPr>
          <w:rFonts w:cstheme="minorHAnsi"/>
          <w:sz w:val="24"/>
          <w:szCs w:val="24"/>
        </w:rPr>
        <w:t xml:space="preserve">irths that occur outside of a registered health facility </w:t>
      </w:r>
      <w:r>
        <w:rPr>
          <w:rFonts w:cstheme="minorHAnsi"/>
          <w:sz w:val="24"/>
          <w:szCs w:val="24"/>
        </w:rPr>
        <w:t>(</w:t>
      </w:r>
      <w:r w:rsidRPr="003968FD">
        <w:rPr>
          <w:rFonts w:cstheme="minorHAnsi"/>
          <w:sz w:val="24"/>
          <w:szCs w:val="24"/>
        </w:rPr>
        <w:t>i.e. in a birth centre</w:t>
      </w:r>
      <w:r>
        <w:rPr>
          <w:rFonts w:cstheme="minorHAnsi"/>
          <w:sz w:val="24"/>
          <w:szCs w:val="24"/>
        </w:rPr>
        <w:t>).</w:t>
      </w:r>
    </w:p>
    <w:p w:rsidR="00E278D0" w:rsidRPr="003008B2" w:rsidRDefault="00086E06" w:rsidP="0058344C">
      <w:pPr>
        <w:pStyle w:val="Heading1"/>
        <w:rPr>
          <w:rFonts w:cstheme="majorHAnsi"/>
        </w:rPr>
      </w:pPr>
      <w:bookmarkStart w:id="27" w:name="_Toc162017778"/>
      <w:r>
        <w:rPr>
          <w:rFonts w:cstheme="majorHAnsi"/>
        </w:rPr>
        <w:t xml:space="preserve">2. </w:t>
      </w:r>
      <w:r w:rsidR="00E278D0">
        <w:rPr>
          <w:rFonts w:cstheme="majorHAnsi"/>
        </w:rPr>
        <w:t>What are the objectives, why is government intervention needed to achieve them, and how will success be measured?</w:t>
      </w:r>
      <w:bookmarkEnd w:id="27"/>
    </w:p>
    <w:p w:rsidR="003008B2" w:rsidRPr="00522663" w:rsidRDefault="003008B2" w:rsidP="003008B2">
      <w:pPr>
        <w:pStyle w:val="Heading2"/>
      </w:pPr>
      <w:bookmarkStart w:id="28" w:name="_Toc162017779"/>
      <w:r>
        <w:t>Rationale for G</w:t>
      </w:r>
      <w:r w:rsidRPr="00522663">
        <w:t>overnment involvement</w:t>
      </w:r>
      <w:bookmarkEnd w:id="28"/>
    </w:p>
    <w:p w:rsidR="003008B2" w:rsidRDefault="003008B2" w:rsidP="003008B2">
      <w:pPr>
        <w:tabs>
          <w:tab w:val="left" w:pos="2127"/>
        </w:tabs>
        <w:ind w:left="567"/>
        <w:rPr>
          <w:rFonts w:cstheme="minorHAnsi"/>
          <w:sz w:val="24"/>
          <w:szCs w:val="24"/>
        </w:rPr>
      </w:pPr>
      <w:r w:rsidRPr="00483C24">
        <w:rPr>
          <w:rFonts w:cstheme="minorHAnsi"/>
          <w:sz w:val="24"/>
          <w:szCs w:val="24"/>
        </w:rPr>
        <w:t>Jurisdictions have been seeking a permanent solution to the lack of PII for PPMs since 2010. On 29 June 2023, COAG Health Ministers agreed they would support removal of the exemption in the National Law.</w:t>
      </w:r>
      <w:r>
        <w:rPr>
          <w:rFonts w:cstheme="minorHAnsi"/>
          <w:sz w:val="24"/>
          <w:szCs w:val="24"/>
        </w:rPr>
        <w:t xml:space="preserve"> </w:t>
      </w:r>
    </w:p>
    <w:p w:rsidR="003008B2" w:rsidRPr="00483C24" w:rsidRDefault="003008B2" w:rsidP="003008B2">
      <w:pPr>
        <w:tabs>
          <w:tab w:val="left" w:pos="2127"/>
        </w:tabs>
        <w:ind w:left="567"/>
        <w:rPr>
          <w:rFonts w:cstheme="minorHAnsi"/>
          <w:sz w:val="24"/>
          <w:szCs w:val="24"/>
        </w:rPr>
      </w:pPr>
      <w:r w:rsidRPr="00483C24">
        <w:rPr>
          <w:rFonts w:cstheme="minorHAnsi"/>
          <w:sz w:val="24"/>
          <w:szCs w:val="24"/>
        </w:rPr>
        <w:t>In previous work conducted by various jurisdictions to find a solution for PII for PPMs since 2010, information was received that insurers were not interested in providing an affordable product for homebirth intrapartum services</w:t>
      </w:r>
      <w:r>
        <w:rPr>
          <w:rFonts w:cstheme="minorHAnsi"/>
          <w:sz w:val="24"/>
          <w:szCs w:val="24"/>
        </w:rPr>
        <w:t xml:space="preserve">. </w:t>
      </w:r>
      <w:r w:rsidRPr="005C7436">
        <w:rPr>
          <w:rFonts w:cstheme="minorHAnsi"/>
          <w:sz w:val="24"/>
          <w:szCs w:val="24"/>
        </w:rPr>
        <w:t>Insurers highlighted barriers that precluded risk profiling and understanding the size of the market, and this uncertainty impacts on premium setting. Insurers r</w:t>
      </w:r>
      <w:r w:rsidRPr="00483C24">
        <w:rPr>
          <w:rFonts w:cstheme="minorHAnsi"/>
          <w:sz w:val="24"/>
          <w:szCs w:val="24"/>
        </w:rPr>
        <w:t>isk profiling follows a structured and auditable process, and the low numbers of homebirths in Australia may not fit within this profile.</w:t>
      </w:r>
    </w:p>
    <w:p w:rsidR="003008B2" w:rsidRPr="00483C24" w:rsidRDefault="003008B2" w:rsidP="003008B2">
      <w:pPr>
        <w:tabs>
          <w:tab w:val="left" w:pos="2127"/>
        </w:tabs>
        <w:ind w:left="567"/>
        <w:rPr>
          <w:rFonts w:cstheme="minorHAnsi"/>
          <w:sz w:val="24"/>
          <w:szCs w:val="24"/>
        </w:rPr>
      </w:pPr>
      <w:r w:rsidRPr="00CF3423">
        <w:rPr>
          <w:rFonts w:cstheme="minorHAnsi"/>
          <w:sz w:val="24"/>
          <w:szCs w:val="24"/>
        </w:rPr>
        <w:t xml:space="preserve">On 10 November 2023, Health Ministers agreed to </w:t>
      </w:r>
      <w:r w:rsidRPr="00CF3423">
        <w:rPr>
          <w:bCs/>
          <w:sz w:val="24"/>
          <w:szCs w:val="24"/>
        </w:rPr>
        <w:t xml:space="preserve">extend the exemption to hold </w:t>
      </w:r>
      <w:r>
        <w:rPr>
          <w:bCs/>
          <w:sz w:val="24"/>
          <w:szCs w:val="24"/>
        </w:rPr>
        <w:t>PII</w:t>
      </w:r>
      <w:r w:rsidRPr="00CF3423">
        <w:rPr>
          <w:bCs/>
          <w:sz w:val="24"/>
          <w:szCs w:val="24"/>
        </w:rPr>
        <w:t xml:space="preserve"> for </w:t>
      </w:r>
      <w:r>
        <w:rPr>
          <w:bCs/>
          <w:sz w:val="24"/>
          <w:szCs w:val="24"/>
        </w:rPr>
        <w:t>PPMs</w:t>
      </w:r>
      <w:r w:rsidRPr="00CF3423">
        <w:rPr>
          <w:bCs/>
          <w:sz w:val="24"/>
          <w:szCs w:val="24"/>
        </w:rPr>
        <w:t xml:space="preserve"> providing homebirth services until 1 July 2025.</w:t>
      </w:r>
      <w:r>
        <w:rPr>
          <w:bCs/>
        </w:rPr>
        <w:t xml:space="preserve"> </w:t>
      </w:r>
      <w:r w:rsidRPr="00CF3423">
        <w:rPr>
          <w:rFonts w:cstheme="minorHAnsi"/>
          <w:sz w:val="24"/>
          <w:szCs w:val="24"/>
        </w:rPr>
        <w:t>Once</w:t>
      </w:r>
      <w:r w:rsidRPr="00483C24">
        <w:rPr>
          <w:rFonts w:cstheme="minorHAnsi"/>
          <w:sz w:val="24"/>
          <w:szCs w:val="24"/>
        </w:rPr>
        <w:t xml:space="preserve"> the exemption expires, it will become illegal for midwives to offer homebirths without insurance cover, bringing them in line with all other registered health practitioners who must hold insurance cover for all professional services.</w:t>
      </w:r>
    </w:p>
    <w:p w:rsidR="003008B2" w:rsidRDefault="003008B2" w:rsidP="003B2CCB">
      <w:pPr>
        <w:tabs>
          <w:tab w:val="left" w:pos="2127"/>
        </w:tabs>
        <w:ind w:left="567"/>
        <w:rPr>
          <w:rFonts w:cstheme="minorHAnsi"/>
          <w:sz w:val="24"/>
          <w:szCs w:val="24"/>
        </w:rPr>
      </w:pPr>
      <w:r>
        <w:rPr>
          <w:rFonts w:cstheme="minorHAnsi"/>
          <w:sz w:val="24"/>
          <w:szCs w:val="24"/>
        </w:rPr>
        <w:t>To date, n</w:t>
      </w:r>
      <w:r w:rsidRPr="005C7436">
        <w:rPr>
          <w:rFonts w:cstheme="minorHAnsi"/>
          <w:sz w:val="24"/>
          <w:szCs w:val="24"/>
        </w:rPr>
        <w:t xml:space="preserve">o insurer has indicated a willingness to provide the relevant PII cover under existing Government supports </w:t>
      </w:r>
      <w:r>
        <w:rPr>
          <w:rFonts w:cstheme="minorHAnsi"/>
          <w:sz w:val="24"/>
          <w:szCs w:val="24"/>
        </w:rPr>
        <w:t xml:space="preserve">for the Midwife Schemes. </w:t>
      </w:r>
      <w:r w:rsidRPr="005C7436">
        <w:rPr>
          <w:rFonts w:cstheme="minorHAnsi"/>
          <w:sz w:val="24"/>
          <w:szCs w:val="24"/>
        </w:rPr>
        <w:t>The failure of the market to respond with a solution can justify Government intervention to address the market failure.</w:t>
      </w:r>
    </w:p>
    <w:p w:rsidR="003428A8" w:rsidRDefault="00E278D0" w:rsidP="0058344C">
      <w:pPr>
        <w:pStyle w:val="Heading2"/>
      </w:pPr>
      <w:bookmarkStart w:id="29" w:name="_Toc162017780"/>
      <w:r>
        <w:t>Objectives</w:t>
      </w:r>
      <w:r w:rsidR="005B55E9">
        <w:t xml:space="preserve"> of Government Involvement</w:t>
      </w:r>
      <w:bookmarkEnd w:id="29"/>
    </w:p>
    <w:p w:rsidR="00871AEA" w:rsidRDefault="00871AEA" w:rsidP="00871AEA">
      <w:pPr>
        <w:tabs>
          <w:tab w:val="left" w:pos="2127"/>
        </w:tabs>
        <w:ind w:left="567"/>
        <w:rPr>
          <w:rFonts w:cstheme="minorHAnsi"/>
          <w:sz w:val="24"/>
          <w:szCs w:val="24"/>
        </w:rPr>
      </w:pPr>
      <w:r w:rsidRPr="00871AEA">
        <w:rPr>
          <w:rFonts w:cstheme="minorHAnsi"/>
          <w:sz w:val="24"/>
          <w:szCs w:val="24"/>
        </w:rPr>
        <w:t xml:space="preserve">There are several reasons for the Government to </w:t>
      </w:r>
      <w:r>
        <w:rPr>
          <w:rFonts w:cstheme="minorHAnsi"/>
          <w:sz w:val="24"/>
          <w:szCs w:val="24"/>
        </w:rPr>
        <w:t>provide women with choice in birthing and care</w:t>
      </w:r>
      <w:r w:rsidR="000E7F46">
        <w:rPr>
          <w:rFonts w:cstheme="minorHAnsi"/>
          <w:sz w:val="24"/>
          <w:szCs w:val="24"/>
        </w:rPr>
        <w:t>r</w:t>
      </w:r>
      <w:r>
        <w:rPr>
          <w:rFonts w:cstheme="minorHAnsi"/>
          <w:sz w:val="24"/>
          <w:szCs w:val="24"/>
        </w:rPr>
        <w:t xml:space="preserve"> by making </w:t>
      </w:r>
      <w:r w:rsidRPr="00483C24">
        <w:rPr>
          <w:rFonts w:cstheme="minorHAnsi"/>
          <w:sz w:val="24"/>
          <w:szCs w:val="24"/>
        </w:rPr>
        <w:t xml:space="preserve">low-risk homebirths </w:t>
      </w:r>
      <w:r>
        <w:rPr>
          <w:rFonts w:cstheme="minorHAnsi"/>
          <w:sz w:val="24"/>
          <w:szCs w:val="24"/>
        </w:rPr>
        <w:t xml:space="preserve">and intrapartum care outside a hospital </w:t>
      </w:r>
      <w:r w:rsidRPr="00483C24">
        <w:rPr>
          <w:rFonts w:cstheme="minorHAnsi"/>
          <w:sz w:val="24"/>
          <w:szCs w:val="24"/>
        </w:rPr>
        <w:t>eligible product</w:t>
      </w:r>
      <w:r>
        <w:rPr>
          <w:rFonts w:cstheme="minorHAnsi"/>
          <w:sz w:val="24"/>
          <w:szCs w:val="24"/>
        </w:rPr>
        <w:t>s</w:t>
      </w:r>
      <w:r w:rsidRPr="00483C24">
        <w:rPr>
          <w:rFonts w:cstheme="minorHAnsi"/>
          <w:sz w:val="24"/>
          <w:szCs w:val="24"/>
        </w:rPr>
        <w:t xml:space="preserve"> under the MPIS.</w:t>
      </w:r>
    </w:p>
    <w:p w:rsidR="00261512" w:rsidRDefault="00261512">
      <w:pPr>
        <w:rPr>
          <w:rFonts w:cstheme="minorHAnsi"/>
          <w:sz w:val="24"/>
          <w:szCs w:val="24"/>
        </w:rPr>
      </w:pPr>
      <w:r>
        <w:rPr>
          <w:rFonts w:cstheme="minorHAnsi"/>
          <w:sz w:val="24"/>
          <w:szCs w:val="24"/>
        </w:rPr>
        <w:br w:type="page"/>
      </w:r>
    </w:p>
    <w:p w:rsidR="00871AEA" w:rsidRPr="00871AEA" w:rsidRDefault="00871AEA" w:rsidP="0033710E">
      <w:pPr>
        <w:spacing w:after="60"/>
        <w:rPr>
          <w:rFonts w:eastAsiaTheme="minorHAnsi" w:cstheme="minorHAnsi"/>
          <w:b/>
        </w:rPr>
      </w:pPr>
      <w:r w:rsidRPr="00871AEA">
        <w:rPr>
          <w:rFonts w:eastAsiaTheme="minorHAnsi" w:cstheme="minorHAnsi"/>
          <w:b/>
        </w:rPr>
        <w:t>Table 1: Identified Problems and Objectives for Government Action</w:t>
      </w:r>
    </w:p>
    <w:tbl>
      <w:tblPr>
        <w:tblStyle w:val="TableGrid2"/>
        <w:tblW w:w="0" w:type="auto"/>
        <w:tblLook w:val="04A0" w:firstRow="1" w:lastRow="0" w:firstColumn="1" w:lastColumn="0" w:noHBand="0" w:noVBand="1"/>
      </w:tblPr>
      <w:tblGrid>
        <w:gridCol w:w="2405"/>
        <w:gridCol w:w="3419"/>
        <w:gridCol w:w="2920"/>
      </w:tblGrid>
      <w:tr w:rsidR="00F60A85" w:rsidRPr="00871AEA" w:rsidTr="00261512">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871AEA" w:rsidRPr="00871AEA" w:rsidRDefault="00871AEA" w:rsidP="00871AEA">
            <w:pPr>
              <w:rPr>
                <w:rFonts w:asciiTheme="minorHAnsi" w:hAnsiTheme="minorHAnsi" w:cstheme="minorHAnsi"/>
                <w:b/>
                <w:color w:val="FFFFFF" w:themeColor="background1"/>
                <w:sz w:val="22"/>
                <w:szCs w:val="22"/>
              </w:rPr>
            </w:pPr>
            <w:r w:rsidRPr="00871AEA">
              <w:rPr>
                <w:rFonts w:asciiTheme="minorHAnsi" w:hAnsiTheme="minorHAnsi" w:cstheme="minorHAnsi"/>
                <w:b/>
                <w:color w:val="FFFFFF" w:themeColor="background1"/>
                <w:sz w:val="22"/>
                <w:szCs w:val="22"/>
              </w:rPr>
              <w:t>Identified Problems</w:t>
            </w:r>
          </w:p>
        </w:tc>
        <w:tc>
          <w:tcPr>
            <w:tcW w:w="3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871AEA" w:rsidRPr="00871AEA" w:rsidRDefault="00871AEA" w:rsidP="00871AEA">
            <w:pPr>
              <w:rPr>
                <w:rFonts w:asciiTheme="minorHAnsi" w:hAnsiTheme="minorHAnsi" w:cstheme="minorHAnsi"/>
                <w:b/>
                <w:color w:val="FFFFFF" w:themeColor="background1"/>
                <w:sz w:val="22"/>
                <w:szCs w:val="22"/>
              </w:rPr>
            </w:pPr>
            <w:r w:rsidRPr="00871AEA">
              <w:rPr>
                <w:rFonts w:asciiTheme="minorHAnsi" w:hAnsiTheme="minorHAnsi" w:cstheme="minorHAnsi"/>
                <w:b/>
                <w:color w:val="FFFFFF" w:themeColor="background1"/>
                <w:sz w:val="22"/>
                <w:szCs w:val="22"/>
              </w:rPr>
              <w:t>Objectives for Government Action</w:t>
            </w:r>
          </w:p>
        </w:tc>
        <w:tc>
          <w:tcPr>
            <w:tcW w:w="2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871AEA" w:rsidRPr="00871AEA" w:rsidRDefault="00871AEA" w:rsidP="009E23A0">
            <w:pPr>
              <w:rPr>
                <w:rFonts w:asciiTheme="minorHAnsi" w:hAnsiTheme="minorHAnsi" w:cstheme="minorHAnsi"/>
                <w:b/>
                <w:color w:val="FFFFFF" w:themeColor="background1"/>
                <w:sz w:val="22"/>
                <w:szCs w:val="22"/>
              </w:rPr>
            </w:pPr>
            <w:r w:rsidRPr="00871AEA">
              <w:rPr>
                <w:rFonts w:asciiTheme="minorHAnsi" w:hAnsiTheme="minorHAnsi" w:cstheme="minorHAnsi"/>
                <w:b/>
                <w:color w:val="FFFFFF" w:themeColor="background1"/>
                <w:sz w:val="22"/>
                <w:szCs w:val="22"/>
              </w:rPr>
              <w:t>Measurement of success and progress against objective</w:t>
            </w:r>
          </w:p>
        </w:tc>
      </w:tr>
      <w:tr w:rsidR="00E36FC1" w:rsidRPr="00E36FC1" w:rsidTr="00C60D79">
        <w:trPr>
          <w:trHeight w:val="135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E36FC1" w:rsidRPr="009E23A0" w:rsidRDefault="00E36FC1" w:rsidP="00E36FC1">
            <w:pPr>
              <w:spacing w:after="120"/>
              <w:rPr>
                <w:rFonts w:asciiTheme="minorHAnsi" w:hAnsiTheme="minorHAnsi" w:cstheme="minorHAnsi"/>
                <w:color w:val="FFFFFF" w:themeColor="background1"/>
                <w:sz w:val="22"/>
                <w:szCs w:val="22"/>
              </w:rPr>
            </w:pPr>
            <w:r w:rsidRPr="009E23A0">
              <w:rPr>
                <w:rFonts w:asciiTheme="minorHAnsi" w:hAnsiTheme="minorHAnsi" w:cstheme="minorHAnsi"/>
                <w:color w:val="FFFFFF" w:themeColor="background1"/>
                <w:sz w:val="22"/>
                <w:szCs w:val="22"/>
              </w:rPr>
              <w:t xml:space="preserve">Women are seeking greater choice in </w:t>
            </w:r>
            <w:hyperlink r:id="rId19" w:tooltip="Learn more about birth place from ScienceDirect's AI-generated Topic Pages" w:history="1">
              <w:r w:rsidRPr="009E23A0">
                <w:rPr>
                  <w:rFonts w:asciiTheme="minorHAnsi" w:hAnsiTheme="minorHAnsi" w:cstheme="minorHAnsi"/>
                  <w:color w:val="FFFFFF" w:themeColor="background1"/>
                  <w:sz w:val="22"/>
                  <w:szCs w:val="22"/>
                </w:rPr>
                <w:t>birth place</w:t>
              </w:r>
            </w:hyperlink>
            <w:r w:rsidRPr="009E23A0">
              <w:rPr>
                <w:rFonts w:asciiTheme="minorHAnsi" w:hAnsiTheme="minorHAnsi" w:cstheme="minorHAnsi"/>
                <w:color w:val="FFFFFF" w:themeColor="background1"/>
                <w:sz w:val="22"/>
                <w:szCs w:val="22"/>
              </w:rPr>
              <w:t xml:space="preserve"> and birth carer</w:t>
            </w:r>
          </w:p>
          <w:p w:rsidR="00E36FC1" w:rsidRPr="009E23A0" w:rsidRDefault="00E36FC1" w:rsidP="00F60A85">
            <w:pPr>
              <w:rPr>
                <w:rFonts w:asciiTheme="minorHAnsi" w:hAnsiTheme="minorHAnsi" w:cstheme="minorHAnsi"/>
                <w:color w:val="FFFFFF" w:themeColor="background1"/>
                <w:sz w:val="22"/>
                <w:szCs w:val="22"/>
              </w:rPr>
            </w:pPr>
            <w:r w:rsidRPr="009E23A0">
              <w:rPr>
                <w:rFonts w:asciiTheme="minorHAnsi" w:hAnsiTheme="minorHAnsi" w:cstheme="minorHAnsi"/>
                <w:color w:val="FFFFFF" w:themeColor="background1"/>
                <w:sz w:val="22"/>
                <w:szCs w:val="22"/>
              </w:rPr>
              <w:t>No available insured homebirth product</w:t>
            </w:r>
          </w:p>
        </w:tc>
        <w:tc>
          <w:tcPr>
            <w:tcW w:w="3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E36FC1" w:rsidRPr="00E36FC1" w:rsidRDefault="00E36FC1" w:rsidP="00261512">
            <w:pPr>
              <w:tabs>
                <w:tab w:val="left" w:pos="2127"/>
              </w:tabs>
              <w:rPr>
                <w:rFonts w:cstheme="minorHAnsi"/>
                <w:b/>
                <w:color w:val="000000" w:themeColor="text1"/>
              </w:rPr>
            </w:pPr>
            <w:r w:rsidRPr="00E36FC1">
              <w:rPr>
                <w:rFonts w:asciiTheme="minorHAnsi" w:hAnsiTheme="minorHAnsi" w:cstheme="minorHAnsi"/>
                <w:color w:val="000000" w:themeColor="text1"/>
                <w:sz w:val="22"/>
                <w:szCs w:val="22"/>
              </w:rPr>
              <w:t>To make low-risk homebirths an eligible product under the Midwife Schemes with timing to coincide with the expiry of the exemption</w:t>
            </w:r>
          </w:p>
        </w:tc>
        <w:tc>
          <w:tcPr>
            <w:tcW w:w="2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1C39D3" w:rsidRPr="001C39D3" w:rsidRDefault="001C39D3" w:rsidP="001C39D3">
            <w:pPr>
              <w:spacing w:after="60"/>
              <w:rPr>
                <w:rFonts w:asciiTheme="minorHAnsi" w:hAnsiTheme="minorHAnsi" w:cstheme="minorHAnsi"/>
                <w:sz w:val="22"/>
                <w:szCs w:val="22"/>
              </w:rPr>
            </w:pPr>
            <w:r w:rsidRPr="001C39D3">
              <w:rPr>
                <w:rFonts w:asciiTheme="minorHAnsi" w:hAnsiTheme="minorHAnsi" w:cstheme="minorHAnsi"/>
                <w:color w:val="000000"/>
                <w:sz w:val="22"/>
                <w:szCs w:val="22"/>
              </w:rPr>
              <w:t>Number of insured midwives offering homebirth services by July 2025.</w:t>
            </w:r>
          </w:p>
          <w:p w:rsidR="001C39D3" w:rsidRPr="001C39D3" w:rsidRDefault="001C39D3" w:rsidP="001C39D3">
            <w:pPr>
              <w:spacing w:after="60"/>
              <w:rPr>
                <w:rFonts w:asciiTheme="minorHAnsi" w:hAnsiTheme="minorHAnsi" w:cstheme="minorHAnsi"/>
                <w:sz w:val="22"/>
                <w:szCs w:val="22"/>
              </w:rPr>
            </w:pPr>
            <w:r w:rsidRPr="001C39D3">
              <w:rPr>
                <w:rFonts w:asciiTheme="minorHAnsi" w:hAnsiTheme="minorHAnsi" w:cstheme="minorHAnsi"/>
                <w:color w:val="000000"/>
                <w:sz w:val="22"/>
                <w:szCs w:val="22"/>
              </w:rPr>
              <w:t>Increase in the proportion of women accessing homebirth services.</w:t>
            </w:r>
          </w:p>
          <w:p w:rsidR="00E36FC1" w:rsidRPr="00E36FC1" w:rsidRDefault="001C39D3" w:rsidP="001C39D3">
            <w:pPr>
              <w:spacing w:after="60"/>
              <w:rPr>
                <w:rFonts w:asciiTheme="minorHAnsi" w:hAnsiTheme="minorHAnsi" w:cstheme="minorHAnsi"/>
                <w:color w:val="000000" w:themeColor="text1"/>
                <w:sz w:val="22"/>
                <w:szCs w:val="22"/>
              </w:rPr>
            </w:pPr>
            <w:r w:rsidRPr="001C39D3">
              <w:rPr>
                <w:rFonts w:asciiTheme="minorHAnsi" w:hAnsiTheme="minorHAnsi" w:cstheme="minorHAnsi"/>
                <w:color w:val="000000"/>
                <w:sz w:val="22"/>
                <w:szCs w:val="22"/>
              </w:rPr>
              <w:t>Exemption successfully removed by July 2025</w:t>
            </w:r>
          </w:p>
        </w:tc>
      </w:tr>
      <w:tr w:rsidR="00E36FC1" w:rsidRPr="00E36FC1" w:rsidTr="00C60D79">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rsidR="00F60A85" w:rsidRPr="009E23A0" w:rsidRDefault="00F60A85" w:rsidP="00261512">
            <w:pPr>
              <w:rPr>
                <w:rFonts w:asciiTheme="minorHAnsi" w:hAnsiTheme="minorHAnsi" w:cstheme="minorHAnsi"/>
                <w:color w:val="FFFFFF" w:themeColor="background1"/>
                <w:sz w:val="22"/>
                <w:szCs w:val="22"/>
              </w:rPr>
            </w:pPr>
            <w:r w:rsidRPr="00261512">
              <w:rPr>
                <w:rFonts w:asciiTheme="minorHAnsi" w:hAnsiTheme="minorHAnsi" w:cstheme="minorHAnsi"/>
                <w:color w:val="FFFFFF" w:themeColor="background1"/>
                <w:sz w:val="22"/>
                <w:szCs w:val="22"/>
              </w:rPr>
              <w:t>Birthing on Country</w:t>
            </w:r>
            <w:r w:rsidR="00261512">
              <w:rPr>
                <w:rFonts w:asciiTheme="minorHAnsi" w:hAnsiTheme="minorHAnsi" w:cstheme="minorHAnsi"/>
                <w:color w:val="FFFFFF" w:themeColor="background1"/>
                <w:sz w:val="22"/>
                <w:szCs w:val="22"/>
              </w:rPr>
              <w:t xml:space="preserve"> programs</w:t>
            </w:r>
          </w:p>
        </w:tc>
        <w:tc>
          <w:tcPr>
            <w:tcW w:w="3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F60A85" w:rsidRPr="00261512" w:rsidRDefault="00F60A85" w:rsidP="00261512">
            <w:pPr>
              <w:tabs>
                <w:tab w:val="left" w:pos="2127"/>
              </w:tabs>
              <w:rPr>
                <w:rFonts w:cstheme="minorHAnsi"/>
                <w:color w:val="000000" w:themeColor="text1"/>
              </w:rPr>
            </w:pPr>
            <w:r w:rsidRPr="00261512">
              <w:rPr>
                <w:rFonts w:asciiTheme="minorHAnsi" w:hAnsiTheme="minorHAnsi" w:cstheme="minorHAnsi"/>
                <w:color w:val="000000" w:themeColor="text1"/>
                <w:sz w:val="22"/>
                <w:szCs w:val="22"/>
              </w:rPr>
              <w:t xml:space="preserve">To </w:t>
            </w:r>
            <w:r w:rsidR="00261512">
              <w:rPr>
                <w:rFonts w:asciiTheme="minorHAnsi" w:hAnsiTheme="minorHAnsi" w:cstheme="minorHAnsi"/>
                <w:color w:val="000000" w:themeColor="text1"/>
                <w:sz w:val="22"/>
                <w:szCs w:val="22"/>
              </w:rPr>
              <w:t xml:space="preserve">build on momentum towards achieving Closing the Gap Target 2 by </w:t>
            </w:r>
            <w:r w:rsidRPr="00261512">
              <w:rPr>
                <w:rFonts w:asciiTheme="minorHAnsi" w:hAnsiTheme="minorHAnsi" w:cstheme="minorHAnsi"/>
                <w:color w:val="000000" w:themeColor="text1"/>
                <w:sz w:val="22"/>
                <w:szCs w:val="22"/>
              </w:rPr>
              <w:t>improv</w:t>
            </w:r>
            <w:r w:rsidR="00261512">
              <w:rPr>
                <w:rFonts w:asciiTheme="minorHAnsi" w:hAnsiTheme="minorHAnsi" w:cstheme="minorHAnsi"/>
                <w:color w:val="000000" w:themeColor="text1"/>
                <w:sz w:val="22"/>
                <w:szCs w:val="22"/>
              </w:rPr>
              <w:t>ing</w:t>
            </w:r>
            <w:r w:rsidRPr="00261512">
              <w:rPr>
                <w:rFonts w:asciiTheme="minorHAnsi" w:hAnsiTheme="minorHAnsi" w:cstheme="minorHAnsi"/>
                <w:color w:val="000000" w:themeColor="text1"/>
                <w:sz w:val="22"/>
                <w:szCs w:val="22"/>
              </w:rPr>
              <w:t xml:space="preserve"> community access to culturally safe </w:t>
            </w:r>
            <w:r w:rsidR="00447AB2" w:rsidRPr="00261512">
              <w:rPr>
                <w:rFonts w:asciiTheme="minorHAnsi" w:hAnsiTheme="minorHAnsi" w:cstheme="minorHAnsi"/>
                <w:color w:val="000000" w:themeColor="text1"/>
                <w:sz w:val="22"/>
                <w:szCs w:val="22"/>
              </w:rPr>
              <w:t xml:space="preserve">continuity of </w:t>
            </w:r>
            <w:r w:rsidRPr="00261512">
              <w:rPr>
                <w:rFonts w:asciiTheme="minorHAnsi" w:hAnsiTheme="minorHAnsi" w:cstheme="minorHAnsi"/>
                <w:color w:val="000000" w:themeColor="text1"/>
                <w:sz w:val="22"/>
                <w:szCs w:val="22"/>
              </w:rPr>
              <w:t xml:space="preserve">midwifery </w:t>
            </w:r>
            <w:r w:rsidR="00447AB2" w:rsidRPr="00261512">
              <w:rPr>
                <w:rFonts w:asciiTheme="minorHAnsi" w:hAnsiTheme="minorHAnsi" w:cstheme="minorHAnsi"/>
                <w:color w:val="000000" w:themeColor="text1"/>
                <w:sz w:val="22"/>
                <w:szCs w:val="22"/>
              </w:rPr>
              <w:t xml:space="preserve">services and midwifery care, including expansion of </w:t>
            </w:r>
            <w:r w:rsidRPr="00261512">
              <w:rPr>
                <w:rFonts w:asciiTheme="minorHAnsi" w:hAnsiTheme="minorHAnsi" w:cstheme="minorHAnsi"/>
                <w:color w:val="000000" w:themeColor="text1"/>
                <w:sz w:val="22"/>
                <w:szCs w:val="22"/>
              </w:rPr>
              <w:t>BoC program</w:t>
            </w:r>
            <w:r w:rsidR="00447AB2" w:rsidRPr="00261512">
              <w:rPr>
                <w:rFonts w:asciiTheme="minorHAnsi" w:hAnsiTheme="minorHAnsi" w:cstheme="minorHAnsi"/>
                <w:color w:val="000000" w:themeColor="text1"/>
                <w:sz w:val="22"/>
                <w:szCs w:val="22"/>
              </w:rPr>
              <w:t>s by 2031</w:t>
            </w:r>
            <w:r w:rsidR="00261512">
              <w:rPr>
                <w:rFonts w:asciiTheme="minorHAnsi" w:hAnsiTheme="minorHAnsi" w:cstheme="minorHAnsi"/>
                <w:color w:val="000000" w:themeColor="text1"/>
                <w:sz w:val="22"/>
                <w:szCs w:val="22"/>
              </w:rPr>
              <w:t xml:space="preserve">, </w:t>
            </w:r>
            <w:r w:rsidR="00261512" w:rsidRPr="00261512">
              <w:rPr>
                <w:rFonts w:asciiTheme="minorHAnsi" w:hAnsiTheme="minorHAnsi" w:cstheme="minorHAnsi"/>
                <w:color w:val="000000" w:themeColor="text1"/>
                <w:sz w:val="22"/>
                <w:szCs w:val="22"/>
              </w:rPr>
              <w:t xml:space="preserve">noting </w:t>
            </w:r>
            <w:r w:rsidR="00261512" w:rsidRPr="00261512">
              <w:rPr>
                <w:rFonts w:asciiTheme="minorHAnsi" w:hAnsiTheme="minorHAnsi" w:cstheme="minorHAnsi"/>
                <w:sz w:val="22"/>
                <w:szCs w:val="22"/>
              </w:rPr>
              <w:t>BoC models of care are a major contributor to healthy birth weight</w:t>
            </w:r>
          </w:p>
        </w:tc>
        <w:tc>
          <w:tcPr>
            <w:tcW w:w="2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447AB2" w:rsidRPr="00447AB2" w:rsidRDefault="00447AB2" w:rsidP="00447AB2">
            <w:pPr>
              <w:tabs>
                <w:tab w:val="left" w:pos="2127"/>
              </w:tabs>
              <w:rPr>
                <w:rFonts w:asciiTheme="minorHAnsi" w:hAnsiTheme="minorHAnsi" w:cstheme="minorHAnsi"/>
                <w:color w:val="000000" w:themeColor="text1"/>
                <w:sz w:val="22"/>
                <w:szCs w:val="22"/>
              </w:rPr>
            </w:pPr>
            <w:r w:rsidRPr="00447AB2">
              <w:rPr>
                <w:rFonts w:asciiTheme="minorHAnsi" w:hAnsiTheme="minorHAnsi" w:cstheme="minorHAnsi"/>
                <w:color w:val="000000" w:themeColor="text1"/>
                <w:sz w:val="22"/>
                <w:szCs w:val="22"/>
              </w:rPr>
              <w:t>The Department continue</w:t>
            </w:r>
            <w:r w:rsidR="00904E34">
              <w:rPr>
                <w:rFonts w:asciiTheme="minorHAnsi" w:hAnsiTheme="minorHAnsi" w:cstheme="minorHAnsi"/>
                <w:color w:val="000000" w:themeColor="text1"/>
                <w:sz w:val="22"/>
                <w:szCs w:val="22"/>
              </w:rPr>
              <w:t>s</w:t>
            </w:r>
            <w:r w:rsidRPr="00447AB2">
              <w:rPr>
                <w:rFonts w:asciiTheme="minorHAnsi" w:hAnsiTheme="minorHAnsi" w:cstheme="minorHAnsi"/>
                <w:color w:val="000000" w:themeColor="text1"/>
                <w:sz w:val="22"/>
                <w:szCs w:val="22"/>
              </w:rPr>
              <w:t xml:space="preserve"> to work in partnership with the ACCHO sector and key First Nation</w:t>
            </w:r>
            <w:r w:rsidR="00261512">
              <w:rPr>
                <w:rFonts w:asciiTheme="minorHAnsi" w:hAnsiTheme="minorHAnsi" w:cstheme="minorHAnsi"/>
                <w:color w:val="000000" w:themeColor="text1"/>
                <w:sz w:val="22"/>
                <w:szCs w:val="22"/>
              </w:rPr>
              <w:t>s maternity health stakeholders</w:t>
            </w:r>
            <w:r w:rsidRPr="00447AB2">
              <w:rPr>
                <w:rFonts w:asciiTheme="minorHAnsi" w:hAnsiTheme="minorHAnsi" w:cstheme="minorHAnsi"/>
                <w:color w:val="000000" w:themeColor="text1"/>
                <w:sz w:val="22"/>
                <w:szCs w:val="22"/>
              </w:rPr>
              <w:t xml:space="preserve"> to progress the following actions with Commonwealth and state and territory governments through Health Ministers:</w:t>
            </w:r>
          </w:p>
          <w:p w:rsidR="00447AB2" w:rsidRPr="00447AB2" w:rsidRDefault="00261512" w:rsidP="00447AB2">
            <w:pPr>
              <w:tabs>
                <w:tab w:val="left" w:pos="2127"/>
              </w:tabs>
              <w:rPr>
                <w:rFonts w:asciiTheme="minorHAnsi" w:hAnsiTheme="minorHAnsi" w:cstheme="minorHAnsi"/>
                <w:color w:val="000000" w:themeColor="text1"/>
                <w:sz w:val="22"/>
                <w:szCs w:val="22"/>
              </w:rPr>
            </w:pPr>
            <w:r w:rsidRPr="00261512">
              <w:rPr>
                <w:rFonts w:asciiTheme="minorHAnsi" w:hAnsiTheme="minorHAnsi" w:cstheme="minorHAnsi"/>
                <w:color w:val="000000" w:themeColor="text1"/>
                <w:sz w:val="22"/>
                <w:szCs w:val="22"/>
              </w:rPr>
              <w:t>-</w:t>
            </w:r>
            <w:r w:rsidR="00447AB2" w:rsidRPr="00447AB2">
              <w:rPr>
                <w:rFonts w:asciiTheme="minorHAnsi" w:hAnsiTheme="minorHAnsi" w:cstheme="minorHAnsi"/>
                <w:color w:val="000000" w:themeColor="text1"/>
                <w:sz w:val="22"/>
                <w:szCs w:val="22"/>
              </w:rPr>
              <w:t>dev</w:t>
            </w:r>
            <w:r>
              <w:rPr>
                <w:rFonts w:asciiTheme="minorHAnsi" w:hAnsiTheme="minorHAnsi" w:cstheme="minorHAnsi"/>
                <w:color w:val="000000" w:themeColor="text1"/>
                <w:sz w:val="22"/>
                <w:szCs w:val="22"/>
              </w:rPr>
              <w:t xml:space="preserve">elop strategies to increase </w:t>
            </w:r>
            <w:r w:rsidR="00447AB2" w:rsidRPr="00447AB2">
              <w:rPr>
                <w:rFonts w:asciiTheme="minorHAnsi" w:hAnsiTheme="minorHAnsi" w:cstheme="minorHAnsi"/>
                <w:color w:val="000000" w:themeColor="text1"/>
                <w:sz w:val="22"/>
                <w:szCs w:val="22"/>
              </w:rPr>
              <w:t>First Nations midwifery workforce;</w:t>
            </w:r>
          </w:p>
          <w:p w:rsidR="00447AB2" w:rsidRPr="00447AB2" w:rsidRDefault="00261512" w:rsidP="00447AB2">
            <w:pPr>
              <w:tabs>
                <w:tab w:val="left" w:pos="2127"/>
              </w:tabs>
              <w:rPr>
                <w:rFonts w:asciiTheme="minorHAnsi" w:hAnsiTheme="minorHAnsi" w:cstheme="minorHAnsi"/>
                <w:color w:val="000000" w:themeColor="text1"/>
                <w:sz w:val="22"/>
                <w:szCs w:val="22"/>
              </w:rPr>
            </w:pPr>
            <w:r w:rsidRPr="00261512">
              <w:rPr>
                <w:rFonts w:asciiTheme="minorHAnsi" w:hAnsiTheme="minorHAnsi" w:cstheme="minorHAnsi"/>
                <w:color w:val="000000" w:themeColor="text1"/>
                <w:sz w:val="22"/>
                <w:szCs w:val="22"/>
              </w:rPr>
              <w:t>-</w:t>
            </w:r>
            <w:r w:rsidR="00447AB2" w:rsidRPr="00447AB2">
              <w:rPr>
                <w:rFonts w:asciiTheme="minorHAnsi" w:hAnsiTheme="minorHAnsi" w:cstheme="minorHAnsi"/>
                <w:color w:val="000000" w:themeColor="text1"/>
                <w:sz w:val="22"/>
                <w:szCs w:val="22"/>
              </w:rPr>
              <w:t>expand access to culturally safe First Nations-led continuous maternity care programs, with</w:t>
            </w:r>
            <w:r w:rsidR="00904E34">
              <w:rPr>
                <w:rFonts w:asciiTheme="minorHAnsi" w:hAnsiTheme="minorHAnsi" w:cstheme="minorHAnsi"/>
                <w:color w:val="000000" w:themeColor="text1"/>
                <w:sz w:val="22"/>
                <w:szCs w:val="22"/>
              </w:rPr>
              <w:t xml:space="preserve"> a focus on improved access in </w:t>
            </w:r>
            <w:r w:rsidR="00447AB2" w:rsidRPr="00447AB2">
              <w:rPr>
                <w:rFonts w:asciiTheme="minorHAnsi" w:hAnsiTheme="minorHAnsi" w:cstheme="minorHAnsi"/>
                <w:color w:val="000000" w:themeColor="text1"/>
                <w:sz w:val="22"/>
                <w:szCs w:val="22"/>
              </w:rPr>
              <w:t>remote and very remote locations;</w:t>
            </w:r>
          </w:p>
          <w:p w:rsidR="00447AB2" w:rsidRPr="00447AB2" w:rsidRDefault="00261512" w:rsidP="00447AB2">
            <w:pPr>
              <w:tabs>
                <w:tab w:val="left" w:pos="2127"/>
              </w:tabs>
              <w:rPr>
                <w:rFonts w:asciiTheme="minorHAnsi" w:hAnsiTheme="minorHAnsi" w:cstheme="minorHAnsi"/>
                <w:color w:val="000000" w:themeColor="text1"/>
                <w:sz w:val="22"/>
                <w:szCs w:val="22"/>
              </w:rPr>
            </w:pPr>
            <w:r w:rsidRPr="00261512">
              <w:rPr>
                <w:rFonts w:asciiTheme="minorHAnsi" w:hAnsiTheme="minorHAnsi" w:cstheme="minorHAnsi"/>
                <w:color w:val="000000" w:themeColor="text1"/>
                <w:sz w:val="22"/>
                <w:szCs w:val="22"/>
              </w:rPr>
              <w:t>-</w:t>
            </w:r>
            <w:r w:rsidR="00447AB2" w:rsidRPr="00447AB2">
              <w:rPr>
                <w:rFonts w:asciiTheme="minorHAnsi" w:hAnsiTheme="minorHAnsi" w:cstheme="minorHAnsi"/>
                <w:color w:val="000000" w:themeColor="text1"/>
                <w:sz w:val="22"/>
                <w:szCs w:val="22"/>
              </w:rPr>
              <w:t>support capacity building for existing and new BoC programs</w:t>
            </w:r>
          </w:p>
          <w:p w:rsidR="00F60A85" w:rsidRPr="00261512" w:rsidRDefault="00447AB2" w:rsidP="00904E34">
            <w:pPr>
              <w:tabs>
                <w:tab w:val="left" w:pos="2127"/>
              </w:tabs>
              <w:rPr>
                <w:rFonts w:cstheme="minorHAnsi"/>
              </w:rPr>
            </w:pPr>
            <w:r w:rsidRPr="00447AB2">
              <w:rPr>
                <w:rFonts w:asciiTheme="minorHAnsi" w:hAnsiTheme="minorHAnsi" w:cstheme="minorHAnsi"/>
                <w:color w:val="000000" w:themeColor="text1"/>
                <w:sz w:val="22"/>
                <w:szCs w:val="22"/>
              </w:rPr>
              <w:t xml:space="preserve">The Department </w:t>
            </w:r>
            <w:r w:rsidR="00904E34">
              <w:rPr>
                <w:rFonts w:asciiTheme="minorHAnsi" w:hAnsiTheme="minorHAnsi" w:cstheme="minorHAnsi"/>
                <w:color w:val="000000" w:themeColor="text1"/>
                <w:sz w:val="22"/>
                <w:szCs w:val="22"/>
              </w:rPr>
              <w:t>continues to</w:t>
            </w:r>
            <w:r w:rsidRPr="00447AB2">
              <w:rPr>
                <w:rFonts w:asciiTheme="minorHAnsi" w:hAnsiTheme="minorHAnsi" w:cstheme="minorHAnsi"/>
                <w:color w:val="000000" w:themeColor="text1"/>
                <w:sz w:val="22"/>
                <w:szCs w:val="22"/>
              </w:rPr>
              <w:t xml:space="preserve"> report to Health Ministers annually on progress and seek advice on jurisdictional issues</w:t>
            </w:r>
            <w:r w:rsidRPr="00447AB2">
              <w:rPr>
                <w:rFonts w:cstheme="minorHAnsi"/>
              </w:rPr>
              <w:t>.</w:t>
            </w:r>
          </w:p>
        </w:tc>
      </w:tr>
      <w:tr w:rsidR="00E36FC1" w:rsidRPr="00E36FC1" w:rsidTr="00C60D79">
        <w:trPr>
          <w:trHeight w:val="1611"/>
        </w:trPr>
        <w:tc>
          <w:tcPr>
            <w:tcW w:w="2405" w:type="dxa"/>
            <w:tcBorders>
              <w:top w:val="single" w:sz="4" w:space="0" w:color="FFFFFF" w:themeColor="background1"/>
              <w:left w:val="single" w:sz="4" w:space="0" w:color="FFFFFF" w:themeColor="background1"/>
              <w:right w:val="single" w:sz="4" w:space="0" w:color="FFFFFF" w:themeColor="background1"/>
            </w:tcBorders>
            <w:shd w:val="clear" w:color="auto" w:fill="0070C0"/>
          </w:tcPr>
          <w:p w:rsidR="00E36FC1" w:rsidRPr="009E23A0" w:rsidRDefault="00E36FC1" w:rsidP="00E36FC1">
            <w:pPr>
              <w:pStyle w:val="Heading3"/>
              <w:spacing w:before="0" w:after="120"/>
              <w:outlineLvl w:val="2"/>
              <w:rPr>
                <w:rFonts w:asciiTheme="minorHAnsi" w:hAnsiTheme="minorHAnsi" w:cstheme="minorHAnsi"/>
                <w:color w:val="FFFFFF" w:themeColor="background1"/>
                <w:sz w:val="22"/>
                <w:szCs w:val="22"/>
              </w:rPr>
            </w:pPr>
            <w:bookmarkStart w:id="30" w:name="_Toc162017781"/>
            <w:r w:rsidRPr="009E23A0">
              <w:rPr>
                <w:rFonts w:asciiTheme="minorHAnsi" w:hAnsiTheme="minorHAnsi" w:cstheme="minorHAnsi"/>
                <w:color w:val="FFFFFF" w:themeColor="background1"/>
                <w:sz w:val="22"/>
                <w:szCs w:val="22"/>
              </w:rPr>
              <w:t>Barriers discouraging insurers from entering the market</w:t>
            </w:r>
            <w:bookmarkEnd w:id="30"/>
            <w:r w:rsidRPr="009E23A0">
              <w:rPr>
                <w:rFonts w:asciiTheme="minorHAnsi" w:hAnsiTheme="minorHAnsi" w:cstheme="minorHAnsi"/>
                <w:color w:val="FFFFFF" w:themeColor="background1"/>
                <w:sz w:val="22"/>
                <w:szCs w:val="22"/>
              </w:rPr>
              <w:t xml:space="preserve"> </w:t>
            </w:r>
          </w:p>
          <w:p w:rsidR="00E36FC1" w:rsidRPr="009E23A0" w:rsidRDefault="00E36FC1" w:rsidP="00871AEA">
            <w:pPr>
              <w:rPr>
                <w:rFonts w:asciiTheme="minorHAnsi" w:eastAsiaTheme="majorEastAsia" w:hAnsiTheme="minorHAnsi" w:cstheme="minorHAnsi"/>
                <w:color w:val="FFFFFF" w:themeColor="background1"/>
                <w:sz w:val="22"/>
                <w:szCs w:val="22"/>
              </w:rPr>
            </w:pPr>
            <w:r w:rsidRPr="009E23A0">
              <w:rPr>
                <w:rFonts w:asciiTheme="minorHAnsi" w:hAnsiTheme="minorHAnsi" w:cstheme="minorHAnsi"/>
                <w:color w:val="FFFFFF" w:themeColor="background1"/>
                <w:sz w:val="22"/>
                <w:szCs w:val="22"/>
              </w:rPr>
              <w:t>Limited incident and claims data for estimating liability cost estimate for homebirths</w:t>
            </w:r>
          </w:p>
        </w:tc>
        <w:tc>
          <w:tcPr>
            <w:tcW w:w="3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E36FC1" w:rsidRPr="00E36FC1" w:rsidRDefault="00E36FC1" w:rsidP="009E23A0">
            <w:pPr>
              <w:tabs>
                <w:tab w:val="left" w:pos="2127"/>
              </w:tabs>
              <w:rPr>
                <w:rFonts w:asciiTheme="minorHAnsi" w:hAnsiTheme="minorHAnsi" w:cstheme="minorHAnsi"/>
                <w:color w:val="000000" w:themeColor="text1"/>
                <w:sz w:val="22"/>
                <w:szCs w:val="22"/>
              </w:rPr>
            </w:pPr>
            <w:r w:rsidRPr="00E36FC1">
              <w:rPr>
                <w:rFonts w:asciiTheme="minorHAnsi" w:hAnsiTheme="minorHAnsi" w:cstheme="minorHAnsi"/>
                <w:color w:val="000000" w:themeColor="text1"/>
                <w:sz w:val="22"/>
                <w:szCs w:val="22"/>
              </w:rPr>
              <w:t xml:space="preserve">To work with state and territory governments to finalise a solution by 2030 to allow PPMs access appropriate PII and work to their full scope of practice </w:t>
            </w:r>
          </w:p>
        </w:tc>
        <w:tc>
          <w:tcPr>
            <w:tcW w:w="29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6EE" w:themeFill="accent1" w:themeFillTint="66"/>
          </w:tcPr>
          <w:p w:rsidR="001C39D3" w:rsidRPr="001C39D3" w:rsidRDefault="001C39D3" w:rsidP="001C39D3">
            <w:pPr>
              <w:spacing w:after="60"/>
              <w:rPr>
                <w:rFonts w:asciiTheme="minorHAnsi" w:hAnsiTheme="minorHAnsi" w:cstheme="minorHAnsi"/>
                <w:sz w:val="22"/>
                <w:szCs w:val="22"/>
              </w:rPr>
            </w:pPr>
            <w:r w:rsidRPr="001C39D3">
              <w:rPr>
                <w:rFonts w:asciiTheme="minorHAnsi" w:hAnsiTheme="minorHAnsi" w:cstheme="minorHAnsi"/>
                <w:color w:val="000000"/>
                <w:sz w:val="22"/>
                <w:szCs w:val="22"/>
              </w:rPr>
              <w:t xml:space="preserve">Establishment of data collection and reporting on the two additional services to which the proposal relates. </w:t>
            </w:r>
          </w:p>
          <w:p w:rsidR="008F7D57" w:rsidRPr="00261512" w:rsidRDefault="001C39D3" w:rsidP="001C39D3">
            <w:pPr>
              <w:spacing w:after="60"/>
              <w:rPr>
                <w:rFonts w:asciiTheme="minorHAnsi" w:hAnsiTheme="minorHAnsi" w:cstheme="minorHAnsi"/>
                <w:b/>
                <w:color w:val="000000" w:themeColor="text1"/>
                <w:sz w:val="22"/>
                <w:szCs w:val="22"/>
              </w:rPr>
            </w:pPr>
            <w:r w:rsidRPr="001C39D3">
              <w:rPr>
                <w:rFonts w:asciiTheme="minorHAnsi" w:hAnsiTheme="minorHAnsi" w:cstheme="minorHAnsi"/>
                <w:color w:val="000000"/>
                <w:sz w:val="22"/>
                <w:szCs w:val="22"/>
              </w:rPr>
              <w:t>Evidence of insurer engagement or new insurance products offered by 30 June 2029.</w:t>
            </w:r>
          </w:p>
        </w:tc>
      </w:tr>
    </w:tbl>
    <w:p w:rsidR="00E8786B" w:rsidRPr="00CD6B34" w:rsidRDefault="00E8786B" w:rsidP="00CD6B34">
      <w:pPr>
        <w:tabs>
          <w:tab w:val="left" w:pos="2127"/>
        </w:tabs>
        <w:spacing w:after="0" w:line="240" w:lineRule="auto"/>
        <w:ind w:left="567"/>
        <w:rPr>
          <w:rFonts w:cstheme="minorHAnsi"/>
          <w:sz w:val="16"/>
          <w:szCs w:val="16"/>
        </w:rPr>
      </w:pPr>
    </w:p>
    <w:p w:rsidR="003428A8" w:rsidRPr="00C53ADB" w:rsidRDefault="005B55E9" w:rsidP="0058344C">
      <w:pPr>
        <w:pStyle w:val="Heading1"/>
        <w:rPr>
          <w:rFonts w:cstheme="majorHAnsi"/>
        </w:rPr>
      </w:pPr>
      <w:bookmarkStart w:id="31" w:name="_Toc162017782"/>
      <w:r>
        <w:rPr>
          <w:rFonts w:cstheme="majorHAnsi"/>
        </w:rPr>
        <w:t>3</w:t>
      </w:r>
      <w:r w:rsidR="00086E06">
        <w:rPr>
          <w:rFonts w:cstheme="majorHAnsi"/>
        </w:rPr>
        <w:t>.</w:t>
      </w:r>
      <w:r>
        <w:rPr>
          <w:rFonts w:cstheme="majorHAnsi"/>
        </w:rPr>
        <w:t xml:space="preserve"> </w:t>
      </w:r>
      <w:r w:rsidR="003008B2">
        <w:rPr>
          <w:rFonts w:cstheme="majorHAnsi"/>
        </w:rPr>
        <w:t>What p</w:t>
      </w:r>
      <w:r w:rsidR="003428A8" w:rsidRPr="00C53ADB">
        <w:rPr>
          <w:rFonts w:cstheme="majorHAnsi"/>
        </w:rPr>
        <w:t>olicy options</w:t>
      </w:r>
      <w:r w:rsidR="003008B2">
        <w:rPr>
          <w:rFonts w:cstheme="majorHAnsi"/>
        </w:rPr>
        <w:t xml:space="preserve"> are you considering, and what is their likely net benefit?</w:t>
      </w:r>
      <w:bookmarkEnd w:id="31"/>
    </w:p>
    <w:p w:rsidR="006F12E1" w:rsidRPr="006F12E1" w:rsidRDefault="006F12E1" w:rsidP="006F12E1">
      <w:pPr>
        <w:tabs>
          <w:tab w:val="left" w:pos="2127"/>
        </w:tabs>
        <w:ind w:left="567"/>
        <w:rPr>
          <w:rFonts w:cstheme="minorHAnsi"/>
          <w:sz w:val="24"/>
          <w:szCs w:val="24"/>
        </w:rPr>
      </w:pPr>
      <w:r w:rsidRPr="006F12E1">
        <w:rPr>
          <w:rFonts w:cstheme="minorHAnsi"/>
          <w:sz w:val="24"/>
          <w:szCs w:val="24"/>
        </w:rPr>
        <w:t xml:space="preserve">In response to the drivers for change outlined above, and consistent with </w:t>
      </w:r>
      <w:r w:rsidR="006D7718">
        <w:rPr>
          <w:rFonts w:cstheme="minorHAnsi"/>
          <w:sz w:val="24"/>
          <w:szCs w:val="24"/>
        </w:rPr>
        <w:t xml:space="preserve">policy objectives for </w:t>
      </w:r>
      <w:r w:rsidRPr="006F12E1">
        <w:rPr>
          <w:rFonts w:cstheme="minorHAnsi"/>
          <w:sz w:val="24"/>
          <w:szCs w:val="24"/>
        </w:rPr>
        <w:t xml:space="preserve">national </w:t>
      </w:r>
      <w:r>
        <w:rPr>
          <w:rFonts w:cstheme="minorHAnsi"/>
          <w:sz w:val="24"/>
          <w:szCs w:val="24"/>
        </w:rPr>
        <w:t>mate</w:t>
      </w:r>
      <w:r w:rsidR="006D7718">
        <w:rPr>
          <w:rFonts w:cstheme="minorHAnsi"/>
          <w:sz w:val="24"/>
          <w:szCs w:val="24"/>
        </w:rPr>
        <w:t>rnity services</w:t>
      </w:r>
      <w:r>
        <w:rPr>
          <w:rFonts w:cstheme="minorHAnsi"/>
          <w:sz w:val="24"/>
          <w:szCs w:val="24"/>
        </w:rPr>
        <w:t xml:space="preserve">, </w:t>
      </w:r>
      <w:r w:rsidR="006D7718">
        <w:rPr>
          <w:rFonts w:cstheme="minorHAnsi"/>
          <w:sz w:val="24"/>
          <w:szCs w:val="24"/>
        </w:rPr>
        <w:t xml:space="preserve">two </w:t>
      </w:r>
      <w:r w:rsidRPr="006F12E1">
        <w:rPr>
          <w:rFonts w:cstheme="minorHAnsi"/>
          <w:sz w:val="24"/>
          <w:szCs w:val="24"/>
        </w:rPr>
        <w:t xml:space="preserve">reform options </w:t>
      </w:r>
      <w:r>
        <w:rPr>
          <w:rFonts w:cstheme="minorHAnsi"/>
          <w:sz w:val="24"/>
          <w:szCs w:val="24"/>
        </w:rPr>
        <w:t xml:space="preserve">have been developed </w:t>
      </w:r>
      <w:r w:rsidRPr="006F12E1">
        <w:rPr>
          <w:rFonts w:cstheme="minorHAnsi"/>
          <w:sz w:val="24"/>
          <w:szCs w:val="24"/>
        </w:rPr>
        <w:t xml:space="preserve">for consideration alongside the status quo. These options were developed </w:t>
      </w:r>
      <w:r w:rsidR="0021158D">
        <w:rPr>
          <w:rFonts w:cstheme="minorHAnsi"/>
          <w:sz w:val="24"/>
          <w:szCs w:val="24"/>
        </w:rPr>
        <w:t xml:space="preserve">following </w:t>
      </w:r>
      <w:r w:rsidRPr="006F12E1">
        <w:rPr>
          <w:rFonts w:cstheme="minorHAnsi"/>
          <w:sz w:val="24"/>
          <w:szCs w:val="24"/>
        </w:rPr>
        <w:t>significant consultation with a broad range of stakeholders</w:t>
      </w:r>
      <w:r>
        <w:rPr>
          <w:rFonts w:cstheme="minorHAnsi"/>
          <w:sz w:val="24"/>
          <w:szCs w:val="24"/>
        </w:rPr>
        <w:t>, including state and territory Health Ministers</w:t>
      </w:r>
      <w:r w:rsidRPr="006F12E1">
        <w:rPr>
          <w:rFonts w:cstheme="minorHAnsi"/>
          <w:sz w:val="24"/>
          <w:szCs w:val="24"/>
        </w:rPr>
        <w:t>.</w:t>
      </w:r>
    </w:p>
    <w:p w:rsidR="006F12E1" w:rsidRPr="006F12E1" w:rsidRDefault="006F12E1" w:rsidP="006F12E1">
      <w:pPr>
        <w:tabs>
          <w:tab w:val="left" w:pos="2127"/>
        </w:tabs>
        <w:ind w:left="567"/>
        <w:rPr>
          <w:sz w:val="24"/>
          <w:szCs w:val="24"/>
          <w:lang w:val="en"/>
        </w:rPr>
      </w:pPr>
      <w:r w:rsidRPr="006F12E1">
        <w:rPr>
          <w:sz w:val="24"/>
          <w:szCs w:val="24"/>
        </w:rPr>
        <w:t xml:space="preserve">This chapter provides: </w:t>
      </w:r>
    </w:p>
    <w:p w:rsidR="003008B2" w:rsidRDefault="0011654F" w:rsidP="00C72F31">
      <w:pPr>
        <w:pStyle w:val="ListParagraph"/>
        <w:numPr>
          <w:ilvl w:val="0"/>
          <w:numId w:val="2"/>
        </w:numPr>
        <w:tabs>
          <w:tab w:val="left" w:pos="2127"/>
        </w:tabs>
        <w:spacing w:before="60" w:after="120"/>
        <w:ind w:left="1208" w:hanging="357"/>
        <w:contextualSpacing w:val="0"/>
        <w:rPr>
          <w:rFonts w:cstheme="minorHAnsi"/>
          <w:sz w:val="24"/>
          <w:szCs w:val="24"/>
        </w:rPr>
      </w:pPr>
      <w:r>
        <w:rPr>
          <w:rFonts w:cstheme="minorHAnsi"/>
          <w:sz w:val="24"/>
          <w:szCs w:val="24"/>
        </w:rPr>
        <w:t>an overview of the background and context</w:t>
      </w:r>
    </w:p>
    <w:p w:rsidR="006F12E1" w:rsidRPr="006D7718" w:rsidRDefault="006F12E1"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6D7718">
        <w:rPr>
          <w:rFonts w:cstheme="minorHAnsi"/>
          <w:sz w:val="24"/>
          <w:szCs w:val="24"/>
        </w:rPr>
        <w:t xml:space="preserve">a description of options being considered </w:t>
      </w:r>
    </w:p>
    <w:p w:rsidR="006F12E1" w:rsidRPr="006D7718" w:rsidRDefault="006F12E1"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6D7718">
        <w:rPr>
          <w:rFonts w:cstheme="minorHAnsi"/>
          <w:sz w:val="24"/>
          <w:szCs w:val="24"/>
        </w:rPr>
        <w:t>a discussion of the significant changes under the different options</w:t>
      </w:r>
    </w:p>
    <w:p w:rsidR="006F12E1" w:rsidRPr="006D7718" w:rsidRDefault="006F12E1"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6D7718">
        <w:rPr>
          <w:rFonts w:cstheme="minorHAnsi"/>
          <w:sz w:val="24"/>
          <w:szCs w:val="24"/>
        </w:rPr>
        <w:t>an analysis of how each option meets the policy objectives.</w:t>
      </w:r>
    </w:p>
    <w:p w:rsidR="006F12E1" w:rsidRDefault="006F12E1" w:rsidP="006F12E1">
      <w:pPr>
        <w:tabs>
          <w:tab w:val="left" w:pos="2127"/>
        </w:tabs>
        <w:ind w:left="567"/>
        <w:rPr>
          <w:rFonts w:cstheme="minorHAnsi"/>
          <w:sz w:val="24"/>
          <w:szCs w:val="24"/>
        </w:rPr>
      </w:pPr>
      <w:r w:rsidRPr="00896549">
        <w:rPr>
          <w:rFonts w:cstheme="minorHAnsi"/>
          <w:sz w:val="24"/>
          <w:szCs w:val="24"/>
        </w:rPr>
        <w:t xml:space="preserve">The impact of specific changes under each option on stakeholders is outlined in </w:t>
      </w:r>
      <w:r w:rsidR="00896549" w:rsidRPr="00896549">
        <w:rPr>
          <w:rFonts w:cstheme="minorHAnsi"/>
          <w:sz w:val="24"/>
          <w:szCs w:val="24"/>
        </w:rPr>
        <w:t>appendix 2.</w:t>
      </w:r>
    </w:p>
    <w:p w:rsidR="003008B2" w:rsidRPr="00522663" w:rsidRDefault="0011654F" w:rsidP="0058344C">
      <w:pPr>
        <w:pStyle w:val="Heading2"/>
      </w:pPr>
      <w:bookmarkStart w:id="32" w:name="_Toc162017783"/>
      <w:r>
        <w:t>Background and Context</w:t>
      </w:r>
      <w:bookmarkEnd w:id="32"/>
    </w:p>
    <w:p w:rsidR="003008B2" w:rsidRPr="00ED6695" w:rsidRDefault="003008B2" w:rsidP="0058344C">
      <w:pPr>
        <w:pStyle w:val="Heading3"/>
      </w:pPr>
      <w:bookmarkStart w:id="33" w:name="_Toc162017784"/>
      <w:r w:rsidRPr="00ED6695">
        <w:t>Australian maternity services</w:t>
      </w:r>
      <w:bookmarkEnd w:id="33"/>
    </w:p>
    <w:p w:rsidR="003008B2" w:rsidRDefault="003008B2" w:rsidP="003008B2">
      <w:pPr>
        <w:tabs>
          <w:tab w:val="left" w:pos="2127"/>
        </w:tabs>
        <w:ind w:left="567"/>
        <w:rPr>
          <w:rFonts w:cstheme="minorHAnsi"/>
          <w:sz w:val="24"/>
          <w:szCs w:val="24"/>
        </w:rPr>
      </w:pPr>
      <w:r w:rsidRPr="00483C24">
        <w:rPr>
          <w:rFonts w:cstheme="minorHAnsi"/>
          <w:sz w:val="24"/>
          <w:szCs w:val="24"/>
        </w:rPr>
        <w:t xml:space="preserve">Australian maternity services are delivered through a mix of public and private services with planning and delivery predominantly undertaken by the states and territories through publicly funded programs and the Commonwealth providing national direction and supporting efforts to improve care and outcomes. </w:t>
      </w:r>
    </w:p>
    <w:p w:rsidR="003008B2" w:rsidRPr="00483C24" w:rsidRDefault="003008B2" w:rsidP="003008B2">
      <w:pPr>
        <w:tabs>
          <w:tab w:val="left" w:pos="2127"/>
        </w:tabs>
        <w:ind w:left="567"/>
        <w:rPr>
          <w:rFonts w:cstheme="minorHAnsi"/>
          <w:sz w:val="24"/>
          <w:szCs w:val="24"/>
        </w:rPr>
      </w:pPr>
      <w:r w:rsidRPr="00483C24">
        <w:rPr>
          <w:rFonts w:cstheme="minorHAnsi"/>
          <w:sz w:val="24"/>
          <w:szCs w:val="24"/>
        </w:rPr>
        <w:t>Access to maternity care is largely determined by Australia’s health system’s structure and funding arrangements, including Medicare, specialist and general practice, private health insurance and other Australian state and territory government health funding models including public hospitals.</w:t>
      </w:r>
    </w:p>
    <w:p w:rsidR="003008B2" w:rsidRPr="00483C24" w:rsidRDefault="003008B2" w:rsidP="003008B2">
      <w:pPr>
        <w:tabs>
          <w:tab w:val="left" w:pos="2127"/>
        </w:tabs>
        <w:ind w:left="567"/>
        <w:rPr>
          <w:rFonts w:cstheme="minorHAnsi"/>
          <w:sz w:val="24"/>
          <w:szCs w:val="24"/>
        </w:rPr>
      </w:pPr>
      <w:r w:rsidRPr="00483C24">
        <w:rPr>
          <w:rFonts w:cstheme="minorHAnsi"/>
          <w:sz w:val="24"/>
          <w:szCs w:val="24"/>
        </w:rPr>
        <w:t xml:space="preserve">Birthing on Country </w:t>
      </w:r>
      <w:r>
        <w:rPr>
          <w:rFonts w:cstheme="minorHAnsi"/>
          <w:sz w:val="24"/>
          <w:szCs w:val="24"/>
        </w:rPr>
        <w:t xml:space="preserve">(BoC) </w:t>
      </w:r>
      <w:r w:rsidRPr="00483C24">
        <w:rPr>
          <w:rFonts w:cstheme="minorHAnsi"/>
          <w:sz w:val="24"/>
          <w:szCs w:val="24"/>
        </w:rPr>
        <w:t xml:space="preserve">models support </w:t>
      </w:r>
      <w:r>
        <w:rPr>
          <w:rFonts w:cstheme="minorHAnsi"/>
          <w:sz w:val="24"/>
          <w:szCs w:val="24"/>
        </w:rPr>
        <w:t xml:space="preserve">First Nations women (or women pregnant with a First Nations baby) </w:t>
      </w:r>
      <w:r w:rsidR="00261512">
        <w:rPr>
          <w:rFonts w:cstheme="minorHAnsi"/>
          <w:sz w:val="24"/>
          <w:szCs w:val="24"/>
        </w:rPr>
        <w:t xml:space="preserve">to </w:t>
      </w:r>
      <w:r>
        <w:rPr>
          <w:rFonts w:cstheme="minorHAnsi"/>
          <w:sz w:val="24"/>
          <w:szCs w:val="24"/>
        </w:rPr>
        <w:t>access to culturally safe, continuous midwifery care with an insured PPM – the lack of insurance cover for these services to date has been a significant concern to ACCHOs developing and supporting BoC models of care.</w:t>
      </w:r>
    </w:p>
    <w:p w:rsidR="003008B2" w:rsidRPr="00ED6695" w:rsidRDefault="003008B2" w:rsidP="0058344C">
      <w:pPr>
        <w:pStyle w:val="Heading3"/>
      </w:pPr>
      <w:bookmarkStart w:id="34" w:name="_Toc162017785"/>
      <w:r w:rsidRPr="00ED6695">
        <w:t>Midwife Schemes</w:t>
      </w:r>
      <w:bookmarkEnd w:id="34"/>
    </w:p>
    <w:p w:rsidR="003008B2" w:rsidRPr="00483C24" w:rsidRDefault="003008B2" w:rsidP="003008B2">
      <w:pPr>
        <w:tabs>
          <w:tab w:val="left" w:pos="2127"/>
        </w:tabs>
        <w:ind w:left="567"/>
        <w:rPr>
          <w:rFonts w:cstheme="minorHAnsi"/>
          <w:sz w:val="24"/>
          <w:szCs w:val="24"/>
        </w:rPr>
      </w:pPr>
      <w:r>
        <w:rPr>
          <w:rFonts w:cstheme="minorHAnsi"/>
          <w:sz w:val="24"/>
          <w:szCs w:val="24"/>
        </w:rPr>
        <w:t>Under t</w:t>
      </w:r>
      <w:r w:rsidRPr="00523CB3">
        <w:rPr>
          <w:rFonts w:cstheme="minorHAnsi"/>
          <w:sz w:val="24"/>
          <w:szCs w:val="24"/>
        </w:rPr>
        <w:t xml:space="preserve">he existing Midwives Schemes the Government supports the PII market by subsidising the costs of claims over certain thresholds to facilitate provision of cover. The </w:t>
      </w:r>
      <w:r w:rsidR="002D7BB0">
        <w:rPr>
          <w:rFonts w:cstheme="minorHAnsi"/>
          <w:sz w:val="24"/>
          <w:szCs w:val="24"/>
        </w:rPr>
        <w:t>current insurer</w:t>
      </w:r>
      <w:r w:rsidRPr="00523CB3">
        <w:rPr>
          <w:rFonts w:cstheme="minorHAnsi"/>
          <w:sz w:val="24"/>
          <w:szCs w:val="24"/>
        </w:rPr>
        <w:t xml:space="preserve"> is responsible for covering 100% of the cost of the claim up to $100,000. For claims that exceed $100,000 up to $2 million the insurer will cover 20% of any portion of the cost and the Commonwealth 80%, and for claims over $2 million the insurer will bear no additional costs, with any amounts beyond these thresholds being 100</w:t>
      </w:r>
      <w:r>
        <w:rPr>
          <w:rFonts w:cstheme="minorHAnsi"/>
          <w:sz w:val="24"/>
          <w:szCs w:val="24"/>
        </w:rPr>
        <w:t xml:space="preserve">% covered by the Commonwealth. </w:t>
      </w:r>
      <w:r w:rsidRPr="00483C24">
        <w:rPr>
          <w:rFonts w:cstheme="minorHAnsi"/>
          <w:sz w:val="24"/>
          <w:szCs w:val="24"/>
        </w:rPr>
        <w:t>The current MPIS contract expires on 30 June 2024 with one twelve-month extension option.</w:t>
      </w:r>
    </w:p>
    <w:p w:rsidR="003008B2" w:rsidRPr="00483C24" w:rsidRDefault="003008B2" w:rsidP="003008B2">
      <w:pPr>
        <w:tabs>
          <w:tab w:val="left" w:pos="2127"/>
        </w:tabs>
        <w:ind w:left="567"/>
        <w:rPr>
          <w:rFonts w:cstheme="minorHAnsi"/>
          <w:color w:val="000000"/>
          <w:sz w:val="24"/>
          <w:szCs w:val="24"/>
          <w:lang w:eastAsia="en-AU"/>
        </w:rPr>
      </w:pPr>
      <w:r w:rsidRPr="00483C24">
        <w:rPr>
          <w:rFonts w:cstheme="minorHAnsi"/>
          <w:sz w:val="24"/>
          <w:szCs w:val="24"/>
        </w:rPr>
        <w:t>The MPISROCS provides secure ongoing insurance for eligible midwives who have ceased private practice because of retirement, disability, maternity leave, death or other reasons, with 100% of</w:t>
      </w:r>
      <w:r w:rsidRPr="00483C24">
        <w:rPr>
          <w:rFonts w:cstheme="minorHAnsi"/>
          <w:color w:val="000000"/>
          <w:sz w:val="24"/>
          <w:szCs w:val="24"/>
          <w:lang w:eastAsia="en-AU"/>
        </w:rPr>
        <w:t xml:space="preserve"> costs covered by the Commonwealth (funded via a levy on premium income).</w:t>
      </w:r>
    </w:p>
    <w:p w:rsidR="003008B2" w:rsidRDefault="003008B2" w:rsidP="003008B2">
      <w:pPr>
        <w:tabs>
          <w:tab w:val="left" w:pos="2127"/>
        </w:tabs>
        <w:ind w:left="567"/>
        <w:rPr>
          <w:rFonts w:cstheme="minorHAnsi"/>
          <w:color w:val="000000"/>
          <w:sz w:val="24"/>
          <w:szCs w:val="24"/>
          <w:lang w:eastAsia="en-AU"/>
        </w:rPr>
      </w:pPr>
      <w:r w:rsidRPr="003968FD">
        <w:rPr>
          <w:rFonts w:cstheme="minorHAnsi"/>
          <w:color w:val="000000"/>
          <w:sz w:val="24"/>
          <w:szCs w:val="24"/>
          <w:lang w:eastAsia="en-AU"/>
        </w:rPr>
        <w:t>In June 2021, the MPIS was amended to open eligibility to all PPMs irrespective of their employment arrangements. This change was made so tha</w:t>
      </w:r>
      <w:r>
        <w:rPr>
          <w:rFonts w:cstheme="minorHAnsi"/>
          <w:color w:val="000000"/>
          <w:sz w:val="24"/>
          <w:szCs w:val="24"/>
          <w:lang w:eastAsia="en-AU"/>
        </w:rPr>
        <w:t xml:space="preserve">t ACCHOs </w:t>
      </w:r>
      <w:r w:rsidRPr="003968FD">
        <w:rPr>
          <w:rFonts w:cstheme="minorHAnsi"/>
          <w:color w:val="000000"/>
          <w:sz w:val="24"/>
          <w:szCs w:val="24"/>
          <w:lang w:eastAsia="en-AU"/>
        </w:rPr>
        <w:t>could access the MPIS for their employed midwives to provide intrapartum care.</w:t>
      </w:r>
    </w:p>
    <w:p w:rsidR="003008B2" w:rsidRPr="00ED6695" w:rsidRDefault="003008B2" w:rsidP="0058344C">
      <w:pPr>
        <w:pStyle w:val="Heading3"/>
      </w:pPr>
      <w:bookmarkStart w:id="35" w:name="_Toc162017786"/>
      <w:r w:rsidRPr="00ED6695">
        <w:t>Health Practitioner Regulation National Law</w:t>
      </w:r>
      <w:bookmarkEnd w:id="35"/>
    </w:p>
    <w:p w:rsidR="00C72F31" w:rsidRPr="00C72F31" w:rsidRDefault="00C72F31" w:rsidP="00C72F31">
      <w:pPr>
        <w:tabs>
          <w:tab w:val="left" w:pos="2127"/>
        </w:tabs>
        <w:ind w:left="567"/>
        <w:rPr>
          <w:rFonts w:cstheme="minorHAnsi"/>
          <w:sz w:val="24"/>
          <w:szCs w:val="24"/>
        </w:rPr>
      </w:pPr>
      <w:r w:rsidRPr="00824722">
        <w:rPr>
          <w:rFonts w:cstheme="minorHAnsi"/>
          <w:sz w:val="24"/>
          <w:szCs w:val="24"/>
        </w:rPr>
        <w:t>The National Law is complementary legislation in force in each state and territory reflecting the equal regulatory responsibility between states and territories. Legislative changes and policy responsibility for the National Law is vested in all Health Ministers.</w:t>
      </w:r>
      <w:r w:rsidRPr="00C72F31">
        <w:rPr>
          <w:rFonts w:cstheme="minorHAnsi"/>
          <w:sz w:val="24"/>
          <w:szCs w:val="24"/>
        </w:rPr>
        <w:t xml:space="preserve"> </w:t>
      </w:r>
    </w:p>
    <w:p w:rsidR="003008B2" w:rsidRPr="00483C24" w:rsidRDefault="003008B2" w:rsidP="003008B2">
      <w:pPr>
        <w:tabs>
          <w:tab w:val="left" w:pos="2127"/>
        </w:tabs>
        <w:ind w:left="567"/>
        <w:rPr>
          <w:rFonts w:cstheme="minorHAnsi"/>
          <w:sz w:val="24"/>
          <w:szCs w:val="24"/>
        </w:rPr>
      </w:pPr>
      <w:r w:rsidRPr="00483C24">
        <w:rPr>
          <w:rFonts w:cstheme="minorHAnsi"/>
          <w:sz w:val="24"/>
          <w:szCs w:val="24"/>
        </w:rPr>
        <w:t>The National Law establishes a national registration and accreditation scheme for the regulation of health practitioners and registration students studying for a qualification or clinical training, in a health profession.</w:t>
      </w:r>
    </w:p>
    <w:p w:rsidR="003008B2" w:rsidRPr="00483C24" w:rsidRDefault="003008B2" w:rsidP="003008B2">
      <w:pPr>
        <w:tabs>
          <w:tab w:val="left" w:pos="2127"/>
        </w:tabs>
        <w:ind w:left="567"/>
        <w:rPr>
          <w:rFonts w:cstheme="minorHAnsi"/>
          <w:sz w:val="24"/>
          <w:szCs w:val="24"/>
        </w:rPr>
      </w:pPr>
      <w:r w:rsidRPr="003968FD">
        <w:rPr>
          <w:rFonts w:cstheme="minorHAnsi"/>
          <w:sz w:val="24"/>
          <w:szCs w:val="24"/>
        </w:rPr>
        <w:t>The intent of the National Law when introduced in 2010 was that all registered health practitioners hold professional indemnity insurance. This was put in place for the protection of the public.</w:t>
      </w:r>
      <w:r>
        <w:rPr>
          <w:rFonts w:cstheme="minorHAnsi"/>
          <w:sz w:val="24"/>
          <w:szCs w:val="24"/>
        </w:rPr>
        <w:t xml:space="preserve"> </w:t>
      </w:r>
      <w:r w:rsidRPr="00483C24">
        <w:rPr>
          <w:rFonts w:cstheme="minorHAnsi"/>
          <w:sz w:val="24"/>
          <w:szCs w:val="24"/>
        </w:rPr>
        <w:t>Section 129 of the National Law, as in force in each state and territory, requires that every health practitioner has professional indemnity insurance (PII) arrangements in place for the practice of their profession.</w:t>
      </w:r>
    </w:p>
    <w:p w:rsidR="003008B2" w:rsidRPr="00483C24" w:rsidRDefault="003008B2" w:rsidP="00C72F31">
      <w:pPr>
        <w:pStyle w:val="ListParagraph"/>
        <w:numPr>
          <w:ilvl w:val="0"/>
          <w:numId w:val="3"/>
        </w:numPr>
        <w:tabs>
          <w:tab w:val="left" w:pos="2127"/>
        </w:tabs>
        <w:ind w:hanging="357"/>
        <w:contextualSpacing w:val="0"/>
        <w:rPr>
          <w:rFonts w:cstheme="minorHAnsi"/>
          <w:sz w:val="24"/>
          <w:szCs w:val="24"/>
        </w:rPr>
      </w:pPr>
      <w:r w:rsidRPr="00483C24">
        <w:rPr>
          <w:rFonts w:cstheme="minorHAnsi"/>
          <w:sz w:val="24"/>
          <w:szCs w:val="24"/>
        </w:rPr>
        <w:t xml:space="preserve">PII is a specialised form of cover that provides surety to eligible </w:t>
      </w:r>
      <w:r>
        <w:rPr>
          <w:rFonts w:cstheme="minorHAnsi"/>
          <w:sz w:val="24"/>
          <w:szCs w:val="24"/>
        </w:rPr>
        <w:t>PPMs</w:t>
      </w:r>
      <w:r w:rsidRPr="00483C24">
        <w:rPr>
          <w:rFonts w:cstheme="minorHAnsi"/>
          <w:sz w:val="24"/>
          <w:szCs w:val="24"/>
        </w:rPr>
        <w:t>, and their patients in the event of an adverse incident caused by the practitioner’s negligence.</w:t>
      </w:r>
    </w:p>
    <w:p w:rsidR="003008B2" w:rsidRDefault="003008B2" w:rsidP="003008B2">
      <w:pPr>
        <w:tabs>
          <w:tab w:val="left" w:pos="2127"/>
        </w:tabs>
        <w:ind w:left="567"/>
        <w:rPr>
          <w:rFonts w:cstheme="minorHAnsi"/>
          <w:sz w:val="24"/>
          <w:szCs w:val="24"/>
        </w:rPr>
      </w:pPr>
      <w:r>
        <w:rPr>
          <w:rFonts w:cstheme="minorHAnsi"/>
          <w:sz w:val="24"/>
          <w:szCs w:val="24"/>
        </w:rPr>
        <w:t>S</w:t>
      </w:r>
      <w:r w:rsidRPr="00483C24">
        <w:rPr>
          <w:rFonts w:cstheme="minorHAnsi"/>
          <w:sz w:val="24"/>
          <w:szCs w:val="24"/>
        </w:rPr>
        <w:t>ection 284 of the National Law</w:t>
      </w:r>
      <w:r>
        <w:rPr>
          <w:rFonts w:cstheme="minorHAnsi"/>
          <w:sz w:val="24"/>
          <w:szCs w:val="24"/>
        </w:rPr>
        <w:t xml:space="preserve"> provides a </w:t>
      </w:r>
      <w:r w:rsidRPr="00483C24">
        <w:rPr>
          <w:rFonts w:cstheme="minorHAnsi"/>
          <w:sz w:val="24"/>
          <w:szCs w:val="24"/>
        </w:rPr>
        <w:t xml:space="preserve">temporary exemption that </w:t>
      </w:r>
      <w:r>
        <w:rPr>
          <w:rFonts w:cstheme="minorHAnsi"/>
          <w:sz w:val="24"/>
          <w:szCs w:val="24"/>
        </w:rPr>
        <w:t>allow</w:t>
      </w:r>
      <w:r w:rsidRPr="00483C24">
        <w:rPr>
          <w:rFonts w:cstheme="minorHAnsi"/>
          <w:sz w:val="24"/>
          <w:szCs w:val="24"/>
        </w:rPr>
        <w:t xml:space="preserve">s </w:t>
      </w:r>
      <w:r>
        <w:rPr>
          <w:rFonts w:cstheme="minorHAnsi"/>
          <w:sz w:val="24"/>
          <w:szCs w:val="24"/>
        </w:rPr>
        <w:t>PPMs</w:t>
      </w:r>
      <w:r w:rsidRPr="00483C24">
        <w:rPr>
          <w:rFonts w:cstheme="minorHAnsi"/>
          <w:sz w:val="24"/>
          <w:szCs w:val="24"/>
        </w:rPr>
        <w:t xml:space="preserve"> to perform intrapartum homebirth services without the need to hold </w:t>
      </w:r>
      <w:r>
        <w:rPr>
          <w:rFonts w:cstheme="minorHAnsi"/>
          <w:sz w:val="24"/>
          <w:szCs w:val="24"/>
        </w:rPr>
        <w:t xml:space="preserve">PII </w:t>
      </w:r>
      <w:r w:rsidRPr="00127736">
        <w:rPr>
          <w:rFonts w:cstheme="minorHAnsi"/>
          <w:sz w:val="24"/>
          <w:szCs w:val="24"/>
        </w:rPr>
        <w:t>due to the unavailability of suitable insurance products.</w:t>
      </w:r>
      <w:r>
        <w:rPr>
          <w:rFonts w:cstheme="minorHAnsi"/>
          <w:sz w:val="24"/>
          <w:szCs w:val="24"/>
        </w:rPr>
        <w:t xml:space="preserve"> </w:t>
      </w:r>
      <w:r w:rsidRPr="00127736">
        <w:rPr>
          <w:rFonts w:cstheme="minorHAnsi"/>
          <w:sz w:val="24"/>
          <w:szCs w:val="24"/>
        </w:rPr>
        <w:t xml:space="preserve">This exemption is set to expire on </w:t>
      </w:r>
      <w:r>
        <w:rPr>
          <w:rFonts w:cstheme="minorHAnsi"/>
          <w:sz w:val="24"/>
          <w:szCs w:val="24"/>
        </w:rPr>
        <w:br/>
      </w:r>
      <w:r w:rsidRPr="00127736">
        <w:rPr>
          <w:rFonts w:cstheme="minorHAnsi"/>
          <w:sz w:val="24"/>
          <w:szCs w:val="24"/>
        </w:rPr>
        <w:t xml:space="preserve">30 June 2025, after which it would become unlawful for </w:t>
      </w:r>
      <w:r>
        <w:rPr>
          <w:rFonts w:cstheme="minorHAnsi"/>
          <w:sz w:val="24"/>
          <w:szCs w:val="24"/>
        </w:rPr>
        <w:t xml:space="preserve">PPMs </w:t>
      </w:r>
      <w:r w:rsidRPr="00127736">
        <w:rPr>
          <w:rFonts w:cstheme="minorHAnsi"/>
          <w:sz w:val="24"/>
          <w:szCs w:val="24"/>
        </w:rPr>
        <w:t>to conduct homebirths</w:t>
      </w:r>
      <w:r>
        <w:rPr>
          <w:rFonts w:cstheme="minorHAnsi"/>
          <w:sz w:val="24"/>
          <w:szCs w:val="24"/>
        </w:rPr>
        <w:t xml:space="preserve"> and intrapartum care outside hospital</w:t>
      </w:r>
      <w:r w:rsidRPr="00127736">
        <w:rPr>
          <w:rFonts w:cstheme="minorHAnsi"/>
          <w:sz w:val="24"/>
          <w:szCs w:val="24"/>
        </w:rPr>
        <w:t xml:space="preserve"> without appropriate insurance. </w:t>
      </w:r>
    </w:p>
    <w:p w:rsidR="003008B2" w:rsidRPr="00596D1A" w:rsidRDefault="003008B2" w:rsidP="0058344C">
      <w:pPr>
        <w:pStyle w:val="Heading3"/>
      </w:pPr>
      <w:bookmarkStart w:id="36" w:name="_Toc162017787"/>
      <w:r>
        <w:t>Birthing on C</w:t>
      </w:r>
      <w:r w:rsidRPr="00596D1A">
        <w:t>ountry models of care</w:t>
      </w:r>
      <w:bookmarkEnd w:id="36"/>
    </w:p>
    <w:p w:rsidR="007D45B7" w:rsidRPr="007D45B7" w:rsidRDefault="003008B2" w:rsidP="007D45B7">
      <w:pPr>
        <w:tabs>
          <w:tab w:val="left" w:pos="2127"/>
        </w:tabs>
        <w:ind w:left="567"/>
        <w:rPr>
          <w:rFonts w:cstheme="minorHAnsi"/>
          <w:sz w:val="24"/>
          <w:szCs w:val="24"/>
        </w:rPr>
      </w:pPr>
      <w:r w:rsidRPr="00596D1A">
        <w:rPr>
          <w:rFonts w:cstheme="minorHAnsi"/>
          <w:sz w:val="24"/>
          <w:szCs w:val="24"/>
        </w:rPr>
        <w:t xml:space="preserve">No insurer has indicated a willingness to provide PII cover </w:t>
      </w:r>
      <w:r>
        <w:rPr>
          <w:rFonts w:cstheme="minorHAnsi"/>
          <w:sz w:val="24"/>
          <w:szCs w:val="24"/>
        </w:rPr>
        <w:t>for</w:t>
      </w:r>
      <w:r w:rsidRPr="00596D1A">
        <w:rPr>
          <w:rFonts w:cstheme="minorHAnsi"/>
          <w:sz w:val="24"/>
          <w:szCs w:val="24"/>
        </w:rPr>
        <w:t xml:space="preserve"> intrapartum care outside a hospital under the existing Government supports available through the Midwives Schemes. This gap in cover was identified late last year and was threatening </w:t>
      </w:r>
      <w:r w:rsidR="007D45B7">
        <w:rPr>
          <w:rFonts w:cstheme="minorHAnsi"/>
          <w:sz w:val="24"/>
          <w:szCs w:val="24"/>
        </w:rPr>
        <w:t xml:space="preserve">ACCHOs </w:t>
      </w:r>
      <w:r w:rsidRPr="00596D1A">
        <w:rPr>
          <w:rFonts w:cstheme="minorHAnsi"/>
          <w:sz w:val="24"/>
          <w:szCs w:val="24"/>
        </w:rPr>
        <w:t xml:space="preserve">delivery of </w:t>
      </w:r>
      <w:r w:rsidR="007D45B7">
        <w:rPr>
          <w:rFonts w:cstheme="minorHAnsi"/>
          <w:sz w:val="24"/>
          <w:szCs w:val="24"/>
        </w:rPr>
        <w:t>critical BoC models of care</w:t>
      </w:r>
      <w:r>
        <w:rPr>
          <w:rFonts w:cstheme="minorHAnsi"/>
          <w:sz w:val="24"/>
          <w:szCs w:val="24"/>
        </w:rPr>
        <w:t xml:space="preserve">. </w:t>
      </w:r>
      <w:r w:rsidRPr="00596D1A">
        <w:rPr>
          <w:rFonts w:cstheme="minorHAnsi"/>
          <w:sz w:val="24"/>
          <w:szCs w:val="24"/>
        </w:rPr>
        <w:t xml:space="preserve">The ACCHOs position was that these services would need to cease unless the gap in cover was fixed. </w:t>
      </w:r>
      <w:r w:rsidR="007D45B7" w:rsidRPr="00824722">
        <w:rPr>
          <w:rFonts w:cstheme="minorHAnsi"/>
          <w:sz w:val="24"/>
          <w:szCs w:val="24"/>
        </w:rPr>
        <w:t>ACCHOs have also expressed concern regarding high costs of insurance premiums and run off cover costs, however these concerns, while important, are less immediately critical to service delivery and are being considered separately.</w:t>
      </w:r>
      <w:r w:rsidR="007D45B7" w:rsidRPr="007D45B7">
        <w:rPr>
          <w:rFonts w:cstheme="minorHAnsi"/>
          <w:sz w:val="24"/>
          <w:szCs w:val="24"/>
        </w:rPr>
        <w:t xml:space="preserve"> </w:t>
      </w:r>
    </w:p>
    <w:p w:rsidR="003008B2" w:rsidRPr="00596D1A" w:rsidRDefault="003008B2" w:rsidP="003008B2">
      <w:pPr>
        <w:tabs>
          <w:tab w:val="left" w:pos="2127"/>
        </w:tabs>
        <w:ind w:left="567"/>
        <w:rPr>
          <w:rFonts w:cstheme="minorHAnsi"/>
          <w:sz w:val="24"/>
          <w:szCs w:val="24"/>
        </w:rPr>
      </w:pPr>
      <w:r w:rsidRPr="00596D1A">
        <w:rPr>
          <w:rFonts w:cstheme="minorHAnsi"/>
          <w:sz w:val="24"/>
          <w:szCs w:val="24"/>
        </w:rPr>
        <w:t xml:space="preserve">An interim solution was found to this issue through the Department (under authorisation from the Minister for Finance) granting an indemnity under s60 of the PGPA Act </w:t>
      </w:r>
      <w:r w:rsidR="002D7BB0">
        <w:rPr>
          <w:rFonts w:cstheme="minorHAnsi"/>
          <w:sz w:val="24"/>
          <w:szCs w:val="24"/>
        </w:rPr>
        <w:t>for the insurer</w:t>
      </w:r>
      <w:r w:rsidRPr="00596D1A">
        <w:rPr>
          <w:rFonts w:cstheme="minorHAnsi"/>
          <w:sz w:val="24"/>
          <w:szCs w:val="24"/>
        </w:rPr>
        <w:t xml:space="preserve"> to cover 100% of the costs of claims arising from these services. </w:t>
      </w:r>
      <w:r w:rsidR="002D7BB0">
        <w:rPr>
          <w:rFonts w:cstheme="minorHAnsi"/>
          <w:sz w:val="24"/>
          <w:szCs w:val="24"/>
        </w:rPr>
        <w:t xml:space="preserve">The insurer </w:t>
      </w:r>
      <w:r w:rsidRPr="00596D1A">
        <w:rPr>
          <w:rFonts w:cstheme="minorHAnsi"/>
          <w:sz w:val="24"/>
          <w:szCs w:val="24"/>
        </w:rPr>
        <w:t xml:space="preserve">then made cover for these services available to individual midwives. The indemnity was limited to 30 June 2025 to address the immediate threat to service delivery and allow time for Government to consider how best to implement a long term solution to this issue.  </w:t>
      </w:r>
    </w:p>
    <w:p w:rsidR="003008B2" w:rsidRPr="0090544E" w:rsidRDefault="003008B2" w:rsidP="003008B2">
      <w:pPr>
        <w:tabs>
          <w:tab w:val="left" w:pos="2127"/>
        </w:tabs>
        <w:ind w:left="567"/>
        <w:rPr>
          <w:sz w:val="24"/>
          <w:szCs w:val="24"/>
        </w:rPr>
      </w:pPr>
      <w:r>
        <w:rPr>
          <w:sz w:val="24"/>
          <w:szCs w:val="24"/>
        </w:rPr>
        <w:t xml:space="preserve">Under this option, </w:t>
      </w:r>
      <w:r w:rsidRPr="00596D1A">
        <w:rPr>
          <w:sz w:val="24"/>
          <w:szCs w:val="24"/>
        </w:rPr>
        <w:t xml:space="preserve">intrapartum out of hospital services will now be covered by specific legislation, including amendments to the Midwives Schemes legislation. The cover, with Government paying 100% of claims, will be available both to individual midwives directly </w:t>
      </w:r>
      <w:r w:rsidR="007D45B7">
        <w:rPr>
          <w:sz w:val="24"/>
          <w:szCs w:val="24"/>
        </w:rPr>
        <w:t xml:space="preserve">and to </w:t>
      </w:r>
      <w:r w:rsidRPr="00596D1A">
        <w:rPr>
          <w:sz w:val="24"/>
          <w:szCs w:val="24"/>
        </w:rPr>
        <w:t xml:space="preserve">specified entities who employ midwives engaged in delivery of </w:t>
      </w:r>
      <w:r>
        <w:rPr>
          <w:sz w:val="24"/>
          <w:szCs w:val="24"/>
        </w:rPr>
        <w:t>BoC</w:t>
      </w:r>
      <w:r w:rsidRPr="00596D1A">
        <w:rPr>
          <w:sz w:val="24"/>
          <w:szCs w:val="24"/>
        </w:rPr>
        <w:t xml:space="preserve"> models of care. This responds to concerns from ACCHOs that the entity who employs the midwife (an ACCHO directly or an employer</w:t>
      </w:r>
      <w:r>
        <w:rPr>
          <w:sz w:val="24"/>
          <w:szCs w:val="24"/>
        </w:rPr>
        <w:t xml:space="preserve"> </w:t>
      </w:r>
      <w:r w:rsidRPr="00FE70C3">
        <w:rPr>
          <w:sz w:val="24"/>
          <w:szCs w:val="24"/>
        </w:rPr>
        <w:t xml:space="preserve">organisation who provides the midwives for the ACCHOs) also needs to have </w:t>
      </w:r>
      <w:r w:rsidR="007D45B7">
        <w:rPr>
          <w:sz w:val="24"/>
          <w:szCs w:val="24"/>
        </w:rPr>
        <w:t xml:space="preserve">insurance </w:t>
      </w:r>
      <w:r w:rsidRPr="00FE70C3">
        <w:rPr>
          <w:sz w:val="24"/>
          <w:szCs w:val="24"/>
        </w:rPr>
        <w:t xml:space="preserve">cover available in case the employer was also sued for the actions of the midwives. </w:t>
      </w:r>
      <w:r w:rsidR="0090544E" w:rsidRPr="00824722">
        <w:rPr>
          <w:sz w:val="24"/>
          <w:szCs w:val="24"/>
        </w:rPr>
        <w:t>ACCHOs would need to apply to the Department to be listed as an entity for the purposes of insurance coverage. This would be strictly limited to organisations delivering Birthing on Country midwifery services and who employ midwives with the appropriate credentials.</w:t>
      </w:r>
    </w:p>
    <w:p w:rsidR="0061236E" w:rsidRPr="00ED6695" w:rsidRDefault="0061236E" w:rsidP="0061236E">
      <w:pPr>
        <w:pStyle w:val="Heading2"/>
      </w:pPr>
      <w:bookmarkStart w:id="37" w:name="_Toc162017788"/>
      <w:r w:rsidRPr="00ED6695">
        <w:t>Policy authority</w:t>
      </w:r>
      <w:bookmarkEnd w:id="37"/>
    </w:p>
    <w:p w:rsidR="0061236E" w:rsidRPr="00483C24" w:rsidRDefault="0061236E" w:rsidP="0061236E">
      <w:pPr>
        <w:tabs>
          <w:tab w:val="left" w:pos="2127"/>
        </w:tabs>
        <w:ind w:left="567"/>
        <w:rPr>
          <w:rFonts w:cstheme="minorHAnsi"/>
          <w:sz w:val="24"/>
          <w:szCs w:val="24"/>
        </w:rPr>
      </w:pPr>
      <w:r w:rsidRPr="00483C24">
        <w:rPr>
          <w:rFonts w:cstheme="minorHAnsi"/>
          <w:sz w:val="24"/>
          <w:szCs w:val="24"/>
        </w:rPr>
        <w:t xml:space="preserve">The Medicare Benefits Schedule (MBS) Review Taskforce recommended further investigation of funding models for home birthing for patients with low-risk pregnancies. </w:t>
      </w:r>
    </w:p>
    <w:p w:rsidR="0061236E" w:rsidRPr="00483C24" w:rsidRDefault="0061236E" w:rsidP="0061236E">
      <w:pPr>
        <w:tabs>
          <w:tab w:val="left" w:pos="2127"/>
        </w:tabs>
        <w:ind w:left="567"/>
        <w:rPr>
          <w:rFonts w:cstheme="minorHAnsi"/>
          <w:sz w:val="24"/>
          <w:szCs w:val="24"/>
        </w:rPr>
      </w:pPr>
      <w:r w:rsidRPr="00483C24">
        <w:rPr>
          <w:rFonts w:cstheme="minorHAnsi"/>
          <w:sz w:val="24"/>
          <w:szCs w:val="24"/>
        </w:rPr>
        <w:t>The Commonwealth Minister of Health provided the Depar</w:t>
      </w:r>
      <w:r>
        <w:rPr>
          <w:rFonts w:cstheme="minorHAnsi"/>
          <w:sz w:val="24"/>
          <w:szCs w:val="24"/>
        </w:rPr>
        <w:t xml:space="preserve">tment </w:t>
      </w:r>
      <w:r w:rsidRPr="00483C24">
        <w:rPr>
          <w:rFonts w:cstheme="minorHAnsi"/>
          <w:sz w:val="24"/>
          <w:szCs w:val="24"/>
        </w:rPr>
        <w:t>with policy authority to explore the expansion of the MPIS to enable endorsed self-employed</w:t>
      </w:r>
      <w:r>
        <w:rPr>
          <w:rFonts w:cstheme="minorHAnsi"/>
          <w:sz w:val="24"/>
          <w:szCs w:val="24"/>
        </w:rPr>
        <w:t xml:space="preserve"> </w:t>
      </w:r>
      <w:r w:rsidRPr="00483C24">
        <w:rPr>
          <w:rFonts w:cstheme="minorHAnsi"/>
          <w:sz w:val="24"/>
          <w:szCs w:val="24"/>
        </w:rPr>
        <w:t>PPMs obtain insurance to provide low-risk homebirth services (ministerial submission MS20-000467 provides this authority).</w:t>
      </w:r>
    </w:p>
    <w:p w:rsidR="0061236E" w:rsidRPr="007F0907" w:rsidRDefault="0061236E" w:rsidP="0061236E">
      <w:pPr>
        <w:tabs>
          <w:tab w:val="left" w:pos="2127"/>
        </w:tabs>
        <w:ind w:left="567"/>
        <w:rPr>
          <w:rFonts w:cstheme="minorHAnsi"/>
          <w:color w:val="000000" w:themeColor="text1"/>
          <w:sz w:val="24"/>
          <w:szCs w:val="24"/>
        </w:rPr>
      </w:pPr>
      <w:r w:rsidRPr="007F0907">
        <w:rPr>
          <w:rFonts w:cstheme="minorHAnsi"/>
          <w:sz w:val="24"/>
          <w:szCs w:val="24"/>
        </w:rPr>
        <w:t>The Department received policy authority in the 2023-24 Budget process to</w:t>
      </w:r>
      <w:r w:rsidRPr="007F0907">
        <w:rPr>
          <w:rFonts w:cstheme="minorHAnsi"/>
          <w:color w:val="000000" w:themeColor="text1"/>
          <w:sz w:val="24"/>
          <w:szCs w:val="24"/>
        </w:rPr>
        <w:t xml:space="preserve"> explore the possibility of expanding the Midwife Schemes to remove barriers for commercial insurers to offer a professional indemnity insurance for low-risk homebirth and </w:t>
      </w:r>
      <w:r w:rsidRPr="007F0907">
        <w:rPr>
          <w:rFonts w:eastAsia="Times New Roman" w:cstheme="minorHAnsi"/>
          <w:sz w:val="24"/>
          <w:szCs w:val="24"/>
          <w:lang w:eastAsia="en-AU"/>
        </w:rPr>
        <w:t>intrapartum (labour) care outside a hospital prior to a planned hospital birth</w:t>
      </w:r>
      <w:r w:rsidRPr="007F0907">
        <w:rPr>
          <w:rFonts w:cstheme="minorHAnsi"/>
          <w:color w:val="000000" w:themeColor="text1"/>
          <w:sz w:val="24"/>
          <w:szCs w:val="24"/>
        </w:rPr>
        <w:t>.</w:t>
      </w:r>
    </w:p>
    <w:p w:rsidR="001D5ED1" w:rsidRDefault="006F12E1" w:rsidP="0058344C">
      <w:pPr>
        <w:pStyle w:val="Heading2"/>
      </w:pPr>
      <w:r w:rsidRPr="00ED6695">
        <w:t xml:space="preserve"> </w:t>
      </w:r>
      <w:bookmarkStart w:id="38" w:name="_Toc162017789"/>
      <w:r w:rsidR="001D5ED1">
        <w:t>Proposed Options</w:t>
      </w:r>
      <w:bookmarkEnd w:id="38"/>
      <w:r w:rsidR="005E645E">
        <w:t xml:space="preserve"> </w:t>
      </w:r>
    </w:p>
    <w:p w:rsidR="0011654F" w:rsidRDefault="00C87458" w:rsidP="0058344C">
      <w:pPr>
        <w:pStyle w:val="Heading3"/>
      </w:pPr>
      <w:bookmarkStart w:id="39" w:name="_Toc162017790"/>
      <w:r>
        <w:t xml:space="preserve">Option 1: </w:t>
      </w:r>
      <w:r w:rsidR="0011654F">
        <w:t>Maintain the Status-Quo</w:t>
      </w:r>
      <w:bookmarkEnd w:id="39"/>
    </w:p>
    <w:p w:rsidR="002C70D1" w:rsidRPr="00D961EC" w:rsidRDefault="002C70D1" w:rsidP="002C70D1">
      <w:pPr>
        <w:shd w:val="clear" w:color="auto" w:fill="E7E6E6" w:themeFill="background2"/>
        <w:tabs>
          <w:tab w:val="left" w:pos="2127"/>
        </w:tabs>
        <w:ind w:left="567"/>
        <w:rPr>
          <w:sz w:val="24"/>
          <w:szCs w:val="24"/>
        </w:rPr>
      </w:pPr>
      <w:r>
        <w:rPr>
          <w:sz w:val="24"/>
          <w:szCs w:val="24"/>
        </w:rPr>
        <w:t>The National Law exemption w</w:t>
      </w:r>
      <w:r w:rsidRPr="00D961EC">
        <w:rPr>
          <w:sz w:val="24"/>
          <w:szCs w:val="24"/>
        </w:rPr>
        <w:t xml:space="preserve">ould be retained enabling PPMs to continue to offer services but without insurance, alongside public programs as occurs currently. This option would maintain the status quo. </w:t>
      </w:r>
    </w:p>
    <w:p w:rsidR="002C70D1" w:rsidRDefault="002C70D1" w:rsidP="002C70D1">
      <w:pPr>
        <w:tabs>
          <w:tab w:val="left" w:pos="2127"/>
        </w:tabs>
        <w:ind w:left="567"/>
        <w:rPr>
          <w:rFonts w:cstheme="minorHAnsi"/>
          <w:sz w:val="24"/>
          <w:szCs w:val="24"/>
        </w:rPr>
      </w:pPr>
      <w:r w:rsidRPr="00032122">
        <w:rPr>
          <w:rFonts w:cstheme="minorHAnsi"/>
          <w:sz w:val="24"/>
          <w:szCs w:val="24"/>
        </w:rPr>
        <w:t>Under this option, from 1 July 2025 women and families who wish to homebirth outside a public program, or access the intrapartum out of hospital care prior to a planned hospital birth, would continue to have a choice of midwi</w:t>
      </w:r>
      <w:r w:rsidR="00226A2D">
        <w:rPr>
          <w:rFonts w:cstheme="minorHAnsi"/>
          <w:sz w:val="24"/>
          <w:szCs w:val="24"/>
        </w:rPr>
        <w:t>fe</w:t>
      </w:r>
      <w:r w:rsidRPr="00032122">
        <w:rPr>
          <w:rFonts w:cstheme="minorHAnsi"/>
          <w:sz w:val="24"/>
          <w:szCs w:val="24"/>
        </w:rPr>
        <w:t xml:space="preserve"> </w:t>
      </w:r>
      <w:r w:rsidR="00226A2D">
        <w:rPr>
          <w:rFonts w:cstheme="minorHAnsi"/>
          <w:sz w:val="24"/>
          <w:szCs w:val="24"/>
        </w:rPr>
        <w:t xml:space="preserve">and choice of birthing </w:t>
      </w:r>
      <w:r w:rsidRPr="00032122">
        <w:rPr>
          <w:rFonts w:cstheme="minorHAnsi"/>
          <w:sz w:val="24"/>
          <w:szCs w:val="24"/>
        </w:rPr>
        <w:t xml:space="preserve">where there are midwives who are prepared to provide these services uninsured as long as the National Law is </w:t>
      </w:r>
      <w:r w:rsidRPr="00344E15">
        <w:rPr>
          <w:rFonts w:cstheme="minorHAnsi"/>
          <w:sz w:val="24"/>
          <w:szCs w:val="24"/>
        </w:rPr>
        <w:t>extended.</w:t>
      </w:r>
      <w:r w:rsidRPr="00032122">
        <w:rPr>
          <w:rFonts w:cstheme="minorHAnsi"/>
          <w:sz w:val="24"/>
          <w:szCs w:val="24"/>
        </w:rPr>
        <w:t xml:space="preserve"> </w:t>
      </w:r>
    </w:p>
    <w:p w:rsidR="00226A2D" w:rsidRDefault="00226A2D" w:rsidP="00226A2D">
      <w:pPr>
        <w:tabs>
          <w:tab w:val="left" w:pos="2127"/>
        </w:tabs>
        <w:ind w:left="567"/>
        <w:rPr>
          <w:rFonts w:cstheme="minorHAnsi"/>
          <w:color w:val="000000" w:themeColor="text1"/>
          <w:sz w:val="24"/>
          <w:szCs w:val="24"/>
        </w:rPr>
      </w:pPr>
      <w:r w:rsidRPr="00824722">
        <w:rPr>
          <w:rFonts w:cstheme="minorHAnsi"/>
          <w:color w:val="000000" w:themeColor="text1"/>
          <w:sz w:val="24"/>
          <w:szCs w:val="24"/>
        </w:rPr>
        <w:t>Australian longitudinal studies have provided evidence that low-risk homebirth is as safe as hospital birth, as long as low-risk criteria is used when assessing whether a woman is suitable for homebirth, and that the woman is informed that this may change if complications arise.</w:t>
      </w:r>
    </w:p>
    <w:p w:rsidR="00824722" w:rsidRDefault="00824722">
      <w:pPr>
        <w:rPr>
          <w:rFonts w:cstheme="minorHAnsi"/>
          <w:color w:val="000000" w:themeColor="text1"/>
          <w:sz w:val="24"/>
          <w:szCs w:val="24"/>
        </w:rPr>
      </w:pPr>
      <w:r>
        <w:rPr>
          <w:rFonts w:cstheme="minorHAnsi"/>
          <w:color w:val="000000" w:themeColor="text1"/>
          <w:sz w:val="24"/>
          <w:szCs w:val="24"/>
        </w:rPr>
        <w:br w:type="page"/>
      </w:r>
    </w:p>
    <w:p w:rsidR="002C70D1" w:rsidRPr="00824722" w:rsidRDefault="002C70D1" w:rsidP="00D43381">
      <w:pPr>
        <w:spacing w:after="0"/>
        <w:rPr>
          <w:color w:val="0070C0"/>
          <w:sz w:val="28"/>
          <w:szCs w:val="28"/>
        </w:rPr>
      </w:pPr>
      <w:r w:rsidRPr="00824722">
        <w:rPr>
          <w:color w:val="0070C0"/>
          <w:sz w:val="28"/>
          <w:szCs w:val="28"/>
        </w:rPr>
        <w:t>Risks</w:t>
      </w:r>
    </w:p>
    <w:p w:rsidR="002C70D1" w:rsidRPr="006E1825" w:rsidRDefault="002C70D1" w:rsidP="002C70D1">
      <w:pPr>
        <w:tabs>
          <w:tab w:val="left" w:pos="2127"/>
        </w:tabs>
        <w:ind w:left="567"/>
        <w:rPr>
          <w:rFonts w:eastAsiaTheme="minorHAnsi" w:cstheme="minorHAnsi"/>
          <w:sz w:val="24"/>
          <w:szCs w:val="24"/>
        </w:rPr>
      </w:pPr>
      <w:r w:rsidRPr="006E1825">
        <w:rPr>
          <w:rFonts w:eastAsiaTheme="minorHAnsi" w:cstheme="minorHAnsi"/>
          <w:sz w:val="24"/>
          <w:szCs w:val="24"/>
        </w:rPr>
        <w:t>This option does not uphold the intent of the National Law that all practitioners hold PII.</w:t>
      </w:r>
      <w:r>
        <w:rPr>
          <w:rFonts w:eastAsiaTheme="minorHAnsi" w:cstheme="minorHAnsi"/>
          <w:sz w:val="24"/>
          <w:szCs w:val="24"/>
        </w:rPr>
        <w:t xml:space="preserve"> Moreover, </w:t>
      </w:r>
      <w:r w:rsidRPr="006E1825">
        <w:rPr>
          <w:rFonts w:eastAsiaTheme="minorHAnsi" w:cstheme="minorHAnsi"/>
          <w:sz w:val="24"/>
          <w:szCs w:val="24"/>
        </w:rPr>
        <w:t>PPMs would not be aligned with all other health practitioners under National Law.</w:t>
      </w:r>
    </w:p>
    <w:p w:rsidR="002C70D1" w:rsidRPr="006E1825" w:rsidRDefault="002C70D1" w:rsidP="002C70D1">
      <w:pPr>
        <w:tabs>
          <w:tab w:val="left" w:pos="2127"/>
        </w:tabs>
        <w:ind w:left="567"/>
        <w:rPr>
          <w:rFonts w:eastAsiaTheme="minorHAnsi" w:cstheme="minorHAnsi"/>
          <w:sz w:val="24"/>
          <w:szCs w:val="24"/>
        </w:rPr>
      </w:pPr>
      <w:r w:rsidRPr="006E1825">
        <w:rPr>
          <w:rFonts w:eastAsiaTheme="minorHAnsi" w:cstheme="minorHAnsi"/>
          <w:sz w:val="24"/>
          <w:szCs w:val="24"/>
        </w:rPr>
        <w:t>While this option provides women with choice, this choice comes with significant risk. Women will have no insurance recourse in the event of an adverse event apart from civil action against the PPM, even though they may consent to proceed without PII for the homebirth.</w:t>
      </w:r>
    </w:p>
    <w:p w:rsidR="002C70D1" w:rsidRDefault="002C70D1" w:rsidP="002C70D1">
      <w:pPr>
        <w:tabs>
          <w:tab w:val="left" w:pos="2127"/>
        </w:tabs>
        <w:ind w:left="567"/>
        <w:rPr>
          <w:rFonts w:cstheme="minorHAnsi"/>
          <w:sz w:val="24"/>
          <w:szCs w:val="24"/>
        </w:rPr>
      </w:pPr>
      <w:r>
        <w:rPr>
          <w:rFonts w:cstheme="minorHAnsi"/>
          <w:sz w:val="24"/>
          <w:szCs w:val="24"/>
        </w:rPr>
        <w:t xml:space="preserve">This option </w:t>
      </w:r>
      <w:r w:rsidRPr="00032122">
        <w:rPr>
          <w:rFonts w:cstheme="minorHAnsi"/>
          <w:sz w:val="24"/>
          <w:szCs w:val="24"/>
        </w:rPr>
        <w:t xml:space="preserve">would maintain the current perverse situation </w:t>
      </w:r>
      <w:r w:rsidR="009D4EBE">
        <w:rPr>
          <w:rFonts w:cstheme="minorHAnsi"/>
          <w:sz w:val="24"/>
          <w:szCs w:val="24"/>
        </w:rPr>
        <w:t>where</w:t>
      </w:r>
      <w:r w:rsidRPr="00032122">
        <w:rPr>
          <w:rFonts w:cstheme="minorHAnsi"/>
          <w:sz w:val="24"/>
          <w:szCs w:val="24"/>
        </w:rPr>
        <w:t xml:space="preserve"> midwives would have no pro</w:t>
      </w:r>
      <w:r w:rsidR="009D4EBE">
        <w:rPr>
          <w:rFonts w:cstheme="minorHAnsi"/>
          <w:sz w:val="24"/>
          <w:szCs w:val="24"/>
        </w:rPr>
        <w:t xml:space="preserve">tection from civil litigation. This would likely impact on workforce retention with PPMs forced to enter state and territory funded homebirth programs. As these programs </w:t>
      </w:r>
      <w:r w:rsidR="005A24E9">
        <w:rPr>
          <w:rFonts w:cstheme="minorHAnsi"/>
          <w:sz w:val="24"/>
          <w:szCs w:val="24"/>
        </w:rPr>
        <w:t>operate through the public hospital system, PPMs scope of practice would be restricted according to hospital governance and clinical guidelines.</w:t>
      </w:r>
    </w:p>
    <w:p w:rsidR="008406A8" w:rsidRPr="00824722" w:rsidRDefault="008406A8" w:rsidP="008406A8">
      <w:pPr>
        <w:tabs>
          <w:tab w:val="left" w:pos="2127"/>
        </w:tabs>
        <w:ind w:left="567"/>
        <w:rPr>
          <w:rFonts w:cstheme="minorHAnsi"/>
          <w:sz w:val="24"/>
          <w:szCs w:val="24"/>
        </w:rPr>
      </w:pPr>
      <w:r>
        <w:rPr>
          <w:rFonts w:cstheme="minorHAnsi"/>
          <w:sz w:val="24"/>
          <w:szCs w:val="24"/>
        </w:rPr>
        <w:t>Under the status quo, t</w:t>
      </w:r>
      <w:r w:rsidRPr="006E332F">
        <w:rPr>
          <w:rFonts w:cstheme="minorHAnsi"/>
          <w:sz w:val="24"/>
          <w:szCs w:val="24"/>
        </w:rPr>
        <w:t>here is limited incident and claims history data with which to base a liability cost estimate for homebirths</w:t>
      </w:r>
      <w:r w:rsidRPr="00824722">
        <w:rPr>
          <w:rFonts w:cstheme="minorHAnsi"/>
          <w:sz w:val="24"/>
          <w:szCs w:val="24"/>
        </w:rPr>
        <w:t>. The current insurer provides the Department with an annual report and periodically provides Services Australia with claims data as part of the contractual and legislative requirements</w:t>
      </w:r>
      <w:r w:rsidR="009D4EBE" w:rsidRPr="00824722">
        <w:rPr>
          <w:rFonts w:cstheme="minorHAnsi"/>
          <w:sz w:val="24"/>
          <w:szCs w:val="24"/>
        </w:rPr>
        <w:t>.</w:t>
      </w:r>
      <w:r w:rsidRPr="00824722">
        <w:rPr>
          <w:rFonts w:cstheme="minorHAnsi"/>
          <w:sz w:val="24"/>
          <w:szCs w:val="24"/>
        </w:rPr>
        <w:t xml:space="preserve"> </w:t>
      </w:r>
    </w:p>
    <w:p w:rsidR="005A24E9" w:rsidRDefault="005A24E9" w:rsidP="008406A8">
      <w:pPr>
        <w:tabs>
          <w:tab w:val="left" w:pos="2127"/>
        </w:tabs>
        <w:ind w:left="567"/>
        <w:rPr>
          <w:rFonts w:cstheme="minorHAnsi"/>
          <w:sz w:val="24"/>
          <w:szCs w:val="24"/>
        </w:rPr>
      </w:pPr>
      <w:r w:rsidRPr="00824722">
        <w:rPr>
          <w:rFonts w:cstheme="minorHAnsi"/>
          <w:sz w:val="24"/>
          <w:szCs w:val="24"/>
        </w:rPr>
        <w:t>There is also limited claims data to identify the impact of this opti</w:t>
      </w:r>
      <w:r w:rsidR="00226A2D" w:rsidRPr="00824722">
        <w:rPr>
          <w:rFonts w:cstheme="minorHAnsi"/>
          <w:sz w:val="24"/>
          <w:szCs w:val="24"/>
        </w:rPr>
        <w:t>on on hospital capacity.</w:t>
      </w:r>
    </w:p>
    <w:p w:rsidR="006F12E1" w:rsidRPr="00ED6695" w:rsidRDefault="00C87458" w:rsidP="0058344C">
      <w:pPr>
        <w:pStyle w:val="Heading3"/>
      </w:pPr>
      <w:bookmarkStart w:id="40" w:name="_Toc162017791"/>
      <w:r>
        <w:t xml:space="preserve">Option 2: </w:t>
      </w:r>
      <w:r w:rsidR="005E645E">
        <w:t>Expand the Midwife Schemes</w:t>
      </w:r>
      <w:r w:rsidR="007250DA">
        <w:t xml:space="preserve"> (preferred option)</w:t>
      </w:r>
      <w:bookmarkEnd w:id="40"/>
    </w:p>
    <w:p w:rsidR="001C2943" w:rsidRPr="008D0D6A" w:rsidRDefault="00554DE3" w:rsidP="008D0D6A">
      <w:pPr>
        <w:shd w:val="clear" w:color="auto" w:fill="E7E6E6" w:themeFill="background2"/>
        <w:tabs>
          <w:tab w:val="left" w:pos="2127"/>
        </w:tabs>
        <w:ind w:left="720"/>
        <w:rPr>
          <w:rFonts w:cstheme="minorHAnsi"/>
          <w:sz w:val="24"/>
          <w:szCs w:val="24"/>
        </w:rPr>
      </w:pPr>
      <w:r w:rsidRPr="008D0D6A">
        <w:rPr>
          <w:rFonts w:cstheme="minorHAnsi"/>
          <w:sz w:val="24"/>
          <w:szCs w:val="24"/>
        </w:rPr>
        <w:t xml:space="preserve">Expand the </w:t>
      </w:r>
      <w:r w:rsidRPr="008D0D6A">
        <w:rPr>
          <w:rFonts w:cstheme="minorHAnsi"/>
          <w:color w:val="000000" w:themeColor="text1"/>
          <w:sz w:val="24"/>
          <w:szCs w:val="24"/>
        </w:rPr>
        <w:t xml:space="preserve">MPIS and MPISROCS </w:t>
      </w:r>
      <w:r w:rsidR="001C2943" w:rsidRPr="008D0D6A">
        <w:rPr>
          <w:rFonts w:cstheme="minorHAnsi"/>
          <w:sz w:val="24"/>
          <w:szCs w:val="24"/>
        </w:rPr>
        <w:t xml:space="preserve">to include </w:t>
      </w:r>
      <w:r w:rsidR="001C2943" w:rsidRPr="008D0D6A">
        <w:rPr>
          <w:sz w:val="24"/>
          <w:szCs w:val="24"/>
        </w:rPr>
        <w:t>low-risk home births and intrapartum (labour) care outside a hospital prior to a planned hospital birth, whereby the Government will cover 100% of the costs of claims for these new products if the insurer provides such cover and manages claims.</w:t>
      </w:r>
    </w:p>
    <w:p w:rsidR="001F173E" w:rsidRDefault="001F173E" w:rsidP="001F173E">
      <w:pPr>
        <w:tabs>
          <w:tab w:val="left" w:pos="2127"/>
        </w:tabs>
        <w:ind w:left="567"/>
        <w:rPr>
          <w:rFonts w:cstheme="minorHAnsi"/>
          <w:sz w:val="24"/>
          <w:szCs w:val="24"/>
        </w:rPr>
      </w:pPr>
      <w:r>
        <w:rPr>
          <w:rFonts w:cstheme="minorHAnsi"/>
          <w:sz w:val="24"/>
          <w:szCs w:val="24"/>
        </w:rPr>
        <w:t>T</w:t>
      </w:r>
      <w:r w:rsidRPr="005C7436">
        <w:rPr>
          <w:rFonts w:cstheme="minorHAnsi"/>
          <w:sz w:val="24"/>
          <w:szCs w:val="24"/>
        </w:rPr>
        <w:t xml:space="preserve">he Government </w:t>
      </w:r>
      <w:r>
        <w:rPr>
          <w:sz w:val="24"/>
          <w:szCs w:val="24"/>
        </w:rPr>
        <w:t xml:space="preserve">would offer </w:t>
      </w:r>
      <w:r w:rsidR="00861F4B">
        <w:rPr>
          <w:sz w:val="24"/>
          <w:szCs w:val="24"/>
        </w:rPr>
        <w:t>the insurer</w:t>
      </w:r>
      <w:r w:rsidRPr="001E370D">
        <w:rPr>
          <w:sz w:val="24"/>
          <w:szCs w:val="24"/>
        </w:rPr>
        <w:t xml:space="preserve"> </w:t>
      </w:r>
      <w:r>
        <w:rPr>
          <w:sz w:val="24"/>
          <w:szCs w:val="24"/>
        </w:rPr>
        <w:t xml:space="preserve">100% of </w:t>
      </w:r>
      <w:r w:rsidRPr="001E370D">
        <w:rPr>
          <w:sz w:val="24"/>
          <w:szCs w:val="24"/>
        </w:rPr>
        <w:t xml:space="preserve">Government </w:t>
      </w:r>
      <w:r>
        <w:rPr>
          <w:sz w:val="24"/>
          <w:szCs w:val="24"/>
        </w:rPr>
        <w:t xml:space="preserve">coverage </w:t>
      </w:r>
      <w:r w:rsidRPr="005C7436">
        <w:rPr>
          <w:rFonts w:cstheme="minorHAnsi"/>
          <w:sz w:val="24"/>
          <w:szCs w:val="24"/>
        </w:rPr>
        <w:t xml:space="preserve">of the costs of claims </w:t>
      </w:r>
      <w:r w:rsidRPr="001E370D">
        <w:rPr>
          <w:sz w:val="24"/>
          <w:szCs w:val="24"/>
        </w:rPr>
        <w:t>for low- risk home births and intrapartum (labour) care outside a hospital prior to a planned hospital birth</w:t>
      </w:r>
      <w:r w:rsidR="00CA5BE5">
        <w:rPr>
          <w:sz w:val="24"/>
          <w:szCs w:val="24"/>
        </w:rPr>
        <w:t xml:space="preserve">. The </w:t>
      </w:r>
      <w:r w:rsidR="00861F4B">
        <w:rPr>
          <w:rFonts w:cstheme="minorHAnsi"/>
          <w:sz w:val="24"/>
          <w:szCs w:val="24"/>
        </w:rPr>
        <w:t xml:space="preserve">insurer </w:t>
      </w:r>
      <w:r w:rsidRPr="005C7436">
        <w:rPr>
          <w:rFonts w:cstheme="minorHAnsi"/>
          <w:sz w:val="24"/>
          <w:szCs w:val="24"/>
        </w:rPr>
        <w:t>would provide this cover and manage claims administration, supported by Governm</w:t>
      </w:r>
      <w:r>
        <w:rPr>
          <w:rFonts w:cstheme="minorHAnsi"/>
          <w:sz w:val="24"/>
          <w:szCs w:val="24"/>
        </w:rPr>
        <w:t xml:space="preserve">ent payment of settled claims. </w:t>
      </w:r>
    </w:p>
    <w:p w:rsidR="004218DC" w:rsidRDefault="004218DC" w:rsidP="001F173E">
      <w:pPr>
        <w:tabs>
          <w:tab w:val="left" w:pos="2127"/>
        </w:tabs>
        <w:ind w:left="567"/>
        <w:rPr>
          <w:rFonts w:cstheme="minorHAnsi"/>
          <w:sz w:val="24"/>
          <w:szCs w:val="24"/>
        </w:rPr>
      </w:pPr>
      <w:r w:rsidRPr="004218DC">
        <w:rPr>
          <w:rFonts w:cstheme="minorHAnsi"/>
          <w:sz w:val="24"/>
          <w:szCs w:val="24"/>
        </w:rPr>
        <w:t xml:space="preserve">The cover for intrapartum care outside hospital would also include coverage for entities engaging midwives in delivery of </w:t>
      </w:r>
      <w:r w:rsidR="00CA5BE5">
        <w:rPr>
          <w:rFonts w:cstheme="minorHAnsi"/>
          <w:sz w:val="24"/>
          <w:szCs w:val="24"/>
        </w:rPr>
        <w:t>BoC</w:t>
      </w:r>
      <w:r w:rsidRPr="004218DC">
        <w:rPr>
          <w:rFonts w:cstheme="minorHAnsi"/>
          <w:sz w:val="24"/>
          <w:szCs w:val="24"/>
        </w:rPr>
        <w:t xml:space="preserve"> models of care as well as the midwives themselves</w:t>
      </w:r>
      <w:r>
        <w:rPr>
          <w:rFonts w:cstheme="minorHAnsi"/>
          <w:sz w:val="24"/>
          <w:szCs w:val="24"/>
        </w:rPr>
        <w:t>.</w:t>
      </w:r>
    </w:p>
    <w:p w:rsidR="00CA5BE5" w:rsidRPr="00CA5BE5" w:rsidRDefault="00CA5BE5" w:rsidP="00057596">
      <w:pPr>
        <w:tabs>
          <w:tab w:val="left" w:pos="2127"/>
        </w:tabs>
        <w:ind w:left="567"/>
        <w:rPr>
          <w:rFonts w:cstheme="minorHAnsi"/>
          <w:sz w:val="24"/>
          <w:szCs w:val="24"/>
        </w:rPr>
      </w:pPr>
      <w:r w:rsidRPr="00CA5BE5">
        <w:rPr>
          <w:sz w:val="24"/>
          <w:szCs w:val="24"/>
        </w:rPr>
        <w:t>Under this option the National Law exemption for midwives which enables PPMs to practice without PII would be removed as insurance cover would become available.</w:t>
      </w:r>
    </w:p>
    <w:p w:rsidR="00CA5BE5" w:rsidRDefault="00CA5BE5" w:rsidP="00CA5BE5">
      <w:pPr>
        <w:tabs>
          <w:tab w:val="left" w:pos="2127"/>
        </w:tabs>
        <w:ind w:left="567"/>
        <w:rPr>
          <w:sz w:val="24"/>
          <w:szCs w:val="24"/>
        </w:rPr>
      </w:pPr>
      <w:r w:rsidRPr="00CA5BE5">
        <w:rPr>
          <w:sz w:val="24"/>
          <w:szCs w:val="24"/>
        </w:rPr>
        <w:t xml:space="preserve">The intention is for this insurance coverage to be a long-term solution. The current market failure indicates there is no foreseeable timeline for private insurers to offer these products. This coverage is essential to ensure women's continued access to safe homebirth options and to support culturally-safe maternity care models, particularly </w:t>
      </w:r>
      <w:r>
        <w:rPr>
          <w:sz w:val="24"/>
          <w:szCs w:val="24"/>
        </w:rPr>
        <w:t>BoC</w:t>
      </w:r>
      <w:r w:rsidRPr="00CA5BE5">
        <w:rPr>
          <w:sz w:val="24"/>
          <w:szCs w:val="24"/>
        </w:rPr>
        <w:t xml:space="preserve"> services for First Nations communities.</w:t>
      </w:r>
    </w:p>
    <w:p w:rsidR="00CA5BE5" w:rsidRPr="00CA5BE5" w:rsidRDefault="00CA5BE5" w:rsidP="00CA5BE5">
      <w:pPr>
        <w:tabs>
          <w:tab w:val="left" w:pos="2127"/>
        </w:tabs>
        <w:ind w:left="567"/>
        <w:rPr>
          <w:sz w:val="24"/>
          <w:szCs w:val="24"/>
        </w:rPr>
      </w:pPr>
      <w:r w:rsidRPr="00CA5BE5">
        <w:rPr>
          <w:sz w:val="24"/>
          <w:szCs w:val="24"/>
        </w:rPr>
        <w:t xml:space="preserve">While the Government does not typically provide insurance coverage directly to health entities, this proposal represents a unique and necessary intervention. This intervention is justified by a combination of factors: the specific need to address the insurance gap for PPMs providing low-risk homebirth and </w:t>
      </w:r>
      <w:r w:rsidR="007D45B7">
        <w:rPr>
          <w:sz w:val="24"/>
          <w:szCs w:val="24"/>
        </w:rPr>
        <w:t>BoC</w:t>
      </w:r>
      <w:r w:rsidRPr="00CA5BE5">
        <w:rPr>
          <w:sz w:val="24"/>
          <w:szCs w:val="24"/>
        </w:rPr>
        <w:t xml:space="preserve"> services, the lack of willing private insurers demonstrated by the recent tender process, and the importance of ensuring access to essential maternity care services while promoting culturally-</w:t>
      </w:r>
      <w:r w:rsidR="007D45B7">
        <w:rPr>
          <w:sz w:val="24"/>
          <w:szCs w:val="24"/>
        </w:rPr>
        <w:t xml:space="preserve">safe </w:t>
      </w:r>
      <w:r w:rsidRPr="00CA5BE5">
        <w:rPr>
          <w:sz w:val="24"/>
          <w:szCs w:val="24"/>
        </w:rPr>
        <w:t>options for First Nations communities.</w:t>
      </w:r>
    </w:p>
    <w:p w:rsidR="00057596" w:rsidRPr="00057596" w:rsidRDefault="00057596" w:rsidP="00057596">
      <w:pPr>
        <w:tabs>
          <w:tab w:val="left" w:pos="2127"/>
        </w:tabs>
        <w:ind w:left="567"/>
        <w:rPr>
          <w:rFonts w:cstheme="minorHAnsi"/>
          <w:sz w:val="24"/>
          <w:szCs w:val="24"/>
        </w:rPr>
      </w:pPr>
      <w:r>
        <w:rPr>
          <w:rFonts w:cstheme="minorHAnsi"/>
          <w:sz w:val="24"/>
          <w:szCs w:val="24"/>
        </w:rPr>
        <w:t xml:space="preserve">The NMBA </w:t>
      </w:r>
      <w:r w:rsidRPr="00057596">
        <w:rPr>
          <w:rFonts w:cstheme="minorHAnsi"/>
          <w:sz w:val="24"/>
          <w:szCs w:val="24"/>
        </w:rPr>
        <w:t>has well established safety and quality guidelines for PPMs, which form the foundation of clinical care guidelines for homebirth. The guidelines can be refined to include clinical parameters of low risk to which the MPIS would be extended to cover.</w:t>
      </w:r>
    </w:p>
    <w:p w:rsidR="00BA6156" w:rsidRDefault="00BA6156" w:rsidP="00BA6156">
      <w:pPr>
        <w:tabs>
          <w:tab w:val="left" w:pos="2127"/>
        </w:tabs>
        <w:ind w:left="567"/>
        <w:rPr>
          <w:rFonts w:cstheme="minorHAnsi"/>
          <w:sz w:val="24"/>
          <w:szCs w:val="24"/>
        </w:rPr>
      </w:pPr>
      <w:r>
        <w:rPr>
          <w:rFonts w:cstheme="minorHAnsi"/>
          <w:sz w:val="24"/>
          <w:szCs w:val="24"/>
        </w:rPr>
        <w:t>T</w:t>
      </w:r>
      <w:r w:rsidRPr="008D0D6A">
        <w:rPr>
          <w:rFonts w:cstheme="minorHAnsi"/>
          <w:sz w:val="24"/>
          <w:szCs w:val="24"/>
        </w:rPr>
        <w:t xml:space="preserve">he Department would also move to settle arrangements with </w:t>
      </w:r>
      <w:r w:rsidR="00861F4B">
        <w:rPr>
          <w:rFonts w:cstheme="minorHAnsi"/>
          <w:sz w:val="24"/>
          <w:szCs w:val="24"/>
        </w:rPr>
        <w:t xml:space="preserve">the current insurer </w:t>
      </w:r>
      <w:r w:rsidRPr="008D0D6A">
        <w:rPr>
          <w:rFonts w:cstheme="minorHAnsi"/>
          <w:sz w:val="24"/>
          <w:szCs w:val="24"/>
        </w:rPr>
        <w:t>to continue to manage the existing Midwives Schemes from 1 July 2025.</w:t>
      </w:r>
    </w:p>
    <w:p w:rsidR="001F173E" w:rsidRDefault="001F173E" w:rsidP="001F173E">
      <w:pPr>
        <w:tabs>
          <w:tab w:val="left" w:pos="2127"/>
        </w:tabs>
        <w:ind w:left="567"/>
        <w:rPr>
          <w:rFonts w:cstheme="minorHAnsi"/>
          <w:sz w:val="24"/>
          <w:szCs w:val="24"/>
        </w:rPr>
      </w:pPr>
      <w:r w:rsidRPr="001F173E">
        <w:rPr>
          <w:rFonts w:cstheme="minorHAnsi"/>
          <w:sz w:val="24"/>
          <w:szCs w:val="24"/>
        </w:rPr>
        <w:t xml:space="preserve">The ongoing need for Government to carry the full risk could be re-considered in 2029-2030 (when the contract for administration of the Schemes will next be put to market) by which time there would be a clearer indication of trends in </w:t>
      </w:r>
      <w:r>
        <w:rPr>
          <w:rFonts w:cstheme="minorHAnsi"/>
          <w:sz w:val="24"/>
          <w:szCs w:val="24"/>
        </w:rPr>
        <w:t xml:space="preserve">actual </w:t>
      </w:r>
      <w:r w:rsidRPr="001F173E">
        <w:rPr>
          <w:rFonts w:cstheme="minorHAnsi"/>
          <w:sz w:val="24"/>
          <w:szCs w:val="24"/>
        </w:rPr>
        <w:t xml:space="preserve">claims and costs to inform insurer interest and risk appetite.  </w:t>
      </w:r>
    </w:p>
    <w:p w:rsidR="001F173E" w:rsidRDefault="001F173E" w:rsidP="001F173E">
      <w:pPr>
        <w:tabs>
          <w:tab w:val="left" w:pos="2127"/>
        </w:tabs>
        <w:ind w:left="567"/>
        <w:rPr>
          <w:rFonts w:cstheme="minorHAnsi"/>
          <w:sz w:val="24"/>
          <w:szCs w:val="24"/>
        </w:rPr>
      </w:pPr>
      <w:r w:rsidRPr="005C7436">
        <w:rPr>
          <w:rFonts w:cstheme="minorHAnsi"/>
          <w:sz w:val="24"/>
          <w:szCs w:val="24"/>
        </w:rPr>
        <w:t>There is an existing precedent for Government to cover 100% of claims</w:t>
      </w:r>
      <w:r>
        <w:rPr>
          <w:rFonts w:cstheme="minorHAnsi"/>
          <w:sz w:val="24"/>
          <w:szCs w:val="24"/>
        </w:rPr>
        <w:t>:</w:t>
      </w:r>
    </w:p>
    <w:p w:rsidR="001F173E" w:rsidRPr="001F173E" w:rsidRDefault="001F173E" w:rsidP="00A622D8">
      <w:pPr>
        <w:pStyle w:val="ListParagraph"/>
        <w:numPr>
          <w:ilvl w:val="0"/>
          <w:numId w:val="15"/>
        </w:numPr>
        <w:tabs>
          <w:tab w:val="left" w:pos="2127"/>
        </w:tabs>
        <w:rPr>
          <w:rFonts w:cstheme="minorHAnsi"/>
          <w:sz w:val="24"/>
          <w:szCs w:val="24"/>
        </w:rPr>
      </w:pPr>
      <w:r>
        <w:rPr>
          <w:rFonts w:cstheme="minorHAnsi"/>
          <w:sz w:val="24"/>
          <w:szCs w:val="24"/>
        </w:rPr>
        <w:t>U</w:t>
      </w:r>
      <w:r w:rsidRPr="001F173E">
        <w:rPr>
          <w:rFonts w:cstheme="minorHAnsi"/>
          <w:sz w:val="24"/>
          <w:szCs w:val="24"/>
        </w:rPr>
        <w:t xml:space="preserve">nder the Medical Indemnity Run-Off Cover schemes (which provide cover once a practitioner retires) the Government accepts 100% liability (although practitioners pay a premium during practice to support provision of this cover).  </w:t>
      </w:r>
    </w:p>
    <w:p w:rsidR="00DF4206" w:rsidRPr="00151769" w:rsidRDefault="001F173E" w:rsidP="0058344C">
      <w:pPr>
        <w:pStyle w:val="ListParagraph"/>
        <w:tabs>
          <w:tab w:val="left" w:pos="2127"/>
        </w:tabs>
        <w:ind w:left="1287"/>
        <w:rPr>
          <w:color w:val="1F4E79"/>
          <w:sz w:val="28"/>
          <w:szCs w:val="28"/>
        </w:rPr>
      </w:pPr>
      <w:r w:rsidRPr="00F1318E">
        <w:rPr>
          <w:sz w:val="24"/>
          <w:szCs w:val="24"/>
        </w:rPr>
        <w:t xml:space="preserve">the Government recently granted a separate time limited (to June 2025) indemnity to </w:t>
      </w:r>
      <w:r w:rsidR="00861F4B">
        <w:rPr>
          <w:sz w:val="24"/>
          <w:szCs w:val="24"/>
        </w:rPr>
        <w:t xml:space="preserve">the current insurer </w:t>
      </w:r>
      <w:r w:rsidRPr="00F1318E">
        <w:rPr>
          <w:sz w:val="24"/>
          <w:szCs w:val="24"/>
        </w:rPr>
        <w:t xml:space="preserve">to cover 100% of the costs of the intrapartum outside of a hospital services to address this recently identified gap in cover which was threatening delivery of these services and had become a particular concern for ACCOs facilitating BoC midwifery care. </w:t>
      </w:r>
      <w:r w:rsidRPr="001F173E">
        <w:rPr>
          <w:sz w:val="24"/>
          <w:szCs w:val="24"/>
        </w:rPr>
        <w:t>The indemnity was granted to 2025 to address the immediate gap in cover</w:t>
      </w:r>
      <w:r w:rsidR="00F1318E">
        <w:rPr>
          <w:sz w:val="24"/>
          <w:szCs w:val="24"/>
        </w:rPr>
        <w:t xml:space="preserve"> for PPMs. It is intended that the cover for intrapartum care outside a hospital would also include coverage for entities engaging midwives in delivery of </w:t>
      </w:r>
      <w:r w:rsidR="00151769">
        <w:rPr>
          <w:sz w:val="24"/>
          <w:szCs w:val="24"/>
        </w:rPr>
        <w:t>BoC</w:t>
      </w:r>
      <w:r w:rsidR="00F1318E">
        <w:rPr>
          <w:sz w:val="24"/>
          <w:szCs w:val="24"/>
        </w:rPr>
        <w:t xml:space="preserve"> models of care as well as the midwives themselves.</w:t>
      </w:r>
      <w:r w:rsidRPr="001F173E">
        <w:rPr>
          <w:sz w:val="24"/>
          <w:szCs w:val="24"/>
        </w:rPr>
        <w:t xml:space="preserve"> </w:t>
      </w:r>
    </w:p>
    <w:p w:rsidR="001F173E" w:rsidRPr="00661D98" w:rsidRDefault="001F173E" w:rsidP="00661D98">
      <w:pPr>
        <w:pStyle w:val="Heading3"/>
      </w:pPr>
      <w:bookmarkStart w:id="41" w:name="_Toc162017792"/>
      <w:r w:rsidRPr="00661D98">
        <w:t>Legislative change</w:t>
      </w:r>
      <w:bookmarkEnd w:id="41"/>
    </w:p>
    <w:p w:rsidR="001F173E" w:rsidRPr="00824722" w:rsidRDefault="001F173E" w:rsidP="001F173E">
      <w:pPr>
        <w:tabs>
          <w:tab w:val="left" w:pos="2127"/>
        </w:tabs>
        <w:ind w:left="567"/>
        <w:rPr>
          <w:rFonts w:cstheme="minorHAnsi"/>
          <w:sz w:val="24"/>
          <w:szCs w:val="24"/>
        </w:rPr>
      </w:pPr>
      <w:r>
        <w:rPr>
          <w:rFonts w:cstheme="minorHAnsi"/>
          <w:sz w:val="24"/>
          <w:szCs w:val="24"/>
        </w:rPr>
        <w:t>A</w:t>
      </w:r>
      <w:r w:rsidRPr="001F173E">
        <w:rPr>
          <w:rFonts w:cstheme="minorHAnsi"/>
          <w:sz w:val="24"/>
          <w:szCs w:val="24"/>
        </w:rPr>
        <w:t xml:space="preserve">uthority </w:t>
      </w:r>
      <w:r>
        <w:rPr>
          <w:rFonts w:cstheme="minorHAnsi"/>
          <w:sz w:val="24"/>
          <w:szCs w:val="24"/>
        </w:rPr>
        <w:t xml:space="preserve">would be </w:t>
      </w:r>
      <w:r w:rsidRPr="001F173E">
        <w:rPr>
          <w:rFonts w:cstheme="minorHAnsi"/>
          <w:sz w:val="24"/>
          <w:szCs w:val="24"/>
        </w:rPr>
        <w:t xml:space="preserve">sought to amend the </w:t>
      </w:r>
      <w:r w:rsidRPr="001F173E">
        <w:rPr>
          <w:rFonts w:cstheme="minorHAnsi"/>
          <w:i/>
          <w:sz w:val="24"/>
          <w:szCs w:val="24"/>
        </w:rPr>
        <w:t>Midwife Professional Indemnity (Commonwealth Contribution) Act 2010</w:t>
      </w:r>
      <w:r w:rsidRPr="001F173E">
        <w:rPr>
          <w:rFonts w:cstheme="minorHAnsi"/>
          <w:sz w:val="24"/>
          <w:szCs w:val="24"/>
        </w:rPr>
        <w:t xml:space="preserve"> and any related legislation.</w:t>
      </w:r>
      <w:r>
        <w:rPr>
          <w:rFonts w:cstheme="minorHAnsi"/>
          <w:sz w:val="24"/>
          <w:szCs w:val="24"/>
        </w:rPr>
        <w:t xml:space="preserve"> </w:t>
      </w:r>
      <w:r w:rsidRPr="001F173E">
        <w:rPr>
          <w:rFonts w:cstheme="minorHAnsi"/>
          <w:sz w:val="24"/>
          <w:szCs w:val="24"/>
        </w:rPr>
        <w:t xml:space="preserve">These </w:t>
      </w:r>
      <w:r w:rsidRPr="00824722">
        <w:rPr>
          <w:rFonts w:cstheme="minorHAnsi"/>
          <w:sz w:val="24"/>
          <w:szCs w:val="24"/>
        </w:rPr>
        <w:t xml:space="preserve">amendments </w:t>
      </w:r>
      <w:r w:rsidR="0090544E" w:rsidRPr="00824722">
        <w:rPr>
          <w:rFonts w:cstheme="minorHAnsi"/>
          <w:sz w:val="24"/>
          <w:szCs w:val="24"/>
        </w:rPr>
        <w:t xml:space="preserve">would be specified in the rules or by Determination to </w:t>
      </w:r>
      <w:r w:rsidRPr="00824722">
        <w:rPr>
          <w:rFonts w:cstheme="minorHAnsi"/>
          <w:sz w:val="24"/>
          <w:szCs w:val="24"/>
        </w:rPr>
        <w:t xml:space="preserve">stipulate that the Commonwealth would fund 100% of claim costs and remove all monetary thresholds for claims made against eligible midwives providing low-risk homebirth services and intrapartum care outside a hospital. </w:t>
      </w:r>
    </w:p>
    <w:p w:rsidR="00006683" w:rsidRPr="00824722" w:rsidRDefault="00006683" w:rsidP="00006683">
      <w:pPr>
        <w:tabs>
          <w:tab w:val="left" w:pos="2127"/>
        </w:tabs>
        <w:ind w:left="567"/>
        <w:rPr>
          <w:rFonts w:cstheme="minorHAnsi"/>
          <w:sz w:val="24"/>
          <w:szCs w:val="24"/>
        </w:rPr>
      </w:pPr>
      <w:r w:rsidRPr="00824722">
        <w:rPr>
          <w:rFonts w:cstheme="minorHAnsi"/>
          <w:sz w:val="24"/>
          <w:szCs w:val="24"/>
        </w:rPr>
        <w:t>Under this option, t</w:t>
      </w:r>
      <w:r w:rsidR="00F83A4E" w:rsidRPr="00824722">
        <w:rPr>
          <w:rFonts w:cstheme="minorHAnsi"/>
          <w:sz w:val="24"/>
          <w:szCs w:val="24"/>
        </w:rPr>
        <w:t xml:space="preserve">he National Law exemption for midwives </w:t>
      </w:r>
      <w:r w:rsidR="006F0681" w:rsidRPr="00824722">
        <w:rPr>
          <w:rFonts w:cstheme="minorHAnsi"/>
          <w:sz w:val="24"/>
          <w:szCs w:val="24"/>
        </w:rPr>
        <w:t>w</w:t>
      </w:r>
      <w:r w:rsidR="00FE4F1B" w:rsidRPr="00824722">
        <w:rPr>
          <w:rFonts w:cstheme="minorHAnsi"/>
          <w:sz w:val="24"/>
          <w:szCs w:val="24"/>
        </w:rPr>
        <w:t>ould be removed permanently in line with its proposed expiration of 30 June 2025</w:t>
      </w:r>
      <w:r w:rsidRPr="00824722">
        <w:rPr>
          <w:rFonts w:cstheme="minorHAnsi"/>
          <w:sz w:val="24"/>
          <w:szCs w:val="24"/>
        </w:rPr>
        <w:t xml:space="preserve"> as indemnity cover would now be available. If the proposal is not accepted, further discussion with states and territories would be required on whether the exemption should be extended or made permanent. States and territories have previously opposed any further extension of the exemption.</w:t>
      </w:r>
    </w:p>
    <w:p w:rsidR="00AC31A6" w:rsidRPr="00AC31A6" w:rsidRDefault="00AC31A6" w:rsidP="00006683">
      <w:pPr>
        <w:tabs>
          <w:tab w:val="left" w:pos="2127"/>
        </w:tabs>
        <w:ind w:left="567"/>
        <w:rPr>
          <w:rFonts w:cstheme="minorHAnsi"/>
          <w:sz w:val="24"/>
          <w:szCs w:val="24"/>
        </w:rPr>
      </w:pPr>
      <w:r w:rsidRPr="00824722">
        <w:rPr>
          <w:sz w:val="24"/>
          <w:szCs w:val="24"/>
        </w:rPr>
        <w:t xml:space="preserve">Authority would also be sought to </w:t>
      </w:r>
      <w:r w:rsidR="0090544E" w:rsidRPr="00824722">
        <w:rPr>
          <w:sz w:val="24"/>
          <w:szCs w:val="24"/>
        </w:rPr>
        <w:t xml:space="preserve">make permanent legislative changes to </w:t>
      </w:r>
      <w:r w:rsidRPr="00824722">
        <w:rPr>
          <w:rFonts w:cstheme="minorHAnsi"/>
          <w:i/>
          <w:sz w:val="24"/>
          <w:szCs w:val="24"/>
        </w:rPr>
        <w:t>Midwife Professional Indemnity (Commonwealth Contribution) Act 2010</w:t>
      </w:r>
      <w:r w:rsidRPr="00824722">
        <w:rPr>
          <w:rFonts w:cstheme="minorHAnsi"/>
          <w:sz w:val="24"/>
          <w:szCs w:val="24"/>
        </w:rPr>
        <w:t xml:space="preserve"> and any related legislation</w:t>
      </w:r>
      <w:r w:rsidRPr="00824722">
        <w:rPr>
          <w:sz w:val="24"/>
          <w:szCs w:val="24"/>
        </w:rPr>
        <w:t xml:space="preserve"> to </w:t>
      </w:r>
      <w:r w:rsidR="0090544E" w:rsidRPr="00824722">
        <w:rPr>
          <w:sz w:val="24"/>
          <w:szCs w:val="24"/>
        </w:rPr>
        <w:t>ensure employed midwives working in specified ACCHOs are able to access entity insurance</w:t>
      </w:r>
      <w:r w:rsidRPr="00824722">
        <w:rPr>
          <w:sz w:val="24"/>
          <w:szCs w:val="24"/>
        </w:rPr>
        <w:t>. The entity coverage would only apply to employed midwives for services performed by their endorsed midwives in specified ACCHOs.</w:t>
      </w:r>
      <w:r w:rsidRPr="00AC31A6">
        <w:rPr>
          <w:sz w:val="24"/>
          <w:szCs w:val="24"/>
        </w:rPr>
        <w:t xml:space="preserve"> </w:t>
      </w:r>
    </w:p>
    <w:p w:rsidR="00617D3D" w:rsidRPr="00661D98" w:rsidRDefault="00617D3D" w:rsidP="00661D98">
      <w:pPr>
        <w:pStyle w:val="Heading3"/>
      </w:pPr>
      <w:bookmarkStart w:id="42" w:name="_Toc162017793"/>
      <w:r w:rsidRPr="00661D98">
        <w:t>Capacity for Government involvement</w:t>
      </w:r>
      <w:bookmarkEnd w:id="42"/>
    </w:p>
    <w:p w:rsidR="00617D3D" w:rsidRPr="00617D3D" w:rsidRDefault="00617D3D" w:rsidP="00617D3D">
      <w:pPr>
        <w:tabs>
          <w:tab w:val="left" w:pos="2127"/>
        </w:tabs>
        <w:ind w:left="567"/>
        <w:rPr>
          <w:rFonts w:cstheme="minorHAnsi"/>
          <w:sz w:val="24"/>
          <w:szCs w:val="24"/>
        </w:rPr>
      </w:pPr>
      <w:r w:rsidRPr="00617D3D">
        <w:rPr>
          <w:rFonts w:cstheme="minorHAnsi"/>
          <w:sz w:val="24"/>
          <w:szCs w:val="24"/>
        </w:rPr>
        <w:t xml:space="preserve">The implementation of this </w:t>
      </w:r>
      <w:r w:rsidR="00B2476A">
        <w:rPr>
          <w:rFonts w:cstheme="minorHAnsi"/>
          <w:sz w:val="24"/>
          <w:szCs w:val="24"/>
        </w:rPr>
        <w:t>option</w:t>
      </w:r>
      <w:r w:rsidRPr="00617D3D">
        <w:rPr>
          <w:rFonts w:cstheme="minorHAnsi"/>
          <w:sz w:val="24"/>
          <w:szCs w:val="24"/>
        </w:rPr>
        <w:t xml:space="preserve"> entails estimated annual costs of $11.8 million over 4 years commencing from 1 July 2024. These costs primarily cover claims administration, program oversight, and implementation. Potential funding sources to ensure long-term sustainability include Commonwealth budgetary allocation.</w:t>
      </w:r>
    </w:p>
    <w:p w:rsidR="00617D3D" w:rsidRPr="00B2476A" w:rsidRDefault="00617D3D" w:rsidP="00B2476A">
      <w:pPr>
        <w:tabs>
          <w:tab w:val="left" w:pos="2127"/>
        </w:tabs>
        <w:ind w:left="567"/>
        <w:rPr>
          <w:rFonts w:cstheme="minorHAnsi"/>
          <w:sz w:val="24"/>
          <w:szCs w:val="24"/>
        </w:rPr>
      </w:pPr>
      <w:r w:rsidRPr="00B2476A">
        <w:rPr>
          <w:rFonts w:cstheme="minorHAnsi"/>
          <w:sz w:val="24"/>
          <w:szCs w:val="24"/>
        </w:rPr>
        <w:t>The Department and Service</w:t>
      </w:r>
      <w:r w:rsidR="007D45B7">
        <w:rPr>
          <w:rFonts w:cstheme="minorHAnsi"/>
          <w:sz w:val="24"/>
          <w:szCs w:val="24"/>
        </w:rPr>
        <w:t>s</w:t>
      </w:r>
      <w:r w:rsidRPr="00B2476A">
        <w:rPr>
          <w:rFonts w:cstheme="minorHAnsi"/>
          <w:sz w:val="24"/>
          <w:szCs w:val="24"/>
        </w:rPr>
        <w:t xml:space="preserve"> Australia currently possesses the in-house expertise required for effective program management. This expertise includes policy analysis, financial management, stakeholder engagement, claims processing and contribution payments. Additional resources may be needed in the following areas such as actuarial</w:t>
      </w:r>
      <w:r w:rsidR="00B2476A">
        <w:rPr>
          <w:rFonts w:cstheme="minorHAnsi"/>
          <w:sz w:val="24"/>
          <w:szCs w:val="24"/>
        </w:rPr>
        <w:t>.</w:t>
      </w:r>
    </w:p>
    <w:p w:rsidR="008D0D6A" w:rsidRPr="00824722" w:rsidRDefault="008D0D6A" w:rsidP="00661D98">
      <w:pPr>
        <w:pStyle w:val="Heading3"/>
        <w:rPr>
          <w:rFonts w:asciiTheme="minorHAnsi" w:hAnsiTheme="minorHAnsi" w:cstheme="minorHAnsi"/>
        </w:rPr>
      </w:pPr>
      <w:bookmarkStart w:id="43" w:name="_Toc162017794"/>
      <w:r w:rsidRPr="00824722">
        <w:rPr>
          <w:rFonts w:asciiTheme="minorHAnsi" w:hAnsiTheme="minorHAnsi" w:cstheme="minorHAnsi"/>
        </w:rPr>
        <w:t>Risks</w:t>
      </w:r>
      <w:bookmarkEnd w:id="43"/>
    </w:p>
    <w:p w:rsidR="00BA6156" w:rsidRPr="00824722" w:rsidRDefault="00BA6156" w:rsidP="006F0681">
      <w:pPr>
        <w:pStyle w:val="Heading4"/>
        <w:rPr>
          <w:rFonts w:asciiTheme="minorHAnsi" w:hAnsiTheme="minorHAnsi" w:cstheme="minorHAnsi"/>
          <w:u w:val="single"/>
        </w:rPr>
      </w:pPr>
      <w:r w:rsidRPr="00824722">
        <w:rPr>
          <w:rFonts w:asciiTheme="minorHAnsi" w:hAnsiTheme="minorHAnsi" w:cstheme="minorHAnsi"/>
          <w:u w:val="single"/>
        </w:rPr>
        <w:t>Low risk homebirth</w:t>
      </w:r>
    </w:p>
    <w:p w:rsidR="008D0D6A" w:rsidRDefault="008D0D6A" w:rsidP="008D0D6A">
      <w:pPr>
        <w:tabs>
          <w:tab w:val="left" w:pos="2127"/>
        </w:tabs>
        <w:ind w:left="567"/>
        <w:rPr>
          <w:rFonts w:cstheme="minorHAnsi"/>
          <w:sz w:val="24"/>
          <w:szCs w:val="24"/>
        </w:rPr>
      </w:pPr>
      <w:r>
        <w:rPr>
          <w:rFonts w:cstheme="minorHAnsi"/>
          <w:sz w:val="24"/>
          <w:szCs w:val="24"/>
        </w:rPr>
        <w:t>S</w:t>
      </w:r>
      <w:r w:rsidRPr="003968FD">
        <w:rPr>
          <w:rFonts w:cstheme="minorHAnsi"/>
          <w:sz w:val="24"/>
          <w:szCs w:val="24"/>
        </w:rPr>
        <w:t>ome members of the community and medical profession, homebirth is controversial. Some do not see it as a safe option for women or babies. However, the MBS Review examined Australian and international longitudinal studies which provided findings that a low-risk homebirth was comparable in risk to a hospital birth.</w:t>
      </w:r>
    </w:p>
    <w:p w:rsidR="0090544E" w:rsidRPr="00BA6156" w:rsidRDefault="0090544E" w:rsidP="0090544E">
      <w:pPr>
        <w:tabs>
          <w:tab w:val="left" w:pos="2127"/>
        </w:tabs>
        <w:ind w:left="567"/>
        <w:rPr>
          <w:sz w:val="24"/>
          <w:szCs w:val="24"/>
        </w:rPr>
      </w:pPr>
      <w:r w:rsidRPr="00360E38">
        <w:rPr>
          <w:sz w:val="24"/>
          <w:szCs w:val="24"/>
        </w:rPr>
        <w:t>The risk of not proceeding with this approach is that women who wish to have a low-risk homebirth or intrapartum care outside of hospital prior to a planned hospital birth with a PPM will not be able to access these services from 1 July 2025 (or will only be able to access without a</w:t>
      </w:r>
      <w:r>
        <w:rPr>
          <w:sz w:val="24"/>
          <w:szCs w:val="24"/>
        </w:rPr>
        <w:t xml:space="preserve">ny indemnity cover applying).  </w:t>
      </w:r>
    </w:p>
    <w:p w:rsidR="00630EBA" w:rsidRPr="00D43381" w:rsidRDefault="00630EBA" w:rsidP="00630EBA">
      <w:pPr>
        <w:pStyle w:val="Heading4"/>
        <w:rPr>
          <w:rFonts w:asciiTheme="minorHAnsi" w:hAnsiTheme="minorHAnsi" w:cstheme="minorHAnsi"/>
          <w:u w:val="single"/>
        </w:rPr>
      </w:pPr>
      <w:r w:rsidRPr="00D43381">
        <w:rPr>
          <w:rFonts w:asciiTheme="minorHAnsi" w:hAnsiTheme="minorHAnsi" w:cstheme="minorHAnsi"/>
          <w:u w:val="single"/>
        </w:rPr>
        <w:t>Lack of data</w:t>
      </w:r>
    </w:p>
    <w:p w:rsidR="0090544E" w:rsidRPr="00824722" w:rsidRDefault="006E332F" w:rsidP="006E332F">
      <w:pPr>
        <w:tabs>
          <w:tab w:val="left" w:pos="2127"/>
        </w:tabs>
        <w:ind w:left="567"/>
        <w:rPr>
          <w:rFonts w:cstheme="minorHAnsi"/>
          <w:sz w:val="24"/>
          <w:szCs w:val="24"/>
        </w:rPr>
      </w:pPr>
      <w:r w:rsidRPr="006E332F">
        <w:rPr>
          <w:rFonts w:cstheme="minorHAnsi"/>
          <w:sz w:val="24"/>
          <w:szCs w:val="24"/>
        </w:rPr>
        <w:t xml:space="preserve">There is limited incident and claims history data with which to base a liability cost estimate for homebirths. </w:t>
      </w:r>
      <w:r w:rsidR="0090544E" w:rsidRPr="00824722">
        <w:rPr>
          <w:rFonts w:cstheme="minorHAnsi"/>
          <w:sz w:val="24"/>
          <w:szCs w:val="24"/>
        </w:rPr>
        <w:t>The current insurer provides the Department with an annual report and periodically provides Services Australia with claims data as part of the contractual and legislative requirements.</w:t>
      </w:r>
      <w:r w:rsidRPr="00824722">
        <w:rPr>
          <w:rFonts w:cstheme="minorHAnsi"/>
          <w:sz w:val="24"/>
          <w:szCs w:val="24"/>
        </w:rPr>
        <w:t xml:space="preserve"> </w:t>
      </w:r>
    </w:p>
    <w:p w:rsidR="00226A2D" w:rsidRPr="00824722" w:rsidRDefault="00226A2D" w:rsidP="00226A2D">
      <w:pPr>
        <w:tabs>
          <w:tab w:val="left" w:pos="2127"/>
        </w:tabs>
        <w:ind w:left="567"/>
        <w:rPr>
          <w:rFonts w:cstheme="minorHAnsi"/>
          <w:sz w:val="24"/>
          <w:szCs w:val="24"/>
        </w:rPr>
      </w:pPr>
      <w:r w:rsidRPr="00824722">
        <w:rPr>
          <w:rFonts w:cstheme="minorHAnsi"/>
          <w:sz w:val="24"/>
          <w:szCs w:val="24"/>
        </w:rPr>
        <w:t>There is also limited claims data to identify the impact of this option on hospital capacity.</w:t>
      </w:r>
    </w:p>
    <w:p w:rsidR="0090544E" w:rsidRPr="00824722" w:rsidRDefault="006E332F" w:rsidP="006E332F">
      <w:pPr>
        <w:tabs>
          <w:tab w:val="left" w:pos="2127"/>
        </w:tabs>
        <w:ind w:left="567"/>
        <w:rPr>
          <w:sz w:val="24"/>
          <w:szCs w:val="24"/>
        </w:rPr>
      </w:pPr>
      <w:r w:rsidRPr="00824722">
        <w:rPr>
          <w:rFonts w:cstheme="minorHAnsi"/>
          <w:sz w:val="24"/>
          <w:szCs w:val="24"/>
        </w:rPr>
        <w:t>The Department is currently negotiating with the AIHW on the development of a national dataset. The collection o</w:t>
      </w:r>
      <w:r w:rsidR="00D040D9" w:rsidRPr="00824722">
        <w:rPr>
          <w:rFonts w:cstheme="minorHAnsi"/>
          <w:sz w:val="24"/>
          <w:szCs w:val="24"/>
        </w:rPr>
        <w:t>f claims data leading up to 202</w:t>
      </w:r>
      <w:r w:rsidRPr="00824722">
        <w:rPr>
          <w:rFonts w:cstheme="minorHAnsi"/>
          <w:sz w:val="24"/>
          <w:szCs w:val="24"/>
        </w:rPr>
        <w:t>9-30 will allow a much better indication of likely claims profile in 2029-30 and</w:t>
      </w:r>
      <w:r w:rsidR="00D040D9" w:rsidRPr="00824722">
        <w:rPr>
          <w:sz w:val="24"/>
          <w:szCs w:val="24"/>
        </w:rPr>
        <w:t xml:space="preserve"> allow the Department to </w:t>
      </w:r>
      <w:r w:rsidR="00D040D9" w:rsidRPr="00824722">
        <w:rPr>
          <w:rFonts w:cstheme="minorHAnsi"/>
          <w:sz w:val="24"/>
          <w:szCs w:val="24"/>
        </w:rPr>
        <w:t xml:space="preserve">assess the strength of the liability estimate annually. The data will include incident and claims </w:t>
      </w:r>
      <w:r w:rsidRPr="00824722">
        <w:rPr>
          <w:rFonts w:cstheme="minorHAnsi"/>
          <w:sz w:val="24"/>
          <w:szCs w:val="24"/>
        </w:rPr>
        <w:t>data</w:t>
      </w:r>
      <w:r w:rsidR="00D040D9" w:rsidRPr="00824722">
        <w:rPr>
          <w:rFonts w:cstheme="minorHAnsi"/>
          <w:sz w:val="24"/>
          <w:szCs w:val="24"/>
        </w:rPr>
        <w:t>, and birth data</w:t>
      </w:r>
      <w:r w:rsidRPr="00824722">
        <w:rPr>
          <w:rFonts w:cstheme="minorHAnsi"/>
          <w:sz w:val="24"/>
          <w:szCs w:val="24"/>
        </w:rPr>
        <w:t xml:space="preserve"> including </w:t>
      </w:r>
      <w:r w:rsidR="00D040D9" w:rsidRPr="00824722">
        <w:rPr>
          <w:rFonts w:cstheme="minorHAnsi"/>
          <w:sz w:val="24"/>
          <w:szCs w:val="24"/>
        </w:rPr>
        <w:t>type of birth</w:t>
      </w:r>
      <w:r w:rsidRPr="00824722">
        <w:rPr>
          <w:rFonts w:cstheme="minorHAnsi"/>
          <w:sz w:val="24"/>
          <w:szCs w:val="24"/>
        </w:rPr>
        <w:t xml:space="preserve"> escalation rates</w:t>
      </w:r>
      <w:r w:rsidR="00D040D9" w:rsidRPr="00824722">
        <w:rPr>
          <w:rFonts w:cstheme="minorHAnsi"/>
          <w:sz w:val="24"/>
          <w:szCs w:val="24"/>
        </w:rPr>
        <w:t>,</w:t>
      </w:r>
      <w:r w:rsidRPr="00824722">
        <w:rPr>
          <w:rFonts w:cstheme="minorHAnsi"/>
          <w:sz w:val="24"/>
          <w:szCs w:val="24"/>
        </w:rPr>
        <w:t xml:space="preserve"> </w:t>
      </w:r>
      <w:r w:rsidR="00D040D9" w:rsidRPr="00824722">
        <w:rPr>
          <w:rFonts w:cstheme="minorHAnsi"/>
          <w:sz w:val="24"/>
          <w:szCs w:val="24"/>
        </w:rPr>
        <w:t xml:space="preserve">outcomes </w:t>
      </w:r>
      <w:r w:rsidRPr="00824722">
        <w:rPr>
          <w:rFonts w:cstheme="minorHAnsi"/>
          <w:sz w:val="24"/>
          <w:szCs w:val="24"/>
        </w:rPr>
        <w:t>and location etc</w:t>
      </w:r>
      <w:r w:rsidR="00D040D9" w:rsidRPr="00824722">
        <w:rPr>
          <w:rFonts w:cstheme="minorHAnsi"/>
          <w:sz w:val="24"/>
          <w:szCs w:val="24"/>
        </w:rPr>
        <w:t>.</w:t>
      </w:r>
      <w:r w:rsidRPr="00824722">
        <w:rPr>
          <w:sz w:val="24"/>
          <w:szCs w:val="24"/>
        </w:rPr>
        <w:t xml:space="preserve"> </w:t>
      </w:r>
      <w:r w:rsidR="00D040D9" w:rsidRPr="00824722">
        <w:rPr>
          <w:sz w:val="24"/>
          <w:szCs w:val="24"/>
        </w:rPr>
        <w:t>Having a better understanding of the risk profile of low risk home births and intrapartum care outside a hospital would enable robust risk analysis for future policy decisions. It may also encourage more insurers to enter the market and reduce the role of the Commonwealth</w:t>
      </w:r>
      <w:r w:rsidR="0090544E" w:rsidRPr="00824722">
        <w:rPr>
          <w:sz w:val="24"/>
          <w:szCs w:val="24"/>
        </w:rPr>
        <w:t xml:space="preserve"> in covering 100% of claims for the low-risk homebirths and intrapartum care outside of a hospital setting.</w:t>
      </w:r>
    </w:p>
    <w:p w:rsidR="0090544E" w:rsidRDefault="0090544E" w:rsidP="006E332F">
      <w:pPr>
        <w:tabs>
          <w:tab w:val="left" w:pos="2127"/>
        </w:tabs>
        <w:ind w:left="567"/>
        <w:rPr>
          <w:rFonts w:cstheme="minorHAnsi"/>
          <w:sz w:val="24"/>
          <w:szCs w:val="24"/>
        </w:rPr>
      </w:pPr>
      <w:r w:rsidRPr="006E332F">
        <w:rPr>
          <w:rFonts w:cstheme="minorHAnsi"/>
          <w:sz w:val="24"/>
          <w:szCs w:val="24"/>
        </w:rPr>
        <w:t xml:space="preserve">If the rate and quantum of claims is significantly higher than predicted, </w:t>
      </w:r>
      <w:r w:rsidR="00AC31A6">
        <w:rPr>
          <w:rFonts w:cstheme="minorHAnsi"/>
          <w:sz w:val="24"/>
          <w:szCs w:val="24"/>
        </w:rPr>
        <w:t xml:space="preserve">the Department would seek </w:t>
      </w:r>
      <w:r w:rsidRPr="006E332F">
        <w:rPr>
          <w:rFonts w:cstheme="minorHAnsi"/>
          <w:sz w:val="24"/>
          <w:szCs w:val="24"/>
        </w:rPr>
        <w:t xml:space="preserve">advice </w:t>
      </w:r>
      <w:r w:rsidR="00AC31A6">
        <w:rPr>
          <w:rFonts w:cstheme="minorHAnsi"/>
          <w:sz w:val="24"/>
          <w:szCs w:val="24"/>
        </w:rPr>
        <w:t xml:space="preserve">from the Australian Government Actuary </w:t>
      </w:r>
      <w:r w:rsidRPr="006E332F">
        <w:rPr>
          <w:rFonts w:cstheme="minorHAnsi"/>
          <w:sz w:val="24"/>
          <w:szCs w:val="24"/>
        </w:rPr>
        <w:t>on how to manage risks, including consideration of amendments to the scope of the homebirth services to reduce the risk</w:t>
      </w:r>
      <w:r w:rsidR="00AC31A6">
        <w:rPr>
          <w:rFonts w:cstheme="minorHAnsi"/>
          <w:sz w:val="24"/>
          <w:szCs w:val="24"/>
        </w:rPr>
        <w:t>.</w:t>
      </w:r>
    </w:p>
    <w:p w:rsidR="00AC31A6" w:rsidRPr="00AC31A6" w:rsidRDefault="00AC31A6" w:rsidP="006E332F">
      <w:pPr>
        <w:tabs>
          <w:tab w:val="left" w:pos="2127"/>
        </w:tabs>
        <w:ind w:left="567"/>
        <w:rPr>
          <w:rFonts w:cstheme="minorHAnsi"/>
          <w:sz w:val="24"/>
          <w:szCs w:val="24"/>
        </w:rPr>
      </w:pPr>
      <w:r w:rsidRPr="00824722">
        <w:rPr>
          <w:sz w:val="24"/>
          <w:szCs w:val="24"/>
        </w:rPr>
        <w:t>If there are any changes to the number of indemnified entities affecting the Commonwealth’s liability, the Department would seek advice from the Australian Government Actuary to reflect changes in the Commonwealth’s liability in the event of a claim via an estimates variation process.</w:t>
      </w:r>
    </w:p>
    <w:p w:rsidR="00BA6156" w:rsidRPr="00D43381" w:rsidRDefault="00BA6156" w:rsidP="006F0681">
      <w:pPr>
        <w:pStyle w:val="Heading4"/>
        <w:rPr>
          <w:rFonts w:asciiTheme="minorHAnsi" w:hAnsiTheme="minorHAnsi" w:cstheme="minorHAnsi"/>
          <w:u w:val="single"/>
        </w:rPr>
      </w:pPr>
      <w:r w:rsidRPr="00D43381">
        <w:rPr>
          <w:rFonts w:asciiTheme="minorHAnsi" w:hAnsiTheme="minorHAnsi" w:cstheme="minorHAnsi"/>
          <w:u w:val="single"/>
        </w:rPr>
        <w:t>Professional indemnity insurance</w:t>
      </w:r>
    </w:p>
    <w:p w:rsidR="0074574A" w:rsidRPr="0074574A" w:rsidRDefault="008D0D6A" w:rsidP="0074574A">
      <w:pPr>
        <w:tabs>
          <w:tab w:val="left" w:pos="2127"/>
        </w:tabs>
        <w:ind w:left="567"/>
        <w:rPr>
          <w:sz w:val="24"/>
          <w:szCs w:val="24"/>
        </w:rPr>
      </w:pPr>
      <w:r w:rsidRPr="0074574A">
        <w:rPr>
          <w:sz w:val="24"/>
          <w:szCs w:val="24"/>
        </w:rPr>
        <w:t xml:space="preserve">A market test was undertaken by consulting all known insurers who currently provide medical indemnity insurance to gauge their interest in providing a low-risk homebirth insurance product. </w:t>
      </w:r>
      <w:r w:rsidR="0074574A" w:rsidRPr="0074574A">
        <w:rPr>
          <w:sz w:val="24"/>
          <w:szCs w:val="24"/>
        </w:rPr>
        <w:t>The</w:t>
      </w:r>
      <w:r w:rsidR="00861F4B">
        <w:rPr>
          <w:sz w:val="24"/>
          <w:szCs w:val="24"/>
        </w:rPr>
        <w:t>re was</w:t>
      </w:r>
      <w:r w:rsidR="0074574A" w:rsidRPr="0074574A">
        <w:rPr>
          <w:sz w:val="24"/>
          <w:szCs w:val="24"/>
        </w:rPr>
        <w:t xml:space="preserve"> only </w:t>
      </w:r>
      <w:r w:rsidR="00861F4B">
        <w:rPr>
          <w:sz w:val="24"/>
          <w:szCs w:val="24"/>
        </w:rPr>
        <w:t xml:space="preserve">one </w:t>
      </w:r>
      <w:r w:rsidR="0074574A" w:rsidRPr="0074574A">
        <w:rPr>
          <w:sz w:val="24"/>
          <w:szCs w:val="24"/>
        </w:rPr>
        <w:t>respondent to the tender, who would only manage the MPIS and cover these new services if the Commonwealth covers 100% of claim costs for low-risk home births and intrapartum care outside a hospital.</w:t>
      </w:r>
    </w:p>
    <w:p w:rsidR="001A31F5" w:rsidRPr="001A31F5" w:rsidRDefault="001A31F5" w:rsidP="001A31F5">
      <w:pPr>
        <w:tabs>
          <w:tab w:val="left" w:pos="2127"/>
        </w:tabs>
        <w:ind w:left="567"/>
        <w:rPr>
          <w:rFonts w:cstheme="minorHAnsi"/>
          <w:sz w:val="24"/>
          <w:szCs w:val="24"/>
        </w:rPr>
      </w:pPr>
      <w:r w:rsidRPr="001A31F5">
        <w:rPr>
          <w:rFonts w:cstheme="minorHAnsi"/>
          <w:sz w:val="24"/>
          <w:szCs w:val="24"/>
        </w:rPr>
        <w:t xml:space="preserve">There is limited incident and claims history data with which to base a liability cost estimate for homebirths. If the rate and quantum of claims is significantly higher than predicted, further advice would be provided to Government on how to manage risks, including consideration of amendments to the scope of the homebirth services to reduce the risk. The creation of a national dataset, including jurisdictional claims and birth data, would allow Government to assess the strength of the liability estimate annually and inform further consideration of this issue when the Midwives Schemes are next open for tender (2028-2030).  </w:t>
      </w:r>
    </w:p>
    <w:p w:rsidR="00BA6156" w:rsidRPr="00D43381" w:rsidRDefault="00BA6156" w:rsidP="006F0681">
      <w:pPr>
        <w:pStyle w:val="Heading4"/>
        <w:rPr>
          <w:rFonts w:asciiTheme="minorHAnsi" w:hAnsiTheme="minorHAnsi" w:cstheme="minorHAnsi"/>
          <w:u w:val="single"/>
        </w:rPr>
      </w:pPr>
      <w:r w:rsidRPr="00D43381">
        <w:rPr>
          <w:rFonts w:asciiTheme="minorHAnsi" w:hAnsiTheme="minorHAnsi" w:cstheme="minorHAnsi"/>
          <w:u w:val="single"/>
        </w:rPr>
        <w:t>Regional and rural Australia</w:t>
      </w:r>
    </w:p>
    <w:p w:rsidR="001A31F5" w:rsidRDefault="001A31F5" w:rsidP="001A31F5">
      <w:pPr>
        <w:tabs>
          <w:tab w:val="left" w:pos="2127"/>
        </w:tabs>
        <w:ind w:left="567"/>
        <w:rPr>
          <w:rFonts w:cstheme="minorHAnsi"/>
          <w:sz w:val="24"/>
          <w:szCs w:val="24"/>
        </w:rPr>
      </w:pPr>
      <w:r w:rsidRPr="001A31F5">
        <w:rPr>
          <w:rFonts w:cstheme="minorHAnsi"/>
          <w:sz w:val="24"/>
          <w:szCs w:val="24"/>
        </w:rPr>
        <w:t>Some regional and rural Australians will be unable to access the choice for a low risk homebirth with a private midwife as the low-risk criteria requires the woman to reside no more than 30 minutes from a maternity service. This criteria is consistent with public homebirth schemes and exists to ensure a woman and baby can be moved to a hospital quickly as part of the escalation protocol.</w:t>
      </w:r>
    </w:p>
    <w:p w:rsidR="007D45B7" w:rsidRPr="007D45B7" w:rsidRDefault="007D45B7" w:rsidP="007D45B7">
      <w:pPr>
        <w:tabs>
          <w:tab w:val="left" w:pos="2127"/>
        </w:tabs>
        <w:ind w:left="567"/>
        <w:rPr>
          <w:rFonts w:cstheme="minorHAnsi"/>
          <w:sz w:val="24"/>
          <w:szCs w:val="24"/>
        </w:rPr>
      </w:pPr>
      <w:r w:rsidRPr="00824722">
        <w:rPr>
          <w:rFonts w:cstheme="minorHAnsi"/>
          <w:sz w:val="24"/>
          <w:szCs w:val="24"/>
        </w:rPr>
        <w:t>Specific challenges for BoC models of care in rural and remote areas exist, including lack of housing for staff and infrastructure. These areas are where BoC models are of greatest need due to the distance to mainstream health services.</w:t>
      </w:r>
      <w:r w:rsidRPr="007D45B7">
        <w:rPr>
          <w:rFonts w:cstheme="minorHAnsi"/>
          <w:sz w:val="24"/>
          <w:szCs w:val="24"/>
        </w:rPr>
        <w:t xml:space="preserve"> </w:t>
      </w:r>
    </w:p>
    <w:p w:rsidR="00BA6156" w:rsidRPr="00D43381" w:rsidRDefault="00BA6156" w:rsidP="006F0681">
      <w:pPr>
        <w:pStyle w:val="Heading4"/>
        <w:rPr>
          <w:rFonts w:asciiTheme="minorHAnsi" w:hAnsiTheme="minorHAnsi" w:cstheme="minorHAnsi"/>
          <w:u w:val="single"/>
        </w:rPr>
      </w:pPr>
      <w:r w:rsidRPr="00D43381">
        <w:rPr>
          <w:rFonts w:asciiTheme="minorHAnsi" w:hAnsiTheme="minorHAnsi" w:cstheme="minorHAnsi"/>
          <w:u w:val="single"/>
        </w:rPr>
        <w:t>Legislative change</w:t>
      </w:r>
    </w:p>
    <w:p w:rsidR="00BA6156" w:rsidRDefault="00BA6156" w:rsidP="00BA6156">
      <w:pPr>
        <w:tabs>
          <w:tab w:val="left" w:pos="2127"/>
        </w:tabs>
        <w:ind w:left="567"/>
        <w:rPr>
          <w:rFonts w:cstheme="minorHAnsi"/>
          <w:sz w:val="24"/>
          <w:szCs w:val="24"/>
        </w:rPr>
      </w:pPr>
      <w:r w:rsidRPr="0085226F">
        <w:rPr>
          <w:rFonts w:cstheme="minorHAnsi"/>
          <w:sz w:val="24"/>
          <w:szCs w:val="24"/>
        </w:rPr>
        <w:t xml:space="preserve">If legislative changes to support </w:t>
      </w:r>
      <w:r w:rsidR="0070788A">
        <w:rPr>
          <w:rFonts w:cstheme="minorHAnsi"/>
          <w:sz w:val="24"/>
          <w:szCs w:val="24"/>
        </w:rPr>
        <w:t>this o</w:t>
      </w:r>
      <w:r w:rsidRPr="0085226F">
        <w:rPr>
          <w:rFonts w:cstheme="minorHAnsi"/>
          <w:sz w:val="24"/>
          <w:szCs w:val="24"/>
        </w:rPr>
        <w:t>ption are not passed by 1 July 2025 a further exemption from the National Law may be required until such changes</w:t>
      </w:r>
      <w:r>
        <w:rPr>
          <w:rFonts w:cstheme="minorHAnsi"/>
          <w:sz w:val="24"/>
          <w:szCs w:val="24"/>
        </w:rPr>
        <w:t xml:space="preserve"> are passed.</w:t>
      </w:r>
    </w:p>
    <w:p w:rsidR="008D0D6A" w:rsidRPr="00ED6695" w:rsidRDefault="00C87458" w:rsidP="0058344C">
      <w:pPr>
        <w:pStyle w:val="Heading3"/>
      </w:pPr>
      <w:bookmarkStart w:id="44" w:name="_Toc162017795"/>
      <w:r>
        <w:t xml:space="preserve">Option 3: </w:t>
      </w:r>
      <w:r w:rsidR="005E645E">
        <w:t>State and territory homebirth programs</w:t>
      </w:r>
      <w:bookmarkEnd w:id="44"/>
    </w:p>
    <w:p w:rsidR="001C2943" w:rsidRPr="008D0D6A" w:rsidRDefault="001C2943" w:rsidP="008D0D6A">
      <w:pPr>
        <w:shd w:val="clear" w:color="auto" w:fill="E7E6E6" w:themeFill="background2"/>
        <w:tabs>
          <w:tab w:val="left" w:pos="2127"/>
        </w:tabs>
        <w:ind w:left="567"/>
        <w:rPr>
          <w:rFonts w:cstheme="minorHAnsi"/>
          <w:sz w:val="24"/>
          <w:szCs w:val="24"/>
        </w:rPr>
      </w:pPr>
      <w:r w:rsidRPr="008D0D6A">
        <w:rPr>
          <w:sz w:val="24"/>
          <w:szCs w:val="24"/>
        </w:rPr>
        <w:t>Government commences negotiations with state and territory governments for provision of these services to be facilitated by jurisdictions and covered under their indemnity arrangements.</w:t>
      </w:r>
    </w:p>
    <w:p w:rsidR="00360E38" w:rsidRPr="00360E38" w:rsidRDefault="00D66664" w:rsidP="00360E38">
      <w:pPr>
        <w:tabs>
          <w:tab w:val="left" w:pos="2127"/>
        </w:tabs>
        <w:ind w:left="567"/>
        <w:rPr>
          <w:rFonts w:cstheme="minorHAnsi"/>
          <w:sz w:val="24"/>
          <w:szCs w:val="24"/>
        </w:rPr>
      </w:pPr>
      <w:r>
        <w:rPr>
          <w:rFonts w:cstheme="minorHAnsi"/>
          <w:sz w:val="24"/>
          <w:szCs w:val="24"/>
        </w:rPr>
        <w:t>U</w:t>
      </w:r>
      <w:r w:rsidRPr="0024513F">
        <w:rPr>
          <w:rFonts w:cstheme="minorHAnsi"/>
          <w:sz w:val="24"/>
          <w:szCs w:val="24"/>
        </w:rPr>
        <w:t>nder this option Government would commence negotiations with state</w:t>
      </w:r>
      <w:r>
        <w:rPr>
          <w:rFonts w:cstheme="minorHAnsi"/>
          <w:sz w:val="24"/>
          <w:szCs w:val="24"/>
        </w:rPr>
        <w:t xml:space="preserve"> and </w:t>
      </w:r>
      <w:r w:rsidRPr="0024513F">
        <w:rPr>
          <w:rFonts w:cstheme="minorHAnsi"/>
          <w:sz w:val="24"/>
          <w:szCs w:val="24"/>
        </w:rPr>
        <w:t>territory governments to facilitate provision of these services under public schemes, with insurance coverage under jurisdictional indemnity arrangements for employees.</w:t>
      </w:r>
      <w:r>
        <w:rPr>
          <w:rFonts w:cstheme="minorHAnsi"/>
          <w:sz w:val="24"/>
          <w:szCs w:val="24"/>
        </w:rPr>
        <w:t xml:space="preserve"> </w:t>
      </w:r>
      <w:r w:rsidR="00360E38" w:rsidRPr="00360E38">
        <w:rPr>
          <w:rFonts w:cstheme="minorHAnsi"/>
          <w:sz w:val="24"/>
          <w:szCs w:val="24"/>
        </w:rPr>
        <w:t>With the exception of Queensland and Tasmania, states and territories already operate public home birth programs.</w:t>
      </w:r>
    </w:p>
    <w:p w:rsidR="00DB38E8" w:rsidRPr="00DB38E8" w:rsidRDefault="00DB38E8" w:rsidP="00DB38E8">
      <w:pPr>
        <w:tabs>
          <w:tab w:val="left" w:pos="2127"/>
        </w:tabs>
        <w:ind w:left="567"/>
        <w:rPr>
          <w:rFonts w:cstheme="minorHAnsi"/>
          <w:sz w:val="24"/>
          <w:szCs w:val="24"/>
        </w:rPr>
      </w:pPr>
      <w:r w:rsidRPr="00DB38E8">
        <w:rPr>
          <w:rFonts w:cstheme="minorHAnsi"/>
          <w:sz w:val="24"/>
          <w:szCs w:val="24"/>
        </w:rPr>
        <w:t>The goal would be to increase the availability of publicly funded programs for low-risk homebirth and intrapartum care outside a hospital. Midwives working within these expanded programs would gain insurance coverage as state/territory employees through jurisdictional indemnity arrangements.</w:t>
      </w:r>
    </w:p>
    <w:p w:rsidR="008D0D6A" w:rsidRPr="008D0D6A" w:rsidRDefault="008D0D6A" w:rsidP="008D0D6A">
      <w:pPr>
        <w:tabs>
          <w:tab w:val="left" w:pos="2127"/>
        </w:tabs>
        <w:ind w:left="567"/>
        <w:rPr>
          <w:sz w:val="24"/>
          <w:szCs w:val="24"/>
        </w:rPr>
      </w:pPr>
      <w:r w:rsidRPr="008D0D6A">
        <w:rPr>
          <w:rFonts w:cstheme="minorHAnsi"/>
          <w:sz w:val="24"/>
          <w:szCs w:val="24"/>
        </w:rPr>
        <w:t>The</w:t>
      </w:r>
      <w:r w:rsidRPr="008D0D6A">
        <w:rPr>
          <w:sz w:val="24"/>
          <w:szCs w:val="24"/>
        </w:rPr>
        <w:t xml:space="preserve"> Department would also move to settle arrangements with </w:t>
      </w:r>
      <w:r w:rsidR="00861F4B">
        <w:rPr>
          <w:sz w:val="24"/>
          <w:szCs w:val="24"/>
        </w:rPr>
        <w:t xml:space="preserve">the current insurer </w:t>
      </w:r>
      <w:r w:rsidRPr="008D0D6A">
        <w:rPr>
          <w:sz w:val="24"/>
          <w:szCs w:val="24"/>
        </w:rPr>
        <w:t>to continue to manage the existing Midwives Schemes from 1 July 2025.</w:t>
      </w:r>
    </w:p>
    <w:p w:rsidR="008D0D6A" w:rsidRPr="00226A2D" w:rsidRDefault="006043E1" w:rsidP="00226A2D">
      <w:pPr>
        <w:pStyle w:val="Heading3"/>
        <w:rPr>
          <w:rFonts w:asciiTheme="minorHAnsi" w:hAnsiTheme="minorHAnsi" w:cstheme="minorHAnsi"/>
        </w:rPr>
      </w:pPr>
      <w:bookmarkStart w:id="45" w:name="_Toc162017796"/>
      <w:r w:rsidRPr="00226A2D">
        <w:rPr>
          <w:rFonts w:asciiTheme="minorHAnsi" w:hAnsiTheme="minorHAnsi" w:cstheme="minorHAnsi"/>
        </w:rPr>
        <w:t>R</w:t>
      </w:r>
      <w:r w:rsidR="008D0D6A" w:rsidRPr="00226A2D">
        <w:rPr>
          <w:rFonts w:asciiTheme="minorHAnsi" w:hAnsiTheme="minorHAnsi" w:cstheme="minorHAnsi"/>
        </w:rPr>
        <w:t>isks</w:t>
      </w:r>
      <w:bookmarkEnd w:id="45"/>
    </w:p>
    <w:p w:rsidR="008D0D6A" w:rsidRPr="003968FD" w:rsidRDefault="008D0D6A" w:rsidP="008D0D6A">
      <w:pPr>
        <w:tabs>
          <w:tab w:val="left" w:pos="2127"/>
        </w:tabs>
        <w:ind w:left="567"/>
        <w:rPr>
          <w:rFonts w:cstheme="minorHAnsi"/>
          <w:sz w:val="24"/>
          <w:szCs w:val="24"/>
        </w:rPr>
      </w:pPr>
      <w:r>
        <w:rPr>
          <w:rFonts w:cstheme="minorHAnsi"/>
          <w:sz w:val="24"/>
          <w:szCs w:val="24"/>
        </w:rPr>
        <w:t xml:space="preserve">Under this option, </w:t>
      </w:r>
      <w:r w:rsidR="00D66664">
        <w:rPr>
          <w:rFonts w:cstheme="minorHAnsi"/>
          <w:sz w:val="24"/>
          <w:szCs w:val="24"/>
        </w:rPr>
        <w:t>women and midwives would be required to operate solely in the public health system. P</w:t>
      </w:r>
      <w:r w:rsidRPr="003968FD">
        <w:rPr>
          <w:rFonts w:cstheme="minorHAnsi"/>
          <w:sz w:val="24"/>
          <w:szCs w:val="24"/>
        </w:rPr>
        <w:t>ublic homebirth program</w:t>
      </w:r>
      <w:r w:rsidR="00677FB0">
        <w:rPr>
          <w:rFonts w:cstheme="minorHAnsi"/>
          <w:sz w:val="24"/>
          <w:szCs w:val="24"/>
        </w:rPr>
        <w:t>s</w:t>
      </w:r>
      <w:r w:rsidR="00D66664">
        <w:rPr>
          <w:rFonts w:cstheme="minorHAnsi"/>
          <w:sz w:val="24"/>
          <w:szCs w:val="24"/>
        </w:rPr>
        <w:t xml:space="preserve"> have </w:t>
      </w:r>
      <w:r w:rsidRPr="003968FD">
        <w:rPr>
          <w:rFonts w:cstheme="minorHAnsi"/>
          <w:sz w:val="24"/>
          <w:szCs w:val="24"/>
        </w:rPr>
        <w:t>strict eligibility criteria for public safety</w:t>
      </w:r>
      <w:r w:rsidR="005E645E">
        <w:rPr>
          <w:rFonts w:cstheme="minorHAnsi"/>
          <w:sz w:val="24"/>
          <w:szCs w:val="24"/>
        </w:rPr>
        <w:t xml:space="preserve"> and limited availability by distance from a maternity services,</w:t>
      </w:r>
      <w:r w:rsidRPr="003968FD">
        <w:rPr>
          <w:rFonts w:cstheme="minorHAnsi"/>
          <w:sz w:val="24"/>
          <w:szCs w:val="24"/>
        </w:rPr>
        <w:t xml:space="preserve"> </w:t>
      </w:r>
      <w:r w:rsidR="005E645E">
        <w:rPr>
          <w:rFonts w:cstheme="minorHAnsi"/>
          <w:sz w:val="24"/>
          <w:szCs w:val="24"/>
        </w:rPr>
        <w:t xml:space="preserve">which is why the majority of women wishing to have a homebirth in Australia turn to PPMS. </w:t>
      </w:r>
    </w:p>
    <w:p w:rsidR="00B01D37" w:rsidRDefault="008D0D6A" w:rsidP="00B01D37">
      <w:pPr>
        <w:tabs>
          <w:tab w:val="left" w:pos="2127"/>
        </w:tabs>
        <w:ind w:left="567"/>
        <w:rPr>
          <w:rFonts w:cstheme="minorHAnsi"/>
          <w:sz w:val="24"/>
          <w:szCs w:val="24"/>
        </w:rPr>
      </w:pPr>
      <w:r>
        <w:rPr>
          <w:rFonts w:cstheme="minorHAnsi"/>
          <w:sz w:val="24"/>
          <w:szCs w:val="24"/>
        </w:rPr>
        <w:t>P</w:t>
      </w:r>
      <w:r w:rsidRPr="0024513F">
        <w:rPr>
          <w:rFonts w:cstheme="minorHAnsi"/>
          <w:sz w:val="24"/>
          <w:szCs w:val="24"/>
        </w:rPr>
        <w:t xml:space="preserve">ublic homebirth is not currently available in all jurisdictions </w:t>
      </w:r>
      <w:r>
        <w:rPr>
          <w:rFonts w:cstheme="minorHAnsi"/>
          <w:sz w:val="24"/>
          <w:szCs w:val="24"/>
        </w:rPr>
        <w:t xml:space="preserve">(Queensland and Tasmania) </w:t>
      </w:r>
      <w:r w:rsidRPr="0024513F">
        <w:rPr>
          <w:rFonts w:cstheme="minorHAnsi"/>
          <w:sz w:val="24"/>
          <w:szCs w:val="24"/>
        </w:rPr>
        <w:t>and is only offered in metropolitan centres</w:t>
      </w:r>
      <w:r>
        <w:rPr>
          <w:rFonts w:cstheme="minorHAnsi"/>
          <w:sz w:val="24"/>
          <w:szCs w:val="24"/>
        </w:rPr>
        <w:t xml:space="preserve">. </w:t>
      </w:r>
      <w:r w:rsidRPr="00710DF1">
        <w:rPr>
          <w:rFonts w:cstheme="minorHAnsi"/>
          <w:sz w:val="24"/>
          <w:szCs w:val="24"/>
        </w:rPr>
        <w:t>PPMs would no longer legally be able to provide privately planned homebirths, which means there would be no service available at all for women in Queensland and Tasmania, where currently PPMs are the only providers of planned homebirth services.</w:t>
      </w:r>
      <w:r w:rsidR="00032122">
        <w:rPr>
          <w:rFonts w:cstheme="minorHAnsi"/>
          <w:sz w:val="24"/>
          <w:szCs w:val="24"/>
        </w:rPr>
        <w:t xml:space="preserve"> W</w:t>
      </w:r>
      <w:r w:rsidR="00B01D37" w:rsidRPr="00B01D37">
        <w:rPr>
          <w:rFonts w:cstheme="minorHAnsi"/>
          <w:sz w:val="24"/>
          <w:szCs w:val="24"/>
        </w:rPr>
        <w:t>omen in states without public homebirth programs would be unable to choose homebirth</w:t>
      </w:r>
      <w:r w:rsidR="00B01D37">
        <w:rPr>
          <w:rFonts w:cstheme="minorHAnsi"/>
          <w:sz w:val="24"/>
          <w:szCs w:val="24"/>
        </w:rPr>
        <w:t xml:space="preserve">. </w:t>
      </w:r>
      <w:r w:rsidR="005C072D" w:rsidRPr="00677FB0">
        <w:rPr>
          <w:rStyle w:val="pending"/>
          <w:rFonts w:cs="Arial"/>
          <w:color w:val="1F1F1F"/>
          <w:sz w:val="24"/>
          <w:szCs w:val="24"/>
          <w:shd w:val="clear" w:color="auto" w:fill="FFFFFF"/>
        </w:rPr>
        <w:t xml:space="preserve">Without access to insured midwives, these families are left vulnerable. </w:t>
      </w:r>
      <w:r w:rsidR="00B01D37" w:rsidRPr="00B01D37">
        <w:rPr>
          <w:rFonts w:cstheme="minorHAnsi"/>
          <w:sz w:val="24"/>
          <w:szCs w:val="24"/>
        </w:rPr>
        <w:t xml:space="preserve">This option may increase the risk of women </w:t>
      </w:r>
      <w:r w:rsidR="005C072D">
        <w:rPr>
          <w:rFonts w:cstheme="minorHAnsi"/>
          <w:sz w:val="24"/>
          <w:szCs w:val="24"/>
        </w:rPr>
        <w:t xml:space="preserve">using a midwife who is uninsured or </w:t>
      </w:r>
      <w:r w:rsidR="00B01D37" w:rsidRPr="00B01D37">
        <w:rPr>
          <w:rFonts w:cstheme="minorHAnsi"/>
          <w:sz w:val="24"/>
          <w:szCs w:val="24"/>
        </w:rPr>
        <w:t>choosing to free-birth without a registered health professional.</w:t>
      </w:r>
      <w:r w:rsidR="005C072D">
        <w:rPr>
          <w:rFonts w:cstheme="minorHAnsi"/>
          <w:sz w:val="24"/>
          <w:szCs w:val="24"/>
        </w:rPr>
        <w:t xml:space="preserve"> </w:t>
      </w:r>
      <w:r w:rsidR="005C072D" w:rsidRPr="00677FB0">
        <w:rPr>
          <w:rStyle w:val="pending"/>
          <w:rFonts w:cs="Arial"/>
          <w:color w:val="1F1F1F"/>
          <w:sz w:val="24"/>
          <w:szCs w:val="24"/>
          <w:shd w:val="clear" w:color="auto" w:fill="FFFFFF"/>
        </w:rPr>
        <w:t>Where an adverse event occurs, these women and families have no recourse</w:t>
      </w:r>
      <w:r w:rsidR="005C072D">
        <w:rPr>
          <w:rStyle w:val="pending"/>
          <w:rFonts w:cs="Arial"/>
          <w:color w:val="1F1F1F"/>
          <w:sz w:val="24"/>
          <w:szCs w:val="24"/>
          <w:shd w:val="clear" w:color="auto" w:fill="FFFFFF"/>
        </w:rPr>
        <w:t xml:space="preserve"> except civil action.</w:t>
      </w:r>
    </w:p>
    <w:p w:rsidR="00677FB0" w:rsidRDefault="00677FB0" w:rsidP="00B01D37">
      <w:pPr>
        <w:tabs>
          <w:tab w:val="left" w:pos="2127"/>
        </w:tabs>
        <w:ind w:left="567"/>
        <w:rPr>
          <w:rStyle w:val="pending"/>
          <w:rFonts w:cs="Arial"/>
          <w:color w:val="1F1F1F"/>
          <w:sz w:val="24"/>
          <w:szCs w:val="24"/>
          <w:shd w:val="clear" w:color="auto" w:fill="FFFFFF"/>
        </w:rPr>
      </w:pPr>
      <w:r w:rsidRPr="00677FB0">
        <w:rPr>
          <w:rStyle w:val="pending"/>
          <w:rFonts w:cs="Arial"/>
          <w:color w:val="1F1F1F"/>
          <w:sz w:val="24"/>
          <w:szCs w:val="24"/>
          <w:shd w:val="clear" w:color="auto" w:fill="FFFFFF"/>
        </w:rPr>
        <w:t xml:space="preserve">A lack of professional indemnity insurance puts midwives at risk of acting outside their registration standards if they choose to provide homebirth services. Where an adverse event occurs, </w:t>
      </w:r>
      <w:r w:rsidR="005C072D">
        <w:rPr>
          <w:rStyle w:val="pending"/>
          <w:rFonts w:cs="Arial"/>
          <w:color w:val="1F1F1F"/>
          <w:sz w:val="24"/>
          <w:szCs w:val="24"/>
          <w:shd w:val="clear" w:color="auto" w:fill="FFFFFF"/>
        </w:rPr>
        <w:t>a midwife would have no</w:t>
      </w:r>
      <w:r w:rsidRPr="00677FB0">
        <w:rPr>
          <w:rStyle w:val="pending"/>
          <w:rFonts w:cs="Arial"/>
          <w:color w:val="1F1F1F"/>
          <w:sz w:val="24"/>
          <w:szCs w:val="24"/>
          <w:shd w:val="clear" w:color="auto" w:fill="FFFFFF"/>
        </w:rPr>
        <w:t xml:space="preserve"> protection from civil litigation</w:t>
      </w:r>
      <w:r w:rsidR="00032122">
        <w:rPr>
          <w:rStyle w:val="pending"/>
          <w:rFonts w:cs="Arial"/>
          <w:color w:val="1F1F1F"/>
          <w:sz w:val="24"/>
          <w:szCs w:val="24"/>
          <w:shd w:val="clear" w:color="auto" w:fill="FFFFFF"/>
        </w:rPr>
        <w:t>.</w:t>
      </w:r>
    </w:p>
    <w:p w:rsidR="00032122" w:rsidRDefault="00032122" w:rsidP="00032122">
      <w:pPr>
        <w:tabs>
          <w:tab w:val="left" w:pos="2127"/>
        </w:tabs>
        <w:ind w:left="567"/>
        <w:rPr>
          <w:rStyle w:val="pending"/>
          <w:rFonts w:cs="Arial"/>
          <w:color w:val="1F1F1F"/>
          <w:sz w:val="24"/>
          <w:szCs w:val="24"/>
          <w:shd w:val="clear" w:color="auto" w:fill="FFFFFF"/>
        </w:rPr>
      </w:pPr>
      <w:r w:rsidRPr="00032122">
        <w:rPr>
          <w:rStyle w:val="pending"/>
          <w:rFonts w:cs="Arial"/>
          <w:color w:val="1F1F1F"/>
          <w:sz w:val="24"/>
          <w:szCs w:val="24"/>
          <w:shd w:val="clear" w:color="auto" w:fill="FFFFFF"/>
        </w:rPr>
        <w:t>There is also a risk that increased demand for public homebirth services could lead to longer waiting lists, potentially restricting access for some women. While jurisdictions have previously opposed making the current insurance exemption permanent, should demand for public homebirth services exceed capacity, it may become necessary to revisit the exemption issue, despite jurisdictional concerns.</w:t>
      </w:r>
    </w:p>
    <w:p w:rsidR="00DB38E8" w:rsidRDefault="00DB38E8" w:rsidP="00032122">
      <w:pPr>
        <w:tabs>
          <w:tab w:val="left" w:pos="2127"/>
        </w:tabs>
        <w:ind w:left="567"/>
        <w:rPr>
          <w:rStyle w:val="pending"/>
          <w:rFonts w:cs="Arial"/>
          <w:color w:val="1F1F1F"/>
          <w:sz w:val="24"/>
          <w:szCs w:val="24"/>
          <w:shd w:val="clear" w:color="auto" w:fill="FFFFFF"/>
        </w:rPr>
      </w:pPr>
      <w:r w:rsidRPr="00DB38E8">
        <w:rPr>
          <w:rStyle w:val="pending"/>
          <w:rFonts w:cs="Arial"/>
          <w:color w:val="1F1F1F"/>
          <w:sz w:val="24"/>
          <w:szCs w:val="24"/>
          <w:shd w:val="clear" w:color="auto" w:fill="FFFFFF"/>
        </w:rPr>
        <w:t>The success of this option depends entirely on the willingness of states and territories to cooperate and allocate resources for program expansion</w:t>
      </w:r>
      <w:r>
        <w:rPr>
          <w:rStyle w:val="pending"/>
          <w:rFonts w:cs="Arial"/>
          <w:color w:val="1F1F1F"/>
          <w:sz w:val="24"/>
          <w:szCs w:val="24"/>
          <w:shd w:val="clear" w:color="auto" w:fill="FFFFFF"/>
        </w:rPr>
        <w:t>.</w:t>
      </w:r>
    </w:p>
    <w:p w:rsidR="0074574A" w:rsidRPr="00ED6695" w:rsidRDefault="00630EBA" w:rsidP="00630EBA">
      <w:pPr>
        <w:pStyle w:val="Heading3"/>
      </w:pPr>
      <w:bookmarkStart w:id="46" w:name="_Toc162017797"/>
      <w:r>
        <w:t>Option 3</w:t>
      </w:r>
      <w:r w:rsidR="00C87458">
        <w:t xml:space="preserve">(a): </w:t>
      </w:r>
      <w:r w:rsidR="005E645E">
        <w:t>R</w:t>
      </w:r>
      <w:r w:rsidR="00344E15">
        <w:t>emov</w:t>
      </w:r>
      <w:r w:rsidR="002C70D1">
        <w:t>e</w:t>
      </w:r>
      <w:r w:rsidR="0018325B">
        <w:t xml:space="preserve"> the</w:t>
      </w:r>
      <w:r w:rsidR="00344E15">
        <w:t xml:space="preserve"> exemption</w:t>
      </w:r>
      <w:bookmarkEnd w:id="46"/>
    </w:p>
    <w:p w:rsidR="00D961EC" w:rsidRPr="00D961EC" w:rsidRDefault="008A3D9C" w:rsidP="004773F7">
      <w:pPr>
        <w:shd w:val="clear" w:color="auto" w:fill="E7E6E6" w:themeFill="background2"/>
        <w:tabs>
          <w:tab w:val="left" w:pos="2127"/>
        </w:tabs>
        <w:ind w:left="567"/>
        <w:rPr>
          <w:sz w:val="24"/>
          <w:szCs w:val="24"/>
        </w:rPr>
      </w:pPr>
      <w:r>
        <w:rPr>
          <w:sz w:val="24"/>
          <w:szCs w:val="24"/>
        </w:rPr>
        <w:t>T</w:t>
      </w:r>
      <w:r w:rsidR="00D961EC" w:rsidRPr="00D961EC">
        <w:rPr>
          <w:sz w:val="24"/>
          <w:szCs w:val="24"/>
        </w:rPr>
        <w:t>he Na</w:t>
      </w:r>
      <w:r w:rsidR="002801EB">
        <w:rPr>
          <w:sz w:val="24"/>
          <w:szCs w:val="24"/>
        </w:rPr>
        <w:t xml:space="preserve">tional Law exemption could </w:t>
      </w:r>
      <w:r w:rsidR="00D961EC" w:rsidRPr="00D961EC">
        <w:rPr>
          <w:sz w:val="24"/>
          <w:szCs w:val="24"/>
        </w:rPr>
        <w:t xml:space="preserve">be </w:t>
      </w:r>
      <w:r w:rsidR="002801EB">
        <w:rPr>
          <w:sz w:val="24"/>
          <w:szCs w:val="24"/>
        </w:rPr>
        <w:t xml:space="preserve">permanently </w:t>
      </w:r>
      <w:r w:rsidR="00D961EC" w:rsidRPr="00D961EC">
        <w:rPr>
          <w:sz w:val="24"/>
          <w:szCs w:val="24"/>
        </w:rPr>
        <w:t>removed (meaning PPMs could no longer provide these services, effectively rendering ho</w:t>
      </w:r>
      <w:r w:rsidR="004773F7">
        <w:rPr>
          <w:sz w:val="24"/>
          <w:szCs w:val="24"/>
        </w:rPr>
        <w:t>mebirth with a PPM illegal</w:t>
      </w:r>
      <w:r w:rsidR="00DB38E8">
        <w:rPr>
          <w:sz w:val="24"/>
          <w:szCs w:val="24"/>
        </w:rPr>
        <w:t>)</w:t>
      </w:r>
      <w:r w:rsidR="004773F7">
        <w:rPr>
          <w:sz w:val="24"/>
          <w:szCs w:val="24"/>
        </w:rPr>
        <w:t>.</w:t>
      </w:r>
    </w:p>
    <w:p w:rsidR="001B5799" w:rsidRDefault="001B5799" w:rsidP="001B5799">
      <w:pPr>
        <w:tabs>
          <w:tab w:val="left" w:pos="2127"/>
        </w:tabs>
        <w:ind w:left="567"/>
        <w:rPr>
          <w:rStyle w:val="pending"/>
          <w:rFonts w:cs="Arial"/>
          <w:color w:val="1F1F1F"/>
          <w:sz w:val="24"/>
          <w:szCs w:val="24"/>
          <w:shd w:val="clear" w:color="auto" w:fill="FFFFFF"/>
        </w:rPr>
      </w:pPr>
      <w:r w:rsidRPr="001B5799">
        <w:rPr>
          <w:rStyle w:val="pending"/>
          <w:rFonts w:cs="Arial"/>
          <w:color w:val="1F1F1F"/>
          <w:sz w:val="24"/>
          <w:szCs w:val="24"/>
          <w:shd w:val="clear" w:color="auto" w:fill="FFFFFF"/>
        </w:rPr>
        <w:t>Under this option, from 1 July 2025 women and families who wish to homebirth</w:t>
      </w:r>
      <w:r w:rsidR="00E3402E">
        <w:rPr>
          <w:rStyle w:val="pending"/>
          <w:rFonts w:cs="Arial"/>
          <w:color w:val="1F1F1F"/>
          <w:sz w:val="24"/>
          <w:szCs w:val="24"/>
          <w:shd w:val="clear" w:color="auto" w:fill="FFFFFF"/>
        </w:rPr>
        <w:t>,</w:t>
      </w:r>
      <w:r w:rsidRPr="001B5799">
        <w:rPr>
          <w:rStyle w:val="pending"/>
          <w:rFonts w:cs="Arial"/>
          <w:color w:val="1F1F1F"/>
          <w:sz w:val="24"/>
          <w:szCs w:val="24"/>
          <w:shd w:val="clear" w:color="auto" w:fill="FFFFFF"/>
        </w:rPr>
        <w:t xml:space="preserve"> or access the intrapartum out of hospital care prior to a planned hospital birth</w:t>
      </w:r>
      <w:r w:rsidR="00E3402E">
        <w:rPr>
          <w:rStyle w:val="pending"/>
          <w:rFonts w:cs="Arial"/>
          <w:color w:val="1F1F1F"/>
          <w:sz w:val="24"/>
          <w:szCs w:val="24"/>
          <w:shd w:val="clear" w:color="auto" w:fill="FFFFFF"/>
        </w:rPr>
        <w:t>,</w:t>
      </w:r>
      <w:r w:rsidR="00E3402E" w:rsidRPr="00E3402E">
        <w:rPr>
          <w:rStyle w:val="pending"/>
          <w:rFonts w:cs="Arial"/>
          <w:color w:val="1F1F1F"/>
          <w:sz w:val="24"/>
          <w:szCs w:val="24"/>
          <w:shd w:val="clear" w:color="auto" w:fill="FFFFFF"/>
        </w:rPr>
        <w:t xml:space="preserve"> </w:t>
      </w:r>
      <w:r w:rsidR="00E3402E" w:rsidRPr="001B5799">
        <w:rPr>
          <w:rStyle w:val="pending"/>
          <w:rFonts w:cs="Arial"/>
          <w:color w:val="1F1F1F"/>
          <w:sz w:val="24"/>
          <w:szCs w:val="24"/>
          <w:shd w:val="clear" w:color="auto" w:fill="FFFFFF"/>
        </w:rPr>
        <w:t>outside a public program</w:t>
      </w:r>
      <w:r w:rsidR="00E3402E">
        <w:rPr>
          <w:rStyle w:val="pending"/>
          <w:rFonts w:cs="Arial"/>
          <w:color w:val="1F1F1F"/>
          <w:sz w:val="24"/>
          <w:szCs w:val="24"/>
          <w:shd w:val="clear" w:color="auto" w:fill="FFFFFF"/>
        </w:rPr>
        <w:t>,</w:t>
      </w:r>
      <w:r w:rsidRPr="001B5799">
        <w:rPr>
          <w:rStyle w:val="pending"/>
          <w:rFonts w:cs="Arial"/>
          <w:color w:val="1F1F1F"/>
          <w:sz w:val="24"/>
          <w:szCs w:val="24"/>
          <w:shd w:val="clear" w:color="auto" w:fill="FFFFFF"/>
        </w:rPr>
        <w:t xml:space="preserve"> would continue to have a choice of midwi</w:t>
      </w:r>
      <w:r w:rsidR="00226A2D">
        <w:rPr>
          <w:rStyle w:val="pending"/>
          <w:rFonts w:cs="Arial"/>
          <w:color w:val="1F1F1F"/>
          <w:sz w:val="24"/>
          <w:szCs w:val="24"/>
          <w:shd w:val="clear" w:color="auto" w:fill="FFFFFF"/>
        </w:rPr>
        <w:t xml:space="preserve">fe </w:t>
      </w:r>
      <w:r w:rsidRPr="001B5799">
        <w:rPr>
          <w:rStyle w:val="pending"/>
          <w:rFonts w:cs="Arial"/>
          <w:color w:val="1F1F1F"/>
          <w:sz w:val="24"/>
          <w:szCs w:val="24"/>
          <w:shd w:val="clear" w:color="auto" w:fill="FFFFFF"/>
        </w:rPr>
        <w:t>where there are midwives who are prepared to provide these services uninsured.</w:t>
      </w:r>
    </w:p>
    <w:p w:rsidR="00C87458" w:rsidRDefault="00C87458" w:rsidP="00C87458">
      <w:pPr>
        <w:tabs>
          <w:tab w:val="left" w:pos="2127"/>
        </w:tabs>
        <w:ind w:left="567"/>
        <w:rPr>
          <w:rStyle w:val="pending"/>
          <w:rFonts w:cs="Arial"/>
          <w:color w:val="1F1F1F"/>
          <w:sz w:val="24"/>
          <w:szCs w:val="24"/>
          <w:shd w:val="clear" w:color="auto" w:fill="FFFFFF"/>
        </w:rPr>
      </w:pPr>
      <w:r w:rsidRPr="0074574A">
        <w:rPr>
          <w:rStyle w:val="pending"/>
          <w:rFonts w:cs="Arial"/>
          <w:color w:val="1F1F1F"/>
          <w:sz w:val="24"/>
          <w:szCs w:val="24"/>
          <w:shd w:val="clear" w:color="auto" w:fill="FFFFFF"/>
        </w:rPr>
        <w:t xml:space="preserve">Under </w:t>
      </w:r>
      <w:r>
        <w:rPr>
          <w:rStyle w:val="pending"/>
          <w:rFonts w:cs="Arial"/>
          <w:color w:val="1F1F1F"/>
          <w:sz w:val="24"/>
          <w:szCs w:val="24"/>
          <w:shd w:val="clear" w:color="auto" w:fill="FFFFFF"/>
        </w:rPr>
        <w:t xml:space="preserve">this </w:t>
      </w:r>
      <w:r w:rsidRPr="0074574A">
        <w:rPr>
          <w:rStyle w:val="pending"/>
          <w:rFonts w:cs="Arial"/>
          <w:color w:val="1F1F1F"/>
          <w:sz w:val="24"/>
          <w:szCs w:val="24"/>
          <w:shd w:val="clear" w:color="auto" w:fill="FFFFFF"/>
        </w:rPr>
        <w:t>option</w:t>
      </w:r>
      <w:r>
        <w:rPr>
          <w:rStyle w:val="pending"/>
          <w:rFonts w:cs="Arial"/>
          <w:color w:val="1F1F1F"/>
          <w:sz w:val="24"/>
          <w:szCs w:val="24"/>
          <w:shd w:val="clear" w:color="auto" w:fill="FFFFFF"/>
        </w:rPr>
        <w:t xml:space="preserve">, </w:t>
      </w:r>
      <w:r w:rsidRPr="0074574A">
        <w:rPr>
          <w:rStyle w:val="pending"/>
          <w:rFonts w:cs="Arial"/>
          <w:color w:val="1F1F1F"/>
          <w:sz w:val="24"/>
          <w:szCs w:val="24"/>
          <w:shd w:val="clear" w:color="auto" w:fill="FFFFFF"/>
        </w:rPr>
        <w:t xml:space="preserve">further discussion with </w:t>
      </w:r>
      <w:r>
        <w:rPr>
          <w:rStyle w:val="pending"/>
          <w:rFonts w:cs="Arial"/>
          <w:color w:val="1F1F1F"/>
          <w:sz w:val="24"/>
          <w:szCs w:val="24"/>
          <w:shd w:val="clear" w:color="auto" w:fill="FFFFFF"/>
        </w:rPr>
        <w:t>the s</w:t>
      </w:r>
      <w:r w:rsidRPr="0074574A">
        <w:rPr>
          <w:rStyle w:val="pending"/>
          <w:rFonts w:cs="Arial"/>
          <w:color w:val="1F1F1F"/>
          <w:sz w:val="24"/>
          <w:szCs w:val="24"/>
          <w:shd w:val="clear" w:color="auto" w:fill="FFFFFF"/>
        </w:rPr>
        <w:t>tates</w:t>
      </w:r>
      <w:r>
        <w:rPr>
          <w:rStyle w:val="pending"/>
          <w:rFonts w:cs="Arial"/>
          <w:color w:val="1F1F1F"/>
          <w:sz w:val="24"/>
          <w:szCs w:val="24"/>
          <w:shd w:val="clear" w:color="auto" w:fill="FFFFFF"/>
        </w:rPr>
        <w:t xml:space="preserve"> and t</w:t>
      </w:r>
      <w:r w:rsidRPr="0074574A">
        <w:rPr>
          <w:rStyle w:val="pending"/>
          <w:rFonts w:cs="Arial"/>
          <w:color w:val="1F1F1F"/>
          <w:sz w:val="24"/>
          <w:szCs w:val="24"/>
          <w:shd w:val="clear" w:color="auto" w:fill="FFFFFF"/>
        </w:rPr>
        <w:t xml:space="preserve">erritories would take place on </w:t>
      </w:r>
      <w:r>
        <w:rPr>
          <w:rStyle w:val="pending"/>
          <w:rFonts w:cs="Arial"/>
          <w:color w:val="1F1F1F"/>
          <w:sz w:val="24"/>
          <w:szCs w:val="24"/>
          <w:shd w:val="clear" w:color="auto" w:fill="FFFFFF"/>
        </w:rPr>
        <w:t>the implications of removing the National Law exemption.</w:t>
      </w:r>
    </w:p>
    <w:p w:rsidR="00C87458" w:rsidRPr="00D961EC" w:rsidRDefault="00C87458" w:rsidP="00C87458">
      <w:pPr>
        <w:tabs>
          <w:tab w:val="left" w:pos="2127"/>
        </w:tabs>
        <w:ind w:left="567"/>
        <w:rPr>
          <w:rStyle w:val="pending"/>
          <w:rFonts w:cs="Arial"/>
          <w:color w:val="1F1F1F"/>
          <w:sz w:val="24"/>
          <w:szCs w:val="24"/>
          <w:shd w:val="clear" w:color="auto" w:fill="FFFFFF"/>
        </w:rPr>
      </w:pPr>
      <w:r>
        <w:rPr>
          <w:rStyle w:val="pending"/>
          <w:rFonts w:cs="Arial"/>
          <w:color w:val="1F1F1F"/>
          <w:sz w:val="24"/>
          <w:szCs w:val="24"/>
          <w:shd w:val="clear" w:color="auto" w:fill="FFFFFF"/>
        </w:rPr>
        <w:t>T</w:t>
      </w:r>
      <w:r w:rsidRPr="00D961EC">
        <w:rPr>
          <w:rStyle w:val="pending"/>
          <w:rFonts w:cs="Arial"/>
          <w:color w:val="1F1F1F"/>
          <w:sz w:val="24"/>
          <w:szCs w:val="24"/>
          <w:shd w:val="clear" w:color="auto" w:fill="FFFFFF"/>
        </w:rPr>
        <w:t xml:space="preserve">he Department would also move to settle arrangements with </w:t>
      </w:r>
      <w:r>
        <w:rPr>
          <w:rStyle w:val="pending"/>
          <w:rFonts w:cs="Arial"/>
          <w:color w:val="1F1F1F"/>
          <w:sz w:val="24"/>
          <w:szCs w:val="24"/>
          <w:shd w:val="clear" w:color="auto" w:fill="FFFFFF"/>
        </w:rPr>
        <w:t xml:space="preserve">the current insurer </w:t>
      </w:r>
      <w:r w:rsidRPr="00D961EC">
        <w:rPr>
          <w:rStyle w:val="pending"/>
          <w:rFonts w:cs="Arial"/>
          <w:color w:val="1F1F1F"/>
          <w:sz w:val="24"/>
          <w:szCs w:val="24"/>
          <w:shd w:val="clear" w:color="auto" w:fill="FFFFFF"/>
        </w:rPr>
        <w:t>to continue to manage the existing Midwives Schemes from 1 July 2025.</w:t>
      </w:r>
    </w:p>
    <w:p w:rsidR="00DB38E8" w:rsidRPr="002C70D1" w:rsidRDefault="00DB38E8" w:rsidP="002C70D1">
      <w:pPr>
        <w:pStyle w:val="Heading3"/>
        <w:rPr>
          <w:rFonts w:asciiTheme="minorHAnsi" w:hAnsiTheme="minorHAnsi" w:cstheme="minorHAnsi"/>
        </w:rPr>
      </w:pPr>
      <w:bookmarkStart w:id="47" w:name="_Toc162017798"/>
      <w:r w:rsidRPr="002C70D1">
        <w:rPr>
          <w:rFonts w:asciiTheme="minorHAnsi" w:hAnsiTheme="minorHAnsi" w:cstheme="minorHAnsi"/>
        </w:rPr>
        <w:t>Risks</w:t>
      </w:r>
      <w:bookmarkEnd w:id="47"/>
    </w:p>
    <w:p w:rsidR="00DB38E8" w:rsidRDefault="00DB38E8" w:rsidP="00DB38E8">
      <w:pPr>
        <w:tabs>
          <w:tab w:val="left" w:pos="2127"/>
        </w:tabs>
        <w:ind w:left="567"/>
        <w:rPr>
          <w:rFonts w:cstheme="minorHAnsi"/>
          <w:sz w:val="24"/>
          <w:szCs w:val="24"/>
        </w:rPr>
      </w:pPr>
      <w:r w:rsidRPr="00DB38E8">
        <w:rPr>
          <w:rFonts w:cstheme="minorHAnsi"/>
          <w:sz w:val="24"/>
          <w:szCs w:val="24"/>
        </w:rPr>
        <w:t>If the National Law exemption is removed</w:t>
      </w:r>
      <w:r w:rsidR="002801EB">
        <w:rPr>
          <w:rFonts w:cstheme="minorHAnsi"/>
          <w:sz w:val="24"/>
          <w:szCs w:val="24"/>
        </w:rPr>
        <w:t xml:space="preserve"> in line with its proposed expiration of </w:t>
      </w:r>
      <w:r w:rsidR="002801EB">
        <w:rPr>
          <w:rFonts w:cstheme="minorHAnsi"/>
          <w:sz w:val="24"/>
          <w:szCs w:val="24"/>
        </w:rPr>
        <w:br/>
        <w:t>30 June 2025</w:t>
      </w:r>
      <w:r w:rsidRPr="00DB38E8">
        <w:rPr>
          <w:rFonts w:cstheme="minorHAnsi"/>
          <w:sz w:val="24"/>
          <w:szCs w:val="24"/>
        </w:rPr>
        <w:t xml:space="preserve">, </w:t>
      </w:r>
      <w:r w:rsidR="002801EB">
        <w:rPr>
          <w:rFonts w:cstheme="minorHAnsi"/>
          <w:sz w:val="24"/>
          <w:szCs w:val="24"/>
        </w:rPr>
        <w:t>it would become unlawful for PPMs to conduct homebirths without appropriate insurance.</w:t>
      </w:r>
      <w:r w:rsidRPr="00DB38E8">
        <w:rPr>
          <w:rFonts w:cstheme="minorHAnsi"/>
          <w:sz w:val="24"/>
          <w:szCs w:val="24"/>
        </w:rPr>
        <w:t xml:space="preserve"> A lack of PII puts midwives at risk of acting outside their registration standards if they choose to provide homebirth services. Where an adverse event occurs, these women and families have no recourse </w:t>
      </w:r>
      <w:r w:rsidR="00344E15">
        <w:rPr>
          <w:rFonts w:cstheme="minorHAnsi"/>
          <w:sz w:val="24"/>
          <w:szCs w:val="24"/>
        </w:rPr>
        <w:t xml:space="preserve">(except civil action) </w:t>
      </w:r>
      <w:r w:rsidRPr="00DB38E8">
        <w:rPr>
          <w:rFonts w:cstheme="minorHAnsi"/>
          <w:sz w:val="24"/>
          <w:szCs w:val="24"/>
        </w:rPr>
        <w:t>and no protection from civil litigation for the midwife.</w:t>
      </w:r>
    </w:p>
    <w:p w:rsidR="00344E15" w:rsidRDefault="00344E15" w:rsidP="00344E15">
      <w:pPr>
        <w:tabs>
          <w:tab w:val="left" w:pos="2127"/>
        </w:tabs>
        <w:ind w:left="567"/>
        <w:rPr>
          <w:rFonts w:cstheme="minorHAnsi"/>
          <w:sz w:val="24"/>
          <w:szCs w:val="24"/>
        </w:rPr>
      </w:pPr>
      <w:r w:rsidRPr="003968FD">
        <w:rPr>
          <w:rFonts w:cstheme="minorHAnsi"/>
          <w:sz w:val="24"/>
          <w:szCs w:val="24"/>
        </w:rPr>
        <w:t>There would be risks to public safety, especially in the event of free births where the woman gives birth without the assistance of a midwife or health practitioner. Unregistered birth workers can provide midwifery service at homebirths without any regulatory oversight. In these situations, the mothers and families have no recourse against an adverse event (except civil action).</w:t>
      </w:r>
    </w:p>
    <w:p w:rsidR="00FC2AD5" w:rsidRDefault="00D040D9" w:rsidP="00FC2AD5">
      <w:pPr>
        <w:tabs>
          <w:tab w:val="left" w:pos="2127"/>
        </w:tabs>
        <w:ind w:left="567"/>
        <w:rPr>
          <w:rFonts w:cstheme="minorHAnsi"/>
          <w:sz w:val="24"/>
          <w:szCs w:val="24"/>
        </w:rPr>
      </w:pPr>
      <w:r>
        <w:rPr>
          <w:rFonts w:cstheme="minorHAnsi"/>
          <w:sz w:val="24"/>
          <w:szCs w:val="24"/>
        </w:rPr>
        <w:t xml:space="preserve">There is also a risk the Government could face criticism for not enabling </w:t>
      </w:r>
      <w:r w:rsidR="00FC2AD5">
        <w:rPr>
          <w:rFonts w:cstheme="minorHAnsi"/>
          <w:sz w:val="24"/>
          <w:szCs w:val="24"/>
        </w:rPr>
        <w:t xml:space="preserve">low-risk homebirths, limiting </w:t>
      </w:r>
      <w:r w:rsidR="00FC2AD5" w:rsidRPr="003968FD">
        <w:rPr>
          <w:rFonts w:cstheme="minorHAnsi"/>
          <w:sz w:val="24"/>
          <w:szCs w:val="24"/>
        </w:rPr>
        <w:t>freedom of choice for women, particularly the opportunity to choose a model of birthing that meets their needs, and to have continuity of care and carer.</w:t>
      </w:r>
    </w:p>
    <w:p w:rsidR="00226A2D" w:rsidRDefault="00226A2D" w:rsidP="00226A2D">
      <w:pPr>
        <w:tabs>
          <w:tab w:val="left" w:pos="2127"/>
        </w:tabs>
        <w:ind w:left="567"/>
        <w:rPr>
          <w:rFonts w:cstheme="minorHAnsi"/>
          <w:sz w:val="24"/>
          <w:szCs w:val="24"/>
        </w:rPr>
      </w:pPr>
      <w:r>
        <w:rPr>
          <w:rFonts w:cstheme="minorHAnsi"/>
          <w:sz w:val="24"/>
          <w:szCs w:val="24"/>
        </w:rPr>
        <w:t>This would likely impact on workforce retention with PPMs forced to enter state and territory funded homebirth programs. As these programs operate through the public hospital system, PPMs scope of practice would be restricted according to hospital governance and clinical guidelines.</w:t>
      </w:r>
    </w:p>
    <w:p w:rsidR="00226A2D" w:rsidRDefault="00226A2D" w:rsidP="00226A2D">
      <w:pPr>
        <w:tabs>
          <w:tab w:val="left" w:pos="2127"/>
        </w:tabs>
        <w:ind w:left="567"/>
        <w:rPr>
          <w:rFonts w:cstheme="minorHAnsi"/>
          <w:sz w:val="24"/>
          <w:szCs w:val="24"/>
        </w:rPr>
      </w:pPr>
      <w:r w:rsidRPr="00824722">
        <w:rPr>
          <w:rFonts w:cstheme="minorHAnsi"/>
          <w:sz w:val="24"/>
          <w:szCs w:val="24"/>
        </w:rPr>
        <w:t>There is limited claims data to identify the impact of this option on hospital capacity.</w:t>
      </w:r>
    </w:p>
    <w:p w:rsidR="00C91829" w:rsidRPr="0058344C" w:rsidRDefault="00086E06" w:rsidP="0058344C">
      <w:pPr>
        <w:pStyle w:val="Heading1"/>
      </w:pPr>
      <w:bookmarkStart w:id="48" w:name="_Toc162017799"/>
      <w:r>
        <w:t xml:space="preserve">4. </w:t>
      </w:r>
      <w:r w:rsidR="00C91829">
        <w:t>What is the likely net-benefit of each option?</w:t>
      </w:r>
      <w:bookmarkEnd w:id="48"/>
    </w:p>
    <w:p w:rsidR="00CA2D12" w:rsidRPr="00191E09" w:rsidRDefault="00CA2D12" w:rsidP="00191E09">
      <w:pPr>
        <w:tabs>
          <w:tab w:val="left" w:pos="2127"/>
        </w:tabs>
        <w:ind w:left="567"/>
        <w:rPr>
          <w:rFonts w:cstheme="minorHAnsi"/>
          <w:sz w:val="24"/>
          <w:szCs w:val="24"/>
        </w:rPr>
      </w:pPr>
      <w:r w:rsidRPr="00191E09">
        <w:rPr>
          <w:rFonts w:cstheme="minorHAnsi"/>
          <w:sz w:val="24"/>
          <w:szCs w:val="24"/>
        </w:rPr>
        <w:t>This section identifies the net benefits of each reform option and seeks stakeholders’ views on the assessment presented. In doing so, this section provides:</w:t>
      </w:r>
    </w:p>
    <w:p w:rsidR="00CA2D12" w:rsidRPr="00CA2D12" w:rsidRDefault="00CA2D12"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CA2D12">
        <w:rPr>
          <w:rFonts w:cstheme="minorHAnsi"/>
          <w:sz w:val="24"/>
          <w:szCs w:val="24"/>
        </w:rPr>
        <w:t>an estimate or description of regulatory burden based on options of reform</w:t>
      </w:r>
    </w:p>
    <w:p w:rsidR="00CA2D12" w:rsidRPr="00CA2D12" w:rsidRDefault="00CA2D12" w:rsidP="00C72F31">
      <w:pPr>
        <w:pStyle w:val="ListParagraph"/>
        <w:numPr>
          <w:ilvl w:val="0"/>
          <w:numId w:val="2"/>
        </w:numPr>
        <w:tabs>
          <w:tab w:val="left" w:pos="2127"/>
        </w:tabs>
        <w:spacing w:before="60" w:after="120"/>
        <w:ind w:left="1208" w:hanging="357"/>
        <w:contextualSpacing w:val="0"/>
        <w:rPr>
          <w:rFonts w:cstheme="minorHAnsi"/>
          <w:sz w:val="24"/>
          <w:szCs w:val="24"/>
        </w:rPr>
      </w:pPr>
      <w:r w:rsidRPr="00CA2D12">
        <w:rPr>
          <w:rFonts w:cstheme="minorHAnsi"/>
          <w:sz w:val="24"/>
          <w:szCs w:val="24"/>
        </w:rPr>
        <w:t>an impact analysis on key stakeholders</w:t>
      </w:r>
    </w:p>
    <w:p w:rsidR="00CA2D12" w:rsidRPr="00CA2D12" w:rsidRDefault="00CA2D12" w:rsidP="00C72F31">
      <w:pPr>
        <w:pStyle w:val="ListParagraph"/>
        <w:numPr>
          <w:ilvl w:val="0"/>
          <w:numId w:val="2"/>
        </w:numPr>
        <w:tabs>
          <w:tab w:val="left" w:pos="2127"/>
        </w:tabs>
        <w:spacing w:before="60" w:after="120"/>
        <w:ind w:left="1208" w:hanging="357"/>
        <w:contextualSpacing w:val="0"/>
        <w:rPr>
          <w:sz w:val="24"/>
          <w:szCs w:val="24"/>
        </w:rPr>
      </w:pPr>
      <w:r w:rsidRPr="00CA2D12">
        <w:rPr>
          <w:rFonts w:cstheme="minorHAnsi"/>
          <w:sz w:val="24"/>
          <w:szCs w:val="24"/>
        </w:rPr>
        <w:t>a preliminary net benefit</w:t>
      </w:r>
      <w:r w:rsidRPr="00CA2D12">
        <w:rPr>
          <w:sz w:val="24"/>
          <w:szCs w:val="24"/>
        </w:rPr>
        <w:t xml:space="preserve"> assessment of each option.</w:t>
      </w:r>
    </w:p>
    <w:p w:rsidR="00CA2D12" w:rsidRDefault="00CA2D12" w:rsidP="00CA2D12">
      <w:pPr>
        <w:tabs>
          <w:tab w:val="left" w:pos="2127"/>
        </w:tabs>
        <w:ind w:left="567"/>
        <w:rPr>
          <w:rFonts w:ascii="Calibri" w:hAnsi="Calibri"/>
          <w:color w:val="000000" w:themeColor="text1"/>
          <w:sz w:val="24"/>
          <w:szCs w:val="24"/>
        </w:rPr>
      </w:pPr>
      <w:r w:rsidRPr="00CA2D12">
        <w:rPr>
          <w:rFonts w:ascii="Calibri" w:hAnsi="Calibri"/>
          <w:color w:val="000000" w:themeColor="text1"/>
          <w:sz w:val="24"/>
          <w:szCs w:val="24"/>
        </w:rPr>
        <w:t>This analys</w:t>
      </w:r>
      <w:r w:rsidR="002C70D1">
        <w:rPr>
          <w:rFonts w:ascii="Calibri" w:hAnsi="Calibri"/>
          <w:color w:val="000000" w:themeColor="text1"/>
          <w:sz w:val="24"/>
          <w:szCs w:val="24"/>
        </w:rPr>
        <w:t>is indicates that option 2</w:t>
      </w:r>
      <w:r w:rsidRPr="00CA2D12">
        <w:rPr>
          <w:rFonts w:ascii="Calibri" w:hAnsi="Calibri"/>
          <w:color w:val="000000" w:themeColor="text1"/>
          <w:sz w:val="24"/>
          <w:szCs w:val="24"/>
        </w:rPr>
        <w:t xml:space="preserve"> </w:t>
      </w:r>
      <w:r>
        <w:rPr>
          <w:rFonts w:ascii="Calibri" w:hAnsi="Calibri"/>
          <w:color w:val="000000" w:themeColor="text1"/>
          <w:sz w:val="24"/>
          <w:szCs w:val="24"/>
        </w:rPr>
        <w:t xml:space="preserve">provides the greatest net benefit for stakeholders. More detailed analysis of the </w:t>
      </w:r>
      <w:r w:rsidR="00191E09">
        <w:rPr>
          <w:rFonts w:ascii="Calibri" w:hAnsi="Calibri"/>
          <w:color w:val="000000" w:themeColor="text1"/>
          <w:sz w:val="24"/>
          <w:szCs w:val="24"/>
        </w:rPr>
        <w:t xml:space="preserve">regulatory </w:t>
      </w:r>
      <w:r>
        <w:rPr>
          <w:rFonts w:ascii="Calibri" w:hAnsi="Calibri"/>
          <w:color w:val="000000" w:themeColor="text1"/>
          <w:sz w:val="24"/>
          <w:szCs w:val="24"/>
        </w:rPr>
        <w:t xml:space="preserve">impacts for each stakeholder group is provided in </w:t>
      </w:r>
      <w:r w:rsidR="00191E09">
        <w:rPr>
          <w:rFonts w:ascii="Calibri" w:hAnsi="Calibri"/>
          <w:color w:val="000000" w:themeColor="text1"/>
          <w:sz w:val="24"/>
          <w:szCs w:val="24"/>
        </w:rPr>
        <w:t>appendix 2.</w:t>
      </w:r>
    </w:p>
    <w:p w:rsidR="00894857" w:rsidRDefault="0011654F" w:rsidP="00894857">
      <w:pPr>
        <w:pStyle w:val="Heading2"/>
      </w:pPr>
      <w:bookmarkStart w:id="49" w:name="_Toc162017800"/>
      <w:r w:rsidRPr="00824722">
        <w:t>Option 1: Status-Quo</w:t>
      </w:r>
      <w:r w:rsidR="00894857" w:rsidRPr="00824722">
        <w:t xml:space="preserve"> - </w:t>
      </w:r>
      <w:r w:rsidR="002C70D1" w:rsidRPr="00824722">
        <w:t>Retain</w:t>
      </w:r>
      <w:r w:rsidR="00894857" w:rsidRPr="00824722">
        <w:t xml:space="preserve"> the exemption</w:t>
      </w:r>
      <w:bookmarkEnd w:id="49"/>
    </w:p>
    <w:p w:rsidR="00F831E6" w:rsidRPr="00D961EC" w:rsidRDefault="00F831E6" w:rsidP="00F831E6">
      <w:pPr>
        <w:shd w:val="clear" w:color="auto" w:fill="E7E6E6" w:themeFill="background2"/>
        <w:tabs>
          <w:tab w:val="left" w:pos="2127"/>
        </w:tabs>
        <w:ind w:left="567"/>
        <w:rPr>
          <w:sz w:val="24"/>
          <w:szCs w:val="24"/>
        </w:rPr>
      </w:pPr>
      <w:r>
        <w:rPr>
          <w:sz w:val="24"/>
          <w:szCs w:val="24"/>
        </w:rPr>
        <w:t>The National Law exemption w</w:t>
      </w:r>
      <w:r w:rsidRPr="00D961EC">
        <w:rPr>
          <w:sz w:val="24"/>
          <w:szCs w:val="24"/>
        </w:rPr>
        <w:t xml:space="preserve">ould be retained enabling PPMs to continue to offer services but without insurance, alongside public programs as occurs currently. This option would maintain the status quo. </w:t>
      </w:r>
    </w:p>
    <w:p w:rsidR="00F831E6" w:rsidRDefault="00F831E6" w:rsidP="00F831E6">
      <w:pPr>
        <w:tabs>
          <w:tab w:val="left" w:pos="2127"/>
        </w:tabs>
        <w:ind w:left="567"/>
        <w:rPr>
          <w:rFonts w:cstheme="minorHAnsi"/>
          <w:sz w:val="24"/>
          <w:szCs w:val="24"/>
        </w:rPr>
      </w:pPr>
      <w:r w:rsidRPr="00032122">
        <w:rPr>
          <w:rFonts w:cstheme="minorHAnsi"/>
          <w:sz w:val="24"/>
          <w:szCs w:val="24"/>
        </w:rPr>
        <w:t xml:space="preserve">Under this option, from 1 July 2025 women and families who wish to homebirth outside a public program, or access the intrapartum out of hospital care prior to a planned hospital birth, would continue to have a choice of midwives where there are midwives who are prepared to provide these services uninsured as long as the National Law is </w:t>
      </w:r>
      <w:r w:rsidRPr="00344E15">
        <w:rPr>
          <w:rFonts w:cstheme="minorHAnsi"/>
          <w:sz w:val="24"/>
          <w:szCs w:val="24"/>
        </w:rPr>
        <w:t>extended.</w:t>
      </w:r>
      <w:r w:rsidRPr="00032122">
        <w:rPr>
          <w:rFonts w:cstheme="minorHAnsi"/>
          <w:sz w:val="24"/>
          <w:szCs w:val="24"/>
        </w:rPr>
        <w:t xml:space="preserve"> </w:t>
      </w:r>
    </w:p>
    <w:p w:rsidR="00FF3E5C" w:rsidRPr="00121246" w:rsidRDefault="00FF3E5C" w:rsidP="0058344C">
      <w:pPr>
        <w:pStyle w:val="Heading2"/>
      </w:pPr>
      <w:bookmarkStart w:id="50" w:name="_Toc162017801"/>
      <w:r w:rsidRPr="00824722">
        <w:t xml:space="preserve">Option </w:t>
      </w:r>
      <w:r w:rsidR="00894857" w:rsidRPr="00824722">
        <w:t>2</w:t>
      </w:r>
      <w:r w:rsidR="00B8050E" w:rsidRPr="00824722">
        <w:t>:</w:t>
      </w:r>
      <w:r w:rsidR="00B8050E">
        <w:t xml:space="preserve"> Expand the Midwife Schemes</w:t>
      </w:r>
      <w:bookmarkEnd w:id="50"/>
    </w:p>
    <w:p w:rsidR="00B01D37" w:rsidRPr="008D0D6A" w:rsidRDefault="00B01D37" w:rsidP="00D66664">
      <w:pPr>
        <w:shd w:val="clear" w:color="auto" w:fill="E7E6E6" w:themeFill="background2"/>
        <w:tabs>
          <w:tab w:val="left" w:pos="2127"/>
        </w:tabs>
        <w:ind w:left="567"/>
        <w:rPr>
          <w:rFonts w:cstheme="minorHAnsi"/>
          <w:sz w:val="24"/>
          <w:szCs w:val="24"/>
        </w:rPr>
      </w:pPr>
      <w:r w:rsidRPr="008D0D6A">
        <w:rPr>
          <w:rFonts w:cstheme="minorHAnsi"/>
          <w:sz w:val="24"/>
          <w:szCs w:val="24"/>
        </w:rPr>
        <w:t xml:space="preserve">Expand the </w:t>
      </w:r>
      <w:r w:rsidRPr="008D0D6A">
        <w:rPr>
          <w:rFonts w:cstheme="minorHAnsi"/>
          <w:color w:val="000000" w:themeColor="text1"/>
          <w:sz w:val="24"/>
          <w:szCs w:val="24"/>
        </w:rPr>
        <w:t xml:space="preserve">MPIS and MPISROCS </w:t>
      </w:r>
      <w:r w:rsidRPr="008D0D6A">
        <w:rPr>
          <w:rFonts w:cstheme="minorHAnsi"/>
          <w:sz w:val="24"/>
          <w:szCs w:val="24"/>
        </w:rPr>
        <w:t xml:space="preserve">to include </w:t>
      </w:r>
      <w:r w:rsidRPr="008D0D6A">
        <w:rPr>
          <w:sz w:val="24"/>
          <w:szCs w:val="24"/>
        </w:rPr>
        <w:t>low-risk home births and intr</w:t>
      </w:r>
      <w:r w:rsidR="004218DC">
        <w:rPr>
          <w:sz w:val="24"/>
          <w:szCs w:val="24"/>
        </w:rPr>
        <w:t xml:space="preserve">apartum (labour) care outside </w:t>
      </w:r>
      <w:r w:rsidRPr="008D0D6A">
        <w:rPr>
          <w:sz w:val="24"/>
          <w:szCs w:val="24"/>
        </w:rPr>
        <w:t xml:space="preserve">hospital prior to a planned hospital birth, whereby the Government will cover 100% of the costs of claims for these new products if </w:t>
      </w:r>
      <w:r w:rsidR="00861F4B">
        <w:rPr>
          <w:sz w:val="24"/>
          <w:szCs w:val="24"/>
        </w:rPr>
        <w:t xml:space="preserve">an </w:t>
      </w:r>
      <w:r w:rsidRPr="008D0D6A">
        <w:rPr>
          <w:sz w:val="24"/>
          <w:szCs w:val="24"/>
        </w:rPr>
        <w:t>insurer provides such cover and manages claims.</w:t>
      </w:r>
    </w:p>
    <w:p w:rsidR="00C87458" w:rsidRPr="003968FD" w:rsidRDefault="00C87458" w:rsidP="00C87458">
      <w:pPr>
        <w:tabs>
          <w:tab w:val="left" w:pos="2127"/>
        </w:tabs>
        <w:ind w:left="567"/>
        <w:rPr>
          <w:sz w:val="24"/>
          <w:szCs w:val="24"/>
        </w:rPr>
      </w:pPr>
      <w:r>
        <w:rPr>
          <w:rFonts w:cstheme="minorHAnsi"/>
          <w:sz w:val="24"/>
          <w:szCs w:val="24"/>
        </w:rPr>
        <w:t>Under this preferred option, w</w:t>
      </w:r>
      <w:r w:rsidRPr="003968FD">
        <w:rPr>
          <w:rFonts w:cstheme="minorHAnsi"/>
          <w:sz w:val="24"/>
          <w:szCs w:val="24"/>
        </w:rPr>
        <w:t xml:space="preserve">omen who wish to choose </w:t>
      </w:r>
      <w:r>
        <w:rPr>
          <w:rFonts w:cstheme="minorHAnsi"/>
          <w:sz w:val="24"/>
          <w:szCs w:val="24"/>
        </w:rPr>
        <w:t xml:space="preserve">a low-risk </w:t>
      </w:r>
      <w:r w:rsidRPr="003968FD">
        <w:rPr>
          <w:rFonts w:cstheme="minorHAnsi"/>
          <w:sz w:val="24"/>
          <w:szCs w:val="24"/>
        </w:rPr>
        <w:t>homebirth as a birthing option will have this choice, and have choice of midwifery carer including continuity of care. This will be limited to women whose pregnancy is determined to be low-risk according to a nationally consistent definition, to ensure public safety.</w:t>
      </w:r>
      <w:r>
        <w:rPr>
          <w:rFonts w:cstheme="minorHAnsi"/>
          <w:sz w:val="24"/>
          <w:szCs w:val="24"/>
        </w:rPr>
        <w:t xml:space="preserve"> </w:t>
      </w:r>
      <w:r w:rsidRPr="003968FD">
        <w:rPr>
          <w:rFonts w:cstheme="minorHAnsi"/>
          <w:sz w:val="24"/>
          <w:szCs w:val="24"/>
        </w:rPr>
        <w:t>Community expectations that the public will be protected when a woman chooses to have a homebirth with a PPM attending will be met, by ensuring a robust regulatory framework. PPMs will be able to practice as insured health practitioners, providing recourse to women who wish to homebirth.</w:t>
      </w:r>
      <w:r>
        <w:rPr>
          <w:rFonts w:cstheme="minorHAnsi"/>
          <w:sz w:val="24"/>
          <w:szCs w:val="24"/>
        </w:rPr>
        <w:t xml:space="preserve"> </w:t>
      </w:r>
      <w:r w:rsidRPr="003968FD">
        <w:rPr>
          <w:rFonts w:cstheme="minorHAnsi"/>
          <w:sz w:val="24"/>
          <w:szCs w:val="24"/>
        </w:rPr>
        <w:t>Insurers will have Government support through the Midwife Schemes to enable them to limit their liability in providing a commercial indemnity insurance product for PPMs.</w:t>
      </w:r>
      <w:r>
        <w:rPr>
          <w:rFonts w:cstheme="minorHAnsi"/>
          <w:sz w:val="24"/>
          <w:szCs w:val="24"/>
        </w:rPr>
        <w:t xml:space="preserve"> </w:t>
      </w:r>
      <w:r w:rsidRPr="003968FD">
        <w:rPr>
          <w:rFonts w:cstheme="minorHAnsi"/>
          <w:sz w:val="24"/>
          <w:szCs w:val="24"/>
        </w:rPr>
        <w:t>The intent of the National Law will be maintained by ensuring that all registered health practitioners</w:t>
      </w:r>
      <w:r w:rsidRPr="003968FD">
        <w:rPr>
          <w:sz w:val="24"/>
          <w:szCs w:val="24"/>
        </w:rPr>
        <w:t xml:space="preserve"> have appropriate professional indemnity insurance to practise.</w:t>
      </w:r>
    </w:p>
    <w:p w:rsidR="005A0176" w:rsidRPr="005A0176" w:rsidRDefault="005A0176" w:rsidP="005A0176">
      <w:pPr>
        <w:tabs>
          <w:tab w:val="left" w:pos="2127"/>
        </w:tabs>
        <w:spacing w:after="0"/>
        <w:ind w:left="567"/>
        <w:rPr>
          <w:rFonts w:cstheme="minorHAnsi"/>
          <w:i/>
          <w:sz w:val="24"/>
          <w:szCs w:val="24"/>
        </w:rPr>
      </w:pPr>
      <w:r w:rsidRPr="005A0176">
        <w:rPr>
          <w:rFonts w:cstheme="minorHAnsi"/>
          <w:i/>
          <w:sz w:val="24"/>
          <w:szCs w:val="24"/>
        </w:rPr>
        <w:t>Choice for women</w:t>
      </w:r>
    </w:p>
    <w:p w:rsidR="00176723" w:rsidRPr="0058344C" w:rsidRDefault="005A0176" w:rsidP="00D74A3D">
      <w:pPr>
        <w:shd w:val="clear" w:color="auto" w:fill="FFFFFF"/>
        <w:ind w:left="567"/>
        <w:rPr>
          <w:rFonts w:cstheme="minorHAnsi"/>
          <w:color w:val="1F1F1F"/>
          <w:sz w:val="24"/>
          <w:szCs w:val="24"/>
        </w:rPr>
      </w:pPr>
      <w:r w:rsidRPr="00D74A3D">
        <w:rPr>
          <w:rFonts w:ascii="Calibri" w:hAnsi="Calibri"/>
          <w:color w:val="000000" w:themeColor="text1"/>
          <w:sz w:val="24"/>
          <w:szCs w:val="24"/>
        </w:rPr>
        <w:t xml:space="preserve">This option </w:t>
      </w:r>
      <w:r w:rsidR="00D64766" w:rsidRPr="00D74A3D">
        <w:rPr>
          <w:rFonts w:ascii="Calibri" w:hAnsi="Calibri"/>
          <w:color w:val="000000" w:themeColor="text1"/>
          <w:sz w:val="24"/>
          <w:szCs w:val="24"/>
        </w:rPr>
        <w:t>would be generally welcomed by women seeking greater choice in services and midwives.</w:t>
      </w:r>
      <w:r w:rsidR="00D66664" w:rsidRPr="00D74A3D">
        <w:rPr>
          <w:rFonts w:ascii="Calibri" w:hAnsi="Calibri"/>
          <w:color w:val="000000" w:themeColor="text1"/>
          <w:sz w:val="24"/>
          <w:szCs w:val="24"/>
        </w:rPr>
        <w:t xml:space="preserve"> </w:t>
      </w:r>
      <w:r w:rsidR="00176723" w:rsidRPr="00D74A3D">
        <w:rPr>
          <w:rFonts w:ascii="Calibri" w:hAnsi="Calibri"/>
          <w:color w:val="000000" w:themeColor="text1"/>
          <w:sz w:val="24"/>
          <w:szCs w:val="24"/>
        </w:rPr>
        <w:t>Women are increasingly seeking greater choice in</w:t>
      </w:r>
      <w:r w:rsidR="00EB27A4" w:rsidRPr="00D74A3D">
        <w:rPr>
          <w:rFonts w:ascii="Calibri" w:hAnsi="Calibri"/>
          <w:color w:val="000000" w:themeColor="text1"/>
          <w:sz w:val="24"/>
          <w:szCs w:val="24"/>
        </w:rPr>
        <w:t xml:space="preserve"> </w:t>
      </w:r>
      <w:hyperlink r:id="rId20" w:tooltip="Learn more about birth place from ScienceDirect's AI-generated Topic Pages" w:history="1">
        <w:r w:rsidR="00176723" w:rsidRPr="00D74A3D">
          <w:rPr>
            <w:rFonts w:ascii="Calibri" w:hAnsi="Calibri"/>
            <w:color w:val="000000" w:themeColor="text1"/>
            <w:sz w:val="24"/>
            <w:szCs w:val="24"/>
          </w:rPr>
          <w:t>birth place</w:t>
        </w:r>
      </w:hyperlink>
      <w:r w:rsidR="00176723" w:rsidRPr="00D74A3D">
        <w:rPr>
          <w:rFonts w:ascii="Calibri" w:hAnsi="Calibri"/>
          <w:color w:val="000000" w:themeColor="text1"/>
          <w:sz w:val="24"/>
          <w:szCs w:val="24"/>
        </w:rPr>
        <w:t xml:space="preserve">, including options other than hospitals that offer </w:t>
      </w:r>
      <w:r w:rsidR="00EB27A4" w:rsidRPr="00D74A3D">
        <w:rPr>
          <w:rFonts w:ascii="Calibri" w:hAnsi="Calibri"/>
          <w:color w:val="000000" w:themeColor="text1"/>
          <w:sz w:val="24"/>
          <w:szCs w:val="24"/>
        </w:rPr>
        <w:t xml:space="preserve">fewer interventions and greater </w:t>
      </w:r>
      <w:hyperlink r:id="rId21" w:tooltip="Learn more about autonomy from ScienceDirect's AI-generated Topic Pages" w:history="1">
        <w:r w:rsidR="00176723" w:rsidRPr="00D74A3D">
          <w:rPr>
            <w:rFonts w:ascii="Calibri" w:hAnsi="Calibri"/>
            <w:color w:val="000000" w:themeColor="text1"/>
            <w:sz w:val="24"/>
            <w:szCs w:val="24"/>
          </w:rPr>
          <w:t>autonomy</w:t>
        </w:r>
      </w:hyperlink>
      <w:r w:rsidR="00EB27A4" w:rsidRPr="00D74A3D">
        <w:rPr>
          <w:rFonts w:ascii="Calibri" w:hAnsi="Calibri"/>
          <w:color w:val="000000" w:themeColor="text1"/>
          <w:sz w:val="24"/>
          <w:szCs w:val="24"/>
        </w:rPr>
        <w:footnoteReference w:id="16"/>
      </w:r>
      <w:r w:rsidR="00176723" w:rsidRPr="00D74A3D">
        <w:rPr>
          <w:rFonts w:ascii="Calibri" w:hAnsi="Calibri"/>
          <w:color w:val="000000" w:themeColor="text1"/>
          <w:sz w:val="24"/>
          <w:szCs w:val="24"/>
        </w:rPr>
        <w:t>. There is a cohort of women who, given the opportunity, would prefer to labour and birth in their own home. Literature that discusses women’s experiences/reasons for choosing to give birth at home suggests that they see it as a choice that promotes a feeling of more control in their birth process and one that allows immediate</w:t>
      </w:r>
      <w:r w:rsidR="00176723" w:rsidRPr="0058344C">
        <w:rPr>
          <w:rFonts w:cstheme="minorHAnsi"/>
          <w:color w:val="1F1F1F"/>
          <w:sz w:val="24"/>
          <w:szCs w:val="24"/>
        </w:rPr>
        <w:t xml:space="preserve"> and better family integration of the new baby</w:t>
      </w:r>
      <w:r w:rsidR="009D2310">
        <w:rPr>
          <w:rStyle w:val="FootnoteReference"/>
          <w:rFonts w:cstheme="minorHAnsi"/>
          <w:color w:val="1F1F1F"/>
          <w:sz w:val="24"/>
          <w:szCs w:val="24"/>
        </w:rPr>
        <w:footnoteReference w:id="17"/>
      </w:r>
      <w:r w:rsidR="00176723" w:rsidRPr="0058344C">
        <w:rPr>
          <w:rFonts w:cstheme="minorHAnsi"/>
          <w:color w:val="1F1F1F"/>
          <w:sz w:val="24"/>
          <w:szCs w:val="24"/>
        </w:rPr>
        <w:t>.</w:t>
      </w:r>
    </w:p>
    <w:p w:rsidR="00176723" w:rsidRPr="0058344C" w:rsidRDefault="00176723" w:rsidP="00C60D79">
      <w:pPr>
        <w:tabs>
          <w:tab w:val="left" w:pos="2127"/>
        </w:tabs>
        <w:ind w:left="567"/>
        <w:rPr>
          <w:color w:val="212121"/>
          <w:sz w:val="24"/>
          <w:szCs w:val="24"/>
          <w:shd w:val="clear" w:color="auto" w:fill="FFFFFF"/>
        </w:rPr>
      </w:pPr>
      <w:r w:rsidRPr="0058344C">
        <w:rPr>
          <w:color w:val="212121"/>
          <w:sz w:val="24"/>
          <w:szCs w:val="24"/>
          <w:shd w:val="clear" w:color="auto" w:fill="FFFFFF"/>
        </w:rPr>
        <w:t xml:space="preserve">Queensland Health found </w:t>
      </w:r>
      <w:r>
        <w:rPr>
          <w:color w:val="212121"/>
          <w:sz w:val="24"/>
          <w:szCs w:val="24"/>
          <w:shd w:val="clear" w:color="auto" w:fill="FFFFFF"/>
        </w:rPr>
        <w:t xml:space="preserve">that for selected women, </w:t>
      </w:r>
      <w:r w:rsidRPr="0058344C">
        <w:rPr>
          <w:color w:val="212121"/>
          <w:sz w:val="24"/>
          <w:szCs w:val="24"/>
          <w:shd w:val="clear" w:color="auto" w:fill="FFFFFF"/>
        </w:rPr>
        <w:t>there is strong evidence that when homebirth is well integrated into the health service, it is beneficial and safe for mothers and babies</w:t>
      </w:r>
      <w:r w:rsidRPr="0058344C">
        <w:footnoteReference w:id="18"/>
      </w:r>
      <w:r w:rsidRPr="0058344C">
        <w:rPr>
          <w:color w:val="212121"/>
          <w:sz w:val="24"/>
          <w:szCs w:val="24"/>
          <w:shd w:val="clear" w:color="auto" w:fill="FFFFFF"/>
        </w:rPr>
        <w:t xml:space="preserve">. </w:t>
      </w:r>
      <w:r>
        <w:rPr>
          <w:color w:val="212121"/>
          <w:sz w:val="24"/>
          <w:szCs w:val="24"/>
          <w:shd w:val="clear" w:color="auto" w:fill="FFFFFF"/>
        </w:rPr>
        <w:t xml:space="preserve">Queensland Health drew information </w:t>
      </w:r>
      <w:r w:rsidRPr="0058344C">
        <w:rPr>
          <w:color w:val="212121"/>
          <w:sz w:val="24"/>
          <w:szCs w:val="24"/>
          <w:shd w:val="clear" w:color="auto" w:fill="FFFFFF"/>
        </w:rPr>
        <w:t xml:space="preserve">from large cohort studies and evaluations of the publicly funded homebirth programs currently operating in Australia. </w:t>
      </w:r>
      <w:r>
        <w:rPr>
          <w:color w:val="212121"/>
          <w:sz w:val="24"/>
          <w:szCs w:val="24"/>
          <w:shd w:val="clear" w:color="auto" w:fill="FFFFFF"/>
        </w:rPr>
        <w:t>The guidance highlighted that i</w:t>
      </w:r>
      <w:r w:rsidRPr="0058344C">
        <w:rPr>
          <w:color w:val="212121"/>
          <w:sz w:val="24"/>
          <w:szCs w:val="24"/>
          <w:shd w:val="clear" w:color="auto" w:fill="FFFFFF"/>
        </w:rPr>
        <w:t>n high-income countries, for selected women at low risk of perinatal complications, planned homebirth at onset of labour is associated with:</w:t>
      </w:r>
      <w:r>
        <w:rPr>
          <w:color w:val="212121"/>
          <w:sz w:val="24"/>
          <w:szCs w:val="24"/>
          <w:shd w:val="clear" w:color="auto" w:fill="FFFFFF"/>
        </w:rPr>
        <w:t xml:space="preserve"> s</w:t>
      </w:r>
      <w:r w:rsidRPr="0058344C">
        <w:rPr>
          <w:color w:val="212121"/>
          <w:sz w:val="24"/>
          <w:szCs w:val="24"/>
          <w:shd w:val="clear" w:color="auto" w:fill="FFFFFF"/>
        </w:rPr>
        <w:t>imilar or better outcomes for mothers and babies</w:t>
      </w:r>
      <w:r>
        <w:rPr>
          <w:color w:val="212121"/>
          <w:sz w:val="24"/>
          <w:szCs w:val="24"/>
          <w:shd w:val="clear" w:color="auto" w:fill="FFFFFF"/>
        </w:rPr>
        <w:t>, h</w:t>
      </w:r>
      <w:r w:rsidRPr="0058344C">
        <w:rPr>
          <w:color w:val="212121"/>
          <w:sz w:val="24"/>
          <w:szCs w:val="24"/>
          <w:shd w:val="clear" w:color="auto" w:fill="FFFFFF"/>
        </w:rPr>
        <w:t>igher levels of childbirth satisfaction</w:t>
      </w:r>
      <w:r>
        <w:rPr>
          <w:color w:val="212121"/>
          <w:sz w:val="24"/>
          <w:szCs w:val="24"/>
          <w:shd w:val="clear" w:color="auto" w:fill="FFFFFF"/>
        </w:rPr>
        <w:t>, r</w:t>
      </w:r>
      <w:r w:rsidRPr="0058344C">
        <w:rPr>
          <w:color w:val="212121"/>
          <w:sz w:val="24"/>
          <w:szCs w:val="24"/>
          <w:shd w:val="clear" w:color="auto" w:fill="FFFFFF"/>
        </w:rPr>
        <w:t>educed healthcare costs</w:t>
      </w:r>
      <w:r>
        <w:rPr>
          <w:color w:val="212121"/>
          <w:sz w:val="24"/>
          <w:szCs w:val="24"/>
          <w:shd w:val="clear" w:color="auto" w:fill="FFFFFF"/>
        </w:rPr>
        <w:t>, and l</w:t>
      </w:r>
      <w:r w:rsidRPr="0058344C">
        <w:rPr>
          <w:color w:val="212121"/>
          <w:sz w:val="24"/>
          <w:szCs w:val="24"/>
          <w:shd w:val="clear" w:color="auto" w:fill="FFFFFF"/>
        </w:rPr>
        <w:t>ess iatrogenic events related to overuse of medical interventions.</w:t>
      </w:r>
      <w:r>
        <w:rPr>
          <w:color w:val="212121"/>
          <w:sz w:val="24"/>
          <w:szCs w:val="24"/>
          <w:shd w:val="clear" w:color="auto" w:fill="FFFFFF"/>
        </w:rPr>
        <w:t xml:space="preserve"> The guidance included support from b</w:t>
      </w:r>
      <w:r w:rsidRPr="0058344C">
        <w:rPr>
          <w:color w:val="212121"/>
          <w:sz w:val="24"/>
          <w:szCs w:val="24"/>
          <w:shd w:val="clear" w:color="auto" w:fill="FFFFFF"/>
        </w:rPr>
        <w:t>oth the Australian College of Midwives (ACM) and the Royal Australian and New Zealand College of Obstetricians and Gynaecologists (RANZCOG) for women’s right to make an informed choice about place of birth.</w:t>
      </w:r>
      <w:r w:rsidR="001943CD">
        <w:rPr>
          <w:color w:val="212121"/>
          <w:sz w:val="24"/>
          <w:szCs w:val="24"/>
          <w:shd w:val="clear" w:color="auto" w:fill="FFFFFF"/>
        </w:rPr>
        <w:t xml:space="preserve"> </w:t>
      </w:r>
      <w:r w:rsidRPr="0058344C">
        <w:rPr>
          <w:color w:val="212121"/>
          <w:sz w:val="24"/>
          <w:szCs w:val="24"/>
          <w:shd w:val="clear" w:color="auto" w:fill="FFFFFF"/>
        </w:rPr>
        <w:t>In Queensland, the percentage of women choosing to have a homebirth has increased from 0.09 per cent in 2011 to 0.5 per cent in 2020. In recent years an indication for local demand can be derived through a 30% increase experienced by private practice midwives in Queensland over the last 2 years.</w:t>
      </w:r>
    </w:p>
    <w:p w:rsidR="00D64766" w:rsidRDefault="00D66664" w:rsidP="00D64766">
      <w:pPr>
        <w:tabs>
          <w:tab w:val="left" w:pos="2127"/>
        </w:tabs>
        <w:ind w:left="567"/>
        <w:rPr>
          <w:sz w:val="24"/>
          <w:szCs w:val="24"/>
        </w:rPr>
      </w:pPr>
      <w:r w:rsidRPr="00D66664">
        <w:rPr>
          <w:rFonts w:cstheme="minorHAnsi"/>
          <w:sz w:val="24"/>
          <w:szCs w:val="24"/>
        </w:rPr>
        <w:t>W</w:t>
      </w:r>
      <w:r w:rsidRPr="00D66664">
        <w:rPr>
          <w:sz w:val="24"/>
          <w:szCs w:val="24"/>
        </w:rPr>
        <w:t xml:space="preserve">omen </w:t>
      </w:r>
      <w:r w:rsidRPr="003968FD">
        <w:rPr>
          <w:rFonts w:cstheme="minorHAnsi"/>
          <w:sz w:val="24"/>
          <w:szCs w:val="24"/>
        </w:rPr>
        <w:t xml:space="preserve">within a 30 km radius of an obstetric hospital </w:t>
      </w:r>
      <w:r w:rsidRPr="00D66664">
        <w:rPr>
          <w:sz w:val="24"/>
          <w:szCs w:val="24"/>
        </w:rPr>
        <w:t xml:space="preserve">who wish to have a low-risk homebirth or intrapartum out of hospital care prior to a planned hospital birth </w:t>
      </w:r>
      <w:r w:rsidR="005A0176">
        <w:rPr>
          <w:sz w:val="24"/>
          <w:szCs w:val="24"/>
        </w:rPr>
        <w:t>will</w:t>
      </w:r>
      <w:r w:rsidRPr="00D66664">
        <w:rPr>
          <w:sz w:val="24"/>
          <w:szCs w:val="24"/>
        </w:rPr>
        <w:t xml:space="preserve"> have choice of care and carer, knowing professional indemnity insurance coverage would be available in case of an adverse event.</w:t>
      </w:r>
    </w:p>
    <w:p w:rsidR="00057596" w:rsidRDefault="00057596" w:rsidP="00057596">
      <w:pPr>
        <w:tabs>
          <w:tab w:val="left" w:pos="2127"/>
        </w:tabs>
        <w:ind w:left="567"/>
        <w:rPr>
          <w:rFonts w:cstheme="minorHAnsi"/>
          <w:sz w:val="24"/>
          <w:szCs w:val="24"/>
        </w:rPr>
      </w:pPr>
      <w:r>
        <w:rPr>
          <w:rFonts w:cstheme="minorHAnsi"/>
          <w:sz w:val="24"/>
          <w:szCs w:val="24"/>
        </w:rPr>
        <w:t>E</w:t>
      </w:r>
      <w:r w:rsidRPr="00F03AAA">
        <w:rPr>
          <w:rFonts w:cstheme="minorHAnsi"/>
          <w:sz w:val="24"/>
          <w:szCs w:val="24"/>
        </w:rPr>
        <w:t>xpand</w:t>
      </w:r>
      <w:r>
        <w:rPr>
          <w:rFonts w:cstheme="minorHAnsi"/>
          <w:sz w:val="24"/>
          <w:szCs w:val="24"/>
        </w:rPr>
        <w:t>ing</w:t>
      </w:r>
      <w:r w:rsidRPr="00F03AAA">
        <w:rPr>
          <w:rFonts w:cstheme="minorHAnsi"/>
          <w:sz w:val="24"/>
          <w:szCs w:val="24"/>
        </w:rPr>
        <w:t xml:space="preserve"> the </w:t>
      </w:r>
      <w:r>
        <w:rPr>
          <w:rFonts w:cstheme="minorHAnsi"/>
          <w:sz w:val="24"/>
          <w:szCs w:val="24"/>
        </w:rPr>
        <w:t>Midwife S</w:t>
      </w:r>
      <w:r w:rsidRPr="00F03AAA">
        <w:rPr>
          <w:rFonts w:cstheme="minorHAnsi"/>
          <w:sz w:val="24"/>
          <w:szCs w:val="24"/>
        </w:rPr>
        <w:t xml:space="preserve">chemes to include low risk homebirth </w:t>
      </w:r>
      <w:r>
        <w:rPr>
          <w:rFonts w:cstheme="minorHAnsi"/>
          <w:sz w:val="24"/>
          <w:szCs w:val="24"/>
        </w:rPr>
        <w:t xml:space="preserve">and intrapartum care </w:t>
      </w:r>
      <w:r w:rsidRPr="001E370D">
        <w:rPr>
          <w:sz w:val="24"/>
          <w:szCs w:val="24"/>
        </w:rPr>
        <w:t>outside a hospital prior to a planned hospital birth</w:t>
      </w:r>
      <w:r w:rsidRPr="00F03AAA">
        <w:rPr>
          <w:rFonts w:cstheme="minorHAnsi"/>
          <w:sz w:val="24"/>
          <w:szCs w:val="24"/>
        </w:rPr>
        <w:t xml:space="preserve"> </w:t>
      </w:r>
      <w:r>
        <w:rPr>
          <w:rFonts w:cstheme="minorHAnsi"/>
          <w:sz w:val="24"/>
          <w:szCs w:val="24"/>
        </w:rPr>
        <w:t xml:space="preserve">is supported by </w:t>
      </w:r>
      <w:r w:rsidRPr="00F03AAA">
        <w:rPr>
          <w:rFonts w:cstheme="minorHAnsi"/>
          <w:sz w:val="24"/>
          <w:szCs w:val="24"/>
        </w:rPr>
        <w:t>published evidence that the rate of adverse events is extremely low. Davis-Tuck et al in BMC Pregnancy and Childbirth (2018) studied trends in planned private homebirth in Victoria, Australia from 2000 – 2015, and concluded that “planned homebirth attended by a registered midwife was associated with very low and comparable rates of perinatal death and lower rates of obstetric interventions and other adverse perinatal outcomes compared with planned hospital birth attended by a midwife or physician”.</w:t>
      </w:r>
    </w:p>
    <w:p w:rsidR="00057596" w:rsidRDefault="00057596" w:rsidP="00057596">
      <w:pPr>
        <w:tabs>
          <w:tab w:val="left" w:pos="2127"/>
        </w:tabs>
        <w:ind w:left="567"/>
        <w:rPr>
          <w:rFonts w:cstheme="minorHAnsi"/>
          <w:sz w:val="24"/>
          <w:szCs w:val="24"/>
        </w:rPr>
      </w:pPr>
      <w:r w:rsidRPr="003968FD">
        <w:rPr>
          <w:rFonts w:cstheme="minorHAnsi"/>
          <w:sz w:val="24"/>
          <w:szCs w:val="24"/>
        </w:rPr>
        <w:t>It will provide broader midwifery coverage and more choice for women, which may in turn decrease the risk of free-births which risk public safety.</w:t>
      </w:r>
    </w:p>
    <w:p w:rsidR="005A0176" w:rsidRPr="005A0176" w:rsidRDefault="005A0176" w:rsidP="005A0176">
      <w:pPr>
        <w:tabs>
          <w:tab w:val="left" w:pos="2127"/>
        </w:tabs>
        <w:spacing w:after="0"/>
        <w:ind w:left="567"/>
        <w:rPr>
          <w:rFonts w:cstheme="minorHAnsi"/>
          <w:i/>
          <w:sz w:val="24"/>
          <w:szCs w:val="24"/>
        </w:rPr>
      </w:pPr>
      <w:r w:rsidRPr="005A0176">
        <w:rPr>
          <w:rFonts w:cstheme="minorHAnsi"/>
          <w:i/>
          <w:sz w:val="24"/>
          <w:szCs w:val="24"/>
        </w:rPr>
        <w:t>PPM scope of practice</w:t>
      </w:r>
    </w:p>
    <w:p w:rsidR="00FC2AD5" w:rsidRDefault="00FC2AD5" w:rsidP="00FC2AD5">
      <w:pPr>
        <w:tabs>
          <w:tab w:val="left" w:pos="2127"/>
        </w:tabs>
        <w:ind w:left="567"/>
        <w:rPr>
          <w:rFonts w:cstheme="minorHAnsi"/>
          <w:sz w:val="24"/>
          <w:szCs w:val="24"/>
        </w:rPr>
      </w:pPr>
      <w:r w:rsidRPr="00D66664">
        <w:rPr>
          <w:rFonts w:cstheme="minorHAnsi"/>
          <w:sz w:val="24"/>
          <w:szCs w:val="24"/>
        </w:rPr>
        <w:t xml:space="preserve">The midwifery profession have been advocating for a solution to this issue, lobbying successive governments since 2010 to find a resolution. </w:t>
      </w:r>
    </w:p>
    <w:p w:rsidR="00FC2AD5" w:rsidRPr="00FC2AD5" w:rsidRDefault="00FC2AD5" w:rsidP="00FC2AD5">
      <w:pPr>
        <w:tabs>
          <w:tab w:val="left" w:pos="2127"/>
        </w:tabs>
        <w:ind w:left="567"/>
        <w:rPr>
          <w:rFonts w:cstheme="minorHAnsi"/>
          <w:sz w:val="24"/>
          <w:szCs w:val="24"/>
        </w:rPr>
      </w:pPr>
      <w:r w:rsidRPr="00824722">
        <w:rPr>
          <w:rFonts w:cstheme="minorHAnsi"/>
          <w:sz w:val="24"/>
          <w:szCs w:val="24"/>
        </w:rPr>
        <w:t xml:space="preserve">PPMs covered by the MPIS hold an endorsement for scheduled medicines, are regulated under the NMBA Safety and Quality Guidelines, and use the ACM Guidelines for Consultation and Referral. </w:t>
      </w:r>
      <w:r w:rsidRPr="00824722">
        <w:rPr>
          <w:sz w:val="24"/>
          <w:szCs w:val="24"/>
        </w:rPr>
        <w:t>Any Midwives found to not be adhering to these regulation and registration standards can be reported to the Nursing &amp; Midwifery Board of Australia and if found in breach may face disciplinary action, including restriction to practice or de-registration.</w:t>
      </w:r>
    </w:p>
    <w:p w:rsidR="00D66664" w:rsidRDefault="00D66664" w:rsidP="00D66664">
      <w:pPr>
        <w:tabs>
          <w:tab w:val="left" w:pos="2127"/>
        </w:tabs>
        <w:ind w:left="567"/>
        <w:rPr>
          <w:rFonts w:cstheme="minorHAnsi"/>
          <w:sz w:val="24"/>
          <w:szCs w:val="24"/>
        </w:rPr>
      </w:pPr>
      <w:r>
        <w:rPr>
          <w:rFonts w:cstheme="minorHAnsi"/>
          <w:sz w:val="24"/>
          <w:szCs w:val="24"/>
        </w:rPr>
        <w:t xml:space="preserve">Under this option, </w:t>
      </w:r>
      <w:r w:rsidRPr="00D66664">
        <w:rPr>
          <w:sz w:val="24"/>
          <w:szCs w:val="24"/>
        </w:rPr>
        <w:t xml:space="preserve">PPMs </w:t>
      </w:r>
      <w:r w:rsidR="005A0176" w:rsidRPr="003968FD">
        <w:rPr>
          <w:rFonts w:cstheme="minorHAnsi"/>
          <w:sz w:val="24"/>
          <w:szCs w:val="24"/>
        </w:rPr>
        <w:t>will have the ability to work to the full scope of their practice</w:t>
      </w:r>
      <w:r w:rsidR="005A0176">
        <w:rPr>
          <w:rFonts w:cstheme="minorHAnsi"/>
          <w:sz w:val="24"/>
          <w:szCs w:val="24"/>
        </w:rPr>
        <w:t xml:space="preserve"> and</w:t>
      </w:r>
      <w:r>
        <w:rPr>
          <w:rFonts w:cstheme="minorHAnsi"/>
          <w:sz w:val="24"/>
          <w:szCs w:val="24"/>
        </w:rPr>
        <w:t xml:space="preserve"> </w:t>
      </w:r>
      <w:r w:rsidRPr="003968FD">
        <w:rPr>
          <w:rFonts w:cstheme="minorHAnsi"/>
          <w:sz w:val="24"/>
          <w:szCs w:val="24"/>
        </w:rPr>
        <w:t xml:space="preserve">have the comfort they are performing as an insured practitioner. </w:t>
      </w:r>
      <w:r w:rsidR="00FC2AD5">
        <w:rPr>
          <w:rFonts w:cstheme="minorHAnsi"/>
          <w:sz w:val="24"/>
          <w:szCs w:val="24"/>
        </w:rPr>
        <w:t>PPMs will be responsible for determining low-risk suitability for homebirth.</w:t>
      </w:r>
    </w:p>
    <w:p w:rsidR="0099402E" w:rsidRPr="00824722" w:rsidRDefault="0099402E" w:rsidP="0099402E">
      <w:pPr>
        <w:tabs>
          <w:tab w:val="left" w:pos="2127"/>
        </w:tabs>
        <w:spacing w:after="0"/>
        <w:ind w:left="567"/>
        <w:rPr>
          <w:rFonts w:cstheme="minorHAnsi"/>
          <w:i/>
          <w:sz w:val="24"/>
          <w:szCs w:val="24"/>
        </w:rPr>
      </w:pPr>
      <w:r w:rsidRPr="00824722">
        <w:rPr>
          <w:rFonts w:cstheme="minorHAnsi"/>
          <w:i/>
          <w:sz w:val="24"/>
          <w:szCs w:val="24"/>
        </w:rPr>
        <w:t>Workforce</w:t>
      </w:r>
    </w:p>
    <w:p w:rsidR="007D45B7" w:rsidRPr="00824722" w:rsidRDefault="0099402E" w:rsidP="007D45B7">
      <w:pPr>
        <w:tabs>
          <w:tab w:val="left" w:pos="2127"/>
        </w:tabs>
        <w:ind w:left="567"/>
        <w:rPr>
          <w:rFonts w:cstheme="minorHAnsi"/>
          <w:sz w:val="24"/>
          <w:szCs w:val="24"/>
        </w:rPr>
      </w:pPr>
      <w:r w:rsidRPr="00824722">
        <w:rPr>
          <w:rFonts w:cstheme="minorHAnsi"/>
          <w:sz w:val="24"/>
          <w:szCs w:val="24"/>
        </w:rPr>
        <w:t>The availability of an insurance product is expected to address workforce challenges by supporting midwife recruitment, service expansion, and is likely to reduce attrition amongst existing midwives.</w:t>
      </w:r>
      <w:r w:rsidR="007D45B7" w:rsidRPr="00824722">
        <w:rPr>
          <w:rFonts w:cstheme="minorHAnsi"/>
          <w:sz w:val="24"/>
          <w:szCs w:val="24"/>
        </w:rPr>
        <w:t xml:space="preserve"> It is important to note that BoC models of care experience additional workforce challenges due to the rural and remote locations and need to employ First Nations midwives where possible. </w:t>
      </w:r>
    </w:p>
    <w:p w:rsidR="005A0176" w:rsidRPr="00824722" w:rsidRDefault="005A0176" w:rsidP="005A0176">
      <w:pPr>
        <w:tabs>
          <w:tab w:val="left" w:pos="2127"/>
        </w:tabs>
        <w:spacing w:after="0"/>
        <w:ind w:left="567"/>
        <w:rPr>
          <w:rFonts w:cstheme="minorHAnsi"/>
          <w:i/>
          <w:sz w:val="24"/>
          <w:szCs w:val="24"/>
        </w:rPr>
      </w:pPr>
      <w:r w:rsidRPr="00824722">
        <w:rPr>
          <w:rFonts w:cstheme="minorHAnsi"/>
          <w:i/>
          <w:sz w:val="24"/>
          <w:szCs w:val="24"/>
        </w:rPr>
        <w:t>Birthing on country</w:t>
      </w:r>
      <w:r w:rsidR="00596D1A" w:rsidRPr="00824722">
        <w:rPr>
          <w:rFonts w:cstheme="minorHAnsi"/>
          <w:i/>
          <w:sz w:val="24"/>
          <w:szCs w:val="24"/>
        </w:rPr>
        <w:t xml:space="preserve"> models of care</w:t>
      </w:r>
    </w:p>
    <w:p w:rsidR="00FD17EE" w:rsidRPr="00824722" w:rsidRDefault="00B2476A" w:rsidP="00B2476A">
      <w:pPr>
        <w:tabs>
          <w:tab w:val="left" w:pos="2127"/>
        </w:tabs>
        <w:ind w:left="567"/>
        <w:rPr>
          <w:rFonts w:cstheme="minorHAnsi"/>
          <w:sz w:val="24"/>
          <w:szCs w:val="24"/>
        </w:rPr>
      </w:pPr>
      <w:r w:rsidRPr="00824722">
        <w:rPr>
          <w:rFonts w:cstheme="minorHAnsi"/>
          <w:sz w:val="24"/>
          <w:szCs w:val="24"/>
        </w:rPr>
        <w:t>This option holds profound significance for improving maternity care access and outcomes for First Nations communities</w:t>
      </w:r>
      <w:r w:rsidR="00FD17EE" w:rsidRPr="00824722">
        <w:rPr>
          <w:rFonts w:cstheme="minorHAnsi"/>
          <w:sz w:val="24"/>
          <w:szCs w:val="24"/>
        </w:rPr>
        <w:t xml:space="preserve">. </w:t>
      </w:r>
      <w:r w:rsidRPr="00824722">
        <w:rPr>
          <w:rFonts w:cstheme="minorHAnsi"/>
          <w:sz w:val="24"/>
          <w:szCs w:val="24"/>
        </w:rPr>
        <w:t>BoC models offer culturally safe, community-led maternity services, a crucial need for First Nations women and babies.</w:t>
      </w:r>
      <w:r w:rsidR="00FD17EE" w:rsidRPr="00824722">
        <w:rPr>
          <w:rFonts w:cstheme="minorHAnsi"/>
          <w:sz w:val="24"/>
          <w:szCs w:val="24"/>
        </w:rPr>
        <w:t xml:space="preserve"> The positive health outcomes associated with BoC models for First Nations mothers and babies include reduced preterm birth rates and a decrease in child removal at birth.</w:t>
      </w:r>
    </w:p>
    <w:p w:rsidR="00A30C93" w:rsidRPr="00D66664" w:rsidRDefault="003B5079" w:rsidP="00A30C93">
      <w:pPr>
        <w:tabs>
          <w:tab w:val="left" w:pos="2127"/>
        </w:tabs>
        <w:ind w:left="567"/>
        <w:rPr>
          <w:rFonts w:cstheme="minorHAnsi"/>
          <w:sz w:val="24"/>
          <w:szCs w:val="24"/>
        </w:rPr>
      </w:pPr>
      <w:r w:rsidRPr="00824722">
        <w:rPr>
          <w:rFonts w:cstheme="minorHAnsi"/>
          <w:sz w:val="24"/>
          <w:szCs w:val="24"/>
        </w:rPr>
        <w:t xml:space="preserve">This option addresses both individual and entity insurance gaps and ensures </w:t>
      </w:r>
      <w:r w:rsidRPr="00824722">
        <w:rPr>
          <w:rFonts w:cstheme="minorHAnsi"/>
          <w:sz w:val="24"/>
          <w:szCs w:val="24"/>
        </w:rPr>
        <w:br/>
        <w:t xml:space="preserve">a comprehensive and equitable approach to maternity care options, including culturally-safe BoC services for First Nations communities. </w:t>
      </w:r>
      <w:r w:rsidR="00A30C93" w:rsidRPr="00824722">
        <w:rPr>
          <w:sz w:val="24"/>
          <w:szCs w:val="24"/>
        </w:rPr>
        <w:t xml:space="preserve">First Nations women (or women pregnant with a First Nations baby) would have access to culturally safe, continuous midwifery care with an insured PPM. </w:t>
      </w:r>
      <w:r w:rsidR="00A30C93" w:rsidRPr="00824722">
        <w:rPr>
          <w:rFonts w:cstheme="minorHAnsi"/>
          <w:sz w:val="24"/>
          <w:szCs w:val="24"/>
        </w:rPr>
        <w:t xml:space="preserve">ACCHOS will have the ability to employ midwives to provide </w:t>
      </w:r>
      <w:r w:rsidR="007D45B7" w:rsidRPr="00824722">
        <w:rPr>
          <w:rFonts w:cstheme="minorHAnsi"/>
          <w:sz w:val="24"/>
          <w:szCs w:val="24"/>
        </w:rPr>
        <w:t>intrapartum care outside a hospital</w:t>
      </w:r>
      <w:r w:rsidR="00A30C93" w:rsidRPr="00824722">
        <w:rPr>
          <w:rFonts w:cstheme="minorHAnsi"/>
          <w:sz w:val="24"/>
          <w:szCs w:val="24"/>
        </w:rPr>
        <w:t>, noting that insurers classify any birth outside a hospital as a private planned homebirth service.</w:t>
      </w:r>
      <w:r w:rsidR="00A30C93" w:rsidRPr="00D66664">
        <w:rPr>
          <w:rFonts w:cstheme="minorHAnsi"/>
          <w:sz w:val="24"/>
          <w:szCs w:val="24"/>
        </w:rPr>
        <w:t xml:space="preserve"> </w:t>
      </w:r>
    </w:p>
    <w:p w:rsidR="00B2476A" w:rsidRPr="00C60D79" w:rsidRDefault="003B5079" w:rsidP="00C60D79">
      <w:pPr>
        <w:tabs>
          <w:tab w:val="left" w:pos="2127"/>
        </w:tabs>
        <w:spacing w:after="0"/>
        <w:ind w:left="567"/>
        <w:rPr>
          <w:rFonts w:cstheme="minorHAnsi"/>
          <w:i/>
          <w:sz w:val="24"/>
          <w:szCs w:val="24"/>
        </w:rPr>
      </w:pPr>
      <w:r w:rsidRPr="00C60D79">
        <w:rPr>
          <w:rFonts w:cstheme="minorHAnsi"/>
          <w:i/>
          <w:sz w:val="24"/>
          <w:szCs w:val="24"/>
        </w:rPr>
        <w:t>ACC</w:t>
      </w:r>
      <w:r w:rsidR="007D45B7" w:rsidRPr="00C60D79">
        <w:rPr>
          <w:rFonts w:cstheme="minorHAnsi"/>
          <w:i/>
          <w:sz w:val="24"/>
          <w:szCs w:val="24"/>
        </w:rPr>
        <w:t>HOs</w:t>
      </w:r>
    </w:p>
    <w:p w:rsidR="00FD17EE" w:rsidRDefault="00B2476A" w:rsidP="00B2476A">
      <w:pPr>
        <w:tabs>
          <w:tab w:val="left" w:pos="2127"/>
        </w:tabs>
        <w:ind w:left="567"/>
        <w:rPr>
          <w:rFonts w:cstheme="minorHAnsi"/>
          <w:sz w:val="24"/>
          <w:szCs w:val="24"/>
        </w:rPr>
      </w:pPr>
      <w:r>
        <w:rPr>
          <w:rFonts w:cstheme="minorHAnsi"/>
          <w:sz w:val="24"/>
          <w:szCs w:val="24"/>
        </w:rPr>
        <w:t>T</w:t>
      </w:r>
      <w:r w:rsidRPr="00B2476A">
        <w:rPr>
          <w:rFonts w:cstheme="minorHAnsi"/>
          <w:sz w:val="24"/>
          <w:szCs w:val="24"/>
        </w:rPr>
        <w:t xml:space="preserve">he existing insurance gap poses a significant barrier to the development and expansion of </w:t>
      </w:r>
      <w:r>
        <w:rPr>
          <w:rFonts w:cstheme="minorHAnsi"/>
          <w:sz w:val="24"/>
          <w:szCs w:val="24"/>
        </w:rPr>
        <w:t>BoC</w:t>
      </w:r>
      <w:r w:rsidRPr="00B2476A">
        <w:rPr>
          <w:rFonts w:cstheme="minorHAnsi"/>
          <w:sz w:val="24"/>
          <w:szCs w:val="24"/>
        </w:rPr>
        <w:t xml:space="preserve"> models</w:t>
      </w:r>
      <w:r w:rsidR="00C8223B">
        <w:rPr>
          <w:rFonts w:cstheme="minorHAnsi"/>
          <w:sz w:val="24"/>
          <w:szCs w:val="24"/>
        </w:rPr>
        <w:t xml:space="preserve"> of care</w:t>
      </w:r>
      <w:r w:rsidRPr="00B2476A">
        <w:rPr>
          <w:rFonts w:cstheme="minorHAnsi"/>
          <w:sz w:val="24"/>
          <w:szCs w:val="24"/>
        </w:rPr>
        <w:t xml:space="preserve">. </w:t>
      </w:r>
      <w:r w:rsidRPr="00596D1A">
        <w:rPr>
          <w:rFonts w:cstheme="minorHAnsi"/>
          <w:sz w:val="24"/>
          <w:szCs w:val="24"/>
        </w:rPr>
        <w:t xml:space="preserve">No insurer has indicated a willingness to provide PII cover </w:t>
      </w:r>
      <w:r>
        <w:rPr>
          <w:rFonts w:cstheme="minorHAnsi"/>
          <w:sz w:val="24"/>
          <w:szCs w:val="24"/>
        </w:rPr>
        <w:t>for</w:t>
      </w:r>
      <w:r w:rsidRPr="00596D1A">
        <w:rPr>
          <w:rFonts w:cstheme="minorHAnsi"/>
          <w:sz w:val="24"/>
          <w:szCs w:val="24"/>
        </w:rPr>
        <w:t xml:space="preserve"> intrapartum care outside a hospital under the existing Government supports available through the Midwives Schemes. This gap in cover was identified late last year and was threatening delivery of these services and was particularly sensitive with ACCHOs providing services under </w:t>
      </w:r>
      <w:r>
        <w:rPr>
          <w:rFonts w:cstheme="minorHAnsi"/>
          <w:sz w:val="24"/>
          <w:szCs w:val="24"/>
        </w:rPr>
        <w:t xml:space="preserve">BoC models of care. </w:t>
      </w:r>
    </w:p>
    <w:p w:rsidR="00FD17EE" w:rsidRPr="00596D1A" w:rsidRDefault="00FD17EE" w:rsidP="00FD17EE">
      <w:pPr>
        <w:tabs>
          <w:tab w:val="left" w:pos="2127"/>
        </w:tabs>
        <w:ind w:left="567"/>
        <w:rPr>
          <w:rFonts w:cstheme="minorHAnsi"/>
          <w:sz w:val="24"/>
          <w:szCs w:val="24"/>
        </w:rPr>
      </w:pPr>
      <w:r w:rsidRPr="00596D1A">
        <w:rPr>
          <w:rFonts w:cstheme="minorHAnsi"/>
          <w:sz w:val="24"/>
          <w:szCs w:val="24"/>
        </w:rPr>
        <w:t xml:space="preserve">An interim solution was found to this issue through the Department (under authorisation from the Minister for Finance) granting an indemnity under s60 of the PGPA Act to </w:t>
      </w:r>
      <w:r>
        <w:rPr>
          <w:rFonts w:cstheme="minorHAnsi"/>
          <w:sz w:val="24"/>
          <w:szCs w:val="24"/>
        </w:rPr>
        <w:t>the current insurer</w:t>
      </w:r>
      <w:r w:rsidRPr="00596D1A">
        <w:rPr>
          <w:rFonts w:cstheme="minorHAnsi"/>
          <w:sz w:val="24"/>
          <w:szCs w:val="24"/>
        </w:rPr>
        <w:t xml:space="preserve"> to cover 100% of the costs of claims arising from these services. </w:t>
      </w:r>
      <w:r>
        <w:rPr>
          <w:rFonts w:cstheme="minorHAnsi"/>
          <w:sz w:val="24"/>
          <w:szCs w:val="24"/>
        </w:rPr>
        <w:t xml:space="preserve">The insurer </w:t>
      </w:r>
      <w:r w:rsidRPr="00596D1A">
        <w:rPr>
          <w:rFonts w:cstheme="minorHAnsi"/>
          <w:sz w:val="24"/>
          <w:szCs w:val="24"/>
        </w:rPr>
        <w:t xml:space="preserve">then made cover for these services available to individual midwives. The indemnity was limited to 30 June 2025 to address the immediate threat to service delivery and allow time for Government to consider how best to implement a long term solution to this issue.  </w:t>
      </w:r>
    </w:p>
    <w:p w:rsidR="00FD17EE" w:rsidRPr="0088774B" w:rsidRDefault="00FD17EE" w:rsidP="00FD17EE">
      <w:pPr>
        <w:tabs>
          <w:tab w:val="left" w:pos="2127"/>
        </w:tabs>
        <w:ind w:left="567"/>
        <w:rPr>
          <w:rFonts w:cstheme="minorHAnsi"/>
          <w:sz w:val="24"/>
          <w:szCs w:val="24"/>
        </w:rPr>
      </w:pPr>
      <w:r w:rsidRPr="0088774B">
        <w:rPr>
          <w:rFonts w:cstheme="minorHAnsi"/>
          <w:sz w:val="24"/>
          <w:szCs w:val="24"/>
        </w:rPr>
        <w:t xml:space="preserve">Under this option, intrapartum out of hospital services will now be covered by specific legislation, including amendments to the Midwives Schemes legislation. The cover, with Government paying 100% of claims, will be available both to individual midwives directly as well as to certain specified entities who employ midwives engaged in delivery of these services related to BoC models of care. This responds to concerns from the ACCHOs that the entity who employs the midwife (an ACCHO directly or an employer organisation who provides the midwives for the ACCHOs) also needs to have cover available in case the employer was also sued for the actions of the midwives. The ACCHOs position is that unless these entities are also able to access cover then the ‘gap’ in insurance remains and they would need to cease services. The extension to cover these entities would only apply in relation to organisations specified in sub-delegated legislation such as a Ministerial determination (these would be ACCHOs or entities employing midwives operating in </w:t>
      </w:r>
      <w:r w:rsidR="00C8223B">
        <w:rPr>
          <w:rFonts w:cstheme="minorHAnsi"/>
          <w:sz w:val="24"/>
          <w:szCs w:val="24"/>
        </w:rPr>
        <w:t>BoC</w:t>
      </w:r>
      <w:r w:rsidRPr="0088774B">
        <w:rPr>
          <w:rFonts w:cstheme="minorHAnsi"/>
          <w:sz w:val="24"/>
          <w:szCs w:val="24"/>
        </w:rPr>
        <w:t xml:space="preserve"> services).</w:t>
      </w:r>
    </w:p>
    <w:p w:rsidR="00B2476A" w:rsidRPr="00824722" w:rsidRDefault="00FD17EE" w:rsidP="00B2476A">
      <w:pPr>
        <w:tabs>
          <w:tab w:val="left" w:pos="2127"/>
        </w:tabs>
        <w:ind w:left="567"/>
        <w:rPr>
          <w:rFonts w:cstheme="minorHAnsi"/>
          <w:sz w:val="24"/>
          <w:szCs w:val="24"/>
        </w:rPr>
      </w:pPr>
      <w:r w:rsidRPr="00824722">
        <w:rPr>
          <w:rFonts w:cstheme="minorHAnsi"/>
          <w:sz w:val="24"/>
          <w:szCs w:val="24"/>
        </w:rPr>
        <w:t xml:space="preserve">This option establishes </w:t>
      </w:r>
      <w:r w:rsidR="00B2476A" w:rsidRPr="00824722">
        <w:rPr>
          <w:rFonts w:cstheme="minorHAnsi"/>
          <w:sz w:val="24"/>
          <w:szCs w:val="24"/>
        </w:rPr>
        <w:t xml:space="preserve">a pathway for ACCHOs to secure insurance for midwives, </w:t>
      </w:r>
      <w:r w:rsidRPr="00824722">
        <w:rPr>
          <w:rFonts w:cstheme="minorHAnsi"/>
          <w:sz w:val="24"/>
          <w:szCs w:val="24"/>
        </w:rPr>
        <w:t xml:space="preserve">which </w:t>
      </w:r>
      <w:r w:rsidR="00B2476A" w:rsidRPr="00824722">
        <w:rPr>
          <w:rFonts w:cstheme="minorHAnsi"/>
          <w:sz w:val="24"/>
          <w:szCs w:val="24"/>
        </w:rPr>
        <w:t>directly supports the continuity and expansion of vital BoC services.</w:t>
      </w:r>
    </w:p>
    <w:p w:rsidR="00FD17EE" w:rsidRPr="00C60D79" w:rsidRDefault="003B5079" w:rsidP="00C60D79">
      <w:pPr>
        <w:tabs>
          <w:tab w:val="left" w:pos="2127"/>
        </w:tabs>
        <w:spacing w:after="0"/>
        <w:ind w:left="567"/>
        <w:rPr>
          <w:rFonts w:cstheme="minorHAnsi"/>
          <w:i/>
          <w:sz w:val="24"/>
          <w:szCs w:val="24"/>
        </w:rPr>
      </w:pPr>
      <w:r w:rsidRPr="00C60D79">
        <w:rPr>
          <w:rFonts w:cstheme="minorHAnsi"/>
          <w:i/>
          <w:sz w:val="24"/>
          <w:szCs w:val="24"/>
        </w:rPr>
        <w:t>Closing the Gap</w:t>
      </w:r>
    </w:p>
    <w:p w:rsidR="00B2476A" w:rsidRPr="00B2476A" w:rsidRDefault="003B5079" w:rsidP="00B2476A">
      <w:pPr>
        <w:tabs>
          <w:tab w:val="left" w:pos="2127"/>
        </w:tabs>
        <w:ind w:left="567"/>
        <w:rPr>
          <w:rFonts w:cstheme="minorHAnsi"/>
          <w:sz w:val="24"/>
          <w:szCs w:val="24"/>
        </w:rPr>
      </w:pPr>
      <w:r w:rsidRPr="00824722">
        <w:rPr>
          <w:rFonts w:cstheme="minorHAnsi"/>
          <w:sz w:val="24"/>
          <w:szCs w:val="24"/>
        </w:rPr>
        <w:t xml:space="preserve">By facilitating insurance access, this option has the potential to contribute to healthier mothers, babies, and communities, </w:t>
      </w:r>
      <w:r w:rsidR="00C8223B" w:rsidRPr="00824722">
        <w:rPr>
          <w:rFonts w:cstheme="minorHAnsi"/>
          <w:sz w:val="24"/>
          <w:szCs w:val="24"/>
        </w:rPr>
        <w:t xml:space="preserve">building on momentum towards achieving the National Agreement on </w:t>
      </w:r>
      <w:r w:rsidRPr="00824722">
        <w:rPr>
          <w:rFonts w:cstheme="minorHAnsi"/>
          <w:sz w:val="24"/>
          <w:szCs w:val="24"/>
        </w:rPr>
        <w:t>Closing the Gap</w:t>
      </w:r>
      <w:r w:rsidR="00C8223B" w:rsidRPr="00824722">
        <w:rPr>
          <w:rFonts w:cstheme="minorHAnsi"/>
          <w:sz w:val="24"/>
          <w:szCs w:val="24"/>
        </w:rPr>
        <w:t>. In particular, Closing the Gap Target 2 which is one of the few targets reported by the Productivity Commission that is now on track to be met by 2031 (progress which is welcomed by the Commonwealth following recent investments in BoC models of care.</w:t>
      </w:r>
      <w:r w:rsidRPr="00824722">
        <w:rPr>
          <w:rFonts w:cstheme="minorHAnsi"/>
          <w:sz w:val="24"/>
          <w:szCs w:val="24"/>
        </w:rPr>
        <w:t xml:space="preserve"> </w:t>
      </w:r>
      <w:r w:rsidR="00FD17EE" w:rsidRPr="00824722">
        <w:rPr>
          <w:rFonts w:cstheme="minorHAnsi"/>
          <w:sz w:val="24"/>
          <w:szCs w:val="24"/>
        </w:rPr>
        <w:t xml:space="preserve">This </w:t>
      </w:r>
      <w:r w:rsidR="00B2476A" w:rsidRPr="00824722">
        <w:rPr>
          <w:rFonts w:cstheme="minorHAnsi"/>
          <w:sz w:val="24"/>
          <w:szCs w:val="24"/>
        </w:rPr>
        <w:t>option aligns with several Priority Reforms within the Closing the Gap</w:t>
      </w:r>
      <w:r w:rsidR="00A30C93" w:rsidRPr="00824722">
        <w:rPr>
          <w:rFonts w:cstheme="minorHAnsi"/>
          <w:sz w:val="24"/>
          <w:szCs w:val="24"/>
        </w:rPr>
        <w:t xml:space="preserve"> </w:t>
      </w:r>
      <w:r w:rsidR="00B2476A" w:rsidRPr="00824722">
        <w:rPr>
          <w:rFonts w:cstheme="minorHAnsi"/>
          <w:sz w:val="24"/>
          <w:szCs w:val="24"/>
        </w:rPr>
        <w:t>framework. Enabling insurance access fosters genuine partnerships and shared decision-making between ACCHOs a</w:t>
      </w:r>
      <w:r w:rsidR="00C8223B" w:rsidRPr="00824722">
        <w:rPr>
          <w:rFonts w:cstheme="minorHAnsi"/>
          <w:sz w:val="24"/>
          <w:szCs w:val="24"/>
        </w:rPr>
        <w:t>nd midwives (Priority Reform 1), and i</w:t>
      </w:r>
      <w:r w:rsidR="00B2476A" w:rsidRPr="00824722">
        <w:rPr>
          <w:rFonts w:cstheme="minorHAnsi"/>
          <w:sz w:val="24"/>
          <w:szCs w:val="24"/>
        </w:rPr>
        <w:t>t strengthens the First Nations community-controlled sector by supporting sustainable ACCHO-led BoC services (Priority Reform 2). Additionally, this option creates the opportunity for improved data collection and sharing on birthing outcomes, empowering First Nations communities with information for advocacy and effective service planning (Priority Reform 4).</w:t>
      </w:r>
    </w:p>
    <w:p w:rsidR="00C1720F" w:rsidRPr="003968FD" w:rsidRDefault="00C1720F" w:rsidP="00C1720F">
      <w:pPr>
        <w:tabs>
          <w:tab w:val="left" w:pos="2127"/>
        </w:tabs>
        <w:ind w:left="567"/>
        <w:rPr>
          <w:rFonts w:cstheme="minorHAnsi"/>
          <w:sz w:val="24"/>
          <w:szCs w:val="24"/>
        </w:rPr>
      </w:pPr>
      <w:r w:rsidRPr="003968FD">
        <w:rPr>
          <w:rFonts w:cstheme="minorHAnsi"/>
          <w:sz w:val="24"/>
          <w:szCs w:val="24"/>
        </w:rPr>
        <w:t xml:space="preserve">This option </w:t>
      </w:r>
      <w:r w:rsidR="00A30C93">
        <w:rPr>
          <w:rFonts w:cstheme="minorHAnsi"/>
          <w:sz w:val="24"/>
          <w:szCs w:val="24"/>
        </w:rPr>
        <w:t xml:space="preserve">also </w:t>
      </w:r>
      <w:r w:rsidRPr="003968FD">
        <w:rPr>
          <w:rFonts w:cstheme="minorHAnsi"/>
          <w:sz w:val="24"/>
          <w:szCs w:val="24"/>
        </w:rPr>
        <w:t xml:space="preserve">aligns with the Government’s election commitment to invest in </w:t>
      </w:r>
      <w:r w:rsidR="00C8223B">
        <w:rPr>
          <w:rFonts w:cstheme="minorHAnsi"/>
          <w:sz w:val="24"/>
          <w:szCs w:val="24"/>
        </w:rPr>
        <w:t>First Nations</w:t>
      </w:r>
      <w:r w:rsidRPr="003968FD">
        <w:rPr>
          <w:rFonts w:cstheme="minorHAnsi"/>
          <w:sz w:val="24"/>
          <w:szCs w:val="24"/>
        </w:rPr>
        <w:t xml:space="preserve"> health, including $22.5 million to build a dedicated Birthing on Country</w:t>
      </w:r>
      <w:r w:rsidR="0042515E" w:rsidRPr="003968FD">
        <w:rPr>
          <w:rFonts w:cstheme="minorHAnsi"/>
          <w:sz w:val="24"/>
          <w:szCs w:val="24"/>
        </w:rPr>
        <w:t xml:space="preserve"> Centre of Excellence at the Wam</w:t>
      </w:r>
      <w:r w:rsidRPr="003968FD">
        <w:rPr>
          <w:rFonts w:cstheme="minorHAnsi"/>
          <w:sz w:val="24"/>
          <w:szCs w:val="24"/>
        </w:rPr>
        <w:t>inda Health Service in Nowra NSW.</w:t>
      </w:r>
    </w:p>
    <w:p w:rsidR="00057596" w:rsidRPr="00057596" w:rsidRDefault="00057596" w:rsidP="00057596">
      <w:pPr>
        <w:tabs>
          <w:tab w:val="left" w:pos="2127"/>
        </w:tabs>
        <w:spacing w:after="0"/>
        <w:ind w:left="567"/>
        <w:rPr>
          <w:rFonts w:cstheme="minorHAnsi"/>
          <w:i/>
          <w:sz w:val="24"/>
          <w:szCs w:val="24"/>
        </w:rPr>
      </w:pPr>
      <w:r w:rsidRPr="00057596">
        <w:rPr>
          <w:rFonts w:cstheme="minorHAnsi"/>
          <w:i/>
          <w:sz w:val="24"/>
          <w:szCs w:val="24"/>
        </w:rPr>
        <w:t>Regional and rural</w:t>
      </w:r>
    </w:p>
    <w:p w:rsidR="00A30C93" w:rsidRPr="00B2476A" w:rsidRDefault="00A30C93" w:rsidP="00A30C93">
      <w:pPr>
        <w:tabs>
          <w:tab w:val="left" w:pos="2127"/>
        </w:tabs>
        <w:ind w:left="567"/>
        <w:rPr>
          <w:rFonts w:cstheme="minorHAnsi"/>
          <w:sz w:val="24"/>
          <w:szCs w:val="24"/>
        </w:rPr>
      </w:pPr>
      <w:r>
        <w:rPr>
          <w:rFonts w:cstheme="minorHAnsi"/>
          <w:sz w:val="24"/>
          <w:szCs w:val="24"/>
        </w:rPr>
        <w:t xml:space="preserve">Currently, </w:t>
      </w:r>
      <w:r w:rsidRPr="00B2476A">
        <w:rPr>
          <w:rFonts w:cstheme="minorHAnsi"/>
          <w:sz w:val="24"/>
          <w:szCs w:val="24"/>
        </w:rPr>
        <w:t>the lack of insured homebirth midwives severely limits birthing choices</w:t>
      </w:r>
      <w:r>
        <w:rPr>
          <w:rFonts w:cstheme="minorHAnsi"/>
          <w:sz w:val="24"/>
          <w:szCs w:val="24"/>
        </w:rPr>
        <w:t xml:space="preserve"> </w:t>
      </w:r>
      <w:r w:rsidRPr="00B2476A">
        <w:rPr>
          <w:rFonts w:cstheme="minorHAnsi"/>
          <w:sz w:val="24"/>
          <w:szCs w:val="24"/>
        </w:rPr>
        <w:t>for First Nations women, particularly those in rural or remote areas</w:t>
      </w:r>
      <w:r>
        <w:rPr>
          <w:rFonts w:cstheme="minorHAnsi"/>
          <w:sz w:val="24"/>
          <w:szCs w:val="24"/>
        </w:rPr>
        <w:t>. This option</w:t>
      </w:r>
      <w:r w:rsidRPr="00B2476A">
        <w:rPr>
          <w:rFonts w:cstheme="minorHAnsi"/>
          <w:sz w:val="24"/>
          <w:szCs w:val="24"/>
        </w:rPr>
        <w:t xml:space="preserve"> champions equity and self-determination by increasing access to safe and culturally appropriate birthing options for those who choose them.</w:t>
      </w:r>
    </w:p>
    <w:p w:rsidR="00087249" w:rsidRPr="003968FD" w:rsidRDefault="00087249" w:rsidP="00C1720F">
      <w:pPr>
        <w:tabs>
          <w:tab w:val="left" w:pos="2127"/>
        </w:tabs>
        <w:ind w:left="567"/>
        <w:rPr>
          <w:rFonts w:cstheme="minorHAnsi"/>
          <w:sz w:val="24"/>
          <w:szCs w:val="24"/>
        </w:rPr>
      </w:pPr>
      <w:r w:rsidRPr="003968FD">
        <w:rPr>
          <w:rFonts w:cstheme="minorHAnsi"/>
          <w:sz w:val="24"/>
          <w:szCs w:val="24"/>
        </w:rPr>
        <w:t>Women living in rural and remote areas of Australia, outside of a 30 km obstetric hospital radius, will not have access to a low risk homebirth.</w:t>
      </w:r>
      <w:r w:rsidR="005A0176">
        <w:rPr>
          <w:rFonts w:cstheme="minorHAnsi"/>
          <w:sz w:val="24"/>
          <w:szCs w:val="24"/>
        </w:rPr>
        <w:t xml:space="preserve"> However, t</w:t>
      </w:r>
      <w:r w:rsidR="005A0176" w:rsidRPr="001A31F5">
        <w:rPr>
          <w:rFonts w:cstheme="minorHAnsi"/>
          <w:sz w:val="24"/>
          <w:szCs w:val="24"/>
        </w:rPr>
        <w:t>he creation of a national dataset, including jurisdictional claims and birth data,</w:t>
      </w:r>
      <w:r w:rsidR="005A0176">
        <w:rPr>
          <w:rFonts w:cstheme="minorHAnsi"/>
          <w:sz w:val="24"/>
          <w:szCs w:val="24"/>
        </w:rPr>
        <w:t xml:space="preserve"> will provide evidence to support expansion of this program.</w:t>
      </w:r>
    </w:p>
    <w:p w:rsidR="00BA6156" w:rsidRPr="003968FD" w:rsidRDefault="00BA6156" w:rsidP="00BA6156">
      <w:pPr>
        <w:tabs>
          <w:tab w:val="left" w:pos="2127"/>
        </w:tabs>
        <w:ind w:left="567"/>
        <w:rPr>
          <w:rFonts w:cstheme="minorHAnsi"/>
          <w:sz w:val="24"/>
          <w:szCs w:val="24"/>
        </w:rPr>
      </w:pPr>
      <w:r>
        <w:rPr>
          <w:rFonts w:cstheme="minorHAnsi"/>
          <w:sz w:val="24"/>
          <w:szCs w:val="24"/>
        </w:rPr>
        <w:t>This option</w:t>
      </w:r>
      <w:r w:rsidRPr="003968FD">
        <w:rPr>
          <w:rFonts w:cstheme="minorHAnsi"/>
          <w:sz w:val="24"/>
          <w:szCs w:val="24"/>
        </w:rPr>
        <w:t xml:space="preserve"> reflects the Commonwealth’s high priority to improve community access to maternity services and c</w:t>
      </w:r>
      <w:r>
        <w:rPr>
          <w:rFonts w:cstheme="minorHAnsi"/>
          <w:sz w:val="24"/>
          <w:szCs w:val="24"/>
        </w:rPr>
        <w:t xml:space="preserve">ulturally safe midwifery and </w:t>
      </w:r>
      <w:r w:rsidRPr="003968FD">
        <w:rPr>
          <w:rFonts w:cstheme="minorHAnsi"/>
          <w:sz w:val="24"/>
          <w:szCs w:val="24"/>
        </w:rPr>
        <w:t>support the ability of Australia’s midwives to work to their full scope of practice</w:t>
      </w:r>
      <w:r>
        <w:rPr>
          <w:rFonts w:cstheme="minorHAnsi"/>
          <w:sz w:val="24"/>
          <w:szCs w:val="24"/>
        </w:rPr>
        <w:t xml:space="preserve">. It </w:t>
      </w:r>
      <w:r w:rsidRPr="003968FD">
        <w:rPr>
          <w:rFonts w:cstheme="minorHAnsi"/>
          <w:sz w:val="24"/>
          <w:szCs w:val="24"/>
        </w:rPr>
        <w:t>provides a solution to longstanding and entrenched issue PPMs face in accessing appropriate PII.</w:t>
      </w:r>
    </w:p>
    <w:p w:rsidR="00057596" w:rsidRPr="00057596" w:rsidRDefault="00057596" w:rsidP="00057596">
      <w:pPr>
        <w:tabs>
          <w:tab w:val="left" w:pos="2127"/>
        </w:tabs>
        <w:spacing w:after="0"/>
        <w:ind w:left="567"/>
        <w:rPr>
          <w:rFonts w:cstheme="minorHAnsi"/>
          <w:i/>
          <w:sz w:val="24"/>
          <w:szCs w:val="24"/>
        </w:rPr>
      </w:pPr>
      <w:r w:rsidRPr="00057596">
        <w:rPr>
          <w:rFonts w:cstheme="minorHAnsi"/>
          <w:i/>
          <w:sz w:val="24"/>
          <w:szCs w:val="24"/>
        </w:rPr>
        <w:t>Commonwealth/state collaboration</w:t>
      </w:r>
    </w:p>
    <w:p w:rsidR="006E1825" w:rsidRPr="006E1825" w:rsidRDefault="006E1825" w:rsidP="006E1825">
      <w:pPr>
        <w:tabs>
          <w:tab w:val="left" w:pos="2127"/>
        </w:tabs>
        <w:ind w:left="567"/>
        <w:rPr>
          <w:rFonts w:cstheme="minorHAnsi"/>
          <w:sz w:val="24"/>
          <w:szCs w:val="24"/>
        </w:rPr>
      </w:pPr>
      <w:r w:rsidRPr="006E1825">
        <w:rPr>
          <w:rFonts w:cstheme="minorHAnsi"/>
          <w:sz w:val="24"/>
          <w:szCs w:val="24"/>
        </w:rPr>
        <w:t>Various jurisdictional reviews (including a current review in Queensland) have identified the benefit of introducing or expanding public homebirth programs, under a low-risk model, using existing practice standards and escalation pathway guidelines.</w:t>
      </w:r>
    </w:p>
    <w:p w:rsidR="00BA6156" w:rsidRPr="002801EB" w:rsidRDefault="00BA6156" w:rsidP="00BA6156">
      <w:pPr>
        <w:tabs>
          <w:tab w:val="left" w:pos="2127"/>
        </w:tabs>
        <w:ind w:left="567"/>
        <w:rPr>
          <w:rFonts w:cstheme="minorHAnsi"/>
          <w:sz w:val="24"/>
          <w:szCs w:val="24"/>
        </w:rPr>
      </w:pPr>
      <w:r w:rsidRPr="002801EB">
        <w:rPr>
          <w:rFonts w:cstheme="minorHAnsi"/>
          <w:sz w:val="24"/>
          <w:szCs w:val="24"/>
        </w:rPr>
        <w:t xml:space="preserve">Jurisdictions </w:t>
      </w:r>
      <w:r w:rsidR="002801EB" w:rsidRPr="002801EB">
        <w:rPr>
          <w:rFonts w:cstheme="minorHAnsi"/>
          <w:sz w:val="24"/>
          <w:szCs w:val="24"/>
        </w:rPr>
        <w:t xml:space="preserve">would </w:t>
      </w:r>
      <w:r w:rsidR="002801EB" w:rsidRPr="002801EB">
        <w:rPr>
          <w:sz w:val="24"/>
          <w:szCs w:val="24"/>
        </w:rPr>
        <w:t xml:space="preserve">support this option given it would see the Commonwealth taking on the insurance risk and costs. </w:t>
      </w:r>
      <w:r w:rsidRPr="002801EB">
        <w:rPr>
          <w:rFonts w:cstheme="minorHAnsi"/>
          <w:sz w:val="24"/>
          <w:szCs w:val="24"/>
        </w:rPr>
        <w:t>With the prospect of a commercial insurance product now available, there would be renewed momentum from all jurisdictions to resolve this issue.</w:t>
      </w:r>
    </w:p>
    <w:p w:rsidR="00BA6156" w:rsidRDefault="00BA6156" w:rsidP="00BA6156">
      <w:pPr>
        <w:tabs>
          <w:tab w:val="left" w:pos="2127"/>
        </w:tabs>
        <w:ind w:left="567"/>
        <w:rPr>
          <w:rFonts w:cstheme="minorHAnsi"/>
          <w:sz w:val="24"/>
          <w:szCs w:val="24"/>
        </w:rPr>
      </w:pPr>
      <w:r w:rsidRPr="003968FD">
        <w:rPr>
          <w:rFonts w:cstheme="minorHAnsi"/>
          <w:sz w:val="24"/>
          <w:szCs w:val="24"/>
        </w:rPr>
        <w:t xml:space="preserve">Jurisdictions have </w:t>
      </w:r>
      <w:r>
        <w:rPr>
          <w:rFonts w:cstheme="minorHAnsi"/>
          <w:sz w:val="24"/>
          <w:szCs w:val="24"/>
        </w:rPr>
        <w:t xml:space="preserve">also </w:t>
      </w:r>
      <w:r w:rsidRPr="003968FD">
        <w:rPr>
          <w:rFonts w:cstheme="minorHAnsi"/>
          <w:sz w:val="24"/>
          <w:szCs w:val="24"/>
        </w:rPr>
        <w:t>discussed the development of national clinical care guidelines for the provision of low risk homebirths. This would provide restrictions on eligibility to claim under an expanded MPIS.</w:t>
      </w:r>
    </w:p>
    <w:p w:rsidR="0099402E" w:rsidRPr="0099402E" w:rsidRDefault="0099402E" w:rsidP="0099402E">
      <w:pPr>
        <w:tabs>
          <w:tab w:val="left" w:pos="2127"/>
        </w:tabs>
        <w:ind w:left="567"/>
        <w:rPr>
          <w:rFonts w:cstheme="minorHAnsi"/>
          <w:sz w:val="24"/>
          <w:szCs w:val="24"/>
        </w:rPr>
      </w:pPr>
      <w:r w:rsidRPr="00824722">
        <w:rPr>
          <w:rFonts w:cstheme="minorHAnsi"/>
          <w:sz w:val="24"/>
          <w:szCs w:val="24"/>
        </w:rPr>
        <w:t>The recent Independent Review of Overseas Health Practitioner Regulatory Settings (the Kruk Review) endorsed the development of a Maternity Services Strategy</w:t>
      </w:r>
      <w:r w:rsidRPr="00824722">
        <w:rPr>
          <w:rFonts w:cstheme="minorHAnsi"/>
          <w:sz w:val="24"/>
          <w:szCs w:val="24"/>
          <w:vertAlign w:val="superscript"/>
        </w:rPr>
        <w:footnoteReference w:id="19"/>
      </w:r>
      <w:r w:rsidRPr="00824722">
        <w:rPr>
          <w:rFonts w:cstheme="minorHAnsi"/>
          <w:sz w:val="24"/>
          <w:szCs w:val="24"/>
        </w:rPr>
        <w:t xml:space="preserve"> This initiative aligns with the current proposal, as addressing insurance gaps for intrapartum care in the home supports women's choices and can positively impact the broader maternity care landscape.</w:t>
      </w:r>
    </w:p>
    <w:p w:rsidR="00E537A0" w:rsidRPr="00121246" w:rsidRDefault="00E537A0" w:rsidP="0058344C">
      <w:pPr>
        <w:pStyle w:val="Heading2"/>
      </w:pPr>
      <w:bookmarkStart w:id="51" w:name="_Toc162017802"/>
      <w:r w:rsidRPr="00121246">
        <w:t>Option</w:t>
      </w:r>
      <w:r w:rsidR="002C70D1">
        <w:t xml:space="preserve"> 3</w:t>
      </w:r>
      <w:r w:rsidR="006E1825">
        <w:t>: State and territory homebirth programs</w:t>
      </w:r>
      <w:bookmarkEnd w:id="51"/>
    </w:p>
    <w:p w:rsidR="00B01D37" w:rsidRPr="008D0D6A" w:rsidRDefault="00B01D37" w:rsidP="00B01D37">
      <w:pPr>
        <w:shd w:val="clear" w:color="auto" w:fill="E7E6E6" w:themeFill="background2"/>
        <w:tabs>
          <w:tab w:val="left" w:pos="2127"/>
        </w:tabs>
        <w:ind w:left="567"/>
        <w:rPr>
          <w:rFonts w:cstheme="minorHAnsi"/>
          <w:sz w:val="24"/>
          <w:szCs w:val="24"/>
        </w:rPr>
      </w:pPr>
      <w:r w:rsidRPr="008D0D6A">
        <w:rPr>
          <w:sz w:val="24"/>
          <w:szCs w:val="24"/>
        </w:rPr>
        <w:t>Government commences negotiations with state and territory governments for provision of these services to be facilitated by jurisdictions and covered under their indemnity arrangements.</w:t>
      </w:r>
    </w:p>
    <w:p w:rsidR="00032122" w:rsidRPr="00032122" w:rsidRDefault="00032122" w:rsidP="00032122">
      <w:pPr>
        <w:tabs>
          <w:tab w:val="left" w:pos="2127"/>
        </w:tabs>
        <w:ind w:left="567"/>
        <w:rPr>
          <w:rFonts w:cstheme="minorHAnsi"/>
          <w:sz w:val="24"/>
          <w:szCs w:val="24"/>
        </w:rPr>
      </w:pPr>
      <w:r w:rsidRPr="00032122">
        <w:rPr>
          <w:rFonts w:cstheme="minorHAnsi"/>
          <w:sz w:val="24"/>
          <w:szCs w:val="24"/>
        </w:rPr>
        <w:t>Under this option</w:t>
      </w:r>
      <w:r w:rsidR="00E3402E">
        <w:rPr>
          <w:rFonts w:cstheme="minorHAnsi"/>
          <w:sz w:val="24"/>
          <w:szCs w:val="24"/>
        </w:rPr>
        <w:t>,</w:t>
      </w:r>
      <w:r w:rsidRPr="00032122">
        <w:rPr>
          <w:rFonts w:cstheme="minorHAnsi"/>
          <w:sz w:val="24"/>
          <w:szCs w:val="24"/>
        </w:rPr>
        <w:t xml:space="preserve"> Government would commence negotiations with state</w:t>
      </w:r>
      <w:r w:rsidR="00BD008F">
        <w:rPr>
          <w:rFonts w:cstheme="minorHAnsi"/>
          <w:sz w:val="24"/>
          <w:szCs w:val="24"/>
        </w:rPr>
        <w:t xml:space="preserve"> and </w:t>
      </w:r>
      <w:r w:rsidRPr="00032122">
        <w:rPr>
          <w:rFonts w:cstheme="minorHAnsi"/>
          <w:sz w:val="24"/>
          <w:szCs w:val="24"/>
        </w:rPr>
        <w:t>territory governments to facilitate further provision of these services under public schemes, with insurance coverage under jurisdictional indemnity arrangements for employees. The goal would be to increase the availability of publicly funded programs for low-risk homebirth and intrapartum out-of-hospital services. Midwives working within these expanded programs would gain insurance coverage through jurisdictional indemnity arrangements.</w:t>
      </w:r>
    </w:p>
    <w:p w:rsidR="00032122" w:rsidRPr="00032122" w:rsidRDefault="00032122" w:rsidP="00032122">
      <w:pPr>
        <w:tabs>
          <w:tab w:val="left" w:pos="2127"/>
        </w:tabs>
        <w:ind w:left="567"/>
        <w:rPr>
          <w:rFonts w:cstheme="minorHAnsi"/>
          <w:sz w:val="24"/>
          <w:szCs w:val="24"/>
        </w:rPr>
      </w:pPr>
      <w:r w:rsidRPr="00032122">
        <w:rPr>
          <w:bCs/>
          <w:iCs/>
          <w:sz w:val="24"/>
          <w:szCs w:val="24"/>
        </w:rPr>
        <w:t>The success of this option depends entirely on the willingness of states and territories to cooperate and allocate resources for program expansion.</w:t>
      </w:r>
    </w:p>
    <w:p w:rsidR="00E537A0" w:rsidRPr="003968FD" w:rsidRDefault="00E537A0" w:rsidP="00C60D79">
      <w:pPr>
        <w:tabs>
          <w:tab w:val="left" w:pos="2127"/>
        </w:tabs>
        <w:ind w:left="567"/>
        <w:rPr>
          <w:rFonts w:cstheme="minorHAnsi"/>
          <w:sz w:val="24"/>
          <w:szCs w:val="24"/>
        </w:rPr>
      </w:pPr>
      <w:r w:rsidRPr="003968FD">
        <w:rPr>
          <w:rFonts w:cstheme="minorHAnsi"/>
          <w:sz w:val="24"/>
          <w:szCs w:val="24"/>
        </w:rPr>
        <w:t>Various jurisdictional reviews (including a current review in Queensland) have identified the benefit of introducing or expanding public homebirth programs, under a low-risk model, using existing practice standards and escalation pathway guidelines.</w:t>
      </w:r>
    </w:p>
    <w:p w:rsidR="00AD4D57" w:rsidRPr="00121246" w:rsidRDefault="00AD4D57" w:rsidP="00121246">
      <w:pPr>
        <w:tabs>
          <w:tab w:val="left" w:pos="2127"/>
        </w:tabs>
        <w:ind w:left="567"/>
        <w:rPr>
          <w:rFonts w:cstheme="minorHAnsi"/>
          <w:sz w:val="24"/>
          <w:szCs w:val="24"/>
        </w:rPr>
      </w:pPr>
      <w:r w:rsidRPr="00742640">
        <w:rPr>
          <w:rFonts w:cstheme="minorHAnsi"/>
          <w:sz w:val="24"/>
          <w:szCs w:val="24"/>
        </w:rPr>
        <w:t>In November 2022, the Queensland and Tasmanian Departments of Health were asked if they intended to introduce a public homebirth program in their respective state. Queensland has advised that</w:t>
      </w:r>
      <w:r w:rsidR="008A3D9C" w:rsidRPr="008A3D9C">
        <w:rPr>
          <w:rFonts w:cstheme="minorHAnsi"/>
          <w:sz w:val="24"/>
          <w:szCs w:val="24"/>
        </w:rPr>
        <w:t xml:space="preserve"> a low-risk homebirth will be offered at one site in a pil</w:t>
      </w:r>
      <w:r w:rsidR="00121246">
        <w:rPr>
          <w:rFonts w:cstheme="minorHAnsi"/>
          <w:sz w:val="24"/>
          <w:szCs w:val="24"/>
        </w:rPr>
        <w:t xml:space="preserve">ot in Queensland later in 2024. </w:t>
      </w:r>
      <w:r w:rsidRPr="00121246">
        <w:rPr>
          <w:rFonts w:cstheme="minorHAnsi"/>
          <w:sz w:val="24"/>
          <w:szCs w:val="24"/>
        </w:rPr>
        <w:t xml:space="preserve">Tasmania has advised that they are unable to consider a public homebirth program at this time. </w:t>
      </w:r>
    </w:p>
    <w:p w:rsidR="00AD4D57" w:rsidRDefault="00C53ADB" w:rsidP="00742640">
      <w:pPr>
        <w:tabs>
          <w:tab w:val="left" w:pos="2127"/>
        </w:tabs>
        <w:ind w:left="567"/>
        <w:rPr>
          <w:rFonts w:cstheme="minorHAnsi"/>
          <w:sz w:val="24"/>
          <w:szCs w:val="24"/>
        </w:rPr>
      </w:pPr>
      <w:r>
        <w:rPr>
          <w:rFonts w:cstheme="minorHAnsi"/>
          <w:sz w:val="24"/>
          <w:szCs w:val="24"/>
        </w:rPr>
        <w:t xml:space="preserve">Under these </w:t>
      </w:r>
      <w:r w:rsidR="00742640">
        <w:rPr>
          <w:rFonts w:cstheme="minorHAnsi"/>
          <w:sz w:val="24"/>
          <w:szCs w:val="24"/>
        </w:rPr>
        <w:t>option</w:t>
      </w:r>
      <w:r>
        <w:rPr>
          <w:rFonts w:cstheme="minorHAnsi"/>
          <w:sz w:val="24"/>
          <w:szCs w:val="24"/>
        </w:rPr>
        <w:t>s</w:t>
      </w:r>
      <w:r w:rsidR="00742640">
        <w:rPr>
          <w:rFonts w:cstheme="minorHAnsi"/>
          <w:sz w:val="24"/>
          <w:szCs w:val="24"/>
        </w:rPr>
        <w:t>, t</w:t>
      </w:r>
      <w:r>
        <w:rPr>
          <w:rFonts w:cstheme="minorHAnsi"/>
          <w:sz w:val="24"/>
          <w:szCs w:val="24"/>
        </w:rPr>
        <w:t xml:space="preserve">here is </w:t>
      </w:r>
      <w:r w:rsidR="00AD4D57" w:rsidRPr="00742640">
        <w:rPr>
          <w:rFonts w:cstheme="minorHAnsi"/>
          <w:sz w:val="24"/>
          <w:szCs w:val="24"/>
        </w:rPr>
        <w:t>opportunity to scope the private hospital sector on their appetite to introduce funded homebirth, although likelihood is considered low given their low uptake of midwifery continuity of care models and a preference for obstetric led models of care.</w:t>
      </w:r>
    </w:p>
    <w:p w:rsidR="009F0CD8" w:rsidRPr="00121246" w:rsidRDefault="009F0CD8" w:rsidP="0058344C">
      <w:pPr>
        <w:pStyle w:val="Heading2"/>
      </w:pPr>
      <w:bookmarkStart w:id="52" w:name="Consultation"/>
      <w:bookmarkStart w:id="53" w:name="_Toc162017803"/>
      <w:bookmarkEnd w:id="52"/>
      <w:r w:rsidRPr="00824722">
        <w:t>O</w:t>
      </w:r>
      <w:r w:rsidR="00032122" w:rsidRPr="00824722">
        <w:t xml:space="preserve">ption </w:t>
      </w:r>
      <w:r w:rsidR="002C70D1" w:rsidRPr="00824722">
        <w:t>3</w:t>
      </w:r>
      <w:r w:rsidR="001B5799" w:rsidRPr="00824722">
        <w:t>(a)</w:t>
      </w:r>
      <w:r w:rsidR="006E1825" w:rsidRPr="00824722">
        <w:t>: Remove exemption under National Law</w:t>
      </w:r>
      <w:bookmarkEnd w:id="53"/>
    </w:p>
    <w:p w:rsidR="006E1825" w:rsidRPr="00D961EC" w:rsidRDefault="006E1825" w:rsidP="006E1825">
      <w:pPr>
        <w:shd w:val="clear" w:color="auto" w:fill="E7E6E6" w:themeFill="background2"/>
        <w:tabs>
          <w:tab w:val="left" w:pos="2127"/>
        </w:tabs>
        <w:ind w:left="567"/>
        <w:rPr>
          <w:sz w:val="24"/>
          <w:szCs w:val="24"/>
        </w:rPr>
      </w:pPr>
      <w:r>
        <w:rPr>
          <w:sz w:val="24"/>
          <w:szCs w:val="24"/>
        </w:rPr>
        <w:t>T</w:t>
      </w:r>
      <w:r w:rsidRPr="00D961EC">
        <w:rPr>
          <w:sz w:val="24"/>
          <w:szCs w:val="24"/>
        </w:rPr>
        <w:t>he Na</w:t>
      </w:r>
      <w:r>
        <w:rPr>
          <w:sz w:val="24"/>
          <w:szCs w:val="24"/>
        </w:rPr>
        <w:t xml:space="preserve">tional Law exemption could </w:t>
      </w:r>
      <w:r w:rsidRPr="00D961EC">
        <w:rPr>
          <w:sz w:val="24"/>
          <w:szCs w:val="24"/>
        </w:rPr>
        <w:t xml:space="preserve">be </w:t>
      </w:r>
      <w:r>
        <w:rPr>
          <w:sz w:val="24"/>
          <w:szCs w:val="24"/>
        </w:rPr>
        <w:t xml:space="preserve">permanently </w:t>
      </w:r>
      <w:r w:rsidRPr="00D961EC">
        <w:rPr>
          <w:sz w:val="24"/>
          <w:szCs w:val="24"/>
        </w:rPr>
        <w:t>removed (meaning PPMs could no longer provide these services, effectively rendering ho</w:t>
      </w:r>
      <w:r>
        <w:rPr>
          <w:sz w:val="24"/>
          <w:szCs w:val="24"/>
        </w:rPr>
        <w:t>mebirth with a PPM illegal).</w:t>
      </w:r>
    </w:p>
    <w:p w:rsidR="008D1E8D" w:rsidRPr="008D1E8D" w:rsidRDefault="008D1E8D" w:rsidP="008D1E8D">
      <w:pPr>
        <w:tabs>
          <w:tab w:val="left" w:pos="2127"/>
        </w:tabs>
        <w:ind w:left="567"/>
        <w:rPr>
          <w:rFonts w:cstheme="minorHAnsi"/>
          <w:sz w:val="24"/>
          <w:szCs w:val="24"/>
        </w:rPr>
      </w:pPr>
      <w:r w:rsidRPr="008D1E8D">
        <w:rPr>
          <w:rFonts w:cstheme="minorHAnsi"/>
          <w:sz w:val="24"/>
          <w:szCs w:val="24"/>
        </w:rPr>
        <w:t xml:space="preserve">Continual extension of the exemption </w:t>
      </w:r>
      <w:r>
        <w:rPr>
          <w:rFonts w:cstheme="minorHAnsi"/>
          <w:sz w:val="24"/>
          <w:szCs w:val="24"/>
        </w:rPr>
        <w:t>has contributed</w:t>
      </w:r>
      <w:r w:rsidRPr="008D1E8D">
        <w:rPr>
          <w:rFonts w:cstheme="minorHAnsi"/>
          <w:sz w:val="24"/>
          <w:szCs w:val="24"/>
        </w:rPr>
        <w:t xml:space="preserve"> to the rhetoric that PPM attended homebirth</w:t>
      </w:r>
      <w:r>
        <w:rPr>
          <w:rFonts w:cstheme="minorHAnsi"/>
          <w:sz w:val="24"/>
          <w:szCs w:val="24"/>
        </w:rPr>
        <w:t>s</w:t>
      </w:r>
      <w:r w:rsidRPr="008D1E8D">
        <w:rPr>
          <w:rFonts w:cstheme="minorHAnsi"/>
          <w:sz w:val="24"/>
          <w:szCs w:val="24"/>
        </w:rPr>
        <w:t xml:space="preserve"> are uninsurable and therefore d</w:t>
      </w:r>
      <w:r>
        <w:rPr>
          <w:rFonts w:cstheme="minorHAnsi"/>
          <w:sz w:val="24"/>
          <w:szCs w:val="24"/>
        </w:rPr>
        <w:t xml:space="preserve">angerous. </w:t>
      </w:r>
      <w:r w:rsidR="005B59B0">
        <w:rPr>
          <w:rFonts w:cstheme="minorHAnsi"/>
          <w:sz w:val="24"/>
          <w:szCs w:val="24"/>
        </w:rPr>
        <w:t xml:space="preserve">While removal of </w:t>
      </w:r>
      <w:r>
        <w:rPr>
          <w:rFonts w:cstheme="minorHAnsi"/>
          <w:sz w:val="24"/>
          <w:szCs w:val="24"/>
        </w:rPr>
        <w:t xml:space="preserve">the exemption </w:t>
      </w:r>
      <w:r w:rsidR="005B59B0">
        <w:rPr>
          <w:rFonts w:cstheme="minorHAnsi"/>
          <w:sz w:val="24"/>
          <w:szCs w:val="24"/>
        </w:rPr>
        <w:t xml:space="preserve">would </w:t>
      </w:r>
      <w:r>
        <w:rPr>
          <w:rFonts w:cstheme="minorHAnsi"/>
          <w:sz w:val="24"/>
          <w:szCs w:val="24"/>
        </w:rPr>
        <w:t>allow PPMs to perform to their full scope of practice</w:t>
      </w:r>
      <w:r w:rsidR="005B59B0">
        <w:rPr>
          <w:rFonts w:cstheme="minorHAnsi"/>
          <w:sz w:val="24"/>
          <w:szCs w:val="24"/>
        </w:rPr>
        <w:t xml:space="preserve">, </w:t>
      </w:r>
      <w:r w:rsidR="00D50307">
        <w:rPr>
          <w:rFonts w:cstheme="minorHAnsi"/>
          <w:sz w:val="24"/>
          <w:szCs w:val="24"/>
        </w:rPr>
        <w:t xml:space="preserve">this </w:t>
      </w:r>
      <w:r w:rsidR="00F35C51">
        <w:rPr>
          <w:rFonts w:cstheme="minorHAnsi"/>
          <w:sz w:val="24"/>
          <w:szCs w:val="24"/>
        </w:rPr>
        <w:t xml:space="preserve">practice </w:t>
      </w:r>
      <w:r w:rsidR="00D50307">
        <w:rPr>
          <w:rFonts w:cstheme="minorHAnsi"/>
          <w:sz w:val="24"/>
          <w:szCs w:val="24"/>
        </w:rPr>
        <w:t>would be illegal</w:t>
      </w:r>
      <w:r w:rsidR="00F35C51">
        <w:rPr>
          <w:rFonts w:cstheme="minorHAnsi"/>
          <w:sz w:val="24"/>
          <w:szCs w:val="24"/>
        </w:rPr>
        <w:t xml:space="preserve">, and women and families </w:t>
      </w:r>
      <w:r w:rsidR="00F35C51" w:rsidRPr="003968FD">
        <w:rPr>
          <w:rFonts w:cstheme="minorHAnsi"/>
          <w:sz w:val="24"/>
          <w:szCs w:val="24"/>
        </w:rPr>
        <w:t>would have no recourse in an adverse event</w:t>
      </w:r>
      <w:r w:rsidR="00F35C51">
        <w:rPr>
          <w:rFonts w:cstheme="minorHAnsi"/>
          <w:sz w:val="24"/>
          <w:szCs w:val="24"/>
        </w:rPr>
        <w:t>.</w:t>
      </w:r>
    </w:p>
    <w:p w:rsidR="008F6759" w:rsidRPr="00522663" w:rsidRDefault="008F6759" w:rsidP="008F6759">
      <w:pPr>
        <w:pStyle w:val="Heading2"/>
      </w:pPr>
      <w:bookmarkStart w:id="54" w:name="_Toc162017804"/>
      <w:r w:rsidRPr="00522663">
        <w:t>Impact</w:t>
      </w:r>
      <w:r>
        <w:t>s of Options</w:t>
      </w:r>
      <w:bookmarkEnd w:id="54"/>
    </w:p>
    <w:p w:rsidR="008F6759" w:rsidRPr="006F1717" w:rsidRDefault="008F6759" w:rsidP="0058344C">
      <w:pPr>
        <w:pStyle w:val="Heading3"/>
      </w:pPr>
      <w:bookmarkStart w:id="55" w:name="_Toc162017805"/>
      <w:r w:rsidRPr="006F1717">
        <w:t>Financial impacts</w:t>
      </w:r>
      <w:bookmarkEnd w:id="55"/>
    </w:p>
    <w:p w:rsidR="008F6759" w:rsidRDefault="008F6759" w:rsidP="008F6759">
      <w:pPr>
        <w:tabs>
          <w:tab w:val="left" w:pos="2127"/>
        </w:tabs>
        <w:ind w:left="567"/>
        <w:rPr>
          <w:sz w:val="24"/>
          <w:szCs w:val="24"/>
        </w:rPr>
      </w:pPr>
      <w:r>
        <w:rPr>
          <w:sz w:val="24"/>
          <w:szCs w:val="24"/>
        </w:rPr>
        <w:t xml:space="preserve">Based on estimates provided by the Australian Government Actuary, this proposal will have a cash impact on the Government </w:t>
      </w:r>
      <w:r w:rsidRPr="00824722">
        <w:rPr>
          <w:sz w:val="24"/>
          <w:szCs w:val="24"/>
        </w:rPr>
        <w:t>of $</w:t>
      </w:r>
      <w:r w:rsidR="008406A8" w:rsidRPr="00824722">
        <w:rPr>
          <w:sz w:val="24"/>
          <w:szCs w:val="24"/>
        </w:rPr>
        <w:t>2.735</w:t>
      </w:r>
      <w:r w:rsidRPr="00824722">
        <w:rPr>
          <w:sz w:val="24"/>
          <w:szCs w:val="24"/>
        </w:rPr>
        <w:t xml:space="preserve"> million and fiscal impact of $</w:t>
      </w:r>
      <w:r w:rsidR="006651BA" w:rsidRPr="00824722">
        <w:rPr>
          <w:sz w:val="24"/>
          <w:szCs w:val="24"/>
        </w:rPr>
        <w:t>11.8</w:t>
      </w:r>
      <w:r w:rsidRPr="00824722">
        <w:rPr>
          <w:sz w:val="24"/>
          <w:szCs w:val="24"/>
        </w:rPr>
        <w:t xml:space="preserve"> million o</w:t>
      </w:r>
      <w:r>
        <w:rPr>
          <w:sz w:val="24"/>
          <w:szCs w:val="24"/>
        </w:rPr>
        <w:t>ver four years (2024-25 to 2027-28).</w:t>
      </w:r>
    </w:p>
    <w:p w:rsidR="008F6759" w:rsidRPr="003968FD" w:rsidRDefault="00861F4B" w:rsidP="008F6759">
      <w:pPr>
        <w:tabs>
          <w:tab w:val="left" w:pos="2127"/>
        </w:tabs>
        <w:ind w:left="567"/>
        <w:rPr>
          <w:rFonts w:cstheme="minorHAnsi"/>
          <w:sz w:val="24"/>
          <w:szCs w:val="24"/>
        </w:rPr>
      </w:pPr>
      <w:r>
        <w:rPr>
          <w:rFonts w:cstheme="minorHAnsi"/>
          <w:sz w:val="24"/>
          <w:szCs w:val="24"/>
        </w:rPr>
        <w:t xml:space="preserve">The current insurer </w:t>
      </w:r>
      <w:r w:rsidR="008F6759">
        <w:rPr>
          <w:rFonts w:cstheme="minorHAnsi"/>
          <w:sz w:val="24"/>
          <w:szCs w:val="24"/>
        </w:rPr>
        <w:t>administers the Midwife S</w:t>
      </w:r>
      <w:r w:rsidR="008F6759" w:rsidRPr="007B27A2">
        <w:rPr>
          <w:rFonts w:cstheme="minorHAnsi"/>
          <w:sz w:val="24"/>
          <w:szCs w:val="24"/>
        </w:rPr>
        <w:t xml:space="preserve">chemes through </w:t>
      </w:r>
      <w:r w:rsidR="008F6759">
        <w:rPr>
          <w:rFonts w:cstheme="minorHAnsi"/>
          <w:sz w:val="24"/>
          <w:szCs w:val="24"/>
        </w:rPr>
        <w:t>a contract with the Department.</w:t>
      </w:r>
      <w:r w:rsidR="008F6759" w:rsidRPr="007B27A2">
        <w:rPr>
          <w:rFonts w:cstheme="minorHAnsi"/>
          <w:sz w:val="24"/>
          <w:szCs w:val="24"/>
        </w:rPr>
        <w:t xml:space="preserve"> An increase </w:t>
      </w:r>
      <w:r w:rsidR="008F6759">
        <w:rPr>
          <w:rFonts w:cstheme="minorHAnsi"/>
          <w:sz w:val="24"/>
          <w:szCs w:val="24"/>
        </w:rPr>
        <w:t>in</w:t>
      </w:r>
      <w:r w:rsidR="008F6759" w:rsidRPr="007B27A2">
        <w:rPr>
          <w:rFonts w:cstheme="minorHAnsi"/>
          <w:sz w:val="24"/>
          <w:szCs w:val="24"/>
        </w:rPr>
        <w:t xml:space="preserve"> the administration fee by $103k, $105k, $107 inclusive of </w:t>
      </w:r>
      <w:r w:rsidR="008F6759">
        <w:rPr>
          <w:rFonts w:cstheme="minorHAnsi"/>
          <w:sz w:val="24"/>
          <w:szCs w:val="24"/>
        </w:rPr>
        <w:t>Wage Cost Indices-1 for 2024-25 to 2027-28 would</w:t>
      </w:r>
      <w:r w:rsidR="008F6759" w:rsidRPr="007B27A2">
        <w:rPr>
          <w:rFonts w:cstheme="minorHAnsi"/>
          <w:sz w:val="24"/>
          <w:szCs w:val="24"/>
        </w:rPr>
        <w:t xml:space="preserve"> account for inflationary pressures and other factors. </w:t>
      </w:r>
      <w:r w:rsidR="008F6759">
        <w:rPr>
          <w:rFonts w:cstheme="minorHAnsi"/>
          <w:sz w:val="24"/>
          <w:szCs w:val="24"/>
        </w:rPr>
        <w:t>A</w:t>
      </w:r>
      <w:r w:rsidR="008F6759" w:rsidRPr="007B27A2">
        <w:rPr>
          <w:rFonts w:cstheme="minorHAnsi"/>
          <w:sz w:val="24"/>
          <w:szCs w:val="24"/>
        </w:rPr>
        <w:t>verage annual inflation rates</w:t>
      </w:r>
      <w:r w:rsidR="008F6759">
        <w:rPr>
          <w:rFonts w:cstheme="minorHAnsi"/>
          <w:sz w:val="24"/>
          <w:szCs w:val="24"/>
        </w:rPr>
        <w:t xml:space="preserve"> would </w:t>
      </w:r>
      <w:r w:rsidR="008F6759" w:rsidRPr="007B27A2">
        <w:rPr>
          <w:rFonts w:cstheme="minorHAnsi"/>
          <w:sz w:val="24"/>
          <w:szCs w:val="24"/>
        </w:rPr>
        <w:t>account for a significant part of the annual increase in administrative fees, aligned with economic forecasts for the proposed contract term.</w:t>
      </w:r>
      <w:r w:rsidR="008F6759">
        <w:rPr>
          <w:rFonts w:cstheme="minorHAnsi"/>
          <w:sz w:val="24"/>
          <w:szCs w:val="24"/>
        </w:rPr>
        <w:t xml:space="preserve"> Moreover, participation in the Midwife S</w:t>
      </w:r>
      <w:r w:rsidR="008F6759" w:rsidRPr="007B27A2">
        <w:rPr>
          <w:rFonts w:cstheme="minorHAnsi"/>
          <w:sz w:val="24"/>
          <w:szCs w:val="24"/>
        </w:rPr>
        <w:t xml:space="preserve">chemes </w:t>
      </w:r>
      <w:r w:rsidR="008F6759">
        <w:rPr>
          <w:rFonts w:cstheme="minorHAnsi"/>
          <w:sz w:val="24"/>
          <w:szCs w:val="24"/>
        </w:rPr>
        <w:t xml:space="preserve">is expected to increase with an associated growth in </w:t>
      </w:r>
      <w:r w:rsidR="008F6759" w:rsidRPr="007B27A2">
        <w:rPr>
          <w:rFonts w:cstheme="minorHAnsi"/>
          <w:sz w:val="24"/>
          <w:szCs w:val="24"/>
        </w:rPr>
        <w:t xml:space="preserve">the complexity and volume of administration. </w:t>
      </w:r>
    </w:p>
    <w:p w:rsidR="008F6759" w:rsidRPr="006F1717" w:rsidRDefault="008F6759" w:rsidP="0058344C">
      <w:pPr>
        <w:pStyle w:val="Heading3"/>
      </w:pPr>
      <w:bookmarkStart w:id="56" w:name="_Toc162017806"/>
      <w:r w:rsidRPr="006F1717">
        <w:t>Gender Equality</w:t>
      </w:r>
      <w:bookmarkEnd w:id="56"/>
    </w:p>
    <w:p w:rsidR="006651BA" w:rsidRDefault="00F23D9C" w:rsidP="00F23D9C">
      <w:pPr>
        <w:ind w:left="720"/>
        <w:rPr>
          <w:rFonts w:cstheme="minorHAnsi"/>
          <w:sz w:val="24"/>
          <w:szCs w:val="24"/>
        </w:rPr>
      </w:pPr>
      <w:r w:rsidRPr="00824722">
        <w:rPr>
          <w:sz w:val="24"/>
          <w:szCs w:val="24"/>
        </w:rPr>
        <w:t xml:space="preserve">This option meets the criteria for gender equality given the midwifery workforce is highly feminised, and the proposal will have impacts for women’s agency in making birthing environment choices. </w:t>
      </w:r>
      <w:r w:rsidR="006651BA" w:rsidRPr="00824722">
        <w:rPr>
          <w:rFonts w:cstheme="minorHAnsi"/>
          <w:sz w:val="24"/>
          <w:szCs w:val="24"/>
        </w:rPr>
        <w:t>By expanding and supporting home-birth options for low-risk births and intrapartum care outside a hospital, this proposal directly empowers pregnant women by giving them more agency in choosing their birthing environment. This not only aligns with the broader goals of gender equality but also fosters an inclusive healthcare environment where women have access to culturally safe continuity of care and are empowered to make decisions best suited to their individual circumstances. This also aligns to the Woman-centred care: Strategic directions for Australian maternity services (Woman-centred Care Strategy) developed by the Australian Government. The Woman-centred Care Strategy provides national strategic directions to support Australia’s high-quality maternity care system and enable improvements in line with contemporary practice, evidence and international developments. Of primary importance is that Australian families have access to safe, high quality, respectful maternity care, recognising that women want to access maternity care in their geographic location and that outreach services and telehealth care enhance maternity care in rural and regional areas.</w:t>
      </w:r>
    </w:p>
    <w:p w:rsidR="008F6759" w:rsidRPr="006F1717" w:rsidRDefault="008F6759" w:rsidP="00C60D79">
      <w:pPr>
        <w:pStyle w:val="Heading3"/>
        <w:spacing w:after="120"/>
      </w:pPr>
      <w:bookmarkStart w:id="57" w:name="_Toc162017807"/>
      <w:r w:rsidRPr="006F1717">
        <w:t>Impact Analysis</w:t>
      </w:r>
      <w:bookmarkEnd w:id="57"/>
      <w:r w:rsidRPr="006F1717">
        <w:t xml:space="preserve"> </w:t>
      </w:r>
    </w:p>
    <w:p w:rsidR="00251C85" w:rsidRPr="00251C85" w:rsidRDefault="00251C85" w:rsidP="00C60D79">
      <w:pPr>
        <w:tabs>
          <w:tab w:val="left" w:pos="2127"/>
        </w:tabs>
        <w:spacing w:after="0"/>
        <w:rPr>
          <w:rFonts w:cstheme="minorHAnsi"/>
          <w:color w:val="0070C0"/>
          <w:sz w:val="24"/>
          <w:szCs w:val="24"/>
          <w:u w:val="single"/>
        </w:rPr>
      </w:pPr>
      <w:r w:rsidRPr="00251C85">
        <w:rPr>
          <w:rFonts w:cstheme="minorHAnsi"/>
          <w:color w:val="0070C0"/>
          <w:sz w:val="24"/>
          <w:szCs w:val="24"/>
          <w:u w:val="single"/>
        </w:rPr>
        <w:t>Choice for women</w:t>
      </w:r>
    </w:p>
    <w:p w:rsidR="008F6759" w:rsidRDefault="008F6759" w:rsidP="008F6759">
      <w:pPr>
        <w:tabs>
          <w:tab w:val="left" w:pos="2127"/>
        </w:tabs>
        <w:ind w:left="567"/>
        <w:rPr>
          <w:rFonts w:cstheme="minorHAnsi"/>
          <w:sz w:val="24"/>
          <w:szCs w:val="24"/>
        </w:rPr>
      </w:pPr>
      <w:r w:rsidRPr="003968FD">
        <w:rPr>
          <w:rFonts w:cstheme="minorHAnsi"/>
          <w:sz w:val="24"/>
          <w:szCs w:val="24"/>
        </w:rPr>
        <w:t>The impact on women is that they will have an increased choice of where to birth and who their carer during birth can be, with the support of recourse in case of an adverse event.</w:t>
      </w:r>
    </w:p>
    <w:p w:rsidR="00251C85" w:rsidRPr="00251C85" w:rsidRDefault="00251C85" w:rsidP="00251C85">
      <w:pPr>
        <w:tabs>
          <w:tab w:val="left" w:pos="2127"/>
        </w:tabs>
        <w:ind w:left="567"/>
        <w:rPr>
          <w:rFonts w:cstheme="minorHAnsi"/>
          <w:sz w:val="24"/>
          <w:szCs w:val="24"/>
        </w:rPr>
      </w:pPr>
      <w:r w:rsidRPr="00824722">
        <w:rPr>
          <w:rFonts w:cstheme="minorHAnsi"/>
          <w:sz w:val="24"/>
          <w:szCs w:val="24"/>
        </w:rPr>
        <w:t>The scope of this insurance coverage will facilitate accurate liability assessments for the Commonwealth and provide women with transparent information about what services are covered and which providers are eligible to offer them.</w:t>
      </w:r>
    </w:p>
    <w:p w:rsidR="00251C85" w:rsidRPr="00251C85" w:rsidRDefault="00251C85" w:rsidP="00C60D79">
      <w:pPr>
        <w:tabs>
          <w:tab w:val="left" w:pos="2127"/>
        </w:tabs>
        <w:spacing w:after="0"/>
        <w:rPr>
          <w:rFonts w:cstheme="minorHAnsi"/>
          <w:color w:val="0070C0"/>
          <w:sz w:val="24"/>
          <w:szCs w:val="24"/>
          <w:u w:val="single"/>
        </w:rPr>
      </w:pPr>
      <w:r w:rsidRPr="00251C85">
        <w:rPr>
          <w:rFonts w:cstheme="minorHAnsi"/>
          <w:color w:val="0070C0"/>
          <w:sz w:val="24"/>
          <w:szCs w:val="24"/>
          <w:u w:val="single"/>
        </w:rPr>
        <w:t>PPM scope of practice</w:t>
      </w:r>
    </w:p>
    <w:p w:rsidR="008F6759" w:rsidRDefault="008F6759" w:rsidP="008F6759">
      <w:pPr>
        <w:tabs>
          <w:tab w:val="left" w:pos="2127"/>
        </w:tabs>
        <w:ind w:left="567"/>
        <w:rPr>
          <w:rFonts w:cstheme="minorHAnsi"/>
          <w:sz w:val="24"/>
          <w:szCs w:val="24"/>
        </w:rPr>
      </w:pPr>
      <w:r w:rsidRPr="003968FD">
        <w:rPr>
          <w:rFonts w:cstheme="minorHAnsi"/>
          <w:sz w:val="24"/>
          <w:szCs w:val="24"/>
        </w:rPr>
        <w:t xml:space="preserve">The impact on </w:t>
      </w:r>
      <w:r>
        <w:rPr>
          <w:rFonts w:cstheme="minorHAnsi"/>
          <w:sz w:val="24"/>
          <w:szCs w:val="24"/>
        </w:rPr>
        <w:t>PPMs</w:t>
      </w:r>
      <w:r w:rsidRPr="003968FD">
        <w:rPr>
          <w:rFonts w:cstheme="minorHAnsi"/>
          <w:sz w:val="24"/>
          <w:szCs w:val="24"/>
        </w:rPr>
        <w:t xml:space="preserve"> and businesses is that those providing homebirth services can expand </w:t>
      </w:r>
      <w:r>
        <w:rPr>
          <w:rFonts w:cstheme="minorHAnsi"/>
          <w:sz w:val="24"/>
          <w:szCs w:val="24"/>
        </w:rPr>
        <w:t xml:space="preserve">their scope of practice </w:t>
      </w:r>
      <w:r w:rsidRPr="003968FD">
        <w:rPr>
          <w:rFonts w:cstheme="minorHAnsi"/>
          <w:sz w:val="24"/>
          <w:szCs w:val="24"/>
        </w:rPr>
        <w:t>to provide intrapartum care as insured services.</w:t>
      </w:r>
    </w:p>
    <w:p w:rsidR="00251C85" w:rsidRDefault="00251C85" w:rsidP="008F6759">
      <w:pPr>
        <w:tabs>
          <w:tab w:val="left" w:pos="2127"/>
        </w:tabs>
        <w:ind w:left="567"/>
        <w:rPr>
          <w:rFonts w:cstheme="minorHAnsi"/>
          <w:sz w:val="24"/>
          <w:szCs w:val="24"/>
        </w:rPr>
      </w:pPr>
      <w:r w:rsidRPr="00824722">
        <w:rPr>
          <w:rFonts w:cstheme="minorHAnsi"/>
          <w:sz w:val="24"/>
          <w:szCs w:val="24"/>
        </w:rPr>
        <w:t>This insurance coverage specifically applies to low-risk homebirths as developed in 2021 in conjunction with states and territories, and is in line with current risk profiles of existing publicly funded homebirth and the ACM Guidelines for Consultation and Referral. Additionally, it covers intrapartum care outside a hospital when provided within the framework of models that adhere to the NMBAs Safety and Quality Framework for PPMs. Only registered midwives holding the appropriate endorsement by the NMBA are eligible for coverage.</w:t>
      </w:r>
    </w:p>
    <w:p w:rsidR="00251C85" w:rsidRPr="00251C85" w:rsidRDefault="00251C85" w:rsidP="00C60D79">
      <w:pPr>
        <w:tabs>
          <w:tab w:val="left" w:pos="2127"/>
        </w:tabs>
        <w:spacing w:after="0"/>
        <w:rPr>
          <w:rFonts w:cstheme="minorHAnsi"/>
          <w:color w:val="0070C0"/>
          <w:sz w:val="24"/>
          <w:szCs w:val="24"/>
          <w:u w:val="single"/>
        </w:rPr>
      </w:pPr>
      <w:r w:rsidRPr="00251C85">
        <w:rPr>
          <w:rFonts w:cstheme="minorHAnsi"/>
          <w:color w:val="0070C0"/>
          <w:sz w:val="24"/>
          <w:szCs w:val="24"/>
          <w:u w:val="single"/>
        </w:rPr>
        <w:t>Birthing on Country</w:t>
      </w:r>
    </w:p>
    <w:p w:rsidR="00C8223B" w:rsidRPr="00C8223B" w:rsidRDefault="00C8223B" w:rsidP="00C8223B">
      <w:pPr>
        <w:tabs>
          <w:tab w:val="left" w:pos="2127"/>
        </w:tabs>
        <w:ind w:left="567"/>
        <w:rPr>
          <w:rFonts w:cstheme="minorHAnsi"/>
          <w:sz w:val="24"/>
          <w:szCs w:val="24"/>
        </w:rPr>
      </w:pPr>
      <w:r w:rsidRPr="00824722">
        <w:rPr>
          <w:sz w:val="24"/>
          <w:szCs w:val="24"/>
        </w:rPr>
        <w:t>In recognition of the vital role that BoC services play in improving health outcomes for First Nations women and babies, t</w:t>
      </w:r>
      <w:r w:rsidRPr="00824722">
        <w:rPr>
          <w:rFonts w:cstheme="minorHAnsi"/>
          <w:sz w:val="24"/>
          <w:szCs w:val="24"/>
        </w:rPr>
        <w:t>his option would enable First Nations women (or women pregnant with a First Nations baby) access to culturally safe, continuous midwifery care with an insured PPM. The lack of insurance cover for these services to date has been a significant barrier to ACCHOs developing and delivering BoC models of care.</w:t>
      </w:r>
    </w:p>
    <w:p w:rsidR="00C8223B" w:rsidRPr="00C8223B" w:rsidRDefault="00C8223B" w:rsidP="00C8223B">
      <w:pPr>
        <w:tabs>
          <w:tab w:val="left" w:pos="2127"/>
        </w:tabs>
        <w:ind w:left="567"/>
        <w:rPr>
          <w:rFonts w:cstheme="minorHAnsi"/>
          <w:sz w:val="24"/>
          <w:szCs w:val="24"/>
        </w:rPr>
      </w:pPr>
      <w:r w:rsidRPr="00C8223B">
        <w:rPr>
          <w:rFonts w:cstheme="minorHAnsi"/>
          <w:sz w:val="24"/>
          <w:szCs w:val="24"/>
        </w:rPr>
        <w:t xml:space="preserve">BoC models of care directly contribute to Closing the Gap Target 2, including a 50% reduction in preterm birth rates where trialled. Emergent evidence also highlights the positive impact BoC models have on reducing the likelihood of child removal at birth, directly contributing to Closing the Gap Target 12. </w:t>
      </w:r>
      <w:r w:rsidRPr="00824722">
        <w:rPr>
          <w:rFonts w:cstheme="minorHAnsi"/>
          <w:sz w:val="24"/>
          <w:szCs w:val="24"/>
        </w:rPr>
        <w:t>The exact number of women and PPMs impacted by the gap in insurance is still being determined. There are currently 3 ACCHOs impacted by the gap in insurance.</w:t>
      </w:r>
    </w:p>
    <w:p w:rsidR="00C8223B" w:rsidRPr="00C8223B" w:rsidRDefault="00C8223B" w:rsidP="00C8223B">
      <w:pPr>
        <w:tabs>
          <w:tab w:val="left" w:pos="2127"/>
        </w:tabs>
        <w:ind w:left="567"/>
        <w:rPr>
          <w:rFonts w:cstheme="minorHAnsi"/>
          <w:sz w:val="24"/>
          <w:szCs w:val="24"/>
        </w:rPr>
      </w:pPr>
      <w:r w:rsidRPr="00C8223B">
        <w:rPr>
          <w:rFonts w:cstheme="minorHAnsi"/>
          <w:sz w:val="24"/>
          <w:szCs w:val="24"/>
        </w:rPr>
        <w:t xml:space="preserve">This option aligns with the Government's significant investments in BoC, including support for nine BoC service delivery organisations since late 2022 and a </w:t>
      </w:r>
      <w:r w:rsidRPr="00C8223B">
        <w:rPr>
          <w:rFonts w:cstheme="minorHAnsi"/>
          <w:sz w:val="24"/>
          <w:szCs w:val="24"/>
        </w:rPr>
        <w:br/>
        <w:t>$22.5 million investment in the BoC Centre of Excellence in Nowra, NSW</w:t>
      </w:r>
      <w:r w:rsidRPr="00824722">
        <w:rPr>
          <w:rFonts w:cstheme="minorHAnsi"/>
          <w:sz w:val="24"/>
          <w:szCs w:val="24"/>
        </w:rPr>
        <w:t>. The insurance coverage will extend to the following organisations delivering BoC services: South Coast Women’s Health and Wellbeing Aboriginal Corporation (Waminda), Central Australian Aboriginal Congress, Institute of Urban Indigenous Health (IUIH) and subcontract</w:t>
      </w:r>
      <w:r w:rsidR="00CD6B34">
        <w:rPr>
          <w:rFonts w:cstheme="minorHAnsi"/>
          <w:sz w:val="24"/>
          <w:szCs w:val="24"/>
        </w:rPr>
        <w:t>ed midwives from My Midwives Pty</w:t>
      </w:r>
      <w:r w:rsidRPr="00824722">
        <w:rPr>
          <w:rFonts w:cstheme="minorHAnsi"/>
          <w:sz w:val="24"/>
          <w:szCs w:val="24"/>
        </w:rPr>
        <w:t xml:space="preserve"> Ltd.</w:t>
      </w:r>
    </w:p>
    <w:p w:rsidR="00DD7FDB" w:rsidRPr="00824722" w:rsidRDefault="00DD7FDB" w:rsidP="0058344C">
      <w:pPr>
        <w:pStyle w:val="Heading3"/>
      </w:pPr>
      <w:bookmarkStart w:id="58" w:name="_Toc162017808"/>
      <w:r w:rsidRPr="00824722">
        <w:t>Market risk</w:t>
      </w:r>
      <w:bookmarkEnd w:id="58"/>
    </w:p>
    <w:p w:rsidR="00C8223B" w:rsidRPr="00C8223B" w:rsidRDefault="00C8223B" w:rsidP="00C8223B">
      <w:pPr>
        <w:tabs>
          <w:tab w:val="left" w:pos="2127"/>
        </w:tabs>
        <w:ind w:left="567"/>
        <w:rPr>
          <w:rFonts w:cstheme="minorHAnsi"/>
          <w:sz w:val="24"/>
          <w:szCs w:val="24"/>
        </w:rPr>
      </w:pPr>
      <w:r w:rsidRPr="00824722">
        <w:rPr>
          <w:rFonts w:cstheme="minorHAnsi"/>
          <w:sz w:val="24"/>
          <w:szCs w:val="24"/>
        </w:rPr>
        <w:t>The Department recognises the risk of setting a precedent for intervention in other market failures. However, maternity care is an essential health service, and this option directly supports women's choices and access to safe birthing options. Additionally, the lack of insurance disproportionately impacts First Nations communities, hindering progress towards achieving the National Agreement on Closing the Gap targets, including, but not limited to target 2, 4 and 12. Existing research</w:t>
      </w:r>
      <w:r w:rsidRPr="00824722">
        <w:rPr>
          <w:rFonts w:cstheme="minorHAnsi"/>
          <w:sz w:val="24"/>
          <w:szCs w:val="24"/>
          <w:vertAlign w:val="superscript"/>
        </w:rPr>
        <w:footnoteReference w:id="20"/>
      </w:r>
      <w:r w:rsidRPr="00824722">
        <w:rPr>
          <w:rFonts w:cstheme="minorHAnsi"/>
          <w:sz w:val="24"/>
          <w:szCs w:val="24"/>
        </w:rPr>
        <w:t xml:space="preserve"> supports the safety of low-risk homebirth models, and the recent tender process clearly demonstrated a market failure, with no private insurers willing to provide coverage.</w:t>
      </w:r>
    </w:p>
    <w:p w:rsidR="008F6759" w:rsidRPr="006F1717" w:rsidRDefault="008F6759" w:rsidP="0058344C">
      <w:pPr>
        <w:pStyle w:val="Heading3"/>
      </w:pPr>
      <w:bookmarkStart w:id="59" w:name="_Toc162017809"/>
      <w:r w:rsidRPr="006F1717">
        <w:t>Constitutional risk</w:t>
      </w:r>
      <w:bookmarkEnd w:id="59"/>
    </w:p>
    <w:p w:rsidR="008F6759" w:rsidRPr="003968FD" w:rsidRDefault="008F6759" w:rsidP="008F6759">
      <w:pPr>
        <w:tabs>
          <w:tab w:val="left" w:pos="2127"/>
        </w:tabs>
        <w:ind w:left="567"/>
        <w:rPr>
          <w:rFonts w:cstheme="minorHAnsi"/>
          <w:sz w:val="24"/>
          <w:szCs w:val="24"/>
        </w:rPr>
      </w:pPr>
      <w:r w:rsidRPr="003968FD">
        <w:rPr>
          <w:rFonts w:cstheme="minorHAnsi"/>
          <w:sz w:val="24"/>
          <w:szCs w:val="24"/>
        </w:rPr>
        <w:t xml:space="preserve">Constitutional risk: </w:t>
      </w:r>
      <w:r>
        <w:rPr>
          <w:rFonts w:cstheme="minorHAnsi"/>
          <w:sz w:val="24"/>
          <w:szCs w:val="24"/>
        </w:rPr>
        <w:t>medium</w:t>
      </w:r>
      <w:r w:rsidRPr="003968FD">
        <w:rPr>
          <w:rFonts w:cstheme="minorHAnsi"/>
          <w:sz w:val="24"/>
          <w:szCs w:val="24"/>
        </w:rPr>
        <w:t xml:space="preserve"> Amendment to National Law brings little risk as does an amendment to MPIS to effect changes to risk thresholds.</w:t>
      </w:r>
    </w:p>
    <w:p w:rsidR="008F6759" w:rsidRPr="006F1717" w:rsidRDefault="008F6759" w:rsidP="0058344C">
      <w:pPr>
        <w:pStyle w:val="Heading3"/>
      </w:pPr>
      <w:bookmarkStart w:id="60" w:name="_Toc162017810"/>
      <w:r w:rsidRPr="006F1717">
        <w:t>Regional impact</w:t>
      </w:r>
      <w:bookmarkEnd w:id="60"/>
    </w:p>
    <w:p w:rsidR="008F6759" w:rsidRPr="001A31F5" w:rsidRDefault="008F6759" w:rsidP="008F6759">
      <w:pPr>
        <w:tabs>
          <w:tab w:val="left" w:pos="2127"/>
        </w:tabs>
        <w:ind w:left="567"/>
        <w:rPr>
          <w:rFonts w:cstheme="minorHAnsi"/>
          <w:sz w:val="24"/>
          <w:szCs w:val="24"/>
        </w:rPr>
      </w:pPr>
      <w:r w:rsidRPr="001A31F5">
        <w:rPr>
          <w:rFonts w:cstheme="minorHAnsi"/>
          <w:sz w:val="24"/>
          <w:szCs w:val="24"/>
        </w:rPr>
        <w:t xml:space="preserve">Women would be supported with choice of private midwife if they meet relevant criteria for low risk home births (being within 30 minutes of maternity service) and </w:t>
      </w:r>
      <w:r>
        <w:rPr>
          <w:rFonts w:cstheme="minorHAnsi"/>
          <w:sz w:val="24"/>
          <w:szCs w:val="24"/>
        </w:rPr>
        <w:t xml:space="preserve">the eligibility requirements for </w:t>
      </w:r>
      <w:r w:rsidRPr="001A31F5">
        <w:rPr>
          <w:rFonts w:cstheme="minorHAnsi"/>
          <w:sz w:val="24"/>
          <w:szCs w:val="24"/>
        </w:rPr>
        <w:t>intrapartum care outside a hospital.</w:t>
      </w:r>
    </w:p>
    <w:p w:rsidR="008F6759" w:rsidRPr="006F1717" w:rsidRDefault="008F6759" w:rsidP="0058344C">
      <w:pPr>
        <w:pStyle w:val="Heading3"/>
      </w:pPr>
      <w:bookmarkStart w:id="61" w:name="_Toc162017811"/>
      <w:r w:rsidRPr="006F1717">
        <w:t>Distributional Impacts</w:t>
      </w:r>
      <w:bookmarkEnd w:id="61"/>
    </w:p>
    <w:p w:rsidR="008F6759" w:rsidRPr="001A31F5" w:rsidRDefault="008F6759" w:rsidP="008F6759">
      <w:pPr>
        <w:tabs>
          <w:tab w:val="left" w:pos="2127"/>
        </w:tabs>
        <w:ind w:left="567"/>
        <w:rPr>
          <w:rFonts w:cstheme="minorHAnsi"/>
          <w:sz w:val="24"/>
          <w:szCs w:val="24"/>
        </w:rPr>
      </w:pPr>
      <w:r w:rsidRPr="001A31F5">
        <w:rPr>
          <w:rFonts w:cstheme="minorHAnsi"/>
          <w:sz w:val="24"/>
          <w:szCs w:val="24"/>
        </w:rPr>
        <w:t>PPMs (inclusive of BoC PPMs) will be able to provide birthing services (under the low risk definition) and intrapartum care outside a hospital.</w:t>
      </w:r>
      <w:r>
        <w:rPr>
          <w:rFonts w:cstheme="minorHAnsi"/>
          <w:sz w:val="24"/>
          <w:szCs w:val="24"/>
        </w:rPr>
        <w:t xml:space="preserve"> </w:t>
      </w:r>
      <w:r w:rsidRPr="001A31F5">
        <w:rPr>
          <w:rFonts w:cstheme="minorHAnsi"/>
          <w:sz w:val="24"/>
          <w:szCs w:val="24"/>
        </w:rPr>
        <w:t>BoC services are critical to First Nation’s women living in rural and remote areas, where increased vulnerabilities exist.</w:t>
      </w:r>
    </w:p>
    <w:p w:rsidR="008F6759" w:rsidRPr="006F1717" w:rsidRDefault="008F6759" w:rsidP="0058344C">
      <w:pPr>
        <w:pStyle w:val="Heading3"/>
      </w:pPr>
      <w:bookmarkStart w:id="62" w:name="_Toc162017812"/>
      <w:r w:rsidRPr="006F1717">
        <w:t>Commonwealth-State relations</w:t>
      </w:r>
      <w:bookmarkEnd w:id="62"/>
    </w:p>
    <w:p w:rsidR="008F6759" w:rsidRDefault="008F6759" w:rsidP="008F6759">
      <w:pPr>
        <w:tabs>
          <w:tab w:val="left" w:pos="2127"/>
        </w:tabs>
        <w:spacing w:after="120"/>
        <w:ind w:left="567"/>
        <w:rPr>
          <w:rFonts w:cstheme="minorHAnsi"/>
          <w:sz w:val="24"/>
          <w:szCs w:val="24"/>
        </w:rPr>
      </w:pPr>
      <w:r w:rsidRPr="001A31F5">
        <w:rPr>
          <w:rFonts w:cstheme="minorHAnsi"/>
          <w:sz w:val="24"/>
          <w:szCs w:val="24"/>
        </w:rPr>
        <w:t>The Commonwealth has reached agreement with the Jurisdictions on the low risk definition for homebirth and the updated practice standards, since women who require referral for complications would affect public hospital services.</w:t>
      </w:r>
      <w:r>
        <w:rPr>
          <w:rFonts w:cstheme="minorHAnsi"/>
          <w:sz w:val="24"/>
          <w:szCs w:val="24"/>
        </w:rPr>
        <w:t xml:space="preserve"> </w:t>
      </w:r>
      <w:r w:rsidRPr="00511BC0">
        <w:rPr>
          <w:rFonts w:cstheme="minorHAnsi"/>
          <w:sz w:val="24"/>
          <w:szCs w:val="24"/>
        </w:rPr>
        <w:t>If Option 2 is chosen</w:t>
      </w:r>
      <w:r>
        <w:rPr>
          <w:rFonts w:cstheme="minorHAnsi"/>
          <w:sz w:val="24"/>
          <w:szCs w:val="24"/>
        </w:rPr>
        <w:t>,</w:t>
      </w:r>
      <w:r w:rsidRPr="00511BC0">
        <w:rPr>
          <w:rFonts w:cstheme="minorHAnsi"/>
          <w:sz w:val="24"/>
          <w:szCs w:val="24"/>
        </w:rPr>
        <w:t xml:space="preserve"> further negotiations with jurisdictions will be required.</w:t>
      </w:r>
    </w:p>
    <w:p w:rsidR="008F6759" w:rsidRPr="006F1717" w:rsidRDefault="008F6759" w:rsidP="0058344C">
      <w:pPr>
        <w:pStyle w:val="Heading3"/>
      </w:pPr>
      <w:bookmarkStart w:id="63" w:name="_Toc162017813"/>
      <w:r w:rsidRPr="006F1717">
        <w:t>Regulatory impacts</w:t>
      </w:r>
      <w:bookmarkEnd w:id="63"/>
    </w:p>
    <w:p w:rsidR="008F6759" w:rsidRPr="0079279E" w:rsidRDefault="008F6759" w:rsidP="008F6759">
      <w:pPr>
        <w:tabs>
          <w:tab w:val="left" w:pos="2127"/>
        </w:tabs>
        <w:ind w:left="567"/>
        <w:rPr>
          <w:rFonts w:cstheme="minorHAnsi"/>
          <w:sz w:val="24"/>
          <w:szCs w:val="24"/>
        </w:rPr>
      </w:pPr>
      <w:r w:rsidRPr="0079279E">
        <w:rPr>
          <w:rFonts w:cstheme="minorHAnsi"/>
          <w:sz w:val="24"/>
          <w:szCs w:val="24"/>
        </w:rPr>
        <w:t xml:space="preserve">This IA calculates regulatory impacts from the reform options using the Regulatory Burden Measurement framework. Implementation of these options would depend on future data collection, analysis and consultation. This means that it is not possible to completely cost the change in regulatory burden that would flow from the reform option.  </w:t>
      </w:r>
    </w:p>
    <w:p w:rsidR="008F6759" w:rsidRPr="0079279E" w:rsidRDefault="008F6759" w:rsidP="008F6759">
      <w:pPr>
        <w:tabs>
          <w:tab w:val="left" w:pos="2127"/>
        </w:tabs>
        <w:ind w:left="567"/>
        <w:rPr>
          <w:rFonts w:cstheme="minorHAnsi"/>
          <w:sz w:val="24"/>
          <w:szCs w:val="24"/>
        </w:rPr>
      </w:pPr>
      <w:r w:rsidRPr="0079279E">
        <w:rPr>
          <w:rFonts w:cstheme="minorHAnsi"/>
          <w:sz w:val="24"/>
          <w:szCs w:val="24"/>
        </w:rPr>
        <w:t>The quantifiable changes in regulatory burden that have been identified are outlined in the table below.</w:t>
      </w:r>
    </w:p>
    <w:p w:rsidR="008F6759" w:rsidRPr="0079279E" w:rsidRDefault="008F6759" w:rsidP="008F6759">
      <w:pPr>
        <w:pStyle w:val="Caption"/>
        <w:keepNext/>
        <w:ind w:left="567"/>
        <w:rPr>
          <w:color w:val="1F4E79"/>
        </w:rPr>
      </w:pPr>
      <w:r w:rsidRPr="0079279E">
        <w:rPr>
          <w:color w:val="1F4E79"/>
        </w:rPr>
        <w:t xml:space="preserve">Table </w:t>
      </w:r>
      <w:r w:rsidR="00871AEA">
        <w:rPr>
          <w:noProof/>
          <w:color w:val="1F4E79"/>
        </w:rPr>
        <w:t>2</w:t>
      </w:r>
      <w:r w:rsidRPr="0079279E">
        <w:rPr>
          <w:color w:val="1F4E79"/>
        </w:rPr>
        <w:t xml:space="preserve"> Summary of quantifiable changes in regulatory burden by option</w:t>
      </w:r>
    </w:p>
    <w:tbl>
      <w:tblPr>
        <w:tblStyle w:val="TableGrid"/>
        <w:tblW w:w="8075" w:type="dxa"/>
        <w:tblInd w:w="567" w:type="dxa"/>
        <w:tblLayout w:type="fixed"/>
        <w:tblLook w:val="04A0" w:firstRow="1" w:lastRow="0" w:firstColumn="1" w:lastColumn="0" w:noHBand="0" w:noVBand="1"/>
        <w:tblCaption w:val="summary of quantifiable changes in regulatory burden by option"/>
        <w:tblDescription w:val="When read left to right the table describes the area of regulatory burden, the stakholder it impacts and the level of impact under option 1, then option 2 and then option 3.  "/>
      </w:tblPr>
      <w:tblGrid>
        <w:gridCol w:w="1413"/>
        <w:gridCol w:w="2268"/>
        <w:gridCol w:w="1464"/>
        <w:gridCol w:w="1465"/>
        <w:gridCol w:w="1465"/>
      </w:tblGrid>
      <w:tr w:rsidR="00F831E6" w:rsidRPr="0079279E" w:rsidTr="00FD0625">
        <w:trPr>
          <w:trHeight w:val="448"/>
          <w:tblHeader/>
        </w:trPr>
        <w:tc>
          <w:tcPr>
            <w:tcW w:w="1413" w:type="dxa"/>
            <w:shd w:val="clear" w:color="auto" w:fill="0070C0"/>
          </w:tcPr>
          <w:p w:rsidR="00F831E6" w:rsidRPr="0079279E" w:rsidRDefault="00F831E6" w:rsidP="00E67BF8">
            <w:pPr>
              <w:rPr>
                <w:rStyle w:val="Hyperlink"/>
                <w:b/>
                <w:color w:val="FFFFFF" w:themeColor="background1"/>
              </w:rPr>
            </w:pPr>
            <w:r w:rsidRPr="0079279E">
              <w:rPr>
                <w:rStyle w:val="Hyperlink"/>
                <w:b/>
                <w:color w:val="FFFFFF" w:themeColor="background1"/>
              </w:rPr>
              <w:t>Area of regulatory burden</w:t>
            </w:r>
          </w:p>
        </w:tc>
        <w:tc>
          <w:tcPr>
            <w:tcW w:w="2268" w:type="dxa"/>
            <w:tcBorders>
              <w:left w:val="nil"/>
            </w:tcBorders>
            <w:shd w:val="clear" w:color="auto" w:fill="0070C0"/>
          </w:tcPr>
          <w:p w:rsidR="00F831E6" w:rsidRPr="0079279E" w:rsidRDefault="00F831E6" w:rsidP="00E67BF8">
            <w:pPr>
              <w:rPr>
                <w:rStyle w:val="Hyperlink"/>
                <w:b/>
                <w:color w:val="FFFFFF" w:themeColor="background1"/>
              </w:rPr>
            </w:pPr>
            <w:r w:rsidRPr="0079279E">
              <w:rPr>
                <w:rStyle w:val="Hyperlink"/>
                <w:b/>
                <w:color w:val="FFFFFF" w:themeColor="background1"/>
              </w:rPr>
              <w:t xml:space="preserve">Stakeholders </w:t>
            </w:r>
          </w:p>
        </w:tc>
        <w:tc>
          <w:tcPr>
            <w:tcW w:w="1464" w:type="dxa"/>
            <w:shd w:val="clear" w:color="auto" w:fill="0070C0"/>
          </w:tcPr>
          <w:p w:rsidR="00F831E6" w:rsidRPr="0079279E" w:rsidRDefault="00F831E6" w:rsidP="00E67BF8">
            <w:pPr>
              <w:rPr>
                <w:rStyle w:val="Hyperlink"/>
                <w:b/>
                <w:color w:val="FFFFFF" w:themeColor="background1"/>
              </w:rPr>
            </w:pPr>
            <w:r w:rsidRPr="0079279E">
              <w:rPr>
                <w:rStyle w:val="Hyperlink"/>
                <w:b/>
                <w:color w:val="FFFFFF" w:themeColor="background1"/>
              </w:rPr>
              <w:t>Option 1</w:t>
            </w:r>
          </w:p>
        </w:tc>
        <w:tc>
          <w:tcPr>
            <w:tcW w:w="1465" w:type="dxa"/>
            <w:shd w:val="clear" w:color="auto" w:fill="0070C0"/>
          </w:tcPr>
          <w:p w:rsidR="00F831E6" w:rsidRPr="0079279E" w:rsidRDefault="00F831E6" w:rsidP="00F831E6">
            <w:pPr>
              <w:rPr>
                <w:rStyle w:val="Hyperlink"/>
                <w:b/>
                <w:color w:val="FFFFFF" w:themeColor="background1"/>
              </w:rPr>
            </w:pPr>
            <w:r>
              <w:rPr>
                <w:rStyle w:val="Hyperlink"/>
                <w:b/>
                <w:color w:val="FFFFFF" w:themeColor="background1"/>
              </w:rPr>
              <w:t>Option 2</w:t>
            </w:r>
          </w:p>
        </w:tc>
        <w:tc>
          <w:tcPr>
            <w:tcW w:w="1465" w:type="dxa"/>
            <w:shd w:val="clear" w:color="auto" w:fill="0070C0"/>
          </w:tcPr>
          <w:p w:rsidR="00F831E6" w:rsidRPr="0079279E" w:rsidRDefault="00F831E6" w:rsidP="00F831E6">
            <w:pPr>
              <w:rPr>
                <w:rStyle w:val="Hyperlink"/>
                <w:b/>
                <w:color w:val="FFFFFF" w:themeColor="background1"/>
              </w:rPr>
            </w:pPr>
            <w:r>
              <w:rPr>
                <w:rStyle w:val="Hyperlink"/>
                <w:b/>
                <w:color w:val="FFFFFF" w:themeColor="background1"/>
              </w:rPr>
              <w:t>Option 3(a)</w:t>
            </w:r>
          </w:p>
        </w:tc>
      </w:tr>
      <w:tr w:rsidR="00F831E6" w:rsidRPr="0079279E" w:rsidTr="00F831E6">
        <w:trPr>
          <w:trHeight w:val="319"/>
        </w:trPr>
        <w:tc>
          <w:tcPr>
            <w:tcW w:w="1413" w:type="dxa"/>
            <w:vMerge w:val="restart"/>
          </w:tcPr>
          <w:p w:rsidR="00F831E6" w:rsidRPr="0079279E" w:rsidRDefault="00F831E6" w:rsidP="00F831E6">
            <w:pPr>
              <w:rPr>
                <w:b/>
              </w:rPr>
            </w:pPr>
            <w:r>
              <w:rPr>
                <w:b/>
              </w:rPr>
              <w:t>Compliance costs</w:t>
            </w:r>
          </w:p>
        </w:tc>
        <w:tc>
          <w:tcPr>
            <w:tcW w:w="2268" w:type="dxa"/>
            <w:vAlign w:val="center"/>
          </w:tcPr>
          <w:p w:rsidR="00F831E6" w:rsidRPr="0079279E" w:rsidRDefault="00F831E6" w:rsidP="00F831E6">
            <w:pPr>
              <w:rPr>
                <w:rFonts w:ascii="Calibri" w:hAnsi="Calibri" w:cs="Calibri"/>
              </w:rPr>
            </w:pPr>
            <w:r w:rsidRPr="0079279E">
              <w:rPr>
                <w:rFonts w:ascii="Calibri" w:hAnsi="Calibri" w:cs="Calibri"/>
              </w:rPr>
              <w:t>Consumers</w:t>
            </w:r>
          </w:p>
        </w:tc>
        <w:tc>
          <w:tcPr>
            <w:tcW w:w="1464" w:type="dxa"/>
          </w:tcPr>
          <w:p w:rsidR="00F831E6" w:rsidRPr="0079279E" w:rsidRDefault="0070788A" w:rsidP="00F831E6">
            <w:pPr>
              <w:jc w:val="center"/>
            </w:pPr>
            <w:r>
              <w:t>+$0.86m</w:t>
            </w:r>
          </w:p>
        </w:tc>
        <w:tc>
          <w:tcPr>
            <w:tcW w:w="1465" w:type="dxa"/>
          </w:tcPr>
          <w:p w:rsidR="00F831E6" w:rsidRPr="0079279E" w:rsidRDefault="003804ED" w:rsidP="00F831E6">
            <w:pPr>
              <w:jc w:val="center"/>
            </w:pPr>
            <w:r>
              <w:t>+$0.61</w:t>
            </w:r>
            <w:r w:rsidR="00F831E6" w:rsidRPr="00AF23E8">
              <w:t>m</w:t>
            </w:r>
          </w:p>
        </w:tc>
        <w:tc>
          <w:tcPr>
            <w:tcW w:w="1465" w:type="dxa"/>
          </w:tcPr>
          <w:p w:rsidR="00F831E6" w:rsidRPr="0079279E" w:rsidRDefault="00D205BE" w:rsidP="00F831E6">
            <w:pPr>
              <w:jc w:val="center"/>
            </w:pPr>
            <w:r>
              <w:t>+$0.86</w:t>
            </w:r>
          </w:p>
        </w:tc>
      </w:tr>
      <w:tr w:rsidR="00F831E6" w:rsidRPr="0079279E" w:rsidTr="00F831E6">
        <w:trPr>
          <w:trHeight w:val="319"/>
        </w:trPr>
        <w:tc>
          <w:tcPr>
            <w:tcW w:w="1413" w:type="dxa"/>
            <w:vMerge/>
          </w:tcPr>
          <w:p w:rsidR="00F831E6" w:rsidRPr="0079279E" w:rsidRDefault="00F831E6" w:rsidP="00F831E6">
            <w:pPr>
              <w:rPr>
                <w:b/>
              </w:rPr>
            </w:pPr>
          </w:p>
        </w:tc>
        <w:tc>
          <w:tcPr>
            <w:tcW w:w="2268" w:type="dxa"/>
          </w:tcPr>
          <w:p w:rsidR="00F831E6" w:rsidRPr="0079279E" w:rsidRDefault="00F831E6" w:rsidP="00F831E6">
            <w:pPr>
              <w:rPr>
                <w:rFonts w:ascii="Calibri" w:hAnsi="Calibri" w:cs="Calibri"/>
              </w:rPr>
            </w:pPr>
            <w:r w:rsidRPr="0079279E">
              <w:rPr>
                <w:rFonts w:ascii="Calibri" w:hAnsi="Calibri" w:cs="Calibri"/>
              </w:rPr>
              <w:t>PPMs</w:t>
            </w:r>
          </w:p>
        </w:tc>
        <w:tc>
          <w:tcPr>
            <w:tcW w:w="1464" w:type="dxa"/>
          </w:tcPr>
          <w:p w:rsidR="00F831E6" w:rsidRPr="0079279E" w:rsidRDefault="0070788A" w:rsidP="00F831E6">
            <w:pPr>
              <w:jc w:val="center"/>
            </w:pPr>
            <w:r>
              <w:t>+$2.60m</w:t>
            </w:r>
          </w:p>
        </w:tc>
        <w:tc>
          <w:tcPr>
            <w:tcW w:w="1465" w:type="dxa"/>
          </w:tcPr>
          <w:p w:rsidR="00F831E6" w:rsidRPr="00B478F6" w:rsidRDefault="0087361F" w:rsidP="00F831E6">
            <w:pPr>
              <w:jc w:val="center"/>
            </w:pPr>
            <w:r>
              <w:t>+$0.0</w:t>
            </w:r>
            <w:r w:rsidR="00BC6E38">
              <w:t>4</w:t>
            </w:r>
            <w:r w:rsidR="00F831E6" w:rsidRPr="00AF23E8">
              <w:t>m</w:t>
            </w:r>
          </w:p>
        </w:tc>
        <w:tc>
          <w:tcPr>
            <w:tcW w:w="1465" w:type="dxa"/>
          </w:tcPr>
          <w:p w:rsidR="00F831E6" w:rsidRPr="0079279E" w:rsidRDefault="00F831E6" w:rsidP="00F831E6">
            <w:pPr>
              <w:jc w:val="center"/>
            </w:pPr>
            <w:r w:rsidRPr="00FC7121">
              <w:t>+$2.6m</w:t>
            </w:r>
          </w:p>
        </w:tc>
      </w:tr>
      <w:tr w:rsidR="00F831E6" w:rsidRPr="0079279E" w:rsidTr="00F831E6">
        <w:trPr>
          <w:trHeight w:val="319"/>
        </w:trPr>
        <w:tc>
          <w:tcPr>
            <w:tcW w:w="1413" w:type="dxa"/>
            <w:vMerge/>
          </w:tcPr>
          <w:p w:rsidR="00F831E6" w:rsidRPr="0079279E" w:rsidRDefault="00F831E6" w:rsidP="00F831E6">
            <w:pPr>
              <w:rPr>
                <w:b/>
              </w:rPr>
            </w:pPr>
          </w:p>
        </w:tc>
        <w:tc>
          <w:tcPr>
            <w:tcW w:w="2268" w:type="dxa"/>
          </w:tcPr>
          <w:p w:rsidR="00F831E6" w:rsidRPr="0079279E" w:rsidRDefault="00F831E6" w:rsidP="00F831E6">
            <w:pPr>
              <w:rPr>
                <w:rFonts w:ascii="Calibri" w:hAnsi="Calibri" w:cs="Calibri"/>
              </w:rPr>
            </w:pPr>
            <w:r w:rsidRPr="0079279E">
              <w:rPr>
                <w:rFonts w:ascii="Calibri" w:hAnsi="Calibri" w:cs="Calibri"/>
              </w:rPr>
              <w:t>Industry</w:t>
            </w:r>
          </w:p>
        </w:tc>
        <w:tc>
          <w:tcPr>
            <w:tcW w:w="1464" w:type="dxa"/>
          </w:tcPr>
          <w:p w:rsidR="00F831E6" w:rsidRPr="0079279E" w:rsidRDefault="00F831E6" w:rsidP="00F831E6">
            <w:pPr>
              <w:jc w:val="center"/>
            </w:pPr>
            <w:r>
              <w:t>$0.00</w:t>
            </w:r>
          </w:p>
        </w:tc>
        <w:tc>
          <w:tcPr>
            <w:tcW w:w="1465" w:type="dxa"/>
          </w:tcPr>
          <w:p w:rsidR="00F831E6" w:rsidRPr="0079279E" w:rsidRDefault="00F831E6" w:rsidP="0087361F">
            <w:pPr>
              <w:jc w:val="center"/>
              <w:rPr>
                <w:rFonts w:ascii="Calibri" w:hAnsi="Calibri" w:cs="Calibri"/>
              </w:rPr>
            </w:pPr>
            <w:r w:rsidRPr="00AF23E8">
              <w:t>+$0.</w:t>
            </w:r>
            <w:r w:rsidR="0087361F">
              <w:t>11</w:t>
            </w:r>
            <w:r w:rsidRPr="00AF23E8">
              <w:t>m</w:t>
            </w:r>
          </w:p>
        </w:tc>
        <w:tc>
          <w:tcPr>
            <w:tcW w:w="1465" w:type="dxa"/>
          </w:tcPr>
          <w:p w:rsidR="00F831E6" w:rsidRPr="0079279E" w:rsidRDefault="00F831E6" w:rsidP="00F831E6">
            <w:pPr>
              <w:jc w:val="center"/>
            </w:pPr>
            <w:r w:rsidRPr="00FC7121">
              <w:t>$0.0</w:t>
            </w:r>
          </w:p>
        </w:tc>
      </w:tr>
      <w:tr w:rsidR="00F831E6" w:rsidRPr="0079279E" w:rsidTr="00F831E6">
        <w:trPr>
          <w:trHeight w:val="319"/>
        </w:trPr>
        <w:tc>
          <w:tcPr>
            <w:tcW w:w="1413" w:type="dxa"/>
            <w:vMerge/>
          </w:tcPr>
          <w:p w:rsidR="00F831E6" w:rsidRPr="0079279E" w:rsidRDefault="00F831E6" w:rsidP="00F831E6">
            <w:pPr>
              <w:rPr>
                <w:rStyle w:val="Hyperlink"/>
                <w:b/>
              </w:rPr>
            </w:pPr>
          </w:p>
        </w:tc>
        <w:tc>
          <w:tcPr>
            <w:tcW w:w="2268" w:type="dxa"/>
          </w:tcPr>
          <w:p w:rsidR="00F831E6" w:rsidRPr="0079279E" w:rsidRDefault="00F831E6" w:rsidP="00F831E6">
            <w:pPr>
              <w:rPr>
                <w:rFonts w:ascii="Calibri" w:hAnsi="Calibri" w:cs="Calibri"/>
              </w:rPr>
            </w:pPr>
            <w:r w:rsidRPr="0079279E">
              <w:rPr>
                <w:rFonts w:ascii="Calibri" w:hAnsi="Calibri" w:cs="Calibri"/>
              </w:rPr>
              <w:t>Regulator (NMBA)</w:t>
            </w:r>
          </w:p>
        </w:tc>
        <w:tc>
          <w:tcPr>
            <w:tcW w:w="1464" w:type="dxa"/>
          </w:tcPr>
          <w:p w:rsidR="00F831E6" w:rsidRPr="0079279E" w:rsidRDefault="00F831E6" w:rsidP="00F831E6">
            <w:pPr>
              <w:jc w:val="center"/>
              <w:rPr>
                <w:rStyle w:val="Hyperlink"/>
              </w:rPr>
            </w:pPr>
            <w:r>
              <w:t>$0.00</w:t>
            </w:r>
          </w:p>
        </w:tc>
        <w:tc>
          <w:tcPr>
            <w:tcW w:w="1465" w:type="dxa"/>
          </w:tcPr>
          <w:p w:rsidR="00F831E6" w:rsidRPr="0079279E" w:rsidRDefault="00F831E6" w:rsidP="00F831E6">
            <w:pPr>
              <w:jc w:val="center"/>
              <w:rPr>
                <w:rStyle w:val="Hyperlink"/>
              </w:rPr>
            </w:pPr>
            <w:r w:rsidRPr="00AF23E8">
              <w:t>+$0.06m</w:t>
            </w:r>
          </w:p>
        </w:tc>
        <w:tc>
          <w:tcPr>
            <w:tcW w:w="1465" w:type="dxa"/>
          </w:tcPr>
          <w:p w:rsidR="00F831E6" w:rsidRPr="0079279E" w:rsidRDefault="00F831E6" w:rsidP="00F831E6">
            <w:pPr>
              <w:jc w:val="center"/>
              <w:rPr>
                <w:rFonts w:ascii="Calibri" w:hAnsi="Calibri" w:cs="Calibri"/>
              </w:rPr>
            </w:pPr>
            <w:r w:rsidRPr="00FC7121">
              <w:t>$0.0</w:t>
            </w:r>
          </w:p>
        </w:tc>
      </w:tr>
      <w:tr w:rsidR="00F831E6" w:rsidRPr="0079279E" w:rsidTr="00F831E6">
        <w:trPr>
          <w:trHeight w:val="300"/>
        </w:trPr>
        <w:tc>
          <w:tcPr>
            <w:tcW w:w="1413" w:type="dxa"/>
            <w:vMerge/>
          </w:tcPr>
          <w:p w:rsidR="00F831E6" w:rsidRPr="0079279E" w:rsidRDefault="00F831E6" w:rsidP="00F831E6">
            <w:pPr>
              <w:rPr>
                <w:rStyle w:val="Hyperlink"/>
                <w:b/>
              </w:rPr>
            </w:pPr>
          </w:p>
        </w:tc>
        <w:tc>
          <w:tcPr>
            <w:tcW w:w="2268" w:type="dxa"/>
          </w:tcPr>
          <w:p w:rsidR="00F831E6" w:rsidRPr="0079279E" w:rsidRDefault="00F831E6" w:rsidP="00F831E6">
            <w:pPr>
              <w:rPr>
                <w:rStyle w:val="Hyperlink"/>
              </w:rPr>
            </w:pPr>
            <w:r>
              <w:t>Business coordinating PPM</w:t>
            </w:r>
            <w:r w:rsidRPr="0079279E">
              <w:t xml:space="preserve"> services</w:t>
            </w:r>
          </w:p>
        </w:tc>
        <w:tc>
          <w:tcPr>
            <w:tcW w:w="1464" w:type="dxa"/>
          </w:tcPr>
          <w:p w:rsidR="00F831E6" w:rsidRPr="0079279E" w:rsidRDefault="0070788A" w:rsidP="005460D8">
            <w:pPr>
              <w:jc w:val="center"/>
            </w:pPr>
            <w:r>
              <w:t>+</w:t>
            </w:r>
            <w:r w:rsidR="00F831E6">
              <w:t>$</w:t>
            </w:r>
            <w:r w:rsidR="005460D8">
              <w:t>1.5</w:t>
            </w:r>
            <w:r>
              <w:t>0m</w:t>
            </w:r>
          </w:p>
        </w:tc>
        <w:tc>
          <w:tcPr>
            <w:tcW w:w="1465" w:type="dxa"/>
          </w:tcPr>
          <w:p w:rsidR="00F831E6" w:rsidRPr="0079279E" w:rsidRDefault="00F831E6" w:rsidP="00BC6E38">
            <w:pPr>
              <w:jc w:val="center"/>
            </w:pPr>
            <w:r w:rsidRPr="00AF23E8">
              <w:t>-$</w:t>
            </w:r>
            <w:r w:rsidR="00BC6E38">
              <w:t>1.50</w:t>
            </w:r>
            <w:r w:rsidRPr="00AF23E8">
              <w:t>m</w:t>
            </w:r>
          </w:p>
        </w:tc>
        <w:tc>
          <w:tcPr>
            <w:tcW w:w="1465" w:type="dxa"/>
          </w:tcPr>
          <w:p w:rsidR="00F831E6" w:rsidRPr="0079279E" w:rsidRDefault="00F831E6" w:rsidP="00F831E6">
            <w:pPr>
              <w:jc w:val="center"/>
            </w:pPr>
            <w:r w:rsidRPr="00FC7121">
              <w:t>+$0.39m</w:t>
            </w:r>
          </w:p>
        </w:tc>
      </w:tr>
      <w:tr w:rsidR="00F831E6" w:rsidRPr="006A74F8" w:rsidTr="00F831E6">
        <w:trPr>
          <w:trHeight w:val="300"/>
        </w:trPr>
        <w:tc>
          <w:tcPr>
            <w:tcW w:w="1413" w:type="dxa"/>
          </w:tcPr>
          <w:p w:rsidR="00F831E6" w:rsidRPr="0079279E" w:rsidRDefault="00F831E6" w:rsidP="00F831E6">
            <w:pPr>
              <w:rPr>
                <w:rFonts w:cstheme="minorHAnsi"/>
              </w:rPr>
            </w:pPr>
          </w:p>
        </w:tc>
        <w:tc>
          <w:tcPr>
            <w:tcW w:w="2268" w:type="dxa"/>
          </w:tcPr>
          <w:p w:rsidR="00F831E6" w:rsidRPr="0079279E" w:rsidRDefault="00F831E6" w:rsidP="00F831E6">
            <w:pPr>
              <w:rPr>
                <w:rFonts w:cstheme="minorHAnsi"/>
                <w:b/>
              </w:rPr>
            </w:pPr>
            <w:r w:rsidRPr="0079279E">
              <w:rPr>
                <w:rFonts w:cstheme="minorHAnsi"/>
                <w:b/>
              </w:rPr>
              <w:t>TOTAL</w:t>
            </w:r>
          </w:p>
        </w:tc>
        <w:tc>
          <w:tcPr>
            <w:tcW w:w="1464" w:type="dxa"/>
          </w:tcPr>
          <w:p w:rsidR="00F831E6" w:rsidRPr="0079279E" w:rsidRDefault="005460D8" w:rsidP="00F831E6">
            <w:pPr>
              <w:jc w:val="center"/>
              <w:rPr>
                <w:rFonts w:cstheme="minorHAnsi"/>
                <w:b/>
              </w:rPr>
            </w:pPr>
            <w:r>
              <w:t>+$4.9</w:t>
            </w:r>
            <w:r w:rsidR="0070788A">
              <w:t>6m</w:t>
            </w:r>
          </w:p>
        </w:tc>
        <w:tc>
          <w:tcPr>
            <w:tcW w:w="1465" w:type="dxa"/>
          </w:tcPr>
          <w:p w:rsidR="00F831E6" w:rsidRPr="009F588A" w:rsidRDefault="003A1513" w:rsidP="00BC6E38">
            <w:pPr>
              <w:jc w:val="center"/>
              <w:rPr>
                <w:rStyle w:val="Hyperlink"/>
                <w:rFonts w:cstheme="minorHAnsi"/>
                <w:b/>
                <w:color w:val="auto"/>
                <w:u w:val="none"/>
              </w:rPr>
            </w:pPr>
            <w:r>
              <w:t>-$</w:t>
            </w:r>
            <w:r w:rsidR="003804ED">
              <w:t>0</w:t>
            </w:r>
            <w:r w:rsidR="00BC6E38">
              <w:t>.68</w:t>
            </w:r>
            <w:r w:rsidR="00F831E6" w:rsidRPr="00AF23E8">
              <w:t>m</w:t>
            </w:r>
          </w:p>
        </w:tc>
        <w:tc>
          <w:tcPr>
            <w:tcW w:w="1465" w:type="dxa"/>
          </w:tcPr>
          <w:p w:rsidR="00F831E6" w:rsidRPr="009F588A" w:rsidRDefault="00D205BE" w:rsidP="00F831E6">
            <w:pPr>
              <w:jc w:val="center"/>
              <w:rPr>
                <w:rFonts w:cstheme="minorHAnsi"/>
                <w:b/>
              </w:rPr>
            </w:pPr>
            <w:r>
              <w:t>+$3.</w:t>
            </w:r>
            <w:r w:rsidR="00F831E6" w:rsidRPr="00FC7121">
              <w:t>8</w:t>
            </w:r>
            <w:r>
              <w:t>5</w:t>
            </w:r>
          </w:p>
        </w:tc>
      </w:tr>
    </w:tbl>
    <w:p w:rsidR="008F6759" w:rsidRDefault="008F6759" w:rsidP="008F6759">
      <w:pPr>
        <w:ind w:left="567"/>
      </w:pPr>
    </w:p>
    <w:p w:rsidR="008F6759" w:rsidRPr="00191E09" w:rsidRDefault="008F6759" w:rsidP="008F6759">
      <w:pPr>
        <w:tabs>
          <w:tab w:val="left" w:pos="2127"/>
        </w:tabs>
        <w:ind w:left="567"/>
        <w:rPr>
          <w:sz w:val="24"/>
          <w:szCs w:val="24"/>
          <w:lang w:eastAsia="en-AU"/>
        </w:rPr>
      </w:pPr>
      <w:r w:rsidRPr="00191E09">
        <w:rPr>
          <w:sz w:val="24"/>
          <w:szCs w:val="24"/>
          <w:lang w:eastAsia="en-AU"/>
        </w:rPr>
        <w:t xml:space="preserve">Detailed costings are </w:t>
      </w:r>
      <w:r>
        <w:rPr>
          <w:sz w:val="24"/>
          <w:szCs w:val="24"/>
          <w:lang w:eastAsia="en-AU"/>
        </w:rPr>
        <w:t>provided</w:t>
      </w:r>
      <w:r w:rsidRPr="00191E09">
        <w:rPr>
          <w:sz w:val="24"/>
          <w:szCs w:val="24"/>
          <w:lang w:eastAsia="en-AU"/>
        </w:rPr>
        <w:t xml:space="preserve"> in </w:t>
      </w:r>
      <w:r w:rsidRPr="00B478F6">
        <w:rPr>
          <w:sz w:val="24"/>
          <w:szCs w:val="24"/>
          <w:u w:val="single"/>
          <w:lang w:eastAsia="en-AU"/>
        </w:rPr>
        <w:t xml:space="preserve">Appendix </w:t>
      </w:r>
      <w:r>
        <w:rPr>
          <w:sz w:val="24"/>
          <w:szCs w:val="24"/>
          <w:u w:val="single"/>
          <w:lang w:eastAsia="en-AU"/>
        </w:rPr>
        <w:t>2</w:t>
      </w:r>
      <w:r w:rsidRPr="00191E09">
        <w:rPr>
          <w:sz w:val="24"/>
          <w:szCs w:val="24"/>
          <w:lang w:eastAsia="en-AU"/>
        </w:rPr>
        <w:t>.</w:t>
      </w:r>
    </w:p>
    <w:p w:rsidR="008F6759" w:rsidRPr="00C53ADB" w:rsidRDefault="008F6759" w:rsidP="008F6759">
      <w:pPr>
        <w:pStyle w:val="Heading2"/>
        <w:spacing w:after="160"/>
        <w:rPr>
          <w:rFonts w:asciiTheme="minorHAnsi" w:hAnsiTheme="minorHAnsi" w:cstheme="minorHAnsi"/>
          <w:color w:val="1F4E79"/>
        </w:rPr>
      </w:pPr>
      <w:bookmarkStart w:id="64" w:name="_Toc162017814"/>
      <w:r>
        <w:rPr>
          <w:rFonts w:asciiTheme="minorHAnsi" w:hAnsiTheme="minorHAnsi" w:cstheme="minorHAnsi"/>
          <w:color w:val="1F4E79"/>
        </w:rPr>
        <w:t>Impacts on Stakeholders</w:t>
      </w:r>
      <w:bookmarkEnd w:id="64"/>
    </w:p>
    <w:p w:rsidR="008F6759" w:rsidRPr="001D7454" w:rsidRDefault="008F6759" w:rsidP="008F6759">
      <w:pPr>
        <w:tabs>
          <w:tab w:val="left" w:pos="2127"/>
        </w:tabs>
        <w:ind w:left="567"/>
        <w:rPr>
          <w:sz w:val="24"/>
          <w:szCs w:val="24"/>
        </w:rPr>
      </w:pPr>
      <w:r w:rsidRPr="001D7454">
        <w:rPr>
          <w:sz w:val="24"/>
          <w:szCs w:val="24"/>
        </w:rPr>
        <w:t>This section provides an overall assessment of impacts on five key stakeholder groups:</w:t>
      </w:r>
    </w:p>
    <w:p w:rsidR="008F6759" w:rsidRPr="001D7454" w:rsidRDefault="008F6759" w:rsidP="00A622D8">
      <w:pPr>
        <w:pStyle w:val="ListParagraph"/>
        <w:numPr>
          <w:ilvl w:val="0"/>
          <w:numId w:val="18"/>
        </w:numPr>
        <w:rPr>
          <w:sz w:val="24"/>
          <w:szCs w:val="24"/>
        </w:rPr>
      </w:pPr>
      <w:r w:rsidRPr="001D7454">
        <w:rPr>
          <w:sz w:val="24"/>
          <w:szCs w:val="24"/>
        </w:rPr>
        <w:t>Consumers</w:t>
      </w:r>
    </w:p>
    <w:p w:rsidR="008F6759" w:rsidRPr="001D7454" w:rsidRDefault="008F6759" w:rsidP="00A622D8">
      <w:pPr>
        <w:pStyle w:val="ListParagraph"/>
        <w:numPr>
          <w:ilvl w:val="0"/>
          <w:numId w:val="18"/>
        </w:numPr>
        <w:rPr>
          <w:sz w:val="24"/>
          <w:szCs w:val="24"/>
        </w:rPr>
      </w:pPr>
      <w:r w:rsidRPr="001D7454">
        <w:rPr>
          <w:sz w:val="24"/>
          <w:szCs w:val="24"/>
        </w:rPr>
        <w:t>PPMs</w:t>
      </w:r>
    </w:p>
    <w:p w:rsidR="008F6759" w:rsidRPr="001D7454" w:rsidRDefault="008F6759" w:rsidP="00A622D8">
      <w:pPr>
        <w:pStyle w:val="ListParagraph"/>
        <w:numPr>
          <w:ilvl w:val="0"/>
          <w:numId w:val="18"/>
        </w:numPr>
        <w:rPr>
          <w:sz w:val="24"/>
          <w:szCs w:val="24"/>
        </w:rPr>
      </w:pPr>
      <w:r w:rsidRPr="001D7454">
        <w:rPr>
          <w:sz w:val="24"/>
          <w:szCs w:val="24"/>
        </w:rPr>
        <w:t>Industry, represented by medical indemnity insurers</w:t>
      </w:r>
    </w:p>
    <w:p w:rsidR="008F6759" w:rsidRPr="001D7454" w:rsidRDefault="008F6759" w:rsidP="00A622D8">
      <w:pPr>
        <w:pStyle w:val="ListParagraph"/>
        <w:numPr>
          <w:ilvl w:val="0"/>
          <w:numId w:val="18"/>
        </w:numPr>
        <w:rPr>
          <w:sz w:val="24"/>
          <w:szCs w:val="24"/>
        </w:rPr>
      </w:pPr>
      <w:r w:rsidRPr="001D7454">
        <w:rPr>
          <w:sz w:val="24"/>
          <w:szCs w:val="24"/>
        </w:rPr>
        <w:t>Regu</w:t>
      </w:r>
      <w:r>
        <w:rPr>
          <w:sz w:val="24"/>
          <w:szCs w:val="24"/>
        </w:rPr>
        <w:t xml:space="preserve">lator, represented by the NMBA/Australian Health Practitioner Regulation Agency (Ahpra) </w:t>
      </w:r>
    </w:p>
    <w:p w:rsidR="008F6759" w:rsidRPr="001D7454" w:rsidRDefault="008F6759" w:rsidP="00A622D8">
      <w:pPr>
        <w:pStyle w:val="ListParagraph"/>
        <w:numPr>
          <w:ilvl w:val="0"/>
          <w:numId w:val="18"/>
        </w:numPr>
        <w:rPr>
          <w:sz w:val="24"/>
          <w:szCs w:val="24"/>
        </w:rPr>
      </w:pPr>
      <w:r w:rsidRPr="001D7454">
        <w:rPr>
          <w:sz w:val="24"/>
          <w:szCs w:val="24"/>
        </w:rPr>
        <w:t>Business</w:t>
      </w:r>
    </w:p>
    <w:p w:rsidR="008F6759" w:rsidRPr="0038714B" w:rsidRDefault="008F6759" w:rsidP="008F6759">
      <w:pPr>
        <w:pStyle w:val="Heading3"/>
      </w:pPr>
      <w:bookmarkStart w:id="65" w:name="_Toc162017815"/>
      <w:r w:rsidRPr="0038714B">
        <w:t>How were impacts assessed?</w:t>
      </w:r>
      <w:bookmarkEnd w:id="65"/>
    </w:p>
    <w:p w:rsidR="008F6759" w:rsidRPr="00191E09" w:rsidRDefault="008F6759" w:rsidP="008F6759">
      <w:pPr>
        <w:tabs>
          <w:tab w:val="left" w:pos="2127"/>
        </w:tabs>
        <w:ind w:left="567"/>
        <w:rPr>
          <w:rFonts w:cstheme="minorHAnsi"/>
          <w:sz w:val="24"/>
          <w:szCs w:val="24"/>
        </w:rPr>
      </w:pPr>
      <w:r w:rsidRPr="00191E09">
        <w:rPr>
          <w:rFonts w:cstheme="minorHAnsi"/>
          <w:sz w:val="24"/>
          <w:szCs w:val="24"/>
        </w:rPr>
        <w:t xml:space="preserve">Feedback from </w:t>
      </w:r>
      <w:r>
        <w:rPr>
          <w:rFonts w:cstheme="minorHAnsi"/>
          <w:sz w:val="24"/>
          <w:szCs w:val="24"/>
        </w:rPr>
        <w:t>v</w:t>
      </w:r>
      <w:r w:rsidRPr="003968FD">
        <w:rPr>
          <w:rFonts w:cstheme="minorHAnsi"/>
          <w:sz w:val="24"/>
          <w:szCs w:val="24"/>
        </w:rPr>
        <w:t>arious jurisdictional reviews</w:t>
      </w:r>
      <w:r>
        <w:rPr>
          <w:rFonts w:cstheme="minorHAnsi"/>
          <w:sz w:val="24"/>
          <w:szCs w:val="24"/>
        </w:rPr>
        <w:t xml:space="preserve">, </w:t>
      </w:r>
      <w:r w:rsidRPr="00191E09">
        <w:rPr>
          <w:rFonts w:cstheme="minorHAnsi"/>
          <w:sz w:val="24"/>
          <w:szCs w:val="24"/>
        </w:rPr>
        <w:t xml:space="preserve">the </w:t>
      </w:r>
      <w:r w:rsidRPr="003968FD">
        <w:rPr>
          <w:rFonts w:cstheme="minorHAnsi"/>
          <w:sz w:val="24"/>
          <w:szCs w:val="24"/>
        </w:rPr>
        <w:t>COAG Women Centred Care: Strategic directions for Australian maternity Services 2019</w:t>
      </w:r>
      <w:r>
        <w:rPr>
          <w:rFonts w:cstheme="minorHAnsi"/>
          <w:sz w:val="24"/>
          <w:szCs w:val="24"/>
        </w:rPr>
        <w:t xml:space="preserve"> report, and meetings with industry, NMBA, and </w:t>
      </w:r>
      <w:r w:rsidRPr="00191E09">
        <w:rPr>
          <w:rFonts w:cstheme="minorHAnsi"/>
          <w:sz w:val="24"/>
          <w:szCs w:val="24"/>
        </w:rPr>
        <w:t>Health Ministers provided information from which to assess the likely impacts of the options on stakeholders. This included:</w:t>
      </w:r>
    </w:p>
    <w:p w:rsidR="008F6759" w:rsidRPr="001D7454" w:rsidRDefault="008F6759" w:rsidP="00A622D8">
      <w:pPr>
        <w:pStyle w:val="ListParagraph"/>
        <w:numPr>
          <w:ilvl w:val="0"/>
          <w:numId w:val="19"/>
        </w:numPr>
        <w:rPr>
          <w:sz w:val="24"/>
          <w:szCs w:val="24"/>
        </w:rPr>
      </w:pPr>
      <w:r w:rsidRPr="001D7454">
        <w:rPr>
          <w:sz w:val="24"/>
          <w:szCs w:val="24"/>
        </w:rPr>
        <w:t>Assessing how the changes in each reform option may impact key stakeholder groups.</w:t>
      </w:r>
    </w:p>
    <w:p w:rsidR="008F6759" w:rsidRPr="001D7454" w:rsidRDefault="008F6759" w:rsidP="00A622D8">
      <w:pPr>
        <w:pStyle w:val="ListParagraph"/>
        <w:numPr>
          <w:ilvl w:val="0"/>
          <w:numId w:val="19"/>
        </w:numPr>
        <w:rPr>
          <w:sz w:val="24"/>
          <w:szCs w:val="24"/>
        </w:rPr>
      </w:pPr>
      <w:r w:rsidRPr="001D7454">
        <w:rPr>
          <w:sz w:val="24"/>
          <w:szCs w:val="24"/>
        </w:rPr>
        <w:t>Identifying any regulatory burden and whether the impact would increase or decrease.</w:t>
      </w:r>
    </w:p>
    <w:p w:rsidR="008F6759" w:rsidRPr="001D7454" w:rsidRDefault="008F6759" w:rsidP="00A622D8">
      <w:pPr>
        <w:pStyle w:val="ListParagraph"/>
        <w:numPr>
          <w:ilvl w:val="0"/>
          <w:numId w:val="19"/>
        </w:numPr>
        <w:ind w:left="1077" w:hanging="357"/>
        <w:contextualSpacing w:val="0"/>
        <w:rPr>
          <w:sz w:val="24"/>
          <w:szCs w:val="24"/>
        </w:rPr>
      </w:pPr>
      <w:r w:rsidRPr="001D7454">
        <w:rPr>
          <w:sz w:val="24"/>
          <w:szCs w:val="24"/>
        </w:rPr>
        <w:t>Providing an assessment of the impact, using a common scale for the estimated magnitude.</w:t>
      </w:r>
    </w:p>
    <w:p w:rsidR="008F6759" w:rsidRPr="000339CD" w:rsidRDefault="008F6759" w:rsidP="008F6759">
      <w:pPr>
        <w:tabs>
          <w:tab w:val="left" w:pos="2127"/>
        </w:tabs>
        <w:ind w:left="567"/>
        <w:rPr>
          <w:rFonts w:cstheme="minorHAnsi"/>
          <w:sz w:val="24"/>
          <w:szCs w:val="24"/>
        </w:rPr>
      </w:pPr>
      <w:r w:rsidRPr="00230F8D">
        <w:rPr>
          <w:rFonts w:cstheme="minorHAnsi"/>
          <w:sz w:val="24"/>
          <w:szCs w:val="24"/>
        </w:rPr>
        <w:t xml:space="preserve">The assessment uses a 7 point scale, indicating the anticipated impact of changes on particular stakeholder groups relative to the </w:t>
      </w:r>
      <w:r w:rsidRPr="000339CD">
        <w:rPr>
          <w:rFonts w:cstheme="minorHAnsi"/>
          <w:sz w:val="24"/>
          <w:szCs w:val="24"/>
        </w:rPr>
        <w:t>status quo</w:t>
      </w:r>
      <w:r w:rsidRPr="000339CD">
        <w:rPr>
          <w:rFonts w:cstheme="minorHAnsi"/>
          <w:sz w:val="24"/>
          <w:szCs w:val="24"/>
          <w:vertAlign w:val="superscript"/>
        </w:rPr>
        <w:footnoteReference w:id="21"/>
      </w:r>
      <w:r w:rsidRPr="000339CD">
        <w:rPr>
          <w:rFonts w:cstheme="minorHAnsi"/>
          <w:sz w:val="24"/>
          <w:szCs w:val="24"/>
          <w:vertAlign w:val="superscript"/>
        </w:rPr>
        <w:t>:</w:t>
      </w:r>
      <w:r>
        <w:rPr>
          <w:rFonts w:cstheme="minorHAnsi"/>
          <w:sz w:val="24"/>
          <w:szCs w:val="24"/>
        </w:rPr>
        <w:t xml:space="preserve"> (representing </w:t>
      </w:r>
      <w:r w:rsidRPr="000339CD">
        <w:rPr>
          <w:rFonts w:cstheme="minorHAnsi"/>
          <w:sz w:val="24"/>
          <w:szCs w:val="24"/>
        </w:rPr>
        <w:t>no change</w:t>
      </w:r>
      <w:r>
        <w:rPr>
          <w:rFonts w:cstheme="minorHAnsi"/>
          <w:sz w:val="24"/>
          <w:szCs w:val="24"/>
        </w:rPr>
        <w:t xml:space="preserve"> to current arrangements)</w:t>
      </w:r>
      <w:r w:rsidRPr="000339CD">
        <w:rPr>
          <w:rFonts w:cstheme="minorHAnsi"/>
          <w:sz w:val="24"/>
          <w:szCs w:val="24"/>
        </w:rPr>
        <w:t>.</w:t>
      </w:r>
    </w:p>
    <w:p w:rsidR="008F6759" w:rsidRDefault="008F6759" w:rsidP="008F6759">
      <w:pPr>
        <w:pBdr>
          <w:bottom w:val="single" w:sz="12" w:space="1" w:color="auto"/>
        </w:pBdr>
        <w:rPr>
          <w:sz w:val="24"/>
          <w:szCs w:val="24"/>
        </w:rPr>
      </w:pPr>
    </w:p>
    <w:p w:rsidR="008F6759" w:rsidRPr="001D7454" w:rsidRDefault="008F6759" w:rsidP="008F6759">
      <w:pPr>
        <w:rPr>
          <w:sz w:val="24"/>
          <w:szCs w:val="24"/>
        </w:rPr>
      </w:pPr>
      <w:r w:rsidRPr="006A74F8">
        <w:rPr>
          <w:noProof/>
          <w:lang w:eastAsia="en-AU"/>
        </w:rPr>
        <w:drawing>
          <wp:inline distT="0" distB="0" distL="0" distR="0" wp14:anchorId="06104ADC" wp14:editId="3A14854E">
            <wp:extent cx="5558790" cy="897930"/>
            <wp:effectExtent l="0" t="0" r="0" b="0"/>
            <wp:docPr id="11" name="Picture 11" descr="A colour scale demonstrating the magnitude of impact.&#10;-3, dark red, large adverse&#10;-2, red, moderate adverse&#10;-1, orange, slight adverse&#10;0, yellow, neutral&#10;+1, light green, slight beneficial&#10;+2, green, moderate beneficial&#10;+3, dark green, large beneficial" title="Impact Ratin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COM21133 MLR-RIS Graphical Elements D2-0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58790" cy="897930"/>
                    </a:xfrm>
                    <a:prstGeom prst="rect">
                      <a:avLst/>
                    </a:prstGeom>
                  </pic:spPr>
                </pic:pic>
              </a:graphicData>
            </a:graphic>
          </wp:inline>
        </w:drawing>
      </w:r>
    </w:p>
    <w:p w:rsidR="008F6759" w:rsidRDefault="008F6759" w:rsidP="008F6759">
      <w:pPr>
        <w:pBdr>
          <w:top w:val="single" w:sz="12" w:space="1" w:color="auto"/>
        </w:pBdr>
        <w:spacing w:after="0"/>
        <w:rPr>
          <w:color w:val="1F4E79"/>
          <w:sz w:val="24"/>
          <w:szCs w:val="24"/>
        </w:rPr>
      </w:pPr>
    </w:p>
    <w:p w:rsidR="008F6759" w:rsidRPr="00191E09" w:rsidRDefault="008F6759" w:rsidP="008F6759">
      <w:pPr>
        <w:tabs>
          <w:tab w:val="left" w:pos="2127"/>
        </w:tabs>
        <w:ind w:left="567"/>
        <w:rPr>
          <w:rFonts w:cstheme="minorHAnsi"/>
          <w:sz w:val="24"/>
          <w:szCs w:val="24"/>
        </w:rPr>
      </w:pPr>
      <w:r w:rsidRPr="00191E09">
        <w:rPr>
          <w:rFonts w:cstheme="minorHAnsi"/>
          <w:sz w:val="24"/>
          <w:szCs w:val="24"/>
        </w:rPr>
        <w:t>Changes which result in a beneficial impact for stakeholders, or reduce burden, have been rated as positive. Changes which increase operating costs, risk, burden or result in a detrimental impact for stakeholders have been rated as negative. The neutral rating was used to signify minimal impact</w:t>
      </w:r>
      <w:r w:rsidRPr="00775698">
        <w:rPr>
          <w:rFonts w:cstheme="minorHAnsi"/>
          <w:sz w:val="24"/>
          <w:szCs w:val="24"/>
        </w:rPr>
        <w:t xml:space="preserve"> </w:t>
      </w:r>
      <w:r>
        <w:rPr>
          <w:rFonts w:cstheme="minorHAnsi"/>
          <w:sz w:val="24"/>
          <w:szCs w:val="24"/>
        </w:rPr>
        <w:t>and that there would be</w:t>
      </w:r>
      <w:r w:rsidRPr="00775698">
        <w:rPr>
          <w:rFonts w:cstheme="minorHAnsi"/>
          <w:sz w:val="24"/>
          <w:szCs w:val="24"/>
        </w:rPr>
        <w:t xml:space="preserve"> no overall benefit or cost from the option relative to the status quo</w:t>
      </w:r>
      <w:r>
        <w:rPr>
          <w:rFonts w:cstheme="minorHAnsi"/>
          <w:sz w:val="24"/>
          <w:szCs w:val="24"/>
        </w:rPr>
        <w:t>.</w:t>
      </w:r>
    </w:p>
    <w:p w:rsidR="008F6759" w:rsidRDefault="008F6759" w:rsidP="008F6759">
      <w:pPr>
        <w:tabs>
          <w:tab w:val="left" w:pos="2127"/>
        </w:tabs>
        <w:ind w:left="567"/>
        <w:rPr>
          <w:rFonts w:cstheme="minorHAnsi"/>
          <w:sz w:val="24"/>
          <w:szCs w:val="24"/>
        </w:rPr>
      </w:pPr>
      <w:r w:rsidRPr="00191E09">
        <w:rPr>
          <w:rFonts w:cstheme="minorHAnsi"/>
          <w:sz w:val="24"/>
          <w:szCs w:val="24"/>
        </w:rPr>
        <w:t xml:space="preserve">These ratings have been determined as outlined in </w:t>
      </w:r>
      <w:r w:rsidRPr="00B478F6">
        <w:rPr>
          <w:rFonts w:cstheme="minorHAnsi"/>
          <w:sz w:val="24"/>
          <w:szCs w:val="24"/>
          <w:u w:val="single"/>
        </w:rPr>
        <w:t>Appendix 2</w:t>
      </w:r>
      <w:r w:rsidRPr="00191E09">
        <w:rPr>
          <w:rFonts w:cstheme="minorHAnsi"/>
          <w:sz w:val="24"/>
          <w:szCs w:val="24"/>
        </w:rPr>
        <w:t>. While numbers have been applied to this rating scale, these are intended to support accessibility and readability of the ratings rather than representing a precise scale.</w:t>
      </w:r>
    </w:p>
    <w:p w:rsidR="008F6759" w:rsidRPr="00230F8D" w:rsidRDefault="008F6759" w:rsidP="008F6759">
      <w:pPr>
        <w:pStyle w:val="Heading3"/>
        <w:rPr>
          <w:rStyle w:val="Heading6Char"/>
          <w:rFonts w:asciiTheme="minorHAnsi" w:hAnsiTheme="minorHAnsi"/>
          <w:i w:val="0"/>
          <w:color w:val="1F4E79"/>
        </w:rPr>
      </w:pPr>
      <w:bookmarkStart w:id="66" w:name="_Toc162017816"/>
      <w:r w:rsidRPr="00230F8D">
        <w:t>Li</w:t>
      </w:r>
      <w:r w:rsidRPr="00230F8D">
        <w:rPr>
          <w:rStyle w:val="Heading6Char"/>
          <w:rFonts w:asciiTheme="minorHAnsi" w:hAnsiTheme="minorHAnsi"/>
          <w:i w:val="0"/>
          <w:caps w:val="0"/>
          <w:color w:val="1F4E79"/>
        </w:rPr>
        <w:t>mitations and assumptions</w:t>
      </w:r>
      <w:bookmarkEnd w:id="66"/>
    </w:p>
    <w:p w:rsidR="008F6759" w:rsidRPr="00191E09" w:rsidRDefault="008F6759" w:rsidP="008F6759">
      <w:pPr>
        <w:tabs>
          <w:tab w:val="left" w:pos="2127"/>
        </w:tabs>
        <w:ind w:left="567"/>
        <w:rPr>
          <w:rFonts w:cstheme="minorHAnsi"/>
          <w:sz w:val="24"/>
          <w:szCs w:val="24"/>
        </w:rPr>
      </w:pPr>
      <w:r w:rsidRPr="00191E09">
        <w:rPr>
          <w:rFonts w:cstheme="minorHAnsi"/>
          <w:sz w:val="24"/>
          <w:szCs w:val="24"/>
        </w:rPr>
        <w:t>Changes to regulatory burden under each reform option were identified for each stakeholder group but cannot be completely quantified as a dollar cost due to lack of data. Appendi</w:t>
      </w:r>
      <w:r>
        <w:rPr>
          <w:rFonts w:cstheme="minorHAnsi"/>
          <w:sz w:val="24"/>
          <w:szCs w:val="24"/>
        </w:rPr>
        <w:t>x 2</w:t>
      </w:r>
      <w:r w:rsidRPr="00191E09">
        <w:rPr>
          <w:rFonts w:cstheme="minorHAnsi"/>
          <w:sz w:val="24"/>
          <w:szCs w:val="24"/>
        </w:rPr>
        <w:t xml:space="preserve"> provide</w:t>
      </w:r>
      <w:r>
        <w:rPr>
          <w:rFonts w:cstheme="minorHAnsi"/>
          <w:sz w:val="24"/>
          <w:szCs w:val="24"/>
        </w:rPr>
        <w:t>s</w:t>
      </w:r>
      <w:r w:rsidRPr="00191E09">
        <w:rPr>
          <w:rFonts w:cstheme="minorHAnsi"/>
          <w:sz w:val="24"/>
          <w:szCs w:val="24"/>
        </w:rPr>
        <w:t xml:space="preserve"> some information about specific areas for which there are some regulatory burden costings.</w:t>
      </w:r>
    </w:p>
    <w:p w:rsidR="008F6759" w:rsidRPr="00191E09" w:rsidRDefault="008F6759" w:rsidP="008F6759">
      <w:pPr>
        <w:tabs>
          <w:tab w:val="left" w:pos="2127"/>
        </w:tabs>
        <w:ind w:left="567"/>
        <w:rPr>
          <w:rFonts w:cstheme="minorHAnsi"/>
          <w:sz w:val="24"/>
          <w:szCs w:val="24"/>
        </w:rPr>
      </w:pPr>
      <w:r w:rsidRPr="00191E09">
        <w:rPr>
          <w:rFonts w:cstheme="minorHAnsi"/>
          <w:sz w:val="24"/>
          <w:szCs w:val="24"/>
        </w:rPr>
        <w:t xml:space="preserve">In some areas, subsequent data collection will be used to help identify the risks involved and further consultation will be undertaken to strike an appropriate regulatory balance between the risks to be managed and the level of regulatory burden. </w:t>
      </w:r>
    </w:p>
    <w:p w:rsidR="008F6759" w:rsidRPr="009A520B" w:rsidRDefault="008F6759" w:rsidP="008F6759">
      <w:pPr>
        <w:pStyle w:val="Heading3"/>
      </w:pPr>
      <w:bookmarkStart w:id="67" w:name="_Toc162017817"/>
      <w:r w:rsidRPr="009A520B">
        <w:t>Summary by reform option</w:t>
      </w:r>
      <w:bookmarkEnd w:id="67"/>
    </w:p>
    <w:p w:rsidR="008F6759" w:rsidRDefault="008F6759" w:rsidP="008F6759">
      <w:pPr>
        <w:tabs>
          <w:tab w:val="left" w:pos="2127"/>
        </w:tabs>
        <w:ind w:left="567"/>
        <w:rPr>
          <w:rFonts w:cstheme="minorHAnsi"/>
          <w:sz w:val="24"/>
          <w:szCs w:val="24"/>
        </w:rPr>
      </w:pPr>
      <w:r w:rsidRPr="00191E09">
        <w:rPr>
          <w:rFonts w:cstheme="minorHAnsi"/>
          <w:sz w:val="24"/>
          <w:szCs w:val="24"/>
        </w:rPr>
        <w:t>B</w:t>
      </w:r>
      <w:r w:rsidR="0070788A">
        <w:rPr>
          <w:rFonts w:cstheme="minorHAnsi"/>
          <w:sz w:val="24"/>
          <w:szCs w:val="24"/>
        </w:rPr>
        <w:t>ased on the assessment, option 2</w:t>
      </w:r>
      <w:r w:rsidRPr="00191E09">
        <w:rPr>
          <w:rFonts w:cstheme="minorHAnsi"/>
          <w:sz w:val="24"/>
          <w:szCs w:val="24"/>
        </w:rPr>
        <w:t xml:space="preserve"> provides greatest benefits to consumers, PPMs and business and imposes some administrative burden on industry</w:t>
      </w:r>
      <w:r>
        <w:rPr>
          <w:rFonts w:cstheme="minorHAnsi"/>
          <w:sz w:val="24"/>
          <w:szCs w:val="24"/>
        </w:rPr>
        <w:t xml:space="preserve">, </w:t>
      </w:r>
      <w:r w:rsidRPr="00191E09">
        <w:rPr>
          <w:rFonts w:cstheme="minorHAnsi"/>
          <w:sz w:val="24"/>
          <w:szCs w:val="24"/>
        </w:rPr>
        <w:t>the regulator</w:t>
      </w:r>
      <w:r>
        <w:rPr>
          <w:rFonts w:cstheme="minorHAnsi"/>
          <w:sz w:val="24"/>
          <w:szCs w:val="24"/>
        </w:rPr>
        <w:t xml:space="preserve"> and business</w:t>
      </w:r>
      <w:r w:rsidRPr="00191E09">
        <w:rPr>
          <w:rFonts w:cstheme="minorHAnsi"/>
          <w:sz w:val="24"/>
          <w:szCs w:val="24"/>
        </w:rPr>
        <w:t xml:space="preserve">. </w:t>
      </w:r>
      <w:r>
        <w:rPr>
          <w:rFonts w:cstheme="minorHAnsi"/>
          <w:sz w:val="24"/>
          <w:szCs w:val="24"/>
        </w:rPr>
        <w:t>Table</w:t>
      </w:r>
      <w:r w:rsidR="00871AEA">
        <w:rPr>
          <w:rFonts w:cstheme="minorHAnsi"/>
          <w:sz w:val="24"/>
          <w:szCs w:val="24"/>
        </w:rPr>
        <w:t xml:space="preserve"> 3</w:t>
      </w:r>
      <w:r>
        <w:rPr>
          <w:rFonts w:cstheme="minorHAnsi"/>
          <w:sz w:val="24"/>
          <w:szCs w:val="24"/>
        </w:rPr>
        <w:t xml:space="preserve"> shows</w:t>
      </w:r>
      <w:r w:rsidRPr="00191E09">
        <w:rPr>
          <w:rFonts w:cstheme="minorHAnsi"/>
          <w:sz w:val="24"/>
          <w:szCs w:val="24"/>
        </w:rPr>
        <w:t xml:space="preserve"> how each reform option is likely to impact stakeholders. </w:t>
      </w:r>
    </w:p>
    <w:p w:rsidR="00D101C3" w:rsidRPr="00FF5011" w:rsidRDefault="00D101C3" w:rsidP="007203FE">
      <w:pPr>
        <w:spacing w:after="0"/>
        <w:rPr>
          <w:b/>
          <w:color w:val="2E74B5" w:themeColor="accent1" w:themeShade="BF"/>
        </w:rPr>
      </w:pPr>
      <w:r w:rsidRPr="00FF5011">
        <w:rPr>
          <w:b/>
          <w:color w:val="1F4E79"/>
        </w:rPr>
        <w:t xml:space="preserve">Table </w:t>
      </w:r>
      <w:r>
        <w:rPr>
          <w:b/>
          <w:noProof/>
          <w:color w:val="1F4E79"/>
        </w:rPr>
        <w:t>3</w:t>
      </w:r>
      <w:r w:rsidRPr="00FF5011">
        <w:rPr>
          <w:b/>
          <w:noProof/>
          <w:color w:val="1F4E79"/>
        </w:rPr>
        <w:t>: Overall impact of options on stakeholders</w:t>
      </w:r>
    </w:p>
    <w:tbl>
      <w:tblPr>
        <w:tblStyle w:val="PlainTable23"/>
        <w:tblW w:w="8843" w:type="dxa"/>
        <w:tblLayout w:type="fixed"/>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253"/>
        <w:gridCol w:w="803"/>
        <w:gridCol w:w="803"/>
        <w:gridCol w:w="804"/>
        <w:gridCol w:w="5180"/>
      </w:tblGrid>
      <w:tr w:rsidR="00D101C3" w:rsidRPr="006A74F8" w:rsidTr="007D4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Borders>
              <w:top w:val="single" w:sz="18" w:space="0" w:color="auto"/>
              <w:left w:val="single" w:sz="18" w:space="0" w:color="auto"/>
              <w:bottom w:val="single" w:sz="18" w:space="0" w:color="auto"/>
              <w:right w:val="single" w:sz="18" w:space="0" w:color="auto"/>
            </w:tcBorders>
            <w:vAlign w:val="center"/>
          </w:tcPr>
          <w:p w:rsidR="00D101C3" w:rsidRPr="006A74F8" w:rsidRDefault="00D101C3" w:rsidP="007D45B7">
            <w:pPr>
              <w:rPr>
                <w:rFonts w:asciiTheme="majorHAnsi" w:hAnsiTheme="majorHAnsi" w:cstheme="majorHAnsi"/>
                <w:sz w:val="20"/>
                <w:szCs w:val="20"/>
              </w:rPr>
            </w:pPr>
            <w:r w:rsidRPr="00B06D6C">
              <w:rPr>
                <w:rFonts w:asciiTheme="majorHAnsi" w:hAnsiTheme="majorHAnsi" w:cstheme="majorHAnsi"/>
              </w:rPr>
              <w:t>Impact</w:t>
            </w:r>
          </w:p>
        </w:tc>
        <w:tc>
          <w:tcPr>
            <w:tcW w:w="803" w:type="dxa"/>
            <w:tcBorders>
              <w:top w:val="single" w:sz="18" w:space="0" w:color="auto"/>
              <w:left w:val="single" w:sz="18" w:space="0" w:color="auto"/>
              <w:bottom w:val="single" w:sz="18" w:space="0" w:color="auto"/>
              <w:right w:val="single" w:sz="18" w:space="0" w:color="auto"/>
            </w:tcBorders>
          </w:tcPr>
          <w:p w:rsidR="00D101C3" w:rsidRPr="00B06D6C" w:rsidRDefault="00D101C3" w:rsidP="007D45B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1</w:t>
            </w:r>
          </w:p>
        </w:tc>
        <w:tc>
          <w:tcPr>
            <w:tcW w:w="803" w:type="dxa"/>
            <w:tcBorders>
              <w:top w:val="single" w:sz="18" w:space="0" w:color="auto"/>
              <w:left w:val="single" w:sz="18" w:space="0" w:color="auto"/>
              <w:bottom w:val="single" w:sz="18" w:space="0" w:color="auto"/>
              <w:right w:val="single" w:sz="18" w:space="0" w:color="auto"/>
            </w:tcBorders>
            <w:shd w:val="clear" w:color="auto" w:fill="auto"/>
          </w:tcPr>
          <w:p w:rsidR="00D101C3" w:rsidRPr="00461E94" w:rsidRDefault="00D101C3" w:rsidP="007D45B7">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Pr>
                <w:rFonts w:cstheme="minorHAnsi"/>
                <w:b w:val="0"/>
              </w:rPr>
              <w:t>2</w:t>
            </w:r>
          </w:p>
        </w:tc>
        <w:tc>
          <w:tcPr>
            <w:tcW w:w="804" w:type="dxa"/>
            <w:tcBorders>
              <w:top w:val="single" w:sz="18" w:space="0" w:color="auto"/>
              <w:left w:val="single" w:sz="18" w:space="0" w:color="auto"/>
              <w:bottom w:val="single" w:sz="18" w:space="0" w:color="auto"/>
              <w:right w:val="single" w:sz="18" w:space="0" w:color="auto"/>
            </w:tcBorders>
            <w:shd w:val="clear" w:color="auto" w:fill="auto"/>
            <w:vAlign w:val="center"/>
          </w:tcPr>
          <w:p w:rsidR="00D101C3" w:rsidRPr="00461E94" w:rsidRDefault="00D101C3" w:rsidP="007D45B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w:t>
            </w:r>
            <w:r w:rsidRPr="00461E94">
              <w:rPr>
                <w:rFonts w:cstheme="minorHAnsi"/>
                <w:b w:val="0"/>
              </w:rPr>
              <w:t>(a)</w:t>
            </w:r>
          </w:p>
        </w:tc>
        <w:tc>
          <w:tcPr>
            <w:tcW w:w="5180" w:type="dxa"/>
            <w:tcBorders>
              <w:top w:val="single" w:sz="18" w:space="0" w:color="auto"/>
              <w:left w:val="single" w:sz="18" w:space="0" w:color="auto"/>
              <w:bottom w:val="single" w:sz="18" w:space="0" w:color="auto"/>
              <w:right w:val="single" w:sz="18" w:space="0" w:color="auto"/>
            </w:tcBorders>
            <w:vAlign w:val="center"/>
          </w:tcPr>
          <w:p w:rsidR="00D101C3" w:rsidRPr="006A74F8" w:rsidRDefault="00D101C3" w:rsidP="007D45B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p>
        </w:tc>
      </w:tr>
      <w:tr w:rsidR="00D101C3" w:rsidRPr="006A74F8" w:rsidTr="007D4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Borders>
              <w:top w:val="single" w:sz="18" w:space="0" w:color="auto"/>
              <w:right w:val="single" w:sz="18" w:space="0" w:color="FFFFFF" w:themeColor="background1"/>
            </w:tcBorders>
            <w:vAlign w:val="center"/>
          </w:tcPr>
          <w:p w:rsidR="00D101C3" w:rsidRPr="006A74F8" w:rsidRDefault="00D101C3" w:rsidP="007D45B7">
            <w:pPr>
              <w:rPr>
                <w:rFonts w:asciiTheme="majorHAnsi" w:eastAsia="Calibri" w:hAnsiTheme="majorHAnsi" w:cstheme="majorHAnsi"/>
                <w:sz w:val="20"/>
                <w:szCs w:val="20"/>
              </w:rPr>
            </w:pPr>
            <w:r>
              <w:rPr>
                <w:rFonts w:asciiTheme="majorHAnsi" w:hAnsiTheme="majorHAnsi" w:cstheme="majorHAnsi"/>
                <w:sz w:val="20"/>
                <w:szCs w:val="20"/>
              </w:rPr>
              <w:t>Consumers</w:t>
            </w:r>
          </w:p>
        </w:tc>
        <w:tc>
          <w:tcPr>
            <w:tcW w:w="803" w:type="dxa"/>
            <w:tcBorders>
              <w:top w:val="single" w:sz="18" w:space="0" w:color="auto"/>
              <w:left w:val="single" w:sz="18" w:space="0" w:color="FFFFFF" w:themeColor="background1"/>
              <w:bottom w:val="single" w:sz="18" w:space="0" w:color="FFFFFF" w:themeColor="background1"/>
              <w:right w:val="single" w:sz="18" w:space="0" w:color="FFFFFF" w:themeColor="background1"/>
            </w:tcBorders>
            <w:shd w:val="clear" w:color="auto" w:fill="FA460E"/>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-7</w:t>
            </w:r>
          </w:p>
        </w:tc>
        <w:tc>
          <w:tcPr>
            <w:tcW w:w="803" w:type="dxa"/>
            <w:tcBorders>
              <w:top w:val="single" w:sz="18" w:space="0" w:color="auto"/>
              <w:left w:val="single" w:sz="18" w:space="0" w:color="FFFFFF" w:themeColor="background1"/>
              <w:bottom w:val="single" w:sz="18" w:space="0" w:color="FFFFFF" w:themeColor="background1"/>
              <w:right w:val="single" w:sz="18" w:space="0" w:color="FFFFFF" w:themeColor="background1"/>
            </w:tcBorders>
            <w:shd w:val="clear" w:color="auto" w:fill="55A5A9"/>
            <w:vAlign w:val="center"/>
          </w:tcPr>
          <w:p w:rsidR="00D101C3" w:rsidRPr="006A74F8"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Pr>
                <w:rFonts w:cstheme="minorHAnsi"/>
                <w:sz w:val="20"/>
                <w:szCs w:val="18"/>
              </w:rPr>
              <w:t>+6</w:t>
            </w:r>
          </w:p>
        </w:tc>
        <w:tc>
          <w:tcPr>
            <w:tcW w:w="804" w:type="dxa"/>
            <w:tcBorders>
              <w:top w:val="single" w:sz="18" w:space="0" w:color="auto"/>
              <w:left w:val="single" w:sz="18" w:space="0" w:color="FFFFFF" w:themeColor="background1"/>
              <w:bottom w:val="single" w:sz="18" w:space="0" w:color="FFFFFF" w:themeColor="background1"/>
              <w:right w:val="single" w:sz="18" w:space="0" w:color="FFFFFF" w:themeColor="background1"/>
            </w:tcBorders>
            <w:shd w:val="clear" w:color="auto" w:fill="FA460E"/>
            <w:vAlign w:val="center"/>
          </w:tcPr>
          <w:p w:rsidR="00D101C3" w:rsidRPr="006A74F8"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-7</w:t>
            </w:r>
          </w:p>
        </w:tc>
        <w:tc>
          <w:tcPr>
            <w:tcW w:w="5180" w:type="dxa"/>
            <w:tcBorders>
              <w:top w:val="single" w:sz="18" w:space="0" w:color="auto"/>
              <w:left w:val="single" w:sz="18" w:space="0" w:color="FFFFFF" w:themeColor="background1"/>
            </w:tcBorders>
            <w:vAlign w:val="center"/>
          </w:tcPr>
          <w:p w:rsidR="00D101C3" w:rsidRPr="006A74F8" w:rsidRDefault="00D101C3" w:rsidP="007D45B7">
            <w:pPr>
              <w:spacing w:before="120" w:after="12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hAnsiTheme="majorHAnsi" w:cstheme="majorHAnsi"/>
                <w:color w:val="000000" w:themeColor="text1"/>
                <w:sz w:val="20"/>
                <w:szCs w:val="20"/>
              </w:rPr>
              <w:t>Option 2</w:t>
            </w:r>
            <w:r w:rsidRPr="00B06D6C">
              <w:rPr>
                <w:rFonts w:asciiTheme="majorHAnsi" w:hAnsiTheme="majorHAnsi" w:cstheme="majorHAnsi"/>
                <w:color w:val="000000" w:themeColor="text1"/>
                <w:sz w:val="20"/>
                <w:szCs w:val="20"/>
              </w:rPr>
              <w:t xml:space="preserve"> would enable women to have more choice in birthing options and midwifery support</w:t>
            </w:r>
            <w:r>
              <w:rPr>
                <w:rFonts w:asciiTheme="majorHAnsi" w:hAnsiTheme="majorHAnsi" w:cstheme="majorHAnsi"/>
                <w:color w:val="000000" w:themeColor="text1"/>
                <w:sz w:val="20"/>
                <w:szCs w:val="20"/>
              </w:rPr>
              <w:t xml:space="preserve"> and give First Nations Women culturally safe services</w:t>
            </w:r>
          </w:p>
        </w:tc>
      </w:tr>
      <w:tr w:rsidR="00D101C3" w:rsidTr="007203FE">
        <w:tc>
          <w:tcPr>
            <w:cnfStyle w:val="001000000000" w:firstRow="0" w:lastRow="0" w:firstColumn="1" w:lastColumn="0" w:oddVBand="0" w:evenVBand="0" w:oddHBand="0" w:evenHBand="0" w:firstRowFirstColumn="0" w:firstRowLastColumn="0" w:lastRowFirstColumn="0" w:lastRowLastColumn="0"/>
            <w:tcW w:w="1253" w:type="dxa"/>
            <w:tcBorders>
              <w:right w:val="single" w:sz="18" w:space="0" w:color="FFFFFF" w:themeColor="background1"/>
            </w:tcBorders>
            <w:vAlign w:val="center"/>
          </w:tcPr>
          <w:p w:rsidR="00D101C3" w:rsidRDefault="00D101C3" w:rsidP="007D45B7">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PPMs</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C5"/>
            <w:vAlign w:val="center"/>
          </w:tcPr>
          <w:p w:rsidR="00D101C3" w:rsidRDefault="007203FE"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0</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55A5A9"/>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+4</w:t>
            </w:r>
          </w:p>
        </w:tc>
        <w:tc>
          <w:tcPr>
            <w:tcW w:w="80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A460E"/>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-4</w:t>
            </w:r>
          </w:p>
        </w:tc>
        <w:tc>
          <w:tcPr>
            <w:tcW w:w="5180" w:type="dxa"/>
            <w:tcBorders>
              <w:left w:val="single" w:sz="18" w:space="0" w:color="FFFFFF" w:themeColor="background1"/>
            </w:tcBorders>
            <w:vAlign w:val="center"/>
          </w:tcPr>
          <w:p w:rsidR="00D101C3" w:rsidRDefault="00D101C3" w:rsidP="007203FE">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Option 2 allow</w:t>
            </w:r>
            <w:r w:rsidR="007203FE">
              <w:rPr>
                <w:rFonts w:asciiTheme="majorHAnsi" w:hAnsiTheme="majorHAnsi" w:cstheme="majorHAnsi"/>
                <w:sz w:val="20"/>
                <w:szCs w:val="20"/>
              </w:rPr>
              <w:t>s</w:t>
            </w:r>
            <w:r>
              <w:rPr>
                <w:rFonts w:asciiTheme="majorHAnsi" w:hAnsiTheme="majorHAnsi" w:cstheme="majorHAnsi"/>
                <w:sz w:val="20"/>
                <w:szCs w:val="20"/>
              </w:rPr>
              <w:t xml:space="preserve"> PPMs to work to the full scope of their practice</w:t>
            </w:r>
            <w:r w:rsidR="007203FE">
              <w:rPr>
                <w:rFonts w:asciiTheme="majorHAnsi" w:hAnsiTheme="majorHAnsi" w:cstheme="majorHAnsi"/>
                <w:sz w:val="20"/>
                <w:szCs w:val="20"/>
              </w:rPr>
              <w:t>. U</w:t>
            </w:r>
            <w:r>
              <w:rPr>
                <w:rFonts w:asciiTheme="majorHAnsi" w:hAnsiTheme="majorHAnsi" w:cstheme="majorHAnsi"/>
                <w:sz w:val="20"/>
                <w:szCs w:val="20"/>
              </w:rPr>
              <w:t>nder option 3(a) PPMs are not insured.</w:t>
            </w:r>
          </w:p>
        </w:tc>
      </w:tr>
      <w:tr w:rsidR="00D101C3" w:rsidTr="007D45B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53" w:type="dxa"/>
            <w:tcBorders>
              <w:top w:val="single" w:sz="4" w:space="0" w:color="000000" w:themeColor="text1"/>
              <w:bottom w:val="single" w:sz="4" w:space="0" w:color="auto"/>
              <w:right w:val="single" w:sz="18" w:space="0" w:color="FFFFFF" w:themeColor="background1"/>
            </w:tcBorders>
            <w:vAlign w:val="center"/>
          </w:tcPr>
          <w:p w:rsidR="00D101C3" w:rsidRDefault="00D101C3" w:rsidP="007D45B7">
            <w:pPr>
              <w:rPr>
                <w:rFonts w:asciiTheme="majorHAnsi" w:hAnsiTheme="majorHAnsi" w:cstheme="majorHAnsi"/>
                <w:sz w:val="20"/>
                <w:szCs w:val="20"/>
              </w:rPr>
            </w:pPr>
            <w:r>
              <w:rPr>
                <w:rFonts w:asciiTheme="majorHAnsi" w:hAnsiTheme="majorHAnsi" w:cstheme="majorHAnsi"/>
                <w:sz w:val="20"/>
                <w:szCs w:val="20"/>
              </w:rPr>
              <w:t>Industry</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C5"/>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0</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BC79"/>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-1</w:t>
            </w:r>
          </w:p>
        </w:tc>
        <w:tc>
          <w:tcPr>
            <w:tcW w:w="80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C5"/>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0</w:t>
            </w:r>
          </w:p>
        </w:tc>
        <w:tc>
          <w:tcPr>
            <w:tcW w:w="5180" w:type="dxa"/>
            <w:tcBorders>
              <w:top w:val="single" w:sz="4" w:space="0" w:color="000000" w:themeColor="text1"/>
              <w:left w:val="single" w:sz="18" w:space="0" w:color="FFFFFF" w:themeColor="background1"/>
            </w:tcBorders>
            <w:vAlign w:val="center"/>
          </w:tcPr>
          <w:p w:rsidR="00D101C3" w:rsidRDefault="00D101C3" w:rsidP="007D45B7">
            <w:pPr>
              <w:spacing w:before="120" w:after="12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eastAsia="Calibri" w:hAnsiTheme="majorHAnsi" w:cstheme="majorHAnsi"/>
                <w:sz w:val="20"/>
                <w:szCs w:val="20"/>
              </w:rPr>
              <w:t>Option 2 imposes some administrative burden on industry while Options 1 and 3(a) maintain the status quo.</w:t>
            </w:r>
          </w:p>
        </w:tc>
      </w:tr>
      <w:tr w:rsidR="00D101C3" w:rsidTr="007D45B7">
        <w:tc>
          <w:tcPr>
            <w:cnfStyle w:val="001000000000" w:firstRow="0" w:lastRow="0" w:firstColumn="1" w:lastColumn="0" w:oddVBand="0" w:evenVBand="0" w:oddHBand="0" w:evenHBand="0" w:firstRowFirstColumn="0" w:firstRowLastColumn="0" w:lastRowFirstColumn="0" w:lastRowLastColumn="0"/>
            <w:tcW w:w="1253" w:type="dxa"/>
            <w:tcBorders>
              <w:top w:val="single" w:sz="4" w:space="0" w:color="auto"/>
              <w:bottom w:val="single" w:sz="4" w:space="0" w:color="auto"/>
              <w:right w:val="single" w:sz="18" w:space="0" w:color="FFFFFF" w:themeColor="background1"/>
            </w:tcBorders>
            <w:vAlign w:val="center"/>
          </w:tcPr>
          <w:p w:rsidR="00D101C3" w:rsidRDefault="00D101C3" w:rsidP="007D45B7">
            <w:pPr>
              <w:rPr>
                <w:rFonts w:asciiTheme="majorHAnsi" w:hAnsiTheme="majorHAnsi" w:cstheme="majorHAnsi"/>
                <w:sz w:val="20"/>
                <w:szCs w:val="20"/>
              </w:rPr>
            </w:pPr>
            <w:r>
              <w:rPr>
                <w:rFonts w:asciiTheme="majorHAnsi" w:hAnsiTheme="majorHAnsi" w:cstheme="majorHAnsi"/>
                <w:sz w:val="20"/>
                <w:szCs w:val="20"/>
              </w:rPr>
              <w:t>Regulator</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A460E"/>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80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BC79"/>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w:t>
            </w:r>
          </w:p>
        </w:tc>
        <w:tc>
          <w:tcPr>
            <w:tcW w:w="80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A460E"/>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5180" w:type="dxa"/>
            <w:tcBorders>
              <w:top w:val="single" w:sz="4" w:space="0" w:color="000000" w:themeColor="text1"/>
              <w:left w:val="single" w:sz="18" w:space="0" w:color="FFFFFF" w:themeColor="background1"/>
            </w:tcBorders>
            <w:vAlign w:val="center"/>
          </w:tcPr>
          <w:p w:rsidR="00D101C3" w:rsidRDefault="00D101C3" w:rsidP="00D101C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Pr>
                <w:rFonts w:asciiTheme="majorHAnsi" w:eastAsia="Calibri" w:hAnsiTheme="majorHAnsi" w:cstheme="majorHAnsi"/>
                <w:sz w:val="20"/>
                <w:szCs w:val="20"/>
              </w:rPr>
              <w:t>Option 2 imposes some administrative burden on regulator while Options 1 and 3(a) require more stringent monitoring of safe</w:t>
            </w:r>
            <w:r w:rsidR="00C37C61">
              <w:rPr>
                <w:rFonts w:asciiTheme="majorHAnsi" w:eastAsia="Calibri" w:hAnsiTheme="majorHAnsi" w:cstheme="majorHAnsi"/>
                <w:sz w:val="20"/>
                <w:szCs w:val="20"/>
              </w:rPr>
              <w:t>ty and quality of PPM practice.</w:t>
            </w:r>
          </w:p>
        </w:tc>
      </w:tr>
      <w:tr w:rsidR="00D101C3" w:rsidTr="007D4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3" w:type="dxa"/>
            <w:tcBorders>
              <w:top w:val="single" w:sz="4" w:space="0" w:color="auto"/>
              <w:bottom w:val="single" w:sz="18" w:space="0" w:color="auto"/>
              <w:right w:val="single" w:sz="18" w:space="0" w:color="FFFFFF" w:themeColor="background1"/>
            </w:tcBorders>
            <w:vAlign w:val="center"/>
          </w:tcPr>
          <w:p w:rsidR="00D101C3" w:rsidRDefault="00D101C3" w:rsidP="007D45B7">
            <w:pPr>
              <w:rPr>
                <w:rFonts w:asciiTheme="majorHAnsi" w:hAnsiTheme="majorHAnsi" w:cstheme="majorHAnsi"/>
                <w:sz w:val="20"/>
                <w:szCs w:val="20"/>
              </w:rPr>
            </w:pPr>
            <w:r>
              <w:rPr>
                <w:rFonts w:asciiTheme="majorHAnsi" w:hAnsiTheme="majorHAnsi" w:cstheme="majorHAnsi"/>
                <w:sz w:val="20"/>
                <w:szCs w:val="20"/>
              </w:rPr>
              <w:t>Business</w:t>
            </w:r>
          </w:p>
        </w:tc>
        <w:tc>
          <w:tcPr>
            <w:tcW w:w="803" w:type="dxa"/>
            <w:tcBorders>
              <w:top w:val="single" w:sz="18" w:space="0" w:color="FFFFFF" w:themeColor="background1"/>
              <w:left w:val="single" w:sz="18" w:space="0" w:color="FFFFFF" w:themeColor="background1"/>
              <w:bottom w:val="single" w:sz="18" w:space="0" w:color="auto"/>
              <w:right w:val="single" w:sz="18" w:space="0" w:color="FFFFFF" w:themeColor="background1"/>
            </w:tcBorders>
            <w:shd w:val="clear" w:color="auto" w:fill="FA460E"/>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803" w:type="dxa"/>
            <w:tcBorders>
              <w:top w:val="single" w:sz="18" w:space="0" w:color="FFFFFF" w:themeColor="background1"/>
              <w:left w:val="single" w:sz="18" w:space="0" w:color="FFFFFF" w:themeColor="background1"/>
              <w:bottom w:val="single" w:sz="18" w:space="0" w:color="auto"/>
              <w:right w:val="single" w:sz="18" w:space="0" w:color="FFFFFF" w:themeColor="background1"/>
            </w:tcBorders>
            <w:shd w:val="clear" w:color="auto" w:fill="55A5A9"/>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804" w:type="dxa"/>
            <w:tcBorders>
              <w:top w:val="single" w:sz="18" w:space="0" w:color="FFFFFF" w:themeColor="background1"/>
              <w:left w:val="single" w:sz="18" w:space="0" w:color="FFFFFF" w:themeColor="background1"/>
              <w:bottom w:val="single" w:sz="18" w:space="0" w:color="auto"/>
              <w:right w:val="single" w:sz="18" w:space="0" w:color="FFFFFF" w:themeColor="background1"/>
            </w:tcBorders>
            <w:shd w:val="clear" w:color="auto" w:fill="FA460E"/>
            <w:vAlign w:val="center"/>
          </w:tcPr>
          <w:p w:rsidR="00D101C3" w:rsidRDefault="00D101C3" w:rsidP="007D45B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5180" w:type="dxa"/>
            <w:tcBorders>
              <w:top w:val="single" w:sz="4" w:space="0" w:color="000000" w:themeColor="text1"/>
              <w:left w:val="single" w:sz="18" w:space="0" w:color="FFFFFF" w:themeColor="background1"/>
              <w:bottom w:val="single" w:sz="18" w:space="0" w:color="auto"/>
            </w:tcBorders>
            <w:vAlign w:val="center"/>
          </w:tcPr>
          <w:p w:rsidR="00D101C3" w:rsidRDefault="00D101C3" w:rsidP="007D45B7">
            <w:pPr>
              <w:spacing w:before="120" w:after="12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eastAsia="Calibri" w:hAnsiTheme="majorHAnsi" w:cstheme="majorHAnsi"/>
                <w:sz w:val="20"/>
                <w:szCs w:val="20"/>
              </w:rPr>
              <w:t>Option 2 enables commercial viability of First Nations midwifery services while Options 1 and 3(a) could force these businesses to close.</w:t>
            </w:r>
          </w:p>
        </w:tc>
      </w:tr>
      <w:tr w:rsidR="00D101C3" w:rsidTr="007D45B7">
        <w:tc>
          <w:tcPr>
            <w:cnfStyle w:val="001000000000" w:firstRow="0" w:lastRow="0" w:firstColumn="1" w:lastColumn="0" w:oddVBand="0" w:evenVBand="0" w:oddHBand="0" w:evenHBand="0" w:firstRowFirstColumn="0" w:firstRowLastColumn="0" w:lastRowFirstColumn="0" w:lastRowLastColumn="0"/>
            <w:tcW w:w="1253" w:type="dxa"/>
            <w:tcBorders>
              <w:top w:val="single" w:sz="18" w:space="0" w:color="auto"/>
              <w:bottom w:val="single" w:sz="18" w:space="0" w:color="auto"/>
            </w:tcBorders>
            <w:vAlign w:val="center"/>
          </w:tcPr>
          <w:p w:rsidR="00D101C3" w:rsidRDefault="00D101C3" w:rsidP="007D45B7">
            <w:pPr>
              <w:rPr>
                <w:rFonts w:asciiTheme="majorHAnsi" w:hAnsiTheme="majorHAnsi" w:cstheme="majorHAnsi"/>
                <w:sz w:val="20"/>
                <w:szCs w:val="20"/>
              </w:rPr>
            </w:pPr>
            <w:r>
              <w:rPr>
                <w:rFonts w:asciiTheme="majorHAnsi" w:hAnsiTheme="majorHAnsi" w:cstheme="majorHAnsi"/>
                <w:sz w:val="20"/>
                <w:szCs w:val="20"/>
              </w:rPr>
              <w:t>OVERALL</w:t>
            </w:r>
          </w:p>
        </w:tc>
        <w:tc>
          <w:tcPr>
            <w:tcW w:w="803" w:type="dxa"/>
            <w:tcBorders>
              <w:top w:val="single" w:sz="18" w:space="0" w:color="auto"/>
              <w:bottom w:val="single" w:sz="18" w:space="0" w:color="auto"/>
            </w:tcBorders>
            <w:shd w:val="clear" w:color="auto" w:fill="C75845"/>
            <w:vAlign w:val="center"/>
          </w:tcPr>
          <w:p w:rsidR="00D101C3" w:rsidRDefault="007203FE"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-12</w:t>
            </w:r>
          </w:p>
        </w:tc>
        <w:tc>
          <w:tcPr>
            <w:tcW w:w="803" w:type="dxa"/>
            <w:tcBorders>
              <w:top w:val="single" w:sz="18" w:space="0" w:color="auto"/>
              <w:bottom w:val="single" w:sz="18" w:space="0" w:color="auto"/>
              <w:right w:val="single" w:sz="4" w:space="0" w:color="FFFFFF" w:themeColor="background1"/>
            </w:tcBorders>
            <w:shd w:val="clear" w:color="auto" w:fill="55A5A9"/>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+10</w:t>
            </w:r>
          </w:p>
        </w:tc>
        <w:tc>
          <w:tcPr>
            <w:tcW w:w="804" w:type="dxa"/>
            <w:tcBorders>
              <w:top w:val="single" w:sz="18" w:space="0" w:color="auto"/>
              <w:left w:val="single" w:sz="4" w:space="0" w:color="FFFFFF" w:themeColor="background1"/>
              <w:bottom w:val="single" w:sz="18" w:space="0" w:color="auto"/>
              <w:right w:val="single" w:sz="4" w:space="0" w:color="FFFFFF" w:themeColor="background1"/>
            </w:tcBorders>
            <w:shd w:val="clear" w:color="auto" w:fill="C75845"/>
            <w:vAlign w:val="center"/>
          </w:tcPr>
          <w:p w:rsidR="00D101C3" w:rsidRDefault="00D101C3" w:rsidP="007D45B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-16</w:t>
            </w:r>
          </w:p>
        </w:tc>
        <w:tc>
          <w:tcPr>
            <w:tcW w:w="5180" w:type="dxa"/>
            <w:tcBorders>
              <w:top w:val="single" w:sz="18" w:space="0" w:color="auto"/>
              <w:bottom w:val="single" w:sz="18" w:space="0" w:color="auto"/>
            </w:tcBorders>
            <w:vAlign w:val="center"/>
          </w:tcPr>
          <w:p w:rsidR="00D101C3" w:rsidRPr="00D32A69" w:rsidRDefault="00D101C3" w:rsidP="007D45B7">
            <w:pPr>
              <w:spacing w:before="120" w:after="12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sz w:val="20"/>
                <w:szCs w:val="20"/>
              </w:rPr>
            </w:pPr>
            <w:r w:rsidRPr="00D32A69">
              <w:rPr>
                <w:rFonts w:asciiTheme="majorHAnsi" w:eastAsia="Calibri" w:hAnsiTheme="majorHAnsi" w:cstheme="majorHAnsi"/>
                <w:b/>
                <w:sz w:val="20"/>
                <w:szCs w:val="20"/>
              </w:rPr>
              <w:t>Analysis of stakeho</w:t>
            </w:r>
            <w:r>
              <w:rPr>
                <w:rFonts w:asciiTheme="majorHAnsi" w:eastAsia="Calibri" w:hAnsiTheme="majorHAnsi" w:cstheme="majorHAnsi"/>
                <w:b/>
                <w:sz w:val="20"/>
                <w:szCs w:val="20"/>
              </w:rPr>
              <w:t>lder impacts shows that Option 2</w:t>
            </w:r>
            <w:r w:rsidRPr="00D32A69">
              <w:rPr>
                <w:rFonts w:asciiTheme="majorHAnsi" w:eastAsia="Calibri" w:hAnsiTheme="majorHAnsi" w:cstheme="majorHAnsi"/>
                <w:b/>
                <w:sz w:val="20"/>
                <w:szCs w:val="20"/>
              </w:rPr>
              <w:t xml:space="preserve"> provides the greatest benefits to stakeholders</w:t>
            </w:r>
          </w:p>
        </w:tc>
      </w:tr>
    </w:tbl>
    <w:p w:rsidR="003428A8" w:rsidRPr="00522663" w:rsidRDefault="005B55E9" w:rsidP="00FB7E02">
      <w:pPr>
        <w:pStyle w:val="Heading1"/>
        <w:rPr>
          <w:rFonts w:ascii="Segoe UI" w:eastAsia="Segoe UI" w:hAnsi="Segoe UI" w:cstheme="minorBidi"/>
        </w:rPr>
      </w:pPr>
      <w:bookmarkStart w:id="68" w:name="_Toc162017818"/>
      <w:r>
        <w:t>5</w:t>
      </w:r>
      <w:r w:rsidR="00FB7E02">
        <w:t xml:space="preserve">. </w:t>
      </w:r>
      <w:r>
        <w:t>Who did you c</w:t>
      </w:r>
      <w:r w:rsidR="003428A8" w:rsidRPr="00522663">
        <w:t>onsult</w:t>
      </w:r>
      <w:r>
        <w:t xml:space="preserve"> and how did you </w:t>
      </w:r>
      <w:r w:rsidR="00C91829">
        <w:t>i</w:t>
      </w:r>
      <w:r>
        <w:t>ncorporate their feedback?</w:t>
      </w:r>
      <w:bookmarkEnd w:id="68"/>
    </w:p>
    <w:p w:rsidR="005B55E9" w:rsidRDefault="005B55E9" w:rsidP="0058344C">
      <w:pPr>
        <w:pStyle w:val="Heading2"/>
      </w:pPr>
      <w:bookmarkStart w:id="69" w:name="_Toc162017819"/>
      <w:r>
        <w:t>Purpose of Consultation</w:t>
      </w:r>
      <w:bookmarkEnd w:id="69"/>
    </w:p>
    <w:p w:rsidR="00190C93" w:rsidRPr="00190C93" w:rsidRDefault="00190C93" w:rsidP="00190C93">
      <w:pPr>
        <w:tabs>
          <w:tab w:val="left" w:pos="2127"/>
        </w:tabs>
        <w:ind w:left="567"/>
        <w:rPr>
          <w:rFonts w:cstheme="minorHAnsi"/>
          <w:sz w:val="24"/>
          <w:szCs w:val="24"/>
        </w:rPr>
      </w:pPr>
      <w:r w:rsidRPr="00190C93">
        <w:rPr>
          <w:rFonts w:cstheme="minorHAnsi"/>
          <w:sz w:val="24"/>
          <w:szCs w:val="24"/>
        </w:rPr>
        <w:t xml:space="preserve">The development and implementation of the </w:t>
      </w:r>
      <w:r>
        <w:rPr>
          <w:rFonts w:cstheme="minorHAnsi"/>
          <w:sz w:val="24"/>
          <w:szCs w:val="24"/>
        </w:rPr>
        <w:t xml:space="preserve">proposed new products have been </w:t>
      </w:r>
      <w:r w:rsidRPr="00190C93">
        <w:rPr>
          <w:rFonts w:cstheme="minorHAnsi"/>
          <w:sz w:val="24"/>
          <w:szCs w:val="24"/>
        </w:rPr>
        <w:t xml:space="preserve">informed by considered and comprehensive stakeholder consultation. Consultation was a key component in developing Option </w:t>
      </w:r>
      <w:r w:rsidR="00E35D4C">
        <w:rPr>
          <w:rFonts w:cstheme="minorHAnsi"/>
          <w:sz w:val="24"/>
          <w:szCs w:val="24"/>
        </w:rPr>
        <w:t>2</w:t>
      </w:r>
      <w:r w:rsidRPr="00190C93">
        <w:rPr>
          <w:rFonts w:cstheme="minorHAnsi"/>
          <w:sz w:val="24"/>
          <w:szCs w:val="24"/>
        </w:rPr>
        <w:t xml:space="preserve">. Consultation improved the policy through canvassing varied stakeholder responses to proposed changes and to understand the concerns of business, government and </w:t>
      </w:r>
      <w:r w:rsidR="00E35D4C">
        <w:rPr>
          <w:rFonts w:cstheme="minorHAnsi"/>
          <w:sz w:val="24"/>
          <w:szCs w:val="24"/>
        </w:rPr>
        <w:t>consumers</w:t>
      </w:r>
      <w:r w:rsidRPr="00190C93">
        <w:rPr>
          <w:rFonts w:cstheme="minorHAnsi"/>
          <w:sz w:val="24"/>
          <w:szCs w:val="24"/>
        </w:rPr>
        <w:t xml:space="preserve"> </w:t>
      </w:r>
    </w:p>
    <w:p w:rsidR="005B55E9" w:rsidRDefault="005B55E9" w:rsidP="0058344C">
      <w:pPr>
        <w:pStyle w:val="Heading3"/>
      </w:pPr>
      <w:bookmarkStart w:id="70" w:name="_Toc162017820"/>
      <w:r>
        <w:t>Who should be consulted?</w:t>
      </w:r>
      <w:bookmarkEnd w:id="70"/>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Internal areas within Department</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Department of Finance</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Department of the Prime Minister and Cabinet</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The Treasury</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National Indigenous Australians Agency</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Australian College of Midwives</w:t>
      </w:r>
    </w:p>
    <w:p w:rsidR="00AD08CF" w:rsidRPr="00AD08CF" w:rsidRDefault="00AD08CF" w:rsidP="00A622D8">
      <w:pPr>
        <w:numPr>
          <w:ilvl w:val="1"/>
          <w:numId w:val="28"/>
        </w:numPr>
        <w:shd w:val="clear" w:color="auto" w:fill="FFFFFF"/>
        <w:spacing w:after="0"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Medical indemnity insurers</w:t>
      </w:r>
    </w:p>
    <w:p w:rsidR="00AD08CF" w:rsidRPr="00AD08CF" w:rsidRDefault="00AD08CF" w:rsidP="00A622D8">
      <w:pPr>
        <w:numPr>
          <w:ilvl w:val="1"/>
          <w:numId w:val="28"/>
        </w:numPr>
        <w:shd w:val="clear" w:color="auto" w:fill="FFFFFF"/>
        <w:spacing w:line="240" w:lineRule="auto"/>
        <w:ind w:left="1434" w:hanging="357"/>
        <w:rPr>
          <w:rFonts w:eastAsia="Times New Roman" w:cstheme="minorHAnsi"/>
          <w:color w:val="1F1F1F"/>
          <w:sz w:val="24"/>
          <w:szCs w:val="24"/>
          <w:lang w:eastAsia="en-AU"/>
        </w:rPr>
      </w:pPr>
      <w:r w:rsidRPr="00AD08CF">
        <w:rPr>
          <w:rFonts w:eastAsia="Times New Roman" w:cstheme="minorHAnsi"/>
          <w:color w:val="1F1F1F"/>
          <w:sz w:val="24"/>
          <w:szCs w:val="24"/>
          <w:lang w:eastAsia="en-AU"/>
        </w:rPr>
        <w:t>ACCHOs</w:t>
      </w:r>
    </w:p>
    <w:p w:rsidR="005B55E9" w:rsidRDefault="005B55E9" w:rsidP="0058344C">
      <w:pPr>
        <w:pStyle w:val="Heading3"/>
      </w:pPr>
      <w:bookmarkStart w:id="71" w:name="_Toc162017821"/>
      <w:r>
        <w:t>When will/were they consulted?</w:t>
      </w:r>
      <w:bookmarkEnd w:id="71"/>
    </w:p>
    <w:p w:rsidR="005B55E9" w:rsidRPr="005B55E9" w:rsidRDefault="005B55E9" w:rsidP="0058344C">
      <w:pPr>
        <w:pStyle w:val="Heading3"/>
      </w:pPr>
      <w:bookmarkStart w:id="72" w:name="_Toc162017822"/>
      <w:r>
        <w:t>How were they consulted?</w:t>
      </w:r>
      <w:bookmarkEnd w:id="72"/>
    </w:p>
    <w:p w:rsidR="009217F2" w:rsidRPr="003968FD" w:rsidRDefault="009217F2" w:rsidP="000B3074">
      <w:pPr>
        <w:tabs>
          <w:tab w:val="left" w:pos="2127"/>
        </w:tabs>
        <w:ind w:left="567"/>
        <w:rPr>
          <w:rFonts w:cstheme="minorHAnsi"/>
          <w:sz w:val="24"/>
          <w:szCs w:val="24"/>
        </w:rPr>
      </w:pPr>
      <w:r w:rsidRPr="003968FD">
        <w:rPr>
          <w:rFonts w:cstheme="minorHAnsi"/>
          <w:sz w:val="24"/>
          <w:szCs w:val="24"/>
        </w:rPr>
        <w:t>Various jurisdictional reviews (including a current review in Queensland) have also identified the benefit of introducing or expanding public homebirth programs, under a low-risk model, using existing practice standards and escalation pathway guidelines.</w:t>
      </w:r>
    </w:p>
    <w:p w:rsidR="009F0CD8" w:rsidRPr="003968FD" w:rsidRDefault="009F0CD8" w:rsidP="009F0CD8">
      <w:pPr>
        <w:tabs>
          <w:tab w:val="left" w:pos="2127"/>
        </w:tabs>
        <w:ind w:left="567"/>
        <w:rPr>
          <w:rFonts w:cstheme="minorHAnsi"/>
          <w:sz w:val="24"/>
          <w:szCs w:val="24"/>
        </w:rPr>
      </w:pPr>
      <w:r w:rsidRPr="003968FD">
        <w:rPr>
          <w:rFonts w:cstheme="minorHAnsi"/>
          <w:sz w:val="24"/>
          <w:szCs w:val="24"/>
        </w:rPr>
        <w:t>The midwifery profession has been advocating for a solution to this issue, lobbying successive governments since 2010 to find a resolution.</w:t>
      </w:r>
    </w:p>
    <w:p w:rsidR="00DB307C" w:rsidRDefault="00DB307C" w:rsidP="00DB307C">
      <w:pPr>
        <w:tabs>
          <w:tab w:val="left" w:pos="2127"/>
        </w:tabs>
        <w:ind w:left="567"/>
        <w:rPr>
          <w:rFonts w:cstheme="minorHAnsi"/>
          <w:sz w:val="24"/>
          <w:szCs w:val="24"/>
        </w:rPr>
      </w:pPr>
      <w:r w:rsidRPr="003968FD">
        <w:rPr>
          <w:rFonts w:cstheme="minorHAnsi"/>
          <w:sz w:val="24"/>
          <w:szCs w:val="24"/>
        </w:rPr>
        <w:t>Stakeholder engagement with NMBA, state and territory governments</w:t>
      </w:r>
      <w:r>
        <w:rPr>
          <w:rFonts w:cstheme="minorHAnsi"/>
          <w:sz w:val="24"/>
          <w:szCs w:val="24"/>
        </w:rPr>
        <w:t>, health ministers,</w:t>
      </w:r>
      <w:r w:rsidRPr="003968FD">
        <w:rPr>
          <w:rFonts w:cstheme="minorHAnsi"/>
          <w:sz w:val="24"/>
          <w:szCs w:val="24"/>
        </w:rPr>
        <w:t xml:space="preserve"> and other entities </w:t>
      </w:r>
      <w:r>
        <w:rPr>
          <w:rFonts w:cstheme="minorHAnsi"/>
          <w:sz w:val="24"/>
          <w:szCs w:val="24"/>
        </w:rPr>
        <w:t>has been ongoing</w:t>
      </w:r>
      <w:r w:rsidRPr="003968FD">
        <w:rPr>
          <w:rFonts w:cstheme="minorHAnsi"/>
          <w:sz w:val="24"/>
          <w:szCs w:val="24"/>
        </w:rPr>
        <w:t>.</w:t>
      </w:r>
      <w:r w:rsidRPr="003968FD" w:rsidDel="00624368">
        <w:rPr>
          <w:rFonts w:cstheme="minorHAnsi"/>
          <w:sz w:val="24"/>
          <w:szCs w:val="24"/>
        </w:rPr>
        <w:t xml:space="preserve"> </w:t>
      </w:r>
      <w:r w:rsidRPr="003968FD">
        <w:rPr>
          <w:rFonts w:cstheme="minorHAnsi"/>
          <w:sz w:val="24"/>
          <w:szCs w:val="24"/>
        </w:rPr>
        <w:t>Early engagement with these stakeholders has been supportive of the introduction of a product and amendment to the regulatory framework to support it.</w:t>
      </w:r>
    </w:p>
    <w:p w:rsidR="00DB307C" w:rsidRPr="00DB307C" w:rsidRDefault="00DB307C" w:rsidP="00DB307C">
      <w:pPr>
        <w:tabs>
          <w:tab w:val="left" w:pos="2127"/>
        </w:tabs>
        <w:spacing w:after="0"/>
        <w:ind w:left="567"/>
        <w:rPr>
          <w:rFonts w:cstheme="minorHAnsi"/>
          <w:i/>
          <w:sz w:val="24"/>
          <w:szCs w:val="24"/>
        </w:rPr>
      </w:pPr>
      <w:r w:rsidRPr="00DB307C">
        <w:rPr>
          <w:rFonts w:cstheme="minorHAnsi"/>
          <w:i/>
          <w:sz w:val="24"/>
          <w:szCs w:val="24"/>
        </w:rPr>
        <w:t>2019</w:t>
      </w:r>
    </w:p>
    <w:p w:rsidR="00DB307C" w:rsidRPr="003968FD" w:rsidRDefault="00DB307C" w:rsidP="00DB307C">
      <w:pPr>
        <w:tabs>
          <w:tab w:val="left" w:pos="2127"/>
        </w:tabs>
        <w:ind w:left="567"/>
        <w:rPr>
          <w:rFonts w:cstheme="minorHAnsi"/>
          <w:sz w:val="24"/>
          <w:szCs w:val="24"/>
        </w:rPr>
      </w:pPr>
      <w:r w:rsidRPr="003968FD">
        <w:rPr>
          <w:rFonts w:cstheme="minorHAnsi"/>
          <w:sz w:val="24"/>
          <w:szCs w:val="24"/>
        </w:rPr>
        <w:t xml:space="preserve">The development of the COAG Women Centred Care: Strategic directions for Australian maternity Services 2019 involved two rounds of public consultations, opportunity for online submissions, attendance at workshops, focus groups and webinars. Across the two round of consultation, over 600 health professionals, service providers, and consumers attended the events. Over 900 organisations and individuals made submissions. </w:t>
      </w:r>
    </w:p>
    <w:p w:rsidR="00DB307C" w:rsidRPr="00DB307C" w:rsidRDefault="00DB307C" w:rsidP="00DB307C">
      <w:pPr>
        <w:tabs>
          <w:tab w:val="left" w:pos="2127"/>
        </w:tabs>
        <w:spacing w:after="0"/>
        <w:ind w:left="567"/>
        <w:rPr>
          <w:rFonts w:cstheme="minorHAnsi"/>
          <w:i/>
          <w:sz w:val="24"/>
          <w:szCs w:val="24"/>
        </w:rPr>
      </w:pPr>
      <w:r>
        <w:rPr>
          <w:rFonts w:cstheme="minorHAnsi"/>
          <w:i/>
          <w:sz w:val="24"/>
          <w:szCs w:val="24"/>
        </w:rPr>
        <w:t>2020</w:t>
      </w:r>
    </w:p>
    <w:p w:rsidR="00DB307C" w:rsidRPr="00DB307C" w:rsidRDefault="00DB307C" w:rsidP="00DB307C">
      <w:pPr>
        <w:tabs>
          <w:tab w:val="left" w:pos="2127"/>
        </w:tabs>
        <w:ind w:left="567"/>
        <w:rPr>
          <w:rFonts w:cstheme="minorHAnsi"/>
          <w:sz w:val="24"/>
          <w:szCs w:val="24"/>
        </w:rPr>
      </w:pPr>
      <w:r w:rsidRPr="003968FD">
        <w:rPr>
          <w:rFonts w:cstheme="minorHAnsi"/>
          <w:sz w:val="24"/>
          <w:szCs w:val="24"/>
        </w:rPr>
        <w:t xml:space="preserve">The Department formed an internal working group </w:t>
      </w:r>
      <w:r>
        <w:rPr>
          <w:rFonts w:cstheme="minorHAnsi"/>
          <w:sz w:val="24"/>
          <w:szCs w:val="24"/>
        </w:rPr>
        <w:t>(</w:t>
      </w:r>
      <w:r w:rsidRPr="00DB307C">
        <w:rPr>
          <w:rFonts w:cstheme="minorHAnsi"/>
          <w:sz w:val="24"/>
          <w:szCs w:val="24"/>
        </w:rPr>
        <w:t>PII for PPM Working Group</w:t>
      </w:r>
      <w:r>
        <w:rPr>
          <w:rFonts w:cstheme="minorHAnsi"/>
          <w:sz w:val="24"/>
          <w:szCs w:val="24"/>
        </w:rPr>
        <w:t xml:space="preserve">) </w:t>
      </w:r>
      <w:r w:rsidRPr="003968FD">
        <w:rPr>
          <w:rFonts w:cstheme="minorHAnsi"/>
          <w:sz w:val="24"/>
          <w:szCs w:val="24"/>
        </w:rPr>
        <w:t>to address issues, including escalation of care pathways, regulation of a midwife’s practise within the low-risk criteria, profitability of providing a product to a very small cohort of practitioners, and costs of development and maintenance of the product and associated reporting under the MPIS</w:t>
      </w:r>
      <w:r>
        <w:rPr>
          <w:rFonts w:cstheme="minorHAnsi"/>
          <w:sz w:val="24"/>
          <w:szCs w:val="24"/>
        </w:rPr>
        <w:t>.</w:t>
      </w:r>
      <w:r w:rsidR="00B4096D">
        <w:rPr>
          <w:rFonts w:cstheme="minorHAnsi"/>
          <w:sz w:val="24"/>
          <w:szCs w:val="24"/>
        </w:rPr>
        <w:t xml:space="preserve"> </w:t>
      </w:r>
      <w:r>
        <w:rPr>
          <w:rFonts w:cstheme="minorHAnsi"/>
          <w:sz w:val="24"/>
          <w:szCs w:val="24"/>
        </w:rPr>
        <w:t xml:space="preserve">The </w:t>
      </w:r>
      <w:r w:rsidR="00B4096D">
        <w:rPr>
          <w:rFonts w:cstheme="minorHAnsi"/>
          <w:sz w:val="24"/>
          <w:szCs w:val="24"/>
        </w:rPr>
        <w:t>PII for PPM Working G</w:t>
      </w:r>
      <w:r>
        <w:rPr>
          <w:rFonts w:cstheme="minorHAnsi"/>
          <w:sz w:val="24"/>
          <w:szCs w:val="24"/>
        </w:rPr>
        <w:t>roup has consulted regularly with j</w:t>
      </w:r>
      <w:r w:rsidRPr="00DB307C">
        <w:rPr>
          <w:rFonts w:cstheme="minorHAnsi"/>
          <w:sz w:val="24"/>
          <w:szCs w:val="24"/>
        </w:rPr>
        <w:t>urisdictions</w:t>
      </w:r>
      <w:r>
        <w:rPr>
          <w:rFonts w:cstheme="minorHAnsi"/>
          <w:sz w:val="24"/>
          <w:szCs w:val="24"/>
        </w:rPr>
        <w:t xml:space="preserve"> through the Health Ministers’ meetings</w:t>
      </w:r>
      <w:r w:rsidRPr="00DB307C">
        <w:rPr>
          <w:rFonts w:cstheme="minorHAnsi"/>
          <w:sz w:val="24"/>
          <w:szCs w:val="24"/>
        </w:rPr>
        <w:t xml:space="preserve"> on the draft definition of low risk for the purposes of homebirth</w:t>
      </w:r>
      <w:r>
        <w:rPr>
          <w:rFonts w:cstheme="minorHAnsi"/>
          <w:sz w:val="24"/>
          <w:szCs w:val="24"/>
        </w:rPr>
        <w:t>.</w:t>
      </w:r>
      <w:r w:rsidRPr="00DB307C">
        <w:rPr>
          <w:rFonts w:cstheme="minorHAnsi"/>
          <w:sz w:val="24"/>
          <w:szCs w:val="24"/>
        </w:rPr>
        <w:t xml:space="preserve"> </w:t>
      </w:r>
    </w:p>
    <w:p w:rsidR="00190C93" w:rsidRDefault="00190C93" w:rsidP="00DB307C">
      <w:pPr>
        <w:tabs>
          <w:tab w:val="left" w:pos="2127"/>
        </w:tabs>
        <w:spacing w:after="0"/>
        <w:ind w:left="567"/>
        <w:rPr>
          <w:rFonts w:cstheme="minorHAnsi"/>
          <w:i/>
          <w:sz w:val="24"/>
          <w:szCs w:val="24"/>
        </w:rPr>
      </w:pPr>
      <w:r>
        <w:rPr>
          <w:rFonts w:cstheme="minorHAnsi"/>
          <w:i/>
          <w:sz w:val="24"/>
          <w:szCs w:val="24"/>
        </w:rPr>
        <w:t>October 2022</w:t>
      </w:r>
    </w:p>
    <w:p w:rsidR="00190C93" w:rsidRDefault="00190C93" w:rsidP="00190C93">
      <w:pPr>
        <w:tabs>
          <w:tab w:val="left" w:pos="2127"/>
        </w:tabs>
        <w:ind w:left="567"/>
        <w:rPr>
          <w:rFonts w:cstheme="minorHAnsi"/>
          <w:sz w:val="24"/>
          <w:szCs w:val="24"/>
        </w:rPr>
      </w:pPr>
      <w:r w:rsidRPr="003968FD">
        <w:rPr>
          <w:rFonts w:cstheme="minorHAnsi"/>
          <w:sz w:val="24"/>
          <w:szCs w:val="24"/>
        </w:rPr>
        <w:t xml:space="preserve">The Department undertook an industry briefing to foreshadow the Department’s intent to expand the MPIS and MPIS ROCS to include a low-risk homebirth intrapartum product provided by </w:t>
      </w:r>
      <w:r>
        <w:rPr>
          <w:rFonts w:cstheme="minorHAnsi"/>
          <w:sz w:val="24"/>
          <w:szCs w:val="24"/>
        </w:rPr>
        <w:t>PPMs</w:t>
      </w:r>
      <w:r w:rsidRPr="003968FD">
        <w:rPr>
          <w:rFonts w:cstheme="minorHAnsi"/>
          <w:sz w:val="24"/>
          <w:szCs w:val="24"/>
        </w:rPr>
        <w:t>.</w:t>
      </w:r>
    </w:p>
    <w:p w:rsidR="00DB307C" w:rsidRDefault="00DB307C" w:rsidP="00DB307C">
      <w:pPr>
        <w:tabs>
          <w:tab w:val="left" w:pos="2127"/>
        </w:tabs>
        <w:spacing w:after="0"/>
        <w:ind w:left="567"/>
        <w:rPr>
          <w:rFonts w:cstheme="minorHAnsi"/>
          <w:i/>
          <w:sz w:val="24"/>
          <w:szCs w:val="24"/>
        </w:rPr>
      </w:pPr>
      <w:r w:rsidRPr="00DB307C">
        <w:rPr>
          <w:rFonts w:cstheme="minorHAnsi"/>
          <w:i/>
          <w:sz w:val="24"/>
          <w:szCs w:val="24"/>
        </w:rPr>
        <w:t>November 2022</w:t>
      </w:r>
    </w:p>
    <w:p w:rsidR="00C72F31" w:rsidRPr="00824722" w:rsidRDefault="00190C93" w:rsidP="00C72F31">
      <w:pPr>
        <w:tabs>
          <w:tab w:val="left" w:pos="2127"/>
        </w:tabs>
        <w:ind w:left="567"/>
        <w:rPr>
          <w:rFonts w:cstheme="minorHAnsi"/>
          <w:sz w:val="24"/>
          <w:szCs w:val="24"/>
        </w:rPr>
      </w:pPr>
      <w:r w:rsidRPr="00190C93">
        <w:rPr>
          <w:rFonts w:ascii="Calibri" w:hAnsi="Calibri" w:cs="Calibri"/>
          <w:sz w:val="24"/>
          <w:szCs w:val="24"/>
        </w:rPr>
        <w:t>The Department released a consultation discussion paper and subsequently met with insurers to gauge their interest in offering intrapartum insurance products for low-risk homebirths</w:t>
      </w:r>
      <w:r>
        <w:rPr>
          <w:rFonts w:ascii="Calibri" w:hAnsi="Calibri" w:cs="Calibri"/>
          <w:sz w:val="24"/>
          <w:szCs w:val="24"/>
        </w:rPr>
        <w:t xml:space="preserve">. Insurers were invited </w:t>
      </w:r>
      <w:r w:rsidRPr="00824722">
        <w:rPr>
          <w:rFonts w:ascii="Calibri" w:hAnsi="Calibri" w:cs="Calibri"/>
          <w:sz w:val="24"/>
          <w:szCs w:val="24"/>
        </w:rPr>
        <w:t>t</w:t>
      </w:r>
      <w:r w:rsidR="00C72F31" w:rsidRPr="00824722">
        <w:rPr>
          <w:rFonts w:cstheme="minorHAnsi"/>
          <w:sz w:val="24"/>
          <w:szCs w:val="24"/>
        </w:rPr>
        <w:t xml:space="preserve">o provide a written Expression of Interest in response to the following questions: </w:t>
      </w:r>
    </w:p>
    <w:p w:rsidR="00B4096D" w:rsidRPr="00824722" w:rsidRDefault="00B4096D" w:rsidP="00A622D8">
      <w:pPr>
        <w:pStyle w:val="ListParagraph"/>
        <w:numPr>
          <w:ilvl w:val="0"/>
          <w:numId w:val="29"/>
        </w:numPr>
        <w:tabs>
          <w:tab w:val="left" w:pos="2127"/>
        </w:tabs>
        <w:rPr>
          <w:color w:val="000000"/>
          <w:sz w:val="24"/>
          <w:szCs w:val="24"/>
        </w:rPr>
      </w:pPr>
      <w:r w:rsidRPr="00824722">
        <w:rPr>
          <w:color w:val="000000"/>
          <w:sz w:val="24"/>
          <w:szCs w:val="24"/>
        </w:rPr>
        <w:t>Would you be open to providing a PII product under the</w:t>
      </w:r>
      <w:r w:rsidR="00C72F31" w:rsidRPr="00824722">
        <w:rPr>
          <w:color w:val="000000"/>
          <w:sz w:val="24"/>
          <w:szCs w:val="24"/>
        </w:rPr>
        <w:t xml:space="preserve"> MPIS if this scheme included a</w:t>
      </w:r>
      <w:r w:rsidRPr="00824722">
        <w:rPr>
          <w:color w:val="000000"/>
          <w:sz w:val="24"/>
          <w:szCs w:val="24"/>
        </w:rPr>
        <w:t xml:space="preserve"> low-risk homebirth intrapartum care component?</w:t>
      </w:r>
    </w:p>
    <w:p w:rsidR="00B4096D" w:rsidRPr="00824722" w:rsidRDefault="00B4096D" w:rsidP="00A622D8">
      <w:pPr>
        <w:pStyle w:val="ListParagraph"/>
        <w:numPr>
          <w:ilvl w:val="0"/>
          <w:numId w:val="29"/>
        </w:numPr>
        <w:tabs>
          <w:tab w:val="left" w:pos="2127"/>
        </w:tabs>
        <w:rPr>
          <w:color w:val="000000"/>
          <w:sz w:val="24"/>
          <w:szCs w:val="24"/>
        </w:rPr>
      </w:pPr>
      <w:r w:rsidRPr="00824722">
        <w:rPr>
          <w:color w:val="000000"/>
          <w:sz w:val="24"/>
          <w:szCs w:val="24"/>
        </w:rPr>
        <w:t>If offering such a homebirth PII product was not mandatory for an insurer in order to participate in the MPIS, would you still offer a homebirth PII product?</w:t>
      </w:r>
    </w:p>
    <w:p w:rsidR="00B4096D" w:rsidRPr="00824722" w:rsidRDefault="00B4096D" w:rsidP="00A622D8">
      <w:pPr>
        <w:pStyle w:val="ListParagraph"/>
        <w:numPr>
          <w:ilvl w:val="0"/>
          <w:numId w:val="29"/>
        </w:numPr>
        <w:tabs>
          <w:tab w:val="left" w:pos="2127"/>
        </w:tabs>
        <w:rPr>
          <w:color w:val="000000"/>
          <w:sz w:val="24"/>
          <w:szCs w:val="24"/>
        </w:rPr>
      </w:pPr>
      <w:r w:rsidRPr="00824722">
        <w:rPr>
          <w:color w:val="000000"/>
          <w:sz w:val="24"/>
          <w:szCs w:val="24"/>
        </w:rPr>
        <w:t>Are you satisfied with the proposed definition of a low-risk homebirth for the purposes of the eligibility criteria? If no, what changes would you seek and why?</w:t>
      </w:r>
    </w:p>
    <w:p w:rsidR="00B4096D" w:rsidRPr="00824722" w:rsidRDefault="00B4096D" w:rsidP="00A622D8">
      <w:pPr>
        <w:pStyle w:val="ListParagraph"/>
        <w:numPr>
          <w:ilvl w:val="0"/>
          <w:numId w:val="29"/>
        </w:numPr>
        <w:tabs>
          <w:tab w:val="left" w:pos="2127"/>
        </w:tabs>
        <w:rPr>
          <w:color w:val="000000"/>
          <w:sz w:val="24"/>
          <w:szCs w:val="24"/>
        </w:rPr>
      </w:pPr>
      <w:r w:rsidRPr="00824722">
        <w:rPr>
          <w:color w:val="000000"/>
          <w:sz w:val="24"/>
          <w:szCs w:val="24"/>
        </w:rPr>
        <w:t>Do you have any other questions or feedback about the inclusion of a homebirth PII product? If yes, what are they?</w:t>
      </w:r>
    </w:p>
    <w:p w:rsidR="00B4096D" w:rsidRPr="00824722" w:rsidRDefault="00B4096D" w:rsidP="00A622D8">
      <w:pPr>
        <w:pStyle w:val="ListParagraph"/>
        <w:numPr>
          <w:ilvl w:val="0"/>
          <w:numId w:val="29"/>
        </w:numPr>
        <w:tabs>
          <w:tab w:val="left" w:pos="2127"/>
        </w:tabs>
        <w:rPr>
          <w:color w:val="000000"/>
          <w:sz w:val="24"/>
          <w:szCs w:val="24"/>
        </w:rPr>
      </w:pPr>
      <w:r w:rsidRPr="00824722">
        <w:rPr>
          <w:color w:val="000000"/>
          <w:sz w:val="24"/>
          <w:szCs w:val="24"/>
        </w:rPr>
        <w:t>Would a requirement to enter into a contract with the Commonwealth which included homebirth services deter you from administering the MPIS? If yes, why?</w:t>
      </w:r>
    </w:p>
    <w:p w:rsidR="00B4096D" w:rsidRPr="00824722" w:rsidRDefault="00B4096D" w:rsidP="00A622D8">
      <w:pPr>
        <w:pStyle w:val="ListParagraph"/>
        <w:numPr>
          <w:ilvl w:val="0"/>
          <w:numId w:val="29"/>
        </w:numPr>
        <w:tabs>
          <w:tab w:val="left" w:pos="2127"/>
        </w:tabs>
        <w:rPr>
          <w:rFonts w:cstheme="minorHAnsi"/>
          <w:sz w:val="24"/>
          <w:szCs w:val="24"/>
        </w:rPr>
      </w:pPr>
      <w:r w:rsidRPr="00824722">
        <w:rPr>
          <w:color w:val="000000"/>
          <w:sz w:val="24"/>
          <w:szCs w:val="24"/>
        </w:rPr>
        <w:t>What is your estimated timeline to develop and rollout a new PII product for low risk births under the MPIS?</w:t>
      </w:r>
    </w:p>
    <w:p w:rsidR="005E645E" w:rsidRPr="005E645E" w:rsidRDefault="005E645E" w:rsidP="005E645E">
      <w:pPr>
        <w:tabs>
          <w:tab w:val="left" w:pos="2127"/>
        </w:tabs>
        <w:spacing w:after="0"/>
        <w:ind w:left="567"/>
        <w:rPr>
          <w:rFonts w:cstheme="minorHAnsi"/>
          <w:i/>
          <w:sz w:val="24"/>
          <w:szCs w:val="24"/>
        </w:rPr>
      </w:pPr>
      <w:r w:rsidRPr="005E645E">
        <w:rPr>
          <w:rFonts w:cstheme="minorHAnsi"/>
          <w:i/>
          <w:sz w:val="24"/>
          <w:szCs w:val="24"/>
        </w:rPr>
        <w:t>November 2023</w:t>
      </w:r>
    </w:p>
    <w:p w:rsidR="005E645E" w:rsidRDefault="005E645E" w:rsidP="005E645E">
      <w:pPr>
        <w:tabs>
          <w:tab w:val="left" w:pos="2127"/>
        </w:tabs>
        <w:ind w:left="567"/>
        <w:rPr>
          <w:sz w:val="24"/>
          <w:szCs w:val="24"/>
        </w:rPr>
      </w:pPr>
      <w:r>
        <w:rPr>
          <w:rFonts w:cstheme="minorHAnsi"/>
          <w:color w:val="000000" w:themeColor="text1"/>
          <w:sz w:val="24"/>
          <w:szCs w:val="24"/>
        </w:rPr>
        <w:t xml:space="preserve">The Department </w:t>
      </w:r>
      <w:r w:rsidRPr="002540A2">
        <w:rPr>
          <w:rFonts w:cstheme="minorHAnsi"/>
          <w:color w:val="000000" w:themeColor="text1"/>
          <w:sz w:val="24"/>
          <w:szCs w:val="24"/>
        </w:rPr>
        <w:t>approach</w:t>
      </w:r>
      <w:r>
        <w:rPr>
          <w:rFonts w:cstheme="minorHAnsi"/>
          <w:color w:val="000000" w:themeColor="text1"/>
          <w:sz w:val="24"/>
          <w:szCs w:val="24"/>
        </w:rPr>
        <w:t xml:space="preserve">ed the </w:t>
      </w:r>
      <w:r w:rsidRPr="002540A2">
        <w:rPr>
          <w:rFonts w:cstheme="minorHAnsi"/>
          <w:color w:val="000000" w:themeColor="text1"/>
          <w:sz w:val="24"/>
          <w:szCs w:val="24"/>
        </w:rPr>
        <w:t xml:space="preserve">market to find an insurer </w:t>
      </w:r>
      <w:r w:rsidRPr="007F0907">
        <w:rPr>
          <w:sz w:val="24"/>
          <w:szCs w:val="24"/>
        </w:rPr>
        <w:t xml:space="preserve">who would cover existing services under the existing </w:t>
      </w:r>
      <w:r>
        <w:rPr>
          <w:sz w:val="24"/>
          <w:szCs w:val="24"/>
        </w:rPr>
        <w:t>Midwife Schemes</w:t>
      </w:r>
      <w:r w:rsidRPr="007F0907">
        <w:rPr>
          <w:sz w:val="24"/>
          <w:szCs w:val="24"/>
        </w:rPr>
        <w:t xml:space="preserve">, which subsidises the cost of claims made against </w:t>
      </w:r>
      <w:r>
        <w:rPr>
          <w:sz w:val="24"/>
          <w:szCs w:val="24"/>
        </w:rPr>
        <w:t>PPMs</w:t>
      </w:r>
      <w:r w:rsidRPr="007F0907">
        <w:rPr>
          <w:sz w:val="24"/>
          <w:szCs w:val="24"/>
        </w:rPr>
        <w:t>, and these two new services</w:t>
      </w:r>
      <w:r>
        <w:rPr>
          <w:sz w:val="24"/>
          <w:szCs w:val="24"/>
        </w:rPr>
        <w:t xml:space="preserve">. </w:t>
      </w:r>
    </w:p>
    <w:p w:rsidR="00CD7519" w:rsidRPr="00824722" w:rsidRDefault="00FC07B9" w:rsidP="00FC07B9">
      <w:pPr>
        <w:tabs>
          <w:tab w:val="left" w:pos="2127"/>
        </w:tabs>
        <w:spacing w:after="0"/>
        <w:ind w:left="567"/>
        <w:rPr>
          <w:rFonts w:cstheme="minorHAnsi"/>
          <w:i/>
          <w:color w:val="000000" w:themeColor="text1"/>
          <w:sz w:val="24"/>
          <w:szCs w:val="24"/>
        </w:rPr>
      </w:pPr>
      <w:r w:rsidRPr="00824722">
        <w:rPr>
          <w:rFonts w:cstheme="minorHAnsi"/>
          <w:i/>
          <w:color w:val="000000" w:themeColor="text1"/>
          <w:sz w:val="24"/>
          <w:szCs w:val="24"/>
        </w:rPr>
        <w:t xml:space="preserve">November - </w:t>
      </w:r>
      <w:r w:rsidR="00CD7519" w:rsidRPr="00824722">
        <w:rPr>
          <w:rFonts w:cstheme="minorHAnsi"/>
          <w:i/>
          <w:color w:val="000000" w:themeColor="text1"/>
          <w:sz w:val="24"/>
          <w:szCs w:val="24"/>
        </w:rPr>
        <w:t>December 2023</w:t>
      </w:r>
    </w:p>
    <w:p w:rsidR="00CD7519" w:rsidRPr="00824722" w:rsidRDefault="00CD7519" w:rsidP="005E645E">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The Department sought input from the ACM, ACCHOs, </w:t>
      </w:r>
      <w:r w:rsidR="00FC07B9" w:rsidRPr="00824722">
        <w:rPr>
          <w:rFonts w:cstheme="minorHAnsi"/>
          <w:color w:val="000000" w:themeColor="text1"/>
          <w:sz w:val="24"/>
          <w:szCs w:val="24"/>
        </w:rPr>
        <w:t xml:space="preserve">and </w:t>
      </w:r>
      <w:r w:rsidRPr="00824722">
        <w:rPr>
          <w:rFonts w:cstheme="minorHAnsi"/>
          <w:color w:val="000000" w:themeColor="text1"/>
          <w:sz w:val="24"/>
          <w:szCs w:val="24"/>
        </w:rPr>
        <w:t>the National Indigenous Australians Agency (NIAA)</w:t>
      </w:r>
      <w:r w:rsidR="00FC07B9" w:rsidRPr="00824722">
        <w:rPr>
          <w:rFonts w:cstheme="minorHAnsi"/>
          <w:color w:val="000000" w:themeColor="text1"/>
          <w:sz w:val="24"/>
          <w:szCs w:val="24"/>
        </w:rPr>
        <w:t xml:space="preserve"> on</w:t>
      </w:r>
      <w:r w:rsidR="009A444C">
        <w:rPr>
          <w:rFonts w:cstheme="minorHAnsi"/>
          <w:color w:val="000000" w:themeColor="text1"/>
          <w:sz w:val="24"/>
          <w:szCs w:val="24"/>
        </w:rPr>
        <w:t xml:space="preserve"> </w:t>
      </w:r>
      <w:r w:rsidR="009A444C" w:rsidRPr="009A444C">
        <w:rPr>
          <w:color w:val="000000"/>
          <w:lang w:eastAsia="en-AU"/>
        </w:rPr>
        <w:t>intrapartum care outside a hospital setting.</w:t>
      </w:r>
    </w:p>
    <w:p w:rsidR="00CD7519" w:rsidRPr="00824722" w:rsidRDefault="00CD7519" w:rsidP="00FC07B9">
      <w:pPr>
        <w:tabs>
          <w:tab w:val="left" w:pos="2127"/>
        </w:tabs>
        <w:spacing w:after="0"/>
        <w:ind w:left="567"/>
        <w:rPr>
          <w:i/>
          <w:sz w:val="24"/>
          <w:szCs w:val="24"/>
        </w:rPr>
      </w:pPr>
      <w:r w:rsidRPr="00824722">
        <w:rPr>
          <w:rFonts w:cstheme="minorHAnsi"/>
          <w:i/>
          <w:color w:val="000000" w:themeColor="text1"/>
          <w:sz w:val="24"/>
          <w:szCs w:val="24"/>
        </w:rPr>
        <w:t>February 2024</w:t>
      </w:r>
    </w:p>
    <w:p w:rsidR="00CD7519" w:rsidRDefault="00CD7519" w:rsidP="005E645E">
      <w:pPr>
        <w:tabs>
          <w:tab w:val="left" w:pos="2127"/>
        </w:tabs>
        <w:ind w:left="567"/>
        <w:rPr>
          <w:sz w:val="24"/>
          <w:szCs w:val="24"/>
        </w:rPr>
      </w:pPr>
      <w:r w:rsidRPr="00824722">
        <w:rPr>
          <w:sz w:val="24"/>
          <w:szCs w:val="24"/>
        </w:rPr>
        <w:t xml:space="preserve">The Department sought </w:t>
      </w:r>
      <w:r w:rsidR="00FC07B9" w:rsidRPr="00824722">
        <w:rPr>
          <w:sz w:val="24"/>
          <w:szCs w:val="24"/>
        </w:rPr>
        <w:t>feedback</w:t>
      </w:r>
      <w:r w:rsidRPr="00824722">
        <w:rPr>
          <w:sz w:val="24"/>
          <w:szCs w:val="24"/>
        </w:rPr>
        <w:t xml:space="preserve"> from the Department of Finance, the Department of the Prime Minister and Cabinet, </w:t>
      </w:r>
      <w:r w:rsidR="00FC07B9" w:rsidRPr="00824722">
        <w:rPr>
          <w:sz w:val="24"/>
          <w:szCs w:val="24"/>
        </w:rPr>
        <w:t>and the Treasury on the viability of the preferred option.</w:t>
      </w:r>
    </w:p>
    <w:p w:rsidR="005B55E9" w:rsidRPr="00824722" w:rsidRDefault="005B55E9" w:rsidP="0058344C">
      <w:pPr>
        <w:pStyle w:val="Heading2"/>
      </w:pPr>
      <w:bookmarkStart w:id="73" w:name="_Toc162017823"/>
      <w:r w:rsidRPr="00824722">
        <w:t>Outcome of Consultation</w:t>
      </w:r>
      <w:bookmarkEnd w:id="73"/>
    </w:p>
    <w:p w:rsidR="0073620B" w:rsidRPr="00824722" w:rsidRDefault="0073620B" w:rsidP="0073620B">
      <w:pPr>
        <w:tabs>
          <w:tab w:val="left" w:pos="2127"/>
        </w:tabs>
        <w:ind w:left="567"/>
        <w:rPr>
          <w:rFonts w:cstheme="minorHAnsi"/>
          <w:color w:val="000000" w:themeColor="text1"/>
          <w:sz w:val="24"/>
          <w:szCs w:val="24"/>
        </w:rPr>
      </w:pPr>
      <w:r w:rsidRPr="00824722">
        <w:rPr>
          <w:rFonts w:cstheme="minorHAnsi"/>
          <w:color w:val="000000" w:themeColor="text1"/>
          <w:sz w:val="24"/>
          <w:szCs w:val="24"/>
        </w:rPr>
        <w:t>Consumers, Health Ministers, industry and ACCHOs support implementation of the preferred option. However, the insurer has raised a number of complex issues during consultation that will require further discussion and negotiation. The Department will undertake further consultation with the expectation of finalising the new contractual arrangements with the insurer in early 2025.</w:t>
      </w:r>
    </w:p>
    <w:p w:rsidR="005B55E9" w:rsidRPr="00824722" w:rsidRDefault="005B55E9" w:rsidP="0058344C">
      <w:pPr>
        <w:pStyle w:val="Heading3"/>
      </w:pPr>
      <w:bookmarkStart w:id="74" w:name="_Toc162017824"/>
      <w:r w:rsidRPr="00824722">
        <w:t>Views of Stakeholders</w:t>
      </w:r>
      <w:bookmarkEnd w:id="74"/>
    </w:p>
    <w:p w:rsidR="00D07761" w:rsidRPr="00824722" w:rsidRDefault="00D07761" w:rsidP="00B4096D">
      <w:pPr>
        <w:spacing w:after="0"/>
        <w:rPr>
          <w:color w:val="0070C0"/>
          <w:sz w:val="24"/>
          <w:szCs w:val="24"/>
        </w:rPr>
      </w:pPr>
      <w:r w:rsidRPr="00824722">
        <w:rPr>
          <w:color w:val="0070C0"/>
          <w:sz w:val="24"/>
          <w:szCs w:val="24"/>
        </w:rPr>
        <w:t>Consumers</w:t>
      </w:r>
    </w:p>
    <w:p w:rsidR="00D07761" w:rsidRPr="00824722" w:rsidRDefault="00D07761" w:rsidP="00D07761">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The views of consumers </w:t>
      </w:r>
      <w:r w:rsidR="0074723F" w:rsidRPr="00824722">
        <w:rPr>
          <w:rFonts w:cstheme="minorHAnsi"/>
          <w:color w:val="000000" w:themeColor="text1"/>
          <w:sz w:val="24"/>
          <w:szCs w:val="24"/>
        </w:rPr>
        <w:t xml:space="preserve">are </w:t>
      </w:r>
      <w:r w:rsidRPr="00824722">
        <w:rPr>
          <w:rFonts w:cstheme="minorHAnsi"/>
          <w:color w:val="000000" w:themeColor="text1"/>
          <w:sz w:val="24"/>
          <w:szCs w:val="24"/>
        </w:rPr>
        <w:t xml:space="preserve">detailed in responses to several reports and studies outlined in </w:t>
      </w:r>
      <w:r w:rsidR="0074723F" w:rsidRPr="00824722">
        <w:rPr>
          <w:rFonts w:cstheme="minorHAnsi"/>
          <w:color w:val="000000" w:themeColor="text1"/>
          <w:sz w:val="24"/>
          <w:szCs w:val="24"/>
        </w:rPr>
        <w:t>section 1 ‘</w:t>
      </w:r>
      <w:r w:rsidRPr="00824722">
        <w:rPr>
          <w:rFonts w:cstheme="minorHAnsi"/>
          <w:color w:val="000000" w:themeColor="text1"/>
          <w:sz w:val="24"/>
          <w:szCs w:val="24"/>
        </w:rPr>
        <w:t>What women want</w:t>
      </w:r>
      <w:r w:rsidR="0074723F" w:rsidRPr="00824722">
        <w:rPr>
          <w:rFonts w:cstheme="minorHAnsi"/>
          <w:color w:val="000000" w:themeColor="text1"/>
          <w:sz w:val="24"/>
          <w:szCs w:val="24"/>
        </w:rPr>
        <w:t>’</w:t>
      </w:r>
      <w:r w:rsidRPr="00824722">
        <w:rPr>
          <w:rFonts w:cstheme="minorHAnsi"/>
          <w:color w:val="000000" w:themeColor="text1"/>
          <w:sz w:val="24"/>
          <w:szCs w:val="24"/>
        </w:rPr>
        <w:t xml:space="preserve"> (pages 4</w:t>
      </w:r>
      <w:r w:rsidR="00CD6B34" w:rsidRPr="00824722">
        <w:rPr>
          <w:rFonts w:cstheme="minorHAnsi"/>
          <w:color w:val="000000" w:themeColor="text1"/>
          <w:sz w:val="24"/>
          <w:szCs w:val="24"/>
        </w:rPr>
        <w:t>, 5, and</w:t>
      </w:r>
      <w:r w:rsidR="00C37C61" w:rsidRPr="00824722">
        <w:rPr>
          <w:rFonts w:cstheme="minorHAnsi"/>
          <w:color w:val="000000" w:themeColor="text1"/>
          <w:sz w:val="24"/>
          <w:szCs w:val="24"/>
        </w:rPr>
        <w:t xml:space="preserve"> </w:t>
      </w:r>
      <w:r w:rsidRPr="00824722">
        <w:rPr>
          <w:rFonts w:cstheme="minorHAnsi"/>
          <w:color w:val="000000" w:themeColor="text1"/>
          <w:sz w:val="24"/>
          <w:szCs w:val="24"/>
        </w:rPr>
        <w:t>6)</w:t>
      </w:r>
      <w:r w:rsidR="0074723F" w:rsidRPr="00824722">
        <w:rPr>
          <w:rFonts w:cstheme="minorHAnsi"/>
          <w:color w:val="000000" w:themeColor="text1"/>
          <w:sz w:val="24"/>
          <w:szCs w:val="24"/>
        </w:rPr>
        <w:t>.</w:t>
      </w:r>
    </w:p>
    <w:p w:rsidR="003C7FBF" w:rsidRPr="00824722" w:rsidRDefault="003C7FBF" w:rsidP="00D07761">
      <w:pPr>
        <w:tabs>
          <w:tab w:val="left" w:pos="2127"/>
        </w:tabs>
        <w:ind w:left="567"/>
        <w:rPr>
          <w:rFonts w:cstheme="minorHAnsi"/>
          <w:color w:val="000000" w:themeColor="text1"/>
          <w:sz w:val="24"/>
          <w:szCs w:val="24"/>
        </w:rPr>
      </w:pPr>
      <w:r w:rsidRPr="00824722">
        <w:rPr>
          <w:rFonts w:cstheme="minorHAnsi"/>
          <w:color w:val="000000" w:themeColor="text1"/>
          <w:sz w:val="24"/>
          <w:szCs w:val="24"/>
        </w:rPr>
        <w:t>As outlined in the Communication Strategy, the Department will seek feedback from consumers on the efficacy of the reform</w:t>
      </w:r>
      <w:r w:rsidR="00C37C61" w:rsidRPr="00824722">
        <w:rPr>
          <w:rFonts w:cstheme="minorHAnsi"/>
          <w:color w:val="000000" w:themeColor="text1"/>
          <w:sz w:val="24"/>
          <w:szCs w:val="24"/>
        </w:rPr>
        <w:t>, and whether it meets expect</w:t>
      </w:r>
      <w:r w:rsidR="00B756FF" w:rsidRPr="00824722">
        <w:rPr>
          <w:rFonts w:cstheme="minorHAnsi"/>
          <w:color w:val="000000" w:themeColor="text1"/>
          <w:sz w:val="24"/>
          <w:szCs w:val="24"/>
        </w:rPr>
        <w:t>ations</w:t>
      </w:r>
      <w:r w:rsidRPr="00824722">
        <w:rPr>
          <w:rFonts w:cstheme="minorHAnsi"/>
          <w:color w:val="000000" w:themeColor="text1"/>
          <w:sz w:val="24"/>
          <w:szCs w:val="24"/>
        </w:rPr>
        <w:t>.</w:t>
      </w:r>
    </w:p>
    <w:p w:rsidR="005B55E9" w:rsidRPr="00824722" w:rsidRDefault="00B4096D" w:rsidP="00B4096D">
      <w:pPr>
        <w:spacing w:after="0"/>
        <w:rPr>
          <w:color w:val="0070C0"/>
          <w:sz w:val="24"/>
          <w:szCs w:val="24"/>
        </w:rPr>
      </w:pPr>
      <w:r w:rsidRPr="00824722">
        <w:rPr>
          <w:color w:val="0070C0"/>
          <w:sz w:val="24"/>
          <w:szCs w:val="24"/>
        </w:rPr>
        <w:t>Health Ministers</w:t>
      </w:r>
    </w:p>
    <w:p w:rsidR="0074723F" w:rsidRPr="00824722" w:rsidRDefault="0074723F" w:rsidP="0074723F">
      <w:pPr>
        <w:tabs>
          <w:tab w:val="left" w:pos="2127"/>
        </w:tabs>
        <w:ind w:left="567"/>
        <w:rPr>
          <w:sz w:val="24"/>
          <w:szCs w:val="24"/>
        </w:rPr>
      </w:pPr>
      <w:r w:rsidRPr="00824722">
        <w:rPr>
          <w:sz w:val="24"/>
          <w:szCs w:val="24"/>
        </w:rPr>
        <w:t>The views of state and territory government Health Ministers are detailed in section 1 ‘Overview’ (pages 2 and 3).</w:t>
      </w:r>
    </w:p>
    <w:p w:rsidR="003C7FBF" w:rsidRPr="00824722" w:rsidRDefault="003C7FBF" w:rsidP="0074723F">
      <w:pPr>
        <w:tabs>
          <w:tab w:val="left" w:pos="2127"/>
        </w:tabs>
        <w:ind w:left="567"/>
        <w:rPr>
          <w:sz w:val="24"/>
          <w:szCs w:val="24"/>
        </w:rPr>
      </w:pPr>
      <w:r w:rsidRPr="00824722">
        <w:rPr>
          <w:sz w:val="24"/>
          <w:szCs w:val="24"/>
        </w:rPr>
        <w:t>The Department will continue to report bi-annually to Health Ministers on progress of this reform.</w:t>
      </w:r>
    </w:p>
    <w:p w:rsidR="00B4096D" w:rsidRPr="00824722" w:rsidRDefault="00D07761" w:rsidP="00D07761">
      <w:pPr>
        <w:spacing w:after="0"/>
        <w:rPr>
          <w:color w:val="0070C0"/>
          <w:sz w:val="24"/>
          <w:szCs w:val="24"/>
        </w:rPr>
      </w:pPr>
      <w:r w:rsidRPr="00824722">
        <w:rPr>
          <w:color w:val="0070C0"/>
          <w:sz w:val="24"/>
          <w:szCs w:val="24"/>
        </w:rPr>
        <w:t>Industry</w:t>
      </w:r>
    </w:p>
    <w:p w:rsidR="0054702D" w:rsidRPr="00824722" w:rsidRDefault="0054702D" w:rsidP="0054702D">
      <w:pPr>
        <w:tabs>
          <w:tab w:val="left" w:pos="2127"/>
        </w:tabs>
        <w:ind w:left="567"/>
      </w:pPr>
      <w:r w:rsidRPr="00824722">
        <w:rPr>
          <w:sz w:val="24"/>
          <w:szCs w:val="24"/>
        </w:rPr>
        <w:t>The ACM has published a position paper that supports the choice of planned, midwife-attended birth at home as a safe option for women with uncomplicated pregnancies. The ACM states that “Midwifery care is woman-centred, and is a partnership between a woman and a midwife. Every woman should have access to midwifery continuity of care”</w:t>
      </w:r>
      <w:r w:rsidRPr="00824722">
        <w:rPr>
          <w:rStyle w:val="FootnoteReference"/>
          <w:sz w:val="24"/>
          <w:szCs w:val="24"/>
        </w:rPr>
        <w:footnoteReference w:id="22"/>
      </w:r>
      <w:r w:rsidRPr="00824722">
        <w:rPr>
          <w:sz w:val="24"/>
          <w:szCs w:val="24"/>
        </w:rPr>
        <w:t>. The ACM considers that “Women have a right to decide where they wish to give birth to their baby, have access to evidence-based, unbiased information that includes the potential advantages and disadvantages of birth at home” and notes that “Care from a midwife with consultation, referral and transfer mechanisms is key to safety using the ACM National Midwifery Guidelines for Consultation and Referral”.</w:t>
      </w:r>
    </w:p>
    <w:p w:rsidR="00B4096D" w:rsidRPr="00824722" w:rsidRDefault="00B4096D" w:rsidP="00B4096D">
      <w:pPr>
        <w:spacing w:after="0"/>
        <w:rPr>
          <w:color w:val="0070C0"/>
          <w:sz w:val="24"/>
          <w:szCs w:val="24"/>
        </w:rPr>
      </w:pPr>
      <w:r w:rsidRPr="00824722">
        <w:rPr>
          <w:color w:val="0070C0"/>
          <w:sz w:val="24"/>
          <w:szCs w:val="24"/>
        </w:rPr>
        <w:t>Insurers</w:t>
      </w:r>
    </w:p>
    <w:p w:rsidR="00B4096D" w:rsidRPr="00824722" w:rsidRDefault="00B4096D" w:rsidP="00C72F31">
      <w:pPr>
        <w:tabs>
          <w:tab w:val="left" w:pos="2127"/>
        </w:tabs>
        <w:ind w:left="567"/>
        <w:rPr>
          <w:rFonts w:cstheme="minorHAnsi"/>
          <w:sz w:val="24"/>
          <w:szCs w:val="24"/>
        </w:rPr>
      </w:pPr>
      <w:r w:rsidRPr="00824722">
        <w:rPr>
          <w:rFonts w:cstheme="minorHAnsi"/>
          <w:sz w:val="24"/>
          <w:szCs w:val="24"/>
        </w:rPr>
        <w:t>Only one insurer responded to the 2022 industry briefing</w:t>
      </w:r>
      <w:r w:rsidR="00C72F31" w:rsidRPr="00824722">
        <w:rPr>
          <w:rFonts w:cstheme="minorHAnsi"/>
          <w:sz w:val="24"/>
          <w:szCs w:val="24"/>
        </w:rPr>
        <w:t>, highlighting</w:t>
      </w:r>
      <w:r w:rsidRPr="00824722">
        <w:rPr>
          <w:rFonts w:cstheme="minorHAnsi"/>
          <w:sz w:val="24"/>
          <w:szCs w:val="24"/>
        </w:rPr>
        <w:t xml:space="preserve"> several concerns about the introduction of the new products, including:</w:t>
      </w:r>
    </w:p>
    <w:p w:rsidR="00C72F31" w:rsidRPr="00824722" w:rsidRDefault="00C72F31" w:rsidP="00A622D8">
      <w:pPr>
        <w:pStyle w:val="ListParagraph"/>
        <w:numPr>
          <w:ilvl w:val="0"/>
          <w:numId w:val="30"/>
        </w:numPr>
        <w:tabs>
          <w:tab w:val="left" w:pos="2127"/>
        </w:tabs>
        <w:rPr>
          <w:sz w:val="24"/>
          <w:szCs w:val="24"/>
        </w:rPr>
      </w:pPr>
      <w:r w:rsidRPr="00824722">
        <w:rPr>
          <w:sz w:val="24"/>
          <w:szCs w:val="24"/>
        </w:rPr>
        <w:t>the potentially increased risks are appropriately considered and managed to protect both the women and their unborn babies and that the premiums/admin</w:t>
      </w:r>
      <w:r w:rsidR="00792438" w:rsidRPr="00824722">
        <w:rPr>
          <w:sz w:val="24"/>
          <w:szCs w:val="24"/>
        </w:rPr>
        <w:t>istration</w:t>
      </w:r>
      <w:r w:rsidRPr="00824722">
        <w:rPr>
          <w:sz w:val="24"/>
          <w:szCs w:val="24"/>
        </w:rPr>
        <w:t xml:space="preserve"> fees are adequate to cover the claims and other additional costs that would be incurred by </w:t>
      </w:r>
      <w:r w:rsidR="00792438" w:rsidRPr="00824722">
        <w:rPr>
          <w:sz w:val="24"/>
          <w:szCs w:val="24"/>
        </w:rPr>
        <w:t>the insurer</w:t>
      </w:r>
      <w:r w:rsidRPr="00824722">
        <w:rPr>
          <w:sz w:val="24"/>
          <w:szCs w:val="24"/>
        </w:rPr>
        <w:t xml:space="preserve"> </w:t>
      </w:r>
    </w:p>
    <w:p w:rsidR="00C72F31" w:rsidRPr="00824722" w:rsidRDefault="00C72F31" w:rsidP="00A622D8">
      <w:pPr>
        <w:pStyle w:val="ListParagraph"/>
        <w:numPr>
          <w:ilvl w:val="0"/>
          <w:numId w:val="30"/>
        </w:numPr>
        <w:tabs>
          <w:tab w:val="left" w:pos="2127"/>
        </w:tabs>
        <w:rPr>
          <w:sz w:val="24"/>
          <w:szCs w:val="24"/>
        </w:rPr>
      </w:pPr>
      <w:r w:rsidRPr="00824722">
        <w:rPr>
          <w:sz w:val="24"/>
          <w:szCs w:val="24"/>
        </w:rPr>
        <w:t xml:space="preserve">either a collaborative agreement and/or a care plan </w:t>
      </w:r>
      <w:r w:rsidR="00027BC3" w:rsidRPr="00824722">
        <w:rPr>
          <w:sz w:val="24"/>
          <w:szCs w:val="24"/>
        </w:rPr>
        <w:t>i</w:t>
      </w:r>
      <w:r w:rsidRPr="00824722">
        <w:rPr>
          <w:sz w:val="24"/>
          <w:szCs w:val="24"/>
        </w:rPr>
        <w:t>n plac</w:t>
      </w:r>
      <w:r w:rsidR="00027BC3" w:rsidRPr="00824722">
        <w:rPr>
          <w:sz w:val="24"/>
          <w:szCs w:val="24"/>
        </w:rPr>
        <w:t>e for the midwife to be insured</w:t>
      </w:r>
      <w:r w:rsidRPr="00824722">
        <w:rPr>
          <w:sz w:val="24"/>
          <w:szCs w:val="24"/>
        </w:rPr>
        <w:t xml:space="preserve"> </w:t>
      </w:r>
    </w:p>
    <w:p w:rsidR="00C72F31" w:rsidRPr="00824722" w:rsidRDefault="00027BC3" w:rsidP="00A622D8">
      <w:pPr>
        <w:pStyle w:val="ListParagraph"/>
        <w:numPr>
          <w:ilvl w:val="0"/>
          <w:numId w:val="30"/>
        </w:numPr>
        <w:tabs>
          <w:tab w:val="left" w:pos="2127"/>
        </w:tabs>
        <w:rPr>
          <w:sz w:val="24"/>
          <w:szCs w:val="24"/>
        </w:rPr>
      </w:pPr>
      <w:r w:rsidRPr="00824722">
        <w:rPr>
          <w:sz w:val="24"/>
          <w:szCs w:val="24"/>
        </w:rPr>
        <w:t xml:space="preserve">clarity of intent is required </w:t>
      </w:r>
      <w:r w:rsidR="00C72F31" w:rsidRPr="00824722">
        <w:rPr>
          <w:sz w:val="24"/>
          <w:szCs w:val="24"/>
        </w:rPr>
        <w:t>in circumstances where a woman plans a homebirth or if a midwife proceeds to provide care in a homebirth not meeting those low risk criteria, or otherwise c</w:t>
      </w:r>
      <w:r w:rsidRPr="00824722">
        <w:rPr>
          <w:sz w:val="24"/>
          <w:szCs w:val="24"/>
        </w:rPr>
        <w:t xml:space="preserve">ontrary to the ACM Guidelines </w:t>
      </w:r>
    </w:p>
    <w:p w:rsidR="00C72F31" w:rsidRPr="00824722" w:rsidRDefault="00C72F31" w:rsidP="00A622D8">
      <w:pPr>
        <w:pStyle w:val="ListParagraph"/>
        <w:numPr>
          <w:ilvl w:val="0"/>
          <w:numId w:val="30"/>
        </w:numPr>
        <w:tabs>
          <w:tab w:val="left" w:pos="2127"/>
        </w:tabs>
        <w:rPr>
          <w:sz w:val="24"/>
          <w:szCs w:val="24"/>
        </w:rPr>
      </w:pPr>
      <w:r w:rsidRPr="00824722">
        <w:rPr>
          <w:sz w:val="24"/>
          <w:szCs w:val="24"/>
        </w:rPr>
        <w:t xml:space="preserve">determining at what point an exclusion to cover applies during a pregnancy or </w:t>
      </w:r>
      <w:r w:rsidR="00027BC3" w:rsidRPr="00824722">
        <w:rPr>
          <w:sz w:val="24"/>
          <w:szCs w:val="24"/>
        </w:rPr>
        <w:t>d</w:t>
      </w:r>
      <w:r w:rsidRPr="00824722">
        <w:rPr>
          <w:sz w:val="24"/>
          <w:szCs w:val="24"/>
        </w:rPr>
        <w:t xml:space="preserve">uring labour </w:t>
      </w:r>
    </w:p>
    <w:p w:rsidR="00D07761" w:rsidRPr="00824722" w:rsidRDefault="00D07761" w:rsidP="00A622D8">
      <w:pPr>
        <w:pStyle w:val="ListParagraph"/>
        <w:numPr>
          <w:ilvl w:val="0"/>
          <w:numId w:val="30"/>
        </w:numPr>
        <w:tabs>
          <w:tab w:val="left" w:pos="2127"/>
        </w:tabs>
        <w:rPr>
          <w:sz w:val="24"/>
          <w:szCs w:val="24"/>
        </w:rPr>
      </w:pPr>
      <w:r w:rsidRPr="00824722">
        <w:rPr>
          <w:sz w:val="24"/>
          <w:szCs w:val="24"/>
        </w:rPr>
        <w:t xml:space="preserve">how the health and safety of both the woman and the baby can be adequately protected in situations where the midwife is working as a sole practitioner and outside of the established support and clinical governance framework of the public hospital maternity system </w:t>
      </w:r>
    </w:p>
    <w:p w:rsidR="00027BC3" w:rsidRPr="00824722" w:rsidRDefault="00027BC3" w:rsidP="00A622D8">
      <w:pPr>
        <w:pStyle w:val="ListParagraph"/>
        <w:numPr>
          <w:ilvl w:val="0"/>
          <w:numId w:val="30"/>
        </w:numPr>
        <w:tabs>
          <w:tab w:val="left" w:pos="2127"/>
        </w:tabs>
        <w:rPr>
          <w:sz w:val="24"/>
          <w:szCs w:val="24"/>
        </w:rPr>
      </w:pPr>
      <w:r w:rsidRPr="00824722">
        <w:rPr>
          <w:sz w:val="24"/>
          <w:szCs w:val="24"/>
        </w:rPr>
        <w:t>more clarity on the proposed definition for low-risk homebirths</w:t>
      </w:r>
    </w:p>
    <w:p w:rsidR="00D07761" w:rsidRPr="00824722" w:rsidRDefault="00D07761" w:rsidP="00A622D8">
      <w:pPr>
        <w:pStyle w:val="ListParagraph"/>
        <w:numPr>
          <w:ilvl w:val="0"/>
          <w:numId w:val="30"/>
        </w:numPr>
        <w:tabs>
          <w:tab w:val="left" w:pos="2127"/>
        </w:tabs>
        <w:rPr>
          <w:sz w:val="24"/>
          <w:szCs w:val="24"/>
        </w:rPr>
      </w:pPr>
      <w:r w:rsidRPr="00824722">
        <w:rPr>
          <w:sz w:val="24"/>
          <w:szCs w:val="24"/>
        </w:rPr>
        <w:t>whether the Commonwealth has considered an alternative approach such as expanding the resources available via the current State based public hospital homebirth programs</w:t>
      </w:r>
    </w:p>
    <w:p w:rsidR="00D07761" w:rsidRPr="00824722" w:rsidRDefault="00D07761" w:rsidP="00A622D8">
      <w:pPr>
        <w:pStyle w:val="ListParagraph"/>
        <w:numPr>
          <w:ilvl w:val="0"/>
          <w:numId w:val="30"/>
        </w:numPr>
        <w:tabs>
          <w:tab w:val="left" w:pos="2127"/>
        </w:tabs>
        <w:rPr>
          <w:sz w:val="24"/>
          <w:szCs w:val="24"/>
        </w:rPr>
      </w:pPr>
      <w:r w:rsidRPr="00824722">
        <w:rPr>
          <w:sz w:val="24"/>
          <w:szCs w:val="24"/>
        </w:rPr>
        <w:t>the low number of PPMs means the size of the Scheme and the income pool is very small relative to the claim’s exposure and the expectation of the Service and support to be provided and the reporting and monitoring framework.</w:t>
      </w:r>
    </w:p>
    <w:p w:rsidR="003C7FBF" w:rsidRPr="00824722" w:rsidRDefault="003C7FBF" w:rsidP="003C7FBF">
      <w:pPr>
        <w:tabs>
          <w:tab w:val="left" w:pos="2127"/>
        </w:tabs>
        <w:ind w:left="567"/>
        <w:rPr>
          <w:sz w:val="24"/>
          <w:szCs w:val="24"/>
        </w:rPr>
      </w:pPr>
      <w:r w:rsidRPr="00824722">
        <w:rPr>
          <w:sz w:val="24"/>
          <w:szCs w:val="24"/>
        </w:rPr>
        <w:t>The Department is continuing to consult with the insurer to ensure the</w:t>
      </w:r>
      <w:r w:rsidR="00CD394E" w:rsidRPr="00824722">
        <w:rPr>
          <w:sz w:val="24"/>
          <w:szCs w:val="24"/>
        </w:rPr>
        <w:t>y are satisfied that protection of women and their babies underpins</w:t>
      </w:r>
      <w:r w:rsidRPr="00824722">
        <w:rPr>
          <w:sz w:val="24"/>
          <w:szCs w:val="24"/>
        </w:rPr>
        <w:t xml:space="preserve"> </w:t>
      </w:r>
      <w:r w:rsidR="00CD394E" w:rsidRPr="00824722">
        <w:rPr>
          <w:sz w:val="24"/>
          <w:szCs w:val="24"/>
        </w:rPr>
        <w:t>the design of the reform.</w:t>
      </w:r>
    </w:p>
    <w:p w:rsidR="00C72F31" w:rsidRPr="00824722" w:rsidRDefault="00E35D4C" w:rsidP="00B4096D">
      <w:pPr>
        <w:spacing w:after="0"/>
        <w:rPr>
          <w:color w:val="0070C0"/>
          <w:sz w:val="24"/>
          <w:szCs w:val="24"/>
        </w:rPr>
      </w:pPr>
      <w:r w:rsidRPr="00824722">
        <w:rPr>
          <w:color w:val="0070C0"/>
          <w:sz w:val="24"/>
          <w:szCs w:val="24"/>
        </w:rPr>
        <w:t>ACCHOs</w:t>
      </w:r>
    </w:p>
    <w:p w:rsidR="00E35D4C" w:rsidRPr="00824722" w:rsidRDefault="00E35D4C" w:rsidP="00E35D4C">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The views of ACCHOs are detailed in section 4 ‘Birthing on Country’ (pages 27 </w:t>
      </w:r>
      <w:r w:rsidRPr="00824722">
        <w:rPr>
          <w:rFonts w:cstheme="minorHAnsi"/>
          <w:color w:val="000000" w:themeColor="text1"/>
          <w:sz w:val="24"/>
          <w:szCs w:val="24"/>
        </w:rPr>
        <w:br/>
        <w:t>and 28).</w:t>
      </w:r>
    </w:p>
    <w:p w:rsidR="00CD394E" w:rsidRPr="00824722" w:rsidRDefault="00CD394E" w:rsidP="00E35D4C">
      <w:pPr>
        <w:tabs>
          <w:tab w:val="left" w:pos="2127"/>
        </w:tabs>
        <w:ind w:left="567"/>
        <w:rPr>
          <w:rFonts w:cstheme="minorHAnsi"/>
          <w:color w:val="000000" w:themeColor="text1"/>
          <w:sz w:val="24"/>
          <w:szCs w:val="24"/>
        </w:rPr>
      </w:pPr>
      <w:r w:rsidRPr="00824722">
        <w:rPr>
          <w:rFonts w:cstheme="minorHAnsi"/>
          <w:color w:val="000000" w:themeColor="text1"/>
          <w:sz w:val="24"/>
          <w:szCs w:val="24"/>
        </w:rPr>
        <w:t>The Department is continuing to consult with ACCHOs to support the ongoing viability of BoC models.</w:t>
      </w:r>
    </w:p>
    <w:p w:rsidR="005B55E9" w:rsidRPr="00824722" w:rsidRDefault="005B55E9" w:rsidP="0058344C">
      <w:pPr>
        <w:pStyle w:val="Heading3"/>
      </w:pPr>
      <w:bookmarkStart w:id="75" w:name="_Toc162017825"/>
      <w:r w:rsidRPr="00824722">
        <w:t>Impact on Po</w:t>
      </w:r>
      <w:r w:rsidR="00C91829" w:rsidRPr="00824722">
        <w:t>licy Options and/or Impact Analysis</w:t>
      </w:r>
      <w:bookmarkEnd w:id="75"/>
    </w:p>
    <w:p w:rsidR="003501AB" w:rsidRPr="00824722" w:rsidRDefault="003501AB" w:rsidP="003501AB">
      <w:pPr>
        <w:tabs>
          <w:tab w:val="left" w:pos="2127"/>
        </w:tabs>
        <w:ind w:left="567"/>
        <w:rPr>
          <w:rFonts w:cstheme="minorHAnsi"/>
          <w:color w:val="000000" w:themeColor="text1"/>
          <w:sz w:val="24"/>
          <w:szCs w:val="24"/>
        </w:rPr>
      </w:pPr>
      <w:r w:rsidRPr="00824722">
        <w:rPr>
          <w:rFonts w:cstheme="minorHAnsi"/>
          <w:color w:val="000000" w:themeColor="text1"/>
          <w:sz w:val="24"/>
          <w:szCs w:val="24"/>
        </w:rPr>
        <w:t xml:space="preserve">The following table outlines strategies to address issues raised </w:t>
      </w:r>
      <w:r w:rsidR="003C7FBF" w:rsidRPr="00824722">
        <w:rPr>
          <w:rFonts w:cstheme="minorHAnsi"/>
          <w:color w:val="000000" w:themeColor="text1"/>
          <w:sz w:val="24"/>
          <w:szCs w:val="24"/>
        </w:rPr>
        <w:t>by the insurer during the consultation process</w:t>
      </w:r>
      <w:r w:rsidRPr="00824722">
        <w:rPr>
          <w:rFonts w:cstheme="minorHAnsi"/>
          <w:color w:val="000000" w:themeColor="text1"/>
          <w:sz w:val="24"/>
          <w:szCs w:val="24"/>
        </w:rPr>
        <w:t>.</w:t>
      </w:r>
    </w:p>
    <w:p w:rsidR="00C60D79" w:rsidRDefault="00C60D79">
      <w:pPr>
        <w:rPr>
          <w:rFonts w:cstheme="minorHAnsi"/>
          <w:color w:val="000000" w:themeColor="text1"/>
          <w:sz w:val="24"/>
          <w:szCs w:val="24"/>
          <w:highlight w:val="yellow"/>
        </w:rPr>
      </w:pPr>
      <w:r>
        <w:rPr>
          <w:rFonts w:cstheme="minorHAnsi"/>
          <w:color w:val="000000" w:themeColor="text1"/>
          <w:sz w:val="24"/>
          <w:szCs w:val="24"/>
          <w:highlight w:val="yellow"/>
        </w:rPr>
        <w:br w:type="page"/>
      </w:r>
    </w:p>
    <w:tbl>
      <w:tblPr>
        <w:tblStyle w:val="TableGrid"/>
        <w:tblW w:w="0" w:type="auto"/>
        <w:tblLook w:val="04A0" w:firstRow="1" w:lastRow="0" w:firstColumn="1" w:lastColumn="0" w:noHBand="0" w:noVBand="1"/>
      </w:tblPr>
      <w:tblGrid>
        <w:gridCol w:w="4372"/>
        <w:gridCol w:w="4372"/>
      </w:tblGrid>
      <w:tr w:rsidR="003501AB" w:rsidTr="003C7FBF">
        <w:tc>
          <w:tcPr>
            <w:tcW w:w="4372" w:type="dxa"/>
            <w:shd w:val="clear" w:color="auto" w:fill="0070C0"/>
          </w:tcPr>
          <w:p w:rsidR="003501AB" w:rsidRPr="00FD0625" w:rsidRDefault="0040187A" w:rsidP="002716F8">
            <w:pPr>
              <w:spacing w:before="60" w:after="60"/>
              <w:rPr>
                <w:b/>
                <w:color w:val="FFFFFF" w:themeColor="background1"/>
              </w:rPr>
            </w:pPr>
            <w:r w:rsidRPr="00FD0625">
              <w:rPr>
                <w:b/>
                <w:color w:val="FFFFFF" w:themeColor="background1"/>
              </w:rPr>
              <w:t>Issue</w:t>
            </w:r>
            <w:r w:rsidR="003501AB" w:rsidRPr="00FD0625">
              <w:rPr>
                <w:b/>
                <w:color w:val="FFFFFF" w:themeColor="background1"/>
              </w:rPr>
              <w:t xml:space="preserve"> raised by insurer</w:t>
            </w:r>
          </w:p>
        </w:tc>
        <w:tc>
          <w:tcPr>
            <w:tcW w:w="4372" w:type="dxa"/>
            <w:shd w:val="clear" w:color="auto" w:fill="0070C0"/>
          </w:tcPr>
          <w:p w:rsidR="003501AB" w:rsidRPr="00FD0625" w:rsidRDefault="0040187A" w:rsidP="002716F8">
            <w:pPr>
              <w:spacing w:before="60" w:after="60"/>
              <w:rPr>
                <w:b/>
                <w:color w:val="FFFFFF" w:themeColor="background1"/>
              </w:rPr>
            </w:pPr>
            <w:r w:rsidRPr="00FD0625">
              <w:rPr>
                <w:b/>
                <w:color w:val="FFFFFF" w:themeColor="background1"/>
              </w:rPr>
              <w:t>Strategies to address the issue</w:t>
            </w:r>
          </w:p>
        </w:tc>
      </w:tr>
      <w:tr w:rsidR="00B17167" w:rsidTr="003501AB">
        <w:tc>
          <w:tcPr>
            <w:tcW w:w="4372" w:type="dxa"/>
          </w:tcPr>
          <w:p w:rsidR="00B17167" w:rsidRPr="00824722" w:rsidRDefault="00B17167" w:rsidP="002716F8">
            <w:pPr>
              <w:spacing w:before="60" w:after="60"/>
            </w:pPr>
            <w:r w:rsidRPr="00824722">
              <w:t>Definition of low-risk homebirth</w:t>
            </w:r>
          </w:p>
        </w:tc>
        <w:tc>
          <w:tcPr>
            <w:tcW w:w="4372" w:type="dxa"/>
          </w:tcPr>
          <w:p w:rsidR="00B17167" w:rsidRPr="00824722" w:rsidRDefault="00B17167" w:rsidP="002716F8">
            <w:pPr>
              <w:spacing w:before="60" w:after="60"/>
            </w:pPr>
            <w:r w:rsidRPr="00824722">
              <w:t>Health Ministers have agreed this definition</w:t>
            </w:r>
          </w:p>
        </w:tc>
      </w:tr>
      <w:tr w:rsidR="003501AB" w:rsidTr="003501AB">
        <w:tc>
          <w:tcPr>
            <w:tcW w:w="4372" w:type="dxa"/>
          </w:tcPr>
          <w:p w:rsidR="003501AB" w:rsidRPr="00824722" w:rsidRDefault="00730E58" w:rsidP="002716F8">
            <w:pPr>
              <w:spacing w:before="60" w:after="60"/>
            </w:pPr>
            <w:r w:rsidRPr="00824722">
              <w:t>Collaborative arrangements/Care Plans</w:t>
            </w:r>
          </w:p>
        </w:tc>
        <w:tc>
          <w:tcPr>
            <w:tcW w:w="4372" w:type="dxa"/>
          </w:tcPr>
          <w:p w:rsidR="00730E58" w:rsidRPr="00824722" w:rsidRDefault="00730E58" w:rsidP="002716F8">
            <w:pPr>
              <w:spacing w:before="60" w:after="60"/>
            </w:pPr>
            <w:r w:rsidRPr="00824722">
              <w:rPr>
                <w:color w:val="000000"/>
                <w:shd w:val="clear" w:color="auto" w:fill="FFFFFF"/>
              </w:rPr>
              <w:t xml:space="preserve">Government </w:t>
            </w:r>
            <w:r w:rsidR="00B17167" w:rsidRPr="00824722">
              <w:rPr>
                <w:color w:val="000000"/>
                <w:shd w:val="clear" w:color="auto" w:fill="FFFFFF"/>
              </w:rPr>
              <w:t xml:space="preserve">has </w:t>
            </w:r>
            <w:r w:rsidRPr="00824722">
              <w:rPr>
                <w:color w:val="000000"/>
                <w:shd w:val="clear" w:color="auto" w:fill="FFFFFF"/>
              </w:rPr>
              <w:t xml:space="preserve">committed to removing the legislated requirement for collaborative arrangements between </w:t>
            </w:r>
            <w:r w:rsidR="00B17167" w:rsidRPr="00824722">
              <w:rPr>
                <w:color w:val="000000"/>
                <w:shd w:val="clear" w:color="auto" w:fill="FFFFFF"/>
              </w:rPr>
              <w:t>PPMs and medical practitioners</w:t>
            </w:r>
            <w:r w:rsidR="003C7FBF" w:rsidRPr="00824722">
              <w:rPr>
                <w:color w:val="000000"/>
                <w:shd w:val="clear" w:color="auto" w:fill="FFFFFF"/>
              </w:rPr>
              <w:t>,</w:t>
            </w:r>
            <w:r w:rsidR="00B17167" w:rsidRPr="00824722">
              <w:rPr>
                <w:color w:val="000000"/>
                <w:shd w:val="clear" w:color="auto" w:fill="FFFFFF"/>
              </w:rPr>
              <w:t xml:space="preserve"> to be effected in late 2024.</w:t>
            </w:r>
          </w:p>
          <w:p w:rsidR="003501AB" w:rsidRPr="00824722" w:rsidRDefault="00CD394E" w:rsidP="002716F8">
            <w:pPr>
              <w:spacing w:before="60" w:after="60"/>
            </w:pPr>
            <w:r w:rsidRPr="00824722">
              <w:t>PPMs</w:t>
            </w:r>
            <w:r w:rsidR="00730E58" w:rsidRPr="00824722">
              <w:t xml:space="preserve"> will continue to adhere to NMBA professional standards to ensure continued inter-professional clinical collaboration</w:t>
            </w:r>
          </w:p>
        </w:tc>
      </w:tr>
      <w:tr w:rsidR="00CD394E" w:rsidTr="002716F8">
        <w:tc>
          <w:tcPr>
            <w:tcW w:w="4372" w:type="dxa"/>
          </w:tcPr>
          <w:p w:rsidR="00CD394E" w:rsidRPr="00824722" w:rsidRDefault="00CD394E" w:rsidP="002716F8">
            <w:pPr>
              <w:spacing w:before="60" w:after="60"/>
            </w:pPr>
            <w:r w:rsidRPr="00824722">
              <w:t>Protection of women and their unborn babies, particularly outside public hospital maternity system</w:t>
            </w:r>
          </w:p>
        </w:tc>
        <w:tc>
          <w:tcPr>
            <w:tcW w:w="4372" w:type="dxa"/>
            <w:vMerge w:val="restart"/>
            <w:vAlign w:val="center"/>
          </w:tcPr>
          <w:p w:rsidR="00CD394E" w:rsidRPr="00824722" w:rsidRDefault="00CD394E" w:rsidP="002716F8">
            <w:pPr>
              <w:spacing w:before="60" w:after="60"/>
            </w:pPr>
            <w:r w:rsidRPr="00824722">
              <w:rPr>
                <w:rFonts w:cstheme="minorHAnsi"/>
              </w:rPr>
              <w:t>PPMs are required to practice in accordance with NMBA Safety and Quality Guidelines, and use the ACM Guidelines for Consultation and Referral</w:t>
            </w:r>
          </w:p>
        </w:tc>
      </w:tr>
      <w:tr w:rsidR="00CD394E" w:rsidTr="003501AB">
        <w:tc>
          <w:tcPr>
            <w:tcW w:w="4372" w:type="dxa"/>
          </w:tcPr>
          <w:p w:rsidR="00CD394E" w:rsidRPr="00824722" w:rsidRDefault="00CD394E" w:rsidP="002716F8">
            <w:pPr>
              <w:spacing w:before="60" w:after="60"/>
            </w:pPr>
            <w:r w:rsidRPr="00824722">
              <w:t xml:space="preserve">Ensuring compliance with low risk homebirth criteria </w:t>
            </w:r>
          </w:p>
        </w:tc>
        <w:tc>
          <w:tcPr>
            <w:tcW w:w="4372" w:type="dxa"/>
            <w:vMerge/>
          </w:tcPr>
          <w:p w:rsidR="00CD394E" w:rsidRPr="00824722" w:rsidRDefault="00CD394E" w:rsidP="002716F8">
            <w:pPr>
              <w:spacing w:before="60" w:after="60"/>
            </w:pPr>
          </w:p>
        </w:tc>
      </w:tr>
      <w:tr w:rsidR="00CD394E" w:rsidTr="003501AB">
        <w:tc>
          <w:tcPr>
            <w:tcW w:w="4372" w:type="dxa"/>
          </w:tcPr>
          <w:p w:rsidR="00CD394E" w:rsidRPr="00824722" w:rsidRDefault="00CD394E" w:rsidP="002716F8">
            <w:pPr>
              <w:spacing w:before="60" w:after="60"/>
            </w:pPr>
            <w:r w:rsidRPr="00824722">
              <w:t xml:space="preserve">Determining when exclusion to cover applies during a pregnancy or during labour </w:t>
            </w:r>
          </w:p>
        </w:tc>
        <w:tc>
          <w:tcPr>
            <w:tcW w:w="4372" w:type="dxa"/>
            <w:vMerge/>
          </w:tcPr>
          <w:p w:rsidR="00CD394E" w:rsidRPr="00824722" w:rsidRDefault="00CD394E" w:rsidP="002716F8">
            <w:pPr>
              <w:spacing w:before="60" w:after="60"/>
            </w:pPr>
          </w:p>
        </w:tc>
      </w:tr>
      <w:tr w:rsidR="003501AB" w:rsidTr="003501AB">
        <w:tc>
          <w:tcPr>
            <w:tcW w:w="4372" w:type="dxa"/>
          </w:tcPr>
          <w:p w:rsidR="003501AB" w:rsidRPr="00824722" w:rsidRDefault="00B17167" w:rsidP="002716F8">
            <w:pPr>
              <w:spacing w:before="60" w:after="60"/>
            </w:pPr>
            <w:r w:rsidRPr="00824722">
              <w:t>Expanding state based public hospital homebirth programs</w:t>
            </w:r>
          </w:p>
        </w:tc>
        <w:tc>
          <w:tcPr>
            <w:tcW w:w="4372" w:type="dxa"/>
          </w:tcPr>
          <w:p w:rsidR="003501AB" w:rsidRPr="00824722" w:rsidRDefault="00CD394E" w:rsidP="002716F8">
            <w:pPr>
              <w:spacing w:before="60" w:after="60"/>
            </w:pPr>
            <w:r w:rsidRPr="00824722">
              <w:t>The Commonwealth will continue to work with state and territories through Health Ministers to support the expansion of public hospital homebirth programs</w:t>
            </w:r>
          </w:p>
        </w:tc>
      </w:tr>
      <w:tr w:rsidR="003501AB" w:rsidTr="003501AB">
        <w:tc>
          <w:tcPr>
            <w:tcW w:w="4372" w:type="dxa"/>
          </w:tcPr>
          <w:p w:rsidR="003501AB" w:rsidRPr="00824722" w:rsidRDefault="003C7FBF" w:rsidP="002716F8">
            <w:pPr>
              <w:spacing w:before="60" w:after="60"/>
            </w:pPr>
            <w:r w:rsidRPr="00824722">
              <w:t>M</w:t>
            </w:r>
            <w:r w:rsidR="00B17167" w:rsidRPr="00824722">
              <w:t xml:space="preserve">arket is too small to generate a risk pool specifically for </w:t>
            </w:r>
            <w:r w:rsidRPr="00824722">
              <w:t>PPM services</w:t>
            </w:r>
          </w:p>
        </w:tc>
        <w:tc>
          <w:tcPr>
            <w:tcW w:w="4372" w:type="dxa"/>
          </w:tcPr>
          <w:p w:rsidR="003501AB" w:rsidRPr="00824722" w:rsidRDefault="00CD394E" w:rsidP="002716F8">
            <w:pPr>
              <w:spacing w:before="60" w:after="60"/>
            </w:pPr>
            <w:r w:rsidRPr="00824722">
              <w:rPr>
                <w:rFonts w:cstheme="minorHAnsi"/>
              </w:rPr>
              <w:t>The develop</w:t>
            </w:r>
            <w:r w:rsidR="002716F8" w:rsidRPr="00824722">
              <w:rPr>
                <w:rFonts w:cstheme="minorHAnsi"/>
              </w:rPr>
              <w:t>ment of a national dataset will</w:t>
            </w:r>
            <w:r w:rsidRPr="00824722">
              <w:rPr>
                <w:rFonts w:cstheme="minorHAnsi"/>
              </w:rPr>
              <w:t xml:space="preserve"> allow a </w:t>
            </w:r>
            <w:r w:rsidR="002716F8" w:rsidRPr="00824722">
              <w:rPr>
                <w:rFonts w:cstheme="minorHAnsi"/>
              </w:rPr>
              <w:t>more accurate</w:t>
            </w:r>
            <w:r w:rsidRPr="00824722">
              <w:rPr>
                <w:rFonts w:cstheme="minorHAnsi"/>
              </w:rPr>
              <w:t xml:space="preserve"> indication of likely claims profile </w:t>
            </w:r>
            <w:r w:rsidR="002716F8" w:rsidRPr="00824722">
              <w:rPr>
                <w:rFonts w:cstheme="minorHAnsi"/>
              </w:rPr>
              <w:t>and annual liability estimate</w:t>
            </w:r>
            <w:r w:rsidRPr="00824722">
              <w:rPr>
                <w:rFonts w:cstheme="minorHAnsi"/>
              </w:rPr>
              <w:t>.</w:t>
            </w:r>
          </w:p>
        </w:tc>
      </w:tr>
    </w:tbl>
    <w:p w:rsidR="003501AB" w:rsidRPr="003501AB" w:rsidRDefault="003501AB" w:rsidP="00D43381">
      <w:pPr>
        <w:spacing w:after="0" w:line="240" w:lineRule="auto"/>
      </w:pPr>
    </w:p>
    <w:p w:rsidR="00086E06" w:rsidRDefault="00086E06" w:rsidP="0058344C">
      <w:pPr>
        <w:pStyle w:val="Heading1"/>
      </w:pPr>
      <w:bookmarkStart w:id="76" w:name="_Toc162017826"/>
      <w:r>
        <w:t>6. What the b</w:t>
      </w:r>
      <w:r w:rsidRPr="00522663">
        <w:t xml:space="preserve">est option </w:t>
      </w:r>
      <w:r>
        <w:t xml:space="preserve">from those you have considered </w:t>
      </w:r>
      <w:r w:rsidRPr="00522663">
        <w:t xml:space="preserve">and </w:t>
      </w:r>
      <w:r>
        <w:t xml:space="preserve">how will it be </w:t>
      </w:r>
      <w:r w:rsidRPr="00522663">
        <w:t>implement</w:t>
      </w:r>
      <w:r>
        <w:t>ed?</w:t>
      </w:r>
      <w:bookmarkEnd w:id="76"/>
    </w:p>
    <w:p w:rsidR="00086E06" w:rsidRPr="00824722" w:rsidRDefault="00086E06" w:rsidP="0058344C">
      <w:pPr>
        <w:pStyle w:val="Heading2"/>
      </w:pPr>
      <w:bookmarkStart w:id="77" w:name="_Toc162017827"/>
      <w:r w:rsidRPr="00824722">
        <w:t>Do the options meet the objectives?</w:t>
      </w:r>
      <w:bookmarkEnd w:id="77"/>
    </w:p>
    <w:p w:rsidR="009952BA" w:rsidRPr="00824722" w:rsidRDefault="005E29E3" w:rsidP="009952BA">
      <w:pPr>
        <w:tabs>
          <w:tab w:val="left" w:pos="2127"/>
        </w:tabs>
        <w:ind w:left="567"/>
        <w:rPr>
          <w:rFonts w:cstheme="minorHAnsi"/>
          <w:sz w:val="24"/>
          <w:szCs w:val="24"/>
        </w:rPr>
      </w:pPr>
      <w:r w:rsidRPr="00824722">
        <w:rPr>
          <w:rFonts w:cstheme="minorHAnsi"/>
          <w:sz w:val="24"/>
          <w:szCs w:val="24"/>
        </w:rPr>
        <w:t xml:space="preserve">The options outlined in this IA are summarised below. Option </w:t>
      </w:r>
      <w:r w:rsidR="009952BA" w:rsidRPr="00824722">
        <w:rPr>
          <w:rFonts w:cstheme="minorHAnsi"/>
          <w:sz w:val="24"/>
          <w:szCs w:val="24"/>
        </w:rPr>
        <w:t xml:space="preserve">2 </w:t>
      </w:r>
      <w:r w:rsidRPr="00824722">
        <w:rPr>
          <w:rFonts w:cstheme="minorHAnsi"/>
          <w:sz w:val="24"/>
          <w:szCs w:val="24"/>
        </w:rPr>
        <w:t xml:space="preserve">has been identified as the preferred option which would deliver on the </w:t>
      </w:r>
      <w:r w:rsidR="009952BA" w:rsidRPr="00824722">
        <w:rPr>
          <w:rFonts w:cstheme="minorHAnsi"/>
          <w:sz w:val="24"/>
          <w:szCs w:val="24"/>
        </w:rPr>
        <w:t>Government’s</w:t>
      </w:r>
      <w:r w:rsidRPr="00824722">
        <w:rPr>
          <w:rFonts w:cstheme="minorHAnsi"/>
          <w:sz w:val="24"/>
          <w:szCs w:val="24"/>
        </w:rPr>
        <w:t xml:space="preserve"> objectives of</w:t>
      </w:r>
      <w:r w:rsidR="009952BA" w:rsidRPr="00824722">
        <w:rPr>
          <w:rFonts w:cstheme="minorHAnsi"/>
          <w:sz w:val="24"/>
          <w:szCs w:val="24"/>
        </w:rPr>
        <w:t>:</w:t>
      </w:r>
    </w:p>
    <w:p w:rsidR="009952BA" w:rsidRPr="00824722" w:rsidRDefault="009952BA" w:rsidP="00A622D8">
      <w:pPr>
        <w:pStyle w:val="ListParagraph"/>
        <w:numPr>
          <w:ilvl w:val="0"/>
          <w:numId w:val="27"/>
        </w:numPr>
        <w:tabs>
          <w:tab w:val="left" w:pos="2127"/>
        </w:tabs>
        <w:contextualSpacing w:val="0"/>
        <w:rPr>
          <w:rFonts w:cstheme="minorHAnsi"/>
          <w:sz w:val="24"/>
          <w:szCs w:val="24"/>
        </w:rPr>
      </w:pPr>
      <w:r w:rsidRPr="00824722">
        <w:rPr>
          <w:rFonts w:cstheme="minorHAnsi"/>
          <w:sz w:val="24"/>
          <w:szCs w:val="24"/>
        </w:rPr>
        <w:t>making low-risk homebirths an eligible product under the Midwife Schemes (which currently indemnifies midwives for homebirth antenatal and postnatal care but not intrapartum care), with the timing to coincide with the expiry of the exemption.</w:t>
      </w:r>
    </w:p>
    <w:p w:rsidR="009952BA" w:rsidRPr="00824722" w:rsidRDefault="009952BA" w:rsidP="00A622D8">
      <w:pPr>
        <w:pStyle w:val="ListParagraph"/>
        <w:numPr>
          <w:ilvl w:val="0"/>
          <w:numId w:val="27"/>
        </w:numPr>
        <w:tabs>
          <w:tab w:val="left" w:pos="2127"/>
        </w:tabs>
        <w:contextualSpacing w:val="0"/>
        <w:rPr>
          <w:rFonts w:cstheme="minorHAnsi"/>
          <w:sz w:val="24"/>
          <w:szCs w:val="24"/>
        </w:rPr>
      </w:pPr>
      <w:r w:rsidRPr="00824722">
        <w:rPr>
          <w:rFonts w:cstheme="minorHAnsi"/>
          <w:sz w:val="24"/>
          <w:szCs w:val="24"/>
        </w:rPr>
        <w:t>improving community access to maternity services and culturally safe midwifery through expansion of the BoC program.</w:t>
      </w:r>
    </w:p>
    <w:p w:rsidR="009952BA" w:rsidRPr="00824722" w:rsidRDefault="009952BA" w:rsidP="00A622D8">
      <w:pPr>
        <w:pStyle w:val="ListParagraph"/>
        <w:numPr>
          <w:ilvl w:val="0"/>
          <w:numId w:val="27"/>
        </w:numPr>
        <w:tabs>
          <w:tab w:val="left" w:pos="2127"/>
        </w:tabs>
        <w:contextualSpacing w:val="0"/>
        <w:rPr>
          <w:rFonts w:cstheme="minorHAnsi"/>
          <w:sz w:val="24"/>
          <w:szCs w:val="24"/>
        </w:rPr>
      </w:pPr>
      <w:r w:rsidRPr="00824722">
        <w:rPr>
          <w:rFonts w:cstheme="minorHAnsi"/>
          <w:sz w:val="24"/>
          <w:szCs w:val="24"/>
        </w:rPr>
        <w:t>working with state and territory governments to finalise a solution by 2030 to a longstanding and entrenched issue PPMs face in accessing appropriate PII to allow PPMs to work to their full scope of practice with professional indemnity insurance coverage.</w:t>
      </w:r>
    </w:p>
    <w:p w:rsidR="00014650" w:rsidRPr="00121246" w:rsidRDefault="00086E06" w:rsidP="0058344C">
      <w:pPr>
        <w:pStyle w:val="Heading2"/>
      </w:pPr>
      <w:bookmarkStart w:id="78" w:name="_Toc162017828"/>
      <w:r>
        <w:t>What is the preferred</w:t>
      </w:r>
      <w:r w:rsidRPr="00121246">
        <w:t xml:space="preserve"> </w:t>
      </w:r>
      <w:r w:rsidR="00014650" w:rsidRPr="00121246">
        <w:t>option</w:t>
      </w:r>
      <w:r>
        <w:t>?</w:t>
      </w:r>
      <w:bookmarkEnd w:id="78"/>
    </w:p>
    <w:p w:rsidR="00014650" w:rsidRDefault="0070788A" w:rsidP="00711F4D">
      <w:pPr>
        <w:tabs>
          <w:tab w:val="left" w:pos="2127"/>
        </w:tabs>
        <w:ind w:left="567"/>
        <w:rPr>
          <w:rFonts w:cstheme="minorHAnsi"/>
          <w:sz w:val="24"/>
          <w:szCs w:val="24"/>
        </w:rPr>
      </w:pPr>
      <w:r>
        <w:rPr>
          <w:rFonts w:cstheme="minorHAnsi"/>
          <w:sz w:val="24"/>
          <w:szCs w:val="24"/>
        </w:rPr>
        <w:t>Analysis confirms that option 2</w:t>
      </w:r>
      <w:r w:rsidR="00014650">
        <w:rPr>
          <w:rFonts w:cstheme="minorHAnsi"/>
          <w:sz w:val="24"/>
          <w:szCs w:val="24"/>
        </w:rPr>
        <w:t xml:space="preserve"> presents the greatest net benefit</w:t>
      </w:r>
      <w:r w:rsidR="00F333CB">
        <w:rPr>
          <w:rFonts w:cstheme="minorHAnsi"/>
          <w:sz w:val="24"/>
          <w:szCs w:val="24"/>
        </w:rPr>
        <w:t>. This option is recommended because it:</w:t>
      </w:r>
    </w:p>
    <w:p w:rsidR="00014650" w:rsidRPr="00824722" w:rsidRDefault="00014650"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824722">
        <w:rPr>
          <w:rFonts w:cstheme="minorHAnsi"/>
          <w:color w:val="000000" w:themeColor="text1"/>
          <w:sz w:val="24"/>
          <w:szCs w:val="24"/>
        </w:rPr>
        <w:t xml:space="preserve">Provides the </w:t>
      </w:r>
      <w:r w:rsidR="006B1D78" w:rsidRPr="00824722">
        <w:rPr>
          <w:rFonts w:cstheme="minorHAnsi"/>
          <w:color w:val="000000" w:themeColor="text1"/>
          <w:sz w:val="24"/>
          <w:szCs w:val="24"/>
        </w:rPr>
        <w:t>lowest</w:t>
      </w:r>
      <w:r w:rsidRPr="00824722">
        <w:rPr>
          <w:rFonts w:cstheme="minorHAnsi"/>
          <w:color w:val="000000" w:themeColor="text1"/>
          <w:sz w:val="24"/>
          <w:szCs w:val="24"/>
        </w:rPr>
        <w:t xml:space="preserve"> quantifiable </w:t>
      </w:r>
      <w:r w:rsidR="006B1D78" w:rsidRPr="00824722">
        <w:rPr>
          <w:rFonts w:cstheme="minorHAnsi"/>
          <w:color w:val="000000" w:themeColor="text1"/>
          <w:sz w:val="24"/>
          <w:szCs w:val="24"/>
        </w:rPr>
        <w:t>impact</w:t>
      </w:r>
      <w:r w:rsidRPr="00824722">
        <w:rPr>
          <w:rFonts w:cstheme="minorHAnsi"/>
          <w:color w:val="000000" w:themeColor="text1"/>
          <w:sz w:val="24"/>
          <w:szCs w:val="24"/>
        </w:rPr>
        <w:t xml:space="preserve"> in </w:t>
      </w:r>
      <w:r w:rsidR="00B91718" w:rsidRPr="00824722">
        <w:rPr>
          <w:rFonts w:cstheme="minorHAnsi"/>
          <w:color w:val="000000" w:themeColor="text1"/>
          <w:sz w:val="24"/>
          <w:szCs w:val="24"/>
        </w:rPr>
        <w:t>annual regu</w:t>
      </w:r>
      <w:r w:rsidR="00551DCD" w:rsidRPr="00824722">
        <w:rPr>
          <w:rFonts w:cstheme="minorHAnsi"/>
          <w:color w:val="000000" w:themeColor="text1"/>
          <w:sz w:val="24"/>
          <w:szCs w:val="24"/>
        </w:rPr>
        <w:t xml:space="preserve">latory burden of </w:t>
      </w:r>
      <w:r w:rsidR="006B1D78" w:rsidRPr="00824722">
        <w:rPr>
          <w:rFonts w:cstheme="minorHAnsi"/>
          <w:color w:val="000000" w:themeColor="text1"/>
          <w:sz w:val="24"/>
          <w:szCs w:val="24"/>
        </w:rPr>
        <w:br/>
      </w:r>
      <w:r w:rsidR="003A1513" w:rsidRPr="00824722">
        <w:rPr>
          <w:rFonts w:cstheme="minorHAnsi"/>
          <w:color w:val="000000" w:themeColor="text1"/>
          <w:sz w:val="24"/>
          <w:szCs w:val="24"/>
        </w:rPr>
        <w:t>-</w:t>
      </w:r>
      <w:r w:rsidR="00551DCD" w:rsidRPr="00824722">
        <w:rPr>
          <w:rFonts w:cstheme="minorHAnsi"/>
          <w:color w:val="000000" w:themeColor="text1"/>
          <w:sz w:val="24"/>
          <w:szCs w:val="24"/>
        </w:rPr>
        <w:t>$</w:t>
      </w:r>
      <w:r w:rsidR="00BC6E38">
        <w:rPr>
          <w:rFonts w:cstheme="minorHAnsi"/>
          <w:color w:val="000000" w:themeColor="text1"/>
          <w:sz w:val="24"/>
          <w:szCs w:val="24"/>
        </w:rPr>
        <w:t>0.68</w:t>
      </w:r>
      <w:r w:rsidRPr="00824722">
        <w:rPr>
          <w:rFonts w:cstheme="minorHAnsi"/>
          <w:color w:val="000000" w:themeColor="text1"/>
          <w:sz w:val="24"/>
          <w:szCs w:val="24"/>
        </w:rPr>
        <w:t xml:space="preserve"> million. </w:t>
      </w:r>
    </w:p>
    <w:p w:rsidR="00014650" w:rsidRPr="00014650" w:rsidRDefault="00014650"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014650">
        <w:rPr>
          <w:rFonts w:cstheme="minorHAnsi"/>
          <w:color w:val="000000" w:themeColor="text1"/>
          <w:sz w:val="24"/>
          <w:szCs w:val="24"/>
        </w:rPr>
        <w:t xml:space="preserve">Offers the greatest alignment with the </w:t>
      </w:r>
      <w:r>
        <w:rPr>
          <w:rFonts w:cstheme="minorHAnsi"/>
          <w:color w:val="000000" w:themeColor="text1"/>
          <w:sz w:val="24"/>
          <w:szCs w:val="24"/>
        </w:rPr>
        <w:t xml:space="preserve">Commonwealth’s priority to </w:t>
      </w:r>
      <w:r w:rsidRPr="003968FD">
        <w:rPr>
          <w:rFonts w:cstheme="minorHAnsi"/>
          <w:sz w:val="24"/>
          <w:szCs w:val="24"/>
        </w:rPr>
        <w:t>improve community access to maternity services and culturally safe midwifery and to support the ability of Australia’s midwives to work to their full scope of practice</w:t>
      </w:r>
    </w:p>
    <w:p w:rsidR="00014650" w:rsidRDefault="00014650"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Pr>
          <w:rFonts w:cstheme="minorHAnsi"/>
          <w:sz w:val="24"/>
          <w:szCs w:val="24"/>
        </w:rPr>
        <w:t>P</w:t>
      </w:r>
      <w:r w:rsidRPr="003968FD">
        <w:rPr>
          <w:rFonts w:cstheme="minorHAnsi"/>
          <w:sz w:val="24"/>
          <w:szCs w:val="24"/>
        </w:rPr>
        <w:t xml:space="preserve">rovides </w:t>
      </w:r>
      <w:r w:rsidRPr="00014650">
        <w:rPr>
          <w:rFonts w:cstheme="minorHAnsi"/>
          <w:color w:val="000000" w:themeColor="text1"/>
          <w:sz w:val="24"/>
          <w:szCs w:val="24"/>
        </w:rPr>
        <w:t>the grea</w:t>
      </w:r>
      <w:r>
        <w:rPr>
          <w:rFonts w:cstheme="minorHAnsi"/>
          <w:color w:val="000000" w:themeColor="text1"/>
          <w:sz w:val="24"/>
          <w:szCs w:val="24"/>
        </w:rPr>
        <w:t>test net benefit to stakeholders</w:t>
      </w:r>
      <w:r w:rsidR="00F333CB">
        <w:rPr>
          <w:rFonts w:cstheme="minorHAnsi"/>
          <w:color w:val="000000" w:themeColor="text1"/>
          <w:sz w:val="24"/>
          <w:szCs w:val="24"/>
        </w:rPr>
        <w:t>, as well as</w:t>
      </w:r>
      <w:r>
        <w:rPr>
          <w:rFonts w:cstheme="minorHAnsi"/>
          <w:color w:val="000000" w:themeColor="text1"/>
          <w:sz w:val="24"/>
          <w:szCs w:val="24"/>
        </w:rPr>
        <w:t>:</w:t>
      </w:r>
    </w:p>
    <w:p w:rsidR="00014650" w:rsidRPr="00191E09" w:rsidRDefault="00014650" w:rsidP="00A622D8">
      <w:pPr>
        <w:pStyle w:val="ListParagraph"/>
        <w:numPr>
          <w:ilvl w:val="0"/>
          <w:numId w:val="11"/>
        </w:numPr>
        <w:tabs>
          <w:tab w:val="left" w:pos="2127"/>
        </w:tabs>
        <w:spacing w:before="60" w:after="120"/>
        <w:rPr>
          <w:rFonts w:cstheme="minorHAnsi"/>
          <w:color w:val="000000" w:themeColor="text1"/>
          <w:sz w:val="24"/>
          <w:szCs w:val="24"/>
        </w:rPr>
      </w:pPr>
      <w:r w:rsidRPr="00191E09">
        <w:rPr>
          <w:rFonts w:cstheme="minorHAnsi"/>
          <w:sz w:val="24"/>
          <w:szCs w:val="24"/>
        </w:rPr>
        <w:t>a solution to</w:t>
      </w:r>
      <w:r w:rsidR="00386671">
        <w:rPr>
          <w:rFonts w:cstheme="minorHAnsi"/>
          <w:sz w:val="24"/>
          <w:szCs w:val="24"/>
        </w:rPr>
        <w:t xml:space="preserve"> a</w:t>
      </w:r>
      <w:r w:rsidRPr="00191E09">
        <w:rPr>
          <w:rFonts w:cstheme="minorHAnsi"/>
          <w:sz w:val="24"/>
          <w:szCs w:val="24"/>
        </w:rPr>
        <w:t xml:space="preserve"> longstanding and entrenched issue PPMs face in accessing appropriate PII</w:t>
      </w:r>
      <w:r w:rsidR="001C4033" w:rsidRPr="00191E09">
        <w:rPr>
          <w:rFonts w:cstheme="minorHAnsi"/>
          <w:sz w:val="24"/>
          <w:szCs w:val="24"/>
        </w:rPr>
        <w:t xml:space="preserve">, giving </w:t>
      </w:r>
      <w:r w:rsidR="001C4033" w:rsidRPr="00191E09">
        <w:rPr>
          <w:sz w:val="24"/>
          <w:szCs w:val="24"/>
        </w:rPr>
        <w:t>them comfort they are performing as an insured practitioner and meeting their registration standard.</w:t>
      </w:r>
    </w:p>
    <w:p w:rsidR="00F333CB" w:rsidRPr="00191E09" w:rsidRDefault="001C4033" w:rsidP="00A622D8">
      <w:pPr>
        <w:pStyle w:val="ListParagraph"/>
        <w:numPr>
          <w:ilvl w:val="0"/>
          <w:numId w:val="11"/>
        </w:numPr>
        <w:tabs>
          <w:tab w:val="left" w:pos="2127"/>
        </w:tabs>
        <w:spacing w:before="60" w:after="120"/>
        <w:rPr>
          <w:rFonts w:cstheme="minorHAnsi"/>
          <w:sz w:val="24"/>
          <w:szCs w:val="24"/>
        </w:rPr>
      </w:pPr>
      <w:r w:rsidRPr="00191E09">
        <w:rPr>
          <w:rFonts w:cstheme="minorHAnsi"/>
          <w:sz w:val="24"/>
          <w:szCs w:val="24"/>
        </w:rPr>
        <w:t>women would have the choice to birth at home a</w:t>
      </w:r>
      <w:r w:rsidR="00F333CB" w:rsidRPr="00191E09">
        <w:rPr>
          <w:rFonts w:cstheme="minorHAnsi"/>
          <w:sz w:val="24"/>
          <w:szCs w:val="24"/>
        </w:rPr>
        <w:t xml:space="preserve">nd </w:t>
      </w:r>
      <w:r w:rsidRPr="00191E09">
        <w:rPr>
          <w:rFonts w:cstheme="minorHAnsi"/>
          <w:sz w:val="24"/>
          <w:szCs w:val="24"/>
        </w:rPr>
        <w:t xml:space="preserve">their choice of </w:t>
      </w:r>
      <w:r w:rsidR="00F333CB" w:rsidRPr="00191E09">
        <w:rPr>
          <w:rFonts w:cstheme="minorHAnsi"/>
          <w:sz w:val="24"/>
          <w:szCs w:val="24"/>
        </w:rPr>
        <w:t>continuous midwifery care with an insured PPM.</w:t>
      </w:r>
    </w:p>
    <w:p w:rsidR="00F333CB" w:rsidRPr="00191E09" w:rsidRDefault="00F333CB" w:rsidP="00A622D8">
      <w:pPr>
        <w:pStyle w:val="ListParagraph"/>
        <w:numPr>
          <w:ilvl w:val="0"/>
          <w:numId w:val="11"/>
        </w:numPr>
        <w:tabs>
          <w:tab w:val="left" w:pos="2127"/>
        </w:tabs>
        <w:spacing w:before="60" w:after="120"/>
        <w:rPr>
          <w:rFonts w:cstheme="minorHAnsi"/>
          <w:sz w:val="24"/>
          <w:szCs w:val="24"/>
        </w:rPr>
      </w:pPr>
      <w:r w:rsidRPr="00191E09">
        <w:rPr>
          <w:rFonts w:cstheme="minorHAnsi"/>
          <w:sz w:val="24"/>
          <w:szCs w:val="24"/>
        </w:rPr>
        <w:t xml:space="preserve">First Nations women (or women pregnant with a First Nations baby) </w:t>
      </w:r>
      <w:r w:rsidR="001C4033" w:rsidRPr="00191E09">
        <w:rPr>
          <w:rFonts w:cstheme="minorHAnsi"/>
          <w:sz w:val="24"/>
          <w:szCs w:val="24"/>
        </w:rPr>
        <w:t xml:space="preserve">would have </w:t>
      </w:r>
      <w:r w:rsidRPr="00191E09">
        <w:rPr>
          <w:rFonts w:cstheme="minorHAnsi"/>
          <w:sz w:val="24"/>
          <w:szCs w:val="24"/>
        </w:rPr>
        <w:t>access to culturally safe, continuous midwifery care with an insured PPM.</w:t>
      </w:r>
    </w:p>
    <w:p w:rsidR="00014650" w:rsidRPr="00121246" w:rsidRDefault="00086E06" w:rsidP="0058344C">
      <w:pPr>
        <w:pStyle w:val="Heading2"/>
      </w:pPr>
      <w:bookmarkStart w:id="79" w:name="_Toc162017829"/>
      <w:r>
        <w:t>How will it be i</w:t>
      </w:r>
      <w:r w:rsidR="00014650" w:rsidRPr="00121246">
        <w:t>mplement</w:t>
      </w:r>
      <w:r>
        <w:t>ed?</w:t>
      </w:r>
      <w:bookmarkEnd w:id="79"/>
    </w:p>
    <w:p w:rsidR="00E349DF" w:rsidRPr="00E349DF" w:rsidRDefault="00127736" w:rsidP="00A74630">
      <w:pPr>
        <w:spacing w:before="120" w:after="120"/>
        <w:rPr>
          <w:sz w:val="24"/>
          <w:szCs w:val="24"/>
        </w:rPr>
      </w:pPr>
      <w:r>
        <w:rPr>
          <w:sz w:val="24"/>
          <w:szCs w:val="24"/>
        </w:rPr>
        <w:t>A</w:t>
      </w:r>
      <w:r w:rsidR="00E349DF" w:rsidRPr="00E349DF">
        <w:rPr>
          <w:sz w:val="24"/>
          <w:szCs w:val="24"/>
        </w:rPr>
        <w:t xml:space="preserve"> three stage implementation plan demonstrates how the new arrangements will be established and administered.</w:t>
      </w:r>
    </w:p>
    <w:p w:rsidR="00E349DF" w:rsidRPr="00E349DF" w:rsidRDefault="00E349DF" w:rsidP="00A622D8">
      <w:pPr>
        <w:pStyle w:val="ListParagraph"/>
        <w:numPr>
          <w:ilvl w:val="0"/>
          <w:numId w:val="12"/>
        </w:numPr>
        <w:spacing w:before="120"/>
        <w:ind w:left="1077" w:hanging="357"/>
        <w:contextualSpacing w:val="0"/>
        <w:rPr>
          <w:sz w:val="24"/>
          <w:szCs w:val="24"/>
          <w:u w:val="single"/>
        </w:rPr>
      </w:pPr>
      <w:r>
        <w:rPr>
          <w:sz w:val="24"/>
          <w:szCs w:val="24"/>
        </w:rPr>
        <w:t>The department will negotiate and s</w:t>
      </w:r>
      <w:r w:rsidRPr="00E349DF">
        <w:rPr>
          <w:sz w:val="24"/>
          <w:szCs w:val="24"/>
        </w:rPr>
        <w:t xml:space="preserve">ettle details of arrangements with </w:t>
      </w:r>
      <w:r>
        <w:rPr>
          <w:sz w:val="24"/>
          <w:szCs w:val="24"/>
        </w:rPr>
        <w:t xml:space="preserve">the insurer </w:t>
      </w:r>
      <w:r w:rsidRPr="00E349DF">
        <w:rPr>
          <w:sz w:val="24"/>
          <w:szCs w:val="24"/>
        </w:rPr>
        <w:t xml:space="preserve">by </w:t>
      </w:r>
      <w:r w:rsidR="0003296C">
        <w:rPr>
          <w:sz w:val="24"/>
          <w:szCs w:val="24"/>
        </w:rPr>
        <w:t xml:space="preserve">the </w:t>
      </w:r>
      <w:r w:rsidRPr="00E349DF">
        <w:rPr>
          <w:sz w:val="24"/>
          <w:szCs w:val="24"/>
        </w:rPr>
        <w:t>end of 2024 to facilitate development of policies and availability of cover by 1 July 2025.</w:t>
      </w:r>
    </w:p>
    <w:p w:rsidR="00AD4D57" w:rsidRPr="00AD4D57" w:rsidRDefault="00AD4D57" w:rsidP="00A622D8">
      <w:pPr>
        <w:pStyle w:val="ListParagraph"/>
        <w:numPr>
          <w:ilvl w:val="0"/>
          <w:numId w:val="13"/>
        </w:numPr>
        <w:spacing w:before="120"/>
        <w:rPr>
          <w:rFonts w:cstheme="minorHAnsi"/>
          <w:color w:val="000000"/>
          <w:sz w:val="24"/>
          <w:szCs w:val="24"/>
        </w:rPr>
      </w:pPr>
      <w:r w:rsidRPr="00AD4D57">
        <w:rPr>
          <w:rFonts w:cstheme="minorHAnsi"/>
          <w:color w:val="000000"/>
          <w:sz w:val="24"/>
          <w:szCs w:val="24"/>
        </w:rPr>
        <w:t xml:space="preserve">The NMBA will be formally consulted regarding any changes to standards, codes or guidelines </w:t>
      </w:r>
      <w:r w:rsidR="007203FE">
        <w:rPr>
          <w:rFonts w:cstheme="minorHAnsi"/>
          <w:color w:val="000000"/>
          <w:sz w:val="24"/>
          <w:szCs w:val="24"/>
        </w:rPr>
        <w:t>that regulate the practice of a PPM conducting homebirth services</w:t>
      </w:r>
      <w:r w:rsidRPr="00AD4D57">
        <w:rPr>
          <w:rFonts w:cstheme="minorHAnsi"/>
          <w:color w:val="000000"/>
          <w:sz w:val="24"/>
          <w:szCs w:val="24"/>
        </w:rPr>
        <w:t xml:space="preserve"> to effect the reform.</w:t>
      </w:r>
    </w:p>
    <w:p w:rsidR="00AD4D57" w:rsidRPr="00AD4D57" w:rsidRDefault="00AD4D57" w:rsidP="00A622D8">
      <w:pPr>
        <w:pStyle w:val="ListParagraph"/>
        <w:numPr>
          <w:ilvl w:val="0"/>
          <w:numId w:val="13"/>
        </w:numPr>
        <w:ind w:left="1434" w:hanging="357"/>
        <w:contextualSpacing w:val="0"/>
        <w:rPr>
          <w:sz w:val="24"/>
          <w:szCs w:val="24"/>
        </w:rPr>
      </w:pPr>
      <w:r w:rsidRPr="00AD4D57">
        <w:rPr>
          <w:sz w:val="24"/>
          <w:szCs w:val="24"/>
        </w:rPr>
        <w:t>Other stakeholder groups such as Homebirth Australia, the Australian College of Midwives, and other advocacy and consumer representative groups will be engaged with information on the proposed product, low risk definition</w:t>
      </w:r>
      <w:r>
        <w:rPr>
          <w:sz w:val="24"/>
          <w:szCs w:val="24"/>
        </w:rPr>
        <w:t>,</w:t>
      </w:r>
      <w:r w:rsidRPr="00AD4D57">
        <w:rPr>
          <w:sz w:val="24"/>
          <w:szCs w:val="24"/>
        </w:rPr>
        <w:t xml:space="preserve"> and changes to practice standards </w:t>
      </w:r>
      <w:r>
        <w:rPr>
          <w:sz w:val="24"/>
          <w:szCs w:val="24"/>
        </w:rPr>
        <w:t xml:space="preserve">that no longer include the </w:t>
      </w:r>
      <w:r w:rsidRPr="00AD4D57">
        <w:rPr>
          <w:sz w:val="24"/>
          <w:szCs w:val="24"/>
        </w:rPr>
        <w:t>exemption.</w:t>
      </w:r>
    </w:p>
    <w:p w:rsidR="00AD4D57" w:rsidRPr="00E349DF" w:rsidRDefault="00127736" w:rsidP="00A622D8">
      <w:pPr>
        <w:pStyle w:val="ListParagraph"/>
        <w:numPr>
          <w:ilvl w:val="0"/>
          <w:numId w:val="12"/>
        </w:numPr>
        <w:spacing w:before="120"/>
        <w:contextualSpacing w:val="0"/>
        <w:rPr>
          <w:sz w:val="24"/>
          <w:szCs w:val="24"/>
        </w:rPr>
      </w:pPr>
      <w:r w:rsidRPr="00E349DF">
        <w:rPr>
          <w:sz w:val="24"/>
          <w:szCs w:val="24"/>
        </w:rPr>
        <w:t>The exemption in the National Law will be removed by 1 July 2025</w:t>
      </w:r>
      <w:r>
        <w:rPr>
          <w:sz w:val="24"/>
          <w:szCs w:val="24"/>
        </w:rPr>
        <w:t xml:space="preserve">. </w:t>
      </w:r>
      <w:r w:rsidR="00AD4D57" w:rsidRPr="00E349DF">
        <w:rPr>
          <w:sz w:val="24"/>
          <w:szCs w:val="24"/>
        </w:rPr>
        <w:t xml:space="preserve">From </w:t>
      </w:r>
      <w:r>
        <w:rPr>
          <w:sz w:val="24"/>
          <w:szCs w:val="24"/>
        </w:rPr>
        <w:br/>
      </w:r>
      <w:r w:rsidR="00AD4D57">
        <w:rPr>
          <w:sz w:val="24"/>
          <w:szCs w:val="24"/>
        </w:rPr>
        <w:t xml:space="preserve">1 July 2025, </w:t>
      </w:r>
      <w:r w:rsidR="00AD4D57" w:rsidRPr="00E349DF">
        <w:rPr>
          <w:sz w:val="24"/>
          <w:szCs w:val="24"/>
        </w:rPr>
        <w:t>all endorsed PPMs should be able to offer insured low risk homebirth and intrapartum services out of hospital if they wish to do so.</w:t>
      </w:r>
    </w:p>
    <w:p w:rsidR="00AD4D57" w:rsidRDefault="00AD4D57" w:rsidP="00A622D8">
      <w:pPr>
        <w:pStyle w:val="ListParagraph"/>
        <w:numPr>
          <w:ilvl w:val="0"/>
          <w:numId w:val="12"/>
        </w:numPr>
        <w:spacing w:before="120"/>
        <w:ind w:left="1077" w:hanging="357"/>
        <w:contextualSpacing w:val="0"/>
        <w:rPr>
          <w:rFonts w:cstheme="minorHAnsi"/>
          <w:sz w:val="24"/>
          <w:szCs w:val="24"/>
        </w:rPr>
      </w:pPr>
      <w:r w:rsidRPr="00E349DF">
        <w:rPr>
          <w:rFonts w:cstheme="minorHAnsi"/>
          <w:color w:val="000000"/>
          <w:sz w:val="24"/>
          <w:szCs w:val="24"/>
        </w:rPr>
        <w:t>The final stage of implementation (202</w:t>
      </w:r>
      <w:r w:rsidR="0003296C">
        <w:rPr>
          <w:rFonts w:cstheme="minorHAnsi"/>
          <w:color w:val="000000"/>
          <w:sz w:val="24"/>
          <w:szCs w:val="24"/>
        </w:rPr>
        <w:t>9</w:t>
      </w:r>
      <w:r w:rsidRPr="00E349DF">
        <w:rPr>
          <w:rFonts w:cstheme="minorHAnsi"/>
          <w:color w:val="000000"/>
          <w:sz w:val="24"/>
          <w:szCs w:val="24"/>
        </w:rPr>
        <w:t xml:space="preserve">-30) will involve evaluation of the ongoing </w:t>
      </w:r>
      <w:r w:rsidRPr="00E349DF">
        <w:rPr>
          <w:rFonts w:cstheme="minorHAnsi"/>
          <w:sz w:val="24"/>
          <w:szCs w:val="24"/>
        </w:rPr>
        <w:t xml:space="preserve">need for Government to carry the full risk (when the contract for administration of the Schemes will next be put to market) by which time there would be a clearer indication of trends in claims and costs to inform insurer interest and risk appetite.  </w:t>
      </w:r>
    </w:p>
    <w:p w:rsidR="00CA2D12" w:rsidRDefault="00CA2D12" w:rsidP="005A0176">
      <w:pPr>
        <w:tabs>
          <w:tab w:val="left" w:pos="2127"/>
        </w:tabs>
        <w:ind w:left="1077"/>
        <w:rPr>
          <w:rFonts w:cstheme="minorHAnsi"/>
          <w:sz w:val="24"/>
          <w:szCs w:val="24"/>
        </w:rPr>
      </w:pPr>
      <w:r w:rsidRPr="005A0176">
        <w:rPr>
          <w:rFonts w:cstheme="minorHAnsi"/>
          <w:sz w:val="24"/>
          <w:szCs w:val="24"/>
        </w:rPr>
        <w:t xml:space="preserve">The Department may choose to retest the market prior to the end date of the </w:t>
      </w:r>
      <w:r w:rsidR="0003296C">
        <w:rPr>
          <w:rFonts w:cstheme="minorHAnsi"/>
          <w:sz w:val="24"/>
          <w:szCs w:val="24"/>
        </w:rPr>
        <w:t xml:space="preserve">new </w:t>
      </w:r>
      <w:r w:rsidRPr="005A0176">
        <w:rPr>
          <w:rFonts w:cstheme="minorHAnsi"/>
          <w:sz w:val="24"/>
          <w:szCs w:val="24"/>
        </w:rPr>
        <w:t>contract</w:t>
      </w:r>
      <w:r w:rsidR="00395973">
        <w:rPr>
          <w:rFonts w:cstheme="minorHAnsi"/>
          <w:sz w:val="24"/>
          <w:szCs w:val="24"/>
        </w:rPr>
        <w:t xml:space="preserve">, which </w:t>
      </w:r>
      <w:r w:rsidRPr="005A0176">
        <w:rPr>
          <w:rFonts w:cstheme="minorHAnsi"/>
          <w:sz w:val="24"/>
          <w:szCs w:val="24"/>
        </w:rPr>
        <w:t xml:space="preserve">may involve putting the full insurance services out to tender. Given it is a relatively small market, the market is unlikely to support a second provider. </w:t>
      </w:r>
    </w:p>
    <w:p w:rsidR="00086E06" w:rsidRDefault="00086E06" w:rsidP="0058344C">
      <w:pPr>
        <w:pStyle w:val="Heading2"/>
      </w:pPr>
      <w:bookmarkStart w:id="80" w:name="_Toc162017830"/>
      <w:r>
        <w:t>What are the risks of implementation?</w:t>
      </w:r>
      <w:bookmarkEnd w:id="80"/>
    </w:p>
    <w:p w:rsidR="00086E06" w:rsidRPr="005A0176" w:rsidRDefault="002F2922" w:rsidP="004359E7">
      <w:pPr>
        <w:tabs>
          <w:tab w:val="left" w:pos="2127"/>
        </w:tabs>
        <w:ind w:left="567"/>
        <w:rPr>
          <w:rFonts w:cstheme="minorHAnsi"/>
          <w:sz w:val="24"/>
          <w:szCs w:val="24"/>
        </w:rPr>
      </w:pPr>
      <w:r w:rsidRPr="002F2922">
        <w:rPr>
          <w:rFonts w:cstheme="minorHAnsi"/>
          <w:sz w:val="24"/>
          <w:szCs w:val="24"/>
        </w:rPr>
        <w:t xml:space="preserve">While Option 2 has been determined the most suitable from those considered, it is not without challenges and risks. These are outlined below, including an explanation of how they are being monitored and accommodated within the implementation approach. </w:t>
      </w:r>
    </w:p>
    <w:p w:rsidR="005B3812" w:rsidRPr="00121246" w:rsidRDefault="004359E7" w:rsidP="00121246">
      <w:pPr>
        <w:rPr>
          <w:color w:val="1F4E79"/>
          <w:sz w:val="32"/>
          <w:szCs w:val="32"/>
        </w:rPr>
      </w:pPr>
      <w:r>
        <w:rPr>
          <w:color w:val="1F4E79"/>
          <w:sz w:val="32"/>
          <w:szCs w:val="32"/>
        </w:rPr>
        <w:t>Option 2</w:t>
      </w:r>
      <w:r w:rsidR="00A77607" w:rsidRPr="00121246">
        <w:rPr>
          <w:color w:val="1F4E79"/>
          <w:sz w:val="32"/>
          <w:szCs w:val="32"/>
        </w:rPr>
        <w:t xml:space="preserve"> p</w:t>
      </w:r>
      <w:r w:rsidR="005B3812" w:rsidRPr="00121246">
        <w:rPr>
          <w:color w:val="1F4E79"/>
          <w:sz w:val="32"/>
          <w:szCs w:val="32"/>
        </w:rPr>
        <w:t>olicy objective</w:t>
      </w:r>
    </w:p>
    <w:p w:rsidR="005B3812" w:rsidRPr="003968FD" w:rsidRDefault="005B3812" w:rsidP="000B3074">
      <w:pPr>
        <w:tabs>
          <w:tab w:val="left" w:pos="2127"/>
        </w:tabs>
        <w:ind w:left="567"/>
        <w:rPr>
          <w:rFonts w:cstheme="minorHAnsi"/>
          <w:sz w:val="24"/>
          <w:szCs w:val="24"/>
        </w:rPr>
      </w:pPr>
      <w:r w:rsidRPr="003968FD">
        <w:rPr>
          <w:rFonts w:cstheme="minorHAnsi"/>
          <w:sz w:val="24"/>
          <w:szCs w:val="24"/>
        </w:rPr>
        <w:t>Ensure that PPMs can provide low-risk homebirth intrapartum care services with professional indemnity insurance coverage</w:t>
      </w:r>
      <w:r w:rsidR="009F0CD8" w:rsidRPr="003968FD">
        <w:rPr>
          <w:rFonts w:cstheme="minorHAnsi"/>
          <w:sz w:val="24"/>
          <w:szCs w:val="24"/>
        </w:rPr>
        <w:t>.</w:t>
      </w:r>
    </w:p>
    <w:p w:rsidR="00650F33" w:rsidRDefault="0041201D" w:rsidP="004359E7">
      <w:pPr>
        <w:tabs>
          <w:tab w:val="left" w:pos="2127"/>
        </w:tabs>
        <w:ind w:left="567"/>
        <w:rPr>
          <w:rFonts w:cstheme="minorHAnsi"/>
          <w:sz w:val="24"/>
          <w:szCs w:val="24"/>
        </w:rPr>
      </w:pPr>
      <w:r w:rsidRPr="003968FD">
        <w:rPr>
          <w:rFonts w:cstheme="minorHAnsi"/>
          <w:sz w:val="24"/>
          <w:szCs w:val="24"/>
        </w:rPr>
        <w:t xml:space="preserve">There is published evidence to indicate the low rate of adverse events. </w:t>
      </w:r>
      <w:r w:rsidR="005A0176">
        <w:rPr>
          <w:rFonts w:cstheme="minorHAnsi"/>
          <w:sz w:val="24"/>
          <w:szCs w:val="24"/>
        </w:rPr>
        <w:br/>
      </w:r>
      <w:r w:rsidRPr="003968FD">
        <w:rPr>
          <w:rFonts w:cstheme="minorHAnsi"/>
          <w:sz w:val="24"/>
          <w:szCs w:val="24"/>
        </w:rPr>
        <w:t>Davis-Tuck et al in BMC Pregnancy and Childbirth (2018) studied trends in planned private homebirth in Victoria, Australia from 2000 – 2015, and concluded that “planned homebirth attended by a registered midwife was associated with very low and comparable rates of perinatal death and lower rates of obstetric interventions and other adverse perinatal outcomes compared with planned hospital birth atten</w:t>
      </w:r>
      <w:r w:rsidR="004359E7">
        <w:rPr>
          <w:rFonts w:cstheme="minorHAnsi"/>
          <w:sz w:val="24"/>
          <w:szCs w:val="24"/>
        </w:rPr>
        <w:t>ded by a midwife or physician”.</w:t>
      </w:r>
    </w:p>
    <w:p w:rsidR="005B3812" w:rsidRPr="004359E7" w:rsidRDefault="00650F33" w:rsidP="00650F33">
      <w:pPr>
        <w:tabs>
          <w:tab w:val="left" w:pos="2127"/>
        </w:tabs>
        <w:spacing w:after="0"/>
        <w:ind w:left="567"/>
        <w:rPr>
          <w:rFonts w:cstheme="minorHAnsi"/>
          <w:sz w:val="24"/>
          <w:szCs w:val="24"/>
        </w:rPr>
      </w:pPr>
      <w:r>
        <w:rPr>
          <w:color w:val="1F4E79"/>
          <w:sz w:val="28"/>
          <w:szCs w:val="28"/>
        </w:rPr>
        <w:t>Target</w:t>
      </w:r>
    </w:p>
    <w:p w:rsidR="005B3812" w:rsidRPr="003968FD" w:rsidRDefault="005B3812" w:rsidP="000B3074">
      <w:pPr>
        <w:tabs>
          <w:tab w:val="left" w:pos="2127"/>
        </w:tabs>
        <w:ind w:left="567"/>
        <w:rPr>
          <w:rFonts w:cstheme="minorHAnsi"/>
          <w:sz w:val="24"/>
          <w:szCs w:val="24"/>
        </w:rPr>
      </w:pPr>
      <w:r w:rsidRPr="003968FD">
        <w:rPr>
          <w:rFonts w:cstheme="minorHAnsi"/>
          <w:sz w:val="24"/>
          <w:szCs w:val="24"/>
        </w:rPr>
        <w:t xml:space="preserve">All endorsed PPMs can offer insured </w:t>
      </w:r>
      <w:r w:rsidR="00CC5D4F">
        <w:rPr>
          <w:rFonts w:cstheme="minorHAnsi"/>
          <w:sz w:val="24"/>
          <w:szCs w:val="24"/>
        </w:rPr>
        <w:t xml:space="preserve">low risk </w:t>
      </w:r>
      <w:r w:rsidRPr="003968FD">
        <w:rPr>
          <w:rFonts w:cstheme="minorHAnsi"/>
          <w:sz w:val="24"/>
          <w:szCs w:val="24"/>
        </w:rPr>
        <w:t>homebirth</w:t>
      </w:r>
      <w:r w:rsidR="00CC5D4F">
        <w:rPr>
          <w:rFonts w:cstheme="minorHAnsi"/>
          <w:sz w:val="24"/>
          <w:szCs w:val="24"/>
        </w:rPr>
        <w:t xml:space="preserve"> services and </w:t>
      </w:r>
      <w:r w:rsidRPr="003968FD">
        <w:rPr>
          <w:rFonts w:cstheme="minorHAnsi"/>
          <w:sz w:val="24"/>
          <w:szCs w:val="24"/>
        </w:rPr>
        <w:t>intra</w:t>
      </w:r>
      <w:r w:rsidR="0091188B" w:rsidRPr="003968FD">
        <w:rPr>
          <w:rFonts w:cstheme="minorHAnsi"/>
          <w:sz w:val="24"/>
          <w:szCs w:val="24"/>
        </w:rPr>
        <w:t xml:space="preserve">partum </w:t>
      </w:r>
      <w:r w:rsidR="00CC5D4F">
        <w:rPr>
          <w:rFonts w:cstheme="minorHAnsi"/>
          <w:sz w:val="24"/>
          <w:szCs w:val="24"/>
        </w:rPr>
        <w:t xml:space="preserve">(labour) care outside a hospital </w:t>
      </w:r>
      <w:r w:rsidR="0091188B" w:rsidRPr="003968FD">
        <w:rPr>
          <w:rFonts w:cstheme="minorHAnsi"/>
          <w:sz w:val="24"/>
          <w:szCs w:val="24"/>
        </w:rPr>
        <w:t>services from 1 July 2025</w:t>
      </w:r>
      <w:r w:rsidRPr="003968FD">
        <w:rPr>
          <w:rFonts w:cstheme="minorHAnsi"/>
          <w:sz w:val="24"/>
          <w:szCs w:val="24"/>
        </w:rPr>
        <w:t>.</w:t>
      </w:r>
    </w:p>
    <w:p w:rsidR="005B3812" w:rsidRPr="00121246" w:rsidRDefault="005B3812" w:rsidP="00650F33">
      <w:pPr>
        <w:spacing w:after="0"/>
        <w:rPr>
          <w:color w:val="1F4E79"/>
          <w:sz w:val="32"/>
          <w:szCs w:val="32"/>
        </w:rPr>
      </w:pPr>
      <w:r w:rsidRPr="00121246">
        <w:rPr>
          <w:color w:val="1F4E79"/>
          <w:sz w:val="32"/>
          <w:szCs w:val="32"/>
        </w:rPr>
        <w:t>Milestones and deliverables</w:t>
      </w:r>
    </w:p>
    <w:p w:rsidR="005B3812" w:rsidRPr="003968FD" w:rsidRDefault="005B3812" w:rsidP="000B3074">
      <w:pPr>
        <w:tabs>
          <w:tab w:val="left" w:pos="2127"/>
        </w:tabs>
        <w:ind w:left="567"/>
        <w:rPr>
          <w:rFonts w:cstheme="minorHAnsi"/>
          <w:sz w:val="24"/>
          <w:szCs w:val="24"/>
        </w:rPr>
      </w:pPr>
      <w:r w:rsidRPr="003968FD">
        <w:rPr>
          <w:rFonts w:cstheme="minorHAnsi"/>
          <w:sz w:val="24"/>
          <w:szCs w:val="24"/>
        </w:rPr>
        <w:t xml:space="preserve">Obtain insurer commitment for a </w:t>
      </w:r>
      <w:r w:rsidR="0003296C">
        <w:rPr>
          <w:rFonts w:cstheme="minorHAnsi"/>
          <w:sz w:val="24"/>
          <w:szCs w:val="24"/>
        </w:rPr>
        <w:t xml:space="preserve">low-risk </w:t>
      </w:r>
      <w:r w:rsidRPr="003968FD">
        <w:rPr>
          <w:rFonts w:cstheme="minorHAnsi"/>
          <w:sz w:val="24"/>
          <w:szCs w:val="24"/>
        </w:rPr>
        <w:t xml:space="preserve">homebirth </w:t>
      </w:r>
      <w:r w:rsidR="0003296C">
        <w:rPr>
          <w:rFonts w:cstheme="minorHAnsi"/>
          <w:sz w:val="24"/>
          <w:szCs w:val="24"/>
        </w:rPr>
        <w:t>and intrapartum (</w:t>
      </w:r>
      <w:r w:rsidR="009C60D4">
        <w:rPr>
          <w:rFonts w:cstheme="minorHAnsi"/>
          <w:sz w:val="24"/>
          <w:szCs w:val="24"/>
        </w:rPr>
        <w:t>labour)</w:t>
      </w:r>
      <w:r w:rsidR="0003296C">
        <w:rPr>
          <w:rFonts w:cstheme="minorHAnsi"/>
          <w:sz w:val="24"/>
          <w:szCs w:val="24"/>
        </w:rPr>
        <w:t xml:space="preserve"> care outside a hospital </w:t>
      </w:r>
      <w:r w:rsidRPr="003968FD">
        <w:rPr>
          <w:rFonts w:cstheme="minorHAnsi"/>
          <w:sz w:val="24"/>
          <w:szCs w:val="24"/>
        </w:rPr>
        <w:t xml:space="preserve">product by September 2023. </w:t>
      </w:r>
    </w:p>
    <w:p w:rsidR="005B3812" w:rsidRPr="003968FD" w:rsidRDefault="005B3812" w:rsidP="000B3074">
      <w:pPr>
        <w:tabs>
          <w:tab w:val="left" w:pos="2127"/>
        </w:tabs>
        <w:ind w:left="567"/>
        <w:rPr>
          <w:rFonts w:cstheme="minorHAnsi"/>
          <w:sz w:val="24"/>
          <w:szCs w:val="24"/>
        </w:rPr>
      </w:pPr>
      <w:r w:rsidRPr="003968FD">
        <w:rPr>
          <w:rFonts w:cstheme="minorHAnsi"/>
          <w:sz w:val="24"/>
          <w:szCs w:val="24"/>
        </w:rPr>
        <w:t xml:space="preserve">Establish </w:t>
      </w:r>
      <w:r w:rsidR="0003296C">
        <w:rPr>
          <w:rFonts w:cstheme="minorHAnsi"/>
          <w:sz w:val="24"/>
          <w:szCs w:val="24"/>
        </w:rPr>
        <w:t xml:space="preserve">a </w:t>
      </w:r>
      <w:r w:rsidRPr="003968FD">
        <w:rPr>
          <w:rFonts w:cstheme="minorHAnsi"/>
          <w:sz w:val="24"/>
          <w:szCs w:val="24"/>
        </w:rPr>
        <w:t xml:space="preserve">new contract with the existing insurer to continue the existing services as well as commence new low risk homebirth intrapartum services </w:t>
      </w:r>
      <w:r w:rsidR="009C60D4">
        <w:rPr>
          <w:rFonts w:cstheme="minorHAnsi"/>
          <w:sz w:val="24"/>
          <w:szCs w:val="24"/>
        </w:rPr>
        <w:t xml:space="preserve">and intrapartum care outside a hospital services </w:t>
      </w:r>
      <w:r w:rsidRPr="003968FD">
        <w:rPr>
          <w:rFonts w:cstheme="minorHAnsi"/>
          <w:sz w:val="24"/>
          <w:szCs w:val="24"/>
        </w:rPr>
        <w:t xml:space="preserve">by </w:t>
      </w:r>
      <w:r w:rsidR="009C60D4">
        <w:rPr>
          <w:rFonts w:cstheme="minorHAnsi"/>
          <w:sz w:val="24"/>
          <w:szCs w:val="24"/>
        </w:rPr>
        <w:t>February</w:t>
      </w:r>
      <w:r w:rsidR="0003296C">
        <w:rPr>
          <w:rFonts w:cstheme="minorHAnsi"/>
          <w:sz w:val="24"/>
          <w:szCs w:val="24"/>
        </w:rPr>
        <w:t xml:space="preserve"> 2025</w:t>
      </w:r>
      <w:r w:rsidRPr="003968FD">
        <w:rPr>
          <w:rFonts w:cstheme="minorHAnsi"/>
          <w:sz w:val="24"/>
          <w:szCs w:val="24"/>
        </w:rPr>
        <w:t>.</w:t>
      </w:r>
    </w:p>
    <w:p w:rsidR="005B3812" w:rsidRPr="003968FD" w:rsidRDefault="005B3812" w:rsidP="000B3074">
      <w:pPr>
        <w:tabs>
          <w:tab w:val="left" w:pos="2127"/>
        </w:tabs>
        <w:ind w:left="567"/>
        <w:rPr>
          <w:rFonts w:cstheme="minorHAnsi"/>
          <w:sz w:val="24"/>
          <w:szCs w:val="24"/>
        </w:rPr>
      </w:pPr>
      <w:r w:rsidRPr="003968FD">
        <w:rPr>
          <w:rFonts w:cstheme="minorHAnsi"/>
          <w:sz w:val="24"/>
          <w:szCs w:val="24"/>
        </w:rPr>
        <w:t xml:space="preserve">Insurer commences selling insurance policies for </w:t>
      </w:r>
      <w:r w:rsidR="009C60D4">
        <w:rPr>
          <w:rFonts w:cstheme="minorHAnsi"/>
          <w:sz w:val="24"/>
          <w:szCs w:val="24"/>
        </w:rPr>
        <w:t>the new products</w:t>
      </w:r>
      <w:r w:rsidR="0091188B" w:rsidRPr="003968FD">
        <w:rPr>
          <w:rFonts w:cstheme="minorHAnsi"/>
          <w:sz w:val="24"/>
          <w:szCs w:val="24"/>
        </w:rPr>
        <w:t xml:space="preserve"> from March 2025</w:t>
      </w:r>
      <w:r w:rsidRPr="003968FD">
        <w:rPr>
          <w:rFonts w:cstheme="minorHAnsi"/>
          <w:sz w:val="24"/>
          <w:szCs w:val="24"/>
        </w:rPr>
        <w:t>, to</w:t>
      </w:r>
      <w:r w:rsidR="0091188B" w:rsidRPr="003968FD">
        <w:rPr>
          <w:rFonts w:cstheme="minorHAnsi"/>
          <w:sz w:val="24"/>
          <w:szCs w:val="24"/>
        </w:rPr>
        <w:t xml:space="preserve"> take effect from 1 July 2025</w:t>
      </w:r>
      <w:r w:rsidRPr="003968FD">
        <w:rPr>
          <w:rFonts w:cstheme="minorHAnsi"/>
          <w:sz w:val="24"/>
          <w:szCs w:val="24"/>
        </w:rPr>
        <w:t>.</w:t>
      </w:r>
    </w:p>
    <w:p w:rsidR="005B3812" w:rsidRPr="00121246" w:rsidRDefault="005B3812" w:rsidP="00650F33">
      <w:pPr>
        <w:spacing w:after="0"/>
        <w:rPr>
          <w:color w:val="1F4E79"/>
          <w:sz w:val="32"/>
          <w:szCs w:val="32"/>
        </w:rPr>
      </w:pPr>
      <w:r w:rsidRPr="00121246">
        <w:rPr>
          <w:color w:val="1F4E79"/>
          <w:sz w:val="32"/>
          <w:szCs w:val="32"/>
        </w:rPr>
        <w:t>Metrics and outcomes</w:t>
      </w:r>
    </w:p>
    <w:p w:rsidR="005B3812" w:rsidRPr="003968FD" w:rsidRDefault="0091188B" w:rsidP="000B3074">
      <w:pPr>
        <w:tabs>
          <w:tab w:val="left" w:pos="2127"/>
        </w:tabs>
        <w:ind w:left="567"/>
        <w:rPr>
          <w:rFonts w:cstheme="minorHAnsi"/>
          <w:sz w:val="24"/>
          <w:szCs w:val="24"/>
        </w:rPr>
      </w:pPr>
      <w:r w:rsidRPr="003968FD">
        <w:rPr>
          <w:rFonts w:cstheme="minorHAnsi"/>
          <w:sz w:val="24"/>
          <w:szCs w:val="24"/>
        </w:rPr>
        <w:t>From 1 July 2025</w:t>
      </w:r>
      <w:r w:rsidR="005B3812" w:rsidRPr="003968FD">
        <w:rPr>
          <w:rFonts w:cstheme="minorHAnsi"/>
          <w:sz w:val="24"/>
          <w:szCs w:val="24"/>
        </w:rPr>
        <w:t xml:space="preserve">, all endorsed PPMs </w:t>
      </w:r>
      <w:r w:rsidR="002B3D82" w:rsidRPr="003968FD">
        <w:rPr>
          <w:rFonts w:cstheme="minorHAnsi"/>
          <w:sz w:val="24"/>
          <w:szCs w:val="24"/>
        </w:rPr>
        <w:t>are able to</w:t>
      </w:r>
      <w:r w:rsidR="005B3812" w:rsidRPr="003968FD">
        <w:rPr>
          <w:rFonts w:cstheme="minorHAnsi"/>
          <w:sz w:val="24"/>
          <w:szCs w:val="24"/>
        </w:rPr>
        <w:t xml:space="preserve"> offer insured homebirth intrapartum services if they wish to do so.</w:t>
      </w:r>
    </w:p>
    <w:p w:rsidR="003428A8" w:rsidRDefault="005B3812" w:rsidP="000B3074">
      <w:pPr>
        <w:tabs>
          <w:tab w:val="left" w:pos="2127"/>
        </w:tabs>
        <w:ind w:left="567"/>
        <w:rPr>
          <w:rFonts w:cstheme="minorHAnsi"/>
          <w:sz w:val="24"/>
          <w:szCs w:val="24"/>
        </w:rPr>
      </w:pPr>
      <w:r w:rsidRPr="003968FD">
        <w:rPr>
          <w:rFonts w:cstheme="minorHAnsi"/>
          <w:sz w:val="24"/>
          <w:szCs w:val="24"/>
        </w:rPr>
        <w:t xml:space="preserve">The exemption in the National Law </w:t>
      </w:r>
      <w:r w:rsidR="002B3D82" w:rsidRPr="003968FD">
        <w:rPr>
          <w:rFonts w:cstheme="minorHAnsi"/>
          <w:sz w:val="24"/>
          <w:szCs w:val="24"/>
        </w:rPr>
        <w:t>is</w:t>
      </w:r>
      <w:r w:rsidRPr="003968FD">
        <w:rPr>
          <w:rFonts w:cstheme="minorHAnsi"/>
          <w:sz w:val="24"/>
          <w:szCs w:val="24"/>
        </w:rPr>
        <w:t xml:space="preserve"> removed which will </w:t>
      </w:r>
      <w:r w:rsidR="000B6377">
        <w:rPr>
          <w:rFonts w:cstheme="minorHAnsi"/>
          <w:sz w:val="24"/>
          <w:szCs w:val="24"/>
        </w:rPr>
        <w:t>mean</w:t>
      </w:r>
      <w:r w:rsidR="002B3D82" w:rsidRPr="003968FD">
        <w:rPr>
          <w:rFonts w:cstheme="minorHAnsi"/>
          <w:sz w:val="24"/>
          <w:szCs w:val="24"/>
        </w:rPr>
        <w:t xml:space="preserve"> that </w:t>
      </w:r>
      <w:r w:rsidRPr="003968FD">
        <w:rPr>
          <w:rFonts w:cstheme="minorHAnsi"/>
          <w:sz w:val="24"/>
          <w:szCs w:val="24"/>
        </w:rPr>
        <w:t>all registered health professionals hold insurance</w:t>
      </w:r>
      <w:r w:rsidR="00F35C51">
        <w:rPr>
          <w:rFonts w:cstheme="minorHAnsi"/>
          <w:sz w:val="24"/>
          <w:szCs w:val="24"/>
        </w:rPr>
        <w:t>.</w:t>
      </w:r>
    </w:p>
    <w:p w:rsidR="003428A8" w:rsidRPr="00522663" w:rsidRDefault="00086E06" w:rsidP="00FB7E02">
      <w:pPr>
        <w:pStyle w:val="Heading1"/>
      </w:pPr>
      <w:bookmarkStart w:id="81" w:name="_Toc162017831"/>
      <w:r>
        <w:t>7.</w:t>
      </w:r>
      <w:r w:rsidR="00FB7E02">
        <w:t xml:space="preserve"> </w:t>
      </w:r>
      <w:r>
        <w:t>How will you evaluate your chosen option?</w:t>
      </w:r>
      <w:bookmarkEnd w:id="81"/>
    </w:p>
    <w:p w:rsidR="00A1486F" w:rsidRPr="00121246" w:rsidRDefault="00E53ACA" w:rsidP="0058344C">
      <w:pPr>
        <w:pStyle w:val="Heading2"/>
      </w:pPr>
      <w:bookmarkStart w:id="82" w:name="_Toc162017832"/>
      <w:r>
        <w:t>P</w:t>
      </w:r>
      <w:r w:rsidR="00A1486F" w:rsidRPr="00121246">
        <w:t>urpose</w:t>
      </w:r>
      <w:bookmarkEnd w:id="82"/>
    </w:p>
    <w:p w:rsidR="0090257A" w:rsidRDefault="00336479" w:rsidP="0090257A">
      <w:pPr>
        <w:tabs>
          <w:tab w:val="left" w:pos="2127"/>
        </w:tabs>
        <w:ind w:left="567"/>
        <w:rPr>
          <w:rFonts w:cstheme="minorHAnsi"/>
          <w:color w:val="000000" w:themeColor="text1"/>
          <w:sz w:val="24"/>
          <w:szCs w:val="24"/>
        </w:rPr>
      </w:pPr>
      <w:r w:rsidRPr="003968FD">
        <w:rPr>
          <w:rFonts w:cstheme="minorHAnsi"/>
          <w:color w:val="000000" w:themeColor="text1"/>
          <w:sz w:val="24"/>
          <w:szCs w:val="24"/>
        </w:rPr>
        <w:t>The new service</w:t>
      </w:r>
      <w:r w:rsidR="005A594C">
        <w:rPr>
          <w:rFonts w:cstheme="minorHAnsi"/>
          <w:color w:val="000000" w:themeColor="text1"/>
          <w:sz w:val="24"/>
          <w:szCs w:val="24"/>
        </w:rPr>
        <w:t>s</w:t>
      </w:r>
      <w:r w:rsidRPr="003968FD">
        <w:rPr>
          <w:rFonts w:cstheme="minorHAnsi"/>
          <w:color w:val="000000" w:themeColor="text1"/>
          <w:sz w:val="24"/>
          <w:szCs w:val="24"/>
        </w:rPr>
        <w:t xml:space="preserve"> will be independently evaluated </w:t>
      </w:r>
      <w:r w:rsidR="007203FE">
        <w:rPr>
          <w:rFonts w:cstheme="minorHAnsi"/>
          <w:color w:val="000000" w:themeColor="text1"/>
          <w:sz w:val="24"/>
          <w:szCs w:val="24"/>
        </w:rPr>
        <w:t xml:space="preserve">prior to </w:t>
      </w:r>
      <w:r w:rsidR="00F03AAA">
        <w:rPr>
          <w:rFonts w:cstheme="minorHAnsi"/>
          <w:color w:val="000000" w:themeColor="text1"/>
          <w:sz w:val="24"/>
          <w:szCs w:val="24"/>
        </w:rPr>
        <w:t>202</w:t>
      </w:r>
      <w:r w:rsidR="009C60D4">
        <w:rPr>
          <w:rFonts w:cstheme="minorHAnsi"/>
          <w:color w:val="000000" w:themeColor="text1"/>
          <w:sz w:val="24"/>
          <w:szCs w:val="24"/>
        </w:rPr>
        <w:t>9</w:t>
      </w:r>
      <w:r w:rsidR="00F03AAA">
        <w:rPr>
          <w:rFonts w:cstheme="minorHAnsi"/>
          <w:color w:val="000000" w:themeColor="text1"/>
          <w:sz w:val="24"/>
          <w:szCs w:val="24"/>
        </w:rPr>
        <w:t>-30</w:t>
      </w:r>
      <w:r w:rsidRPr="003968FD">
        <w:rPr>
          <w:rFonts w:cstheme="minorHAnsi"/>
          <w:color w:val="000000" w:themeColor="text1"/>
          <w:sz w:val="24"/>
          <w:szCs w:val="24"/>
        </w:rPr>
        <w:t xml:space="preserve"> </w:t>
      </w:r>
      <w:r w:rsidR="00F03AAA" w:rsidRPr="005C7436">
        <w:rPr>
          <w:rFonts w:cstheme="minorHAnsi"/>
          <w:sz w:val="24"/>
          <w:szCs w:val="24"/>
        </w:rPr>
        <w:t>(when the contract for administration of the Schemes will next be put to market)</w:t>
      </w:r>
      <w:r w:rsidR="00F03AAA">
        <w:rPr>
          <w:rFonts w:cstheme="minorHAnsi"/>
          <w:sz w:val="24"/>
          <w:szCs w:val="24"/>
        </w:rPr>
        <w:t xml:space="preserve"> </w:t>
      </w:r>
      <w:r w:rsidRPr="003968FD">
        <w:rPr>
          <w:rFonts w:cstheme="minorHAnsi"/>
          <w:color w:val="000000" w:themeColor="text1"/>
          <w:sz w:val="24"/>
          <w:szCs w:val="24"/>
        </w:rPr>
        <w:t xml:space="preserve">to inform ongoing program improvement, assess the </w:t>
      </w:r>
      <w:r w:rsidR="00636FD5">
        <w:rPr>
          <w:rFonts w:cstheme="minorHAnsi"/>
          <w:color w:val="000000" w:themeColor="text1"/>
          <w:sz w:val="24"/>
          <w:szCs w:val="24"/>
        </w:rPr>
        <w:t>effectiveness</w:t>
      </w:r>
      <w:r w:rsidRPr="003968FD">
        <w:rPr>
          <w:rFonts w:cstheme="minorHAnsi"/>
          <w:color w:val="000000" w:themeColor="text1"/>
          <w:sz w:val="24"/>
          <w:szCs w:val="24"/>
        </w:rPr>
        <w:t xml:space="preserve"> of the new </w:t>
      </w:r>
      <w:r w:rsidR="009C60D4">
        <w:rPr>
          <w:rFonts w:cstheme="minorHAnsi"/>
          <w:color w:val="000000" w:themeColor="text1"/>
          <w:sz w:val="24"/>
          <w:szCs w:val="24"/>
        </w:rPr>
        <w:t>products</w:t>
      </w:r>
      <w:r w:rsidRPr="003968FD">
        <w:rPr>
          <w:rFonts w:cstheme="minorHAnsi"/>
          <w:color w:val="000000" w:themeColor="text1"/>
          <w:sz w:val="24"/>
          <w:szCs w:val="24"/>
        </w:rPr>
        <w:t xml:space="preserve">, and inform future policy direction. </w:t>
      </w:r>
      <w:r w:rsidR="0090257A" w:rsidRPr="003968FD">
        <w:rPr>
          <w:rFonts w:cstheme="minorHAnsi"/>
          <w:color w:val="000000" w:themeColor="text1"/>
          <w:sz w:val="24"/>
          <w:szCs w:val="24"/>
        </w:rPr>
        <w:t>The purpose of the evaluation</w:t>
      </w:r>
      <w:r w:rsidR="008F78EF" w:rsidRPr="003968FD">
        <w:rPr>
          <w:rFonts w:cstheme="minorHAnsi"/>
          <w:color w:val="000000" w:themeColor="text1"/>
          <w:sz w:val="24"/>
          <w:szCs w:val="24"/>
        </w:rPr>
        <w:t xml:space="preserve"> will be to assess the impact of the regulatory change, whether the benefits have been realised, the impact on key stakeholders, and whether it provides value for money.</w:t>
      </w:r>
    </w:p>
    <w:p w:rsidR="00C25AB2" w:rsidRDefault="00C25AB2" w:rsidP="00241FED">
      <w:pPr>
        <w:tabs>
          <w:tab w:val="left" w:pos="2127"/>
        </w:tabs>
        <w:ind w:left="567"/>
        <w:rPr>
          <w:sz w:val="24"/>
          <w:szCs w:val="24"/>
        </w:rPr>
      </w:pPr>
      <w:r w:rsidRPr="00C25AB2">
        <w:rPr>
          <w:sz w:val="24"/>
          <w:szCs w:val="24"/>
        </w:rPr>
        <w:t xml:space="preserve">To assess the effectiveness of the new products, they will be assessed against whether the objectives outlined in this paper are to be delivered. The independent evaluation will also consider the utility of </w:t>
      </w:r>
      <w:r>
        <w:rPr>
          <w:sz w:val="24"/>
          <w:szCs w:val="24"/>
        </w:rPr>
        <w:t>this option</w:t>
      </w:r>
      <w:r w:rsidRPr="00C25AB2">
        <w:rPr>
          <w:sz w:val="24"/>
          <w:szCs w:val="24"/>
        </w:rPr>
        <w:t xml:space="preserve">, and whether </w:t>
      </w:r>
      <w:r>
        <w:rPr>
          <w:sz w:val="24"/>
          <w:szCs w:val="24"/>
        </w:rPr>
        <w:t>it</w:t>
      </w:r>
      <w:r w:rsidRPr="00C25AB2">
        <w:rPr>
          <w:sz w:val="24"/>
          <w:szCs w:val="24"/>
        </w:rPr>
        <w:t xml:space="preserve"> need</w:t>
      </w:r>
      <w:r>
        <w:rPr>
          <w:sz w:val="24"/>
          <w:szCs w:val="24"/>
        </w:rPr>
        <w:t>s</w:t>
      </w:r>
      <w:r w:rsidRPr="00C25AB2">
        <w:rPr>
          <w:sz w:val="24"/>
          <w:szCs w:val="24"/>
        </w:rPr>
        <w:t xml:space="preserve"> to be </w:t>
      </w:r>
      <w:r>
        <w:rPr>
          <w:sz w:val="24"/>
          <w:szCs w:val="24"/>
        </w:rPr>
        <w:t>refined</w:t>
      </w:r>
      <w:r w:rsidRPr="00C25AB2">
        <w:rPr>
          <w:sz w:val="24"/>
          <w:szCs w:val="24"/>
        </w:rPr>
        <w:t xml:space="preserve"> to ensure </w:t>
      </w:r>
      <w:r>
        <w:rPr>
          <w:sz w:val="24"/>
          <w:szCs w:val="24"/>
        </w:rPr>
        <w:t>it</w:t>
      </w:r>
      <w:r w:rsidRPr="00C25AB2">
        <w:rPr>
          <w:sz w:val="24"/>
          <w:szCs w:val="24"/>
        </w:rPr>
        <w:t xml:space="preserve"> continues to maximise benefits. </w:t>
      </w:r>
    </w:p>
    <w:p w:rsidR="00C25AB2" w:rsidRDefault="00C25AB2" w:rsidP="00C25AB2">
      <w:pPr>
        <w:pStyle w:val="Heading2"/>
      </w:pPr>
      <w:bookmarkStart w:id="83" w:name="_Toc162017833"/>
      <w:r w:rsidRPr="00165679">
        <w:t>Audience</w:t>
      </w:r>
      <w:bookmarkEnd w:id="83"/>
    </w:p>
    <w:p w:rsidR="00C25AB2" w:rsidRPr="00C25AB2" w:rsidRDefault="00C25AB2" w:rsidP="00241FED">
      <w:pPr>
        <w:tabs>
          <w:tab w:val="left" w:pos="2127"/>
        </w:tabs>
        <w:ind w:left="567"/>
        <w:rPr>
          <w:rFonts w:cstheme="minorHAnsi"/>
          <w:sz w:val="24"/>
          <w:szCs w:val="24"/>
        </w:rPr>
      </w:pPr>
      <w:r w:rsidRPr="00C25AB2">
        <w:rPr>
          <w:sz w:val="24"/>
          <w:szCs w:val="24"/>
        </w:rPr>
        <w:t>The evaluation will make recommendations which will be considered by the Australian Government</w:t>
      </w:r>
      <w:r>
        <w:rPr>
          <w:sz w:val="24"/>
          <w:szCs w:val="24"/>
        </w:rPr>
        <w:t xml:space="preserve"> and tabled with Health Ministers. The final report will be circulated to the insurer, the regulator and relevant NACCOs. The evaluation report will also be published on the Department’s website, heralded by a media release, to alert consumers, PPMs and interested parties to the findings.</w:t>
      </w:r>
    </w:p>
    <w:p w:rsidR="00295624" w:rsidRPr="00636FD5" w:rsidRDefault="00A1486F" w:rsidP="00636FD5">
      <w:pPr>
        <w:pStyle w:val="Heading2"/>
      </w:pPr>
      <w:bookmarkStart w:id="84" w:name="_Toc162017834"/>
      <w:r w:rsidRPr="00636FD5">
        <w:t>Objectives and principles</w:t>
      </w:r>
      <w:bookmarkEnd w:id="84"/>
    </w:p>
    <w:p w:rsidR="009C4A85" w:rsidRPr="009C4A85" w:rsidRDefault="00FE24F6" w:rsidP="009C4A85">
      <w:pPr>
        <w:tabs>
          <w:tab w:val="left" w:pos="2127"/>
        </w:tabs>
        <w:ind w:left="567"/>
        <w:rPr>
          <w:rFonts w:cstheme="minorHAnsi"/>
          <w:sz w:val="24"/>
          <w:szCs w:val="24"/>
        </w:rPr>
      </w:pPr>
      <w:r w:rsidRPr="003968FD">
        <w:rPr>
          <w:rFonts w:cstheme="minorHAnsi"/>
          <w:sz w:val="24"/>
          <w:szCs w:val="24"/>
        </w:rPr>
        <w:t xml:space="preserve">The evaluation is designed to </w:t>
      </w:r>
      <w:r w:rsidR="005E531B" w:rsidRPr="003968FD">
        <w:rPr>
          <w:rFonts w:cstheme="minorHAnsi"/>
          <w:sz w:val="24"/>
          <w:szCs w:val="24"/>
        </w:rPr>
        <w:t>assess the impact and outcome of the new insurance product</w:t>
      </w:r>
      <w:r w:rsidR="00C25AB2">
        <w:rPr>
          <w:rFonts w:cstheme="minorHAnsi"/>
          <w:sz w:val="24"/>
          <w:szCs w:val="24"/>
        </w:rPr>
        <w:t>s</w:t>
      </w:r>
      <w:r w:rsidR="005E531B" w:rsidRPr="003968FD">
        <w:rPr>
          <w:rFonts w:cstheme="minorHAnsi"/>
          <w:sz w:val="24"/>
          <w:szCs w:val="24"/>
        </w:rPr>
        <w:t xml:space="preserve"> for low-risk intrapartum care services</w:t>
      </w:r>
      <w:r w:rsidR="00295624" w:rsidRPr="003968FD">
        <w:rPr>
          <w:rFonts w:cstheme="minorHAnsi"/>
          <w:sz w:val="24"/>
          <w:szCs w:val="24"/>
        </w:rPr>
        <w:t xml:space="preserve"> and whether </w:t>
      </w:r>
      <w:r w:rsidR="00C25AB2">
        <w:rPr>
          <w:rFonts w:cstheme="minorHAnsi"/>
          <w:sz w:val="24"/>
          <w:szCs w:val="24"/>
        </w:rPr>
        <w:t>they have</w:t>
      </w:r>
      <w:r w:rsidR="00295624" w:rsidRPr="003968FD">
        <w:rPr>
          <w:rFonts w:cstheme="minorHAnsi"/>
          <w:sz w:val="24"/>
          <w:szCs w:val="24"/>
        </w:rPr>
        <w:t xml:space="preserve"> been delivered </w:t>
      </w:r>
      <w:r w:rsidR="00B340B4" w:rsidRPr="003968FD">
        <w:rPr>
          <w:rFonts w:cstheme="minorHAnsi"/>
          <w:sz w:val="24"/>
          <w:szCs w:val="24"/>
        </w:rPr>
        <w:t>in</w:t>
      </w:r>
      <w:r w:rsidR="00295624" w:rsidRPr="003968FD">
        <w:rPr>
          <w:rFonts w:cstheme="minorHAnsi"/>
          <w:sz w:val="24"/>
          <w:szCs w:val="24"/>
        </w:rPr>
        <w:t xml:space="preserve"> accordance with the stated objectives of the Midwife Schemes</w:t>
      </w:r>
      <w:r w:rsidR="009C4A85">
        <w:rPr>
          <w:rFonts w:cstheme="minorHAnsi"/>
          <w:sz w:val="24"/>
          <w:szCs w:val="24"/>
        </w:rPr>
        <w:t xml:space="preserve">. The evaluation is intended to </w:t>
      </w:r>
      <w:r w:rsidR="009C4A85" w:rsidRPr="009C4A85">
        <w:rPr>
          <w:rFonts w:cstheme="minorHAnsi"/>
          <w:color w:val="000000" w:themeColor="text1"/>
          <w:sz w:val="24"/>
          <w:szCs w:val="24"/>
        </w:rPr>
        <w:t>inform future planning of maternity services</w:t>
      </w:r>
      <w:r w:rsidR="009C4A85">
        <w:rPr>
          <w:rFonts w:cstheme="minorHAnsi"/>
          <w:color w:val="000000" w:themeColor="text1"/>
          <w:sz w:val="24"/>
          <w:szCs w:val="24"/>
        </w:rPr>
        <w:t xml:space="preserve"> and </w:t>
      </w:r>
      <w:r w:rsidR="009C4A85" w:rsidRPr="009C4A85">
        <w:rPr>
          <w:rFonts w:cstheme="minorHAnsi"/>
          <w:color w:val="000000" w:themeColor="text1"/>
          <w:sz w:val="24"/>
          <w:szCs w:val="24"/>
        </w:rPr>
        <w:t xml:space="preserve">identify opportunities for improvement, including intended and unintended impacts that could be </w:t>
      </w:r>
      <w:r w:rsidR="009C4A85">
        <w:rPr>
          <w:rFonts w:cstheme="minorHAnsi"/>
          <w:color w:val="000000" w:themeColor="text1"/>
          <w:sz w:val="24"/>
          <w:szCs w:val="24"/>
        </w:rPr>
        <w:t>refined</w:t>
      </w:r>
      <w:r w:rsidR="009C4A85" w:rsidRPr="009C4A85">
        <w:rPr>
          <w:rFonts w:cstheme="minorHAnsi"/>
          <w:color w:val="000000" w:themeColor="text1"/>
          <w:sz w:val="24"/>
          <w:szCs w:val="24"/>
        </w:rPr>
        <w:t xml:space="preserve"> to improve the service.</w:t>
      </w:r>
    </w:p>
    <w:p w:rsidR="009C4A85" w:rsidRPr="003968FD" w:rsidRDefault="009C4A85" w:rsidP="00FE24F6">
      <w:pPr>
        <w:tabs>
          <w:tab w:val="left" w:pos="2127"/>
        </w:tabs>
        <w:ind w:left="567"/>
        <w:rPr>
          <w:rFonts w:cstheme="minorHAnsi"/>
          <w:sz w:val="24"/>
          <w:szCs w:val="24"/>
        </w:rPr>
      </w:pPr>
      <w:r>
        <w:rPr>
          <w:rFonts w:cstheme="minorHAnsi"/>
          <w:sz w:val="24"/>
          <w:szCs w:val="24"/>
        </w:rPr>
        <w:t>The objectives of the evaluation include:</w:t>
      </w:r>
    </w:p>
    <w:p w:rsidR="00FE24F6"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To assess the program’s impact on women’s choice of birth</w:t>
      </w:r>
    </w:p>
    <w:p w:rsidR="00FE24F6"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To assess the program’s impact on PII scope of practice</w:t>
      </w:r>
    </w:p>
    <w:p w:rsidR="00FE24F6"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To assess the program’s impact on public safety within low risk homebirth.</w:t>
      </w:r>
    </w:p>
    <w:p w:rsidR="005E531B"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 xml:space="preserve">To </w:t>
      </w:r>
      <w:r w:rsidR="005E531B" w:rsidRPr="003968FD">
        <w:rPr>
          <w:rFonts w:cstheme="minorHAnsi"/>
          <w:sz w:val="24"/>
          <w:szCs w:val="24"/>
        </w:rPr>
        <w:t xml:space="preserve">collect and analyse updated information on implementation of the </w:t>
      </w:r>
      <w:r w:rsidR="0090257A" w:rsidRPr="003968FD">
        <w:rPr>
          <w:rFonts w:cstheme="minorHAnsi"/>
          <w:sz w:val="24"/>
          <w:szCs w:val="24"/>
        </w:rPr>
        <w:t>new insurance product; a baseline for future evaluations</w:t>
      </w:r>
    </w:p>
    <w:p w:rsidR="005E531B"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 xml:space="preserve">To </w:t>
      </w:r>
      <w:r w:rsidR="005E531B" w:rsidRPr="003968FD">
        <w:rPr>
          <w:rFonts w:cstheme="minorHAnsi"/>
          <w:sz w:val="24"/>
          <w:szCs w:val="24"/>
        </w:rPr>
        <w:t>p</w:t>
      </w:r>
      <w:r w:rsidRPr="003968FD">
        <w:rPr>
          <w:rFonts w:cstheme="minorHAnsi"/>
          <w:sz w:val="24"/>
          <w:szCs w:val="24"/>
        </w:rPr>
        <w:t xml:space="preserve">rovide information and </w:t>
      </w:r>
      <w:r w:rsidR="005E531B" w:rsidRPr="003968FD">
        <w:rPr>
          <w:rFonts w:cstheme="minorHAnsi"/>
          <w:sz w:val="24"/>
          <w:szCs w:val="24"/>
        </w:rPr>
        <w:t>analysis on key policy issues</w:t>
      </w:r>
    </w:p>
    <w:p w:rsidR="0090257A"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 xml:space="preserve">To </w:t>
      </w:r>
      <w:r w:rsidR="00054D0B" w:rsidRPr="003968FD">
        <w:rPr>
          <w:rFonts w:cstheme="minorHAnsi"/>
          <w:sz w:val="24"/>
          <w:szCs w:val="24"/>
        </w:rPr>
        <w:t>i</w:t>
      </w:r>
      <w:r w:rsidR="005E531B" w:rsidRPr="003968FD">
        <w:rPr>
          <w:rFonts w:cstheme="minorHAnsi"/>
          <w:sz w:val="24"/>
          <w:szCs w:val="24"/>
        </w:rPr>
        <w:t xml:space="preserve">dentify </w:t>
      </w:r>
      <w:r w:rsidR="00054D0B" w:rsidRPr="003968FD">
        <w:rPr>
          <w:rFonts w:cstheme="minorHAnsi"/>
          <w:sz w:val="24"/>
          <w:szCs w:val="24"/>
        </w:rPr>
        <w:t xml:space="preserve">emerging needs, gaps </w:t>
      </w:r>
      <w:r w:rsidR="0090257A" w:rsidRPr="003968FD">
        <w:rPr>
          <w:rFonts w:cstheme="minorHAnsi"/>
          <w:sz w:val="24"/>
          <w:szCs w:val="24"/>
        </w:rPr>
        <w:t>or priorities</w:t>
      </w:r>
    </w:p>
    <w:p w:rsidR="005E531B" w:rsidRPr="003968FD"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 xml:space="preserve">To </w:t>
      </w:r>
      <w:r w:rsidR="0090257A" w:rsidRPr="003968FD">
        <w:rPr>
          <w:rFonts w:cstheme="minorHAnsi"/>
          <w:sz w:val="24"/>
          <w:szCs w:val="24"/>
        </w:rPr>
        <w:t xml:space="preserve">identify </w:t>
      </w:r>
      <w:r w:rsidR="005E531B" w:rsidRPr="003968FD">
        <w:rPr>
          <w:rFonts w:cstheme="minorHAnsi"/>
          <w:sz w:val="24"/>
          <w:szCs w:val="24"/>
        </w:rPr>
        <w:t>opportunities for improvement</w:t>
      </w:r>
    </w:p>
    <w:p w:rsidR="0090257A" w:rsidRDefault="00FE24F6" w:rsidP="00C72F31">
      <w:pPr>
        <w:pStyle w:val="ListParagraph"/>
        <w:numPr>
          <w:ilvl w:val="0"/>
          <w:numId w:val="6"/>
        </w:numPr>
        <w:tabs>
          <w:tab w:val="left" w:pos="2127"/>
        </w:tabs>
        <w:ind w:left="1037" w:hanging="357"/>
        <w:contextualSpacing w:val="0"/>
        <w:rPr>
          <w:rFonts w:cstheme="minorHAnsi"/>
          <w:sz w:val="24"/>
          <w:szCs w:val="24"/>
        </w:rPr>
      </w:pPr>
      <w:r w:rsidRPr="003968FD">
        <w:rPr>
          <w:rFonts w:cstheme="minorHAnsi"/>
          <w:sz w:val="24"/>
          <w:szCs w:val="24"/>
        </w:rPr>
        <w:t xml:space="preserve">To </w:t>
      </w:r>
      <w:r w:rsidR="0090257A" w:rsidRPr="003968FD">
        <w:rPr>
          <w:rFonts w:cstheme="minorHAnsi"/>
          <w:sz w:val="24"/>
          <w:szCs w:val="24"/>
        </w:rPr>
        <w:t>provide accountability</w:t>
      </w:r>
      <w:r w:rsidR="00650F33">
        <w:rPr>
          <w:rFonts w:cstheme="minorHAnsi"/>
          <w:sz w:val="24"/>
          <w:szCs w:val="24"/>
        </w:rPr>
        <w:t xml:space="preserve"> and transparency</w:t>
      </w:r>
      <w:r w:rsidR="0090257A" w:rsidRPr="003968FD">
        <w:rPr>
          <w:rFonts w:cstheme="minorHAnsi"/>
          <w:sz w:val="24"/>
          <w:szCs w:val="24"/>
        </w:rPr>
        <w:t>.</w:t>
      </w:r>
    </w:p>
    <w:p w:rsidR="009A717E" w:rsidRPr="00121246" w:rsidRDefault="009A717E" w:rsidP="0058344C">
      <w:pPr>
        <w:pStyle w:val="Heading2"/>
      </w:pPr>
      <w:bookmarkStart w:id="85" w:name="_Toc162017835"/>
      <w:r w:rsidRPr="00121246">
        <w:t>Methodology</w:t>
      </w:r>
      <w:bookmarkEnd w:id="85"/>
    </w:p>
    <w:p w:rsidR="005B12A8" w:rsidRPr="003968FD" w:rsidRDefault="00986B75" w:rsidP="00986B75">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The evaluation will involve an outcome approach to measure the impact and outcomes</w:t>
      </w:r>
      <w:r w:rsidR="005B12A8" w:rsidRPr="003968FD">
        <w:rPr>
          <w:rFonts w:cstheme="minorHAnsi"/>
          <w:color w:val="000000" w:themeColor="text1"/>
          <w:sz w:val="24"/>
          <w:szCs w:val="24"/>
        </w:rPr>
        <w:t>,</w:t>
      </w:r>
      <w:r w:rsidRPr="003968FD">
        <w:rPr>
          <w:rFonts w:cstheme="minorHAnsi"/>
          <w:color w:val="000000" w:themeColor="text1"/>
          <w:sz w:val="24"/>
          <w:szCs w:val="24"/>
        </w:rPr>
        <w:t xml:space="preserve"> especially long-term implications and possibilities</w:t>
      </w:r>
      <w:r w:rsidR="005B12A8" w:rsidRPr="003968FD">
        <w:rPr>
          <w:rFonts w:cstheme="minorHAnsi"/>
          <w:color w:val="000000" w:themeColor="text1"/>
          <w:sz w:val="24"/>
          <w:szCs w:val="24"/>
        </w:rPr>
        <w:t xml:space="preserve">, </w:t>
      </w:r>
      <w:r w:rsidR="00AC24E3" w:rsidRPr="003968FD">
        <w:rPr>
          <w:rFonts w:cstheme="minorHAnsi"/>
          <w:color w:val="000000" w:themeColor="text1"/>
          <w:sz w:val="24"/>
          <w:szCs w:val="24"/>
        </w:rPr>
        <w:t xml:space="preserve">and </w:t>
      </w:r>
      <w:r w:rsidR="005B12A8" w:rsidRPr="003968FD">
        <w:rPr>
          <w:rFonts w:cstheme="minorHAnsi"/>
          <w:color w:val="000000" w:themeColor="text1"/>
          <w:sz w:val="24"/>
          <w:szCs w:val="24"/>
        </w:rPr>
        <w:t>to assess whether the low risk homebirth service:</w:t>
      </w:r>
    </w:p>
    <w:p w:rsidR="005B12A8" w:rsidRPr="003968FD" w:rsidRDefault="005B12A8"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demonstrates accountability and transparency</w:t>
      </w:r>
    </w:p>
    <w:p w:rsidR="00986B75" w:rsidRPr="003968FD" w:rsidRDefault="005B12A8"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is safe</w:t>
      </w:r>
    </w:p>
    <w:p w:rsidR="005B12A8" w:rsidRPr="003968FD" w:rsidRDefault="005B12A8"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 xml:space="preserve">the degree to which </w:t>
      </w:r>
      <w:r w:rsidR="00054D0B" w:rsidRPr="003968FD">
        <w:rPr>
          <w:rFonts w:cstheme="minorHAnsi"/>
          <w:color w:val="000000" w:themeColor="text1"/>
          <w:sz w:val="24"/>
          <w:szCs w:val="24"/>
        </w:rPr>
        <w:t>it</w:t>
      </w:r>
      <w:r w:rsidRPr="003968FD">
        <w:rPr>
          <w:rFonts w:cstheme="minorHAnsi"/>
          <w:color w:val="000000" w:themeColor="text1"/>
          <w:sz w:val="24"/>
          <w:szCs w:val="24"/>
        </w:rPr>
        <w:t xml:space="preserve"> meets demand from women</w:t>
      </w:r>
    </w:p>
    <w:p w:rsidR="005B12A8" w:rsidRPr="003968FD" w:rsidRDefault="005B12A8"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is efficient and sustainable and has met the objectives</w:t>
      </w:r>
      <w:r w:rsidR="009C4A85">
        <w:rPr>
          <w:rFonts w:cstheme="minorHAnsi"/>
          <w:color w:val="000000" w:themeColor="text1"/>
          <w:sz w:val="24"/>
          <w:szCs w:val="24"/>
        </w:rPr>
        <w:t>.</w:t>
      </w:r>
    </w:p>
    <w:p w:rsidR="005B12A8" w:rsidRDefault="00224306" w:rsidP="00224306">
      <w:pPr>
        <w:pStyle w:val="Heading3"/>
      </w:pPr>
      <w:r>
        <w:t>Decision rule</w:t>
      </w:r>
    </w:p>
    <w:p w:rsidR="00224306" w:rsidRPr="00224306" w:rsidRDefault="00224306" w:rsidP="00224306">
      <w:pPr>
        <w:pStyle w:val="ListParagraph"/>
        <w:tabs>
          <w:tab w:val="left" w:pos="2127"/>
        </w:tabs>
        <w:ind w:left="567"/>
        <w:contextualSpacing w:val="0"/>
        <w:rPr>
          <w:rFonts w:cstheme="minorHAnsi"/>
          <w:color w:val="000000" w:themeColor="text1"/>
          <w:sz w:val="24"/>
          <w:szCs w:val="24"/>
        </w:rPr>
      </w:pPr>
      <w:r w:rsidRPr="00224306">
        <w:rPr>
          <w:rFonts w:cstheme="minorHAnsi"/>
          <w:color w:val="000000" w:themeColor="text1"/>
          <w:sz w:val="24"/>
          <w:szCs w:val="24"/>
        </w:rPr>
        <w:t>The preferred option will be the policy approach that delivers the greatest net benefit and corresponds to all three Government reform objectives.</w:t>
      </w:r>
    </w:p>
    <w:p w:rsidR="009A717E" w:rsidRPr="00121246" w:rsidRDefault="009A717E" w:rsidP="0058344C">
      <w:pPr>
        <w:pStyle w:val="Heading2"/>
      </w:pPr>
      <w:bookmarkStart w:id="86" w:name="_Toc162017836"/>
      <w:r w:rsidRPr="00121246">
        <w:t xml:space="preserve">Data </w:t>
      </w:r>
      <w:r w:rsidR="00E53ACA">
        <w:t>C</w:t>
      </w:r>
      <w:r w:rsidRPr="00121246">
        <w:t>ollection</w:t>
      </w:r>
      <w:bookmarkEnd w:id="86"/>
      <w:r w:rsidRPr="00121246">
        <w:t xml:space="preserve"> </w:t>
      </w:r>
    </w:p>
    <w:p w:rsidR="00986B75" w:rsidRPr="003968FD" w:rsidRDefault="00986B75" w:rsidP="00986B75">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 xml:space="preserve">The evaluation will involve the collection and analysis of </w:t>
      </w:r>
      <w:r w:rsidR="00224306" w:rsidRPr="003968FD">
        <w:rPr>
          <w:rFonts w:cstheme="minorHAnsi"/>
          <w:color w:val="000000" w:themeColor="text1"/>
          <w:sz w:val="24"/>
          <w:szCs w:val="24"/>
        </w:rPr>
        <w:t>quantitative</w:t>
      </w:r>
      <w:r w:rsidR="00224306">
        <w:rPr>
          <w:rFonts w:cstheme="minorHAnsi"/>
          <w:color w:val="000000" w:themeColor="text1"/>
          <w:sz w:val="24"/>
          <w:szCs w:val="24"/>
        </w:rPr>
        <w:t xml:space="preserve"> through the establishment of a national data set, </w:t>
      </w:r>
      <w:r w:rsidRPr="003968FD">
        <w:rPr>
          <w:rFonts w:cstheme="minorHAnsi"/>
          <w:color w:val="000000" w:themeColor="text1"/>
          <w:sz w:val="24"/>
          <w:szCs w:val="24"/>
        </w:rPr>
        <w:t xml:space="preserve">and </w:t>
      </w:r>
      <w:r w:rsidR="00224306">
        <w:rPr>
          <w:rFonts w:cstheme="minorHAnsi"/>
          <w:color w:val="000000" w:themeColor="text1"/>
          <w:sz w:val="24"/>
          <w:szCs w:val="24"/>
        </w:rPr>
        <w:t>quali</w:t>
      </w:r>
      <w:r w:rsidR="00224306" w:rsidRPr="003968FD">
        <w:rPr>
          <w:rFonts w:cstheme="minorHAnsi"/>
          <w:color w:val="000000" w:themeColor="text1"/>
          <w:sz w:val="24"/>
          <w:szCs w:val="24"/>
        </w:rPr>
        <w:t xml:space="preserve">tative </w:t>
      </w:r>
      <w:r w:rsidRPr="003968FD">
        <w:rPr>
          <w:rFonts w:cstheme="minorHAnsi"/>
          <w:color w:val="000000" w:themeColor="text1"/>
          <w:sz w:val="24"/>
          <w:szCs w:val="24"/>
        </w:rPr>
        <w:t>data</w:t>
      </w:r>
      <w:r w:rsidR="00224306">
        <w:rPr>
          <w:rFonts w:cstheme="minorHAnsi"/>
          <w:color w:val="000000" w:themeColor="text1"/>
          <w:sz w:val="24"/>
          <w:szCs w:val="24"/>
        </w:rPr>
        <w:t xml:space="preserve"> through face to face meetings and online surveys</w:t>
      </w:r>
      <w:r w:rsidRPr="003968FD">
        <w:rPr>
          <w:rFonts w:cstheme="minorHAnsi"/>
          <w:color w:val="000000" w:themeColor="text1"/>
          <w:sz w:val="24"/>
          <w:szCs w:val="24"/>
        </w:rPr>
        <w:t>.</w:t>
      </w:r>
    </w:p>
    <w:p w:rsidR="00986B75" w:rsidRPr="003968FD" w:rsidRDefault="00986B75"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 xml:space="preserve">The qualitative data </w:t>
      </w:r>
      <w:r w:rsidR="00224306">
        <w:rPr>
          <w:rFonts w:cstheme="minorHAnsi"/>
          <w:color w:val="000000" w:themeColor="text1"/>
          <w:sz w:val="24"/>
          <w:szCs w:val="24"/>
        </w:rPr>
        <w:t>target</w:t>
      </w:r>
      <w:r w:rsidR="0090257A" w:rsidRPr="003968FD">
        <w:rPr>
          <w:rFonts w:cstheme="minorHAnsi"/>
          <w:color w:val="000000" w:themeColor="text1"/>
          <w:sz w:val="24"/>
          <w:szCs w:val="24"/>
        </w:rPr>
        <w:t xml:space="preserve"> women who have used</w:t>
      </w:r>
      <w:r w:rsidR="00224306">
        <w:rPr>
          <w:rFonts w:cstheme="minorHAnsi"/>
          <w:color w:val="000000" w:themeColor="text1"/>
          <w:sz w:val="24"/>
          <w:szCs w:val="24"/>
        </w:rPr>
        <w:t>, or wanted to use,</w:t>
      </w:r>
      <w:r w:rsidR="0090257A" w:rsidRPr="003968FD">
        <w:rPr>
          <w:rFonts w:cstheme="minorHAnsi"/>
          <w:color w:val="000000" w:themeColor="text1"/>
          <w:sz w:val="24"/>
          <w:szCs w:val="24"/>
        </w:rPr>
        <w:t xml:space="preserve"> the service and PPMs providing the service</w:t>
      </w:r>
      <w:r w:rsidRPr="003968FD">
        <w:rPr>
          <w:rFonts w:cstheme="minorHAnsi"/>
          <w:color w:val="000000" w:themeColor="text1"/>
          <w:sz w:val="24"/>
          <w:szCs w:val="24"/>
        </w:rPr>
        <w:t xml:space="preserve">. </w:t>
      </w:r>
    </w:p>
    <w:p w:rsidR="00986B75" w:rsidRPr="003968FD" w:rsidRDefault="00986B75" w:rsidP="00C72F31">
      <w:pPr>
        <w:pStyle w:val="ListParagraph"/>
        <w:numPr>
          <w:ilvl w:val="0"/>
          <w:numId w:val="2"/>
        </w:numPr>
        <w:tabs>
          <w:tab w:val="left" w:pos="2127"/>
        </w:tabs>
        <w:spacing w:before="60" w:after="120"/>
        <w:ind w:left="1208" w:hanging="357"/>
        <w:contextualSpacing w:val="0"/>
        <w:rPr>
          <w:rFonts w:cstheme="minorHAnsi"/>
          <w:color w:val="000000" w:themeColor="text1"/>
          <w:sz w:val="24"/>
          <w:szCs w:val="24"/>
        </w:rPr>
      </w:pPr>
      <w:r w:rsidRPr="003968FD">
        <w:rPr>
          <w:rFonts w:cstheme="minorHAnsi"/>
          <w:color w:val="000000" w:themeColor="text1"/>
          <w:sz w:val="24"/>
          <w:szCs w:val="24"/>
        </w:rPr>
        <w:t xml:space="preserve">The quantitative </w:t>
      </w:r>
      <w:r w:rsidR="00E64843">
        <w:rPr>
          <w:rFonts w:cstheme="minorHAnsi"/>
          <w:color w:val="000000" w:themeColor="text1"/>
          <w:sz w:val="24"/>
          <w:szCs w:val="24"/>
        </w:rPr>
        <w:t xml:space="preserve">and qualitative </w:t>
      </w:r>
      <w:r w:rsidRPr="003968FD">
        <w:rPr>
          <w:rFonts w:cstheme="minorHAnsi"/>
          <w:color w:val="000000" w:themeColor="text1"/>
          <w:sz w:val="24"/>
          <w:szCs w:val="24"/>
        </w:rPr>
        <w:t>data will include:</w:t>
      </w:r>
    </w:p>
    <w:p w:rsidR="00644C4A" w:rsidRPr="003968FD" w:rsidRDefault="00644C4A" w:rsidP="00A622D8">
      <w:pPr>
        <w:pStyle w:val="ListParagraph"/>
        <w:numPr>
          <w:ilvl w:val="0"/>
          <w:numId w:val="7"/>
        </w:numPr>
        <w:tabs>
          <w:tab w:val="left" w:pos="2127"/>
        </w:tabs>
        <w:spacing w:before="60" w:after="120"/>
        <w:ind w:left="1570" w:hanging="357"/>
        <w:contextualSpacing w:val="0"/>
        <w:rPr>
          <w:rFonts w:cstheme="minorHAnsi"/>
          <w:color w:val="000000" w:themeColor="text1"/>
          <w:sz w:val="24"/>
          <w:szCs w:val="24"/>
        </w:rPr>
      </w:pPr>
      <w:r w:rsidRPr="003968FD">
        <w:rPr>
          <w:rFonts w:cstheme="minorHAnsi"/>
          <w:color w:val="000000" w:themeColor="text1"/>
          <w:sz w:val="24"/>
          <w:szCs w:val="24"/>
        </w:rPr>
        <w:t>numbers of women seeking low risk homebirth</w:t>
      </w:r>
    </w:p>
    <w:p w:rsidR="00644C4A" w:rsidRPr="003968FD" w:rsidRDefault="00644C4A" w:rsidP="00A622D8">
      <w:pPr>
        <w:pStyle w:val="ListParagraph"/>
        <w:numPr>
          <w:ilvl w:val="0"/>
          <w:numId w:val="7"/>
        </w:numPr>
        <w:tabs>
          <w:tab w:val="left" w:pos="2127"/>
        </w:tabs>
        <w:spacing w:before="60" w:after="120"/>
        <w:ind w:left="1570" w:hanging="357"/>
        <w:contextualSpacing w:val="0"/>
        <w:rPr>
          <w:rFonts w:cstheme="minorHAnsi"/>
          <w:color w:val="000000" w:themeColor="text1"/>
          <w:sz w:val="24"/>
          <w:szCs w:val="24"/>
        </w:rPr>
      </w:pPr>
      <w:r w:rsidRPr="003968FD">
        <w:rPr>
          <w:rFonts w:cstheme="minorHAnsi"/>
          <w:color w:val="000000" w:themeColor="text1"/>
          <w:sz w:val="24"/>
          <w:szCs w:val="24"/>
        </w:rPr>
        <w:t>numbers of women accessing low risk homebirth</w:t>
      </w:r>
    </w:p>
    <w:p w:rsidR="00644C4A" w:rsidRPr="003968FD" w:rsidRDefault="00644C4A" w:rsidP="00A622D8">
      <w:pPr>
        <w:pStyle w:val="ListParagraph"/>
        <w:numPr>
          <w:ilvl w:val="0"/>
          <w:numId w:val="7"/>
        </w:numPr>
        <w:tabs>
          <w:tab w:val="left" w:pos="2127"/>
        </w:tabs>
        <w:spacing w:before="60" w:after="120"/>
        <w:ind w:left="1570" w:hanging="357"/>
        <w:contextualSpacing w:val="0"/>
        <w:rPr>
          <w:rFonts w:cstheme="minorHAnsi"/>
          <w:color w:val="000000" w:themeColor="text1"/>
          <w:sz w:val="24"/>
          <w:szCs w:val="24"/>
        </w:rPr>
      </w:pPr>
      <w:r w:rsidRPr="003968FD">
        <w:rPr>
          <w:rFonts w:cstheme="minorHAnsi"/>
          <w:color w:val="000000" w:themeColor="text1"/>
          <w:sz w:val="24"/>
          <w:szCs w:val="24"/>
        </w:rPr>
        <w:t>reasons women did not access the service</w:t>
      </w:r>
    </w:p>
    <w:p w:rsidR="00986B75" w:rsidRPr="003968FD" w:rsidRDefault="00986B75" w:rsidP="00A622D8">
      <w:pPr>
        <w:pStyle w:val="ListParagraph"/>
        <w:numPr>
          <w:ilvl w:val="0"/>
          <w:numId w:val="7"/>
        </w:numPr>
        <w:tabs>
          <w:tab w:val="left" w:pos="2127"/>
        </w:tabs>
        <w:spacing w:before="60" w:after="120"/>
        <w:ind w:left="1570" w:hanging="357"/>
        <w:contextualSpacing w:val="0"/>
        <w:rPr>
          <w:rFonts w:cstheme="minorHAnsi"/>
          <w:color w:val="000000" w:themeColor="text1"/>
          <w:sz w:val="24"/>
          <w:szCs w:val="24"/>
        </w:rPr>
      </w:pPr>
      <w:r w:rsidRPr="003968FD">
        <w:rPr>
          <w:rFonts w:cstheme="minorHAnsi"/>
          <w:color w:val="000000" w:themeColor="text1"/>
          <w:sz w:val="24"/>
          <w:szCs w:val="24"/>
        </w:rPr>
        <w:t>data on the midwives providing homebirths – number, years of experience, meet PPM requirements incl</w:t>
      </w:r>
      <w:r w:rsidR="00320E6E">
        <w:rPr>
          <w:rFonts w:cstheme="minorHAnsi"/>
          <w:color w:val="000000" w:themeColor="text1"/>
          <w:sz w:val="24"/>
          <w:szCs w:val="24"/>
        </w:rPr>
        <w:t>uding annual updates, retention</w:t>
      </w:r>
    </w:p>
    <w:p w:rsidR="00986B75" w:rsidRPr="003968FD" w:rsidRDefault="00986B75" w:rsidP="00A622D8">
      <w:pPr>
        <w:pStyle w:val="ListParagraph"/>
        <w:numPr>
          <w:ilvl w:val="0"/>
          <w:numId w:val="7"/>
        </w:numPr>
        <w:tabs>
          <w:tab w:val="left" w:pos="2127"/>
        </w:tabs>
        <w:spacing w:before="60" w:after="120"/>
        <w:ind w:left="1570" w:hanging="357"/>
        <w:contextualSpacing w:val="0"/>
        <w:rPr>
          <w:rFonts w:cstheme="minorHAnsi"/>
          <w:color w:val="000000" w:themeColor="text1"/>
          <w:sz w:val="24"/>
          <w:szCs w:val="24"/>
        </w:rPr>
      </w:pPr>
      <w:r w:rsidRPr="003968FD">
        <w:rPr>
          <w:rFonts w:cstheme="minorHAnsi"/>
          <w:color w:val="000000" w:themeColor="text1"/>
          <w:sz w:val="24"/>
          <w:szCs w:val="24"/>
        </w:rPr>
        <w:t>risk management and adverse event reports and actions provided by insurance provider</w:t>
      </w:r>
      <w:r w:rsidR="00224306">
        <w:rPr>
          <w:rFonts w:cstheme="minorHAnsi"/>
          <w:color w:val="000000" w:themeColor="text1"/>
          <w:sz w:val="24"/>
          <w:szCs w:val="24"/>
        </w:rPr>
        <w:t xml:space="preserve"> and national dataset</w:t>
      </w:r>
      <w:r w:rsidRPr="003968FD">
        <w:rPr>
          <w:rFonts w:cstheme="minorHAnsi"/>
          <w:color w:val="000000" w:themeColor="text1"/>
          <w:sz w:val="24"/>
          <w:szCs w:val="24"/>
        </w:rPr>
        <w:t xml:space="preserve">. </w:t>
      </w:r>
    </w:p>
    <w:p w:rsidR="009A717E" w:rsidRPr="00C16BB4" w:rsidRDefault="009A717E" w:rsidP="00C16BB4">
      <w:pPr>
        <w:pStyle w:val="Heading4"/>
      </w:pPr>
      <w:r w:rsidRPr="00C16BB4">
        <w:t>Data management and analysis</w:t>
      </w:r>
    </w:p>
    <w:p w:rsidR="00644C4A" w:rsidRPr="003968FD" w:rsidRDefault="00CE653E" w:rsidP="00CE653E">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 xml:space="preserve">The </w:t>
      </w:r>
      <w:r w:rsidR="000B3E8F" w:rsidRPr="003968FD">
        <w:rPr>
          <w:rFonts w:cstheme="minorHAnsi"/>
          <w:color w:val="000000" w:themeColor="text1"/>
          <w:sz w:val="24"/>
          <w:szCs w:val="24"/>
        </w:rPr>
        <w:t xml:space="preserve">Australian Government Actuary conducts periodic evaluations of medical indemnity insurance. The qualitative and quantitative data </w:t>
      </w:r>
      <w:r w:rsidR="00DE2F20" w:rsidRPr="003968FD">
        <w:rPr>
          <w:rFonts w:cstheme="minorHAnsi"/>
          <w:color w:val="000000" w:themeColor="text1"/>
          <w:sz w:val="24"/>
          <w:szCs w:val="24"/>
        </w:rPr>
        <w:t xml:space="preserve">collected </w:t>
      </w:r>
      <w:r w:rsidR="000B3E8F" w:rsidRPr="003968FD">
        <w:rPr>
          <w:rFonts w:cstheme="minorHAnsi"/>
          <w:color w:val="000000" w:themeColor="text1"/>
          <w:sz w:val="24"/>
          <w:szCs w:val="24"/>
        </w:rPr>
        <w:t>will inform these reviews.</w:t>
      </w:r>
    </w:p>
    <w:p w:rsidR="009A717E" w:rsidRPr="009C4A85" w:rsidRDefault="009A717E" w:rsidP="009C4A85">
      <w:pPr>
        <w:pStyle w:val="Heading2"/>
        <w:rPr>
          <w:sz w:val="28"/>
          <w:szCs w:val="28"/>
        </w:rPr>
      </w:pPr>
      <w:bookmarkStart w:id="87" w:name="_Toc162017837"/>
      <w:r w:rsidRPr="009C4A85">
        <w:rPr>
          <w:sz w:val="28"/>
          <w:szCs w:val="28"/>
        </w:rPr>
        <w:t>Quality and ethical considerations</w:t>
      </w:r>
      <w:bookmarkEnd w:id="87"/>
    </w:p>
    <w:p w:rsidR="007144EB" w:rsidRPr="003968FD" w:rsidRDefault="00BA56EC" w:rsidP="007144EB">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T</w:t>
      </w:r>
      <w:r w:rsidR="007144EB" w:rsidRPr="003968FD">
        <w:rPr>
          <w:rFonts w:cstheme="minorHAnsi"/>
          <w:color w:val="000000" w:themeColor="text1"/>
          <w:sz w:val="24"/>
          <w:szCs w:val="24"/>
        </w:rPr>
        <w:t xml:space="preserve">he evaluation involves human research, </w:t>
      </w:r>
      <w:r w:rsidRPr="003968FD">
        <w:rPr>
          <w:rFonts w:cstheme="minorHAnsi"/>
          <w:color w:val="000000" w:themeColor="text1"/>
          <w:sz w:val="24"/>
          <w:szCs w:val="24"/>
        </w:rPr>
        <w:t xml:space="preserve">and </w:t>
      </w:r>
      <w:r w:rsidR="007144EB" w:rsidRPr="003968FD">
        <w:rPr>
          <w:rFonts w:cstheme="minorHAnsi"/>
          <w:color w:val="000000" w:themeColor="text1"/>
          <w:sz w:val="24"/>
          <w:szCs w:val="24"/>
        </w:rPr>
        <w:t xml:space="preserve">there are ethical considerations, particularly in data collection and analysis activities. Given the potential risk of harm, independent ethic approval by </w:t>
      </w:r>
      <w:r w:rsidR="00336479" w:rsidRPr="003968FD">
        <w:rPr>
          <w:rFonts w:cstheme="minorHAnsi"/>
          <w:color w:val="000000" w:themeColor="text1"/>
          <w:sz w:val="24"/>
          <w:szCs w:val="24"/>
        </w:rPr>
        <w:t xml:space="preserve">an independent Human Research Ethic Committee </w:t>
      </w:r>
      <w:r w:rsidRPr="003968FD">
        <w:rPr>
          <w:rFonts w:cstheme="minorHAnsi"/>
          <w:color w:val="000000" w:themeColor="text1"/>
          <w:sz w:val="24"/>
          <w:szCs w:val="24"/>
        </w:rPr>
        <w:t xml:space="preserve">(HREC) </w:t>
      </w:r>
      <w:r w:rsidR="00336479" w:rsidRPr="003968FD">
        <w:rPr>
          <w:rFonts w:cstheme="minorHAnsi"/>
          <w:color w:val="000000" w:themeColor="text1"/>
          <w:sz w:val="24"/>
          <w:szCs w:val="24"/>
        </w:rPr>
        <w:t>will be sought.</w:t>
      </w:r>
    </w:p>
    <w:tbl>
      <w:tblPr>
        <w:tblStyle w:val="TableGrid"/>
        <w:tblW w:w="0" w:type="auto"/>
        <w:tblInd w:w="567" w:type="dxa"/>
        <w:tblLook w:val="04A0" w:firstRow="1" w:lastRow="0" w:firstColumn="1" w:lastColumn="0" w:noHBand="0" w:noVBand="1"/>
      </w:tblPr>
      <w:tblGrid>
        <w:gridCol w:w="1756"/>
        <w:gridCol w:w="2382"/>
        <w:gridCol w:w="1978"/>
        <w:gridCol w:w="2061"/>
      </w:tblGrid>
      <w:tr w:rsidR="00336479" w:rsidTr="00FD0625">
        <w:tc>
          <w:tcPr>
            <w:tcW w:w="1838" w:type="dxa"/>
            <w:shd w:val="clear" w:color="auto" w:fill="0070C0"/>
          </w:tcPr>
          <w:p w:rsidR="00336479" w:rsidRPr="00FD0625" w:rsidRDefault="00336479" w:rsidP="007144EB">
            <w:pPr>
              <w:pStyle w:val="ListParagraph"/>
              <w:tabs>
                <w:tab w:val="left" w:pos="2127"/>
              </w:tabs>
              <w:ind w:left="0"/>
              <w:contextualSpacing w:val="0"/>
              <w:rPr>
                <w:rFonts w:cstheme="minorHAnsi"/>
                <w:b/>
                <w:color w:val="FFFFFF" w:themeColor="background1"/>
                <w:sz w:val="20"/>
                <w:szCs w:val="20"/>
              </w:rPr>
            </w:pPr>
            <w:r w:rsidRPr="00FD0625">
              <w:rPr>
                <w:rFonts w:cstheme="minorHAnsi"/>
                <w:b/>
                <w:color w:val="FFFFFF" w:themeColor="background1"/>
                <w:sz w:val="20"/>
                <w:szCs w:val="20"/>
              </w:rPr>
              <w:t>Ethical consideration</w:t>
            </w:r>
          </w:p>
        </w:tc>
        <w:tc>
          <w:tcPr>
            <w:tcW w:w="2563" w:type="dxa"/>
            <w:shd w:val="clear" w:color="auto" w:fill="0070C0"/>
          </w:tcPr>
          <w:p w:rsidR="00336479" w:rsidRPr="00FD0625" w:rsidRDefault="00336479" w:rsidP="00BA56EC">
            <w:pPr>
              <w:pStyle w:val="ListParagraph"/>
              <w:tabs>
                <w:tab w:val="left" w:pos="2127"/>
              </w:tabs>
              <w:ind w:left="0"/>
              <w:contextualSpacing w:val="0"/>
              <w:rPr>
                <w:rFonts w:cstheme="minorHAnsi"/>
                <w:b/>
                <w:color w:val="FFFFFF" w:themeColor="background1"/>
                <w:sz w:val="20"/>
                <w:szCs w:val="20"/>
              </w:rPr>
            </w:pPr>
            <w:r w:rsidRPr="00FD0625">
              <w:rPr>
                <w:rFonts w:cstheme="minorHAnsi"/>
                <w:b/>
                <w:color w:val="FFFFFF" w:themeColor="background1"/>
                <w:sz w:val="20"/>
                <w:szCs w:val="20"/>
              </w:rPr>
              <w:t>Type of risk</w:t>
            </w:r>
          </w:p>
        </w:tc>
        <w:tc>
          <w:tcPr>
            <w:tcW w:w="2201" w:type="dxa"/>
            <w:shd w:val="clear" w:color="auto" w:fill="0070C0"/>
          </w:tcPr>
          <w:p w:rsidR="00336479" w:rsidRPr="00FD0625" w:rsidRDefault="00BA56EC" w:rsidP="007144EB">
            <w:pPr>
              <w:pStyle w:val="ListParagraph"/>
              <w:tabs>
                <w:tab w:val="left" w:pos="2127"/>
              </w:tabs>
              <w:ind w:left="0"/>
              <w:contextualSpacing w:val="0"/>
              <w:rPr>
                <w:rFonts w:cstheme="minorHAnsi"/>
                <w:b/>
                <w:color w:val="FFFFFF" w:themeColor="background1"/>
                <w:sz w:val="20"/>
                <w:szCs w:val="20"/>
              </w:rPr>
            </w:pPr>
            <w:r w:rsidRPr="00FD0625">
              <w:rPr>
                <w:rFonts w:cstheme="minorHAnsi"/>
                <w:b/>
                <w:color w:val="FFFFFF" w:themeColor="background1"/>
                <w:sz w:val="20"/>
                <w:szCs w:val="20"/>
              </w:rPr>
              <w:t>Level of risk</w:t>
            </w:r>
          </w:p>
        </w:tc>
        <w:tc>
          <w:tcPr>
            <w:tcW w:w="2201" w:type="dxa"/>
            <w:shd w:val="clear" w:color="auto" w:fill="0070C0"/>
          </w:tcPr>
          <w:p w:rsidR="00336479" w:rsidRPr="00FD0625" w:rsidRDefault="00BA56EC" w:rsidP="007144EB">
            <w:pPr>
              <w:pStyle w:val="ListParagraph"/>
              <w:tabs>
                <w:tab w:val="left" w:pos="2127"/>
              </w:tabs>
              <w:ind w:left="0"/>
              <w:contextualSpacing w:val="0"/>
              <w:rPr>
                <w:rFonts w:cstheme="minorHAnsi"/>
                <w:b/>
                <w:color w:val="FFFFFF" w:themeColor="background1"/>
                <w:sz w:val="20"/>
                <w:szCs w:val="20"/>
              </w:rPr>
            </w:pPr>
            <w:r w:rsidRPr="00FD0625">
              <w:rPr>
                <w:rFonts w:cstheme="minorHAnsi"/>
                <w:b/>
                <w:color w:val="FFFFFF" w:themeColor="background1"/>
                <w:sz w:val="20"/>
                <w:szCs w:val="20"/>
              </w:rPr>
              <w:t>Potential risk management</w:t>
            </w:r>
          </w:p>
        </w:tc>
      </w:tr>
      <w:tr w:rsidR="00BA56EC" w:rsidTr="00BA56EC">
        <w:tc>
          <w:tcPr>
            <w:tcW w:w="1838" w:type="dxa"/>
            <w:vMerge w:val="restart"/>
            <w:vAlign w:val="center"/>
          </w:tcPr>
          <w:p w:rsidR="00BA56EC" w:rsidRPr="00224306" w:rsidRDefault="00BA56EC" w:rsidP="00BA56EC">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Psychological harm</w:t>
            </w:r>
          </w:p>
        </w:tc>
        <w:tc>
          <w:tcPr>
            <w:tcW w:w="2563" w:type="dxa"/>
          </w:tcPr>
          <w:p w:rsidR="00BA56EC" w:rsidRPr="00224306" w:rsidRDefault="00BA56EC" w:rsidP="00BA56EC">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Will participants disclose sensitive information?</w:t>
            </w:r>
          </w:p>
        </w:tc>
        <w:tc>
          <w:tcPr>
            <w:tcW w:w="2201" w:type="dxa"/>
            <w:vMerge w:val="restart"/>
            <w:vAlign w:val="center"/>
          </w:tcPr>
          <w:p w:rsidR="00BA56EC" w:rsidRPr="00224306" w:rsidRDefault="00BA56EC" w:rsidP="00BA56EC">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Medium to high</w:t>
            </w:r>
          </w:p>
        </w:tc>
        <w:tc>
          <w:tcPr>
            <w:tcW w:w="2201" w:type="dxa"/>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Participation is voluntary</w:t>
            </w:r>
          </w:p>
        </w:tc>
      </w:tr>
      <w:tr w:rsidR="00BA56EC" w:rsidTr="00BA56EC">
        <w:tc>
          <w:tcPr>
            <w:tcW w:w="1838"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563" w:type="dxa"/>
            <w:vMerge w:val="restart"/>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How will privacy be protected?</w:t>
            </w:r>
          </w:p>
        </w:tc>
        <w:tc>
          <w:tcPr>
            <w:tcW w:w="2201"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201" w:type="dxa"/>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Informed consent</w:t>
            </w:r>
          </w:p>
        </w:tc>
      </w:tr>
      <w:tr w:rsidR="00BA56EC" w:rsidTr="00BA56EC">
        <w:tc>
          <w:tcPr>
            <w:tcW w:w="1838"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563"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201"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201" w:type="dxa"/>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HREC approval is sought</w:t>
            </w:r>
          </w:p>
        </w:tc>
      </w:tr>
      <w:tr w:rsidR="00BA56EC" w:rsidTr="00BA56EC">
        <w:tc>
          <w:tcPr>
            <w:tcW w:w="1838" w:type="dxa"/>
            <w:vMerge w:val="restart"/>
            <w:vAlign w:val="center"/>
          </w:tcPr>
          <w:p w:rsidR="00BA56EC" w:rsidRPr="00224306" w:rsidRDefault="00BA56EC" w:rsidP="00BA56EC">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Social harm</w:t>
            </w:r>
          </w:p>
        </w:tc>
        <w:tc>
          <w:tcPr>
            <w:tcW w:w="2563" w:type="dxa"/>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Damage to social networks/social stigma</w:t>
            </w:r>
          </w:p>
        </w:tc>
        <w:tc>
          <w:tcPr>
            <w:tcW w:w="2201" w:type="dxa"/>
            <w:vMerge/>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p>
        </w:tc>
        <w:tc>
          <w:tcPr>
            <w:tcW w:w="2201" w:type="dxa"/>
            <w:vMerge w:val="restart"/>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Privacy &amp; confidentiality processes</w:t>
            </w:r>
          </w:p>
        </w:tc>
      </w:tr>
      <w:tr w:rsidR="00BA56EC" w:rsidTr="00BA56EC">
        <w:tc>
          <w:tcPr>
            <w:tcW w:w="1838" w:type="dxa"/>
            <w:vMerge/>
          </w:tcPr>
          <w:p w:rsidR="00BA56EC" w:rsidRDefault="00BA56EC" w:rsidP="007144EB">
            <w:pPr>
              <w:pStyle w:val="ListParagraph"/>
              <w:tabs>
                <w:tab w:val="left" w:pos="2127"/>
              </w:tabs>
              <w:ind w:left="0"/>
              <w:contextualSpacing w:val="0"/>
              <w:rPr>
                <w:rFonts w:cstheme="minorHAnsi"/>
                <w:color w:val="000000" w:themeColor="text1"/>
              </w:rPr>
            </w:pPr>
          </w:p>
        </w:tc>
        <w:tc>
          <w:tcPr>
            <w:tcW w:w="2563" w:type="dxa"/>
          </w:tcPr>
          <w:p w:rsidR="00BA56EC" w:rsidRPr="00224306" w:rsidRDefault="00BA56EC" w:rsidP="007144EB">
            <w:pPr>
              <w:pStyle w:val="ListParagraph"/>
              <w:tabs>
                <w:tab w:val="left" w:pos="2127"/>
              </w:tabs>
              <w:ind w:left="0"/>
              <w:contextualSpacing w:val="0"/>
              <w:rPr>
                <w:rFonts w:cstheme="minorHAnsi"/>
                <w:color w:val="000000" w:themeColor="text1"/>
                <w:sz w:val="20"/>
                <w:szCs w:val="20"/>
              </w:rPr>
            </w:pPr>
            <w:r w:rsidRPr="00224306">
              <w:rPr>
                <w:rFonts w:cstheme="minorHAnsi"/>
                <w:color w:val="000000" w:themeColor="text1"/>
                <w:sz w:val="20"/>
                <w:szCs w:val="20"/>
              </w:rPr>
              <w:t>Could participants’ relationships be threatened?</w:t>
            </w:r>
          </w:p>
        </w:tc>
        <w:tc>
          <w:tcPr>
            <w:tcW w:w="2201" w:type="dxa"/>
            <w:vMerge/>
          </w:tcPr>
          <w:p w:rsidR="00BA56EC" w:rsidRDefault="00BA56EC" w:rsidP="007144EB">
            <w:pPr>
              <w:pStyle w:val="ListParagraph"/>
              <w:tabs>
                <w:tab w:val="left" w:pos="2127"/>
              </w:tabs>
              <w:ind w:left="0"/>
              <w:contextualSpacing w:val="0"/>
              <w:rPr>
                <w:rFonts w:cstheme="minorHAnsi"/>
                <w:color w:val="000000" w:themeColor="text1"/>
              </w:rPr>
            </w:pPr>
          </w:p>
        </w:tc>
        <w:tc>
          <w:tcPr>
            <w:tcW w:w="2201" w:type="dxa"/>
            <w:vMerge/>
          </w:tcPr>
          <w:p w:rsidR="00BA56EC" w:rsidRDefault="00BA56EC" w:rsidP="007144EB">
            <w:pPr>
              <w:pStyle w:val="ListParagraph"/>
              <w:tabs>
                <w:tab w:val="left" w:pos="2127"/>
              </w:tabs>
              <w:ind w:left="0"/>
              <w:contextualSpacing w:val="0"/>
              <w:rPr>
                <w:rFonts w:cstheme="minorHAnsi"/>
                <w:color w:val="000000" w:themeColor="text1"/>
              </w:rPr>
            </w:pPr>
          </w:p>
        </w:tc>
      </w:tr>
    </w:tbl>
    <w:p w:rsidR="00E53ACA" w:rsidRDefault="00E53ACA" w:rsidP="00D94F40">
      <w:pPr>
        <w:pStyle w:val="Heading2"/>
        <w:spacing w:before="240"/>
      </w:pPr>
      <w:bookmarkStart w:id="88" w:name="_Toc162017838"/>
      <w:r>
        <w:t>Evaluation Plan and Strategy</w:t>
      </w:r>
      <w:bookmarkEnd w:id="88"/>
    </w:p>
    <w:p w:rsidR="009A717E" w:rsidRPr="00121246" w:rsidRDefault="009A717E" w:rsidP="0058344C">
      <w:pPr>
        <w:pStyle w:val="Heading3"/>
      </w:pPr>
      <w:bookmarkStart w:id="89" w:name="_Toc162017839"/>
      <w:r w:rsidRPr="00121246">
        <w:t>Governance and management</w:t>
      </w:r>
      <w:bookmarkEnd w:id="89"/>
    </w:p>
    <w:p w:rsidR="00FE24F6" w:rsidRPr="003968FD" w:rsidRDefault="00BA6838" w:rsidP="00FE24F6">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Key governance actions will include:</w:t>
      </w:r>
    </w:p>
    <w:p w:rsidR="00BA6838" w:rsidRPr="003968FD" w:rsidRDefault="00BA6838" w:rsidP="00A622D8">
      <w:pPr>
        <w:pStyle w:val="ListParagraph"/>
        <w:numPr>
          <w:ilvl w:val="0"/>
          <w:numId w:val="8"/>
        </w:numPr>
        <w:tabs>
          <w:tab w:val="left" w:pos="2127"/>
        </w:tabs>
        <w:contextualSpacing w:val="0"/>
        <w:rPr>
          <w:rFonts w:cstheme="minorHAnsi"/>
          <w:color w:val="000000" w:themeColor="text1"/>
          <w:sz w:val="24"/>
          <w:szCs w:val="24"/>
        </w:rPr>
      </w:pPr>
      <w:r w:rsidRPr="003968FD">
        <w:rPr>
          <w:rFonts w:cstheme="minorHAnsi"/>
          <w:color w:val="000000" w:themeColor="text1"/>
          <w:sz w:val="24"/>
          <w:szCs w:val="24"/>
        </w:rPr>
        <w:t>Alignment of internal review, assurance and evaluation activities with legislative reporting requirements</w:t>
      </w:r>
    </w:p>
    <w:p w:rsidR="00BA6838" w:rsidRPr="003968FD" w:rsidRDefault="00BA6838" w:rsidP="00A622D8">
      <w:pPr>
        <w:pStyle w:val="ListParagraph"/>
        <w:numPr>
          <w:ilvl w:val="0"/>
          <w:numId w:val="8"/>
        </w:numPr>
        <w:tabs>
          <w:tab w:val="left" w:pos="2127"/>
        </w:tabs>
        <w:contextualSpacing w:val="0"/>
        <w:rPr>
          <w:rFonts w:cstheme="minorHAnsi"/>
          <w:color w:val="000000" w:themeColor="text1"/>
          <w:sz w:val="24"/>
          <w:szCs w:val="24"/>
        </w:rPr>
      </w:pPr>
      <w:r w:rsidRPr="003968FD">
        <w:rPr>
          <w:rFonts w:cstheme="minorHAnsi"/>
          <w:color w:val="000000" w:themeColor="text1"/>
          <w:sz w:val="24"/>
          <w:szCs w:val="24"/>
        </w:rPr>
        <w:t>The program project manager and director will have responsibility for considering the outcomes of regular performance monitoring activities and the implementation of findings from evaluation reports.</w:t>
      </w:r>
    </w:p>
    <w:p w:rsidR="009A717E" w:rsidRPr="00121246" w:rsidRDefault="009A717E" w:rsidP="0058344C">
      <w:pPr>
        <w:pStyle w:val="Heading3"/>
      </w:pPr>
      <w:bookmarkStart w:id="90" w:name="_Toc162017840"/>
      <w:r w:rsidRPr="00121246">
        <w:t>Reporting and communication</w:t>
      </w:r>
      <w:bookmarkEnd w:id="90"/>
    </w:p>
    <w:p w:rsidR="008F47A3" w:rsidRDefault="008F47A3" w:rsidP="008F47A3">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 xml:space="preserve">The evaluation report will succinctly inform stakeholders about the highlights of the evaluation, including a summary page which may be delivered as a written executive summary, verbal briefing, or short message on the Department of Health and Aged Care internet page. The summary will include a description of the new service and highlight key findings and recommendations from the evaluation. </w:t>
      </w:r>
    </w:p>
    <w:p w:rsidR="00D94F40" w:rsidRDefault="00D94F40" w:rsidP="008F47A3">
      <w:pPr>
        <w:pStyle w:val="ListParagraph"/>
        <w:tabs>
          <w:tab w:val="left" w:pos="2127"/>
        </w:tabs>
        <w:ind w:left="567"/>
        <w:contextualSpacing w:val="0"/>
        <w:rPr>
          <w:rFonts w:cstheme="minorHAnsi"/>
          <w:color w:val="000000" w:themeColor="text1"/>
          <w:sz w:val="24"/>
          <w:szCs w:val="24"/>
        </w:rPr>
      </w:pPr>
      <w:r w:rsidRPr="00824722">
        <w:rPr>
          <w:rFonts w:cstheme="minorHAnsi"/>
          <w:color w:val="000000" w:themeColor="text1"/>
          <w:sz w:val="24"/>
          <w:szCs w:val="24"/>
        </w:rPr>
        <w:t>Table 5 summarises how the evaluation will assess measurements of success against the objectives. Table 6 summarises the evaluation schedule of roles, responsibilities, and timing.</w:t>
      </w:r>
    </w:p>
    <w:p w:rsidR="007E4E5A" w:rsidRPr="00121246" w:rsidRDefault="00CC5D4F" w:rsidP="0058344C">
      <w:pPr>
        <w:pStyle w:val="Heading3"/>
      </w:pPr>
      <w:bookmarkStart w:id="91" w:name="_Toc162017841"/>
      <w:r w:rsidRPr="00121246">
        <w:t>Communication</w:t>
      </w:r>
      <w:bookmarkEnd w:id="91"/>
      <w:r w:rsidRPr="00121246">
        <w:t xml:space="preserve"> </w:t>
      </w:r>
    </w:p>
    <w:p w:rsidR="00CC5D4F" w:rsidRPr="003968FD" w:rsidRDefault="00CC5D4F" w:rsidP="00CC5D4F">
      <w:pPr>
        <w:tabs>
          <w:tab w:val="left" w:pos="2127"/>
        </w:tabs>
        <w:ind w:left="567"/>
        <w:rPr>
          <w:rFonts w:cstheme="minorHAnsi"/>
          <w:sz w:val="24"/>
          <w:szCs w:val="24"/>
        </w:rPr>
      </w:pPr>
      <w:r w:rsidRPr="003968FD">
        <w:rPr>
          <w:rFonts w:cstheme="minorHAnsi"/>
          <w:sz w:val="24"/>
          <w:szCs w:val="24"/>
        </w:rPr>
        <w:t>A tailored stakeholder and communications strategy will be developed and delivered through a range of media to ensure that women and PPMs understand the new low risk homebirth service and its benefits. Guidance and information on the new product will specifically target engagement with First Nations peoples, culturally and linguistically diverse populations, as well as the broad range of maternity services providers.</w:t>
      </w:r>
    </w:p>
    <w:p w:rsidR="00E53ACA" w:rsidRPr="00121246" w:rsidRDefault="00E53ACA" w:rsidP="0058344C">
      <w:pPr>
        <w:pStyle w:val="Heading3"/>
      </w:pPr>
      <w:bookmarkStart w:id="92" w:name="_Toc162017842"/>
      <w:r w:rsidRPr="00121246">
        <w:t>Stakeholder engagement</w:t>
      </w:r>
      <w:bookmarkEnd w:id="92"/>
    </w:p>
    <w:p w:rsidR="00E53ACA" w:rsidRDefault="00E53ACA" w:rsidP="00E53ACA">
      <w:pPr>
        <w:pStyle w:val="ListParagraph"/>
        <w:tabs>
          <w:tab w:val="left" w:pos="2127"/>
        </w:tabs>
        <w:ind w:left="567"/>
        <w:contextualSpacing w:val="0"/>
        <w:rPr>
          <w:rFonts w:cstheme="minorHAnsi"/>
          <w:color w:val="000000" w:themeColor="text1"/>
          <w:sz w:val="24"/>
          <w:szCs w:val="24"/>
        </w:rPr>
      </w:pPr>
      <w:r w:rsidRPr="003968FD">
        <w:rPr>
          <w:rFonts w:cstheme="minorHAnsi"/>
          <w:color w:val="000000" w:themeColor="text1"/>
          <w:sz w:val="24"/>
          <w:szCs w:val="24"/>
        </w:rPr>
        <w:t>The following table identifies the key stakeholders, their interest in the service, and the proposed method of engagement.</w:t>
      </w:r>
    </w:p>
    <w:p w:rsidR="00871AEA" w:rsidRPr="00871AEA" w:rsidRDefault="00871AEA" w:rsidP="00871AEA">
      <w:pPr>
        <w:pStyle w:val="ListParagraph"/>
        <w:tabs>
          <w:tab w:val="left" w:pos="2127"/>
        </w:tabs>
        <w:spacing w:after="0"/>
        <w:ind w:left="567"/>
        <w:contextualSpacing w:val="0"/>
        <w:rPr>
          <w:rFonts w:cstheme="minorHAnsi"/>
          <w:b/>
          <w:color w:val="000000" w:themeColor="text1"/>
          <w:sz w:val="24"/>
          <w:szCs w:val="24"/>
        </w:rPr>
      </w:pPr>
      <w:r w:rsidRPr="00871AEA">
        <w:rPr>
          <w:rFonts w:cstheme="minorHAnsi"/>
          <w:b/>
          <w:color w:val="000000" w:themeColor="text1"/>
          <w:sz w:val="24"/>
          <w:szCs w:val="24"/>
        </w:rPr>
        <w:t>Table 4</w:t>
      </w:r>
    </w:p>
    <w:tbl>
      <w:tblPr>
        <w:tblStyle w:val="TableGrid"/>
        <w:tblW w:w="0" w:type="auto"/>
        <w:tblInd w:w="567" w:type="dxa"/>
        <w:tblLook w:val="04A0" w:firstRow="1" w:lastRow="0" w:firstColumn="1" w:lastColumn="0" w:noHBand="0" w:noVBand="1"/>
      </w:tblPr>
      <w:tblGrid>
        <w:gridCol w:w="3032"/>
        <w:gridCol w:w="1358"/>
        <w:gridCol w:w="3787"/>
      </w:tblGrid>
      <w:tr w:rsidR="00E53ACA" w:rsidTr="00FD0625">
        <w:tc>
          <w:tcPr>
            <w:tcW w:w="3032" w:type="dxa"/>
            <w:shd w:val="clear" w:color="auto" w:fill="0070C0"/>
          </w:tcPr>
          <w:p w:rsidR="00E53ACA" w:rsidRPr="00FD0625" w:rsidRDefault="00E53ACA" w:rsidP="00E53ACA">
            <w:pPr>
              <w:pStyle w:val="ListParagraph"/>
              <w:tabs>
                <w:tab w:val="left" w:pos="2127"/>
              </w:tabs>
              <w:ind w:left="0"/>
              <w:contextualSpacing w:val="0"/>
              <w:rPr>
                <w:rFonts w:cstheme="minorHAnsi"/>
                <w:b/>
                <w:color w:val="FFFFFF" w:themeColor="background1"/>
              </w:rPr>
            </w:pPr>
            <w:r w:rsidRPr="00FD0625">
              <w:rPr>
                <w:rFonts w:cstheme="minorHAnsi"/>
                <w:b/>
                <w:color w:val="FFFFFF" w:themeColor="background1"/>
              </w:rPr>
              <w:t>Stakeholder</w:t>
            </w:r>
          </w:p>
        </w:tc>
        <w:tc>
          <w:tcPr>
            <w:tcW w:w="1358" w:type="dxa"/>
            <w:shd w:val="clear" w:color="auto" w:fill="0070C0"/>
          </w:tcPr>
          <w:p w:rsidR="00E53ACA" w:rsidRPr="00FD0625" w:rsidRDefault="00E53ACA" w:rsidP="00E53ACA">
            <w:pPr>
              <w:pStyle w:val="ListParagraph"/>
              <w:tabs>
                <w:tab w:val="left" w:pos="2127"/>
              </w:tabs>
              <w:ind w:left="0"/>
              <w:contextualSpacing w:val="0"/>
              <w:rPr>
                <w:rFonts w:cstheme="minorHAnsi"/>
                <w:b/>
                <w:color w:val="FFFFFF" w:themeColor="background1"/>
              </w:rPr>
            </w:pPr>
            <w:r w:rsidRPr="00FD0625">
              <w:rPr>
                <w:rFonts w:cstheme="minorHAnsi"/>
                <w:b/>
                <w:color w:val="FFFFFF" w:themeColor="background1"/>
              </w:rPr>
              <w:t>Interest in service</w:t>
            </w:r>
          </w:p>
        </w:tc>
        <w:tc>
          <w:tcPr>
            <w:tcW w:w="3787" w:type="dxa"/>
            <w:shd w:val="clear" w:color="auto" w:fill="0070C0"/>
          </w:tcPr>
          <w:p w:rsidR="00E53ACA" w:rsidRPr="00FD0625" w:rsidRDefault="00E53ACA" w:rsidP="00E53ACA">
            <w:pPr>
              <w:pStyle w:val="ListParagraph"/>
              <w:tabs>
                <w:tab w:val="left" w:pos="2127"/>
              </w:tabs>
              <w:ind w:left="0"/>
              <w:contextualSpacing w:val="0"/>
              <w:rPr>
                <w:rFonts w:cstheme="minorHAnsi"/>
                <w:b/>
                <w:color w:val="FFFFFF" w:themeColor="background1"/>
              </w:rPr>
            </w:pPr>
            <w:r w:rsidRPr="00FD0625">
              <w:rPr>
                <w:rFonts w:cstheme="minorHAnsi"/>
                <w:b/>
                <w:color w:val="FFFFFF" w:themeColor="background1"/>
              </w:rPr>
              <w:t>Method of engagement</w:t>
            </w:r>
          </w:p>
        </w:tc>
      </w:tr>
      <w:tr w:rsidR="00E53ACA" w:rsidTr="0040187A">
        <w:tc>
          <w:tcPr>
            <w:tcW w:w="3032"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Women desiring homebirth</w:t>
            </w:r>
          </w:p>
        </w:tc>
        <w:tc>
          <w:tcPr>
            <w:tcW w:w="1358"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High</w:t>
            </w:r>
          </w:p>
        </w:tc>
        <w:tc>
          <w:tcPr>
            <w:tcW w:w="3787"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Online surveys</w:t>
            </w:r>
          </w:p>
        </w:tc>
      </w:tr>
      <w:tr w:rsidR="00E53ACA" w:rsidTr="0040187A">
        <w:tc>
          <w:tcPr>
            <w:tcW w:w="3032"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Privately practicing midwives</w:t>
            </w:r>
          </w:p>
        </w:tc>
        <w:tc>
          <w:tcPr>
            <w:tcW w:w="1358"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High</w:t>
            </w:r>
          </w:p>
        </w:tc>
        <w:tc>
          <w:tcPr>
            <w:tcW w:w="3787" w:type="dxa"/>
          </w:tcPr>
          <w:p w:rsidR="00E53ACA" w:rsidRDefault="00E53ACA" w:rsidP="00E53ACA">
            <w:pPr>
              <w:pStyle w:val="ListParagraph"/>
              <w:tabs>
                <w:tab w:val="left" w:pos="2127"/>
              </w:tabs>
              <w:ind w:left="0"/>
              <w:contextualSpacing w:val="0"/>
              <w:rPr>
                <w:rFonts w:cstheme="minorHAnsi"/>
                <w:color w:val="000000" w:themeColor="text1"/>
              </w:rPr>
            </w:pPr>
            <w:r>
              <w:rPr>
                <w:rFonts w:cstheme="minorHAnsi"/>
                <w:color w:val="000000" w:themeColor="text1"/>
              </w:rPr>
              <w:t>Online surveys</w:t>
            </w:r>
          </w:p>
        </w:tc>
      </w:tr>
      <w:tr w:rsidR="0040187A" w:rsidTr="0040187A">
        <w:tc>
          <w:tcPr>
            <w:tcW w:w="3032"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Medical indemnity insurer</w:t>
            </w:r>
          </w:p>
        </w:tc>
        <w:tc>
          <w:tcPr>
            <w:tcW w:w="1358"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High</w:t>
            </w:r>
          </w:p>
        </w:tc>
        <w:tc>
          <w:tcPr>
            <w:tcW w:w="3787" w:type="dxa"/>
            <w:vMerge w:val="restart"/>
          </w:tcPr>
          <w:p w:rsidR="0040187A" w:rsidRDefault="0040187A" w:rsidP="0040187A">
            <w:pPr>
              <w:pStyle w:val="ListParagraph"/>
              <w:tabs>
                <w:tab w:val="left" w:pos="2127"/>
              </w:tabs>
              <w:ind w:left="0"/>
              <w:contextualSpacing w:val="0"/>
              <w:rPr>
                <w:rFonts w:cstheme="minorHAnsi"/>
                <w:color w:val="000000" w:themeColor="text1"/>
              </w:rPr>
            </w:pPr>
            <w:r>
              <w:rPr>
                <w:rFonts w:cstheme="minorHAnsi"/>
                <w:color w:val="000000" w:themeColor="text1"/>
              </w:rPr>
              <w:t xml:space="preserve">Department to </w:t>
            </w:r>
            <w:r w:rsidRPr="00BA6838">
              <w:rPr>
                <w:rFonts w:cstheme="minorHAnsi"/>
                <w:color w:val="000000" w:themeColor="text1"/>
              </w:rPr>
              <w:t xml:space="preserve">meet regularly with </w:t>
            </w:r>
            <w:r>
              <w:rPr>
                <w:rFonts w:cstheme="minorHAnsi"/>
                <w:color w:val="000000" w:themeColor="text1"/>
              </w:rPr>
              <w:t>stakeholder</w:t>
            </w:r>
            <w:r w:rsidR="00D43381">
              <w:rPr>
                <w:rFonts w:cstheme="minorHAnsi"/>
                <w:color w:val="000000" w:themeColor="text1"/>
              </w:rPr>
              <w:t>s</w:t>
            </w:r>
            <w:r>
              <w:rPr>
                <w:rFonts w:cstheme="minorHAnsi"/>
                <w:color w:val="000000" w:themeColor="text1"/>
              </w:rPr>
              <w:t xml:space="preserve"> </w:t>
            </w:r>
            <w:r w:rsidRPr="00BA6838">
              <w:rPr>
                <w:rFonts w:cstheme="minorHAnsi"/>
                <w:color w:val="000000" w:themeColor="text1"/>
              </w:rPr>
              <w:t xml:space="preserve">to </w:t>
            </w:r>
            <w:r>
              <w:rPr>
                <w:rFonts w:cstheme="minorHAnsi"/>
                <w:color w:val="000000" w:themeColor="text1"/>
              </w:rPr>
              <w:t>discuss</w:t>
            </w:r>
            <w:r w:rsidRPr="00BA6838">
              <w:rPr>
                <w:rFonts w:cstheme="minorHAnsi"/>
                <w:color w:val="000000" w:themeColor="text1"/>
              </w:rPr>
              <w:t xml:space="preserve"> and resolve issues </w:t>
            </w:r>
            <w:r>
              <w:rPr>
                <w:rFonts w:cstheme="minorHAnsi"/>
                <w:color w:val="000000" w:themeColor="text1"/>
              </w:rPr>
              <w:t>arising during implementation.</w:t>
            </w:r>
          </w:p>
        </w:tc>
      </w:tr>
      <w:tr w:rsidR="0040187A" w:rsidTr="0040187A">
        <w:tc>
          <w:tcPr>
            <w:tcW w:w="3032"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Maternity services (ACCHOs)</w:t>
            </w:r>
          </w:p>
        </w:tc>
        <w:tc>
          <w:tcPr>
            <w:tcW w:w="1358"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High</w:t>
            </w:r>
          </w:p>
        </w:tc>
        <w:tc>
          <w:tcPr>
            <w:tcW w:w="3787" w:type="dxa"/>
            <w:vMerge/>
          </w:tcPr>
          <w:p w:rsidR="0040187A" w:rsidRDefault="0040187A" w:rsidP="00E53ACA">
            <w:pPr>
              <w:pStyle w:val="ListParagraph"/>
              <w:tabs>
                <w:tab w:val="left" w:pos="2127"/>
              </w:tabs>
              <w:ind w:left="0"/>
              <w:rPr>
                <w:rFonts w:cstheme="minorHAnsi"/>
                <w:color w:val="000000" w:themeColor="text1"/>
              </w:rPr>
            </w:pPr>
          </w:p>
        </w:tc>
      </w:tr>
      <w:tr w:rsidR="0040187A" w:rsidTr="0040187A">
        <w:tc>
          <w:tcPr>
            <w:tcW w:w="3032"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Nursing and Midwifery Board of Australia/Ahpra</w:t>
            </w:r>
          </w:p>
        </w:tc>
        <w:tc>
          <w:tcPr>
            <w:tcW w:w="1358" w:type="dxa"/>
          </w:tcPr>
          <w:p w:rsidR="0040187A" w:rsidRDefault="0040187A" w:rsidP="00E53ACA">
            <w:pPr>
              <w:pStyle w:val="ListParagraph"/>
              <w:tabs>
                <w:tab w:val="left" w:pos="2127"/>
              </w:tabs>
              <w:ind w:left="0"/>
              <w:contextualSpacing w:val="0"/>
              <w:rPr>
                <w:rFonts w:cstheme="minorHAnsi"/>
                <w:color w:val="000000" w:themeColor="text1"/>
              </w:rPr>
            </w:pPr>
            <w:r>
              <w:rPr>
                <w:rFonts w:cstheme="minorHAnsi"/>
                <w:color w:val="000000" w:themeColor="text1"/>
              </w:rPr>
              <w:t>High</w:t>
            </w:r>
          </w:p>
        </w:tc>
        <w:tc>
          <w:tcPr>
            <w:tcW w:w="3787" w:type="dxa"/>
            <w:vMerge/>
          </w:tcPr>
          <w:p w:rsidR="0040187A" w:rsidRDefault="0040187A" w:rsidP="00E53ACA">
            <w:pPr>
              <w:pStyle w:val="ListParagraph"/>
              <w:tabs>
                <w:tab w:val="left" w:pos="2127"/>
              </w:tabs>
              <w:ind w:left="0"/>
              <w:contextualSpacing w:val="0"/>
              <w:rPr>
                <w:rFonts w:cstheme="minorHAnsi"/>
                <w:color w:val="000000" w:themeColor="text1"/>
              </w:rPr>
            </w:pPr>
          </w:p>
        </w:tc>
      </w:tr>
    </w:tbl>
    <w:p w:rsidR="00D43381" w:rsidRDefault="00D43381">
      <w:pPr>
        <w:rPr>
          <w:rFonts w:cstheme="minorHAnsi"/>
          <w:b/>
          <w:i/>
          <w:color w:val="000000" w:themeColor="text1"/>
        </w:rPr>
        <w:sectPr w:rsidR="00D43381" w:rsidSect="007203FE">
          <w:pgSz w:w="9980" w:h="14180"/>
          <w:pgMar w:top="993" w:right="766" w:bottom="142" w:left="460" w:header="0" w:footer="767" w:gutter="0"/>
          <w:pgNumType w:start="1"/>
          <w:cols w:space="720"/>
          <w:docGrid w:linePitch="326"/>
        </w:sectPr>
      </w:pPr>
    </w:p>
    <w:p w:rsidR="000916AF" w:rsidRPr="00824722" w:rsidRDefault="000916AF" w:rsidP="00636FD5">
      <w:pPr>
        <w:rPr>
          <w:b/>
        </w:rPr>
      </w:pPr>
      <w:r w:rsidRPr="00824722">
        <w:rPr>
          <w:b/>
        </w:rPr>
        <w:t xml:space="preserve">Table 5: </w:t>
      </w:r>
      <w:r w:rsidR="006D1238" w:rsidRPr="00824722">
        <w:rPr>
          <w:b/>
        </w:rPr>
        <w:t>Evaluating success of policy change</w:t>
      </w:r>
    </w:p>
    <w:tbl>
      <w:tblPr>
        <w:tblStyle w:val="TableGrid"/>
        <w:tblW w:w="0" w:type="auto"/>
        <w:tblLook w:val="04A0" w:firstRow="1" w:lastRow="0" w:firstColumn="1" w:lastColumn="0" w:noHBand="0" w:noVBand="1"/>
      </w:tblPr>
      <w:tblGrid>
        <w:gridCol w:w="4531"/>
        <w:gridCol w:w="2410"/>
        <w:gridCol w:w="2268"/>
        <w:gridCol w:w="3826"/>
      </w:tblGrid>
      <w:tr w:rsidR="000A14FD" w:rsidRPr="00824722" w:rsidTr="00FD0625">
        <w:tc>
          <w:tcPr>
            <w:tcW w:w="4531" w:type="dxa"/>
            <w:vMerge w:val="restart"/>
            <w:shd w:val="clear" w:color="auto" w:fill="0070C0"/>
          </w:tcPr>
          <w:p w:rsidR="000A14FD" w:rsidRPr="00824722" w:rsidRDefault="000A14FD" w:rsidP="00636FD5">
            <w:pPr>
              <w:rPr>
                <w:b/>
                <w:color w:val="FFFFFF" w:themeColor="background1"/>
              </w:rPr>
            </w:pPr>
            <w:r w:rsidRPr="00824722">
              <w:rPr>
                <w:b/>
                <w:color w:val="FFFFFF" w:themeColor="background1"/>
              </w:rPr>
              <w:t>Objectives</w:t>
            </w:r>
          </w:p>
        </w:tc>
        <w:tc>
          <w:tcPr>
            <w:tcW w:w="8504" w:type="dxa"/>
            <w:gridSpan w:val="3"/>
            <w:shd w:val="clear" w:color="auto" w:fill="0070C0"/>
          </w:tcPr>
          <w:p w:rsidR="000A14FD" w:rsidRPr="00824722" w:rsidRDefault="000A14FD" w:rsidP="000A14FD">
            <w:pPr>
              <w:jc w:val="center"/>
              <w:rPr>
                <w:b/>
              </w:rPr>
            </w:pPr>
            <w:r w:rsidRPr="00824722">
              <w:rPr>
                <w:b/>
                <w:bCs/>
                <w:color w:val="FFFFFF" w:themeColor="background1"/>
              </w:rPr>
              <w:t>Measurement of success</w:t>
            </w:r>
          </w:p>
        </w:tc>
      </w:tr>
      <w:tr w:rsidR="000A14FD" w:rsidRPr="00824722" w:rsidTr="00FD0625">
        <w:tc>
          <w:tcPr>
            <w:tcW w:w="4531" w:type="dxa"/>
            <w:vMerge/>
            <w:shd w:val="clear" w:color="auto" w:fill="0070C0"/>
          </w:tcPr>
          <w:p w:rsidR="000A14FD" w:rsidRPr="00824722" w:rsidRDefault="000A14FD" w:rsidP="00636FD5">
            <w:pPr>
              <w:rPr>
                <w:b/>
              </w:rPr>
            </w:pPr>
          </w:p>
        </w:tc>
        <w:tc>
          <w:tcPr>
            <w:tcW w:w="2410" w:type="dxa"/>
            <w:shd w:val="clear" w:color="auto" w:fill="0070C0"/>
          </w:tcPr>
          <w:p w:rsidR="000A14FD" w:rsidRPr="00824722" w:rsidRDefault="000A14FD" w:rsidP="00636FD5">
            <w:pPr>
              <w:rPr>
                <w:b/>
              </w:rPr>
            </w:pPr>
            <w:r w:rsidRPr="00824722">
              <w:rPr>
                <w:b/>
                <w:bCs/>
                <w:color w:val="FFFFFF" w:themeColor="background1"/>
              </w:rPr>
              <w:t>Key metrics</w:t>
            </w:r>
          </w:p>
        </w:tc>
        <w:tc>
          <w:tcPr>
            <w:tcW w:w="2268" w:type="dxa"/>
            <w:shd w:val="clear" w:color="auto" w:fill="0070C0"/>
          </w:tcPr>
          <w:p w:rsidR="000A14FD" w:rsidRPr="00824722" w:rsidRDefault="000A14FD" w:rsidP="00636FD5">
            <w:pPr>
              <w:rPr>
                <w:b/>
              </w:rPr>
            </w:pPr>
            <w:r w:rsidRPr="00824722">
              <w:rPr>
                <w:b/>
                <w:bCs/>
                <w:color w:val="FFFFFF" w:themeColor="background1"/>
              </w:rPr>
              <w:t>Method</w:t>
            </w:r>
          </w:p>
        </w:tc>
        <w:tc>
          <w:tcPr>
            <w:tcW w:w="3826" w:type="dxa"/>
            <w:shd w:val="clear" w:color="auto" w:fill="0070C0"/>
          </w:tcPr>
          <w:p w:rsidR="000A14FD" w:rsidRPr="00824722" w:rsidRDefault="000A14FD" w:rsidP="00636FD5">
            <w:pPr>
              <w:rPr>
                <w:b/>
              </w:rPr>
            </w:pPr>
            <w:r w:rsidRPr="00824722">
              <w:rPr>
                <w:b/>
                <w:bCs/>
                <w:color w:val="FFFFFF" w:themeColor="background1"/>
              </w:rPr>
              <w:t>Outcome</w:t>
            </w:r>
          </w:p>
        </w:tc>
      </w:tr>
      <w:tr w:rsidR="000A14FD" w:rsidRPr="00824722" w:rsidTr="00E64843">
        <w:tc>
          <w:tcPr>
            <w:tcW w:w="4531" w:type="dxa"/>
          </w:tcPr>
          <w:p w:rsidR="000A14FD" w:rsidRPr="00824722" w:rsidRDefault="000A14FD" w:rsidP="001C39D3">
            <w:pPr>
              <w:tabs>
                <w:tab w:val="left" w:pos="2127"/>
              </w:tabs>
              <w:spacing w:after="60"/>
              <w:rPr>
                <w:rFonts w:cstheme="minorHAnsi"/>
              </w:rPr>
            </w:pPr>
            <w:r w:rsidRPr="00824722">
              <w:rPr>
                <w:rFonts w:cstheme="minorHAnsi"/>
              </w:rPr>
              <w:t>To assess the program’s impact on women’s choice of birth</w:t>
            </w:r>
          </w:p>
          <w:p w:rsidR="000A14FD" w:rsidRPr="00824722" w:rsidRDefault="000A14FD" w:rsidP="001C39D3">
            <w:pPr>
              <w:tabs>
                <w:tab w:val="left" w:pos="2127"/>
              </w:tabs>
              <w:spacing w:after="60"/>
              <w:rPr>
                <w:rFonts w:cstheme="minorHAnsi"/>
              </w:rPr>
            </w:pPr>
            <w:r w:rsidRPr="00824722">
              <w:rPr>
                <w:rFonts w:cstheme="minorHAnsi"/>
              </w:rPr>
              <w:t>To assess the program’s impact on public s</w:t>
            </w:r>
            <w:r w:rsidR="001C39D3" w:rsidRPr="00824722">
              <w:rPr>
                <w:rFonts w:cstheme="minorHAnsi"/>
              </w:rPr>
              <w:t>afety within low risk homebirth</w:t>
            </w:r>
          </w:p>
        </w:tc>
        <w:tc>
          <w:tcPr>
            <w:tcW w:w="2410" w:type="dxa"/>
          </w:tcPr>
          <w:p w:rsidR="000A14FD" w:rsidRPr="00824722" w:rsidRDefault="000A14FD" w:rsidP="000A14FD">
            <w:r w:rsidRPr="00824722">
              <w:t xml:space="preserve">Number of: </w:t>
            </w:r>
            <w:r w:rsidRPr="00824722">
              <w:br/>
              <w:t>-homebirths</w:t>
            </w:r>
          </w:p>
          <w:p w:rsidR="000A14FD" w:rsidRPr="00824722" w:rsidRDefault="000A14FD" w:rsidP="00636FD5">
            <w:r w:rsidRPr="00824722">
              <w:t>-escalations</w:t>
            </w:r>
            <w:r w:rsidR="00D94F40" w:rsidRPr="00824722">
              <w:t xml:space="preserve"> to hospital</w:t>
            </w:r>
          </w:p>
        </w:tc>
        <w:tc>
          <w:tcPr>
            <w:tcW w:w="2268" w:type="dxa"/>
          </w:tcPr>
          <w:p w:rsidR="000A14FD" w:rsidRPr="00824722" w:rsidRDefault="000A14FD" w:rsidP="00904E34">
            <w:pPr>
              <w:spacing w:after="60"/>
            </w:pPr>
            <w:r w:rsidRPr="00824722">
              <w:t>-Claims data</w:t>
            </w:r>
          </w:p>
          <w:p w:rsidR="000A14FD" w:rsidRPr="00824722" w:rsidRDefault="000A14FD" w:rsidP="000A14FD">
            <w:pPr>
              <w:rPr>
                <w:b/>
              </w:rPr>
            </w:pPr>
            <w:r w:rsidRPr="00824722">
              <w:t>-Online surveys</w:t>
            </w:r>
          </w:p>
        </w:tc>
        <w:tc>
          <w:tcPr>
            <w:tcW w:w="3826" w:type="dxa"/>
          </w:tcPr>
          <w:p w:rsidR="000A14FD" w:rsidRPr="00824722" w:rsidRDefault="000A14FD" w:rsidP="00904E34">
            <w:pPr>
              <w:spacing w:after="60"/>
            </w:pPr>
            <w:r w:rsidRPr="00824722">
              <w:t>Implementation of national dataset</w:t>
            </w:r>
            <w:r w:rsidR="00D94F40" w:rsidRPr="00824722">
              <w:t xml:space="preserve"> </w:t>
            </w:r>
            <w:r w:rsidR="00904E34" w:rsidRPr="00824722">
              <w:t>and collection of claims data</w:t>
            </w:r>
          </w:p>
        </w:tc>
      </w:tr>
      <w:tr w:rsidR="000A14FD" w:rsidRPr="00824722" w:rsidTr="00E64843">
        <w:tc>
          <w:tcPr>
            <w:tcW w:w="4531" w:type="dxa"/>
          </w:tcPr>
          <w:p w:rsidR="000A14FD" w:rsidRPr="00824722" w:rsidRDefault="000A14FD" w:rsidP="001C39D3">
            <w:pPr>
              <w:tabs>
                <w:tab w:val="left" w:pos="2127"/>
              </w:tabs>
              <w:spacing w:after="60"/>
              <w:rPr>
                <w:rFonts w:cstheme="minorHAnsi"/>
              </w:rPr>
            </w:pPr>
            <w:r w:rsidRPr="00824722">
              <w:rPr>
                <w:rFonts w:cstheme="minorHAnsi"/>
              </w:rPr>
              <w:t>To assess the program’s impact on PII scope of practice</w:t>
            </w:r>
          </w:p>
          <w:p w:rsidR="00904E34" w:rsidRPr="00824722" w:rsidRDefault="00904E34" w:rsidP="001C39D3">
            <w:pPr>
              <w:tabs>
                <w:tab w:val="left" w:pos="2127"/>
              </w:tabs>
              <w:spacing w:after="60"/>
              <w:rPr>
                <w:rFonts w:cstheme="minorHAnsi"/>
              </w:rPr>
            </w:pPr>
            <w:r w:rsidRPr="00824722">
              <w:rPr>
                <w:rFonts w:cstheme="minorHAnsi"/>
              </w:rPr>
              <w:t>To assess the impact of the new insurance products on growing the midwifery workforce</w:t>
            </w:r>
          </w:p>
        </w:tc>
        <w:tc>
          <w:tcPr>
            <w:tcW w:w="2410" w:type="dxa"/>
          </w:tcPr>
          <w:p w:rsidR="000A14FD" w:rsidRPr="00824722" w:rsidRDefault="00D94F40" w:rsidP="00D94F40">
            <w:pPr>
              <w:spacing w:after="60"/>
            </w:pPr>
            <w:r w:rsidRPr="00824722">
              <w:t>Number of insured PPMs offering homebirth services</w:t>
            </w:r>
          </w:p>
          <w:p w:rsidR="00D94F40" w:rsidRPr="00824722" w:rsidRDefault="00650F33" w:rsidP="00650F33">
            <w:r w:rsidRPr="00824722">
              <w:t>Monitoring and reporting on legislative change</w:t>
            </w:r>
          </w:p>
        </w:tc>
        <w:tc>
          <w:tcPr>
            <w:tcW w:w="2268" w:type="dxa"/>
          </w:tcPr>
          <w:p w:rsidR="000A14FD" w:rsidRPr="00824722" w:rsidRDefault="00904E34" w:rsidP="00904E34">
            <w:pPr>
              <w:spacing w:after="60"/>
            </w:pPr>
            <w:r w:rsidRPr="00824722">
              <w:t>-Insurer reports</w:t>
            </w:r>
            <w:r w:rsidR="00E64843" w:rsidRPr="00824722">
              <w:rPr>
                <w:rFonts w:cstheme="minorHAnsi"/>
                <w:color w:val="000000" w:themeColor="text1"/>
                <w:sz w:val="24"/>
                <w:szCs w:val="24"/>
              </w:rPr>
              <w:t xml:space="preserve"> (risk management and adverse event reports and actions)</w:t>
            </w:r>
          </w:p>
          <w:p w:rsidR="00904E34" w:rsidRPr="00824722" w:rsidRDefault="00904E34" w:rsidP="00636FD5">
            <w:r w:rsidRPr="00824722">
              <w:t>-Health workforce data</w:t>
            </w:r>
          </w:p>
        </w:tc>
        <w:tc>
          <w:tcPr>
            <w:tcW w:w="3826" w:type="dxa"/>
          </w:tcPr>
          <w:p w:rsidR="000A14FD" w:rsidRPr="00824722" w:rsidRDefault="00904E34" w:rsidP="00636FD5">
            <w:r w:rsidRPr="00824722">
              <w:t>Increased rates of compliance with reporting on two additional services</w:t>
            </w:r>
          </w:p>
          <w:p w:rsidR="00904E34" w:rsidRPr="00824722" w:rsidRDefault="00904E34" w:rsidP="00636FD5">
            <w:pPr>
              <w:rPr>
                <w:b/>
              </w:rPr>
            </w:pPr>
            <w:r w:rsidRPr="00824722">
              <w:t>Exemption successfully removed by 1 July 2025</w:t>
            </w:r>
          </w:p>
        </w:tc>
      </w:tr>
      <w:tr w:rsidR="001C39D3" w:rsidRPr="00824722" w:rsidTr="00E64843">
        <w:tc>
          <w:tcPr>
            <w:tcW w:w="4531" w:type="dxa"/>
          </w:tcPr>
          <w:p w:rsidR="001C39D3" w:rsidRPr="00824722" w:rsidRDefault="001C39D3" w:rsidP="00904E34">
            <w:pPr>
              <w:tabs>
                <w:tab w:val="left" w:pos="2127"/>
              </w:tabs>
              <w:spacing w:after="60"/>
              <w:rPr>
                <w:rFonts w:cstheme="minorHAnsi"/>
                <w:color w:val="000000" w:themeColor="text1"/>
              </w:rPr>
            </w:pPr>
            <w:r w:rsidRPr="00824722">
              <w:rPr>
                <w:rFonts w:cstheme="minorHAnsi"/>
                <w:color w:val="000000" w:themeColor="text1"/>
              </w:rPr>
              <w:t>To assess the impact of the new insurance products on increasing the availability of BoC models of care.</w:t>
            </w:r>
          </w:p>
        </w:tc>
        <w:tc>
          <w:tcPr>
            <w:tcW w:w="2410" w:type="dxa"/>
          </w:tcPr>
          <w:p w:rsidR="001C39D3" w:rsidRPr="00824722" w:rsidRDefault="00D94F40" w:rsidP="00D94F40">
            <w:pPr>
              <w:spacing w:after="60"/>
            </w:pPr>
            <w:r w:rsidRPr="00824722">
              <w:t>Number of BoC services operating</w:t>
            </w:r>
          </w:p>
          <w:p w:rsidR="00D94F40" w:rsidRPr="00824722" w:rsidRDefault="00D94F40" w:rsidP="00D94F40">
            <w:pPr>
              <w:spacing w:after="60"/>
            </w:pPr>
            <w:r w:rsidRPr="00824722">
              <w:t>Number of midwives providing BoC services</w:t>
            </w:r>
          </w:p>
          <w:p w:rsidR="00D94F40" w:rsidRPr="00824722" w:rsidRDefault="00D94F40" w:rsidP="00904E34">
            <w:r w:rsidRPr="00824722">
              <w:t>Closing the Gap Target 2 on First Nations mothers and babies (preterm birth, child removal rates)</w:t>
            </w:r>
          </w:p>
        </w:tc>
        <w:tc>
          <w:tcPr>
            <w:tcW w:w="2268" w:type="dxa"/>
          </w:tcPr>
          <w:p w:rsidR="00904E34" w:rsidRPr="00824722" w:rsidRDefault="00904E34" w:rsidP="00904E34">
            <w:pPr>
              <w:spacing w:after="60"/>
            </w:pPr>
            <w:r w:rsidRPr="00824722">
              <w:t>-ACCHO reports</w:t>
            </w:r>
          </w:p>
          <w:p w:rsidR="001C39D3" w:rsidRPr="00824722" w:rsidRDefault="00904E34" w:rsidP="00636FD5">
            <w:pPr>
              <w:rPr>
                <w:b/>
              </w:rPr>
            </w:pPr>
            <w:r w:rsidRPr="00824722">
              <w:t>-Closing the Gap Target 2 reports on First Nations mothers and babies</w:t>
            </w:r>
          </w:p>
        </w:tc>
        <w:tc>
          <w:tcPr>
            <w:tcW w:w="3826" w:type="dxa"/>
          </w:tcPr>
          <w:p w:rsidR="001C39D3" w:rsidRPr="00824722" w:rsidRDefault="00904E34" w:rsidP="00904E34">
            <w:pPr>
              <w:spacing w:after="60"/>
            </w:pPr>
            <w:r w:rsidRPr="00824722">
              <w:t>Increased number of BoC services</w:t>
            </w:r>
          </w:p>
          <w:p w:rsidR="00904E34" w:rsidRPr="00824722" w:rsidRDefault="00904E34" w:rsidP="00904E34">
            <w:pPr>
              <w:spacing w:after="60"/>
            </w:pPr>
            <w:r w:rsidRPr="00824722">
              <w:t>Increased number of midwives delivering BoC services</w:t>
            </w:r>
          </w:p>
          <w:p w:rsidR="00904E34" w:rsidRPr="00824722" w:rsidRDefault="00904E34" w:rsidP="00904E34">
            <w:pPr>
              <w:spacing w:after="60"/>
            </w:pPr>
            <w:r w:rsidRPr="00824722">
              <w:t>Decrease in First Nations preterm birth, child removal rates</w:t>
            </w:r>
          </w:p>
        </w:tc>
      </w:tr>
      <w:tr w:rsidR="000A14FD" w:rsidTr="00E64843">
        <w:tc>
          <w:tcPr>
            <w:tcW w:w="4531" w:type="dxa"/>
          </w:tcPr>
          <w:p w:rsidR="000A14FD" w:rsidRPr="00824722" w:rsidRDefault="000A14FD" w:rsidP="001C39D3">
            <w:pPr>
              <w:tabs>
                <w:tab w:val="left" w:pos="2127"/>
              </w:tabs>
              <w:spacing w:after="60"/>
              <w:rPr>
                <w:rFonts w:cstheme="minorHAnsi"/>
              </w:rPr>
            </w:pPr>
            <w:r w:rsidRPr="00824722">
              <w:rPr>
                <w:rFonts w:cstheme="minorHAnsi"/>
              </w:rPr>
              <w:t xml:space="preserve">To provide </w:t>
            </w:r>
            <w:r w:rsidR="007A0C24" w:rsidRPr="00824722">
              <w:rPr>
                <w:rFonts w:cstheme="minorHAnsi"/>
              </w:rPr>
              <w:t>Government with information and analysis of</w:t>
            </w:r>
            <w:r w:rsidRPr="00824722">
              <w:rPr>
                <w:rFonts w:cstheme="minorHAnsi"/>
              </w:rPr>
              <w:t xml:space="preserve"> key policy issues</w:t>
            </w:r>
          </w:p>
          <w:p w:rsidR="000A14FD" w:rsidRPr="00824722" w:rsidRDefault="000A14FD" w:rsidP="001C39D3">
            <w:pPr>
              <w:tabs>
                <w:tab w:val="left" w:pos="2127"/>
              </w:tabs>
              <w:spacing w:after="60"/>
              <w:rPr>
                <w:rFonts w:cstheme="minorHAnsi"/>
              </w:rPr>
            </w:pPr>
            <w:r w:rsidRPr="00824722">
              <w:rPr>
                <w:rFonts w:cstheme="minorHAnsi"/>
              </w:rPr>
              <w:t>To identify emerging needs, gaps or priorities</w:t>
            </w:r>
          </w:p>
          <w:p w:rsidR="00A64456" w:rsidRPr="00824722" w:rsidRDefault="00A64456" w:rsidP="001C39D3">
            <w:pPr>
              <w:tabs>
                <w:tab w:val="left" w:pos="2127"/>
              </w:tabs>
              <w:spacing w:after="60"/>
              <w:rPr>
                <w:rFonts w:cstheme="minorHAnsi"/>
              </w:rPr>
            </w:pPr>
            <w:r w:rsidRPr="00824722">
              <w:rPr>
                <w:rFonts w:cstheme="minorHAnsi"/>
              </w:rPr>
              <w:t>To identify opportunities for improvement</w:t>
            </w:r>
          </w:p>
          <w:p w:rsidR="000A14FD" w:rsidRPr="00824722" w:rsidRDefault="000A14FD" w:rsidP="001C39D3">
            <w:pPr>
              <w:tabs>
                <w:tab w:val="left" w:pos="2127"/>
              </w:tabs>
              <w:spacing w:after="60"/>
              <w:rPr>
                <w:rFonts w:cstheme="minorHAnsi"/>
              </w:rPr>
            </w:pPr>
            <w:r w:rsidRPr="00824722">
              <w:rPr>
                <w:rFonts w:cstheme="minorHAnsi"/>
              </w:rPr>
              <w:t xml:space="preserve">To provide </w:t>
            </w:r>
            <w:r w:rsidR="001C39D3" w:rsidRPr="00824722">
              <w:rPr>
                <w:rFonts w:cstheme="minorHAnsi"/>
              </w:rPr>
              <w:t>accountability and transparency</w:t>
            </w:r>
          </w:p>
        </w:tc>
        <w:tc>
          <w:tcPr>
            <w:tcW w:w="2410" w:type="dxa"/>
          </w:tcPr>
          <w:p w:rsidR="000A14FD" w:rsidRPr="00824722" w:rsidRDefault="00E64843" w:rsidP="00636FD5">
            <w:r w:rsidRPr="00824722">
              <w:t>All of the above</w:t>
            </w:r>
          </w:p>
        </w:tc>
        <w:tc>
          <w:tcPr>
            <w:tcW w:w="2268" w:type="dxa"/>
          </w:tcPr>
          <w:p w:rsidR="000A14FD" w:rsidRPr="00824722" w:rsidRDefault="00904E34" w:rsidP="00636FD5">
            <w:r w:rsidRPr="00824722">
              <w:t>All of the above</w:t>
            </w:r>
          </w:p>
        </w:tc>
        <w:tc>
          <w:tcPr>
            <w:tcW w:w="3826" w:type="dxa"/>
          </w:tcPr>
          <w:p w:rsidR="000A14FD" w:rsidRPr="00D94F40" w:rsidRDefault="00D94F40" w:rsidP="00636FD5">
            <w:r w:rsidRPr="00824722">
              <w:t>Evidence of insurer engagement or new insurance products offered by June 2029</w:t>
            </w:r>
          </w:p>
        </w:tc>
      </w:tr>
    </w:tbl>
    <w:p w:rsidR="000D6396" w:rsidRDefault="000D6396">
      <w:pPr>
        <w:rPr>
          <w:b/>
        </w:rPr>
      </w:pPr>
      <w:r>
        <w:rPr>
          <w:b/>
        </w:rPr>
        <w:br w:type="page"/>
      </w:r>
    </w:p>
    <w:p w:rsidR="00636FD5" w:rsidRPr="00824722" w:rsidRDefault="00F71386" w:rsidP="000E6320">
      <w:pPr>
        <w:spacing w:after="60" w:line="240" w:lineRule="auto"/>
        <w:rPr>
          <w:b/>
        </w:rPr>
      </w:pPr>
      <w:r w:rsidRPr="00824722">
        <w:rPr>
          <w:b/>
        </w:rPr>
        <w:t xml:space="preserve">Table </w:t>
      </w:r>
      <w:r w:rsidR="000D6396" w:rsidRPr="00824722">
        <w:rPr>
          <w:b/>
        </w:rPr>
        <w:t>6</w:t>
      </w:r>
      <w:r w:rsidRPr="00824722">
        <w:rPr>
          <w:b/>
        </w:rPr>
        <w:t>:</w:t>
      </w:r>
      <w:r w:rsidR="00636FD5" w:rsidRPr="00824722">
        <w:rPr>
          <w:b/>
        </w:rPr>
        <w:t xml:space="preserve"> Evaluation roles</w:t>
      </w:r>
      <w:r w:rsidR="00657099" w:rsidRPr="00824722">
        <w:rPr>
          <w:b/>
        </w:rPr>
        <w:t xml:space="preserve">, </w:t>
      </w:r>
      <w:r w:rsidR="00636FD5" w:rsidRPr="00824722">
        <w:rPr>
          <w:b/>
        </w:rPr>
        <w:t>responsibilities</w:t>
      </w:r>
      <w:r w:rsidR="00E57FD9" w:rsidRPr="00824722">
        <w:rPr>
          <w:b/>
        </w:rPr>
        <w:t>, timing</w:t>
      </w:r>
    </w:p>
    <w:tbl>
      <w:tblPr>
        <w:tblW w:w="13173" w:type="dxa"/>
        <w:tblLayout w:type="fixed"/>
        <w:tblCellMar>
          <w:left w:w="0" w:type="dxa"/>
          <w:right w:w="0" w:type="dxa"/>
        </w:tblCellMar>
        <w:tblLook w:val="04A0" w:firstRow="1" w:lastRow="0" w:firstColumn="1" w:lastColumn="0" w:noHBand="0" w:noVBand="1"/>
      </w:tblPr>
      <w:tblGrid>
        <w:gridCol w:w="4526"/>
        <w:gridCol w:w="3261"/>
        <w:gridCol w:w="3402"/>
        <w:gridCol w:w="1984"/>
      </w:tblGrid>
      <w:tr w:rsidR="001C785C" w:rsidRPr="00824722" w:rsidTr="00FD0625">
        <w:trPr>
          <w:trHeight w:val="355"/>
        </w:trPr>
        <w:tc>
          <w:tcPr>
            <w:tcW w:w="4526" w:type="dxa"/>
            <w:tcBorders>
              <w:top w:val="single" w:sz="8" w:space="0" w:color="auto"/>
              <w:left w:val="single" w:sz="8" w:space="0" w:color="auto"/>
              <w:right w:val="single" w:sz="8" w:space="0" w:color="auto"/>
            </w:tcBorders>
            <w:shd w:val="clear" w:color="auto" w:fill="0070C0"/>
            <w:tcMar>
              <w:top w:w="0" w:type="dxa"/>
              <w:left w:w="108" w:type="dxa"/>
              <w:bottom w:w="0" w:type="dxa"/>
              <w:right w:w="108" w:type="dxa"/>
            </w:tcMar>
            <w:hideMark/>
          </w:tcPr>
          <w:p w:rsidR="001C785C" w:rsidRPr="00824722" w:rsidRDefault="001C785C">
            <w:pPr>
              <w:spacing w:after="0" w:line="240" w:lineRule="auto"/>
              <w:rPr>
                <w:b/>
                <w:color w:val="FFFFFF" w:themeColor="background1"/>
              </w:rPr>
            </w:pPr>
            <w:r w:rsidRPr="00824722">
              <w:rPr>
                <w:b/>
                <w:color w:val="FFFFFF" w:themeColor="background1"/>
              </w:rPr>
              <w:t>Task</w:t>
            </w:r>
          </w:p>
        </w:tc>
        <w:tc>
          <w:tcPr>
            <w:tcW w:w="3261" w:type="dxa"/>
            <w:tcBorders>
              <w:top w:val="single" w:sz="8" w:space="0" w:color="auto"/>
              <w:left w:val="nil"/>
              <w:right w:val="single" w:sz="4" w:space="0" w:color="auto"/>
            </w:tcBorders>
            <w:shd w:val="clear" w:color="auto" w:fill="0070C0"/>
            <w:tcMar>
              <w:top w:w="0" w:type="dxa"/>
              <w:left w:w="108" w:type="dxa"/>
              <w:bottom w:w="0" w:type="dxa"/>
              <w:right w:w="108" w:type="dxa"/>
            </w:tcMar>
            <w:hideMark/>
          </w:tcPr>
          <w:p w:rsidR="001C785C" w:rsidRPr="00824722" w:rsidRDefault="001C785C" w:rsidP="00657099">
            <w:pPr>
              <w:spacing w:after="0" w:line="240" w:lineRule="auto"/>
              <w:rPr>
                <w:b/>
                <w:bCs/>
                <w:color w:val="FFFFFF" w:themeColor="background1"/>
              </w:rPr>
            </w:pPr>
            <w:r w:rsidRPr="00824722">
              <w:rPr>
                <w:b/>
                <w:bCs/>
                <w:color w:val="FFFFFF" w:themeColor="background1"/>
              </w:rPr>
              <w:t>Responsible</w:t>
            </w:r>
          </w:p>
        </w:tc>
        <w:tc>
          <w:tcPr>
            <w:tcW w:w="3402" w:type="dxa"/>
            <w:tcBorders>
              <w:top w:val="single" w:sz="8" w:space="0" w:color="auto"/>
              <w:left w:val="single" w:sz="4" w:space="0" w:color="auto"/>
              <w:right w:val="single" w:sz="8" w:space="0" w:color="auto"/>
            </w:tcBorders>
            <w:shd w:val="clear" w:color="auto" w:fill="0070C0"/>
          </w:tcPr>
          <w:p w:rsidR="001C785C" w:rsidRPr="00824722" w:rsidRDefault="001C785C" w:rsidP="001C785C">
            <w:pPr>
              <w:spacing w:after="0" w:line="240" w:lineRule="auto"/>
              <w:rPr>
                <w:b/>
                <w:bCs/>
                <w:color w:val="FFFFFF" w:themeColor="background1"/>
              </w:rPr>
            </w:pPr>
            <w:r w:rsidRPr="00824722">
              <w:rPr>
                <w:b/>
                <w:bCs/>
                <w:color w:val="FFFFFF" w:themeColor="background1"/>
              </w:rPr>
              <w:t>Activity</w:t>
            </w:r>
          </w:p>
        </w:tc>
        <w:tc>
          <w:tcPr>
            <w:tcW w:w="1984" w:type="dxa"/>
            <w:tcBorders>
              <w:top w:val="single" w:sz="8" w:space="0" w:color="auto"/>
              <w:left w:val="nil"/>
              <w:right w:val="single" w:sz="8" w:space="0" w:color="auto"/>
            </w:tcBorders>
            <w:shd w:val="clear" w:color="auto" w:fill="0070C0"/>
            <w:tcMar>
              <w:top w:w="0" w:type="dxa"/>
              <w:left w:w="108" w:type="dxa"/>
              <w:bottom w:w="0" w:type="dxa"/>
              <w:right w:w="108" w:type="dxa"/>
            </w:tcMar>
            <w:hideMark/>
          </w:tcPr>
          <w:p w:rsidR="001C785C" w:rsidRPr="00824722" w:rsidRDefault="00F06E98">
            <w:pPr>
              <w:spacing w:after="0" w:line="240" w:lineRule="auto"/>
              <w:rPr>
                <w:b/>
                <w:bCs/>
                <w:color w:val="FFFFFF" w:themeColor="background1"/>
              </w:rPr>
            </w:pPr>
            <w:r w:rsidRPr="00824722">
              <w:rPr>
                <w:b/>
                <w:bCs/>
                <w:color w:val="FFFFFF" w:themeColor="background1"/>
              </w:rPr>
              <w:t>Timing</w:t>
            </w:r>
          </w:p>
        </w:tc>
      </w:tr>
      <w:tr w:rsidR="001C785C" w:rsidRPr="00824722" w:rsidTr="0040187A">
        <w:tc>
          <w:tcPr>
            <w:tcW w:w="452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0E6320">
            <w:pPr>
              <w:spacing w:after="60" w:line="240" w:lineRule="auto"/>
            </w:pPr>
            <w:r w:rsidRPr="00824722">
              <w:rPr>
                <w:bCs/>
                <w:color w:val="000000"/>
              </w:rPr>
              <w:t>Preliminary phase</w:t>
            </w:r>
          </w:p>
          <w:p w:rsidR="001C785C" w:rsidRPr="00824722" w:rsidRDefault="001C785C" w:rsidP="000E6320">
            <w:pPr>
              <w:spacing w:after="60" w:line="240" w:lineRule="auto"/>
              <w:rPr>
                <w:bCs/>
              </w:rPr>
            </w:pPr>
            <w:r w:rsidRPr="00824722">
              <w:rPr>
                <w:bCs/>
                <w:color w:val="000000"/>
              </w:rPr>
              <w:t>-Comment on and endorse Terms of Reference</w:t>
            </w:r>
          </w:p>
          <w:p w:rsidR="001C785C" w:rsidRPr="00824722" w:rsidRDefault="001C785C" w:rsidP="000E6320">
            <w:pPr>
              <w:spacing w:after="60" w:line="240" w:lineRule="auto"/>
              <w:rPr>
                <w:b/>
                <w:bCs/>
              </w:rPr>
            </w:pPr>
            <w:r w:rsidRPr="00824722">
              <w:rPr>
                <w:bCs/>
                <w:color w:val="000000"/>
              </w:rPr>
              <w:t>-Initial internal consultation</w:t>
            </w:r>
          </w:p>
        </w:tc>
        <w:tc>
          <w:tcPr>
            <w:tcW w:w="3261" w:type="dxa"/>
            <w:tcBorders>
              <w:top w:val="nil"/>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0E6320">
            <w:pPr>
              <w:spacing w:after="60" w:line="240" w:lineRule="auto"/>
              <w:rPr>
                <w:color w:val="000000" w:themeColor="text1"/>
              </w:rPr>
            </w:pPr>
            <w:r w:rsidRPr="00824722">
              <w:rPr>
                <w:color w:val="000000" w:themeColor="text1"/>
              </w:rPr>
              <w:t xml:space="preserve">Independent evaluator </w:t>
            </w:r>
            <w:r w:rsidRPr="00824722">
              <w:rPr>
                <w:i/>
                <w:color w:val="000000" w:themeColor="text1"/>
              </w:rPr>
              <w:t>lead</w:t>
            </w:r>
          </w:p>
          <w:p w:rsidR="001C785C" w:rsidRPr="00824722" w:rsidRDefault="001C785C" w:rsidP="000E6320">
            <w:pPr>
              <w:spacing w:after="60" w:line="240" w:lineRule="auto"/>
              <w:rPr>
                <w:color w:val="000000" w:themeColor="text1"/>
              </w:rPr>
            </w:pPr>
            <w:r w:rsidRPr="00824722">
              <w:rPr>
                <w:color w:val="000000" w:themeColor="text1"/>
              </w:rPr>
              <w:t xml:space="preserve">DoHAC </w:t>
            </w:r>
            <w:r w:rsidRPr="00824722">
              <w:rPr>
                <w:i/>
                <w:color w:val="000000" w:themeColor="text1"/>
              </w:rPr>
              <w:t>support</w:t>
            </w:r>
          </w:p>
        </w:tc>
        <w:tc>
          <w:tcPr>
            <w:tcW w:w="3402" w:type="dxa"/>
            <w:tcBorders>
              <w:top w:val="nil"/>
              <w:left w:val="single" w:sz="4" w:space="0" w:color="auto"/>
              <w:bottom w:val="single" w:sz="8" w:space="0" w:color="auto"/>
              <w:right w:val="single" w:sz="8" w:space="0" w:color="auto"/>
            </w:tcBorders>
            <w:shd w:val="clear" w:color="auto" w:fill="F2F2F2" w:themeFill="background1" w:themeFillShade="F2"/>
          </w:tcPr>
          <w:p w:rsidR="001C785C" w:rsidRPr="00824722" w:rsidRDefault="001C785C" w:rsidP="000E6320">
            <w:pPr>
              <w:spacing w:after="60" w:line="240" w:lineRule="auto"/>
              <w:rPr>
                <w:color w:val="000000" w:themeColor="text1"/>
              </w:rPr>
            </w:pPr>
            <w:r w:rsidRPr="00824722">
              <w:rPr>
                <w:color w:val="000000" w:themeColor="text1"/>
              </w:rPr>
              <w:t>Draft Terms of Reference</w:t>
            </w:r>
          </w:p>
          <w:p w:rsidR="001C785C" w:rsidRPr="00824722" w:rsidRDefault="001C785C" w:rsidP="000E6320">
            <w:pPr>
              <w:spacing w:after="60" w:line="240" w:lineRule="auto"/>
              <w:rPr>
                <w:color w:val="000000" w:themeColor="text1"/>
              </w:rPr>
            </w:pPr>
            <w:r w:rsidRPr="00824722">
              <w:rPr>
                <w:color w:val="000000" w:themeColor="text1"/>
              </w:rPr>
              <w:t>Consult with relevant divisions within DoHAC</w:t>
            </w: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1C785C" w:rsidRPr="00824722" w:rsidRDefault="001C785C" w:rsidP="000E6320">
            <w:pPr>
              <w:spacing w:after="60" w:line="240" w:lineRule="auto"/>
              <w:rPr>
                <w:color w:val="000000" w:themeColor="text1"/>
              </w:rPr>
            </w:pPr>
            <w:r w:rsidRPr="00824722">
              <w:rPr>
                <w:color w:val="000000" w:themeColor="text1"/>
              </w:rPr>
              <w:t>Feb-March 2028</w:t>
            </w:r>
          </w:p>
        </w:tc>
      </w:tr>
      <w:tr w:rsidR="001C785C" w:rsidRPr="00824722" w:rsidTr="0040187A">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785C" w:rsidRPr="00824722" w:rsidRDefault="001C785C" w:rsidP="000E6320">
            <w:pPr>
              <w:spacing w:after="60" w:line="240" w:lineRule="auto"/>
              <w:rPr>
                <w:bCs/>
              </w:rPr>
            </w:pPr>
            <w:r w:rsidRPr="00824722">
              <w:rPr>
                <w:bCs/>
              </w:rPr>
              <w:t>Draft evaluation plan including:</w:t>
            </w:r>
          </w:p>
          <w:p w:rsidR="001C785C" w:rsidRPr="00824722" w:rsidRDefault="001C785C" w:rsidP="00A622D8">
            <w:pPr>
              <w:pStyle w:val="ListParagraph"/>
              <w:numPr>
                <w:ilvl w:val="0"/>
                <w:numId w:val="31"/>
              </w:numPr>
              <w:spacing w:after="60" w:line="240" w:lineRule="auto"/>
              <w:rPr>
                <w:bCs/>
              </w:rPr>
            </w:pPr>
            <w:r w:rsidRPr="00824722">
              <w:rPr>
                <w:bCs/>
              </w:rPr>
              <w:t>Matrix of questions</w:t>
            </w:r>
          </w:p>
          <w:p w:rsidR="001C785C" w:rsidRPr="00824722" w:rsidRDefault="001C785C" w:rsidP="00A622D8">
            <w:pPr>
              <w:pStyle w:val="ListParagraph"/>
              <w:numPr>
                <w:ilvl w:val="0"/>
                <w:numId w:val="31"/>
              </w:numPr>
              <w:spacing w:after="60" w:line="240" w:lineRule="auto"/>
              <w:rPr>
                <w:bCs/>
              </w:rPr>
            </w:pPr>
            <w:r w:rsidRPr="00824722">
              <w:rPr>
                <w:bCs/>
              </w:rPr>
              <w:t>Description of method</w:t>
            </w:r>
          </w:p>
          <w:p w:rsidR="001C785C" w:rsidRPr="00824722" w:rsidRDefault="001C785C" w:rsidP="00A622D8">
            <w:pPr>
              <w:pStyle w:val="ListParagraph"/>
              <w:numPr>
                <w:ilvl w:val="0"/>
                <w:numId w:val="31"/>
              </w:numPr>
              <w:spacing w:after="60" w:line="240" w:lineRule="auto"/>
              <w:rPr>
                <w:bCs/>
              </w:rPr>
            </w:pPr>
            <w:r w:rsidRPr="00824722">
              <w:rPr>
                <w:bCs/>
              </w:rPr>
              <w:t>Data gathering tools</w:t>
            </w:r>
          </w:p>
          <w:p w:rsidR="001C785C" w:rsidRPr="00824722" w:rsidRDefault="001C785C" w:rsidP="00A622D8">
            <w:pPr>
              <w:pStyle w:val="ListParagraph"/>
              <w:numPr>
                <w:ilvl w:val="0"/>
                <w:numId w:val="31"/>
              </w:numPr>
              <w:spacing w:after="60" w:line="240" w:lineRule="auto"/>
              <w:rPr>
                <w:bCs/>
              </w:rPr>
            </w:pPr>
            <w:r w:rsidRPr="00824722">
              <w:rPr>
                <w:bCs/>
              </w:rPr>
              <w:t>Detailed work schedule</w:t>
            </w:r>
          </w:p>
        </w:tc>
        <w:tc>
          <w:tcPr>
            <w:tcW w:w="3261" w:type="dxa"/>
            <w:tcBorders>
              <w:top w:val="nil"/>
              <w:left w:val="nil"/>
              <w:bottom w:val="single" w:sz="8" w:space="0" w:color="auto"/>
              <w:right w:val="single" w:sz="4" w:space="0" w:color="auto"/>
            </w:tcBorders>
            <w:tcMar>
              <w:top w:w="0" w:type="dxa"/>
              <w:left w:w="108" w:type="dxa"/>
              <w:bottom w:w="0" w:type="dxa"/>
              <w:right w:w="108" w:type="dxa"/>
            </w:tcMar>
            <w:hideMark/>
          </w:tcPr>
          <w:p w:rsidR="001C785C" w:rsidRPr="00824722" w:rsidRDefault="001C785C" w:rsidP="000E6320">
            <w:pPr>
              <w:spacing w:after="60" w:line="240" w:lineRule="auto"/>
              <w:rPr>
                <w:color w:val="000000" w:themeColor="text1"/>
              </w:rPr>
            </w:pPr>
            <w:r w:rsidRPr="00824722">
              <w:rPr>
                <w:color w:val="000000" w:themeColor="text1"/>
              </w:rPr>
              <w:t xml:space="preserve">Independent evaluator </w:t>
            </w:r>
            <w:r w:rsidRPr="00824722">
              <w:rPr>
                <w:i/>
                <w:color w:val="000000" w:themeColor="text1"/>
              </w:rPr>
              <w:t>lead</w:t>
            </w:r>
          </w:p>
          <w:p w:rsidR="001C785C" w:rsidRPr="00824722" w:rsidRDefault="001C785C" w:rsidP="000E6320">
            <w:pPr>
              <w:spacing w:after="60" w:line="240" w:lineRule="auto"/>
            </w:pPr>
            <w:r w:rsidRPr="00824722">
              <w:rPr>
                <w:color w:val="000000" w:themeColor="text1"/>
              </w:rPr>
              <w:t xml:space="preserve">DoHAC </w:t>
            </w:r>
            <w:r w:rsidRPr="00824722">
              <w:rPr>
                <w:i/>
                <w:color w:val="000000" w:themeColor="text1"/>
              </w:rPr>
              <w:t>support</w:t>
            </w:r>
          </w:p>
        </w:tc>
        <w:tc>
          <w:tcPr>
            <w:tcW w:w="3402" w:type="dxa"/>
            <w:tcBorders>
              <w:top w:val="nil"/>
              <w:left w:val="single" w:sz="4" w:space="0" w:color="auto"/>
              <w:bottom w:val="single" w:sz="8" w:space="0" w:color="auto"/>
              <w:right w:val="single" w:sz="8" w:space="0" w:color="auto"/>
            </w:tcBorders>
          </w:tcPr>
          <w:p w:rsidR="001C785C" w:rsidRPr="00824722" w:rsidRDefault="000E6320" w:rsidP="000E6320">
            <w:pPr>
              <w:spacing w:after="60" w:line="240" w:lineRule="auto"/>
            </w:pPr>
            <w:r w:rsidRPr="00824722">
              <w:t>A</w:t>
            </w:r>
            <w:r w:rsidRPr="00824722">
              <w:rPr>
                <w:rFonts w:cstheme="minorHAnsi"/>
                <w:color w:val="000000" w:themeColor="text1"/>
              </w:rPr>
              <w:t xml:space="preserve">nalysis </w:t>
            </w:r>
            <w:r w:rsidRPr="00824722">
              <w:t>of claims data</w:t>
            </w:r>
          </w:p>
          <w:p w:rsidR="000E6320" w:rsidRPr="00824722" w:rsidRDefault="000E6320" w:rsidP="000E6320">
            <w:pPr>
              <w:spacing w:after="60" w:line="240" w:lineRule="auto"/>
            </w:pPr>
            <w:r w:rsidRPr="00824722">
              <w:t>Analysis of insurer reports to DoHAC &amp; Services Australia</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1C785C" w:rsidRPr="00824722" w:rsidRDefault="001C785C" w:rsidP="000E6320">
            <w:pPr>
              <w:spacing w:after="60" w:line="240" w:lineRule="auto"/>
              <w:rPr>
                <w:color w:val="5B9BD5"/>
              </w:rPr>
            </w:pPr>
            <w:r w:rsidRPr="00824722">
              <w:rPr>
                <w:color w:val="000000" w:themeColor="text1"/>
              </w:rPr>
              <w:t>April-July 2028</w:t>
            </w:r>
          </w:p>
        </w:tc>
      </w:tr>
      <w:tr w:rsidR="001C785C" w:rsidRPr="00824722" w:rsidTr="0040187A">
        <w:tc>
          <w:tcPr>
            <w:tcW w:w="452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0E6320">
            <w:pPr>
              <w:spacing w:after="60" w:line="240" w:lineRule="auto"/>
              <w:rPr>
                <w:bCs/>
              </w:rPr>
            </w:pPr>
            <w:r w:rsidRPr="00824722">
              <w:rPr>
                <w:bCs/>
                <w:color w:val="000000"/>
              </w:rPr>
              <w:t>Liaison with partners/stakeholders and target populations</w:t>
            </w:r>
          </w:p>
        </w:tc>
        <w:tc>
          <w:tcPr>
            <w:tcW w:w="3261" w:type="dxa"/>
            <w:tcBorders>
              <w:top w:val="nil"/>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0E6320">
            <w:pPr>
              <w:spacing w:after="60" w:line="240" w:lineRule="auto"/>
              <w:rPr>
                <w:color w:val="000000" w:themeColor="text1"/>
              </w:rPr>
            </w:pPr>
            <w:r w:rsidRPr="00824722">
              <w:rPr>
                <w:color w:val="000000" w:themeColor="text1"/>
              </w:rPr>
              <w:t xml:space="preserve">Independent evaluator </w:t>
            </w:r>
            <w:r w:rsidRPr="00824722">
              <w:rPr>
                <w:i/>
                <w:color w:val="000000" w:themeColor="text1"/>
              </w:rPr>
              <w:t>lead</w:t>
            </w:r>
          </w:p>
          <w:p w:rsidR="001C785C" w:rsidRPr="00824722" w:rsidRDefault="001C785C" w:rsidP="000E6320">
            <w:pPr>
              <w:spacing w:after="60" w:line="240" w:lineRule="auto"/>
            </w:pPr>
            <w:r w:rsidRPr="00824722">
              <w:rPr>
                <w:color w:val="000000" w:themeColor="text1"/>
              </w:rPr>
              <w:t xml:space="preserve">DoHAC </w:t>
            </w:r>
            <w:r w:rsidRPr="00824722">
              <w:rPr>
                <w:i/>
                <w:color w:val="000000" w:themeColor="text1"/>
              </w:rPr>
              <w:t>support</w:t>
            </w:r>
          </w:p>
        </w:tc>
        <w:tc>
          <w:tcPr>
            <w:tcW w:w="3402" w:type="dxa"/>
            <w:tcBorders>
              <w:top w:val="nil"/>
              <w:left w:val="single" w:sz="4" w:space="0" w:color="auto"/>
              <w:bottom w:val="single" w:sz="8" w:space="0" w:color="auto"/>
              <w:right w:val="single" w:sz="8" w:space="0" w:color="auto"/>
            </w:tcBorders>
            <w:shd w:val="clear" w:color="auto" w:fill="F2F2F2" w:themeFill="background1" w:themeFillShade="F2"/>
          </w:tcPr>
          <w:p w:rsidR="001C785C" w:rsidRPr="00824722" w:rsidRDefault="001C785C" w:rsidP="000E6320">
            <w:pPr>
              <w:spacing w:after="60" w:line="240" w:lineRule="auto"/>
              <w:rPr>
                <w:rFonts w:cstheme="minorHAnsi"/>
                <w:color w:val="000000" w:themeColor="text1"/>
              </w:rPr>
            </w:pPr>
            <w:r w:rsidRPr="00824722">
              <w:rPr>
                <w:rFonts w:cstheme="minorHAnsi"/>
                <w:color w:val="000000" w:themeColor="text1"/>
              </w:rPr>
              <w:t>Online stakeholder surveys</w:t>
            </w:r>
            <w:r w:rsidR="000E6320" w:rsidRPr="00824722">
              <w:rPr>
                <w:rFonts w:cstheme="minorHAnsi"/>
                <w:color w:val="000000" w:themeColor="text1"/>
              </w:rPr>
              <w:t>:</w:t>
            </w:r>
          </w:p>
          <w:p w:rsidR="000E6320" w:rsidRPr="00824722" w:rsidRDefault="000E6320" w:rsidP="000E6320">
            <w:pPr>
              <w:spacing w:after="60" w:line="240" w:lineRule="auto"/>
              <w:rPr>
                <w:rFonts w:cstheme="minorHAnsi"/>
                <w:color w:val="000000" w:themeColor="text1"/>
              </w:rPr>
            </w:pPr>
            <w:r w:rsidRPr="00824722">
              <w:rPr>
                <w:rFonts w:cstheme="minorHAnsi"/>
                <w:color w:val="000000" w:themeColor="text1"/>
              </w:rPr>
              <w:t>-consumers</w:t>
            </w:r>
          </w:p>
          <w:p w:rsidR="000E6320" w:rsidRPr="00824722" w:rsidRDefault="000E6320" w:rsidP="000E6320">
            <w:pPr>
              <w:spacing w:after="60" w:line="240" w:lineRule="auto"/>
            </w:pPr>
            <w:r w:rsidRPr="00824722">
              <w:rPr>
                <w:rFonts w:cstheme="minorHAnsi"/>
                <w:color w:val="000000" w:themeColor="text1"/>
              </w:rPr>
              <w:t>-PPMs</w:t>
            </w:r>
          </w:p>
          <w:p w:rsidR="001C785C" w:rsidRPr="00824722" w:rsidRDefault="001C785C" w:rsidP="000E6320">
            <w:pPr>
              <w:pStyle w:val="ListParagraph"/>
              <w:tabs>
                <w:tab w:val="left" w:pos="2127"/>
              </w:tabs>
              <w:spacing w:after="60" w:line="240" w:lineRule="auto"/>
              <w:ind w:left="0"/>
              <w:contextualSpacing w:val="0"/>
            </w:pPr>
            <w:r w:rsidRPr="00824722">
              <w:t>Meetings</w:t>
            </w:r>
            <w:r w:rsidRPr="00824722">
              <w:rPr>
                <w:rFonts w:cstheme="minorHAnsi"/>
                <w:color w:val="000000" w:themeColor="text1"/>
              </w:rPr>
              <w:t xml:space="preserve"> with insurers, NMBA &amp; Ahpra, ACCHOs, NIAA, ACM</w:t>
            </w: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1C785C" w:rsidRPr="00824722" w:rsidRDefault="001C785C" w:rsidP="000E6320">
            <w:pPr>
              <w:spacing w:after="60" w:line="240" w:lineRule="auto"/>
              <w:rPr>
                <w:color w:val="5B9BD5"/>
              </w:rPr>
            </w:pPr>
            <w:r w:rsidRPr="00824722">
              <w:rPr>
                <w:color w:val="000000" w:themeColor="text1"/>
              </w:rPr>
              <w:t>Aug-Oct 2028</w:t>
            </w:r>
          </w:p>
        </w:tc>
      </w:tr>
      <w:tr w:rsidR="001C785C" w:rsidRPr="00824722" w:rsidTr="0040187A">
        <w:tc>
          <w:tcPr>
            <w:tcW w:w="452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C785C" w:rsidRPr="00824722" w:rsidRDefault="001C785C" w:rsidP="000E6320">
            <w:pPr>
              <w:spacing w:after="60" w:line="240" w:lineRule="auto"/>
            </w:pPr>
            <w:r w:rsidRPr="00824722">
              <w:rPr>
                <w:bCs/>
                <w:color w:val="000000"/>
              </w:rPr>
              <w:t>Draft evaluation report</w:t>
            </w:r>
          </w:p>
          <w:p w:rsidR="001C785C" w:rsidRPr="00824722" w:rsidRDefault="001C785C" w:rsidP="000E6320">
            <w:pPr>
              <w:spacing w:after="60" w:line="240" w:lineRule="auto"/>
              <w:rPr>
                <w:bCs/>
              </w:rPr>
            </w:pPr>
            <w:r w:rsidRPr="00824722">
              <w:rPr>
                <w:bCs/>
                <w:color w:val="000000"/>
              </w:rPr>
              <w:t>-Prepare document outline</w:t>
            </w:r>
          </w:p>
          <w:p w:rsidR="001C785C" w:rsidRPr="00824722" w:rsidRDefault="001C785C" w:rsidP="000E6320">
            <w:pPr>
              <w:spacing w:after="60" w:line="240" w:lineRule="auto"/>
              <w:rPr>
                <w:bCs/>
              </w:rPr>
            </w:pPr>
            <w:r w:rsidRPr="00824722">
              <w:rPr>
                <w:bCs/>
                <w:color w:val="000000"/>
              </w:rPr>
              <w:t>-Draft sections of the report</w:t>
            </w:r>
          </w:p>
          <w:p w:rsidR="001C785C" w:rsidRPr="00824722" w:rsidRDefault="001C785C" w:rsidP="000E6320">
            <w:pPr>
              <w:spacing w:after="60" w:line="240" w:lineRule="auto"/>
              <w:rPr>
                <w:bCs/>
              </w:rPr>
            </w:pPr>
            <w:r w:rsidRPr="00824722">
              <w:rPr>
                <w:bCs/>
                <w:color w:val="000000"/>
              </w:rPr>
              <w:t>-Consolidate sections into draft</w:t>
            </w:r>
          </w:p>
        </w:tc>
        <w:tc>
          <w:tcPr>
            <w:tcW w:w="3261" w:type="dxa"/>
            <w:tcBorders>
              <w:top w:val="nil"/>
              <w:left w:val="nil"/>
              <w:bottom w:val="single" w:sz="8" w:space="0" w:color="auto"/>
              <w:right w:val="single" w:sz="4" w:space="0" w:color="auto"/>
            </w:tcBorders>
            <w:shd w:val="clear" w:color="auto" w:fill="FFFFFF" w:themeFill="background1"/>
            <w:tcMar>
              <w:top w:w="0" w:type="dxa"/>
              <w:left w:w="108" w:type="dxa"/>
              <w:bottom w:w="0" w:type="dxa"/>
              <w:right w:w="108" w:type="dxa"/>
            </w:tcMar>
            <w:hideMark/>
          </w:tcPr>
          <w:p w:rsidR="001C785C" w:rsidRPr="00824722" w:rsidRDefault="001C785C" w:rsidP="000E6320">
            <w:pPr>
              <w:spacing w:after="60" w:line="240" w:lineRule="auto"/>
              <w:rPr>
                <w:color w:val="000000" w:themeColor="text1"/>
              </w:rPr>
            </w:pPr>
            <w:r w:rsidRPr="00824722">
              <w:rPr>
                <w:color w:val="000000" w:themeColor="text1"/>
              </w:rPr>
              <w:t xml:space="preserve">Independent evaluator </w:t>
            </w:r>
            <w:r w:rsidRPr="00824722">
              <w:rPr>
                <w:i/>
                <w:color w:val="000000" w:themeColor="text1"/>
              </w:rPr>
              <w:t>lead</w:t>
            </w:r>
          </w:p>
          <w:p w:rsidR="001C785C" w:rsidRPr="00824722" w:rsidRDefault="001C785C" w:rsidP="000E6320">
            <w:pPr>
              <w:spacing w:after="60" w:line="240" w:lineRule="auto"/>
            </w:pPr>
            <w:r w:rsidRPr="00824722">
              <w:rPr>
                <w:color w:val="000000" w:themeColor="text1"/>
              </w:rPr>
              <w:t xml:space="preserve">DoHAC </w:t>
            </w:r>
            <w:r w:rsidRPr="00824722">
              <w:rPr>
                <w:i/>
                <w:color w:val="000000" w:themeColor="text1"/>
              </w:rPr>
              <w:t>support</w:t>
            </w:r>
          </w:p>
        </w:tc>
        <w:tc>
          <w:tcPr>
            <w:tcW w:w="3402" w:type="dxa"/>
            <w:tcBorders>
              <w:top w:val="nil"/>
              <w:left w:val="single" w:sz="4" w:space="0" w:color="auto"/>
              <w:bottom w:val="single" w:sz="8" w:space="0" w:color="auto"/>
              <w:right w:val="single" w:sz="8" w:space="0" w:color="auto"/>
            </w:tcBorders>
            <w:shd w:val="clear" w:color="auto" w:fill="FFFFFF" w:themeFill="background1"/>
          </w:tcPr>
          <w:p w:rsidR="001C785C" w:rsidRPr="00824722" w:rsidRDefault="000E6320" w:rsidP="000E6320">
            <w:pPr>
              <w:spacing w:after="60" w:line="240" w:lineRule="auto"/>
            </w:pPr>
            <w:r w:rsidRPr="00824722">
              <w:t>Claims data, s</w:t>
            </w:r>
            <w:r w:rsidR="001C785C" w:rsidRPr="00824722">
              <w:t xml:space="preserve">urvey responses </w:t>
            </w:r>
            <w:r w:rsidRPr="00824722">
              <w:t xml:space="preserve">, </w:t>
            </w:r>
            <w:r w:rsidR="001C785C" w:rsidRPr="00824722">
              <w:t>and f</w:t>
            </w:r>
            <w:r w:rsidRPr="00824722">
              <w:t>eed</w:t>
            </w:r>
            <w:r w:rsidR="001C785C" w:rsidRPr="00824722">
              <w:t>back from meetings incorporated in draft report</w:t>
            </w:r>
          </w:p>
          <w:p w:rsidR="000E6320" w:rsidRPr="00824722" w:rsidRDefault="000E6320" w:rsidP="000E6320">
            <w:pPr>
              <w:spacing w:after="60" w:line="240" w:lineRule="auto"/>
            </w:pPr>
            <w:r w:rsidRPr="00824722">
              <w:t>Draft report provided to insurer, regulator and ACCHOs for comment</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C785C" w:rsidRPr="00824722" w:rsidRDefault="001C785C" w:rsidP="000E6320">
            <w:pPr>
              <w:spacing w:after="60" w:line="240" w:lineRule="auto"/>
              <w:rPr>
                <w:color w:val="5B9BD5"/>
              </w:rPr>
            </w:pPr>
            <w:r w:rsidRPr="00824722">
              <w:rPr>
                <w:color w:val="000000" w:themeColor="text1"/>
              </w:rPr>
              <w:t>Nov-Dec 2028</w:t>
            </w:r>
          </w:p>
        </w:tc>
      </w:tr>
      <w:tr w:rsidR="001C785C" w:rsidRPr="00824722" w:rsidTr="0040187A">
        <w:tc>
          <w:tcPr>
            <w:tcW w:w="452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D94F40">
            <w:pPr>
              <w:spacing w:after="60" w:line="240" w:lineRule="auto"/>
              <w:rPr>
                <w:bCs/>
              </w:rPr>
            </w:pPr>
            <w:r w:rsidRPr="00824722">
              <w:rPr>
                <w:bCs/>
              </w:rPr>
              <w:t>Final evaluation report</w:t>
            </w:r>
          </w:p>
        </w:tc>
        <w:tc>
          <w:tcPr>
            <w:tcW w:w="3261" w:type="dxa"/>
            <w:tcBorders>
              <w:top w:val="nil"/>
              <w:left w:val="nil"/>
              <w:bottom w:val="single" w:sz="8" w:space="0" w:color="auto"/>
              <w:right w:val="single" w:sz="4" w:space="0" w:color="auto"/>
            </w:tcBorders>
            <w:shd w:val="clear" w:color="auto" w:fill="F2F2F2" w:themeFill="background1" w:themeFillShade="F2"/>
            <w:tcMar>
              <w:top w:w="0" w:type="dxa"/>
              <w:left w:w="108" w:type="dxa"/>
              <w:bottom w:w="0" w:type="dxa"/>
              <w:right w:w="108" w:type="dxa"/>
            </w:tcMar>
            <w:hideMark/>
          </w:tcPr>
          <w:p w:rsidR="001C785C" w:rsidRPr="00824722" w:rsidRDefault="001C785C" w:rsidP="000E6320">
            <w:pPr>
              <w:spacing w:after="60" w:line="240" w:lineRule="auto"/>
              <w:rPr>
                <w:color w:val="000000" w:themeColor="text1"/>
              </w:rPr>
            </w:pPr>
            <w:r w:rsidRPr="00824722">
              <w:rPr>
                <w:color w:val="000000" w:themeColor="text1"/>
              </w:rPr>
              <w:t xml:space="preserve">Independent evaluator </w:t>
            </w:r>
            <w:r w:rsidRPr="00824722">
              <w:rPr>
                <w:i/>
                <w:color w:val="000000" w:themeColor="text1"/>
              </w:rPr>
              <w:t>lead</w:t>
            </w:r>
          </w:p>
          <w:p w:rsidR="001C785C" w:rsidRPr="00824722" w:rsidRDefault="001C785C" w:rsidP="000E6320">
            <w:pPr>
              <w:spacing w:after="60" w:line="240" w:lineRule="auto"/>
            </w:pPr>
            <w:r w:rsidRPr="00824722">
              <w:rPr>
                <w:color w:val="000000" w:themeColor="text1"/>
              </w:rPr>
              <w:t xml:space="preserve">DoHAC </w:t>
            </w:r>
            <w:r w:rsidRPr="00824722">
              <w:rPr>
                <w:i/>
                <w:color w:val="000000" w:themeColor="text1"/>
              </w:rPr>
              <w:t>review</w:t>
            </w:r>
            <w:r w:rsidRPr="00824722">
              <w:rPr>
                <w:color w:val="5B9BD5"/>
              </w:rPr>
              <w:t xml:space="preserve"> </w:t>
            </w:r>
            <w:r w:rsidRPr="00824722">
              <w:rPr>
                <w:color w:val="5B9BD5"/>
              </w:rPr>
              <w:br/>
            </w:r>
            <w:r w:rsidRPr="00824722">
              <w:rPr>
                <w:color w:val="000000" w:themeColor="text1"/>
              </w:rPr>
              <w:t xml:space="preserve">Health Ministers </w:t>
            </w:r>
            <w:r w:rsidRPr="00824722">
              <w:rPr>
                <w:i/>
                <w:color w:val="000000" w:themeColor="text1"/>
              </w:rPr>
              <w:t>review</w:t>
            </w:r>
          </w:p>
        </w:tc>
        <w:tc>
          <w:tcPr>
            <w:tcW w:w="3402" w:type="dxa"/>
            <w:tcBorders>
              <w:top w:val="nil"/>
              <w:left w:val="single" w:sz="4" w:space="0" w:color="auto"/>
              <w:bottom w:val="single" w:sz="8" w:space="0" w:color="auto"/>
              <w:right w:val="single" w:sz="8" w:space="0" w:color="auto"/>
            </w:tcBorders>
            <w:shd w:val="clear" w:color="auto" w:fill="F2F2F2" w:themeFill="background1" w:themeFillShade="F2"/>
          </w:tcPr>
          <w:p w:rsidR="000E6320" w:rsidRPr="00824722" w:rsidRDefault="000E6320" w:rsidP="000E6320">
            <w:pPr>
              <w:spacing w:after="60" w:line="240" w:lineRule="auto"/>
              <w:rPr>
                <w:bCs/>
              </w:rPr>
            </w:pPr>
            <w:r w:rsidRPr="00824722">
              <w:rPr>
                <w:bCs/>
              </w:rPr>
              <w:t>Consolidate stakeholder comments</w:t>
            </w:r>
          </w:p>
          <w:p w:rsidR="001C785C" w:rsidRPr="00824722" w:rsidRDefault="000E6320" w:rsidP="000E6320">
            <w:pPr>
              <w:pStyle w:val="ListParagraph"/>
              <w:tabs>
                <w:tab w:val="left" w:pos="2127"/>
              </w:tabs>
              <w:spacing w:after="60" w:line="240" w:lineRule="auto"/>
              <w:ind w:left="0"/>
              <w:contextualSpacing w:val="0"/>
            </w:pPr>
            <w:r w:rsidRPr="00824722">
              <w:t>Coordinate</w:t>
            </w:r>
            <w:r w:rsidRPr="00824722">
              <w:rPr>
                <w:bCs/>
              </w:rPr>
              <w:t xml:space="preserve"> input, resolve differences, conduct final edit and submit for endorsement</w:t>
            </w:r>
          </w:p>
        </w:tc>
        <w:tc>
          <w:tcPr>
            <w:tcW w:w="1984"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rsidR="001C785C" w:rsidRPr="00824722" w:rsidRDefault="001C785C" w:rsidP="000E6320">
            <w:pPr>
              <w:spacing w:after="60" w:line="240" w:lineRule="auto"/>
              <w:rPr>
                <w:color w:val="000000" w:themeColor="text1"/>
              </w:rPr>
            </w:pPr>
            <w:r w:rsidRPr="00824722">
              <w:rPr>
                <w:color w:val="000000" w:themeColor="text1"/>
              </w:rPr>
              <w:t>Feb 2029</w:t>
            </w:r>
          </w:p>
        </w:tc>
      </w:tr>
      <w:tr w:rsidR="001C785C" w:rsidTr="0040187A">
        <w:tc>
          <w:tcPr>
            <w:tcW w:w="452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C785C" w:rsidRPr="00824722" w:rsidRDefault="001C785C" w:rsidP="000E6320">
            <w:pPr>
              <w:spacing w:after="60" w:line="240" w:lineRule="auto"/>
            </w:pPr>
            <w:r w:rsidRPr="00824722">
              <w:rPr>
                <w:bCs/>
                <w:color w:val="000000"/>
              </w:rPr>
              <w:t>Endorsement of report and agreement on release</w:t>
            </w:r>
          </w:p>
        </w:tc>
        <w:tc>
          <w:tcPr>
            <w:tcW w:w="3261" w:type="dxa"/>
            <w:tcBorders>
              <w:top w:val="nil"/>
              <w:left w:val="nil"/>
              <w:bottom w:val="single" w:sz="8" w:space="0" w:color="auto"/>
              <w:right w:val="single" w:sz="4" w:space="0" w:color="auto"/>
            </w:tcBorders>
            <w:shd w:val="clear" w:color="auto" w:fill="FFFFFF" w:themeFill="background1"/>
            <w:tcMar>
              <w:top w:w="0" w:type="dxa"/>
              <w:left w:w="108" w:type="dxa"/>
              <w:bottom w:w="0" w:type="dxa"/>
              <w:right w:w="108" w:type="dxa"/>
            </w:tcMar>
          </w:tcPr>
          <w:p w:rsidR="001C785C" w:rsidRPr="00824722" w:rsidRDefault="001C785C" w:rsidP="000E6320">
            <w:pPr>
              <w:spacing w:after="60" w:line="240" w:lineRule="auto"/>
            </w:pPr>
            <w:r w:rsidRPr="00824722">
              <w:rPr>
                <w:color w:val="000000" w:themeColor="text1"/>
              </w:rPr>
              <w:t xml:space="preserve">DoHAC </w:t>
            </w:r>
            <w:r w:rsidRPr="00824722">
              <w:rPr>
                <w:i/>
                <w:color w:val="000000" w:themeColor="text1"/>
              </w:rPr>
              <w:t>endorse</w:t>
            </w:r>
            <w:r w:rsidRPr="00824722">
              <w:rPr>
                <w:color w:val="5B9BD5"/>
              </w:rPr>
              <w:t xml:space="preserve"> </w:t>
            </w:r>
            <w:r w:rsidRPr="00824722">
              <w:rPr>
                <w:color w:val="5B9BD5"/>
              </w:rPr>
              <w:br/>
            </w:r>
            <w:r w:rsidRPr="00824722">
              <w:rPr>
                <w:color w:val="000000" w:themeColor="text1"/>
              </w:rPr>
              <w:t xml:space="preserve">Health Ministers </w:t>
            </w:r>
            <w:r w:rsidRPr="00824722">
              <w:rPr>
                <w:i/>
                <w:color w:val="000000" w:themeColor="text1"/>
              </w:rPr>
              <w:t>endorse</w:t>
            </w:r>
          </w:p>
        </w:tc>
        <w:tc>
          <w:tcPr>
            <w:tcW w:w="3402" w:type="dxa"/>
            <w:tcBorders>
              <w:top w:val="nil"/>
              <w:left w:val="single" w:sz="4" w:space="0" w:color="auto"/>
              <w:bottom w:val="single" w:sz="8" w:space="0" w:color="auto"/>
              <w:right w:val="single" w:sz="8" w:space="0" w:color="auto"/>
            </w:tcBorders>
            <w:shd w:val="clear" w:color="auto" w:fill="FFFFFF" w:themeFill="background1"/>
          </w:tcPr>
          <w:p w:rsidR="001C785C" w:rsidRPr="00824722" w:rsidRDefault="001C785C" w:rsidP="000E6320">
            <w:pPr>
              <w:spacing w:after="60" w:line="240" w:lineRule="auto"/>
            </w:pPr>
            <w:r w:rsidRPr="00824722">
              <w:t>Final report published on DoHAC website</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1C785C" w:rsidRPr="006D1238" w:rsidRDefault="001C785C" w:rsidP="000E6320">
            <w:pPr>
              <w:spacing w:after="60" w:line="240" w:lineRule="auto"/>
              <w:rPr>
                <w:color w:val="000000" w:themeColor="text1"/>
              </w:rPr>
            </w:pPr>
            <w:r w:rsidRPr="00824722">
              <w:rPr>
                <w:color w:val="000000" w:themeColor="text1"/>
              </w:rPr>
              <w:t>April 2029</w:t>
            </w:r>
          </w:p>
        </w:tc>
      </w:tr>
    </w:tbl>
    <w:p w:rsidR="001C785C" w:rsidRDefault="001C785C">
      <w:pPr>
        <w:rPr>
          <w:rFonts w:cstheme="minorHAnsi"/>
          <w:b/>
          <w:i/>
          <w:color w:val="000000" w:themeColor="text1"/>
        </w:rPr>
        <w:sectPr w:rsidR="001C785C" w:rsidSect="00DB0302">
          <w:pgSz w:w="14180" w:h="9980" w:orient="landscape"/>
          <w:pgMar w:top="460" w:right="993" w:bottom="426" w:left="142" w:header="0" w:footer="767" w:gutter="0"/>
          <w:cols w:space="720"/>
          <w:docGrid w:linePitch="326"/>
        </w:sectPr>
      </w:pPr>
    </w:p>
    <w:p w:rsidR="004359E7" w:rsidRPr="00824722" w:rsidRDefault="004359E7" w:rsidP="004359E7">
      <w:pPr>
        <w:pStyle w:val="Heading1"/>
      </w:pPr>
      <w:bookmarkStart w:id="93" w:name="_Toc162017843"/>
      <w:r>
        <w:t>8</w:t>
      </w:r>
      <w:r w:rsidRPr="00824722">
        <w:t>. Conclusion</w:t>
      </w:r>
      <w:bookmarkEnd w:id="93"/>
    </w:p>
    <w:p w:rsidR="008F6DDA" w:rsidRPr="00824722" w:rsidRDefault="008F6DDA" w:rsidP="008F6DDA">
      <w:pPr>
        <w:tabs>
          <w:tab w:val="left" w:pos="2127"/>
        </w:tabs>
        <w:ind w:left="567"/>
        <w:rPr>
          <w:rFonts w:cstheme="minorHAnsi"/>
          <w:sz w:val="24"/>
          <w:szCs w:val="24"/>
        </w:rPr>
      </w:pPr>
      <w:r w:rsidRPr="00824722">
        <w:rPr>
          <w:rFonts w:cstheme="minorHAnsi"/>
          <w:sz w:val="24"/>
          <w:szCs w:val="24"/>
        </w:rPr>
        <w:t xml:space="preserve">This IA has systematically assessed the potential impacts of </w:t>
      </w:r>
      <w:r w:rsidR="006041F0" w:rsidRPr="00824722">
        <w:rPr>
          <w:rFonts w:cstheme="minorHAnsi"/>
          <w:sz w:val="24"/>
          <w:szCs w:val="24"/>
        </w:rPr>
        <w:t>three</w:t>
      </w:r>
      <w:r w:rsidRPr="00824722">
        <w:rPr>
          <w:rFonts w:cstheme="minorHAnsi"/>
          <w:sz w:val="24"/>
          <w:szCs w:val="24"/>
        </w:rPr>
        <w:t xml:space="preserve"> option</w:t>
      </w:r>
      <w:r w:rsidR="006041F0" w:rsidRPr="00824722">
        <w:rPr>
          <w:rFonts w:cstheme="minorHAnsi"/>
          <w:sz w:val="24"/>
          <w:szCs w:val="24"/>
        </w:rPr>
        <w:t xml:space="preserve">s </w:t>
      </w:r>
      <w:r w:rsidR="0067736D" w:rsidRPr="00824722">
        <w:rPr>
          <w:rFonts w:cstheme="minorHAnsi"/>
          <w:sz w:val="24"/>
          <w:szCs w:val="24"/>
        </w:rPr>
        <w:t>to</w:t>
      </w:r>
      <w:r w:rsidRPr="00824722">
        <w:rPr>
          <w:rFonts w:cstheme="minorHAnsi"/>
          <w:sz w:val="24"/>
          <w:szCs w:val="24"/>
        </w:rPr>
        <w:t xml:space="preserve"> assist the Government to make an informed decision, mitigate the risks, and </w:t>
      </w:r>
      <w:r w:rsidR="00156D91" w:rsidRPr="00824722">
        <w:rPr>
          <w:rFonts w:cstheme="minorHAnsi"/>
          <w:sz w:val="24"/>
          <w:szCs w:val="24"/>
        </w:rPr>
        <w:t xml:space="preserve">successfully implement </w:t>
      </w:r>
      <w:r w:rsidR="006041F0" w:rsidRPr="00824722">
        <w:rPr>
          <w:rFonts w:cstheme="minorHAnsi"/>
          <w:sz w:val="24"/>
          <w:szCs w:val="24"/>
        </w:rPr>
        <w:t>an</w:t>
      </w:r>
      <w:r w:rsidR="0067736D" w:rsidRPr="00824722">
        <w:rPr>
          <w:rFonts w:cstheme="minorHAnsi"/>
          <w:sz w:val="24"/>
          <w:szCs w:val="24"/>
        </w:rPr>
        <w:t xml:space="preserve"> option</w:t>
      </w:r>
      <w:r w:rsidR="006041F0" w:rsidRPr="00824722">
        <w:rPr>
          <w:rFonts w:cstheme="minorHAnsi"/>
          <w:sz w:val="24"/>
          <w:szCs w:val="24"/>
        </w:rPr>
        <w:t xml:space="preserve"> that meets all of the Government’s reform objectives</w:t>
      </w:r>
      <w:r w:rsidRPr="00824722">
        <w:rPr>
          <w:rFonts w:cstheme="minorHAnsi"/>
          <w:sz w:val="24"/>
          <w:szCs w:val="24"/>
        </w:rPr>
        <w:t xml:space="preserve">. The intent </w:t>
      </w:r>
      <w:r w:rsidR="00156D91" w:rsidRPr="00824722">
        <w:rPr>
          <w:rFonts w:cstheme="minorHAnsi"/>
          <w:sz w:val="24"/>
          <w:szCs w:val="24"/>
        </w:rPr>
        <w:t>is</w:t>
      </w:r>
      <w:r w:rsidRPr="00824722">
        <w:rPr>
          <w:rFonts w:cstheme="minorHAnsi"/>
          <w:sz w:val="24"/>
          <w:szCs w:val="24"/>
        </w:rPr>
        <w:t xml:space="preserve"> to </w:t>
      </w:r>
      <w:r w:rsidR="00156D91" w:rsidRPr="00824722">
        <w:rPr>
          <w:rFonts w:cstheme="minorHAnsi"/>
          <w:sz w:val="24"/>
          <w:szCs w:val="24"/>
        </w:rPr>
        <w:t xml:space="preserve">highlight </w:t>
      </w:r>
      <w:r w:rsidRPr="00824722">
        <w:rPr>
          <w:rFonts w:cstheme="minorHAnsi"/>
          <w:sz w:val="24"/>
          <w:szCs w:val="24"/>
        </w:rPr>
        <w:t xml:space="preserve">the ripple effects of </w:t>
      </w:r>
      <w:r w:rsidR="006041F0" w:rsidRPr="00824722">
        <w:rPr>
          <w:rFonts w:cstheme="minorHAnsi"/>
          <w:sz w:val="24"/>
          <w:szCs w:val="24"/>
        </w:rPr>
        <w:t xml:space="preserve">any </w:t>
      </w:r>
      <w:r w:rsidR="00156D91" w:rsidRPr="00824722">
        <w:rPr>
          <w:rFonts w:cstheme="minorHAnsi"/>
          <w:sz w:val="24"/>
          <w:szCs w:val="24"/>
        </w:rPr>
        <w:t xml:space="preserve">change, which </w:t>
      </w:r>
      <w:r w:rsidR="0067736D" w:rsidRPr="00824722">
        <w:rPr>
          <w:rFonts w:cstheme="minorHAnsi"/>
          <w:sz w:val="24"/>
          <w:szCs w:val="24"/>
        </w:rPr>
        <w:t>would</w:t>
      </w:r>
      <w:r w:rsidR="00156D91" w:rsidRPr="00824722">
        <w:rPr>
          <w:rFonts w:cstheme="minorHAnsi"/>
          <w:sz w:val="24"/>
          <w:szCs w:val="24"/>
        </w:rPr>
        <w:t xml:space="preserve"> enable</w:t>
      </w:r>
      <w:r w:rsidRPr="00824722">
        <w:rPr>
          <w:rFonts w:cstheme="minorHAnsi"/>
          <w:sz w:val="24"/>
          <w:szCs w:val="24"/>
        </w:rPr>
        <w:t xml:space="preserve"> </w:t>
      </w:r>
      <w:r w:rsidR="00B155D4" w:rsidRPr="00824722">
        <w:rPr>
          <w:rFonts w:cstheme="minorHAnsi"/>
          <w:sz w:val="24"/>
          <w:szCs w:val="24"/>
        </w:rPr>
        <w:t xml:space="preserve">the Government and </w:t>
      </w:r>
      <w:r w:rsidRPr="00824722">
        <w:rPr>
          <w:rFonts w:cstheme="minorHAnsi"/>
          <w:sz w:val="24"/>
          <w:szCs w:val="24"/>
        </w:rPr>
        <w:t xml:space="preserve">stakeholders to plan and prepare for </w:t>
      </w:r>
      <w:r w:rsidR="006041F0" w:rsidRPr="00824722">
        <w:rPr>
          <w:rFonts w:cstheme="minorHAnsi"/>
          <w:sz w:val="24"/>
          <w:szCs w:val="24"/>
        </w:rPr>
        <w:t xml:space="preserve">any </w:t>
      </w:r>
      <w:r w:rsidRPr="00824722">
        <w:rPr>
          <w:rFonts w:cstheme="minorHAnsi"/>
          <w:sz w:val="24"/>
          <w:szCs w:val="24"/>
        </w:rPr>
        <w:t>necessary adjustments.</w:t>
      </w:r>
    </w:p>
    <w:p w:rsidR="00E901A7" w:rsidRPr="00824722" w:rsidRDefault="00E901A7" w:rsidP="00E901A7">
      <w:pPr>
        <w:pStyle w:val="Heading3"/>
      </w:pPr>
      <w:bookmarkStart w:id="94" w:name="_Toc162017844"/>
      <w:r w:rsidRPr="00824722">
        <w:t>Option 2 - preferred</w:t>
      </w:r>
      <w:bookmarkEnd w:id="94"/>
    </w:p>
    <w:p w:rsidR="0067736D" w:rsidRPr="00824722" w:rsidRDefault="00224306" w:rsidP="008F6DDA">
      <w:pPr>
        <w:tabs>
          <w:tab w:val="left" w:pos="2127"/>
        </w:tabs>
        <w:ind w:left="567"/>
        <w:rPr>
          <w:rFonts w:cstheme="minorHAnsi"/>
          <w:sz w:val="24"/>
          <w:szCs w:val="24"/>
        </w:rPr>
      </w:pPr>
      <w:r w:rsidRPr="00824722">
        <w:rPr>
          <w:rFonts w:cstheme="minorHAnsi"/>
          <w:sz w:val="24"/>
          <w:szCs w:val="24"/>
        </w:rPr>
        <w:t>O</w:t>
      </w:r>
      <w:r w:rsidR="0067736D" w:rsidRPr="00824722">
        <w:rPr>
          <w:rFonts w:cstheme="minorHAnsi"/>
          <w:sz w:val="24"/>
          <w:szCs w:val="24"/>
        </w:rPr>
        <w:t xml:space="preserve">ption </w:t>
      </w:r>
      <w:r w:rsidRPr="00824722">
        <w:rPr>
          <w:rFonts w:cstheme="minorHAnsi"/>
          <w:sz w:val="24"/>
          <w:szCs w:val="24"/>
        </w:rPr>
        <w:t>2 delivers the greatest net benefit and c</w:t>
      </w:r>
      <w:r w:rsidR="0067736D" w:rsidRPr="00824722">
        <w:rPr>
          <w:rFonts w:cstheme="minorHAnsi"/>
          <w:sz w:val="24"/>
          <w:szCs w:val="24"/>
        </w:rPr>
        <w:t xml:space="preserve">learly corresponds with the Government’s </w:t>
      </w:r>
      <w:r w:rsidR="006041F0" w:rsidRPr="00824722">
        <w:rPr>
          <w:rFonts w:cstheme="minorHAnsi"/>
          <w:sz w:val="24"/>
          <w:szCs w:val="24"/>
        </w:rPr>
        <w:t>three</w:t>
      </w:r>
      <w:r w:rsidR="00E901A7" w:rsidRPr="00824722">
        <w:rPr>
          <w:rFonts w:cstheme="minorHAnsi"/>
          <w:sz w:val="24"/>
          <w:szCs w:val="24"/>
        </w:rPr>
        <w:t xml:space="preserve"> </w:t>
      </w:r>
      <w:r w:rsidR="0067736D" w:rsidRPr="00824722">
        <w:rPr>
          <w:rFonts w:cstheme="minorHAnsi"/>
          <w:sz w:val="24"/>
          <w:szCs w:val="24"/>
        </w:rPr>
        <w:t xml:space="preserve">reform objectives. </w:t>
      </w:r>
      <w:r w:rsidRPr="00824722">
        <w:rPr>
          <w:rFonts w:cstheme="minorHAnsi"/>
          <w:sz w:val="24"/>
          <w:szCs w:val="24"/>
        </w:rPr>
        <w:t>This option</w:t>
      </w:r>
      <w:r w:rsidR="0067736D" w:rsidRPr="00824722">
        <w:rPr>
          <w:rFonts w:cstheme="minorHAnsi"/>
          <w:sz w:val="24"/>
          <w:szCs w:val="24"/>
        </w:rPr>
        <w:t xml:space="preserve"> will:</w:t>
      </w:r>
    </w:p>
    <w:p w:rsidR="0067736D" w:rsidRPr="00824722" w:rsidRDefault="0067736D" w:rsidP="0067736D">
      <w:pPr>
        <w:pStyle w:val="ListParagraph"/>
        <w:numPr>
          <w:ilvl w:val="0"/>
          <w:numId w:val="32"/>
        </w:numPr>
        <w:ind w:left="924" w:hanging="357"/>
        <w:contextualSpacing w:val="0"/>
        <w:rPr>
          <w:sz w:val="24"/>
          <w:szCs w:val="24"/>
        </w:rPr>
      </w:pPr>
      <w:r w:rsidRPr="00824722">
        <w:rPr>
          <w:rFonts w:cstheme="minorHAnsi"/>
          <w:color w:val="000000" w:themeColor="text1"/>
          <w:sz w:val="24"/>
          <w:szCs w:val="24"/>
        </w:rPr>
        <w:t xml:space="preserve">make low-risk homebirths an eligible product under the Midwife Schemes </w:t>
      </w:r>
    </w:p>
    <w:p w:rsidR="0067736D" w:rsidRPr="00824722" w:rsidRDefault="0067736D" w:rsidP="0067736D">
      <w:pPr>
        <w:pStyle w:val="ListParagraph"/>
        <w:numPr>
          <w:ilvl w:val="0"/>
          <w:numId w:val="32"/>
        </w:numPr>
        <w:ind w:left="924" w:hanging="357"/>
        <w:contextualSpacing w:val="0"/>
        <w:rPr>
          <w:sz w:val="24"/>
          <w:szCs w:val="24"/>
        </w:rPr>
      </w:pPr>
      <w:r w:rsidRPr="00824722">
        <w:rPr>
          <w:rFonts w:cstheme="minorHAnsi"/>
          <w:color w:val="000000" w:themeColor="text1"/>
          <w:sz w:val="24"/>
          <w:szCs w:val="24"/>
        </w:rPr>
        <w:t xml:space="preserve">build on momentum towards achieving Closing the Gap Target 2 by improving community access to culturally safe continuity of midwifery services and midwifery care, including expansion of BoC programs by 2031, </w:t>
      </w:r>
    </w:p>
    <w:p w:rsidR="0067736D" w:rsidRPr="00824722" w:rsidRDefault="00E901A7" w:rsidP="0067736D">
      <w:pPr>
        <w:pStyle w:val="ListParagraph"/>
        <w:numPr>
          <w:ilvl w:val="0"/>
          <w:numId w:val="32"/>
        </w:numPr>
        <w:ind w:left="924" w:hanging="357"/>
        <w:contextualSpacing w:val="0"/>
        <w:rPr>
          <w:sz w:val="24"/>
          <w:szCs w:val="24"/>
        </w:rPr>
      </w:pPr>
      <w:r w:rsidRPr="00824722">
        <w:rPr>
          <w:rFonts w:cstheme="minorHAnsi"/>
          <w:color w:val="000000" w:themeColor="text1"/>
          <w:sz w:val="24"/>
          <w:szCs w:val="24"/>
        </w:rPr>
        <w:t xml:space="preserve">allow PPMs to access appropriate PII and work to their full scope of practice while </w:t>
      </w:r>
      <w:r w:rsidR="0067736D" w:rsidRPr="00824722">
        <w:rPr>
          <w:rFonts w:cstheme="minorHAnsi"/>
          <w:color w:val="000000" w:themeColor="text1"/>
          <w:sz w:val="24"/>
          <w:szCs w:val="24"/>
        </w:rPr>
        <w:t>allow</w:t>
      </w:r>
      <w:r w:rsidRPr="00824722">
        <w:rPr>
          <w:rFonts w:cstheme="minorHAnsi"/>
          <w:color w:val="000000" w:themeColor="text1"/>
          <w:sz w:val="24"/>
          <w:szCs w:val="24"/>
        </w:rPr>
        <w:t>ing</w:t>
      </w:r>
      <w:r w:rsidR="0067736D" w:rsidRPr="00824722">
        <w:rPr>
          <w:rFonts w:cstheme="minorHAnsi"/>
          <w:color w:val="000000" w:themeColor="text1"/>
          <w:sz w:val="24"/>
          <w:szCs w:val="24"/>
        </w:rPr>
        <w:t xml:space="preserve"> time for the Commonwealth to work with state and territory governments t</w:t>
      </w:r>
      <w:r w:rsidRPr="00824722">
        <w:rPr>
          <w:rFonts w:cstheme="minorHAnsi"/>
          <w:color w:val="000000" w:themeColor="text1"/>
          <w:sz w:val="24"/>
          <w:szCs w:val="24"/>
        </w:rPr>
        <w:t>o finalise a solution by 2030</w:t>
      </w:r>
      <w:r w:rsidR="0067736D" w:rsidRPr="00824722">
        <w:rPr>
          <w:rFonts w:cstheme="minorHAnsi"/>
          <w:color w:val="000000" w:themeColor="text1"/>
          <w:sz w:val="24"/>
          <w:szCs w:val="24"/>
        </w:rPr>
        <w:t>.</w:t>
      </w:r>
    </w:p>
    <w:p w:rsidR="0067736D" w:rsidRPr="00824722" w:rsidRDefault="006041F0" w:rsidP="008F6DDA">
      <w:pPr>
        <w:tabs>
          <w:tab w:val="left" w:pos="2127"/>
        </w:tabs>
        <w:ind w:left="567"/>
        <w:rPr>
          <w:rFonts w:cstheme="minorHAnsi"/>
          <w:sz w:val="24"/>
          <w:szCs w:val="24"/>
        </w:rPr>
      </w:pPr>
      <w:r w:rsidRPr="00824722">
        <w:rPr>
          <w:rFonts w:cstheme="minorHAnsi"/>
          <w:sz w:val="24"/>
          <w:szCs w:val="24"/>
        </w:rPr>
        <w:t xml:space="preserve">Option 2 has been assessed as delivering the greatest net benefit to </w:t>
      </w:r>
      <w:r w:rsidR="0067736D" w:rsidRPr="00824722">
        <w:rPr>
          <w:rFonts w:cstheme="minorHAnsi"/>
          <w:sz w:val="24"/>
          <w:szCs w:val="24"/>
        </w:rPr>
        <w:t>stakeholders (consumers, PPMs, industry, the regulator, a</w:t>
      </w:r>
      <w:r w:rsidRPr="00824722">
        <w:rPr>
          <w:rFonts w:cstheme="minorHAnsi"/>
          <w:sz w:val="24"/>
          <w:szCs w:val="24"/>
        </w:rPr>
        <w:t>nd business [</w:t>
      </w:r>
      <w:r w:rsidR="0067736D" w:rsidRPr="00824722">
        <w:rPr>
          <w:rFonts w:cstheme="minorHAnsi"/>
          <w:sz w:val="24"/>
          <w:szCs w:val="24"/>
        </w:rPr>
        <w:t>ACCHOs</w:t>
      </w:r>
      <w:r w:rsidRPr="00824722">
        <w:rPr>
          <w:rFonts w:cstheme="minorHAnsi"/>
          <w:sz w:val="24"/>
          <w:szCs w:val="24"/>
        </w:rPr>
        <w:t>]</w:t>
      </w:r>
      <w:r w:rsidR="0067736D" w:rsidRPr="00824722">
        <w:rPr>
          <w:rFonts w:cstheme="minorHAnsi"/>
          <w:sz w:val="24"/>
          <w:szCs w:val="24"/>
        </w:rPr>
        <w:t>)</w:t>
      </w:r>
      <w:r w:rsidRPr="00824722">
        <w:rPr>
          <w:rFonts w:cstheme="minorHAnsi"/>
          <w:sz w:val="24"/>
          <w:szCs w:val="24"/>
        </w:rPr>
        <w:t>, including a</w:t>
      </w:r>
      <w:r w:rsidR="0067736D" w:rsidRPr="00824722">
        <w:rPr>
          <w:rFonts w:cstheme="minorHAnsi"/>
          <w:sz w:val="24"/>
          <w:szCs w:val="24"/>
        </w:rPr>
        <w:t xml:space="preserve"> </w:t>
      </w:r>
      <w:r w:rsidRPr="00824722">
        <w:rPr>
          <w:rFonts w:cstheme="minorHAnsi"/>
          <w:sz w:val="24"/>
          <w:szCs w:val="24"/>
        </w:rPr>
        <w:t xml:space="preserve">net regulatory saving of </w:t>
      </w:r>
      <w:r w:rsidR="0067736D" w:rsidRPr="00824722">
        <w:rPr>
          <w:rFonts w:cstheme="minorHAnsi"/>
          <w:sz w:val="24"/>
          <w:szCs w:val="24"/>
        </w:rPr>
        <w:t>$</w:t>
      </w:r>
      <w:r w:rsidR="003804ED" w:rsidRPr="00824722">
        <w:rPr>
          <w:rFonts w:cstheme="minorHAnsi"/>
          <w:sz w:val="24"/>
          <w:szCs w:val="24"/>
        </w:rPr>
        <w:t>1.043</w:t>
      </w:r>
      <w:r w:rsidR="0067736D" w:rsidRPr="00824722">
        <w:rPr>
          <w:rFonts w:cstheme="minorHAnsi"/>
          <w:sz w:val="24"/>
          <w:szCs w:val="24"/>
        </w:rPr>
        <w:t xml:space="preserve"> million per year.</w:t>
      </w:r>
    </w:p>
    <w:p w:rsidR="00D76CAE" w:rsidRPr="00824722" w:rsidRDefault="006041F0" w:rsidP="00D76CAE">
      <w:pPr>
        <w:tabs>
          <w:tab w:val="left" w:pos="2127"/>
        </w:tabs>
        <w:ind w:left="567"/>
        <w:rPr>
          <w:rFonts w:cstheme="minorHAnsi"/>
          <w:sz w:val="24"/>
          <w:szCs w:val="24"/>
        </w:rPr>
      </w:pPr>
      <w:r w:rsidRPr="00824722">
        <w:rPr>
          <w:rFonts w:cstheme="minorHAnsi"/>
          <w:sz w:val="24"/>
          <w:szCs w:val="24"/>
        </w:rPr>
        <w:t xml:space="preserve">Implementation of this option </w:t>
      </w:r>
      <w:r w:rsidR="00AF731C" w:rsidRPr="00824722">
        <w:rPr>
          <w:rFonts w:cstheme="minorHAnsi"/>
          <w:sz w:val="24"/>
          <w:szCs w:val="24"/>
        </w:rPr>
        <w:t xml:space="preserve">will involve the establishment of a national dataset that will collect claims data. </w:t>
      </w:r>
      <w:r w:rsidR="00D76CAE" w:rsidRPr="00824722">
        <w:rPr>
          <w:rFonts w:cstheme="minorHAnsi"/>
          <w:sz w:val="24"/>
          <w:szCs w:val="24"/>
        </w:rPr>
        <w:t xml:space="preserve">This data is expected to </w:t>
      </w:r>
      <w:r w:rsidR="00AF731C" w:rsidRPr="00824722">
        <w:rPr>
          <w:rFonts w:cstheme="minorHAnsi"/>
          <w:sz w:val="24"/>
          <w:szCs w:val="24"/>
        </w:rPr>
        <w:t>provide a clearer risk profile of PPM</w:t>
      </w:r>
      <w:r w:rsidR="00BA5821" w:rsidRPr="00824722">
        <w:rPr>
          <w:rFonts w:cstheme="minorHAnsi"/>
          <w:sz w:val="24"/>
          <w:szCs w:val="24"/>
        </w:rPr>
        <w:t xml:space="preserve"> practice and outcomes and enable informed decision-making on a permanent solution for PII for PPMs. Data collected to December 2027</w:t>
      </w:r>
      <w:r w:rsidR="00C007D8" w:rsidRPr="00824722">
        <w:rPr>
          <w:rFonts w:cstheme="minorHAnsi"/>
          <w:sz w:val="24"/>
          <w:szCs w:val="24"/>
        </w:rPr>
        <w:t xml:space="preserve"> </w:t>
      </w:r>
      <w:r w:rsidR="00BA5821" w:rsidRPr="00824722">
        <w:rPr>
          <w:rFonts w:cstheme="minorHAnsi"/>
          <w:sz w:val="24"/>
          <w:szCs w:val="24"/>
        </w:rPr>
        <w:t xml:space="preserve">will inform an independent evaluation </w:t>
      </w:r>
      <w:r w:rsidR="00D76CAE" w:rsidRPr="00824722">
        <w:rPr>
          <w:rFonts w:cstheme="minorHAnsi"/>
          <w:sz w:val="24"/>
          <w:szCs w:val="24"/>
        </w:rPr>
        <w:t>commencing</w:t>
      </w:r>
      <w:r w:rsidR="00BA5821" w:rsidRPr="00824722">
        <w:rPr>
          <w:rFonts w:cstheme="minorHAnsi"/>
          <w:sz w:val="24"/>
          <w:szCs w:val="24"/>
        </w:rPr>
        <w:t xml:space="preserve"> in February 2027</w:t>
      </w:r>
      <w:r w:rsidR="00C007D8" w:rsidRPr="00824722">
        <w:rPr>
          <w:rFonts w:cstheme="minorHAnsi"/>
          <w:sz w:val="24"/>
          <w:szCs w:val="24"/>
        </w:rPr>
        <w:t xml:space="preserve"> while d</w:t>
      </w:r>
      <w:r w:rsidR="00D76CAE" w:rsidRPr="00824722">
        <w:rPr>
          <w:rFonts w:cstheme="minorHAnsi"/>
          <w:sz w:val="24"/>
          <w:szCs w:val="24"/>
        </w:rPr>
        <w:t>ata collected to December 2028</w:t>
      </w:r>
      <w:r w:rsidR="00C007D8" w:rsidRPr="00824722">
        <w:rPr>
          <w:rFonts w:cstheme="minorHAnsi"/>
          <w:sz w:val="24"/>
          <w:szCs w:val="24"/>
        </w:rPr>
        <w:t xml:space="preserve"> </w:t>
      </w:r>
      <w:r w:rsidR="00D76CAE" w:rsidRPr="00824722">
        <w:rPr>
          <w:rFonts w:cstheme="minorHAnsi"/>
          <w:sz w:val="24"/>
          <w:szCs w:val="24"/>
        </w:rPr>
        <w:t>will be reflected in the final evaluation report.</w:t>
      </w:r>
    </w:p>
    <w:p w:rsidR="00E901A7" w:rsidRPr="00824722" w:rsidRDefault="00E901A7" w:rsidP="00E901A7">
      <w:pPr>
        <w:pStyle w:val="Heading3"/>
      </w:pPr>
      <w:bookmarkStart w:id="95" w:name="_Toc162017845"/>
      <w:r w:rsidRPr="00824722">
        <w:t xml:space="preserve">Option 1 – </w:t>
      </w:r>
      <w:r w:rsidR="00913A4D" w:rsidRPr="00824722">
        <w:t>retain exemption (</w:t>
      </w:r>
      <w:r w:rsidRPr="00824722">
        <w:t>status quo</w:t>
      </w:r>
      <w:r w:rsidR="00913A4D" w:rsidRPr="00824722">
        <w:t>)</w:t>
      </w:r>
      <w:bookmarkEnd w:id="95"/>
    </w:p>
    <w:p w:rsidR="00E901A7" w:rsidRPr="00824722" w:rsidRDefault="00E901A7" w:rsidP="00E901A7">
      <w:pPr>
        <w:tabs>
          <w:tab w:val="left" w:pos="2127"/>
        </w:tabs>
        <w:ind w:left="567"/>
        <w:rPr>
          <w:rFonts w:cstheme="minorHAnsi"/>
          <w:sz w:val="24"/>
          <w:szCs w:val="24"/>
        </w:rPr>
      </w:pPr>
      <w:r w:rsidRPr="00824722">
        <w:rPr>
          <w:rFonts w:cstheme="minorHAnsi"/>
          <w:sz w:val="24"/>
          <w:szCs w:val="24"/>
        </w:rPr>
        <w:t xml:space="preserve">Option 1 corresponds </w:t>
      </w:r>
      <w:r w:rsidR="00913A4D" w:rsidRPr="00824722">
        <w:rPr>
          <w:rFonts w:cstheme="minorHAnsi"/>
          <w:sz w:val="24"/>
          <w:szCs w:val="24"/>
        </w:rPr>
        <w:t xml:space="preserve">to </w:t>
      </w:r>
      <w:r w:rsidR="001533DD" w:rsidRPr="00824722">
        <w:rPr>
          <w:rFonts w:cstheme="minorHAnsi"/>
          <w:sz w:val="24"/>
          <w:szCs w:val="24"/>
        </w:rPr>
        <w:t xml:space="preserve">the Government’s reform </w:t>
      </w:r>
      <w:r w:rsidRPr="00824722">
        <w:rPr>
          <w:rFonts w:cstheme="minorHAnsi"/>
          <w:sz w:val="24"/>
          <w:szCs w:val="24"/>
        </w:rPr>
        <w:t xml:space="preserve">objective 3 in that PPMs </w:t>
      </w:r>
      <w:r w:rsidR="006041F0" w:rsidRPr="00824722">
        <w:rPr>
          <w:rFonts w:cstheme="minorHAnsi"/>
          <w:sz w:val="24"/>
          <w:szCs w:val="24"/>
        </w:rPr>
        <w:t xml:space="preserve">would </w:t>
      </w:r>
      <w:r w:rsidRPr="00824722">
        <w:rPr>
          <w:rFonts w:cstheme="minorHAnsi"/>
          <w:sz w:val="24"/>
          <w:szCs w:val="24"/>
        </w:rPr>
        <w:t xml:space="preserve">continue to provide homebirth and out of hospital intrapartum care services </w:t>
      </w:r>
      <w:r w:rsidR="00913A4D" w:rsidRPr="00824722">
        <w:rPr>
          <w:rFonts w:cstheme="minorHAnsi"/>
          <w:sz w:val="24"/>
          <w:szCs w:val="24"/>
        </w:rPr>
        <w:t xml:space="preserve">as insured practitioners </w:t>
      </w:r>
      <w:r w:rsidRPr="00824722">
        <w:rPr>
          <w:rFonts w:cstheme="minorHAnsi"/>
          <w:sz w:val="24"/>
          <w:szCs w:val="24"/>
        </w:rPr>
        <w:t xml:space="preserve">while the </w:t>
      </w:r>
      <w:r w:rsidRPr="00824722">
        <w:rPr>
          <w:rFonts w:cstheme="minorHAnsi"/>
          <w:color w:val="000000" w:themeColor="text1"/>
          <w:sz w:val="24"/>
          <w:szCs w:val="24"/>
        </w:rPr>
        <w:t>Commonwealth works with state and territory governments to finalise a solution by 2030</w:t>
      </w:r>
      <w:r w:rsidRPr="00824722">
        <w:rPr>
          <w:rFonts w:cstheme="minorHAnsi"/>
          <w:sz w:val="24"/>
          <w:szCs w:val="24"/>
        </w:rPr>
        <w:t xml:space="preserve">. This option does not correspond with objectives 1 and 2. </w:t>
      </w:r>
      <w:r w:rsidR="00913A4D" w:rsidRPr="00824722">
        <w:rPr>
          <w:rFonts w:cstheme="minorHAnsi"/>
          <w:sz w:val="24"/>
          <w:szCs w:val="24"/>
        </w:rPr>
        <w:t>It</w:t>
      </w:r>
      <w:r w:rsidRPr="00824722">
        <w:rPr>
          <w:rFonts w:cstheme="minorHAnsi"/>
          <w:sz w:val="24"/>
          <w:szCs w:val="24"/>
        </w:rPr>
        <w:t xml:space="preserve"> would result in a significant impact on stakeholders, and </w:t>
      </w:r>
      <w:r w:rsidR="00913A4D" w:rsidRPr="00824722">
        <w:rPr>
          <w:rFonts w:cstheme="minorHAnsi"/>
          <w:sz w:val="24"/>
          <w:szCs w:val="24"/>
        </w:rPr>
        <w:t xml:space="preserve">impose </w:t>
      </w:r>
      <w:r w:rsidRPr="00824722">
        <w:rPr>
          <w:rFonts w:cstheme="minorHAnsi"/>
          <w:sz w:val="24"/>
          <w:szCs w:val="24"/>
        </w:rPr>
        <w:t xml:space="preserve">a regulatory burden of </w:t>
      </w:r>
      <w:r w:rsidR="00913A4D" w:rsidRPr="00824722">
        <w:rPr>
          <w:rFonts w:cstheme="minorHAnsi"/>
          <w:sz w:val="24"/>
          <w:szCs w:val="24"/>
        </w:rPr>
        <w:t>+$5.46 million per year.</w:t>
      </w:r>
    </w:p>
    <w:p w:rsidR="00913A4D" w:rsidRPr="00824722" w:rsidRDefault="00913A4D" w:rsidP="00913A4D">
      <w:pPr>
        <w:pStyle w:val="Heading3"/>
      </w:pPr>
      <w:bookmarkStart w:id="96" w:name="_Toc162017846"/>
      <w:r w:rsidRPr="00824722">
        <w:t>Option 3 – remove exemption</w:t>
      </w:r>
      <w:bookmarkEnd w:id="96"/>
    </w:p>
    <w:p w:rsidR="00913A4D" w:rsidRPr="00824722" w:rsidRDefault="006041F0" w:rsidP="00913A4D">
      <w:pPr>
        <w:tabs>
          <w:tab w:val="left" w:pos="2127"/>
        </w:tabs>
        <w:ind w:left="567"/>
        <w:rPr>
          <w:rFonts w:cstheme="minorHAnsi"/>
          <w:sz w:val="24"/>
          <w:szCs w:val="24"/>
        </w:rPr>
      </w:pPr>
      <w:r w:rsidRPr="00824722">
        <w:rPr>
          <w:rFonts w:cstheme="minorHAnsi"/>
          <w:sz w:val="24"/>
          <w:szCs w:val="24"/>
        </w:rPr>
        <w:t>O</w:t>
      </w:r>
      <w:r w:rsidR="00913A4D" w:rsidRPr="00824722">
        <w:rPr>
          <w:rFonts w:cstheme="minorHAnsi"/>
          <w:sz w:val="24"/>
          <w:szCs w:val="24"/>
        </w:rPr>
        <w:t xml:space="preserve">ption </w:t>
      </w:r>
      <w:r w:rsidRPr="00824722">
        <w:rPr>
          <w:rFonts w:cstheme="minorHAnsi"/>
          <w:sz w:val="24"/>
          <w:szCs w:val="24"/>
        </w:rPr>
        <w:t xml:space="preserve">3 </w:t>
      </w:r>
      <w:r w:rsidR="00913A4D" w:rsidRPr="00824722">
        <w:rPr>
          <w:rFonts w:cstheme="minorHAnsi"/>
          <w:sz w:val="24"/>
          <w:szCs w:val="24"/>
        </w:rPr>
        <w:t xml:space="preserve">does not correspond with </w:t>
      </w:r>
      <w:r w:rsidRPr="00824722">
        <w:rPr>
          <w:rFonts w:cstheme="minorHAnsi"/>
          <w:sz w:val="24"/>
          <w:szCs w:val="24"/>
        </w:rPr>
        <w:t xml:space="preserve">any of </w:t>
      </w:r>
      <w:r w:rsidR="00913A4D" w:rsidRPr="00824722">
        <w:rPr>
          <w:rFonts w:cstheme="minorHAnsi"/>
          <w:sz w:val="24"/>
          <w:szCs w:val="24"/>
        </w:rPr>
        <w:t>the Government’s reform options</w:t>
      </w:r>
      <w:r w:rsidRPr="00824722">
        <w:rPr>
          <w:rFonts w:cstheme="minorHAnsi"/>
          <w:sz w:val="24"/>
          <w:szCs w:val="24"/>
        </w:rPr>
        <w:t xml:space="preserve">. It </w:t>
      </w:r>
      <w:r w:rsidR="00913A4D" w:rsidRPr="00824722">
        <w:rPr>
          <w:rFonts w:cstheme="minorHAnsi"/>
          <w:sz w:val="24"/>
          <w:szCs w:val="24"/>
        </w:rPr>
        <w:t>would result in significant impact on stakeholders</w:t>
      </w:r>
      <w:r w:rsidRPr="00824722">
        <w:rPr>
          <w:rFonts w:cstheme="minorHAnsi"/>
          <w:sz w:val="24"/>
          <w:szCs w:val="24"/>
        </w:rPr>
        <w:t xml:space="preserve"> and impose a </w:t>
      </w:r>
      <w:r w:rsidR="00CD6B34">
        <w:rPr>
          <w:rFonts w:cstheme="minorHAnsi"/>
          <w:sz w:val="24"/>
          <w:szCs w:val="24"/>
        </w:rPr>
        <w:t>negati</w:t>
      </w:r>
      <w:r w:rsidRPr="00824722">
        <w:rPr>
          <w:rFonts w:cstheme="minorHAnsi"/>
          <w:sz w:val="24"/>
          <w:szCs w:val="24"/>
        </w:rPr>
        <w:t>ve regulatory burden of +$3.85 million per year.</w:t>
      </w:r>
    </w:p>
    <w:p w:rsidR="004359E7" w:rsidRPr="00824722" w:rsidRDefault="004359E7">
      <w:pPr>
        <w:rPr>
          <w:rFonts w:asciiTheme="majorHAnsi" w:eastAsiaTheme="majorEastAsia" w:hAnsiTheme="majorHAnsi" w:cstheme="majorBidi"/>
          <w:color w:val="1F4E79"/>
          <w:sz w:val="36"/>
          <w:szCs w:val="36"/>
        </w:rPr>
      </w:pPr>
      <w:r w:rsidRPr="00824722">
        <w:rPr>
          <w:color w:val="1F4E79"/>
        </w:rPr>
        <w:br w:type="page"/>
      </w:r>
    </w:p>
    <w:p w:rsidR="0094302E" w:rsidRPr="00824722" w:rsidRDefault="0094302E" w:rsidP="0094302E">
      <w:pPr>
        <w:pStyle w:val="Heading1"/>
      </w:pPr>
      <w:bookmarkStart w:id="97" w:name="_Toc162017847"/>
      <w:r w:rsidRPr="00824722">
        <w:rPr>
          <w:color w:val="1F4E79"/>
        </w:rPr>
        <w:t>Appendix</w:t>
      </w:r>
      <w:r w:rsidRPr="00824722">
        <w:t xml:space="preserve"> 1: Glossary</w:t>
      </w:r>
      <w:bookmarkEnd w:id="97"/>
    </w:p>
    <w:p w:rsidR="004148DC" w:rsidRDefault="001B45F0" w:rsidP="00BD008F">
      <w:pPr>
        <w:tabs>
          <w:tab w:val="left" w:pos="2127"/>
        </w:tabs>
        <w:spacing w:before="160"/>
        <w:ind w:left="567"/>
        <w:rPr>
          <w:rFonts w:cstheme="minorHAnsi"/>
          <w:sz w:val="24"/>
          <w:szCs w:val="24"/>
        </w:rPr>
      </w:pPr>
      <w:r w:rsidRPr="00824722">
        <w:rPr>
          <w:rFonts w:cstheme="minorHAnsi"/>
          <w:b/>
          <w:i/>
          <w:color w:val="000000" w:themeColor="text1"/>
          <w:sz w:val="24"/>
          <w:szCs w:val="24"/>
        </w:rPr>
        <w:t>ACCHOs</w:t>
      </w:r>
      <w:r w:rsidR="004148DC" w:rsidRPr="00824722">
        <w:rPr>
          <w:rFonts w:cstheme="minorHAnsi"/>
          <w:b/>
          <w:i/>
          <w:color w:val="000000" w:themeColor="text1"/>
          <w:sz w:val="24"/>
          <w:szCs w:val="24"/>
        </w:rPr>
        <w:t xml:space="preserve"> </w:t>
      </w:r>
      <w:r w:rsidR="004148DC" w:rsidRPr="00824722">
        <w:rPr>
          <w:rFonts w:cstheme="minorHAnsi"/>
          <w:color w:val="000000" w:themeColor="text1"/>
          <w:sz w:val="24"/>
          <w:szCs w:val="24"/>
        </w:rPr>
        <w:t xml:space="preserve">are </w:t>
      </w:r>
      <w:r w:rsidR="004148DC" w:rsidRPr="00824722">
        <w:rPr>
          <w:rFonts w:cstheme="minorHAnsi"/>
          <w:sz w:val="24"/>
          <w:szCs w:val="24"/>
        </w:rPr>
        <w:t>Aboriginal and Community Controlled Health Organisations</w:t>
      </w:r>
    </w:p>
    <w:p w:rsidR="00226A2D" w:rsidRDefault="00226A2D" w:rsidP="00BD008F">
      <w:pPr>
        <w:tabs>
          <w:tab w:val="left" w:pos="2127"/>
        </w:tabs>
        <w:spacing w:before="160"/>
        <w:ind w:left="567"/>
        <w:rPr>
          <w:rFonts w:cstheme="minorHAnsi"/>
          <w:b/>
          <w:i/>
          <w:color w:val="000000" w:themeColor="text1"/>
          <w:sz w:val="24"/>
          <w:szCs w:val="24"/>
        </w:rPr>
      </w:pPr>
      <w:r>
        <w:rPr>
          <w:rFonts w:cstheme="minorHAnsi"/>
          <w:b/>
          <w:i/>
          <w:color w:val="000000" w:themeColor="text1"/>
          <w:sz w:val="24"/>
          <w:szCs w:val="24"/>
        </w:rPr>
        <w:t xml:space="preserve">ACM </w:t>
      </w:r>
      <w:r w:rsidRPr="00226A2D">
        <w:rPr>
          <w:rFonts w:cstheme="minorHAnsi"/>
          <w:color w:val="000000" w:themeColor="text1"/>
          <w:sz w:val="24"/>
          <w:szCs w:val="24"/>
        </w:rPr>
        <w:t>is the Australian College of Midwives</w:t>
      </w:r>
    </w:p>
    <w:p w:rsidR="00395973" w:rsidRPr="00395973" w:rsidRDefault="00395973" w:rsidP="00BD008F">
      <w:pPr>
        <w:tabs>
          <w:tab w:val="left" w:pos="2127"/>
        </w:tabs>
        <w:ind w:left="567"/>
        <w:rPr>
          <w:rFonts w:cstheme="minorHAnsi"/>
          <w:color w:val="000000" w:themeColor="text1"/>
          <w:sz w:val="24"/>
          <w:szCs w:val="24"/>
        </w:rPr>
      </w:pPr>
      <w:r w:rsidRPr="00395973">
        <w:rPr>
          <w:rFonts w:cstheme="minorHAnsi"/>
          <w:b/>
          <w:i/>
          <w:color w:val="000000" w:themeColor="text1"/>
          <w:sz w:val="24"/>
          <w:szCs w:val="24"/>
        </w:rPr>
        <w:t>Ahpra</w:t>
      </w:r>
      <w:r w:rsidRPr="00395973">
        <w:rPr>
          <w:rFonts w:cstheme="minorHAnsi"/>
          <w:color w:val="000000" w:themeColor="text1"/>
          <w:sz w:val="24"/>
          <w:szCs w:val="24"/>
        </w:rPr>
        <w:t xml:space="preserve"> is the Australian Health Practitioner Regulation Agency</w:t>
      </w:r>
    </w:p>
    <w:p w:rsidR="004720AD" w:rsidRPr="004720AD" w:rsidRDefault="004720AD" w:rsidP="00BD008F">
      <w:pPr>
        <w:tabs>
          <w:tab w:val="left" w:pos="2127"/>
        </w:tabs>
        <w:ind w:left="567"/>
        <w:rPr>
          <w:rFonts w:cstheme="minorHAnsi"/>
          <w:color w:val="000000" w:themeColor="text1"/>
          <w:sz w:val="24"/>
          <w:szCs w:val="24"/>
        </w:rPr>
      </w:pPr>
      <w:r>
        <w:rPr>
          <w:rFonts w:cstheme="minorHAnsi"/>
          <w:b/>
          <w:i/>
          <w:color w:val="000000" w:themeColor="text1"/>
          <w:sz w:val="24"/>
          <w:szCs w:val="24"/>
        </w:rPr>
        <w:t xml:space="preserve">AIHW </w:t>
      </w:r>
      <w:r w:rsidRPr="004720AD">
        <w:rPr>
          <w:rFonts w:cstheme="minorHAnsi"/>
          <w:color w:val="000000" w:themeColor="text1"/>
          <w:sz w:val="24"/>
          <w:szCs w:val="24"/>
        </w:rPr>
        <w:t>is the Australian Institute of Health and Welfare</w:t>
      </w:r>
    </w:p>
    <w:p w:rsidR="004148DC" w:rsidRPr="004148DC" w:rsidRDefault="004148DC" w:rsidP="00BD008F">
      <w:pPr>
        <w:tabs>
          <w:tab w:val="left" w:pos="2127"/>
        </w:tabs>
        <w:ind w:left="567"/>
        <w:rPr>
          <w:rFonts w:cstheme="minorHAnsi"/>
          <w:color w:val="000000" w:themeColor="text1"/>
          <w:sz w:val="24"/>
          <w:szCs w:val="24"/>
        </w:rPr>
      </w:pPr>
      <w:r>
        <w:rPr>
          <w:rFonts w:cstheme="minorHAnsi"/>
          <w:b/>
          <w:i/>
          <w:color w:val="000000" w:themeColor="text1"/>
          <w:sz w:val="24"/>
          <w:szCs w:val="24"/>
        </w:rPr>
        <w:t xml:space="preserve">BoC </w:t>
      </w:r>
      <w:r w:rsidRPr="004148DC">
        <w:rPr>
          <w:rFonts w:cstheme="minorHAnsi"/>
          <w:color w:val="000000" w:themeColor="text1"/>
          <w:sz w:val="24"/>
          <w:szCs w:val="24"/>
        </w:rPr>
        <w:t>is Birthing on Country</w:t>
      </w:r>
    </w:p>
    <w:p w:rsidR="00BD008F" w:rsidRDefault="00BD008F" w:rsidP="00BD008F">
      <w:pPr>
        <w:tabs>
          <w:tab w:val="left" w:pos="2127"/>
        </w:tabs>
        <w:ind w:left="567"/>
        <w:rPr>
          <w:rFonts w:cstheme="minorHAnsi"/>
          <w:b/>
          <w:i/>
          <w:sz w:val="24"/>
          <w:szCs w:val="24"/>
        </w:rPr>
      </w:pPr>
      <w:r w:rsidRPr="00BD008F">
        <w:rPr>
          <w:rFonts w:cstheme="minorHAnsi"/>
          <w:b/>
          <w:i/>
          <w:sz w:val="24"/>
          <w:szCs w:val="24"/>
        </w:rPr>
        <w:t>Department</w:t>
      </w:r>
      <w:r>
        <w:rPr>
          <w:rFonts w:cstheme="minorHAnsi"/>
          <w:sz w:val="24"/>
          <w:szCs w:val="24"/>
        </w:rPr>
        <w:t xml:space="preserve"> is the </w:t>
      </w:r>
      <w:r w:rsidRPr="00483C24">
        <w:rPr>
          <w:rFonts w:cstheme="minorHAnsi"/>
          <w:sz w:val="24"/>
          <w:szCs w:val="24"/>
        </w:rPr>
        <w:t xml:space="preserve">Department of Health and Aged Care </w:t>
      </w:r>
    </w:p>
    <w:p w:rsidR="00BD008F" w:rsidRPr="00BD008F" w:rsidRDefault="00BD008F" w:rsidP="00BD008F">
      <w:pPr>
        <w:tabs>
          <w:tab w:val="left" w:pos="2127"/>
        </w:tabs>
        <w:ind w:left="567"/>
        <w:rPr>
          <w:rFonts w:cstheme="minorHAnsi"/>
          <w:sz w:val="24"/>
          <w:szCs w:val="24"/>
        </w:rPr>
      </w:pPr>
      <w:r>
        <w:rPr>
          <w:rFonts w:cstheme="minorHAnsi"/>
          <w:b/>
          <w:i/>
          <w:sz w:val="24"/>
          <w:szCs w:val="24"/>
        </w:rPr>
        <w:t xml:space="preserve">Government </w:t>
      </w:r>
      <w:r w:rsidRPr="00BD008F">
        <w:rPr>
          <w:rFonts w:cstheme="minorHAnsi"/>
          <w:sz w:val="24"/>
          <w:szCs w:val="24"/>
        </w:rPr>
        <w:t xml:space="preserve">is the </w:t>
      </w:r>
      <w:r w:rsidR="006043E1">
        <w:rPr>
          <w:rFonts w:cstheme="minorHAnsi"/>
          <w:sz w:val="24"/>
          <w:szCs w:val="24"/>
        </w:rPr>
        <w:t>Australian</w:t>
      </w:r>
      <w:r w:rsidRPr="00BD008F">
        <w:rPr>
          <w:rFonts w:cstheme="minorHAnsi"/>
          <w:sz w:val="24"/>
          <w:szCs w:val="24"/>
        </w:rPr>
        <w:t xml:space="preserve"> Government</w:t>
      </w:r>
    </w:p>
    <w:p w:rsidR="00BD008F" w:rsidRDefault="00BD008F" w:rsidP="00BD008F">
      <w:pPr>
        <w:tabs>
          <w:tab w:val="left" w:pos="2127"/>
        </w:tabs>
        <w:ind w:left="567"/>
        <w:rPr>
          <w:rFonts w:cstheme="minorHAnsi"/>
          <w:b/>
          <w:i/>
          <w:color w:val="000000" w:themeColor="text1"/>
          <w:sz w:val="24"/>
          <w:szCs w:val="24"/>
        </w:rPr>
      </w:pPr>
      <w:r w:rsidRPr="00BD008F">
        <w:rPr>
          <w:rFonts w:cstheme="minorHAnsi"/>
          <w:b/>
          <w:i/>
          <w:sz w:val="24"/>
          <w:szCs w:val="24"/>
        </w:rPr>
        <w:t>MBS</w:t>
      </w:r>
      <w:r w:rsidRPr="00483C24">
        <w:rPr>
          <w:rFonts w:cstheme="minorHAnsi"/>
          <w:sz w:val="24"/>
          <w:szCs w:val="24"/>
        </w:rPr>
        <w:t xml:space="preserve"> </w:t>
      </w:r>
      <w:r>
        <w:rPr>
          <w:rFonts w:cstheme="minorHAnsi"/>
          <w:sz w:val="24"/>
          <w:szCs w:val="24"/>
        </w:rPr>
        <w:t xml:space="preserve">is the Medicare Benefits Schedule </w:t>
      </w:r>
    </w:p>
    <w:p w:rsidR="004148DC" w:rsidRDefault="004148DC" w:rsidP="00BD008F">
      <w:pPr>
        <w:tabs>
          <w:tab w:val="left" w:pos="2127"/>
        </w:tabs>
        <w:ind w:left="567"/>
        <w:rPr>
          <w:rFonts w:cstheme="minorHAnsi"/>
          <w:color w:val="000000" w:themeColor="text1"/>
          <w:sz w:val="24"/>
          <w:szCs w:val="24"/>
        </w:rPr>
      </w:pPr>
      <w:r w:rsidRPr="004148DC">
        <w:rPr>
          <w:rFonts w:cstheme="minorHAnsi"/>
          <w:b/>
          <w:i/>
          <w:color w:val="000000" w:themeColor="text1"/>
          <w:sz w:val="24"/>
          <w:szCs w:val="24"/>
        </w:rPr>
        <w:t>Midwife Schemes</w:t>
      </w:r>
      <w:r>
        <w:rPr>
          <w:rFonts w:cstheme="minorHAnsi"/>
          <w:color w:val="000000" w:themeColor="text1"/>
          <w:sz w:val="24"/>
          <w:szCs w:val="24"/>
        </w:rPr>
        <w:t xml:space="preserve"> are:</w:t>
      </w:r>
    </w:p>
    <w:p w:rsidR="004148DC" w:rsidRPr="004148DC" w:rsidRDefault="004148DC" w:rsidP="00A622D8">
      <w:pPr>
        <w:pStyle w:val="ListParagraph"/>
        <w:numPr>
          <w:ilvl w:val="0"/>
          <w:numId w:val="17"/>
        </w:numPr>
        <w:spacing w:before="80"/>
        <w:rPr>
          <w:rFonts w:cstheme="minorHAnsi"/>
          <w:color w:val="000000" w:themeColor="text1"/>
          <w:sz w:val="24"/>
          <w:szCs w:val="24"/>
        </w:rPr>
      </w:pPr>
      <w:r w:rsidRPr="004148DC">
        <w:rPr>
          <w:rFonts w:cstheme="minorHAnsi"/>
          <w:b/>
          <w:i/>
          <w:color w:val="000000" w:themeColor="text1"/>
          <w:sz w:val="24"/>
          <w:szCs w:val="24"/>
        </w:rPr>
        <w:t>MPIS</w:t>
      </w:r>
      <w:r w:rsidRPr="004148DC">
        <w:rPr>
          <w:rFonts w:cstheme="minorHAnsi"/>
          <w:color w:val="000000" w:themeColor="text1"/>
          <w:sz w:val="24"/>
          <w:szCs w:val="24"/>
        </w:rPr>
        <w:t xml:space="preserve"> - Midwife Professional Indemnity Scheme</w:t>
      </w:r>
    </w:p>
    <w:p w:rsidR="004148DC" w:rsidRPr="004148DC" w:rsidRDefault="004148DC" w:rsidP="00A622D8">
      <w:pPr>
        <w:pStyle w:val="ListParagraph"/>
        <w:numPr>
          <w:ilvl w:val="0"/>
          <w:numId w:val="17"/>
        </w:numPr>
        <w:spacing w:before="80"/>
        <w:rPr>
          <w:b/>
          <w:i/>
        </w:rPr>
      </w:pPr>
      <w:r w:rsidRPr="004148DC">
        <w:rPr>
          <w:rFonts w:cstheme="minorHAnsi"/>
          <w:b/>
          <w:i/>
          <w:color w:val="000000" w:themeColor="text1"/>
          <w:sz w:val="24"/>
          <w:szCs w:val="24"/>
        </w:rPr>
        <w:t>MPISROCS</w:t>
      </w:r>
      <w:r w:rsidRPr="004148DC">
        <w:rPr>
          <w:rFonts w:cstheme="minorHAnsi"/>
          <w:color w:val="000000" w:themeColor="text1"/>
          <w:sz w:val="24"/>
          <w:szCs w:val="24"/>
        </w:rPr>
        <w:t xml:space="preserve"> - Midwife Professional Run-off Cover Scheme</w:t>
      </w:r>
    </w:p>
    <w:p w:rsidR="00CD7519" w:rsidRPr="00CD7519" w:rsidRDefault="00CD7519" w:rsidP="00BD008F">
      <w:pPr>
        <w:tabs>
          <w:tab w:val="left" w:pos="2127"/>
        </w:tabs>
        <w:ind w:left="567"/>
        <w:rPr>
          <w:rFonts w:cstheme="minorHAnsi"/>
          <w:color w:val="000000" w:themeColor="text1"/>
          <w:sz w:val="24"/>
          <w:szCs w:val="24"/>
        </w:rPr>
      </w:pPr>
      <w:r>
        <w:rPr>
          <w:rFonts w:cstheme="minorHAnsi"/>
          <w:b/>
          <w:i/>
          <w:color w:val="000000" w:themeColor="text1"/>
          <w:sz w:val="24"/>
          <w:szCs w:val="24"/>
        </w:rPr>
        <w:t xml:space="preserve">NIAA </w:t>
      </w:r>
      <w:r w:rsidRPr="00CD7519">
        <w:rPr>
          <w:rFonts w:cstheme="minorHAnsi"/>
          <w:color w:val="000000" w:themeColor="text1"/>
          <w:sz w:val="24"/>
          <w:szCs w:val="24"/>
        </w:rPr>
        <w:t>is the National Indigenous Australians Agency</w:t>
      </w:r>
    </w:p>
    <w:p w:rsidR="00291C47" w:rsidRPr="00BD008F" w:rsidRDefault="00291C47" w:rsidP="00BD008F">
      <w:pPr>
        <w:tabs>
          <w:tab w:val="left" w:pos="2127"/>
        </w:tabs>
        <w:ind w:left="567"/>
        <w:rPr>
          <w:rFonts w:cstheme="minorHAnsi"/>
          <w:b/>
          <w:i/>
          <w:color w:val="000000" w:themeColor="text1"/>
          <w:sz w:val="24"/>
          <w:szCs w:val="24"/>
        </w:rPr>
      </w:pPr>
      <w:r w:rsidRPr="00BD008F">
        <w:rPr>
          <w:rFonts w:cstheme="minorHAnsi"/>
          <w:b/>
          <w:i/>
          <w:color w:val="000000" w:themeColor="text1"/>
          <w:sz w:val="24"/>
          <w:szCs w:val="24"/>
        </w:rPr>
        <w:t xml:space="preserve">National Law </w:t>
      </w:r>
      <w:r w:rsidRPr="00BD008F">
        <w:rPr>
          <w:rFonts w:cstheme="minorHAnsi"/>
          <w:color w:val="000000" w:themeColor="text1"/>
          <w:sz w:val="24"/>
          <w:szCs w:val="24"/>
        </w:rPr>
        <w:t>is the Health Practitioner Regulation National Law</w:t>
      </w:r>
      <w:r w:rsidRPr="00BD008F">
        <w:rPr>
          <w:rFonts w:cstheme="minorHAnsi"/>
          <w:b/>
          <w:i/>
          <w:color w:val="000000" w:themeColor="text1"/>
          <w:sz w:val="24"/>
          <w:szCs w:val="24"/>
        </w:rPr>
        <w:t xml:space="preserve"> </w:t>
      </w:r>
    </w:p>
    <w:p w:rsidR="00057596" w:rsidRDefault="00057596" w:rsidP="00BD008F">
      <w:pPr>
        <w:tabs>
          <w:tab w:val="left" w:pos="2127"/>
        </w:tabs>
        <w:ind w:left="567"/>
        <w:rPr>
          <w:rFonts w:cstheme="minorHAnsi"/>
          <w:b/>
          <w:i/>
          <w:color w:val="000000" w:themeColor="text1"/>
          <w:sz w:val="24"/>
          <w:szCs w:val="24"/>
        </w:rPr>
      </w:pPr>
      <w:r>
        <w:rPr>
          <w:rFonts w:cstheme="minorHAnsi"/>
          <w:b/>
          <w:i/>
          <w:color w:val="000000" w:themeColor="text1"/>
          <w:sz w:val="24"/>
          <w:szCs w:val="24"/>
        </w:rPr>
        <w:t xml:space="preserve">NMBA </w:t>
      </w:r>
      <w:r w:rsidRPr="00057596">
        <w:rPr>
          <w:rFonts w:cstheme="minorHAnsi"/>
          <w:color w:val="000000" w:themeColor="text1"/>
          <w:sz w:val="24"/>
          <w:szCs w:val="24"/>
        </w:rPr>
        <w:t>is the</w:t>
      </w:r>
      <w:r>
        <w:rPr>
          <w:rFonts w:cstheme="minorHAnsi"/>
          <w:b/>
          <w:i/>
          <w:color w:val="000000" w:themeColor="text1"/>
          <w:sz w:val="24"/>
          <w:szCs w:val="24"/>
        </w:rPr>
        <w:t xml:space="preserve"> </w:t>
      </w:r>
      <w:r w:rsidRPr="003968FD">
        <w:rPr>
          <w:rFonts w:ascii="Calibri" w:hAnsi="Calibri"/>
          <w:color w:val="000000" w:themeColor="text1"/>
          <w:sz w:val="24"/>
          <w:szCs w:val="24"/>
        </w:rPr>
        <w:t>Nursing and Midw</w:t>
      </w:r>
      <w:r>
        <w:rPr>
          <w:rFonts w:ascii="Calibri" w:hAnsi="Calibri"/>
          <w:color w:val="000000" w:themeColor="text1"/>
          <w:sz w:val="24"/>
          <w:szCs w:val="24"/>
        </w:rPr>
        <w:t>ifery Board of Australia</w:t>
      </w:r>
    </w:p>
    <w:p w:rsidR="004148DC" w:rsidRPr="00BD008F" w:rsidRDefault="004148DC" w:rsidP="00BD008F">
      <w:pPr>
        <w:tabs>
          <w:tab w:val="left" w:pos="2127"/>
        </w:tabs>
        <w:ind w:left="567"/>
        <w:rPr>
          <w:rFonts w:cstheme="minorHAnsi"/>
          <w:color w:val="000000" w:themeColor="text1"/>
          <w:sz w:val="24"/>
          <w:szCs w:val="24"/>
        </w:rPr>
      </w:pPr>
      <w:r w:rsidRPr="00BD008F">
        <w:rPr>
          <w:rFonts w:cstheme="minorHAnsi"/>
          <w:b/>
          <w:i/>
          <w:color w:val="000000" w:themeColor="text1"/>
          <w:sz w:val="24"/>
          <w:szCs w:val="24"/>
        </w:rPr>
        <w:t xml:space="preserve">PII </w:t>
      </w:r>
      <w:r w:rsidRPr="00BD008F">
        <w:rPr>
          <w:rFonts w:cstheme="minorHAnsi"/>
          <w:color w:val="000000" w:themeColor="text1"/>
          <w:sz w:val="24"/>
          <w:szCs w:val="24"/>
        </w:rPr>
        <w:t>is Professional Indemnity Insurance</w:t>
      </w:r>
    </w:p>
    <w:p w:rsidR="004148DC" w:rsidRPr="00BD008F" w:rsidRDefault="004148DC" w:rsidP="00BD008F">
      <w:pPr>
        <w:tabs>
          <w:tab w:val="left" w:pos="2127"/>
        </w:tabs>
        <w:ind w:left="567"/>
        <w:rPr>
          <w:rFonts w:cstheme="minorHAnsi"/>
          <w:b/>
          <w:i/>
          <w:color w:val="000000" w:themeColor="text1"/>
          <w:sz w:val="24"/>
          <w:szCs w:val="24"/>
        </w:rPr>
      </w:pPr>
      <w:r w:rsidRPr="00BD008F">
        <w:rPr>
          <w:rFonts w:cstheme="minorHAnsi"/>
          <w:b/>
          <w:i/>
          <w:color w:val="000000" w:themeColor="text1"/>
          <w:sz w:val="24"/>
          <w:szCs w:val="24"/>
        </w:rPr>
        <w:t xml:space="preserve">PPMs </w:t>
      </w:r>
      <w:r w:rsidRPr="00BD008F">
        <w:rPr>
          <w:rFonts w:cstheme="minorHAnsi"/>
          <w:color w:val="000000" w:themeColor="text1"/>
          <w:sz w:val="24"/>
          <w:szCs w:val="24"/>
        </w:rPr>
        <w:t>are Privately Practising Midwives</w:t>
      </w:r>
    </w:p>
    <w:p w:rsidR="004148DC" w:rsidRDefault="005B5580" w:rsidP="00BD008F">
      <w:pPr>
        <w:tabs>
          <w:tab w:val="left" w:pos="2127"/>
        </w:tabs>
        <w:ind w:left="567"/>
      </w:pPr>
      <w:r w:rsidRPr="00BD008F">
        <w:rPr>
          <w:rFonts w:cstheme="minorHAnsi"/>
          <w:b/>
          <w:i/>
          <w:color w:val="000000" w:themeColor="text1"/>
          <w:sz w:val="24"/>
          <w:szCs w:val="24"/>
        </w:rPr>
        <w:t>WCC</w:t>
      </w:r>
      <w:r w:rsidRPr="00BD008F">
        <w:rPr>
          <w:rFonts w:cstheme="minorHAnsi"/>
          <w:color w:val="000000" w:themeColor="text1"/>
          <w:sz w:val="24"/>
          <w:szCs w:val="24"/>
        </w:rPr>
        <w:t xml:space="preserve"> is</w:t>
      </w:r>
      <w:r>
        <w:t xml:space="preserve"> Women Centred Care</w:t>
      </w:r>
    </w:p>
    <w:p w:rsidR="00F769C5" w:rsidRDefault="00F769C5" w:rsidP="00BD008F">
      <w:pPr>
        <w:tabs>
          <w:tab w:val="left" w:pos="2127"/>
        </w:tabs>
        <w:ind w:left="567"/>
      </w:pPr>
    </w:p>
    <w:p w:rsidR="00936432" w:rsidRDefault="00936432">
      <w:pPr>
        <w:rPr>
          <w:rFonts w:asciiTheme="majorHAnsi" w:eastAsiaTheme="majorEastAsia" w:hAnsiTheme="majorHAnsi" w:cstheme="majorBidi"/>
          <w:color w:val="1F4E79"/>
          <w:sz w:val="36"/>
          <w:szCs w:val="36"/>
        </w:rPr>
      </w:pPr>
      <w:r>
        <w:rPr>
          <w:color w:val="1F4E79"/>
        </w:rPr>
        <w:br w:type="page"/>
      </w:r>
    </w:p>
    <w:p w:rsidR="00936432" w:rsidRPr="0099499D" w:rsidRDefault="0099499D" w:rsidP="0099499D">
      <w:pPr>
        <w:pStyle w:val="Heading1"/>
      </w:pPr>
      <w:bookmarkStart w:id="98" w:name="_Toc162017848"/>
      <w:r>
        <w:t>Appendix 2</w:t>
      </w:r>
      <w:r w:rsidR="00936432" w:rsidRPr="0099499D">
        <w:t>: Costing the regulatory burden of changes to midwifery services</w:t>
      </w:r>
      <w:bookmarkEnd w:id="98"/>
    </w:p>
    <w:p w:rsidR="00936432" w:rsidRDefault="00936432" w:rsidP="00F600D3">
      <w:pPr>
        <w:spacing w:before="160"/>
        <w:ind w:left="709"/>
        <w:rPr>
          <w:sz w:val="24"/>
          <w:szCs w:val="24"/>
        </w:rPr>
      </w:pPr>
      <w:r w:rsidRPr="00F600D3">
        <w:rPr>
          <w:color w:val="000000" w:themeColor="text1"/>
          <w:sz w:val="24"/>
          <w:szCs w:val="24"/>
        </w:rPr>
        <w:t>This section ende</w:t>
      </w:r>
      <w:r w:rsidR="003A0B92" w:rsidRPr="00F600D3">
        <w:rPr>
          <w:color w:val="000000" w:themeColor="text1"/>
          <w:sz w:val="24"/>
          <w:szCs w:val="24"/>
        </w:rPr>
        <w:t xml:space="preserve">avours </w:t>
      </w:r>
      <w:r w:rsidRPr="00F600D3">
        <w:rPr>
          <w:color w:val="000000" w:themeColor="text1"/>
          <w:sz w:val="24"/>
          <w:szCs w:val="24"/>
        </w:rPr>
        <w:t>to quantify the impacts of the proposed options on Australians overall, above the baseline scenario represented by the status quo. The impact on Australians will be estimated by summing up the impact on Australian consumers</w:t>
      </w:r>
      <w:r w:rsidR="003A0B92" w:rsidRPr="00F600D3">
        <w:rPr>
          <w:color w:val="000000" w:themeColor="text1"/>
          <w:sz w:val="24"/>
          <w:szCs w:val="24"/>
        </w:rPr>
        <w:t xml:space="preserve">, PPMs, </w:t>
      </w:r>
      <w:r w:rsidRPr="00F600D3">
        <w:rPr>
          <w:color w:val="000000" w:themeColor="text1"/>
          <w:sz w:val="24"/>
          <w:szCs w:val="24"/>
        </w:rPr>
        <w:t>industry</w:t>
      </w:r>
      <w:r w:rsidR="003A0B92" w:rsidRPr="006B11A7">
        <w:rPr>
          <w:sz w:val="24"/>
          <w:szCs w:val="24"/>
        </w:rPr>
        <w:t>, regulator</w:t>
      </w:r>
      <w:r w:rsidR="00F600D3">
        <w:rPr>
          <w:sz w:val="24"/>
          <w:szCs w:val="24"/>
        </w:rPr>
        <w:t>,</w:t>
      </w:r>
      <w:r w:rsidR="003A0B92" w:rsidRPr="006B11A7">
        <w:rPr>
          <w:sz w:val="24"/>
          <w:szCs w:val="24"/>
        </w:rPr>
        <w:t xml:space="preserve"> and business</w:t>
      </w:r>
      <w:r w:rsidRPr="006B11A7">
        <w:rPr>
          <w:sz w:val="24"/>
          <w:szCs w:val="24"/>
        </w:rPr>
        <w:t xml:space="preserve">. </w:t>
      </w:r>
    </w:p>
    <w:p w:rsidR="00992370" w:rsidRPr="00824722" w:rsidRDefault="00992370" w:rsidP="00382A16">
      <w:pPr>
        <w:spacing w:before="160"/>
        <w:rPr>
          <w:color w:val="2E74B5" w:themeColor="accent1" w:themeShade="BF"/>
          <w:sz w:val="32"/>
          <w:szCs w:val="32"/>
        </w:rPr>
      </w:pPr>
      <w:r w:rsidRPr="00824722">
        <w:rPr>
          <w:color w:val="2E74B5" w:themeColor="accent1" w:themeShade="BF"/>
          <w:sz w:val="32"/>
          <w:szCs w:val="32"/>
        </w:rPr>
        <w:t>Option 1 Retain the exemption</w:t>
      </w:r>
    </w:p>
    <w:p w:rsidR="00D205BE" w:rsidRPr="00824722" w:rsidRDefault="00D205BE" w:rsidP="00D205BE">
      <w:pPr>
        <w:spacing w:after="120"/>
        <w:rPr>
          <w:rFonts w:eastAsia="Times New Roman"/>
          <w:color w:val="1F4E79"/>
          <w:sz w:val="28"/>
          <w:szCs w:val="28"/>
        </w:rPr>
      </w:pPr>
      <w:r w:rsidRPr="00824722">
        <w:rPr>
          <w:rFonts w:eastAsia="Times New Roman"/>
          <w:color w:val="1F4E79"/>
          <w:sz w:val="28"/>
          <w:szCs w:val="28"/>
        </w:rPr>
        <w:t>Consumer impact</w:t>
      </w:r>
    </w:p>
    <w:p w:rsidR="0076590D" w:rsidRPr="00824722" w:rsidRDefault="0076590D" w:rsidP="0076590D">
      <w:pPr>
        <w:tabs>
          <w:tab w:val="left" w:pos="2127"/>
        </w:tabs>
        <w:ind w:left="567"/>
        <w:rPr>
          <w:rFonts w:cstheme="minorHAnsi"/>
          <w:sz w:val="24"/>
          <w:szCs w:val="24"/>
        </w:rPr>
      </w:pPr>
      <w:r w:rsidRPr="00824722">
        <w:rPr>
          <w:rFonts w:cstheme="minorHAnsi"/>
          <w:sz w:val="24"/>
          <w:szCs w:val="24"/>
        </w:rPr>
        <w:t>Under this option, freedom of choice for women would be limited, particularly the opportunity to choose a safe model of birthing that meets their needs and to have continuity of care and carer with recourse in the event of an adverse incident.</w:t>
      </w:r>
    </w:p>
    <w:p w:rsidR="0076590D" w:rsidRPr="00824722" w:rsidRDefault="0076590D" w:rsidP="0076590D">
      <w:pPr>
        <w:tabs>
          <w:tab w:val="left" w:pos="2127"/>
        </w:tabs>
        <w:ind w:left="567"/>
        <w:rPr>
          <w:sz w:val="24"/>
          <w:szCs w:val="24"/>
        </w:rPr>
      </w:pPr>
      <w:r w:rsidRPr="00824722">
        <w:rPr>
          <w:sz w:val="24"/>
          <w:szCs w:val="24"/>
        </w:rPr>
        <w:t xml:space="preserve">First Nations women (or women pregnant with a First Nations baby) would </w:t>
      </w:r>
      <w:r w:rsidRPr="00824722">
        <w:rPr>
          <w:sz w:val="24"/>
          <w:szCs w:val="24"/>
          <w:u w:val="single"/>
        </w:rPr>
        <w:t>not</w:t>
      </w:r>
      <w:r w:rsidRPr="00824722">
        <w:rPr>
          <w:sz w:val="24"/>
          <w:szCs w:val="24"/>
        </w:rPr>
        <w:t xml:space="preserve"> have access to culturally safe, continuous midwifery care with an insured PPM in accord with BoC models of care. </w:t>
      </w:r>
      <w:r w:rsidRPr="00824722">
        <w:rPr>
          <w:rFonts w:cstheme="minorHAnsi"/>
          <w:sz w:val="24"/>
          <w:szCs w:val="24"/>
        </w:rPr>
        <w:t>This could hamper efforts to achieve Closing the Gap Target 2 to increase the proportion of Aboriginal and Torres Strait Islander babies with a healthy birthweight to 91%, by 2031</w:t>
      </w:r>
      <w:r w:rsidRPr="00824722">
        <w:rPr>
          <w:sz w:val="24"/>
          <w:szCs w:val="24"/>
        </w:rPr>
        <w:t xml:space="preserve"> and Target 12, by 2031, reduce the rate of over-representation of Aboriginal and Torres Strait Islander children in out-of-home care by 45 percent.</w:t>
      </w:r>
    </w:p>
    <w:p w:rsidR="00EF6623" w:rsidRPr="00824722" w:rsidRDefault="00EF6623" w:rsidP="00EF6623">
      <w:pPr>
        <w:tabs>
          <w:tab w:val="left" w:pos="2127"/>
        </w:tabs>
        <w:ind w:left="567"/>
        <w:rPr>
          <w:rStyle w:val="pending"/>
          <w:rFonts w:cs="Arial"/>
          <w:color w:val="1F1F1F"/>
          <w:sz w:val="24"/>
          <w:szCs w:val="24"/>
          <w:shd w:val="clear" w:color="auto" w:fill="FFFFFF"/>
        </w:rPr>
      </w:pPr>
      <w:r w:rsidRPr="00824722">
        <w:rPr>
          <w:rStyle w:val="pending"/>
          <w:rFonts w:cs="Arial"/>
          <w:color w:val="1F1F1F"/>
          <w:sz w:val="24"/>
          <w:szCs w:val="24"/>
          <w:shd w:val="clear" w:color="auto" w:fill="FFFFFF"/>
        </w:rPr>
        <w:t>The primary cost to the consumer, namely mothers seeking home birth services, is the waiting time (delay) to first see a PPM who will provide the service. The delay cost to consumers are the expenses incurred by an individual due to an approval delay, i.e., the time waited for a first appointment with a PPM multiplied by the number of additional consumers seeking a first appointment.</w:t>
      </w:r>
    </w:p>
    <w:p w:rsidR="00EF6623" w:rsidRDefault="00F71386" w:rsidP="00EF6623">
      <w:pPr>
        <w:tabs>
          <w:tab w:val="left" w:pos="2127"/>
        </w:tabs>
        <w:ind w:left="567"/>
        <w:rPr>
          <w:rFonts w:cstheme="minorHAnsi"/>
          <w:color w:val="000000" w:themeColor="text1"/>
          <w:sz w:val="24"/>
          <w:szCs w:val="24"/>
          <w:shd w:val="clear" w:color="auto" w:fill="FFFFFF"/>
        </w:rPr>
      </w:pPr>
      <w:r w:rsidRPr="00824722">
        <w:rPr>
          <w:rStyle w:val="pending"/>
          <w:rFonts w:cs="Arial"/>
          <w:color w:val="1F1F1F"/>
          <w:sz w:val="24"/>
          <w:szCs w:val="24"/>
          <w:shd w:val="clear" w:color="auto" w:fill="FFFFFF"/>
        </w:rPr>
        <w:t xml:space="preserve">Table </w:t>
      </w:r>
      <w:r w:rsidR="006D1238" w:rsidRPr="00824722">
        <w:rPr>
          <w:rStyle w:val="pending"/>
          <w:rFonts w:cs="Arial"/>
          <w:color w:val="1F1F1F"/>
          <w:sz w:val="24"/>
          <w:szCs w:val="24"/>
          <w:shd w:val="clear" w:color="auto" w:fill="FFFFFF"/>
        </w:rPr>
        <w:t>7</w:t>
      </w:r>
      <w:r w:rsidR="00EF6623" w:rsidRPr="00824722">
        <w:rPr>
          <w:rStyle w:val="pending"/>
          <w:rFonts w:cs="Arial"/>
          <w:color w:val="1F1F1F"/>
          <w:sz w:val="24"/>
          <w:szCs w:val="24"/>
          <w:shd w:val="clear" w:color="auto" w:fill="FFFFFF"/>
        </w:rPr>
        <w:t xml:space="preserve"> shows the increase in the number of women accessing PPM homebirth services</w:t>
      </w:r>
      <w:r w:rsidR="00EF6623" w:rsidRPr="00824722">
        <w:rPr>
          <w:rFonts w:cstheme="minorHAnsi"/>
          <w:sz w:val="24"/>
          <w:szCs w:val="24"/>
        </w:rPr>
        <w:t xml:space="preserve"> from 2018-2022 - </w:t>
      </w:r>
      <w:r w:rsidR="00EF6623" w:rsidRPr="00824722">
        <w:rPr>
          <w:rFonts w:cstheme="minorHAnsi"/>
          <w:color w:val="000000" w:themeColor="text1"/>
          <w:sz w:val="24"/>
          <w:szCs w:val="24"/>
          <w:shd w:val="clear" w:color="auto" w:fill="FFFFFF"/>
        </w:rPr>
        <w:t>a total of 9,925 homebirths nation-wide</w:t>
      </w:r>
      <w:r w:rsidR="00EF6623" w:rsidRPr="00824722">
        <w:rPr>
          <w:rStyle w:val="FootnoteReference"/>
          <w:rFonts w:cstheme="minorHAnsi"/>
          <w:color w:val="000000" w:themeColor="text1"/>
          <w:sz w:val="24"/>
          <w:szCs w:val="24"/>
          <w:shd w:val="clear" w:color="auto" w:fill="FFFFFF"/>
        </w:rPr>
        <w:footnoteReference w:id="23"/>
      </w:r>
      <w:r w:rsidR="00EF6623" w:rsidRPr="00824722">
        <w:rPr>
          <w:rFonts w:cstheme="minorHAnsi"/>
          <w:color w:val="000000" w:themeColor="text1"/>
          <w:sz w:val="24"/>
          <w:szCs w:val="24"/>
          <w:shd w:val="clear" w:color="auto" w:fill="FFFFFF"/>
        </w:rPr>
        <w:t>.</w:t>
      </w:r>
    </w:p>
    <w:p w:rsidR="00EF6623" w:rsidRDefault="00EF662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br w:type="page"/>
      </w:r>
    </w:p>
    <w:p w:rsidR="00EF6623" w:rsidRPr="00824722" w:rsidRDefault="006D1238" w:rsidP="00871AEA">
      <w:pPr>
        <w:spacing w:after="60"/>
        <w:ind w:left="567"/>
        <w:rPr>
          <w:rFonts w:cstheme="minorHAnsi"/>
          <w:b/>
          <w:color w:val="000000" w:themeColor="text1"/>
          <w:sz w:val="24"/>
          <w:szCs w:val="24"/>
          <w:shd w:val="clear" w:color="auto" w:fill="FFFFFF"/>
        </w:rPr>
      </w:pPr>
      <w:r w:rsidRPr="00824722">
        <w:rPr>
          <w:rFonts w:cstheme="minorHAnsi"/>
          <w:b/>
          <w:color w:val="000000" w:themeColor="text1"/>
          <w:sz w:val="24"/>
          <w:szCs w:val="24"/>
          <w:shd w:val="clear" w:color="auto" w:fill="FFFFFF"/>
        </w:rPr>
        <w:t>Table 7</w:t>
      </w:r>
    </w:p>
    <w:tbl>
      <w:tblPr>
        <w:tblW w:w="8369" w:type="dxa"/>
        <w:tblInd w:w="562" w:type="dxa"/>
        <w:tblLayout w:type="fixed"/>
        <w:tblCellMar>
          <w:left w:w="30" w:type="dxa"/>
          <w:right w:w="30" w:type="dxa"/>
        </w:tblCellMar>
        <w:tblLook w:val="0000" w:firstRow="0" w:lastRow="0" w:firstColumn="0" w:lastColumn="0" w:noHBand="0" w:noVBand="0"/>
      </w:tblPr>
      <w:tblGrid>
        <w:gridCol w:w="2840"/>
        <w:gridCol w:w="1105"/>
        <w:gridCol w:w="171"/>
        <w:gridCol w:w="935"/>
        <w:gridCol w:w="341"/>
        <w:gridCol w:w="765"/>
        <w:gridCol w:w="369"/>
        <w:gridCol w:w="737"/>
        <w:gridCol w:w="255"/>
        <w:gridCol w:w="851"/>
      </w:tblGrid>
      <w:tr w:rsidR="00EF6623" w:rsidRPr="00824722" w:rsidTr="00792438">
        <w:trPr>
          <w:trHeight w:val="857"/>
        </w:trPr>
        <w:tc>
          <w:tcPr>
            <w:tcW w:w="2840" w:type="dxa"/>
            <w:tcBorders>
              <w:top w:val="single" w:sz="4" w:space="0" w:color="auto"/>
              <w:left w:val="single" w:sz="4" w:space="0" w:color="auto"/>
              <w:bottom w:val="nil"/>
              <w:right w:val="nil"/>
            </w:tcBorders>
            <w:shd w:val="solid" w:color="FFFFFF" w:fill="auto"/>
          </w:tcPr>
          <w:p w:rsidR="00EF6623" w:rsidRPr="00824722" w:rsidRDefault="00EF6623" w:rsidP="00792438">
            <w:pPr>
              <w:autoSpaceDE w:val="0"/>
              <w:autoSpaceDN w:val="0"/>
              <w:adjustRightInd w:val="0"/>
              <w:spacing w:after="0" w:line="240" w:lineRule="auto"/>
              <w:rPr>
                <w:rFonts w:cstheme="minorHAnsi"/>
                <w:b/>
                <w:bCs/>
                <w:color w:val="333333"/>
              </w:rPr>
            </w:pPr>
            <w:r w:rsidRPr="00824722">
              <w:rPr>
                <w:rFonts w:cstheme="minorHAnsi"/>
                <w:b/>
                <w:bCs/>
                <w:color w:val="333333"/>
              </w:rPr>
              <w:t>Home Births, 2018 to 2022</w:t>
            </w:r>
          </w:p>
        </w:tc>
        <w:tc>
          <w:tcPr>
            <w:tcW w:w="1276" w:type="dxa"/>
            <w:gridSpan w:val="2"/>
            <w:tcBorders>
              <w:top w:val="single" w:sz="4" w:space="0" w:color="auto"/>
              <w:left w:val="nil"/>
              <w:bottom w:val="nil"/>
              <w:right w:val="nil"/>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p>
        </w:tc>
        <w:tc>
          <w:tcPr>
            <w:tcW w:w="1276" w:type="dxa"/>
            <w:gridSpan w:val="2"/>
            <w:tcBorders>
              <w:top w:val="single" w:sz="4" w:space="0" w:color="auto"/>
              <w:left w:val="nil"/>
              <w:bottom w:val="nil"/>
              <w:right w:val="nil"/>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p>
        </w:tc>
        <w:tc>
          <w:tcPr>
            <w:tcW w:w="1134" w:type="dxa"/>
            <w:gridSpan w:val="2"/>
            <w:tcBorders>
              <w:top w:val="single" w:sz="4" w:space="0" w:color="auto"/>
              <w:left w:val="nil"/>
              <w:bottom w:val="nil"/>
              <w:right w:val="nil"/>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p>
        </w:tc>
        <w:tc>
          <w:tcPr>
            <w:tcW w:w="992" w:type="dxa"/>
            <w:gridSpan w:val="2"/>
            <w:tcBorders>
              <w:top w:val="single" w:sz="4" w:space="0" w:color="auto"/>
              <w:left w:val="nil"/>
              <w:bottom w:val="nil"/>
              <w:right w:val="nil"/>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p>
        </w:tc>
        <w:tc>
          <w:tcPr>
            <w:tcW w:w="851" w:type="dxa"/>
            <w:tcBorders>
              <w:top w:val="single" w:sz="4" w:space="0" w:color="auto"/>
              <w:left w:val="nil"/>
              <w:bottom w:val="nil"/>
              <w:right w:val="single" w:sz="4" w:space="0" w:color="auto"/>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p>
        </w:tc>
      </w:tr>
      <w:tr w:rsidR="00EF6623" w:rsidRPr="00824722" w:rsidTr="00792438">
        <w:trPr>
          <w:trHeight w:val="492"/>
        </w:trPr>
        <w:tc>
          <w:tcPr>
            <w:tcW w:w="2840" w:type="dxa"/>
            <w:tcBorders>
              <w:top w:val="nil"/>
              <w:left w:val="single" w:sz="4" w:space="0" w:color="auto"/>
              <w:bottom w:val="single" w:sz="12" w:space="0" w:color="99CCFF"/>
              <w:right w:val="single" w:sz="6" w:space="0" w:color="FFFFFF"/>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p>
        </w:tc>
        <w:tc>
          <w:tcPr>
            <w:tcW w:w="1105" w:type="dxa"/>
            <w:tcBorders>
              <w:top w:val="nil"/>
              <w:left w:val="nil"/>
              <w:bottom w:val="single" w:sz="12" w:space="0" w:color="99CCFF"/>
              <w:right w:val="single" w:sz="6" w:space="0" w:color="FFFFFF"/>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r w:rsidRPr="00824722">
              <w:rPr>
                <w:rFonts w:cstheme="minorHAnsi"/>
                <w:b/>
                <w:bCs/>
                <w:color w:val="000000"/>
              </w:rPr>
              <w:t>2018</w:t>
            </w:r>
          </w:p>
        </w:tc>
        <w:tc>
          <w:tcPr>
            <w:tcW w:w="1106" w:type="dxa"/>
            <w:gridSpan w:val="2"/>
            <w:tcBorders>
              <w:top w:val="nil"/>
              <w:left w:val="nil"/>
              <w:bottom w:val="single" w:sz="12" w:space="0" w:color="99CCFF"/>
              <w:right w:val="single" w:sz="6" w:space="0" w:color="FFFFFF"/>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r w:rsidRPr="00824722">
              <w:rPr>
                <w:rFonts w:cstheme="minorHAnsi"/>
                <w:b/>
                <w:bCs/>
                <w:color w:val="000000"/>
              </w:rPr>
              <w:t>2019</w:t>
            </w:r>
          </w:p>
        </w:tc>
        <w:tc>
          <w:tcPr>
            <w:tcW w:w="1106" w:type="dxa"/>
            <w:gridSpan w:val="2"/>
            <w:tcBorders>
              <w:top w:val="nil"/>
              <w:left w:val="nil"/>
              <w:bottom w:val="single" w:sz="12" w:space="0" w:color="99CCFF"/>
              <w:right w:val="single" w:sz="6" w:space="0" w:color="FFFFFF"/>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r w:rsidRPr="00824722">
              <w:rPr>
                <w:rFonts w:cstheme="minorHAnsi"/>
                <w:b/>
                <w:bCs/>
                <w:color w:val="000000"/>
              </w:rPr>
              <w:t>2020</w:t>
            </w:r>
          </w:p>
        </w:tc>
        <w:tc>
          <w:tcPr>
            <w:tcW w:w="1106" w:type="dxa"/>
            <w:gridSpan w:val="2"/>
            <w:tcBorders>
              <w:top w:val="nil"/>
              <w:left w:val="nil"/>
              <w:bottom w:val="single" w:sz="12" w:space="0" w:color="99CCFF"/>
              <w:right w:val="single" w:sz="6" w:space="0" w:color="FFFFFF"/>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r w:rsidRPr="00824722">
              <w:rPr>
                <w:rFonts w:cstheme="minorHAnsi"/>
                <w:b/>
                <w:bCs/>
                <w:color w:val="000000"/>
              </w:rPr>
              <w:t>2021</w:t>
            </w:r>
          </w:p>
        </w:tc>
        <w:tc>
          <w:tcPr>
            <w:tcW w:w="1106" w:type="dxa"/>
            <w:gridSpan w:val="2"/>
            <w:tcBorders>
              <w:top w:val="nil"/>
              <w:left w:val="single" w:sz="6" w:space="0" w:color="FFFFFF"/>
              <w:bottom w:val="single" w:sz="12" w:space="0" w:color="99CCFF"/>
              <w:right w:val="single" w:sz="4" w:space="0" w:color="auto"/>
            </w:tcBorders>
            <w:shd w:val="solid" w:color="CCFFFF" w:fill="auto"/>
          </w:tcPr>
          <w:p w:rsidR="00EF6623" w:rsidRPr="00824722" w:rsidRDefault="00EF6623" w:rsidP="00792438">
            <w:pPr>
              <w:autoSpaceDE w:val="0"/>
              <w:autoSpaceDN w:val="0"/>
              <w:adjustRightInd w:val="0"/>
              <w:spacing w:after="0" w:line="240" w:lineRule="auto"/>
              <w:jc w:val="center"/>
              <w:rPr>
                <w:rFonts w:cstheme="minorHAnsi"/>
                <w:b/>
                <w:bCs/>
                <w:color w:val="000000"/>
              </w:rPr>
            </w:pPr>
            <w:r w:rsidRPr="00824722">
              <w:rPr>
                <w:rFonts w:cstheme="minorHAnsi"/>
                <w:b/>
                <w:bCs/>
                <w:color w:val="000000"/>
              </w:rPr>
              <w:t>2022</w:t>
            </w:r>
          </w:p>
        </w:tc>
      </w:tr>
      <w:tr w:rsidR="00EF6623" w:rsidRPr="00824722" w:rsidTr="00792438">
        <w:trPr>
          <w:trHeight w:val="290"/>
        </w:trPr>
        <w:tc>
          <w:tcPr>
            <w:tcW w:w="2840" w:type="dxa"/>
            <w:tcBorders>
              <w:top w:val="single" w:sz="6" w:space="0" w:color="FFFFFF"/>
              <w:left w:val="single" w:sz="4" w:space="0" w:color="auto"/>
              <w:bottom w:val="single" w:sz="6" w:space="0" w:color="FFFFFF"/>
              <w:right w:val="nil"/>
            </w:tcBorders>
            <w:shd w:val="solid" w:color="FFFFFF" w:fill="auto"/>
          </w:tcPr>
          <w:p w:rsidR="00EF6623" w:rsidRPr="00824722" w:rsidRDefault="00EF6623" w:rsidP="00792438">
            <w:pPr>
              <w:autoSpaceDE w:val="0"/>
              <w:autoSpaceDN w:val="0"/>
              <w:adjustRightInd w:val="0"/>
              <w:spacing w:after="0" w:line="240" w:lineRule="auto"/>
              <w:rPr>
                <w:rFonts w:cstheme="minorHAnsi"/>
                <w:color w:val="000000"/>
              </w:rPr>
            </w:pPr>
            <w:r w:rsidRPr="00824722">
              <w:rPr>
                <w:rFonts w:cstheme="minorHAnsi"/>
                <w:color w:val="000000"/>
              </w:rPr>
              <w:t>Midwives who attended a home birth</w:t>
            </w:r>
          </w:p>
        </w:tc>
        <w:tc>
          <w:tcPr>
            <w:tcW w:w="1105" w:type="dxa"/>
            <w:tcBorders>
              <w:top w:val="single" w:sz="6" w:space="0" w:color="FFFFFF"/>
              <w:left w:val="single" w:sz="6" w:space="0" w:color="FFFFFF"/>
              <w:bottom w:val="single" w:sz="6" w:space="0" w:color="FFFFFF"/>
              <w:right w:val="single" w:sz="6" w:space="0" w:color="FFFFFF"/>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195 </w:t>
            </w:r>
          </w:p>
        </w:tc>
        <w:tc>
          <w:tcPr>
            <w:tcW w:w="1106" w:type="dxa"/>
            <w:gridSpan w:val="2"/>
            <w:tcBorders>
              <w:top w:val="single" w:sz="6" w:space="0" w:color="FFFFFF"/>
              <w:left w:val="single" w:sz="6" w:space="0" w:color="FFFFFF"/>
              <w:bottom w:val="single" w:sz="6" w:space="0" w:color="FFFFFF"/>
              <w:right w:val="single" w:sz="6" w:space="0" w:color="FFFFFF"/>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199 </w:t>
            </w:r>
          </w:p>
        </w:tc>
        <w:tc>
          <w:tcPr>
            <w:tcW w:w="1106" w:type="dxa"/>
            <w:gridSpan w:val="2"/>
            <w:tcBorders>
              <w:top w:val="single" w:sz="6" w:space="0" w:color="FFFFFF"/>
              <w:left w:val="single" w:sz="6" w:space="0" w:color="FFFFFF"/>
              <w:bottom w:val="single" w:sz="6" w:space="0" w:color="FFFFFF"/>
              <w:right w:val="single" w:sz="6" w:space="0" w:color="FFFFFF"/>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203 </w:t>
            </w:r>
          </w:p>
        </w:tc>
        <w:tc>
          <w:tcPr>
            <w:tcW w:w="1106" w:type="dxa"/>
            <w:gridSpan w:val="2"/>
            <w:tcBorders>
              <w:top w:val="single" w:sz="6" w:space="0" w:color="FFFFFF"/>
              <w:left w:val="single" w:sz="6" w:space="0" w:color="FFFFFF"/>
              <w:bottom w:val="single" w:sz="6" w:space="0" w:color="FFFFFF"/>
              <w:right w:val="single" w:sz="6" w:space="0" w:color="FFFFFF"/>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261 </w:t>
            </w:r>
          </w:p>
        </w:tc>
        <w:tc>
          <w:tcPr>
            <w:tcW w:w="1106" w:type="dxa"/>
            <w:gridSpan w:val="2"/>
            <w:tcBorders>
              <w:top w:val="single" w:sz="6" w:space="0" w:color="FFFFFF"/>
              <w:left w:val="single" w:sz="6" w:space="0" w:color="FFFFFF"/>
              <w:bottom w:val="single" w:sz="6" w:space="0" w:color="FFFFFF"/>
              <w:right w:val="single" w:sz="4" w:space="0" w:color="auto"/>
            </w:tcBorders>
            <w:shd w:val="solid" w:color="FFFFFF"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274 </w:t>
            </w:r>
          </w:p>
        </w:tc>
      </w:tr>
      <w:tr w:rsidR="00EF6623" w:rsidRPr="00824722" w:rsidTr="00792438">
        <w:trPr>
          <w:trHeight w:val="290"/>
        </w:trPr>
        <w:tc>
          <w:tcPr>
            <w:tcW w:w="2840" w:type="dxa"/>
            <w:tcBorders>
              <w:top w:val="single" w:sz="6" w:space="0" w:color="FFFFFF"/>
              <w:left w:val="single" w:sz="4" w:space="0" w:color="auto"/>
              <w:bottom w:val="single" w:sz="4" w:space="0" w:color="auto"/>
              <w:right w:val="nil"/>
            </w:tcBorders>
            <w:shd w:val="solid" w:color="C0C0C0" w:fill="auto"/>
          </w:tcPr>
          <w:p w:rsidR="00EF6623" w:rsidRPr="00824722" w:rsidRDefault="00EF6623" w:rsidP="00792438">
            <w:pPr>
              <w:autoSpaceDE w:val="0"/>
              <w:autoSpaceDN w:val="0"/>
              <w:adjustRightInd w:val="0"/>
              <w:spacing w:after="0" w:line="240" w:lineRule="auto"/>
              <w:rPr>
                <w:rFonts w:cstheme="minorHAnsi"/>
                <w:color w:val="000000"/>
              </w:rPr>
            </w:pPr>
            <w:r w:rsidRPr="00824722">
              <w:rPr>
                <w:rFonts w:cstheme="minorHAnsi"/>
                <w:color w:val="000000"/>
              </w:rPr>
              <w:t>Total home births</w:t>
            </w:r>
          </w:p>
        </w:tc>
        <w:tc>
          <w:tcPr>
            <w:tcW w:w="1105" w:type="dxa"/>
            <w:tcBorders>
              <w:top w:val="single" w:sz="6" w:space="0" w:color="FFFFFF"/>
              <w:left w:val="single" w:sz="6" w:space="0" w:color="FFFFFF"/>
              <w:bottom w:val="single" w:sz="4" w:space="0" w:color="auto"/>
              <w:right w:val="single" w:sz="6" w:space="0" w:color="FFFFFF"/>
            </w:tcBorders>
            <w:shd w:val="solid" w:color="C0C0C0"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1,487 </w:t>
            </w:r>
          </w:p>
        </w:tc>
        <w:tc>
          <w:tcPr>
            <w:tcW w:w="1106" w:type="dxa"/>
            <w:gridSpan w:val="2"/>
            <w:tcBorders>
              <w:top w:val="single" w:sz="6" w:space="0" w:color="FFFFFF"/>
              <w:left w:val="single" w:sz="6" w:space="0" w:color="FFFFFF"/>
              <w:bottom w:val="single" w:sz="4" w:space="0" w:color="auto"/>
              <w:right w:val="single" w:sz="6" w:space="0" w:color="FFFFFF"/>
            </w:tcBorders>
            <w:shd w:val="solid" w:color="C0C0C0"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1,389 </w:t>
            </w:r>
          </w:p>
        </w:tc>
        <w:tc>
          <w:tcPr>
            <w:tcW w:w="1106" w:type="dxa"/>
            <w:gridSpan w:val="2"/>
            <w:tcBorders>
              <w:top w:val="single" w:sz="6" w:space="0" w:color="FFFFFF"/>
              <w:left w:val="single" w:sz="6" w:space="0" w:color="FFFFFF"/>
              <w:bottom w:val="single" w:sz="4" w:space="0" w:color="auto"/>
              <w:right w:val="single" w:sz="6" w:space="0" w:color="FFFFFF"/>
            </w:tcBorders>
            <w:shd w:val="solid" w:color="C0C0C0"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1,723 </w:t>
            </w:r>
          </w:p>
        </w:tc>
        <w:tc>
          <w:tcPr>
            <w:tcW w:w="1106" w:type="dxa"/>
            <w:gridSpan w:val="2"/>
            <w:tcBorders>
              <w:top w:val="single" w:sz="6" w:space="0" w:color="FFFFFF"/>
              <w:left w:val="single" w:sz="6" w:space="0" w:color="FFFFFF"/>
              <w:bottom w:val="single" w:sz="4" w:space="0" w:color="auto"/>
              <w:right w:val="single" w:sz="6" w:space="0" w:color="FFFFFF"/>
            </w:tcBorders>
            <w:shd w:val="solid" w:color="C0C0C0"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2,371 </w:t>
            </w:r>
          </w:p>
        </w:tc>
        <w:tc>
          <w:tcPr>
            <w:tcW w:w="1106" w:type="dxa"/>
            <w:gridSpan w:val="2"/>
            <w:tcBorders>
              <w:top w:val="single" w:sz="6" w:space="0" w:color="FFFFFF"/>
              <w:left w:val="single" w:sz="6" w:space="0" w:color="FFFFFF"/>
              <w:bottom w:val="single" w:sz="4" w:space="0" w:color="auto"/>
              <w:right w:val="single" w:sz="4" w:space="0" w:color="auto"/>
            </w:tcBorders>
            <w:shd w:val="solid" w:color="C0C0C0" w:fill="auto"/>
          </w:tcPr>
          <w:p w:rsidR="00EF6623" w:rsidRPr="00824722" w:rsidRDefault="00EF6623" w:rsidP="00792438">
            <w:pPr>
              <w:autoSpaceDE w:val="0"/>
              <w:autoSpaceDN w:val="0"/>
              <w:adjustRightInd w:val="0"/>
              <w:spacing w:after="0" w:line="240" w:lineRule="auto"/>
              <w:jc w:val="right"/>
              <w:rPr>
                <w:rFonts w:cstheme="minorHAnsi"/>
                <w:color w:val="000000"/>
              </w:rPr>
            </w:pPr>
            <w:r w:rsidRPr="00824722">
              <w:rPr>
                <w:rFonts w:cstheme="minorHAnsi"/>
                <w:color w:val="000000"/>
              </w:rPr>
              <w:t xml:space="preserve">               2,955 </w:t>
            </w:r>
          </w:p>
        </w:tc>
      </w:tr>
    </w:tbl>
    <w:p w:rsidR="00EF6623" w:rsidRPr="00824722" w:rsidRDefault="00EF6623" w:rsidP="00EF6623">
      <w:pPr>
        <w:spacing w:after="0"/>
        <w:ind w:left="720"/>
        <w:rPr>
          <w:rFonts w:cstheme="minorHAnsi"/>
          <w:i/>
          <w:color w:val="000000" w:themeColor="text1"/>
          <w:sz w:val="24"/>
          <w:szCs w:val="24"/>
        </w:rPr>
      </w:pPr>
    </w:p>
    <w:p w:rsidR="00EF6623" w:rsidRPr="00824722" w:rsidRDefault="00EF6623" w:rsidP="000205D1">
      <w:pPr>
        <w:shd w:val="clear" w:color="auto" w:fill="FFFFFF"/>
        <w:spacing w:after="0" w:line="345" w:lineRule="atLeast"/>
        <w:ind w:left="567"/>
        <w:rPr>
          <w:rFonts w:eastAsia="Times New Roman" w:cstheme="minorHAnsi"/>
          <w:i/>
          <w:color w:val="000000" w:themeColor="text1"/>
          <w:sz w:val="24"/>
          <w:szCs w:val="24"/>
          <w:lang w:eastAsia="en-AU"/>
        </w:rPr>
      </w:pPr>
      <w:r w:rsidRPr="00824722">
        <w:rPr>
          <w:rFonts w:eastAsia="Times New Roman" w:cstheme="minorHAnsi"/>
          <w:i/>
          <w:color w:val="000000" w:themeColor="text1"/>
          <w:sz w:val="24"/>
          <w:szCs w:val="24"/>
          <w:lang w:eastAsia="en-AU"/>
        </w:rPr>
        <w:t>Expected increase in number of women wanting to access PPM homebirth services</w:t>
      </w:r>
    </w:p>
    <w:p w:rsidR="00EF6623" w:rsidRPr="00824722" w:rsidRDefault="00EF6623" w:rsidP="000205D1">
      <w:pPr>
        <w:tabs>
          <w:tab w:val="left" w:pos="2127"/>
        </w:tabs>
        <w:ind w:left="567"/>
        <w:rPr>
          <w:rFonts w:cstheme="minorHAnsi"/>
          <w:sz w:val="24"/>
          <w:szCs w:val="24"/>
        </w:rPr>
      </w:pPr>
      <w:r w:rsidRPr="00824722">
        <w:rPr>
          <w:rFonts w:cstheme="minorHAnsi"/>
          <w:sz w:val="24"/>
          <w:szCs w:val="24"/>
        </w:rPr>
        <w:t>2,955 women birthed at home in 2022, up from 2,371 in 2021, an increase of 584 mothers. The regulatory burden this reform imposes on consumers will be based on the additional 584 mothers per year.</w:t>
      </w:r>
    </w:p>
    <w:p w:rsidR="000205D1" w:rsidRPr="00824722" w:rsidRDefault="000205D1" w:rsidP="000205D1">
      <w:pPr>
        <w:shd w:val="clear" w:color="auto" w:fill="FFFFFF"/>
        <w:spacing w:after="0" w:line="345" w:lineRule="atLeast"/>
        <w:ind w:left="567"/>
        <w:rPr>
          <w:rFonts w:eastAsia="Times New Roman" w:cstheme="minorHAnsi"/>
          <w:i/>
          <w:color w:val="000000" w:themeColor="text1"/>
          <w:sz w:val="24"/>
          <w:szCs w:val="24"/>
          <w:lang w:eastAsia="en-AU"/>
        </w:rPr>
      </w:pPr>
      <w:r w:rsidRPr="00824722">
        <w:rPr>
          <w:rFonts w:eastAsia="Times New Roman" w:cstheme="minorHAnsi"/>
          <w:i/>
          <w:color w:val="000000" w:themeColor="text1"/>
          <w:sz w:val="24"/>
          <w:szCs w:val="24"/>
          <w:lang w:eastAsia="en-AU"/>
        </w:rPr>
        <w:t>Costs of delay in service opportunity</w:t>
      </w:r>
    </w:p>
    <w:p w:rsidR="000205D1" w:rsidRPr="00824722" w:rsidRDefault="000205D1" w:rsidP="000205D1">
      <w:pPr>
        <w:tabs>
          <w:tab w:val="left" w:pos="2127"/>
        </w:tabs>
        <w:ind w:left="567"/>
        <w:rPr>
          <w:rFonts w:cstheme="minorHAnsi"/>
          <w:sz w:val="24"/>
          <w:szCs w:val="24"/>
        </w:rPr>
      </w:pPr>
      <w:r w:rsidRPr="00824722">
        <w:rPr>
          <w:rFonts w:cstheme="minorHAnsi"/>
          <w:sz w:val="24"/>
          <w:szCs w:val="24"/>
        </w:rPr>
        <w:t>Due to the lack of data around women seeking homebirth services, it is difficult to quantify the regulatory burden incurred. An arbitrary figure of one hour per day over 9 months (40 hours) has been nominated.</w:t>
      </w:r>
    </w:p>
    <w:p w:rsidR="000205D1" w:rsidRPr="00824722" w:rsidRDefault="000205D1" w:rsidP="000205D1">
      <w:pPr>
        <w:tabs>
          <w:tab w:val="left" w:pos="2127"/>
        </w:tabs>
        <w:ind w:left="567"/>
        <w:rPr>
          <w:rFonts w:cstheme="minorHAnsi"/>
          <w:sz w:val="24"/>
          <w:szCs w:val="24"/>
        </w:rPr>
      </w:pPr>
      <w:r w:rsidRPr="00824722">
        <w:rPr>
          <w:rFonts w:cstheme="minorHAnsi"/>
          <w:sz w:val="24"/>
          <w:szCs w:val="24"/>
        </w:rPr>
        <w:t>The total time impact is converted to a consumer cost per year using a consumer time value of $37/hr.</w:t>
      </w:r>
      <w:r w:rsidRPr="00824722">
        <w:rPr>
          <w:rFonts w:cstheme="minorHAnsi"/>
          <w:sz w:val="24"/>
          <w:szCs w:val="24"/>
          <w:vertAlign w:val="superscript"/>
        </w:rPr>
        <w:footnoteReference w:id="24"/>
      </w:r>
      <w:r w:rsidRPr="00824722">
        <w:rPr>
          <w:rFonts w:cstheme="minorHAnsi"/>
          <w:sz w:val="24"/>
          <w:szCs w:val="24"/>
          <w:vertAlign w:val="superscript"/>
        </w:rPr>
        <w:t xml:space="preserve"> </w:t>
      </w:r>
      <w:r w:rsidRPr="00824722">
        <w:rPr>
          <w:rFonts w:cstheme="minorHAnsi"/>
          <w:sz w:val="24"/>
          <w:szCs w:val="24"/>
        </w:rPr>
        <w:t xml:space="preserve"> The delay cost per mother is calculated at 40 hours x $37 = $1,480.</w:t>
      </w:r>
    </w:p>
    <w:p w:rsidR="000205D1" w:rsidRPr="00824722" w:rsidRDefault="000205D1" w:rsidP="000205D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720"/>
        <w:rPr>
          <w:sz w:val="24"/>
          <w:szCs w:val="24"/>
        </w:rPr>
      </w:pPr>
      <w:r w:rsidRPr="00824722">
        <w:rPr>
          <w:sz w:val="24"/>
          <w:szCs w:val="24"/>
        </w:rPr>
        <w:t>Consumer cost = (No. ‘women seeking homebirth services) x (time impact [delay])</w:t>
      </w:r>
    </w:p>
    <w:p w:rsidR="000205D1" w:rsidRPr="00824722" w:rsidRDefault="000205D1" w:rsidP="000205D1">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sz w:val="24"/>
          <w:szCs w:val="24"/>
        </w:rPr>
      </w:pPr>
      <w:r w:rsidRPr="00824722">
        <w:rPr>
          <w:b/>
          <w:sz w:val="24"/>
          <w:szCs w:val="24"/>
        </w:rPr>
        <w:t>$864,320</w:t>
      </w:r>
      <w:r w:rsidRPr="00824722">
        <w:rPr>
          <w:sz w:val="24"/>
          <w:szCs w:val="24"/>
        </w:rPr>
        <w:t xml:space="preserve"> = </w:t>
      </w:r>
      <w:r w:rsidRPr="00824722">
        <w:rPr>
          <w:sz w:val="24"/>
          <w:szCs w:val="24"/>
        </w:rPr>
        <w:tab/>
      </w:r>
      <w:r w:rsidRPr="00824722">
        <w:rPr>
          <w:sz w:val="24"/>
          <w:szCs w:val="24"/>
        </w:rPr>
        <w:tab/>
      </w:r>
      <w:r w:rsidRPr="00824722">
        <w:rPr>
          <w:sz w:val="24"/>
          <w:szCs w:val="24"/>
        </w:rPr>
        <w:tab/>
        <w:t xml:space="preserve">584 mothers x </w:t>
      </w:r>
      <w:r w:rsidRPr="00824722">
        <w:rPr>
          <w:sz w:val="24"/>
          <w:szCs w:val="24"/>
        </w:rPr>
        <w:tab/>
      </w:r>
      <w:r w:rsidRPr="00824722">
        <w:rPr>
          <w:sz w:val="24"/>
          <w:szCs w:val="24"/>
        </w:rPr>
        <w:tab/>
      </w:r>
      <w:r w:rsidRPr="00824722">
        <w:rPr>
          <w:sz w:val="24"/>
          <w:szCs w:val="24"/>
        </w:rPr>
        <w:tab/>
        <w:t>$1,480</w:t>
      </w:r>
    </w:p>
    <w:p w:rsidR="00EF6623" w:rsidRPr="00824722" w:rsidRDefault="00EF6623" w:rsidP="00EF6623">
      <w:pPr>
        <w:spacing w:after="0"/>
        <w:rPr>
          <w:color w:val="1F4E79"/>
          <w:sz w:val="24"/>
          <w:szCs w:val="24"/>
        </w:rPr>
      </w:pPr>
    </w:p>
    <w:p w:rsidR="00D205BE" w:rsidRPr="00824722" w:rsidRDefault="00D205BE" w:rsidP="00D205BE">
      <w:pPr>
        <w:rPr>
          <w:color w:val="1F4E79"/>
          <w:sz w:val="28"/>
          <w:szCs w:val="28"/>
        </w:rPr>
      </w:pPr>
      <w:r w:rsidRPr="00824722">
        <w:rPr>
          <w:color w:val="1F4E79"/>
          <w:sz w:val="28"/>
          <w:szCs w:val="28"/>
        </w:rPr>
        <w:t>PPM impact</w:t>
      </w:r>
    </w:p>
    <w:p w:rsidR="0092516E" w:rsidRPr="00824722" w:rsidRDefault="0092516E" w:rsidP="0092516E">
      <w:pPr>
        <w:tabs>
          <w:tab w:val="left" w:pos="2127"/>
        </w:tabs>
        <w:ind w:left="567"/>
        <w:rPr>
          <w:color w:val="000000" w:themeColor="text1"/>
          <w:sz w:val="24"/>
          <w:szCs w:val="24"/>
        </w:rPr>
      </w:pPr>
      <w:r w:rsidRPr="00824722">
        <w:rPr>
          <w:color w:val="000000" w:themeColor="text1"/>
          <w:sz w:val="24"/>
          <w:szCs w:val="24"/>
        </w:rPr>
        <w:t xml:space="preserve">Under this option PPMs can continue to offer services but without insurance, alongside public programs as occurs currently. </w:t>
      </w:r>
    </w:p>
    <w:p w:rsidR="0092516E" w:rsidRPr="00824722" w:rsidRDefault="0092516E" w:rsidP="0092516E">
      <w:pPr>
        <w:tabs>
          <w:tab w:val="left" w:pos="2127"/>
        </w:tabs>
        <w:ind w:left="567"/>
        <w:rPr>
          <w:color w:val="000000" w:themeColor="text1"/>
          <w:sz w:val="24"/>
          <w:szCs w:val="24"/>
        </w:rPr>
      </w:pPr>
      <w:r w:rsidRPr="00824722">
        <w:rPr>
          <w:rFonts w:cstheme="minorHAnsi"/>
          <w:sz w:val="24"/>
          <w:szCs w:val="24"/>
        </w:rPr>
        <w:t xml:space="preserve">ACCHOs providing services under BoC models of care have informed the Department that these services have would need to cease unless Option 2 was implemented. </w:t>
      </w:r>
      <w:r w:rsidRPr="00824722">
        <w:rPr>
          <w:color w:val="000000" w:themeColor="text1"/>
          <w:sz w:val="24"/>
          <w:szCs w:val="24"/>
        </w:rPr>
        <w:t>This could see 47 midwives currently employed (or contracted to) ACCHOS under BoC models of care without a job.</w:t>
      </w:r>
    </w:p>
    <w:p w:rsidR="00EF6623" w:rsidRPr="00824722" w:rsidRDefault="00EF6623" w:rsidP="000205D1">
      <w:pPr>
        <w:tabs>
          <w:tab w:val="left" w:pos="2127"/>
        </w:tabs>
        <w:spacing w:after="0"/>
        <w:ind w:left="567"/>
        <w:rPr>
          <w:color w:val="000000" w:themeColor="text1"/>
          <w:sz w:val="24"/>
          <w:szCs w:val="24"/>
        </w:rPr>
      </w:pPr>
    </w:p>
    <w:p w:rsidR="0092516E" w:rsidRPr="00824722" w:rsidRDefault="0092516E" w:rsidP="0092516E">
      <w:pPr>
        <w:shd w:val="clear" w:color="auto" w:fill="FFFFFF"/>
        <w:spacing w:after="0" w:line="345" w:lineRule="atLeast"/>
        <w:ind w:left="567"/>
        <w:rPr>
          <w:rFonts w:eastAsia="Times New Roman" w:cstheme="minorHAnsi"/>
          <w:i/>
          <w:color w:val="000000" w:themeColor="text1"/>
          <w:sz w:val="24"/>
          <w:szCs w:val="24"/>
          <w:lang w:eastAsia="en-AU"/>
        </w:rPr>
      </w:pPr>
      <w:r w:rsidRPr="00824722">
        <w:rPr>
          <w:rFonts w:eastAsia="Times New Roman" w:cstheme="minorHAnsi"/>
          <w:i/>
          <w:color w:val="000000" w:themeColor="text1"/>
          <w:sz w:val="24"/>
          <w:szCs w:val="24"/>
          <w:lang w:eastAsia="en-AU"/>
        </w:rPr>
        <w:t>Loss of income incurred through loss of employment</w:t>
      </w:r>
    </w:p>
    <w:p w:rsidR="0092516E" w:rsidRPr="00824722" w:rsidRDefault="0092516E" w:rsidP="0092516E">
      <w:pPr>
        <w:tabs>
          <w:tab w:val="left" w:pos="2127"/>
        </w:tabs>
        <w:spacing w:after="240"/>
        <w:ind w:left="567"/>
        <w:rPr>
          <w:color w:val="000000" w:themeColor="text1"/>
          <w:sz w:val="24"/>
          <w:szCs w:val="24"/>
        </w:rPr>
      </w:pPr>
      <w:r w:rsidRPr="00824722">
        <w:rPr>
          <w:color w:val="000000"/>
          <w:sz w:val="24"/>
          <w:szCs w:val="24"/>
        </w:rPr>
        <w:t xml:space="preserve">The average based salary for a midwife in Australia is $42.21 per hour or $55,093 per year. </w:t>
      </w:r>
      <w:r w:rsidRPr="00824722">
        <w:rPr>
          <w:color w:val="000000" w:themeColor="text1"/>
          <w:sz w:val="24"/>
          <w:szCs w:val="24"/>
        </w:rPr>
        <w:t>PPMs typically work 25.1 hours per week</w:t>
      </w:r>
      <w:r w:rsidRPr="00824722">
        <w:rPr>
          <w:rStyle w:val="FootnoteReference"/>
          <w:color w:val="000000" w:themeColor="text1"/>
          <w:sz w:val="24"/>
          <w:szCs w:val="24"/>
        </w:rPr>
        <w:footnoteReference w:id="25"/>
      </w:r>
      <w:r w:rsidRPr="00824722">
        <w:rPr>
          <w:color w:val="000000" w:themeColor="text1"/>
          <w:sz w:val="24"/>
          <w:szCs w:val="24"/>
        </w:rPr>
        <w:t xml:space="preserve"> or 1,305.2 hours per year.</w:t>
      </w:r>
    </w:p>
    <w:p w:rsidR="0092516E" w:rsidRPr="00824722" w:rsidRDefault="0092516E" w:rsidP="0092516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567"/>
        <w:rPr>
          <w:color w:val="000000" w:themeColor="text1"/>
          <w:sz w:val="24"/>
          <w:szCs w:val="24"/>
        </w:rPr>
      </w:pPr>
      <w:r w:rsidRPr="00824722">
        <w:rPr>
          <w:color w:val="000000" w:themeColor="text1"/>
          <w:sz w:val="24"/>
          <w:szCs w:val="24"/>
        </w:rPr>
        <w:t>PPM loss of income = (Time required × Labour cost) × (Number of staff)</w:t>
      </w:r>
    </w:p>
    <w:p w:rsidR="0092516E" w:rsidRPr="00824722" w:rsidRDefault="0092516E" w:rsidP="0092516E">
      <w:pPr>
        <w:pBdr>
          <w:top w:val="single" w:sz="4" w:space="1" w:color="auto"/>
          <w:left w:val="single" w:sz="4" w:space="4" w:color="auto"/>
          <w:bottom w:val="single" w:sz="4" w:space="1" w:color="auto"/>
          <w:right w:val="single" w:sz="4" w:space="4" w:color="auto"/>
        </w:pBdr>
        <w:shd w:val="clear" w:color="auto" w:fill="F2F2F2" w:themeFill="background1" w:themeFillShade="F2"/>
        <w:ind w:left="567"/>
        <w:rPr>
          <w:sz w:val="24"/>
          <w:szCs w:val="24"/>
        </w:rPr>
      </w:pPr>
      <w:r w:rsidRPr="00824722">
        <w:rPr>
          <w:b/>
          <w:sz w:val="24"/>
          <w:szCs w:val="24"/>
        </w:rPr>
        <w:t>$2,589,347</w:t>
      </w:r>
      <w:r w:rsidRPr="00824722">
        <w:rPr>
          <w:sz w:val="24"/>
          <w:szCs w:val="24"/>
        </w:rPr>
        <w:t xml:space="preserve"> = </w:t>
      </w:r>
      <w:r w:rsidRPr="00824722">
        <w:rPr>
          <w:sz w:val="24"/>
          <w:szCs w:val="24"/>
        </w:rPr>
        <w:tab/>
      </w:r>
      <w:r w:rsidRPr="00824722">
        <w:rPr>
          <w:sz w:val="24"/>
          <w:szCs w:val="24"/>
        </w:rPr>
        <w:tab/>
        <w:t xml:space="preserve">(1,305.2 hours x $42.21) x </w:t>
      </w:r>
      <w:r w:rsidRPr="00824722">
        <w:rPr>
          <w:sz w:val="24"/>
          <w:szCs w:val="24"/>
        </w:rPr>
        <w:tab/>
      </w:r>
      <w:r w:rsidRPr="00824722">
        <w:rPr>
          <w:sz w:val="24"/>
          <w:szCs w:val="24"/>
        </w:rPr>
        <w:tab/>
        <w:t>47</w:t>
      </w:r>
    </w:p>
    <w:p w:rsidR="0092516E" w:rsidRPr="00824722" w:rsidRDefault="0092516E" w:rsidP="0092516E">
      <w:pPr>
        <w:ind w:left="720"/>
        <w:rPr>
          <w:color w:val="000000" w:themeColor="text1"/>
          <w:sz w:val="24"/>
          <w:szCs w:val="24"/>
        </w:rPr>
      </w:pPr>
    </w:p>
    <w:p w:rsidR="00D205BE" w:rsidRPr="00824722" w:rsidRDefault="0076590D" w:rsidP="0076590D">
      <w:pPr>
        <w:rPr>
          <w:color w:val="1F4E79"/>
          <w:sz w:val="28"/>
          <w:szCs w:val="28"/>
        </w:rPr>
      </w:pPr>
      <w:r w:rsidRPr="00824722">
        <w:rPr>
          <w:color w:val="1F4E79"/>
          <w:sz w:val="28"/>
          <w:szCs w:val="28"/>
        </w:rPr>
        <w:t>Industry impact</w:t>
      </w:r>
    </w:p>
    <w:p w:rsidR="0092516E" w:rsidRPr="00824722" w:rsidRDefault="0092516E" w:rsidP="0092516E">
      <w:pPr>
        <w:tabs>
          <w:tab w:val="left" w:pos="2127"/>
        </w:tabs>
        <w:ind w:left="567"/>
        <w:rPr>
          <w:color w:val="1F4E79"/>
          <w:sz w:val="28"/>
          <w:szCs w:val="28"/>
        </w:rPr>
      </w:pPr>
      <w:r w:rsidRPr="00824722">
        <w:rPr>
          <w:rFonts w:cstheme="minorHAnsi"/>
          <w:sz w:val="24"/>
          <w:szCs w:val="24"/>
        </w:rPr>
        <w:t>To date, no insurer has indicated a willingness to provide the relevant PII cover for low risk homebirth or intrapartum care outside a hospital under existing Government supports for the Midwife Schemes. Under this option, there would be no regulatory impact on the insurer.</w:t>
      </w:r>
    </w:p>
    <w:p w:rsidR="0076590D" w:rsidRPr="00824722" w:rsidRDefault="0076590D" w:rsidP="0076590D">
      <w:pPr>
        <w:rPr>
          <w:color w:val="1F4E79"/>
          <w:sz w:val="28"/>
          <w:szCs w:val="28"/>
        </w:rPr>
      </w:pPr>
      <w:r w:rsidRPr="00824722">
        <w:rPr>
          <w:color w:val="1F4E79"/>
          <w:sz w:val="28"/>
          <w:szCs w:val="28"/>
        </w:rPr>
        <w:t>Regulator impact</w:t>
      </w:r>
    </w:p>
    <w:p w:rsidR="0092516E" w:rsidRPr="00824722" w:rsidRDefault="0092516E" w:rsidP="0092516E">
      <w:pPr>
        <w:ind w:left="720"/>
        <w:rPr>
          <w:color w:val="000000" w:themeColor="text1"/>
          <w:sz w:val="24"/>
          <w:szCs w:val="24"/>
        </w:rPr>
      </w:pPr>
      <w:r w:rsidRPr="00824722">
        <w:rPr>
          <w:color w:val="000000" w:themeColor="text1"/>
          <w:sz w:val="24"/>
          <w:szCs w:val="24"/>
        </w:rPr>
        <w:t xml:space="preserve">From a regulator perspective, the status quo is maintained under both options and there is no additional regulatory burden for the regulator. </w:t>
      </w:r>
    </w:p>
    <w:p w:rsidR="0076590D" w:rsidRPr="00824722" w:rsidRDefault="0076590D" w:rsidP="0076590D">
      <w:pPr>
        <w:rPr>
          <w:color w:val="1F4E79"/>
          <w:sz w:val="28"/>
          <w:szCs w:val="28"/>
        </w:rPr>
      </w:pPr>
      <w:r w:rsidRPr="00824722">
        <w:rPr>
          <w:color w:val="1F4E79"/>
          <w:sz w:val="28"/>
          <w:szCs w:val="28"/>
        </w:rPr>
        <w:t>Business impact</w:t>
      </w:r>
    </w:p>
    <w:p w:rsidR="0092516E" w:rsidRPr="00824722" w:rsidRDefault="0092516E" w:rsidP="0092516E">
      <w:pPr>
        <w:ind w:left="720"/>
        <w:rPr>
          <w:color w:val="000000" w:themeColor="text1"/>
          <w:sz w:val="24"/>
          <w:szCs w:val="24"/>
        </w:rPr>
      </w:pPr>
      <w:r w:rsidRPr="00824722">
        <w:rPr>
          <w:color w:val="000000" w:themeColor="text1"/>
          <w:sz w:val="24"/>
          <w:szCs w:val="24"/>
        </w:rPr>
        <w:t>The impact on business is commercial viability of First Nations midwifery services which would otherwise be forced to close. This option will support expansion of their services to provide homebirth and intrapartum (labour) care outside a hospital setting as insured services.</w:t>
      </w:r>
    </w:p>
    <w:p w:rsidR="0092516E" w:rsidRPr="00824722" w:rsidRDefault="0092516E" w:rsidP="0092516E">
      <w:pPr>
        <w:ind w:left="720"/>
        <w:rPr>
          <w:color w:val="000000" w:themeColor="text1"/>
          <w:sz w:val="24"/>
          <w:szCs w:val="24"/>
        </w:rPr>
      </w:pPr>
      <w:r w:rsidRPr="00824722">
        <w:rPr>
          <w:color w:val="000000" w:themeColor="text1"/>
          <w:sz w:val="24"/>
          <w:szCs w:val="24"/>
        </w:rPr>
        <w:t>First Nations midwifery services employ approximately 38 midwives, having recently lost midwives due to the uncertainty associated with medical indemnity cover. There is a lack of trend data on the recruitment and retention of PPMs providing BoC services. Any increase in the workforce is based on assumptions, such as additional 8 midwives providing services per year.</w:t>
      </w:r>
    </w:p>
    <w:p w:rsidR="0092516E" w:rsidRPr="00824722" w:rsidRDefault="0092516E" w:rsidP="0092516E">
      <w:pPr>
        <w:spacing w:after="0"/>
        <w:ind w:left="720"/>
        <w:rPr>
          <w:color w:val="000000" w:themeColor="text1"/>
          <w:sz w:val="24"/>
          <w:szCs w:val="24"/>
        </w:rPr>
      </w:pPr>
    </w:p>
    <w:tbl>
      <w:tblPr>
        <w:tblStyle w:val="TableGrid"/>
        <w:tblW w:w="8206" w:type="dxa"/>
        <w:tblInd w:w="720" w:type="dxa"/>
        <w:tblLook w:val="04A0" w:firstRow="1" w:lastRow="0" w:firstColumn="1" w:lastColumn="0" w:noHBand="0" w:noVBand="1"/>
      </w:tblPr>
      <w:tblGrid>
        <w:gridCol w:w="1514"/>
        <w:gridCol w:w="1094"/>
        <w:gridCol w:w="1326"/>
        <w:gridCol w:w="1334"/>
        <w:gridCol w:w="1429"/>
        <w:gridCol w:w="1509"/>
      </w:tblGrid>
      <w:tr w:rsidR="0092516E" w:rsidRPr="00824722" w:rsidTr="00792438">
        <w:tc>
          <w:tcPr>
            <w:tcW w:w="1514" w:type="dxa"/>
          </w:tcPr>
          <w:p w:rsidR="0092516E" w:rsidRPr="00824722" w:rsidRDefault="0092516E" w:rsidP="00792438">
            <w:pPr>
              <w:jc w:val="center"/>
              <w:rPr>
                <w:b/>
                <w:color w:val="000000" w:themeColor="text1"/>
                <w:sz w:val="24"/>
                <w:szCs w:val="24"/>
              </w:rPr>
            </w:pPr>
          </w:p>
        </w:tc>
        <w:tc>
          <w:tcPr>
            <w:tcW w:w="1094" w:type="dxa"/>
          </w:tcPr>
          <w:p w:rsidR="0092516E" w:rsidRPr="00824722" w:rsidRDefault="0092516E" w:rsidP="00792438">
            <w:pPr>
              <w:jc w:val="center"/>
              <w:rPr>
                <w:b/>
                <w:color w:val="000000" w:themeColor="text1"/>
                <w:sz w:val="24"/>
                <w:szCs w:val="24"/>
              </w:rPr>
            </w:pPr>
            <w:r w:rsidRPr="00824722">
              <w:rPr>
                <w:b/>
                <w:color w:val="000000" w:themeColor="text1"/>
                <w:sz w:val="24"/>
                <w:szCs w:val="24"/>
              </w:rPr>
              <w:t>2024-25</w:t>
            </w:r>
          </w:p>
        </w:tc>
        <w:tc>
          <w:tcPr>
            <w:tcW w:w="1326" w:type="dxa"/>
          </w:tcPr>
          <w:p w:rsidR="0092516E" w:rsidRPr="00824722" w:rsidRDefault="0092516E" w:rsidP="00792438">
            <w:pPr>
              <w:jc w:val="center"/>
              <w:rPr>
                <w:b/>
                <w:color w:val="000000" w:themeColor="text1"/>
                <w:sz w:val="24"/>
                <w:szCs w:val="24"/>
              </w:rPr>
            </w:pPr>
            <w:r w:rsidRPr="00824722">
              <w:rPr>
                <w:b/>
                <w:color w:val="000000" w:themeColor="text1"/>
                <w:sz w:val="24"/>
                <w:szCs w:val="24"/>
              </w:rPr>
              <w:t>2025-26</w:t>
            </w:r>
          </w:p>
        </w:tc>
        <w:tc>
          <w:tcPr>
            <w:tcW w:w="1334" w:type="dxa"/>
          </w:tcPr>
          <w:p w:rsidR="0092516E" w:rsidRPr="00824722" w:rsidRDefault="0092516E" w:rsidP="00792438">
            <w:pPr>
              <w:jc w:val="center"/>
              <w:rPr>
                <w:b/>
                <w:color w:val="000000" w:themeColor="text1"/>
                <w:sz w:val="24"/>
                <w:szCs w:val="24"/>
              </w:rPr>
            </w:pPr>
            <w:r w:rsidRPr="00824722">
              <w:rPr>
                <w:b/>
                <w:color w:val="000000" w:themeColor="text1"/>
                <w:sz w:val="24"/>
                <w:szCs w:val="24"/>
              </w:rPr>
              <w:t>2026-27</w:t>
            </w:r>
          </w:p>
        </w:tc>
        <w:tc>
          <w:tcPr>
            <w:tcW w:w="1429" w:type="dxa"/>
          </w:tcPr>
          <w:p w:rsidR="0092516E" w:rsidRPr="00824722" w:rsidRDefault="0092516E" w:rsidP="00792438">
            <w:pPr>
              <w:jc w:val="center"/>
              <w:rPr>
                <w:b/>
                <w:color w:val="000000" w:themeColor="text1"/>
                <w:sz w:val="24"/>
                <w:szCs w:val="24"/>
              </w:rPr>
            </w:pPr>
            <w:r w:rsidRPr="00824722">
              <w:rPr>
                <w:b/>
                <w:color w:val="000000" w:themeColor="text1"/>
                <w:sz w:val="24"/>
                <w:szCs w:val="24"/>
              </w:rPr>
              <w:t>2027-28</w:t>
            </w:r>
          </w:p>
        </w:tc>
        <w:tc>
          <w:tcPr>
            <w:tcW w:w="1509" w:type="dxa"/>
          </w:tcPr>
          <w:p w:rsidR="0092516E" w:rsidRPr="00824722" w:rsidRDefault="0092516E" w:rsidP="00792438">
            <w:pPr>
              <w:jc w:val="center"/>
              <w:rPr>
                <w:b/>
                <w:color w:val="000000" w:themeColor="text1"/>
                <w:sz w:val="24"/>
                <w:szCs w:val="24"/>
              </w:rPr>
            </w:pPr>
            <w:r w:rsidRPr="00824722">
              <w:rPr>
                <w:b/>
                <w:color w:val="000000" w:themeColor="text1"/>
                <w:sz w:val="24"/>
                <w:szCs w:val="24"/>
              </w:rPr>
              <w:t>Total</w:t>
            </w:r>
          </w:p>
        </w:tc>
      </w:tr>
      <w:tr w:rsidR="0092516E" w:rsidRPr="00824722" w:rsidTr="00792438">
        <w:tc>
          <w:tcPr>
            <w:tcW w:w="1514" w:type="dxa"/>
          </w:tcPr>
          <w:p w:rsidR="0092516E" w:rsidRPr="00824722" w:rsidRDefault="0092516E" w:rsidP="00792438">
            <w:pPr>
              <w:rPr>
                <w:color w:val="000000" w:themeColor="text1"/>
                <w:sz w:val="24"/>
                <w:szCs w:val="24"/>
              </w:rPr>
            </w:pPr>
            <w:r w:rsidRPr="00824722">
              <w:rPr>
                <w:color w:val="000000" w:themeColor="text1"/>
                <w:sz w:val="24"/>
                <w:szCs w:val="24"/>
              </w:rPr>
              <w:t>Number of midwives</w:t>
            </w:r>
          </w:p>
        </w:tc>
        <w:tc>
          <w:tcPr>
            <w:tcW w:w="1094" w:type="dxa"/>
          </w:tcPr>
          <w:p w:rsidR="0092516E" w:rsidRPr="00824722" w:rsidRDefault="0092516E" w:rsidP="00792438">
            <w:pPr>
              <w:jc w:val="center"/>
              <w:rPr>
                <w:color w:val="000000" w:themeColor="text1"/>
                <w:sz w:val="24"/>
                <w:szCs w:val="24"/>
              </w:rPr>
            </w:pPr>
            <w:r w:rsidRPr="00824722">
              <w:rPr>
                <w:color w:val="000000" w:themeColor="text1"/>
                <w:sz w:val="24"/>
                <w:szCs w:val="24"/>
              </w:rPr>
              <w:t>38</w:t>
            </w:r>
          </w:p>
        </w:tc>
        <w:tc>
          <w:tcPr>
            <w:tcW w:w="1326" w:type="dxa"/>
            <w:shd w:val="clear" w:color="auto" w:fill="FFFFFF" w:themeFill="background1"/>
          </w:tcPr>
          <w:p w:rsidR="0092516E" w:rsidRPr="00824722" w:rsidRDefault="0092516E" w:rsidP="00792438">
            <w:pPr>
              <w:jc w:val="center"/>
              <w:rPr>
                <w:color w:val="000000" w:themeColor="text1"/>
                <w:sz w:val="24"/>
                <w:szCs w:val="24"/>
              </w:rPr>
            </w:pPr>
            <w:r w:rsidRPr="00824722">
              <w:rPr>
                <w:color w:val="000000" w:themeColor="text1"/>
                <w:sz w:val="24"/>
                <w:szCs w:val="24"/>
              </w:rPr>
              <w:t>46</w:t>
            </w:r>
          </w:p>
        </w:tc>
        <w:tc>
          <w:tcPr>
            <w:tcW w:w="1334" w:type="dxa"/>
            <w:shd w:val="clear" w:color="auto" w:fill="FFFFFF" w:themeFill="background1"/>
          </w:tcPr>
          <w:p w:rsidR="0092516E" w:rsidRPr="00824722" w:rsidRDefault="00320E6E" w:rsidP="00792438">
            <w:pPr>
              <w:jc w:val="center"/>
              <w:rPr>
                <w:color w:val="000000" w:themeColor="text1"/>
                <w:sz w:val="24"/>
                <w:szCs w:val="24"/>
              </w:rPr>
            </w:pPr>
            <w:r w:rsidRPr="00824722">
              <w:rPr>
                <w:color w:val="000000" w:themeColor="text1"/>
                <w:sz w:val="24"/>
                <w:szCs w:val="24"/>
              </w:rPr>
              <w:t>54</w:t>
            </w:r>
          </w:p>
        </w:tc>
        <w:tc>
          <w:tcPr>
            <w:tcW w:w="1429" w:type="dxa"/>
            <w:shd w:val="clear" w:color="auto" w:fill="FFFFFF" w:themeFill="background1"/>
          </w:tcPr>
          <w:p w:rsidR="0092516E" w:rsidRPr="00824722" w:rsidRDefault="00320E6E" w:rsidP="00792438">
            <w:pPr>
              <w:jc w:val="center"/>
              <w:rPr>
                <w:color w:val="000000" w:themeColor="text1"/>
                <w:sz w:val="24"/>
                <w:szCs w:val="24"/>
              </w:rPr>
            </w:pPr>
            <w:r w:rsidRPr="00824722">
              <w:rPr>
                <w:color w:val="000000" w:themeColor="text1"/>
                <w:sz w:val="24"/>
                <w:szCs w:val="24"/>
              </w:rPr>
              <w:t>62</w:t>
            </w:r>
          </w:p>
        </w:tc>
        <w:tc>
          <w:tcPr>
            <w:tcW w:w="1509" w:type="dxa"/>
            <w:shd w:val="clear" w:color="auto" w:fill="D9D9D9" w:themeFill="background1" w:themeFillShade="D9"/>
          </w:tcPr>
          <w:p w:rsidR="0092516E" w:rsidRPr="00824722" w:rsidRDefault="0092516E" w:rsidP="00792438">
            <w:pPr>
              <w:jc w:val="center"/>
              <w:rPr>
                <w:color w:val="000000" w:themeColor="text1"/>
                <w:sz w:val="24"/>
                <w:szCs w:val="24"/>
              </w:rPr>
            </w:pPr>
          </w:p>
        </w:tc>
      </w:tr>
      <w:tr w:rsidR="0092516E" w:rsidTr="00792438">
        <w:tc>
          <w:tcPr>
            <w:tcW w:w="1514" w:type="dxa"/>
            <w:shd w:val="clear" w:color="auto" w:fill="FFFFFF" w:themeFill="background1"/>
          </w:tcPr>
          <w:p w:rsidR="0092516E" w:rsidRPr="00824722" w:rsidRDefault="0092516E" w:rsidP="00792438">
            <w:pPr>
              <w:rPr>
                <w:color w:val="000000" w:themeColor="text1"/>
                <w:sz w:val="24"/>
                <w:szCs w:val="24"/>
              </w:rPr>
            </w:pPr>
            <w:r w:rsidRPr="00824722">
              <w:rPr>
                <w:color w:val="000000" w:themeColor="text1"/>
                <w:sz w:val="24"/>
                <w:szCs w:val="24"/>
              </w:rPr>
              <w:t>Regulatory cost</w:t>
            </w:r>
          </w:p>
        </w:tc>
        <w:tc>
          <w:tcPr>
            <w:tcW w:w="1094" w:type="dxa"/>
            <w:shd w:val="clear" w:color="auto" w:fill="D9D9D9" w:themeFill="background1" w:themeFillShade="D9"/>
          </w:tcPr>
          <w:p w:rsidR="0092516E" w:rsidRPr="00824722" w:rsidRDefault="0092516E" w:rsidP="00792438">
            <w:pPr>
              <w:rPr>
                <w:color w:val="000000" w:themeColor="text1"/>
                <w:sz w:val="24"/>
                <w:szCs w:val="24"/>
              </w:rPr>
            </w:pPr>
          </w:p>
        </w:tc>
        <w:tc>
          <w:tcPr>
            <w:tcW w:w="1326" w:type="dxa"/>
            <w:shd w:val="clear" w:color="auto" w:fill="FFFFFF" w:themeFill="background1"/>
          </w:tcPr>
          <w:p w:rsidR="0092516E" w:rsidRPr="00824722" w:rsidRDefault="0092516E" w:rsidP="00792438">
            <w:pPr>
              <w:rPr>
                <w:color w:val="000000" w:themeColor="text1"/>
                <w:sz w:val="24"/>
                <w:szCs w:val="24"/>
              </w:rPr>
            </w:pPr>
            <w:r w:rsidRPr="00824722">
              <w:rPr>
                <w:color w:val="000000" w:themeColor="text1"/>
                <w:sz w:val="24"/>
                <w:szCs w:val="24"/>
              </w:rPr>
              <w:t>+$500,000</w:t>
            </w:r>
          </w:p>
        </w:tc>
        <w:tc>
          <w:tcPr>
            <w:tcW w:w="1334" w:type="dxa"/>
            <w:shd w:val="clear" w:color="auto" w:fill="FFFFFF" w:themeFill="background1"/>
          </w:tcPr>
          <w:p w:rsidR="0092516E" w:rsidRPr="00824722" w:rsidRDefault="0092516E" w:rsidP="00792438">
            <w:pPr>
              <w:rPr>
                <w:color w:val="000000" w:themeColor="text1"/>
                <w:sz w:val="24"/>
                <w:szCs w:val="24"/>
              </w:rPr>
            </w:pPr>
            <w:r w:rsidRPr="00824722">
              <w:rPr>
                <w:color w:val="000000" w:themeColor="text1"/>
                <w:sz w:val="24"/>
                <w:szCs w:val="24"/>
              </w:rPr>
              <w:t>+1,000,000</w:t>
            </w:r>
          </w:p>
        </w:tc>
        <w:tc>
          <w:tcPr>
            <w:tcW w:w="1429" w:type="dxa"/>
            <w:shd w:val="clear" w:color="auto" w:fill="FFFFFF" w:themeFill="background1"/>
          </w:tcPr>
          <w:p w:rsidR="0092516E" w:rsidRPr="00824722" w:rsidRDefault="0092516E" w:rsidP="00792438">
            <w:pPr>
              <w:rPr>
                <w:color w:val="000000" w:themeColor="text1"/>
                <w:sz w:val="24"/>
                <w:szCs w:val="24"/>
              </w:rPr>
            </w:pPr>
            <w:r w:rsidRPr="00824722">
              <w:rPr>
                <w:color w:val="000000" w:themeColor="text1"/>
                <w:sz w:val="24"/>
                <w:szCs w:val="24"/>
              </w:rPr>
              <w:t>+$1,500,000</w:t>
            </w:r>
          </w:p>
        </w:tc>
        <w:tc>
          <w:tcPr>
            <w:tcW w:w="1509" w:type="dxa"/>
            <w:shd w:val="clear" w:color="auto" w:fill="FFFFFF" w:themeFill="background1"/>
          </w:tcPr>
          <w:p w:rsidR="0092516E" w:rsidRPr="00896549" w:rsidRDefault="0092516E" w:rsidP="00792438">
            <w:pPr>
              <w:rPr>
                <w:b/>
                <w:color w:val="000000" w:themeColor="text1"/>
                <w:sz w:val="24"/>
                <w:szCs w:val="24"/>
              </w:rPr>
            </w:pPr>
            <w:r w:rsidRPr="00824722">
              <w:rPr>
                <w:b/>
                <w:color w:val="000000" w:themeColor="text1"/>
                <w:sz w:val="24"/>
                <w:szCs w:val="24"/>
              </w:rPr>
              <w:t>+$2,000,000</w:t>
            </w:r>
          </w:p>
        </w:tc>
      </w:tr>
    </w:tbl>
    <w:p w:rsidR="00382A16" w:rsidRPr="00382A16" w:rsidRDefault="00382A16" w:rsidP="00382A16">
      <w:pPr>
        <w:spacing w:before="160"/>
        <w:rPr>
          <w:color w:val="2E74B5" w:themeColor="accent1" w:themeShade="BF"/>
          <w:sz w:val="32"/>
          <w:szCs w:val="32"/>
        </w:rPr>
      </w:pPr>
      <w:r w:rsidRPr="00382A16">
        <w:rPr>
          <w:color w:val="2E74B5" w:themeColor="accent1" w:themeShade="BF"/>
          <w:sz w:val="32"/>
          <w:szCs w:val="32"/>
        </w:rPr>
        <w:t xml:space="preserve">Option </w:t>
      </w:r>
      <w:r w:rsidR="00992370">
        <w:rPr>
          <w:color w:val="2E74B5" w:themeColor="accent1" w:themeShade="BF"/>
          <w:sz w:val="32"/>
          <w:szCs w:val="32"/>
        </w:rPr>
        <w:t>2</w:t>
      </w:r>
      <w:r w:rsidR="00280D0C">
        <w:rPr>
          <w:color w:val="2E74B5" w:themeColor="accent1" w:themeShade="BF"/>
          <w:sz w:val="32"/>
          <w:szCs w:val="32"/>
        </w:rPr>
        <w:t xml:space="preserve"> Expand the Midwife Schemes</w:t>
      </w:r>
    </w:p>
    <w:p w:rsidR="00936432" w:rsidRPr="00382A16" w:rsidRDefault="00936432" w:rsidP="00F600D3">
      <w:pPr>
        <w:spacing w:after="120"/>
        <w:rPr>
          <w:rFonts w:eastAsia="Times New Roman"/>
          <w:color w:val="1F4E79"/>
          <w:sz w:val="28"/>
          <w:szCs w:val="28"/>
        </w:rPr>
      </w:pPr>
      <w:bookmarkStart w:id="99" w:name="_Toc475545958"/>
      <w:bookmarkStart w:id="100" w:name="_Toc479769494"/>
      <w:bookmarkStart w:id="101" w:name="_Toc493510755"/>
      <w:bookmarkStart w:id="102" w:name="_Toc500929372"/>
      <w:bookmarkStart w:id="103" w:name="_Toc501463832"/>
      <w:bookmarkStart w:id="104" w:name="_Toc503535546"/>
      <w:bookmarkStart w:id="105" w:name="_Toc503539724"/>
      <w:bookmarkStart w:id="106" w:name="_Toc503882258"/>
      <w:bookmarkStart w:id="107" w:name="_Toc518032772"/>
      <w:bookmarkStart w:id="108" w:name="_Toc67390621"/>
      <w:r w:rsidRPr="00382A16">
        <w:rPr>
          <w:rFonts w:eastAsia="Times New Roman"/>
          <w:color w:val="1F4E79"/>
          <w:sz w:val="28"/>
          <w:szCs w:val="28"/>
        </w:rPr>
        <w:t xml:space="preserve">Consumer </w:t>
      </w:r>
      <w:bookmarkEnd w:id="99"/>
      <w:r w:rsidRPr="00382A16">
        <w:rPr>
          <w:rFonts w:eastAsia="Times New Roman"/>
          <w:color w:val="1F4E79"/>
          <w:sz w:val="28"/>
          <w:szCs w:val="28"/>
        </w:rPr>
        <w:t>impact</w:t>
      </w:r>
      <w:bookmarkEnd w:id="100"/>
      <w:bookmarkEnd w:id="101"/>
      <w:bookmarkEnd w:id="102"/>
      <w:bookmarkEnd w:id="103"/>
      <w:bookmarkEnd w:id="104"/>
      <w:bookmarkEnd w:id="105"/>
      <w:bookmarkEnd w:id="106"/>
      <w:bookmarkEnd w:id="107"/>
      <w:bookmarkEnd w:id="108"/>
    </w:p>
    <w:p w:rsidR="00936432" w:rsidRDefault="00936432" w:rsidP="00F600D3">
      <w:pPr>
        <w:ind w:left="720"/>
        <w:rPr>
          <w:sz w:val="24"/>
          <w:szCs w:val="24"/>
        </w:rPr>
      </w:pPr>
      <w:r w:rsidRPr="00F600D3">
        <w:rPr>
          <w:color w:val="000000" w:themeColor="text1"/>
          <w:sz w:val="24"/>
          <w:szCs w:val="24"/>
        </w:rPr>
        <w:t>The</w:t>
      </w:r>
      <w:r w:rsidRPr="003A0B92">
        <w:rPr>
          <w:sz w:val="24"/>
          <w:szCs w:val="24"/>
        </w:rPr>
        <w:t xml:space="preserve"> primary cost to the consumer</w:t>
      </w:r>
      <w:r w:rsidR="003A0B92" w:rsidRPr="003A0B92">
        <w:rPr>
          <w:sz w:val="24"/>
          <w:szCs w:val="24"/>
        </w:rPr>
        <w:t>,</w:t>
      </w:r>
      <w:r w:rsidR="00755936">
        <w:rPr>
          <w:sz w:val="24"/>
          <w:szCs w:val="24"/>
        </w:rPr>
        <w:t xml:space="preserve"> namely mothers </w:t>
      </w:r>
      <w:r w:rsidR="005F1D81">
        <w:rPr>
          <w:sz w:val="24"/>
          <w:szCs w:val="24"/>
        </w:rPr>
        <w:t>seeking</w:t>
      </w:r>
      <w:r w:rsidR="00755936">
        <w:rPr>
          <w:sz w:val="24"/>
          <w:szCs w:val="24"/>
        </w:rPr>
        <w:t xml:space="preserve"> home birth services</w:t>
      </w:r>
      <w:r w:rsidR="003A0B92" w:rsidRPr="003A0B92">
        <w:rPr>
          <w:sz w:val="24"/>
          <w:szCs w:val="24"/>
        </w:rPr>
        <w:t>,</w:t>
      </w:r>
      <w:r w:rsidRPr="003A0B92">
        <w:rPr>
          <w:sz w:val="24"/>
          <w:szCs w:val="24"/>
        </w:rPr>
        <w:t xml:space="preserve"> is the </w:t>
      </w:r>
      <w:r w:rsidR="005F1D81">
        <w:rPr>
          <w:sz w:val="24"/>
          <w:szCs w:val="24"/>
        </w:rPr>
        <w:t>waiting time (delay) to first see a P</w:t>
      </w:r>
      <w:r w:rsidR="003A0B92">
        <w:rPr>
          <w:sz w:val="24"/>
          <w:szCs w:val="24"/>
        </w:rPr>
        <w:t xml:space="preserve">PM who will provide </w:t>
      </w:r>
      <w:r w:rsidR="00755936">
        <w:rPr>
          <w:sz w:val="24"/>
          <w:szCs w:val="24"/>
        </w:rPr>
        <w:t>the service</w:t>
      </w:r>
      <w:r w:rsidR="005F1D81">
        <w:rPr>
          <w:sz w:val="24"/>
          <w:szCs w:val="24"/>
        </w:rPr>
        <w:t xml:space="preserve">. </w:t>
      </w:r>
      <w:r w:rsidRPr="003A0B92">
        <w:rPr>
          <w:sz w:val="24"/>
          <w:szCs w:val="24"/>
        </w:rPr>
        <w:t xml:space="preserve">The </w:t>
      </w:r>
      <w:r w:rsidR="00724374">
        <w:rPr>
          <w:sz w:val="24"/>
          <w:szCs w:val="24"/>
        </w:rPr>
        <w:t xml:space="preserve">delay cost to consumers are the expenses incurred by an individual due to an approval delay, </w:t>
      </w:r>
      <w:r w:rsidR="00B91718">
        <w:rPr>
          <w:sz w:val="24"/>
          <w:szCs w:val="24"/>
        </w:rPr>
        <w:t>i.e.</w:t>
      </w:r>
      <w:r w:rsidR="00724374">
        <w:rPr>
          <w:sz w:val="24"/>
          <w:szCs w:val="24"/>
        </w:rPr>
        <w:t xml:space="preserve">, the time waited for a first appointment with a PPM </w:t>
      </w:r>
      <w:r w:rsidRPr="003A0B92">
        <w:rPr>
          <w:sz w:val="24"/>
          <w:szCs w:val="24"/>
        </w:rPr>
        <w:t xml:space="preserve">multiplied by the number of </w:t>
      </w:r>
      <w:r w:rsidR="00724374">
        <w:rPr>
          <w:sz w:val="24"/>
          <w:szCs w:val="24"/>
        </w:rPr>
        <w:t xml:space="preserve">additional </w:t>
      </w:r>
      <w:r w:rsidRPr="003A0B92">
        <w:rPr>
          <w:sz w:val="24"/>
          <w:szCs w:val="24"/>
        </w:rPr>
        <w:t>consumers</w:t>
      </w:r>
      <w:r w:rsidR="00F600D3">
        <w:rPr>
          <w:sz w:val="24"/>
          <w:szCs w:val="24"/>
        </w:rPr>
        <w:t xml:space="preserve"> seeking a first appointment.</w:t>
      </w:r>
    </w:p>
    <w:p w:rsidR="00D70AC7" w:rsidRPr="005F1D81" w:rsidRDefault="00D70AC7" w:rsidP="00F600D3">
      <w:pPr>
        <w:spacing w:after="0"/>
        <w:ind w:left="720"/>
        <w:rPr>
          <w:rFonts w:cstheme="minorHAnsi"/>
          <w:i/>
          <w:color w:val="000000" w:themeColor="text1"/>
          <w:sz w:val="24"/>
          <w:szCs w:val="24"/>
        </w:rPr>
      </w:pPr>
      <w:r w:rsidRPr="005F1D81">
        <w:rPr>
          <w:rFonts w:cstheme="minorHAnsi"/>
          <w:i/>
          <w:color w:val="000000" w:themeColor="text1"/>
          <w:sz w:val="24"/>
          <w:szCs w:val="24"/>
        </w:rPr>
        <w:t>Expected increase in number of women wanting to access PPM homebirth services</w:t>
      </w:r>
    </w:p>
    <w:p w:rsidR="00D70AC7" w:rsidRDefault="00F23D9C" w:rsidP="00F600D3">
      <w:pPr>
        <w:ind w:left="720"/>
        <w:rPr>
          <w:rFonts w:cstheme="minorHAnsi"/>
          <w:color w:val="000000" w:themeColor="text1"/>
          <w:sz w:val="24"/>
          <w:szCs w:val="24"/>
          <w:shd w:val="clear" w:color="auto" w:fill="FFFFFF"/>
        </w:rPr>
      </w:pPr>
      <w:r>
        <w:rPr>
          <w:rFonts w:cstheme="minorHAnsi"/>
          <w:color w:val="000000" w:themeColor="text1"/>
          <w:sz w:val="24"/>
          <w:szCs w:val="24"/>
          <w:shd w:val="clear" w:color="auto" w:fill="FFFFFF"/>
        </w:rPr>
        <w:t>2,955</w:t>
      </w:r>
      <w:r w:rsidR="00D70AC7" w:rsidRPr="005F1D81">
        <w:rPr>
          <w:rFonts w:cstheme="minorHAnsi"/>
          <w:color w:val="000000" w:themeColor="text1"/>
          <w:sz w:val="24"/>
          <w:szCs w:val="24"/>
          <w:shd w:val="clear" w:color="auto" w:fill="FFFFFF"/>
        </w:rPr>
        <w:t xml:space="preserve"> women birthed at home in 202</w:t>
      </w:r>
      <w:r w:rsidR="00634574">
        <w:rPr>
          <w:rFonts w:cstheme="minorHAnsi"/>
          <w:color w:val="000000" w:themeColor="text1"/>
          <w:sz w:val="24"/>
          <w:szCs w:val="24"/>
          <w:shd w:val="clear" w:color="auto" w:fill="FFFFFF"/>
        </w:rPr>
        <w:t>2</w:t>
      </w:r>
      <w:r w:rsidR="00D70AC7" w:rsidRPr="005F1D81">
        <w:rPr>
          <w:rFonts w:cstheme="minorHAnsi"/>
          <w:color w:val="000000" w:themeColor="text1"/>
          <w:sz w:val="24"/>
          <w:szCs w:val="24"/>
          <w:shd w:val="clear" w:color="auto" w:fill="FFFFFF"/>
        </w:rPr>
        <w:t xml:space="preserve">, up from </w:t>
      </w:r>
      <w:r w:rsidR="00634574">
        <w:rPr>
          <w:rFonts w:cstheme="minorHAnsi"/>
          <w:color w:val="000000" w:themeColor="text1"/>
          <w:sz w:val="24"/>
          <w:szCs w:val="24"/>
          <w:shd w:val="clear" w:color="auto" w:fill="FFFFFF"/>
        </w:rPr>
        <w:t>2,371 in 2021</w:t>
      </w:r>
      <w:r w:rsidR="00D70AC7" w:rsidRPr="005F1D81">
        <w:rPr>
          <w:rFonts w:cstheme="minorHAnsi"/>
          <w:color w:val="000000" w:themeColor="text1"/>
          <w:sz w:val="24"/>
          <w:szCs w:val="24"/>
          <w:shd w:val="clear" w:color="auto" w:fill="FFFFFF"/>
        </w:rPr>
        <w:t xml:space="preserve">, an increase of </w:t>
      </w:r>
      <w:r w:rsidR="00634574">
        <w:rPr>
          <w:rFonts w:cstheme="minorHAnsi"/>
          <w:i/>
          <w:color w:val="000000" w:themeColor="text1"/>
          <w:sz w:val="24"/>
          <w:szCs w:val="24"/>
          <w:shd w:val="clear" w:color="auto" w:fill="FFFFFF"/>
        </w:rPr>
        <w:t>584</w:t>
      </w:r>
      <w:r w:rsidR="00D70AC7" w:rsidRPr="00A429DF">
        <w:rPr>
          <w:rFonts w:cstheme="minorHAnsi"/>
          <w:i/>
          <w:color w:val="000000" w:themeColor="text1"/>
          <w:sz w:val="24"/>
          <w:szCs w:val="24"/>
          <w:shd w:val="clear" w:color="auto" w:fill="FFFFFF"/>
        </w:rPr>
        <w:t xml:space="preserve"> </w:t>
      </w:r>
      <w:r w:rsidR="00D70AC7" w:rsidRPr="005F1D81">
        <w:rPr>
          <w:rFonts w:cstheme="minorHAnsi"/>
          <w:color w:val="000000" w:themeColor="text1"/>
          <w:sz w:val="24"/>
          <w:szCs w:val="24"/>
          <w:shd w:val="clear" w:color="auto" w:fill="FFFFFF"/>
        </w:rPr>
        <w:t xml:space="preserve">mothers. The regulatory burden this reform imposes on consumers will be based on the additional </w:t>
      </w:r>
      <w:r w:rsidR="00634574">
        <w:rPr>
          <w:rFonts w:cstheme="minorHAnsi"/>
          <w:i/>
          <w:color w:val="000000" w:themeColor="text1"/>
          <w:sz w:val="24"/>
          <w:szCs w:val="24"/>
          <w:shd w:val="clear" w:color="auto" w:fill="FFFFFF"/>
        </w:rPr>
        <w:t>584</w:t>
      </w:r>
      <w:r w:rsidR="00D70AC7" w:rsidRPr="005F1D81">
        <w:rPr>
          <w:rFonts w:cstheme="minorHAnsi"/>
          <w:color w:val="000000" w:themeColor="text1"/>
          <w:sz w:val="24"/>
          <w:szCs w:val="24"/>
          <w:shd w:val="clear" w:color="auto" w:fill="FFFFFF"/>
        </w:rPr>
        <w:t xml:space="preserve"> mothers per year.</w:t>
      </w:r>
    </w:p>
    <w:p w:rsidR="008C03F3" w:rsidRPr="008C03F3" w:rsidRDefault="008C03F3" w:rsidP="00F600D3">
      <w:pPr>
        <w:spacing w:after="0"/>
        <w:ind w:left="720"/>
        <w:rPr>
          <w:rFonts w:cstheme="minorHAnsi"/>
          <w:i/>
          <w:sz w:val="24"/>
          <w:szCs w:val="24"/>
        </w:rPr>
      </w:pPr>
      <w:r w:rsidRPr="008C03F3">
        <w:rPr>
          <w:rFonts w:cstheme="minorHAnsi"/>
          <w:i/>
          <w:sz w:val="24"/>
          <w:szCs w:val="24"/>
        </w:rPr>
        <w:t>Time impact (delay costs)</w:t>
      </w:r>
    </w:p>
    <w:p w:rsidR="004F7785" w:rsidRDefault="004F7785" w:rsidP="00F600D3">
      <w:pPr>
        <w:ind w:left="720"/>
        <w:rPr>
          <w:rFonts w:cstheme="minorHAnsi"/>
          <w:sz w:val="24"/>
          <w:szCs w:val="24"/>
        </w:rPr>
      </w:pPr>
      <w:r>
        <w:rPr>
          <w:rFonts w:cstheme="minorHAnsi"/>
          <w:sz w:val="24"/>
          <w:szCs w:val="24"/>
        </w:rPr>
        <w:t xml:space="preserve">There is a lack of data on waiting times to </w:t>
      </w:r>
      <w:r w:rsidR="00F600D3">
        <w:rPr>
          <w:rFonts w:cstheme="minorHAnsi"/>
          <w:sz w:val="24"/>
          <w:szCs w:val="24"/>
        </w:rPr>
        <w:t xml:space="preserve">first </w:t>
      </w:r>
      <w:r>
        <w:rPr>
          <w:rFonts w:cstheme="minorHAnsi"/>
          <w:sz w:val="24"/>
          <w:szCs w:val="24"/>
        </w:rPr>
        <w:t xml:space="preserve">see a PPM so an arbitrary figure of </w:t>
      </w:r>
      <w:r w:rsidR="008C03F3">
        <w:rPr>
          <w:rFonts w:cstheme="minorHAnsi"/>
          <w:sz w:val="24"/>
          <w:szCs w:val="24"/>
        </w:rPr>
        <w:t xml:space="preserve">one hour per day over </w:t>
      </w:r>
      <w:r>
        <w:rPr>
          <w:rFonts w:cstheme="minorHAnsi"/>
          <w:sz w:val="24"/>
          <w:szCs w:val="24"/>
        </w:rPr>
        <w:t xml:space="preserve">4 weeks </w:t>
      </w:r>
      <w:r w:rsidR="008C03F3">
        <w:rPr>
          <w:rFonts w:cstheme="minorHAnsi"/>
          <w:sz w:val="24"/>
          <w:szCs w:val="24"/>
        </w:rPr>
        <w:t xml:space="preserve">(28 hours) </w:t>
      </w:r>
      <w:r>
        <w:rPr>
          <w:rFonts w:cstheme="minorHAnsi"/>
          <w:sz w:val="24"/>
          <w:szCs w:val="24"/>
        </w:rPr>
        <w:t>has been nominated.</w:t>
      </w:r>
    </w:p>
    <w:p w:rsidR="004F7785" w:rsidRPr="008C03F3" w:rsidRDefault="004F7785" w:rsidP="00F600D3">
      <w:pPr>
        <w:ind w:left="720"/>
        <w:rPr>
          <w:rFonts w:ascii="Arial" w:eastAsia="Calibri" w:hAnsi="Arial" w:cs="Times New Roman"/>
          <w:b/>
          <w:sz w:val="24"/>
          <w:szCs w:val="24"/>
        </w:rPr>
      </w:pPr>
      <w:r w:rsidRPr="008C03F3">
        <w:rPr>
          <w:rFonts w:cs="Calibri"/>
          <w:sz w:val="24"/>
          <w:szCs w:val="24"/>
          <w:lang w:eastAsia="en-AU"/>
        </w:rPr>
        <w:t xml:space="preserve">The total time impact is converted to a consumer cost per year </w:t>
      </w:r>
      <w:r w:rsidR="005F2CBF">
        <w:rPr>
          <w:rFonts w:cs="Calibri"/>
          <w:sz w:val="24"/>
          <w:szCs w:val="24"/>
          <w:lang w:val="en"/>
        </w:rPr>
        <w:t>using a consumer</w:t>
      </w:r>
      <w:r w:rsidRPr="008C03F3">
        <w:rPr>
          <w:rFonts w:cs="Calibri"/>
          <w:sz w:val="24"/>
          <w:szCs w:val="24"/>
          <w:lang w:val="en"/>
        </w:rPr>
        <w:t xml:space="preserve"> time value of $3</w:t>
      </w:r>
      <w:r w:rsidR="00531AFD">
        <w:rPr>
          <w:rFonts w:cs="Calibri"/>
          <w:sz w:val="24"/>
          <w:szCs w:val="24"/>
          <w:lang w:val="en"/>
        </w:rPr>
        <w:t>7</w:t>
      </w:r>
      <w:r w:rsidRPr="008C03F3">
        <w:rPr>
          <w:rFonts w:cs="Calibri"/>
          <w:sz w:val="24"/>
          <w:szCs w:val="24"/>
          <w:lang w:val="en"/>
        </w:rPr>
        <w:t>/hr.</w:t>
      </w:r>
      <w:r w:rsidRPr="008C03F3">
        <w:rPr>
          <w:rFonts w:cs="Calibri"/>
          <w:sz w:val="24"/>
          <w:szCs w:val="24"/>
          <w:vertAlign w:val="superscript"/>
          <w:lang w:val="en"/>
        </w:rPr>
        <w:footnoteReference w:id="26"/>
      </w:r>
      <w:r w:rsidRPr="008C03F3">
        <w:rPr>
          <w:rFonts w:cs="Calibri"/>
          <w:sz w:val="24"/>
          <w:szCs w:val="24"/>
          <w:lang w:eastAsia="en-AU"/>
        </w:rPr>
        <w:t xml:space="preserve"> </w:t>
      </w:r>
      <w:r w:rsidR="008C03F3">
        <w:rPr>
          <w:rFonts w:cs="Calibri"/>
          <w:sz w:val="24"/>
          <w:szCs w:val="24"/>
          <w:lang w:eastAsia="en-AU"/>
        </w:rPr>
        <w:t xml:space="preserve"> The delay cost per mother is calculated at </w:t>
      </w:r>
      <w:r w:rsidR="00F600D3">
        <w:rPr>
          <w:rFonts w:cs="Calibri"/>
          <w:sz w:val="24"/>
          <w:szCs w:val="24"/>
          <w:lang w:eastAsia="en-AU"/>
        </w:rPr>
        <w:br/>
      </w:r>
      <w:r w:rsidR="00531AFD">
        <w:rPr>
          <w:rFonts w:cs="Calibri"/>
          <w:sz w:val="24"/>
          <w:szCs w:val="24"/>
          <w:lang w:eastAsia="en-AU"/>
        </w:rPr>
        <w:t>28 hours x $37</w:t>
      </w:r>
      <w:r w:rsidR="008C03F3">
        <w:rPr>
          <w:rFonts w:cs="Calibri"/>
          <w:sz w:val="24"/>
          <w:szCs w:val="24"/>
          <w:lang w:eastAsia="en-AU"/>
        </w:rPr>
        <w:t xml:space="preserve"> = </w:t>
      </w:r>
      <w:r w:rsidR="008C03F3" w:rsidRPr="00A429DF">
        <w:rPr>
          <w:rFonts w:cs="Calibri"/>
          <w:sz w:val="24"/>
          <w:szCs w:val="24"/>
          <w:lang w:eastAsia="en-AU"/>
        </w:rPr>
        <w:t>$</w:t>
      </w:r>
      <w:r w:rsidR="00531AFD">
        <w:rPr>
          <w:rFonts w:cs="Calibri"/>
          <w:sz w:val="24"/>
          <w:szCs w:val="24"/>
          <w:lang w:eastAsia="en-AU"/>
        </w:rPr>
        <w:t>1,03</w:t>
      </w:r>
      <w:r w:rsidR="008C03F3" w:rsidRPr="00A429DF">
        <w:rPr>
          <w:rFonts w:cs="Calibri"/>
          <w:sz w:val="24"/>
          <w:szCs w:val="24"/>
          <w:lang w:eastAsia="en-AU"/>
        </w:rPr>
        <w:t>6.</w:t>
      </w:r>
    </w:p>
    <w:p w:rsidR="008C03F3" w:rsidRPr="00A429DF" w:rsidRDefault="00A429DF" w:rsidP="00A70CD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720"/>
        <w:rPr>
          <w:sz w:val="24"/>
          <w:szCs w:val="24"/>
        </w:rPr>
      </w:pPr>
      <w:r>
        <w:rPr>
          <w:sz w:val="24"/>
          <w:szCs w:val="24"/>
        </w:rPr>
        <w:t>Consumer cost = (No.</w:t>
      </w:r>
      <w:r w:rsidR="008C03F3" w:rsidRPr="00A429DF">
        <w:rPr>
          <w:sz w:val="24"/>
          <w:szCs w:val="24"/>
        </w:rPr>
        <w:t xml:space="preserve"> ‘women </w:t>
      </w:r>
      <w:r>
        <w:rPr>
          <w:sz w:val="24"/>
          <w:szCs w:val="24"/>
        </w:rPr>
        <w:t>seeking</w:t>
      </w:r>
      <w:r w:rsidR="008C03F3" w:rsidRPr="00A429DF">
        <w:rPr>
          <w:sz w:val="24"/>
          <w:szCs w:val="24"/>
        </w:rPr>
        <w:t xml:space="preserve"> homebirth services) x (time impact [delay])</w:t>
      </w:r>
    </w:p>
    <w:p w:rsidR="005F1D81" w:rsidRPr="00A429DF" w:rsidRDefault="00531AFD" w:rsidP="00A70CD4">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sz w:val="24"/>
          <w:szCs w:val="24"/>
        </w:rPr>
      </w:pPr>
      <w:r>
        <w:rPr>
          <w:b/>
          <w:sz w:val="24"/>
          <w:szCs w:val="24"/>
        </w:rPr>
        <w:t>$</w:t>
      </w:r>
      <w:r w:rsidR="00634574">
        <w:rPr>
          <w:b/>
          <w:sz w:val="24"/>
          <w:szCs w:val="24"/>
        </w:rPr>
        <w:t>605,024</w:t>
      </w:r>
      <w:r w:rsidR="005F1D81" w:rsidRPr="00A429DF">
        <w:rPr>
          <w:sz w:val="24"/>
          <w:szCs w:val="24"/>
        </w:rPr>
        <w:t xml:space="preserve"> = </w:t>
      </w:r>
      <w:r w:rsidR="005F1D81" w:rsidRPr="00A429DF">
        <w:rPr>
          <w:sz w:val="24"/>
          <w:szCs w:val="24"/>
        </w:rPr>
        <w:tab/>
      </w:r>
      <w:r w:rsidR="00A429DF">
        <w:rPr>
          <w:sz w:val="24"/>
          <w:szCs w:val="24"/>
        </w:rPr>
        <w:tab/>
      </w:r>
      <w:r w:rsidR="00A429DF">
        <w:rPr>
          <w:sz w:val="24"/>
          <w:szCs w:val="24"/>
        </w:rPr>
        <w:tab/>
      </w:r>
      <w:r w:rsidR="00634574">
        <w:rPr>
          <w:sz w:val="24"/>
          <w:szCs w:val="24"/>
        </w:rPr>
        <w:t xml:space="preserve">584 </w:t>
      </w:r>
      <w:r w:rsidR="0063239B" w:rsidRPr="00A429DF">
        <w:rPr>
          <w:sz w:val="24"/>
          <w:szCs w:val="24"/>
        </w:rPr>
        <w:t xml:space="preserve">mothers </w:t>
      </w:r>
      <w:r w:rsidR="005F1D81" w:rsidRPr="00634574">
        <w:rPr>
          <w:b/>
          <w:sz w:val="24"/>
          <w:szCs w:val="24"/>
        </w:rPr>
        <w:t>x</w:t>
      </w:r>
      <w:r w:rsidR="005F1D81" w:rsidRPr="00A429DF">
        <w:rPr>
          <w:sz w:val="24"/>
          <w:szCs w:val="24"/>
        </w:rPr>
        <w:t xml:space="preserve"> </w:t>
      </w:r>
      <w:r w:rsidR="005F1D81" w:rsidRPr="00A429DF">
        <w:rPr>
          <w:sz w:val="24"/>
          <w:szCs w:val="24"/>
        </w:rPr>
        <w:tab/>
      </w:r>
      <w:r w:rsidR="005F1D81" w:rsidRPr="00A429DF">
        <w:rPr>
          <w:sz w:val="24"/>
          <w:szCs w:val="24"/>
        </w:rPr>
        <w:tab/>
      </w:r>
      <w:r w:rsidR="005F1D81" w:rsidRPr="00A429DF">
        <w:rPr>
          <w:sz w:val="24"/>
          <w:szCs w:val="24"/>
        </w:rPr>
        <w:tab/>
        <w:t>$</w:t>
      </w:r>
      <w:r>
        <w:rPr>
          <w:sz w:val="24"/>
          <w:szCs w:val="24"/>
        </w:rPr>
        <w:t>1,036</w:t>
      </w:r>
    </w:p>
    <w:p w:rsidR="00A70CD4" w:rsidRDefault="00A70CD4" w:rsidP="00A70CD4">
      <w:pPr>
        <w:spacing w:after="0"/>
        <w:rPr>
          <w:color w:val="1F4E79"/>
          <w:sz w:val="24"/>
          <w:szCs w:val="24"/>
        </w:rPr>
      </w:pPr>
    </w:p>
    <w:p w:rsidR="00F25E16" w:rsidRPr="00F25E16" w:rsidRDefault="00F25E16" w:rsidP="00F25E16">
      <w:pPr>
        <w:spacing w:after="0"/>
        <w:ind w:left="720"/>
        <w:rPr>
          <w:rFonts w:cstheme="minorHAnsi"/>
          <w:i/>
          <w:color w:val="000000" w:themeColor="text1"/>
          <w:sz w:val="24"/>
          <w:szCs w:val="24"/>
        </w:rPr>
      </w:pPr>
      <w:r w:rsidRPr="00F25E16">
        <w:rPr>
          <w:rFonts w:cstheme="minorHAnsi"/>
          <w:i/>
          <w:color w:val="000000" w:themeColor="text1"/>
          <w:sz w:val="24"/>
          <w:szCs w:val="24"/>
        </w:rPr>
        <w:t>Qualitative impact</w:t>
      </w:r>
    </w:p>
    <w:p w:rsidR="00F25E16" w:rsidRDefault="008F63FA" w:rsidP="008F63FA">
      <w:pPr>
        <w:ind w:left="720"/>
        <w:rPr>
          <w:color w:val="000000" w:themeColor="text1"/>
          <w:sz w:val="24"/>
          <w:szCs w:val="24"/>
        </w:rPr>
      </w:pPr>
      <w:r w:rsidRPr="008F63FA">
        <w:rPr>
          <w:color w:val="000000" w:themeColor="text1"/>
          <w:sz w:val="24"/>
          <w:szCs w:val="24"/>
        </w:rPr>
        <w:t xml:space="preserve">Option </w:t>
      </w:r>
      <w:r w:rsidR="00EF6623">
        <w:rPr>
          <w:color w:val="000000" w:themeColor="text1"/>
          <w:sz w:val="24"/>
          <w:szCs w:val="24"/>
        </w:rPr>
        <w:t>2</w:t>
      </w:r>
      <w:r w:rsidRPr="008F63FA">
        <w:rPr>
          <w:color w:val="000000" w:themeColor="text1"/>
          <w:sz w:val="24"/>
          <w:szCs w:val="24"/>
        </w:rPr>
        <w:t xml:space="preserve"> would also enable First Nations women (or women pregnant with a First Nations baby) access to culturally safe, continuous midwifery care with an insured PPM - the lack of insurance cover for these services to date has been a significant concern to Aboriginal Community Controlled Health Organisations</w:t>
      </w:r>
      <w:r>
        <w:rPr>
          <w:color w:val="000000" w:themeColor="text1"/>
          <w:sz w:val="24"/>
          <w:szCs w:val="24"/>
        </w:rPr>
        <w:t>.</w:t>
      </w:r>
    </w:p>
    <w:p w:rsidR="00551DCD" w:rsidRDefault="008F63FA" w:rsidP="00FE70C3">
      <w:pPr>
        <w:spacing w:after="240"/>
        <w:ind w:left="720"/>
        <w:rPr>
          <w:color w:val="000000" w:themeColor="text1"/>
          <w:sz w:val="24"/>
          <w:szCs w:val="24"/>
        </w:rPr>
      </w:pPr>
      <w:r>
        <w:rPr>
          <w:color w:val="000000" w:themeColor="text1"/>
          <w:sz w:val="24"/>
          <w:szCs w:val="24"/>
        </w:rPr>
        <w:t xml:space="preserve">There is no data available on the number of First Nations women currently accessing BoC services, nor trends in accessing this service. </w:t>
      </w:r>
      <w:r w:rsidR="00FE70C3">
        <w:rPr>
          <w:color w:val="000000" w:themeColor="text1"/>
          <w:sz w:val="24"/>
          <w:szCs w:val="24"/>
        </w:rPr>
        <w:t>Therefore, we are unable to quantify the impact.</w:t>
      </w:r>
    </w:p>
    <w:p w:rsidR="0070788A" w:rsidRPr="00A429DF" w:rsidRDefault="0070788A" w:rsidP="00FE70C3">
      <w:pPr>
        <w:spacing w:after="240"/>
        <w:ind w:left="720"/>
        <w:rPr>
          <w:sz w:val="24"/>
          <w:szCs w:val="24"/>
        </w:rPr>
      </w:pPr>
    </w:p>
    <w:p w:rsidR="000460B3" w:rsidRPr="00382A16" w:rsidRDefault="005F1D81" w:rsidP="008C03F3">
      <w:pPr>
        <w:rPr>
          <w:color w:val="1F4E79"/>
          <w:sz w:val="28"/>
          <w:szCs w:val="28"/>
        </w:rPr>
      </w:pPr>
      <w:r w:rsidRPr="00382A16">
        <w:rPr>
          <w:color w:val="1F4E79"/>
          <w:sz w:val="28"/>
          <w:szCs w:val="28"/>
        </w:rPr>
        <w:t>PPM impact</w:t>
      </w:r>
    </w:p>
    <w:p w:rsidR="005F1D81" w:rsidRDefault="00F600D3" w:rsidP="008F63FA">
      <w:pPr>
        <w:ind w:left="720"/>
        <w:rPr>
          <w:color w:val="000000" w:themeColor="text1"/>
          <w:sz w:val="24"/>
          <w:szCs w:val="24"/>
        </w:rPr>
      </w:pPr>
      <w:r w:rsidRPr="00F600D3">
        <w:rPr>
          <w:color w:val="000000" w:themeColor="text1"/>
          <w:sz w:val="24"/>
          <w:szCs w:val="24"/>
        </w:rPr>
        <w:t xml:space="preserve">The primary cost to midwives is administrative. PPMs would be required to </w:t>
      </w:r>
      <w:r w:rsidR="0063239B">
        <w:rPr>
          <w:color w:val="000000" w:themeColor="text1"/>
          <w:sz w:val="24"/>
          <w:szCs w:val="24"/>
        </w:rPr>
        <w:t xml:space="preserve">spend time learning </w:t>
      </w:r>
      <w:r w:rsidR="00724374">
        <w:rPr>
          <w:color w:val="000000" w:themeColor="text1"/>
          <w:sz w:val="24"/>
          <w:szCs w:val="24"/>
        </w:rPr>
        <w:t xml:space="preserve">and complying with </w:t>
      </w:r>
      <w:r w:rsidRPr="00F600D3">
        <w:rPr>
          <w:color w:val="000000" w:themeColor="text1"/>
          <w:sz w:val="24"/>
          <w:szCs w:val="24"/>
        </w:rPr>
        <w:t xml:space="preserve">the revised </w:t>
      </w:r>
      <w:r>
        <w:rPr>
          <w:color w:val="000000" w:themeColor="text1"/>
          <w:sz w:val="24"/>
          <w:szCs w:val="24"/>
        </w:rPr>
        <w:t xml:space="preserve">NMBA </w:t>
      </w:r>
      <w:r w:rsidRPr="00F600D3">
        <w:rPr>
          <w:color w:val="000000" w:themeColor="text1"/>
          <w:sz w:val="24"/>
          <w:szCs w:val="24"/>
        </w:rPr>
        <w:t>Midwife s</w:t>
      </w:r>
      <w:r w:rsidR="00724374">
        <w:rPr>
          <w:color w:val="000000" w:themeColor="text1"/>
          <w:sz w:val="24"/>
          <w:szCs w:val="24"/>
        </w:rPr>
        <w:t>tandards for Practice</w:t>
      </w:r>
      <w:r w:rsidR="00621423">
        <w:rPr>
          <w:color w:val="000000" w:themeColor="text1"/>
          <w:sz w:val="24"/>
          <w:szCs w:val="24"/>
        </w:rPr>
        <w:t xml:space="preserve">. Under this reform, it is suggested that PPMs </w:t>
      </w:r>
      <w:r w:rsidR="001D731E">
        <w:rPr>
          <w:color w:val="000000" w:themeColor="text1"/>
          <w:sz w:val="24"/>
          <w:szCs w:val="24"/>
        </w:rPr>
        <w:t xml:space="preserve">would </w:t>
      </w:r>
      <w:r w:rsidR="00621423">
        <w:rPr>
          <w:color w:val="000000" w:themeColor="text1"/>
          <w:sz w:val="24"/>
          <w:szCs w:val="24"/>
        </w:rPr>
        <w:t xml:space="preserve">spend </w:t>
      </w:r>
      <w:r w:rsidR="0087361F">
        <w:rPr>
          <w:color w:val="000000" w:themeColor="text1"/>
          <w:sz w:val="24"/>
          <w:szCs w:val="24"/>
        </w:rPr>
        <w:t>2</w:t>
      </w:r>
      <w:r w:rsidR="0030046B">
        <w:rPr>
          <w:color w:val="000000" w:themeColor="text1"/>
          <w:sz w:val="24"/>
          <w:szCs w:val="24"/>
        </w:rPr>
        <w:t xml:space="preserve"> hour</w:t>
      </w:r>
      <w:r w:rsidR="0087361F">
        <w:rPr>
          <w:color w:val="000000" w:themeColor="text1"/>
          <w:sz w:val="24"/>
          <w:szCs w:val="24"/>
        </w:rPr>
        <w:t>s</w:t>
      </w:r>
      <w:r w:rsidR="00621423">
        <w:rPr>
          <w:color w:val="000000" w:themeColor="text1"/>
          <w:sz w:val="24"/>
          <w:szCs w:val="24"/>
        </w:rPr>
        <w:t xml:space="preserve"> per week on </w:t>
      </w:r>
      <w:r w:rsidR="0087361F">
        <w:rPr>
          <w:color w:val="000000" w:themeColor="text1"/>
          <w:sz w:val="24"/>
          <w:szCs w:val="24"/>
        </w:rPr>
        <w:t xml:space="preserve">additional </w:t>
      </w:r>
      <w:r w:rsidR="00621423">
        <w:rPr>
          <w:color w:val="000000" w:themeColor="text1"/>
          <w:sz w:val="24"/>
          <w:szCs w:val="24"/>
        </w:rPr>
        <w:t>regulatory administration</w:t>
      </w:r>
      <w:r w:rsidR="005460D8">
        <w:rPr>
          <w:color w:val="000000" w:themeColor="text1"/>
          <w:sz w:val="24"/>
          <w:szCs w:val="24"/>
        </w:rPr>
        <w:t>.</w:t>
      </w:r>
    </w:p>
    <w:p w:rsidR="00F600D3" w:rsidRPr="008F63FA" w:rsidRDefault="00F600D3" w:rsidP="008F63FA">
      <w:pPr>
        <w:ind w:left="720"/>
        <w:rPr>
          <w:color w:val="000000" w:themeColor="text1"/>
          <w:sz w:val="24"/>
          <w:szCs w:val="24"/>
        </w:rPr>
      </w:pPr>
      <w:r w:rsidRPr="008F63FA">
        <w:rPr>
          <w:color w:val="000000" w:themeColor="text1"/>
          <w:sz w:val="24"/>
          <w:szCs w:val="24"/>
        </w:rPr>
        <w:t xml:space="preserve">As at September 2023, there </w:t>
      </w:r>
      <w:r w:rsidR="0063239B" w:rsidRPr="008F63FA">
        <w:rPr>
          <w:color w:val="000000" w:themeColor="text1"/>
          <w:sz w:val="24"/>
          <w:szCs w:val="24"/>
        </w:rPr>
        <w:t xml:space="preserve">were </w:t>
      </w:r>
      <w:r w:rsidRPr="008F63FA">
        <w:rPr>
          <w:color w:val="000000" w:themeColor="text1"/>
          <w:sz w:val="24"/>
          <w:szCs w:val="24"/>
        </w:rPr>
        <w:t xml:space="preserve">380 midwives insured with </w:t>
      </w:r>
      <w:r w:rsidR="00861F4B">
        <w:rPr>
          <w:color w:val="000000" w:themeColor="text1"/>
          <w:sz w:val="24"/>
          <w:szCs w:val="24"/>
        </w:rPr>
        <w:t xml:space="preserve">the current insurer </w:t>
      </w:r>
      <w:r w:rsidRPr="008F63FA">
        <w:rPr>
          <w:color w:val="000000" w:themeColor="text1"/>
          <w:sz w:val="24"/>
          <w:szCs w:val="24"/>
        </w:rPr>
        <w:t>under the MPIS and 104 PPMs providing private homebirth in Australia</w:t>
      </w:r>
      <w:r w:rsidR="0063239B" w:rsidRPr="008F63FA">
        <w:rPr>
          <w:color w:val="000000" w:themeColor="text1"/>
          <w:sz w:val="24"/>
          <w:szCs w:val="24"/>
        </w:rPr>
        <w:t xml:space="preserve">; a total </w:t>
      </w:r>
      <w:r w:rsidR="00FD6F15" w:rsidRPr="008F63FA">
        <w:rPr>
          <w:color w:val="000000" w:themeColor="text1"/>
          <w:sz w:val="24"/>
          <w:szCs w:val="24"/>
        </w:rPr>
        <w:t>of</w:t>
      </w:r>
      <w:r w:rsidR="00280D0C" w:rsidRPr="008F63FA">
        <w:rPr>
          <w:color w:val="000000" w:themeColor="text1"/>
          <w:sz w:val="24"/>
          <w:szCs w:val="24"/>
        </w:rPr>
        <w:t xml:space="preserve"> 4</w:t>
      </w:r>
      <w:r w:rsidR="0063239B" w:rsidRPr="008F63FA">
        <w:rPr>
          <w:color w:val="000000" w:themeColor="text1"/>
          <w:sz w:val="24"/>
          <w:szCs w:val="24"/>
        </w:rPr>
        <w:t>84 PPMs</w:t>
      </w:r>
      <w:r w:rsidRPr="008F63FA">
        <w:rPr>
          <w:color w:val="000000" w:themeColor="text1"/>
          <w:sz w:val="24"/>
          <w:szCs w:val="24"/>
        </w:rPr>
        <w:t>.</w:t>
      </w:r>
    </w:p>
    <w:p w:rsidR="00724374" w:rsidRPr="008F63FA" w:rsidRDefault="00FD6F15" w:rsidP="008F63FA">
      <w:pPr>
        <w:ind w:left="720"/>
        <w:rPr>
          <w:color w:val="000000" w:themeColor="text1"/>
          <w:sz w:val="24"/>
          <w:szCs w:val="24"/>
        </w:rPr>
      </w:pPr>
      <w:r w:rsidRPr="008F63FA">
        <w:rPr>
          <w:color w:val="000000" w:themeColor="text1"/>
          <w:sz w:val="24"/>
          <w:szCs w:val="24"/>
        </w:rPr>
        <w:t>The average based salary for a midwife in Australia is $42.21</w:t>
      </w:r>
      <w:r w:rsidR="00621423" w:rsidRPr="008F63FA">
        <w:rPr>
          <w:color w:val="000000" w:themeColor="text1"/>
          <w:sz w:val="24"/>
          <w:szCs w:val="24"/>
        </w:rPr>
        <w:t xml:space="preserve"> per hour</w:t>
      </w:r>
      <w:r w:rsidRPr="00FE70C3">
        <w:rPr>
          <w:color w:val="000000" w:themeColor="text1"/>
          <w:sz w:val="24"/>
          <w:szCs w:val="24"/>
          <w:vertAlign w:val="superscript"/>
        </w:rPr>
        <w:footnoteReference w:id="27"/>
      </w:r>
      <w:r w:rsidRPr="00FE70C3">
        <w:rPr>
          <w:color w:val="000000" w:themeColor="text1"/>
          <w:sz w:val="24"/>
          <w:szCs w:val="24"/>
          <w:vertAlign w:val="superscript"/>
        </w:rPr>
        <w:t>.</w:t>
      </w:r>
    </w:p>
    <w:p w:rsidR="00280D0C" w:rsidRDefault="00280D0C" w:rsidP="008F63FA">
      <w:pPr>
        <w:ind w:left="720"/>
        <w:rPr>
          <w:color w:val="000000" w:themeColor="text1"/>
          <w:sz w:val="24"/>
          <w:szCs w:val="24"/>
        </w:rPr>
      </w:pPr>
      <w:r w:rsidRPr="008F63FA">
        <w:rPr>
          <w:color w:val="000000" w:themeColor="text1"/>
          <w:sz w:val="24"/>
          <w:szCs w:val="24"/>
        </w:rPr>
        <w:t>Eligible midwives will also be required to keep records and provide proof of</w:t>
      </w:r>
      <w:r w:rsidRPr="00280D0C">
        <w:rPr>
          <w:color w:val="000000" w:themeColor="text1"/>
          <w:sz w:val="24"/>
          <w:szCs w:val="24"/>
        </w:rPr>
        <w:t xml:space="preserve"> consulting medical professionals or other health care providers for women with category B conditions.</w:t>
      </w:r>
    </w:p>
    <w:p w:rsidR="00280D0C" w:rsidRPr="00280D0C" w:rsidRDefault="00280D0C" w:rsidP="006320B8">
      <w:pPr>
        <w:tabs>
          <w:tab w:val="left" w:pos="2127"/>
        </w:tabs>
        <w:spacing w:after="120"/>
        <w:ind w:left="567"/>
        <w:rPr>
          <w:color w:val="000000" w:themeColor="text1"/>
          <w:sz w:val="24"/>
          <w:szCs w:val="24"/>
        </w:rPr>
      </w:pPr>
      <w:r w:rsidRPr="00280D0C">
        <w:rPr>
          <w:color w:val="000000" w:themeColor="text1"/>
          <w:sz w:val="24"/>
          <w:szCs w:val="24"/>
          <w:u w:val="single"/>
        </w:rPr>
        <w:t>Assumptions</w:t>
      </w:r>
      <w:r w:rsidRPr="00280D0C">
        <w:rPr>
          <w:color w:val="000000" w:themeColor="text1"/>
          <w:sz w:val="24"/>
          <w:szCs w:val="24"/>
        </w:rPr>
        <w:t>:</w:t>
      </w:r>
    </w:p>
    <w:p w:rsidR="00280D0C" w:rsidRPr="00280D0C" w:rsidRDefault="0087361F" w:rsidP="00A622D8">
      <w:pPr>
        <w:numPr>
          <w:ilvl w:val="0"/>
          <w:numId w:val="23"/>
        </w:numPr>
        <w:spacing w:after="0"/>
        <w:contextualSpacing/>
        <w:rPr>
          <w:color w:val="000000" w:themeColor="text1"/>
          <w:sz w:val="24"/>
          <w:szCs w:val="24"/>
        </w:rPr>
      </w:pPr>
      <w:r>
        <w:rPr>
          <w:color w:val="000000" w:themeColor="text1"/>
          <w:sz w:val="24"/>
          <w:szCs w:val="24"/>
        </w:rPr>
        <w:t xml:space="preserve">Additional administration </w:t>
      </w:r>
      <w:r w:rsidR="00280D0C">
        <w:rPr>
          <w:color w:val="000000" w:themeColor="text1"/>
          <w:sz w:val="24"/>
          <w:szCs w:val="24"/>
        </w:rPr>
        <w:t>average</w:t>
      </w:r>
      <w:r w:rsidR="00280D0C" w:rsidRPr="00280D0C">
        <w:rPr>
          <w:color w:val="000000" w:themeColor="text1"/>
          <w:sz w:val="24"/>
          <w:szCs w:val="24"/>
        </w:rPr>
        <w:t xml:space="preserve"> </w:t>
      </w:r>
      <w:r>
        <w:rPr>
          <w:color w:val="000000" w:themeColor="text1"/>
          <w:sz w:val="24"/>
          <w:szCs w:val="24"/>
        </w:rPr>
        <w:t>2</w:t>
      </w:r>
      <w:r w:rsidR="00280D0C" w:rsidRPr="00280D0C">
        <w:rPr>
          <w:color w:val="000000" w:themeColor="text1"/>
          <w:sz w:val="24"/>
          <w:szCs w:val="24"/>
        </w:rPr>
        <w:t xml:space="preserve"> hour</w:t>
      </w:r>
      <w:r>
        <w:rPr>
          <w:color w:val="000000" w:themeColor="text1"/>
          <w:sz w:val="24"/>
          <w:szCs w:val="24"/>
        </w:rPr>
        <w:t>s</w:t>
      </w:r>
      <w:r w:rsidR="00280D0C" w:rsidRPr="00280D0C">
        <w:rPr>
          <w:color w:val="000000" w:themeColor="text1"/>
          <w:sz w:val="24"/>
          <w:szCs w:val="24"/>
        </w:rPr>
        <w:t xml:space="preserve"> per </w:t>
      </w:r>
      <w:r>
        <w:rPr>
          <w:color w:val="000000" w:themeColor="text1"/>
          <w:sz w:val="24"/>
          <w:szCs w:val="24"/>
        </w:rPr>
        <w:t>week</w:t>
      </w:r>
    </w:p>
    <w:p w:rsidR="00280D0C" w:rsidRPr="00FD554B" w:rsidRDefault="00280D0C" w:rsidP="00A622D8">
      <w:pPr>
        <w:numPr>
          <w:ilvl w:val="0"/>
          <w:numId w:val="23"/>
        </w:numPr>
        <w:spacing w:after="0"/>
        <w:contextualSpacing/>
        <w:rPr>
          <w:color w:val="000000" w:themeColor="text1"/>
          <w:sz w:val="24"/>
          <w:szCs w:val="24"/>
        </w:rPr>
      </w:pPr>
      <w:r w:rsidRPr="00280D0C">
        <w:rPr>
          <w:color w:val="000000"/>
          <w:sz w:val="24"/>
          <w:szCs w:val="24"/>
        </w:rPr>
        <w:t>Average based salary for a midwife in Australia is $42.21 per hour</w:t>
      </w:r>
    </w:p>
    <w:p w:rsidR="00FD554B" w:rsidRDefault="00FD554B" w:rsidP="00A622D8">
      <w:pPr>
        <w:numPr>
          <w:ilvl w:val="0"/>
          <w:numId w:val="23"/>
        </w:numPr>
        <w:spacing w:after="0"/>
        <w:contextualSpacing/>
        <w:rPr>
          <w:color w:val="000000" w:themeColor="text1"/>
          <w:sz w:val="24"/>
          <w:szCs w:val="24"/>
        </w:rPr>
      </w:pPr>
      <w:r>
        <w:rPr>
          <w:color w:val="000000" w:themeColor="text1"/>
          <w:sz w:val="24"/>
          <w:szCs w:val="24"/>
        </w:rPr>
        <w:t>Number of midwives</w:t>
      </w:r>
      <w:r w:rsidR="005460D8">
        <w:rPr>
          <w:color w:val="000000" w:themeColor="text1"/>
          <w:sz w:val="24"/>
          <w:szCs w:val="24"/>
        </w:rPr>
        <w:t xml:space="preserve"> in 2023</w:t>
      </w:r>
      <w:r w:rsidR="003804ED">
        <w:rPr>
          <w:color w:val="000000" w:themeColor="text1"/>
          <w:sz w:val="24"/>
          <w:szCs w:val="24"/>
        </w:rPr>
        <w:t xml:space="preserve"> = </w:t>
      </w:r>
      <w:r w:rsidR="005460D8">
        <w:rPr>
          <w:color w:val="000000" w:themeColor="text1"/>
          <w:sz w:val="24"/>
          <w:szCs w:val="24"/>
        </w:rPr>
        <w:t>48</w:t>
      </w:r>
      <w:r w:rsidR="003804ED">
        <w:rPr>
          <w:color w:val="000000" w:themeColor="text1"/>
          <w:sz w:val="24"/>
          <w:szCs w:val="24"/>
        </w:rPr>
        <w:t>4</w:t>
      </w:r>
    </w:p>
    <w:p w:rsidR="00280D0C" w:rsidRPr="00280D0C" w:rsidRDefault="00280D0C" w:rsidP="003A1513">
      <w:pPr>
        <w:tabs>
          <w:tab w:val="left" w:pos="2127"/>
        </w:tabs>
        <w:spacing w:after="240"/>
        <w:ind w:left="567"/>
        <w:rPr>
          <w:sz w:val="24"/>
          <w:szCs w:val="24"/>
        </w:rPr>
      </w:pPr>
      <w:r w:rsidRPr="00280D0C">
        <w:rPr>
          <w:color w:val="000000" w:themeColor="text1"/>
          <w:sz w:val="24"/>
          <w:szCs w:val="24"/>
        </w:rPr>
        <w:t>Admin cost = (A x B x C</w:t>
      </w:r>
      <w:r w:rsidR="0087361F">
        <w:rPr>
          <w:color w:val="000000" w:themeColor="text1"/>
          <w:sz w:val="24"/>
          <w:szCs w:val="24"/>
        </w:rPr>
        <w:t xml:space="preserve"> </w:t>
      </w:r>
      <w:r w:rsidRPr="00280D0C">
        <w:rPr>
          <w:color w:val="000000" w:themeColor="text1"/>
          <w:sz w:val="24"/>
          <w:szCs w:val="24"/>
        </w:rPr>
        <w:t xml:space="preserve">) </w:t>
      </w:r>
      <w:r w:rsidRPr="00280D0C">
        <w:rPr>
          <w:rFonts w:cstheme="minorHAnsi"/>
          <w:color w:val="000000" w:themeColor="text1"/>
          <w:sz w:val="24"/>
          <w:szCs w:val="24"/>
        </w:rPr>
        <w:t xml:space="preserve">→ </w:t>
      </w:r>
      <w:r w:rsidR="0087361F">
        <w:rPr>
          <w:rFonts w:cstheme="minorHAnsi"/>
          <w:color w:val="000000" w:themeColor="text1"/>
          <w:sz w:val="24"/>
          <w:szCs w:val="24"/>
        </w:rPr>
        <w:t xml:space="preserve">2 </w:t>
      </w:r>
      <w:r w:rsidR="00FD554B">
        <w:rPr>
          <w:rFonts w:cstheme="minorHAnsi"/>
          <w:color w:val="000000" w:themeColor="text1"/>
          <w:sz w:val="24"/>
          <w:szCs w:val="24"/>
        </w:rPr>
        <w:t>x</w:t>
      </w:r>
      <w:r w:rsidRPr="00280D0C">
        <w:rPr>
          <w:color w:val="000000" w:themeColor="text1"/>
          <w:sz w:val="24"/>
          <w:szCs w:val="24"/>
        </w:rPr>
        <w:t xml:space="preserve"> </w:t>
      </w:r>
      <w:r w:rsidR="003804ED">
        <w:rPr>
          <w:color w:val="000000" w:themeColor="text1"/>
          <w:sz w:val="24"/>
          <w:szCs w:val="24"/>
        </w:rPr>
        <w:t>$</w:t>
      </w:r>
      <w:r w:rsidRPr="00280D0C">
        <w:rPr>
          <w:color w:val="000000" w:themeColor="text1"/>
          <w:sz w:val="24"/>
          <w:szCs w:val="24"/>
        </w:rPr>
        <w:t>42.41</w:t>
      </w:r>
      <w:r w:rsidR="003804ED">
        <w:rPr>
          <w:color w:val="000000" w:themeColor="text1"/>
          <w:sz w:val="24"/>
          <w:szCs w:val="24"/>
        </w:rPr>
        <w:t>x</w:t>
      </w:r>
      <w:r w:rsidRPr="00280D0C">
        <w:rPr>
          <w:color w:val="000000" w:themeColor="text1"/>
          <w:sz w:val="24"/>
          <w:szCs w:val="24"/>
        </w:rPr>
        <w:t xml:space="preserve"> </w:t>
      </w:r>
      <w:r w:rsidR="003804ED">
        <w:rPr>
          <w:color w:val="000000" w:themeColor="text1"/>
          <w:sz w:val="24"/>
          <w:szCs w:val="24"/>
        </w:rPr>
        <w:t xml:space="preserve">274 </w:t>
      </w:r>
      <w:r w:rsidRPr="00280D0C">
        <w:rPr>
          <w:color w:val="000000" w:themeColor="text1"/>
          <w:sz w:val="24"/>
          <w:szCs w:val="24"/>
        </w:rPr>
        <w:t xml:space="preserve">= </w:t>
      </w:r>
      <w:r w:rsidRPr="00280D0C">
        <w:rPr>
          <w:b/>
          <w:color w:val="000000" w:themeColor="text1"/>
          <w:sz w:val="24"/>
          <w:szCs w:val="24"/>
        </w:rPr>
        <w:t>$</w:t>
      </w:r>
      <w:r w:rsidR="0087361F">
        <w:rPr>
          <w:b/>
          <w:color w:val="000000" w:themeColor="text1"/>
          <w:sz w:val="24"/>
          <w:szCs w:val="24"/>
        </w:rPr>
        <w:t>41,053</w:t>
      </w:r>
      <w:r w:rsidR="003A1513">
        <w:rPr>
          <w:b/>
          <w:color w:val="000000" w:themeColor="text1"/>
          <w:sz w:val="24"/>
          <w:szCs w:val="24"/>
        </w:rPr>
        <w:t>.</w:t>
      </w:r>
    </w:p>
    <w:p w:rsidR="005F1D81" w:rsidRPr="00382A16" w:rsidRDefault="005F1D81" w:rsidP="005F1D81">
      <w:pPr>
        <w:rPr>
          <w:color w:val="1F4E79"/>
          <w:sz w:val="28"/>
          <w:szCs w:val="28"/>
        </w:rPr>
      </w:pPr>
      <w:r w:rsidRPr="00382A16">
        <w:rPr>
          <w:color w:val="1F4E79"/>
          <w:sz w:val="28"/>
          <w:szCs w:val="28"/>
        </w:rPr>
        <w:t>Industry impact</w:t>
      </w:r>
    </w:p>
    <w:p w:rsidR="002265C4" w:rsidRDefault="00F600D3" w:rsidP="002265C4">
      <w:pPr>
        <w:ind w:left="720"/>
        <w:rPr>
          <w:rFonts w:eastAsia="Calibri" w:cstheme="minorHAnsi"/>
          <w:sz w:val="24"/>
          <w:szCs w:val="24"/>
        </w:rPr>
      </w:pPr>
      <w:r w:rsidRPr="00F600D3">
        <w:rPr>
          <w:color w:val="000000" w:themeColor="text1"/>
          <w:sz w:val="24"/>
          <w:szCs w:val="24"/>
        </w:rPr>
        <w:t>The primary cost to industry (the insurer) is administrative. The insurer would be required to quantify risks for new services and adjust medical indemnity premiums for midwifery services, and update</w:t>
      </w:r>
      <w:r w:rsidRPr="00F600D3">
        <w:rPr>
          <w:rFonts w:eastAsia="Calibri" w:cstheme="minorHAnsi"/>
          <w:sz w:val="24"/>
          <w:szCs w:val="24"/>
        </w:rPr>
        <w:t xml:space="preserve"> midwifery policies </w:t>
      </w:r>
      <w:r w:rsidR="002265C4">
        <w:rPr>
          <w:rFonts w:eastAsia="Calibri" w:cstheme="minorHAnsi"/>
          <w:sz w:val="24"/>
          <w:szCs w:val="24"/>
        </w:rPr>
        <w:t>and IT sys</w:t>
      </w:r>
    </w:p>
    <w:p w:rsidR="002265C4" w:rsidRDefault="00861F4B" w:rsidP="002265C4">
      <w:pPr>
        <w:ind w:left="720"/>
        <w:rPr>
          <w:color w:val="000000" w:themeColor="text1"/>
          <w:sz w:val="24"/>
          <w:szCs w:val="24"/>
        </w:rPr>
      </w:pPr>
      <w:r>
        <w:rPr>
          <w:color w:val="000000" w:themeColor="text1"/>
          <w:sz w:val="24"/>
          <w:szCs w:val="24"/>
        </w:rPr>
        <w:t xml:space="preserve">The insurer </w:t>
      </w:r>
      <w:r w:rsidR="002265C4">
        <w:rPr>
          <w:color w:val="000000" w:themeColor="text1"/>
          <w:sz w:val="24"/>
          <w:szCs w:val="24"/>
        </w:rPr>
        <w:t xml:space="preserve">has identified additional administrative costs of $565,000 </w:t>
      </w:r>
      <w:r w:rsidR="00917B21">
        <w:rPr>
          <w:color w:val="000000" w:themeColor="text1"/>
          <w:sz w:val="24"/>
          <w:szCs w:val="24"/>
        </w:rPr>
        <w:t xml:space="preserve">over 4 years </w:t>
      </w:r>
      <w:r w:rsidR="002265C4">
        <w:rPr>
          <w:color w:val="000000" w:themeColor="text1"/>
          <w:sz w:val="24"/>
          <w:szCs w:val="24"/>
        </w:rPr>
        <w:t>associated with this reform.</w:t>
      </w:r>
    </w:p>
    <w:tbl>
      <w:tblPr>
        <w:tblStyle w:val="TableGrid"/>
        <w:tblW w:w="0" w:type="auto"/>
        <w:tblInd w:w="720" w:type="dxa"/>
        <w:tblLook w:val="04A0" w:firstRow="1" w:lastRow="0" w:firstColumn="1" w:lastColumn="0" w:noHBand="0" w:noVBand="1"/>
      </w:tblPr>
      <w:tblGrid>
        <w:gridCol w:w="1750"/>
        <w:gridCol w:w="1343"/>
        <w:gridCol w:w="1232"/>
        <w:gridCol w:w="1233"/>
        <w:gridCol w:w="1233"/>
        <w:gridCol w:w="1233"/>
      </w:tblGrid>
      <w:tr w:rsidR="002265C4" w:rsidTr="002265C4">
        <w:tc>
          <w:tcPr>
            <w:tcW w:w="1750" w:type="dxa"/>
          </w:tcPr>
          <w:p w:rsidR="002265C4" w:rsidRPr="002265C4" w:rsidRDefault="002265C4" w:rsidP="002265C4">
            <w:pPr>
              <w:jc w:val="center"/>
              <w:rPr>
                <w:b/>
                <w:color w:val="000000" w:themeColor="text1"/>
                <w:sz w:val="24"/>
                <w:szCs w:val="24"/>
              </w:rPr>
            </w:pPr>
          </w:p>
        </w:tc>
        <w:tc>
          <w:tcPr>
            <w:tcW w:w="1343" w:type="dxa"/>
          </w:tcPr>
          <w:p w:rsidR="002265C4" w:rsidRPr="002265C4" w:rsidRDefault="002265C4" w:rsidP="002265C4">
            <w:pPr>
              <w:jc w:val="center"/>
              <w:rPr>
                <w:b/>
                <w:color w:val="000000" w:themeColor="text1"/>
                <w:sz w:val="24"/>
                <w:szCs w:val="24"/>
              </w:rPr>
            </w:pPr>
            <w:r w:rsidRPr="002265C4">
              <w:rPr>
                <w:b/>
                <w:color w:val="000000" w:themeColor="text1"/>
                <w:sz w:val="24"/>
                <w:szCs w:val="24"/>
              </w:rPr>
              <w:t>2024-25</w:t>
            </w:r>
          </w:p>
        </w:tc>
        <w:tc>
          <w:tcPr>
            <w:tcW w:w="1232" w:type="dxa"/>
          </w:tcPr>
          <w:p w:rsidR="002265C4" w:rsidRPr="002265C4" w:rsidRDefault="002265C4" w:rsidP="002265C4">
            <w:pPr>
              <w:jc w:val="center"/>
              <w:rPr>
                <w:b/>
                <w:color w:val="000000" w:themeColor="text1"/>
                <w:sz w:val="24"/>
                <w:szCs w:val="24"/>
              </w:rPr>
            </w:pPr>
            <w:r w:rsidRPr="002265C4">
              <w:rPr>
                <w:b/>
                <w:color w:val="000000" w:themeColor="text1"/>
                <w:sz w:val="24"/>
                <w:szCs w:val="24"/>
              </w:rPr>
              <w:t>2025-26</w:t>
            </w:r>
          </w:p>
        </w:tc>
        <w:tc>
          <w:tcPr>
            <w:tcW w:w="1233" w:type="dxa"/>
          </w:tcPr>
          <w:p w:rsidR="002265C4" w:rsidRPr="002265C4" w:rsidRDefault="002265C4" w:rsidP="002265C4">
            <w:pPr>
              <w:jc w:val="center"/>
              <w:rPr>
                <w:b/>
                <w:color w:val="000000" w:themeColor="text1"/>
                <w:sz w:val="24"/>
                <w:szCs w:val="24"/>
              </w:rPr>
            </w:pPr>
            <w:r w:rsidRPr="002265C4">
              <w:rPr>
                <w:b/>
                <w:color w:val="000000" w:themeColor="text1"/>
                <w:sz w:val="24"/>
                <w:szCs w:val="24"/>
              </w:rPr>
              <w:t>2026-27</w:t>
            </w:r>
          </w:p>
        </w:tc>
        <w:tc>
          <w:tcPr>
            <w:tcW w:w="1233" w:type="dxa"/>
          </w:tcPr>
          <w:p w:rsidR="002265C4" w:rsidRPr="002265C4" w:rsidRDefault="002265C4" w:rsidP="002265C4">
            <w:pPr>
              <w:jc w:val="center"/>
              <w:rPr>
                <w:b/>
                <w:color w:val="000000" w:themeColor="text1"/>
                <w:sz w:val="24"/>
                <w:szCs w:val="24"/>
              </w:rPr>
            </w:pPr>
            <w:r w:rsidRPr="002265C4">
              <w:rPr>
                <w:b/>
                <w:color w:val="000000" w:themeColor="text1"/>
                <w:sz w:val="24"/>
                <w:szCs w:val="24"/>
              </w:rPr>
              <w:t>2027-28</w:t>
            </w:r>
          </w:p>
        </w:tc>
        <w:tc>
          <w:tcPr>
            <w:tcW w:w="1233" w:type="dxa"/>
          </w:tcPr>
          <w:p w:rsidR="002265C4" w:rsidRPr="002265C4" w:rsidRDefault="002265C4" w:rsidP="002265C4">
            <w:pPr>
              <w:jc w:val="center"/>
              <w:rPr>
                <w:b/>
                <w:color w:val="000000" w:themeColor="text1"/>
                <w:sz w:val="24"/>
                <w:szCs w:val="24"/>
              </w:rPr>
            </w:pPr>
            <w:r>
              <w:rPr>
                <w:b/>
                <w:color w:val="000000" w:themeColor="text1"/>
                <w:sz w:val="24"/>
                <w:szCs w:val="24"/>
              </w:rPr>
              <w:t>Total</w:t>
            </w:r>
          </w:p>
        </w:tc>
      </w:tr>
      <w:tr w:rsidR="002265C4" w:rsidTr="002265C4">
        <w:tc>
          <w:tcPr>
            <w:tcW w:w="1750" w:type="dxa"/>
          </w:tcPr>
          <w:p w:rsidR="002265C4" w:rsidRDefault="002265C4" w:rsidP="00F600D3">
            <w:pPr>
              <w:rPr>
                <w:color w:val="000000" w:themeColor="text1"/>
                <w:sz w:val="24"/>
                <w:szCs w:val="24"/>
              </w:rPr>
            </w:pPr>
            <w:r>
              <w:rPr>
                <w:color w:val="000000" w:themeColor="text1"/>
                <w:sz w:val="24"/>
                <w:szCs w:val="24"/>
              </w:rPr>
              <w:t>Establishment</w:t>
            </w:r>
          </w:p>
        </w:tc>
        <w:tc>
          <w:tcPr>
            <w:tcW w:w="1343" w:type="dxa"/>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$250,000</w:t>
            </w:r>
          </w:p>
        </w:tc>
        <w:tc>
          <w:tcPr>
            <w:tcW w:w="1232" w:type="dxa"/>
            <w:shd w:val="clear" w:color="auto" w:fill="D9D9D9" w:themeFill="background1" w:themeFillShade="D9"/>
          </w:tcPr>
          <w:p w:rsidR="002265C4" w:rsidRDefault="002265C4" w:rsidP="00F600D3">
            <w:pPr>
              <w:rPr>
                <w:color w:val="000000" w:themeColor="text1"/>
                <w:sz w:val="24"/>
                <w:szCs w:val="24"/>
              </w:rPr>
            </w:pPr>
          </w:p>
        </w:tc>
        <w:tc>
          <w:tcPr>
            <w:tcW w:w="1233" w:type="dxa"/>
            <w:shd w:val="clear" w:color="auto" w:fill="D9D9D9" w:themeFill="background1" w:themeFillShade="D9"/>
          </w:tcPr>
          <w:p w:rsidR="002265C4" w:rsidRDefault="002265C4" w:rsidP="00F600D3">
            <w:pPr>
              <w:rPr>
                <w:color w:val="000000" w:themeColor="text1"/>
                <w:sz w:val="24"/>
                <w:szCs w:val="24"/>
              </w:rPr>
            </w:pPr>
          </w:p>
        </w:tc>
        <w:tc>
          <w:tcPr>
            <w:tcW w:w="1233" w:type="dxa"/>
            <w:shd w:val="clear" w:color="auto" w:fill="D9D9D9" w:themeFill="background1" w:themeFillShade="D9"/>
          </w:tcPr>
          <w:p w:rsidR="002265C4" w:rsidRDefault="002265C4" w:rsidP="00F600D3">
            <w:pPr>
              <w:rPr>
                <w:color w:val="000000" w:themeColor="text1"/>
                <w:sz w:val="24"/>
                <w:szCs w:val="24"/>
              </w:rPr>
            </w:pPr>
          </w:p>
        </w:tc>
        <w:tc>
          <w:tcPr>
            <w:tcW w:w="1233" w:type="dxa"/>
            <w:shd w:val="clear" w:color="auto" w:fill="FFFFFF" w:themeFill="background1"/>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$250,000</w:t>
            </w:r>
          </w:p>
        </w:tc>
      </w:tr>
      <w:tr w:rsidR="002265C4" w:rsidTr="002265C4">
        <w:tc>
          <w:tcPr>
            <w:tcW w:w="1750" w:type="dxa"/>
          </w:tcPr>
          <w:p w:rsidR="002265C4" w:rsidRDefault="002265C4" w:rsidP="00F600D3">
            <w:pPr>
              <w:rPr>
                <w:color w:val="000000" w:themeColor="text1"/>
                <w:sz w:val="24"/>
                <w:szCs w:val="24"/>
              </w:rPr>
            </w:pPr>
            <w:r>
              <w:rPr>
                <w:color w:val="000000" w:themeColor="text1"/>
                <w:sz w:val="24"/>
                <w:szCs w:val="24"/>
              </w:rPr>
              <w:t xml:space="preserve">Administration </w:t>
            </w:r>
          </w:p>
        </w:tc>
        <w:tc>
          <w:tcPr>
            <w:tcW w:w="1343" w:type="dxa"/>
            <w:shd w:val="clear" w:color="auto" w:fill="D9D9D9" w:themeFill="background1" w:themeFillShade="D9"/>
          </w:tcPr>
          <w:p w:rsidR="002265C4" w:rsidRDefault="002265C4" w:rsidP="00F600D3">
            <w:pPr>
              <w:rPr>
                <w:color w:val="000000" w:themeColor="text1"/>
                <w:sz w:val="24"/>
                <w:szCs w:val="24"/>
              </w:rPr>
            </w:pPr>
          </w:p>
        </w:tc>
        <w:tc>
          <w:tcPr>
            <w:tcW w:w="1232" w:type="dxa"/>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$103,000</w:t>
            </w:r>
          </w:p>
        </w:tc>
        <w:tc>
          <w:tcPr>
            <w:tcW w:w="1233" w:type="dxa"/>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$105,000</w:t>
            </w:r>
          </w:p>
        </w:tc>
        <w:tc>
          <w:tcPr>
            <w:tcW w:w="1233" w:type="dxa"/>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$107,000</w:t>
            </w:r>
          </w:p>
        </w:tc>
        <w:tc>
          <w:tcPr>
            <w:tcW w:w="1233" w:type="dxa"/>
          </w:tcPr>
          <w:p w:rsidR="002265C4" w:rsidRDefault="00775698" w:rsidP="00F600D3">
            <w:pPr>
              <w:rPr>
                <w:color w:val="000000" w:themeColor="text1"/>
                <w:sz w:val="24"/>
                <w:szCs w:val="24"/>
              </w:rPr>
            </w:pPr>
            <w:r>
              <w:rPr>
                <w:color w:val="000000" w:themeColor="text1"/>
                <w:sz w:val="24"/>
                <w:szCs w:val="24"/>
              </w:rPr>
              <w:t>-</w:t>
            </w:r>
            <w:r w:rsidR="002265C4">
              <w:rPr>
                <w:color w:val="000000" w:themeColor="text1"/>
                <w:sz w:val="24"/>
                <w:szCs w:val="24"/>
              </w:rPr>
              <w:t>$315,000</w:t>
            </w:r>
          </w:p>
        </w:tc>
      </w:tr>
      <w:tr w:rsidR="002265C4" w:rsidTr="002265C4">
        <w:tc>
          <w:tcPr>
            <w:tcW w:w="1750" w:type="dxa"/>
            <w:shd w:val="clear" w:color="auto" w:fill="D9D9D9" w:themeFill="background1" w:themeFillShade="D9"/>
          </w:tcPr>
          <w:p w:rsidR="002265C4" w:rsidRDefault="002265C4" w:rsidP="00F600D3">
            <w:pPr>
              <w:rPr>
                <w:color w:val="000000" w:themeColor="text1"/>
                <w:sz w:val="24"/>
                <w:szCs w:val="24"/>
              </w:rPr>
            </w:pPr>
          </w:p>
        </w:tc>
        <w:tc>
          <w:tcPr>
            <w:tcW w:w="1343" w:type="dxa"/>
            <w:shd w:val="clear" w:color="auto" w:fill="D9D9D9" w:themeFill="background1" w:themeFillShade="D9"/>
          </w:tcPr>
          <w:p w:rsidR="002265C4" w:rsidRDefault="002265C4" w:rsidP="00F600D3">
            <w:pPr>
              <w:rPr>
                <w:color w:val="000000" w:themeColor="text1"/>
                <w:sz w:val="24"/>
                <w:szCs w:val="24"/>
              </w:rPr>
            </w:pPr>
          </w:p>
        </w:tc>
        <w:tc>
          <w:tcPr>
            <w:tcW w:w="1232" w:type="dxa"/>
            <w:shd w:val="clear" w:color="auto" w:fill="D9D9D9" w:themeFill="background1" w:themeFillShade="D9"/>
          </w:tcPr>
          <w:p w:rsidR="002265C4" w:rsidRDefault="002265C4" w:rsidP="00F600D3">
            <w:pPr>
              <w:rPr>
                <w:color w:val="000000" w:themeColor="text1"/>
                <w:sz w:val="24"/>
                <w:szCs w:val="24"/>
              </w:rPr>
            </w:pPr>
          </w:p>
        </w:tc>
        <w:tc>
          <w:tcPr>
            <w:tcW w:w="1233" w:type="dxa"/>
            <w:shd w:val="clear" w:color="auto" w:fill="D9D9D9" w:themeFill="background1" w:themeFillShade="D9"/>
          </w:tcPr>
          <w:p w:rsidR="002265C4" w:rsidRDefault="002265C4" w:rsidP="00F600D3">
            <w:pPr>
              <w:rPr>
                <w:color w:val="000000" w:themeColor="text1"/>
                <w:sz w:val="24"/>
                <w:szCs w:val="24"/>
              </w:rPr>
            </w:pPr>
          </w:p>
        </w:tc>
        <w:tc>
          <w:tcPr>
            <w:tcW w:w="1233" w:type="dxa"/>
            <w:shd w:val="clear" w:color="auto" w:fill="D9D9D9" w:themeFill="background1" w:themeFillShade="D9"/>
          </w:tcPr>
          <w:p w:rsidR="002265C4" w:rsidRDefault="002265C4" w:rsidP="00F600D3">
            <w:pPr>
              <w:rPr>
                <w:color w:val="000000" w:themeColor="text1"/>
                <w:sz w:val="24"/>
                <w:szCs w:val="24"/>
              </w:rPr>
            </w:pPr>
          </w:p>
        </w:tc>
        <w:tc>
          <w:tcPr>
            <w:tcW w:w="1233" w:type="dxa"/>
          </w:tcPr>
          <w:p w:rsidR="002265C4" w:rsidRPr="002265C4" w:rsidRDefault="00775698" w:rsidP="00F600D3">
            <w:pPr>
              <w:rPr>
                <w:b/>
                <w:color w:val="000000" w:themeColor="text1"/>
                <w:sz w:val="24"/>
                <w:szCs w:val="24"/>
              </w:rPr>
            </w:pPr>
            <w:r>
              <w:rPr>
                <w:b/>
                <w:color w:val="000000" w:themeColor="text1"/>
                <w:sz w:val="24"/>
                <w:szCs w:val="24"/>
              </w:rPr>
              <w:t>-</w:t>
            </w:r>
            <w:r w:rsidR="002265C4" w:rsidRPr="002265C4">
              <w:rPr>
                <w:b/>
                <w:color w:val="000000" w:themeColor="text1"/>
                <w:sz w:val="24"/>
                <w:szCs w:val="24"/>
              </w:rPr>
              <w:t>$565,000</w:t>
            </w:r>
          </w:p>
        </w:tc>
      </w:tr>
    </w:tbl>
    <w:p w:rsidR="005F1D81" w:rsidRPr="00382A16" w:rsidRDefault="005F1D81" w:rsidP="00FD554B">
      <w:pPr>
        <w:spacing w:before="160"/>
        <w:rPr>
          <w:color w:val="1F4E79"/>
          <w:sz w:val="28"/>
          <w:szCs w:val="28"/>
        </w:rPr>
      </w:pPr>
      <w:r w:rsidRPr="00382A16">
        <w:rPr>
          <w:color w:val="1F4E79"/>
          <w:sz w:val="28"/>
          <w:szCs w:val="28"/>
        </w:rPr>
        <w:t>Regulator impact</w:t>
      </w:r>
    </w:p>
    <w:p w:rsidR="00BA21C6" w:rsidRPr="00BA21C6" w:rsidRDefault="00EA1581" w:rsidP="00BA21C6">
      <w:pPr>
        <w:ind w:left="720"/>
        <w:rPr>
          <w:color w:val="000000" w:themeColor="text1"/>
          <w:sz w:val="24"/>
          <w:szCs w:val="24"/>
        </w:rPr>
      </w:pPr>
      <w:r w:rsidRPr="00BA21C6">
        <w:rPr>
          <w:color w:val="000000" w:themeColor="text1"/>
          <w:sz w:val="24"/>
          <w:szCs w:val="24"/>
        </w:rPr>
        <w:t>The primary cost to the regulator (NMBA</w:t>
      </w:r>
      <w:r w:rsidR="00DD1B3D">
        <w:rPr>
          <w:color w:val="000000" w:themeColor="text1"/>
          <w:sz w:val="24"/>
          <w:szCs w:val="24"/>
        </w:rPr>
        <w:t>/Ahpra</w:t>
      </w:r>
      <w:r w:rsidRPr="00BA21C6">
        <w:rPr>
          <w:color w:val="000000" w:themeColor="text1"/>
          <w:sz w:val="24"/>
          <w:szCs w:val="24"/>
        </w:rPr>
        <w:t>) is administrative.</w:t>
      </w:r>
      <w:r w:rsidR="00BA21C6" w:rsidRPr="00BA21C6">
        <w:rPr>
          <w:color w:val="000000" w:themeColor="text1"/>
          <w:sz w:val="24"/>
          <w:szCs w:val="24"/>
        </w:rPr>
        <w:t xml:space="preserve"> The NMBA would be required to spend time updating the NMBA</w:t>
      </w:r>
      <w:r w:rsidR="00DD1B3D">
        <w:rPr>
          <w:color w:val="000000" w:themeColor="text1"/>
          <w:sz w:val="24"/>
          <w:szCs w:val="24"/>
        </w:rPr>
        <w:t>/Ahpra</w:t>
      </w:r>
      <w:r w:rsidR="00BA21C6" w:rsidRPr="00BA21C6">
        <w:rPr>
          <w:color w:val="000000" w:themeColor="text1"/>
          <w:sz w:val="24"/>
          <w:szCs w:val="24"/>
        </w:rPr>
        <w:t xml:space="preserve"> </w:t>
      </w:r>
      <w:r w:rsidR="00BA21C6" w:rsidRPr="00BA21C6">
        <w:rPr>
          <w:rFonts w:cstheme="minorHAnsi"/>
          <w:color w:val="000000" w:themeColor="text1"/>
          <w:sz w:val="24"/>
          <w:szCs w:val="24"/>
        </w:rPr>
        <w:t>Safety and Quality Guidelines to include clinical parameters of low risk homebirth and intrapartum (labour) care outside a hospital setting.</w:t>
      </w:r>
    </w:p>
    <w:p w:rsidR="00BA21C6" w:rsidRDefault="00BA21C6" w:rsidP="00BA21C6">
      <w:pPr>
        <w:ind w:left="720"/>
        <w:rPr>
          <w:color w:val="000000" w:themeColor="text1"/>
          <w:sz w:val="24"/>
          <w:szCs w:val="24"/>
        </w:rPr>
      </w:pPr>
      <w:r>
        <w:rPr>
          <w:color w:val="000000" w:themeColor="text1"/>
          <w:sz w:val="24"/>
          <w:szCs w:val="24"/>
        </w:rPr>
        <w:t xml:space="preserve">Under this reform, it is suggested the NMBA </w:t>
      </w:r>
      <w:r w:rsidR="003773EA">
        <w:rPr>
          <w:color w:val="000000" w:themeColor="text1"/>
          <w:sz w:val="24"/>
          <w:szCs w:val="24"/>
        </w:rPr>
        <w:t>would</w:t>
      </w:r>
      <w:r>
        <w:rPr>
          <w:color w:val="000000" w:themeColor="text1"/>
          <w:sz w:val="24"/>
          <w:szCs w:val="24"/>
        </w:rPr>
        <w:t xml:space="preserve"> spend 37.5 hours per week over a period of 3 months on regulatory administration, which </w:t>
      </w:r>
      <w:r w:rsidR="003773EA">
        <w:rPr>
          <w:color w:val="000000" w:themeColor="text1"/>
          <w:sz w:val="24"/>
          <w:szCs w:val="24"/>
        </w:rPr>
        <w:t>would equate</w:t>
      </w:r>
      <w:r>
        <w:rPr>
          <w:color w:val="000000" w:themeColor="text1"/>
          <w:sz w:val="24"/>
          <w:szCs w:val="24"/>
        </w:rPr>
        <w:t xml:space="preserve"> to 450 hours.</w:t>
      </w:r>
    </w:p>
    <w:p w:rsidR="00BA21C6" w:rsidRDefault="003773EA" w:rsidP="00EA1581">
      <w:pPr>
        <w:ind w:left="720"/>
        <w:rPr>
          <w:color w:val="000000" w:themeColor="text1"/>
          <w:sz w:val="24"/>
          <w:szCs w:val="24"/>
        </w:rPr>
      </w:pPr>
      <w:r>
        <w:rPr>
          <w:color w:val="000000" w:themeColor="text1"/>
          <w:sz w:val="24"/>
          <w:szCs w:val="24"/>
        </w:rPr>
        <w:t xml:space="preserve">This work would be undertaken by </w:t>
      </w:r>
      <w:r w:rsidR="0079279E">
        <w:rPr>
          <w:color w:val="000000" w:themeColor="text1"/>
          <w:sz w:val="24"/>
          <w:szCs w:val="24"/>
        </w:rPr>
        <w:t xml:space="preserve">2 staff - </w:t>
      </w:r>
      <w:r>
        <w:rPr>
          <w:color w:val="000000" w:themeColor="text1"/>
          <w:sz w:val="24"/>
          <w:szCs w:val="24"/>
        </w:rPr>
        <w:t>APS 6 and Executive Level One with annual salaries of $114,709 ($58.83 per hour) and $142,509 ($73.08 per hour) respectively (based on the Department of Health and Aged Care Enterprise Agreement 2024-27</w:t>
      </w:r>
      <w:r>
        <w:rPr>
          <w:rStyle w:val="FootnoteReference"/>
          <w:color w:val="000000" w:themeColor="text1"/>
          <w:sz w:val="24"/>
          <w:szCs w:val="24"/>
        </w:rPr>
        <w:footnoteReference w:id="28"/>
      </w:r>
      <w:r>
        <w:rPr>
          <w:color w:val="000000" w:themeColor="text1"/>
          <w:sz w:val="24"/>
          <w:szCs w:val="24"/>
        </w:rPr>
        <w:t>)</w:t>
      </w:r>
      <w:r w:rsidR="0079279E">
        <w:rPr>
          <w:color w:val="000000" w:themeColor="text1"/>
          <w:sz w:val="24"/>
          <w:szCs w:val="24"/>
        </w:rPr>
        <w:t>, which averages at $65.96 per hour</w:t>
      </w:r>
      <w:r>
        <w:rPr>
          <w:color w:val="000000" w:themeColor="text1"/>
          <w:sz w:val="24"/>
          <w:szCs w:val="24"/>
        </w:rPr>
        <w:t>.</w:t>
      </w:r>
    </w:p>
    <w:p w:rsidR="002265C4" w:rsidRPr="003773EA" w:rsidRDefault="002265C4" w:rsidP="00A70CD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720"/>
        <w:rPr>
          <w:color w:val="000000" w:themeColor="text1"/>
          <w:sz w:val="24"/>
          <w:szCs w:val="24"/>
        </w:rPr>
      </w:pPr>
      <w:r w:rsidRPr="003773EA">
        <w:rPr>
          <w:color w:val="000000" w:themeColor="text1"/>
          <w:sz w:val="24"/>
          <w:szCs w:val="24"/>
        </w:rPr>
        <w:t>NMBA administrative cost = (Time required × Labour cost) × (Number of staff)</w:t>
      </w:r>
    </w:p>
    <w:p w:rsidR="002265C4" w:rsidRDefault="002265C4" w:rsidP="00A70CD4">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sz w:val="24"/>
          <w:szCs w:val="24"/>
        </w:rPr>
      </w:pPr>
      <w:r w:rsidRPr="0079279E">
        <w:rPr>
          <w:b/>
          <w:color w:val="000000" w:themeColor="text1"/>
          <w:sz w:val="24"/>
          <w:szCs w:val="24"/>
        </w:rPr>
        <w:t>$</w:t>
      </w:r>
      <w:r w:rsidR="0079279E">
        <w:rPr>
          <w:b/>
          <w:color w:val="000000" w:themeColor="text1"/>
          <w:sz w:val="24"/>
          <w:szCs w:val="24"/>
        </w:rPr>
        <w:t>59,364</w:t>
      </w:r>
      <w:r w:rsidRPr="00621423">
        <w:rPr>
          <w:sz w:val="24"/>
          <w:szCs w:val="24"/>
        </w:rPr>
        <w:t xml:space="preserve"> = </w:t>
      </w:r>
      <w:r>
        <w:rPr>
          <w:sz w:val="24"/>
          <w:szCs w:val="24"/>
        </w:rPr>
        <w:tab/>
      </w:r>
      <w:r>
        <w:rPr>
          <w:sz w:val="24"/>
          <w:szCs w:val="24"/>
        </w:rPr>
        <w:tab/>
      </w:r>
      <w:r>
        <w:rPr>
          <w:sz w:val="24"/>
          <w:szCs w:val="24"/>
        </w:rPr>
        <w:tab/>
        <w:t>(</w:t>
      </w:r>
      <w:r w:rsidR="00BA21C6">
        <w:rPr>
          <w:sz w:val="24"/>
          <w:szCs w:val="24"/>
        </w:rPr>
        <w:t xml:space="preserve">450 </w:t>
      </w:r>
      <w:r>
        <w:rPr>
          <w:sz w:val="24"/>
          <w:szCs w:val="24"/>
        </w:rPr>
        <w:t>hours x $</w:t>
      </w:r>
      <w:r w:rsidR="0079279E">
        <w:rPr>
          <w:sz w:val="24"/>
          <w:szCs w:val="24"/>
        </w:rPr>
        <w:t>65.96</w:t>
      </w:r>
      <w:r>
        <w:rPr>
          <w:sz w:val="24"/>
          <w:szCs w:val="24"/>
        </w:rPr>
        <w:t xml:space="preserve">) x </w:t>
      </w:r>
      <w:r>
        <w:rPr>
          <w:sz w:val="24"/>
          <w:szCs w:val="24"/>
        </w:rPr>
        <w:tab/>
      </w:r>
      <w:r w:rsidR="0079279E">
        <w:rPr>
          <w:sz w:val="24"/>
          <w:szCs w:val="24"/>
        </w:rPr>
        <w:tab/>
      </w:r>
      <w:r w:rsidR="00BA21C6">
        <w:rPr>
          <w:sz w:val="24"/>
          <w:szCs w:val="24"/>
        </w:rPr>
        <w:t>2</w:t>
      </w:r>
    </w:p>
    <w:p w:rsidR="002265C4" w:rsidRPr="00EA1581" w:rsidRDefault="002265C4" w:rsidP="0030046B">
      <w:pPr>
        <w:spacing w:after="0"/>
        <w:ind w:left="720"/>
        <w:rPr>
          <w:color w:val="000000" w:themeColor="text1"/>
          <w:sz w:val="24"/>
          <w:szCs w:val="24"/>
        </w:rPr>
      </w:pPr>
    </w:p>
    <w:p w:rsidR="005F1D81" w:rsidRPr="00382A16" w:rsidRDefault="005F1D81" w:rsidP="005F1D81">
      <w:pPr>
        <w:rPr>
          <w:color w:val="1F4E79"/>
          <w:sz w:val="28"/>
          <w:szCs w:val="28"/>
        </w:rPr>
      </w:pPr>
      <w:r w:rsidRPr="00382A16">
        <w:rPr>
          <w:color w:val="1F4E79"/>
          <w:sz w:val="28"/>
          <w:szCs w:val="28"/>
        </w:rPr>
        <w:t>Business impact</w:t>
      </w:r>
    </w:p>
    <w:p w:rsidR="0030046B" w:rsidRDefault="0030046B" w:rsidP="0030046B">
      <w:pPr>
        <w:ind w:left="720"/>
        <w:rPr>
          <w:color w:val="000000" w:themeColor="text1"/>
          <w:sz w:val="24"/>
          <w:szCs w:val="24"/>
        </w:rPr>
      </w:pPr>
      <w:r>
        <w:rPr>
          <w:color w:val="000000" w:themeColor="text1"/>
          <w:sz w:val="24"/>
          <w:szCs w:val="24"/>
        </w:rPr>
        <w:t>The impact on</w:t>
      </w:r>
      <w:r w:rsidR="00FD0EC4">
        <w:rPr>
          <w:color w:val="000000" w:themeColor="text1"/>
          <w:sz w:val="24"/>
          <w:szCs w:val="24"/>
        </w:rPr>
        <w:t xml:space="preserve"> business</w:t>
      </w:r>
      <w:r w:rsidRPr="0030046B">
        <w:rPr>
          <w:color w:val="000000" w:themeColor="text1"/>
          <w:sz w:val="24"/>
          <w:szCs w:val="24"/>
        </w:rPr>
        <w:t xml:space="preserve"> is </w:t>
      </w:r>
      <w:r w:rsidR="00626E17">
        <w:rPr>
          <w:color w:val="000000" w:themeColor="text1"/>
          <w:sz w:val="24"/>
          <w:szCs w:val="24"/>
        </w:rPr>
        <w:t xml:space="preserve">commercial viability of First Nations midwifery services which </w:t>
      </w:r>
      <w:r w:rsidR="000E7020">
        <w:rPr>
          <w:color w:val="000000" w:themeColor="text1"/>
          <w:sz w:val="24"/>
          <w:szCs w:val="24"/>
        </w:rPr>
        <w:t xml:space="preserve">would otherwise be forced to close. </w:t>
      </w:r>
      <w:r w:rsidR="00626E17">
        <w:rPr>
          <w:color w:val="000000" w:themeColor="text1"/>
          <w:sz w:val="24"/>
          <w:szCs w:val="24"/>
        </w:rPr>
        <w:t>Th</w:t>
      </w:r>
      <w:r w:rsidR="000E7020">
        <w:rPr>
          <w:color w:val="000000" w:themeColor="text1"/>
          <w:sz w:val="24"/>
          <w:szCs w:val="24"/>
        </w:rPr>
        <w:t>is option wil</w:t>
      </w:r>
      <w:r w:rsidR="00626E17">
        <w:rPr>
          <w:color w:val="000000" w:themeColor="text1"/>
          <w:sz w:val="24"/>
          <w:szCs w:val="24"/>
        </w:rPr>
        <w:t xml:space="preserve">l support expansion of their services to </w:t>
      </w:r>
      <w:r w:rsidRPr="0030046B">
        <w:rPr>
          <w:color w:val="000000" w:themeColor="text1"/>
          <w:sz w:val="24"/>
          <w:szCs w:val="24"/>
        </w:rPr>
        <w:t xml:space="preserve">provide </w:t>
      </w:r>
      <w:r w:rsidR="000E7020">
        <w:rPr>
          <w:color w:val="000000" w:themeColor="text1"/>
          <w:sz w:val="24"/>
          <w:szCs w:val="24"/>
        </w:rPr>
        <w:t xml:space="preserve">homebirth and </w:t>
      </w:r>
      <w:r w:rsidRPr="0030046B">
        <w:rPr>
          <w:color w:val="000000" w:themeColor="text1"/>
          <w:sz w:val="24"/>
          <w:szCs w:val="24"/>
        </w:rPr>
        <w:t xml:space="preserve">intrapartum </w:t>
      </w:r>
      <w:r w:rsidR="000E7020">
        <w:rPr>
          <w:color w:val="000000" w:themeColor="text1"/>
          <w:sz w:val="24"/>
          <w:szCs w:val="24"/>
        </w:rPr>
        <w:t xml:space="preserve">(labour) </w:t>
      </w:r>
      <w:r w:rsidRPr="0030046B">
        <w:rPr>
          <w:color w:val="000000" w:themeColor="text1"/>
          <w:sz w:val="24"/>
          <w:szCs w:val="24"/>
        </w:rPr>
        <w:t xml:space="preserve">care outside a hospital </w:t>
      </w:r>
      <w:r w:rsidR="000E7020">
        <w:rPr>
          <w:color w:val="000000" w:themeColor="text1"/>
          <w:sz w:val="24"/>
          <w:szCs w:val="24"/>
        </w:rPr>
        <w:t xml:space="preserve">setting </w:t>
      </w:r>
      <w:r w:rsidRPr="0030046B">
        <w:rPr>
          <w:color w:val="000000" w:themeColor="text1"/>
          <w:sz w:val="24"/>
          <w:szCs w:val="24"/>
        </w:rPr>
        <w:t>as insured services.</w:t>
      </w:r>
    </w:p>
    <w:p w:rsidR="00626E17" w:rsidRDefault="000E7020" w:rsidP="0030046B">
      <w:pPr>
        <w:ind w:left="720"/>
        <w:rPr>
          <w:color w:val="000000" w:themeColor="text1"/>
          <w:sz w:val="24"/>
          <w:szCs w:val="24"/>
        </w:rPr>
      </w:pPr>
      <w:r>
        <w:rPr>
          <w:color w:val="000000" w:themeColor="text1"/>
          <w:sz w:val="24"/>
          <w:szCs w:val="24"/>
        </w:rPr>
        <w:t>First Nations midwifery services employ approximately 38 midwives</w:t>
      </w:r>
      <w:r w:rsidR="003371D8">
        <w:rPr>
          <w:color w:val="000000" w:themeColor="text1"/>
          <w:sz w:val="24"/>
          <w:szCs w:val="24"/>
        </w:rPr>
        <w:t>, having recently lost midwiv</w:t>
      </w:r>
      <w:r>
        <w:rPr>
          <w:color w:val="000000" w:themeColor="text1"/>
          <w:sz w:val="24"/>
          <w:szCs w:val="24"/>
        </w:rPr>
        <w:t xml:space="preserve">es due to the uncertainty associated with medical indemnity cover. </w:t>
      </w:r>
      <w:r w:rsidR="00531AFD">
        <w:rPr>
          <w:color w:val="000000" w:themeColor="text1"/>
          <w:sz w:val="24"/>
          <w:szCs w:val="24"/>
        </w:rPr>
        <w:t xml:space="preserve">There is a lack of trend data on the recruitment and retention of PPMs providing BoC services. Any increase in the workforce is based on assumptions, such as </w:t>
      </w:r>
      <w:r>
        <w:rPr>
          <w:color w:val="000000" w:themeColor="text1"/>
          <w:sz w:val="24"/>
          <w:szCs w:val="24"/>
        </w:rPr>
        <w:t xml:space="preserve">additional 8 midwives </w:t>
      </w:r>
      <w:r w:rsidR="00C06B50">
        <w:rPr>
          <w:color w:val="000000" w:themeColor="text1"/>
          <w:sz w:val="24"/>
          <w:szCs w:val="24"/>
        </w:rPr>
        <w:t xml:space="preserve">providing services </w:t>
      </w:r>
      <w:r>
        <w:rPr>
          <w:color w:val="000000" w:themeColor="text1"/>
          <w:sz w:val="24"/>
          <w:szCs w:val="24"/>
        </w:rPr>
        <w:t>per year.</w:t>
      </w:r>
    </w:p>
    <w:p w:rsidR="00823289" w:rsidRDefault="00823289" w:rsidP="00823289">
      <w:pPr>
        <w:spacing w:after="0"/>
        <w:ind w:left="720"/>
        <w:rPr>
          <w:color w:val="000000" w:themeColor="text1"/>
          <w:sz w:val="24"/>
          <w:szCs w:val="24"/>
        </w:rPr>
      </w:pPr>
    </w:p>
    <w:tbl>
      <w:tblPr>
        <w:tblStyle w:val="TableGrid"/>
        <w:tblW w:w="8206" w:type="dxa"/>
        <w:tblInd w:w="720" w:type="dxa"/>
        <w:tblLook w:val="04A0" w:firstRow="1" w:lastRow="0" w:firstColumn="1" w:lastColumn="0" w:noHBand="0" w:noVBand="1"/>
      </w:tblPr>
      <w:tblGrid>
        <w:gridCol w:w="1514"/>
        <w:gridCol w:w="1094"/>
        <w:gridCol w:w="1326"/>
        <w:gridCol w:w="1334"/>
        <w:gridCol w:w="1429"/>
        <w:gridCol w:w="1509"/>
      </w:tblGrid>
      <w:tr w:rsidR="003371D8" w:rsidRPr="002265C4" w:rsidTr="00775698">
        <w:tc>
          <w:tcPr>
            <w:tcW w:w="1514" w:type="dxa"/>
          </w:tcPr>
          <w:p w:rsidR="003371D8" w:rsidRPr="002265C4" w:rsidRDefault="003371D8" w:rsidP="00A248A1">
            <w:pPr>
              <w:jc w:val="center"/>
              <w:rPr>
                <w:b/>
                <w:color w:val="000000" w:themeColor="text1"/>
                <w:sz w:val="24"/>
                <w:szCs w:val="24"/>
              </w:rPr>
            </w:pPr>
          </w:p>
        </w:tc>
        <w:tc>
          <w:tcPr>
            <w:tcW w:w="1094" w:type="dxa"/>
          </w:tcPr>
          <w:p w:rsidR="003371D8" w:rsidRPr="002265C4" w:rsidRDefault="003371D8" w:rsidP="00A248A1">
            <w:pPr>
              <w:jc w:val="center"/>
              <w:rPr>
                <w:b/>
                <w:color w:val="000000" w:themeColor="text1"/>
                <w:sz w:val="24"/>
                <w:szCs w:val="24"/>
              </w:rPr>
            </w:pPr>
            <w:r w:rsidRPr="002265C4">
              <w:rPr>
                <w:b/>
                <w:color w:val="000000" w:themeColor="text1"/>
                <w:sz w:val="24"/>
                <w:szCs w:val="24"/>
              </w:rPr>
              <w:t>2024-25</w:t>
            </w:r>
          </w:p>
        </w:tc>
        <w:tc>
          <w:tcPr>
            <w:tcW w:w="1326" w:type="dxa"/>
          </w:tcPr>
          <w:p w:rsidR="003371D8" w:rsidRPr="002265C4" w:rsidRDefault="003371D8" w:rsidP="00A248A1">
            <w:pPr>
              <w:jc w:val="center"/>
              <w:rPr>
                <w:b/>
                <w:color w:val="000000" w:themeColor="text1"/>
                <w:sz w:val="24"/>
                <w:szCs w:val="24"/>
              </w:rPr>
            </w:pPr>
            <w:r w:rsidRPr="002265C4">
              <w:rPr>
                <w:b/>
                <w:color w:val="000000" w:themeColor="text1"/>
                <w:sz w:val="24"/>
                <w:szCs w:val="24"/>
              </w:rPr>
              <w:t>2025-26</w:t>
            </w:r>
          </w:p>
        </w:tc>
        <w:tc>
          <w:tcPr>
            <w:tcW w:w="1334" w:type="dxa"/>
          </w:tcPr>
          <w:p w:rsidR="003371D8" w:rsidRPr="002265C4" w:rsidRDefault="003371D8" w:rsidP="00A248A1">
            <w:pPr>
              <w:jc w:val="center"/>
              <w:rPr>
                <w:b/>
                <w:color w:val="000000" w:themeColor="text1"/>
                <w:sz w:val="24"/>
                <w:szCs w:val="24"/>
              </w:rPr>
            </w:pPr>
            <w:r w:rsidRPr="002265C4">
              <w:rPr>
                <w:b/>
                <w:color w:val="000000" w:themeColor="text1"/>
                <w:sz w:val="24"/>
                <w:szCs w:val="24"/>
              </w:rPr>
              <w:t>2026-27</w:t>
            </w:r>
          </w:p>
        </w:tc>
        <w:tc>
          <w:tcPr>
            <w:tcW w:w="1429" w:type="dxa"/>
          </w:tcPr>
          <w:p w:rsidR="003371D8" w:rsidRPr="002265C4" w:rsidRDefault="003371D8" w:rsidP="00A248A1">
            <w:pPr>
              <w:jc w:val="center"/>
              <w:rPr>
                <w:b/>
                <w:color w:val="000000" w:themeColor="text1"/>
                <w:sz w:val="24"/>
                <w:szCs w:val="24"/>
              </w:rPr>
            </w:pPr>
            <w:r w:rsidRPr="002265C4">
              <w:rPr>
                <w:b/>
                <w:color w:val="000000" w:themeColor="text1"/>
                <w:sz w:val="24"/>
                <w:szCs w:val="24"/>
              </w:rPr>
              <w:t>2027-28</w:t>
            </w:r>
          </w:p>
        </w:tc>
        <w:tc>
          <w:tcPr>
            <w:tcW w:w="1509" w:type="dxa"/>
          </w:tcPr>
          <w:p w:rsidR="003371D8" w:rsidRPr="002265C4" w:rsidRDefault="003371D8" w:rsidP="00A248A1">
            <w:pPr>
              <w:jc w:val="center"/>
              <w:rPr>
                <w:b/>
                <w:color w:val="000000" w:themeColor="text1"/>
                <w:sz w:val="24"/>
                <w:szCs w:val="24"/>
              </w:rPr>
            </w:pPr>
            <w:r>
              <w:rPr>
                <w:b/>
                <w:color w:val="000000" w:themeColor="text1"/>
                <w:sz w:val="24"/>
                <w:szCs w:val="24"/>
              </w:rPr>
              <w:t>Total</w:t>
            </w:r>
          </w:p>
        </w:tc>
      </w:tr>
      <w:tr w:rsidR="003371D8" w:rsidTr="001D731E">
        <w:tc>
          <w:tcPr>
            <w:tcW w:w="1514" w:type="dxa"/>
          </w:tcPr>
          <w:p w:rsidR="003371D8" w:rsidRDefault="003371D8" w:rsidP="00A248A1">
            <w:pPr>
              <w:rPr>
                <w:color w:val="000000" w:themeColor="text1"/>
                <w:sz w:val="24"/>
                <w:szCs w:val="24"/>
              </w:rPr>
            </w:pPr>
            <w:r>
              <w:rPr>
                <w:color w:val="000000" w:themeColor="text1"/>
                <w:sz w:val="24"/>
                <w:szCs w:val="24"/>
              </w:rPr>
              <w:t>Number of midwives</w:t>
            </w:r>
          </w:p>
        </w:tc>
        <w:tc>
          <w:tcPr>
            <w:tcW w:w="1094" w:type="dxa"/>
          </w:tcPr>
          <w:p w:rsidR="003371D8" w:rsidRDefault="003371D8" w:rsidP="003371D8">
            <w:pPr>
              <w:jc w:val="center"/>
              <w:rPr>
                <w:color w:val="000000" w:themeColor="text1"/>
                <w:sz w:val="24"/>
                <w:szCs w:val="24"/>
              </w:rPr>
            </w:pPr>
            <w:r>
              <w:rPr>
                <w:color w:val="000000" w:themeColor="text1"/>
                <w:sz w:val="24"/>
                <w:szCs w:val="24"/>
              </w:rPr>
              <w:t>38</w:t>
            </w:r>
          </w:p>
        </w:tc>
        <w:tc>
          <w:tcPr>
            <w:tcW w:w="1326" w:type="dxa"/>
            <w:shd w:val="clear" w:color="auto" w:fill="FFFFFF" w:themeFill="background1"/>
          </w:tcPr>
          <w:p w:rsidR="003371D8" w:rsidRDefault="003371D8" w:rsidP="003371D8">
            <w:pPr>
              <w:jc w:val="center"/>
              <w:rPr>
                <w:color w:val="000000" w:themeColor="text1"/>
                <w:sz w:val="24"/>
                <w:szCs w:val="24"/>
              </w:rPr>
            </w:pPr>
            <w:r>
              <w:rPr>
                <w:color w:val="000000" w:themeColor="text1"/>
                <w:sz w:val="24"/>
                <w:szCs w:val="24"/>
              </w:rPr>
              <w:t>46</w:t>
            </w:r>
          </w:p>
        </w:tc>
        <w:tc>
          <w:tcPr>
            <w:tcW w:w="1334" w:type="dxa"/>
            <w:shd w:val="clear" w:color="auto" w:fill="FFFFFF" w:themeFill="background1"/>
          </w:tcPr>
          <w:p w:rsidR="003371D8" w:rsidRDefault="003371D8" w:rsidP="003371D8">
            <w:pPr>
              <w:jc w:val="center"/>
              <w:rPr>
                <w:color w:val="000000" w:themeColor="text1"/>
                <w:sz w:val="24"/>
                <w:szCs w:val="24"/>
              </w:rPr>
            </w:pPr>
            <w:r>
              <w:rPr>
                <w:color w:val="000000" w:themeColor="text1"/>
                <w:sz w:val="24"/>
                <w:szCs w:val="24"/>
              </w:rPr>
              <w:t>52</w:t>
            </w:r>
          </w:p>
        </w:tc>
        <w:tc>
          <w:tcPr>
            <w:tcW w:w="1429" w:type="dxa"/>
            <w:shd w:val="clear" w:color="auto" w:fill="FFFFFF" w:themeFill="background1"/>
          </w:tcPr>
          <w:p w:rsidR="003371D8" w:rsidRDefault="003371D8" w:rsidP="003371D8">
            <w:pPr>
              <w:jc w:val="center"/>
              <w:rPr>
                <w:color w:val="000000" w:themeColor="text1"/>
                <w:sz w:val="24"/>
                <w:szCs w:val="24"/>
              </w:rPr>
            </w:pPr>
            <w:r>
              <w:rPr>
                <w:color w:val="000000" w:themeColor="text1"/>
                <w:sz w:val="24"/>
                <w:szCs w:val="24"/>
              </w:rPr>
              <w:t>60</w:t>
            </w:r>
          </w:p>
        </w:tc>
        <w:tc>
          <w:tcPr>
            <w:tcW w:w="1509" w:type="dxa"/>
            <w:shd w:val="clear" w:color="auto" w:fill="D9D9D9" w:themeFill="background1" w:themeFillShade="D9"/>
          </w:tcPr>
          <w:p w:rsidR="003371D8" w:rsidRDefault="003371D8" w:rsidP="003371D8">
            <w:pPr>
              <w:jc w:val="center"/>
              <w:rPr>
                <w:color w:val="000000" w:themeColor="text1"/>
                <w:sz w:val="24"/>
                <w:szCs w:val="24"/>
              </w:rPr>
            </w:pPr>
          </w:p>
        </w:tc>
      </w:tr>
      <w:tr w:rsidR="003371D8" w:rsidTr="00775698">
        <w:tc>
          <w:tcPr>
            <w:tcW w:w="1514" w:type="dxa"/>
            <w:shd w:val="clear" w:color="auto" w:fill="FFFFFF" w:themeFill="background1"/>
          </w:tcPr>
          <w:p w:rsidR="003371D8" w:rsidRDefault="003371D8" w:rsidP="00A248A1">
            <w:pPr>
              <w:rPr>
                <w:color w:val="000000" w:themeColor="text1"/>
                <w:sz w:val="24"/>
                <w:szCs w:val="24"/>
              </w:rPr>
            </w:pPr>
            <w:r>
              <w:rPr>
                <w:color w:val="000000" w:themeColor="text1"/>
                <w:sz w:val="24"/>
                <w:szCs w:val="24"/>
              </w:rPr>
              <w:t>Regulatory cost</w:t>
            </w:r>
          </w:p>
        </w:tc>
        <w:tc>
          <w:tcPr>
            <w:tcW w:w="1094" w:type="dxa"/>
            <w:shd w:val="clear" w:color="auto" w:fill="D9D9D9" w:themeFill="background1" w:themeFillShade="D9"/>
          </w:tcPr>
          <w:p w:rsidR="003371D8" w:rsidRDefault="003371D8" w:rsidP="00A248A1">
            <w:pPr>
              <w:rPr>
                <w:color w:val="000000" w:themeColor="text1"/>
                <w:sz w:val="24"/>
                <w:szCs w:val="24"/>
              </w:rPr>
            </w:pPr>
          </w:p>
        </w:tc>
        <w:tc>
          <w:tcPr>
            <w:tcW w:w="1326" w:type="dxa"/>
            <w:shd w:val="clear" w:color="auto" w:fill="FFFFFF" w:themeFill="background1"/>
          </w:tcPr>
          <w:p w:rsidR="003371D8" w:rsidRDefault="00775698" w:rsidP="00A248A1">
            <w:pPr>
              <w:rPr>
                <w:color w:val="000000" w:themeColor="text1"/>
                <w:sz w:val="24"/>
                <w:szCs w:val="24"/>
              </w:rPr>
            </w:pPr>
            <w:r>
              <w:rPr>
                <w:color w:val="000000" w:themeColor="text1"/>
                <w:sz w:val="24"/>
                <w:szCs w:val="24"/>
              </w:rPr>
              <w:t>+</w:t>
            </w:r>
            <w:r w:rsidR="003371D8">
              <w:rPr>
                <w:color w:val="000000" w:themeColor="text1"/>
                <w:sz w:val="24"/>
                <w:szCs w:val="24"/>
              </w:rPr>
              <w:t>$500,000</w:t>
            </w:r>
          </w:p>
        </w:tc>
        <w:tc>
          <w:tcPr>
            <w:tcW w:w="1334" w:type="dxa"/>
            <w:shd w:val="clear" w:color="auto" w:fill="FFFFFF" w:themeFill="background1"/>
          </w:tcPr>
          <w:p w:rsidR="003371D8" w:rsidRDefault="00775698" w:rsidP="003371D8">
            <w:pPr>
              <w:rPr>
                <w:color w:val="000000" w:themeColor="text1"/>
                <w:sz w:val="24"/>
                <w:szCs w:val="24"/>
              </w:rPr>
            </w:pPr>
            <w:r>
              <w:rPr>
                <w:color w:val="000000" w:themeColor="text1"/>
                <w:sz w:val="24"/>
                <w:szCs w:val="24"/>
              </w:rPr>
              <w:t>+</w:t>
            </w:r>
            <w:r w:rsidR="003371D8">
              <w:rPr>
                <w:color w:val="000000" w:themeColor="text1"/>
                <w:sz w:val="24"/>
                <w:szCs w:val="24"/>
              </w:rPr>
              <w:t>1,000,000</w:t>
            </w:r>
          </w:p>
        </w:tc>
        <w:tc>
          <w:tcPr>
            <w:tcW w:w="1429" w:type="dxa"/>
            <w:shd w:val="clear" w:color="auto" w:fill="FFFFFF" w:themeFill="background1"/>
          </w:tcPr>
          <w:p w:rsidR="003371D8" w:rsidRDefault="00775698" w:rsidP="00A248A1">
            <w:pPr>
              <w:rPr>
                <w:color w:val="000000" w:themeColor="text1"/>
                <w:sz w:val="24"/>
                <w:szCs w:val="24"/>
              </w:rPr>
            </w:pPr>
            <w:r>
              <w:rPr>
                <w:color w:val="000000" w:themeColor="text1"/>
                <w:sz w:val="24"/>
                <w:szCs w:val="24"/>
              </w:rPr>
              <w:t>+</w:t>
            </w:r>
            <w:r w:rsidR="003371D8">
              <w:rPr>
                <w:color w:val="000000" w:themeColor="text1"/>
                <w:sz w:val="24"/>
                <w:szCs w:val="24"/>
              </w:rPr>
              <w:t>$1,500,000</w:t>
            </w:r>
          </w:p>
        </w:tc>
        <w:tc>
          <w:tcPr>
            <w:tcW w:w="1509" w:type="dxa"/>
            <w:shd w:val="clear" w:color="auto" w:fill="FFFFFF" w:themeFill="background1"/>
          </w:tcPr>
          <w:p w:rsidR="003371D8" w:rsidRPr="00896549" w:rsidRDefault="00775698" w:rsidP="00A248A1">
            <w:pPr>
              <w:rPr>
                <w:b/>
                <w:color w:val="000000" w:themeColor="text1"/>
                <w:sz w:val="24"/>
                <w:szCs w:val="24"/>
              </w:rPr>
            </w:pPr>
            <w:r>
              <w:rPr>
                <w:b/>
                <w:color w:val="000000" w:themeColor="text1"/>
                <w:sz w:val="24"/>
                <w:szCs w:val="24"/>
              </w:rPr>
              <w:t>+</w:t>
            </w:r>
            <w:r w:rsidR="003371D8" w:rsidRPr="00896549">
              <w:rPr>
                <w:b/>
                <w:color w:val="000000" w:themeColor="text1"/>
                <w:sz w:val="24"/>
                <w:szCs w:val="24"/>
              </w:rPr>
              <w:t>$2,000,000</w:t>
            </w:r>
          </w:p>
        </w:tc>
      </w:tr>
    </w:tbl>
    <w:p w:rsidR="00156D91" w:rsidRDefault="00156D91" w:rsidP="00245489">
      <w:pPr>
        <w:rPr>
          <w:color w:val="2E74B5" w:themeColor="accent1" w:themeShade="BF"/>
          <w:sz w:val="32"/>
          <w:szCs w:val="32"/>
        </w:rPr>
      </w:pPr>
    </w:p>
    <w:p w:rsidR="00156D91" w:rsidRDefault="00156D91" w:rsidP="00245489">
      <w:pPr>
        <w:rPr>
          <w:color w:val="2E74B5" w:themeColor="accent1" w:themeShade="BF"/>
          <w:sz w:val="32"/>
          <w:szCs w:val="32"/>
        </w:rPr>
      </w:pPr>
    </w:p>
    <w:p w:rsidR="001D731E" w:rsidRPr="00382A16" w:rsidRDefault="001D731E" w:rsidP="00245489">
      <w:pPr>
        <w:rPr>
          <w:color w:val="2E74B5" w:themeColor="accent1" w:themeShade="BF"/>
          <w:sz w:val="32"/>
          <w:szCs w:val="32"/>
        </w:rPr>
      </w:pPr>
      <w:r w:rsidRPr="00382A16">
        <w:rPr>
          <w:color w:val="2E74B5" w:themeColor="accent1" w:themeShade="BF"/>
          <w:sz w:val="32"/>
          <w:szCs w:val="32"/>
        </w:rPr>
        <w:t xml:space="preserve">Option </w:t>
      </w:r>
      <w:r w:rsidR="00992370">
        <w:rPr>
          <w:color w:val="2E74B5" w:themeColor="accent1" w:themeShade="BF"/>
          <w:sz w:val="32"/>
          <w:szCs w:val="32"/>
        </w:rPr>
        <w:t>3</w:t>
      </w:r>
      <w:r w:rsidR="00094162">
        <w:rPr>
          <w:color w:val="2E74B5" w:themeColor="accent1" w:themeShade="BF"/>
          <w:sz w:val="32"/>
          <w:szCs w:val="32"/>
        </w:rPr>
        <w:t>(a</w:t>
      </w:r>
      <w:r>
        <w:rPr>
          <w:color w:val="2E74B5" w:themeColor="accent1" w:themeShade="BF"/>
          <w:sz w:val="32"/>
          <w:szCs w:val="32"/>
        </w:rPr>
        <w:t>)</w:t>
      </w:r>
    </w:p>
    <w:p w:rsidR="001D731E" w:rsidRDefault="001D731E" w:rsidP="001D731E">
      <w:pPr>
        <w:spacing w:after="120"/>
        <w:rPr>
          <w:rFonts w:eastAsia="Times New Roman"/>
          <w:color w:val="1F4E79"/>
          <w:sz w:val="28"/>
          <w:szCs w:val="28"/>
        </w:rPr>
      </w:pPr>
      <w:r w:rsidRPr="00382A16">
        <w:rPr>
          <w:rFonts w:eastAsia="Times New Roman"/>
          <w:color w:val="1F4E79"/>
          <w:sz w:val="28"/>
          <w:szCs w:val="28"/>
        </w:rPr>
        <w:t>Consumer impact</w:t>
      </w:r>
    </w:p>
    <w:p w:rsidR="004823E1" w:rsidRPr="00DB0302" w:rsidRDefault="004823E1" w:rsidP="004823E1">
      <w:pPr>
        <w:tabs>
          <w:tab w:val="left" w:pos="2127"/>
        </w:tabs>
        <w:ind w:left="567"/>
        <w:rPr>
          <w:rFonts w:cstheme="minorHAnsi"/>
          <w:sz w:val="24"/>
          <w:szCs w:val="24"/>
        </w:rPr>
      </w:pPr>
      <w:r w:rsidRPr="00DB0302">
        <w:rPr>
          <w:rFonts w:cstheme="minorHAnsi"/>
          <w:sz w:val="24"/>
          <w:szCs w:val="24"/>
        </w:rPr>
        <w:t xml:space="preserve">Under </w:t>
      </w:r>
      <w:r w:rsidR="00992370" w:rsidRPr="00DB0302">
        <w:rPr>
          <w:rFonts w:cstheme="minorHAnsi"/>
          <w:sz w:val="24"/>
          <w:szCs w:val="24"/>
        </w:rPr>
        <w:t>this option</w:t>
      </w:r>
      <w:r w:rsidRPr="00DB0302">
        <w:rPr>
          <w:rFonts w:cstheme="minorHAnsi"/>
          <w:sz w:val="24"/>
          <w:szCs w:val="24"/>
        </w:rPr>
        <w:t xml:space="preserve">, freedom of choice for women would be limited, particularly the opportunity to choose a model of </w:t>
      </w:r>
      <w:r w:rsidR="00245489" w:rsidRPr="00DB0302">
        <w:rPr>
          <w:rFonts w:cstheme="minorHAnsi"/>
          <w:sz w:val="24"/>
          <w:szCs w:val="24"/>
        </w:rPr>
        <w:t>birthing that meets their needs</w:t>
      </w:r>
      <w:r w:rsidRPr="00DB0302">
        <w:rPr>
          <w:rFonts w:cstheme="minorHAnsi"/>
          <w:sz w:val="24"/>
          <w:szCs w:val="24"/>
        </w:rPr>
        <w:t xml:space="preserve"> and to have continuity of care and carer.</w:t>
      </w:r>
    </w:p>
    <w:p w:rsidR="004823E1" w:rsidRPr="00DB0302" w:rsidRDefault="004823E1" w:rsidP="004823E1">
      <w:pPr>
        <w:tabs>
          <w:tab w:val="left" w:pos="2127"/>
        </w:tabs>
        <w:ind w:left="567"/>
        <w:rPr>
          <w:rFonts w:cstheme="minorHAnsi"/>
          <w:sz w:val="24"/>
          <w:szCs w:val="24"/>
        </w:rPr>
      </w:pPr>
      <w:r w:rsidRPr="00DB0302">
        <w:rPr>
          <w:rFonts w:cstheme="minorHAnsi"/>
          <w:sz w:val="24"/>
          <w:szCs w:val="24"/>
        </w:rPr>
        <w:t>There would be no service available at all for women in Queensland and Tasmania, where currently PPMs are the only providers of planned homebirth services.</w:t>
      </w:r>
    </w:p>
    <w:p w:rsidR="000B166B" w:rsidRPr="00DB0302" w:rsidRDefault="000B166B" w:rsidP="000B166B">
      <w:pPr>
        <w:tabs>
          <w:tab w:val="left" w:pos="2127"/>
        </w:tabs>
        <w:ind w:left="567"/>
        <w:rPr>
          <w:sz w:val="24"/>
          <w:szCs w:val="24"/>
        </w:rPr>
      </w:pPr>
      <w:r w:rsidRPr="00DB0302">
        <w:rPr>
          <w:sz w:val="24"/>
          <w:szCs w:val="24"/>
        </w:rPr>
        <w:t xml:space="preserve">First Nations women (or women pregnant with a First Nations baby) would </w:t>
      </w:r>
      <w:r w:rsidRPr="00DB0302">
        <w:rPr>
          <w:sz w:val="24"/>
          <w:szCs w:val="24"/>
          <w:u w:val="single"/>
        </w:rPr>
        <w:t>not</w:t>
      </w:r>
      <w:r w:rsidRPr="00DB0302">
        <w:rPr>
          <w:sz w:val="24"/>
          <w:szCs w:val="24"/>
        </w:rPr>
        <w:t xml:space="preserve"> have access to culturally safe, continuous midwifery care with an insured PPM in accord with BoC models of care. </w:t>
      </w:r>
      <w:r w:rsidR="00807CD6" w:rsidRPr="00DB0302">
        <w:rPr>
          <w:rFonts w:cstheme="minorHAnsi"/>
          <w:sz w:val="24"/>
          <w:szCs w:val="24"/>
        </w:rPr>
        <w:t>This could hamper efforts to achieve Closing the Gap Target 2 to increase the proportion of Aboriginal and Torres Strait Islander babies with a healthy birthweight to 91%, by 2031</w:t>
      </w:r>
      <w:r w:rsidR="00807CD6" w:rsidRPr="00DB0302">
        <w:rPr>
          <w:sz w:val="24"/>
          <w:szCs w:val="24"/>
        </w:rPr>
        <w:t xml:space="preserve"> and Target 12, by 2031, reduce the rate of over-representation of Aboriginal and Torres Strait Islander children in out-of-home care by 45 percent.</w:t>
      </w:r>
    </w:p>
    <w:p w:rsidR="000B166B" w:rsidRPr="00DB0302" w:rsidRDefault="000B166B" w:rsidP="000B166B">
      <w:pPr>
        <w:tabs>
          <w:tab w:val="left" w:pos="2127"/>
        </w:tabs>
        <w:ind w:left="567"/>
        <w:rPr>
          <w:rStyle w:val="pending"/>
          <w:rFonts w:cs="Arial"/>
          <w:sz w:val="24"/>
          <w:szCs w:val="24"/>
          <w:shd w:val="clear" w:color="auto" w:fill="FFFFFF"/>
        </w:rPr>
      </w:pPr>
      <w:r w:rsidRPr="00DB0302">
        <w:rPr>
          <w:rStyle w:val="pending"/>
          <w:rFonts w:cs="Arial"/>
          <w:sz w:val="24"/>
          <w:szCs w:val="24"/>
          <w:shd w:val="clear" w:color="auto" w:fill="FFFFFF"/>
        </w:rPr>
        <w:t xml:space="preserve">The likely increase in demand for public homebirth services could lead to longer waiting lists, potentially restricting access for some women. </w:t>
      </w:r>
    </w:p>
    <w:p w:rsidR="004823E1" w:rsidRPr="00DB0302" w:rsidRDefault="00D205BE" w:rsidP="004823E1">
      <w:pPr>
        <w:tabs>
          <w:tab w:val="left" w:pos="2127"/>
        </w:tabs>
        <w:ind w:left="567"/>
        <w:rPr>
          <w:rStyle w:val="pending"/>
          <w:rFonts w:cs="Arial"/>
          <w:sz w:val="24"/>
          <w:szCs w:val="24"/>
          <w:shd w:val="clear" w:color="auto" w:fill="FFFFFF"/>
        </w:rPr>
      </w:pPr>
      <w:r w:rsidRPr="00DB0302">
        <w:rPr>
          <w:rFonts w:cstheme="minorHAnsi"/>
          <w:sz w:val="24"/>
          <w:szCs w:val="24"/>
        </w:rPr>
        <w:t>Under this option</w:t>
      </w:r>
      <w:r w:rsidR="000B166B" w:rsidRPr="00DB0302">
        <w:rPr>
          <w:rFonts w:cstheme="minorHAnsi"/>
          <w:sz w:val="24"/>
          <w:szCs w:val="24"/>
        </w:rPr>
        <w:t xml:space="preserve"> w</w:t>
      </w:r>
      <w:r w:rsidR="004823E1" w:rsidRPr="00DB0302">
        <w:rPr>
          <w:rFonts w:cstheme="minorHAnsi"/>
          <w:sz w:val="24"/>
          <w:szCs w:val="24"/>
        </w:rPr>
        <w:t>omen using a midwife who is uninsured would have no recourse except civil action w</w:t>
      </w:r>
      <w:r w:rsidR="004823E1" w:rsidRPr="00DB0302">
        <w:rPr>
          <w:rStyle w:val="pending"/>
          <w:rFonts w:cs="Arial"/>
          <w:sz w:val="24"/>
          <w:szCs w:val="24"/>
          <w:shd w:val="clear" w:color="auto" w:fill="FFFFFF"/>
        </w:rPr>
        <w:t>here an adverse event occurs</w:t>
      </w:r>
      <w:r w:rsidR="00825CA7" w:rsidRPr="00DB0302">
        <w:rPr>
          <w:rStyle w:val="pending"/>
          <w:rFonts w:cs="Arial"/>
          <w:sz w:val="24"/>
          <w:szCs w:val="24"/>
          <w:shd w:val="clear" w:color="auto" w:fill="FFFFFF"/>
        </w:rPr>
        <w:t>.</w:t>
      </w:r>
    </w:p>
    <w:p w:rsidR="00823289" w:rsidRPr="00DB0302" w:rsidRDefault="00823289" w:rsidP="00823289">
      <w:pPr>
        <w:tabs>
          <w:tab w:val="left" w:pos="2127"/>
        </w:tabs>
        <w:spacing w:after="0"/>
        <w:ind w:left="567"/>
        <w:rPr>
          <w:rFonts w:cstheme="minorHAnsi"/>
          <w:i/>
          <w:sz w:val="24"/>
          <w:szCs w:val="24"/>
        </w:rPr>
      </w:pPr>
      <w:r w:rsidRPr="00DB0302">
        <w:rPr>
          <w:rFonts w:cstheme="minorHAnsi"/>
          <w:i/>
          <w:sz w:val="24"/>
          <w:szCs w:val="24"/>
        </w:rPr>
        <w:t>Expected increase in number of women wanting to access PPM homebirth services</w:t>
      </w:r>
    </w:p>
    <w:p w:rsidR="00D205BE" w:rsidRPr="00DB0302" w:rsidRDefault="00D205BE" w:rsidP="00D205BE">
      <w:pPr>
        <w:tabs>
          <w:tab w:val="left" w:pos="2127"/>
        </w:tabs>
        <w:ind w:left="567"/>
        <w:rPr>
          <w:rFonts w:cstheme="minorHAnsi"/>
          <w:sz w:val="24"/>
          <w:szCs w:val="24"/>
        </w:rPr>
      </w:pPr>
      <w:r w:rsidRPr="00DB0302">
        <w:rPr>
          <w:rFonts w:cstheme="minorHAnsi"/>
          <w:sz w:val="24"/>
          <w:szCs w:val="24"/>
        </w:rPr>
        <w:t>2,955 women birthed at home in 2022, up from 2,371 in 2021, an increase of 584 mothers. The regulatory burden this reform imposes on consumers will be based on the additional 584 mothers per year.</w:t>
      </w:r>
    </w:p>
    <w:p w:rsidR="00823289" w:rsidRPr="00DB0302" w:rsidRDefault="00C0184B" w:rsidP="00823289">
      <w:pPr>
        <w:shd w:val="clear" w:color="auto" w:fill="FFFFFF"/>
        <w:spacing w:after="0" w:line="345" w:lineRule="atLeast"/>
        <w:ind w:left="567"/>
        <w:rPr>
          <w:rFonts w:eastAsia="Times New Roman" w:cstheme="minorHAnsi"/>
          <w:i/>
          <w:sz w:val="24"/>
          <w:szCs w:val="24"/>
          <w:lang w:eastAsia="en-AU"/>
        </w:rPr>
      </w:pPr>
      <w:r w:rsidRPr="00DB0302">
        <w:rPr>
          <w:rFonts w:eastAsia="Times New Roman" w:cstheme="minorHAnsi"/>
          <w:i/>
          <w:sz w:val="24"/>
          <w:szCs w:val="24"/>
          <w:lang w:eastAsia="en-AU"/>
        </w:rPr>
        <w:t xml:space="preserve">Costs of delay in </w:t>
      </w:r>
      <w:r w:rsidR="00823289" w:rsidRPr="00DB0302">
        <w:rPr>
          <w:rFonts w:eastAsia="Times New Roman" w:cstheme="minorHAnsi"/>
          <w:i/>
          <w:sz w:val="24"/>
          <w:szCs w:val="24"/>
          <w:lang w:eastAsia="en-AU"/>
        </w:rPr>
        <w:t>service opportunity</w:t>
      </w:r>
    </w:p>
    <w:p w:rsidR="00823289" w:rsidRPr="00DB0302" w:rsidRDefault="00823289" w:rsidP="00823289">
      <w:pPr>
        <w:tabs>
          <w:tab w:val="left" w:pos="2127"/>
        </w:tabs>
        <w:ind w:left="567"/>
        <w:rPr>
          <w:rFonts w:cstheme="minorHAnsi"/>
          <w:sz w:val="24"/>
          <w:szCs w:val="24"/>
        </w:rPr>
      </w:pPr>
      <w:r w:rsidRPr="00DB0302">
        <w:rPr>
          <w:rFonts w:cstheme="minorHAnsi"/>
          <w:sz w:val="24"/>
          <w:szCs w:val="24"/>
        </w:rPr>
        <w:t>Due to the lack of data around women seeking homebirth services, it is difficult to quantify the regulatory burden incurred</w:t>
      </w:r>
      <w:r w:rsidR="00840A4E" w:rsidRPr="00DB0302">
        <w:rPr>
          <w:rFonts w:cstheme="minorHAnsi"/>
          <w:sz w:val="24"/>
          <w:szCs w:val="24"/>
        </w:rPr>
        <w:t>.</w:t>
      </w:r>
      <w:r w:rsidRPr="00DB0302">
        <w:rPr>
          <w:rFonts w:cstheme="minorHAnsi"/>
          <w:sz w:val="24"/>
          <w:szCs w:val="24"/>
        </w:rPr>
        <w:t xml:space="preserve"> An arbitrary figure of one hour per day over </w:t>
      </w:r>
      <w:r w:rsidR="00C0184B" w:rsidRPr="00DB0302">
        <w:rPr>
          <w:rFonts w:cstheme="minorHAnsi"/>
          <w:sz w:val="24"/>
          <w:szCs w:val="24"/>
        </w:rPr>
        <w:t>9 months</w:t>
      </w:r>
      <w:r w:rsidRPr="00DB0302">
        <w:rPr>
          <w:rFonts w:cstheme="minorHAnsi"/>
          <w:sz w:val="24"/>
          <w:szCs w:val="24"/>
        </w:rPr>
        <w:t xml:space="preserve"> (</w:t>
      </w:r>
      <w:r w:rsidR="00C0184B" w:rsidRPr="00DB0302">
        <w:rPr>
          <w:rFonts w:cstheme="minorHAnsi"/>
          <w:sz w:val="24"/>
          <w:szCs w:val="24"/>
        </w:rPr>
        <w:t>40</w:t>
      </w:r>
      <w:r w:rsidRPr="00DB0302">
        <w:rPr>
          <w:rFonts w:cstheme="minorHAnsi"/>
          <w:sz w:val="24"/>
          <w:szCs w:val="24"/>
        </w:rPr>
        <w:t xml:space="preserve"> hours) has been nominated.</w:t>
      </w:r>
    </w:p>
    <w:p w:rsidR="00823289" w:rsidRPr="00DB0302" w:rsidRDefault="00823289" w:rsidP="00D205BE">
      <w:pPr>
        <w:tabs>
          <w:tab w:val="left" w:pos="2127"/>
        </w:tabs>
        <w:ind w:left="567"/>
        <w:rPr>
          <w:rFonts w:cstheme="minorHAnsi"/>
          <w:sz w:val="24"/>
          <w:szCs w:val="24"/>
        </w:rPr>
      </w:pPr>
      <w:r w:rsidRPr="00DB0302">
        <w:rPr>
          <w:rFonts w:cstheme="minorHAnsi"/>
          <w:sz w:val="24"/>
          <w:szCs w:val="24"/>
        </w:rPr>
        <w:t>The total time impact is converted to a consumer cost per year using a consumer time value of $37/hr.</w:t>
      </w:r>
      <w:r w:rsidRPr="00DB0302">
        <w:rPr>
          <w:rFonts w:cstheme="minorHAnsi"/>
          <w:sz w:val="24"/>
          <w:szCs w:val="24"/>
          <w:vertAlign w:val="superscript"/>
        </w:rPr>
        <w:footnoteReference w:id="29"/>
      </w:r>
      <w:r w:rsidRPr="00DB0302">
        <w:rPr>
          <w:rFonts w:cstheme="minorHAnsi"/>
          <w:sz w:val="24"/>
          <w:szCs w:val="24"/>
          <w:vertAlign w:val="superscript"/>
        </w:rPr>
        <w:t xml:space="preserve"> </w:t>
      </w:r>
      <w:r w:rsidRPr="00DB0302">
        <w:rPr>
          <w:rFonts w:cstheme="minorHAnsi"/>
          <w:sz w:val="24"/>
          <w:szCs w:val="24"/>
        </w:rPr>
        <w:t xml:space="preserve"> The delay cost per mother is calculated at </w:t>
      </w:r>
      <w:r w:rsidR="00C0184B" w:rsidRPr="00DB0302">
        <w:rPr>
          <w:rFonts w:cstheme="minorHAnsi"/>
          <w:sz w:val="24"/>
          <w:szCs w:val="24"/>
        </w:rPr>
        <w:t>40</w:t>
      </w:r>
      <w:r w:rsidRPr="00DB0302">
        <w:rPr>
          <w:rFonts w:cstheme="minorHAnsi"/>
          <w:sz w:val="24"/>
          <w:szCs w:val="24"/>
        </w:rPr>
        <w:t xml:space="preserve"> hours x $37 = $1,</w:t>
      </w:r>
      <w:r w:rsidR="00C0184B" w:rsidRPr="00DB0302">
        <w:rPr>
          <w:rFonts w:cstheme="minorHAnsi"/>
          <w:sz w:val="24"/>
          <w:szCs w:val="24"/>
        </w:rPr>
        <w:t>480</w:t>
      </w:r>
      <w:r w:rsidRPr="00DB0302">
        <w:rPr>
          <w:rFonts w:cstheme="minorHAnsi"/>
          <w:sz w:val="24"/>
          <w:szCs w:val="24"/>
        </w:rPr>
        <w:t>.</w:t>
      </w:r>
    </w:p>
    <w:p w:rsidR="0092516E" w:rsidRPr="00D205BE" w:rsidRDefault="0092516E" w:rsidP="00D205BE">
      <w:pPr>
        <w:tabs>
          <w:tab w:val="left" w:pos="2127"/>
        </w:tabs>
        <w:ind w:left="567"/>
        <w:rPr>
          <w:rFonts w:cstheme="minorHAnsi"/>
          <w:sz w:val="24"/>
          <w:szCs w:val="24"/>
        </w:rPr>
      </w:pPr>
    </w:p>
    <w:p w:rsidR="00C0184B" w:rsidRPr="00A429DF" w:rsidRDefault="00C0184B" w:rsidP="00C0184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720"/>
        <w:rPr>
          <w:sz w:val="24"/>
          <w:szCs w:val="24"/>
        </w:rPr>
      </w:pPr>
      <w:r>
        <w:rPr>
          <w:sz w:val="24"/>
          <w:szCs w:val="24"/>
        </w:rPr>
        <w:t>Consumer cost = (No.</w:t>
      </w:r>
      <w:r w:rsidRPr="00A429DF">
        <w:rPr>
          <w:sz w:val="24"/>
          <w:szCs w:val="24"/>
        </w:rPr>
        <w:t xml:space="preserve"> ‘women </w:t>
      </w:r>
      <w:r>
        <w:rPr>
          <w:sz w:val="24"/>
          <w:szCs w:val="24"/>
        </w:rPr>
        <w:t>seeking</w:t>
      </w:r>
      <w:r w:rsidRPr="00A429DF">
        <w:rPr>
          <w:sz w:val="24"/>
          <w:szCs w:val="24"/>
        </w:rPr>
        <w:t xml:space="preserve"> homebirth services) x (time impact [delay])</w:t>
      </w:r>
    </w:p>
    <w:p w:rsidR="00C0184B" w:rsidRPr="00A429DF" w:rsidRDefault="00C0184B" w:rsidP="00C0184B">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sz w:val="24"/>
          <w:szCs w:val="24"/>
        </w:rPr>
      </w:pPr>
      <w:r>
        <w:rPr>
          <w:b/>
          <w:sz w:val="24"/>
          <w:szCs w:val="24"/>
        </w:rPr>
        <w:t>$</w:t>
      </w:r>
      <w:r w:rsidR="00D205BE">
        <w:rPr>
          <w:b/>
          <w:sz w:val="24"/>
          <w:szCs w:val="24"/>
        </w:rPr>
        <w:t>864,320</w:t>
      </w:r>
      <w:r w:rsidRPr="00A429DF">
        <w:rPr>
          <w:sz w:val="24"/>
          <w:szCs w:val="24"/>
        </w:rPr>
        <w:t xml:space="preserve"> = </w:t>
      </w:r>
      <w:r w:rsidRPr="00A429DF">
        <w:rPr>
          <w:sz w:val="24"/>
          <w:szCs w:val="24"/>
        </w:rPr>
        <w:tab/>
      </w:r>
      <w:r>
        <w:rPr>
          <w:sz w:val="24"/>
          <w:szCs w:val="24"/>
        </w:rPr>
        <w:tab/>
      </w:r>
      <w:r>
        <w:rPr>
          <w:sz w:val="24"/>
          <w:szCs w:val="24"/>
        </w:rPr>
        <w:tab/>
      </w:r>
      <w:r w:rsidR="00D205BE">
        <w:rPr>
          <w:sz w:val="24"/>
          <w:szCs w:val="24"/>
        </w:rPr>
        <w:t>584</w:t>
      </w:r>
      <w:r w:rsidRPr="00A429DF">
        <w:rPr>
          <w:sz w:val="24"/>
          <w:szCs w:val="24"/>
        </w:rPr>
        <w:t xml:space="preserve"> mothers x </w:t>
      </w:r>
      <w:r w:rsidRPr="00A429DF">
        <w:rPr>
          <w:sz w:val="24"/>
          <w:szCs w:val="24"/>
        </w:rPr>
        <w:tab/>
      </w:r>
      <w:r w:rsidRPr="00A429DF">
        <w:rPr>
          <w:sz w:val="24"/>
          <w:szCs w:val="24"/>
        </w:rPr>
        <w:tab/>
      </w:r>
      <w:r w:rsidRPr="00A429DF">
        <w:rPr>
          <w:sz w:val="24"/>
          <w:szCs w:val="24"/>
        </w:rPr>
        <w:tab/>
        <w:t>$</w:t>
      </w:r>
      <w:r>
        <w:rPr>
          <w:sz w:val="24"/>
          <w:szCs w:val="24"/>
        </w:rPr>
        <w:t>1,480</w:t>
      </w:r>
    </w:p>
    <w:p w:rsidR="00823289" w:rsidRPr="00245489" w:rsidRDefault="00823289" w:rsidP="00C0184B">
      <w:pPr>
        <w:tabs>
          <w:tab w:val="left" w:pos="2127"/>
        </w:tabs>
        <w:spacing w:after="0"/>
        <w:ind w:left="567"/>
        <w:rPr>
          <w:rFonts w:cstheme="minorHAnsi"/>
          <w:sz w:val="24"/>
          <w:szCs w:val="24"/>
        </w:rPr>
      </w:pPr>
    </w:p>
    <w:p w:rsidR="001D731E" w:rsidRDefault="001D731E" w:rsidP="001D731E">
      <w:pPr>
        <w:rPr>
          <w:color w:val="1F4E79"/>
          <w:sz w:val="28"/>
          <w:szCs w:val="28"/>
        </w:rPr>
      </w:pPr>
      <w:r w:rsidRPr="00382A16">
        <w:rPr>
          <w:color w:val="1F4E79"/>
          <w:sz w:val="28"/>
          <w:szCs w:val="28"/>
        </w:rPr>
        <w:t>PPM impact</w:t>
      </w:r>
    </w:p>
    <w:p w:rsidR="00825CA7" w:rsidRPr="00DB0302" w:rsidRDefault="00D205BE" w:rsidP="00825CA7">
      <w:pPr>
        <w:tabs>
          <w:tab w:val="left" w:pos="2127"/>
        </w:tabs>
        <w:ind w:left="567"/>
        <w:rPr>
          <w:rFonts w:cstheme="minorHAnsi"/>
          <w:sz w:val="24"/>
          <w:szCs w:val="24"/>
        </w:rPr>
      </w:pPr>
      <w:r w:rsidRPr="00DB0302">
        <w:rPr>
          <w:rStyle w:val="pending"/>
          <w:rFonts w:cs="Arial"/>
          <w:sz w:val="24"/>
          <w:szCs w:val="24"/>
          <w:shd w:val="clear" w:color="auto" w:fill="FFFFFF"/>
        </w:rPr>
        <w:t>Under this option</w:t>
      </w:r>
      <w:r w:rsidR="00825CA7" w:rsidRPr="00DB0302">
        <w:rPr>
          <w:rStyle w:val="pending"/>
          <w:rFonts w:cs="Arial"/>
          <w:sz w:val="24"/>
          <w:szCs w:val="24"/>
          <w:shd w:val="clear" w:color="auto" w:fill="FFFFFF"/>
        </w:rPr>
        <w:t xml:space="preserve"> r</w:t>
      </w:r>
      <w:r w:rsidR="00825CA7" w:rsidRPr="00DB0302">
        <w:rPr>
          <w:rFonts w:cstheme="minorHAnsi"/>
          <w:sz w:val="24"/>
          <w:szCs w:val="24"/>
        </w:rPr>
        <w:t xml:space="preserve">emoval of the exemption will </w:t>
      </w:r>
      <w:r w:rsidR="000B166B" w:rsidRPr="00DB0302">
        <w:rPr>
          <w:rFonts w:cstheme="minorHAnsi"/>
          <w:sz w:val="24"/>
          <w:szCs w:val="24"/>
        </w:rPr>
        <w:t xml:space="preserve">make it unlawful </w:t>
      </w:r>
      <w:r w:rsidR="00825CA7" w:rsidRPr="00DB0302">
        <w:rPr>
          <w:rFonts w:cstheme="minorHAnsi"/>
          <w:sz w:val="24"/>
          <w:szCs w:val="24"/>
        </w:rPr>
        <w:t>for midwives to offer homebirths or intrapartum care outside hospital without insurance cover.</w:t>
      </w:r>
    </w:p>
    <w:p w:rsidR="00825CA7" w:rsidRPr="00DB0302" w:rsidRDefault="0092516E" w:rsidP="00825CA7">
      <w:pPr>
        <w:tabs>
          <w:tab w:val="left" w:pos="2127"/>
        </w:tabs>
        <w:ind w:left="567"/>
        <w:rPr>
          <w:rStyle w:val="pending"/>
          <w:rFonts w:cs="Arial"/>
          <w:sz w:val="24"/>
          <w:szCs w:val="24"/>
          <w:shd w:val="clear" w:color="auto" w:fill="FFFFFF"/>
        </w:rPr>
      </w:pPr>
      <w:r w:rsidRPr="00DB0302">
        <w:rPr>
          <w:rFonts w:cstheme="minorHAnsi"/>
          <w:sz w:val="24"/>
          <w:szCs w:val="24"/>
        </w:rPr>
        <w:t>Midwives could continue to provide these services uninsured as long as the National Law is extended. However, a</w:t>
      </w:r>
      <w:r w:rsidR="00825CA7" w:rsidRPr="00DB0302">
        <w:rPr>
          <w:rStyle w:val="pending"/>
          <w:rFonts w:cs="Arial"/>
          <w:sz w:val="24"/>
          <w:szCs w:val="24"/>
          <w:shd w:val="clear" w:color="auto" w:fill="FFFFFF"/>
        </w:rPr>
        <w:t xml:space="preserve"> lack of professional indemnity insurance puts midwives at risk of acting outside their registration standards if they choose to provide homebirth services. Where an adverse event occurs, a midwife would have no protection from civil litigation.</w:t>
      </w:r>
    </w:p>
    <w:p w:rsidR="00026B20" w:rsidRPr="00DB0302" w:rsidRDefault="00026B20" w:rsidP="00026B20">
      <w:pPr>
        <w:tabs>
          <w:tab w:val="left" w:pos="2127"/>
        </w:tabs>
        <w:ind w:left="567"/>
        <w:rPr>
          <w:sz w:val="24"/>
          <w:szCs w:val="24"/>
        </w:rPr>
      </w:pPr>
      <w:r w:rsidRPr="00DB0302">
        <w:rPr>
          <w:rFonts w:cstheme="minorHAnsi"/>
          <w:sz w:val="24"/>
          <w:szCs w:val="24"/>
        </w:rPr>
        <w:t xml:space="preserve">ACCHOs providing services under BoC models of care have informed the Department that these services have would need to cease unless Option </w:t>
      </w:r>
      <w:r w:rsidR="0092516E" w:rsidRPr="00DB0302">
        <w:rPr>
          <w:rFonts w:cstheme="minorHAnsi"/>
          <w:sz w:val="24"/>
          <w:szCs w:val="24"/>
        </w:rPr>
        <w:t>2</w:t>
      </w:r>
      <w:r w:rsidRPr="00DB0302">
        <w:rPr>
          <w:rFonts w:cstheme="minorHAnsi"/>
          <w:sz w:val="24"/>
          <w:szCs w:val="24"/>
        </w:rPr>
        <w:t xml:space="preserve"> was implemented. </w:t>
      </w:r>
      <w:r w:rsidRPr="00DB0302">
        <w:rPr>
          <w:sz w:val="24"/>
          <w:szCs w:val="24"/>
        </w:rPr>
        <w:t>This could see 47 midwives currently employed (or contracted to) ACCHOS under BoC models of care without a job.</w:t>
      </w:r>
    </w:p>
    <w:p w:rsidR="00026B20" w:rsidRPr="00DB0302" w:rsidRDefault="00B478F6" w:rsidP="00026B20">
      <w:pPr>
        <w:shd w:val="clear" w:color="auto" w:fill="FFFFFF"/>
        <w:spacing w:after="0" w:line="345" w:lineRule="atLeast"/>
        <w:ind w:left="567"/>
        <w:rPr>
          <w:rFonts w:eastAsia="Times New Roman" w:cstheme="minorHAnsi"/>
          <w:i/>
          <w:sz w:val="24"/>
          <w:szCs w:val="24"/>
          <w:lang w:eastAsia="en-AU"/>
        </w:rPr>
      </w:pPr>
      <w:r w:rsidRPr="00DB0302">
        <w:rPr>
          <w:rFonts w:eastAsia="Times New Roman" w:cstheme="minorHAnsi"/>
          <w:i/>
          <w:sz w:val="24"/>
          <w:szCs w:val="24"/>
          <w:lang w:eastAsia="en-AU"/>
        </w:rPr>
        <w:t>L</w:t>
      </w:r>
      <w:r w:rsidR="00026B20" w:rsidRPr="00DB0302">
        <w:rPr>
          <w:rFonts w:eastAsia="Times New Roman" w:cstheme="minorHAnsi"/>
          <w:i/>
          <w:sz w:val="24"/>
          <w:szCs w:val="24"/>
          <w:lang w:eastAsia="en-AU"/>
        </w:rPr>
        <w:t>oss of income incurred through loss of employment</w:t>
      </w:r>
    </w:p>
    <w:p w:rsidR="009C1A7C" w:rsidRPr="00DB0302" w:rsidRDefault="009C1A7C" w:rsidP="00823289">
      <w:pPr>
        <w:tabs>
          <w:tab w:val="left" w:pos="2127"/>
        </w:tabs>
        <w:spacing w:after="240"/>
        <w:ind w:left="567"/>
        <w:rPr>
          <w:sz w:val="24"/>
          <w:szCs w:val="24"/>
        </w:rPr>
      </w:pPr>
      <w:r w:rsidRPr="00DB0302">
        <w:rPr>
          <w:sz w:val="24"/>
          <w:szCs w:val="24"/>
        </w:rPr>
        <w:t xml:space="preserve">The average based salary for a midwife in Australia is $42.21 per hour or </w:t>
      </w:r>
      <w:r w:rsidR="0088387B" w:rsidRPr="00DB0302">
        <w:rPr>
          <w:sz w:val="24"/>
          <w:szCs w:val="24"/>
        </w:rPr>
        <w:t>$55,093 per year</w:t>
      </w:r>
      <w:r w:rsidRPr="00DB0302">
        <w:rPr>
          <w:sz w:val="24"/>
          <w:szCs w:val="24"/>
        </w:rPr>
        <w:t>. PPMs typically work 25.1 hours per week</w:t>
      </w:r>
      <w:r w:rsidRPr="00DB0302">
        <w:rPr>
          <w:rStyle w:val="FootnoteReference"/>
          <w:sz w:val="24"/>
          <w:szCs w:val="24"/>
        </w:rPr>
        <w:footnoteReference w:id="30"/>
      </w:r>
      <w:r w:rsidRPr="00DB0302">
        <w:rPr>
          <w:sz w:val="24"/>
          <w:szCs w:val="24"/>
        </w:rPr>
        <w:t xml:space="preserve"> or 1,305.2 hours per year.</w:t>
      </w:r>
    </w:p>
    <w:p w:rsidR="009C1A7C" w:rsidRPr="003773EA" w:rsidRDefault="009C1A7C" w:rsidP="00A70CD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567"/>
        <w:rPr>
          <w:color w:val="000000" w:themeColor="text1"/>
          <w:sz w:val="24"/>
          <w:szCs w:val="24"/>
        </w:rPr>
      </w:pPr>
      <w:r>
        <w:rPr>
          <w:color w:val="000000" w:themeColor="text1"/>
          <w:sz w:val="24"/>
          <w:szCs w:val="24"/>
        </w:rPr>
        <w:t>PPM loss of income</w:t>
      </w:r>
      <w:r w:rsidRPr="003773EA">
        <w:rPr>
          <w:color w:val="000000" w:themeColor="text1"/>
          <w:sz w:val="24"/>
          <w:szCs w:val="24"/>
        </w:rPr>
        <w:t xml:space="preserve"> = (Time required × Labour cost) × (Number of staff)</w:t>
      </w:r>
    </w:p>
    <w:p w:rsidR="009C1A7C" w:rsidRDefault="00B478F6" w:rsidP="00A70CD4">
      <w:pPr>
        <w:pBdr>
          <w:top w:val="single" w:sz="4" w:space="1" w:color="auto"/>
          <w:left w:val="single" w:sz="4" w:space="4" w:color="auto"/>
          <w:bottom w:val="single" w:sz="4" w:space="1" w:color="auto"/>
          <w:right w:val="single" w:sz="4" w:space="4" w:color="auto"/>
        </w:pBdr>
        <w:shd w:val="clear" w:color="auto" w:fill="F2F2F2" w:themeFill="background1" w:themeFillShade="F2"/>
        <w:ind w:left="567"/>
        <w:rPr>
          <w:sz w:val="24"/>
          <w:szCs w:val="24"/>
        </w:rPr>
      </w:pPr>
      <w:r w:rsidRPr="00B478F6">
        <w:rPr>
          <w:b/>
          <w:sz w:val="24"/>
          <w:szCs w:val="24"/>
        </w:rPr>
        <w:t>$2,</w:t>
      </w:r>
      <w:r w:rsidR="005C1E5E">
        <w:rPr>
          <w:b/>
          <w:sz w:val="24"/>
          <w:szCs w:val="24"/>
        </w:rPr>
        <w:t>589,347</w:t>
      </w:r>
      <w:r>
        <w:rPr>
          <w:sz w:val="24"/>
          <w:szCs w:val="24"/>
        </w:rPr>
        <w:t xml:space="preserve"> </w:t>
      </w:r>
      <w:r w:rsidR="009C1A7C" w:rsidRPr="00621423">
        <w:rPr>
          <w:sz w:val="24"/>
          <w:szCs w:val="24"/>
        </w:rPr>
        <w:t xml:space="preserve">= </w:t>
      </w:r>
      <w:r w:rsidR="005C1E5E">
        <w:rPr>
          <w:sz w:val="24"/>
          <w:szCs w:val="24"/>
        </w:rPr>
        <w:tab/>
      </w:r>
      <w:r w:rsidR="005C1E5E">
        <w:rPr>
          <w:sz w:val="24"/>
          <w:szCs w:val="24"/>
        </w:rPr>
        <w:tab/>
      </w:r>
      <w:r w:rsidR="009C1A7C">
        <w:rPr>
          <w:sz w:val="24"/>
          <w:szCs w:val="24"/>
        </w:rPr>
        <w:t>(</w:t>
      </w:r>
      <w:r>
        <w:rPr>
          <w:sz w:val="24"/>
          <w:szCs w:val="24"/>
        </w:rPr>
        <w:t>1,305.2</w:t>
      </w:r>
      <w:r w:rsidR="009C1A7C">
        <w:rPr>
          <w:sz w:val="24"/>
          <w:szCs w:val="24"/>
        </w:rPr>
        <w:t xml:space="preserve"> hours x $</w:t>
      </w:r>
      <w:r>
        <w:rPr>
          <w:sz w:val="24"/>
          <w:szCs w:val="24"/>
        </w:rPr>
        <w:t xml:space="preserve">42.21) x </w:t>
      </w:r>
      <w:r>
        <w:rPr>
          <w:sz w:val="24"/>
          <w:szCs w:val="24"/>
        </w:rPr>
        <w:tab/>
      </w:r>
      <w:r w:rsidR="005C1E5E">
        <w:rPr>
          <w:sz w:val="24"/>
          <w:szCs w:val="24"/>
        </w:rPr>
        <w:tab/>
      </w:r>
      <w:r>
        <w:rPr>
          <w:sz w:val="24"/>
          <w:szCs w:val="24"/>
        </w:rPr>
        <w:t>47</w:t>
      </w:r>
    </w:p>
    <w:p w:rsidR="00B478F6" w:rsidRPr="00245489" w:rsidRDefault="00B478F6" w:rsidP="00B478F6">
      <w:pPr>
        <w:spacing w:after="0"/>
        <w:rPr>
          <w:sz w:val="24"/>
          <w:szCs w:val="24"/>
        </w:rPr>
      </w:pPr>
    </w:p>
    <w:p w:rsidR="001D731E" w:rsidRDefault="001D731E" w:rsidP="001D731E">
      <w:pPr>
        <w:rPr>
          <w:color w:val="1F4E79"/>
          <w:sz w:val="28"/>
          <w:szCs w:val="28"/>
        </w:rPr>
      </w:pPr>
      <w:r w:rsidRPr="00382A16">
        <w:rPr>
          <w:color w:val="1F4E79"/>
          <w:sz w:val="28"/>
          <w:szCs w:val="28"/>
        </w:rPr>
        <w:t>Industry impact</w:t>
      </w:r>
    </w:p>
    <w:p w:rsidR="00E80410" w:rsidRDefault="00E80410" w:rsidP="00E80410">
      <w:pPr>
        <w:tabs>
          <w:tab w:val="left" w:pos="2127"/>
        </w:tabs>
        <w:ind w:left="567"/>
        <w:rPr>
          <w:rFonts w:cstheme="minorHAnsi"/>
          <w:sz w:val="24"/>
          <w:szCs w:val="24"/>
        </w:rPr>
      </w:pPr>
      <w:r>
        <w:rPr>
          <w:rFonts w:cstheme="minorHAnsi"/>
          <w:sz w:val="24"/>
          <w:szCs w:val="24"/>
        </w:rPr>
        <w:t>To date, n</w:t>
      </w:r>
      <w:r w:rsidRPr="005C7436">
        <w:rPr>
          <w:rFonts w:cstheme="minorHAnsi"/>
          <w:sz w:val="24"/>
          <w:szCs w:val="24"/>
        </w:rPr>
        <w:t xml:space="preserve">o insurer has indicated a willingness to provide the relevant PII cover </w:t>
      </w:r>
      <w:r>
        <w:rPr>
          <w:rFonts w:cstheme="minorHAnsi"/>
          <w:sz w:val="24"/>
          <w:szCs w:val="24"/>
        </w:rPr>
        <w:t xml:space="preserve">for low risk homebirth or intrapartum care outside a hospital </w:t>
      </w:r>
      <w:r w:rsidRPr="005C7436">
        <w:rPr>
          <w:rFonts w:cstheme="minorHAnsi"/>
          <w:sz w:val="24"/>
          <w:szCs w:val="24"/>
        </w:rPr>
        <w:t xml:space="preserve">under existing Government supports </w:t>
      </w:r>
      <w:r>
        <w:rPr>
          <w:rFonts w:cstheme="minorHAnsi"/>
          <w:sz w:val="24"/>
          <w:szCs w:val="24"/>
        </w:rPr>
        <w:t>for the Midwife Schemes.</w:t>
      </w:r>
      <w:r w:rsidR="00A02D40">
        <w:rPr>
          <w:rFonts w:cstheme="minorHAnsi"/>
          <w:sz w:val="24"/>
          <w:szCs w:val="24"/>
        </w:rPr>
        <w:t xml:space="preserve"> Under </w:t>
      </w:r>
      <w:r w:rsidR="00807CD6">
        <w:rPr>
          <w:rFonts w:cstheme="minorHAnsi"/>
          <w:sz w:val="24"/>
          <w:szCs w:val="24"/>
        </w:rPr>
        <w:t>these options, there would be no regulatory impact on the insurer.</w:t>
      </w:r>
    </w:p>
    <w:p w:rsidR="0070788A" w:rsidRDefault="0070788A" w:rsidP="00E80410">
      <w:pPr>
        <w:tabs>
          <w:tab w:val="left" w:pos="2127"/>
        </w:tabs>
        <w:ind w:left="567"/>
        <w:rPr>
          <w:rFonts w:cstheme="minorHAnsi"/>
          <w:sz w:val="24"/>
          <w:szCs w:val="24"/>
        </w:rPr>
      </w:pPr>
    </w:p>
    <w:p w:rsidR="0070788A" w:rsidRDefault="0070788A" w:rsidP="00E80410">
      <w:pPr>
        <w:tabs>
          <w:tab w:val="left" w:pos="2127"/>
        </w:tabs>
        <w:ind w:left="567"/>
        <w:rPr>
          <w:rFonts w:cstheme="minorHAnsi"/>
          <w:sz w:val="24"/>
          <w:szCs w:val="24"/>
        </w:rPr>
      </w:pPr>
    </w:p>
    <w:p w:rsidR="0070788A" w:rsidRPr="00382A16" w:rsidRDefault="0070788A" w:rsidP="00E80410">
      <w:pPr>
        <w:tabs>
          <w:tab w:val="left" w:pos="2127"/>
        </w:tabs>
        <w:ind w:left="567"/>
        <w:rPr>
          <w:color w:val="1F4E79"/>
          <w:sz w:val="28"/>
          <w:szCs w:val="28"/>
        </w:rPr>
      </w:pPr>
    </w:p>
    <w:p w:rsidR="001D731E" w:rsidRDefault="001D731E" w:rsidP="001D731E">
      <w:pPr>
        <w:rPr>
          <w:color w:val="1F4E79"/>
          <w:sz w:val="28"/>
          <w:szCs w:val="28"/>
        </w:rPr>
      </w:pPr>
      <w:r w:rsidRPr="00382A16">
        <w:rPr>
          <w:color w:val="1F4E79"/>
          <w:sz w:val="28"/>
          <w:szCs w:val="28"/>
        </w:rPr>
        <w:t>Regulator impact</w:t>
      </w:r>
    </w:p>
    <w:p w:rsidR="002C0BC9" w:rsidRPr="00DD1B3D" w:rsidRDefault="002C0BC9" w:rsidP="002C0BC9">
      <w:pPr>
        <w:ind w:left="720"/>
        <w:rPr>
          <w:color w:val="000000" w:themeColor="text1"/>
          <w:sz w:val="24"/>
          <w:szCs w:val="24"/>
        </w:rPr>
      </w:pPr>
      <w:r w:rsidRPr="00DD1B3D">
        <w:rPr>
          <w:color w:val="000000" w:themeColor="text1"/>
          <w:sz w:val="24"/>
          <w:szCs w:val="24"/>
        </w:rPr>
        <w:t xml:space="preserve">The </w:t>
      </w:r>
      <w:r>
        <w:rPr>
          <w:color w:val="000000" w:themeColor="text1"/>
          <w:sz w:val="24"/>
          <w:szCs w:val="24"/>
        </w:rPr>
        <w:t xml:space="preserve">core functions of the </w:t>
      </w:r>
      <w:r w:rsidRPr="00DD1B3D">
        <w:rPr>
          <w:color w:val="000000" w:themeColor="text1"/>
          <w:sz w:val="24"/>
          <w:szCs w:val="24"/>
        </w:rPr>
        <w:t xml:space="preserve">NMBA/Ahpra </w:t>
      </w:r>
      <w:r>
        <w:rPr>
          <w:color w:val="000000" w:themeColor="text1"/>
          <w:sz w:val="24"/>
          <w:szCs w:val="24"/>
        </w:rPr>
        <w:t xml:space="preserve">is the regulation of PPM </w:t>
      </w:r>
      <w:r w:rsidRPr="00DD1B3D">
        <w:rPr>
          <w:color w:val="000000" w:themeColor="text1"/>
          <w:sz w:val="24"/>
          <w:szCs w:val="24"/>
        </w:rPr>
        <w:t>professional standards, registration, notifications, compliance and accreditation</w:t>
      </w:r>
      <w:r>
        <w:rPr>
          <w:color w:val="000000" w:themeColor="text1"/>
          <w:sz w:val="24"/>
          <w:szCs w:val="24"/>
        </w:rPr>
        <w:t xml:space="preserve"> in accordance with th</w:t>
      </w:r>
      <w:r w:rsidRPr="00DD1B3D">
        <w:rPr>
          <w:color w:val="000000" w:themeColor="text1"/>
          <w:sz w:val="24"/>
          <w:szCs w:val="24"/>
        </w:rPr>
        <w:t xml:space="preserve">e </w:t>
      </w:r>
      <w:r>
        <w:rPr>
          <w:color w:val="000000" w:themeColor="text1"/>
          <w:sz w:val="24"/>
          <w:szCs w:val="24"/>
        </w:rPr>
        <w:t>‘</w:t>
      </w:r>
      <w:r w:rsidRPr="00DD1B3D">
        <w:rPr>
          <w:color w:val="000000" w:themeColor="text1"/>
          <w:sz w:val="24"/>
          <w:szCs w:val="24"/>
        </w:rPr>
        <w:t>Safety and quality guidelines for privately practising midwives</w:t>
      </w:r>
      <w:r>
        <w:rPr>
          <w:rStyle w:val="FootnoteReference"/>
          <w:color w:val="000000" w:themeColor="text1"/>
          <w:sz w:val="24"/>
          <w:szCs w:val="24"/>
        </w:rPr>
        <w:footnoteReference w:id="31"/>
      </w:r>
      <w:r>
        <w:rPr>
          <w:color w:val="000000" w:themeColor="text1"/>
          <w:sz w:val="24"/>
          <w:szCs w:val="24"/>
        </w:rPr>
        <w:t>’.</w:t>
      </w:r>
    </w:p>
    <w:p w:rsidR="002C0BC9" w:rsidRPr="002C0BC9" w:rsidRDefault="0076590D" w:rsidP="002C0BC9">
      <w:pPr>
        <w:ind w:left="720"/>
        <w:rPr>
          <w:color w:val="000000" w:themeColor="text1"/>
          <w:sz w:val="24"/>
          <w:szCs w:val="24"/>
        </w:rPr>
      </w:pPr>
      <w:r>
        <w:rPr>
          <w:rFonts w:cstheme="minorHAnsi"/>
          <w:sz w:val="24"/>
          <w:szCs w:val="24"/>
        </w:rPr>
        <w:t xml:space="preserve">Under this option, </w:t>
      </w:r>
      <w:r w:rsidR="002C0BC9" w:rsidRPr="002C0BC9">
        <w:rPr>
          <w:rFonts w:cstheme="minorHAnsi"/>
          <w:sz w:val="24"/>
          <w:szCs w:val="24"/>
        </w:rPr>
        <w:t>PPMs without PII are at risk of acting outside their registration standards if they choose to provide homebirth services.</w:t>
      </w:r>
    </w:p>
    <w:p w:rsidR="001D731E" w:rsidRPr="00382A16" w:rsidRDefault="001D731E" w:rsidP="001D731E">
      <w:pPr>
        <w:rPr>
          <w:color w:val="1F4E79"/>
          <w:sz w:val="28"/>
          <w:szCs w:val="28"/>
        </w:rPr>
      </w:pPr>
      <w:r w:rsidRPr="00382A16">
        <w:rPr>
          <w:color w:val="1F4E79"/>
          <w:sz w:val="28"/>
          <w:szCs w:val="28"/>
        </w:rPr>
        <w:t>Business impact</w:t>
      </w:r>
    </w:p>
    <w:p w:rsidR="00382A16" w:rsidRDefault="00807CD6" w:rsidP="00F513C4">
      <w:pPr>
        <w:tabs>
          <w:tab w:val="left" w:pos="2127"/>
        </w:tabs>
        <w:ind w:left="567"/>
        <w:rPr>
          <w:color w:val="000000" w:themeColor="text1"/>
          <w:sz w:val="24"/>
          <w:szCs w:val="24"/>
        </w:rPr>
      </w:pPr>
      <w:r w:rsidRPr="00596D1A">
        <w:rPr>
          <w:rFonts w:cstheme="minorHAnsi"/>
          <w:sz w:val="24"/>
          <w:szCs w:val="24"/>
        </w:rPr>
        <w:t>ACCHOs</w:t>
      </w:r>
      <w:r>
        <w:rPr>
          <w:rFonts w:cstheme="minorHAnsi"/>
          <w:sz w:val="24"/>
          <w:szCs w:val="24"/>
        </w:rPr>
        <w:t xml:space="preserve"> providing services under BoC models of care </w:t>
      </w:r>
      <w:r w:rsidR="0084500B">
        <w:rPr>
          <w:rFonts w:cstheme="minorHAnsi"/>
          <w:sz w:val="24"/>
          <w:szCs w:val="24"/>
        </w:rPr>
        <w:t xml:space="preserve">have informed the Department </w:t>
      </w:r>
      <w:r>
        <w:rPr>
          <w:rFonts w:cstheme="minorHAnsi"/>
          <w:sz w:val="24"/>
          <w:szCs w:val="24"/>
        </w:rPr>
        <w:t xml:space="preserve">that </w:t>
      </w:r>
      <w:r w:rsidRPr="00596D1A">
        <w:rPr>
          <w:rFonts w:cstheme="minorHAnsi"/>
          <w:sz w:val="24"/>
          <w:szCs w:val="24"/>
        </w:rPr>
        <w:t xml:space="preserve">these services would </w:t>
      </w:r>
      <w:r w:rsidR="00823289">
        <w:rPr>
          <w:rFonts w:cstheme="minorHAnsi"/>
          <w:sz w:val="24"/>
          <w:szCs w:val="24"/>
        </w:rPr>
        <w:t xml:space="preserve">likely </w:t>
      </w:r>
      <w:r w:rsidRPr="00596D1A">
        <w:rPr>
          <w:rFonts w:cstheme="minorHAnsi"/>
          <w:sz w:val="24"/>
          <w:szCs w:val="24"/>
        </w:rPr>
        <w:t xml:space="preserve">cease unless </w:t>
      </w:r>
      <w:r>
        <w:rPr>
          <w:rFonts w:cstheme="minorHAnsi"/>
          <w:sz w:val="24"/>
          <w:szCs w:val="24"/>
        </w:rPr>
        <w:t xml:space="preserve">Option </w:t>
      </w:r>
      <w:r w:rsidR="0070788A">
        <w:rPr>
          <w:rFonts w:cstheme="minorHAnsi"/>
          <w:sz w:val="24"/>
          <w:szCs w:val="24"/>
        </w:rPr>
        <w:t>2</w:t>
      </w:r>
      <w:r>
        <w:rPr>
          <w:rFonts w:cstheme="minorHAnsi"/>
          <w:sz w:val="24"/>
          <w:szCs w:val="24"/>
        </w:rPr>
        <w:t xml:space="preserve"> was implemented</w:t>
      </w:r>
      <w:r w:rsidR="0084500B">
        <w:rPr>
          <w:rFonts w:cstheme="minorHAnsi"/>
          <w:sz w:val="24"/>
          <w:szCs w:val="24"/>
        </w:rPr>
        <w:t xml:space="preserve">. </w:t>
      </w:r>
      <w:r>
        <w:rPr>
          <w:color w:val="000000" w:themeColor="text1"/>
          <w:sz w:val="24"/>
          <w:szCs w:val="24"/>
        </w:rPr>
        <w:t xml:space="preserve">This could see </w:t>
      </w:r>
      <w:r w:rsidR="00F513C4">
        <w:rPr>
          <w:color w:val="000000" w:themeColor="text1"/>
          <w:sz w:val="24"/>
          <w:szCs w:val="24"/>
        </w:rPr>
        <w:t>the loss of 47 midwives currently employed (or contracted to) ACCHOS under BoC models of care.</w:t>
      </w:r>
    </w:p>
    <w:p w:rsidR="00A70CD4" w:rsidRPr="00026B20" w:rsidRDefault="00A70CD4" w:rsidP="00A70CD4">
      <w:pPr>
        <w:shd w:val="clear" w:color="auto" w:fill="FFFFFF"/>
        <w:spacing w:after="0" w:line="345" w:lineRule="atLeast"/>
        <w:ind w:left="567"/>
        <w:rPr>
          <w:rFonts w:eastAsia="Times New Roman" w:cstheme="minorHAnsi"/>
          <w:i/>
          <w:color w:val="000000" w:themeColor="text1"/>
          <w:sz w:val="24"/>
          <w:szCs w:val="24"/>
          <w:lang w:eastAsia="en-AU"/>
        </w:rPr>
      </w:pPr>
      <w:r>
        <w:rPr>
          <w:rFonts w:eastAsia="Times New Roman" w:cstheme="minorHAnsi"/>
          <w:i/>
          <w:color w:val="000000" w:themeColor="text1"/>
          <w:sz w:val="24"/>
          <w:szCs w:val="24"/>
          <w:lang w:eastAsia="en-AU"/>
        </w:rPr>
        <w:t>L</w:t>
      </w:r>
      <w:r w:rsidRPr="00026B20">
        <w:rPr>
          <w:rFonts w:eastAsia="Times New Roman" w:cstheme="minorHAnsi"/>
          <w:i/>
          <w:color w:val="000000" w:themeColor="text1"/>
          <w:sz w:val="24"/>
          <w:szCs w:val="24"/>
          <w:lang w:eastAsia="en-AU"/>
        </w:rPr>
        <w:t xml:space="preserve">oss of income incurred through loss of </w:t>
      </w:r>
      <w:r>
        <w:rPr>
          <w:rFonts w:eastAsia="Times New Roman" w:cstheme="minorHAnsi"/>
          <w:i/>
          <w:color w:val="000000" w:themeColor="text1"/>
          <w:sz w:val="24"/>
          <w:szCs w:val="24"/>
          <w:lang w:eastAsia="en-AU"/>
        </w:rPr>
        <w:t>business opportunity</w:t>
      </w:r>
    </w:p>
    <w:p w:rsidR="00AE45B8" w:rsidRPr="00AE45B8" w:rsidRDefault="00AE45B8" w:rsidP="00AE45B8">
      <w:pPr>
        <w:tabs>
          <w:tab w:val="left" w:pos="2127"/>
        </w:tabs>
        <w:ind w:left="567"/>
        <w:rPr>
          <w:rFonts w:cstheme="minorHAnsi"/>
          <w:sz w:val="24"/>
          <w:szCs w:val="24"/>
        </w:rPr>
      </w:pPr>
      <w:r w:rsidRPr="00AE45B8">
        <w:rPr>
          <w:rFonts w:cstheme="minorHAnsi"/>
          <w:sz w:val="24"/>
          <w:szCs w:val="24"/>
        </w:rPr>
        <w:t>The cost of recruitment agencies for permanent placements can be significant. On average, businesses can expect to pay between 15-25% of the candidate's a</w:t>
      </w:r>
      <w:r w:rsidR="00B90544">
        <w:rPr>
          <w:rFonts w:cstheme="minorHAnsi"/>
          <w:sz w:val="24"/>
          <w:szCs w:val="24"/>
        </w:rPr>
        <w:t>nnual salary as a placement fee</w:t>
      </w:r>
      <w:r>
        <w:rPr>
          <w:rStyle w:val="FootnoteReference"/>
          <w:rFonts w:cstheme="minorHAnsi"/>
          <w:sz w:val="24"/>
          <w:szCs w:val="24"/>
        </w:rPr>
        <w:footnoteReference w:id="32"/>
      </w:r>
      <w:r w:rsidRPr="00AE45B8">
        <w:rPr>
          <w:rFonts w:cstheme="minorHAnsi"/>
          <w:sz w:val="24"/>
          <w:szCs w:val="24"/>
        </w:rPr>
        <w:t>.</w:t>
      </w:r>
    </w:p>
    <w:p w:rsidR="00382A16" w:rsidRPr="00A70CD4" w:rsidRDefault="00AE45B8" w:rsidP="00823289">
      <w:pPr>
        <w:tabs>
          <w:tab w:val="left" w:pos="2127"/>
        </w:tabs>
        <w:spacing w:after="240"/>
        <w:ind w:left="567"/>
        <w:rPr>
          <w:color w:val="000000" w:themeColor="text1"/>
          <w:sz w:val="24"/>
          <w:szCs w:val="24"/>
        </w:rPr>
      </w:pPr>
      <w:r>
        <w:rPr>
          <w:sz w:val="24"/>
          <w:szCs w:val="24"/>
        </w:rPr>
        <w:t xml:space="preserve">Recruitment agencies providing </w:t>
      </w:r>
      <w:r w:rsidR="00B90544">
        <w:rPr>
          <w:sz w:val="24"/>
          <w:szCs w:val="24"/>
        </w:rPr>
        <w:t xml:space="preserve">permanent </w:t>
      </w:r>
      <w:r>
        <w:rPr>
          <w:sz w:val="24"/>
          <w:szCs w:val="24"/>
        </w:rPr>
        <w:t>PPMs for BoC services could charge ACCHOs approximately 15%</w:t>
      </w:r>
      <w:r w:rsidR="00B90544">
        <w:rPr>
          <w:sz w:val="24"/>
          <w:szCs w:val="24"/>
        </w:rPr>
        <w:t xml:space="preserve"> of</w:t>
      </w:r>
      <w:r>
        <w:rPr>
          <w:sz w:val="24"/>
          <w:szCs w:val="24"/>
        </w:rPr>
        <w:t xml:space="preserve"> </w:t>
      </w:r>
      <w:r w:rsidR="00B90544">
        <w:rPr>
          <w:sz w:val="24"/>
          <w:szCs w:val="24"/>
        </w:rPr>
        <w:t xml:space="preserve">a PPM’s annual salary </w:t>
      </w:r>
      <w:r>
        <w:rPr>
          <w:sz w:val="24"/>
          <w:szCs w:val="24"/>
        </w:rPr>
        <w:t xml:space="preserve">for this service. </w:t>
      </w:r>
      <w:r w:rsidR="00B90544">
        <w:rPr>
          <w:sz w:val="24"/>
          <w:szCs w:val="24"/>
        </w:rPr>
        <w:t>If these b</w:t>
      </w:r>
      <w:r w:rsidR="00245489">
        <w:rPr>
          <w:sz w:val="24"/>
          <w:szCs w:val="24"/>
        </w:rPr>
        <w:t xml:space="preserve">usinesses are unable to operate, </w:t>
      </w:r>
      <w:r w:rsidR="00B90544">
        <w:rPr>
          <w:sz w:val="24"/>
          <w:szCs w:val="24"/>
        </w:rPr>
        <w:t xml:space="preserve">they could incur a loss of $388,402 per year in lost </w:t>
      </w:r>
      <w:r>
        <w:rPr>
          <w:sz w:val="24"/>
          <w:szCs w:val="24"/>
        </w:rPr>
        <w:t>recruitment fees</w:t>
      </w:r>
      <w:r w:rsidR="00B90544">
        <w:rPr>
          <w:sz w:val="24"/>
          <w:szCs w:val="24"/>
        </w:rPr>
        <w:t>.</w:t>
      </w:r>
      <w:r>
        <w:rPr>
          <w:sz w:val="24"/>
          <w:szCs w:val="24"/>
        </w:rPr>
        <w:t xml:space="preserve"> </w:t>
      </w:r>
      <w:r w:rsidR="00245489">
        <w:rPr>
          <w:sz w:val="24"/>
          <w:szCs w:val="24"/>
        </w:rPr>
        <w:t>A</w:t>
      </w:r>
      <w:r>
        <w:rPr>
          <w:sz w:val="24"/>
          <w:szCs w:val="24"/>
        </w:rPr>
        <w:t xml:space="preserve"> consolidated earning capacity of </w:t>
      </w:r>
      <w:r w:rsidRPr="00A70CD4">
        <w:rPr>
          <w:sz w:val="24"/>
          <w:szCs w:val="24"/>
        </w:rPr>
        <w:t>$2,</w:t>
      </w:r>
      <w:r w:rsidR="0078184F">
        <w:rPr>
          <w:sz w:val="24"/>
          <w:szCs w:val="24"/>
        </w:rPr>
        <w:t>589,</w:t>
      </w:r>
      <w:r w:rsidR="005C1E5E">
        <w:rPr>
          <w:sz w:val="24"/>
          <w:szCs w:val="24"/>
        </w:rPr>
        <w:t>33</w:t>
      </w:r>
      <w:r w:rsidR="0078184F">
        <w:rPr>
          <w:sz w:val="24"/>
          <w:szCs w:val="24"/>
        </w:rPr>
        <w:t>0</w:t>
      </w:r>
      <w:r w:rsidR="005C1E5E">
        <w:rPr>
          <w:sz w:val="24"/>
          <w:szCs w:val="24"/>
        </w:rPr>
        <w:t xml:space="preserve"> per year, c</w:t>
      </w:r>
      <w:r>
        <w:rPr>
          <w:sz w:val="24"/>
          <w:szCs w:val="24"/>
        </w:rPr>
        <w:t>o</w:t>
      </w:r>
      <w:r w:rsidR="005C1E5E">
        <w:rPr>
          <w:sz w:val="24"/>
          <w:szCs w:val="24"/>
        </w:rPr>
        <w:t>uld result in a loss of $388,402</w:t>
      </w:r>
      <w:r>
        <w:rPr>
          <w:sz w:val="24"/>
          <w:szCs w:val="24"/>
        </w:rPr>
        <w:t xml:space="preserve"> per year </w:t>
      </w:r>
      <w:r w:rsidR="00245489">
        <w:rPr>
          <w:sz w:val="24"/>
          <w:szCs w:val="24"/>
        </w:rPr>
        <w:t>(</w:t>
      </w:r>
      <w:r w:rsidR="00245489" w:rsidRPr="00823289">
        <w:rPr>
          <w:b/>
          <w:sz w:val="24"/>
          <w:szCs w:val="24"/>
        </w:rPr>
        <w:t>15%</w:t>
      </w:r>
      <w:r w:rsidR="00245489">
        <w:rPr>
          <w:sz w:val="24"/>
          <w:szCs w:val="24"/>
        </w:rPr>
        <w:t xml:space="preserve">) </w:t>
      </w:r>
      <w:r>
        <w:rPr>
          <w:sz w:val="24"/>
          <w:szCs w:val="24"/>
        </w:rPr>
        <w:t>for recruitment agencies</w:t>
      </w:r>
      <w:r w:rsidR="005C1E5E">
        <w:rPr>
          <w:sz w:val="24"/>
          <w:szCs w:val="24"/>
        </w:rPr>
        <w:t>.</w:t>
      </w:r>
    </w:p>
    <w:p w:rsidR="00AE45B8" w:rsidRPr="003773EA" w:rsidRDefault="00AE45B8" w:rsidP="00AE45B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567"/>
        <w:rPr>
          <w:color w:val="000000" w:themeColor="text1"/>
          <w:sz w:val="24"/>
          <w:szCs w:val="24"/>
        </w:rPr>
      </w:pPr>
      <w:r>
        <w:rPr>
          <w:color w:val="000000" w:themeColor="text1"/>
          <w:sz w:val="24"/>
          <w:szCs w:val="24"/>
        </w:rPr>
        <w:t>Business</w:t>
      </w:r>
      <w:r w:rsidR="005C1E5E">
        <w:rPr>
          <w:color w:val="000000" w:themeColor="text1"/>
          <w:sz w:val="24"/>
          <w:szCs w:val="24"/>
        </w:rPr>
        <w:t xml:space="preserve"> </w:t>
      </w:r>
      <w:r>
        <w:rPr>
          <w:color w:val="000000" w:themeColor="text1"/>
          <w:sz w:val="24"/>
          <w:szCs w:val="24"/>
        </w:rPr>
        <w:t>loss of income</w:t>
      </w:r>
      <w:r w:rsidRPr="003773EA">
        <w:rPr>
          <w:color w:val="000000" w:themeColor="text1"/>
          <w:sz w:val="24"/>
          <w:szCs w:val="24"/>
        </w:rPr>
        <w:t xml:space="preserve"> = (Time required × Labour cost) × (Number of staff)</w:t>
      </w:r>
    </w:p>
    <w:p w:rsidR="00AE45B8" w:rsidRDefault="00AE45B8" w:rsidP="00AE45B8">
      <w:pPr>
        <w:pBdr>
          <w:top w:val="single" w:sz="4" w:space="1" w:color="auto"/>
          <w:left w:val="single" w:sz="4" w:space="4" w:color="auto"/>
          <w:bottom w:val="single" w:sz="4" w:space="1" w:color="auto"/>
          <w:right w:val="single" w:sz="4" w:space="4" w:color="auto"/>
        </w:pBdr>
        <w:shd w:val="clear" w:color="auto" w:fill="F2F2F2" w:themeFill="background1" w:themeFillShade="F2"/>
        <w:ind w:left="567"/>
        <w:rPr>
          <w:sz w:val="24"/>
          <w:szCs w:val="24"/>
        </w:rPr>
      </w:pPr>
      <w:r w:rsidRPr="00B478F6">
        <w:rPr>
          <w:b/>
          <w:sz w:val="24"/>
          <w:szCs w:val="24"/>
        </w:rPr>
        <w:t>$</w:t>
      </w:r>
      <w:r w:rsidR="00B90544">
        <w:rPr>
          <w:b/>
          <w:sz w:val="24"/>
          <w:szCs w:val="24"/>
        </w:rPr>
        <w:t>388,402</w:t>
      </w:r>
      <w:r>
        <w:rPr>
          <w:sz w:val="24"/>
          <w:szCs w:val="24"/>
        </w:rPr>
        <w:t xml:space="preserve"> </w:t>
      </w:r>
      <w:r w:rsidRPr="00621423">
        <w:rPr>
          <w:sz w:val="24"/>
          <w:szCs w:val="24"/>
        </w:rPr>
        <w:t xml:space="preserve">= </w:t>
      </w:r>
      <w:r>
        <w:rPr>
          <w:sz w:val="24"/>
          <w:szCs w:val="24"/>
        </w:rPr>
        <w:tab/>
      </w:r>
      <w:r>
        <w:rPr>
          <w:sz w:val="24"/>
          <w:szCs w:val="24"/>
        </w:rPr>
        <w:tab/>
      </w:r>
      <w:r w:rsidR="005C1E5E">
        <w:rPr>
          <w:sz w:val="24"/>
          <w:szCs w:val="24"/>
        </w:rPr>
        <w:t>[</w:t>
      </w:r>
      <w:r>
        <w:rPr>
          <w:sz w:val="24"/>
          <w:szCs w:val="24"/>
        </w:rPr>
        <w:t>(1,305.2 hours x $42.21)</w:t>
      </w:r>
      <w:r w:rsidR="005C1E5E">
        <w:rPr>
          <w:sz w:val="24"/>
          <w:szCs w:val="24"/>
        </w:rPr>
        <w:t xml:space="preserve"> x </w:t>
      </w:r>
      <w:r w:rsidR="005C1E5E" w:rsidRPr="00245489">
        <w:rPr>
          <w:b/>
          <w:sz w:val="24"/>
          <w:szCs w:val="24"/>
        </w:rPr>
        <w:t>15%</w:t>
      </w:r>
      <w:r w:rsidR="005C1E5E">
        <w:rPr>
          <w:sz w:val="24"/>
          <w:szCs w:val="24"/>
        </w:rPr>
        <w:t>]</w:t>
      </w:r>
      <w:r>
        <w:rPr>
          <w:sz w:val="24"/>
          <w:szCs w:val="24"/>
        </w:rPr>
        <w:t xml:space="preserve"> </w:t>
      </w:r>
      <w:r w:rsidR="00B90544">
        <w:rPr>
          <w:sz w:val="24"/>
          <w:szCs w:val="24"/>
        </w:rPr>
        <w:t xml:space="preserve">x  </w:t>
      </w:r>
      <w:r>
        <w:rPr>
          <w:sz w:val="24"/>
          <w:szCs w:val="24"/>
        </w:rPr>
        <w:tab/>
        <w:t>47</w:t>
      </w:r>
    </w:p>
    <w:p w:rsidR="001B5799" w:rsidRPr="0099499D" w:rsidRDefault="00936432" w:rsidP="003A79A5">
      <w:pPr>
        <w:pStyle w:val="Heading1"/>
      </w:pPr>
      <w:r>
        <w:br w:type="page"/>
      </w:r>
      <w:bookmarkStart w:id="109" w:name="_Toc162017849"/>
      <w:r w:rsidR="00066180" w:rsidRPr="0099499D">
        <w:t xml:space="preserve">Appendix </w:t>
      </w:r>
      <w:r w:rsidR="0099499D" w:rsidRPr="0099499D">
        <w:t>3</w:t>
      </w:r>
      <w:r w:rsidR="00066180" w:rsidRPr="0099499D">
        <w:t>: Impact on stakeholders</w:t>
      </w:r>
      <w:bookmarkEnd w:id="109"/>
    </w:p>
    <w:p w:rsidR="00066180" w:rsidRPr="00936432" w:rsidRDefault="00066180" w:rsidP="00936432">
      <w:pPr>
        <w:rPr>
          <w:color w:val="1F4E79"/>
          <w:sz w:val="32"/>
          <w:szCs w:val="32"/>
        </w:rPr>
      </w:pPr>
      <w:r w:rsidRPr="00936432">
        <w:rPr>
          <w:color w:val="1F4E79"/>
          <w:sz w:val="32"/>
          <w:szCs w:val="32"/>
        </w:rPr>
        <w:t>Key impacts on consumers</w:t>
      </w:r>
    </w:p>
    <w:p w:rsidR="00461E94" w:rsidRPr="00B06D6C" w:rsidRDefault="00461E94" w:rsidP="00936432">
      <w:pPr>
        <w:pStyle w:val="Caption"/>
        <w:keepNext/>
        <w:spacing w:before="160"/>
        <w:rPr>
          <w:color w:val="1F4E79"/>
        </w:rPr>
      </w:pPr>
      <w:r w:rsidRPr="00B06D6C">
        <w:rPr>
          <w:color w:val="1F4E79"/>
        </w:rPr>
        <w:t xml:space="preserve">Table </w:t>
      </w:r>
      <w:r w:rsidR="006D1238">
        <w:rPr>
          <w:color w:val="1F4E79"/>
        </w:rPr>
        <w:t>8:</w:t>
      </w:r>
      <w:r w:rsidRPr="00B06D6C">
        <w:rPr>
          <w:color w:val="1F4E79"/>
        </w:rPr>
        <w:t xml:space="preserve"> Summary of key impacts on </w:t>
      </w:r>
      <w:r w:rsidR="00B06D6C">
        <w:rPr>
          <w:color w:val="1F4E79"/>
        </w:rPr>
        <w:t>consumers</w:t>
      </w:r>
    </w:p>
    <w:tbl>
      <w:tblPr>
        <w:tblStyle w:val="PlainTable23"/>
        <w:tblW w:w="8843" w:type="dxa"/>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876"/>
        <w:gridCol w:w="676"/>
        <w:gridCol w:w="676"/>
        <w:gridCol w:w="709"/>
        <w:gridCol w:w="4906"/>
      </w:tblGrid>
      <w:tr w:rsidR="002A5AAF" w:rsidRPr="006A74F8" w:rsidTr="002A5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18" w:space="0" w:color="000000" w:themeColor="text1"/>
            </w:tcBorders>
            <w:vAlign w:val="center"/>
          </w:tcPr>
          <w:p w:rsidR="002A5AAF" w:rsidRPr="002A5AAF" w:rsidRDefault="002A5AAF" w:rsidP="002A5AAF">
            <w:pPr>
              <w:rPr>
                <w:rFonts w:cstheme="minorHAnsi"/>
              </w:rPr>
            </w:pPr>
            <w:r w:rsidRPr="002A5AAF">
              <w:rPr>
                <w:rFonts w:cstheme="minorHAnsi"/>
              </w:rPr>
              <w:t>Impact</w:t>
            </w:r>
          </w:p>
        </w:tc>
        <w:tc>
          <w:tcPr>
            <w:tcW w:w="676" w:type="dxa"/>
            <w:tcBorders>
              <w:top w:val="single" w:sz="18" w:space="0" w:color="000000" w:themeColor="text1"/>
            </w:tcBorders>
          </w:tcPr>
          <w:p w:rsidR="002A5AAF" w:rsidRPr="00B06D6C" w:rsidRDefault="002A5AAF" w:rsidP="002A5AAF">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1</w:t>
            </w:r>
          </w:p>
        </w:tc>
        <w:tc>
          <w:tcPr>
            <w:tcW w:w="676" w:type="dxa"/>
            <w:tcBorders>
              <w:top w:val="single" w:sz="18" w:space="0" w:color="000000" w:themeColor="text1"/>
              <w:bottom w:val="single" w:sz="4" w:space="0" w:color="D0CECE" w:themeColor="background2" w:themeShade="E6"/>
              <w:right w:val="nil"/>
            </w:tcBorders>
            <w:shd w:val="clear" w:color="auto" w:fill="auto"/>
          </w:tcPr>
          <w:p w:rsidR="002A5AAF" w:rsidRPr="00461E94" w:rsidRDefault="002A5AAF" w:rsidP="002A5AAF">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Pr>
                <w:rFonts w:cstheme="minorHAnsi"/>
                <w:b w:val="0"/>
              </w:rPr>
              <w:t>2</w:t>
            </w:r>
          </w:p>
        </w:tc>
        <w:tc>
          <w:tcPr>
            <w:tcW w:w="709" w:type="dxa"/>
            <w:tcBorders>
              <w:top w:val="single" w:sz="18" w:space="0" w:color="000000" w:themeColor="text1"/>
              <w:left w:val="nil"/>
              <w:bottom w:val="single" w:sz="4" w:space="0" w:color="D0CECE" w:themeColor="background2" w:themeShade="E6"/>
              <w:right w:val="single" w:sz="18" w:space="0" w:color="FFFFFF" w:themeColor="background1"/>
            </w:tcBorders>
            <w:shd w:val="clear" w:color="auto" w:fill="auto"/>
            <w:vAlign w:val="center"/>
          </w:tcPr>
          <w:p w:rsidR="002A5AAF" w:rsidRPr="00461E94" w:rsidRDefault="002A5AAF" w:rsidP="002A5AAF">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w:t>
            </w:r>
            <w:r w:rsidRPr="00461E94">
              <w:rPr>
                <w:rFonts w:cstheme="minorHAnsi"/>
                <w:b w:val="0"/>
              </w:rPr>
              <w:t>(a)</w:t>
            </w:r>
          </w:p>
        </w:tc>
        <w:tc>
          <w:tcPr>
            <w:tcW w:w="4906" w:type="dxa"/>
            <w:tcBorders>
              <w:top w:val="single" w:sz="18" w:space="0" w:color="000000" w:themeColor="text1"/>
              <w:bottom w:val="single" w:sz="4" w:space="0" w:color="D0CECE" w:themeColor="background2" w:themeShade="E6"/>
            </w:tcBorders>
            <w:vAlign w:val="center"/>
          </w:tcPr>
          <w:p w:rsidR="002A5AAF" w:rsidRPr="002A5AAF" w:rsidRDefault="002A5AAF" w:rsidP="002A5AAF">
            <w:pPr>
              <w:cnfStyle w:val="100000000000" w:firstRow="1" w:lastRow="0" w:firstColumn="0" w:lastColumn="0" w:oddVBand="0" w:evenVBand="0" w:oddHBand="0" w:evenHBand="0" w:firstRowFirstColumn="0" w:firstRowLastColumn="0" w:lastRowFirstColumn="0" w:lastRowLastColumn="0"/>
              <w:rPr>
                <w:rFonts w:cstheme="minorHAnsi"/>
                <w:b w:val="0"/>
              </w:rPr>
            </w:pPr>
            <w:r w:rsidRPr="002A5AAF">
              <w:rPr>
                <w:rFonts w:cstheme="minorHAnsi"/>
                <w:b w:val="0"/>
              </w:rPr>
              <w:t>Explanation</w:t>
            </w:r>
          </w:p>
        </w:tc>
      </w:tr>
      <w:tr w:rsidR="002A5AAF" w:rsidRPr="006A74F8" w:rsidTr="00D1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nil"/>
            </w:tcBorders>
            <w:vAlign w:val="center"/>
          </w:tcPr>
          <w:p w:rsidR="002A5AAF" w:rsidRPr="006A74F8" w:rsidRDefault="002A5AAF" w:rsidP="002A5AAF">
            <w:pPr>
              <w:rPr>
                <w:rFonts w:asciiTheme="majorHAnsi" w:eastAsia="Calibri" w:hAnsiTheme="majorHAnsi" w:cstheme="majorHAnsi"/>
                <w:sz w:val="20"/>
                <w:szCs w:val="20"/>
              </w:rPr>
            </w:pPr>
            <w:r>
              <w:rPr>
                <w:rFonts w:asciiTheme="majorHAnsi" w:hAnsiTheme="majorHAnsi" w:cstheme="majorHAnsi"/>
                <w:sz w:val="20"/>
                <w:szCs w:val="20"/>
              </w:rPr>
              <w:t>Choice</w:t>
            </w:r>
          </w:p>
        </w:tc>
        <w:tc>
          <w:tcPr>
            <w:tcW w:w="676" w:type="dxa"/>
            <w:tcBorders>
              <w:top w:val="single" w:sz="4" w:space="0" w:color="D0CECE" w:themeColor="background2" w:themeShade="E6"/>
              <w:right w:val="single" w:sz="18" w:space="0" w:color="FFFFFF" w:themeColor="background1"/>
            </w:tcBorders>
            <w:shd w:val="clear" w:color="auto" w:fill="FA460E"/>
            <w:vAlign w:val="center"/>
          </w:tcPr>
          <w:p w:rsidR="002A5AAF" w:rsidRPr="006A74F8" w:rsidRDefault="00D101C3"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676" w:type="dxa"/>
            <w:tcBorders>
              <w:top w:val="single" w:sz="4" w:space="0" w:color="D0CECE" w:themeColor="background2" w:themeShade="E6"/>
              <w:left w:val="single" w:sz="18" w:space="0" w:color="FFFFFF" w:themeColor="background1"/>
              <w:right w:val="single" w:sz="18" w:space="0" w:color="FFFFFF" w:themeColor="background1"/>
            </w:tcBorders>
            <w:shd w:val="clear" w:color="auto" w:fill="55A5A9"/>
            <w:vAlign w:val="center"/>
          </w:tcPr>
          <w:p w:rsidR="002A5AAF" w:rsidRPr="006A74F8" w:rsidRDefault="002A5AAF"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sidRPr="006A74F8">
              <w:rPr>
                <w:rFonts w:cstheme="minorHAnsi"/>
                <w:sz w:val="20"/>
                <w:szCs w:val="18"/>
              </w:rPr>
              <w:t>+2</w:t>
            </w:r>
          </w:p>
        </w:tc>
        <w:tc>
          <w:tcPr>
            <w:tcW w:w="709" w:type="dxa"/>
            <w:tcBorders>
              <w:top w:val="single" w:sz="4" w:space="0" w:color="D0CECE" w:themeColor="background2" w:themeShade="E6"/>
              <w:left w:val="single" w:sz="18" w:space="0" w:color="FFFFFF" w:themeColor="background1"/>
              <w:right w:val="single" w:sz="18" w:space="0" w:color="FFFFFF" w:themeColor="background1"/>
            </w:tcBorders>
            <w:shd w:val="clear" w:color="auto" w:fill="FA460E"/>
            <w:vAlign w:val="center"/>
          </w:tcPr>
          <w:p w:rsidR="002A5AAF" w:rsidRPr="006A74F8" w:rsidRDefault="00D101C3"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4906" w:type="dxa"/>
            <w:tcBorders>
              <w:top w:val="single" w:sz="4" w:space="0" w:color="D0CECE" w:themeColor="background2" w:themeShade="E6"/>
            </w:tcBorders>
            <w:vAlign w:val="center"/>
          </w:tcPr>
          <w:p w:rsidR="002A5AAF" w:rsidRPr="006A74F8" w:rsidRDefault="002A5AAF" w:rsidP="00D101C3">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sidRPr="00B06D6C">
              <w:rPr>
                <w:rFonts w:asciiTheme="majorHAnsi" w:hAnsiTheme="majorHAnsi" w:cstheme="majorHAnsi"/>
                <w:color w:val="000000" w:themeColor="text1"/>
                <w:sz w:val="20"/>
                <w:szCs w:val="20"/>
              </w:rPr>
              <w:t xml:space="preserve">Option </w:t>
            </w:r>
            <w:r>
              <w:rPr>
                <w:rFonts w:asciiTheme="majorHAnsi" w:hAnsiTheme="majorHAnsi" w:cstheme="majorHAnsi"/>
                <w:color w:val="000000" w:themeColor="text1"/>
                <w:sz w:val="20"/>
                <w:szCs w:val="20"/>
              </w:rPr>
              <w:t>2</w:t>
            </w:r>
            <w:r w:rsidRPr="00B06D6C">
              <w:rPr>
                <w:rFonts w:asciiTheme="majorHAnsi" w:hAnsiTheme="majorHAnsi" w:cstheme="majorHAnsi"/>
                <w:color w:val="000000" w:themeColor="text1"/>
                <w:sz w:val="20"/>
                <w:szCs w:val="20"/>
              </w:rPr>
              <w:t xml:space="preserve"> would enable women to have more choice in birthing options and midwifery support</w:t>
            </w:r>
            <w:r>
              <w:rPr>
                <w:rFonts w:asciiTheme="majorHAnsi" w:hAnsiTheme="majorHAnsi" w:cstheme="majorHAnsi"/>
                <w:color w:val="000000" w:themeColor="text1"/>
                <w:sz w:val="20"/>
                <w:szCs w:val="20"/>
              </w:rPr>
              <w:t xml:space="preserve"> and give First Nations Women access to culturally safe, continuous midwifery care. </w:t>
            </w:r>
            <w:r>
              <w:rPr>
                <w:rFonts w:asciiTheme="majorHAnsi" w:eastAsia="Calibri" w:hAnsiTheme="majorHAnsi" w:cstheme="majorHAnsi"/>
                <w:sz w:val="20"/>
                <w:szCs w:val="20"/>
              </w:rPr>
              <w:t xml:space="preserve">Options 1 and 3(a) </w:t>
            </w:r>
            <w:r w:rsidR="00D101C3">
              <w:rPr>
                <w:rFonts w:asciiTheme="majorHAnsi" w:eastAsia="Calibri" w:hAnsiTheme="majorHAnsi" w:cstheme="majorHAnsi"/>
                <w:sz w:val="20"/>
                <w:szCs w:val="20"/>
              </w:rPr>
              <w:t>severely limit choice for First Nations women.</w:t>
            </w:r>
          </w:p>
        </w:tc>
      </w:tr>
      <w:tr w:rsidR="002A5AAF" w:rsidRPr="006A74F8" w:rsidTr="00D101C3">
        <w:tc>
          <w:tcPr>
            <w:cnfStyle w:val="001000000000" w:firstRow="0" w:lastRow="0" w:firstColumn="1" w:lastColumn="0" w:oddVBand="0" w:evenVBand="0" w:oddHBand="0" w:evenHBand="0" w:firstRowFirstColumn="0" w:firstRowLastColumn="0" w:lastRowFirstColumn="0" w:lastRowLastColumn="0"/>
            <w:tcW w:w="1876" w:type="dxa"/>
            <w:vAlign w:val="center"/>
          </w:tcPr>
          <w:p w:rsidR="002A5AAF" w:rsidRPr="006A74F8" w:rsidRDefault="002A5AAF" w:rsidP="002A5AAF">
            <w:pPr>
              <w:rPr>
                <w:rFonts w:asciiTheme="majorHAnsi" w:eastAsia="Calibri" w:hAnsiTheme="majorHAnsi" w:cstheme="majorHAnsi"/>
                <w:sz w:val="20"/>
                <w:szCs w:val="20"/>
              </w:rPr>
            </w:pPr>
            <w:r>
              <w:rPr>
                <w:rFonts w:asciiTheme="majorHAnsi" w:hAnsiTheme="majorHAnsi" w:cstheme="majorHAnsi"/>
                <w:sz w:val="20"/>
                <w:szCs w:val="20"/>
              </w:rPr>
              <w:t>Confidence</w:t>
            </w:r>
            <w:r w:rsidRPr="006A74F8">
              <w:rPr>
                <w:rFonts w:asciiTheme="majorHAnsi" w:hAnsiTheme="majorHAnsi" w:cstheme="majorHAnsi"/>
                <w:sz w:val="20"/>
                <w:szCs w:val="20"/>
              </w:rPr>
              <w:t xml:space="preserve"> </w:t>
            </w:r>
            <w:r>
              <w:rPr>
                <w:rFonts w:asciiTheme="majorHAnsi" w:hAnsiTheme="majorHAnsi" w:cstheme="majorHAnsi"/>
                <w:sz w:val="20"/>
                <w:szCs w:val="20"/>
              </w:rPr>
              <w:t>in birthing support</w:t>
            </w:r>
          </w:p>
        </w:tc>
        <w:tc>
          <w:tcPr>
            <w:tcW w:w="676" w:type="dxa"/>
            <w:tcBorders>
              <w:right w:val="single" w:sz="18" w:space="0" w:color="FFFFFF" w:themeColor="background1"/>
            </w:tcBorders>
            <w:shd w:val="clear" w:color="auto" w:fill="FA460E"/>
            <w:vAlign w:val="center"/>
          </w:tcPr>
          <w:p w:rsidR="002A5AAF" w:rsidRPr="006A74F8" w:rsidRDefault="00D101C3"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676" w:type="dxa"/>
            <w:tcBorders>
              <w:left w:val="single" w:sz="18" w:space="0" w:color="FFFFFF" w:themeColor="background1"/>
              <w:right w:val="single" w:sz="18" w:space="0" w:color="FFFFFF" w:themeColor="background1"/>
            </w:tcBorders>
            <w:shd w:val="clear" w:color="auto" w:fill="55A5A9"/>
            <w:vAlign w:val="center"/>
          </w:tcPr>
          <w:p w:rsidR="002A5AAF" w:rsidRPr="006A74F8" w:rsidRDefault="002A5AAF"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6A74F8">
              <w:rPr>
                <w:rFonts w:cstheme="minorHAnsi"/>
                <w:sz w:val="20"/>
                <w:szCs w:val="18"/>
              </w:rPr>
              <w:t>+2</w:t>
            </w:r>
          </w:p>
        </w:tc>
        <w:tc>
          <w:tcPr>
            <w:tcW w:w="709" w:type="dxa"/>
            <w:tcBorders>
              <w:left w:val="single" w:sz="18" w:space="0" w:color="FFFFFF" w:themeColor="background1"/>
              <w:right w:val="single" w:sz="18" w:space="0" w:color="FFFFFF" w:themeColor="background1"/>
            </w:tcBorders>
            <w:shd w:val="clear" w:color="auto" w:fill="FA460E"/>
            <w:vAlign w:val="center"/>
          </w:tcPr>
          <w:p w:rsidR="002A5AAF" w:rsidRPr="006A74F8" w:rsidRDefault="002A5AAF"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4906" w:type="dxa"/>
            <w:vAlign w:val="center"/>
          </w:tcPr>
          <w:p w:rsidR="002A5AAF" w:rsidRPr="00B06D6C" w:rsidRDefault="002A5AAF" w:rsidP="002A5A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B06D6C">
              <w:rPr>
                <w:rFonts w:asciiTheme="majorHAnsi" w:hAnsiTheme="majorHAnsi" w:cstheme="majorHAnsi"/>
                <w:color w:val="000000" w:themeColor="text1"/>
                <w:sz w:val="20"/>
                <w:szCs w:val="20"/>
              </w:rPr>
              <w:t xml:space="preserve">Option </w:t>
            </w:r>
            <w:r>
              <w:rPr>
                <w:rFonts w:asciiTheme="majorHAnsi" w:hAnsiTheme="majorHAnsi" w:cstheme="majorHAnsi"/>
                <w:color w:val="000000" w:themeColor="text1"/>
                <w:sz w:val="20"/>
                <w:szCs w:val="20"/>
              </w:rPr>
              <w:t>2</w:t>
            </w:r>
            <w:r w:rsidRPr="00B06D6C">
              <w:rPr>
                <w:rFonts w:asciiTheme="majorHAnsi" w:hAnsiTheme="majorHAnsi" w:cstheme="majorHAnsi"/>
                <w:color w:val="000000" w:themeColor="text1"/>
                <w:sz w:val="20"/>
                <w:szCs w:val="20"/>
              </w:rPr>
              <w:t xml:space="preserve"> would enable women to have </w:t>
            </w:r>
            <w:r>
              <w:rPr>
                <w:rFonts w:asciiTheme="majorHAnsi" w:hAnsiTheme="majorHAnsi" w:cstheme="majorHAnsi"/>
                <w:color w:val="000000" w:themeColor="text1"/>
                <w:sz w:val="20"/>
                <w:szCs w:val="20"/>
              </w:rPr>
              <w:t>greater confidence</w:t>
            </w:r>
            <w:r w:rsidRPr="00B06D6C">
              <w:rPr>
                <w:rFonts w:asciiTheme="majorHAnsi" w:hAnsiTheme="majorHAnsi" w:cstheme="majorHAnsi"/>
                <w:color w:val="000000" w:themeColor="text1"/>
                <w:sz w:val="20"/>
                <w:szCs w:val="20"/>
              </w:rPr>
              <w:t xml:space="preserve"> in birthing options and midwifery support.</w:t>
            </w:r>
          </w:p>
          <w:p w:rsidR="002A5AAF" w:rsidRPr="006A74F8" w:rsidRDefault="002A5AAF" w:rsidP="002A5AAF">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0"/>
                <w:szCs w:val="20"/>
              </w:rPr>
            </w:pPr>
            <w:r>
              <w:rPr>
                <w:rFonts w:asciiTheme="majorHAnsi" w:eastAsia="Calibri" w:hAnsiTheme="majorHAnsi" w:cstheme="majorHAnsi"/>
                <w:sz w:val="20"/>
                <w:szCs w:val="20"/>
              </w:rPr>
              <w:t>Options 1 and 3(a) would give women less confidence due to limited availability of the service and uncertainty if they choose to birth with an uninsured PPM</w:t>
            </w:r>
          </w:p>
        </w:tc>
      </w:tr>
      <w:tr w:rsidR="002A5AAF" w:rsidRPr="006A74F8" w:rsidTr="00D1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vAlign w:val="center"/>
          </w:tcPr>
          <w:p w:rsidR="002A5AAF" w:rsidRPr="006A74F8" w:rsidRDefault="002A5AAF" w:rsidP="002A5AAF">
            <w:pPr>
              <w:rPr>
                <w:rFonts w:asciiTheme="majorHAnsi" w:eastAsia="Calibri" w:hAnsiTheme="majorHAnsi" w:cstheme="majorHAnsi"/>
                <w:sz w:val="20"/>
                <w:szCs w:val="20"/>
              </w:rPr>
            </w:pPr>
            <w:r>
              <w:rPr>
                <w:rFonts w:asciiTheme="majorHAnsi" w:hAnsiTheme="majorHAnsi" w:cstheme="majorHAnsi"/>
                <w:color w:val="000000"/>
                <w:sz w:val="20"/>
                <w:szCs w:val="20"/>
                <w:lang w:val="en-US"/>
              </w:rPr>
              <w:t>Compliance</w:t>
            </w:r>
            <w:r w:rsidRPr="006A74F8">
              <w:rPr>
                <w:rFonts w:asciiTheme="majorHAnsi" w:hAnsiTheme="majorHAnsi" w:cstheme="majorHAnsi"/>
                <w:color w:val="000000"/>
                <w:sz w:val="20"/>
                <w:szCs w:val="20"/>
                <w:lang w:val="en-US"/>
              </w:rPr>
              <w:t xml:space="preserve"> </w:t>
            </w:r>
          </w:p>
        </w:tc>
        <w:tc>
          <w:tcPr>
            <w:tcW w:w="676" w:type="dxa"/>
            <w:tcBorders>
              <w:right w:val="single" w:sz="18" w:space="0" w:color="FFFFFF" w:themeColor="background1"/>
            </w:tcBorders>
            <w:shd w:val="clear" w:color="auto" w:fill="FA460E"/>
            <w:vAlign w:val="center"/>
          </w:tcPr>
          <w:p w:rsidR="002A5AAF" w:rsidRDefault="00D101C3"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676" w:type="dxa"/>
            <w:tcBorders>
              <w:left w:val="single" w:sz="18" w:space="0" w:color="FFFFFF" w:themeColor="background1"/>
              <w:right w:val="single" w:sz="18" w:space="0" w:color="FFFFFF" w:themeColor="background1"/>
            </w:tcBorders>
            <w:shd w:val="clear" w:color="auto" w:fill="55A5A9"/>
            <w:vAlign w:val="center"/>
          </w:tcPr>
          <w:p w:rsidR="002A5AAF" w:rsidRPr="006A74F8" w:rsidRDefault="002A5AAF"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709" w:type="dxa"/>
            <w:tcBorders>
              <w:left w:val="single" w:sz="18" w:space="0" w:color="FFFFFF" w:themeColor="background1"/>
              <w:right w:val="single" w:sz="18" w:space="0" w:color="FFFFFF" w:themeColor="background1"/>
            </w:tcBorders>
            <w:shd w:val="clear" w:color="auto" w:fill="FA460E"/>
            <w:vAlign w:val="center"/>
          </w:tcPr>
          <w:p w:rsidR="002A5AAF" w:rsidRPr="006A74F8" w:rsidRDefault="002A5AAF"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w:t>
            </w:r>
            <w:r w:rsidRPr="006A74F8">
              <w:rPr>
                <w:rFonts w:cstheme="minorHAnsi"/>
                <w:sz w:val="20"/>
                <w:szCs w:val="18"/>
              </w:rPr>
              <w:t>2</w:t>
            </w:r>
          </w:p>
        </w:tc>
        <w:tc>
          <w:tcPr>
            <w:tcW w:w="4906" w:type="dxa"/>
            <w:vAlign w:val="center"/>
          </w:tcPr>
          <w:p w:rsidR="002A5AAF" w:rsidRPr="009D0085" w:rsidRDefault="002A5AAF" w:rsidP="002A5AA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6432">
              <w:rPr>
                <w:rFonts w:asciiTheme="majorHAnsi" w:hAnsiTheme="majorHAnsi" w:cstheme="majorHAnsi"/>
                <w:sz w:val="20"/>
                <w:szCs w:val="20"/>
              </w:rPr>
              <w:t xml:space="preserve">Option </w:t>
            </w:r>
            <w:r>
              <w:rPr>
                <w:rFonts w:asciiTheme="majorHAnsi" w:hAnsiTheme="majorHAnsi" w:cstheme="majorHAnsi"/>
                <w:sz w:val="20"/>
                <w:szCs w:val="20"/>
              </w:rPr>
              <w:t>2</w:t>
            </w:r>
            <w:r w:rsidRPr="00936432">
              <w:rPr>
                <w:rFonts w:asciiTheme="majorHAnsi" w:hAnsiTheme="majorHAnsi" w:cstheme="majorHAnsi"/>
                <w:sz w:val="20"/>
                <w:szCs w:val="20"/>
              </w:rPr>
              <w:t xml:space="preserve"> </w:t>
            </w:r>
            <w:r>
              <w:rPr>
                <w:rFonts w:asciiTheme="majorHAnsi" w:hAnsiTheme="majorHAnsi" w:cstheme="majorHAnsi"/>
                <w:sz w:val="20"/>
                <w:szCs w:val="20"/>
              </w:rPr>
              <w:t>is</w:t>
            </w:r>
            <w:r w:rsidRPr="00936432">
              <w:rPr>
                <w:rFonts w:asciiTheme="majorHAnsi" w:hAnsiTheme="majorHAnsi" w:cstheme="majorHAnsi"/>
                <w:sz w:val="20"/>
                <w:szCs w:val="20"/>
              </w:rPr>
              <w:t xml:space="preserve"> supported by a robust regulatory frame</w:t>
            </w:r>
            <w:r>
              <w:rPr>
                <w:rFonts w:asciiTheme="majorHAnsi" w:hAnsiTheme="majorHAnsi" w:cstheme="majorHAnsi"/>
                <w:sz w:val="20"/>
                <w:szCs w:val="20"/>
              </w:rPr>
              <w:t xml:space="preserve">work. </w:t>
            </w:r>
            <w:r w:rsidRPr="00936432">
              <w:rPr>
                <w:rFonts w:asciiTheme="majorHAnsi" w:hAnsiTheme="majorHAnsi" w:cstheme="majorHAnsi"/>
                <w:sz w:val="20"/>
                <w:szCs w:val="20"/>
              </w:rPr>
              <w:t xml:space="preserve">Options </w:t>
            </w:r>
            <w:r>
              <w:rPr>
                <w:rFonts w:asciiTheme="majorHAnsi" w:hAnsiTheme="majorHAnsi" w:cstheme="majorHAnsi"/>
                <w:sz w:val="20"/>
                <w:szCs w:val="20"/>
              </w:rPr>
              <w:t>1 an</w:t>
            </w:r>
            <w:r w:rsidRPr="00936432">
              <w:rPr>
                <w:rFonts w:asciiTheme="majorHAnsi" w:hAnsiTheme="majorHAnsi" w:cstheme="majorHAnsi"/>
                <w:sz w:val="20"/>
                <w:szCs w:val="20"/>
              </w:rPr>
              <w:t xml:space="preserve">d </w:t>
            </w:r>
            <w:r>
              <w:rPr>
                <w:rFonts w:asciiTheme="majorHAnsi" w:hAnsiTheme="majorHAnsi" w:cstheme="majorHAnsi"/>
                <w:sz w:val="20"/>
                <w:szCs w:val="20"/>
              </w:rPr>
              <w:t>3</w:t>
            </w:r>
            <w:r w:rsidRPr="00936432">
              <w:rPr>
                <w:rFonts w:asciiTheme="majorHAnsi" w:hAnsiTheme="majorHAnsi" w:cstheme="majorHAnsi"/>
                <w:sz w:val="20"/>
                <w:szCs w:val="20"/>
              </w:rPr>
              <w:t>(</w:t>
            </w:r>
            <w:r>
              <w:rPr>
                <w:rFonts w:asciiTheme="majorHAnsi" w:hAnsiTheme="majorHAnsi" w:cstheme="majorHAnsi"/>
                <w:sz w:val="20"/>
                <w:szCs w:val="20"/>
              </w:rPr>
              <w:t>a</w:t>
            </w:r>
            <w:r w:rsidRPr="00936432">
              <w:rPr>
                <w:rFonts w:asciiTheme="majorHAnsi" w:hAnsiTheme="majorHAnsi" w:cstheme="majorHAnsi"/>
                <w:sz w:val="20"/>
                <w:szCs w:val="20"/>
              </w:rPr>
              <w:t xml:space="preserve">) </w:t>
            </w:r>
            <w:r>
              <w:rPr>
                <w:rFonts w:asciiTheme="majorHAnsi" w:hAnsiTheme="majorHAnsi" w:cstheme="majorHAnsi"/>
                <w:sz w:val="20"/>
                <w:szCs w:val="20"/>
              </w:rPr>
              <w:t xml:space="preserve">provide a robust regulatory framework within state &amp; territory homebirth programs but women who choose to birth outside these programs and experience an adverse event would </w:t>
            </w:r>
            <w:r w:rsidRPr="00936432">
              <w:rPr>
                <w:rFonts w:asciiTheme="majorHAnsi" w:hAnsiTheme="majorHAnsi" w:cstheme="majorHAnsi"/>
                <w:sz w:val="20"/>
                <w:szCs w:val="20"/>
              </w:rPr>
              <w:t>have no recourse except civil action</w:t>
            </w:r>
            <w:r>
              <w:rPr>
                <w:rFonts w:asciiTheme="majorHAnsi" w:hAnsiTheme="majorHAnsi" w:cstheme="majorHAnsi"/>
                <w:sz w:val="20"/>
                <w:szCs w:val="20"/>
              </w:rPr>
              <w:t>.</w:t>
            </w:r>
          </w:p>
        </w:tc>
      </w:tr>
      <w:tr w:rsidR="002A5AAF" w:rsidRPr="006A74F8" w:rsidTr="00D101C3">
        <w:tc>
          <w:tcPr>
            <w:cnfStyle w:val="001000000000" w:firstRow="0" w:lastRow="0" w:firstColumn="1" w:lastColumn="0" w:oddVBand="0" w:evenVBand="0" w:oddHBand="0" w:evenHBand="0" w:firstRowFirstColumn="0" w:firstRowLastColumn="0" w:lastRowFirstColumn="0" w:lastRowLastColumn="0"/>
            <w:tcW w:w="1876" w:type="dxa"/>
            <w:vAlign w:val="center"/>
          </w:tcPr>
          <w:p w:rsidR="002A5AAF" w:rsidRDefault="002A5AAF" w:rsidP="002A5AAF">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Total </w:t>
            </w:r>
          </w:p>
        </w:tc>
        <w:tc>
          <w:tcPr>
            <w:tcW w:w="676" w:type="dxa"/>
            <w:tcBorders>
              <w:right w:val="single" w:sz="18" w:space="0" w:color="FFFFFF" w:themeColor="background1"/>
            </w:tcBorders>
            <w:shd w:val="clear" w:color="auto" w:fill="FA460E"/>
            <w:vAlign w:val="center"/>
          </w:tcPr>
          <w:p w:rsidR="002A5AAF" w:rsidRDefault="00D101C3" w:rsidP="00D101C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-7</w:t>
            </w:r>
          </w:p>
        </w:tc>
        <w:tc>
          <w:tcPr>
            <w:tcW w:w="676" w:type="dxa"/>
            <w:tcBorders>
              <w:left w:val="single" w:sz="18" w:space="0" w:color="FFFFFF" w:themeColor="background1"/>
              <w:right w:val="single" w:sz="18" w:space="0" w:color="FFFFFF" w:themeColor="background1"/>
            </w:tcBorders>
            <w:shd w:val="clear" w:color="auto" w:fill="55A5A9"/>
            <w:vAlign w:val="center"/>
          </w:tcPr>
          <w:p w:rsidR="002A5AAF" w:rsidRDefault="002A5AAF"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+6</w:t>
            </w:r>
          </w:p>
        </w:tc>
        <w:tc>
          <w:tcPr>
            <w:tcW w:w="709" w:type="dxa"/>
            <w:tcBorders>
              <w:left w:val="single" w:sz="18" w:space="0" w:color="FFFFFF" w:themeColor="background1"/>
              <w:right w:val="single" w:sz="18" w:space="0" w:color="FFFFFF" w:themeColor="background1"/>
            </w:tcBorders>
            <w:shd w:val="clear" w:color="auto" w:fill="FA460E"/>
            <w:vAlign w:val="center"/>
          </w:tcPr>
          <w:p w:rsidR="002A5AAF" w:rsidRDefault="00D101C3"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-7</w:t>
            </w:r>
          </w:p>
        </w:tc>
        <w:tc>
          <w:tcPr>
            <w:tcW w:w="4906" w:type="dxa"/>
            <w:vAlign w:val="center"/>
          </w:tcPr>
          <w:p w:rsidR="002A5AAF" w:rsidRPr="006A74F8" w:rsidRDefault="002A5AAF" w:rsidP="002A5AA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rsidR="00066180" w:rsidRDefault="00066180" w:rsidP="00300F71">
      <w:pPr>
        <w:tabs>
          <w:tab w:val="left" w:pos="2127"/>
        </w:tabs>
        <w:spacing w:after="0"/>
        <w:ind w:left="567"/>
        <w:rPr>
          <w:color w:val="1F4E79"/>
          <w:sz w:val="32"/>
          <w:szCs w:val="32"/>
        </w:rPr>
      </w:pPr>
    </w:p>
    <w:p w:rsidR="00066180" w:rsidRPr="00066180" w:rsidRDefault="00066180" w:rsidP="00936432">
      <w:pPr>
        <w:rPr>
          <w:color w:val="1F4E79"/>
          <w:sz w:val="32"/>
          <w:szCs w:val="32"/>
        </w:rPr>
      </w:pPr>
      <w:r w:rsidRPr="00066180">
        <w:rPr>
          <w:color w:val="1F4E79"/>
          <w:sz w:val="32"/>
          <w:szCs w:val="32"/>
        </w:rPr>
        <w:t>Key impacts on PPMs</w:t>
      </w:r>
    </w:p>
    <w:p w:rsidR="009D0085" w:rsidRPr="00B06D6C" w:rsidRDefault="009D0085" w:rsidP="009D0085">
      <w:pPr>
        <w:pStyle w:val="Caption"/>
        <w:keepNext/>
        <w:rPr>
          <w:color w:val="1F4E79"/>
        </w:rPr>
      </w:pPr>
      <w:r w:rsidRPr="00B06D6C">
        <w:rPr>
          <w:color w:val="1F4E79"/>
        </w:rPr>
        <w:t xml:space="preserve">Table </w:t>
      </w:r>
      <w:r w:rsidR="006D1238">
        <w:rPr>
          <w:color w:val="1F4E79"/>
        </w:rPr>
        <w:t>9</w:t>
      </w:r>
      <w:r w:rsidRPr="00B91718">
        <w:rPr>
          <w:color w:val="1F4E79"/>
        </w:rPr>
        <w:t>:</w:t>
      </w:r>
      <w:r w:rsidRPr="00B06D6C">
        <w:rPr>
          <w:color w:val="1F4E79"/>
        </w:rPr>
        <w:t xml:space="preserve"> Summary of key impacts on </w:t>
      </w:r>
      <w:r>
        <w:rPr>
          <w:color w:val="1F4E79"/>
        </w:rPr>
        <w:t>Privately Practising Midwives</w:t>
      </w:r>
    </w:p>
    <w:tbl>
      <w:tblPr>
        <w:tblStyle w:val="PlainTable23"/>
        <w:tblW w:w="8843" w:type="dxa"/>
        <w:tblLayout w:type="fixed"/>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876"/>
        <w:gridCol w:w="676"/>
        <w:gridCol w:w="676"/>
        <w:gridCol w:w="709"/>
        <w:gridCol w:w="4906"/>
      </w:tblGrid>
      <w:tr w:rsidR="002A5AAF" w:rsidRPr="006A74F8" w:rsidTr="002A5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18" w:space="0" w:color="000000" w:themeColor="text1"/>
            </w:tcBorders>
            <w:vAlign w:val="center"/>
          </w:tcPr>
          <w:p w:rsidR="002A5AAF" w:rsidRPr="002A5AAF" w:rsidRDefault="002A5AAF" w:rsidP="00936432">
            <w:pPr>
              <w:rPr>
                <w:rFonts w:cstheme="minorHAnsi"/>
              </w:rPr>
            </w:pPr>
            <w:r w:rsidRPr="002A5AAF">
              <w:rPr>
                <w:rFonts w:cstheme="minorHAnsi"/>
              </w:rPr>
              <w:t>Impact</w:t>
            </w:r>
          </w:p>
        </w:tc>
        <w:tc>
          <w:tcPr>
            <w:tcW w:w="676" w:type="dxa"/>
            <w:tcBorders>
              <w:top w:val="single" w:sz="18" w:space="0" w:color="000000" w:themeColor="text1"/>
            </w:tcBorders>
          </w:tcPr>
          <w:p w:rsidR="002A5AAF" w:rsidRPr="002A5AAF" w:rsidRDefault="002A5AAF"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1</w:t>
            </w:r>
          </w:p>
        </w:tc>
        <w:tc>
          <w:tcPr>
            <w:tcW w:w="676" w:type="dxa"/>
            <w:tcBorders>
              <w:top w:val="single" w:sz="18" w:space="0" w:color="000000" w:themeColor="text1"/>
              <w:bottom w:val="single" w:sz="4" w:space="0" w:color="D0CECE" w:themeColor="background2" w:themeShade="E6"/>
              <w:right w:val="nil"/>
            </w:tcBorders>
            <w:shd w:val="clear" w:color="auto" w:fill="auto"/>
          </w:tcPr>
          <w:p w:rsidR="002A5AAF" w:rsidRPr="002A5AAF" w:rsidRDefault="002A5AAF"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Pr>
                <w:rFonts w:cstheme="minorHAnsi"/>
                <w:b w:val="0"/>
              </w:rPr>
              <w:t>2</w:t>
            </w:r>
          </w:p>
        </w:tc>
        <w:tc>
          <w:tcPr>
            <w:tcW w:w="709" w:type="dxa"/>
            <w:tcBorders>
              <w:top w:val="single" w:sz="18" w:space="0" w:color="000000" w:themeColor="text1"/>
              <w:left w:val="nil"/>
              <w:bottom w:val="single" w:sz="4" w:space="0" w:color="D0CECE" w:themeColor="background2" w:themeShade="E6"/>
              <w:right w:val="single" w:sz="4" w:space="0" w:color="FFFFFF" w:themeColor="background1"/>
            </w:tcBorders>
            <w:shd w:val="clear" w:color="auto" w:fill="auto"/>
            <w:vAlign w:val="center"/>
          </w:tcPr>
          <w:p w:rsidR="002A5AAF" w:rsidRPr="002A5AAF" w:rsidRDefault="002A5AAF"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w:t>
            </w:r>
            <w:r w:rsidRPr="002A5AAF">
              <w:rPr>
                <w:rFonts w:cstheme="minorHAnsi"/>
                <w:b w:val="0"/>
              </w:rPr>
              <w:t>(a)</w:t>
            </w:r>
          </w:p>
        </w:tc>
        <w:tc>
          <w:tcPr>
            <w:tcW w:w="4906" w:type="dxa"/>
            <w:tcBorders>
              <w:top w:val="single" w:sz="18" w:space="0" w:color="000000" w:themeColor="text1"/>
              <w:bottom w:val="single" w:sz="4" w:space="0" w:color="D0CECE" w:themeColor="background2" w:themeShade="E6"/>
            </w:tcBorders>
            <w:vAlign w:val="center"/>
          </w:tcPr>
          <w:p w:rsidR="002A5AAF" w:rsidRPr="002A5AAF" w:rsidRDefault="002A5AAF" w:rsidP="00936432">
            <w:pPr>
              <w:cnfStyle w:val="100000000000" w:firstRow="1" w:lastRow="0" w:firstColumn="0" w:lastColumn="0" w:oddVBand="0" w:evenVBand="0" w:oddHBand="0" w:evenHBand="0" w:firstRowFirstColumn="0" w:firstRowLastColumn="0" w:lastRowFirstColumn="0" w:lastRowLastColumn="0"/>
              <w:rPr>
                <w:rFonts w:cstheme="minorHAnsi"/>
                <w:b w:val="0"/>
              </w:rPr>
            </w:pPr>
            <w:r w:rsidRPr="002A5AAF">
              <w:rPr>
                <w:rFonts w:cstheme="minorHAnsi"/>
                <w:b w:val="0"/>
              </w:rPr>
              <w:t>Explanation</w:t>
            </w:r>
          </w:p>
        </w:tc>
      </w:tr>
      <w:tr w:rsidR="002A5AAF" w:rsidRPr="006A74F8" w:rsidTr="00720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nil"/>
            </w:tcBorders>
            <w:vAlign w:val="center"/>
          </w:tcPr>
          <w:p w:rsidR="002A5AAF" w:rsidRPr="006A74F8" w:rsidRDefault="002A5AAF" w:rsidP="00936432">
            <w:pPr>
              <w:rPr>
                <w:rFonts w:asciiTheme="majorHAnsi" w:eastAsia="Calibri" w:hAnsiTheme="majorHAnsi" w:cstheme="majorHAnsi"/>
                <w:sz w:val="20"/>
                <w:szCs w:val="20"/>
              </w:rPr>
            </w:pPr>
            <w:r>
              <w:rPr>
                <w:rFonts w:asciiTheme="majorHAnsi" w:hAnsiTheme="majorHAnsi" w:cstheme="majorHAnsi"/>
                <w:sz w:val="20"/>
                <w:szCs w:val="20"/>
              </w:rPr>
              <w:t>Scope of professional practice</w:t>
            </w:r>
          </w:p>
        </w:tc>
        <w:tc>
          <w:tcPr>
            <w:tcW w:w="676" w:type="dxa"/>
            <w:tcBorders>
              <w:top w:val="single" w:sz="4" w:space="0" w:color="D0CECE" w:themeColor="background2" w:themeShade="E6"/>
              <w:right w:val="single" w:sz="18" w:space="0" w:color="FFFFFF" w:themeColor="background1"/>
            </w:tcBorders>
            <w:shd w:val="clear" w:color="auto" w:fill="FFFFC5"/>
            <w:vAlign w:val="center"/>
          </w:tcPr>
          <w:p w:rsidR="002A5AAF" w:rsidRPr="006A74F8" w:rsidRDefault="007203FE" w:rsidP="00D101C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0</w:t>
            </w:r>
          </w:p>
        </w:tc>
        <w:tc>
          <w:tcPr>
            <w:tcW w:w="676" w:type="dxa"/>
            <w:tcBorders>
              <w:top w:val="single" w:sz="4" w:space="0" w:color="D0CECE" w:themeColor="background2" w:themeShade="E6"/>
              <w:left w:val="single" w:sz="18" w:space="0" w:color="FFFFFF" w:themeColor="background1"/>
              <w:right w:val="single" w:sz="18" w:space="0" w:color="FFFFFF" w:themeColor="background1"/>
            </w:tcBorders>
            <w:shd w:val="clear" w:color="auto" w:fill="55A5A9"/>
            <w:vAlign w:val="center"/>
          </w:tcPr>
          <w:p w:rsidR="002A5AAF" w:rsidRPr="006A74F8" w:rsidRDefault="002A5AAF"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sidRPr="006A74F8">
              <w:rPr>
                <w:rFonts w:cstheme="minorHAnsi"/>
                <w:sz w:val="20"/>
                <w:szCs w:val="18"/>
              </w:rPr>
              <w:t>+2</w:t>
            </w:r>
          </w:p>
        </w:tc>
        <w:tc>
          <w:tcPr>
            <w:tcW w:w="709" w:type="dxa"/>
            <w:tcBorders>
              <w:top w:val="single" w:sz="4" w:space="0" w:color="D0CECE" w:themeColor="background2" w:themeShade="E6"/>
              <w:left w:val="single" w:sz="18" w:space="0" w:color="FFFFFF" w:themeColor="background1"/>
              <w:right w:val="single" w:sz="18" w:space="0" w:color="FFFFFF" w:themeColor="background1"/>
            </w:tcBorders>
            <w:shd w:val="clear" w:color="auto" w:fill="FA460E"/>
            <w:vAlign w:val="center"/>
          </w:tcPr>
          <w:p w:rsidR="002A5AAF" w:rsidRPr="006A74F8" w:rsidRDefault="002A5AAF"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4906" w:type="dxa"/>
            <w:tcBorders>
              <w:top w:val="single" w:sz="4" w:space="0" w:color="D0CECE" w:themeColor="background2" w:themeShade="E6"/>
            </w:tcBorders>
            <w:vAlign w:val="center"/>
          </w:tcPr>
          <w:p w:rsidR="002A5AAF" w:rsidRPr="006A74F8" w:rsidRDefault="002A5AAF" w:rsidP="002A5AA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hAnsiTheme="majorHAnsi" w:cstheme="majorHAnsi"/>
                <w:color w:val="000000" w:themeColor="text1"/>
                <w:sz w:val="20"/>
                <w:szCs w:val="20"/>
              </w:rPr>
              <w:t xml:space="preserve">Under </w:t>
            </w:r>
            <w:r w:rsidRPr="00B06D6C">
              <w:rPr>
                <w:rFonts w:asciiTheme="majorHAnsi" w:hAnsiTheme="majorHAnsi" w:cstheme="majorHAnsi"/>
                <w:color w:val="000000" w:themeColor="text1"/>
                <w:sz w:val="20"/>
                <w:szCs w:val="20"/>
              </w:rPr>
              <w:t xml:space="preserve">Option </w:t>
            </w:r>
            <w:r>
              <w:rPr>
                <w:rFonts w:asciiTheme="majorHAnsi" w:hAnsiTheme="majorHAnsi" w:cstheme="majorHAnsi"/>
                <w:color w:val="000000" w:themeColor="text1"/>
                <w:sz w:val="20"/>
                <w:szCs w:val="20"/>
              </w:rPr>
              <w:t>2</w:t>
            </w:r>
            <w:r w:rsidRPr="00B06D6C">
              <w:rPr>
                <w:rFonts w:asciiTheme="majorHAnsi" w:hAnsiTheme="majorHAnsi" w:cstheme="majorHAnsi"/>
                <w:color w:val="000000" w:themeColor="text1"/>
                <w:sz w:val="20"/>
                <w:szCs w:val="20"/>
              </w:rPr>
              <w:t xml:space="preserve"> </w:t>
            </w:r>
            <w:r w:rsidRPr="001C66E0">
              <w:rPr>
                <w:sz w:val="20"/>
                <w:szCs w:val="20"/>
              </w:rPr>
              <w:t xml:space="preserve">PPMs </w:t>
            </w:r>
            <w:r>
              <w:rPr>
                <w:rFonts w:cstheme="minorHAnsi"/>
                <w:sz w:val="20"/>
                <w:szCs w:val="20"/>
              </w:rPr>
              <w:t>can work to</w:t>
            </w:r>
            <w:r w:rsidRPr="001C66E0">
              <w:rPr>
                <w:rFonts w:cstheme="minorHAnsi"/>
                <w:sz w:val="20"/>
                <w:szCs w:val="20"/>
              </w:rPr>
              <w:t xml:space="preserve"> full scope of their practice and </w:t>
            </w:r>
            <w:r>
              <w:rPr>
                <w:rFonts w:cstheme="minorHAnsi"/>
                <w:sz w:val="20"/>
                <w:szCs w:val="20"/>
              </w:rPr>
              <w:t>perform</w:t>
            </w:r>
            <w:r w:rsidRPr="001C66E0">
              <w:rPr>
                <w:rFonts w:cstheme="minorHAnsi"/>
                <w:sz w:val="20"/>
                <w:szCs w:val="20"/>
              </w:rPr>
              <w:t xml:space="preserve"> as an insured practitioner. </w:t>
            </w:r>
            <w:r>
              <w:rPr>
                <w:rFonts w:asciiTheme="majorHAnsi" w:eastAsia="Calibri" w:hAnsiTheme="majorHAnsi" w:cstheme="majorHAnsi"/>
                <w:sz w:val="20"/>
                <w:szCs w:val="20"/>
              </w:rPr>
              <w:t>Options 1 and 3(a) restrict PPM scope of practice, depending on state and territory regulatory restrictions, option 3(A) would make it be illegal for PPMs to work outside state and territory programs while under Option 1 PPMs can work to the full scope of their practice but with no safety net.</w:t>
            </w:r>
          </w:p>
        </w:tc>
      </w:tr>
      <w:tr w:rsidR="002A5AAF" w:rsidRPr="006A74F8" w:rsidTr="00D101C3">
        <w:tc>
          <w:tcPr>
            <w:cnfStyle w:val="001000000000" w:firstRow="0" w:lastRow="0" w:firstColumn="1" w:lastColumn="0" w:oddVBand="0" w:evenVBand="0" w:oddHBand="0" w:evenHBand="0" w:firstRowFirstColumn="0" w:firstRowLastColumn="0" w:lastRowFirstColumn="0" w:lastRowLastColumn="0"/>
            <w:tcW w:w="1876" w:type="dxa"/>
            <w:vAlign w:val="center"/>
          </w:tcPr>
          <w:p w:rsidR="002A5AAF" w:rsidRPr="006A74F8" w:rsidRDefault="002A5AAF" w:rsidP="00936432">
            <w:pPr>
              <w:rPr>
                <w:rFonts w:asciiTheme="majorHAnsi" w:eastAsia="Calibri" w:hAnsiTheme="majorHAnsi" w:cstheme="majorHAnsi"/>
                <w:sz w:val="20"/>
                <w:szCs w:val="20"/>
              </w:rPr>
            </w:pPr>
            <w:r>
              <w:rPr>
                <w:rFonts w:asciiTheme="majorHAnsi" w:hAnsiTheme="majorHAnsi" w:cstheme="majorHAnsi"/>
                <w:color w:val="000000"/>
                <w:sz w:val="20"/>
                <w:szCs w:val="20"/>
                <w:lang w:val="en-US"/>
              </w:rPr>
              <w:t>Compliance</w:t>
            </w:r>
            <w:r w:rsidRPr="006A74F8">
              <w:rPr>
                <w:rFonts w:asciiTheme="majorHAnsi" w:hAnsiTheme="majorHAnsi" w:cstheme="majorHAnsi"/>
                <w:color w:val="000000"/>
                <w:sz w:val="20"/>
                <w:szCs w:val="20"/>
                <w:lang w:val="en-US"/>
              </w:rPr>
              <w:t xml:space="preserve"> </w:t>
            </w:r>
          </w:p>
        </w:tc>
        <w:tc>
          <w:tcPr>
            <w:tcW w:w="676" w:type="dxa"/>
            <w:tcBorders>
              <w:right w:val="single" w:sz="18" w:space="0" w:color="FFFFFF" w:themeColor="background1"/>
            </w:tcBorders>
            <w:shd w:val="clear" w:color="auto" w:fill="FA460E"/>
            <w:vAlign w:val="center"/>
          </w:tcPr>
          <w:p w:rsidR="002A5AAF" w:rsidRDefault="00D101C3" w:rsidP="002A5AA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sidRPr="00D101C3">
              <w:rPr>
                <w:rFonts w:cstheme="minorHAnsi"/>
                <w:sz w:val="20"/>
                <w:szCs w:val="18"/>
                <w:shd w:val="clear" w:color="auto" w:fill="FA460E"/>
              </w:rPr>
              <w:t>-2</w:t>
            </w:r>
          </w:p>
        </w:tc>
        <w:tc>
          <w:tcPr>
            <w:tcW w:w="676" w:type="dxa"/>
            <w:tcBorders>
              <w:left w:val="single" w:sz="18" w:space="0" w:color="FFFFFF" w:themeColor="background1"/>
              <w:right w:val="single" w:sz="18" w:space="0" w:color="FFFFFF" w:themeColor="background1"/>
            </w:tcBorders>
            <w:shd w:val="clear" w:color="auto" w:fill="55A5A9"/>
            <w:vAlign w:val="center"/>
          </w:tcPr>
          <w:p w:rsidR="002A5AAF" w:rsidRPr="006A74F8" w:rsidRDefault="002A5AAF"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709" w:type="dxa"/>
            <w:tcBorders>
              <w:left w:val="single" w:sz="18" w:space="0" w:color="FFFFFF" w:themeColor="background1"/>
              <w:right w:val="single" w:sz="18" w:space="0" w:color="FFFFFF" w:themeColor="background1"/>
            </w:tcBorders>
            <w:shd w:val="clear" w:color="auto" w:fill="FA460E"/>
            <w:vAlign w:val="center"/>
          </w:tcPr>
          <w:p w:rsidR="002A5AAF" w:rsidRPr="006A74F8" w:rsidRDefault="002A5AAF"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w:t>
            </w:r>
            <w:r w:rsidRPr="006A74F8">
              <w:rPr>
                <w:rFonts w:cstheme="minorHAnsi"/>
                <w:sz w:val="20"/>
                <w:szCs w:val="18"/>
              </w:rPr>
              <w:t>2</w:t>
            </w:r>
          </w:p>
        </w:tc>
        <w:tc>
          <w:tcPr>
            <w:tcW w:w="4906" w:type="dxa"/>
            <w:vAlign w:val="center"/>
          </w:tcPr>
          <w:p w:rsidR="002A5AAF" w:rsidRPr="009D0085" w:rsidRDefault="002A5AAF" w:rsidP="00DE112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Under </w:t>
            </w:r>
            <w:r w:rsidRPr="006A74F8">
              <w:rPr>
                <w:rFonts w:asciiTheme="majorHAnsi" w:hAnsiTheme="majorHAnsi" w:cstheme="majorHAnsi"/>
                <w:sz w:val="20"/>
                <w:szCs w:val="20"/>
              </w:rPr>
              <w:t>Option</w:t>
            </w:r>
            <w:r>
              <w:rPr>
                <w:rFonts w:asciiTheme="majorHAnsi" w:hAnsiTheme="majorHAnsi" w:cstheme="majorHAnsi"/>
                <w:sz w:val="20"/>
                <w:szCs w:val="20"/>
              </w:rPr>
              <w:t>s 2</w:t>
            </w:r>
            <w:r w:rsidRPr="006A74F8">
              <w:rPr>
                <w:rFonts w:asciiTheme="majorHAnsi" w:hAnsiTheme="majorHAnsi" w:cstheme="majorHAnsi"/>
                <w:sz w:val="20"/>
                <w:szCs w:val="20"/>
              </w:rPr>
              <w:t xml:space="preserve"> </w:t>
            </w:r>
            <w:r>
              <w:rPr>
                <w:rFonts w:asciiTheme="majorHAnsi" w:hAnsiTheme="majorHAnsi" w:cstheme="majorHAnsi"/>
                <w:sz w:val="20"/>
                <w:szCs w:val="20"/>
              </w:rPr>
              <w:t>and 3(a) PPMs are supported by a robust regu</w:t>
            </w:r>
            <w:r w:rsidR="00DE112A">
              <w:rPr>
                <w:rFonts w:asciiTheme="majorHAnsi" w:hAnsiTheme="majorHAnsi" w:cstheme="majorHAnsi"/>
                <w:sz w:val="20"/>
                <w:szCs w:val="20"/>
              </w:rPr>
              <w:t>latory framework. Under Option 3</w:t>
            </w:r>
            <w:r>
              <w:rPr>
                <w:rFonts w:asciiTheme="majorHAnsi" w:hAnsiTheme="majorHAnsi" w:cstheme="majorHAnsi"/>
                <w:sz w:val="20"/>
                <w:szCs w:val="20"/>
              </w:rPr>
              <w:t xml:space="preserve">(a), it would be unlawful for a PPM to practice outside of state or territory program, and for both </w:t>
            </w:r>
            <w:r w:rsidR="00DE112A">
              <w:rPr>
                <w:rFonts w:asciiTheme="majorHAnsi" w:hAnsiTheme="majorHAnsi" w:cstheme="majorHAnsi"/>
                <w:sz w:val="20"/>
                <w:szCs w:val="20"/>
              </w:rPr>
              <w:t>1 and 3</w:t>
            </w:r>
            <w:r>
              <w:rPr>
                <w:rFonts w:asciiTheme="majorHAnsi" w:hAnsiTheme="majorHAnsi" w:cstheme="majorHAnsi"/>
                <w:sz w:val="20"/>
                <w:szCs w:val="20"/>
              </w:rPr>
              <w:t>(a) where an adverse event occurs, PPMs could be subject to litigation.</w:t>
            </w:r>
          </w:p>
        </w:tc>
      </w:tr>
      <w:tr w:rsidR="002A5AAF" w:rsidRPr="006A74F8" w:rsidTr="00720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vAlign w:val="center"/>
          </w:tcPr>
          <w:p w:rsidR="002A5AAF" w:rsidRDefault="002A5AAF" w:rsidP="00936432">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Total</w:t>
            </w:r>
          </w:p>
        </w:tc>
        <w:tc>
          <w:tcPr>
            <w:tcW w:w="676" w:type="dxa"/>
            <w:tcBorders>
              <w:right w:val="single" w:sz="18" w:space="0" w:color="FFFFFF" w:themeColor="background1"/>
            </w:tcBorders>
            <w:shd w:val="clear" w:color="auto" w:fill="FF9021"/>
            <w:vAlign w:val="center"/>
          </w:tcPr>
          <w:p w:rsidR="002A5AAF" w:rsidRDefault="007203FE" w:rsidP="002A5AA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676" w:type="dxa"/>
            <w:tcBorders>
              <w:left w:val="single" w:sz="18" w:space="0" w:color="FFFFFF" w:themeColor="background1"/>
              <w:right w:val="single" w:sz="18" w:space="0" w:color="FFFFFF" w:themeColor="background1"/>
            </w:tcBorders>
            <w:shd w:val="clear" w:color="auto" w:fill="55A5A9"/>
            <w:vAlign w:val="center"/>
          </w:tcPr>
          <w:p w:rsidR="002A5AAF" w:rsidRDefault="002A5AAF"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+4</w:t>
            </w:r>
          </w:p>
        </w:tc>
        <w:tc>
          <w:tcPr>
            <w:tcW w:w="709" w:type="dxa"/>
            <w:tcBorders>
              <w:left w:val="single" w:sz="18" w:space="0" w:color="FFFFFF" w:themeColor="background1"/>
              <w:right w:val="single" w:sz="18" w:space="0" w:color="FFFFFF" w:themeColor="background1"/>
            </w:tcBorders>
            <w:shd w:val="clear" w:color="auto" w:fill="FA460E"/>
            <w:vAlign w:val="center"/>
          </w:tcPr>
          <w:p w:rsidR="002A5AAF" w:rsidRDefault="002A5AAF"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-4</w:t>
            </w:r>
          </w:p>
        </w:tc>
        <w:tc>
          <w:tcPr>
            <w:tcW w:w="4906" w:type="dxa"/>
            <w:vAlign w:val="center"/>
          </w:tcPr>
          <w:p w:rsidR="002A5AAF" w:rsidRDefault="002A5AAF" w:rsidP="0093643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rsidR="002A5AAF" w:rsidRDefault="002A5AAF" w:rsidP="00936432">
      <w:pPr>
        <w:rPr>
          <w:color w:val="1F4E79"/>
          <w:sz w:val="32"/>
          <w:szCs w:val="32"/>
        </w:rPr>
      </w:pPr>
    </w:p>
    <w:p w:rsidR="00066180" w:rsidRPr="00066180" w:rsidRDefault="00066180" w:rsidP="00936432">
      <w:pPr>
        <w:rPr>
          <w:color w:val="1F4E79"/>
          <w:sz w:val="32"/>
          <w:szCs w:val="32"/>
        </w:rPr>
      </w:pPr>
      <w:r w:rsidRPr="00066180">
        <w:rPr>
          <w:color w:val="1F4E79"/>
          <w:sz w:val="32"/>
          <w:szCs w:val="32"/>
        </w:rPr>
        <w:t>Key impacts on industry</w:t>
      </w:r>
    </w:p>
    <w:p w:rsidR="001A5DE7" w:rsidRPr="00B06D6C" w:rsidRDefault="001A5DE7" w:rsidP="001A5DE7">
      <w:pPr>
        <w:pStyle w:val="Caption"/>
        <w:keepNext/>
        <w:rPr>
          <w:color w:val="1F4E79"/>
        </w:rPr>
      </w:pPr>
      <w:r w:rsidRPr="00B06D6C">
        <w:rPr>
          <w:color w:val="1F4E79"/>
        </w:rPr>
        <w:t xml:space="preserve">Table </w:t>
      </w:r>
      <w:r w:rsidR="006D1238">
        <w:rPr>
          <w:color w:val="1F4E79"/>
        </w:rPr>
        <w:t>10</w:t>
      </w:r>
      <w:r w:rsidRPr="00B06D6C">
        <w:rPr>
          <w:color w:val="1F4E79"/>
        </w:rPr>
        <w:t xml:space="preserve">: Summary of key impacts on </w:t>
      </w:r>
      <w:r w:rsidR="00681B46">
        <w:rPr>
          <w:color w:val="1F4E79"/>
        </w:rPr>
        <w:t>industry</w:t>
      </w:r>
    </w:p>
    <w:tbl>
      <w:tblPr>
        <w:tblStyle w:val="PlainTable23"/>
        <w:tblW w:w="8843" w:type="dxa"/>
        <w:tblLayout w:type="fixed"/>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876"/>
        <w:gridCol w:w="676"/>
        <w:gridCol w:w="676"/>
        <w:gridCol w:w="709"/>
        <w:gridCol w:w="4906"/>
      </w:tblGrid>
      <w:tr w:rsidR="00DE112A" w:rsidRPr="006A74F8" w:rsidTr="00DE1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18" w:space="0" w:color="000000" w:themeColor="text1"/>
            </w:tcBorders>
            <w:vAlign w:val="center"/>
          </w:tcPr>
          <w:p w:rsidR="00DE112A" w:rsidRPr="00DE112A" w:rsidRDefault="00DE112A" w:rsidP="00936432">
            <w:pPr>
              <w:rPr>
                <w:rFonts w:asciiTheme="majorHAnsi" w:hAnsiTheme="majorHAnsi" w:cstheme="majorHAnsi"/>
              </w:rPr>
            </w:pPr>
            <w:r w:rsidRPr="00DE112A">
              <w:rPr>
                <w:rFonts w:asciiTheme="majorHAnsi" w:hAnsiTheme="majorHAnsi" w:cstheme="majorHAnsi"/>
              </w:rPr>
              <w:t>Impact</w:t>
            </w:r>
          </w:p>
        </w:tc>
        <w:tc>
          <w:tcPr>
            <w:tcW w:w="676" w:type="dxa"/>
            <w:tcBorders>
              <w:top w:val="single" w:sz="18" w:space="0" w:color="000000" w:themeColor="text1"/>
            </w:tcBorders>
          </w:tcPr>
          <w:p w:rsidR="00DE112A" w:rsidRPr="00B06D6C"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p>
        </w:tc>
        <w:tc>
          <w:tcPr>
            <w:tcW w:w="676" w:type="dxa"/>
            <w:tcBorders>
              <w:top w:val="single" w:sz="18" w:space="0" w:color="000000" w:themeColor="text1"/>
              <w:bottom w:val="single" w:sz="4" w:space="0" w:color="D0CECE" w:themeColor="background2" w:themeShade="E6"/>
              <w:right w:val="nil"/>
            </w:tcBorders>
            <w:shd w:val="clear" w:color="auto" w:fill="auto"/>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sidRPr="00B06D6C">
              <w:rPr>
                <w:rFonts w:cstheme="minorHAnsi"/>
                <w:b w:val="0"/>
              </w:rPr>
              <w:t>1</w:t>
            </w:r>
          </w:p>
        </w:tc>
        <w:tc>
          <w:tcPr>
            <w:tcW w:w="709" w:type="dxa"/>
            <w:tcBorders>
              <w:top w:val="single" w:sz="18" w:space="0" w:color="000000" w:themeColor="text1"/>
              <w:left w:val="nil"/>
              <w:bottom w:val="single" w:sz="4" w:space="0" w:color="D0CECE" w:themeColor="background2" w:themeShade="E6"/>
              <w:right w:val="single" w:sz="4" w:space="0" w:color="FFFFFF" w:themeColor="background1"/>
            </w:tcBorders>
            <w:shd w:val="clear" w:color="auto" w:fill="auto"/>
            <w:vAlign w:val="center"/>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461E94">
              <w:rPr>
                <w:rFonts w:cstheme="minorHAnsi"/>
                <w:b w:val="0"/>
              </w:rPr>
              <w:t>2(a)</w:t>
            </w:r>
          </w:p>
        </w:tc>
        <w:tc>
          <w:tcPr>
            <w:tcW w:w="4906" w:type="dxa"/>
            <w:tcBorders>
              <w:top w:val="single" w:sz="18" w:space="0" w:color="000000" w:themeColor="text1"/>
              <w:bottom w:val="single" w:sz="4" w:space="0" w:color="D0CECE" w:themeColor="background2" w:themeShade="E6"/>
            </w:tcBorders>
            <w:vAlign w:val="center"/>
          </w:tcPr>
          <w:p w:rsidR="00DE112A" w:rsidRPr="00DE112A" w:rsidRDefault="00DE112A" w:rsidP="0093643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DE112A">
              <w:rPr>
                <w:rFonts w:asciiTheme="majorHAnsi" w:hAnsiTheme="majorHAnsi" w:cstheme="majorHAnsi"/>
                <w:b w:val="0"/>
              </w:rPr>
              <w:t>Explanation</w:t>
            </w:r>
          </w:p>
        </w:tc>
      </w:tr>
      <w:tr w:rsidR="00DE112A" w:rsidRPr="006A74F8" w:rsidTr="00DE1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nil"/>
              <w:bottom w:val="single" w:sz="4" w:space="0" w:color="000000" w:themeColor="text1"/>
            </w:tcBorders>
            <w:vAlign w:val="center"/>
          </w:tcPr>
          <w:p w:rsidR="00DE112A" w:rsidRPr="006A74F8" w:rsidRDefault="00DE112A" w:rsidP="00936432">
            <w:pPr>
              <w:rPr>
                <w:rFonts w:asciiTheme="majorHAnsi" w:eastAsia="Calibri" w:hAnsiTheme="majorHAnsi" w:cstheme="majorHAnsi"/>
                <w:sz w:val="20"/>
                <w:szCs w:val="20"/>
              </w:rPr>
            </w:pPr>
            <w:r>
              <w:rPr>
                <w:rFonts w:asciiTheme="majorHAnsi" w:hAnsiTheme="majorHAnsi" w:cstheme="majorHAnsi"/>
                <w:sz w:val="20"/>
                <w:szCs w:val="20"/>
              </w:rPr>
              <w:t>Administrative</w:t>
            </w:r>
          </w:p>
        </w:tc>
        <w:tc>
          <w:tcPr>
            <w:tcW w:w="676" w:type="dxa"/>
            <w:tcBorders>
              <w:top w:val="single" w:sz="4" w:space="0" w:color="D0CECE" w:themeColor="background2" w:themeShade="E6"/>
              <w:bottom w:val="single" w:sz="4" w:space="0" w:color="000000" w:themeColor="text1"/>
            </w:tcBorders>
            <w:shd w:val="clear" w:color="auto" w:fill="FFFFC5"/>
            <w:vAlign w:val="center"/>
          </w:tcPr>
          <w:p w:rsidR="00DE112A" w:rsidRDefault="00DE112A" w:rsidP="00DE11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0</w:t>
            </w:r>
          </w:p>
        </w:tc>
        <w:tc>
          <w:tcPr>
            <w:tcW w:w="676" w:type="dxa"/>
            <w:tcBorders>
              <w:top w:val="single" w:sz="4" w:space="0" w:color="D0CECE" w:themeColor="background2" w:themeShade="E6"/>
              <w:bottom w:val="single" w:sz="4" w:space="0" w:color="000000" w:themeColor="text1"/>
              <w:right w:val="single" w:sz="18" w:space="0" w:color="FFFFFF" w:themeColor="background1"/>
            </w:tcBorders>
            <w:shd w:val="clear" w:color="auto" w:fill="FFBC79"/>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Pr>
                <w:rFonts w:cstheme="minorHAnsi"/>
                <w:sz w:val="20"/>
                <w:szCs w:val="18"/>
              </w:rPr>
              <w:t>-1</w:t>
            </w:r>
          </w:p>
        </w:tc>
        <w:tc>
          <w:tcPr>
            <w:tcW w:w="709" w:type="dxa"/>
            <w:tcBorders>
              <w:top w:val="single" w:sz="4" w:space="0" w:color="D0CECE" w:themeColor="background2" w:themeShade="E6"/>
              <w:left w:val="single" w:sz="18" w:space="0" w:color="FFFFFF" w:themeColor="background1"/>
              <w:bottom w:val="single" w:sz="4" w:space="0" w:color="000000" w:themeColor="text1"/>
              <w:right w:val="single" w:sz="18" w:space="0" w:color="FFFFFF" w:themeColor="background1"/>
            </w:tcBorders>
            <w:shd w:val="clear" w:color="auto" w:fill="FFFFC5"/>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0</w:t>
            </w:r>
          </w:p>
        </w:tc>
        <w:tc>
          <w:tcPr>
            <w:tcW w:w="4906" w:type="dxa"/>
            <w:tcBorders>
              <w:top w:val="single" w:sz="4" w:space="0" w:color="D0CECE" w:themeColor="background2" w:themeShade="E6"/>
              <w:bottom w:val="single" w:sz="4" w:space="0" w:color="000000" w:themeColor="text1"/>
            </w:tcBorders>
            <w:vAlign w:val="center"/>
          </w:tcPr>
          <w:p w:rsidR="00DE112A" w:rsidRPr="006A74F8" w:rsidRDefault="0070788A" w:rsidP="0070788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eastAsia="Calibri" w:hAnsiTheme="majorHAnsi" w:cstheme="majorHAnsi"/>
                <w:sz w:val="20"/>
                <w:szCs w:val="20"/>
              </w:rPr>
              <w:t>Under Option 2</w:t>
            </w:r>
            <w:r w:rsidR="00DE112A">
              <w:rPr>
                <w:rFonts w:asciiTheme="majorHAnsi" w:eastAsia="Calibri" w:hAnsiTheme="majorHAnsi" w:cstheme="majorHAnsi"/>
                <w:sz w:val="20"/>
                <w:szCs w:val="20"/>
              </w:rPr>
              <w:t xml:space="preserve">, insurers would need to quantify risks for new services and adjust medical indemnity premiums for midwifery services, and update midwifery policies and IT systems. Options </w:t>
            </w:r>
            <w:r>
              <w:rPr>
                <w:rFonts w:asciiTheme="majorHAnsi" w:eastAsia="Calibri" w:hAnsiTheme="majorHAnsi" w:cstheme="majorHAnsi"/>
                <w:sz w:val="20"/>
                <w:szCs w:val="20"/>
              </w:rPr>
              <w:t>1 an</w:t>
            </w:r>
            <w:r w:rsidR="00DE112A">
              <w:rPr>
                <w:rFonts w:asciiTheme="majorHAnsi" w:eastAsia="Calibri" w:hAnsiTheme="majorHAnsi" w:cstheme="majorHAnsi"/>
                <w:sz w:val="20"/>
                <w:szCs w:val="20"/>
              </w:rPr>
              <w:t xml:space="preserve">d </w:t>
            </w:r>
            <w:r>
              <w:rPr>
                <w:rFonts w:asciiTheme="majorHAnsi" w:eastAsia="Calibri" w:hAnsiTheme="majorHAnsi" w:cstheme="majorHAnsi"/>
                <w:sz w:val="20"/>
                <w:szCs w:val="20"/>
              </w:rPr>
              <w:t>3(a)</w:t>
            </w:r>
            <w:r w:rsidR="00DE112A">
              <w:rPr>
                <w:rFonts w:asciiTheme="majorHAnsi" w:eastAsia="Calibri" w:hAnsiTheme="majorHAnsi" w:cstheme="majorHAnsi"/>
                <w:sz w:val="20"/>
                <w:szCs w:val="20"/>
              </w:rPr>
              <w:t xml:space="preserve">) would maintain the status quo for insurer. </w:t>
            </w:r>
          </w:p>
        </w:tc>
      </w:tr>
      <w:tr w:rsidR="00DE112A" w:rsidRPr="006A74F8" w:rsidTr="00DE112A">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000000" w:themeColor="text1"/>
            </w:tcBorders>
            <w:vAlign w:val="center"/>
          </w:tcPr>
          <w:p w:rsidR="00DE112A" w:rsidRDefault="00DE112A" w:rsidP="00936432">
            <w:pPr>
              <w:rPr>
                <w:rFonts w:asciiTheme="majorHAnsi" w:hAnsiTheme="majorHAnsi" w:cstheme="majorHAnsi"/>
                <w:sz w:val="20"/>
                <w:szCs w:val="20"/>
              </w:rPr>
            </w:pPr>
            <w:r>
              <w:rPr>
                <w:rFonts w:asciiTheme="majorHAnsi" w:hAnsiTheme="majorHAnsi" w:cstheme="majorHAnsi"/>
                <w:sz w:val="20"/>
                <w:szCs w:val="20"/>
              </w:rPr>
              <w:t>Total</w:t>
            </w:r>
          </w:p>
        </w:tc>
        <w:tc>
          <w:tcPr>
            <w:tcW w:w="676" w:type="dxa"/>
            <w:tcBorders>
              <w:top w:val="single" w:sz="4" w:space="0" w:color="000000" w:themeColor="text1"/>
            </w:tcBorders>
            <w:shd w:val="clear" w:color="auto" w:fill="FFFFC5"/>
            <w:vAlign w:val="center"/>
          </w:tcPr>
          <w:p w:rsidR="00DE112A" w:rsidRDefault="00DE112A" w:rsidP="00DE112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0</w:t>
            </w:r>
          </w:p>
        </w:tc>
        <w:tc>
          <w:tcPr>
            <w:tcW w:w="676" w:type="dxa"/>
            <w:tcBorders>
              <w:top w:val="single" w:sz="4" w:space="0" w:color="000000" w:themeColor="text1"/>
              <w:right w:val="single" w:sz="18" w:space="0" w:color="FFFFFF" w:themeColor="background1"/>
            </w:tcBorders>
            <w:shd w:val="clear" w:color="auto" w:fill="FFBC79"/>
            <w:vAlign w:val="center"/>
          </w:tcPr>
          <w:p w:rsidR="00DE112A"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w:t>
            </w:r>
          </w:p>
        </w:tc>
        <w:tc>
          <w:tcPr>
            <w:tcW w:w="709" w:type="dxa"/>
            <w:tcBorders>
              <w:top w:val="single" w:sz="4" w:space="0" w:color="000000" w:themeColor="text1"/>
              <w:left w:val="single" w:sz="18" w:space="0" w:color="FFFFFF" w:themeColor="background1"/>
              <w:right w:val="single" w:sz="18" w:space="0" w:color="FFFFFF" w:themeColor="background1"/>
            </w:tcBorders>
            <w:shd w:val="clear" w:color="auto" w:fill="FFFFC5"/>
            <w:vAlign w:val="center"/>
          </w:tcPr>
          <w:p w:rsidR="00DE112A"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0</w:t>
            </w:r>
          </w:p>
        </w:tc>
        <w:tc>
          <w:tcPr>
            <w:tcW w:w="4906" w:type="dxa"/>
            <w:tcBorders>
              <w:top w:val="single" w:sz="4" w:space="0" w:color="000000" w:themeColor="text1"/>
            </w:tcBorders>
            <w:vAlign w:val="center"/>
          </w:tcPr>
          <w:p w:rsidR="00DE112A" w:rsidRDefault="00DE112A" w:rsidP="00936432">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0"/>
                <w:szCs w:val="20"/>
              </w:rPr>
            </w:pPr>
          </w:p>
        </w:tc>
      </w:tr>
    </w:tbl>
    <w:p w:rsidR="00936432" w:rsidRDefault="00936432" w:rsidP="00936432">
      <w:pPr>
        <w:tabs>
          <w:tab w:val="left" w:pos="2127"/>
        </w:tabs>
        <w:rPr>
          <w:color w:val="1F4E79"/>
          <w:sz w:val="32"/>
          <w:szCs w:val="32"/>
        </w:rPr>
      </w:pPr>
    </w:p>
    <w:p w:rsidR="00066180" w:rsidRPr="00066180" w:rsidRDefault="00066180" w:rsidP="00936432">
      <w:pPr>
        <w:tabs>
          <w:tab w:val="left" w:pos="2127"/>
        </w:tabs>
        <w:rPr>
          <w:color w:val="1F4E79"/>
          <w:sz w:val="32"/>
          <w:szCs w:val="32"/>
        </w:rPr>
      </w:pPr>
      <w:r w:rsidRPr="00066180">
        <w:rPr>
          <w:color w:val="1F4E79"/>
          <w:sz w:val="32"/>
          <w:szCs w:val="32"/>
        </w:rPr>
        <w:t>Key im</w:t>
      </w:r>
      <w:r w:rsidR="00681B46">
        <w:rPr>
          <w:color w:val="1F4E79"/>
          <w:sz w:val="32"/>
          <w:szCs w:val="32"/>
        </w:rPr>
        <w:t xml:space="preserve">pacts on </w:t>
      </w:r>
      <w:r w:rsidRPr="00066180">
        <w:rPr>
          <w:color w:val="1F4E79"/>
          <w:sz w:val="32"/>
          <w:szCs w:val="32"/>
        </w:rPr>
        <w:t>regulator</w:t>
      </w:r>
    </w:p>
    <w:p w:rsidR="00681B46" w:rsidRPr="00B06D6C" w:rsidRDefault="00681B46" w:rsidP="00681B46">
      <w:pPr>
        <w:pStyle w:val="Caption"/>
        <w:keepNext/>
        <w:rPr>
          <w:color w:val="1F4E79"/>
        </w:rPr>
      </w:pPr>
      <w:r w:rsidRPr="00B06D6C">
        <w:rPr>
          <w:color w:val="1F4E79"/>
        </w:rPr>
        <w:t xml:space="preserve">Table </w:t>
      </w:r>
      <w:r w:rsidR="00F71386">
        <w:rPr>
          <w:color w:val="1F4E79"/>
        </w:rPr>
        <w:t>1</w:t>
      </w:r>
      <w:r w:rsidR="006D1238">
        <w:rPr>
          <w:color w:val="1F4E79"/>
        </w:rPr>
        <w:t>1</w:t>
      </w:r>
      <w:r w:rsidRPr="00B06D6C">
        <w:rPr>
          <w:color w:val="1F4E79"/>
        </w:rPr>
        <w:t xml:space="preserve">: Summary of key impacts on </w:t>
      </w:r>
      <w:r>
        <w:rPr>
          <w:color w:val="1F4E79"/>
        </w:rPr>
        <w:t>regulator</w:t>
      </w:r>
    </w:p>
    <w:tbl>
      <w:tblPr>
        <w:tblStyle w:val="PlainTable23"/>
        <w:tblW w:w="8843" w:type="dxa"/>
        <w:tblLayout w:type="fixed"/>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876"/>
        <w:gridCol w:w="676"/>
        <w:gridCol w:w="676"/>
        <w:gridCol w:w="709"/>
        <w:gridCol w:w="4906"/>
      </w:tblGrid>
      <w:tr w:rsidR="00DE112A" w:rsidRPr="006A74F8" w:rsidTr="00DE1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18" w:space="0" w:color="000000" w:themeColor="text1"/>
            </w:tcBorders>
            <w:vAlign w:val="center"/>
          </w:tcPr>
          <w:p w:rsidR="00DE112A" w:rsidRPr="00DE112A" w:rsidRDefault="00DE112A" w:rsidP="00936432">
            <w:pPr>
              <w:rPr>
                <w:rFonts w:cstheme="minorHAnsi"/>
              </w:rPr>
            </w:pPr>
            <w:r w:rsidRPr="00DE112A">
              <w:rPr>
                <w:rFonts w:cstheme="minorHAnsi"/>
              </w:rPr>
              <w:t>Impact</w:t>
            </w:r>
          </w:p>
        </w:tc>
        <w:tc>
          <w:tcPr>
            <w:tcW w:w="676" w:type="dxa"/>
            <w:tcBorders>
              <w:top w:val="single" w:sz="18" w:space="0" w:color="000000" w:themeColor="text1"/>
              <w:right w:val="single" w:sz="18" w:space="0" w:color="FFFFFF" w:themeColor="background1"/>
            </w:tcBorders>
          </w:tcPr>
          <w:p w:rsidR="00DE112A" w:rsidRPr="00B06D6C"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1</w:t>
            </w:r>
          </w:p>
        </w:tc>
        <w:tc>
          <w:tcPr>
            <w:tcW w:w="676" w:type="dxa"/>
            <w:tcBorders>
              <w:top w:val="single" w:sz="18" w:space="0" w:color="000000" w:themeColor="text1"/>
              <w:left w:val="single" w:sz="18" w:space="0" w:color="FFFFFF" w:themeColor="background1"/>
              <w:bottom w:val="single" w:sz="4" w:space="0" w:color="D0CECE" w:themeColor="background2" w:themeShade="E6"/>
              <w:right w:val="nil"/>
            </w:tcBorders>
            <w:shd w:val="clear" w:color="auto" w:fill="auto"/>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Pr>
                <w:rFonts w:cstheme="minorHAnsi"/>
                <w:b w:val="0"/>
              </w:rPr>
              <w:t>2</w:t>
            </w:r>
          </w:p>
        </w:tc>
        <w:tc>
          <w:tcPr>
            <w:tcW w:w="709" w:type="dxa"/>
            <w:tcBorders>
              <w:top w:val="single" w:sz="18" w:space="0" w:color="000000" w:themeColor="text1"/>
              <w:left w:val="nil"/>
              <w:bottom w:val="single" w:sz="4" w:space="0" w:color="D0CECE" w:themeColor="background2" w:themeShade="E6"/>
              <w:right w:val="single" w:sz="4" w:space="0" w:color="FFFFFF" w:themeColor="background1"/>
            </w:tcBorders>
            <w:shd w:val="clear" w:color="auto" w:fill="auto"/>
            <w:vAlign w:val="center"/>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w:t>
            </w:r>
            <w:r w:rsidRPr="00461E94">
              <w:rPr>
                <w:rFonts w:cstheme="minorHAnsi"/>
                <w:b w:val="0"/>
              </w:rPr>
              <w:t>(a)</w:t>
            </w:r>
          </w:p>
        </w:tc>
        <w:tc>
          <w:tcPr>
            <w:tcW w:w="4906" w:type="dxa"/>
            <w:tcBorders>
              <w:top w:val="single" w:sz="18" w:space="0" w:color="000000" w:themeColor="text1"/>
              <w:bottom w:val="single" w:sz="4" w:space="0" w:color="D0CECE" w:themeColor="background2" w:themeShade="E6"/>
            </w:tcBorders>
            <w:vAlign w:val="center"/>
          </w:tcPr>
          <w:p w:rsidR="00DE112A" w:rsidRPr="00DE112A" w:rsidRDefault="00DE112A" w:rsidP="00936432">
            <w:pPr>
              <w:cnfStyle w:val="100000000000" w:firstRow="1" w:lastRow="0" w:firstColumn="0" w:lastColumn="0" w:oddVBand="0" w:evenVBand="0" w:oddHBand="0" w:evenHBand="0" w:firstRowFirstColumn="0" w:firstRowLastColumn="0" w:lastRowFirstColumn="0" w:lastRowLastColumn="0"/>
              <w:rPr>
                <w:rFonts w:cstheme="minorHAnsi"/>
                <w:b w:val="0"/>
              </w:rPr>
            </w:pPr>
            <w:r w:rsidRPr="00DE112A">
              <w:rPr>
                <w:rFonts w:cstheme="minorHAnsi"/>
                <w:b w:val="0"/>
              </w:rPr>
              <w:t>Explanation</w:t>
            </w:r>
          </w:p>
        </w:tc>
      </w:tr>
      <w:tr w:rsidR="00DE112A" w:rsidRPr="006A74F8" w:rsidTr="00D1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nil"/>
              <w:bottom w:val="single" w:sz="4" w:space="0" w:color="000000" w:themeColor="text1"/>
            </w:tcBorders>
            <w:vAlign w:val="center"/>
          </w:tcPr>
          <w:p w:rsidR="00DE112A" w:rsidRPr="006A74F8" w:rsidRDefault="00DE112A" w:rsidP="00936432">
            <w:pPr>
              <w:rPr>
                <w:rFonts w:asciiTheme="majorHAnsi" w:eastAsia="Calibri" w:hAnsiTheme="majorHAnsi" w:cstheme="majorHAnsi"/>
                <w:sz w:val="20"/>
                <w:szCs w:val="20"/>
              </w:rPr>
            </w:pPr>
            <w:r>
              <w:rPr>
                <w:rFonts w:asciiTheme="majorHAnsi" w:hAnsiTheme="majorHAnsi" w:cstheme="majorHAnsi"/>
                <w:sz w:val="20"/>
                <w:szCs w:val="20"/>
              </w:rPr>
              <w:t>Administrative</w:t>
            </w:r>
          </w:p>
        </w:tc>
        <w:tc>
          <w:tcPr>
            <w:tcW w:w="676" w:type="dxa"/>
            <w:tcBorders>
              <w:top w:val="single" w:sz="4" w:space="0" w:color="D0CECE" w:themeColor="background2" w:themeShade="E6"/>
              <w:bottom w:val="single" w:sz="4" w:space="0" w:color="000000" w:themeColor="text1"/>
              <w:right w:val="single" w:sz="18" w:space="0" w:color="FFFFFF" w:themeColor="background1"/>
            </w:tcBorders>
            <w:shd w:val="clear" w:color="auto" w:fill="FA460E"/>
            <w:vAlign w:val="center"/>
          </w:tcPr>
          <w:p w:rsidR="00DE112A" w:rsidRDefault="00D101C3" w:rsidP="00DE112A">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676" w:type="dxa"/>
            <w:tcBorders>
              <w:top w:val="single" w:sz="4" w:space="0" w:color="D0CECE" w:themeColor="background2" w:themeShade="E6"/>
              <w:left w:val="single" w:sz="18" w:space="0" w:color="FFFFFF" w:themeColor="background1"/>
              <w:bottom w:val="single" w:sz="4" w:space="0" w:color="000000" w:themeColor="text1"/>
              <w:right w:val="single" w:sz="18" w:space="0" w:color="FFFFFF" w:themeColor="background1"/>
            </w:tcBorders>
            <w:shd w:val="clear" w:color="auto" w:fill="FFBC79"/>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Pr>
                <w:rFonts w:cstheme="minorHAnsi"/>
                <w:sz w:val="20"/>
                <w:szCs w:val="18"/>
              </w:rPr>
              <w:t>-</w:t>
            </w:r>
            <w:r w:rsidRPr="001B45F0">
              <w:rPr>
                <w:rFonts w:cstheme="minorHAnsi"/>
                <w:sz w:val="20"/>
                <w:szCs w:val="18"/>
                <w:shd w:val="clear" w:color="auto" w:fill="FFBC79"/>
              </w:rPr>
              <w:t>1</w:t>
            </w:r>
          </w:p>
        </w:tc>
        <w:tc>
          <w:tcPr>
            <w:tcW w:w="709" w:type="dxa"/>
            <w:tcBorders>
              <w:top w:val="single" w:sz="4" w:space="0" w:color="D0CECE" w:themeColor="background2" w:themeShade="E6"/>
              <w:left w:val="single" w:sz="18" w:space="0" w:color="FFFFFF" w:themeColor="background1"/>
              <w:bottom w:val="single" w:sz="4" w:space="0" w:color="000000" w:themeColor="text1"/>
              <w:right w:val="single" w:sz="18" w:space="0" w:color="FFFFFF" w:themeColor="background1"/>
            </w:tcBorders>
            <w:shd w:val="clear" w:color="auto" w:fill="FA460E"/>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-2</w:t>
            </w:r>
          </w:p>
        </w:tc>
        <w:tc>
          <w:tcPr>
            <w:tcW w:w="4906" w:type="dxa"/>
            <w:tcBorders>
              <w:top w:val="single" w:sz="4" w:space="0" w:color="D0CECE" w:themeColor="background2" w:themeShade="E6"/>
              <w:bottom w:val="single" w:sz="4" w:space="0" w:color="000000" w:themeColor="text1"/>
            </w:tcBorders>
            <w:vAlign w:val="center"/>
          </w:tcPr>
          <w:p w:rsidR="00DE112A" w:rsidRPr="006A74F8" w:rsidRDefault="00DE112A" w:rsidP="00DE112A">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sz w:val="20"/>
                <w:szCs w:val="20"/>
              </w:rPr>
            </w:pPr>
            <w:r>
              <w:rPr>
                <w:rFonts w:asciiTheme="majorHAnsi" w:hAnsiTheme="majorHAnsi" w:cstheme="majorHAnsi"/>
                <w:color w:val="000000" w:themeColor="text1"/>
                <w:sz w:val="20"/>
                <w:szCs w:val="20"/>
              </w:rPr>
              <w:t>Under Option 2,</w:t>
            </w:r>
            <w:r w:rsidRPr="00681B46">
              <w:rPr>
                <w:rFonts w:cstheme="minorHAnsi"/>
                <w:sz w:val="20"/>
                <w:szCs w:val="20"/>
              </w:rPr>
              <w:t xml:space="preserve"> NMBA would be required to update Safety and Quality Guidelines to include clinical parameters of low risk </w:t>
            </w:r>
            <w:r>
              <w:rPr>
                <w:rFonts w:cstheme="minorHAnsi"/>
                <w:sz w:val="20"/>
                <w:szCs w:val="20"/>
              </w:rPr>
              <w:t xml:space="preserve">for homebirth. </w:t>
            </w:r>
            <w:r>
              <w:rPr>
                <w:rFonts w:asciiTheme="majorHAnsi" w:eastAsia="Calibri" w:hAnsiTheme="majorHAnsi" w:cstheme="majorHAnsi"/>
                <w:sz w:val="20"/>
                <w:szCs w:val="20"/>
              </w:rPr>
              <w:t>Options 1 and 3(a) would require updates to Guidelines and more stringent monitoring of compliance.</w:t>
            </w:r>
          </w:p>
        </w:tc>
      </w:tr>
      <w:tr w:rsidR="00DE112A" w:rsidRPr="006A74F8" w:rsidTr="00D101C3">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000000" w:themeColor="text1"/>
            </w:tcBorders>
            <w:vAlign w:val="center"/>
          </w:tcPr>
          <w:p w:rsidR="00DE112A" w:rsidRDefault="00DE112A" w:rsidP="00936432">
            <w:pPr>
              <w:rPr>
                <w:rFonts w:asciiTheme="majorHAnsi" w:hAnsiTheme="majorHAnsi" w:cstheme="majorHAnsi"/>
                <w:sz w:val="20"/>
                <w:szCs w:val="20"/>
              </w:rPr>
            </w:pPr>
            <w:r>
              <w:rPr>
                <w:rFonts w:asciiTheme="majorHAnsi" w:hAnsiTheme="majorHAnsi" w:cstheme="majorHAnsi"/>
                <w:sz w:val="20"/>
                <w:szCs w:val="20"/>
              </w:rPr>
              <w:t>Total</w:t>
            </w:r>
          </w:p>
        </w:tc>
        <w:tc>
          <w:tcPr>
            <w:tcW w:w="676" w:type="dxa"/>
            <w:tcBorders>
              <w:top w:val="single" w:sz="4" w:space="0" w:color="000000" w:themeColor="text1"/>
              <w:right w:val="single" w:sz="18" w:space="0" w:color="FFFFFF" w:themeColor="background1"/>
            </w:tcBorders>
            <w:shd w:val="clear" w:color="auto" w:fill="FA460E"/>
            <w:vAlign w:val="center"/>
          </w:tcPr>
          <w:p w:rsidR="00DE112A" w:rsidRDefault="00D101C3" w:rsidP="00DE112A">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676" w:type="dxa"/>
            <w:tcBorders>
              <w:top w:val="single" w:sz="4" w:space="0" w:color="000000" w:themeColor="text1"/>
              <w:left w:val="single" w:sz="18" w:space="0" w:color="FFFFFF" w:themeColor="background1"/>
              <w:right w:val="single" w:sz="18" w:space="0" w:color="FFFFFF" w:themeColor="background1"/>
            </w:tcBorders>
            <w:shd w:val="clear" w:color="auto" w:fill="FFBC79"/>
            <w:vAlign w:val="center"/>
          </w:tcPr>
          <w:p w:rsidR="00DE112A"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-1</w:t>
            </w:r>
          </w:p>
        </w:tc>
        <w:tc>
          <w:tcPr>
            <w:tcW w:w="709" w:type="dxa"/>
            <w:tcBorders>
              <w:top w:val="single" w:sz="4" w:space="0" w:color="000000" w:themeColor="text1"/>
              <w:left w:val="single" w:sz="18" w:space="0" w:color="FFFFFF" w:themeColor="background1"/>
              <w:right w:val="single" w:sz="18" w:space="0" w:color="FFFFFF" w:themeColor="background1"/>
            </w:tcBorders>
            <w:shd w:val="clear" w:color="auto" w:fill="FA460E"/>
            <w:vAlign w:val="center"/>
          </w:tcPr>
          <w:p w:rsidR="00DE112A"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4906" w:type="dxa"/>
            <w:tcBorders>
              <w:top w:val="single" w:sz="4" w:space="0" w:color="000000" w:themeColor="text1"/>
            </w:tcBorders>
            <w:vAlign w:val="center"/>
          </w:tcPr>
          <w:p w:rsidR="00DE112A" w:rsidRDefault="00DE112A" w:rsidP="001B45F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r>
    </w:tbl>
    <w:p w:rsidR="00066180" w:rsidRPr="00066180" w:rsidRDefault="00066180" w:rsidP="00066180">
      <w:pPr>
        <w:tabs>
          <w:tab w:val="left" w:pos="2127"/>
        </w:tabs>
        <w:ind w:left="567"/>
        <w:rPr>
          <w:color w:val="1F4E79"/>
          <w:sz w:val="32"/>
          <w:szCs w:val="32"/>
        </w:rPr>
      </w:pPr>
    </w:p>
    <w:p w:rsidR="00066180" w:rsidRDefault="00066180" w:rsidP="00936432">
      <w:pPr>
        <w:tabs>
          <w:tab w:val="left" w:pos="2127"/>
        </w:tabs>
        <w:rPr>
          <w:color w:val="1F4E79"/>
          <w:sz w:val="32"/>
          <w:szCs w:val="32"/>
        </w:rPr>
      </w:pPr>
      <w:r w:rsidRPr="00066180">
        <w:rPr>
          <w:color w:val="1F4E79"/>
          <w:sz w:val="32"/>
          <w:szCs w:val="32"/>
        </w:rPr>
        <w:t>Key impacts on business</w:t>
      </w:r>
    </w:p>
    <w:p w:rsidR="00681B46" w:rsidRPr="00B06D6C" w:rsidRDefault="00681B46" w:rsidP="00681B46">
      <w:pPr>
        <w:pStyle w:val="Caption"/>
        <w:keepNext/>
        <w:rPr>
          <w:color w:val="1F4E79"/>
        </w:rPr>
      </w:pPr>
      <w:r w:rsidRPr="00B06D6C">
        <w:rPr>
          <w:color w:val="1F4E79"/>
        </w:rPr>
        <w:t xml:space="preserve">Table </w:t>
      </w:r>
      <w:r w:rsidR="006D1238">
        <w:rPr>
          <w:color w:val="1F4E79"/>
        </w:rPr>
        <w:t>12</w:t>
      </w:r>
      <w:r w:rsidRPr="00B06D6C">
        <w:rPr>
          <w:color w:val="1F4E79"/>
        </w:rPr>
        <w:t xml:space="preserve">: Summary of key impacts on </w:t>
      </w:r>
      <w:r w:rsidR="001B45F0">
        <w:rPr>
          <w:color w:val="1F4E79"/>
        </w:rPr>
        <w:t>business</w:t>
      </w:r>
    </w:p>
    <w:tbl>
      <w:tblPr>
        <w:tblStyle w:val="PlainTable23"/>
        <w:tblW w:w="8843" w:type="dxa"/>
        <w:tblLayout w:type="fixed"/>
        <w:tblLook w:val="04A0" w:firstRow="1" w:lastRow="0" w:firstColumn="1" w:lastColumn="0" w:noHBand="0" w:noVBand="1"/>
        <w:tblCaption w:val="Table A6- 1: Key impacts on industry-measuring instrument manufacturers"/>
        <w:tblDescription w:val="Flexible controls result in fit for purpose regulation rather than a ‘one-size-fits-all’ approach and reduced regulatory burden. Option one is rated +1, slight beneficial. Option 2 is rated +3, large beneficial. Option 3 is rated +2, moderate beneficial. &#10;Targeted Instrument Controls:  Manufacturers will benefit from exemptions, determinations and a flexible approach to regulating measuring instruments. Exemptions from controls provide some flexibility in option 1. A risk based approach is used in option 2 to determine the appropriate level of regulation of measuring instrument types and applications (detail to be settled following future consultation). Option 3 provides the flexibility of option 2 but with increased scope to support other regulators and may present manufacturers with additional cost and burden in some sectors.  &#10;&#10;Uncertainty arising from the flexibility. Option 1 is rated 0, neutral. Options 2 and 3 are rated -1, slight adverse. &#10;Flexibility provides less certainty and requires increased engagement: if a flexible approach to regulating is not well transitioned or managed this may create uncertainty for manufacturers regarding the regulatory requirements they will need to meet in future. While the default instrument controls under all options remain pattern approval and verification, considerations of alternatives will require increased engagement from instrument manufacturers.&#10;                                                 &#10;Faster entry to market reduces regulatory burden. Option 1 is rated +1, slight beneficial. Option 2 is rated +2, moderate beneficial. Option 3 is rated +1, slight beneficial.&#10;International alignment of instrument controls: Option 1 will enable streamlining (e.g. exemptions); options 2 and 3 will also enable recognition of overseas approvals (e.g. recognising overseas test results). Option 3 may introduce additional requirements to be met for certain non-trade instruments.  &#10;&#10;Tailored compliance. Options 1-3 are rated +1, slight beneficial.&#10;Compliance and Enforcement: Ability for government to take tailored and collaborative approach to compliance and enforcement provides better outcomes. Greater confidence to instrument manufacturers that they are competing on an even playing field.&#10;&#10;Reduced technical barriers for new and innovative measuring instruments. Option 1 is rated 0, neutral. Option 2 is rated +3, large beneficial. Option 3 is rated +2, moderate beneficial.&#10;A framework for supporting new measurement technologies: Options 2 and 3 both provide a pathway to integrate new and innovative measurement instruments into the measurement framework. Supports investment by instrument manufacturers in instruments integrating new measurement technologies. Option 3 may introduce additional requirements to be met for certain non-trade instruments.&#10;&#10;Average. Option 1 is rated +0.60, slight beneficial. Option 2 is rated +1.6, moderate beneficial. Option 3 is rated +1.0, slight beneficial.&#10;&#10;Options 1 and 3 provide slight benefit. Option 2 provides greater benefits for the manufacturers of measuring instruments and support for innovation&#10;"/>
      </w:tblPr>
      <w:tblGrid>
        <w:gridCol w:w="1876"/>
        <w:gridCol w:w="676"/>
        <w:gridCol w:w="676"/>
        <w:gridCol w:w="709"/>
        <w:gridCol w:w="4906"/>
      </w:tblGrid>
      <w:tr w:rsidR="00DE112A" w:rsidRPr="006A74F8" w:rsidTr="00DE1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single" w:sz="18" w:space="0" w:color="000000" w:themeColor="text1"/>
            </w:tcBorders>
            <w:vAlign w:val="center"/>
          </w:tcPr>
          <w:p w:rsidR="00DE112A" w:rsidRPr="00DE112A" w:rsidRDefault="00DE112A" w:rsidP="00936432">
            <w:pPr>
              <w:rPr>
                <w:rFonts w:cstheme="minorHAnsi"/>
              </w:rPr>
            </w:pPr>
            <w:r w:rsidRPr="00DE112A">
              <w:rPr>
                <w:rFonts w:cstheme="minorHAnsi"/>
              </w:rPr>
              <w:t>Impact</w:t>
            </w:r>
          </w:p>
        </w:tc>
        <w:tc>
          <w:tcPr>
            <w:tcW w:w="676" w:type="dxa"/>
            <w:tcBorders>
              <w:top w:val="single" w:sz="18" w:space="0" w:color="000000" w:themeColor="text1"/>
            </w:tcBorders>
          </w:tcPr>
          <w:p w:rsidR="00DE112A" w:rsidRPr="00B06D6C"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1</w:t>
            </w:r>
          </w:p>
        </w:tc>
        <w:tc>
          <w:tcPr>
            <w:tcW w:w="676" w:type="dxa"/>
            <w:tcBorders>
              <w:top w:val="single" w:sz="18" w:space="0" w:color="000000" w:themeColor="text1"/>
              <w:bottom w:val="single" w:sz="4" w:space="0" w:color="D0CECE" w:themeColor="background2" w:themeShade="E6"/>
              <w:right w:val="nil"/>
            </w:tcBorders>
            <w:shd w:val="clear" w:color="auto" w:fill="auto"/>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shd w:val="clear" w:color="auto" w:fill="ACD7CA"/>
              </w:rPr>
            </w:pPr>
            <w:r>
              <w:rPr>
                <w:rFonts w:cstheme="minorHAnsi"/>
                <w:b w:val="0"/>
              </w:rPr>
              <w:t>2</w:t>
            </w:r>
          </w:p>
        </w:tc>
        <w:tc>
          <w:tcPr>
            <w:tcW w:w="709" w:type="dxa"/>
            <w:tcBorders>
              <w:top w:val="single" w:sz="18" w:space="0" w:color="000000" w:themeColor="text1"/>
              <w:left w:val="nil"/>
              <w:bottom w:val="single" w:sz="4" w:space="0" w:color="D0CECE" w:themeColor="background2" w:themeShade="E6"/>
              <w:right w:val="single" w:sz="4" w:space="0" w:color="FFFFFF" w:themeColor="background1"/>
            </w:tcBorders>
            <w:shd w:val="clear" w:color="auto" w:fill="auto"/>
            <w:vAlign w:val="center"/>
          </w:tcPr>
          <w:p w:rsidR="00DE112A" w:rsidRPr="00461E94" w:rsidRDefault="00DE112A" w:rsidP="00936432">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3</w:t>
            </w:r>
            <w:r w:rsidRPr="00461E94">
              <w:rPr>
                <w:rFonts w:cstheme="minorHAnsi"/>
                <w:b w:val="0"/>
              </w:rPr>
              <w:t>(a)</w:t>
            </w:r>
          </w:p>
        </w:tc>
        <w:tc>
          <w:tcPr>
            <w:tcW w:w="4906" w:type="dxa"/>
            <w:tcBorders>
              <w:top w:val="single" w:sz="18" w:space="0" w:color="000000" w:themeColor="text1"/>
              <w:bottom w:val="single" w:sz="4" w:space="0" w:color="D0CECE" w:themeColor="background2" w:themeShade="E6"/>
            </w:tcBorders>
            <w:vAlign w:val="center"/>
          </w:tcPr>
          <w:p w:rsidR="00DE112A" w:rsidRPr="00DE112A" w:rsidRDefault="00DE112A" w:rsidP="00936432">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DE112A">
              <w:rPr>
                <w:rFonts w:asciiTheme="majorHAnsi" w:hAnsiTheme="majorHAnsi" w:cstheme="majorHAnsi"/>
                <w:b w:val="0"/>
              </w:rPr>
              <w:t>Explanation</w:t>
            </w:r>
          </w:p>
        </w:tc>
      </w:tr>
      <w:tr w:rsidR="00DE112A" w:rsidRPr="006A74F8" w:rsidTr="00D10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6" w:type="dxa"/>
            <w:tcBorders>
              <w:top w:val="nil"/>
              <w:bottom w:val="single" w:sz="4" w:space="0" w:color="000000" w:themeColor="text1"/>
            </w:tcBorders>
            <w:vAlign w:val="center"/>
          </w:tcPr>
          <w:p w:rsidR="00DE112A" w:rsidRPr="006A74F8" w:rsidRDefault="00DE112A" w:rsidP="00936432">
            <w:pPr>
              <w:rPr>
                <w:rFonts w:asciiTheme="majorHAnsi" w:eastAsia="Calibri" w:hAnsiTheme="majorHAnsi" w:cstheme="majorHAnsi"/>
                <w:sz w:val="20"/>
                <w:szCs w:val="20"/>
              </w:rPr>
            </w:pPr>
            <w:r>
              <w:rPr>
                <w:rFonts w:asciiTheme="majorHAnsi" w:hAnsiTheme="majorHAnsi" w:cstheme="majorHAnsi"/>
                <w:sz w:val="20"/>
                <w:szCs w:val="20"/>
              </w:rPr>
              <w:t>Commercial viability</w:t>
            </w:r>
          </w:p>
        </w:tc>
        <w:tc>
          <w:tcPr>
            <w:tcW w:w="676" w:type="dxa"/>
            <w:tcBorders>
              <w:top w:val="single" w:sz="4" w:space="0" w:color="D0CECE" w:themeColor="background2" w:themeShade="E6"/>
              <w:bottom w:val="single" w:sz="4" w:space="0" w:color="000000" w:themeColor="text1"/>
            </w:tcBorders>
            <w:shd w:val="clear" w:color="auto" w:fill="FA460E"/>
            <w:vAlign w:val="center"/>
          </w:tcPr>
          <w:p w:rsidR="00DE112A" w:rsidRPr="006A74F8" w:rsidRDefault="00D101C3" w:rsidP="00C818F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676" w:type="dxa"/>
            <w:tcBorders>
              <w:top w:val="single" w:sz="4" w:space="0" w:color="D0CECE" w:themeColor="background2" w:themeShade="E6"/>
              <w:bottom w:val="single" w:sz="4" w:space="0" w:color="000000" w:themeColor="text1"/>
              <w:right w:val="single" w:sz="18" w:space="0" w:color="FFFFFF" w:themeColor="background1"/>
            </w:tcBorders>
            <w:shd w:val="clear" w:color="auto" w:fill="55A5A9"/>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shd w:val="clear" w:color="auto" w:fill="ACD7CA"/>
              </w:rPr>
            </w:pPr>
            <w:r w:rsidRPr="006A74F8">
              <w:rPr>
                <w:rFonts w:cstheme="minorHAnsi"/>
                <w:sz w:val="20"/>
                <w:szCs w:val="18"/>
              </w:rPr>
              <w:t>+2</w:t>
            </w:r>
          </w:p>
        </w:tc>
        <w:tc>
          <w:tcPr>
            <w:tcW w:w="709" w:type="dxa"/>
            <w:tcBorders>
              <w:top w:val="single" w:sz="4" w:space="0" w:color="D0CECE" w:themeColor="background2" w:themeShade="E6"/>
              <w:left w:val="single" w:sz="18" w:space="0" w:color="FFFFFF" w:themeColor="background1"/>
              <w:bottom w:val="single" w:sz="4" w:space="0" w:color="000000" w:themeColor="text1"/>
              <w:right w:val="single" w:sz="18" w:space="0" w:color="FFFFFF" w:themeColor="background1"/>
            </w:tcBorders>
            <w:shd w:val="clear" w:color="auto" w:fill="FA460E"/>
            <w:vAlign w:val="center"/>
          </w:tcPr>
          <w:p w:rsidR="00DE112A" w:rsidRPr="006A74F8" w:rsidRDefault="00DE112A" w:rsidP="009364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18"/>
              </w:rPr>
            </w:pPr>
            <w:r>
              <w:rPr>
                <w:rFonts w:cstheme="minorHAnsi"/>
                <w:sz w:val="20"/>
                <w:szCs w:val="18"/>
              </w:rPr>
              <w:t>-3</w:t>
            </w:r>
          </w:p>
        </w:tc>
        <w:tc>
          <w:tcPr>
            <w:tcW w:w="4906" w:type="dxa"/>
            <w:tcBorders>
              <w:top w:val="single" w:sz="4" w:space="0" w:color="D0CECE" w:themeColor="background2" w:themeShade="E6"/>
              <w:bottom w:val="single" w:sz="4" w:space="0" w:color="000000" w:themeColor="text1"/>
            </w:tcBorders>
            <w:vAlign w:val="center"/>
          </w:tcPr>
          <w:p w:rsidR="00DE112A" w:rsidRPr="001B45F0" w:rsidRDefault="00DE112A" w:rsidP="00C818F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B45F0">
              <w:rPr>
                <w:rFonts w:cstheme="minorHAnsi"/>
                <w:sz w:val="20"/>
                <w:szCs w:val="20"/>
              </w:rPr>
              <w:t xml:space="preserve">Under Option </w:t>
            </w:r>
            <w:r w:rsidR="00C818F9">
              <w:rPr>
                <w:rFonts w:cstheme="minorHAnsi"/>
                <w:sz w:val="20"/>
                <w:szCs w:val="20"/>
              </w:rPr>
              <w:t>2</w:t>
            </w:r>
            <w:r w:rsidRPr="001B45F0">
              <w:rPr>
                <w:rFonts w:cstheme="minorHAnsi"/>
                <w:sz w:val="20"/>
                <w:szCs w:val="20"/>
              </w:rPr>
              <w:t xml:space="preserve"> </w:t>
            </w:r>
            <w:r>
              <w:rPr>
                <w:rFonts w:cstheme="minorHAnsi"/>
                <w:sz w:val="20"/>
                <w:szCs w:val="20"/>
              </w:rPr>
              <w:t>ACCHOs</w:t>
            </w:r>
            <w:r w:rsidRPr="001B45F0">
              <w:rPr>
                <w:rFonts w:cstheme="minorHAnsi"/>
                <w:sz w:val="20"/>
                <w:szCs w:val="20"/>
              </w:rPr>
              <w:t xml:space="preserve"> will have the ability to employ midwives to provide </w:t>
            </w:r>
            <w:r>
              <w:rPr>
                <w:rFonts w:cstheme="minorHAnsi"/>
                <w:sz w:val="20"/>
                <w:szCs w:val="20"/>
              </w:rPr>
              <w:t xml:space="preserve">culturally safe and continuous </w:t>
            </w:r>
            <w:r w:rsidRPr="001B45F0">
              <w:rPr>
                <w:rFonts w:cstheme="minorHAnsi"/>
                <w:sz w:val="20"/>
                <w:szCs w:val="20"/>
              </w:rPr>
              <w:t>homebirth services</w:t>
            </w:r>
            <w:r>
              <w:rPr>
                <w:rFonts w:cstheme="minorHAnsi"/>
                <w:sz w:val="20"/>
                <w:szCs w:val="20"/>
              </w:rPr>
              <w:t xml:space="preserve">. Under Option </w:t>
            </w:r>
            <w:r w:rsidR="00C818F9">
              <w:rPr>
                <w:rFonts w:cstheme="minorHAnsi"/>
                <w:sz w:val="20"/>
                <w:szCs w:val="20"/>
              </w:rPr>
              <w:t>1 and 3(a)</w:t>
            </w:r>
            <w:r>
              <w:rPr>
                <w:rFonts w:cstheme="minorHAnsi"/>
                <w:sz w:val="20"/>
                <w:szCs w:val="20"/>
              </w:rPr>
              <w:t>, ACCHOS will be unable to employ PPMs and midwifery employment agencies may be forced to close.</w:t>
            </w:r>
          </w:p>
        </w:tc>
      </w:tr>
      <w:tr w:rsidR="00DE112A" w:rsidRPr="006A74F8" w:rsidTr="00D101C3">
        <w:tc>
          <w:tcPr>
            <w:cnfStyle w:val="001000000000" w:firstRow="0" w:lastRow="0" w:firstColumn="1" w:lastColumn="0" w:oddVBand="0" w:evenVBand="0" w:oddHBand="0" w:evenHBand="0" w:firstRowFirstColumn="0" w:firstRowLastColumn="0" w:lastRowFirstColumn="0" w:lastRowLastColumn="0"/>
            <w:tcW w:w="1876" w:type="dxa"/>
            <w:tcBorders>
              <w:top w:val="single" w:sz="4" w:space="0" w:color="000000" w:themeColor="text1"/>
            </w:tcBorders>
            <w:vAlign w:val="center"/>
          </w:tcPr>
          <w:p w:rsidR="00DE112A" w:rsidRDefault="00DE112A" w:rsidP="00936432">
            <w:pPr>
              <w:rPr>
                <w:rFonts w:asciiTheme="majorHAnsi" w:hAnsiTheme="majorHAnsi" w:cstheme="majorHAnsi"/>
                <w:sz w:val="20"/>
                <w:szCs w:val="20"/>
              </w:rPr>
            </w:pPr>
            <w:r>
              <w:rPr>
                <w:rFonts w:asciiTheme="majorHAnsi" w:hAnsiTheme="majorHAnsi" w:cstheme="majorHAnsi"/>
                <w:sz w:val="20"/>
                <w:szCs w:val="20"/>
              </w:rPr>
              <w:t>Total</w:t>
            </w:r>
          </w:p>
        </w:tc>
        <w:tc>
          <w:tcPr>
            <w:tcW w:w="676" w:type="dxa"/>
            <w:tcBorders>
              <w:top w:val="single" w:sz="4" w:space="0" w:color="000000" w:themeColor="text1"/>
            </w:tcBorders>
            <w:shd w:val="clear" w:color="auto" w:fill="FA460E"/>
            <w:vAlign w:val="center"/>
          </w:tcPr>
          <w:p w:rsidR="00DE112A" w:rsidRDefault="00D101C3" w:rsidP="00C818F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-3</w:t>
            </w:r>
          </w:p>
        </w:tc>
        <w:tc>
          <w:tcPr>
            <w:tcW w:w="676" w:type="dxa"/>
            <w:tcBorders>
              <w:top w:val="single" w:sz="4" w:space="0" w:color="000000" w:themeColor="text1"/>
              <w:right w:val="single" w:sz="18" w:space="0" w:color="FFFFFF" w:themeColor="background1"/>
            </w:tcBorders>
            <w:shd w:val="clear" w:color="auto" w:fill="55A5A9"/>
            <w:vAlign w:val="center"/>
          </w:tcPr>
          <w:p w:rsidR="00DE112A" w:rsidRPr="006A74F8"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+2</w:t>
            </w:r>
          </w:p>
        </w:tc>
        <w:tc>
          <w:tcPr>
            <w:tcW w:w="709" w:type="dxa"/>
            <w:tcBorders>
              <w:top w:val="single" w:sz="4" w:space="0" w:color="000000" w:themeColor="text1"/>
              <w:left w:val="single" w:sz="18" w:space="0" w:color="FFFFFF" w:themeColor="background1"/>
              <w:right w:val="single" w:sz="18" w:space="0" w:color="FFFFFF" w:themeColor="background1"/>
            </w:tcBorders>
            <w:shd w:val="clear" w:color="auto" w:fill="FA460E"/>
            <w:vAlign w:val="center"/>
          </w:tcPr>
          <w:p w:rsidR="00DE112A" w:rsidRDefault="00DE112A" w:rsidP="009364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18"/>
              </w:rPr>
            </w:pPr>
            <w:r>
              <w:rPr>
                <w:rFonts w:cstheme="minorHAnsi"/>
                <w:sz w:val="20"/>
                <w:szCs w:val="18"/>
              </w:rPr>
              <w:t>-3</w:t>
            </w:r>
          </w:p>
        </w:tc>
        <w:tc>
          <w:tcPr>
            <w:tcW w:w="4906" w:type="dxa"/>
            <w:tcBorders>
              <w:top w:val="single" w:sz="4" w:space="0" w:color="000000" w:themeColor="text1"/>
            </w:tcBorders>
            <w:vAlign w:val="center"/>
          </w:tcPr>
          <w:p w:rsidR="00DE112A" w:rsidRPr="001B45F0" w:rsidRDefault="00DE112A" w:rsidP="001B45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395C5C" w:rsidRDefault="00395C5C" w:rsidP="00395C5C">
      <w:pPr>
        <w:rPr>
          <w:b/>
          <w:color w:val="1F4E79"/>
        </w:rPr>
      </w:pPr>
    </w:p>
    <w:p w:rsidR="00395C5C" w:rsidRDefault="00395C5C" w:rsidP="00395C5C">
      <w:pPr>
        <w:rPr>
          <w:b/>
          <w:color w:val="1F4E79"/>
        </w:rPr>
      </w:pPr>
    </w:p>
    <w:p w:rsidR="00395C5C" w:rsidRDefault="00395C5C" w:rsidP="00395C5C">
      <w:pPr>
        <w:rPr>
          <w:b/>
          <w:color w:val="1F4E79"/>
        </w:rPr>
      </w:pPr>
    </w:p>
    <w:p w:rsidR="00395C5C" w:rsidRDefault="00395C5C" w:rsidP="00395C5C">
      <w:pPr>
        <w:rPr>
          <w:b/>
          <w:color w:val="1F4E79"/>
        </w:rPr>
      </w:pPr>
    </w:p>
    <w:p w:rsidR="00681B46" w:rsidRPr="00066180" w:rsidRDefault="00681B46" w:rsidP="00066180">
      <w:pPr>
        <w:tabs>
          <w:tab w:val="left" w:pos="2127"/>
        </w:tabs>
        <w:ind w:left="567"/>
        <w:rPr>
          <w:color w:val="1F4E79"/>
          <w:sz w:val="32"/>
          <w:szCs w:val="32"/>
        </w:rPr>
      </w:pPr>
    </w:p>
    <w:sectPr w:rsidR="00681B46" w:rsidRPr="00066180" w:rsidSect="00DB0302">
      <w:pgSz w:w="9980" w:h="14180"/>
      <w:pgMar w:top="993" w:right="766" w:bottom="4" w:left="460" w:header="0" w:footer="7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22" w:rsidRDefault="00824722" w:rsidP="00E135EA">
      <w:pPr>
        <w:spacing w:after="0" w:line="240" w:lineRule="auto"/>
      </w:pPr>
      <w:r>
        <w:separator/>
      </w:r>
    </w:p>
  </w:endnote>
  <w:endnote w:type="continuationSeparator" w:id="0">
    <w:p w:rsidR="00824722" w:rsidRDefault="00824722" w:rsidP="00E1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65" w:rsidRDefault="001E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22" w:rsidRPr="0082753F" w:rsidRDefault="00824722" w:rsidP="0082753F">
    <w:pPr>
      <w:pStyle w:val="Footer"/>
      <w:jc w:val="right"/>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22" w:rsidRDefault="00824722">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075596"/>
      <w:docPartObj>
        <w:docPartGallery w:val="Page Numbers (Bottom of Page)"/>
        <w:docPartUnique/>
      </w:docPartObj>
    </w:sdtPr>
    <w:sdtEndPr>
      <w:rPr>
        <w:noProof/>
        <w:sz w:val="20"/>
        <w:szCs w:val="20"/>
      </w:rPr>
    </w:sdtEndPr>
    <w:sdtContent>
      <w:p w:rsidR="00824722" w:rsidRPr="00F3179C" w:rsidRDefault="00F3179C" w:rsidP="00F3179C">
        <w:pPr>
          <w:pStyle w:val="Footer"/>
          <w:jc w:val="right"/>
          <w:rPr>
            <w:sz w:val="20"/>
            <w:szCs w:val="20"/>
          </w:rPr>
        </w:pPr>
        <w:r w:rsidRPr="00F3179C">
          <w:rPr>
            <w:sz w:val="20"/>
            <w:szCs w:val="20"/>
          </w:rPr>
          <w:fldChar w:fldCharType="begin"/>
        </w:r>
        <w:r w:rsidRPr="00F3179C">
          <w:rPr>
            <w:sz w:val="20"/>
            <w:szCs w:val="20"/>
          </w:rPr>
          <w:instrText xml:space="preserve"> PAGE   \* MERGEFORMAT </w:instrText>
        </w:r>
        <w:r w:rsidRPr="00F3179C">
          <w:rPr>
            <w:sz w:val="20"/>
            <w:szCs w:val="20"/>
          </w:rPr>
          <w:fldChar w:fldCharType="separate"/>
        </w:r>
        <w:r w:rsidR="00076049">
          <w:rPr>
            <w:noProof/>
            <w:sz w:val="20"/>
            <w:szCs w:val="20"/>
          </w:rPr>
          <w:t>34</w:t>
        </w:r>
        <w:r w:rsidRPr="00F3179C">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722" w:rsidRDefault="00824722">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22" w:rsidRDefault="00824722" w:rsidP="00E135EA">
      <w:pPr>
        <w:spacing w:after="0" w:line="240" w:lineRule="auto"/>
      </w:pPr>
      <w:r>
        <w:separator/>
      </w:r>
    </w:p>
  </w:footnote>
  <w:footnote w:type="continuationSeparator" w:id="0">
    <w:p w:rsidR="00824722" w:rsidRDefault="00824722" w:rsidP="00E135EA">
      <w:pPr>
        <w:spacing w:after="0" w:line="240" w:lineRule="auto"/>
      </w:pPr>
      <w:r>
        <w:continuationSeparator/>
      </w:r>
    </w:p>
  </w:footnote>
  <w:footnote w:id="1">
    <w:p w:rsidR="00824722" w:rsidRPr="00553E17" w:rsidRDefault="00824722" w:rsidP="006C58B7">
      <w:pPr>
        <w:pStyle w:val="FootnoteText"/>
        <w:rPr>
          <w:rFonts w:asciiTheme="minorHAnsi" w:hAnsiTheme="minorHAnsi" w:cstheme="minorHAnsi"/>
          <w:sz w:val="20"/>
        </w:rPr>
      </w:pPr>
      <w:r>
        <w:rPr>
          <w:rStyle w:val="FootnoteReference"/>
        </w:rPr>
        <w:footnoteRef/>
      </w:r>
      <w:r>
        <w:t xml:space="preserve"> </w:t>
      </w:r>
      <w:r w:rsidRPr="00553E17">
        <w:rPr>
          <w:rFonts w:asciiTheme="minorHAnsi" w:hAnsiTheme="minorHAnsi" w:cstheme="minorHAnsi"/>
          <w:sz w:val="20"/>
        </w:rPr>
        <w:t xml:space="preserve">Vedam, S. et al. ‘The Mother’s Autonomy in Decision Making (MADAM) scale: Patient-led development and psychometric testing of a new instrument to evaluate experience of maternity care’. </w:t>
      </w:r>
      <w:r>
        <w:rPr>
          <w:rFonts w:asciiTheme="minorHAnsi" w:hAnsiTheme="minorHAnsi" w:cstheme="minorHAnsi"/>
          <w:sz w:val="20"/>
        </w:rPr>
        <w:t>PLoS One 2017; 12(2).</w:t>
      </w:r>
    </w:p>
  </w:footnote>
  <w:footnote w:id="2">
    <w:p w:rsidR="00824722" w:rsidRPr="00553E17" w:rsidRDefault="00824722" w:rsidP="006C58B7">
      <w:pPr>
        <w:spacing w:after="0"/>
        <w:textAlignment w:val="center"/>
        <w:rPr>
          <w:sz w:val="20"/>
          <w:szCs w:val="20"/>
        </w:rPr>
      </w:pPr>
      <w:r>
        <w:rPr>
          <w:rStyle w:val="FootnoteReference"/>
        </w:rPr>
        <w:footnoteRef/>
      </w:r>
      <w:r w:rsidRPr="00553E17">
        <w:rPr>
          <w:sz w:val="20"/>
          <w:szCs w:val="20"/>
        </w:rPr>
        <w:t>Tarrant, M. et al</w:t>
      </w:r>
      <w:r>
        <w:rPr>
          <w:sz w:val="20"/>
          <w:szCs w:val="20"/>
        </w:rPr>
        <w:t>. ‘</w:t>
      </w:r>
      <w:r w:rsidRPr="00553E17">
        <w:rPr>
          <w:color w:val="1F1F1F"/>
          <w:sz w:val="20"/>
          <w:szCs w:val="20"/>
          <w:lang w:eastAsia="en-AU"/>
        </w:rPr>
        <w:t>A pathway to establish a publicly funded home birth program in Australia</w:t>
      </w:r>
      <w:r>
        <w:rPr>
          <w:color w:val="1F1F1F"/>
          <w:sz w:val="20"/>
          <w:szCs w:val="20"/>
          <w:lang w:eastAsia="en-AU"/>
        </w:rPr>
        <w:t xml:space="preserve">’. </w:t>
      </w:r>
      <w:hyperlink r:id="rId1" w:tooltip="Go to Women and Birth on ScienceDirect" w:history="1">
        <w:r w:rsidRPr="00553E17">
          <w:rPr>
            <w:rStyle w:val="Hyperlink"/>
            <w:color w:val="1F1F1F"/>
            <w:sz w:val="20"/>
            <w:szCs w:val="20"/>
            <w:u w:val="none"/>
            <w:lang w:eastAsia="en-AU"/>
          </w:rPr>
          <w:t>Women and Birth</w:t>
        </w:r>
      </w:hyperlink>
      <w:r w:rsidRPr="00553E17">
        <w:rPr>
          <w:sz w:val="20"/>
          <w:szCs w:val="20"/>
          <w:lang w:eastAsia="en-AU"/>
        </w:rPr>
        <w:t xml:space="preserve">, </w:t>
      </w:r>
      <w:hyperlink r:id="rId2" w:tooltip="Go to table of contents for this volume/issue" w:history="1">
        <w:r w:rsidRPr="00553E17">
          <w:rPr>
            <w:rStyle w:val="Hyperlink"/>
            <w:color w:val="auto"/>
            <w:sz w:val="20"/>
            <w:szCs w:val="20"/>
            <w:u w:val="none"/>
            <w:lang w:eastAsia="en-AU"/>
          </w:rPr>
          <w:t>Volume 33, Issue 5</w:t>
        </w:r>
      </w:hyperlink>
      <w:r>
        <w:rPr>
          <w:sz w:val="20"/>
          <w:szCs w:val="20"/>
          <w:lang w:eastAsia="en-AU"/>
        </w:rPr>
        <w:t>,</w:t>
      </w:r>
      <w:r w:rsidRPr="0058344C">
        <w:rPr>
          <w:sz w:val="20"/>
          <w:szCs w:val="20"/>
          <w:lang w:eastAsia="en-AU"/>
        </w:rPr>
        <w:t xml:space="preserve"> September</w:t>
      </w:r>
      <w:r w:rsidRPr="0058344C">
        <w:rPr>
          <w:color w:val="1F1F1F"/>
          <w:sz w:val="20"/>
          <w:szCs w:val="20"/>
          <w:lang w:eastAsia="en-AU"/>
        </w:rPr>
        <w:t xml:space="preserve"> </w:t>
      </w:r>
      <w:r w:rsidRPr="00553E17">
        <w:rPr>
          <w:color w:val="1F1F1F"/>
          <w:sz w:val="20"/>
          <w:szCs w:val="20"/>
          <w:lang w:eastAsia="en-AU"/>
        </w:rPr>
        <w:t xml:space="preserve">2020, Pages e420-e428. </w:t>
      </w:r>
    </w:p>
  </w:footnote>
  <w:footnote w:id="3">
    <w:p w:rsidR="00824722" w:rsidRDefault="00824722" w:rsidP="001943CD">
      <w:pPr>
        <w:spacing w:after="0"/>
      </w:pPr>
      <w:r>
        <w:rPr>
          <w:rStyle w:val="FootnoteReference"/>
        </w:rPr>
        <w:footnoteRef/>
      </w:r>
      <w:hyperlink r:id="rId3" w:history="1">
        <w:r>
          <w:rPr>
            <w:rStyle w:val="Hyperlink"/>
            <w:sz w:val="20"/>
            <w:szCs w:val="20"/>
          </w:rPr>
          <w:t>https://www.aph.gov.au/parliamentary_business/committees/senate/community_affairs/completed_inquiries/1999-02/child_birth/report/c04</w:t>
        </w:r>
      </w:hyperlink>
    </w:p>
  </w:footnote>
  <w:footnote w:id="4">
    <w:p w:rsidR="00824722" w:rsidRPr="00394E7D" w:rsidRDefault="00824722" w:rsidP="004720AD">
      <w:pPr>
        <w:pStyle w:val="FootnoteText"/>
        <w:rPr>
          <w:rFonts w:asciiTheme="minorHAnsi" w:hAnsiTheme="minorHAnsi" w:cstheme="minorHAnsi"/>
          <w:sz w:val="20"/>
        </w:rPr>
      </w:pPr>
      <w:r>
        <w:rPr>
          <w:rStyle w:val="FootnoteReference"/>
        </w:rPr>
        <w:footnoteRef/>
      </w:r>
      <w:r>
        <w:t xml:space="preserve"> </w:t>
      </w:r>
      <w:hyperlink r:id="rId4" w:history="1">
        <w:r w:rsidRPr="00394E7D">
          <w:rPr>
            <w:rStyle w:val="Hyperlink"/>
            <w:rFonts w:asciiTheme="minorHAnsi" w:hAnsiTheme="minorHAnsi" w:cstheme="minorHAnsi"/>
            <w:sz w:val="20"/>
          </w:rPr>
          <w:t>Australian Institute of Health and Welfare Australia’s mothers and babies report 2023</w:t>
        </w:r>
      </w:hyperlink>
    </w:p>
  </w:footnote>
  <w:footnote w:id="5">
    <w:p w:rsidR="00824722" w:rsidRPr="00746F9B" w:rsidRDefault="00824722" w:rsidP="00746F9B">
      <w:pPr>
        <w:spacing w:after="0"/>
        <w:rPr>
          <w:sz w:val="20"/>
          <w:szCs w:val="20"/>
        </w:rPr>
      </w:pPr>
      <w:r w:rsidRPr="00746F9B">
        <w:rPr>
          <w:rStyle w:val="FootnoteReference"/>
          <w:sz w:val="20"/>
          <w:szCs w:val="20"/>
        </w:rPr>
        <w:footnoteRef/>
      </w:r>
      <w:r w:rsidRPr="00746F9B">
        <w:rPr>
          <w:sz w:val="20"/>
          <w:szCs w:val="20"/>
        </w:rPr>
        <w:t xml:space="preserve"> </w:t>
      </w:r>
      <w:hyperlink r:id="rId5" w:history="1">
        <w:r w:rsidRPr="006D20E6">
          <w:rPr>
            <w:rStyle w:val="Hyperlink"/>
            <w:sz w:val="20"/>
            <w:szCs w:val="20"/>
          </w:rPr>
          <w:t>https://www.internationalinsurance.com/health/systems/sweden.php</w:t>
        </w:r>
      </w:hyperlink>
    </w:p>
  </w:footnote>
  <w:footnote w:id="6">
    <w:p w:rsidR="00824722" w:rsidRDefault="00824722">
      <w:pPr>
        <w:pStyle w:val="FootnoteText"/>
      </w:pPr>
      <w:r w:rsidRPr="00AC0509">
        <w:rPr>
          <w:rStyle w:val="FootnoteReference"/>
          <w:rFonts w:asciiTheme="minorHAnsi" w:hAnsiTheme="minorHAnsi" w:cstheme="minorHAnsi"/>
          <w:sz w:val="20"/>
        </w:rPr>
        <w:footnoteRef/>
      </w:r>
      <w:r w:rsidRPr="00AC0509">
        <w:rPr>
          <w:rFonts w:asciiTheme="minorHAnsi" w:hAnsiTheme="minorHAnsi" w:cstheme="minorHAnsi"/>
          <w:sz w:val="20"/>
        </w:rPr>
        <w:t xml:space="preserve"> NHS England National Maternity Review Better Births Improving outcomes of maternity services in England 2016 </w:t>
      </w:r>
      <w:hyperlink r:id="rId6" w:history="1">
        <w:r w:rsidRPr="00AC0509">
          <w:rPr>
            <w:rStyle w:val="Hyperlink"/>
            <w:rFonts w:asciiTheme="minorHAnsi" w:hAnsiTheme="minorHAnsi" w:cstheme="minorHAnsi"/>
            <w:sz w:val="20"/>
          </w:rPr>
          <w:t>https://www.england.nhs.uk/wp-content/uploads/2016/02/national-maternity-review-report.pdf</w:t>
        </w:r>
      </w:hyperlink>
    </w:p>
  </w:footnote>
  <w:footnote w:id="7">
    <w:p w:rsidR="00824722" w:rsidRPr="00B907E9" w:rsidRDefault="00824722" w:rsidP="00B907E9">
      <w:pPr>
        <w:spacing w:after="0"/>
        <w:rPr>
          <w:sz w:val="20"/>
          <w:szCs w:val="20"/>
        </w:rPr>
      </w:pPr>
      <w:r w:rsidRPr="00B907E9">
        <w:rPr>
          <w:rStyle w:val="FootnoteReference"/>
          <w:sz w:val="20"/>
          <w:szCs w:val="20"/>
        </w:rPr>
        <w:footnoteRef/>
      </w:r>
      <w:r w:rsidRPr="00B907E9">
        <w:rPr>
          <w:sz w:val="20"/>
          <w:szCs w:val="20"/>
        </w:rPr>
        <w:t xml:space="preserve"> </w:t>
      </w:r>
      <w:hyperlink r:id="rId7" w:history="1">
        <w:r w:rsidRPr="00B907E9">
          <w:rPr>
            <w:rStyle w:val="Hyperlink"/>
            <w:sz w:val="20"/>
            <w:szCs w:val="20"/>
          </w:rPr>
          <w:t>https://www.midwife.org.nz/midwives/join-the-college/professional-indemnity-insurance/</w:t>
        </w:r>
      </w:hyperlink>
    </w:p>
  </w:footnote>
  <w:footnote w:id="8">
    <w:p w:rsidR="00824722" w:rsidRPr="00642B1B" w:rsidRDefault="00824722" w:rsidP="00642B1B">
      <w:pPr>
        <w:spacing w:after="0"/>
        <w:rPr>
          <w:sz w:val="20"/>
          <w:szCs w:val="20"/>
        </w:rPr>
      </w:pPr>
      <w:r w:rsidRPr="00642B1B">
        <w:rPr>
          <w:rStyle w:val="FootnoteReference"/>
          <w:sz w:val="20"/>
          <w:szCs w:val="20"/>
        </w:rPr>
        <w:footnoteRef/>
      </w:r>
      <w:r w:rsidRPr="00642B1B">
        <w:rPr>
          <w:sz w:val="20"/>
          <w:szCs w:val="20"/>
        </w:rPr>
        <w:t xml:space="preserve"> </w:t>
      </w:r>
      <w:hyperlink r:id="rId8" w:history="1">
        <w:r w:rsidRPr="00642B1B">
          <w:rPr>
            <w:rStyle w:val="Hyperlink"/>
            <w:sz w:val="20"/>
            <w:szCs w:val="20"/>
          </w:rPr>
          <w:t>https://www.nmc.org.uk/globalassets/sitedocuments/registration/pii/pii-final-guidance.pdf</w:t>
        </w:r>
      </w:hyperlink>
    </w:p>
  </w:footnote>
  <w:footnote w:id="9">
    <w:p w:rsidR="00824722" w:rsidRPr="00636090" w:rsidRDefault="00824722" w:rsidP="00CA7A9A">
      <w:pPr>
        <w:spacing w:after="0"/>
      </w:pPr>
      <w:r>
        <w:rPr>
          <w:rStyle w:val="FootnoteReference"/>
        </w:rPr>
        <w:footnoteRef/>
      </w:r>
      <w:r>
        <w:t xml:space="preserve"> </w:t>
      </w:r>
      <w:hyperlink r:id="rId9" w:history="1">
        <w:r w:rsidRPr="00636090">
          <w:rPr>
            <w:rStyle w:val="Hyperlink"/>
            <w:sz w:val="20"/>
            <w:szCs w:val="20"/>
            <w:u w:val="none"/>
          </w:rPr>
          <w:t>https://www.commonwealthfund.org/international-health-policy-center/countries/united-states</w:t>
        </w:r>
      </w:hyperlink>
    </w:p>
  </w:footnote>
  <w:footnote w:id="10">
    <w:p w:rsidR="00824722" w:rsidRDefault="00824722" w:rsidP="00F372D2">
      <w:pPr>
        <w:spacing w:after="0" w:line="240" w:lineRule="auto"/>
      </w:pPr>
      <w:r>
        <w:rPr>
          <w:rStyle w:val="FootnoteReference"/>
        </w:rPr>
        <w:footnoteRef/>
      </w:r>
      <w:r>
        <w:t xml:space="preserve"> </w:t>
      </w:r>
      <w:r>
        <w:rPr>
          <w:rFonts w:ascii="Calibri" w:hAnsi="Calibri" w:cs="Calibri"/>
          <w:color w:val="000000"/>
          <w:sz w:val="20"/>
          <w:szCs w:val="20"/>
          <w:lang w:val="en-US"/>
        </w:rPr>
        <w:t>Belkin,</w:t>
      </w:r>
      <w:r w:rsidR="00CD6B34">
        <w:rPr>
          <w:rFonts w:ascii="Calibri" w:hAnsi="Calibri" w:cs="Calibri"/>
          <w:color w:val="000000"/>
          <w:sz w:val="20"/>
          <w:szCs w:val="20"/>
          <w:lang w:val="en-US"/>
        </w:rPr>
        <w:t xml:space="preserve"> </w:t>
      </w:r>
      <w:r>
        <w:rPr>
          <w:rFonts w:ascii="Calibri" w:hAnsi="Calibri" w:cs="Calibri"/>
          <w:color w:val="000000"/>
          <w:sz w:val="20"/>
          <w:szCs w:val="20"/>
          <w:lang w:val="en-US"/>
        </w:rPr>
        <w:t xml:space="preserve">Z.R. </w:t>
      </w:r>
      <w:r w:rsidRPr="00636090">
        <w:rPr>
          <w:rFonts w:ascii="Calibri" w:hAnsi="Calibri" w:cs="Calibri"/>
          <w:color w:val="000000"/>
          <w:sz w:val="20"/>
          <w:szCs w:val="20"/>
          <w:lang w:val="en-US"/>
        </w:rPr>
        <w:t>’</w:t>
      </w:r>
      <w:r w:rsidRPr="00636090">
        <w:rPr>
          <w:rFonts w:ascii="Calibri" w:hAnsi="Calibri" w:cs="Calibri"/>
          <w:bCs/>
          <w:color w:val="000000"/>
          <w:sz w:val="20"/>
          <w:szCs w:val="20"/>
          <w:lang w:val="en-US"/>
        </w:rPr>
        <w:t>The Confluence of Practice, Philosophy, Work Space and Education: A Case Study of Four Contemporary Midwives in Central New York’ May 2009</w:t>
      </w:r>
      <w:r>
        <w:rPr>
          <w:rFonts w:ascii="Calibri" w:hAnsi="Calibri" w:cs="Calibri"/>
          <w:bCs/>
          <w:color w:val="000000"/>
          <w:sz w:val="20"/>
          <w:szCs w:val="20"/>
          <w:lang w:val="en-US"/>
        </w:rPr>
        <w:t>.</w:t>
      </w:r>
    </w:p>
  </w:footnote>
  <w:footnote w:id="11">
    <w:p w:rsidR="00824722" w:rsidRPr="00E64B75" w:rsidRDefault="00824722" w:rsidP="00E64B75">
      <w:pPr>
        <w:pStyle w:val="FootnoteText"/>
        <w:rPr>
          <w:rFonts w:asciiTheme="minorHAnsi" w:hAnsiTheme="minorHAnsi" w:cstheme="minorHAnsi"/>
          <w:sz w:val="20"/>
        </w:rPr>
      </w:pPr>
      <w:r>
        <w:rPr>
          <w:rStyle w:val="FootnoteReference"/>
        </w:rPr>
        <w:footnoteRef/>
      </w:r>
      <w:r>
        <w:t xml:space="preserve"> </w:t>
      </w:r>
      <w:r w:rsidRPr="00E64B75">
        <w:rPr>
          <w:rFonts w:asciiTheme="minorHAnsi" w:hAnsiTheme="minorHAnsi" w:cstheme="minorHAnsi"/>
          <w:sz w:val="20"/>
        </w:rPr>
        <w:t xml:space="preserve">Zielinski, R. et al </w:t>
      </w:r>
      <w:hyperlink r:id="rId10" w:history="1">
        <w:r w:rsidRPr="00E64B75">
          <w:rPr>
            <w:rStyle w:val="Hyperlink"/>
            <w:rFonts w:asciiTheme="minorHAnsi" w:hAnsiTheme="minorHAnsi" w:cstheme="minorHAnsi"/>
            <w:color w:val="000000"/>
            <w:sz w:val="20"/>
            <w:u w:val="none"/>
            <w:lang w:eastAsia="en-AU"/>
          </w:rPr>
          <w:t>‘</w:t>
        </w:r>
        <w:r w:rsidRPr="00E64B75">
          <w:rPr>
            <w:rFonts w:asciiTheme="minorHAnsi" w:hAnsiTheme="minorHAnsi" w:cstheme="minorHAnsi"/>
            <w:color w:val="000000"/>
            <w:spacing w:val="-2"/>
            <w:sz w:val="20"/>
            <w:lang w:eastAsia="en-AU"/>
          </w:rPr>
          <w:t>Planned home birth: benefits, risks, and opportunities’. I</w:t>
        </w:r>
        <w:r w:rsidRPr="00E64B75">
          <w:rPr>
            <w:rStyle w:val="Hyperlink"/>
            <w:rFonts w:asciiTheme="minorHAnsi" w:hAnsiTheme="minorHAnsi" w:cstheme="minorHAnsi"/>
            <w:color w:val="000000"/>
            <w:sz w:val="20"/>
            <w:u w:val="none"/>
            <w:lang w:eastAsia="en-AU"/>
          </w:rPr>
          <w:t>nternational Journal Women’s Health</w:t>
        </w:r>
      </w:hyperlink>
      <w:r w:rsidRPr="00E64B75">
        <w:rPr>
          <w:rFonts w:asciiTheme="minorHAnsi" w:hAnsiTheme="minorHAnsi" w:cstheme="minorHAnsi"/>
          <w:color w:val="000000"/>
          <w:sz w:val="20"/>
          <w:lang w:eastAsia="en-AU"/>
        </w:rPr>
        <w:t xml:space="preserve"> Vol 7; 2015.</w:t>
      </w:r>
    </w:p>
  </w:footnote>
  <w:footnote w:id="12">
    <w:p w:rsidR="00824722" w:rsidRPr="005F3764" w:rsidRDefault="00824722" w:rsidP="00E64B75">
      <w:pPr>
        <w:pStyle w:val="FootnoteText"/>
        <w:rPr>
          <w:rFonts w:asciiTheme="minorHAnsi" w:hAnsiTheme="minorHAnsi" w:cstheme="minorHAnsi"/>
          <w:sz w:val="20"/>
        </w:rPr>
      </w:pPr>
      <w:r>
        <w:rPr>
          <w:rStyle w:val="FootnoteReference"/>
        </w:rPr>
        <w:footnoteRef/>
      </w:r>
      <w:r>
        <w:t xml:space="preserve"> </w:t>
      </w:r>
      <w:r w:rsidRPr="005F3764">
        <w:rPr>
          <w:rFonts w:asciiTheme="minorHAnsi" w:hAnsiTheme="minorHAnsi" w:cstheme="minorBidi"/>
          <w:sz w:val="20"/>
        </w:rPr>
        <w:t>Dr James Johnston Walker. ‘Planned home birth’. Best Practice &amp; Research Clinical Obstetrics &amp; Gynaecology</w:t>
      </w:r>
      <w:r w:rsidRPr="005F3764">
        <w:rPr>
          <w:rFonts w:asciiTheme="minorHAnsi" w:hAnsiTheme="minorHAnsi" w:cstheme="minorHAnsi"/>
          <w:sz w:val="20"/>
        </w:rPr>
        <w:t>. Vol 43 August 2017, pages 76-86.</w:t>
      </w:r>
    </w:p>
  </w:footnote>
  <w:footnote w:id="13">
    <w:p w:rsidR="00824722" w:rsidRPr="002D7BB0" w:rsidRDefault="00824722" w:rsidP="00E64B75">
      <w:pPr>
        <w:pStyle w:val="FootnoteText"/>
        <w:spacing w:before="0" w:after="0"/>
        <w:rPr>
          <w:rFonts w:asciiTheme="minorHAnsi" w:hAnsiTheme="minorHAnsi" w:cstheme="minorHAnsi"/>
          <w:sz w:val="20"/>
        </w:rPr>
      </w:pPr>
      <w:r w:rsidRPr="002D7BB0">
        <w:rPr>
          <w:rStyle w:val="FootnoteReference"/>
          <w:rFonts w:asciiTheme="minorHAnsi" w:hAnsiTheme="minorHAnsi" w:cstheme="minorHAnsi"/>
          <w:sz w:val="20"/>
        </w:rPr>
        <w:footnoteRef/>
      </w:r>
      <w:r w:rsidRPr="002D7BB0">
        <w:rPr>
          <w:rFonts w:asciiTheme="minorHAnsi" w:hAnsiTheme="minorHAnsi" w:cstheme="minorHAnsi"/>
          <w:sz w:val="20"/>
        </w:rPr>
        <w:t xml:space="preserve"> Davis et al. ‘Planned place of birth in New Zealand: does it affect mode of birth and intervention rates among low-risk women?</w:t>
      </w:r>
      <w:r>
        <w:rPr>
          <w:rFonts w:asciiTheme="minorHAnsi" w:hAnsiTheme="minorHAnsi" w:cstheme="minorHAnsi"/>
          <w:sz w:val="20"/>
        </w:rPr>
        <w:t>’ Birth</w:t>
      </w:r>
      <w:r w:rsidRPr="002D7BB0">
        <w:rPr>
          <w:rFonts w:asciiTheme="minorHAnsi" w:hAnsiTheme="minorHAnsi" w:cstheme="minorHAnsi"/>
          <w:sz w:val="20"/>
        </w:rPr>
        <w:t xml:space="preserve"> June 2011 38(2)</w:t>
      </w:r>
      <w:r>
        <w:rPr>
          <w:rFonts w:asciiTheme="minorHAnsi" w:hAnsiTheme="minorHAnsi" w:cstheme="minorHAnsi"/>
          <w:sz w:val="20"/>
        </w:rPr>
        <w:t>.</w:t>
      </w:r>
    </w:p>
  </w:footnote>
  <w:footnote w:id="14">
    <w:p w:rsidR="00824722" w:rsidRDefault="00824722" w:rsidP="00F372D2">
      <w:pPr>
        <w:shd w:val="clear" w:color="auto" w:fill="FFFFFF"/>
        <w:spacing w:after="0" w:line="240" w:lineRule="auto"/>
      </w:pPr>
      <w:r>
        <w:rPr>
          <w:rStyle w:val="FootnoteReference"/>
        </w:rPr>
        <w:footnoteRef/>
      </w:r>
      <w:r>
        <w:t xml:space="preserve"> </w:t>
      </w:r>
      <w:r w:rsidRPr="00260B45">
        <w:rPr>
          <w:rFonts w:ascii="Calibri" w:hAnsi="Calibri" w:cs="Calibri"/>
          <w:color w:val="000000"/>
          <w:sz w:val="20"/>
          <w:szCs w:val="20"/>
          <w:lang w:val="en-US"/>
        </w:rPr>
        <w:t>Cani</w:t>
      </w:r>
      <w:r>
        <w:rPr>
          <w:rFonts w:ascii="Calibri" w:hAnsi="Calibri" w:cs="Calibri"/>
          <w:color w:val="000000"/>
          <w:sz w:val="20"/>
          <w:szCs w:val="20"/>
          <w:lang w:val="en-US"/>
        </w:rPr>
        <w:t>l</w:t>
      </w:r>
      <w:r w:rsidRPr="00260B45">
        <w:rPr>
          <w:rFonts w:ascii="Calibri" w:hAnsi="Calibri" w:cs="Calibri"/>
          <w:color w:val="000000"/>
          <w:sz w:val="20"/>
          <w:szCs w:val="20"/>
          <w:lang w:val="en-US"/>
        </w:rPr>
        <w:t xml:space="preserve">, M. ‘Australia's insurance crisis and the inequitable treatment of self-employed midwives’. </w:t>
      </w:r>
      <w:hyperlink r:id="rId11" w:history="1">
        <w:r w:rsidRPr="00260B45">
          <w:rPr>
            <w:rFonts w:ascii="Calibri" w:hAnsi="Calibri" w:cs="Calibri"/>
            <w:color w:val="000000"/>
            <w:sz w:val="20"/>
            <w:szCs w:val="20"/>
            <w:lang w:val="en-US"/>
          </w:rPr>
          <w:t>Aust New Zealand Health Policy.</w:t>
        </w:r>
      </w:hyperlink>
      <w:r w:rsidRPr="00260B45">
        <w:rPr>
          <w:rFonts w:ascii="Calibri" w:hAnsi="Calibri" w:cs="Calibri"/>
          <w:color w:val="000000"/>
          <w:sz w:val="20"/>
          <w:szCs w:val="20"/>
          <w:lang w:val="en-US"/>
        </w:rPr>
        <w:t> 2008; 5: 6.</w:t>
      </w:r>
    </w:p>
  </w:footnote>
  <w:footnote w:id="15">
    <w:p w:rsidR="00824722" w:rsidRPr="00517BBD" w:rsidRDefault="00824722" w:rsidP="00EB0D79">
      <w:pPr>
        <w:rPr>
          <w:sz w:val="20"/>
          <w:szCs w:val="20"/>
        </w:rPr>
      </w:pPr>
      <w:r>
        <w:rPr>
          <w:rStyle w:val="FootnoteReference"/>
        </w:rPr>
        <w:footnoteRef/>
      </w:r>
      <w:r>
        <w:t xml:space="preserve"> </w:t>
      </w:r>
      <w:hyperlink r:id="rId12" w:history="1">
        <w:r w:rsidRPr="00517BBD">
          <w:rPr>
            <w:rStyle w:val="Hyperlink"/>
            <w:sz w:val="20"/>
            <w:szCs w:val="20"/>
          </w:rPr>
          <w:t>https://www.pc.gov.au/inquiries/completed/national-competition-policy/submissions/dr253/subdr253.pdf</w:t>
        </w:r>
      </w:hyperlink>
    </w:p>
  </w:footnote>
  <w:footnote w:id="16">
    <w:p w:rsidR="00824722" w:rsidRPr="00D74A3D" w:rsidRDefault="00824722" w:rsidP="00D74A3D">
      <w:pPr>
        <w:shd w:val="clear" w:color="auto" w:fill="FFFFFF"/>
        <w:spacing w:after="0"/>
        <w:ind w:left="357"/>
        <w:rPr>
          <w:sz w:val="20"/>
          <w:szCs w:val="20"/>
        </w:rPr>
      </w:pPr>
      <w:r w:rsidRPr="00D74A3D">
        <w:rPr>
          <w:sz w:val="20"/>
          <w:szCs w:val="20"/>
        </w:rPr>
        <w:footnoteRef/>
      </w:r>
      <w:r w:rsidRPr="00D74A3D">
        <w:rPr>
          <w:sz w:val="20"/>
          <w:szCs w:val="20"/>
        </w:rPr>
        <w:t xml:space="preserve"> Vedam, S., ‘The Mother’s Autonomy in Decision Making (MADM) scale: Patient-led development and psychometric testing of a new instrument to evaluate experience of maternity care’. PLoS one 2017; 12(2) </w:t>
      </w:r>
      <w:r>
        <w:rPr>
          <w:sz w:val="20"/>
          <w:szCs w:val="20"/>
        </w:rPr>
        <w:t>e0171804.</w:t>
      </w:r>
    </w:p>
  </w:footnote>
  <w:footnote w:id="17">
    <w:p w:rsidR="00824722" w:rsidRPr="0058344C" w:rsidRDefault="00824722" w:rsidP="00D74A3D">
      <w:pPr>
        <w:shd w:val="clear" w:color="auto" w:fill="FFFFFF"/>
        <w:spacing w:after="0"/>
        <w:ind w:left="357"/>
        <w:rPr>
          <w:sz w:val="20"/>
          <w:szCs w:val="20"/>
        </w:rPr>
      </w:pPr>
      <w:r>
        <w:rPr>
          <w:rStyle w:val="FootnoteReference"/>
        </w:rPr>
        <w:footnoteRef/>
      </w:r>
      <w:r>
        <w:t xml:space="preserve"> </w:t>
      </w:r>
      <w:r w:rsidRPr="0058344C">
        <w:rPr>
          <w:sz w:val="20"/>
          <w:szCs w:val="20"/>
        </w:rPr>
        <w:t>Tarrant, M. et al. ‘</w:t>
      </w:r>
      <w:r w:rsidRPr="0058344C">
        <w:rPr>
          <w:color w:val="1F1F1F"/>
          <w:sz w:val="20"/>
          <w:szCs w:val="20"/>
          <w:lang w:eastAsia="en-AU"/>
        </w:rPr>
        <w:t>A pathway to establish a publicly funded home birth program in Australia’ Women and Birth Vol 33, Issue 5 September 2023 Pages e420-e428.</w:t>
      </w:r>
    </w:p>
  </w:footnote>
  <w:footnote w:id="18">
    <w:p w:rsidR="00824722" w:rsidRPr="005F3764" w:rsidRDefault="00824722" w:rsidP="005F3764">
      <w:pPr>
        <w:shd w:val="clear" w:color="auto" w:fill="FFFFFF"/>
        <w:spacing w:after="0"/>
        <w:ind w:left="357"/>
        <w:rPr>
          <w:rFonts w:cstheme="minorHAnsi"/>
          <w:sz w:val="20"/>
          <w:szCs w:val="20"/>
        </w:rPr>
      </w:pPr>
      <w:r w:rsidRPr="0058344C">
        <w:rPr>
          <w:rStyle w:val="FootnoteReference"/>
        </w:rPr>
        <w:footnoteRef/>
      </w:r>
      <w:r w:rsidRPr="0058344C">
        <w:t xml:space="preserve"> </w:t>
      </w:r>
      <w:r w:rsidRPr="005F3764">
        <w:rPr>
          <w:color w:val="000000"/>
          <w:sz w:val="20"/>
          <w:szCs w:val="20"/>
        </w:rPr>
        <w:t>State of Queensland (Queensland Health), February 2024</w:t>
      </w:r>
      <w:r>
        <w:rPr>
          <w:color w:val="000000"/>
          <w:sz w:val="20"/>
          <w:szCs w:val="20"/>
        </w:rPr>
        <w:t>.</w:t>
      </w:r>
      <w:r w:rsidRPr="005F3764">
        <w:rPr>
          <w:color w:val="000000"/>
          <w:sz w:val="20"/>
          <w:szCs w:val="20"/>
        </w:rPr>
        <w:t xml:space="preserve"> Implementing a publicly funded homebirth program – Guidance </w:t>
      </w:r>
      <w:r w:rsidRPr="005F3764">
        <w:rPr>
          <w:sz w:val="20"/>
          <w:szCs w:val="20"/>
        </w:rPr>
        <w:t>for</w:t>
      </w:r>
      <w:r w:rsidRPr="005F3764">
        <w:rPr>
          <w:color w:val="000000"/>
          <w:sz w:val="20"/>
          <w:szCs w:val="20"/>
        </w:rPr>
        <w:t xml:space="preserve"> Queensland Hospital and Health Services V1.0.</w:t>
      </w:r>
    </w:p>
  </w:footnote>
  <w:footnote w:id="19">
    <w:p w:rsidR="00824722" w:rsidRPr="0099402E" w:rsidRDefault="00824722" w:rsidP="0099402E">
      <w:pPr>
        <w:pStyle w:val="FootnoteText"/>
        <w:spacing w:before="0" w:after="0"/>
        <w:rPr>
          <w:rFonts w:asciiTheme="minorHAnsi" w:hAnsiTheme="minorHAnsi" w:cstheme="minorHAnsi"/>
          <w:sz w:val="20"/>
        </w:rPr>
      </w:pPr>
      <w:r w:rsidRPr="0099402E">
        <w:rPr>
          <w:rStyle w:val="FootnoteReference"/>
          <w:rFonts w:asciiTheme="minorHAnsi" w:hAnsiTheme="minorHAnsi" w:cstheme="minorHAnsi"/>
          <w:sz w:val="20"/>
        </w:rPr>
        <w:footnoteRef/>
      </w:r>
      <w:r w:rsidRPr="0099402E">
        <w:rPr>
          <w:rFonts w:asciiTheme="minorHAnsi" w:hAnsiTheme="minorHAnsi" w:cstheme="minorHAnsi"/>
          <w:sz w:val="20"/>
        </w:rPr>
        <w:t xml:space="preserve"> https://www.regulatoryreform.gov.au/sites/default/files/Final%20Report%20-%20Overseas%20Health%20Practitioner%20Regulatory%20Settings%20Review%202023%20-%20endorsed%20by%20National%20Cabinet_0.pdf</w:t>
      </w:r>
    </w:p>
  </w:footnote>
  <w:footnote w:id="20">
    <w:p w:rsidR="00824722" w:rsidRPr="00AD0AA3" w:rsidRDefault="00824722" w:rsidP="00C8223B">
      <w:pPr>
        <w:pStyle w:val="NormalWeb"/>
        <w:shd w:val="clear" w:color="auto" w:fill="FFFFFF"/>
        <w:spacing w:before="0" w:beforeAutospacing="0" w:after="0" w:afterAutospacing="0"/>
        <w:rPr>
          <w:rFonts w:asciiTheme="minorHAnsi" w:hAnsiTheme="minorHAnsi" w:cstheme="minorHAnsi"/>
          <w:color w:val="1F1F1F"/>
          <w:sz w:val="16"/>
          <w:szCs w:val="16"/>
        </w:rPr>
      </w:pPr>
      <w:r w:rsidRPr="00AD0AA3">
        <w:rPr>
          <w:rStyle w:val="FootnoteReference"/>
          <w:rFonts w:asciiTheme="minorHAnsi" w:hAnsiTheme="minorHAnsi" w:cstheme="minorHAnsi"/>
          <w:sz w:val="16"/>
          <w:szCs w:val="16"/>
        </w:rPr>
        <w:footnoteRef/>
      </w:r>
      <w:r w:rsidRPr="00AD0AA3">
        <w:rPr>
          <w:rFonts w:asciiTheme="minorHAnsi" w:hAnsiTheme="minorHAnsi" w:cstheme="minorHAnsi"/>
          <w:sz w:val="16"/>
          <w:szCs w:val="16"/>
        </w:rPr>
        <w:t xml:space="preserve"> See </w:t>
      </w:r>
      <w:r w:rsidRPr="00AD0AA3">
        <w:rPr>
          <w:rFonts w:asciiTheme="minorHAnsi" w:hAnsiTheme="minorHAnsi" w:cstheme="minorHAnsi"/>
          <w:color w:val="1F1F1F"/>
          <w:sz w:val="16"/>
          <w:szCs w:val="16"/>
        </w:rPr>
        <w:t xml:space="preserve">The Royal Australian and New Zealand College of Obstetricians and Gynaecologists (RANZCOG). (2022). Home Births (C-Obs 2). </w:t>
      </w:r>
      <w:hyperlink r:id="rId13" w:tgtFrame="_blank" w:history="1">
        <w:r w:rsidRPr="00AD0AA3">
          <w:rPr>
            <w:rStyle w:val="Hyperlink"/>
            <w:rFonts w:asciiTheme="minorHAnsi" w:hAnsiTheme="minorHAnsi" w:cstheme="minorHAnsi"/>
            <w:sz w:val="16"/>
            <w:szCs w:val="16"/>
          </w:rPr>
          <w:t>https://ranzcog.edu.au/wp-content/uploads/2022/05/Home-Births.pdf</w:t>
        </w:r>
      </w:hyperlink>
    </w:p>
    <w:p w:rsidR="00824722" w:rsidRPr="00AD0AA3" w:rsidRDefault="00824722" w:rsidP="00C8223B">
      <w:pPr>
        <w:pStyle w:val="NormalWeb"/>
        <w:shd w:val="clear" w:color="auto" w:fill="FFFFFF"/>
        <w:spacing w:before="0" w:beforeAutospacing="0" w:after="0" w:afterAutospacing="0"/>
        <w:rPr>
          <w:rFonts w:asciiTheme="minorHAnsi" w:hAnsiTheme="minorHAnsi" w:cstheme="minorHAnsi"/>
          <w:sz w:val="16"/>
          <w:szCs w:val="16"/>
        </w:rPr>
      </w:pPr>
      <w:r w:rsidRPr="00AD0AA3">
        <w:rPr>
          <w:rFonts w:asciiTheme="minorHAnsi" w:hAnsiTheme="minorHAnsi" w:cstheme="minorHAnsi"/>
          <w:color w:val="1F1F1F"/>
          <w:sz w:val="16"/>
          <w:szCs w:val="16"/>
          <w:shd w:val="clear" w:color="auto" w:fill="FFFFFF"/>
        </w:rPr>
        <w:t xml:space="preserve">McLachlan, H. L., Forster, D. A., Davey, M. A., Gold, L., Biro, M. A., &amp; Albers, L. (2022). Ten years of a publicly funded homebirth service in Victoria: Maternal and neonatal outcomes. Midwifery, 115. </w:t>
      </w:r>
      <w:hyperlink r:id="rId14" w:tgtFrame="_blank" w:history="1">
        <w:r w:rsidRPr="00AD0AA3">
          <w:rPr>
            <w:rStyle w:val="Hyperlink"/>
            <w:rFonts w:asciiTheme="minorHAnsi" w:hAnsiTheme="minorHAnsi" w:cstheme="minorHAnsi"/>
            <w:sz w:val="16"/>
            <w:szCs w:val="16"/>
            <w:shd w:val="clear" w:color="auto" w:fill="FFFFFF"/>
          </w:rPr>
          <w:t>https://www.ncbi.nlm.nih.gov/pmc/articles/PMC9790430/</w:t>
        </w:r>
      </w:hyperlink>
    </w:p>
    <w:p w:rsidR="00824722" w:rsidRPr="00AD0AA3" w:rsidRDefault="00824722" w:rsidP="00C8223B">
      <w:pPr>
        <w:pStyle w:val="NormalWeb"/>
        <w:shd w:val="clear" w:color="auto" w:fill="FFFFFF"/>
        <w:spacing w:before="0" w:beforeAutospacing="0" w:after="0" w:afterAutospacing="0"/>
        <w:rPr>
          <w:rFonts w:asciiTheme="minorHAnsi" w:hAnsiTheme="minorHAnsi" w:cstheme="minorHAnsi"/>
          <w:color w:val="1F1F1F"/>
          <w:sz w:val="16"/>
          <w:szCs w:val="16"/>
        </w:rPr>
      </w:pPr>
      <w:r w:rsidRPr="00AD0AA3">
        <w:rPr>
          <w:rFonts w:asciiTheme="minorHAnsi" w:hAnsiTheme="minorHAnsi" w:cstheme="minorHAnsi"/>
          <w:color w:val="1F1F1F"/>
          <w:sz w:val="16"/>
          <w:szCs w:val="16"/>
        </w:rPr>
        <w:t xml:space="preserve">Hutton, E.K., Reitsma, A.H., Kaufman, K. (2016). </w:t>
      </w:r>
      <w:r w:rsidRPr="00AD0AA3">
        <w:rPr>
          <w:rStyle w:val="citation-0"/>
          <w:rFonts w:asciiTheme="minorHAnsi" w:hAnsiTheme="minorHAnsi" w:cstheme="minorHAnsi"/>
          <w:color w:val="1F1F1F"/>
          <w:sz w:val="16"/>
          <w:szCs w:val="16"/>
        </w:rPr>
        <w:t>Planned hospital birth versus planned home birth. Cochrane Database of Systematic Reviews, Issue 9. Art. No.: CD000352. DOI: 10.1002/14651858.CD000352.pub3</w:t>
      </w:r>
    </w:p>
    <w:p w:rsidR="00824722" w:rsidRDefault="00076049" w:rsidP="00C8223B">
      <w:pPr>
        <w:pStyle w:val="FootnoteText"/>
      </w:pPr>
      <w:hyperlink r:id="rId15" w:tgtFrame="_blank" w:history="1">
        <w:r w:rsidR="00824722" w:rsidRPr="00AD0AA3">
          <w:rPr>
            <w:rStyle w:val="Hyperlink"/>
            <w:rFonts w:asciiTheme="minorHAnsi" w:hAnsiTheme="minorHAnsi" w:cstheme="minorHAnsi"/>
            <w:szCs w:val="16"/>
            <w:shd w:val="clear" w:color="auto" w:fill="FFFFFF"/>
          </w:rPr>
          <w:t>https://www.cochrane.org/CD000352/PREG_planned-hospital-birth-versus-planned-home-birth</w:t>
        </w:r>
      </w:hyperlink>
    </w:p>
  </w:footnote>
  <w:footnote w:id="21">
    <w:p w:rsidR="00824722" w:rsidRPr="00A07358" w:rsidRDefault="00824722" w:rsidP="008F6759">
      <w:pPr>
        <w:spacing w:after="0"/>
        <w:rPr>
          <w:sz w:val="20"/>
          <w:szCs w:val="20"/>
        </w:rPr>
      </w:pPr>
      <w:r w:rsidRPr="00A07358">
        <w:rPr>
          <w:rStyle w:val="FootnoteReference"/>
          <w:sz w:val="20"/>
          <w:szCs w:val="20"/>
        </w:rPr>
        <w:footnoteRef/>
      </w:r>
      <w:r w:rsidRPr="00A07358">
        <w:rPr>
          <w:sz w:val="20"/>
          <w:szCs w:val="20"/>
        </w:rPr>
        <w:t xml:space="preserve">Australian Government Department of Industry , Science, Energy and Resources: </w:t>
      </w:r>
      <w:r w:rsidRPr="00A07358">
        <w:rPr>
          <w:i/>
          <w:sz w:val="20"/>
          <w:szCs w:val="20"/>
        </w:rPr>
        <w:t>Reforming Australia’s Measurement Legislation 2021</w:t>
      </w:r>
      <w:r>
        <w:rPr>
          <w:sz w:val="20"/>
          <w:szCs w:val="20"/>
        </w:rPr>
        <w:t xml:space="preserve"> Impact Rating Scale</w:t>
      </w:r>
    </w:p>
  </w:footnote>
  <w:footnote w:id="22">
    <w:p w:rsidR="00824722" w:rsidRPr="0054702D" w:rsidRDefault="00824722" w:rsidP="0054702D">
      <w:pPr>
        <w:spacing w:after="0"/>
        <w:rPr>
          <w:sz w:val="20"/>
          <w:szCs w:val="20"/>
        </w:rPr>
      </w:pPr>
      <w:r w:rsidRPr="0054702D">
        <w:rPr>
          <w:rStyle w:val="FootnoteReference"/>
          <w:sz w:val="20"/>
          <w:szCs w:val="20"/>
        </w:rPr>
        <w:footnoteRef/>
      </w:r>
      <w:r w:rsidRPr="0054702D">
        <w:rPr>
          <w:sz w:val="20"/>
          <w:szCs w:val="20"/>
        </w:rPr>
        <w:t xml:space="preserve"> </w:t>
      </w:r>
      <w:hyperlink r:id="rId16" w:history="1">
        <w:r w:rsidRPr="0054702D">
          <w:rPr>
            <w:rStyle w:val="Hyperlink"/>
            <w:sz w:val="20"/>
            <w:szCs w:val="20"/>
          </w:rPr>
          <w:t>https://www.midwives.org.au/common/Uploaded%20files/_ADMIN-ACM/Planned-Birth-at-Home-Position-Statement-2019.pdf</w:t>
        </w:r>
      </w:hyperlink>
    </w:p>
  </w:footnote>
  <w:footnote w:id="23">
    <w:p w:rsidR="00824722" w:rsidRPr="00C566B2" w:rsidRDefault="00824722" w:rsidP="00EF6623">
      <w:pPr>
        <w:pStyle w:val="FootnoteText"/>
        <w:rPr>
          <w:rFonts w:asciiTheme="minorHAnsi" w:hAnsiTheme="minorHAnsi" w:cstheme="minorHAnsi"/>
          <w:sz w:val="20"/>
        </w:rPr>
      </w:pPr>
      <w:r>
        <w:rPr>
          <w:rStyle w:val="FootnoteReference"/>
        </w:rPr>
        <w:footnoteRef/>
      </w:r>
      <w:r>
        <w:t xml:space="preserve"> </w:t>
      </w:r>
      <w:r w:rsidRPr="00C566B2">
        <w:rPr>
          <w:rFonts w:asciiTheme="minorHAnsi" w:hAnsiTheme="minorHAnsi" w:cstheme="minorHAnsi"/>
          <w:sz w:val="20"/>
        </w:rPr>
        <w:t>National Health Workforce Dataset 2023</w:t>
      </w:r>
    </w:p>
  </w:footnote>
  <w:footnote w:id="24">
    <w:p w:rsidR="00824722" w:rsidRPr="008C03F3" w:rsidRDefault="00824722" w:rsidP="000205D1">
      <w:pPr>
        <w:pStyle w:val="CommentText"/>
        <w:spacing w:before="60" w:after="60"/>
        <w:rPr>
          <w:rFonts w:ascii="Calibri" w:hAnsi="Calibri" w:cs="Calibri"/>
        </w:rPr>
      </w:pPr>
      <w:r w:rsidRPr="008C03F3">
        <w:rPr>
          <w:rStyle w:val="FootnoteReference"/>
          <w:rFonts w:cs="Arial"/>
        </w:rPr>
        <w:footnoteRef/>
      </w:r>
      <w:r w:rsidRPr="008C03F3">
        <w:rPr>
          <w:rFonts w:ascii="Calibri" w:hAnsi="Calibri" w:cs="Calibri"/>
        </w:rPr>
        <w:t xml:space="preserve"> Office of Best Practice Regulation March 2020, </w:t>
      </w:r>
      <w:hyperlink r:id="rId17" w:history="1">
        <w:r w:rsidRPr="008C03F3">
          <w:rPr>
            <w:rStyle w:val="Hyperlink"/>
            <w:rFonts w:ascii="Calibri" w:hAnsi="Calibri" w:cs="Calibri"/>
            <w:i/>
          </w:rPr>
          <w:t>Regulatory Burden</w:t>
        </w:r>
      </w:hyperlink>
      <w:r w:rsidRPr="008C03F3">
        <w:rPr>
          <w:rStyle w:val="Hyperlink"/>
          <w:rFonts w:ascii="Calibri" w:hAnsi="Calibri" w:cs="Calibri"/>
          <w:i/>
        </w:rPr>
        <w:t xml:space="preserve"> Measurement Framework.</w:t>
      </w:r>
    </w:p>
  </w:footnote>
  <w:footnote w:id="25">
    <w:p w:rsidR="00824722" w:rsidRPr="009C1A7C" w:rsidRDefault="00824722" w:rsidP="0092516E">
      <w:pPr>
        <w:spacing w:after="0"/>
        <w:rPr>
          <w:sz w:val="20"/>
          <w:szCs w:val="20"/>
        </w:rPr>
      </w:pPr>
      <w:r w:rsidRPr="009C1A7C">
        <w:rPr>
          <w:rStyle w:val="FootnoteReference"/>
          <w:sz w:val="20"/>
          <w:szCs w:val="20"/>
        </w:rPr>
        <w:footnoteRef/>
      </w:r>
      <w:r w:rsidRPr="009C1A7C">
        <w:rPr>
          <w:sz w:val="20"/>
          <w:szCs w:val="20"/>
        </w:rPr>
        <w:t xml:space="preserve"> </w:t>
      </w:r>
      <w:hyperlink r:id="rId18" w:history="1">
        <w:r w:rsidRPr="009C1A7C">
          <w:rPr>
            <w:rStyle w:val="Hyperlink"/>
            <w:sz w:val="20"/>
            <w:szCs w:val="20"/>
          </w:rPr>
          <w:t>Midwives Fact Sheet 2017</w:t>
        </w:r>
      </w:hyperlink>
    </w:p>
  </w:footnote>
  <w:footnote w:id="26">
    <w:p w:rsidR="00824722" w:rsidRPr="008C03F3" w:rsidRDefault="00824722" w:rsidP="004F7785">
      <w:pPr>
        <w:pStyle w:val="CommentText"/>
        <w:spacing w:before="60" w:after="60"/>
        <w:rPr>
          <w:rFonts w:ascii="Calibri" w:hAnsi="Calibri" w:cs="Calibri"/>
        </w:rPr>
      </w:pPr>
      <w:r w:rsidRPr="008C03F3">
        <w:rPr>
          <w:rStyle w:val="FootnoteReference"/>
          <w:rFonts w:cs="Arial"/>
        </w:rPr>
        <w:footnoteRef/>
      </w:r>
      <w:r w:rsidRPr="008C03F3">
        <w:rPr>
          <w:rFonts w:ascii="Calibri" w:hAnsi="Calibri" w:cs="Calibri"/>
        </w:rPr>
        <w:t xml:space="preserve"> Office of Best Practice Regulation March 2020, </w:t>
      </w:r>
      <w:hyperlink r:id="rId19" w:history="1">
        <w:r w:rsidRPr="008C03F3">
          <w:rPr>
            <w:rStyle w:val="Hyperlink"/>
            <w:rFonts w:ascii="Calibri" w:hAnsi="Calibri" w:cs="Calibri"/>
            <w:i/>
          </w:rPr>
          <w:t>Regulatory Burden</w:t>
        </w:r>
      </w:hyperlink>
      <w:r w:rsidRPr="008C03F3">
        <w:rPr>
          <w:rStyle w:val="Hyperlink"/>
          <w:rFonts w:ascii="Calibri" w:hAnsi="Calibri" w:cs="Calibri"/>
          <w:i/>
        </w:rPr>
        <w:t xml:space="preserve"> Measurement Framework.</w:t>
      </w:r>
    </w:p>
  </w:footnote>
  <w:footnote w:id="27">
    <w:p w:rsidR="00824722" w:rsidRPr="00FD6F15" w:rsidRDefault="00824722" w:rsidP="00FD6F15">
      <w:pPr>
        <w:spacing w:after="0"/>
        <w:rPr>
          <w:sz w:val="20"/>
          <w:szCs w:val="20"/>
        </w:rPr>
      </w:pPr>
      <w:r>
        <w:rPr>
          <w:rStyle w:val="FootnoteReference"/>
        </w:rPr>
        <w:footnoteRef/>
      </w:r>
      <w:r>
        <w:t xml:space="preserve"> </w:t>
      </w:r>
      <w:hyperlink r:id="rId20" w:history="1">
        <w:r w:rsidRPr="00FD6F15">
          <w:rPr>
            <w:rStyle w:val="Hyperlink"/>
            <w:sz w:val="20"/>
            <w:szCs w:val="20"/>
          </w:rPr>
          <w:t>Midwife salary in Australia - Indeed</w:t>
        </w:r>
      </w:hyperlink>
    </w:p>
  </w:footnote>
  <w:footnote w:id="28">
    <w:p w:rsidR="00824722" w:rsidRPr="003773EA" w:rsidRDefault="00824722">
      <w:pPr>
        <w:pStyle w:val="FootnoteText"/>
        <w:rPr>
          <w:rFonts w:asciiTheme="minorHAnsi" w:hAnsiTheme="minorHAnsi"/>
          <w:sz w:val="20"/>
        </w:rPr>
      </w:pPr>
      <w:r>
        <w:rPr>
          <w:rStyle w:val="FootnoteReference"/>
        </w:rPr>
        <w:footnoteRef/>
      </w:r>
      <w:r>
        <w:t xml:space="preserve"> </w:t>
      </w:r>
      <w:r w:rsidRPr="003773EA">
        <w:rPr>
          <w:rFonts w:asciiTheme="minorHAnsi" w:hAnsiTheme="minorHAnsi"/>
          <w:sz w:val="20"/>
        </w:rPr>
        <w:t xml:space="preserve">Department of Health and Aged Care Enterprise </w:t>
      </w:r>
      <w:r>
        <w:rPr>
          <w:rFonts w:asciiTheme="minorHAnsi" w:hAnsiTheme="minorHAnsi"/>
          <w:sz w:val="20"/>
        </w:rPr>
        <w:t>A</w:t>
      </w:r>
      <w:r w:rsidRPr="003773EA">
        <w:rPr>
          <w:rFonts w:asciiTheme="minorHAnsi" w:hAnsiTheme="minorHAnsi"/>
          <w:sz w:val="20"/>
        </w:rPr>
        <w:t>greement 2024-27</w:t>
      </w:r>
    </w:p>
  </w:footnote>
  <w:footnote w:id="29">
    <w:p w:rsidR="00824722" w:rsidRPr="008C03F3" w:rsidRDefault="00824722" w:rsidP="00823289">
      <w:pPr>
        <w:pStyle w:val="CommentText"/>
        <w:spacing w:before="60" w:after="60"/>
        <w:rPr>
          <w:rFonts w:ascii="Calibri" w:hAnsi="Calibri" w:cs="Calibri"/>
        </w:rPr>
      </w:pPr>
      <w:r w:rsidRPr="008C03F3">
        <w:rPr>
          <w:rStyle w:val="FootnoteReference"/>
          <w:rFonts w:cs="Arial"/>
        </w:rPr>
        <w:footnoteRef/>
      </w:r>
      <w:r w:rsidRPr="008C03F3">
        <w:rPr>
          <w:rFonts w:ascii="Calibri" w:hAnsi="Calibri" w:cs="Calibri"/>
        </w:rPr>
        <w:t xml:space="preserve"> Office of Best Practice Regulation March 2020, </w:t>
      </w:r>
      <w:hyperlink r:id="rId21" w:history="1">
        <w:r w:rsidRPr="008C03F3">
          <w:rPr>
            <w:rStyle w:val="Hyperlink"/>
            <w:rFonts w:ascii="Calibri" w:hAnsi="Calibri" w:cs="Calibri"/>
            <w:i/>
          </w:rPr>
          <w:t>Regulatory Burden</w:t>
        </w:r>
      </w:hyperlink>
      <w:r w:rsidRPr="008C03F3">
        <w:rPr>
          <w:rStyle w:val="Hyperlink"/>
          <w:rFonts w:ascii="Calibri" w:hAnsi="Calibri" w:cs="Calibri"/>
          <w:i/>
        </w:rPr>
        <w:t xml:space="preserve"> Measurement Framework.</w:t>
      </w:r>
    </w:p>
  </w:footnote>
  <w:footnote w:id="30">
    <w:p w:rsidR="00824722" w:rsidRPr="009C1A7C" w:rsidRDefault="00824722" w:rsidP="009C1A7C">
      <w:pPr>
        <w:spacing w:after="0"/>
        <w:rPr>
          <w:sz w:val="20"/>
          <w:szCs w:val="20"/>
        </w:rPr>
      </w:pPr>
      <w:r w:rsidRPr="009C1A7C">
        <w:rPr>
          <w:rStyle w:val="FootnoteReference"/>
          <w:sz w:val="20"/>
          <w:szCs w:val="20"/>
        </w:rPr>
        <w:footnoteRef/>
      </w:r>
      <w:r w:rsidRPr="009C1A7C">
        <w:rPr>
          <w:sz w:val="20"/>
          <w:szCs w:val="20"/>
        </w:rPr>
        <w:t xml:space="preserve"> </w:t>
      </w:r>
      <w:hyperlink r:id="rId22" w:history="1">
        <w:r w:rsidRPr="009C1A7C">
          <w:rPr>
            <w:rStyle w:val="Hyperlink"/>
            <w:sz w:val="20"/>
            <w:szCs w:val="20"/>
          </w:rPr>
          <w:t>Midwives Fact Sheet 2017</w:t>
        </w:r>
      </w:hyperlink>
    </w:p>
  </w:footnote>
  <w:footnote w:id="31">
    <w:p w:rsidR="00824722" w:rsidRPr="00DD1B3D" w:rsidRDefault="00824722" w:rsidP="002C0BC9">
      <w:pPr>
        <w:spacing w:after="0"/>
        <w:rPr>
          <w:sz w:val="20"/>
          <w:szCs w:val="20"/>
        </w:rPr>
      </w:pPr>
      <w:r>
        <w:rPr>
          <w:rStyle w:val="FootnoteReference"/>
        </w:rPr>
        <w:footnoteRef/>
      </w:r>
      <w:r>
        <w:t xml:space="preserve"> </w:t>
      </w:r>
      <w:hyperlink r:id="rId23" w:history="1">
        <w:r w:rsidRPr="00DD1B3D">
          <w:rPr>
            <w:rStyle w:val="Hyperlink"/>
            <w:sz w:val="20"/>
            <w:szCs w:val="20"/>
          </w:rPr>
          <w:t>NMBA/Ahpra Safety and quality guidelines for privately practising midwives</w:t>
        </w:r>
      </w:hyperlink>
    </w:p>
  </w:footnote>
  <w:footnote w:id="32">
    <w:p w:rsidR="00824722" w:rsidRPr="00AE45B8" w:rsidRDefault="00824722" w:rsidP="00AE45B8">
      <w:pPr>
        <w:spacing w:after="0"/>
        <w:rPr>
          <w:sz w:val="20"/>
          <w:szCs w:val="20"/>
        </w:rPr>
      </w:pPr>
      <w:r>
        <w:rPr>
          <w:rStyle w:val="FootnoteReference"/>
        </w:rPr>
        <w:footnoteRef/>
      </w:r>
      <w:hyperlink r:id="rId24" w:history="1">
        <w:r w:rsidRPr="00AE45B8">
          <w:rPr>
            <w:rStyle w:val="Hyperlink"/>
            <w:sz w:val="20"/>
            <w:szCs w:val="20"/>
          </w:rPr>
          <w:t>Pro talent recruitment agencies cost</w:t>
        </w:r>
      </w:hyperlink>
      <w:r w:rsidRPr="00AE45B8">
        <w:rPr>
          <w:sz w:val="20"/>
          <w:szCs w:val="20"/>
        </w:rPr>
        <w:t xml:space="preserv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65" w:rsidRDefault="001E7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65" w:rsidRDefault="001E7F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65" w:rsidRDefault="001E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1029"/>
    <w:multiLevelType w:val="hybridMultilevel"/>
    <w:tmpl w:val="71EA7E28"/>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F9A371E"/>
    <w:multiLevelType w:val="hybridMultilevel"/>
    <w:tmpl w:val="4CFE2416"/>
    <w:lvl w:ilvl="0" w:tplc="0C090019">
      <w:start w:val="1"/>
      <w:numFmt w:val="lowerLetter"/>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cs="Times New Roman" w:hint="default"/>
      </w:rPr>
    </w:lvl>
    <w:lvl w:ilvl="1" w:tplc="0C090003">
      <w:start w:val="1"/>
      <w:numFmt w:val="bullet"/>
      <w:lvlText w:val="o"/>
      <w:lvlJc w:val="left"/>
      <w:pPr>
        <w:ind w:left="2291" w:hanging="360"/>
      </w:pPr>
      <w:rPr>
        <w:rFonts w:ascii="Courier New" w:hAnsi="Courier New" w:cs="Courier New" w:hint="default"/>
      </w:rPr>
    </w:lvl>
    <w:lvl w:ilvl="2" w:tplc="0C090005">
      <w:start w:val="1"/>
      <w:numFmt w:val="bullet"/>
      <w:lvlText w:val=""/>
      <w:lvlJc w:val="left"/>
      <w:pPr>
        <w:ind w:left="3011" w:hanging="360"/>
      </w:pPr>
      <w:rPr>
        <w:rFonts w:ascii="Wingdings" w:hAnsi="Wingdings" w:hint="default"/>
      </w:rPr>
    </w:lvl>
    <w:lvl w:ilvl="3" w:tplc="0C090001">
      <w:start w:val="1"/>
      <w:numFmt w:val="bullet"/>
      <w:lvlText w:val=""/>
      <w:lvlJc w:val="left"/>
      <w:pPr>
        <w:ind w:left="3731" w:hanging="360"/>
      </w:pPr>
      <w:rPr>
        <w:rFonts w:ascii="Symbol" w:hAnsi="Symbol" w:hint="default"/>
      </w:rPr>
    </w:lvl>
    <w:lvl w:ilvl="4" w:tplc="0C090003">
      <w:start w:val="1"/>
      <w:numFmt w:val="bullet"/>
      <w:lvlText w:val="o"/>
      <w:lvlJc w:val="left"/>
      <w:pPr>
        <w:ind w:left="4451" w:hanging="360"/>
      </w:pPr>
      <w:rPr>
        <w:rFonts w:ascii="Courier New" w:hAnsi="Courier New" w:cs="Courier New" w:hint="default"/>
      </w:rPr>
    </w:lvl>
    <w:lvl w:ilvl="5" w:tplc="0C090005">
      <w:start w:val="1"/>
      <w:numFmt w:val="bullet"/>
      <w:lvlText w:val=""/>
      <w:lvlJc w:val="left"/>
      <w:pPr>
        <w:ind w:left="5171" w:hanging="360"/>
      </w:pPr>
      <w:rPr>
        <w:rFonts w:ascii="Wingdings" w:hAnsi="Wingdings" w:hint="default"/>
      </w:rPr>
    </w:lvl>
    <w:lvl w:ilvl="6" w:tplc="0C090001">
      <w:start w:val="1"/>
      <w:numFmt w:val="bullet"/>
      <w:lvlText w:val=""/>
      <w:lvlJc w:val="left"/>
      <w:pPr>
        <w:ind w:left="5891" w:hanging="360"/>
      </w:pPr>
      <w:rPr>
        <w:rFonts w:ascii="Symbol" w:hAnsi="Symbol" w:hint="default"/>
      </w:rPr>
    </w:lvl>
    <w:lvl w:ilvl="7" w:tplc="0C090003">
      <w:start w:val="1"/>
      <w:numFmt w:val="bullet"/>
      <w:lvlText w:val="o"/>
      <w:lvlJc w:val="left"/>
      <w:pPr>
        <w:ind w:left="6611" w:hanging="360"/>
      </w:pPr>
      <w:rPr>
        <w:rFonts w:ascii="Courier New" w:hAnsi="Courier New" w:cs="Courier New" w:hint="default"/>
      </w:rPr>
    </w:lvl>
    <w:lvl w:ilvl="8" w:tplc="0C090005">
      <w:start w:val="1"/>
      <w:numFmt w:val="bullet"/>
      <w:lvlText w:val=""/>
      <w:lvlJc w:val="left"/>
      <w:pPr>
        <w:ind w:left="7331" w:hanging="360"/>
      </w:pPr>
      <w:rPr>
        <w:rFonts w:ascii="Wingdings" w:hAnsi="Wingdings" w:hint="default"/>
      </w:rPr>
    </w:lvl>
  </w:abstractNum>
  <w:abstractNum w:abstractNumId="3" w15:restartNumberingAfterBreak="0">
    <w:nsid w:val="14B6365F"/>
    <w:multiLevelType w:val="hybridMultilevel"/>
    <w:tmpl w:val="52829862"/>
    <w:lvl w:ilvl="0" w:tplc="0C090005">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95C101C"/>
    <w:multiLevelType w:val="hybridMultilevel"/>
    <w:tmpl w:val="85523D1A"/>
    <w:lvl w:ilvl="0" w:tplc="0C090001">
      <w:start w:val="1"/>
      <w:numFmt w:val="bullet"/>
      <w:lvlText w:val=""/>
      <w:lvlJc w:val="left"/>
      <w:pPr>
        <w:ind w:left="1701" w:hanging="360"/>
      </w:pPr>
      <w:rPr>
        <w:rFonts w:ascii="Symbol" w:hAnsi="Symbol" w:hint="default"/>
      </w:rPr>
    </w:lvl>
    <w:lvl w:ilvl="1" w:tplc="0C090003" w:tentative="1">
      <w:start w:val="1"/>
      <w:numFmt w:val="bullet"/>
      <w:lvlText w:val="o"/>
      <w:lvlJc w:val="left"/>
      <w:pPr>
        <w:ind w:left="2421" w:hanging="360"/>
      </w:pPr>
      <w:rPr>
        <w:rFonts w:ascii="Courier New" w:hAnsi="Courier New" w:cs="Courier New" w:hint="default"/>
      </w:rPr>
    </w:lvl>
    <w:lvl w:ilvl="2" w:tplc="0C090005" w:tentative="1">
      <w:start w:val="1"/>
      <w:numFmt w:val="bullet"/>
      <w:lvlText w:val=""/>
      <w:lvlJc w:val="left"/>
      <w:pPr>
        <w:ind w:left="3141" w:hanging="360"/>
      </w:pPr>
      <w:rPr>
        <w:rFonts w:ascii="Wingdings" w:hAnsi="Wingdings" w:hint="default"/>
      </w:rPr>
    </w:lvl>
    <w:lvl w:ilvl="3" w:tplc="0C090001" w:tentative="1">
      <w:start w:val="1"/>
      <w:numFmt w:val="bullet"/>
      <w:lvlText w:val=""/>
      <w:lvlJc w:val="left"/>
      <w:pPr>
        <w:ind w:left="3861" w:hanging="360"/>
      </w:pPr>
      <w:rPr>
        <w:rFonts w:ascii="Symbol" w:hAnsi="Symbol" w:hint="default"/>
      </w:rPr>
    </w:lvl>
    <w:lvl w:ilvl="4" w:tplc="0C090003" w:tentative="1">
      <w:start w:val="1"/>
      <w:numFmt w:val="bullet"/>
      <w:lvlText w:val="o"/>
      <w:lvlJc w:val="left"/>
      <w:pPr>
        <w:ind w:left="4581" w:hanging="360"/>
      </w:pPr>
      <w:rPr>
        <w:rFonts w:ascii="Courier New" w:hAnsi="Courier New" w:cs="Courier New" w:hint="default"/>
      </w:rPr>
    </w:lvl>
    <w:lvl w:ilvl="5" w:tplc="0C090005" w:tentative="1">
      <w:start w:val="1"/>
      <w:numFmt w:val="bullet"/>
      <w:lvlText w:val=""/>
      <w:lvlJc w:val="left"/>
      <w:pPr>
        <w:ind w:left="5301" w:hanging="360"/>
      </w:pPr>
      <w:rPr>
        <w:rFonts w:ascii="Wingdings" w:hAnsi="Wingdings" w:hint="default"/>
      </w:rPr>
    </w:lvl>
    <w:lvl w:ilvl="6" w:tplc="0C090001" w:tentative="1">
      <w:start w:val="1"/>
      <w:numFmt w:val="bullet"/>
      <w:lvlText w:val=""/>
      <w:lvlJc w:val="left"/>
      <w:pPr>
        <w:ind w:left="6021" w:hanging="360"/>
      </w:pPr>
      <w:rPr>
        <w:rFonts w:ascii="Symbol" w:hAnsi="Symbol" w:hint="default"/>
      </w:rPr>
    </w:lvl>
    <w:lvl w:ilvl="7" w:tplc="0C090003" w:tentative="1">
      <w:start w:val="1"/>
      <w:numFmt w:val="bullet"/>
      <w:lvlText w:val="o"/>
      <w:lvlJc w:val="left"/>
      <w:pPr>
        <w:ind w:left="6741" w:hanging="360"/>
      </w:pPr>
      <w:rPr>
        <w:rFonts w:ascii="Courier New" w:hAnsi="Courier New" w:cs="Courier New" w:hint="default"/>
      </w:rPr>
    </w:lvl>
    <w:lvl w:ilvl="8" w:tplc="0C090005" w:tentative="1">
      <w:start w:val="1"/>
      <w:numFmt w:val="bullet"/>
      <w:lvlText w:val=""/>
      <w:lvlJc w:val="left"/>
      <w:pPr>
        <w:ind w:left="7461" w:hanging="360"/>
      </w:pPr>
      <w:rPr>
        <w:rFonts w:ascii="Wingdings" w:hAnsi="Wingdings" w:hint="default"/>
      </w:rPr>
    </w:lvl>
  </w:abstractNum>
  <w:abstractNum w:abstractNumId="5" w15:restartNumberingAfterBreak="0">
    <w:nsid w:val="19CF52F3"/>
    <w:multiLevelType w:val="hybridMultilevel"/>
    <w:tmpl w:val="1AF48190"/>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9DB1679"/>
    <w:multiLevelType w:val="hybridMultilevel"/>
    <w:tmpl w:val="E16A626A"/>
    <w:lvl w:ilvl="0" w:tplc="5ECE58A4">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B7271D"/>
    <w:multiLevelType w:val="hybridMultilevel"/>
    <w:tmpl w:val="6A4AF228"/>
    <w:lvl w:ilvl="0" w:tplc="5ECE58A4">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CE00066"/>
    <w:multiLevelType w:val="hybridMultilevel"/>
    <w:tmpl w:val="14B492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0"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11" w15:restartNumberingAfterBreak="0">
    <w:nsid w:val="30A721E5"/>
    <w:multiLevelType w:val="hybridMultilevel"/>
    <w:tmpl w:val="2BACB91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1385BF1"/>
    <w:multiLevelType w:val="hybridMultilevel"/>
    <w:tmpl w:val="B13A7284"/>
    <w:lvl w:ilvl="0" w:tplc="0C090019">
      <w:start w:val="1"/>
      <w:numFmt w:val="lowerLetter"/>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3" w15:restartNumberingAfterBreak="0">
    <w:nsid w:val="341F3F5F"/>
    <w:multiLevelType w:val="hybridMultilevel"/>
    <w:tmpl w:val="EA740D78"/>
    <w:lvl w:ilvl="0" w:tplc="17D2587C">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AC67FB0"/>
    <w:multiLevelType w:val="hybridMultilevel"/>
    <w:tmpl w:val="3794B454"/>
    <w:lvl w:ilvl="0" w:tplc="5ECE58A4">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164A70"/>
    <w:multiLevelType w:val="hybridMultilevel"/>
    <w:tmpl w:val="FEC0BFEE"/>
    <w:lvl w:ilvl="0" w:tplc="BF548DC4">
      <w:numFmt w:val="bullet"/>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45731EC9"/>
    <w:multiLevelType w:val="hybridMultilevel"/>
    <w:tmpl w:val="9ECC81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193F31"/>
    <w:multiLevelType w:val="hybridMultilevel"/>
    <w:tmpl w:val="F434F11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93E1D54"/>
    <w:multiLevelType w:val="hybridMultilevel"/>
    <w:tmpl w:val="9B940A62"/>
    <w:lvl w:ilvl="0" w:tplc="8A4CF4A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D044AE"/>
    <w:multiLevelType w:val="hybridMultilevel"/>
    <w:tmpl w:val="F8741C7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4F036A0A"/>
    <w:multiLevelType w:val="hybridMultilevel"/>
    <w:tmpl w:val="8EFC03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8B030DF"/>
    <w:multiLevelType w:val="hybridMultilevel"/>
    <w:tmpl w:val="09C4E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1F3798"/>
    <w:multiLevelType w:val="hybridMultilevel"/>
    <w:tmpl w:val="FF1C90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F132318"/>
    <w:multiLevelType w:val="hybridMultilevel"/>
    <w:tmpl w:val="F7F2C24C"/>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60026511"/>
    <w:multiLevelType w:val="hybridMultilevel"/>
    <w:tmpl w:val="FB5211EA"/>
    <w:lvl w:ilvl="0" w:tplc="BF548DC4">
      <w:numFmt w:val="bullet"/>
      <w:lvlText w:val="-"/>
      <w:lvlJc w:val="left"/>
      <w:pPr>
        <w:ind w:left="1650" w:hanging="360"/>
      </w:pPr>
      <w:rPr>
        <w:rFonts w:ascii="Arial" w:eastAsiaTheme="minorHAnsi" w:hAnsi="Arial" w:cs="Aria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6" w15:restartNumberingAfterBreak="0">
    <w:nsid w:val="62BD2711"/>
    <w:multiLevelType w:val="hybridMultilevel"/>
    <w:tmpl w:val="F2D477AA"/>
    <w:lvl w:ilvl="0" w:tplc="5ECE58A4">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3AF085F"/>
    <w:multiLevelType w:val="hybridMultilevel"/>
    <w:tmpl w:val="9EF0F0A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B810A4C"/>
    <w:multiLevelType w:val="hybridMultilevel"/>
    <w:tmpl w:val="78E0AEB0"/>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6CA6C2D"/>
    <w:multiLevelType w:val="hybridMultilevel"/>
    <w:tmpl w:val="3DC2964A"/>
    <w:lvl w:ilvl="0" w:tplc="22C89702">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664C0"/>
    <w:multiLevelType w:val="hybridMultilevel"/>
    <w:tmpl w:val="B0A641B6"/>
    <w:lvl w:ilvl="0" w:tplc="F9FAB0DA">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7F1B0CDB"/>
    <w:multiLevelType w:val="hybridMultilevel"/>
    <w:tmpl w:val="1C729EC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9"/>
  </w:num>
  <w:num w:numId="2">
    <w:abstractNumId w:val="4"/>
  </w:num>
  <w:num w:numId="3">
    <w:abstractNumId w:val="31"/>
  </w:num>
  <w:num w:numId="4">
    <w:abstractNumId w:val="24"/>
  </w:num>
  <w:num w:numId="5">
    <w:abstractNumId w:val="28"/>
  </w:num>
  <w:num w:numId="6">
    <w:abstractNumId w:val="12"/>
  </w:num>
  <w:num w:numId="7">
    <w:abstractNumId w:val="3"/>
  </w:num>
  <w:num w:numId="8">
    <w:abstractNumId w:val="26"/>
  </w:num>
  <w:num w:numId="9">
    <w:abstractNumId w:val="1"/>
  </w:num>
  <w:num w:numId="10">
    <w:abstractNumId w:val="18"/>
  </w:num>
  <w:num w:numId="11">
    <w:abstractNumId w:val="16"/>
  </w:num>
  <w:num w:numId="12">
    <w:abstractNumId w:val="6"/>
  </w:num>
  <w:num w:numId="13">
    <w:abstractNumId w:val="21"/>
  </w:num>
  <w:num w:numId="14">
    <w:abstractNumId w:val="7"/>
  </w:num>
  <w:num w:numId="15">
    <w:abstractNumId w:val="0"/>
  </w:num>
  <w:num w:numId="16">
    <w:abstractNumId w:val="15"/>
  </w:num>
  <w:num w:numId="17">
    <w:abstractNumId w:val="30"/>
  </w:num>
  <w:num w:numId="18">
    <w:abstractNumId w:val="20"/>
  </w:num>
  <w:num w:numId="19">
    <w:abstractNumId w:val="27"/>
  </w:num>
  <w:num w:numId="20">
    <w:abstractNumId w:val="10"/>
  </w:num>
  <w:num w:numId="21">
    <w:abstractNumId w:val="9"/>
  </w:num>
  <w:num w:numId="22">
    <w:abstractNumId w:val="2"/>
  </w:num>
  <w:num w:numId="23">
    <w:abstractNumId w:val="13"/>
  </w:num>
  <w:num w:numId="24">
    <w:abstractNumId w:val="25"/>
  </w:num>
  <w:num w:numId="25">
    <w:abstractNumId w:val="23"/>
  </w:num>
  <w:num w:numId="26">
    <w:abstractNumId w:val="14"/>
  </w:num>
  <w:num w:numId="27">
    <w:abstractNumId w:val="19"/>
  </w:num>
  <w:num w:numId="28">
    <w:abstractNumId w:val="22"/>
  </w:num>
  <w:num w:numId="29">
    <w:abstractNumId w:val="17"/>
  </w:num>
  <w:num w:numId="30">
    <w:abstractNumId w:val="5"/>
  </w:num>
  <w:num w:numId="31">
    <w:abstractNumId w:val="8"/>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EA"/>
    <w:rsid w:val="00006683"/>
    <w:rsid w:val="00007188"/>
    <w:rsid w:val="00014650"/>
    <w:rsid w:val="000205D1"/>
    <w:rsid w:val="00022389"/>
    <w:rsid w:val="000246F4"/>
    <w:rsid w:val="000258C0"/>
    <w:rsid w:val="00026B20"/>
    <w:rsid w:val="00027BC3"/>
    <w:rsid w:val="00032122"/>
    <w:rsid w:val="0003296C"/>
    <w:rsid w:val="000339CD"/>
    <w:rsid w:val="000460B3"/>
    <w:rsid w:val="00047324"/>
    <w:rsid w:val="000535FD"/>
    <w:rsid w:val="00054D0B"/>
    <w:rsid w:val="00057596"/>
    <w:rsid w:val="000625AB"/>
    <w:rsid w:val="000626BD"/>
    <w:rsid w:val="00066180"/>
    <w:rsid w:val="00076049"/>
    <w:rsid w:val="000775AF"/>
    <w:rsid w:val="00086E06"/>
    <w:rsid w:val="00087249"/>
    <w:rsid w:val="000916AF"/>
    <w:rsid w:val="0009322D"/>
    <w:rsid w:val="00094162"/>
    <w:rsid w:val="00096720"/>
    <w:rsid w:val="000A14FD"/>
    <w:rsid w:val="000B166B"/>
    <w:rsid w:val="000B1839"/>
    <w:rsid w:val="000B3074"/>
    <w:rsid w:val="000B3E8F"/>
    <w:rsid w:val="000B6377"/>
    <w:rsid w:val="000D6396"/>
    <w:rsid w:val="000E46CB"/>
    <w:rsid w:val="000E478C"/>
    <w:rsid w:val="000E6320"/>
    <w:rsid w:val="000E7020"/>
    <w:rsid w:val="000E7F46"/>
    <w:rsid w:val="000F2F8F"/>
    <w:rsid w:val="001000FA"/>
    <w:rsid w:val="00103572"/>
    <w:rsid w:val="0010572E"/>
    <w:rsid w:val="0011654F"/>
    <w:rsid w:val="00121246"/>
    <w:rsid w:val="00127736"/>
    <w:rsid w:val="0013159A"/>
    <w:rsid w:val="00134E75"/>
    <w:rsid w:val="00137EE1"/>
    <w:rsid w:val="001445E1"/>
    <w:rsid w:val="00151769"/>
    <w:rsid w:val="001533DD"/>
    <w:rsid w:val="00156D91"/>
    <w:rsid w:val="001649B2"/>
    <w:rsid w:val="001651F9"/>
    <w:rsid w:val="00165679"/>
    <w:rsid w:val="00170F4A"/>
    <w:rsid w:val="00176723"/>
    <w:rsid w:val="001813F8"/>
    <w:rsid w:val="0018325B"/>
    <w:rsid w:val="00190C93"/>
    <w:rsid w:val="00191E09"/>
    <w:rsid w:val="001943CD"/>
    <w:rsid w:val="001A31F5"/>
    <w:rsid w:val="001A5DE7"/>
    <w:rsid w:val="001B45F0"/>
    <w:rsid w:val="001B5799"/>
    <w:rsid w:val="001B656E"/>
    <w:rsid w:val="001C2943"/>
    <w:rsid w:val="001C39D3"/>
    <w:rsid w:val="001C4033"/>
    <w:rsid w:val="001C54B8"/>
    <w:rsid w:val="001C66E0"/>
    <w:rsid w:val="001C785C"/>
    <w:rsid w:val="001D3FD1"/>
    <w:rsid w:val="001D5ED1"/>
    <w:rsid w:val="001D6036"/>
    <w:rsid w:val="001D731E"/>
    <w:rsid w:val="001D7454"/>
    <w:rsid w:val="001E370D"/>
    <w:rsid w:val="001E4472"/>
    <w:rsid w:val="001E7F65"/>
    <w:rsid w:val="001F1023"/>
    <w:rsid w:val="001F173E"/>
    <w:rsid w:val="001F1C92"/>
    <w:rsid w:val="001F3782"/>
    <w:rsid w:val="001F7987"/>
    <w:rsid w:val="00200106"/>
    <w:rsid w:val="00201635"/>
    <w:rsid w:val="0021158D"/>
    <w:rsid w:val="00224306"/>
    <w:rsid w:val="002265C4"/>
    <w:rsid w:val="00226A2D"/>
    <w:rsid w:val="00230F8D"/>
    <w:rsid w:val="0023573F"/>
    <w:rsid w:val="00241FED"/>
    <w:rsid w:val="0024513F"/>
    <w:rsid w:val="00245489"/>
    <w:rsid w:val="00251C85"/>
    <w:rsid w:val="00251D76"/>
    <w:rsid w:val="002540A2"/>
    <w:rsid w:val="0026062B"/>
    <w:rsid w:val="00260B45"/>
    <w:rsid w:val="00261512"/>
    <w:rsid w:val="00262E12"/>
    <w:rsid w:val="00263C30"/>
    <w:rsid w:val="00264743"/>
    <w:rsid w:val="002716F8"/>
    <w:rsid w:val="002738F3"/>
    <w:rsid w:val="002770CA"/>
    <w:rsid w:val="00280050"/>
    <w:rsid w:val="002801EB"/>
    <w:rsid w:val="00280D0C"/>
    <w:rsid w:val="00287BDE"/>
    <w:rsid w:val="002917B9"/>
    <w:rsid w:val="00291C47"/>
    <w:rsid w:val="00292A09"/>
    <w:rsid w:val="00295624"/>
    <w:rsid w:val="002A477A"/>
    <w:rsid w:val="002A5AAF"/>
    <w:rsid w:val="002B285B"/>
    <w:rsid w:val="002B3D82"/>
    <w:rsid w:val="002C0BC9"/>
    <w:rsid w:val="002C70D1"/>
    <w:rsid w:val="002C7A61"/>
    <w:rsid w:val="002D7BB0"/>
    <w:rsid w:val="002F2922"/>
    <w:rsid w:val="0030046B"/>
    <w:rsid w:val="003008B2"/>
    <w:rsid w:val="00300F71"/>
    <w:rsid w:val="00301EA0"/>
    <w:rsid w:val="00317C48"/>
    <w:rsid w:val="00320E6E"/>
    <w:rsid w:val="003216A1"/>
    <w:rsid w:val="00333CE8"/>
    <w:rsid w:val="00335193"/>
    <w:rsid w:val="00335FD6"/>
    <w:rsid w:val="00336479"/>
    <w:rsid w:val="0033710E"/>
    <w:rsid w:val="003371D8"/>
    <w:rsid w:val="003428A8"/>
    <w:rsid w:val="00344E15"/>
    <w:rsid w:val="00345FBD"/>
    <w:rsid w:val="003501AB"/>
    <w:rsid w:val="003553AD"/>
    <w:rsid w:val="00355D71"/>
    <w:rsid w:val="00360E38"/>
    <w:rsid w:val="0036550A"/>
    <w:rsid w:val="00366216"/>
    <w:rsid w:val="00367A7B"/>
    <w:rsid w:val="0037037F"/>
    <w:rsid w:val="003725C0"/>
    <w:rsid w:val="003773EA"/>
    <w:rsid w:val="003804ED"/>
    <w:rsid w:val="00382A16"/>
    <w:rsid w:val="00386671"/>
    <w:rsid w:val="0038714B"/>
    <w:rsid w:val="00390292"/>
    <w:rsid w:val="00392965"/>
    <w:rsid w:val="00394E7D"/>
    <w:rsid w:val="00395973"/>
    <w:rsid w:val="00395C5C"/>
    <w:rsid w:val="003968FD"/>
    <w:rsid w:val="003A0B92"/>
    <w:rsid w:val="003A1513"/>
    <w:rsid w:val="003A6BB2"/>
    <w:rsid w:val="003A79A5"/>
    <w:rsid w:val="003B2CCB"/>
    <w:rsid w:val="003B5079"/>
    <w:rsid w:val="003C13CC"/>
    <w:rsid w:val="003C7FBF"/>
    <w:rsid w:val="003D179C"/>
    <w:rsid w:val="003D3056"/>
    <w:rsid w:val="003D5368"/>
    <w:rsid w:val="003D5F84"/>
    <w:rsid w:val="003E4C8C"/>
    <w:rsid w:val="003F4A1A"/>
    <w:rsid w:val="004011C7"/>
    <w:rsid w:val="0040187A"/>
    <w:rsid w:val="0040479B"/>
    <w:rsid w:val="0041201D"/>
    <w:rsid w:val="004148DC"/>
    <w:rsid w:val="004205FA"/>
    <w:rsid w:val="004218DC"/>
    <w:rsid w:val="00422BF6"/>
    <w:rsid w:val="0042515E"/>
    <w:rsid w:val="00433559"/>
    <w:rsid w:val="004359E7"/>
    <w:rsid w:val="0044029C"/>
    <w:rsid w:val="00447AB2"/>
    <w:rsid w:val="00447E34"/>
    <w:rsid w:val="00461E94"/>
    <w:rsid w:val="00462549"/>
    <w:rsid w:val="00465001"/>
    <w:rsid w:val="004651BC"/>
    <w:rsid w:val="00470121"/>
    <w:rsid w:val="004720AD"/>
    <w:rsid w:val="004773F7"/>
    <w:rsid w:val="004823E1"/>
    <w:rsid w:val="00483C24"/>
    <w:rsid w:val="004920CD"/>
    <w:rsid w:val="004B25FB"/>
    <w:rsid w:val="004E1466"/>
    <w:rsid w:val="004F2390"/>
    <w:rsid w:val="004F3B84"/>
    <w:rsid w:val="004F7785"/>
    <w:rsid w:val="005006DB"/>
    <w:rsid w:val="00503FF2"/>
    <w:rsid w:val="00504844"/>
    <w:rsid w:val="00507EBE"/>
    <w:rsid w:val="00511BC0"/>
    <w:rsid w:val="00517BBD"/>
    <w:rsid w:val="00522663"/>
    <w:rsid w:val="00523CB3"/>
    <w:rsid w:val="00531AFD"/>
    <w:rsid w:val="00533D87"/>
    <w:rsid w:val="00534D8B"/>
    <w:rsid w:val="0054084E"/>
    <w:rsid w:val="00541655"/>
    <w:rsid w:val="005460D8"/>
    <w:rsid w:val="0054702D"/>
    <w:rsid w:val="00551DCD"/>
    <w:rsid w:val="00554DE3"/>
    <w:rsid w:val="005649BD"/>
    <w:rsid w:val="00570EC1"/>
    <w:rsid w:val="0057322D"/>
    <w:rsid w:val="00575A75"/>
    <w:rsid w:val="0058344C"/>
    <w:rsid w:val="00586220"/>
    <w:rsid w:val="005915ED"/>
    <w:rsid w:val="005962F3"/>
    <w:rsid w:val="00596D1A"/>
    <w:rsid w:val="005A0176"/>
    <w:rsid w:val="005A24E9"/>
    <w:rsid w:val="005A55BE"/>
    <w:rsid w:val="005A594C"/>
    <w:rsid w:val="005B12A8"/>
    <w:rsid w:val="005B3812"/>
    <w:rsid w:val="005B5580"/>
    <w:rsid w:val="005B55E9"/>
    <w:rsid w:val="005B59B0"/>
    <w:rsid w:val="005B6C61"/>
    <w:rsid w:val="005C0589"/>
    <w:rsid w:val="005C072D"/>
    <w:rsid w:val="005C0929"/>
    <w:rsid w:val="005C1E5E"/>
    <w:rsid w:val="005C3F32"/>
    <w:rsid w:val="005C7436"/>
    <w:rsid w:val="005C7705"/>
    <w:rsid w:val="005D52B5"/>
    <w:rsid w:val="005D7EB9"/>
    <w:rsid w:val="005E0A5E"/>
    <w:rsid w:val="005E29E3"/>
    <w:rsid w:val="005E531B"/>
    <w:rsid w:val="005E645E"/>
    <w:rsid w:val="005F1D81"/>
    <w:rsid w:val="005F2CBF"/>
    <w:rsid w:val="005F3764"/>
    <w:rsid w:val="005F50B8"/>
    <w:rsid w:val="0060174A"/>
    <w:rsid w:val="006041F0"/>
    <w:rsid w:val="006043E1"/>
    <w:rsid w:val="006111FC"/>
    <w:rsid w:val="0061236E"/>
    <w:rsid w:val="00617D3D"/>
    <w:rsid w:val="0062095D"/>
    <w:rsid w:val="00621423"/>
    <w:rsid w:val="00625931"/>
    <w:rsid w:val="00626E17"/>
    <w:rsid w:val="00630EBA"/>
    <w:rsid w:val="006320B8"/>
    <w:rsid w:val="0063239B"/>
    <w:rsid w:val="006336DB"/>
    <w:rsid w:val="00634574"/>
    <w:rsid w:val="006345E8"/>
    <w:rsid w:val="00636090"/>
    <w:rsid w:val="00636B73"/>
    <w:rsid w:val="00636FD5"/>
    <w:rsid w:val="0063788B"/>
    <w:rsid w:val="00642B1B"/>
    <w:rsid w:val="00644C4A"/>
    <w:rsid w:val="00650F33"/>
    <w:rsid w:val="00657099"/>
    <w:rsid w:val="00661D98"/>
    <w:rsid w:val="00661F7C"/>
    <w:rsid w:val="00662316"/>
    <w:rsid w:val="00663D26"/>
    <w:rsid w:val="006651BA"/>
    <w:rsid w:val="0067736D"/>
    <w:rsid w:val="00677FB0"/>
    <w:rsid w:val="00680709"/>
    <w:rsid w:val="00681B46"/>
    <w:rsid w:val="0069033C"/>
    <w:rsid w:val="006A0C31"/>
    <w:rsid w:val="006A70A8"/>
    <w:rsid w:val="006B11A7"/>
    <w:rsid w:val="006B1D78"/>
    <w:rsid w:val="006B5214"/>
    <w:rsid w:val="006B52B2"/>
    <w:rsid w:val="006C3DF8"/>
    <w:rsid w:val="006C58B7"/>
    <w:rsid w:val="006D1238"/>
    <w:rsid w:val="006D7718"/>
    <w:rsid w:val="006D7DD9"/>
    <w:rsid w:val="006E048B"/>
    <w:rsid w:val="006E1825"/>
    <w:rsid w:val="006E1D67"/>
    <w:rsid w:val="006E332F"/>
    <w:rsid w:val="006E4B1C"/>
    <w:rsid w:val="006F0681"/>
    <w:rsid w:val="006F09CA"/>
    <w:rsid w:val="006F0A58"/>
    <w:rsid w:val="006F12E1"/>
    <w:rsid w:val="0070745D"/>
    <w:rsid w:val="0070788A"/>
    <w:rsid w:val="00710DF1"/>
    <w:rsid w:val="00711589"/>
    <w:rsid w:val="00711F4D"/>
    <w:rsid w:val="007144EB"/>
    <w:rsid w:val="00717F0B"/>
    <w:rsid w:val="007203FE"/>
    <w:rsid w:val="00724374"/>
    <w:rsid w:val="007250DA"/>
    <w:rsid w:val="00725C57"/>
    <w:rsid w:val="00730E58"/>
    <w:rsid w:val="00732253"/>
    <w:rsid w:val="0073620B"/>
    <w:rsid w:val="00736B45"/>
    <w:rsid w:val="00742640"/>
    <w:rsid w:val="0074574A"/>
    <w:rsid w:val="00746F50"/>
    <w:rsid w:val="00746F9B"/>
    <w:rsid w:val="0074723F"/>
    <w:rsid w:val="00750FF3"/>
    <w:rsid w:val="0075228B"/>
    <w:rsid w:val="00752FD1"/>
    <w:rsid w:val="00755936"/>
    <w:rsid w:val="0076590D"/>
    <w:rsid w:val="00766C21"/>
    <w:rsid w:val="00775698"/>
    <w:rsid w:val="0078184F"/>
    <w:rsid w:val="007827DD"/>
    <w:rsid w:val="00784176"/>
    <w:rsid w:val="00792438"/>
    <w:rsid w:val="0079279E"/>
    <w:rsid w:val="007A0C24"/>
    <w:rsid w:val="007A2D28"/>
    <w:rsid w:val="007A3C4B"/>
    <w:rsid w:val="007B27A2"/>
    <w:rsid w:val="007B7611"/>
    <w:rsid w:val="007C220E"/>
    <w:rsid w:val="007D45B7"/>
    <w:rsid w:val="007D70EC"/>
    <w:rsid w:val="007E4E5A"/>
    <w:rsid w:val="007F0907"/>
    <w:rsid w:val="007F218A"/>
    <w:rsid w:val="007F26FD"/>
    <w:rsid w:val="007F7B3B"/>
    <w:rsid w:val="00802333"/>
    <w:rsid w:val="00807131"/>
    <w:rsid w:val="00807CD6"/>
    <w:rsid w:val="00816F23"/>
    <w:rsid w:val="00821B9B"/>
    <w:rsid w:val="00823289"/>
    <w:rsid w:val="00824722"/>
    <w:rsid w:val="00825CA7"/>
    <w:rsid w:val="0082753F"/>
    <w:rsid w:val="008354CF"/>
    <w:rsid w:val="00837C66"/>
    <w:rsid w:val="008406A8"/>
    <w:rsid w:val="00840A4E"/>
    <w:rsid w:val="00840FB1"/>
    <w:rsid w:val="0084500B"/>
    <w:rsid w:val="008451C2"/>
    <w:rsid w:val="0085226F"/>
    <w:rsid w:val="0085489C"/>
    <w:rsid w:val="00854CE6"/>
    <w:rsid w:val="00856281"/>
    <w:rsid w:val="00860059"/>
    <w:rsid w:val="00861F4B"/>
    <w:rsid w:val="00871AEA"/>
    <w:rsid w:val="0087361F"/>
    <w:rsid w:val="00880877"/>
    <w:rsid w:val="00881F68"/>
    <w:rsid w:val="0088387B"/>
    <w:rsid w:val="0088774B"/>
    <w:rsid w:val="00894857"/>
    <w:rsid w:val="00896549"/>
    <w:rsid w:val="008A3D9C"/>
    <w:rsid w:val="008A58DF"/>
    <w:rsid w:val="008C03F3"/>
    <w:rsid w:val="008C57DC"/>
    <w:rsid w:val="008D0D6A"/>
    <w:rsid w:val="008D1E8D"/>
    <w:rsid w:val="008F47A3"/>
    <w:rsid w:val="008F63FA"/>
    <w:rsid w:val="008F6759"/>
    <w:rsid w:val="008F6DDA"/>
    <w:rsid w:val="008F78EF"/>
    <w:rsid w:val="008F7D57"/>
    <w:rsid w:val="0090257A"/>
    <w:rsid w:val="00904E34"/>
    <w:rsid w:val="0090544E"/>
    <w:rsid w:val="009070C0"/>
    <w:rsid w:val="0091188B"/>
    <w:rsid w:val="00911C7F"/>
    <w:rsid w:val="00913A4D"/>
    <w:rsid w:val="009172FC"/>
    <w:rsid w:val="00917B21"/>
    <w:rsid w:val="009217F2"/>
    <w:rsid w:val="0092516E"/>
    <w:rsid w:val="0093225F"/>
    <w:rsid w:val="0093327E"/>
    <w:rsid w:val="00936432"/>
    <w:rsid w:val="0094302E"/>
    <w:rsid w:val="00946AA6"/>
    <w:rsid w:val="00951ACB"/>
    <w:rsid w:val="0095479B"/>
    <w:rsid w:val="00963ACA"/>
    <w:rsid w:val="00971061"/>
    <w:rsid w:val="00986B75"/>
    <w:rsid w:val="00992370"/>
    <w:rsid w:val="0099402E"/>
    <w:rsid w:val="0099499D"/>
    <w:rsid w:val="009952BA"/>
    <w:rsid w:val="009A0AC5"/>
    <w:rsid w:val="009A444C"/>
    <w:rsid w:val="009A4CBF"/>
    <w:rsid w:val="009A520B"/>
    <w:rsid w:val="009A6A2F"/>
    <w:rsid w:val="009A717E"/>
    <w:rsid w:val="009B60DD"/>
    <w:rsid w:val="009B7165"/>
    <w:rsid w:val="009C11BC"/>
    <w:rsid w:val="009C1A7C"/>
    <w:rsid w:val="009C1C81"/>
    <w:rsid w:val="009C307B"/>
    <w:rsid w:val="009C4A85"/>
    <w:rsid w:val="009C4EED"/>
    <w:rsid w:val="009C60D4"/>
    <w:rsid w:val="009C7D3F"/>
    <w:rsid w:val="009C7FA8"/>
    <w:rsid w:val="009D0085"/>
    <w:rsid w:val="009D2310"/>
    <w:rsid w:val="009D4EBE"/>
    <w:rsid w:val="009E23A0"/>
    <w:rsid w:val="009F0CD8"/>
    <w:rsid w:val="009F588A"/>
    <w:rsid w:val="00A02D40"/>
    <w:rsid w:val="00A07358"/>
    <w:rsid w:val="00A13799"/>
    <w:rsid w:val="00A13B73"/>
    <w:rsid w:val="00A1486F"/>
    <w:rsid w:val="00A248A1"/>
    <w:rsid w:val="00A30C93"/>
    <w:rsid w:val="00A34FFD"/>
    <w:rsid w:val="00A429DF"/>
    <w:rsid w:val="00A4548A"/>
    <w:rsid w:val="00A622D8"/>
    <w:rsid w:val="00A62AE2"/>
    <w:rsid w:val="00A64456"/>
    <w:rsid w:val="00A668BF"/>
    <w:rsid w:val="00A70C34"/>
    <w:rsid w:val="00A70CD4"/>
    <w:rsid w:val="00A7238D"/>
    <w:rsid w:val="00A74630"/>
    <w:rsid w:val="00A77607"/>
    <w:rsid w:val="00A809AC"/>
    <w:rsid w:val="00A8312B"/>
    <w:rsid w:val="00A945D0"/>
    <w:rsid w:val="00A94E7D"/>
    <w:rsid w:val="00AA0213"/>
    <w:rsid w:val="00AA5CE2"/>
    <w:rsid w:val="00AA610A"/>
    <w:rsid w:val="00AC0509"/>
    <w:rsid w:val="00AC24E3"/>
    <w:rsid w:val="00AC2647"/>
    <w:rsid w:val="00AC31A6"/>
    <w:rsid w:val="00AC6C58"/>
    <w:rsid w:val="00AD089F"/>
    <w:rsid w:val="00AD08CF"/>
    <w:rsid w:val="00AD4D57"/>
    <w:rsid w:val="00AE3287"/>
    <w:rsid w:val="00AE45B8"/>
    <w:rsid w:val="00AE5E56"/>
    <w:rsid w:val="00AF731C"/>
    <w:rsid w:val="00B01D37"/>
    <w:rsid w:val="00B06D6C"/>
    <w:rsid w:val="00B117A2"/>
    <w:rsid w:val="00B12316"/>
    <w:rsid w:val="00B155D4"/>
    <w:rsid w:val="00B17167"/>
    <w:rsid w:val="00B2476A"/>
    <w:rsid w:val="00B340B4"/>
    <w:rsid w:val="00B34EDC"/>
    <w:rsid w:val="00B4096D"/>
    <w:rsid w:val="00B44419"/>
    <w:rsid w:val="00B478F6"/>
    <w:rsid w:val="00B51A80"/>
    <w:rsid w:val="00B56833"/>
    <w:rsid w:val="00B6321C"/>
    <w:rsid w:val="00B756FF"/>
    <w:rsid w:val="00B8050E"/>
    <w:rsid w:val="00B82F77"/>
    <w:rsid w:val="00B85DCE"/>
    <w:rsid w:val="00B90544"/>
    <w:rsid w:val="00B907E9"/>
    <w:rsid w:val="00B91718"/>
    <w:rsid w:val="00B953C6"/>
    <w:rsid w:val="00BA21C6"/>
    <w:rsid w:val="00BA56EC"/>
    <w:rsid w:val="00BA5821"/>
    <w:rsid w:val="00BA6156"/>
    <w:rsid w:val="00BA6838"/>
    <w:rsid w:val="00BB3A32"/>
    <w:rsid w:val="00BB3E1F"/>
    <w:rsid w:val="00BB52E9"/>
    <w:rsid w:val="00BC6E38"/>
    <w:rsid w:val="00BD008F"/>
    <w:rsid w:val="00BD6305"/>
    <w:rsid w:val="00BD6F50"/>
    <w:rsid w:val="00BE02F3"/>
    <w:rsid w:val="00BE3540"/>
    <w:rsid w:val="00BF4892"/>
    <w:rsid w:val="00BF497C"/>
    <w:rsid w:val="00C007D8"/>
    <w:rsid w:val="00C00D64"/>
    <w:rsid w:val="00C0184B"/>
    <w:rsid w:val="00C04B69"/>
    <w:rsid w:val="00C06B50"/>
    <w:rsid w:val="00C119AE"/>
    <w:rsid w:val="00C16BB4"/>
    <w:rsid w:val="00C1720F"/>
    <w:rsid w:val="00C17FA6"/>
    <w:rsid w:val="00C25AB2"/>
    <w:rsid w:val="00C37C61"/>
    <w:rsid w:val="00C4103D"/>
    <w:rsid w:val="00C417D8"/>
    <w:rsid w:val="00C525BF"/>
    <w:rsid w:val="00C53ADB"/>
    <w:rsid w:val="00C566B2"/>
    <w:rsid w:val="00C56AC1"/>
    <w:rsid w:val="00C60D79"/>
    <w:rsid w:val="00C6210A"/>
    <w:rsid w:val="00C67FDF"/>
    <w:rsid w:val="00C702F8"/>
    <w:rsid w:val="00C7092D"/>
    <w:rsid w:val="00C72F31"/>
    <w:rsid w:val="00C80063"/>
    <w:rsid w:val="00C818F9"/>
    <w:rsid w:val="00C8223B"/>
    <w:rsid w:val="00C87458"/>
    <w:rsid w:val="00C87DE9"/>
    <w:rsid w:val="00C91829"/>
    <w:rsid w:val="00CA2D12"/>
    <w:rsid w:val="00CA391F"/>
    <w:rsid w:val="00CA5BE5"/>
    <w:rsid w:val="00CA7A9A"/>
    <w:rsid w:val="00CB1441"/>
    <w:rsid w:val="00CC5D4F"/>
    <w:rsid w:val="00CD394E"/>
    <w:rsid w:val="00CD3F3C"/>
    <w:rsid w:val="00CD6B34"/>
    <w:rsid w:val="00CD7471"/>
    <w:rsid w:val="00CD7519"/>
    <w:rsid w:val="00CE1DAA"/>
    <w:rsid w:val="00CE2F67"/>
    <w:rsid w:val="00CE4CE0"/>
    <w:rsid w:val="00CE653E"/>
    <w:rsid w:val="00CF00D2"/>
    <w:rsid w:val="00CF3423"/>
    <w:rsid w:val="00CF4477"/>
    <w:rsid w:val="00D0193D"/>
    <w:rsid w:val="00D040D9"/>
    <w:rsid w:val="00D07761"/>
    <w:rsid w:val="00D101C3"/>
    <w:rsid w:val="00D11155"/>
    <w:rsid w:val="00D205BE"/>
    <w:rsid w:val="00D31235"/>
    <w:rsid w:val="00D325CD"/>
    <w:rsid w:val="00D32A69"/>
    <w:rsid w:val="00D346D4"/>
    <w:rsid w:val="00D35F89"/>
    <w:rsid w:val="00D37993"/>
    <w:rsid w:val="00D43381"/>
    <w:rsid w:val="00D44E2F"/>
    <w:rsid w:val="00D50307"/>
    <w:rsid w:val="00D64766"/>
    <w:rsid w:val="00D64AE1"/>
    <w:rsid w:val="00D66664"/>
    <w:rsid w:val="00D70AC7"/>
    <w:rsid w:val="00D74A3D"/>
    <w:rsid w:val="00D76CAE"/>
    <w:rsid w:val="00D94F40"/>
    <w:rsid w:val="00D961EC"/>
    <w:rsid w:val="00DA06A9"/>
    <w:rsid w:val="00DB0302"/>
    <w:rsid w:val="00DB307C"/>
    <w:rsid w:val="00DB38E8"/>
    <w:rsid w:val="00DD1B3D"/>
    <w:rsid w:val="00DD7FDB"/>
    <w:rsid w:val="00DE112A"/>
    <w:rsid w:val="00DE2F20"/>
    <w:rsid w:val="00DF244C"/>
    <w:rsid w:val="00DF4206"/>
    <w:rsid w:val="00DF4557"/>
    <w:rsid w:val="00E00175"/>
    <w:rsid w:val="00E02516"/>
    <w:rsid w:val="00E07C0C"/>
    <w:rsid w:val="00E135EA"/>
    <w:rsid w:val="00E13AF1"/>
    <w:rsid w:val="00E15F01"/>
    <w:rsid w:val="00E278D0"/>
    <w:rsid w:val="00E27B16"/>
    <w:rsid w:val="00E3402E"/>
    <w:rsid w:val="00E349DF"/>
    <w:rsid w:val="00E35D4C"/>
    <w:rsid w:val="00E36FC1"/>
    <w:rsid w:val="00E52600"/>
    <w:rsid w:val="00E53384"/>
    <w:rsid w:val="00E537A0"/>
    <w:rsid w:val="00E53ACA"/>
    <w:rsid w:val="00E54334"/>
    <w:rsid w:val="00E54E79"/>
    <w:rsid w:val="00E5670E"/>
    <w:rsid w:val="00E57FD9"/>
    <w:rsid w:val="00E611FC"/>
    <w:rsid w:val="00E64843"/>
    <w:rsid w:val="00E64B75"/>
    <w:rsid w:val="00E67BF8"/>
    <w:rsid w:val="00E7165D"/>
    <w:rsid w:val="00E76864"/>
    <w:rsid w:val="00E80410"/>
    <w:rsid w:val="00E820EF"/>
    <w:rsid w:val="00E84590"/>
    <w:rsid w:val="00E8786B"/>
    <w:rsid w:val="00E901A7"/>
    <w:rsid w:val="00E9389B"/>
    <w:rsid w:val="00EA1581"/>
    <w:rsid w:val="00EA7AFF"/>
    <w:rsid w:val="00EB0D79"/>
    <w:rsid w:val="00EB27A4"/>
    <w:rsid w:val="00EB29F6"/>
    <w:rsid w:val="00EB2A4B"/>
    <w:rsid w:val="00EB677A"/>
    <w:rsid w:val="00ED6695"/>
    <w:rsid w:val="00EE553C"/>
    <w:rsid w:val="00EF0FE1"/>
    <w:rsid w:val="00EF6623"/>
    <w:rsid w:val="00F00D16"/>
    <w:rsid w:val="00F03AAA"/>
    <w:rsid w:val="00F06E98"/>
    <w:rsid w:val="00F1318E"/>
    <w:rsid w:val="00F14D6C"/>
    <w:rsid w:val="00F2286D"/>
    <w:rsid w:val="00F23D9C"/>
    <w:rsid w:val="00F25E16"/>
    <w:rsid w:val="00F3179C"/>
    <w:rsid w:val="00F333CB"/>
    <w:rsid w:val="00F35C51"/>
    <w:rsid w:val="00F372D2"/>
    <w:rsid w:val="00F420AE"/>
    <w:rsid w:val="00F45168"/>
    <w:rsid w:val="00F479C3"/>
    <w:rsid w:val="00F513C4"/>
    <w:rsid w:val="00F5371B"/>
    <w:rsid w:val="00F600D3"/>
    <w:rsid w:val="00F60A85"/>
    <w:rsid w:val="00F65B33"/>
    <w:rsid w:val="00F671C1"/>
    <w:rsid w:val="00F6740D"/>
    <w:rsid w:val="00F71386"/>
    <w:rsid w:val="00F759A3"/>
    <w:rsid w:val="00F769C5"/>
    <w:rsid w:val="00F831E6"/>
    <w:rsid w:val="00F83A4E"/>
    <w:rsid w:val="00FA06C5"/>
    <w:rsid w:val="00FB7E02"/>
    <w:rsid w:val="00FC07B9"/>
    <w:rsid w:val="00FC2AD5"/>
    <w:rsid w:val="00FC3064"/>
    <w:rsid w:val="00FC4239"/>
    <w:rsid w:val="00FD0625"/>
    <w:rsid w:val="00FD0EC4"/>
    <w:rsid w:val="00FD17EE"/>
    <w:rsid w:val="00FD4218"/>
    <w:rsid w:val="00FD554B"/>
    <w:rsid w:val="00FD6F15"/>
    <w:rsid w:val="00FE24F6"/>
    <w:rsid w:val="00FE4F1B"/>
    <w:rsid w:val="00FE70C3"/>
    <w:rsid w:val="00FE7B73"/>
    <w:rsid w:val="00FF3E5C"/>
    <w:rsid w:val="00FF5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572"/>
  </w:style>
  <w:style w:type="paragraph" w:styleId="Heading1">
    <w:name w:val="heading 1"/>
    <w:basedOn w:val="Normal"/>
    <w:next w:val="Normal"/>
    <w:link w:val="Heading1Char"/>
    <w:uiPriority w:val="9"/>
    <w:qFormat/>
    <w:rsid w:val="00483C2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483C2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83C2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483C2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483C2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483C2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483C2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83C2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483C2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83C2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83C2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83C24"/>
    <w:rPr>
      <w:b/>
      <w:bCs/>
    </w:rPr>
  </w:style>
  <w:style w:type="character" w:styleId="Hyperlink">
    <w:name w:val="Hyperlink"/>
    <w:aliases w:val="Hyperlink Cab"/>
    <w:basedOn w:val="DefaultParagraphFont"/>
    <w:uiPriority w:val="99"/>
    <w:unhideWhenUsed/>
    <w:qFormat/>
    <w:rsid w:val="00E135EA"/>
    <w:rPr>
      <w:color w:val="0563C1" w:themeColor="hyperlink"/>
      <w:u w:val="single"/>
    </w:rPr>
  </w:style>
  <w:style w:type="paragraph" w:styleId="Header">
    <w:name w:val="header"/>
    <w:basedOn w:val="Normal"/>
    <w:link w:val="HeaderChar"/>
    <w:uiPriority w:val="99"/>
    <w:unhideWhenUsed/>
    <w:rsid w:val="00E13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EA"/>
  </w:style>
  <w:style w:type="paragraph" w:styleId="Footer">
    <w:name w:val="footer"/>
    <w:basedOn w:val="Normal"/>
    <w:link w:val="FooterChar"/>
    <w:uiPriority w:val="99"/>
    <w:unhideWhenUsed/>
    <w:rsid w:val="00E13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EA"/>
  </w:style>
  <w:style w:type="paragraph" w:styleId="ListParagraph">
    <w:name w:val="List Paragraph"/>
    <w:aliases w:val="CAB - List Bullet,List Bullet Cab,List Paragraph1,List Paragraph11,List Paragraph2,Recommendation,Bullet 1,CV text,Dot pt,F5 List Paragraph,Indicator Text,L,List Paragraph Char Char Char,List Paragraph111,MAIN CONTENT,Normal numbered,列出段"/>
    <w:basedOn w:val="Normal"/>
    <w:link w:val="ListParagraphChar"/>
    <w:uiPriority w:val="34"/>
    <w:qFormat/>
    <w:rsid w:val="00FE7B73"/>
    <w:pPr>
      <w:ind w:left="720"/>
      <w:contextualSpacing/>
    </w:pPr>
  </w:style>
  <w:style w:type="paragraph" w:customStyle="1" w:styleId="TOCLevel2">
    <w:name w:val="TOCLevel2"/>
    <w:basedOn w:val="Normal"/>
    <w:link w:val="TOCLevel2Char"/>
    <w:uiPriority w:val="98"/>
    <w:rsid w:val="00534D8B"/>
    <w:pPr>
      <w:keepNext/>
      <w:keepLines/>
      <w:tabs>
        <w:tab w:val="left" w:pos="567"/>
      </w:tabs>
      <w:spacing w:before="240" w:after="200" w:line="240" w:lineRule="auto"/>
      <w:jc w:val="center"/>
      <w:outlineLvl w:val="0"/>
    </w:pPr>
    <w:rPr>
      <w:rFonts w:ascii="Arial" w:eastAsiaTheme="majorEastAsia" w:hAnsi="Arial" w:cstheme="majorBidi"/>
      <w:b/>
      <w:bCs/>
      <w:color w:val="003865"/>
      <w:szCs w:val="28"/>
    </w:rPr>
  </w:style>
  <w:style w:type="character" w:customStyle="1" w:styleId="TOCLevel2Char">
    <w:name w:val="TOCLevel2 Char"/>
    <w:basedOn w:val="DefaultParagraphFont"/>
    <w:link w:val="TOCLevel2"/>
    <w:uiPriority w:val="98"/>
    <w:rsid w:val="00534D8B"/>
    <w:rPr>
      <w:rFonts w:ascii="Arial" w:eastAsiaTheme="majorEastAsia" w:hAnsi="Arial" w:cstheme="majorBidi"/>
      <w:b/>
      <w:bCs/>
      <w:color w:val="003865"/>
      <w:szCs w:val="28"/>
    </w:rPr>
  </w:style>
  <w:style w:type="paragraph" w:customStyle="1" w:styleId="numbering">
    <w:name w:val="numbering"/>
    <w:basedOn w:val="ListParagraph"/>
    <w:rsid w:val="00534D8B"/>
    <w:pPr>
      <w:numPr>
        <w:numId w:val="1"/>
      </w:numPr>
    </w:pPr>
  </w:style>
  <w:style w:type="paragraph" w:customStyle="1" w:styleId="TableText">
    <w:name w:val="TableText"/>
    <w:basedOn w:val="Normal"/>
    <w:rsid w:val="006A70A8"/>
    <w:pPr>
      <w:spacing w:before="120" w:after="120" w:line="240" w:lineRule="auto"/>
    </w:pPr>
    <w:rPr>
      <w:rFonts w:ascii="Century Gothic" w:eastAsiaTheme="majorEastAsia" w:hAnsi="Century Gothic" w:cs="Arial"/>
      <w:bCs/>
      <w:sz w:val="20"/>
      <w:szCs w:val="20"/>
    </w:rPr>
  </w:style>
  <w:style w:type="character" w:customStyle="1" w:styleId="Heading1Char">
    <w:name w:val="Heading 1 Char"/>
    <w:basedOn w:val="DefaultParagraphFont"/>
    <w:link w:val="Heading1"/>
    <w:uiPriority w:val="9"/>
    <w:rsid w:val="00483C2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483C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83C2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483C2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483C2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483C2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483C2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83C2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483C24"/>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3428A8"/>
  </w:style>
  <w:style w:type="paragraph" w:styleId="BodyText">
    <w:name w:val="Body Text"/>
    <w:basedOn w:val="Normal"/>
    <w:link w:val="BodyTextChar"/>
    <w:uiPriority w:val="1"/>
    <w:rsid w:val="003428A8"/>
    <w:pPr>
      <w:widowControl w:val="0"/>
      <w:spacing w:before="113" w:after="0" w:line="240" w:lineRule="auto"/>
      <w:ind w:left="673"/>
    </w:pPr>
    <w:rPr>
      <w:rFonts w:ascii="Segoe UI Light" w:eastAsia="Segoe UI Light" w:hAnsi="Segoe UI Light"/>
      <w:sz w:val="21"/>
      <w:szCs w:val="21"/>
      <w:lang w:val="en-US"/>
    </w:rPr>
  </w:style>
  <w:style w:type="character" w:customStyle="1" w:styleId="BodyTextChar">
    <w:name w:val="Body Text Char"/>
    <w:basedOn w:val="DefaultParagraphFont"/>
    <w:link w:val="BodyText"/>
    <w:uiPriority w:val="1"/>
    <w:rsid w:val="003428A8"/>
    <w:rPr>
      <w:rFonts w:ascii="Segoe UI Light" w:eastAsia="Segoe UI Light" w:hAnsi="Segoe UI Light" w:cstheme="minorBidi"/>
      <w:sz w:val="21"/>
      <w:szCs w:val="21"/>
      <w:lang w:val="en-US"/>
    </w:rPr>
  </w:style>
  <w:style w:type="table" w:styleId="TableGrid">
    <w:name w:val="Table Grid"/>
    <w:basedOn w:val="TableNormal"/>
    <w:uiPriority w:val="39"/>
    <w:rsid w:val="009C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Paragraph">
    <w:name w:val="CAB Paragraph"/>
    <w:basedOn w:val="BodyText"/>
    <w:link w:val="CABParagraphChar"/>
    <w:uiPriority w:val="98"/>
    <w:qFormat/>
    <w:rsid w:val="00B82F77"/>
    <w:pPr>
      <w:widowControl/>
      <w:spacing w:before="120"/>
      <w:ind w:left="0"/>
    </w:pPr>
    <w:rPr>
      <w:rFonts w:ascii="Arial" w:eastAsiaTheme="minorHAnsi" w:hAnsi="Arial"/>
      <w:sz w:val="22"/>
      <w:szCs w:val="22"/>
      <w:lang w:val="en-AU"/>
    </w:rPr>
  </w:style>
  <w:style w:type="character" w:customStyle="1" w:styleId="CABParagraphChar">
    <w:name w:val="CAB Paragraph Char"/>
    <w:basedOn w:val="DefaultParagraphFont"/>
    <w:link w:val="CABParagraph"/>
    <w:uiPriority w:val="98"/>
    <w:rsid w:val="00B82F77"/>
    <w:rPr>
      <w:rFonts w:ascii="Arial" w:hAnsi="Arial" w:cstheme="minorBidi"/>
      <w:sz w:val="22"/>
      <w:szCs w:val="22"/>
    </w:rPr>
  </w:style>
  <w:style w:type="paragraph" w:customStyle="1" w:styleId="CABNETParagraph">
    <w:name w:val="CABNET Paragraph."/>
    <w:basedOn w:val="Normal"/>
    <w:link w:val="CABNETParagraphChar"/>
    <w:uiPriority w:val="98"/>
    <w:rsid w:val="00B82F77"/>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B82F77"/>
    <w:rPr>
      <w:rFonts w:ascii="Arial" w:hAnsi="Arial" w:cstheme="minorHAnsi"/>
      <w:sz w:val="22"/>
      <w:szCs w:val="22"/>
    </w:rPr>
  </w:style>
  <w:style w:type="paragraph" w:customStyle="1" w:styleId="CABHeading2">
    <w:name w:val="CAB Heading 2."/>
    <w:basedOn w:val="Normal"/>
    <w:link w:val="CABHeading2Char"/>
    <w:uiPriority w:val="98"/>
    <w:rsid w:val="00B82F77"/>
    <w:pPr>
      <w:keepNext/>
      <w:keepLines/>
      <w:tabs>
        <w:tab w:val="left" w:pos="567"/>
      </w:tabs>
      <w:spacing w:before="200" w:after="0" w:line="240" w:lineRule="auto"/>
      <w:outlineLvl w:val="0"/>
    </w:pPr>
    <w:rPr>
      <w:rFonts w:ascii="Arial" w:eastAsiaTheme="majorEastAsia" w:hAnsi="Arial" w:cstheme="majorBidi"/>
      <w:b/>
      <w:bCs/>
      <w:color w:val="003865"/>
      <w:szCs w:val="28"/>
    </w:rPr>
  </w:style>
  <w:style w:type="character" w:customStyle="1" w:styleId="CABHeading2Char">
    <w:name w:val="CAB Heading 2. Char"/>
    <w:basedOn w:val="DefaultParagraphFont"/>
    <w:link w:val="CABHeading2"/>
    <w:uiPriority w:val="98"/>
    <w:rsid w:val="00B82F77"/>
    <w:rPr>
      <w:rFonts w:ascii="Arial" w:eastAsiaTheme="majorEastAsia" w:hAnsi="Arial" w:cstheme="majorBidi"/>
      <w:b/>
      <w:bCs/>
      <w:color w:val="003865"/>
      <w:szCs w:val="28"/>
    </w:rPr>
  </w:style>
  <w:style w:type="paragraph" w:customStyle="1" w:styleId="TableTextCab">
    <w:name w:val="Table Text Cab"/>
    <w:basedOn w:val="BodyText"/>
    <w:uiPriority w:val="8"/>
    <w:qFormat/>
    <w:rsid w:val="00B82F77"/>
    <w:pPr>
      <w:widowControl/>
      <w:spacing w:before="50" w:after="50"/>
      <w:ind w:left="0"/>
    </w:pPr>
    <w:rPr>
      <w:rFonts w:ascii="Arial" w:eastAsiaTheme="minorHAnsi" w:hAnsi="Arial"/>
      <w:sz w:val="20"/>
      <w:szCs w:val="20"/>
      <w:lang w:val="en-AU"/>
    </w:rPr>
  </w:style>
  <w:style w:type="paragraph" w:customStyle="1" w:styleId="TableHeadingCab">
    <w:name w:val="Table Heading Cab"/>
    <w:basedOn w:val="TableTextCab"/>
    <w:uiPriority w:val="7"/>
    <w:rsid w:val="00B82F77"/>
    <w:rPr>
      <w:b/>
    </w:rPr>
  </w:style>
  <w:style w:type="table" w:customStyle="1" w:styleId="TableGrid1">
    <w:name w:val="Table Grid1"/>
    <w:basedOn w:val="TableNormal"/>
    <w:next w:val="TableGrid"/>
    <w:uiPriority w:val="39"/>
    <w:rsid w:val="00B82F77"/>
    <w:pPr>
      <w:spacing w:after="0" w:line="240" w:lineRule="auto"/>
    </w:pPr>
    <w:rPr>
      <w:sz w:val="20"/>
    </w:rPr>
    <w:tblPr>
      <w:tblBorders>
        <w:insideH w:val="single" w:sz="4" w:space="0" w:color="ED7D31" w:themeColor="accent2"/>
        <w:insideV w:val="single" w:sz="4" w:space="0" w:color="ED7D31" w:themeColor="accent2"/>
      </w:tblBorders>
    </w:tblPr>
    <w:tblStylePr w:type="firstRow">
      <w:tblPr/>
      <w:tcPr>
        <w:shd w:val="clear" w:color="auto" w:fill="FBE4D5" w:themeFill="accent2" w:themeFillTint="33"/>
      </w:tcPr>
    </w:tblStylePr>
  </w:style>
  <w:style w:type="character" w:customStyle="1" w:styleId="ListParagraphChar">
    <w:name w:val="List Paragraph Char"/>
    <w:aliases w:val="CAB - List Bullet Char,List Bullet Cab Char,List Paragraph1 Char,List Paragraph11 Char,List Paragraph2 Char,Recommendation Char,Bullet 1 Char,CV text Char,Dot pt Char,F5 List Paragraph Char,Indicator Text Char,L Char,列出段 Char"/>
    <w:basedOn w:val="DefaultParagraphFont"/>
    <w:link w:val="ListParagraph"/>
    <w:uiPriority w:val="34"/>
    <w:qFormat/>
    <w:locked/>
    <w:rsid w:val="004920CD"/>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locked/>
    <w:rsid w:val="00F45168"/>
    <w:rPr>
      <w:rFonts w:ascii="Arial" w:hAnsi="Arial" w:cs="Arial"/>
      <w:sz w:val="16"/>
      <w:szCs w:val="20"/>
    </w:r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fn,5_G,Table/Chart Ref"/>
    <w:basedOn w:val="Normal"/>
    <w:link w:val="FootnoteTextChar"/>
    <w:uiPriority w:val="99"/>
    <w:unhideWhenUsed/>
    <w:rsid w:val="00F45168"/>
    <w:pPr>
      <w:spacing w:before="60" w:after="60" w:line="240" w:lineRule="auto"/>
    </w:pPr>
    <w:rPr>
      <w:rFonts w:ascii="Arial" w:hAnsi="Arial" w:cs="Arial"/>
      <w:sz w:val="16"/>
      <w:szCs w:val="20"/>
    </w:rPr>
  </w:style>
  <w:style w:type="character" w:customStyle="1" w:styleId="FootnoteTextChar1">
    <w:name w:val="Footnote Text Char1"/>
    <w:basedOn w:val="DefaultParagraphFont"/>
    <w:uiPriority w:val="99"/>
    <w:semiHidden/>
    <w:rsid w:val="00F45168"/>
    <w:rPr>
      <w:sz w:val="20"/>
      <w:szCs w:val="20"/>
    </w:rPr>
  </w:style>
  <w:style w:type="character" w:styleId="FootnoteReference">
    <w:name w:val="footnote reference"/>
    <w:aliases w:val="Footnotes refss,ftref,4_G,4_G Char Char Char Char Char,Footnotes refss Char Char Char Char Char,ftref Char Char Char Char Char,BVI fnr Char Char Char Char Char,BVI fnr Car Car Char Char Char Char Char,Ref,de nota al pie,註腳內容,11 pt,o"/>
    <w:basedOn w:val="DefaultParagraphFont"/>
    <w:link w:val="4GCharCharCharChar"/>
    <w:uiPriority w:val="99"/>
    <w:unhideWhenUsed/>
    <w:qFormat/>
    <w:rsid w:val="00F45168"/>
    <w:rPr>
      <w:rFonts w:ascii="Calibri" w:hAnsi="Calibri"/>
      <w:vertAlign w:val="superscript"/>
    </w:rPr>
  </w:style>
  <w:style w:type="paragraph" w:customStyle="1" w:styleId="4GCharCharCharChar">
    <w:name w:val="4_G Char Char Char Char"/>
    <w:aliases w:val="Footnotes refss Char Char Char Char,ftref Char Char Char Char,BVI fnr Char Char Char Char,BVI fnr Car Car Char Char Char Char,BVI fnr Car Char Char Char Char,BVI fnr Car Car Car Car Char Char1 Char Char"/>
    <w:basedOn w:val="Normal"/>
    <w:link w:val="FootnoteReference"/>
    <w:uiPriority w:val="99"/>
    <w:rsid w:val="00F45168"/>
    <w:pPr>
      <w:spacing w:line="240" w:lineRule="exact"/>
      <w:jc w:val="both"/>
    </w:pPr>
    <w:rPr>
      <w:rFonts w:ascii="Calibri" w:hAnsi="Calibri"/>
      <w:vertAlign w:val="superscript"/>
    </w:rPr>
  </w:style>
  <w:style w:type="paragraph" w:styleId="BalloonText">
    <w:name w:val="Balloon Text"/>
    <w:basedOn w:val="Normal"/>
    <w:link w:val="BalloonTextChar"/>
    <w:uiPriority w:val="99"/>
    <w:semiHidden/>
    <w:unhideWhenUsed/>
    <w:rsid w:val="0000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88"/>
    <w:rPr>
      <w:rFonts w:ascii="Segoe UI" w:hAnsi="Segoe UI" w:cs="Segoe UI"/>
      <w:sz w:val="18"/>
      <w:szCs w:val="18"/>
    </w:rPr>
  </w:style>
  <w:style w:type="character" w:styleId="CommentReference">
    <w:name w:val="annotation reference"/>
    <w:basedOn w:val="DefaultParagraphFont"/>
    <w:uiPriority w:val="99"/>
    <w:semiHidden/>
    <w:unhideWhenUsed/>
    <w:rsid w:val="00287BDE"/>
    <w:rPr>
      <w:sz w:val="16"/>
      <w:szCs w:val="16"/>
    </w:rPr>
  </w:style>
  <w:style w:type="paragraph" w:styleId="CommentText">
    <w:name w:val="annotation text"/>
    <w:basedOn w:val="Normal"/>
    <w:link w:val="CommentTextChar"/>
    <w:uiPriority w:val="99"/>
    <w:unhideWhenUsed/>
    <w:rsid w:val="00287BDE"/>
    <w:pPr>
      <w:spacing w:line="240" w:lineRule="auto"/>
    </w:pPr>
    <w:rPr>
      <w:sz w:val="20"/>
      <w:szCs w:val="20"/>
    </w:rPr>
  </w:style>
  <w:style w:type="character" w:customStyle="1" w:styleId="CommentTextChar">
    <w:name w:val="Comment Text Char"/>
    <w:basedOn w:val="DefaultParagraphFont"/>
    <w:link w:val="CommentText"/>
    <w:uiPriority w:val="99"/>
    <w:rsid w:val="00287BDE"/>
    <w:rPr>
      <w:sz w:val="20"/>
      <w:szCs w:val="20"/>
    </w:rPr>
  </w:style>
  <w:style w:type="paragraph" w:styleId="CommentSubject">
    <w:name w:val="annotation subject"/>
    <w:basedOn w:val="CommentText"/>
    <w:next w:val="CommentText"/>
    <w:link w:val="CommentSubjectChar"/>
    <w:uiPriority w:val="99"/>
    <w:semiHidden/>
    <w:unhideWhenUsed/>
    <w:rsid w:val="00287BDE"/>
    <w:rPr>
      <w:b/>
      <w:bCs/>
    </w:rPr>
  </w:style>
  <w:style w:type="character" w:customStyle="1" w:styleId="CommentSubjectChar">
    <w:name w:val="Comment Subject Char"/>
    <w:basedOn w:val="CommentTextChar"/>
    <w:link w:val="CommentSubject"/>
    <w:uiPriority w:val="99"/>
    <w:semiHidden/>
    <w:rsid w:val="00287BDE"/>
    <w:rPr>
      <w:b/>
      <w:bCs/>
      <w:sz w:val="20"/>
      <w:szCs w:val="20"/>
    </w:rPr>
  </w:style>
  <w:style w:type="paragraph" w:styleId="TOCHeading">
    <w:name w:val="TOC Heading"/>
    <w:basedOn w:val="Heading1"/>
    <w:next w:val="Normal"/>
    <w:uiPriority w:val="39"/>
    <w:unhideWhenUsed/>
    <w:qFormat/>
    <w:rsid w:val="00483C24"/>
    <w:pPr>
      <w:outlineLvl w:val="9"/>
    </w:pPr>
  </w:style>
  <w:style w:type="paragraph" w:styleId="TOC1">
    <w:name w:val="toc 1"/>
    <w:basedOn w:val="Normal"/>
    <w:next w:val="Normal"/>
    <w:autoRedefine/>
    <w:uiPriority w:val="39"/>
    <w:unhideWhenUsed/>
    <w:rsid w:val="005C7705"/>
    <w:pPr>
      <w:tabs>
        <w:tab w:val="left" w:pos="440"/>
        <w:tab w:val="right" w:leader="dot" w:pos="9370"/>
      </w:tabs>
      <w:spacing w:after="100"/>
      <w:ind w:left="142"/>
    </w:pPr>
  </w:style>
  <w:style w:type="paragraph" w:styleId="Caption">
    <w:name w:val="caption"/>
    <w:basedOn w:val="Normal"/>
    <w:next w:val="Normal"/>
    <w:uiPriority w:val="35"/>
    <w:unhideWhenUsed/>
    <w:qFormat/>
    <w:rsid w:val="00483C24"/>
    <w:pPr>
      <w:spacing w:line="240" w:lineRule="auto"/>
    </w:pPr>
    <w:rPr>
      <w:b/>
      <w:bCs/>
      <w:smallCaps/>
      <w:color w:val="44546A" w:themeColor="text2"/>
    </w:rPr>
  </w:style>
  <w:style w:type="paragraph" w:styleId="Title">
    <w:name w:val="Title"/>
    <w:basedOn w:val="Normal"/>
    <w:next w:val="Normal"/>
    <w:link w:val="TitleChar"/>
    <w:uiPriority w:val="10"/>
    <w:qFormat/>
    <w:rsid w:val="00483C2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83C24"/>
    <w:rPr>
      <w:rFonts w:asciiTheme="majorHAnsi" w:eastAsiaTheme="majorEastAsia" w:hAnsiTheme="majorHAnsi" w:cstheme="majorBidi"/>
      <w:caps/>
      <w:color w:val="44546A" w:themeColor="text2"/>
      <w:spacing w:val="-15"/>
      <w:sz w:val="72"/>
      <w:szCs w:val="72"/>
    </w:rPr>
  </w:style>
  <w:style w:type="character" w:styleId="Emphasis">
    <w:name w:val="Emphasis"/>
    <w:basedOn w:val="DefaultParagraphFont"/>
    <w:uiPriority w:val="20"/>
    <w:qFormat/>
    <w:rsid w:val="00483C24"/>
    <w:rPr>
      <w:i/>
      <w:iCs/>
    </w:rPr>
  </w:style>
  <w:style w:type="paragraph" w:styleId="NoSpacing">
    <w:name w:val="No Spacing"/>
    <w:uiPriority w:val="1"/>
    <w:qFormat/>
    <w:rsid w:val="00483C24"/>
    <w:pPr>
      <w:spacing w:after="0" w:line="240" w:lineRule="auto"/>
    </w:pPr>
  </w:style>
  <w:style w:type="paragraph" w:styleId="Quote">
    <w:name w:val="Quote"/>
    <w:basedOn w:val="Normal"/>
    <w:next w:val="Normal"/>
    <w:link w:val="QuoteChar"/>
    <w:uiPriority w:val="29"/>
    <w:qFormat/>
    <w:rsid w:val="00483C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83C24"/>
    <w:rPr>
      <w:color w:val="44546A" w:themeColor="text2"/>
      <w:sz w:val="24"/>
      <w:szCs w:val="24"/>
    </w:rPr>
  </w:style>
  <w:style w:type="paragraph" w:styleId="IntenseQuote">
    <w:name w:val="Intense Quote"/>
    <w:basedOn w:val="Normal"/>
    <w:next w:val="Normal"/>
    <w:link w:val="IntenseQuoteChar"/>
    <w:uiPriority w:val="30"/>
    <w:qFormat/>
    <w:rsid w:val="00483C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83C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83C24"/>
    <w:rPr>
      <w:i/>
      <w:iCs/>
      <w:color w:val="595959" w:themeColor="text1" w:themeTint="A6"/>
    </w:rPr>
  </w:style>
  <w:style w:type="character" w:styleId="IntenseEmphasis">
    <w:name w:val="Intense Emphasis"/>
    <w:basedOn w:val="DefaultParagraphFont"/>
    <w:uiPriority w:val="21"/>
    <w:qFormat/>
    <w:rsid w:val="00483C24"/>
    <w:rPr>
      <w:b/>
      <w:bCs/>
      <w:i/>
      <w:iCs/>
    </w:rPr>
  </w:style>
  <w:style w:type="character" w:styleId="SubtleReference">
    <w:name w:val="Subtle Reference"/>
    <w:basedOn w:val="DefaultParagraphFont"/>
    <w:uiPriority w:val="31"/>
    <w:qFormat/>
    <w:rsid w:val="00483C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3C24"/>
    <w:rPr>
      <w:b/>
      <w:bCs/>
      <w:smallCaps/>
      <w:color w:val="44546A" w:themeColor="text2"/>
      <w:u w:val="single"/>
    </w:rPr>
  </w:style>
  <w:style w:type="character" w:styleId="BookTitle">
    <w:name w:val="Book Title"/>
    <w:basedOn w:val="DefaultParagraphFont"/>
    <w:uiPriority w:val="33"/>
    <w:qFormat/>
    <w:rsid w:val="00483C24"/>
    <w:rPr>
      <w:b/>
      <w:bCs/>
      <w:smallCaps/>
      <w:spacing w:val="10"/>
    </w:rPr>
  </w:style>
  <w:style w:type="paragraph" w:styleId="TOC2">
    <w:name w:val="toc 2"/>
    <w:basedOn w:val="Normal"/>
    <w:next w:val="Normal"/>
    <w:autoRedefine/>
    <w:uiPriority w:val="39"/>
    <w:unhideWhenUsed/>
    <w:rsid w:val="005C7705"/>
    <w:pPr>
      <w:spacing w:after="100"/>
      <w:ind w:left="220"/>
    </w:pPr>
  </w:style>
  <w:style w:type="paragraph" w:styleId="NormalWeb">
    <w:name w:val="Normal (Web)"/>
    <w:basedOn w:val="Normal"/>
    <w:uiPriority w:val="99"/>
    <w:unhideWhenUsed/>
    <w:rsid w:val="000146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F50B8"/>
    <w:rPr>
      <w:color w:val="954F72" w:themeColor="followedHyperlink"/>
      <w:u w:val="single"/>
    </w:rPr>
  </w:style>
  <w:style w:type="character" w:customStyle="1" w:styleId="pending">
    <w:name w:val="pending"/>
    <w:basedOn w:val="DefaultParagraphFont"/>
    <w:rsid w:val="00677FB0"/>
  </w:style>
  <w:style w:type="paragraph" w:customStyle="1" w:styleId="Default">
    <w:name w:val="Default"/>
    <w:basedOn w:val="Normal"/>
    <w:rsid w:val="003D5368"/>
    <w:pPr>
      <w:autoSpaceDE w:val="0"/>
      <w:autoSpaceDN w:val="0"/>
      <w:spacing w:after="0" w:line="240" w:lineRule="auto"/>
    </w:pPr>
    <w:rPr>
      <w:rFonts w:ascii="Calibri" w:eastAsiaTheme="minorHAnsi" w:hAnsi="Calibri" w:cs="Calibri"/>
      <w:color w:val="000000"/>
      <w:sz w:val="24"/>
      <w:szCs w:val="24"/>
      <w14:ligatures w14:val="standardContextual"/>
    </w:rPr>
  </w:style>
  <w:style w:type="paragraph" w:customStyle="1" w:styleId="CABNumberedParagraph">
    <w:name w:val="CAB Numbered Paragraph"/>
    <w:basedOn w:val="Normal"/>
    <w:uiPriority w:val="98"/>
    <w:qFormat/>
    <w:rsid w:val="001A31F5"/>
    <w:pPr>
      <w:numPr>
        <w:ilvl w:val="1"/>
        <w:numId w:val="16"/>
      </w:numPr>
      <w:tabs>
        <w:tab w:val="clear" w:pos="340"/>
      </w:tabs>
      <w:spacing w:after="200" w:line="276" w:lineRule="auto"/>
      <w:ind w:left="567" w:hanging="567"/>
    </w:pPr>
    <w:rPr>
      <w:rFonts w:ascii="Arial" w:eastAsiaTheme="minorHAnsi" w:hAnsi="Arial"/>
    </w:rPr>
  </w:style>
  <w:style w:type="paragraph" w:styleId="TOC3">
    <w:name w:val="toc 3"/>
    <w:basedOn w:val="Normal"/>
    <w:next w:val="Normal"/>
    <w:autoRedefine/>
    <w:uiPriority w:val="39"/>
    <w:unhideWhenUsed/>
    <w:rsid w:val="004148DC"/>
    <w:pPr>
      <w:spacing w:after="100"/>
      <w:ind w:left="440"/>
    </w:pPr>
  </w:style>
  <w:style w:type="table" w:styleId="PlainTable2">
    <w:name w:val="Plain Table 2"/>
    <w:basedOn w:val="TableNormal"/>
    <w:uiPriority w:val="42"/>
    <w:rsid w:val="00355D71"/>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3">
    <w:name w:val="Plain Table 23"/>
    <w:basedOn w:val="TableNormal"/>
    <w:next w:val="PlainTable2"/>
    <w:uiPriority w:val="42"/>
    <w:rsid w:val="00461E94"/>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edList-Level1">
    <w:name w:val="Bulleted List - Level 1"/>
    <w:basedOn w:val="Normal"/>
    <w:uiPriority w:val="1"/>
    <w:rsid w:val="00FD6F15"/>
    <w:pPr>
      <w:numPr>
        <w:numId w:val="20"/>
      </w:numPr>
      <w:spacing w:line="264" w:lineRule="auto"/>
      <w:contextualSpacing/>
    </w:pPr>
    <w:rPr>
      <w:rFonts w:ascii="Calibri" w:eastAsiaTheme="minorHAnsi" w:hAnsi="Calibri" w:cs="Times New Roman"/>
    </w:rPr>
  </w:style>
  <w:style w:type="paragraph" w:customStyle="1" w:styleId="BulletedList-Level2">
    <w:name w:val="Bulleted List - Level 2"/>
    <w:basedOn w:val="Normal"/>
    <w:uiPriority w:val="1"/>
    <w:rsid w:val="00FD6F15"/>
    <w:pPr>
      <w:numPr>
        <w:numId w:val="21"/>
      </w:numPr>
      <w:spacing w:line="264" w:lineRule="auto"/>
      <w:ind w:left="425" w:hanging="283"/>
      <w:contextualSpacing/>
    </w:pPr>
    <w:rPr>
      <w:rFonts w:ascii="Calibri" w:eastAsiaTheme="minorHAnsi" w:hAnsi="Calibri" w:cs="Times New Roman"/>
    </w:rPr>
  </w:style>
  <w:style w:type="paragraph" w:customStyle="1" w:styleId="BulletedList-Level3">
    <w:name w:val="Bulleted List - Level 3"/>
    <w:basedOn w:val="Normal"/>
    <w:uiPriority w:val="1"/>
    <w:rsid w:val="00FD6F15"/>
    <w:pPr>
      <w:numPr>
        <w:numId w:val="22"/>
      </w:numPr>
      <w:spacing w:line="264" w:lineRule="auto"/>
      <w:ind w:left="1135" w:hanging="284"/>
      <w:contextualSpacing/>
    </w:pPr>
    <w:rPr>
      <w:rFonts w:ascii="Calibri" w:eastAsiaTheme="minorHAnsi" w:hAnsi="Calibri" w:cs="Times New Roman"/>
    </w:rPr>
  </w:style>
  <w:style w:type="character" w:customStyle="1" w:styleId="citation-0">
    <w:name w:val="citation-0"/>
    <w:basedOn w:val="DefaultParagraphFont"/>
    <w:rsid w:val="00DD7FDB"/>
  </w:style>
  <w:style w:type="table" w:customStyle="1" w:styleId="TableGrid2">
    <w:name w:val="Table Grid2"/>
    <w:basedOn w:val="TableNormal"/>
    <w:next w:val="TableGrid"/>
    <w:uiPriority w:val="39"/>
    <w:rsid w:val="00871AEA"/>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331">
      <w:bodyDiv w:val="1"/>
      <w:marLeft w:val="0"/>
      <w:marRight w:val="0"/>
      <w:marTop w:val="0"/>
      <w:marBottom w:val="0"/>
      <w:divBdr>
        <w:top w:val="none" w:sz="0" w:space="0" w:color="auto"/>
        <w:left w:val="none" w:sz="0" w:space="0" w:color="auto"/>
        <w:bottom w:val="none" w:sz="0" w:space="0" w:color="auto"/>
        <w:right w:val="none" w:sz="0" w:space="0" w:color="auto"/>
      </w:divBdr>
    </w:div>
    <w:div w:id="34934481">
      <w:bodyDiv w:val="1"/>
      <w:marLeft w:val="0"/>
      <w:marRight w:val="0"/>
      <w:marTop w:val="0"/>
      <w:marBottom w:val="0"/>
      <w:divBdr>
        <w:top w:val="none" w:sz="0" w:space="0" w:color="auto"/>
        <w:left w:val="none" w:sz="0" w:space="0" w:color="auto"/>
        <w:bottom w:val="none" w:sz="0" w:space="0" w:color="auto"/>
        <w:right w:val="none" w:sz="0" w:space="0" w:color="auto"/>
      </w:divBdr>
    </w:div>
    <w:div w:id="58140874">
      <w:bodyDiv w:val="1"/>
      <w:marLeft w:val="0"/>
      <w:marRight w:val="0"/>
      <w:marTop w:val="0"/>
      <w:marBottom w:val="0"/>
      <w:divBdr>
        <w:top w:val="none" w:sz="0" w:space="0" w:color="auto"/>
        <w:left w:val="none" w:sz="0" w:space="0" w:color="auto"/>
        <w:bottom w:val="none" w:sz="0" w:space="0" w:color="auto"/>
        <w:right w:val="none" w:sz="0" w:space="0" w:color="auto"/>
      </w:divBdr>
    </w:div>
    <w:div w:id="62141512">
      <w:bodyDiv w:val="1"/>
      <w:marLeft w:val="0"/>
      <w:marRight w:val="0"/>
      <w:marTop w:val="0"/>
      <w:marBottom w:val="0"/>
      <w:divBdr>
        <w:top w:val="none" w:sz="0" w:space="0" w:color="auto"/>
        <w:left w:val="none" w:sz="0" w:space="0" w:color="auto"/>
        <w:bottom w:val="none" w:sz="0" w:space="0" w:color="auto"/>
        <w:right w:val="none" w:sz="0" w:space="0" w:color="auto"/>
      </w:divBdr>
    </w:div>
    <w:div w:id="64688685">
      <w:bodyDiv w:val="1"/>
      <w:marLeft w:val="0"/>
      <w:marRight w:val="0"/>
      <w:marTop w:val="0"/>
      <w:marBottom w:val="0"/>
      <w:divBdr>
        <w:top w:val="none" w:sz="0" w:space="0" w:color="auto"/>
        <w:left w:val="none" w:sz="0" w:space="0" w:color="auto"/>
        <w:bottom w:val="none" w:sz="0" w:space="0" w:color="auto"/>
        <w:right w:val="none" w:sz="0" w:space="0" w:color="auto"/>
      </w:divBdr>
    </w:div>
    <w:div w:id="64955137">
      <w:bodyDiv w:val="1"/>
      <w:marLeft w:val="0"/>
      <w:marRight w:val="0"/>
      <w:marTop w:val="0"/>
      <w:marBottom w:val="0"/>
      <w:divBdr>
        <w:top w:val="none" w:sz="0" w:space="0" w:color="auto"/>
        <w:left w:val="none" w:sz="0" w:space="0" w:color="auto"/>
        <w:bottom w:val="none" w:sz="0" w:space="0" w:color="auto"/>
        <w:right w:val="none" w:sz="0" w:space="0" w:color="auto"/>
      </w:divBdr>
    </w:div>
    <w:div w:id="73627007">
      <w:bodyDiv w:val="1"/>
      <w:marLeft w:val="0"/>
      <w:marRight w:val="0"/>
      <w:marTop w:val="0"/>
      <w:marBottom w:val="0"/>
      <w:divBdr>
        <w:top w:val="none" w:sz="0" w:space="0" w:color="auto"/>
        <w:left w:val="none" w:sz="0" w:space="0" w:color="auto"/>
        <w:bottom w:val="none" w:sz="0" w:space="0" w:color="auto"/>
        <w:right w:val="none" w:sz="0" w:space="0" w:color="auto"/>
      </w:divBdr>
    </w:div>
    <w:div w:id="92357899">
      <w:bodyDiv w:val="1"/>
      <w:marLeft w:val="0"/>
      <w:marRight w:val="0"/>
      <w:marTop w:val="0"/>
      <w:marBottom w:val="0"/>
      <w:divBdr>
        <w:top w:val="none" w:sz="0" w:space="0" w:color="auto"/>
        <w:left w:val="none" w:sz="0" w:space="0" w:color="auto"/>
        <w:bottom w:val="none" w:sz="0" w:space="0" w:color="auto"/>
        <w:right w:val="none" w:sz="0" w:space="0" w:color="auto"/>
      </w:divBdr>
    </w:div>
    <w:div w:id="96682009">
      <w:bodyDiv w:val="1"/>
      <w:marLeft w:val="0"/>
      <w:marRight w:val="0"/>
      <w:marTop w:val="0"/>
      <w:marBottom w:val="0"/>
      <w:divBdr>
        <w:top w:val="none" w:sz="0" w:space="0" w:color="auto"/>
        <w:left w:val="none" w:sz="0" w:space="0" w:color="auto"/>
        <w:bottom w:val="none" w:sz="0" w:space="0" w:color="auto"/>
        <w:right w:val="none" w:sz="0" w:space="0" w:color="auto"/>
      </w:divBdr>
    </w:div>
    <w:div w:id="108090415">
      <w:bodyDiv w:val="1"/>
      <w:marLeft w:val="0"/>
      <w:marRight w:val="0"/>
      <w:marTop w:val="0"/>
      <w:marBottom w:val="0"/>
      <w:divBdr>
        <w:top w:val="none" w:sz="0" w:space="0" w:color="auto"/>
        <w:left w:val="none" w:sz="0" w:space="0" w:color="auto"/>
        <w:bottom w:val="none" w:sz="0" w:space="0" w:color="auto"/>
        <w:right w:val="none" w:sz="0" w:space="0" w:color="auto"/>
      </w:divBdr>
    </w:div>
    <w:div w:id="135102294">
      <w:bodyDiv w:val="1"/>
      <w:marLeft w:val="0"/>
      <w:marRight w:val="0"/>
      <w:marTop w:val="0"/>
      <w:marBottom w:val="0"/>
      <w:divBdr>
        <w:top w:val="none" w:sz="0" w:space="0" w:color="auto"/>
        <w:left w:val="none" w:sz="0" w:space="0" w:color="auto"/>
        <w:bottom w:val="none" w:sz="0" w:space="0" w:color="auto"/>
        <w:right w:val="none" w:sz="0" w:space="0" w:color="auto"/>
      </w:divBdr>
    </w:div>
    <w:div w:id="178352509">
      <w:bodyDiv w:val="1"/>
      <w:marLeft w:val="0"/>
      <w:marRight w:val="0"/>
      <w:marTop w:val="0"/>
      <w:marBottom w:val="0"/>
      <w:divBdr>
        <w:top w:val="none" w:sz="0" w:space="0" w:color="auto"/>
        <w:left w:val="none" w:sz="0" w:space="0" w:color="auto"/>
        <w:bottom w:val="none" w:sz="0" w:space="0" w:color="auto"/>
        <w:right w:val="none" w:sz="0" w:space="0" w:color="auto"/>
      </w:divBdr>
    </w:div>
    <w:div w:id="200671483">
      <w:bodyDiv w:val="1"/>
      <w:marLeft w:val="0"/>
      <w:marRight w:val="0"/>
      <w:marTop w:val="0"/>
      <w:marBottom w:val="0"/>
      <w:divBdr>
        <w:top w:val="none" w:sz="0" w:space="0" w:color="auto"/>
        <w:left w:val="none" w:sz="0" w:space="0" w:color="auto"/>
        <w:bottom w:val="none" w:sz="0" w:space="0" w:color="auto"/>
        <w:right w:val="none" w:sz="0" w:space="0" w:color="auto"/>
      </w:divBdr>
    </w:div>
    <w:div w:id="224220432">
      <w:bodyDiv w:val="1"/>
      <w:marLeft w:val="0"/>
      <w:marRight w:val="0"/>
      <w:marTop w:val="0"/>
      <w:marBottom w:val="0"/>
      <w:divBdr>
        <w:top w:val="none" w:sz="0" w:space="0" w:color="auto"/>
        <w:left w:val="none" w:sz="0" w:space="0" w:color="auto"/>
        <w:bottom w:val="none" w:sz="0" w:space="0" w:color="auto"/>
        <w:right w:val="none" w:sz="0" w:space="0" w:color="auto"/>
      </w:divBdr>
    </w:div>
    <w:div w:id="239562384">
      <w:bodyDiv w:val="1"/>
      <w:marLeft w:val="0"/>
      <w:marRight w:val="0"/>
      <w:marTop w:val="0"/>
      <w:marBottom w:val="0"/>
      <w:divBdr>
        <w:top w:val="none" w:sz="0" w:space="0" w:color="auto"/>
        <w:left w:val="none" w:sz="0" w:space="0" w:color="auto"/>
        <w:bottom w:val="none" w:sz="0" w:space="0" w:color="auto"/>
        <w:right w:val="none" w:sz="0" w:space="0" w:color="auto"/>
      </w:divBdr>
    </w:div>
    <w:div w:id="247269942">
      <w:bodyDiv w:val="1"/>
      <w:marLeft w:val="0"/>
      <w:marRight w:val="0"/>
      <w:marTop w:val="0"/>
      <w:marBottom w:val="0"/>
      <w:divBdr>
        <w:top w:val="none" w:sz="0" w:space="0" w:color="auto"/>
        <w:left w:val="none" w:sz="0" w:space="0" w:color="auto"/>
        <w:bottom w:val="none" w:sz="0" w:space="0" w:color="auto"/>
        <w:right w:val="none" w:sz="0" w:space="0" w:color="auto"/>
      </w:divBdr>
    </w:div>
    <w:div w:id="281958694">
      <w:bodyDiv w:val="1"/>
      <w:marLeft w:val="0"/>
      <w:marRight w:val="0"/>
      <w:marTop w:val="0"/>
      <w:marBottom w:val="0"/>
      <w:divBdr>
        <w:top w:val="none" w:sz="0" w:space="0" w:color="auto"/>
        <w:left w:val="none" w:sz="0" w:space="0" w:color="auto"/>
        <w:bottom w:val="none" w:sz="0" w:space="0" w:color="auto"/>
        <w:right w:val="none" w:sz="0" w:space="0" w:color="auto"/>
      </w:divBdr>
    </w:div>
    <w:div w:id="291637777">
      <w:bodyDiv w:val="1"/>
      <w:marLeft w:val="0"/>
      <w:marRight w:val="0"/>
      <w:marTop w:val="0"/>
      <w:marBottom w:val="0"/>
      <w:divBdr>
        <w:top w:val="none" w:sz="0" w:space="0" w:color="auto"/>
        <w:left w:val="none" w:sz="0" w:space="0" w:color="auto"/>
        <w:bottom w:val="none" w:sz="0" w:space="0" w:color="auto"/>
        <w:right w:val="none" w:sz="0" w:space="0" w:color="auto"/>
      </w:divBdr>
    </w:div>
    <w:div w:id="325669193">
      <w:bodyDiv w:val="1"/>
      <w:marLeft w:val="0"/>
      <w:marRight w:val="0"/>
      <w:marTop w:val="0"/>
      <w:marBottom w:val="0"/>
      <w:divBdr>
        <w:top w:val="none" w:sz="0" w:space="0" w:color="auto"/>
        <w:left w:val="none" w:sz="0" w:space="0" w:color="auto"/>
        <w:bottom w:val="none" w:sz="0" w:space="0" w:color="auto"/>
        <w:right w:val="none" w:sz="0" w:space="0" w:color="auto"/>
      </w:divBdr>
    </w:div>
    <w:div w:id="348722156">
      <w:bodyDiv w:val="1"/>
      <w:marLeft w:val="0"/>
      <w:marRight w:val="0"/>
      <w:marTop w:val="0"/>
      <w:marBottom w:val="0"/>
      <w:divBdr>
        <w:top w:val="none" w:sz="0" w:space="0" w:color="auto"/>
        <w:left w:val="none" w:sz="0" w:space="0" w:color="auto"/>
        <w:bottom w:val="none" w:sz="0" w:space="0" w:color="auto"/>
        <w:right w:val="none" w:sz="0" w:space="0" w:color="auto"/>
      </w:divBdr>
    </w:div>
    <w:div w:id="368378448">
      <w:bodyDiv w:val="1"/>
      <w:marLeft w:val="0"/>
      <w:marRight w:val="0"/>
      <w:marTop w:val="0"/>
      <w:marBottom w:val="0"/>
      <w:divBdr>
        <w:top w:val="none" w:sz="0" w:space="0" w:color="auto"/>
        <w:left w:val="none" w:sz="0" w:space="0" w:color="auto"/>
        <w:bottom w:val="none" w:sz="0" w:space="0" w:color="auto"/>
        <w:right w:val="none" w:sz="0" w:space="0" w:color="auto"/>
      </w:divBdr>
    </w:div>
    <w:div w:id="414401091">
      <w:bodyDiv w:val="1"/>
      <w:marLeft w:val="0"/>
      <w:marRight w:val="0"/>
      <w:marTop w:val="0"/>
      <w:marBottom w:val="0"/>
      <w:divBdr>
        <w:top w:val="none" w:sz="0" w:space="0" w:color="auto"/>
        <w:left w:val="none" w:sz="0" w:space="0" w:color="auto"/>
        <w:bottom w:val="none" w:sz="0" w:space="0" w:color="auto"/>
        <w:right w:val="none" w:sz="0" w:space="0" w:color="auto"/>
      </w:divBdr>
    </w:div>
    <w:div w:id="429350264">
      <w:bodyDiv w:val="1"/>
      <w:marLeft w:val="0"/>
      <w:marRight w:val="0"/>
      <w:marTop w:val="0"/>
      <w:marBottom w:val="0"/>
      <w:divBdr>
        <w:top w:val="none" w:sz="0" w:space="0" w:color="auto"/>
        <w:left w:val="none" w:sz="0" w:space="0" w:color="auto"/>
        <w:bottom w:val="none" w:sz="0" w:space="0" w:color="auto"/>
        <w:right w:val="none" w:sz="0" w:space="0" w:color="auto"/>
      </w:divBdr>
    </w:div>
    <w:div w:id="479275130">
      <w:bodyDiv w:val="1"/>
      <w:marLeft w:val="0"/>
      <w:marRight w:val="0"/>
      <w:marTop w:val="0"/>
      <w:marBottom w:val="0"/>
      <w:divBdr>
        <w:top w:val="none" w:sz="0" w:space="0" w:color="auto"/>
        <w:left w:val="none" w:sz="0" w:space="0" w:color="auto"/>
        <w:bottom w:val="none" w:sz="0" w:space="0" w:color="auto"/>
        <w:right w:val="none" w:sz="0" w:space="0" w:color="auto"/>
      </w:divBdr>
    </w:div>
    <w:div w:id="511379522">
      <w:bodyDiv w:val="1"/>
      <w:marLeft w:val="0"/>
      <w:marRight w:val="0"/>
      <w:marTop w:val="0"/>
      <w:marBottom w:val="0"/>
      <w:divBdr>
        <w:top w:val="none" w:sz="0" w:space="0" w:color="auto"/>
        <w:left w:val="none" w:sz="0" w:space="0" w:color="auto"/>
        <w:bottom w:val="none" w:sz="0" w:space="0" w:color="auto"/>
        <w:right w:val="none" w:sz="0" w:space="0" w:color="auto"/>
      </w:divBdr>
    </w:div>
    <w:div w:id="531655884">
      <w:bodyDiv w:val="1"/>
      <w:marLeft w:val="0"/>
      <w:marRight w:val="0"/>
      <w:marTop w:val="0"/>
      <w:marBottom w:val="0"/>
      <w:divBdr>
        <w:top w:val="none" w:sz="0" w:space="0" w:color="auto"/>
        <w:left w:val="none" w:sz="0" w:space="0" w:color="auto"/>
        <w:bottom w:val="none" w:sz="0" w:space="0" w:color="auto"/>
        <w:right w:val="none" w:sz="0" w:space="0" w:color="auto"/>
      </w:divBdr>
    </w:div>
    <w:div w:id="558437703">
      <w:bodyDiv w:val="1"/>
      <w:marLeft w:val="0"/>
      <w:marRight w:val="0"/>
      <w:marTop w:val="0"/>
      <w:marBottom w:val="0"/>
      <w:divBdr>
        <w:top w:val="none" w:sz="0" w:space="0" w:color="auto"/>
        <w:left w:val="none" w:sz="0" w:space="0" w:color="auto"/>
        <w:bottom w:val="none" w:sz="0" w:space="0" w:color="auto"/>
        <w:right w:val="none" w:sz="0" w:space="0" w:color="auto"/>
      </w:divBdr>
    </w:div>
    <w:div w:id="641467850">
      <w:bodyDiv w:val="1"/>
      <w:marLeft w:val="0"/>
      <w:marRight w:val="0"/>
      <w:marTop w:val="0"/>
      <w:marBottom w:val="0"/>
      <w:divBdr>
        <w:top w:val="none" w:sz="0" w:space="0" w:color="auto"/>
        <w:left w:val="none" w:sz="0" w:space="0" w:color="auto"/>
        <w:bottom w:val="none" w:sz="0" w:space="0" w:color="auto"/>
        <w:right w:val="none" w:sz="0" w:space="0" w:color="auto"/>
      </w:divBdr>
    </w:div>
    <w:div w:id="643511883">
      <w:bodyDiv w:val="1"/>
      <w:marLeft w:val="0"/>
      <w:marRight w:val="0"/>
      <w:marTop w:val="0"/>
      <w:marBottom w:val="0"/>
      <w:divBdr>
        <w:top w:val="none" w:sz="0" w:space="0" w:color="auto"/>
        <w:left w:val="none" w:sz="0" w:space="0" w:color="auto"/>
        <w:bottom w:val="none" w:sz="0" w:space="0" w:color="auto"/>
        <w:right w:val="none" w:sz="0" w:space="0" w:color="auto"/>
      </w:divBdr>
    </w:div>
    <w:div w:id="713505329">
      <w:bodyDiv w:val="1"/>
      <w:marLeft w:val="0"/>
      <w:marRight w:val="0"/>
      <w:marTop w:val="0"/>
      <w:marBottom w:val="0"/>
      <w:divBdr>
        <w:top w:val="none" w:sz="0" w:space="0" w:color="auto"/>
        <w:left w:val="none" w:sz="0" w:space="0" w:color="auto"/>
        <w:bottom w:val="none" w:sz="0" w:space="0" w:color="auto"/>
        <w:right w:val="none" w:sz="0" w:space="0" w:color="auto"/>
      </w:divBdr>
    </w:div>
    <w:div w:id="740058436">
      <w:bodyDiv w:val="1"/>
      <w:marLeft w:val="0"/>
      <w:marRight w:val="0"/>
      <w:marTop w:val="0"/>
      <w:marBottom w:val="0"/>
      <w:divBdr>
        <w:top w:val="none" w:sz="0" w:space="0" w:color="auto"/>
        <w:left w:val="none" w:sz="0" w:space="0" w:color="auto"/>
        <w:bottom w:val="none" w:sz="0" w:space="0" w:color="auto"/>
        <w:right w:val="none" w:sz="0" w:space="0" w:color="auto"/>
      </w:divBdr>
    </w:div>
    <w:div w:id="764882079">
      <w:bodyDiv w:val="1"/>
      <w:marLeft w:val="0"/>
      <w:marRight w:val="0"/>
      <w:marTop w:val="0"/>
      <w:marBottom w:val="0"/>
      <w:divBdr>
        <w:top w:val="none" w:sz="0" w:space="0" w:color="auto"/>
        <w:left w:val="none" w:sz="0" w:space="0" w:color="auto"/>
        <w:bottom w:val="none" w:sz="0" w:space="0" w:color="auto"/>
        <w:right w:val="none" w:sz="0" w:space="0" w:color="auto"/>
      </w:divBdr>
    </w:div>
    <w:div w:id="788282078">
      <w:bodyDiv w:val="1"/>
      <w:marLeft w:val="0"/>
      <w:marRight w:val="0"/>
      <w:marTop w:val="0"/>
      <w:marBottom w:val="0"/>
      <w:divBdr>
        <w:top w:val="none" w:sz="0" w:space="0" w:color="auto"/>
        <w:left w:val="none" w:sz="0" w:space="0" w:color="auto"/>
        <w:bottom w:val="none" w:sz="0" w:space="0" w:color="auto"/>
        <w:right w:val="none" w:sz="0" w:space="0" w:color="auto"/>
      </w:divBdr>
    </w:div>
    <w:div w:id="831800892">
      <w:bodyDiv w:val="1"/>
      <w:marLeft w:val="0"/>
      <w:marRight w:val="0"/>
      <w:marTop w:val="0"/>
      <w:marBottom w:val="0"/>
      <w:divBdr>
        <w:top w:val="none" w:sz="0" w:space="0" w:color="auto"/>
        <w:left w:val="none" w:sz="0" w:space="0" w:color="auto"/>
        <w:bottom w:val="none" w:sz="0" w:space="0" w:color="auto"/>
        <w:right w:val="none" w:sz="0" w:space="0" w:color="auto"/>
      </w:divBdr>
    </w:div>
    <w:div w:id="848451043">
      <w:bodyDiv w:val="1"/>
      <w:marLeft w:val="0"/>
      <w:marRight w:val="0"/>
      <w:marTop w:val="0"/>
      <w:marBottom w:val="0"/>
      <w:divBdr>
        <w:top w:val="none" w:sz="0" w:space="0" w:color="auto"/>
        <w:left w:val="none" w:sz="0" w:space="0" w:color="auto"/>
        <w:bottom w:val="none" w:sz="0" w:space="0" w:color="auto"/>
        <w:right w:val="none" w:sz="0" w:space="0" w:color="auto"/>
      </w:divBdr>
    </w:div>
    <w:div w:id="875391876">
      <w:bodyDiv w:val="1"/>
      <w:marLeft w:val="0"/>
      <w:marRight w:val="0"/>
      <w:marTop w:val="0"/>
      <w:marBottom w:val="0"/>
      <w:divBdr>
        <w:top w:val="none" w:sz="0" w:space="0" w:color="auto"/>
        <w:left w:val="none" w:sz="0" w:space="0" w:color="auto"/>
        <w:bottom w:val="none" w:sz="0" w:space="0" w:color="auto"/>
        <w:right w:val="none" w:sz="0" w:space="0" w:color="auto"/>
      </w:divBdr>
    </w:div>
    <w:div w:id="900824873">
      <w:bodyDiv w:val="1"/>
      <w:marLeft w:val="0"/>
      <w:marRight w:val="0"/>
      <w:marTop w:val="0"/>
      <w:marBottom w:val="0"/>
      <w:divBdr>
        <w:top w:val="none" w:sz="0" w:space="0" w:color="auto"/>
        <w:left w:val="none" w:sz="0" w:space="0" w:color="auto"/>
        <w:bottom w:val="none" w:sz="0" w:space="0" w:color="auto"/>
        <w:right w:val="none" w:sz="0" w:space="0" w:color="auto"/>
      </w:divBdr>
    </w:div>
    <w:div w:id="936593035">
      <w:bodyDiv w:val="1"/>
      <w:marLeft w:val="0"/>
      <w:marRight w:val="0"/>
      <w:marTop w:val="0"/>
      <w:marBottom w:val="0"/>
      <w:divBdr>
        <w:top w:val="none" w:sz="0" w:space="0" w:color="auto"/>
        <w:left w:val="none" w:sz="0" w:space="0" w:color="auto"/>
        <w:bottom w:val="none" w:sz="0" w:space="0" w:color="auto"/>
        <w:right w:val="none" w:sz="0" w:space="0" w:color="auto"/>
      </w:divBdr>
    </w:div>
    <w:div w:id="938492424">
      <w:bodyDiv w:val="1"/>
      <w:marLeft w:val="0"/>
      <w:marRight w:val="0"/>
      <w:marTop w:val="0"/>
      <w:marBottom w:val="0"/>
      <w:divBdr>
        <w:top w:val="none" w:sz="0" w:space="0" w:color="auto"/>
        <w:left w:val="none" w:sz="0" w:space="0" w:color="auto"/>
        <w:bottom w:val="none" w:sz="0" w:space="0" w:color="auto"/>
        <w:right w:val="none" w:sz="0" w:space="0" w:color="auto"/>
      </w:divBdr>
    </w:div>
    <w:div w:id="971834021">
      <w:bodyDiv w:val="1"/>
      <w:marLeft w:val="0"/>
      <w:marRight w:val="0"/>
      <w:marTop w:val="0"/>
      <w:marBottom w:val="0"/>
      <w:divBdr>
        <w:top w:val="none" w:sz="0" w:space="0" w:color="auto"/>
        <w:left w:val="none" w:sz="0" w:space="0" w:color="auto"/>
        <w:bottom w:val="none" w:sz="0" w:space="0" w:color="auto"/>
        <w:right w:val="none" w:sz="0" w:space="0" w:color="auto"/>
      </w:divBdr>
    </w:div>
    <w:div w:id="974142700">
      <w:bodyDiv w:val="1"/>
      <w:marLeft w:val="0"/>
      <w:marRight w:val="0"/>
      <w:marTop w:val="0"/>
      <w:marBottom w:val="0"/>
      <w:divBdr>
        <w:top w:val="none" w:sz="0" w:space="0" w:color="auto"/>
        <w:left w:val="none" w:sz="0" w:space="0" w:color="auto"/>
        <w:bottom w:val="none" w:sz="0" w:space="0" w:color="auto"/>
        <w:right w:val="none" w:sz="0" w:space="0" w:color="auto"/>
      </w:divBdr>
    </w:div>
    <w:div w:id="1005017224">
      <w:bodyDiv w:val="1"/>
      <w:marLeft w:val="0"/>
      <w:marRight w:val="0"/>
      <w:marTop w:val="0"/>
      <w:marBottom w:val="0"/>
      <w:divBdr>
        <w:top w:val="none" w:sz="0" w:space="0" w:color="auto"/>
        <w:left w:val="none" w:sz="0" w:space="0" w:color="auto"/>
        <w:bottom w:val="none" w:sz="0" w:space="0" w:color="auto"/>
        <w:right w:val="none" w:sz="0" w:space="0" w:color="auto"/>
      </w:divBdr>
    </w:div>
    <w:div w:id="1019772688">
      <w:bodyDiv w:val="1"/>
      <w:marLeft w:val="0"/>
      <w:marRight w:val="0"/>
      <w:marTop w:val="0"/>
      <w:marBottom w:val="0"/>
      <w:divBdr>
        <w:top w:val="none" w:sz="0" w:space="0" w:color="auto"/>
        <w:left w:val="none" w:sz="0" w:space="0" w:color="auto"/>
        <w:bottom w:val="none" w:sz="0" w:space="0" w:color="auto"/>
        <w:right w:val="none" w:sz="0" w:space="0" w:color="auto"/>
      </w:divBdr>
    </w:div>
    <w:div w:id="1025517898">
      <w:bodyDiv w:val="1"/>
      <w:marLeft w:val="0"/>
      <w:marRight w:val="0"/>
      <w:marTop w:val="0"/>
      <w:marBottom w:val="0"/>
      <w:divBdr>
        <w:top w:val="none" w:sz="0" w:space="0" w:color="auto"/>
        <w:left w:val="none" w:sz="0" w:space="0" w:color="auto"/>
        <w:bottom w:val="none" w:sz="0" w:space="0" w:color="auto"/>
        <w:right w:val="none" w:sz="0" w:space="0" w:color="auto"/>
      </w:divBdr>
    </w:div>
    <w:div w:id="1084498973">
      <w:bodyDiv w:val="1"/>
      <w:marLeft w:val="0"/>
      <w:marRight w:val="0"/>
      <w:marTop w:val="0"/>
      <w:marBottom w:val="0"/>
      <w:divBdr>
        <w:top w:val="none" w:sz="0" w:space="0" w:color="auto"/>
        <w:left w:val="none" w:sz="0" w:space="0" w:color="auto"/>
        <w:bottom w:val="none" w:sz="0" w:space="0" w:color="auto"/>
        <w:right w:val="none" w:sz="0" w:space="0" w:color="auto"/>
      </w:divBdr>
    </w:div>
    <w:div w:id="1089885508">
      <w:bodyDiv w:val="1"/>
      <w:marLeft w:val="0"/>
      <w:marRight w:val="0"/>
      <w:marTop w:val="0"/>
      <w:marBottom w:val="0"/>
      <w:divBdr>
        <w:top w:val="none" w:sz="0" w:space="0" w:color="auto"/>
        <w:left w:val="none" w:sz="0" w:space="0" w:color="auto"/>
        <w:bottom w:val="none" w:sz="0" w:space="0" w:color="auto"/>
        <w:right w:val="none" w:sz="0" w:space="0" w:color="auto"/>
      </w:divBdr>
    </w:div>
    <w:div w:id="1090733585">
      <w:bodyDiv w:val="1"/>
      <w:marLeft w:val="0"/>
      <w:marRight w:val="0"/>
      <w:marTop w:val="0"/>
      <w:marBottom w:val="0"/>
      <w:divBdr>
        <w:top w:val="none" w:sz="0" w:space="0" w:color="auto"/>
        <w:left w:val="none" w:sz="0" w:space="0" w:color="auto"/>
        <w:bottom w:val="none" w:sz="0" w:space="0" w:color="auto"/>
        <w:right w:val="none" w:sz="0" w:space="0" w:color="auto"/>
      </w:divBdr>
    </w:div>
    <w:div w:id="1094858542">
      <w:bodyDiv w:val="1"/>
      <w:marLeft w:val="0"/>
      <w:marRight w:val="0"/>
      <w:marTop w:val="0"/>
      <w:marBottom w:val="0"/>
      <w:divBdr>
        <w:top w:val="none" w:sz="0" w:space="0" w:color="auto"/>
        <w:left w:val="none" w:sz="0" w:space="0" w:color="auto"/>
        <w:bottom w:val="none" w:sz="0" w:space="0" w:color="auto"/>
        <w:right w:val="none" w:sz="0" w:space="0" w:color="auto"/>
      </w:divBdr>
    </w:div>
    <w:div w:id="1105658396">
      <w:bodyDiv w:val="1"/>
      <w:marLeft w:val="0"/>
      <w:marRight w:val="0"/>
      <w:marTop w:val="0"/>
      <w:marBottom w:val="0"/>
      <w:divBdr>
        <w:top w:val="none" w:sz="0" w:space="0" w:color="auto"/>
        <w:left w:val="none" w:sz="0" w:space="0" w:color="auto"/>
        <w:bottom w:val="none" w:sz="0" w:space="0" w:color="auto"/>
        <w:right w:val="none" w:sz="0" w:space="0" w:color="auto"/>
      </w:divBdr>
    </w:div>
    <w:div w:id="1115753206">
      <w:bodyDiv w:val="1"/>
      <w:marLeft w:val="0"/>
      <w:marRight w:val="0"/>
      <w:marTop w:val="0"/>
      <w:marBottom w:val="0"/>
      <w:divBdr>
        <w:top w:val="none" w:sz="0" w:space="0" w:color="auto"/>
        <w:left w:val="none" w:sz="0" w:space="0" w:color="auto"/>
        <w:bottom w:val="none" w:sz="0" w:space="0" w:color="auto"/>
        <w:right w:val="none" w:sz="0" w:space="0" w:color="auto"/>
      </w:divBdr>
    </w:div>
    <w:div w:id="1119884036">
      <w:bodyDiv w:val="1"/>
      <w:marLeft w:val="0"/>
      <w:marRight w:val="0"/>
      <w:marTop w:val="0"/>
      <w:marBottom w:val="0"/>
      <w:divBdr>
        <w:top w:val="none" w:sz="0" w:space="0" w:color="auto"/>
        <w:left w:val="none" w:sz="0" w:space="0" w:color="auto"/>
        <w:bottom w:val="none" w:sz="0" w:space="0" w:color="auto"/>
        <w:right w:val="none" w:sz="0" w:space="0" w:color="auto"/>
      </w:divBdr>
    </w:div>
    <w:div w:id="1123426832">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169755631">
      <w:bodyDiv w:val="1"/>
      <w:marLeft w:val="0"/>
      <w:marRight w:val="0"/>
      <w:marTop w:val="0"/>
      <w:marBottom w:val="0"/>
      <w:divBdr>
        <w:top w:val="none" w:sz="0" w:space="0" w:color="auto"/>
        <w:left w:val="none" w:sz="0" w:space="0" w:color="auto"/>
        <w:bottom w:val="none" w:sz="0" w:space="0" w:color="auto"/>
        <w:right w:val="none" w:sz="0" w:space="0" w:color="auto"/>
      </w:divBdr>
    </w:div>
    <w:div w:id="1183276556">
      <w:bodyDiv w:val="1"/>
      <w:marLeft w:val="0"/>
      <w:marRight w:val="0"/>
      <w:marTop w:val="0"/>
      <w:marBottom w:val="0"/>
      <w:divBdr>
        <w:top w:val="none" w:sz="0" w:space="0" w:color="auto"/>
        <w:left w:val="none" w:sz="0" w:space="0" w:color="auto"/>
        <w:bottom w:val="none" w:sz="0" w:space="0" w:color="auto"/>
        <w:right w:val="none" w:sz="0" w:space="0" w:color="auto"/>
      </w:divBdr>
    </w:div>
    <w:div w:id="1213226297">
      <w:bodyDiv w:val="1"/>
      <w:marLeft w:val="0"/>
      <w:marRight w:val="0"/>
      <w:marTop w:val="0"/>
      <w:marBottom w:val="0"/>
      <w:divBdr>
        <w:top w:val="none" w:sz="0" w:space="0" w:color="auto"/>
        <w:left w:val="none" w:sz="0" w:space="0" w:color="auto"/>
        <w:bottom w:val="none" w:sz="0" w:space="0" w:color="auto"/>
        <w:right w:val="none" w:sz="0" w:space="0" w:color="auto"/>
      </w:divBdr>
    </w:div>
    <w:div w:id="1255941632">
      <w:bodyDiv w:val="1"/>
      <w:marLeft w:val="0"/>
      <w:marRight w:val="0"/>
      <w:marTop w:val="0"/>
      <w:marBottom w:val="0"/>
      <w:divBdr>
        <w:top w:val="none" w:sz="0" w:space="0" w:color="auto"/>
        <w:left w:val="none" w:sz="0" w:space="0" w:color="auto"/>
        <w:bottom w:val="none" w:sz="0" w:space="0" w:color="auto"/>
        <w:right w:val="none" w:sz="0" w:space="0" w:color="auto"/>
      </w:divBdr>
    </w:div>
    <w:div w:id="1274361178">
      <w:bodyDiv w:val="1"/>
      <w:marLeft w:val="0"/>
      <w:marRight w:val="0"/>
      <w:marTop w:val="0"/>
      <w:marBottom w:val="0"/>
      <w:divBdr>
        <w:top w:val="none" w:sz="0" w:space="0" w:color="auto"/>
        <w:left w:val="none" w:sz="0" w:space="0" w:color="auto"/>
        <w:bottom w:val="none" w:sz="0" w:space="0" w:color="auto"/>
        <w:right w:val="none" w:sz="0" w:space="0" w:color="auto"/>
      </w:divBdr>
    </w:div>
    <w:div w:id="1290939085">
      <w:bodyDiv w:val="1"/>
      <w:marLeft w:val="0"/>
      <w:marRight w:val="0"/>
      <w:marTop w:val="0"/>
      <w:marBottom w:val="0"/>
      <w:divBdr>
        <w:top w:val="none" w:sz="0" w:space="0" w:color="auto"/>
        <w:left w:val="none" w:sz="0" w:space="0" w:color="auto"/>
        <w:bottom w:val="none" w:sz="0" w:space="0" w:color="auto"/>
        <w:right w:val="none" w:sz="0" w:space="0" w:color="auto"/>
      </w:divBdr>
    </w:div>
    <w:div w:id="1336612649">
      <w:bodyDiv w:val="1"/>
      <w:marLeft w:val="0"/>
      <w:marRight w:val="0"/>
      <w:marTop w:val="0"/>
      <w:marBottom w:val="0"/>
      <w:divBdr>
        <w:top w:val="none" w:sz="0" w:space="0" w:color="auto"/>
        <w:left w:val="none" w:sz="0" w:space="0" w:color="auto"/>
        <w:bottom w:val="none" w:sz="0" w:space="0" w:color="auto"/>
        <w:right w:val="none" w:sz="0" w:space="0" w:color="auto"/>
      </w:divBdr>
    </w:div>
    <w:div w:id="1354569224">
      <w:bodyDiv w:val="1"/>
      <w:marLeft w:val="0"/>
      <w:marRight w:val="0"/>
      <w:marTop w:val="0"/>
      <w:marBottom w:val="0"/>
      <w:divBdr>
        <w:top w:val="none" w:sz="0" w:space="0" w:color="auto"/>
        <w:left w:val="none" w:sz="0" w:space="0" w:color="auto"/>
        <w:bottom w:val="none" w:sz="0" w:space="0" w:color="auto"/>
        <w:right w:val="none" w:sz="0" w:space="0" w:color="auto"/>
      </w:divBdr>
    </w:div>
    <w:div w:id="1369794867">
      <w:bodyDiv w:val="1"/>
      <w:marLeft w:val="0"/>
      <w:marRight w:val="0"/>
      <w:marTop w:val="0"/>
      <w:marBottom w:val="0"/>
      <w:divBdr>
        <w:top w:val="none" w:sz="0" w:space="0" w:color="auto"/>
        <w:left w:val="none" w:sz="0" w:space="0" w:color="auto"/>
        <w:bottom w:val="none" w:sz="0" w:space="0" w:color="auto"/>
        <w:right w:val="none" w:sz="0" w:space="0" w:color="auto"/>
      </w:divBdr>
    </w:div>
    <w:div w:id="1389378631">
      <w:bodyDiv w:val="1"/>
      <w:marLeft w:val="0"/>
      <w:marRight w:val="0"/>
      <w:marTop w:val="0"/>
      <w:marBottom w:val="0"/>
      <w:divBdr>
        <w:top w:val="none" w:sz="0" w:space="0" w:color="auto"/>
        <w:left w:val="none" w:sz="0" w:space="0" w:color="auto"/>
        <w:bottom w:val="none" w:sz="0" w:space="0" w:color="auto"/>
        <w:right w:val="none" w:sz="0" w:space="0" w:color="auto"/>
      </w:divBdr>
    </w:div>
    <w:div w:id="1413939326">
      <w:bodyDiv w:val="1"/>
      <w:marLeft w:val="0"/>
      <w:marRight w:val="0"/>
      <w:marTop w:val="0"/>
      <w:marBottom w:val="0"/>
      <w:divBdr>
        <w:top w:val="none" w:sz="0" w:space="0" w:color="auto"/>
        <w:left w:val="none" w:sz="0" w:space="0" w:color="auto"/>
        <w:bottom w:val="none" w:sz="0" w:space="0" w:color="auto"/>
        <w:right w:val="none" w:sz="0" w:space="0" w:color="auto"/>
      </w:divBdr>
    </w:div>
    <w:div w:id="1419012434">
      <w:bodyDiv w:val="1"/>
      <w:marLeft w:val="0"/>
      <w:marRight w:val="0"/>
      <w:marTop w:val="0"/>
      <w:marBottom w:val="0"/>
      <w:divBdr>
        <w:top w:val="none" w:sz="0" w:space="0" w:color="auto"/>
        <w:left w:val="none" w:sz="0" w:space="0" w:color="auto"/>
        <w:bottom w:val="none" w:sz="0" w:space="0" w:color="auto"/>
        <w:right w:val="none" w:sz="0" w:space="0" w:color="auto"/>
      </w:divBdr>
    </w:div>
    <w:div w:id="1424909383">
      <w:bodyDiv w:val="1"/>
      <w:marLeft w:val="0"/>
      <w:marRight w:val="0"/>
      <w:marTop w:val="0"/>
      <w:marBottom w:val="0"/>
      <w:divBdr>
        <w:top w:val="none" w:sz="0" w:space="0" w:color="auto"/>
        <w:left w:val="none" w:sz="0" w:space="0" w:color="auto"/>
        <w:bottom w:val="none" w:sz="0" w:space="0" w:color="auto"/>
        <w:right w:val="none" w:sz="0" w:space="0" w:color="auto"/>
      </w:divBdr>
    </w:div>
    <w:div w:id="1439712046">
      <w:bodyDiv w:val="1"/>
      <w:marLeft w:val="0"/>
      <w:marRight w:val="0"/>
      <w:marTop w:val="0"/>
      <w:marBottom w:val="0"/>
      <w:divBdr>
        <w:top w:val="none" w:sz="0" w:space="0" w:color="auto"/>
        <w:left w:val="none" w:sz="0" w:space="0" w:color="auto"/>
        <w:bottom w:val="none" w:sz="0" w:space="0" w:color="auto"/>
        <w:right w:val="none" w:sz="0" w:space="0" w:color="auto"/>
      </w:divBdr>
    </w:div>
    <w:div w:id="1441678347">
      <w:bodyDiv w:val="1"/>
      <w:marLeft w:val="0"/>
      <w:marRight w:val="0"/>
      <w:marTop w:val="0"/>
      <w:marBottom w:val="0"/>
      <w:divBdr>
        <w:top w:val="none" w:sz="0" w:space="0" w:color="auto"/>
        <w:left w:val="none" w:sz="0" w:space="0" w:color="auto"/>
        <w:bottom w:val="none" w:sz="0" w:space="0" w:color="auto"/>
        <w:right w:val="none" w:sz="0" w:space="0" w:color="auto"/>
      </w:divBdr>
    </w:div>
    <w:div w:id="1586524912">
      <w:bodyDiv w:val="1"/>
      <w:marLeft w:val="0"/>
      <w:marRight w:val="0"/>
      <w:marTop w:val="0"/>
      <w:marBottom w:val="0"/>
      <w:divBdr>
        <w:top w:val="none" w:sz="0" w:space="0" w:color="auto"/>
        <w:left w:val="none" w:sz="0" w:space="0" w:color="auto"/>
        <w:bottom w:val="none" w:sz="0" w:space="0" w:color="auto"/>
        <w:right w:val="none" w:sz="0" w:space="0" w:color="auto"/>
      </w:divBdr>
    </w:div>
    <w:div w:id="1670017979">
      <w:bodyDiv w:val="1"/>
      <w:marLeft w:val="0"/>
      <w:marRight w:val="0"/>
      <w:marTop w:val="0"/>
      <w:marBottom w:val="0"/>
      <w:divBdr>
        <w:top w:val="none" w:sz="0" w:space="0" w:color="auto"/>
        <w:left w:val="none" w:sz="0" w:space="0" w:color="auto"/>
        <w:bottom w:val="none" w:sz="0" w:space="0" w:color="auto"/>
        <w:right w:val="none" w:sz="0" w:space="0" w:color="auto"/>
      </w:divBdr>
    </w:div>
    <w:div w:id="1737043282">
      <w:bodyDiv w:val="1"/>
      <w:marLeft w:val="0"/>
      <w:marRight w:val="0"/>
      <w:marTop w:val="0"/>
      <w:marBottom w:val="0"/>
      <w:divBdr>
        <w:top w:val="none" w:sz="0" w:space="0" w:color="auto"/>
        <w:left w:val="none" w:sz="0" w:space="0" w:color="auto"/>
        <w:bottom w:val="none" w:sz="0" w:space="0" w:color="auto"/>
        <w:right w:val="none" w:sz="0" w:space="0" w:color="auto"/>
      </w:divBdr>
    </w:div>
    <w:div w:id="1771008251">
      <w:bodyDiv w:val="1"/>
      <w:marLeft w:val="0"/>
      <w:marRight w:val="0"/>
      <w:marTop w:val="0"/>
      <w:marBottom w:val="0"/>
      <w:divBdr>
        <w:top w:val="none" w:sz="0" w:space="0" w:color="auto"/>
        <w:left w:val="none" w:sz="0" w:space="0" w:color="auto"/>
        <w:bottom w:val="none" w:sz="0" w:space="0" w:color="auto"/>
        <w:right w:val="none" w:sz="0" w:space="0" w:color="auto"/>
      </w:divBdr>
    </w:div>
    <w:div w:id="1774937534">
      <w:bodyDiv w:val="1"/>
      <w:marLeft w:val="0"/>
      <w:marRight w:val="0"/>
      <w:marTop w:val="0"/>
      <w:marBottom w:val="0"/>
      <w:divBdr>
        <w:top w:val="none" w:sz="0" w:space="0" w:color="auto"/>
        <w:left w:val="none" w:sz="0" w:space="0" w:color="auto"/>
        <w:bottom w:val="none" w:sz="0" w:space="0" w:color="auto"/>
        <w:right w:val="none" w:sz="0" w:space="0" w:color="auto"/>
      </w:divBdr>
    </w:div>
    <w:div w:id="1795058415">
      <w:bodyDiv w:val="1"/>
      <w:marLeft w:val="0"/>
      <w:marRight w:val="0"/>
      <w:marTop w:val="0"/>
      <w:marBottom w:val="0"/>
      <w:divBdr>
        <w:top w:val="none" w:sz="0" w:space="0" w:color="auto"/>
        <w:left w:val="none" w:sz="0" w:space="0" w:color="auto"/>
        <w:bottom w:val="none" w:sz="0" w:space="0" w:color="auto"/>
        <w:right w:val="none" w:sz="0" w:space="0" w:color="auto"/>
      </w:divBdr>
    </w:div>
    <w:div w:id="1817607039">
      <w:bodyDiv w:val="1"/>
      <w:marLeft w:val="0"/>
      <w:marRight w:val="0"/>
      <w:marTop w:val="0"/>
      <w:marBottom w:val="0"/>
      <w:divBdr>
        <w:top w:val="none" w:sz="0" w:space="0" w:color="auto"/>
        <w:left w:val="none" w:sz="0" w:space="0" w:color="auto"/>
        <w:bottom w:val="none" w:sz="0" w:space="0" w:color="auto"/>
        <w:right w:val="none" w:sz="0" w:space="0" w:color="auto"/>
      </w:divBdr>
    </w:div>
    <w:div w:id="1858738369">
      <w:bodyDiv w:val="1"/>
      <w:marLeft w:val="0"/>
      <w:marRight w:val="0"/>
      <w:marTop w:val="0"/>
      <w:marBottom w:val="0"/>
      <w:divBdr>
        <w:top w:val="none" w:sz="0" w:space="0" w:color="auto"/>
        <w:left w:val="none" w:sz="0" w:space="0" w:color="auto"/>
        <w:bottom w:val="none" w:sz="0" w:space="0" w:color="auto"/>
        <w:right w:val="none" w:sz="0" w:space="0" w:color="auto"/>
      </w:divBdr>
    </w:div>
    <w:div w:id="1864055674">
      <w:bodyDiv w:val="1"/>
      <w:marLeft w:val="0"/>
      <w:marRight w:val="0"/>
      <w:marTop w:val="0"/>
      <w:marBottom w:val="0"/>
      <w:divBdr>
        <w:top w:val="none" w:sz="0" w:space="0" w:color="auto"/>
        <w:left w:val="none" w:sz="0" w:space="0" w:color="auto"/>
        <w:bottom w:val="none" w:sz="0" w:space="0" w:color="auto"/>
        <w:right w:val="none" w:sz="0" w:space="0" w:color="auto"/>
      </w:divBdr>
    </w:div>
    <w:div w:id="1892963106">
      <w:bodyDiv w:val="1"/>
      <w:marLeft w:val="0"/>
      <w:marRight w:val="0"/>
      <w:marTop w:val="0"/>
      <w:marBottom w:val="0"/>
      <w:divBdr>
        <w:top w:val="none" w:sz="0" w:space="0" w:color="auto"/>
        <w:left w:val="none" w:sz="0" w:space="0" w:color="auto"/>
        <w:bottom w:val="none" w:sz="0" w:space="0" w:color="auto"/>
        <w:right w:val="none" w:sz="0" w:space="0" w:color="auto"/>
      </w:divBdr>
    </w:div>
    <w:div w:id="1896430187">
      <w:bodyDiv w:val="1"/>
      <w:marLeft w:val="0"/>
      <w:marRight w:val="0"/>
      <w:marTop w:val="0"/>
      <w:marBottom w:val="0"/>
      <w:divBdr>
        <w:top w:val="none" w:sz="0" w:space="0" w:color="auto"/>
        <w:left w:val="none" w:sz="0" w:space="0" w:color="auto"/>
        <w:bottom w:val="none" w:sz="0" w:space="0" w:color="auto"/>
        <w:right w:val="none" w:sz="0" w:space="0" w:color="auto"/>
      </w:divBdr>
    </w:div>
    <w:div w:id="1904556222">
      <w:bodyDiv w:val="1"/>
      <w:marLeft w:val="0"/>
      <w:marRight w:val="0"/>
      <w:marTop w:val="0"/>
      <w:marBottom w:val="0"/>
      <w:divBdr>
        <w:top w:val="none" w:sz="0" w:space="0" w:color="auto"/>
        <w:left w:val="none" w:sz="0" w:space="0" w:color="auto"/>
        <w:bottom w:val="none" w:sz="0" w:space="0" w:color="auto"/>
        <w:right w:val="none" w:sz="0" w:space="0" w:color="auto"/>
      </w:divBdr>
    </w:div>
    <w:div w:id="1926721898">
      <w:bodyDiv w:val="1"/>
      <w:marLeft w:val="0"/>
      <w:marRight w:val="0"/>
      <w:marTop w:val="0"/>
      <w:marBottom w:val="0"/>
      <w:divBdr>
        <w:top w:val="none" w:sz="0" w:space="0" w:color="auto"/>
        <w:left w:val="none" w:sz="0" w:space="0" w:color="auto"/>
        <w:bottom w:val="none" w:sz="0" w:space="0" w:color="auto"/>
        <w:right w:val="none" w:sz="0" w:space="0" w:color="auto"/>
      </w:divBdr>
    </w:div>
    <w:div w:id="1986154238">
      <w:bodyDiv w:val="1"/>
      <w:marLeft w:val="0"/>
      <w:marRight w:val="0"/>
      <w:marTop w:val="0"/>
      <w:marBottom w:val="0"/>
      <w:divBdr>
        <w:top w:val="none" w:sz="0" w:space="0" w:color="auto"/>
        <w:left w:val="none" w:sz="0" w:space="0" w:color="auto"/>
        <w:bottom w:val="none" w:sz="0" w:space="0" w:color="auto"/>
        <w:right w:val="none" w:sz="0" w:space="0" w:color="auto"/>
      </w:divBdr>
    </w:div>
    <w:div w:id="20799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7B88.9B7CB160" TargetMode="External"/><Relationship Id="rId13" Type="http://schemas.openxmlformats.org/officeDocument/2006/relationships/header" Target="header3.xml"/><Relationship Id="rId18" Type="http://schemas.openxmlformats.org/officeDocument/2006/relationships/hyperlink" Target="https://www.sciencedirect.com/topics/social-sciences/autonomy" TargetMode="External"/><Relationship Id="rId3" Type="http://schemas.openxmlformats.org/officeDocument/2006/relationships/settings" Target="settings.xml"/><Relationship Id="rId21" Type="http://schemas.openxmlformats.org/officeDocument/2006/relationships/hyperlink" Target="https://www.sciencedirect.com/topics/social-sciences/autonomy"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sciencedirect.com/topics/social-sciences/birth-place"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sciencedirect.com/topics/social-sciences/birth-pla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sciencedirect.com/topics/social-sciences/birth-plac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nmc.org.uk/globalassets/sitedocuments/registration/pii/pii-final-guidance.pdf" TargetMode="External"/><Relationship Id="rId13" Type="http://schemas.openxmlformats.org/officeDocument/2006/relationships/hyperlink" Target="https://ranzcog.edu.au/wp-content/uploads/2022/05/Home-Births.pdf" TargetMode="External"/><Relationship Id="rId18" Type="http://schemas.openxmlformats.org/officeDocument/2006/relationships/hyperlink" Target="https://hwd.health.gov.au/resources/publications/factsheet-midw-2017.pdf" TargetMode="External"/><Relationship Id="rId3" Type="http://schemas.openxmlformats.org/officeDocument/2006/relationships/hyperlink" Target="https://www.aph.gov.au/parliamentary_business/committees/senate/community_affairs/completed_inquiries/1999-02/child_birth/report/c04" TargetMode="External"/><Relationship Id="rId21" Type="http://schemas.openxmlformats.org/officeDocument/2006/relationships/hyperlink" Target="https://obpr.pmc.gov.au/sites/default/files/2021-09/regulatory-burden-measurement-framework.pdf" TargetMode="External"/><Relationship Id="rId7" Type="http://schemas.openxmlformats.org/officeDocument/2006/relationships/hyperlink" Target="https://www.midwife.org.nz/midwives/join-the-college/professional-indemnity-insurance/" TargetMode="External"/><Relationship Id="rId12" Type="http://schemas.openxmlformats.org/officeDocument/2006/relationships/hyperlink" Target="https://www.pc.gov.au/inquiries/completed/national-competition-policy/submissions/dr253/subdr253.pdf" TargetMode="External"/><Relationship Id="rId17" Type="http://schemas.openxmlformats.org/officeDocument/2006/relationships/hyperlink" Target="https://obpr.pmc.gov.au/sites/default/files/2021-09/regulatory-burden-measurement-framework.pdf" TargetMode="External"/><Relationship Id="rId2" Type="http://schemas.openxmlformats.org/officeDocument/2006/relationships/hyperlink" Target="https://www.sciencedirect.com/journal/women-and-birth/vol/33/issue/5" TargetMode="External"/><Relationship Id="rId16" Type="http://schemas.openxmlformats.org/officeDocument/2006/relationships/hyperlink" Target="https://www.midwives.org.au/common/Uploaded%20files/_ADMIN-ACM/Planned-Birth-at-Home-Position-Statement-2019.pdf" TargetMode="External"/><Relationship Id="rId20" Type="http://schemas.openxmlformats.org/officeDocument/2006/relationships/hyperlink" Target="https://au.indeed.com/career/midwife/salaries" TargetMode="External"/><Relationship Id="rId1" Type="http://schemas.openxmlformats.org/officeDocument/2006/relationships/hyperlink" Target="https://www.sciencedirect.com/journal/women-and-birth" TargetMode="External"/><Relationship Id="rId6" Type="http://schemas.openxmlformats.org/officeDocument/2006/relationships/hyperlink" Target="https://www.england.nhs.uk/wp-content/uploads/2016/02/national-maternity-review-report.pdf" TargetMode="External"/><Relationship Id="rId11" Type="http://schemas.openxmlformats.org/officeDocument/2006/relationships/hyperlink" Target="https://www.ncbi.nlm.nih.gov/pmc/articles/PMC2474839/" TargetMode="External"/><Relationship Id="rId24" Type="http://schemas.openxmlformats.org/officeDocument/2006/relationships/hyperlink" Target="https://www.linkedin.com/pulse/how-much-do-recruitment-agencies-cost-pro-talent-aus" TargetMode="External"/><Relationship Id="rId5" Type="http://schemas.openxmlformats.org/officeDocument/2006/relationships/hyperlink" Target="https://www.internationalinsurance.com/health/systems/sweden.php" TargetMode="External"/><Relationship Id="rId15" Type="http://schemas.openxmlformats.org/officeDocument/2006/relationships/hyperlink" Target="https://www.cochrane.org/CD000352/PREG_planned-hospital-birth-versus-planned-home-birth" TargetMode="External"/><Relationship Id="rId23" Type="http://schemas.openxmlformats.org/officeDocument/2006/relationships/hyperlink" Target="file:///C:/Users/isaacs/Downloads/NMBA---Public-consultation-report---Revised-Safety-and-quality-guidelines-for-privately-practising-midwives.PDF" TargetMode="External"/><Relationship Id="rId10" Type="http://schemas.openxmlformats.org/officeDocument/2006/relationships/hyperlink" Target="https://www.ncbi.nlm.nih.gov/pmc/journals/1312/" TargetMode="External"/><Relationship Id="rId19" Type="http://schemas.openxmlformats.org/officeDocument/2006/relationships/hyperlink" Target="https://obpr.pmc.gov.au/sites/default/files/2021-09/regulatory-burden-measurement-framework.pdf" TargetMode="External"/><Relationship Id="rId4" Type="http://schemas.openxmlformats.org/officeDocument/2006/relationships/hyperlink" Target="https://www.aihw.gov.au/reports/mothers-babies/australias-mothers-babies/contents/about" TargetMode="External"/><Relationship Id="rId9" Type="http://schemas.openxmlformats.org/officeDocument/2006/relationships/hyperlink" Target="https://www.commonwealthfund.org/international-health-policy-center/countries/united-states" TargetMode="External"/><Relationship Id="rId14" Type="http://schemas.openxmlformats.org/officeDocument/2006/relationships/hyperlink" Target="https://www.ncbi.nlm.nih.gov/pmc/articles/PMC9790430/" TargetMode="External"/><Relationship Id="rId22" Type="http://schemas.openxmlformats.org/officeDocument/2006/relationships/hyperlink" Target="https://hwd.health.gov.au/resources/publications/factsheet-midw-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19953</Words>
  <Characters>113734</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2024-08-15T00:36:00Z</dcterms:created>
  <dcterms:modified xsi:type="dcterms:W3CDTF">2024-08-15T00:37:00Z</dcterms:modified>
</cp:coreProperties>
</file>