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C3CE1" w14:textId="77777777" w:rsidR="008456D5" w:rsidRPr="00CF39C8" w:rsidRDefault="00C01B2C" w:rsidP="00F1428D">
      <w:pPr>
        <w:ind w:left="-1247"/>
        <w:rPr>
          <w:rFonts w:asciiTheme="majorHAnsi" w:hAnsiTheme="majorHAnsi" w:cstheme="majorHAnsi"/>
        </w:rPr>
      </w:pPr>
      <w:bookmarkStart w:id="0" w:name="_GoBack"/>
      <w:bookmarkEnd w:id="0"/>
      <w:r w:rsidRPr="00CF39C8">
        <w:rPr>
          <w:noProof/>
          <w:lang w:eastAsia="en-AU"/>
        </w:rPr>
        <w:drawing>
          <wp:anchor distT="0" distB="0" distL="114300" distR="114300" simplePos="0" relativeHeight="251658242" behindDoc="1" locked="0" layoutInCell="1" allowOverlap="1" wp14:anchorId="199DCE85" wp14:editId="560886ED">
            <wp:simplePos x="0" y="0"/>
            <wp:positionH relativeFrom="column">
              <wp:posOffset>-1439545</wp:posOffset>
            </wp:positionH>
            <wp:positionV relativeFrom="paragraph">
              <wp:posOffset>-657908</wp:posOffset>
            </wp:positionV>
            <wp:extent cx="7584396" cy="10728251"/>
            <wp:effectExtent l="0" t="0" r="0" b="0"/>
            <wp:wrapNone/>
            <wp:docPr id="580354330" name="Picture 5803543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396" cy="10728251"/>
                    </a:xfrm>
                    <a:prstGeom prst="rect">
                      <a:avLst/>
                    </a:prstGeom>
                  </pic:spPr>
                </pic:pic>
              </a:graphicData>
            </a:graphic>
            <wp14:sizeRelH relativeFrom="page">
              <wp14:pctWidth>0</wp14:pctWidth>
            </wp14:sizeRelH>
            <wp14:sizeRelV relativeFrom="page">
              <wp14:pctHeight>0</wp14:pctHeight>
            </wp14:sizeRelV>
          </wp:anchor>
        </w:drawing>
      </w:r>
      <w:r w:rsidR="007A05BE" w:rsidRPr="00CF39C8">
        <w:rPr>
          <w:rFonts w:asciiTheme="majorHAnsi" w:hAnsiTheme="majorHAnsi" w:cstheme="majorHAnsi"/>
          <w:noProof/>
          <w:lang w:eastAsia="en-AU"/>
        </w:rPr>
        <w:drawing>
          <wp:inline distT="0" distB="0" distL="0" distR="0" wp14:anchorId="202D1E4C" wp14:editId="7DF0082C">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2028520A" w14:textId="77777777" w:rsidR="00AE1467" w:rsidRPr="00CF39C8" w:rsidRDefault="00AE1467" w:rsidP="003261CF">
      <w:pPr>
        <w:pStyle w:val="Title"/>
        <w:spacing w:before="600"/>
        <w:rPr>
          <w:rFonts w:cstheme="majorHAnsi"/>
          <w:color w:val="auto"/>
          <w:sz w:val="44"/>
          <w:szCs w:val="44"/>
          <w:highlight w:val="yellow"/>
        </w:rPr>
      </w:pPr>
    </w:p>
    <w:p w14:paraId="45E01C5B" w14:textId="77777777" w:rsidR="006F7D8F" w:rsidRPr="00CF39C8" w:rsidRDefault="006F7D8F" w:rsidP="00FD579E">
      <w:pPr>
        <w:pStyle w:val="Title"/>
        <w:ind w:left="-851" w:hanging="283"/>
        <w:rPr>
          <w:rFonts w:cstheme="majorHAnsi"/>
          <w:b/>
          <w:color w:val="417A84" w:themeColor="accent5" w:themeShade="BF"/>
          <w:sz w:val="50"/>
          <w:szCs w:val="50"/>
        </w:rPr>
      </w:pPr>
      <w:r w:rsidRPr="00CF39C8">
        <w:rPr>
          <w:rFonts w:cstheme="majorHAnsi"/>
          <w:b/>
          <w:color w:val="417A84" w:themeColor="accent5" w:themeShade="BF"/>
          <w:sz w:val="50"/>
          <w:szCs w:val="50"/>
        </w:rPr>
        <w:t>Cleaner, Cheaper to Run Cars</w:t>
      </w:r>
      <w:r w:rsidR="00C904E5" w:rsidRPr="00CF39C8">
        <w:rPr>
          <w:rFonts w:cstheme="majorHAnsi"/>
          <w:b/>
          <w:color w:val="417A84" w:themeColor="accent5" w:themeShade="BF"/>
          <w:sz w:val="50"/>
          <w:szCs w:val="50"/>
        </w:rPr>
        <w:t xml:space="preserve">: </w:t>
      </w:r>
    </w:p>
    <w:p w14:paraId="41AC96EA" w14:textId="77777777" w:rsidR="005C6B16" w:rsidRPr="00CF39C8" w:rsidRDefault="00FD579E" w:rsidP="00FD579E">
      <w:pPr>
        <w:pStyle w:val="Title"/>
        <w:ind w:left="-851" w:hanging="283"/>
        <w:rPr>
          <w:rFonts w:cstheme="majorHAnsi"/>
          <w:b/>
          <w:color w:val="417A84" w:themeColor="accent5" w:themeShade="BF"/>
          <w:sz w:val="50"/>
          <w:szCs w:val="50"/>
        </w:rPr>
      </w:pPr>
      <w:r w:rsidRPr="00CF39C8">
        <w:rPr>
          <w:rFonts w:cstheme="majorHAnsi"/>
          <w:b/>
          <w:color w:val="417A84" w:themeColor="accent5" w:themeShade="BF"/>
          <w:sz w:val="50"/>
          <w:szCs w:val="50"/>
        </w:rPr>
        <w:t>The Australian New Vehicle Efficiency Standard</w:t>
      </w:r>
    </w:p>
    <w:p w14:paraId="15267045" w14:textId="77777777" w:rsidR="00CD4D66" w:rsidRPr="00CF39C8" w:rsidRDefault="00CD4D66" w:rsidP="00DE4FE2">
      <w:pPr>
        <w:pStyle w:val="Subtitle"/>
        <w:rPr>
          <w:rFonts w:cstheme="majorHAnsi"/>
        </w:rPr>
      </w:pPr>
    </w:p>
    <w:p w14:paraId="7EADB1B2" w14:textId="77777777" w:rsidR="00DE4FE2" w:rsidRPr="00CF39C8" w:rsidRDefault="4C6AD088" w:rsidP="00CD4D66">
      <w:pPr>
        <w:pStyle w:val="Subtitle"/>
        <w:ind w:hanging="1134"/>
        <w:rPr>
          <w:rFonts w:cstheme="majorHAnsi"/>
        </w:rPr>
      </w:pPr>
      <w:r w:rsidRPr="00CF39C8">
        <w:rPr>
          <w:rFonts w:cstheme="majorHAnsi"/>
        </w:rPr>
        <w:t>Impact Analysis</w:t>
      </w:r>
      <w:bookmarkStart w:id="1" w:name="_Hlk146725793"/>
      <w:bookmarkEnd w:id="1"/>
      <w:r w:rsidR="00E95AA3" w:rsidRPr="00CF39C8">
        <w:rPr>
          <w:rFonts w:cstheme="majorHAnsi"/>
        </w:rPr>
        <w:t xml:space="preserve"> </w:t>
      </w:r>
    </w:p>
    <w:p w14:paraId="6887076D" w14:textId="77777777" w:rsidR="00F10CB7" w:rsidRPr="00CF39C8" w:rsidRDefault="00B945E1" w:rsidP="00F10CB7">
      <w:pPr>
        <w:pStyle w:val="CoverDate"/>
        <w:ind w:hanging="1134"/>
        <w:rPr>
          <w:rFonts w:asciiTheme="majorHAnsi" w:hAnsiTheme="majorHAnsi" w:cstheme="majorHAnsi"/>
        </w:rPr>
      </w:pPr>
      <w:r w:rsidRPr="00CF39C8">
        <w:rPr>
          <w:rFonts w:asciiTheme="majorHAnsi" w:hAnsiTheme="majorHAnsi" w:cstheme="majorHAnsi"/>
        </w:rPr>
        <w:t xml:space="preserve">March </w:t>
      </w:r>
      <w:r w:rsidR="00CD4D66" w:rsidRPr="00CF39C8">
        <w:rPr>
          <w:rFonts w:asciiTheme="majorHAnsi" w:hAnsiTheme="majorHAnsi" w:cstheme="majorHAnsi"/>
        </w:rPr>
        <w:t>202</w:t>
      </w:r>
      <w:r w:rsidR="00EF121D" w:rsidRPr="00CF39C8">
        <w:rPr>
          <w:rFonts w:asciiTheme="majorHAnsi" w:hAnsiTheme="majorHAnsi" w:cstheme="majorHAnsi"/>
        </w:rPr>
        <w:t>4</w:t>
      </w:r>
    </w:p>
    <w:p w14:paraId="1F34D3EA" w14:textId="77777777" w:rsidR="005C3CFC" w:rsidRPr="00CF39C8" w:rsidRDefault="005C3CFC">
      <w:pPr>
        <w:rPr>
          <w:rFonts w:asciiTheme="majorHAnsi" w:hAnsiTheme="majorHAnsi" w:cstheme="majorHAnsi"/>
        </w:rPr>
        <w:sectPr w:rsidR="005C3CFC" w:rsidRPr="00CF39C8" w:rsidSect="00FD6D12">
          <w:headerReference w:type="even" r:id="rId10"/>
          <w:headerReference w:type="default" r:id="rId11"/>
          <w:footerReference w:type="even" r:id="rId12"/>
          <w:footerReference w:type="default" r:id="rId13"/>
          <w:headerReference w:type="first" r:id="rId14"/>
          <w:footerReference w:type="first" r:id="rId15"/>
          <w:pgSz w:w="11906" w:h="16838" w:code="9"/>
          <w:pgMar w:top="1021" w:right="1021" w:bottom="1021" w:left="2268" w:header="510" w:footer="567" w:gutter="0"/>
          <w:cols w:space="708"/>
          <w:titlePg/>
          <w:docGrid w:linePitch="360"/>
        </w:sectPr>
      </w:pPr>
    </w:p>
    <w:p w14:paraId="48B28063" w14:textId="77777777" w:rsidR="00661FD2" w:rsidRPr="00CF39C8" w:rsidRDefault="00661FD2" w:rsidP="00661FD2">
      <w:pPr>
        <w:suppressAutoHyphens/>
        <w:spacing w:before="120" w:after="80"/>
        <w:contextualSpacing/>
        <w:rPr>
          <w:rFonts w:asciiTheme="majorHAnsi" w:eastAsia="Calibri" w:hAnsiTheme="majorHAnsi" w:cstheme="majorHAnsi"/>
          <w:color w:val="000000"/>
          <w:kern w:val="12"/>
          <w:sz w:val="20"/>
          <w:szCs w:val="20"/>
        </w:rPr>
      </w:pPr>
      <w:bookmarkStart w:id="2" w:name="_Hlk146790450"/>
      <w:r w:rsidRPr="00CF39C8">
        <w:rPr>
          <w:rFonts w:asciiTheme="majorHAnsi" w:eastAsia="Calibri" w:hAnsiTheme="majorHAnsi" w:cstheme="majorHAnsi"/>
          <w:color w:val="000000"/>
          <w:kern w:val="12"/>
          <w:sz w:val="20"/>
          <w:szCs w:val="20"/>
        </w:rPr>
        <w:lastRenderedPageBreak/>
        <w:t>ISBN: 978-1-922879-19-6</w:t>
      </w:r>
    </w:p>
    <w:p w14:paraId="02F441A4" w14:textId="77777777" w:rsidR="00661FD2" w:rsidRPr="00CF39C8" w:rsidRDefault="00661FD2" w:rsidP="00147446">
      <w:pPr>
        <w:suppressAutoHyphens/>
        <w:spacing w:before="120" w:after="80"/>
        <w:contextualSpacing/>
        <w:rPr>
          <w:rFonts w:asciiTheme="majorHAnsi" w:eastAsia="Calibri" w:hAnsiTheme="majorHAnsi" w:cstheme="majorHAnsi"/>
          <w:color w:val="000000"/>
          <w:kern w:val="12"/>
          <w:sz w:val="20"/>
          <w:szCs w:val="20"/>
        </w:rPr>
      </w:pPr>
      <w:r w:rsidRPr="00CF39C8">
        <w:rPr>
          <w:rFonts w:asciiTheme="majorHAnsi" w:eastAsia="Calibri" w:hAnsiTheme="majorHAnsi" w:cstheme="majorHAnsi"/>
          <w:color w:val="000000"/>
          <w:kern w:val="12"/>
          <w:sz w:val="20"/>
          <w:szCs w:val="20"/>
        </w:rPr>
        <w:t>January 2024 / INFRASTRUCTURE 2024</w:t>
      </w:r>
    </w:p>
    <w:p w14:paraId="6F86E4BA" w14:textId="77777777" w:rsidR="00147446" w:rsidRPr="00CF39C8" w:rsidRDefault="00147446" w:rsidP="00147446">
      <w:pPr>
        <w:suppressAutoHyphens/>
        <w:spacing w:before="120" w:after="80"/>
        <w:contextualSpacing/>
        <w:rPr>
          <w:rFonts w:asciiTheme="majorHAnsi" w:eastAsia="Calibri" w:hAnsiTheme="majorHAnsi" w:cstheme="majorHAnsi"/>
          <w:color w:val="000000"/>
          <w:kern w:val="12"/>
          <w:sz w:val="20"/>
          <w:szCs w:val="20"/>
        </w:rPr>
      </w:pPr>
      <w:r w:rsidRPr="00CF39C8">
        <w:rPr>
          <w:rFonts w:asciiTheme="majorHAnsi" w:eastAsia="Calibri" w:hAnsiTheme="majorHAnsi" w:cstheme="majorHAnsi"/>
          <w:color w:val="000000"/>
          <w:kern w:val="12"/>
          <w:sz w:val="20"/>
          <w:szCs w:val="20"/>
        </w:rPr>
        <w:t>©</w:t>
      </w:r>
      <w:r w:rsidR="00661FD2" w:rsidRPr="00CF39C8">
        <w:rPr>
          <w:rFonts w:asciiTheme="majorHAnsi" w:eastAsia="Calibri" w:hAnsiTheme="majorHAnsi" w:cstheme="majorHAnsi"/>
          <w:color w:val="000000"/>
          <w:kern w:val="12"/>
          <w:sz w:val="20"/>
          <w:szCs w:val="20"/>
        </w:rPr>
        <w:t xml:space="preserve"> </w:t>
      </w:r>
      <w:r w:rsidRPr="00CF39C8">
        <w:rPr>
          <w:rFonts w:asciiTheme="majorHAnsi" w:eastAsia="Calibri" w:hAnsiTheme="majorHAnsi" w:cstheme="majorHAnsi"/>
          <w:color w:val="000000"/>
          <w:kern w:val="12"/>
          <w:sz w:val="20"/>
          <w:szCs w:val="20"/>
        </w:rPr>
        <w:t>Commonwealth of Australia 202</w:t>
      </w:r>
      <w:r w:rsidR="00661FD2" w:rsidRPr="00CF39C8">
        <w:rPr>
          <w:rFonts w:asciiTheme="majorHAnsi" w:eastAsia="Calibri" w:hAnsiTheme="majorHAnsi" w:cstheme="majorHAnsi"/>
          <w:color w:val="000000"/>
          <w:kern w:val="12"/>
          <w:sz w:val="20"/>
          <w:szCs w:val="20"/>
        </w:rPr>
        <w:t>4</w:t>
      </w:r>
    </w:p>
    <w:p w14:paraId="25019D99"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Ownership of intellectual property rights in this publication</w:t>
      </w:r>
    </w:p>
    <w:p w14:paraId="4A07C1E2"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Unless otherwise noted, copyright (and any other intellectual property rights, if any) in this publication is owned by the Commonwealth of Australia (referred to below as the Commonwealth).</w:t>
      </w:r>
    </w:p>
    <w:p w14:paraId="26A5E9FF"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Disclaimer</w:t>
      </w:r>
    </w:p>
    <w:p w14:paraId="460EAEE2"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The material contained in this publication is made available on the understanding that the Commonwealth is not providing pro</w:t>
      </w:r>
      <w:r w:rsidR="00391475" w:rsidRPr="00CF39C8">
        <w:rPr>
          <w:rFonts w:asciiTheme="majorHAnsi" w:hAnsiTheme="majorHAnsi" w:cstheme="majorHAnsi"/>
        </w:rPr>
        <w:t>fes</w:t>
      </w:r>
      <w:r w:rsidRPr="00CF39C8">
        <w:rPr>
          <w:rFonts w:asciiTheme="majorHAnsi" w:hAnsiTheme="majorHAnsi" w:cstheme="majorHAnsi"/>
        </w:rPr>
        <w:t>sional advice, and that users exercise their own skill and care with respect to its use, and seek independent advice if necessary.</w:t>
      </w:r>
    </w:p>
    <w:p w14:paraId="3C57E660"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132DB54A"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Creative Commons licence</w:t>
      </w:r>
    </w:p>
    <w:p w14:paraId="5B908523"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With the exception of (a) the Coat of Arms; (b) the Department of Infrastructure, Transport, Regional Development and Communications photos and graphics; copyright in this publication is licensed under a Creative Commons Attribution 4.0 Australia Licence.</w:t>
      </w:r>
    </w:p>
    <w:p w14:paraId="525084D4"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Creative Commons Attribution 4.0 Australia Licence is a standard form licence agreement that allows you to copy, communicate and adapt this publication provided that you attribute the work to the Commonwealth and abide by the other licence terms.</w:t>
      </w:r>
    </w:p>
    <w:p w14:paraId="76048F2E" w14:textId="1A34C813" w:rsidR="00147446" w:rsidRPr="00CF39C8" w:rsidRDefault="00147446" w:rsidP="00147446">
      <w:pPr>
        <w:rPr>
          <w:rFonts w:asciiTheme="majorHAnsi" w:hAnsiTheme="majorHAnsi" w:cstheme="majorHAnsi"/>
        </w:rPr>
      </w:pPr>
      <w:r w:rsidRPr="00CF39C8">
        <w:rPr>
          <w:rFonts w:asciiTheme="majorHAnsi" w:hAnsiTheme="majorHAnsi" w:cstheme="majorHAnsi"/>
          <w:b/>
        </w:rPr>
        <w:t xml:space="preserve">Further information on the licence terms is available from </w:t>
      </w:r>
      <w:hyperlink r:id="rId16" w:history="1">
        <w:r w:rsidRPr="00CF39C8">
          <w:rPr>
            <w:rStyle w:val="Hyperlink"/>
            <w:rFonts w:asciiTheme="majorHAnsi" w:hAnsiTheme="majorHAnsi" w:cstheme="majorHAnsi"/>
          </w:rPr>
          <w:t>https://creativecommons.org/licenses/by/4.0/</w:t>
        </w:r>
      </w:hyperlink>
      <w:r w:rsidRPr="00CF39C8">
        <w:rPr>
          <w:rFonts w:asciiTheme="majorHAnsi" w:hAnsiTheme="majorHAnsi" w:cstheme="majorHAnsi"/>
        </w:rPr>
        <w:t>.</w:t>
      </w:r>
      <w:r w:rsidRPr="00CF39C8">
        <w:rPr>
          <w:rFonts w:asciiTheme="majorHAnsi" w:hAnsiTheme="majorHAnsi" w:cstheme="majorHAnsi"/>
        </w:rPr>
        <w:br/>
        <w:t>This publication should be attributed in the following way: © Commonwealth of Australia 2023.</w:t>
      </w:r>
    </w:p>
    <w:p w14:paraId="27F5D392"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Use of the Coat of Arms</w:t>
      </w:r>
    </w:p>
    <w:p w14:paraId="1CC24542" w14:textId="75EC4802" w:rsidR="00147446" w:rsidRPr="00CF39C8" w:rsidRDefault="00147446" w:rsidP="00147446">
      <w:pPr>
        <w:rPr>
          <w:rFonts w:asciiTheme="majorHAnsi" w:hAnsiTheme="majorHAnsi" w:cstheme="majorHAnsi"/>
        </w:rPr>
      </w:pPr>
      <w:r w:rsidRPr="00CF39C8">
        <w:rPr>
          <w:rFonts w:asciiTheme="majorHAnsi" w:hAnsiTheme="majorHAnsi" w:cstheme="majorHAnsi"/>
        </w:rPr>
        <w:t xml:space="preserve">The Department of the Prime Minister and Cabinet sets the terms under which the Coat of Arms is used. Please refer to the Commonwealth Coat of Arms — Information and Guidelines publication available at </w:t>
      </w:r>
      <w:hyperlink r:id="rId17" w:history="1">
        <w:r w:rsidRPr="00CF39C8">
          <w:rPr>
            <w:rStyle w:val="Hyperlink"/>
            <w:rFonts w:asciiTheme="majorHAnsi" w:hAnsiTheme="majorHAnsi" w:cstheme="majorHAnsi"/>
          </w:rPr>
          <w:t>www.pmc.gov.au</w:t>
        </w:r>
      </w:hyperlink>
      <w:r w:rsidRPr="00CF39C8">
        <w:rPr>
          <w:rFonts w:asciiTheme="majorHAnsi" w:hAnsiTheme="majorHAnsi" w:cstheme="majorHAnsi"/>
        </w:rPr>
        <w:t>.</w:t>
      </w:r>
    </w:p>
    <w:p w14:paraId="63E7B7D0"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Contact us</w:t>
      </w:r>
    </w:p>
    <w:p w14:paraId="4B83814D"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 xml:space="preserve">This publication is available in PDF format. All other rights are reserved, including in relation to any </w:t>
      </w:r>
      <w:r w:rsidR="00D26581" w:rsidRPr="00CF39C8">
        <w:rPr>
          <w:rFonts w:asciiTheme="majorHAnsi" w:hAnsiTheme="majorHAnsi" w:cstheme="majorHAnsi"/>
        </w:rPr>
        <w:t>d</w:t>
      </w:r>
      <w:r w:rsidRPr="00CF39C8">
        <w:rPr>
          <w:rFonts w:asciiTheme="majorHAnsi" w:hAnsiTheme="majorHAnsi" w:cstheme="majorHAnsi"/>
        </w:rPr>
        <w:t>epartmental logos or trademarks which may exist. For enquiries regarding the licence and any use of this publication, please contact:</w:t>
      </w:r>
    </w:p>
    <w:p w14:paraId="0F043F8B"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Director—</w:t>
      </w:r>
      <w:r w:rsidR="006619FF" w:rsidRPr="00CF39C8">
        <w:rPr>
          <w:rFonts w:asciiTheme="majorHAnsi" w:hAnsiTheme="majorHAnsi" w:cstheme="majorHAnsi"/>
        </w:rPr>
        <w:t>Creative Services</w:t>
      </w:r>
      <w:r w:rsidRPr="00CF39C8">
        <w:rPr>
          <w:rFonts w:asciiTheme="majorHAnsi" w:hAnsiTheme="majorHAnsi" w:cstheme="majorHAnsi"/>
        </w:rPr>
        <w:br/>
        <w:t>Communication Branch</w:t>
      </w:r>
      <w:r w:rsidRPr="00CF39C8">
        <w:rPr>
          <w:rFonts w:asciiTheme="majorHAnsi" w:hAnsiTheme="majorHAnsi" w:cstheme="majorHAnsi"/>
        </w:rPr>
        <w:br/>
        <w:t>Department of Infrastructure, Transport, Regional Development</w:t>
      </w:r>
      <w:r w:rsidR="006619FF" w:rsidRPr="00CF39C8">
        <w:rPr>
          <w:rFonts w:asciiTheme="majorHAnsi" w:hAnsiTheme="majorHAnsi" w:cstheme="majorHAnsi"/>
        </w:rPr>
        <w:t>,</w:t>
      </w:r>
      <w:r w:rsidRPr="00CF39C8">
        <w:rPr>
          <w:rFonts w:asciiTheme="majorHAnsi" w:hAnsiTheme="majorHAnsi" w:cstheme="majorHAnsi"/>
        </w:rPr>
        <w:t xml:space="preserve"> Communications</w:t>
      </w:r>
      <w:r w:rsidR="006619FF" w:rsidRPr="00CF39C8">
        <w:rPr>
          <w:rFonts w:asciiTheme="majorHAnsi" w:hAnsiTheme="majorHAnsi" w:cstheme="majorHAnsi"/>
        </w:rPr>
        <w:t xml:space="preserve"> and the Arts</w:t>
      </w:r>
      <w:r w:rsidRPr="00CF39C8">
        <w:rPr>
          <w:rFonts w:asciiTheme="majorHAnsi" w:hAnsiTheme="majorHAnsi" w:cstheme="majorHAnsi"/>
        </w:rPr>
        <w:br/>
        <w:t>GPO Box 594</w:t>
      </w:r>
      <w:r w:rsidRPr="00CF39C8">
        <w:rPr>
          <w:rFonts w:asciiTheme="majorHAnsi" w:hAnsiTheme="majorHAnsi" w:cstheme="majorHAnsi"/>
        </w:rPr>
        <w:br/>
        <w:t>Canberra ACT 2601</w:t>
      </w:r>
      <w:r w:rsidR="00C50A40" w:rsidRPr="00CF39C8">
        <w:rPr>
          <w:rFonts w:asciiTheme="majorHAnsi" w:hAnsiTheme="majorHAnsi" w:cstheme="majorHAnsi"/>
        </w:rPr>
        <w:t xml:space="preserve"> </w:t>
      </w:r>
      <w:r w:rsidRPr="00CF39C8">
        <w:rPr>
          <w:rFonts w:asciiTheme="majorHAnsi" w:hAnsiTheme="majorHAnsi" w:cstheme="majorHAnsi"/>
        </w:rPr>
        <w:br/>
        <w:t>Australia</w:t>
      </w:r>
    </w:p>
    <w:p w14:paraId="31065F6F" w14:textId="2464A964" w:rsidR="00F10CB7" w:rsidRPr="00CF39C8" w:rsidRDefault="00147446" w:rsidP="00F10CB7">
      <w:pPr>
        <w:rPr>
          <w:rStyle w:val="Hyperlink"/>
          <w:rFonts w:asciiTheme="majorHAnsi" w:hAnsiTheme="majorHAnsi" w:cstheme="majorHAnsi"/>
        </w:rPr>
        <w:sectPr w:rsidR="00F10CB7" w:rsidRPr="00CF39C8" w:rsidSect="00DC0C3E">
          <w:headerReference w:type="default" r:id="rId18"/>
          <w:footerReference w:type="default" r:id="rId19"/>
          <w:headerReference w:type="first" r:id="rId20"/>
          <w:footerReference w:type="first" r:id="rId21"/>
          <w:pgSz w:w="11906" w:h="16838" w:code="9"/>
          <w:pgMar w:top="1021" w:right="1021" w:bottom="1021" w:left="1021" w:header="510" w:footer="567" w:gutter="0"/>
          <w:cols w:space="708"/>
          <w:docGrid w:linePitch="360"/>
        </w:sectPr>
      </w:pPr>
      <w:r w:rsidRPr="00CF39C8">
        <w:rPr>
          <w:rFonts w:asciiTheme="majorHAnsi" w:hAnsiTheme="majorHAnsi" w:cstheme="majorHAnsi"/>
        </w:rPr>
        <w:t xml:space="preserve">Email: </w:t>
      </w:r>
      <w:hyperlink r:id="rId22" w:history="1">
        <w:r w:rsidR="006619FF" w:rsidRPr="00CF39C8">
          <w:rPr>
            <w:rStyle w:val="Hyperlink"/>
            <w:rFonts w:asciiTheme="majorHAnsi" w:hAnsiTheme="majorHAnsi" w:cstheme="majorHAnsi"/>
          </w:rPr>
          <w:t>creative.services@infrastructure.gov.au</w:t>
        </w:r>
      </w:hyperlink>
      <w:r w:rsidR="006619FF" w:rsidRPr="00CF39C8">
        <w:rPr>
          <w:rFonts w:asciiTheme="majorHAnsi" w:hAnsiTheme="majorHAnsi" w:cstheme="majorHAnsi"/>
        </w:rPr>
        <w:t xml:space="preserve"> </w:t>
      </w:r>
      <w:r w:rsidRPr="00CF39C8">
        <w:rPr>
          <w:rFonts w:asciiTheme="majorHAnsi" w:hAnsiTheme="majorHAnsi" w:cstheme="majorHAnsi"/>
          <w:color w:val="0046FF"/>
          <w:u w:val="single"/>
        </w:rPr>
        <w:br/>
      </w:r>
      <w:r w:rsidRPr="00CF39C8">
        <w:rPr>
          <w:rFonts w:asciiTheme="majorHAnsi" w:hAnsiTheme="majorHAnsi" w:cstheme="majorHAnsi"/>
        </w:rPr>
        <w:t xml:space="preserve">Website: </w:t>
      </w:r>
      <w:hyperlink r:id="rId23" w:tooltip="Department of Infrastructure, Transport, Regional Development and Communications website" w:history="1">
        <w:r w:rsidRPr="00CF39C8">
          <w:rPr>
            <w:rStyle w:val="Hyperlink"/>
            <w:rFonts w:asciiTheme="majorHAnsi" w:hAnsiTheme="majorHAnsi" w:cstheme="majorHAnsi"/>
          </w:rPr>
          <w:t>www.infrastructure.gov.au</w:t>
        </w:r>
      </w:hyperlink>
    </w:p>
    <w:bookmarkEnd w:id="2"/>
    <w:p w14:paraId="5C87F80B" w14:textId="77777777" w:rsidR="00E21BE1" w:rsidRPr="00CF39C8" w:rsidRDefault="00E21BE1" w:rsidP="00B60617">
      <w:pPr>
        <w:pStyle w:val="TOC1"/>
      </w:pPr>
      <w:r w:rsidRPr="00CF39C8">
        <w:lastRenderedPageBreak/>
        <w:t>Table of Contents</w:t>
      </w:r>
    </w:p>
    <w:p w14:paraId="7DE64B03" w14:textId="46338E13" w:rsidR="00617987" w:rsidRDefault="00A95970">
      <w:pPr>
        <w:pStyle w:val="TOC1"/>
        <w:rPr>
          <w:b w:val="0"/>
          <w:noProof/>
          <w:color w:val="auto"/>
          <w:sz w:val="22"/>
          <w:szCs w:val="22"/>
          <w:lang w:eastAsia="en-AU"/>
        </w:rPr>
      </w:pPr>
      <w:r w:rsidRPr="00CF39C8">
        <w:rPr>
          <w:u w:val="single" w:color="629DD1" w:themeColor="accent2"/>
        </w:rPr>
        <w:fldChar w:fldCharType="begin"/>
      </w:r>
      <w:r w:rsidRPr="00CF39C8">
        <w:instrText xml:space="preserve"> TOC \o "3-3" \h \z \t "Heading 1,1,Heading 2,2,Heading 1 Numbered,1,Heading 2 Numbered,2,Appendix Heading 1,1,Attachment Heading 1,1" </w:instrText>
      </w:r>
      <w:r w:rsidRPr="00CF39C8">
        <w:rPr>
          <w:u w:val="single" w:color="629DD1" w:themeColor="accent2"/>
        </w:rPr>
        <w:fldChar w:fldCharType="separate"/>
      </w:r>
      <w:hyperlink w:anchor="_Toc163221038" w:history="1">
        <w:r w:rsidR="00617987" w:rsidRPr="009F0035">
          <w:rPr>
            <w:rStyle w:val="Hyperlink"/>
            <w:rFonts w:cstheme="majorHAnsi"/>
            <w:noProof/>
          </w:rPr>
          <w:t>Key Terms</w:t>
        </w:r>
        <w:r w:rsidR="00617987">
          <w:rPr>
            <w:noProof/>
            <w:webHidden/>
          </w:rPr>
          <w:tab/>
        </w:r>
        <w:r w:rsidR="00617987">
          <w:rPr>
            <w:noProof/>
            <w:webHidden/>
          </w:rPr>
          <w:fldChar w:fldCharType="begin"/>
        </w:r>
        <w:r w:rsidR="00617987">
          <w:rPr>
            <w:noProof/>
            <w:webHidden/>
          </w:rPr>
          <w:instrText xml:space="preserve"> PAGEREF _Toc163221038 \h </w:instrText>
        </w:r>
        <w:r w:rsidR="00617987">
          <w:rPr>
            <w:noProof/>
            <w:webHidden/>
          </w:rPr>
        </w:r>
        <w:r w:rsidR="00617987">
          <w:rPr>
            <w:noProof/>
            <w:webHidden/>
          </w:rPr>
          <w:fldChar w:fldCharType="separate"/>
        </w:r>
        <w:r w:rsidR="00617987">
          <w:rPr>
            <w:noProof/>
            <w:webHidden/>
          </w:rPr>
          <w:t>7</w:t>
        </w:r>
        <w:r w:rsidR="00617987">
          <w:rPr>
            <w:noProof/>
            <w:webHidden/>
          </w:rPr>
          <w:fldChar w:fldCharType="end"/>
        </w:r>
      </w:hyperlink>
    </w:p>
    <w:p w14:paraId="06D8A722" w14:textId="47AC5030" w:rsidR="00617987" w:rsidRDefault="00E51D93">
      <w:pPr>
        <w:pStyle w:val="TOC1"/>
        <w:rPr>
          <w:b w:val="0"/>
          <w:noProof/>
          <w:color w:val="auto"/>
          <w:sz w:val="22"/>
          <w:szCs w:val="22"/>
          <w:lang w:eastAsia="en-AU"/>
        </w:rPr>
      </w:pPr>
      <w:hyperlink w:anchor="_Toc163221039" w:history="1">
        <w:r w:rsidR="00617987" w:rsidRPr="009F0035">
          <w:rPr>
            <w:rStyle w:val="Hyperlink"/>
            <w:rFonts w:cstheme="majorHAnsi"/>
            <w:noProof/>
          </w:rPr>
          <w:t>Foreword</w:t>
        </w:r>
        <w:r w:rsidR="00617987">
          <w:rPr>
            <w:noProof/>
            <w:webHidden/>
          </w:rPr>
          <w:tab/>
        </w:r>
        <w:r w:rsidR="00617987">
          <w:rPr>
            <w:noProof/>
            <w:webHidden/>
          </w:rPr>
          <w:fldChar w:fldCharType="begin"/>
        </w:r>
        <w:r w:rsidR="00617987">
          <w:rPr>
            <w:noProof/>
            <w:webHidden/>
          </w:rPr>
          <w:instrText xml:space="preserve"> PAGEREF _Toc163221039 \h </w:instrText>
        </w:r>
        <w:r w:rsidR="00617987">
          <w:rPr>
            <w:noProof/>
            <w:webHidden/>
          </w:rPr>
        </w:r>
        <w:r w:rsidR="00617987">
          <w:rPr>
            <w:noProof/>
            <w:webHidden/>
          </w:rPr>
          <w:fldChar w:fldCharType="separate"/>
        </w:r>
        <w:r w:rsidR="00617987">
          <w:rPr>
            <w:noProof/>
            <w:webHidden/>
          </w:rPr>
          <w:t>10</w:t>
        </w:r>
        <w:r w:rsidR="00617987">
          <w:rPr>
            <w:noProof/>
            <w:webHidden/>
          </w:rPr>
          <w:fldChar w:fldCharType="end"/>
        </w:r>
      </w:hyperlink>
    </w:p>
    <w:p w14:paraId="40906C56" w14:textId="2C3F5DFE" w:rsidR="00617987" w:rsidRDefault="00E51D93">
      <w:pPr>
        <w:pStyle w:val="TOC1"/>
        <w:rPr>
          <w:b w:val="0"/>
          <w:noProof/>
          <w:color w:val="auto"/>
          <w:sz w:val="22"/>
          <w:szCs w:val="22"/>
          <w:lang w:eastAsia="en-AU"/>
        </w:rPr>
      </w:pPr>
      <w:hyperlink w:anchor="_Toc163221040" w:history="1">
        <w:r w:rsidR="00617987" w:rsidRPr="009F0035">
          <w:rPr>
            <w:rStyle w:val="Hyperlink"/>
            <w:rFonts w:cstheme="majorHAnsi"/>
            <w:noProof/>
          </w:rPr>
          <w:t>Executive Summary</w:t>
        </w:r>
        <w:r w:rsidR="00617987">
          <w:rPr>
            <w:noProof/>
            <w:webHidden/>
          </w:rPr>
          <w:tab/>
        </w:r>
        <w:r w:rsidR="00617987">
          <w:rPr>
            <w:noProof/>
            <w:webHidden/>
          </w:rPr>
          <w:fldChar w:fldCharType="begin"/>
        </w:r>
        <w:r w:rsidR="00617987">
          <w:rPr>
            <w:noProof/>
            <w:webHidden/>
          </w:rPr>
          <w:instrText xml:space="preserve"> PAGEREF _Toc163221040 \h </w:instrText>
        </w:r>
        <w:r w:rsidR="00617987">
          <w:rPr>
            <w:noProof/>
            <w:webHidden/>
          </w:rPr>
        </w:r>
        <w:r w:rsidR="00617987">
          <w:rPr>
            <w:noProof/>
            <w:webHidden/>
          </w:rPr>
          <w:fldChar w:fldCharType="separate"/>
        </w:r>
        <w:r w:rsidR="00617987">
          <w:rPr>
            <w:noProof/>
            <w:webHidden/>
          </w:rPr>
          <w:t>11</w:t>
        </w:r>
        <w:r w:rsidR="00617987">
          <w:rPr>
            <w:noProof/>
            <w:webHidden/>
          </w:rPr>
          <w:fldChar w:fldCharType="end"/>
        </w:r>
      </w:hyperlink>
    </w:p>
    <w:p w14:paraId="7F9906CA" w14:textId="3A50FAD5" w:rsidR="00617987" w:rsidRDefault="00E51D93">
      <w:pPr>
        <w:pStyle w:val="TOC1"/>
        <w:rPr>
          <w:b w:val="0"/>
          <w:noProof/>
          <w:color w:val="auto"/>
          <w:sz w:val="22"/>
          <w:szCs w:val="22"/>
          <w:lang w:eastAsia="en-AU"/>
        </w:rPr>
      </w:pPr>
      <w:hyperlink w:anchor="_Toc163221041" w:history="1">
        <w:r w:rsidR="00617987" w:rsidRPr="009F0035">
          <w:rPr>
            <w:rStyle w:val="Hyperlink"/>
            <w:noProof/>
          </w:rPr>
          <w:t>1.</w:t>
        </w:r>
        <w:r w:rsidR="00617987">
          <w:rPr>
            <w:b w:val="0"/>
            <w:noProof/>
            <w:color w:val="auto"/>
            <w:sz w:val="22"/>
            <w:szCs w:val="22"/>
            <w:lang w:eastAsia="en-AU"/>
          </w:rPr>
          <w:tab/>
        </w:r>
        <w:r w:rsidR="00617987" w:rsidRPr="009F0035">
          <w:rPr>
            <w:rStyle w:val="Hyperlink"/>
            <w:noProof/>
          </w:rPr>
          <w:t>Background</w:t>
        </w:r>
        <w:r w:rsidR="00617987">
          <w:rPr>
            <w:noProof/>
            <w:webHidden/>
          </w:rPr>
          <w:tab/>
        </w:r>
        <w:r w:rsidR="00617987">
          <w:rPr>
            <w:noProof/>
            <w:webHidden/>
          </w:rPr>
          <w:fldChar w:fldCharType="begin"/>
        </w:r>
        <w:r w:rsidR="00617987">
          <w:rPr>
            <w:noProof/>
            <w:webHidden/>
          </w:rPr>
          <w:instrText xml:space="preserve"> PAGEREF _Toc163221041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2CA674A3" w14:textId="4EA8E47B" w:rsidR="00617987" w:rsidRDefault="00E51D93">
      <w:pPr>
        <w:pStyle w:val="TOC2"/>
        <w:rPr>
          <w:noProof/>
          <w:sz w:val="22"/>
          <w:szCs w:val="22"/>
          <w:lang w:eastAsia="en-AU"/>
        </w:rPr>
      </w:pPr>
      <w:hyperlink w:anchor="_Toc163221042" w:history="1">
        <w:r w:rsidR="00617987" w:rsidRPr="009F0035">
          <w:rPr>
            <w:rStyle w:val="Hyperlink"/>
            <w:rFonts w:eastAsia="Arial"/>
            <w:noProof/>
          </w:rPr>
          <w:t>1.1.</w:t>
        </w:r>
        <w:r w:rsidR="00617987">
          <w:rPr>
            <w:noProof/>
            <w:sz w:val="22"/>
            <w:szCs w:val="22"/>
            <w:lang w:eastAsia="en-AU"/>
          </w:rPr>
          <w:tab/>
        </w:r>
        <w:r w:rsidR="00617987" w:rsidRPr="009F0035">
          <w:rPr>
            <w:rStyle w:val="Hyperlink"/>
            <w:rFonts w:eastAsia="Arial"/>
            <w:noProof/>
          </w:rPr>
          <w:t>History of light vehicle emissions regulation in Australia</w:t>
        </w:r>
        <w:r w:rsidR="00617987">
          <w:rPr>
            <w:noProof/>
            <w:webHidden/>
          </w:rPr>
          <w:tab/>
        </w:r>
        <w:r w:rsidR="00617987">
          <w:rPr>
            <w:noProof/>
            <w:webHidden/>
          </w:rPr>
          <w:fldChar w:fldCharType="begin"/>
        </w:r>
        <w:r w:rsidR="00617987">
          <w:rPr>
            <w:noProof/>
            <w:webHidden/>
          </w:rPr>
          <w:instrText xml:space="preserve"> PAGEREF _Toc163221042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08D5516F" w14:textId="6CA5A77A" w:rsidR="00617987" w:rsidRDefault="00E51D93">
      <w:pPr>
        <w:pStyle w:val="TOC2"/>
        <w:rPr>
          <w:noProof/>
          <w:sz w:val="22"/>
          <w:szCs w:val="22"/>
          <w:lang w:eastAsia="en-AU"/>
        </w:rPr>
      </w:pPr>
      <w:hyperlink w:anchor="_Toc163221043" w:history="1">
        <w:r w:rsidR="00617987" w:rsidRPr="009F0035">
          <w:rPr>
            <w:rStyle w:val="Hyperlink"/>
            <w:rFonts w:eastAsia="Arial"/>
            <w:noProof/>
          </w:rPr>
          <w:t>1.2.</w:t>
        </w:r>
        <w:r w:rsidR="00617987">
          <w:rPr>
            <w:noProof/>
            <w:sz w:val="22"/>
            <w:szCs w:val="22"/>
            <w:lang w:eastAsia="en-AU"/>
          </w:rPr>
          <w:tab/>
        </w:r>
        <w:r w:rsidR="00617987" w:rsidRPr="009F0035">
          <w:rPr>
            <w:rStyle w:val="Hyperlink"/>
            <w:rFonts w:eastAsia="Arial"/>
            <w:noProof/>
          </w:rPr>
          <w:t>What is a car (light vehicle)?</w:t>
        </w:r>
        <w:r w:rsidR="00617987">
          <w:rPr>
            <w:noProof/>
            <w:webHidden/>
          </w:rPr>
          <w:tab/>
        </w:r>
        <w:r w:rsidR="00617987">
          <w:rPr>
            <w:noProof/>
            <w:webHidden/>
          </w:rPr>
          <w:fldChar w:fldCharType="begin"/>
        </w:r>
        <w:r w:rsidR="00617987">
          <w:rPr>
            <w:noProof/>
            <w:webHidden/>
          </w:rPr>
          <w:instrText xml:space="preserve"> PAGEREF _Toc163221043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7AA1B5FC" w14:textId="4D6E78B8" w:rsidR="00617987" w:rsidRDefault="00E51D93">
      <w:pPr>
        <w:pStyle w:val="TOC2"/>
        <w:rPr>
          <w:noProof/>
          <w:sz w:val="22"/>
          <w:szCs w:val="22"/>
          <w:lang w:eastAsia="en-AU"/>
        </w:rPr>
      </w:pPr>
      <w:hyperlink w:anchor="_Toc163221044" w:history="1">
        <w:r w:rsidR="00617987" w:rsidRPr="009F0035">
          <w:rPr>
            <w:rStyle w:val="Hyperlink"/>
            <w:rFonts w:eastAsia="Arial"/>
            <w:noProof/>
          </w:rPr>
          <w:t>1.3.</w:t>
        </w:r>
        <w:r w:rsidR="00617987">
          <w:rPr>
            <w:noProof/>
            <w:sz w:val="22"/>
            <w:szCs w:val="22"/>
            <w:lang w:eastAsia="en-AU"/>
          </w:rPr>
          <w:tab/>
        </w:r>
        <w:r w:rsidR="00617987" w:rsidRPr="009F0035">
          <w:rPr>
            <w:rStyle w:val="Hyperlink"/>
            <w:rFonts w:eastAsia="Arial"/>
            <w:noProof/>
          </w:rPr>
          <w:t>Process to date and next steps</w:t>
        </w:r>
        <w:r w:rsidR="00617987">
          <w:rPr>
            <w:noProof/>
            <w:webHidden/>
          </w:rPr>
          <w:tab/>
        </w:r>
        <w:r w:rsidR="00617987">
          <w:rPr>
            <w:noProof/>
            <w:webHidden/>
          </w:rPr>
          <w:fldChar w:fldCharType="begin"/>
        </w:r>
        <w:r w:rsidR="00617987">
          <w:rPr>
            <w:noProof/>
            <w:webHidden/>
          </w:rPr>
          <w:instrText xml:space="preserve"> PAGEREF _Toc163221044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28CF7A43" w14:textId="021B557B" w:rsidR="00617987" w:rsidRDefault="00E51D93">
      <w:pPr>
        <w:pStyle w:val="TOC1"/>
        <w:rPr>
          <w:b w:val="0"/>
          <w:noProof/>
          <w:color w:val="auto"/>
          <w:sz w:val="22"/>
          <w:szCs w:val="22"/>
          <w:lang w:eastAsia="en-AU"/>
        </w:rPr>
      </w:pPr>
      <w:hyperlink w:anchor="_Toc163221045" w:history="1">
        <w:r w:rsidR="00617987" w:rsidRPr="009F0035">
          <w:rPr>
            <w:rStyle w:val="Hyperlink"/>
            <w:noProof/>
          </w:rPr>
          <w:t>2.</w:t>
        </w:r>
        <w:r w:rsidR="00617987">
          <w:rPr>
            <w:b w:val="0"/>
            <w:noProof/>
            <w:color w:val="auto"/>
            <w:sz w:val="22"/>
            <w:szCs w:val="22"/>
            <w:lang w:eastAsia="en-AU"/>
          </w:rPr>
          <w:tab/>
        </w:r>
        <w:r w:rsidR="00617987" w:rsidRPr="009F0035">
          <w:rPr>
            <w:rStyle w:val="Hyperlink"/>
            <w:noProof/>
          </w:rPr>
          <w:t>What is the policy problem you are trying to solve and what data is available?</w:t>
        </w:r>
        <w:r w:rsidR="00617987">
          <w:rPr>
            <w:noProof/>
            <w:webHidden/>
          </w:rPr>
          <w:tab/>
        </w:r>
        <w:r w:rsidR="00617987">
          <w:rPr>
            <w:noProof/>
            <w:webHidden/>
          </w:rPr>
          <w:fldChar w:fldCharType="begin"/>
        </w:r>
        <w:r w:rsidR="00617987">
          <w:rPr>
            <w:noProof/>
            <w:webHidden/>
          </w:rPr>
          <w:instrText xml:space="preserve"> PAGEREF _Toc163221045 \h </w:instrText>
        </w:r>
        <w:r w:rsidR="00617987">
          <w:rPr>
            <w:noProof/>
            <w:webHidden/>
          </w:rPr>
        </w:r>
        <w:r w:rsidR="00617987">
          <w:rPr>
            <w:noProof/>
            <w:webHidden/>
          </w:rPr>
          <w:fldChar w:fldCharType="separate"/>
        </w:r>
        <w:r w:rsidR="00617987">
          <w:rPr>
            <w:noProof/>
            <w:webHidden/>
          </w:rPr>
          <w:t>16</w:t>
        </w:r>
        <w:r w:rsidR="00617987">
          <w:rPr>
            <w:noProof/>
            <w:webHidden/>
          </w:rPr>
          <w:fldChar w:fldCharType="end"/>
        </w:r>
      </w:hyperlink>
    </w:p>
    <w:p w14:paraId="3A921D9A" w14:textId="2D6E323B" w:rsidR="00617987" w:rsidRDefault="00E51D93">
      <w:pPr>
        <w:pStyle w:val="TOC2"/>
        <w:rPr>
          <w:noProof/>
          <w:sz w:val="22"/>
          <w:szCs w:val="22"/>
          <w:lang w:eastAsia="en-AU"/>
        </w:rPr>
      </w:pPr>
      <w:hyperlink w:anchor="_Toc163221046" w:history="1">
        <w:r w:rsidR="00617987" w:rsidRPr="009F0035">
          <w:rPr>
            <w:rStyle w:val="Hyperlink"/>
            <w:rFonts w:cstheme="majorHAnsi"/>
            <w:noProof/>
          </w:rPr>
          <w:t>2.1.</w:t>
        </w:r>
        <w:r w:rsidR="00617987">
          <w:rPr>
            <w:noProof/>
            <w:sz w:val="22"/>
            <w:szCs w:val="22"/>
            <w:lang w:eastAsia="en-AU"/>
          </w:rPr>
          <w:tab/>
        </w:r>
        <w:r w:rsidR="00617987" w:rsidRPr="009F0035">
          <w:rPr>
            <w:rStyle w:val="Hyperlink"/>
            <w:noProof/>
          </w:rPr>
          <w:t>Australians don’t currently have access to the same fuel-efficient cars as other jurisdictions…</w:t>
        </w:r>
        <w:r w:rsidR="00617987">
          <w:rPr>
            <w:noProof/>
            <w:webHidden/>
          </w:rPr>
          <w:tab/>
        </w:r>
        <w:r w:rsidR="00617987">
          <w:rPr>
            <w:noProof/>
            <w:webHidden/>
          </w:rPr>
          <w:fldChar w:fldCharType="begin"/>
        </w:r>
        <w:r w:rsidR="00617987">
          <w:rPr>
            <w:noProof/>
            <w:webHidden/>
          </w:rPr>
          <w:instrText xml:space="preserve"> PAGEREF _Toc163221046 \h </w:instrText>
        </w:r>
        <w:r w:rsidR="00617987">
          <w:rPr>
            <w:noProof/>
            <w:webHidden/>
          </w:rPr>
        </w:r>
        <w:r w:rsidR="00617987">
          <w:rPr>
            <w:noProof/>
            <w:webHidden/>
          </w:rPr>
          <w:fldChar w:fldCharType="separate"/>
        </w:r>
        <w:r w:rsidR="00617987">
          <w:rPr>
            <w:noProof/>
            <w:webHidden/>
          </w:rPr>
          <w:t>16</w:t>
        </w:r>
        <w:r w:rsidR="00617987">
          <w:rPr>
            <w:noProof/>
            <w:webHidden/>
          </w:rPr>
          <w:fldChar w:fldCharType="end"/>
        </w:r>
      </w:hyperlink>
    </w:p>
    <w:p w14:paraId="12867ECE" w14:textId="795B2C61" w:rsidR="00617987" w:rsidRDefault="00E51D93">
      <w:pPr>
        <w:pStyle w:val="TOC2"/>
        <w:rPr>
          <w:noProof/>
          <w:sz w:val="22"/>
          <w:szCs w:val="22"/>
          <w:lang w:eastAsia="en-AU"/>
        </w:rPr>
      </w:pPr>
      <w:hyperlink w:anchor="_Toc163221047" w:history="1">
        <w:r w:rsidR="00617987" w:rsidRPr="009F0035">
          <w:rPr>
            <w:rStyle w:val="Hyperlink"/>
            <w:noProof/>
          </w:rPr>
          <w:t>2.2.</w:t>
        </w:r>
        <w:r w:rsidR="00617987">
          <w:rPr>
            <w:noProof/>
            <w:sz w:val="22"/>
            <w:szCs w:val="22"/>
            <w:lang w:eastAsia="en-AU"/>
          </w:rPr>
          <w:tab/>
        </w:r>
        <w:r w:rsidR="00617987" w:rsidRPr="009F0035">
          <w:rPr>
            <w:rStyle w:val="Hyperlink"/>
            <w:noProof/>
          </w:rPr>
          <w:t>…and we’re spending more on fuel than ever before</w:t>
        </w:r>
        <w:r w:rsidR="00617987">
          <w:rPr>
            <w:noProof/>
            <w:webHidden/>
          </w:rPr>
          <w:tab/>
        </w:r>
        <w:r w:rsidR="00617987">
          <w:rPr>
            <w:noProof/>
            <w:webHidden/>
          </w:rPr>
          <w:fldChar w:fldCharType="begin"/>
        </w:r>
        <w:r w:rsidR="00617987">
          <w:rPr>
            <w:noProof/>
            <w:webHidden/>
          </w:rPr>
          <w:instrText xml:space="preserve"> PAGEREF _Toc163221047 \h </w:instrText>
        </w:r>
        <w:r w:rsidR="00617987">
          <w:rPr>
            <w:noProof/>
            <w:webHidden/>
          </w:rPr>
        </w:r>
        <w:r w:rsidR="00617987">
          <w:rPr>
            <w:noProof/>
            <w:webHidden/>
          </w:rPr>
          <w:fldChar w:fldCharType="separate"/>
        </w:r>
        <w:r w:rsidR="00617987">
          <w:rPr>
            <w:noProof/>
            <w:webHidden/>
          </w:rPr>
          <w:t>17</w:t>
        </w:r>
        <w:r w:rsidR="00617987">
          <w:rPr>
            <w:noProof/>
            <w:webHidden/>
          </w:rPr>
          <w:fldChar w:fldCharType="end"/>
        </w:r>
      </w:hyperlink>
    </w:p>
    <w:p w14:paraId="4CBB60DA" w14:textId="02312FC7" w:rsidR="00617987" w:rsidRDefault="00E51D93">
      <w:pPr>
        <w:pStyle w:val="TOC2"/>
        <w:rPr>
          <w:noProof/>
          <w:sz w:val="22"/>
          <w:szCs w:val="22"/>
          <w:lang w:eastAsia="en-AU"/>
        </w:rPr>
      </w:pPr>
      <w:hyperlink w:anchor="_Toc163221048" w:history="1">
        <w:r w:rsidR="00617987" w:rsidRPr="009F0035">
          <w:rPr>
            <w:rStyle w:val="Hyperlink"/>
            <w:noProof/>
          </w:rPr>
          <w:t>2.3.</w:t>
        </w:r>
        <w:r w:rsidR="00617987">
          <w:rPr>
            <w:noProof/>
            <w:sz w:val="22"/>
            <w:szCs w:val="22"/>
            <w:lang w:eastAsia="en-AU"/>
          </w:rPr>
          <w:tab/>
        </w:r>
        <w:r w:rsidR="00617987" w:rsidRPr="009F0035">
          <w:rPr>
            <w:rStyle w:val="Hyperlink"/>
            <w:noProof/>
          </w:rPr>
          <w:t>Australian cars are highly polluting</w:t>
        </w:r>
        <w:r w:rsidR="00617987">
          <w:rPr>
            <w:noProof/>
            <w:webHidden/>
          </w:rPr>
          <w:tab/>
        </w:r>
        <w:r w:rsidR="00617987">
          <w:rPr>
            <w:noProof/>
            <w:webHidden/>
          </w:rPr>
          <w:fldChar w:fldCharType="begin"/>
        </w:r>
        <w:r w:rsidR="00617987">
          <w:rPr>
            <w:noProof/>
            <w:webHidden/>
          </w:rPr>
          <w:instrText xml:space="preserve"> PAGEREF _Toc163221048 \h </w:instrText>
        </w:r>
        <w:r w:rsidR="00617987">
          <w:rPr>
            <w:noProof/>
            <w:webHidden/>
          </w:rPr>
        </w:r>
        <w:r w:rsidR="00617987">
          <w:rPr>
            <w:noProof/>
            <w:webHidden/>
          </w:rPr>
          <w:fldChar w:fldCharType="separate"/>
        </w:r>
        <w:r w:rsidR="00617987">
          <w:rPr>
            <w:noProof/>
            <w:webHidden/>
          </w:rPr>
          <w:t>19</w:t>
        </w:r>
        <w:r w:rsidR="00617987">
          <w:rPr>
            <w:noProof/>
            <w:webHidden/>
          </w:rPr>
          <w:fldChar w:fldCharType="end"/>
        </w:r>
      </w:hyperlink>
    </w:p>
    <w:p w14:paraId="4B7F77FE" w14:textId="41A8C4EC" w:rsidR="00617987" w:rsidRDefault="00E51D93">
      <w:pPr>
        <w:pStyle w:val="TOC1"/>
        <w:rPr>
          <w:b w:val="0"/>
          <w:noProof/>
          <w:color w:val="auto"/>
          <w:sz w:val="22"/>
          <w:szCs w:val="22"/>
          <w:lang w:eastAsia="en-AU"/>
        </w:rPr>
      </w:pPr>
      <w:hyperlink w:anchor="_Toc163221049" w:history="1">
        <w:r w:rsidR="00617987" w:rsidRPr="009F0035">
          <w:rPr>
            <w:rStyle w:val="Hyperlink"/>
            <w:noProof/>
          </w:rPr>
          <w:t>3.</w:t>
        </w:r>
        <w:r w:rsidR="00617987">
          <w:rPr>
            <w:b w:val="0"/>
            <w:noProof/>
            <w:color w:val="auto"/>
            <w:sz w:val="22"/>
            <w:szCs w:val="22"/>
            <w:lang w:eastAsia="en-AU"/>
          </w:rPr>
          <w:tab/>
        </w:r>
        <w:r w:rsidR="00617987" w:rsidRPr="009F0035">
          <w:rPr>
            <w:rStyle w:val="Hyperlink"/>
            <w:noProof/>
          </w:rPr>
          <w:t>What are the objectives, why is Government intervention needed to achieve them, and how will success be measured?</w:t>
        </w:r>
        <w:r w:rsidR="00617987">
          <w:rPr>
            <w:noProof/>
            <w:webHidden/>
          </w:rPr>
          <w:tab/>
        </w:r>
        <w:r w:rsidR="00617987">
          <w:rPr>
            <w:noProof/>
            <w:webHidden/>
          </w:rPr>
          <w:fldChar w:fldCharType="begin"/>
        </w:r>
        <w:r w:rsidR="00617987">
          <w:rPr>
            <w:noProof/>
            <w:webHidden/>
          </w:rPr>
          <w:instrText xml:space="preserve"> PAGEREF _Toc163221049 \h </w:instrText>
        </w:r>
        <w:r w:rsidR="00617987">
          <w:rPr>
            <w:noProof/>
            <w:webHidden/>
          </w:rPr>
        </w:r>
        <w:r w:rsidR="00617987">
          <w:rPr>
            <w:noProof/>
            <w:webHidden/>
          </w:rPr>
          <w:fldChar w:fldCharType="separate"/>
        </w:r>
        <w:r w:rsidR="00617987">
          <w:rPr>
            <w:noProof/>
            <w:webHidden/>
          </w:rPr>
          <w:t>23</w:t>
        </w:r>
        <w:r w:rsidR="00617987">
          <w:rPr>
            <w:noProof/>
            <w:webHidden/>
          </w:rPr>
          <w:fldChar w:fldCharType="end"/>
        </w:r>
      </w:hyperlink>
    </w:p>
    <w:p w14:paraId="742B1B38" w14:textId="5A1010FE" w:rsidR="00617987" w:rsidRDefault="00E51D93">
      <w:pPr>
        <w:pStyle w:val="TOC2"/>
        <w:rPr>
          <w:noProof/>
          <w:sz w:val="22"/>
          <w:szCs w:val="22"/>
          <w:lang w:eastAsia="en-AU"/>
        </w:rPr>
      </w:pPr>
      <w:hyperlink w:anchor="_Toc163221050" w:history="1">
        <w:r w:rsidR="00617987" w:rsidRPr="009F0035">
          <w:rPr>
            <w:rStyle w:val="Hyperlink"/>
            <w:noProof/>
          </w:rPr>
          <w:t>3.1.</w:t>
        </w:r>
        <w:r w:rsidR="00617987">
          <w:rPr>
            <w:noProof/>
            <w:sz w:val="22"/>
            <w:szCs w:val="22"/>
            <w:lang w:eastAsia="en-AU"/>
          </w:rPr>
          <w:tab/>
        </w:r>
        <w:r w:rsidR="00617987" w:rsidRPr="009F0035">
          <w:rPr>
            <w:rStyle w:val="Hyperlink"/>
            <w:noProof/>
          </w:rPr>
          <w:t>Government is committed to cut CO</w:t>
        </w:r>
        <w:r w:rsidR="00617987" w:rsidRPr="009F0035">
          <w:rPr>
            <w:rStyle w:val="Hyperlink"/>
            <w:noProof/>
            <w:vertAlign w:val="subscript"/>
          </w:rPr>
          <w:t>2</w:t>
        </w:r>
        <w:r w:rsidR="00617987" w:rsidRPr="009F0035">
          <w:rPr>
            <w:rStyle w:val="Hyperlink"/>
            <w:noProof/>
          </w:rPr>
          <w:t xml:space="preserve"> emissions</w:t>
        </w:r>
        <w:r w:rsidR="00617987">
          <w:rPr>
            <w:noProof/>
            <w:webHidden/>
          </w:rPr>
          <w:tab/>
        </w:r>
        <w:r w:rsidR="00617987">
          <w:rPr>
            <w:noProof/>
            <w:webHidden/>
          </w:rPr>
          <w:fldChar w:fldCharType="begin"/>
        </w:r>
        <w:r w:rsidR="00617987">
          <w:rPr>
            <w:noProof/>
            <w:webHidden/>
          </w:rPr>
          <w:instrText xml:space="preserve"> PAGEREF _Toc163221050 \h </w:instrText>
        </w:r>
        <w:r w:rsidR="00617987">
          <w:rPr>
            <w:noProof/>
            <w:webHidden/>
          </w:rPr>
        </w:r>
        <w:r w:rsidR="00617987">
          <w:rPr>
            <w:noProof/>
            <w:webHidden/>
          </w:rPr>
          <w:fldChar w:fldCharType="separate"/>
        </w:r>
        <w:r w:rsidR="00617987">
          <w:rPr>
            <w:noProof/>
            <w:webHidden/>
          </w:rPr>
          <w:t>23</w:t>
        </w:r>
        <w:r w:rsidR="00617987">
          <w:rPr>
            <w:noProof/>
            <w:webHidden/>
          </w:rPr>
          <w:fldChar w:fldCharType="end"/>
        </w:r>
      </w:hyperlink>
    </w:p>
    <w:p w14:paraId="34C02C47" w14:textId="004944F1" w:rsidR="00617987" w:rsidRDefault="00E51D93">
      <w:pPr>
        <w:pStyle w:val="TOC3"/>
        <w:rPr>
          <w:noProof/>
          <w:sz w:val="22"/>
          <w:szCs w:val="22"/>
          <w:lang w:eastAsia="en-AU"/>
        </w:rPr>
      </w:pPr>
      <w:hyperlink w:anchor="_Toc163221051" w:history="1">
        <w:r w:rsidR="00617987" w:rsidRPr="009F0035">
          <w:rPr>
            <w:rStyle w:val="Hyperlink"/>
            <w:rFonts w:cstheme="majorHAnsi"/>
            <w:noProof/>
          </w:rPr>
          <w:t>3.1.1</w:t>
        </w:r>
        <w:r w:rsidR="00617987">
          <w:rPr>
            <w:noProof/>
            <w:sz w:val="22"/>
            <w:szCs w:val="22"/>
            <w:lang w:eastAsia="en-AU"/>
          </w:rPr>
          <w:tab/>
        </w:r>
        <w:r w:rsidR="00617987" w:rsidRPr="009F0035">
          <w:rPr>
            <w:rStyle w:val="Hyperlink"/>
            <w:rFonts w:cstheme="majorHAnsi"/>
            <w:noProof/>
          </w:rPr>
          <w:t>Alternatives to Government action – such as a voluntary scheme – will not deliver more fuel-efficient new cars</w:t>
        </w:r>
        <w:r w:rsidR="00617987">
          <w:rPr>
            <w:noProof/>
            <w:webHidden/>
          </w:rPr>
          <w:tab/>
        </w:r>
        <w:r w:rsidR="00617987">
          <w:rPr>
            <w:noProof/>
            <w:webHidden/>
          </w:rPr>
          <w:fldChar w:fldCharType="begin"/>
        </w:r>
        <w:r w:rsidR="00617987">
          <w:rPr>
            <w:noProof/>
            <w:webHidden/>
          </w:rPr>
          <w:instrText xml:space="preserve"> PAGEREF _Toc163221051 \h </w:instrText>
        </w:r>
        <w:r w:rsidR="00617987">
          <w:rPr>
            <w:noProof/>
            <w:webHidden/>
          </w:rPr>
        </w:r>
        <w:r w:rsidR="00617987">
          <w:rPr>
            <w:noProof/>
            <w:webHidden/>
          </w:rPr>
          <w:fldChar w:fldCharType="separate"/>
        </w:r>
        <w:r w:rsidR="00617987">
          <w:rPr>
            <w:noProof/>
            <w:webHidden/>
          </w:rPr>
          <w:t>24</w:t>
        </w:r>
        <w:r w:rsidR="00617987">
          <w:rPr>
            <w:noProof/>
            <w:webHidden/>
          </w:rPr>
          <w:fldChar w:fldCharType="end"/>
        </w:r>
      </w:hyperlink>
    </w:p>
    <w:p w14:paraId="4B6F803A" w14:textId="1525972F" w:rsidR="00617987" w:rsidRDefault="00E51D93">
      <w:pPr>
        <w:pStyle w:val="TOC3"/>
        <w:rPr>
          <w:noProof/>
          <w:sz w:val="22"/>
          <w:szCs w:val="22"/>
          <w:lang w:eastAsia="en-AU"/>
        </w:rPr>
      </w:pPr>
      <w:hyperlink w:anchor="_Toc163221052" w:history="1">
        <w:r w:rsidR="00617987" w:rsidRPr="009F0035">
          <w:rPr>
            <w:rStyle w:val="Hyperlink"/>
            <w:rFonts w:cstheme="majorHAnsi"/>
            <w:noProof/>
          </w:rPr>
          <w:t>3.1.2</w:t>
        </w:r>
        <w:r w:rsidR="00617987">
          <w:rPr>
            <w:noProof/>
            <w:sz w:val="22"/>
            <w:szCs w:val="22"/>
            <w:lang w:eastAsia="en-AU"/>
          </w:rPr>
          <w:tab/>
        </w:r>
        <w:r w:rsidR="00617987" w:rsidRPr="009F0035">
          <w:rPr>
            <w:rStyle w:val="Hyperlink"/>
            <w:rFonts w:cstheme="majorHAnsi"/>
            <w:noProof/>
          </w:rPr>
          <w:t>The Government can build on an existing regulatory framework to regulate CO</w:t>
        </w:r>
        <w:r w:rsidR="00617987" w:rsidRPr="009F0035">
          <w:rPr>
            <w:rStyle w:val="Hyperlink"/>
            <w:rFonts w:cstheme="majorHAnsi"/>
            <w:noProof/>
            <w:vertAlign w:val="subscript"/>
          </w:rPr>
          <w:t>2</w:t>
        </w:r>
        <w:r w:rsidR="00617987" w:rsidRPr="009F0035">
          <w:rPr>
            <w:rStyle w:val="Hyperlink"/>
            <w:rFonts w:cstheme="majorHAnsi"/>
            <w:noProof/>
          </w:rPr>
          <w:t xml:space="preserve"> emissions</w:t>
        </w:r>
        <w:r w:rsidR="00617987">
          <w:rPr>
            <w:noProof/>
            <w:webHidden/>
          </w:rPr>
          <w:tab/>
        </w:r>
        <w:r w:rsidR="00617987">
          <w:rPr>
            <w:noProof/>
            <w:webHidden/>
          </w:rPr>
          <w:fldChar w:fldCharType="begin"/>
        </w:r>
        <w:r w:rsidR="00617987">
          <w:rPr>
            <w:noProof/>
            <w:webHidden/>
          </w:rPr>
          <w:instrText xml:space="preserve"> PAGEREF _Toc163221052 \h </w:instrText>
        </w:r>
        <w:r w:rsidR="00617987">
          <w:rPr>
            <w:noProof/>
            <w:webHidden/>
          </w:rPr>
        </w:r>
        <w:r w:rsidR="00617987">
          <w:rPr>
            <w:noProof/>
            <w:webHidden/>
          </w:rPr>
          <w:fldChar w:fldCharType="separate"/>
        </w:r>
        <w:r w:rsidR="00617987">
          <w:rPr>
            <w:noProof/>
            <w:webHidden/>
          </w:rPr>
          <w:t>24</w:t>
        </w:r>
        <w:r w:rsidR="00617987">
          <w:rPr>
            <w:noProof/>
            <w:webHidden/>
          </w:rPr>
          <w:fldChar w:fldCharType="end"/>
        </w:r>
      </w:hyperlink>
    </w:p>
    <w:p w14:paraId="0F970225" w14:textId="77769FA1" w:rsidR="00617987" w:rsidRDefault="00E51D93">
      <w:pPr>
        <w:pStyle w:val="TOC3"/>
        <w:rPr>
          <w:noProof/>
          <w:sz w:val="22"/>
          <w:szCs w:val="22"/>
          <w:lang w:eastAsia="en-AU"/>
        </w:rPr>
      </w:pPr>
      <w:hyperlink w:anchor="_Toc163221053" w:history="1">
        <w:r w:rsidR="00617987" w:rsidRPr="009F0035">
          <w:rPr>
            <w:rStyle w:val="Hyperlink"/>
            <w:rFonts w:cstheme="majorHAnsi"/>
            <w:noProof/>
          </w:rPr>
          <w:t>3.1.3</w:t>
        </w:r>
        <w:r w:rsidR="00617987">
          <w:rPr>
            <w:noProof/>
            <w:sz w:val="22"/>
            <w:szCs w:val="22"/>
            <w:lang w:eastAsia="en-AU"/>
          </w:rPr>
          <w:tab/>
        </w:r>
        <w:r w:rsidR="00617987" w:rsidRPr="009F0035">
          <w:rPr>
            <w:rStyle w:val="Hyperlink"/>
            <w:rFonts w:cstheme="majorHAnsi"/>
            <w:noProof/>
          </w:rPr>
          <w:t xml:space="preserve">Success measures were established through the </w:t>
        </w:r>
        <w:r w:rsidR="00617987" w:rsidRPr="009F0035">
          <w:rPr>
            <w:rStyle w:val="Hyperlink"/>
            <w:rFonts w:eastAsia="Arial" w:cstheme="majorHAnsi"/>
            <w:noProof/>
          </w:rPr>
          <w:t>Cleaner Cars consultation paper and consulted on again</w:t>
        </w:r>
        <w:r w:rsidR="00617987">
          <w:rPr>
            <w:noProof/>
            <w:webHidden/>
          </w:rPr>
          <w:tab/>
        </w:r>
        <w:r w:rsidR="00617987">
          <w:rPr>
            <w:noProof/>
            <w:webHidden/>
          </w:rPr>
          <w:fldChar w:fldCharType="begin"/>
        </w:r>
        <w:r w:rsidR="00617987">
          <w:rPr>
            <w:noProof/>
            <w:webHidden/>
          </w:rPr>
          <w:instrText xml:space="preserve"> PAGEREF _Toc163221053 \h </w:instrText>
        </w:r>
        <w:r w:rsidR="00617987">
          <w:rPr>
            <w:noProof/>
            <w:webHidden/>
          </w:rPr>
        </w:r>
        <w:r w:rsidR="00617987">
          <w:rPr>
            <w:noProof/>
            <w:webHidden/>
          </w:rPr>
          <w:fldChar w:fldCharType="separate"/>
        </w:r>
        <w:r w:rsidR="00617987">
          <w:rPr>
            <w:noProof/>
            <w:webHidden/>
          </w:rPr>
          <w:t>25</w:t>
        </w:r>
        <w:r w:rsidR="00617987">
          <w:rPr>
            <w:noProof/>
            <w:webHidden/>
          </w:rPr>
          <w:fldChar w:fldCharType="end"/>
        </w:r>
      </w:hyperlink>
    </w:p>
    <w:p w14:paraId="2F3A0D73" w14:textId="77D2DF69" w:rsidR="00617987" w:rsidRDefault="00E51D93">
      <w:pPr>
        <w:pStyle w:val="TOC3"/>
        <w:rPr>
          <w:noProof/>
          <w:sz w:val="22"/>
          <w:szCs w:val="22"/>
          <w:lang w:eastAsia="en-AU"/>
        </w:rPr>
      </w:pPr>
      <w:hyperlink w:anchor="_Toc163221054" w:history="1">
        <w:r w:rsidR="00617987" w:rsidRPr="009F0035">
          <w:rPr>
            <w:rStyle w:val="Hyperlink"/>
            <w:rFonts w:eastAsia="Times New Roman" w:cstheme="majorHAnsi"/>
            <w:noProof/>
          </w:rPr>
          <w:t>3.1.4</w:t>
        </w:r>
        <w:r w:rsidR="00617987">
          <w:rPr>
            <w:noProof/>
            <w:sz w:val="22"/>
            <w:szCs w:val="22"/>
            <w:lang w:eastAsia="en-AU"/>
          </w:rPr>
          <w:tab/>
        </w:r>
        <w:r w:rsidR="00617987" w:rsidRPr="009F0035">
          <w:rPr>
            <w:rStyle w:val="Hyperlink"/>
            <w:rFonts w:cstheme="majorHAnsi"/>
            <w:noProof/>
          </w:rPr>
          <w:t>There are a range of other factors, that could become barriers to achieving our objectives</w:t>
        </w:r>
        <w:r w:rsidR="00617987">
          <w:rPr>
            <w:noProof/>
            <w:webHidden/>
          </w:rPr>
          <w:tab/>
        </w:r>
        <w:r w:rsidR="00617987">
          <w:rPr>
            <w:noProof/>
            <w:webHidden/>
          </w:rPr>
          <w:fldChar w:fldCharType="begin"/>
        </w:r>
        <w:r w:rsidR="00617987">
          <w:rPr>
            <w:noProof/>
            <w:webHidden/>
          </w:rPr>
          <w:instrText xml:space="preserve"> PAGEREF _Toc163221054 \h </w:instrText>
        </w:r>
        <w:r w:rsidR="00617987">
          <w:rPr>
            <w:noProof/>
            <w:webHidden/>
          </w:rPr>
        </w:r>
        <w:r w:rsidR="00617987">
          <w:rPr>
            <w:noProof/>
            <w:webHidden/>
          </w:rPr>
          <w:fldChar w:fldCharType="separate"/>
        </w:r>
        <w:r w:rsidR="00617987">
          <w:rPr>
            <w:noProof/>
            <w:webHidden/>
          </w:rPr>
          <w:t>27</w:t>
        </w:r>
        <w:r w:rsidR="00617987">
          <w:rPr>
            <w:noProof/>
            <w:webHidden/>
          </w:rPr>
          <w:fldChar w:fldCharType="end"/>
        </w:r>
      </w:hyperlink>
    </w:p>
    <w:p w14:paraId="6122BD9B" w14:textId="6795702D" w:rsidR="00617987" w:rsidRDefault="00E51D93">
      <w:pPr>
        <w:pStyle w:val="TOC1"/>
        <w:rPr>
          <w:b w:val="0"/>
          <w:noProof/>
          <w:color w:val="auto"/>
          <w:sz w:val="22"/>
          <w:szCs w:val="22"/>
          <w:lang w:eastAsia="en-AU"/>
        </w:rPr>
      </w:pPr>
      <w:hyperlink w:anchor="_Toc163221055" w:history="1">
        <w:r w:rsidR="00617987" w:rsidRPr="009F0035">
          <w:rPr>
            <w:rStyle w:val="Hyperlink"/>
            <w:noProof/>
          </w:rPr>
          <w:t>4.</w:t>
        </w:r>
        <w:r w:rsidR="00617987">
          <w:rPr>
            <w:b w:val="0"/>
            <w:noProof/>
            <w:color w:val="auto"/>
            <w:sz w:val="22"/>
            <w:szCs w:val="22"/>
            <w:lang w:eastAsia="en-AU"/>
          </w:rPr>
          <w:tab/>
        </w:r>
        <w:r w:rsidR="00617987" w:rsidRPr="009F0035">
          <w:rPr>
            <w:rStyle w:val="Hyperlink"/>
            <w:noProof/>
          </w:rPr>
          <w:t>What policy options are you considering?</w:t>
        </w:r>
        <w:r w:rsidR="00617987">
          <w:rPr>
            <w:noProof/>
            <w:webHidden/>
          </w:rPr>
          <w:tab/>
        </w:r>
        <w:r w:rsidR="00617987">
          <w:rPr>
            <w:noProof/>
            <w:webHidden/>
          </w:rPr>
          <w:fldChar w:fldCharType="begin"/>
        </w:r>
        <w:r w:rsidR="00617987">
          <w:rPr>
            <w:noProof/>
            <w:webHidden/>
          </w:rPr>
          <w:instrText xml:space="preserve"> PAGEREF _Toc163221055 \h </w:instrText>
        </w:r>
        <w:r w:rsidR="00617987">
          <w:rPr>
            <w:noProof/>
            <w:webHidden/>
          </w:rPr>
        </w:r>
        <w:r w:rsidR="00617987">
          <w:rPr>
            <w:noProof/>
            <w:webHidden/>
          </w:rPr>
          <w:fldChar w:fldCharType="separate"/>
        </w:r>
        <w:r w:rsidR="00617987">
          <w:rPr>
            <w:noProof/>
            <w:webHidden/>
          </w:rPr>
          <w:t>28</w:t>
        </w:r>
        <w:r w:rsidR="00617987">
          <w:rPr>
            <w:noProof/>
            <w:webHidden/>
          </w:rPr>
          <w:fldChar w:fldCharType="end"/>
        </w:r>
      </w:hyperlink>
    </w:p>
    <w:p w14:paraId="0CD0D26E" w14:textId="1C44A6C3" w:rsidR="00617987" w:rsidRDefault="00E51D93">
      <w:pPr>
        <w:pStyle w:val="TOC2"/>
        <w:rPr>
          <w:noProof/>
          <w:sz w:val="22"/>
          <w:szCs w:val="22"/>
          <w:lang w:eastAsia="en-AU"/>
        </w:rPr>
      </w:pPr>
      <w:hyperlink w:anchor="_Toc163221056" w:history="1">
        <w:r w:rsidR="00617987" w:rsidRPr="009F0035">
          <w:rPr>
            <w:rStyle w:val="Hyperlink"/>
            <w:rFonts w:cstheme="majorHAnsi"/>
            <w:noProof/>
          </w:rPr>
          <w:t>4.1.</w:t>
        </w:r>
        <w:r w:rsidR="00617987">
          <w:rPr>
            <w:noProof/>
            <w:sz w:val="22"/>
            <w:szCs w:val="22"/>
            <w:lang w:eastAsia="en-AU"/>
          </w:rPr>
          <w:tab/>
        </w:r>
        <w:r w:rsidR="00617987" w:rsidRPr="009F0035">
          <w:rPr>
            <w:rStyle w:val="Hyperlink"/>
            <w:rFonts w:cstheme="majorHAnsi"/>
            <w:noProof/>
          </w:rPr>
          <w:t>Overview</w:t>
        </w:r>
        <w:r w:rsidR="00617987">
          <w:rPr>
            <w:noProof/>
            <w:webHidden/>
          </w:rPr>
          <w:tab/>
        </w:r>
        <w:r w:rsidR="00617987">
          <w:rPr>
            <w:noProof/>
            <w:webHidden/>
          </w:rPr>
          <w:fldChar w:fldCharType="begin"/>
        </w:r>
        <w:r w:rsidR="00617987">
          <w:rPr>
            <w:noProof/>
            <w:webHidden/>
          </w:rPr>
          <w:instrText xml:space="preserve"> PAGEREF _Toc163221056 \h </w:instrText>
        </w:r>
        <w:r w:rsidR="00617987">
          <w:rPr>
            <w:noProof/>
            <w:webHidden/>
          </w:rPr>
        </w:r>
        <w:r w:rsidR="00617987">
          <w:rPr>
            <w:noProof/>
            <w:webHidden/>
          </w:rPr>
          <w:fldChar w:fldCharType="separate"/>
        </w:r>
        <w:r w:rsidR="00617987">
          <w:rPr>
            <w:noProof/>
            <w:webHidden/>
          </w:rPr>
          <w:t>28</w:t>
        </w:r>
        <w:r w:rsidR="00617987">
          <w:rPr>
            <w:noProof/>
            <w:webHidden/>
          </w:rPr>
          <w:fldChar w:fldCharType="end"/>
        </w:r>
      </w:hyperlink>
    </w:p>
    <w:p w14:paraId="422587C0" w14:textId="229B6BAE" w:rsidR="00617987" w:rsidRDefault="00E51D93">
      <w:pPr>
        <w:pStyle w:val="TOC2"/>
        <w:rPr>
          <w:noProof/>
          <w:sz w:val="22"/>
          <w:szCs w:val="22"/>
          <w:lang w:eastAsia="en-AU"/>
        </w:rPr>
      </w:pPr>
      <w:hyperlink w:anchor="_Toc163221057" w:history="1">
        <w:r w:rsidR="00617987" w:rsidRPr="009F0035">
          <w:rPr>
            <w:rStyle w:val="Hyperlink"/>
            <w:rFonts w:cstheme="majorHAnsi"/>
            <w:noProof/>
          </w:rPr>
          <w:t>4.2.</w:t>
        </w:r>
        <w:r w:rsidR="00617987">
          <w:rPr>
            <w:noProof/>
            <w:sz w:val="22"/>
            <w:szCs w:val="22"/>
            <w:lang w:eastAsia="en-AU"/>
          </w:rPr>
          <w:tab/>
        </w:r>
        <w:r w:rsidR="00617987" w:rsidRPr="009F0035">
          <w:rPr>
            <w:rStyle w:val="Hyperlink"/>
            <w:rFonts w:cstheme="majorHAnsi"/>
            <w:noProof/>
          </w:rPr>
          <w:t>What is the business-as-usual scenario?</w:t>
        </w:r>
        <w:r w:rsidR="00617987">
          <w:rPr>
            <w:noProof/>
            <w:webHidden/>
          </w:rPr>
          <w:tab/>
        </w:r>
        <w:r w:rsidR="00617987">
          <w:rPr>
            <w:noProof/>
            <w:webHidden/>
          </w:rPr>
          <w:fldChar w:fldCharType="begin"/>
        </w:r>
        <w:r w:rsidR="00617987">
          <w:rPr>
            <w:noProof/>
            <w:webHidden/>
          </w:rPr>
          <w:instrText xml:space="preserve"> PAGEREF _Toc163221057 \h </w:instrText>
        </w:r>
        <w:r w:rsidR="00617987">
          <w:rPr>
            <w:noProof/>
            <w:webHidden/>
          </w:rPr>
        </w:r>
        <w:r w:rsidR="00617987">
          <w:rPr>
            <w:noProof/>
            <w:webHidden/>
          </w:rPr>
          <w:fldChar w:fldCharType="separate"/>
        </w:r>
        <w:r w:rsidR="00617987">
          <w:rPr>
            <w:noProof/>
            <w:webHidden/>
          </w:rPr>
          <w:t>29</w:t>
        </w:r>
        <w:r w:rsidR="00617987">
          <w:rPr>
            <w:noProof/>
            <w:webHidden/>
          </w:rPr>
          <w:fldChar w:fldCharType="end"/>
        </w:r>
      </w:hyperlink>
    </w:p>
    <w:p w14:paraId="34D596A9" w14:textId="66FA1460" w:rsidR="00617987" w:rsidRDefault="00E51D93">
      <w:pPr>
        <w:pStyle w:val="TOC3"/>
        <w:rPr>
          <w:noProof/>
          <w:sz w:val="22"/>
          <w:szCs w:val="22"/>
          <w:lang w:eastAsia="en-AU"/>
        </w:rPr>
      </w:pPr>
      <w:hyperlink w:anchor="_Toc163221058" w:history="1">
        <w:r w:rsidR="00617987" w:rsidRPr="009F0035">
          <w:rPr>
            <w:rStyle w:val="Hyperlink"/>
            <w:rFonts w:cstheme="majorHAnsi"/>
            <w:noProof/>
          </w:rPr>
          <w:t>4.2.1</w:t>
        </w:r>
        <w:r w:rsidR="00617987">
          <w:rPr>
            <w:noProof/>
            <w:sz w:val="22"/>
            <w:szCs w:val="22"/>
            <w:lang w:eastAsia="en-AU"/>
          </w:rPr>
          <w:tab/>
        </w:r>
        <w:r w:rsidR="00617987" w:rsidRPr="009F0035">
          <w:rPr>
            <w:rStyle w:val="Hyperlink"/>
            <w:rFonts w:cstheme="majorHAnsi"/>
            <w:noProof/>
          </w:rPr>
          <w:t>Do EVs release more emissions than ICE vehicles over their lifetime?</w:t>
        </w:r>
        <w:r w:rsidR="00617987">
          <w:rPr>
            <w:noProof/>
            <w:webHidden/>
          </w:rPr>
          <w:tab/>
        </w:r>
        <w:r w:rsidR="00617987">
          <w:rPr>
            <w:noProof/>
            <w:webHidden/>
          </w:rPr>
          <w:fldChar w:fldCharType="begin"/>
        </w:r>
        <w:r w:rsidR="00617987">
          <w:rPr>
            <w:noProof/>
            <w:webHidden/>
          </w:rPr>
          <w:instrText xml:space="preserve"> PAGEREF _Toc163221058 \h </w:instrText>
        </w:r>
        <w:r w:rsidR="00617987">
          <w:rPr>
            <w:noProof/>
            <w:webHidden/>
          </w:rPr>
        </w:r>
        <w:r w:rsidR="00617987">
          <w:rPr>
            <w:noProof/>
            <w:webHidden/>
          </w:rPr>
          <w:fldChar w:fldCharType="separate"/>
        </w:r>
        <w:r w:rsidR="00617987">
          <w:rPr>
            <w:noProof/>
            <w:webHidden/>
          </w:rPr>
          <w:t>31</w:t>
        </w:r>
        <w:r w:rsidR="00617987">
          <w:rPr>
            <w:noProof/>
            <w:webHidden/>
          </w:rPr>
          <w:fldChar w:fldCharType="end"/>
        </w:r>
      </w:hyperlink>
    </w:p>
    <w:p w14:paraId="010196EF" w14:textId="4BEB6D40" w:rsidR="00617987" w:rsidRDefault="00E51D93">
      <w:pPr>
        <w:pStyle w:val="TOC3"/>
        <w:rPr>
          <w:noProof/>
          <w:sz w:val="22"/>
          <w:szCs w:val="22"/>
          <w:lang w:eastAsia="en-AU"/>
        </w:rPr>
      </w:pPr>
      <w:hyperlink w:anchor="_Toc163221059" w:history="1">
        <w:r w:rsidR="00617987" w:rsidRPr="009F0035">
          <w:rPr>
            <w:rStyle w:val="Hyperlink"/>
            <w:rFonts w:cstheme="majorHAnsi"/>
            <w:noProof/>
          </w:rPr>
          <w:t>4.2.2</w:t>
        </w:r>
        <w:r w:rsidR="00617987">
          <w:rPr>
            <w:noProof/>
            <w:sz w:val="22"/>
            <w:szCs w:val="22"/>
            <w:lang w:eastAsia="en-AU"/>
          </w:rPr>
          <w:tab/>
        </w:r>
        <w:r w:rsidR="00617987" w:rsidRPr="009F0035">
          <w:rPr>
            <w:rStyle w:val="Hyperlink"/>
            <w:rFonts w:cstheme="majorHAnsi"/>
            <w:noProof/>
          </w:rPr>
          <w:t>What other Government policies will act on emissions from light vehicles and complement this policy intervention?</w:t>
        </w:r>
        <w:r w:rsidR="00617987">
          <w:rPr>
            <w:noProof/>
            <w:webHidden/>
          </w:rPr>
          <w:tab/>
        </w:r>
        <w:r w:rsidR="00617987">
          <w:rPr>
            <w:noProof/>
            <w:webHidden/>
          </w:rPr>
          <w:fldChar w:fldCharType="begin"/>
        </w:r>
        <w:r w:rsidR="00617987">
          <w:rPr>
            <w:noProof/>
            <w:webHidden/>
          </w:rPr>
          <w:instrText xml:space="preserve"> PAGEREF _Toc163221059 \h </w:instrText>
        </w:r>
        <w:r w:rsidR="00617987">
          <w:rPr>
            <w:noProof/>
            <w:webHidden/>
          </w:rPr>
        </w:r>
        <w:r w:rsidR="00617987">
          <w:rPr>
            <w:noProof/>
            <w:webHidden/>
          </w:rPr>
          <w:fldChar w:fldCharType="separate"/>
        </w:r>
        <w:r w:rsidR="00617987">
          <w:rPr>
            <w:noProof/>
            <w:webHidden/>
          </w:rPr>
          <w:t>32</w:t>
        </w:r>
        <w:r w:rsidR="00617987">
          <w:rPr>
            <w:noProof/>
            <w:webHidden/>
          </w:rPr>
          <w:fldChar w:fldCharType="end"/>
        </w:r>
      </w:hyperlink>
    </w:p>
    <w:p w14:paraId="3507F184" w14:textId="6F77B7C9" w:rsidR="00617987" w:rsidRDefault="00E51D93">
      <w:pPr>
        <w:pStyle w:val="TOC2"/>
        <w:rPr>
          <w:noProof/>
          <w:sz w:val="22"/>
          <w:szCs w:val="22"/>
          <w:lang w:eastAsia="en-AU"/>
        </w:rPr>
      </w:pPr>
      <w:hyperlink w:anchor="_Toc163221060" w:history="1">
        <w:r w:rsidR="00617987" w:rsidRPr="009F0035">
          <w:rPr>
            <w:rStyle w:val="Hyperlink"/>
            <w:rFonts w:cstheme="majorHAnsi"/>
            <w:noProof/>
          </w:rPr>
          <w:t>4.3.</w:t>
        </w:r>
        <w:r w:rsidR="00617987">
          <w:rPr>
            <w:noProof/>
            <w:sz w:val="22"/>
            <w:szCs w:val="22"/>
            <w:lang w:eastAsia="en-AU"/>
          </w:rPr>
          <w:tab/>
        </w:r>
        <w:r w:rsidR="00617987" w:rsidRPr="009F0035">
          <w:rPr>
            <w:rStyle w:val="Hyperlink"/>
            <w:noProof/>
          </w:rPr>
          <w:t>What</w:t>
        </w:r>
        <w:r w:rsidR="00617987" w:rsidRPr="009F0035">
          <w:rPr>
            <w:rStyle w:val="Hyperlink"/>
            <w:rFonts w:cstheme="majorHAnsi"/>
            <w:noProof/>
          </w:rPr>
          <w:t xml:space="preserve"> is a New Vehicle Efficiency Standard?</w:t>
        </w:r>
        <w:r w:rsidR="00617987">
          <w:rPr>
            <w:noProof/>
            <w:webHidden/>
          </w:rPr>
          <w:tab/>
        </w:r>
        <w:r w:rsidR="00617987">
          <w:rPr>
            <w:noProof/>
            <w:webHidden/>
          </w:rPr>
          <w:fldChar w:fldCharType="begin"/>
        </w:r>
        <w:r w:rsidR="00617987">
          <w:rPr>
            <w:noProof/>
            <w:webHidden/>
          </w:rPr>
          <w:instrText xml:space="preserve"> PAGEREF _Toc163221060 \h </w:instrText>
        </w:r>
        <w:r w:rsidR="00617987">
          <w:rPr>
            <w:noProof/>
            <w:webHidden/>
          </w:rPr>
        </w:r>
        <w:r w:rsidR="00617987">
          <w:rPr>
            <w:noProof/>
            <w:webHidden/>
          </w:rPr>
          <w:fldChar w:fldCharType="separate"/>
        </w:r>
        <w:r w:rsidR="00617987">
          <w:rPr>
            <w:noProof/>
            <w:webHidden/>
          </w:rPr>
          <w:t>33</w:t>
        </w:r>
        <w:r w:rsidR="00617987">
          <w:rPr>
            <w:noProof/>
            <w:webHidden/>
          </w:rPr>
          <w:fldChar w:fldCharType="end"/>
        </w:r>
      </w:hyperlink>
    </w:p>
    <w:p w14:paraId="0CC9329E" w14:textId="30C7D54B" w:rsidR="00617987" w:rsidRDefault="00E51D93">
      <w:pPr>
        <w:pStyle w:val="TOC3"/>
        <w:rPr>
          <w:noProof/>
          <w:sz w:val="22"/>
          <w:szCs w:val="22"/>
          <w:lang w:eastAsia="en-AU"/>
        </w:rPr>
      </w:pPr>
      <w:hyperlink w:anchor="_Toc163221061" w:history="1">
        <w:r w:rsidR="00617987" w:rsidRPr="009F0035">
          <w:rPr>
            <w:rStyle w:val="Hyperlink"/>
            <w:rFonts w:cstheme="majorHAnsi"/>
            <w:noProof/>
          </w:rPr>
          <w:t>4.3.1</w:t>
        </w:r>
        <w:r w:rsidR="00617987">
          <w:rPr>
            <w:noProof/>
            <w:sz w:val="22"/>
            <w:szCs w:val="22"/>
            <w:lang w:eastAsia="en-AU"/>
          </w:rPr>
          <w:tab/>
        </w:r>
        <w:r w:rsidR="00617987" w:rsidRPr="009F0035">
          <w:rPr>
            <w:rStyle w:val="Hyperlink"/>
            <w:rFonts w:cstheme="majorHAnsi"/>
            <w:noProof/>
          </w:rPr>
          <w:t>How does a NVES work?</w:t>
        </w:r>
        <w:r w:rsidR="00617987">
          <w:rPr>
            <w:noProof/>
            <w:webHidden/>
          </w:rPr>
          <w:tab/>
        </w:r>
        <w:r w:rsidR="00617987">
          <w:rPr>
            <w:noProof/>
            <w:webHidden/>
          </w:rPr>
          <w:fldChar w:fldCharType="begin"/>
        </w:r>
        <w:r w:rsidR="00617987">
          <w:rPr>
            <w:noProof/>
            <w:webHidden/>
          </w:rPr>
          <w:instrText xml:space="preserve"> PAGEREF _Toc163221061 \h </w:instrText>
        </w:r>
        <w:r w:rsidR="00617987">
          <w:rPr>
            <w:noProof/>
            <w:webHidden/>
          </w:rPr>
        </w:r>
        <w:r w:rsidR="00617987">
          <w:rPr>
            <w:noProof/>
            <w:webHidden/>
          </w:rPr>
          <w:fldChar w:fldCharType="separate"/>
        </w:r>
        <w:r w:rsidR="00617987">
          <w:rPr>
            <w:noProof/>
            <w:webHidden/>
          </w:rPr>
          <w:t>34</w:t>
        </w:r>
        <w:r w:rsidR="00617987">
          <w:rPr>
            <w:noProof/>
            <w:webHidden/>
          </w:rPr>
          <w:fldChar w:fldCharType="end"/>
        </w:r>
      </w:hyperlink>
    </w:p>
    <w:p w14:paraId="1DA79854" w14:textId="5434125B" w:rsidR="00617987" w:rsidRDefault="00E51D93">
      <w:pPr>
        <w:pStyle w:val="TOC3"/>
        <w:rPr>
          <w:noProof/>
          <w:sz w:val="22"/>
          <w:szCs w:val="22"/>
          <w:lang w:eastAsia="en-AU"/>
        </w:rPr>
      </w:pPr>
      <w:hyperlink w:anchor="_Toc163221062" w:history="1">
        <w:r w:rsidR="00617987" w:rsidRPr="009F0035">
          <w:rPr>
            <w:rStyle w:val="Hyperlink"/>
            <w:rFonts w:cstheme="majorHAnsi"/>
            <w:noProof/>
          </w:rPr>
          <w:t>4.3.2</w:t>
        </w:r>
        <w:r w:rsidR="00617987">
          <w:rPr>
            <w:noProof/>
            <w:sz w:val="22"/>
            <w:szCs w:val="22"/>
            <w:lang w:eastAsia="en-AU"/>
          </w:rPr>
          <w:tab/>
        </w:r>
        <w:r w:rsidR="00617987" w:rsidRPr="009F0035">
          <w:rPr>
            <w:rStyle w:val="Hyperlink"/>
            <w:rFonts w:cstheme="majorHAnsi"/>
            <w:noProof/>
          </w:rPr>
          <w:t>Common features of a NVES</w:t>
        </w:r>
        <w:r w:rsidR="00617987">
          <w:rPr>
            <w:noProof/>
            <w:webHidden/>
          </w:rPr>
          <w:tab/>
        </w:r>
        <w:r w:rsidR="00617987">
          <w:rPr>
            <w:noProof/>
            <w:webHidden/>
          </w:rPr>
          <w:fldChar w:fldCharType="begin"/>
        </w:r>
        <w:r w:rsidR="00617987">
          <w:rPr>
            <w:noProof/>
            <w:webHidden/>
          </w:rPr>
          <w:instrText xml:space="preserve"> PAGEREF _Toc163221062 \h </w:instrText>
        </w:r>
        <w:r w:rsidR="00617987">
          <w:rPr>
            <w:noProof/>
            <w:webHidden/>
          </w:rPr>
        </w:r>
        <w:r w:rsidR="00617987">
          <w:rPr>
            <w:noProof/>
            <w:webHidden/>
          </w:rPr>
          <w:fldChar w:fldCharType="separate"/>
        </w:r>
        <w:r w:rsidR="00617987">
          <w:rPr>
            <w:noProof/>
            <w:webHidden/>
          </w:rPr>
          <w:t>36</w:t>
        </w:r>
        <w:r w:rsidR="00617987">
          <w:rPr>
            <w:noProof/>
            <w:webHidden/>
          </w:rPr>
          <w:fldChar w:fldCharType="end"/>
        </w:r>
      </w:hyperlink>
    </w:p>
    <w:p w14:paraId="418B7DD5" w14:textId="3DDD5AF6" w:rsidR="00617987" w:rsidRDefault="00E51D93">
      <w:pPr>
        <w:pStyle w:val="TOC2"/>
        <w:rPr>
          <w:noProof/>
          <w:sz w:val="22"/>
          <w:szCs w:val="22"/>
          <w:lang w:eastAsia="en-AU"/>
        </w:rPr>
      </w:pPr>
      <w:hyperlink w:anchor="_Toc163221063" w:history="1">
        <w:r w:rsidR="00617987" w:rsidRPr="009F0035">
          <w:rPr>
            <w:rStyle w:val="Hyperlink"/>
            <w:rFonts w:cstheme="majorHAnsi"/>
            <w:noProof/>
          </w:rPr>
          <w:t>4.4.</w:t>
        </w:r>
        <w:r w:rsidR="00617987">
          <w:rPr>
            <w:noProof/>
            <w:sz w:val="22"/>
            <w:szCs w:val="22"/>
            <w:lang w:eastAsia="en-AU"/>
          </w:rPr>
          <w:tab/>
        </w:r>
        <w:r w:rsidR="00617987" w:rsidRPr="009F0035">
          <w:rPr>
            <w:rStyle w:val="Hyperlink"/>
            <w:rFonts w:cstheme="majorHAnsi"/>
            <w:noProof/>
          </w:rPr>
          <w:t>NVES options compared</w:t>
        </w:r>
        <w:r w:rsidR="00617987">
          <w:rPr>
            <w:noProof/>
            <w:webHidden/>
          </w:rPr>
          <w:tab/>
        </w:r>
        <w:r w:rsidR="00617987">
          <w:rPr>
            <w:noProof/>
            <w:webHidden/>
          </w:rPr>
          <w:fldChar w:fldCharType="begin"/>
        </w:r>
        <w:r w:rsidR="00617987">
          <w:rPr>
            <w:noProof/>
            <w:webHidden/>
          </w:rPr>
          <w:instrText xml:space="preserve"> PAGEREF _Toc163221063 \h </w:instrText>
        </w:r>
        <w:r w:rsidR="00617987">
          <w:rPr>
            <w:noProof/>
            <w:webHidden/>
          </w:rPr>
        </w:r>
        <w:r w:rsidR="00617987">
          <w:rPr>
            <w:noProof/>
            <w:webHidden/>
          </w:rPr>
          <w:fldChar w:fldCharType="separate"/>
        </w:r>
        <w:r w:rsidR="00617987">
          <w:rPr>
            <w:noProof/>
            <w:webHidden/>
          </w:rPr>
          <w:t>38</w:t>
        </w:r>
        <w:r w:rsidR="00617987">
          <w:rPr>
            <w:noProof/>
            <w:webHidden/>
          </w:rPr>
          <w:fldChar w:fldCharType="end"/>
        </w:r>
      </w:hyperlink>
    </w:p>
    <w:p w14:paraId="1F673620" w14:textId="251EF157" w:rsidR="00617987" w:rsidRDefault="00E51D93">
      <w:pPr>
        <w:pStyle w:val="TOC3"/>
        <w:rPr>
          <w:noProof/>
          <w:sz w:val="22"/>
          <w:szCs w:val="22"/>
          <w:lang w:eastAsia="en-AU"/>
        </w:rPr>
      </w:pPr>
      <w:hyperlink w:anchor="_Toc163221064" w:history="1">
        <w:r w:rsidR="00617987" w:rsidRPr="009F0035">
          <w:rPr>
            <w:rStyle w:val="Hyperlink"/>
            <w:rFonts w:cstheme="majorHAnsi"/>
            <w:noProof/>
          </w:rPr>
          <w:t>4.4.1.</w:t>
        </w:r>
        <w:r w:rsidR="00617987">
          <w:rPr>
            <w:noProof/>
            <w:sz w:val="22"/>
            <w:szCs w:val="22"/>
            <w:lang w:eastAsia="en-AU"/>
          </w:rPr>
          <w:tab/>
        </w:r>
        <w:r w:rsidR="00617987" w:rsidRPr="009F0035">
          <w:rPr>
            <w:rStyle w:val="Hyperlink"/>
            <w:rFonts w:cstheme="majorHAnsi"/>
            <w:noProof/>
          </w:rPr>
          <w:t>What changes could be considered?</w:t>
        </w:r>
        <w:r w:rsidR="00617987">
          <w:rPr>
            <w:noProof/>
            <w:webHidden/>
          </w:rPr>
          <w:tab/>
        </w:r>
        <w:r w:rsidR="00617987">
          <w:rPr>
            <w:noProof/>
            <w:webHidden/>
          </w:rPr>
          <w:fldChar w:fldCharType="begin"/>
        </w:r>
        <w:r w:rsidR="00617987">
          <w:rPr>
            <w:noProof/>
            <w:webHidden/>
          </w:rPr>
          <w:instrText xml:space="preserve"> PAGEREF _Toc163221064 \h </w:instrText>
        </w:r>
        <w:r w:rsidR="00617987">
          <w:rPr>
            <w:noProof/>
            <w:webHidden/>
          </w:rPr>
        </w:r>
        <w:r w:rsidR="00617987">
          <w:rPr>
            <w:noProof/>
            <w:webHidden/>
          </w:rPr>
          <w:fldChar w:fldCharType="separate"/>
        </w:r>
        <w:r w:rsidR="00617987">
          <w:rPr>
            <w:noProof/>
            <w:webHidden/>
          </w:rPr>
          <w:t>48</w:t>
        </w:r>
        <w:r w:rsidR="00617987">
          <w:rPr>
            <w:noProof/>
            <w:webHidden/>
          </w:rPr>
          <w:fldChar w:fldCharType="end"/>
        </w:r>
      </w:hyperlink>
    </w:p>
    <w:p w14:paraId="55942E68" w14:textId="36FEBEF6" w:rsidR="00617987" w:rsidRDefault="00E51D93">
      <w:pPr>
        <w:pStyle w:val="TOC1"/>
        <w:rPr>
          <w:b w:val="0"/>
          <w:noProof/>
          <w:color w:val="auto"/>
          <w:sz w:val="22"/>
          <w:szCs w:val="22"/>
          <w:lang w:eastAsia="en-AU"/>
        </w:rPr>
      </w:pPr>
      <w:hyperlink w:anchor="_Toc163221065" w:history="1">
        <w:r w:rsidR="00617987" w:rsidRPr="009F0035">
          <w:rPr>
            <w:rStyle w:val="Hyperlink"/>
            <w:noProof/>
          </w:rPr>
          <w:t>5.</w:t>
        </w:r>
        <w:r w:rsidR="00617987">
          <w:rPr>
            <w:b w:val="0"/>
            <w:noProof/>
            <w:color w:val="auto"/>
            <w:sz w:val="22"/>
            <w:szCs w:val="22"/>
            <w:lang w:eastAsia="en-AU"/>
          </w:rPr>
          <w:tab/>
        </w:r>
        <w:r w:rsidR="00617987" w:rsidRPr="009F0035">
          <w:rPr>
            <w:rStyle w:val="Hyperlink"/>
            <w:noProof/>
          </w:rPr>
          <w:t>What is the likely net benefit of each option?</w:t>
        </w:r>
        <w:r w:rsidR="00617987">
          <w:rPr>
            <w:noProof/>
            <w:webHidden/>
          </w:rPr>
          <w:tab/>
        </w:r>
        <w:r w:rsidR="00617987">
          <w:rPr>
            <w:noProof/>
            <w:webHidden/>
          </w:rPr>
          <w:fldChar w:fldCharType="begin"/>
        </w:r>
        <w:r w:rsidR="00617987">
          <w:rPr>
            <w:noProof/>
            <w:webHidden/>
          </w:rPr>
          <w:instrText xml:space="preserve"> PAGEREF _Toc163221065 \h </w:instrText>
        </w:r>
        <w:r w:rsidR="00617987">
          <w:rPr>
            <w:noProof/>
            <w:webHidden/>
          </w:rPr>
        </w:r>
        <w:r w:rsidR="00617987">
          <w:rPr>
            <w:noProof/>
            <w:webHidden/>
          </w:rPr>
          <w:fldChar w:fldCharType="separate"/>
        </w:r>
        <w:r w:rsidR="00617987">
          <w:rPr>
            <w:noProof/>
            <w:webHidden/>
          </w:rPr>
          <w:t>50</w:t>
        </w:r>
        <w:r w:rsidR="00617987">
          <w:rPr>
            <w:noProof/>
            <w:webHidden/>
          </w:rPr>
          <w:fldChar w:fldCharType="end"/>
        </w:r>
      </w:hyperlink>
    </w:p>
    <w:p w14:paraId="30C5423E" w14:textId="1A9362C3" w:rsidR="00617987" w:rsidRDefault="00E51D93">
      <w:pPr>
        <w:pStyle w:val="TOC2"/>
        <w:rPr>
          <w:noProof/>
          <w:sz w:val="22"/>
          <w:szCs w:val="22"/>
          <w:lang w:eastAsia="en-AU"/>
        </w:rPr>
      </w:pPr>
      <w:hyperlink w:anchor="_Toc163221066" w:history="1">
        <w:r w:rsidR="00617987" w:rsidRPr="009F0035">
          <w:rPr>
            <w:rStyle w:val="Hyperlink"/>
            <w:rFonts w:cstheme="majorHAnsi"/>
            <w:noProof/>
          </w:rPr>
          <w:t>5.1.</w:t>
        </w:r>
        <w:r w:rsidR="00617987">
          <w:rPr>
            <w:noProof/>
            <w:sz w:val="22"/>
            <w:szCs w:val="22"/>
            <w:lang w:eastAsia="en-AU"/>
          </w:rPr>
          <w:tab/>
        </w:r>
        <w:r w:rsidR="00617987" w:rsidRPr="009F0035">
          <w:rPr>
            <w:rStyle w:val="Hyperlink"/>
            <w:rFonts w:cstheme="majorHAnsi"/>
            <w:noProof/>
          </w:rPr>
          <w:t>Any viable option must compare well against the principles established</w:t>
        </w:r>
        <w:r w:rsidR="00617987">
          <w:rPr>
            <w:noProof/>
            <w:webHidden/>
          </w:rPr>
          <w:tab/>
        </w:r>
        <w:r w:rsidR="00617987">
          <w:rPr>
            <w:noProof/>
            <w:webHidden/>
          </w:rPr>
          <w:fldChar w:fldCharType="begin"/>
        </w:r>
        <w:r w:rsidR="00617987">
          <w:rPr>
            <w:noProof/>
            <w:webHidden/>
          </w:rPr>
          <w:instrText xml:space="preserve"> PAGEREF _Toc163221066 \h </w:instrText>
        </w:r>
        <w:r w:rsidR="00617987">
          <w:rPr>
            <w:noProof/>
            <w:webHidden/>
          </w:rPr>
        </w:r>
        <w:r w:rsidR="00617987">
          <w:rPr>
            <w:noProof/>
            <w:webHidden/>
          </w:rPr>
          <w:fldChar w:fldCharType="separate"/>
        </w:r>
        <w:r w:rsidR="00617987">
          <w:rPr>
            <w:noProof/>
            <w:webHidden/>
          </w:rPr>
          <w:t>50</w:t>
        </w:r>
        <w:r w:rsidR="00617987">
          <w:rPr>
            <w:noProof/>
            <w:webHidden/>
          </w:rPr>
          <w:fldChar w:fldCharType="end"/>
        </w:r>
      </w:hyperlink>
    </w:p>
    <w:p w14:paraId="1A8B2509" w14:textId="1FC90C83" w:rsidR="00617987" w:rsidRDefault="00E51D93">
      <w:pPr>
        <w:pStyle w:val="TOC2"/>
        <w:rPr>
          <w:noProof/>
          <w:sz w:val="22"/>
          <w:szCs w:val="22"/>
          <w:lang w:eastAsia="en-AU"/>
        </w:rPr>
      </w:pPr>
      <w:hyperlink w:anchor="_Toc163221067" w:history="1">
        <w:r w:rsidR="00617987" w:rsidRPr="009F0035">
          <w:rPr>
            <w:rStyle w:val="Hyperlink"/>
            <w:noProof/>
          </w:rPr>
          <w:t>5.2.</w:t>
        </w:r>
        <w:r w:rsidR="00617987">
          <w:rPr>
            <w:noProof/>
            <w:sz w:val="22"/>
            <w:szCs w:val="22"/>
            <w:lang w:eastAsia="en-AU"/>
          </w:rPr>
          <w:tab/>
        </w:r>
        <w:r w:rsidR="00617987" w:rsidRPr="009F0035">
          <w:rPr>
            <w:rStyle w:val="Hyperlink"/>
            <w:rFonts w:cstheme="majorHAnsi"/>
            <w:noProof/>
          </w:rPr>
          <w:t>The options analysed all have a net benefit</w:t>
        </w:r>
        <w:r w:rsidR="00617987">
          <w:rPr>
            <w:noProof/>
            <w:webHidden/>
          </w:rPr>
          <w:tab/>
        </w:r>
        <w:r w:rsidR="00617987">
          <w:rPr>
            <w:noProof/>
            <w:webHidden/>
          </w:rPr>
          <w:fldChar w:fldCharType="begin"/>
        </w:r>
        <w:r w:rsidR="00617987">
          <w:rPr>
            <w:noProof/>
            <w:webHidden/>
          </w:rPr>
          <w:instrText xml:space="preserve"> PAGEREF _Toc163221067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67187BF2" w14:textId="2B52B94F" w:rsidR="00617987" w:rsidRDefault="00E51D93">
      <w:pPr>
        <w:pStyle w:val="TOC3"/>
        <w:rPr>
          <w:noProof/>
          <w:sz w:val="22"/>
          <w:szCs w:val="22"/>
          <w:lang w:eastAsia="en-AU"/>
        </w:rPr>
      </w:pPr>
      <w:hyperlink w:anchor="_Toc163221068" w:history="1">
        <w:r w:rsidR="00617987" w:rsidRPr="009F0035">
          <w:rPr>
            <w:rStyle w:val="Hyperlink"/>
            <w:rFonts w:cstheme="majorHAnsi"/>
            <w:noProof/>
          </w:rPr>
          <w:t>5.2.1</w:t>
        </w:r>
        <w:r w:rsidR="00617987">
          <w:rPr>
            <w:noProof/>
            <w:sz w:val="22"/>
            <w:szCs w:val="22"/>
            <w:lang w:eastAsia="en-AU"/>
          </w:rPr>
          <w:tab/>
        </w:r>
        <w:r w:rsidR="00617987" w:rsidRPr="009F0035">
          <w:rPr>
            <w:rStyle w:val="Hyperlink"/>
            <w:rFonts w:cstheme="majorHAnsi"/>
            <w:noProof/>
          </w:rPr>
          <w:t>Option A – slow start</w:t>
        </w:r>
        <w:r w:rsidR="00617987">
          <w:rPr>
            <w:noProof/>
            <w:webHidden/>
          </w:rPr>
          <w:tab/>
        </w:r>
        <w:r w:rsidR="00617987">
          <w:rPr>
            <w:noProof/>
            <w:webHidden/>
          </w:rPr>
          <w:fldChar w:fldCharType="begin"/>
        </w:r>
        <w:r w:rsidR="00617987">
          <w:rPr>
            <w:noProof/>
            <w:webHidden/>
          </w:rPr>
          <w:instrText xml:space="preserve"> PAGEREF _Toc163221068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3157DD2A" w14:textId="2CB4AADF" w:rsidR="00617987" w:rsidRDefault="00E51D93">
      <w:pPr>
        <w:pStyle w:val="TOC3"/>
        <w:rPr>
          <w:noProof/>
          <w:sz w:val="22"/>
          <w:szCs w:val="22"/>
          <w:lang w:eastAsia="en-AU"/>
        </w:rPr>
      </w:pPr>
      <w:hyperlink w:anchor="_Toc163221069" w:history="1">
        <w:r w:rsidR="00617987" w:rsidRPr="009F0035">
          <w:rPr>
            <w:rStyle w:val="Hyperlink"/>
            <w:rFonts w:cstheme="majorHAnsi"/>
            <w:noProof/>
          </w:rPr>
          <w:t>5.2.2</w:t>
        </w:r>
        <w:r w:rsidR="00617987">
          <w:rPr>
            <w:noProof/>
            <w:sz w:val="22"/>
            <w:szCs w:val="22"/>
            <w:lang w:eastAsia="en-AU"/>
          </w:rPr>
          <w:tab/>
        </w:r>
        <w:r w:rsidR="00617987" w:rsidRPr="009F0035">
          <w:rPr>
            <w:rStyle w:val="Hyperlink"/>
            <w:rFonts w:cstheme="majorHAnsi"/>
            <w:noProof/>
          </w:rPr>
          <w:t>Option B – fast but flexible</w:t>
        </w:r>
        <w:r w:rsidR="00617987">
          <w:rPr>
            <w:noProof/>
            <w:webHidden/>
          </w:rPr>
          <w:tab/>
        </w:r>
        <w:r w:rsidR="00617987">
          <w:rPr>
            <w:noProof/>
            <w:webHidden/>
          </w:rPr>
          <w:fldChar w:fldCharType="begin"/>
        </w:r>
        <w:r w:rsidR="00617987">
          <w:rPr>
            <w:noProof/>
            <w:webHidden/>
          </w:rPr>
          <w:instrText xml:space="preserve"> PAGEREF _Toc163221069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12CC5D77" w14:textId="2F7D7C45" w:rsidR="00617987" w:rsidRDefault="00E51D93">
      <w:pPr>
        <w:pStyle w:val="TOC3"/>
        <w:rPr>
          <w:noProof/>
          <w:sz w:val="22"/>
          <w:szCs w:val="22"/>
          <w:lang w:eastAsia="en-AU"/>
        </w:rPr>
      </w:pPr>
      <w:hyperlink w:anchor="_Toc163221070" w:history="1">
        <w:r w:rsidR="00617987" w:rsidRPr="009F0035">
          <w:rPr>
            <w:rStyle w:val="Hyperlink"/>
            <w:rFonts w:cstheme="majorHAnsi"/>
            <w:noProof/>
          </w:rPr>
          <w:t>5.2.3</w:t>
        </w:r>
        <w:r w:rsidR="00617987">
          <w:rPr>
            <w:noProof/>
            <w:sz w:val="22"/>
            <w:szCs w:val="22"/>
            <w:lang w:eastAsia="en-AU"/>
          </w:rPr>
          <w:tab/>
        </w:r>
        <w:r w:rsidR="00617987" w:rsidRPr="009F0035">
          <w:rPr>
            <w:rStyle w:val="Hyperlink"/>
            <w:rFonts w:cstheme="majorHAnsi"/>
            <w:noProof/>
          </w:rPr>
          <w:t>Option C – fast start</w:t>
        </w:r>
        <w:r w:rsidR="00617987">
          <w:rPr>
            <w:noProof/>
            <w:webHidden/>
          </w:rPr>
          <w:tab/>
        </w:r>
        <w:r w:rsidR="00617987">
          <w:rPr>
            <w:noProof/>
            <w:webHidden/>
          </w:rPr>
          <w:fldChar w:fldCharType="begin"/>
        </w:r>
        <w:r w:rsidR="00617987">
          <w:rPr>
            <w:noProof/>
            <w:webHidden/>
          </w:rPr>
          <w:instrText xml:space="preserve"> PAGEREF _Toc163221070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452A6377" w14:textId="65864B85" w:rsidR="00617987" w:rsidRDefault="00E51D93">
      <w:pPr>
        <w:pStyle w:val="TOC3"/>
        <w:rPr>
          <w:noProof/>
          <w:sz w:val="22"/>
          <w:szCs w:val="22"/>
          <w:lang w:eastAsia="en-AU"/>
        </w:rPr>
      </w:pPr>
      <w:hyperlink w:anchor="_Toc163221071" w:history="1">
        <w:r w:rsidR="00617987" w:rsidRPr="009F0035">
          <w:rPr>
            <w:rStyle w:val="Hyperlink"/>
            <w:rFonts w:cstheme="majorHAnsi"/>
            <w:noProof/>
          </w:rPr>
          <w:t>5.2.4</w:t>
        </w:r>
        <w:r w:rsidR="00617987">
          <w:rPr>
            <w:noProof/>
            <w:sz w:val="22"/>
            <w:szCs w:val="22"/>
            <w:lang w:eastAsia="en-AU"/>
          </w:rPr>
          <w:tab/>
        </w:r>
        <w:r w:rsidR="00617987" w:rsidRPr="009F0035">
          <w:rPr>
            <w:rStyle w:val="Hyperlink"/>
            <w:rFonts w:cstheme="majorHAnsi"/>
            <w:noProof/>
          </w:rPr>
          <w:t>The best option from those considered</w:t>
        </w:r>
        <w:r w:rsidR="00617987">
          <w:rPr>
            <w:noProof/>
            <w:webHidden/>
          </w:rPr>
          <w:tab/>
        </w:r>
        <w:r w:rsidR="00617987">
          <w:rPr>
            <w:noProof/>
            <w:webHidden/>
          </w:rPr>
          <w:fldChar w:fldCharType="begin"/>
        </w:r>
        <w:r w:rsidR="00617987">
          <w:rPr>
            <w:noProof/>
            <w:webHidden/>
          </w:rPr>
          <w:instrText xml:space="preserve"> PAGEREF _Toc163221071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06369FC8" w14:textId="3A5F0B31" w:rsidR="00617987" w:rsidRDefault="00E51D93">
      <w:pPr>
        <w:pStyle w:val="TOC3"/>
        <w:rPr>
          <w:noProof/>
          <w:sz w:val="22"/>
          <w:szCs w:val="22"/>
          <w:lang w:eastAsia="en-AU"/>
        </w:rPr>
      </w:pPr>
      <w:hyperlink w:anchor="_Toc163221072" w:history="1">
        <w:r w:rsidR="00617987" w:rsidRPr="009F0035">
          <w:rPr>
            <w:rStyle w:val="Hyperlink"/>
            <w:rFonts w:cstheme="majorHAnsi"/>
            <w:noProof/>
          </w:rPr>
          <w:t>5.2.5</w:t>
        </w:r>
        <w:r w:rsidR="00617987">
          <w:rPr>
            <w:noProof/>
            <w:sz w:val="22"/>
            <w:szCs w:val="22"/>
            <w:lang w:eastAsia="en-AU"/>
          </w:rPr>
          <w:tab/>
        </w:r>
        <w:r w:rsidR="00617987" w:rsidRPr="009F0035">
          <w:rPr>
            <w:rStyle w:val="Hyperlink"/>
            <w:rFonts w:cstheme="majorHAnsi"/>
            <w:noProof/>
          </w:rPr>
          <w:t>How do the different options impact stakeholders?</w:t>
        </w:r>
        <w:r w:rsidR="00617987">
          <w:rPr>
            <w:noProof/>
            <w:webHidden/>
          </w:rPr>
          <w:tab/>
        </w:r>
        <w:r w:rsidR="00617987">
          <w:rPr>
            <w:noProof/>
            <w:webHidden/>
          </w:rPr>
          <w:fldChar w:fldCharType="begin"/>
        </w:r>
        <w:r w:rsidR="00617987">
          <w:rPr>
            <w:noProof/>
            <w:webHidden/>
          </w:rPr>
          <w:instrText xml:space="preserve"> PAGEREF _Toc163221072 \h </w:instrText>
        </w:r>
        <w:r w:rsidR="00617987">
          <w:rPr>
            <w:noProof/>
            <w:webHidden/>
          </w:rPr>
        </w:r>
        <w:r w:rsidR="00617987">
          <w:rPr>
            <w:noProof/>
            <w:webHidden/>
          </w:rPr>
          <w:fldChar w:fldCharType="separate"/>
        </w:r>
        <w:r w:rsidR="00617987">
          <w:rPr>
            <w:noProof/>
            <w:webHidden/>
          </w:rPr>
          <w:t>58</w:t>
        </w:r>
        <w:r w:rsidR="00617987">
          <w:rPr>
            <w:noProof/>
            <w:webHidden/>
          </w:rPr>
          <w:fldChar w:fldCharType="end"/>
        </w:r>
      </w:hyperlink>
    </w:p>
    <w:p w14:paraId="789C5D12" w14:textId="3AF69A98" w:rsidR="00617987" w:rsidRDefault="00E51D93">
      <w:pPr>
        <w:pStyle w:val="TOC3"/>
        <w:rPr>
          <w:noProof/>
          <w:sz w:val="22"/>
          <w:szCs w:val="22"/>
          <w:lang w:eastAsia="en-AU"/>
        </w:rPr>
      </w:pPr>
      <w:hyperlink w:anchor="_Toc163221073" w:history="1">
        <w:r w:rsidR="00617987" w:rsidRPr="009F0035">
          <w:rPr>
            <w:rStyle w:val="Hyperlink"/>
            <w:noProof/>
          </w:rPr>
          <w:t>5.2.6</w:t>
        </w:r>
        <w:r w:rsidR="00617987">
          <w:rPr>
            <w:noProof/>
            <w:sz w:val="22"/>
            <w:szCs w:val="22"/>
            <w:lang w:eastAsia="en-AU"/>
          </w:rPr>
          <w:tab/>
        </w:r>
        <w:r w:rsidR="00617987" w:rsidRPr="009F0035">
          <w:rPr>
            <w:rStyle w:val="Hyperlink"/>
            <w:noProof/>
          </w:rPr>
          <w:t>What sensitivity tests were considered?</w:t>
        </w:r>
        <w:r w:rsidR="00617987">
          <w:rPr>
            <w:noProof/>
            <w:webHidden/>
          </w:rPr>
          <w:tab/>
        </w:r>
        <w:r w:rsidR="00617987">
          <w:rPr>
            <w:noProof/>
            <w:webHidden/>
          </w:rPr>
          <w:fldChar w:fldCharType="begin"/>
        </w:r>
        <w:r w:rsidR="00617987">
          <w:rPr>
            <w:noProof/>
            <w:webHidden/>
          </w:rPr>
          <w:instrText xml:space="preserve"> PAGEREF _Toc163221073 \h </w:instrText>
        </w:r>
        <w:r w:rsidR="00617987">
          <w:rPr>
            <w:noProof/>
            <w:webHidden/>
          </w:rPr>
        </w:r>
        <w:r w:rsidR="00617987">
          <w:rPr>
            <w:noProof/>
            <w:webHidden/>
          </w:rPr>
          <w:fldChar w:fldCharType="separate"/>
        </w:r>
        <w:r w:rsidR="00617987">
          <w:rPr>
            <w:noProof/>
            <w:webHidden/>
          </w:rPr>
          <w:t>61</w:t>
        </w:r>
        <w:r w:rsidR="00617987">
          <w:rPr>
            <w:noProof/>
            <w:webHidden/>
          </w:rPr>
          <w:fldChar w:fldCharType="end"/>
        </w:r>
      </w:hyperlink>
    </w:p>
    <w:p w14:paraId="21AB7C31" w14:textId="2451573C" w:rsidR="00617987" w:rsidRDefault="00E51D93">
      <w:pPr>
        <w:pStyle w:val="TOC2"/>
        <w:rPr>
          <w:noProof/>
          <w:sz w:val="22"/>
          <w:szCs w:val="22"/>
          <w:lang w:eastAsia="en-AU"/>
        </w:rPr>
      </w:pPr>
      <w:hyperlink w:anchor="_Toc163221074" w:history="1">
        <w:r w:rsidR="00617987" w:rsidRPr="009F0035">
          <w:rPr>
            <w:rStyle w:val="Hyperlink"/>
            <w:rFonts w:cstheme="majorHAnsi"/>
            <w:noProof/>
          </w:rPr>
          <w:t>5.3.</w:t>
        </w:r>
        <w:r w:rsidR="00617987">
          <w:rPr>
            <w:noProof/>
            <w:sz w:val="22"/>
            <w:szCs w:val="22"/>
            <w:lang w:eastAsia="en-AU"/>
          </w:rPr>
          <w:tab/>
        </w:r>
        <w:r w:rsidR="00617987" w:rsidRPr="009F0035">
          <w:rPr>
            <w:rStyle w:val="Hyperlink"/>
            <w:rFonts w:cstheme="majorHAnsi"/>
            <w:noProof/>
          </w:rPr>
          <w:t>Regulatory burden estimate (RBE) table</w:t>
        </w:r>
        <w:r w:rsidR="00617987">
          <w:rPr>
            <w:noProof/>
            <w:webHidden/>
          </w:rPr>
          <w:tab/>
        </w:r>
        <w:r w:rsidR="00617987">
          <w:rPr>
            <w:noProof/>
            <w:webHidden/>
          </w:rPr>
          <w:fldChar w:fldCharType="begin"/>
        </w:r>
        <w:r w:rsidR="00617987">
          <w:rPr>
            <w:noProof/>
            <w:webHidden/>
          </w:rPr>
          <w:instrText xml:space="preserve"> PAGEREF _Toc163221074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4AC838FE" w14:textId="4FB5113B" w:rsidR="00617987" w:rsidRDefault="00E51D93">
      <w:pPr>
        <w:pStyle w:val="TOC1"/>
        <w:rPr>
          <w:b w:val="0"/>
          <w:noProof/>
          <w:color w:val="auto"/>
          <w:sz w:val="22"/>
          <w:szCs w:val="22"/>
          <w:lang w:eastAsia="en-AU"/>
        </w:rPr>
      </w:pPr>
      <w:hyperlink w:anchor="_Toc163221075" w:history="1">
        <w:r w:rsidR="00617987" w:rsidRPr="009F0035">
          <w:rPr>
            <w:rStyle w:val="Hyperlink"/>
            <w:noProof/>
          </w:rPr>
          <w:t>6.</w:t>
        </w:r>
        <w:r w:rsidR="00617987">
          <w:rPr>
            <w:b w:val="0"/>
            <w:noProof/>
            <w:color w:val="auto"/>
            <w:sz w:val="22"/>
            <w:szCs w:val="22"/>
            <w:lang w:eastAsia="en-AU"/>
          </w:rPr>
          <w:tab/>
        </w:r>
        <w:r w:rsidR="00617987" w:rsidRPr="009F0035">
          <w:rPr>
            <w:rStyle w:val="Hyperlink"/>
            <w:noProof/>
          </w:rPr>
          <w:t>Who did you consult and how did you incorporate their feedback?</w:t>
        </w:r>
        <w:r w:rsidR="00617987">
          <w:rPr>
            <w:noProof/>
            <w:webHidden/>
          </w:rPr>
          <w:tab/>
        </w:r>
        <w:r w:rsidR="00617987">
          <w:rPr>
            <w:noProof/>
            <w:webHidden/>
          </w:rPr>
          <w:fldChar w:fldCharType="begin"/>
        </w:r>
        <w:r w:rsidR="00617987">
          <w:rPr>
            <w:noProof/>
            <w:webHidden/>
          </w:rPr>
          <w:instrText xml:space="preserve"> PAGEREF _Toc163221075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7E3F5644" w14:textId="79684A9F" w:rsidR="00617987" w:rsidRDefault="00E51D93">
      <w:pPr>
        <w:pStyle w:val="TOC2"/>
        <w:rPr>
          <w:noProof/>
          <w:sz w:val="22"/>
          <w:szCs w:val="22"/>
          <w:lang w:eastAsia="en-AU"/>
        </w:rPr>
      </w:pPr>
      <w:hyperlink w:anchor="_Toc163221076" w:history="1">
        <w:r w:rsidR="00617987" w:rsidRPr="009F0035">
          <w:rPr>
            <w:rStyle w:val="Hyperlink"/>
            <w:noProof/>
          </w:rPr>
          <w:t>6.1.</w:t>
        </w:r>
        <w:r w:rsidR="00617987">
          <w:rPr>
            <w:noProof/>
            <w:sz w:val="22"/>
            <w:szCs w:val="22"/>
            <w:lang w:eastAsia="en-AU"/>
          </w:rPr>
          <w:tab/>
        </w:r>
        <w:r w:rsidR="00617987" w:rsidRPr="009F0035">
          <w:rPr>
            <w:rStyle w:val="Hyperlink"/>
            <w:noProof/>
          </w:rPr>
          <w:t xml:space="preserve">Extensive public consultation has informed the design of an Australian </w:t>
        </w:r>
        <w:r w:rsidR="00617987" w:rsidRPr="009F0035">
          <w:rPr>
            <w:rStyle w:val="Hyperlink"/>
            <w:rFonts w:cstheme="majorHAnsi"/>
            <w:noProof/>
          </w:rPr>
          <w:t>NVES</w:t>
        </w:r>
        <w:r w:rsidR="00617987">
          <w:rPr>
            <w:noProof/>
            <w:webHidden/>
          </w:rPr>
          <w:tab/>
        </w:r>
        <w:r w:rsidR="00617987">
          <w:rPr>
            <w:noProof/>
            <w:webHidden/>
          </w:rPr>
          <w:fldChar w:fldCharType="begin"/>
        </w:r>
        <w:r w:rsidR="00617987">
          <w:rPr>
            <w:noProof/>
            <w:webHidden/>
          </w:rPr>
          <w:instrText xml:space="preserve"> PAGEREF _Toc163221076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5EDD616B" w14:textId="2C4407F1" w:rsidR="00617987" w:rsidRDefault="00E51D93">
      <w:pPr>
        <w:pStyle w:val="TOC3"/>
        <w:rPr>
          <w:noProof/>
          <w:sz w:val="22"/>
          <w:szCs w:val="22"/>
          <w:lang w:eastAsia="en-AU"/>
        </w:rPr>
      </w:pPr>
      <w:hyperlink w:anchor="_Toc163221077" w:history="1">
        <w:r w:rsidR="00617987" w:rsidRPr="009F0035">
          <w:rPr>
            <w:rStyle w:val="Hyperlink"/>
            <w:noProof/>
          </w:rPr>
          <w:t>6.1.1.</w:t>
        </w:r>
        <w:r w:rsidR="00617987">
          <w:rPr>
            <w:noProof/>
            <w:sz w:val="22"/>
            <w:szCs w:val="22"/>
            <w:lang w:eastAsia="en-AU"/>
          </w:rPr>
          <w:tab/>
        </w:r>
        <w:r w:rsidR="00617987" w:rsidRPr="009F0035">
          <w:rPr>
            <w:rStyle w:val="Hyperlink"/>
            <w:noProof/>
          </w:rPr>
          <w:t>Initial consultation for the National Electric Vehicle Strategy  - Sep to Oct 2022</w:t>
        </w:r>
        <w:r w:rsidR="00617987">
          <w:rPr>
            <w:noProof/>
            <w:webHidden/>
          </w:rPr>
          <w:tab/>
        </w:r>
        <w:r w:rsidR="00617987">
          <w:rPr>
            <w:noProof/>
            <w:webHidden/>
          </w:rPr>
          <w:fldChar w:fldCharType="begin"/>
        </w:r>
        <w:r w:rsidR="00617987">
          <w:rPr>
            <w:noProof/>
            <w:webHidden/>
          </w:rPr>
          <w:instrText xml:space="preserve"> PAGEREF _Toc163221077 \h </w:instrText>
        </w:r>
        <w:r w:rsidR="00617987">
          <w:rPr>
            <w:noProof/>
            <w:webHidden/>
          </w:rPr>
        </w:r>
        <w:r w:rsidR="00617987">
          <w:rPr>
            <w:noProof/>
            <w:webHidden/>
          </w:rPr>
          <w:fldChar w:fldCharType="separate"/>
        </w:r>
        <w:r w:rsidR="00617987">
          <w:rPr>
            <w:noProof/>
            <w:webHidden/>
          </w:rPr>
          <w:t>65</w:t>
        </w:r>
        <w:r w:rsidR="00617987">
          <w:rPr>
            <w:noProof/>
            <w:webHidden/>
          </w:rPr>
          <w:fldChar w:fldCharType="end"/>
        </w:r>
      </w:hyperlink>
    </w:p>
    <w:p w14:paraId="6DEF234E" w14:textId="627C5B99" w:rsidR="00617987" w:rsidRDefault="00E51D93">
      <w:pPr>
        <w:pStyle w:val="TOC3"/>
        <w:rPr>
          <w:noProof/>
          <w:sz w:val="22"/>
          <w:szCs w:val="22"/>
          <w:lang w:eastAsia="en-AU"/>
        </w:rPr>
      </w:pPr>
      <w:hyperlink w:anchor="_Toc163221078" w:history="1">
        <w:r w:rsidR="00617987" w:rsidRPr="009F0035">
          <w:rPr>
            <w:rStyle w:val="Hyperlink"/>
            <w:noProof/>
          </w:rPr>
          <w:t>6.1.2.</w:t>
        </w:r>
        <w:r w:rsidR="00617987">
          <w:rPr>
            <w:noProof/>
            <w:sz w:val="22"/>
            <w:szCs w:val="22"/>
            <w:lang w:eastAsia="en-AU"/>
          </w:rPr>
          <w:tab/>
        </w:r>
        <w:r w:rsidR="00617987" w:rsidRPr="009F0035">
          <w:rPr>
            <w:rStyle w:val="Hyperlink"/>
            <w:noProof/>
          </w:rPr>
          <w:t>Phase 1 consultation on the design of the New Vehicle Efficiency Standard - Apr to May 2023</w:t>
        </w:r>
        <w:r w:rsidR="00617987">
          <w:rPr>
            <w:noProof/>
            <w:webHidden/>
          </w:rPr>
          <w:tab/>
        </w:r>
        <w:r w:rsidR="00617987">
          <w:rPr>
            <w:noProof/>
            <w:webHidden/>
          </w:rPr>
          <w:fldChar w:fldCharType="begin"/>
        </w:r>
        <w:r w:rsidR="00617987">
          <w:rPr>
            <w:noProof/>
            <w:webHidden/>
          </w:rPr>
          <w:instrText xml:space="preserve"> PAGEREF _Toc163221078 \h </w:instrText>
        </w:r>
        <w:r w:rsidR="00617987">
          <w:rPr>
            <w:noProof/>
            <w:webHidden/>
          </w:rPr>
        </w:r>
        <w:r w:rsidR="00617987">
          <w:rPr>
            <w:noProof/>
            <w:webHidden/>
          </w:rPr>
          <w:fldChar w:fldCharType="separate"/>
        </w:r>
        <w:r w:rsidR="00617987">
          <w:rPr>
            <w:noProof/>
            <w:webHidden/>
          </w:rPr>
          <w:t>65</w:t>
        </w:r>
        <w:r w:rsidR="00617987">
          <w:rPr>
            <w:noProof/>
            <w:webHidden/>
          </w:rPr>
          <w:fldChar w:fldCharType="end"/>
        </w:r>
      </w:hyperlink>
    </w:p>
    <w:p w14:paraId="0A2A5496" w14:textId="1AC4E94D" w:rsidR="00617987" w:rsidRDefault="00E51D93">
      <w:pPr>
        <w:pStyle w:val="TOC3"/>
        <w:rPr>
          <w:noProof/>
          <w:sz w:val="22"/>
          <w:szCs w:val="22"/>
          <w:lang w:eastAsia="en-AU"/>
        </w:rPr>
      </w:pPr>
      <w:hyperlink w:anchor="_Toc163221079" w:history="1">
        <w:r w:rsidR="00617987" w:rsidRPr="009F0035">
          <w:rPr>
            <w:rStyle w:val="Hyperlink"/>
            <w:noProof/>
          </w:rPr>
          <w:t>6.1.3.</w:t>
        </w:r>
        <w:r w:rsidR="00617987">
          <w:rPr>
            <w:noProof/>
            <w:sz w:val="22"/>
            <w:szCs w:val="22"/>
            <w:lang w:eastAsia="en-AU"/>
          </w:rPr>
          <w:tab/>
        </w:r>
        <w:r w:rsidR="00617987" w:rsidRPr="009F0035">
          <w:rPr>
            <w:rStyle w:val="Hyperlink"/>
            <w:noProof/>
          </w:rPr>
          <w:t>Phase 2 consultation on the design of the NVES - Feb to Mar 2024</w:t>
        </w:r>
        <w:r w:rsidR="00617987">
          <w:rPr>
            <w:noProof/>
            <w:webHidden/>
          </w:rPr>
          <w:tab/>
        </w:r>
        <w:r w:rsidR="00617987">
          <w:rPr>
            <w:noProof/>
            <w:webHidden/>
          </w:rPr>
          <w:fldChar w:fldCharType="begin"/>
        </w:r>
        <w:r w:rsidR="00617987">
          <w:rPr>
            <w:noProof/>
            <w:webHidden/>
          </w:rPr>
          <w:instrText xml:space="preserve"> PAGEREF _Toc163221079 \h </w:instrText>
        </w:r>
        <w:r w:rsidR="00617987">
          <w:rPr>
            <w:noProof/>
            <w:webHidden/>
          </w:rPr>
        </w:r>
        <w:r w:rsidR="00617987">
          <w:rPr>
            <w:noProof/>
            <w:webHidden/>
          </w:rPr>
          <w:fldChar w:fldCharType="separate"/>
        </w:r>
        <w:r w:rsidR="00617987">
          <w:rPr>
            <w:noProof/>
            <w:webHidden/>
          </w:rPr>
          <w:t>70</w:t>
        </w:r>
        <w:r w:rsidR="00617987">
          <w:rPr>
            <w:noProof/>
            <w:webHidden/>
          </w:rPr>
          <w:fldChar w:fldCharType="end"/>
        </w:r>
      </w:hyperlink>
    </w:p>
    <w:p w14:paraId="14FBABAD" w14:textId="0152BD1F" w:rsidR="00617987" w:rsidRDefault="00E51D93">
      <w:pPr>
        <w:pStyle w:val="TOC3"/>
        <w:rPr>
          <w:noProof/>
          <w:sz w:val="22"/>
          <w:szCs w:val="22"/>
          <w:lang w:eastAsia="en-AU"/>
        </w:rPr>
      </w:pPr>
      <w:hyperlink w:anchor="_Toc163221080" w:history="1">
        <w:r w:rsidR="00617987" w:rsidRPr="009F0035">
          <w:rPr>
            <w:rStyle w:val="Hyperlink"/>
            <w:i/>
            <w:iCs/>
            <w:noProof/>
          </w:rPr>
          <w:t>Targeted discussions</w:t>
        </w:r>
        <w:r w:rsidR="00617987">
          <w:rPr>
            <w:noProof/>
            <w:webHidden/>
          </w:rPr>
          <w:tab/>
        </w:r>
        <w:r w:rsidR="00617987">
          <w:rPr>
            <w:noProof/>
            <w:webHidden/>
          </w:rPr>
          <w:fldChar w:fldCharType="begin"/>
        </w:r>
        <w:r w:rsidR="00617987">
          <w:rPr>
            <w:noProof/>
            <w:webHidden/>
          </w:rPr>
          <w:instrText xml:space="preserve"> PAGEREF _Toc163221080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5F5D3A2" w14:textId="24A58B2B" w:rsidR="00617987" w:rsidRDefault="00E51D93">
      <w:pPr>
        <w:pStyle w:val="TOC3"/>
        <w:rPr>
          <w:noProof/>
          <w:sz w:val="22"/>
          <w:szCs w:val="22"/>
          <w:lang w:eastAsia="en-AU"/>
        </w:rPr>
      </w:pPr>
      <w:hyperlink w:anchor="_Toc163221081" w:history="1">
        <w:r w:rsidR="00617987" w:rsidRPr="009F0035">
          <w:rPr>
            <w:rStyle w:val="Hyperlink"/>
            <w:i/>
            <w:iCs/>
            <w:noProof/>
          </w:rPr>
          <w:t>Who contributed their views to the consultation?</w:t>
        </w:r>
        <w:r w:rsidR="00617987">
          <w:rPr>
            <w:noProof/>
            <w:webHidden/>
          </w:rPr>
          <w:tab/>
        </w:r>
        <w:r w:rsidR="00617987">
          <w:rPr>
            <w:noProof/>
            <w:webHidden/>
          </w:rPr>
          <w:fldChar w:fldCharType="begin"/>
        </w:r>
        <w:r w:rsidR="00617987">
          <w:rPr>
            <w:noProof/>
            <w:webHidden/>
          </w:rPr>
          <w:instrText xml:space="preserve"> PAGEREF _Toc163221081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2C4A1C8" w14:textId="6C9CC4CD" w:rsidR="00617987" w:rsidRDefault="00E51D93">
      <w:pPr>
        <w:pStyle w:val="TOC3"/>
        <w:rPr>
          <w:noProof/>
          <w:sz w:val="22"/>
          <w:szCs w:val="22"/>
          <w:lang w:eastAsia="en-AU"/>
        </w:rPr>
      </w:pPr>
      <w:hyperlink w:anchor="_Toc163221082" w:history="1">
        <w:r w:rsidR="00617987" w:rsidRPr="009F0035">
          <w:rPr>
            <w:rStyle w:val="Hyperlink"/>
            <w:i/>
            <w:noProof/>
          </w:rPr>
          <w:t>So which option was preferred by consultation participants overall?</w:t>
        </w:r>
        <w:r w:rsidR="00617987">
          <w:rPr>
            <w:noProof/>
            <w:webHidden/>
          </w:rPr>
          <w:tab/>
        </w:r>
        <w:r w:rsidR="00617987">
          <w:rPr>
            <w:noProof/>
            <w:webHidden/>
          </w:rPr>
          <w:fldChar w:fldCharType="begin"/>
        </w:r>
        <w:r w:rsidR="00617987">
          <w:rPr>
            <w:noProof/>
            <w:webHidden/>
          </w:rPr>
          <w:instrText xml:space="preserve"> PAGEREF _Toc163221082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C7F246A" w14:textId="11040D32" w:rsidR="00617987" w:rsidRDefault="00E51D93">
      <w:pPr>
        <w:pStyle w:val="TOC3"/>
        <w:rPr>
          <w:noProof/>
          <w:sz w:val="22"/>
          <w:szCs w:val="22"/>
          <w:lang w:eastAsia="en-AU"/>
        </w:rPr>
      </w:pPr>
      <w:hyperlink w:anchor="_Toc163221083" w:history="1">
        <w:r w:rsidR="00617987" w:rsidRPr="009F0035">
          <w:rPr>
            <w:rStyle w:val="Hyperlink"/>
            <w:noProof/>
          </w:rPr>
          <w:t>6.1.4.</w:t>
        </w:r>
        <w:r w:rsidR="00617987">
          <w:rPr>
            <w:noProof/>
            <w:sz w:val="22"/>
            <w:szCs w:val="22"/>
            <w:lang w:eastAsia="en-AU"/>
          </w:rPr>
          <w:tab/>
        </w:r>
        <w:r w:rsidR="00617987" w:rsidRPr="009F0035">
          <w:rPr>
            <w:rStyle w:val="Hyperlink"/>
            <w:noProof/>
          </w:rPr>
          <w:t>Consultation outcome by option - what we heard</w:t>
        </w:r>
        <w:r w:rsidR="00617987">
          <w:rPr>
            <w:noProof/>
            <w:webHidden/>
          </w:rPr>
          <w:tab/>
        </w:r>
        <w:r w:rsidR="00617987">
          <w:rPr>
            <w:noProof/>
            <w:webHidden/>
          </w:rPr>
          <w:fldChar w:fldCharType="begin"/>
        </w:r>
        <w:r w:rsidR="00617987">
          <w:rPr>
            <w:noProof/>
            <w:webHidden/>
          </w:rPr>
          <w:instrText xml:space="preserve"> PAGEREF _Toc163221083 \h </w:instrText>
        </w:r>
        <w:r w:rsidR="00617987">
          <w:rPr>
            <w:noProof/>
            <w:webHidden/>
          </w:rPr>
        </w:r>
        <w:r w:rsidR="00617987">
          <w:rPr>
            <w:noProof/>
            <w:webHidden/>
          </w:rPr>
          <w:fldChar w:fldCharType="separate"/>
        </w:r>
        <w:r w:rsidR="00617987">
          <w:rPr>
            <w:noProof/>
            <w:webHidden/>
          </w:rPr>
          <w:t>81</w:t>
        </w:r>
        <w:r w:rsidR="00617987">
          <w:rPr>
            <w:noProof/>
            <w:webHidden/>
          </w:rPr>
          <w:fldChar w:fldCharType="end"/>
        </w:r>
      </w:hyperlink>
    </w:p>
    <w:p w14:paraId="54A4B72C" w14:textId="4E07E714" w:rsidR="00617987" w:rsidRDefault="00E51D93">
      <w:pPr>
        <w:pStyle w:val="TOC1"/>
        <w:rPr>
          <w:b w:val="0"/>
          <w:noProof/>
          <w:color w:val="auto"/>
          <w:sz w:val="22"/>
          <w:szCs w:val="22"/>
          <w:lang w:eastAsia="en-AU"/>
        </w:rPr>
      </w:pPr>
      <w:hyperlink w:anchor="_Toc163221084" w:history="1">
        <w:r w:rsidR="00617987" w:rsidRPr="009F0035">
          <w:rPr>
            <w:rStyle w:val="Hyperlink"/>
            <w:noProof/>
          </w:rPr>
          <w:t>7.</w:t>
        </w:r>
        <w:r w:rsidR="00617987">
          <w:rPr>
            <w:b w:val="0"/>
            <w:noProof/>
            <w:color w:val="auto"/>
            <w:sz w:val="22"/>
            <w:szCs w:val="22"/>
            <w:lang w:eastAsia="en-AU"/>
          </w:rPr>
          <w:tab/>
        </w:r>
        <w:r w:rsidR="00617987" w:rsidRPr="009F0035">
          <w:rPr>
            <w:rStyle w:val="Hyperlink"/>
            <w:noProof/>
          </w:rPr>
          <w:t>What is the best option from those you have considered and how will it be implemented?</w:t>
        </w:r>
        <w:r w:rsidR="00617987">
          <w:rPr>
            <w:noProof/>
            <w:webHidden/>
          </w:rPr>
          <w:tab/>
        </w:r>
        <w:r w:rsidR="00617987">
          <w:rPr>
            <w:noProof/>
            <w:webHidden/>
          </w:rPr>
          <w:fldChar w:fldCharType="begin"/>
        </w:r>
        <w:r w:rsidR="00617987">
          <w:rPr>
            <w:noProof/>
            <w:webHidden/>
          </w:rPr>
          <w:instrText xml:space="preserve"> PAGEREF _Toc163221084 \h </w:instrText>
        </w:r>
        <w:r w:rsidR="00617987">
          <w:rPr>
            <w:noProof/>
            <w:webHidden/>
          </w:rPr>
        </w:r>
        <w:r w:rsidR="00617987">
          <w:rPr>
            <w:noProof/>
            <w:webHidden/>
          </w:rPr>
          <w:fldChar w:fldCharType="separate"/>
        </w:r>
        <w:r w:rsidR="00617987">
          <w:rPr>
            <w:noProof/>
            <w:webHidden/>
          </w:rPr>
          <w:t>82</w:t>
        </w:r>
        <w:r w:rsidR="00617987">
          <w:rPr>
            <w:noProof/>
            <w:webHidden/>
          </w:rPr>
          <w:fldChar w:fldCharType="end"/>
        </w:r>
      </w:hyperlink>
    </w:p>
    <w:p w14:paraId="4E13E375" w14:textId="7E690D66" w:rsidR="00617987" w:rsidRDefault="00E51D93">
      <w:pPr>
        <w:pStyle w:val="TOC2"/>
        <w:rPr>
          <w:noProof/>
          <w:sz w:val="22"/>
          <w:szCs w:val="22"/>
          <w:lang w:eastAsia="en-AU"/>
        </w:rPr>
      </w:pPr>
      <w:hyperlink w:anchor="_Toc163221085" w:history="1">
        <w:r w:rsidR="00617987" w:rsidRPr="009F0035">
          <w:rPr>
            <w:rStyle w:val="Hyperlink"/>
            <w:noProof/>
          </w:rPr>
          <w:t>7.1.</w:t>
        </w:r>
        <w:r w:rsidR="00617987">
          <w:rPr>
            <w:noProof/>
            <w:sz w:val="22"/>
            <w:szCs w:val="22"/>
            <w:lang w:eastAsia="en-AU"/>
          </w:rPr>
          <w:tab/>
        </w:r>
        <w:r w:rsidR="00617987" w:rsidRPr="009F0035">
          <w:rPr>
            <w:rStyle w:val="Hyperlink"/>
            <w:noProof/>
          </w:rPr>
          <w:t>The best option for a New Vehicle Efficiency Standard</w:t>
        </w:r>
        <w:r w:rsidR="00617987">
          <w:rPr>
            <w:noProof/>
            <w:webHidden/>
          </w:rPr>
          <w:tab/>
        </w:r>
        <w:r w:rsidR="00617987">
          <w:rPr>
            <w:noProof/>
            <w:webHidden/>
          </w:rPr>
          <w:fldChar w:fldCharType="begin"/>
        </w:r>
        <w:r w:rsidR="00617987">
          <w:rPr>
            <w:noProof/>
            <w:webHidden/>
          </w:rPr>
          <w:instrText xml:space="preserve"> PAGEREF _Toc163221085 \h </w:instrText>
        </w:r>
        <w:r w:rsidR="00617987">
          <w:rPr>
            <w:noProof/>
            <w:webHidden/>
          </w:rPr>
        </w:r>
        <w:r w:rsidR="00617987">
          <w:rPr>
            <w:noProof/>
            <w:webHidden/>
          </w:rPr>
          <w:fldChar w:fldCharType="separate"/>
        </w:r>
        <w:r w:rsidR="00617987">
          <w:rPr>
            <w:noProof/>
            <w:webHidden/>
          </w:rPr>
          <w:t>82</w:t>
        </w:r>
        <w:r w:rsidR="00617987">
          <w:rPr>
            <w:noProof/>
            <w:webHidden/>
          </w:rPr>
          <w:fldChar w:fldCharType="end"/>
        </w:r>
      </w:hyperlink>
    </w:p>
    <w:p w14:paraId="6C09DC7D" w14:textId="457B90E6" w:rsidR="00617987" w:rsidRDefault="00E51D93">
      <w:pPr>
        <w:pStyle w:val="TOC2"/>
        <w:rPr>
          <w:noProof/>
          <w:sz w:val="22"/>
          <w:szCs w:val="22"/>
          <w:lang w:eastAsia="en-AU"/>
        </w:rPr>
      </w:pPr>
      <w:hyperlink w:anchor="_Toc163221086" w:history="1">
        <w:r w:rsidR="00617987" w:rsidRPr="009F0035">
          <w:rPr>
            <w:rStyle w:val="Hyperlink"/>
            <w:noProof/>
          </w:rPr>
          <w:t>7.2.</w:t>
        </w:r>
        <w:r w:rsidR="00617987">
          <w:rPr>
            <w:noProof/>
            <w:sz w:val="22"/>
            <w:szCs w:val="22"/>
            <w:lang w:eastAsia="en-AU"/>
          </w:rPr>
          <w:tab/>
        </w:r>
        <w:r w:rsidR="00617987" w:rsidRPr="009F0035">
          <w:rPr>
            <w:rStyle w:val="Hyperlink"/>
            <w:noProof/>
          </w:rPr>
          <w:t>What entities should be regulated</w:t>
        </w:r>
        <w:r w:rsidR="00617987">
          <w:rPr>
            <w:noProof/>
            <w:webHidden/>
          </w:rPr>
          <w:tab/>
        </w:r>
        <w:r w:rsidR="00617987">
          <w:rPr>
            <w:noProof/>
            <w:webHidden/>
          </w:rPr>
          <w:fldChar w:fldCharType="begin"/>
        </w:r>
        <w:r w:rsidR="00617987">
          <w:rPr>
            <w:noProof/>
            <w:webHidden/>
          </w:rPr>
          <w:instrText xml:space="preserve"> PAGEREF _Toc163221086 \h </w:instrText>
        </w:r>
        <w:r w:rsidR="00617987">
          <w:rPr>
            <w:noProof/>
            <w:webHidden/>
          </w:rPr>
        </w:r>
        <w:r w:rsidR="00617987">
          <w:rPr>
            <w:noProof/>
            <w:webHidden/>
          </w:rPr>
          <w:fldChar w:fldCharType="separate"/>
        </w:r>
        <w:r w:rsidR="00617987">
          <w:rPr>
            <w:noProof/>
            <w:webHidden/>
          </w:rPr>
          <w:t>83</w:t>
        </w:r>
        <w:r w:rsidR="00617987">
          <w:rPr>
            <w:noProof/>
            <w:webHidden/>
          </w:rPr>
          <w:fldChar w:fldCharType="end"/>
        </w:r>
      </w:hyperlink>
    </w:p>
    <w:p w14:paraId="515C9135" w14:textId="559E09E9" w:rsidR="00617987" w:rsidRDefault="00E51D93">
      <w:pPr>
        <w:pStyle w:val="TOC2"/>
        <w:rPr>
          <w:noProof/>
          <w:sz w:val="22"/>
          <w:szCs w:val="22"/>
          <w:lang w:eastAsia="en-AU"/>
        </w:rPr>
      </w:pPr>
      <w:hyperlink w:anchor="_Toc163221087" w:history="1">
        <w:r w:rsidR="00617987" w:rsidRPr="009F0035">
          <w:rPr>
            <w:rStyle w:val="Hyperlink"/>
            <w:rFonts w:cstheme="majorHAnsi"/>
            <w:noProof/>
          </w:rPr>
          <w:t>7.3.</w:t>
        </w:r>
        <w:r w:rsidR="00617987">
          <w:rPr>
            <w:noProof/>
            <w:sz w:val="22"/>
            <w:szCs w:val="22"/>
            <w:lang w:eastAsia="en-AU"/>
          </w:rPr>
          <w:tab/>
        </w:r>
        <w:r w:rsidR="00617987" w:rsidRPr="009F0035">
          <w:rPr>
            <w:rStyle w:val="Hyperlink"/>
            <w:rFonts w:cstheme="majorHAnsi"/>
            <w:noProof/>
          </w:rPr>
          <w:t>Regulatory apparatus</w:t>
        </w:r>
        <w:r w:rsidR="00617987">
          <w:rPr>
            <w:noProof/>
            <w:webHidden/>
          </w:rPr>
          <w:tab/>
        </w:r>
        <w:r w:rsidR="00617987">
          <w:rPr>
            <w:noProof/>
            <w:webHidden/>
          </w:rPr>
          <w:fldChar w:fldCharType="begin"/>
        </w:r>
        <w:r w:rsidR="00617987">
          <w:rPr>
            <w:noProof/>
            <w:webHidden/>
          </w:rPr>
          <w:instrText xml:space="preserve"> PAGEREF _Toc163221087 \h </w:instrText>
        </w:r>
        <w:r w:rsidR="00617987">
          <w:rPr>
            <w:noProof/>
            <w:webHidden/>
          </w:rPr>
        </w:r>
        <w:r w:rsidR="00617987">
          <w:rPr>
            <w:noProof/>
            <w:webHidden/>
          </w:rPr>
          <w:fldChar w:fldCharType="separate"/>
        </w:r>
        <w:r w:rsidR="00617987">
          <w:rPr>
            <w:noProof/>
            <w:webHidden/>
          </w:rPr>
          <w:t>84</w:t>
        </w:r>
        <w:r w:rsidR="00617987">
          <w:rPr>
            <w:noProof/>
            <w:webHidden/>
          </w:rPr>
          <w:fldChar w:fldCharType="end"/>
        </w:r>
      </w:hyperlink>
    </w:p>
    <w:p w14:paraId="673B8A60" w14:textId="46CBB11B" w:rsidR="00617987" w:rsidRDefault="00E51D93">
      <w:pPr>
        <w:pStyle w:val="TOC2"/>
        <w:rPr>
          <w:noProof/>
          <w:sz w:val="22"/>
          <w:szCs w:val="22"/>
          <w:lang w:eastAsia="en-AU"/>
        </w:rPr>
      </w:pPr>
      <w:hyperlink w:anchor="_Toc163221088" w:history="1">
        <w:r w:rsidR="00617987" w:rsidRPr="009F0035">
          <w:rPr>
            <w:rStyle w:val="Hyperlink"/>
            <w:noProof/>
          </w:rPr>
          <w:t>7.4.</w:t>
        </w:r>
        <w:r w:rsidR="00617987">
          <w:rPr>
            <w:noProof/>
            <w:sz w:val="22"/>
            <w:szCs w:val="22"/>
            <w:lang w:eastAsia="en-AU"/>
          </w:rPr>
          <w:tab/>
        </w:r>
        <w:r w:rsidR="00617987" w:rsidRPr="009F0035">
          <w:rPr>
            <w:rStyle w:val="Hyperlink"/>
            <w:rFonts w:cstheme="majorHAnsi"/>
            <w:noProof/>
          </w:rPr>
          <w:t>Timeline and transitional arrangements</w:t>
        </w:r>
        <w:r w:rsidR="00617987">
          <w:rPr>
            <w:noProof/>
            <w:webHidden/>
          </w:rPr>
          <w:tab/>
        </w:r>
        <w:r w:rsidR="00617987">
          <w:rPr>
            <w:noProof/>
            <w:webHidden/>
          </w:rPr>
          <w:fldChar w:fldCharType="begin"/>
        </w:r>
        <w:r w:rsidR="00617987">
          <w:rPr>
            <w:noProof/>
            <w:webHidden/>
          </w:rPr>
          <w:instrText xml:space="preserve"> PAGEREF _Toc163221088 \h </w:instrText>
        </w:r>
        <w:r w:rsidR="00617987">
          <w:rPr>
            <w:noProof/>
            <w:webHidden/>
          </w:rPr>
        </w:r>
        <w:r w:rsidR="00617987">
          <w:rPr>
            <w:noProof/>
            <w:webHidden/>
          </w:rPr>
          <w:fldChar w:fldCharType="separate"/>
        </w:r>
        <w:r w:rsidR="00617987">
          <w:rPr>
            <w:noProof/>
            <w:webHidden/>
          </w:rPr>
          <w:t>88</w:t>
        </w:r>
        <w:r w:rsidR="00617987">
          <w:rPr>
            <w:noProof/>
            <w:webHidden/>
          </w:rPr>
          <w:fldChar w:fldCharType="end"/>
        </w:r>
      </w:hyperlink>
    </w:p>
    <w:p w14:paraId="723862D5" w14:textId="4F721DFD" w:rsidR="00617987" w:rsidRDefault="00E51D93">
      <w:pPr>
        <w:pStyle w:val="TOC2"/>
        <w:rPr>
          <w:noProof/>
          <w:sz w:val="22"/>
          <w:szCs w:val="22"/>
          <w:lang w:eastAsia="en-AU"/>
        </w:rPr>
      </w:pPr>
      <w:hyperlink w:anchor="_Toc163221089" w:history="1">
        <w:r w:rsidR="00617987" w:rsidRPr="009F0035">
          <w:rPr>
            <w:rStyle w:val="Hyperlink"/>
            <w:noProof/>
          </w:rPr>
          <w:t>7.5.</w:t>
        </w:r>
        <w:r w:rsidR="00617987">
          <w:rPr>
            <w:noProof/>
            <w:sz w:val="22"/>
            <w:szCs w:val="22"/>
            <w:lang w:eastAsia="en-AU"/>
          </w:rPr>
          <w:tab/>
        </w:r>
        <w:r w:rsidR="00617987" w:rsidRPr="009F0035">
          <w:rPr>
            <w:rStyle w:val="Hyperlink"/>
            <w:noProof/>
          </w:rPr>
          <w:t>Implementation challenges and impacts</w:t>
        </w:r>
        <w:r w:rsidR="00617987">
          <w:rPr>
            <w:noProof/>
            <w:webHidden/>
          </w:rPr>
          <w:tab/>
        </w:r>
        <w:r w:rsidR="00617987">
          <w:rPr>
            <w:noProof/>
            <w:webHidden/>
          </w:rPr>
          <w:fldChar w:fldCharType="begin"/>
        </w:r>
        <w:r w:rsidR="00617987">
          <w:rPr>
            <w:noProof/>
            <w:webHidden/>
          </w:rPr>
          <w:instrText xml:space="preserve"> PAGEREF _Toc163221089 \h </w:instrText>
        </w:r>
        <w:r w:rsidR="00617987">
          <w:rPr>
            <w:noProof/>
            <w:webHidden/>
          </w:rPr>
        </w:r>
        <w:r w:rsidR="00617987">
          <w:rPr>
            <w:noProof/>
            <w:webHidden/>
          </w:rPr>
          <w:fldChar w:fldCharType="separate"/>
        </w:r>
        <w:r w:rsidR="00617987">
          <w:rPr>
            <w:noProof/>
            <w:webHidden/>
          </w:rPr>
          <w:t>89</w:t>
        </w:r>
        <w:r w:rsidR="00617987">
          <w:rPr>
            <w:noProof/>
            <w:webHidden/>
          </w:rPr>
          <w:fldChar w:fldCharType="end"/>
        </w:r>
      </w:hyperlink>
    </w:p>
    <w:p w14:paraId="78347D09" w14:textId="39F9575C" w:rsidR="00617987" w:rsidRDefault="00E51D93">
      <w:pPr>
        <w:pStyle w:val="TOC1"/>
        <w:rPr>
          <w:b w:val="0"/>
          <w:noProof/>
          <w:color w:val="auto"/>
          <w:sz w:val="22"/>
          <w:szCs w:val="22"/>
          <w:lang w:eastAsia="en-AU"/>
        </w:rPr>
      </w:pPr>
      <w:hyperlink w:anchor="_Toc163221090" w:history="1">
        <w:r w:rsidR="00617987" w:rsidRPr="009F0035">
          <w:rPr>
            <w:rStyle w:val="Hyperlink"/>
            <w:noProof/>
          </w:rPr>
          <w:t>8.</w:t>
        </w:r>
        <w:r w:rsidR="00617987">
          <w:rPr>
            <w:b w:val="0"/>
            <w:noProof/>
            <w:color w:val="auto"/>
            <w:sz w:val="22"/>
            <w:szCs w:val="22"/>
            <w:lang w:eastAsia="en-AU"/>
          </w:rPr>
          <w:tab/>
        </w:r>
        <w:r w:rsidR="00617987" w:rsidRPr="009F0035">
          <w:rPr>
            <w:rStyle w:val="Hyperlink"/>
            <w:noProof/>
          </w:rPr>
          <w:t>How will you evaluate your chosen option against the success metrics?</w:t>
        </w:r>
        <w:r w:rsidR="00617987">
          <w:rPr>
            <w:noProof/>
            <w:webHidden/>
          </w:rPr>
          <w:tab/>
        </w:r>
        <w:r w:rsidR="00617987">
          <w:rPr>
            <w:noProof/>
            <w:webHidden/>
          </w:rPr>
          <w:fldChar w:fldCharType="begin"/>
        </w:r>
        <w:r w:rsidR="00617987">
          <w:rPr>
            <w:noProof/>
            <w:webHidden/>
          </w:rPr>
          <w:instrText xml:space="preserve"> PAGEREF _Toc163221090 \h </w:instrText>
        </w:r>
        <w:r w:rsidR="00617987">
          <w:rPr>
            <w:noProof/>
            <w:webHidden/>
          </w:rPr>
        </w:r>
        <w:r w:rsidR="00617987">
          <w:rPr>
            <w:noProof/>
            <w:webHidden/>
          </w:rPr>
          <w:fldChar w:fldCharType="separate"/>
        </w:r>
        <w:r w:rsidR="00617987">
          <w:rPr>
            <w:noProof/>
            <w:webHidden/>
          </w:rPr>
          <w:t>91</w:t>
        </w:r>
        <w:r w:rsidR="00617987">
          <w:rPr>
            <w:noProof/>
            <w:webHidden/>
          </w:rPr>
          <w:fldChar w:fldCharType="end"/>
        </w:r>
      </w:hyperlink>
    </w:p>
    <w:p w14:paraId="10ADC59F" w14:textId="68356629" w:rsidR="00617987" w:rsidRDefault="00E51D93">
      <w:pPr>
        <w:pStyle w:val="TOC2"/>
        <w:rPr>
          <w:noProof/>
          <w:sz w:val="22"/>
          <w:szCs w:val="22"/>
          <w:lang w:eastAsia="en-AU"/>
        </w:rPr>
      </w:pPr>
      <w:hyperlink w:anchor="_Toc163221091" w:history="1">
        <w:r w:rsidR="00617987" w:rsidRPr="009F0035">
          <w:rPr>
            <w:rStyle w:val="Hyperlink"/>
            <w:noProof/>
          </w:rPr>
          <w:t>8.1.</w:t>
        </w:r>
        <w:r w:rsidR="00617987">
          <w:rPr>
            <w:noProof/>
            <w:sz w:val="22"/>
            <w:szCs w:val="22"/>
            <w:lang w:eastAsia="en-AU"/>
          </w:rPr>
          <w:tab/>
        </w:r>
        <w:r w:rsidR="00617987" w:rsidRPr="009F0035">
          <w:rPr>
            <w:rStyle w:val="Hyperlink"/>
            <w:noProof/>
          </w:rPr>
          <w:t>Program monitoring and evaluation</w:t>
        </w:r>
        <w:r w:rsidR="00617987">
          <w:rPr>
            <w:noProof/>
            <w:webHidden/>
          </w:rPr>
          <w:tab/>
        </w:r>
        <w:r w:rsidR="00617987">
          <w:rPr>
            <w:noProof/>
            <w:webHidden/>
          </w:rPr>
          <w:fldChar w:fldCharType="begin"/>
        </w:r>
        <w:r w:rsidR="00617987">
          <w:rPr>
            <w:noProof/>
            <w:webHidden/>
          </w:rPr>
          <w:instrText xml:space="preserve"> PAGEREF _Toc163221091 \h </w:instrText>
        </w:r>
        <w:r w:rsidR="00617987">
          <w:rPr>
            <w:noProof/>
            <w:webHidden/>
          </w:rPr>
        </w:r>
        <w:r w:rsidR="00617987">
          <w:rPr>
            <w:noProof/>
            <w:webHidden/>
          </w:rPr>
          <w:fldChar w:fldCharType="separate"/>
        </w:r>
        <w:r w:rsidR="00617987">
          <w:rPr>
            <w:noProof/>
            <w:webHidden/>
          </w:rPr>
          <w:t>92</w:t>
        </w:r>
        <w:r w:rsidR="00617987">
          <w:rPr>
            <w:noProof/>
            <w:webHidden/>
          </w:rPr>
          <w:fldChar w:fldCharType="end"/>
        </w:r>
      </w:hyperlink>
    </w:p>
    <w:p w14:paraId="75832845" w14:textId="40D1BB60" w:rsidR="00617987" w:rsidRDefault="00E51D93">
      <w:pPr>
        <w:pStyle w:val="TOC3"/>
        <w:rPr>
          <w:noProof/>
          <w:sz w:val="22"/>
          <w:szCs w:val="22"/>
          <w:lang w:eastAsia="en-AU"/>
        </w:rPr>
      </w:pPr>
      <w:hyperlink w:anchor="_Toc163221092" w:history="1">
        <w:r w:rsidR="00617987" w:rsidRPr="009F0035">
          <w:rPr>
            <w:rStyle w:val="Hyperlink"/>
            <w:noProof/>
          </w:rPr>
          <w:t xml:space="preserve">8.1.1 Monitoring of ongoing </w:t>
        </w:r>
        <w:r w:rsidR="00617987" w:rsidRPr="009F0035">
          <w:rPr>
            <w:rStyle w:val="Hyperlink"/>
            <w:rFonts w:cstheme="majorHAnsi"/>
            <w:noProof/>
          </w:rPr>
          <w:t>NVES</w:t>
        </w:r>
        <w:r w:rsidR="00617987" w:rsidRPr="009F0035">
          <w:rPr>
            <w:rStyle w:val="Hyperlink"/>
            <w:noProof/>
          </w:rPr>
          <w:t xml:space="preserve"> operations</w:t>
        </w:r>
        <w:r w:rsidR="00617987">
          <w:rPr>
            <w:noProof/>
            <w:webHidden/>
          </w:rPr>
          <w:tab/>
        </w:r>
        <w:r w:rsidR="00617987">
          <w:rPr>
            <w:noProof/>
            <w:webHidden/>
          </w:rPr>
          <w:fldChar w:fldCharType="begin"/>
        </w:r>
        <w:r w:rsidR="00617987">
          <w:rPr>
            <w:noProof/>
            <w:webHidden/>
          </w:rPr>
          <w:instrText xml:space="preserve"> PAGEREF _Toc163221092 \h </w:instrText>
        </w:r>
        <w:r w:rsidR="00617987">
          <w:rPr>
            <w:noProof/>
            <w:webHidden/>
          </w:rPr>
        </w:r>
        <w:r w:rsidR="00617987">
          <w:rPr>
            <w:noProof/>
            <w:webHidden/>
          </w:rPr>
          <w:fldChar w:fldCharType="separate"/>
        </w:r>
        <w:r w:rsidR="00617987">
          <w:rPr>
            <w:noProof/>
            <w:webHidden/>
          </w:rPr>
          <w:t>93</w:t>
        </w:r>
        <w:r w:rsidR="00617987">
          <w:rPr>
            <w:noProof/>
            <w:webHidden/>
          </w:rPr>
          <w:fldChar w:fldCharType="end"/>
        </w:r>
      </w:hyperlink>
    </w:p>
    <w:p w14:paraId="43ACD228" w14:textId="32336F00" w:rsidR="00617987" w:rsidRDefault="00E51D93">
      <w:pPr>
        <w:pStyle w:val="TOC3"/>
        <w:rPr>
          <w:noProof/>
          <w:sz w:val="22"/>
          <w:szCs w:val="22"/>
          <w:lang w:eastAsia="en-AU"/>
        </w:rPr>
      </w:pPr>
      <w:hyperlink w:anchor="_Toc163221093" w:history="1">
        <w:r w:rsidR="00617987" w:rsidRPr="009F0035">
          <w:rPr>
            <w:rStyle w:val="Hyperlink"/>
            <w:noProof/>
          </w:rPr>
          <w:t>8.1.2 Program evaluation</w:t>
        </w:r>
        <w:r w:rsidR="00617987">
          <w:rPr>
            <w:noProof/>
            <w:webHidden/>
          </w:rPr>
          <w:tab/>
        </w:r>
        <w:r w:rsidR="00617987">
          <w:rPr>
            <w:noProof/>
            <w:webHidden/>
          </w:rPr>
          <w:fldChar w:fldCharType="begin"/>
        </w:r>
        <w:r w:rsidR="00617987">
          <w:rPr>
            <w:noProof/>
            <w:webHidden/>
          </w:rPr>
          <w:instrText xml:space="preserve"> PAGEREF _Toc163221093 \h </w:instrText>
        </w:r>
        <w:r w:rsidR="00617987">
          <w:rPr>
            <w:noProof/>
            <w:webHidden/>
          </w:rPr>
        </w:r>
        <w:r w:rsidR="00617987">
          <w:rPr>
            <w:noProof/>
            <w:webHidden/>
          </w:rPr>
          <w:fldChar w:fldCharType="separate"/>
        </w:r>
        <w:r w:rsidR="00617987">
          <w:rPr>
            <w:noProof/>
            <w:webHidden/>
          </w:rPr>
          <w:t>93</w:t>
        </w:r>
        <w:r w:rsidR="00617987">
          <w:rPr>
            <w:noProof/>
            <w:webHidden/>
          </w:rPr>
          <w:fldChar w:fldCharType="end"/>
        </w:r>
      </w:hyperlink>
    </w:p>
    <w:p w14:paraId="5807225E" w14:textId="59F5AB73" w:rsidR="00617987" w:rsidRDefault="00E51D93">
      <w:pPr>
        <w:pStyle w:val="TOC1"/>
        <w:rPr>
          <w:b w:val="0"/>
          <w:noProof/>
          <w:color w:val="auto"/>
          <w:sz w:val="22"/>
          <w:szCs w:val="22"/>
          <w:lang w:eastAsia="en-AU"/>
        </w:rPr>
      </w:pPr>
      <w:hyperlink w:anchor="_Toc163221094" w:history="1">
        <w:r w:rsidR="00617987" w:rsidRPr="009F0035">
          <w:rPr>
            <w:rStyle w:val="Hyperlink"/>
            <w:noProof/>
          </w:rPr>
          <w:t>Appendix A: The Australian Car Market</w:t>
        </w:r>
        <w:r w:rsidR="00617987">
          <w:rPr>
            <w:noProof/>
            <w:webHidden/>
          </w:rPr>
          <w:tab/>
        </w:r>
        <w:r w:rsidR="00617987">
          <w:rPr>
            <w:noProof/>
            <w:webHidden/>
          </w:rPr>
          <w:fldChar w:fldCharType="begin"/>
        </w:r>
        <w:r w:rsidR="00617987">
          <w:rPr>
            <w:noProof/>
            <w:webHidden/>
          </w:rPr>
          <w:instrText xml:space="preserve"> PAGEREF _Toc163221094 \h </w:instrText>
        </w:r>
        <w:r w:rsidR="00617987">
          <w:rPr>
            <w:noProof/>
            <w:webHidden/>
          </w:rPr>
        </w:r>
        <w:r w:rsidR="00617987">
          <w:rPr>
            <w:noProof/>
            <w:webHidden/>
          </w:rPr>
          <w:fldChar w:fldCharType="separate"/>
        </w:r>
        <w:r w:rsidR="00617987">
          <w:rPr>
            <w:noProof/>
            <w:webHidden/>
          </w:rPr>
          <w:t>95</w:t>
        </w:r>
        <w:r w:rsidR="00617987">
          <w:rPr>
            <w:noProof/>
            <w:webHidden/>
          </w:rPr>
          <w:fldChar w:fldCharType="end"/>
        </w:r>
      </w:hyperlink>
    </w:p>
    <w:p w14:paraId="24BE6830" w14:textId="269F7179" w:rsidR="00617987" w:rsidRDefault="00E51D93">
      <w:pPr>
        <w:pStyle w:val="TOC1"/>
        <w:rPr>
          <w:b w:val="0"/>
          <w:noProof/>
          <w:color w:val="auto"/>
          <w:sz w:val="22"/>
          <w:szCs w:val="22"/>
          <w:lang w:eastAsia="en-AU"/>
        </w:rPr>
      </w:pPr>
      <w:hyperlink w:anchor="_Toc163221095" w:history="1">
        <w:r w:rsidR="00617987" w:rsidRPr="009F0035">
          <w:rPr>
            <w:rStyle w:val="Hyperlink"/>
            <w:noProof/>
          </w:rPr>
          <w:t>Appendix B: Key assumptions in CBA</w:t>
        </w:r>
        <w:r w:rsidR="00617987">
          <w:rPr>
            <w:noProof/>
            <w:webHidden/>
          </w:rPr>
          <w:tab/>
        </w:r>
        <w:r w:rsidR="00617987">
          <w:rPr>
            <w:noProof/>
            <w:webHidden/>
          </w:rPr>
          <w:fldChar w:fldCharType="begin"/>
        </w:r>
        <w:r w:rsidR="00617987">
          <w:rPr>
            <w:noProof/>
            <w:webHidden/>
          </w:rPr>
          <w:instrText xml:space="preserve"> PAGEREF _Toc163221095 \h </w:instrText>
        </w:r>
        <w:r w:rsidR="00617987">
          <w:rPr>
            <w:noProof/>
            <w:webHidden/>
          </w:rPr>
        </w:r>
        <w:r w:rsidR="00617987">
          <w:rPr>
            <w:noProof/>
            <w:webHidden/>
          </w:rPr>
          <w:fldChar w:fldCharType="separate"/>
        </w:r>
        <w:r w:rsidR="00617987">
          <w:rPr>
            <w:noProof/>
            <w:webHidden/>
          </w:rPr>
          <w:t>99</w:t>
        </w:r>
        <w:r w:rsidR="00617987">
          <w:rPr>
            <w:noProof/>
            <w:webHidden/>
          </w:rPr>
          <w:fldChar w:fldCharType="end"/>
        </w:r>
      </w:hyperlink>
    </w:p>
    <w:p w14:paraId="37AFAC77" w14:textId="1CA897BF" w:rsidR="00617987" w:rsidRDefault="00E51D93">
      <w:pPr>
        <w:pStyle w:val="TOC1"/>
        <w:rPr>
          <w:b w:val="0"/>
          <w:noProof/>
          <w:color w:val="auto"/>
          <w:sz w:val="22"/>
          <w:szCs w:val="22"/>
          <w:lang w:eastAsia="en-AU"/>
        </w:rPr>
      </w:pPr>
      <w:hyperlink w:anchor="_Toc163221096" w:history="1">
        <w:r w:rsidR="00617987" w:rsidRPr="009F0035">
          <w:rPr>
            <w:rStyle w:val="Hyperlink"/>
            <w:noProof/>
          </w:rPr>
          <w:t>Appendix C: Outcome calculation methodology and examples</w:t>
        </w:r>
        <w:r w:rsidR="00617987">
          <w:rPr>
            <w:noProof/>
            <w:webHidden/>
          </w:rPr>
          <w:tab/>
        </w:r>
        <w:r w:rsidR="00617987">
          <w:rPr>
            <w:noProof/>
            <w:webHidden/>
          </w:rPr>
          <w:fldChar w:fldCharType="begin"/>
        </w:r>
        <w:r w:rsidR="00617987">
          <w:rPr>
            <w:noProof/>
            <w:webHidden/>
          </w:rPr>
          <w:instrText xml:space="preserve"> PAGEREF _Toc163221096 \h </w:instrText>
        </w:r>
        <w:r w:rsidR="00617987">
          <w:rPr>
            <w:noProof/>
            <w:webHidden/>
          </w:rPr>
        </w:r>
        <w:r w:rsidR="00617987">
          <w:rPr>
            <w:noProof/>
            <w:webHidden/>
          </w:rPr>
          <w:fldChar w:fldCharType="separate"/>
        </w:r>
        <w:r w:rsidR="00617987">
          <w:rPr>
            <w:noProof/>
            <w:webHidden/>
          </w:rPr>
          <w:t>107</w:t>
        </w:r>
        <w:r w:rsidR="00617987">
          <w:rPr>
            <w:noProof/>
            <w:webHidden/>
          </w:rPr>
          <w:fldChar w:fldCharType="end"/>
        </w:r>
      </w:hyperlink>
    </w:p>
    <w:p w14:paraId="69781F74" w14:textId="6B007A83" w:rsidR="00617987" w:rsidRDefault="00E51D93">
      <w:pPr>
        <w:pStyle w:val="TOC1"/>
        <w:rPr>
          <w:b w:val="0"/>
          <w:noProof/>
          <w:color w:val="auto"/>
          <w:sz w:val="22"/>
          <w:szCs w:val="22"/>
          <w:lang w:eastAsia="en-AU"/>
        </w:rPr>
      </w:pPr>
      <w:hyperlink w:anchor="_Toc163221097" w:history="1">
        <w:r w:rsidR="00617987" w:rsidRPr="009F0035">
          <w:rPr>
            <w:rStyle w:val="Hyperlink"/>
            <w:noProof/>
          </w:rPr>
          <w:t>Appendix D: Implementation Program Risk Matrix</w:t>
        </w:r>
        <w:r w:rsidR="00617987">
          <w:rPr>
            <w:noProof/>
            <w:webHidden/>
          </w:rPr>
          <w:tab/>
        </w:r>
        <w:r w:rsidR="00617987">
          <w:rPr>
            <w:noProof/>
            <w:webHidden/>
          </w:rPr>
          <w:fldChar w:fldCharType="begin"/>
        </w:r>
        <w:r w:rsidR="00617987">
          <w:rPr>
            <w:noProof/>
            <w:webHidden/>
          </w:rPr>
          <w:instrText xml:space="preserve"> PAGEREF _Toc163221097 \h </w:instrText>
        </w:r>
        <w:r w:rsidR="00617987">
          <w:rPr>
            <w:noProof/>
            <w:webHidden/>
          </w:rPr>
        </w:r>
        <w:r w:rsidR="00617987">
          <w:rPr>
            <w:noProof/>
            <w:webHidden/>
          </w:rPr>
          <w:fldChar w:fldCharType="separate"/>
        </w:r>
        <w:r w:rsidR="00617987">
          <w:rPr>
            <w:noProof/>
            <w:webHidden/>
          </w:rPr>
          <w:t>109</w:t>
        </w:r>
        <w:r w:rsidR="00617987">
          <w:rPr>
            <w:noProof/>
            <w:webHidden/>
          </w:rPr>
          <w:fldChar w:fldCharType="end"/>
        </w:r>
      </w:hyperlink>
    </w:p>
    <w:p w14:paraId="408D8C0E" w14:textId="61CC83B9" w:rsidR="00574761" w:rsidRPr="00CF39C8" w:rsidRDefault="00A95970">
      <w:pPr>
        <w:rPr>
          <w:rFonts w:asciiTheme="majorHAnsi" w:hAnsiTheme="majorHAnsi" w:cstheme="majorHAnsi"/>
        </w:rPr>
      </w:pPr>
      <w:r w:rsidRPr="00CF39C8">
        <w:rPr>
          <w:rFonts w:asciiTheme="majorHAnsi" w:hAnsiTheme="majorHAnsi" w:cstheme="majorHAnsi"/>
        </w:rPr>
        <w:fldChar w:fldCharType="end"/>
      </w:r>
    </w:p>
    <w:p w14:paraId="1142C437" w14:textId="77777777" w:rsidR="00574761" w:rsidRPr="00CF39C8" w:rsidRDefault="00574761">
      <w:pPr>
        <w:rPr>
          <w:rFonts w:asciiTheme="majorHAnsi" w:hAnsiTheme="majorHAnsi" w:cstheme="majorHAnsi"/>
        </w:rPr>
      </w:pPr>
      <w:r w:rsidRPr="00CF39C8">
        <w:rPr>
          <w:rFonts w:asciiTheme="majorHAnsi" w:hAnsiTheme="majorHAnsi" w:cstheme="majorHAnsi"/>
        </w:rPr>
        <w:br w:type="page"/>
      </w:r>
    </w:p>
    <w:p w14:paraId="496E1E43" w14:textId="77777777" w:rsidR="005F1614" w:rsidRPr="00CF39C8" w:rsidRDefault="005F1614">
      <w:pPr>
        <w:rPr>
          <w:rFonts w:asciiTheme="majorHAnsi" w:hAnsiTheme="majorHAnsi" w:cstheme="majorHAnsi"/>
        </w:rPr>
      </w:pPr>
    </w:p>
    <w:p w14:paraId="208BD798" w14:textId="77777777" w:rsidR="006E1ECA" w:rsidRPr="00CF39C8" w:rsidRDefault="4C6AD088" w:rsidP="006E1ECA">
      <w:pPr>
        <w:pStyle w:val="TOCHeading"/>
        <w:rPr>
          <w:rFonts w:cstheme="majorHAnsi"/>
        </w:rPr>
      </w:pPr>
      <w:r w:rsidRPr="00CF39C8">
        <w:rPr>
          <w:rFonts w:cstheme="majorHAnsi"/>
        </w:rPr>
        <w:t>List of Figures and Tables</w:t>
      </w:r>
    </w:p>
    <w:p w14:paraId="7FAD2E67" w14:textId="21E9E2B7" w:rsidR="00617987" w:rsidRDefault="006E1ECA">
      <w:pPr>
        <w:pStyle w:val="TableofFigures"/>
        <w:tabs>
          <w:tab w:val="right" w:pos="9854"/>
        </w:tabs>
        <w:rPr>
          <w:noProof/>
          <w:sz w:val="22"/>
          <w:szCs w:val="22"/>
          <w:lang w:eastAsia="en-AU"/>
        </w:rPr>
      </w:pPr>
      <w:r w:rsidRPr="00CF39C8">
        <w:rPr>
          <w:rFonts w:asciiTheme="majorHAnsi" w:hAnsiTheme="majorHAnsi" w:cstheme="majorHAnsi"/>
        </w:rPr>
        <w:fldChar w:fldCharType="begin"/>
      </w:r>
      <w:r w:rsidRPr="00CF39C8">
        <w:rPr>
          <w:rFonts w:asciiTheme="majorHAnsi" w:hAnsiTheme="majorHAnsi" w:cstheme="majorHAnsi"/>
        </w:rPr>
        <w:instrText xml:space="preserve"> TOC \h \z \t "Caption" \c </w:instrText>
      </w:r>
      <w:r w:rsidRPr="00CF39C8">
        <w:rPr>
          <w:rFonts w:asciiTheme="majorHAnsi" w:hAnsiTheme="majorHAnsi" w:cstheme="majorHAnsi"/>
        </w:rPr>
        <w:fldChar w:fldCharType="separate"/>
      </w:r>
      <w:hyperlink w:anchor="_Toc163221098" w:history="1">
        <w:r w:rsidR="00617987" w:rsidRPr="003A6C2D">
          <w:rPr>
            <w:rStyle w:val="Hyperlink"/>
            <w:noProof/>
          </w:rPr>
          <w:t>Figure 1</w:t>
        </w:r>
        <w:r w:rsidR="00617987" w:rsidRPr="003A6C2D">
          <w:rPr>
            <w:rStyle w:val="Hyperlink"/>
            <w:rFonts w:asciiTheme="majorHAnsi" w:hAnsiTheme="majorHAnsi" w:cstheme="majorHAnsi"/>
            <w:noProof/>
          </w:rPr>
          <w:t xml:space="preserve"> – Actions to consider a new vehicle efficiency standard (referred to above as a fuel efficiency standard) and CO</w:t>
        </w:r>
        <w:r w:rsidR="00617987" w:rsidRPr="003A6C2D">
          <w:rPr>
            <w:rStyle w:val="Hyperlink"/>
            <w:rFonts w:asciiTheme="majorHAnsi" w:hAnsiTheme="majorHAnsi" w:cstheme="majorHAnsi"/>
            <w:noProof/>
            <w:vertAlign w:val="subscript"/>
          </w:rPr>
          <w:t>2</w:t>
        </w:r>
        <w:r w:rsidR="00617987" w:rsidRPr="003A6C2D">
          <w:rPr>
            <w:rStyle w:val="Hyperlink"/>
            <w:rFonts w:asciiTheme="majorHAnsi" w:hAnsiTheme="majorHAnsi" w:cstheme="majorHAnsi"/>
            <w:noProof/>
          </w:rPr>
          <w:t xml:space="preserve"> equivalent emissions, over time.</w:t>
        </w:r>
        <w:r w:rsidR="00617987">
          <w:rPr>
            <w:noProof/>
            <w:webHidden/>
          </w:rPr>
          <w:tab/>
        </w:r>
        <w:r w:rsidR="00617987">
          <w:rPr>
            <w:noProof/>
            <w:webHidden/>
          </w:rPr>
          <w:fldChar w:fldCharType="begin"/>
        </w:r>
        <w:r w:rsidR="00617987">
          <w:rPr>
            <w:noProof/>
            <w:webHidden/>
          </w:rPr>
          <w:instrText xml:space="preserve"> PAGEREF _Toc163221098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31DA137D" w14:textId="0BEE6C0C" w:rsidR="00617987" w:rsidRDefault="00E51D93">
      <w:pPr>
        <w:pStyle w:val="TableofFigures"/>
        <w:tabs>
          <w:tab w:val="right" w:pos="9854"/>
        </w:tabs>
        <w:rPr>
          <w:noProof/>
          <w:sz w:val="22"/>
          <w:szCs w:val="22"/>
          <w:lang w:eastAsia="en-AU"/>
        </w:rPr>
      </w:pPr>
      <w:hyperlink w:anchor="_Toc163221099" w:history="1">
        <w:r w:rsidR="00617987" w:rsidRPr="003A6C2D">
          <w:rPr>
            <w:rStyle w:val="Hyperlink"/>
            <w:rFonts w:asciiTheme="majorHAnsi" w:hAnsiTheme="majorHAnsi" w:cstheme="majorHAnsi"/>
            <w:noProof/>
          </w:rPr>
          <w:t>Figure 2 – Process to date</w:t>
        </w:r>
        <w:r w:rsidR="00617987">
          <w:rPr>
            <w:noProof/>
            <w:webHidden/>
          </w:rPr>
          <w:tab/>
        </w:r>
        <w:r w:rsidR="00617987">
          <w:rPr>
            <w:noProof/>
            <w:webHidden/>
          </w:rPr>
          <w:fldChar w:fldCharType="begin"/>
        </w:r>
        <w:r w:rsidR="00617987">
          <w:rPr>
            <w:noProof/>
            <w:webHidden/>
          </w:rPr>
          <w:instrText xml:space="preserve"> PAGEREF _Toc163221099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162A75CF" w14:textId="72938E8C" w:rsidR="00617987" w:rsidRDefault="00E51D93">
      <w:pPr>
        <w:pStyle w:val="TableofFigures"/>
        <w:tabs>
          <w:tab w:val="right" w:pos="9854"/>
        </w:tabs>
        <w:rPr>
          <w:noProof/>
          <w:sz w:val="22"/>
          <w:szCs w:val="22"/>
          <w:lang w:eastAsia="en-AU"/>
        </w:rPr>
      </w:pPr>
      <w:hyperlink w:anchor="_Toc163221100" w:history="1">
        <w:r w:rsidR="00617987" w:rsidRPr="003A6C2D">
          <w:rPr>
            <w:rStyle w:val="Hyperlink"/>
            <w:noProof/>
          </w:rPr>
          <w:t>Figure 3 – Petrol and diesel price over time</w:t>
        </w:r>
        <w:r w:rsidR="00617987">
          <w:rPr>
            <w:noProof/>
            <w:webHidden/>
          </w:rPr>
          <w:tab/>
        </w:r>
        <w:r w:rsidR="00617987">
          <w:rPr>
            <w:noProof/>
            <w:webHidden/>
          </w:rPr>
          <w:fldChar w:fldCharType="begin"/>
        </w:r>
        <w:r w:rsidR="00617987">
          <w:rPr>
            <w:noProof/>
            <w:webHidden/>
          </w:rPr>
          <w:instrText xml:space="preserve"> PAGEREF _Toc163221100 \h </w:instrText>
        </w:r>
        <w:r w:rsidR="00617987">
          <w:rPr>
            <w:noProof/>
            <w:webHidden/>
          </w:rPr>
        </w:r>
        <w:r w:rsidR="00617987">
          <w:rPr>
            <w:noProof/>
            <w:webHidden/>
          </w:rPr>
          <w:fldChar w:fldCharType="separate"/>
        </w:r>
        <w:r w:rsidR="00617987">
          <w:rPr>
            <w:noProof/>
            <w:webHidden/>
          </w:rPr>
          <w:t>18</w:t>
        </w:r>
        <w:r w:rsidR="00617987">
          <w:rPr>
            <w:noProof/>
            <w:webHidden/>
          </w:rPr>
          <w:fldChar w:fldCharType="end"/>
        </w:r>
      </w:hyperlink>
    </w:p>
    <w:p w14:paraId="75F6400A" w14:textId="03BA648A" w:rsidR="00617987" w:rsidRDefault="00E51D93">
      <w:pPr>
        <w:pStyle w:val="TableofFigures"/>
        <w:tabs>
          <w:tab w:val="right" w:pos="9854"/>
        </w:tabs>
        <w:rPr>
          <w:noProof/>
          <w:sz w:val="22"/>
          <w:szCs w:val="22"/>
          <w:lang w:eastAsia="en-AU"/>
        </w:rPr>
      </w:pPr>
      <w:hyperlink w:anchor="_Toc163221101" w:history="1">
        <w:r w:rsidR="00617987" w:rsidRPr="003A6C2D">
          <w:rPr>
            <w:rStyle w:val="Hyperlink"/>
            <w:noProof/>
          </w:rPr>
          <w:t xml:space="preserve">Figure </w:t>
        </w:r>
        <w:r w:rsidR="00617987" w:rsidRPr="003A6C2D">
          <w:rPr>
            <w:rStyle w:val="Hyperlink"/>
            <w:rFonts w:asciiTheme="majorHAnsi" w:hAnsiTheme="majorHAnsi" w:cstheme="majorHAnsi"/>
            <w:noProof/>
          </w:rPr>
          <w:t xml:space="preserve">4 </w:t>
        </w:r>
        <w:r w:rsidR="00617987" w:rsidRPr="003A6C2D">
          <w:rPr>
            <w:rStyle w:val="Hyperlink"/>
            <w:noProof/>
          </w:rPr>
          <w:t xml:space="preserve">– Transport emissions sources – Australia’s emissions projections, DCCEEW </w:t>
        </w:r>
        <w:r w:rsidR="00617987" w:rsidRPr="003A6C2D">
          <w:rPr>
            <w:rStyle w:val="Hyperlink"/>
            <w:rFonts w:asciiTheme="majorHAnsi" w:hAnsiTheme="majorHAnsi" w:cstheme="majorHAnsi"/>
            <w:noProof/>
          </w:rPr>
          <w:t>2023</w:t>
        </w:r>
        <w:r w:rsidR="00617987">
          <w:rPr>
            <w:noProof/>
            <w:webHidden/>
          </w:rPr>
          <w:tab/>
        </w:r>
        <w:r w:rsidR="00617987">
          <w:rPr>
            <w:noProof/>
            <w:webHidden/>
          </w:rPr>
          <w:fldChar w:fldCharType="begin"/>
        </w:r>
        <w:r w:rsidR="00617987">
          <w:rPr>
            <w:noProof/>
            <w:webHidden/>
          </w:rPr>
          <w:instrText xml:space="preserve"> PAGEREF _Toc163221101 \h </w:instrText>
        </w:r>
        <w:r w:rsidR="00617987">
          <w:rPr>
            <w:noProof/>
            <w:webHidden/>
          </w:rPr>
        </w:r>
        <w:r w:rsidR="00617987">
          <w:rPr>
            <w:noProof/>
            <w:webHidden/>
          </w:rPr>
          <w:fldChar w:fldCharType="separate"/>
        </w:r>
        <w:r w:rsidR="00617987">
          <w:rPr>
            <w:noProof/>
            <w:webHidden/>
          </w:rPr>
          <w:t>20</w:t>
        </w:r>
        <w:r w:rsidR="00617987">
          <w:rPr>
            <w:noProof/>
            <w:webHidden/>
          </w:rPr>
          <w:fldChar w:fldCharType="end"/>
        </w:r>
      </w:hyperlink>
    </w:p>
    <w:p w14:paraId="0303C888" w14:textId="08D5F996" w:rsidR="00617987" w:rsidRDefault="00E51D93">
      <w:pPr>
        <w:pStyle w:val="TableofFigures"/>
        <w:tabs>
          <w:tab w:val="right" w:pos="9854"/>
        </w:tabs>
        <w:rPr>
          <w:noProof/>
          <w:sz w:val="22"/>
          <w:szCs w:val="22"/>
          <w:lang w:eastAsia="en-AU"/>
        </w:rPr>
      </w:pPr>
      <w:hyperlink w:anchor="_Toc163221102" w:history="1">
        <w:r w:rsidR="00617987" w:rsidRPr="003A6C2D">
          <w:rPr>
            <w:rStyle w:val="Hyperlink"/>
            <w:noProof/>
          </w:rPr>
          <w:t>Figure 5 – International passenger vehicle emissions trajectories</w:t>
        </w:r>
        <w:r w:rsidR="00617987">
          <w:rPr>
            <w:noProof/>
            <w:webHidden/>
          </w:rPr>
          <w:tab/>
        </w:r>
        <w:r w:rsidR="00617987">
          <w:rPr>
            <w:noProof/>
            <w:webHidden/>
          </w:rPr>
          <w:fldChar w:fldCharType="begin"/>
        </w:r>
        <w:r w:rsidR="00617987">
          <w:rPr>
            <w:noProof/>
            <w:webHidden/>
          </w:rPr>
          <w:instrText xml:space="preserve"> PAGEREF _Toc163221102 \h </w:instrText>
        </w:r>
        <w:r w:rsidR="00617987">
          <w:rPr>
            <w:noProof/>
            <w:webHidden/>
          </w:rPr>
        </w:r>
        <w:r w:rsidR="00617987">
          <w:rPr>
            <w:noProof/>
            <w:webHidden/>
          </w:rPr>
          <w:fldChar w:fldCharType="separate"/>
        </w:r>
        <w:r w:rsidR="00617987">
          <w:rPr>
            <w:noProof/>
            <w:webHidden/>
          </w:rPr>
          <w:t>21</w:t>
        </w:r>
        <w:r w:rsidR="00617987">
          <w:rPr>
            <w:noProof/>
            <w:webHidden/>
          </w:rPr>
          <w:fldChar w:fldCharType="end"/>
        </w:r>
      </w:hyperlink>
    </w:p>
    <w:p w14:paraId="4330B77D" w14:textId="27036FF3" w:rsidR="00617987" w:rsidRDefault="00E51D93">
      <w:pPr>
        <w:pStyle w:val="TableofFigures"/>
        <w:tabs>
          <w:tab w:val="right" w:pos="9854"/>
        </w:tabs>
        <w:rPr>
          <w:noProof/>
          <w:sz w:val="22"/>
          <w:szCs w:val="22"/>
          <w:lang w:eastAsia="en-AU"/>
        </w:rPr>
      </w:pPr>
      <w:hyperlink w:anchor="_Toc163221103" w:history="1">
        <w:r w:rsidR="00617987" w:rsidRPr="003A6C2D">
          <w:rPr>
            <w:rStyle w:val="Hyperlink"/>
            <w:noProof/>
          </w:rPr>
          <w:t>Figure 6 – International light commercial vehicle emissions trajectories</w:t>
        </w:r>
        <w:r w:rsidR="00617987">
          <w:rPr>
            <w:noProof/>
            <w:webHidden/>
          </w:rPr>
          <w:tab/>
        </w:r>
        <w:r w:rsidR="00617987">
          <w:rPr>
            <w:noProof/>
            <w:webHidden/>
          </w:rPr>
          <w:fldChar w:fldCharType="begin"/>
        </w:r>
        <w:r w:rsidR="00617987">
          <w:rPr>
            <w:noProof/>
            <w:webHidden/>
          </w:rPr>
          <w:instrText xml:space="preserve"> PAGEREF _Toc163221103 \h </w:instrText>
        </w:r>
        <w:r w:rsidR="00617987">
          <w:rPr>
            <w:noProof/>
            <w:webHidden/>
          </w:rPr>
        </w:r>
        <w:r w:rsidR="00617987">
          <w:rPr>
            <w:noProof/>
            <w:webHidden/>
          </w:rPr>
          <w:fldChar w:fldCharType="separate"/>
        </w:r>
        <w:r w:rsidR="00617987">
          <w:rPr>
            <w:noProof/>
            <w:webHidden/>
          </w:rPr>
          <w:t>22</w:t>
        </w:r>
        <w:r w:rsidR="00617987">
          <w:rPr>
            <w:noProof/>
            <w:webHidden/>
          </w:rPr>
          <w:fldChar w:fldCharType="end"/>
        </w:r>
      </w:hyperlink>
    </w:p>
    <w:p w14:paraId="3EFC0516" w14:textId="4BC717F3" w:rsidR="00617987" w:rsidRDefault="00E51D93">
      <w:pPr>
        <w:pStyle w:val="TableofFigures"/>
        <w:tabs>
          <w:tab w:val="right" w:pos="9854"/>
        </w:tabs>
        <w:rPr>
          <w:noProof/>
          <w:sz w:val="22"/>
          <w:szCs w:val="22"/>
          <w:lang w:eastAsia="en-AU"/>
        </w:rPr>
      </w:pPr>
      <w:hyperlink w:anchor="_Toc163221104" w:history="1">
        <w:r w:rsidR="00617987" w:rsidRPr="003A6C2D">
          <w:rPr>
            <w:rStyle w:val="Hyperlink"/>
            <w:noProof/>
          </w:rPr>
          <w:t>Table 1 – Principles against which the Government’s option is assessed</w:t>
        </w:r>
        <w:r w:rsidR="00617987">
          <w:rPr>
            <w:noProof/>
            <w:webHidden/>
          </w:rPr>
          <w:tab/>
        </w:r>
        <w:r w:rsidR="00617987">
          <w:rPr>
            <w:noProof/>
            <w:webHidden/>
          </w:rPr>
          <w:fldChar w:fldCharType="begin"/>
        </w:r>
        <w:r w:rsidR="00617987">
          <w:rPr>
            <w:noProof/>
            <w:webHidden/>
          </w:rPr>
          <w:instrText xml:space="preserve"> PAGEREF _Toc163221104 \h </w:instrText>
        </w:r>
        <w:r w:rsidR="00617987">
          <w:rPr>
            <w:noProof/>
            <w:webHidden/>
          </w:rPr>
        </w:r>
        <w:r w:rsidR="00617987">
          <w:rPr>
            <w:noProof/>
            <w:webHidden/>
          </w:rPr>
          <w:fldChar w:fldCharType="separate"/>
        </w:r>
        <w:r w:rsidR="00617987">
          <w:rPr>
            <w:noProof/>
            <w:webHidden/>
          </w:rPr>
          <w:t>26</w:t>
        </w:r>
        <w:r w:rsidR="00617987">
          <w:rPr>
            <w:noProof/>
            <w:webHidden/>
          </w:rPr>
          <w:fldChar w:fldCharType="end"/>
        </w:r>
      </w:hyperlink>
    </w:p>
    <w:p w14:paraId="655C0331" w14:textId="054FCF59" w:rsidR="00617987" w:rsidRDefault="00E51D93">
      <w:pPr>
        <w:pStyle w:val="TableofFigures"/>
        <w:tabs>
          <w:tab w:val="right" w:pos="9854"/>
        </w:tabs>
        <w:rPr>
          <w:noProof/>
          <w:sz w:val="22"/>
          <w:szCs w:val="22"/>
          <w:lang w:eastAsia="en-AU"/>
        </w:rPr>
      </w:pPr>
      <w:hyperlink w:anchor="_Toc163221105" w:history="1">
        <w:r w:rsidR="00617987" w:rsidRPr="003A6C2D">
          <w:rPr>
            <w:rStyle w:val="Hyperlink"/>
            <w:noProof/>
          </w:rPr>
          <w:t>Figure 7 – Total amount of emissions expected from BAU</w:t>
        </w:r>
        <w:r w:rsidR="00617987">
          <w:rPr>
            <w:noProof/>
            <w:webHidden/>
          </w:rPr>
          <w:tab/>
        </w:r>
        <w:r w:rsidR="00617987">
          <w:rPr>
            <w:noProof/>
            <w:webHidden/>
          </w:rPr>
          <w:fldChar w:fldCharType="begin"/>
        </w:r>
        <w:r w:rsidR="00617987">
          <w:rPr>
            <w:noProof/>
            <w:webHidden/>
          </w:rPr>
          <w:instrText xml:space="preserve"> PAGEREF _Toc163221105 \h </w:instrText>
        </w:r>
        <w:r w:rsidR="00617987">
          <w:rPr>
            <w:noProof/>
            <w:webHidden/>
          </w:rPr>
        </w:r>
        <w:r w:rsidR="00617987">
          <w:rPr>
            <w:noProof/>
            <w:webHidden/>
          </w:rPr>
          <w:fldChar w:fldCharType="separate"/>
        </w:r>
        <w:r w:rsidR="00617987">
          <w:rPr>
            <w:noProof/>
            <w:webHidden/>
          </w:rPr>
          <w:t>30</w:t>
        </w:r>
        <w:r w:rsidR="00617987">
          <w:rPr>
            <w:noProof/>
            <w:webHidden/>
          </w:rPr>
          <w:fldChar w:fldCharType="end"/>
        </w:r>
      </w:hyperlink>
    </w:p>
    <w:p w14:paraId="15F365B7" w14:textId="5E2BD73D" w:rsidR="00617987" w:rsidRDefault="00E51D93">
      <w:pPr>
        <w:pStyle w:val="TableofFigures"/>
        <w:tabs>
          <w:tab w:val="right" w:pos="9854"/>
        </w:tabs>
        <w:rPr>
          <w:noProof/>
          <w:sz w:val="22"/>
          <w:szCs w:val="22"/>
          <w:lang w:eastAsia="en-AU"/>
        </w:rPr>
      </w:pPr>
      <w:hyperlink w:anchor="_Toc163221106" w:history="1">
        <w:r w:rsidR="00617987" w:rsidRPr="003A6C2D">
          <w:rPr>
            <w:rStyle w:val="Hyperlink"/>
            <w:noProof/>
          </w:rPr>
          <w:t>Figure 8 – BAU EV uptake</w:t>
        </w:r>
        <w:r w:rsidR="00617987">
          <w:rPr>
            <w:noProof/>
            <w:webHidden/>
          </w:rPr>
          <w:tab/>
        </w:r>
        <w:r w:rsidR="00617987">
          <w:rPr>
            <w:noProof/>
            <w:webHidden/>
          </w:rPr>
          <w:fldChar w:fldCharType="begin"/>
        </w:r>
        <w:r w:rsidR="00617987">
          <w:rPr>
            <w:noProof/>
            <w:webHidden/>
          </w:rPr>
          <w:instrText xml:space="preserve"> PAGEREF _Toc163221106 \h </w:instrText>
        </w:r>
        <w:r w:rsidR="00617987">
          <w:rPr>
            <w:noProof/>
            <w:webHidden/>
          </w:rPr>
        </w:r>
        <w:r w:rsidR="00617987">
          <w:rPr>
            <w:noProof/>
            <w:webHidden/>
          </w:rPr>
          <w:fldChar w:fldCharType="separate"/>
        </w:r>
        <w:r w:rsidR="00617987">
          <w:rPr>
            <w:noProof/>
            <w:webHidden/>
          </w:rPr>
          <w:t>31</w:t>
        </w:r>
        <w:r w:rsidR="00617987">
          <w:rPr>
            <w:noProof/>
            <w:webHidden/>
          </w:rPr>
          <w:fldChar w:fldCharType="end"/>
        </w:r>
      </w:hyperlink>
    </w:p>
    <w:p w14:paraId="3591DB13" w14:textId="583CD5A7" w:rsidR="00617987" w:rsidRDefault="00E51D93">
      <w:pPr>
        <w:pStyle w:val="TableofFigures"/>
        <w:tabs>
          <w:tab w:val="right" w:pos="9854"/>
        </w:tabs>
        <w:rPr>
          <w:noProof/>
          <w:sz w:val="22"/>
          <w:szCs w:val="22"/>
          <w:lang w:eastAsia="en-AU"/>
        </w:rPr>
      </w:pPr>
      <w:hyperlink r:id="rId24" w:anchor="_Toc163221107" w:history="1">
        <w:r w:rsidR="00617987" w:rsidRPr="003A6C2D">
          <w:rPr>
            <w:rStyle w:val="Hyperlink"/>
            <w:noProof/>
          </w:rPr>
          <w:t>Figure 9 - Light vehicle options to increase fuel efficiency</w:t>
        </w:r>
        <w:r w:rsidR="00617987">
          <w:rPr>
            <w:noProof/>
            <w:webHidden/>
          </w:rPr>
          <w:tab/>
        </w:r>
        <w:r w:rsidR="00617987">
          <w:rPr>
            <w:noProof/>
            <w:webHidden/>
          </w:rPr>
          <w:fldChar w:fldCharType="begin"/>
        </w:r>
        <w:r w:rsidR="00617987">
          <w:rPr>
            <w:noProof/>
            <w:webHidden/>
          </w:rPr>
          <w:instrText xml:space="preserve"> PAGEREF _Toc163221107 \h </w:instrText>
        </w:r>
        <w:r w:rsidR="00617987">
          <w:rPr>
            <w:noProof/>
            <w:webHidden/>
          </w:rPr>
        </w:r>
        <w:r w:rsidR="00617987">
          <w:rPr>
            <w:noProof/>
            <w:webHidden/>
          </w:rPr>
          <w:fldChar w:fldCharType="separate"/>
        </w:r>
        <w:r w:rsidR="00617987">
          <w:rPr>
            <w:noProof/>
            <w:webHidden/>
          </w:rPr>
          <w:t>33</w:t>
        </w:r>
        <w:r w:rsidR="00617987">
          <w:rPr>
            <w:noProof/>
            <w:webHidden/>
          </w:rPr>
          <w:fldChar w:fldCharType="end"/>
        </w:r>
      </w:hyperlink>
    </w:p>
    <w:p w14:paraId="378E2738" w14:textId="449A31E4" w:rsidR="00617987" w:rsidRDefault="00E51D93">
      <w:pPr>
        <w:pStyle w:val="TableofFigures"/>
        <w:tabs>
          <w:tab w:val="right" w:pos="9854"/>
        </w:tabs>
        <w:rPr>
          <w:noProof/>
          <w:sz w:val="22"/>
          <w:szCs w:val="22"/>
          <w:lang w:eastAsia="en-AU"/>
        </w:rPr>
      </w:pPr>
      <w:hyperlink w:anchor="_Toc163221108" w:history="1">
        <w:r w:rsidR="00617987" w:rsidRPr="003A6C2D">
          <w:rPr>
            <w:rStyle w:val="Hyperlink"/>
            <w:noProof/>
          </w:rPr>
          <w:t>Table 2 – Slope and reference mass</w:t>
        </w:r>
        <w:r w:rsidR="00617987">
          <w:rPr>
            <w:noProof/>
            <w:webHidden/>
          </w:rPr>
          <w:tab/>
        </w:r>
        <w:r w:rsidR="00617987">
          <w:rPr>
            <w:noProof/>
            <w:webHidden/>
          </w:rPr>
          <w:fldChar w:fldCharType="begin"/>
        </w:r>
        <w:r w:rsidR="00617987">
          <w:rPr>
            <w:noProof/>
            <w:webHidden/>
          </w:rPr>
          <w:instrText xml:space="preserve"> PAGEREF _Toc163221108 \h </w:instrText>
        </w:r>
        <w:r w:rsidR="00617987">
          <w:rPr>
            <w:noProof/>
            <w:webHidden/>
          </w:rPr>
        </w:r>
        <w:r w:rsidR="00617987">
          <w:rPr>
            <w:noProof/>
            <w:webHidden/>
          </w:rPr>
          <w:fldChar w:fldCharType="separate"/>
        </w:r>
        <w:r w:rsidR="00617987">
          <w:rPr>
            <w:noProof/>
            <w:webHidden/>
          </w:rPr>
          <w:t>34</w:t>
        </w:r>
        <w:r w:rsidR="00617987">
          <w:rPr>
            <w:noProof/>
            <w:webHidden/>
          </w:rPr>
          <w:fldChar w:fldCharType="end"/>
        </w:r>
      </w:hyperlink>
    </w:p>
    <w:p w14:paraId="6383557A" w14:textId="7EC8885F" w:rsidR="00617987" w:rsidRDefault="00E51D93">
      <w:pPr>
        <w:pStyle w:val="TableofFigures"/>
        <w:tabs>
          <w:tab w:val="right" w:pos="9854"/>
        </w:tabs>
        <w:rPr>
          <w:noProof/>
          <w:sz w:val="22"/>
          <w:szCs w:val="22"/>
          <w:lang w:eastAsia="en-AU"/>
        </w:rPr>
      </w:pPr>
      <w:hyperlink w:anchor="_Toc163221109" w:history="1">
        <w:r w:rsidR="00617987" w:rsidRPr="003A6C2D">
          <w:rPr>
            <w:rStyle w:val="Hyperlink"/>
            <w:noProof/>
          </w:rPr>
          <w:t>Figure 10 – How a NVES applies (sample data for illustrative purposes only)</w:t>
        </w:r>
        <w:r w:rsidR="00617987">
          <w:rPr>
            <w:noProof/>
            <w:webHidden/>
          </w:rPr>
          <w:tab/>
        </w:r>
        <w:r w:rsidR="00617987">
          <w:rPr>
            <w:noProof/>
            <w:webHidden/>
          </w:rPr>
          <w:fldChar w:fldCharType="begin"/>
        </w:r>
        <w:r w:rsidR="00617987">
          <w:rPr>
            <w:noProof/>
            <w:webHidden/>
          </w:rPr>
          <w:instrText xml:space="preserve"> PAGEREF _Toc163221109 \h </w:instrText>
        </w:r>
        <w:r w:rsidR="00617987">
          <w:rPr>
            <w:noProof/>
            <w:webHidden/>
          </w:rPr>
        </w:r>
        <w:r w:rsidR="00617987">
          <w:rPr>
            <w:noProof/>
            <w:webHidden/>
          </w:rPr>
          <w:fldChar w:fldCharType="separate"/>
        </w:r>
        <w:r w:rsidR="00617987">
          <w:rPr>
            <w:noProof/>
            <w:webHidden/>
          </w:rPr>
          <w:t>35</w:t>
        </w:r>
        <w:r w:rsidR="00617987">
          <w:rPr>
            <w:noProof/>
            <w:webHidden/>
          </w:rPr>
          <w:fldChar w:fldCharType="end"/>
        </w:r>
      </w:hyperlink>
    </w:p>
    <w:p w14:paraId="407303C2" w14:textId="6CDA78B0" w:rsidR="00617987" w:rsidRDefault="00E51D93">
      <w:pPr>
        <w:pStyle w:val="TableofFigures"/>
        <w:tabs>
          <w:tab w:val="right" w:pos="9854"/>
        </w:tabs>
        <w:rPr>
          <w:noProof/>
          <w:sz w:val="22"/>
          <w:szCs w:val="22"/>
          <w:lang w:eastAsia="en-AU"/>
        </w:rPr>
      </w:pPr>
      <w:hyperlink w:anchor="_Toc163221110" w:history="1">
        <w:r w:rsidR="00617987" w:rsidRPr="003A6C2D">
          <w:rPr>
            <w:rStyle w:val="Hyperlink"/>
            <w:noProof/>
          </w:rPr>
          <w:t>Table 3 – NVES options compared</w:t>
        </w:r>
        <w:r w:rsidR="00617987">
          <w:rPr>
            <w:noProof/>
            <w:webHidden/>
          </w:rPr>
          <w:tab/>
        </w:r>
        <w:r w:rsidR="00617987">
          <w:rPr>
            <w:noProof/>
            <w:webHidden/>
          </w:rPr>
          <w:fldChar w:fldCharType="begin"/>
        </w:r>
        <w:r w:rsidR="00617987">
          <w:rPr>
            <w:noProof/>
            <w:webHidden/>
          </w:rPr>
          <w:instrText xml:space="preserve"> PAGEREF _Toc163221110 \h </w:instrText>
        </w:r>
        <w:r w:rsidR="00617987">
          <w:rPr>
            <w:noProof/>
            <w:webHidden/>
          </w:rPr>
        </w:r>
        <w:r w:rsidR="00617987">
          <w:rPr>
            <w:noProof/>
            <w:webHidden/>
          </w:rPr>
          <w:fldChar w:fldCharType="separate"/>
        </w:r>
        <w:r w:rsidR="00617987">
          <w:rPr>
            <w:noProof/>
            <w:webHidden/>
          </w:rPr>
          <w:t>42</w:t>
        </w:r>
        <w:r w:rsidR="00617987">
          <w:rPr>
            <w:noProof/>
            <w:webHidden/>
          </w:rPr>
          <w:fldChar w:fldCharType="end"/>
        </w:r>
      </w:hyperlink>
    </w:p>
    <w:p w14:paraId="17640C89" w14:textId="6355B04A" w:rsidR="00617987" w:rsidRDefault="00E51D93">
      <w:pPr>
        <w:pStyle w:val="TableofFigures"/>
        <w:tabs>
          <w:tab w:val="right" w:pos="9854"/>
        </w:tabs>
        <w:rPr>
          <w:noProof/>
          <w:sz w:val="22"/>
          <w:szCs w:val="22"/>
          <w:lang w:eastAsia="en-AU"/>
        </w:rPr>
      </w:pPr>
      <w:hyperlink w:anchor="_Toc163221111" w:history="1">
        <w:r w:rsidR="00617987" w:rsidRPr="003A6C2D">
          <w:rPr>
            <w:rStyle w:val="Hyperlink"/>
            <w:noProof/>
          </w:rPr>
          <w:t>Figure 11 – Passenger vehicle headline targets for options relative to US EPA proposed targets.</w:t>
        </w:r>
        <w:r w:rsidR="00617987">
          <w:rPr>
            <w:noProof/>
            <w:webHidden/>
          </w:rPr>
          <w:tab/>
        </w:r>
        <w:r w:rsidR="00617987">
          <w:rPr>
            <w:noProof/>
            <w:webHidden/>
          </w:rPr>
          <w:fldChar w:fldCharType="begin"/>
        </w:r>
        <w:r w:rsidR="00617987">
          <w:rPr>
            <w:noProof/>
            <w:webHidden/>
          </w:rPr>
          <w:instrText xml:space="preserve"> PAGEREF _Toc163221111 \h </w:instrText>
        </w:r>
        <w:r w:rsidR="00617987">
          <w:rPr>
            <w:noProof/>
            <w:webHidden/>
          </w:rPr>
        </w:r>
        <w:r w:rsidR="00617987">
          <w:rPr>
            <w:noProof/>
            <w:webHidden/>
          </w:rPr>
          <w:fldChar w:fldCharType="separate"/>
        </w:r>
        <w:r w:rsidR="00617987">
          <w:rPr>
            <w:noProof/>
            <w:webHidden/>
          </w:rPr>
          <w:t>44</w:t>
        </w:r>
        <w:r w:rsidR="00617987">
          <w:rPr>
            <w:noProof/>
            <w:webHidden/>
          </w:rPr>
          <w:fldChar w:fldCharType="end"/>
        </w:r>
      </w:hyperlink>
    </w:p>
    <w:p w14:paraId="74419C30" w14:textId="6FD9C40D" w:rsidR="00617987" w:rsidRDefault="00E51D93">
      <w:pPr>
        <w:pStyle w:val="TableofFigures"/>
        <w:tabs>
          <w:tab w:val="right" w:pos="9854"/>
        </w:tabs>
        <w:rPr>
          <w:noProof/>
          <w:sz w:val="22"/>
          <w:szCs w:val="22"/>
          <w:lang w:eastAsia="en-AU"/>
        </w:rPr>
      </w:pPr>
      <w:hyperlink w:anchor="_Toc163221112" w:history="1">
        <w:r w:rsidR="00617987" w:rsidRPr="003A6C2D">
          <w:rPr>
            <w:rStyle w:val="Hyperlink"/>
            <w:noProof/>
          </w:rPr>
          <w:t>Figure 12 – Light commercial vehicle headline targets for options relative to other country’s targets.</w:t>
        </w:r>
        <w:r w:rsidR="00617987">
          <w:rPr>
            <w:noProof/>
            <w:webHidden/>
          </w:rPr>
          <w:tab/>
        </w:r>
        <w:r w:rsidR="00617987">
          <w:rPr>
            <w:noProof/>
            <w:webHidden/>
          </w:rPr>
          <w:fldChar w:fldCharType="begin"/>
        </w:r>
        <w:r w:rsidR="00617987">
          <w:rPr>
            <w:noProof/>
            <w:webHidden/>
          </w:rPr>
          <w:instrText xml:space="preserve"> PAGEREF _Toc163221112 \h </w:instrText>
        </w:r>
        <w:r w:rsidR="00617987">
          <w:rPr>
            <w:noProof/>
            <w:webHidden/>
          </w:rPr>
        </w:r>
        <w:r w:rsidR="00617987">
          <w:rPr>
            <w:noProof/>
            <w:webHidden/>
          </w:rPr>
          <w:fldChar w:fldCharType="separate"/>
        </w:r>
        <w:r w:rsidR="00617987">
          <w:rPr>
            <w:noProof/>
            <w:webHidden/>
          </w:rPr>
          <w:t>45</w:t>
        </w:r>
        <w:r w:rsidR="00617987">
          <w:rPr>
            <w:noProof/>
            <w:webHidden/>
          </w:rPr>
          <w:fldChar w:fldCharType="end"/>
        </w:r>
      </w:hyperlink>
    </w:p>
    <w:p w14:paraId="1411D507" w14:textId="06AAEC47" w:rsidR="00617987" w:rsidRDefault="00E51D93">
      <w:pPr>
        <w:pStyle w:val="TableofFigures"/>
        <w:tabs>
          <w:tab w:val="right" w:pos="9854"/>
        </w:tabs>
        <w:rPr>
          <w:noProof/>
          <w:sz w:val="22"/>
          <w:szCs w:val="22"/>
          <w:lang w:eastAsia="en-AU"/>
        </w:rPr>
      </w:pPr>
      <w:hyperlink w:anchor="_Toc163221113" w:history="1">
        <w:r w:rsidR="00617987" w:rsidRPr="003A6C2D">
          <w:rPr>
            <w:rStyle w:val="Hyperlink"/>
            <w:noProof/>
          </w:rPr>
          <w:t>Figure 13 – Cumulative abatement of all options to 2030</w:t>
        </w:r>
        <w:r w:rsidR="00617987">
          <w:rPr>
            <w:noProof/>
            <w:webHidden/>
          </w:rPr>
          <w:tab/>
        </w:r>
        <w:r w:rsidR="00617987">
          <w:rPr>
            <w:noProof/>
            <w:webHidden/>
          </w:rPr>
          <w:fldChar w:fldCharType="begin"/>
        </w:r>
        <w:r w:rsidR="00617987">
          <w:rPr>
            <w:noProof/>
            <w:webHidden/>
          </w:rPr>
          <w:instrText xml:space="preserve"> PAGEREF _Toc163221113 \h </w:instrText>
        </w:r>
        <w:r w:rsidR="00617987">
          <w:rPr>
            <w:noProof/>
            <w:webHidden/>
          </w:rPr>
        </w:r>
        <w:r w:rsidR="00617987">
          <w:rPr>
            <w:noProof/>
            <w:webHidden/>
          </w:rPr>
          <w:fldChar w:fldCharType="separate"/>
        </w:r>
        <w:r w:rsidR="00617987">
          <w:rPr>
            <w:noProof/>
            <w:webHidden/>
          </w:rPr>
          <w:t>46</w:t>
        </w:r>
        <w:r w:rsidR="00617987">
          <w:rPr>
            <w:noProof/>
            <w:webHidden/>
          </w:rPr>
          <w:fldChar w:fldCharType="end"/>
        </w:r>
      </w:hyperlink>
    </w:p>
    <w:p w14:paraId="0B261D20" w14:textId="4D2B1D8D" w:rsidR="00617987" w:rsidRDefault="00E51D93">
      <w:pPr>
        <w:pStyle w:val="TableofFigures"/>
        <w:tabs>
          <w:tab w:val="right" w:pos="9854"/>
        </w:tabs>
        <w:rPr>
          <w:noProof/>
          <w:sz w:val="22"/>
          <w:szCs w:val="22"/>
          <w:lang w:eastAsia="en-AU"/>
        </w:rPr>
      </w:pPr>
      <w:hyperlink w:anchor="_Toc163221114" w:history="1">
        <w:r w:rsidR="00617987" w:rsidRPr="003A6C2D">
          <w:rPr>
            <w:rStyle w:val="Hyperlink"/>
            <w:noProof/>
          </w:rPr>
          <w:t>Figure 14 – Cumulative abatement of all options to 2050</w:t>
        </w:r>
        <w:r w:rsidR="00617987">
          <w:rPr>
            <w:noProof/>
            <w:webHidden/>
          </w:rPr>
          <w:tab/>
        </w:r>
        <w:r w:rsidR="00617987">
          <w:rPr>
            <w:noProof/>
            <w:webHidden/>
          </w:rPr>
          <w:fldChar w:fldCharType="begin"/>
        </w:r>
        <w:r w:rsidR="00617987">
          <w:rPr>
            <w:noProof/>
            <w:webHidden/>
          </w:rPr>
          <w:instrText xml:space="preserve"> PAGEREF _Toc163221114 \h </w:instrText>
        </w:r>
        <w:r w:rsidR="00617987">
          <w:rPr>
            <w:noProof/>
            <w:webHidden/>
          </w:rPr>
        </w:r>
        <w:r w:rsidR="00617987">
          <w:rPr>
            <w:noProof/>
            <w:webHidden/>
          </w:rPr>
          <w:fldChar w:fldCharType="separate"/>
        </w:r>
        <w:r w:rsidR="00617987">
          <w:rPr>
            <w:noProof/>
            <w:webHidden/>
          </w:rPr>
          <w:t>46</w:t>
        </w:r>
        <w:r w:rsidR="00617987">
          <w:rPr>
            <w:noProof/>
            <w:webHidden/>
          </w:rPr>
          <w:fldChar w:fldCharType="end"/>
        </w:r>
      </w:hyperlink>
    </w:p>
    <w:p w14:paraId="50381536" w14:textId="2E2D2691" w:rsidR="00617987" w:rsidRDefault="00E51D93">
      <w:pPr>
        <w:pStyle w:val="TableofFigures"/>
        <w:tabs>
          <w:tab w:val="right" w:pos="9854"/>
        </w:tabs>
        <w:rPr>
          <w:noProof/>
          <w:sz w:val="22"/>
          <w:szCs w:val="22"/>
          <w:lang w:eastAsia="en-AU"/>
        </w:rPr>
      </w:pPr>
      <w:hyperlink w:anchor="_Toc163221115" w:history="1">
        <w:r w:rsidR="00617987" w:rsidRPr="003A6C2D">
          <w:rPr>
            <w:rStyle w:val="Hyperlink"/>
            <w:noProof/>
          </w:rPr>
          <w:t>Figure 15 – Cumulative fuel cost saving of all options to 2050</w:t>
        </w:r>
        <w:r w:rsidR="00617987">
          <w:rPr>
            <w:noProof/>
            <w:webHidden/>
          </w:rPr>
          <w:tab/>
        </w:r>
        <w:r w:rsidR="00617987">
          <w:rPr>
            <w:noProof/>
            <w:webHidden/>
          </w:rPr>
          <w:fldChar w:fldCharType="begin"/>
        </w:r>
        <w:r w:rsidR="00617987">
          <w:rPr>
            <w:noProof/>
            <w:webHidden/>
          </w:rPr>
          <w:instrText xml:space="preserve"> PAGEREF _Toc163221115 \h </w:instrText>
        </w:r>
        <w:r w:rsidR="00617987">
          <w:rPr>
            <w:noProof/>
            <w:webHidden/>
          </w:rPr>
        </w:r>
        <w:r w:rsidR="00617987">
          <w:rPr>
            <w:noProof/>
            <w:webHidden/>
          </w:rPr>
          <w:fldChar w:fldCharType="separate"/>
        </w:r>
        <w:r w:rsidR="00617987">
          <w:rPr>
            <w:noProof/>
            <w:webHidden/>
          </w:rPr>
          <w:t>47</w:t>
        </w:r>
        <w:r w:rsidR="00617987">
          <w:rPr>
            <w:noProof/>
            <w:webHidden/>
          </w:rPr>
          <w:fldChar w:fldCharType="end"/>
        </w:r>
      </w:hyperlink>
    </w:p>
    <w:p w14:paraId="1292A87D" w14:textId="4B45F7A3" w:rsidR="00617987" w:rsidRDefault="00E51D93">
      <w:pPr>
        <w:pStyle w:val="TableofFigures"/>
        <w:tabs>
          <w:tab w:val="right" w:pos="9854"/>
        </w:tabs>
        <w:rPr>
          <w:noProof/>
          <w:sz w:val="22"/>
          <w:szCs w:val="22"/>
          <w:lang w:eastAsia="en-AU"/>
        </w:rPr>
      </w:pPr>
      <w:hyperlink w:anchor="_Toc163221116" w:history="1">
        <w:r w:rsidR="00617987" w:rsidRPr="003A6C2D">
          <w:rPr>
            <w:rStyle w:val="Hyperlink"/>
            <w:noProof/>
          </w:rPr>
          <w:t>Table 4 – Considered changes to Option B</w:t>
        </w:r>
        <w:r w:rsidR="00617987">
          <w:rPr>
            <w:noProof/>
            <w:webHidden/>
          </w:rPr>
          <w:tab/>
        </w:r>
        <w:r w:rsidR="00617987">
          <w:rPr>
            <w:noProof/>
            <w:webHidden/>
          </w:rPr>
          <w:fldChar w:fldCharType="begin"/>
        </w:r>
        <w:r w:rsidR="00617987">
          <w:rPr>
            <w:noProof/>
            <w:webHidden/>
          </w:rPr>
          <w:instrText xml:space="preserve"> PAGEREF _Toc163221116 \h </w:instrText>
        </w:r>
        <w:r w:rsidR="00617987">
          <w:rPr>
            <w:noProof/>
            <w:webHidden/>
          </w:rPr>
        </w:r>
        <w:r w:rsidR="00617987">
          <w:rPr>
            <w:noProof/>
            <w:webHidden/>
          </w:rPr>
          <w:fldChar w:fldCharType="separate"/>
        </w:r>
        <w:r w:rsidR="00617987">
          <w:rPr>
            <w:noProof/>
            <w:webHidden/>
          </w:rPr>
          <w:t>49</w:t>
        </w:r>
        <w:r w:rsidR="00617987">
          <w:rPr>
            <w:noProof/>
            <w:webHidden/>
          </w:rPr>
          <w:fldChar w:fldCharType="end"/>
        </w:r>
      </w:hyperlink>
    </w:p>
    <w:p w14:paraId="1F567E28" w14:textId="36AA7104" w:rsidR="00617987" w:rsidRDefault="00E51D93">
      <w:pPr>
        <w:pStyle w:val="TableofFigures"/>
        <w:tabs>
          <w:tab w:val="right" w:pos="9854"/>
        </w:tabs>
        <w:rPr>
          <w:noProof/>
          <w:sz w:val="22"/>
          <w:szCs w:val="22"/>
          <w:lang w:eastAsia="en-AU"/>
        </w:rPr>
      </w:pPr>
      <w:hyperlink w:anchor="_Toc163221117" w:history="1">
        <w:r w:rsidR="00617987" w:rsidRPr="003A6C2D">
          <w:rPr>
            <w:rStyle w:val="Hyperlink"/>
            <w:noProof/>
          </w:rPr>
          <w:t>Table 5 – Assessment of options vs principles</w:t>
        </w:r>
        <w:r w:rsidR="00617987">
          <w:rPr>
            <w:noProof/>
            <w:webHidden/>
          </w:rPr>
          <w:tab/>
        </w:r>
        <w:r w:rsidR="00617987">
          <w:rPr>
            <w:noProof/>
            <w:webHidden/>
          </w:rPr>
          <w:fldChar w:fldCharType="begin"/>
        </w:r>
        <w:r w:rsidR="00617987">
          <w:rPr>
            <w:noProof/>
            <w:webHidden/>
          </w:rPr>
          <w:instrText xml:space="preserve"> PAGEREF _Toc163221117 \h </w:instrText>
        </w:r>
        <w:r w:rsidR="00617987">
          <w:rPr>
            <w:noProof/>
            <w:webHidden/>
          </w:rPr>
        </w:r>
        <w:r w:rsidR="00617987">
          <w:rPr>
            <w:noProof/>
            <w:webHidden/>
          </w:rPr>
          <w:fldChar w:fldCharType="separate"/>
        </w:r>
        <w:r w:rsidR="00617987">
          <w:rPr>
            <w:noProof/>
            <w:webHidden/>
          </w:rPr>
          <w:t>53</w:t>
        </w:r>
        <w:r w:rsidR="00617987">
          <w:rPr>
            <w:noProof/>
            <w:webHidden/>
          </w:rPr>
          <w:fldChar w:fldCharType="end"/>
        </w:r>
      </w:hyperlink>
    </w:p>
    <w:p w14:paraId="54328797" w14:textId="12A62146" w:rsidR="00617987" w:rsidRDefault="00E51D93">
      <w:pPr>
        <w:pStyle w:val="TableofFigures"/>
        <w:tabs>
          <w:tab w:val="right" w:pos="9854"/>
        </w:tabs>
        <w:rPr>
          <w:noProof/>
          <w:sz w:val="22"/>
          <w:szCs w:val="22"/>
          <w:lang w:eastAsia="en-AU"/>
        </w:rPr>
      </w:pPr>
      <w:hyperlink w:anchor="_Toc163221118" w:history="1">
        <w:r w:rsidR="00617987" w:rsidRPr="003A6C2D">
          <w:rPr>
            <w:rStyle w:val="Hyperlink"/>
            <w:noProof/>
          </w:rPr>
          <w:t>Table 6 – Benefits and costs of options</w:t>
        </w:r>
        <w:r w:rsidR="00617987">
          <w:rPr>
            <w:noProof/>
            <w:webHidden/>
          </w:rPr>
          <w:tab/>
        </w:r>
        <w:r w:rsidR="00617987">
          <w:rPr>
            <w:noProof/>
            <w:webHidden/>
          </w:rPr>
          <w:fldChar w:fldCharType="begin"/>
        </w:r>
        <w:r w:rsidR="00617987">
          <w:rPr>
            <w:noProof/>
            <w:webHidden/>
          </w:rPr>
          <w:instrText xml:space="preserve"> PAGEREF _Toc163221118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31889B80" w14:textId="1B6B8B4A" w:rsidR="00617987" w:rsidRDefault="00E51D93">
      <w:pPr>
        <w:pStyle w:val="TableofFigures"/>
        <w:tabs>
          <w:tab w:val="right" w:pos="9854"/>
        </w:tabs>
        <w:rPr>
          <w:noProof/>
          <w:sz w:val="22"/>
          <w:szCs w:val="22"/>
          <w:lang w:eastAsia="en-AU"/>
        </w:rPr>
      </w:pPr>
      <w:hyperlink w:anchor="_Toc163221119" w:history="1">
        <w:r w:rsidR="00617987" w:rsidRPr="003A6C2D">
          <w:rPr>
            <w:rStyle w:val="Hyperlink"/>
            <w:noProof/>
          </w:rPr>
          <w:t>Table 7 – Key benefits</w:t>
        </w:r>
        <w:r w:rsidR="00617987">
          <w:rPr>
            <w:noProof/>
            <w:webHidden/>
          </w:rPr>
          <w:tab/>
        </w:r>
        <w:r w:rsidR="00617987">
          <w:rPr>
            <w:noProof/>
            <w:webHidden/>
          </w:rPr>
          <w:fldChar w:fldCharType="begin"/>
        </w:r>
        <w:r w:rsidR="00617987">
          <w:rPr>
            <w:noProof/>
            <w:webHidden/>
          </w:rPr>
          <w:instrText xml:space="preserve"> PAGEREF _Toc163221119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60C249B3" w14:textId="19AE1F9E" w:rsidR="00617987" w:rsidRDefault="00E51D93">
      <w:pPr>
        <w:pStyle w:val="TableofFigures"/>
        <w:tabs>
          <w:tab w:val="right" w:pos="9854"/>
        </w:tabs>
        <w:rPr>
          <w:noProof/>
          <w:sz w:val="22"/>
          <w:szCs w:val="22"/>
          <w:lang w:eastAsia="en-AU"/>
        </w:rPr>
      </w:pPr>
      <w:hyperlink w:anchor="_Toc163221120" w:history="1">
        <w:r w:rsidR="00617987" w:rsidRPr="003A6C2D">
          <w:rPr>
            <w:rStyle w:val="Hyperlink"/>
            <w:noProof/>
          </w:rPr>
          <w:t>Table 8 – Key costs</w:t>
        </w:r>
        <w:r w:rsidR="00617987">
          <w:rPr>
            <w:noProof/>
            <w:webHidden/>
          </w:rPr>
          <w:tab/>
        </w:r>
        <w:r w:rsidR="00617987">
          <w:rPr>
            <w:noProof/>
            <w:webHidden/>
          </w:rPr>
          <w:fldChar w:fldCharType="begin"/>
        </w:r>
        <w:r w:rsidR="00617987">
          <w:rPr>
            <w:noProof/>
            <w:webHidden/>
          </w:rPr>
          <w:instrText xml:space="preserve"> PAGEREF _Toc163221120 \h </w:instrText>
        </w:r>
        <w:r w:rsidR="00617987">
          <w:rPr>
            <w:noProof/>
            <w:webHidden/>
          </w:rPr>
        </w:r>
        <w:r w:rsidR="00617987">
          <w:rPr>
            <w:noProof/>
            <w:webHidden/>
          </w:rPr>
          <w:fldChar w:fldCharType="separate"/>
        </w:r>
        <w:r w:rsidR="00617987">
          <w:rPr>
            <w:noProof/>
            <w:webHidden/>
          </w:rPr>
          <w:t>55</w:t>
        </w:r>
        <w:r w:rsidR="00617987">
          <w:rPr>
            <w:noProof/>
            <w:webHidden/>
          </w:rPr>
          <w:fldChar w:fldCharType="end"/>
        </w:r>
      </w:hyperlink>
    </w:p>
    <w:p w14:paraId="18924DD1" w14:textId="564C7962" w:rsidR="00617987" w:rsidRDefault="00E51D93">
      <w:pPr>
        <w:pStyle w:val="TableofFigures"/>
        <w:tabs>
          <w:tab w:val="right" w:pos="9854"/>
        </w:tabs>
        <w:rPr>
          <w:noProof/>
          <w:sz w:val="22"/>
          <w:szCs w:val="22"/>
          <w:lang w:eastAsia="en-AU"/>
        </w:rPr>
      </w:pPr>
      <w:hyperlink w:anchor="_Toc163221121" w:history="1">
        <w:r w:rsidR="00617987" w:rsidRPr="003A6C2D">
          <w:rPr>
            <w:rStyle w:val="Hyperlink"/>
            <w:noProof/>
          </w:rPr>
          <w:t>Table 9 – Benefits and costs of Option A</w:t>
        </w:r>
        <w:r w:rsidR="00617987">
          <w:rPr>
            <w:noProof/>
            <w:webHidden/>
          </w:rPr>
          <w:tab/>
        </w:r>
        <w:r w:rsidR="00617987">
          <w:rPr>
            <w:noProof/>
            <w:webHidden/>
          </w:rPr>
          <w:fldChar w:fldCharType="begin"/>
        </w:r>
        <w:r w:rsidR="00617987">
          <w:rPr>
            <w:noProof/>
            <w:webHidden/>
          </w:rPr>
          <w:instrText xml:space="preserve"> PAGEREF _Toc163221121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3FC01315" w14:textId="2938D055" w:rsidR="00617987" w:rsidRDefault="00E51D93">
      <w:pPr>
        <w:pStyle w:val="TableofFigures"/>
        <w:tabs>
          <w:tab w:val="right" w:pos="9854"/>
        </w:tabs>
        <w:rPr>
          <w:noProof/>
          <w:sz w:val="22"/>
          <w:szCs w:val="22"/>
          <w:lang w:eastAsia="en-AU"/>
        </w:rPr>
      </w:pPr>
      <w:hyperlink w:anchor="_Toc163221122" w:history="1">
        <w:r w:rsidR="00617987" w:rsidRPr="003A6C2D">
          <w:rPr>
            <w:rStyle w:val="Hyperlink"/>
            <w:noProof/>
          </w:rPr>
          <w:t>Table 10 – Benefits and costs of Option B</w:t>
        </w:r>
        <w:r w:rsidR="00617987">
          <w:rPr>
            <w:noProof/>
            <w:webHidden/>
          </w:rPr>
          <w:tab/>
        </w:r>
        <w:r w:rsidR="00617987">
          <w:rPr>
            <w:noProof/>
            <w:webHidden/>
          </w:rPr>
          <w:fldChar w:fldCharType="begin"/>
        </w:r>
        <w:r w:rsidR="00617987">
          <w:rPr>
            <w:noProof/>
            <w:webHidden/>
          </w:rPr>
          <w:instrText xml:space="preserve"> PAGEREF _Toc163221122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46A8E365" w14:textId="00D89833" w:rsidR="00617987" w:rsidRDefault="00E51D93">
      <w:pPr>
        <w:pStyle w:val="TableofFigures"/>
        <w:tabs>
          <w:tab w:val="right" w:pos="9854"/>
        </w:tabs>
        <w:rPr>
          <w:noProof/>
          <w:sz w:val="22"/>
          <w:szCs w:val="22"/>
          <w:lang w:eastAsia="en-AU"/>
        </w:rPr>
      </w:pPr>
      <w:hyperlink w:anchor="_Toc163221123" w:history="1">
        <w:r w:rsidR="00617987" w:rsidRPr="003A6C2D">
          <w:rPr>
            <w:rStyle w:val="Hyperlink"/>
            <w:noProof/>
          </w:rPr>
          <w:t>Table 11 – Benefits and costs of Option C</w:t>
        </w:r>
        <w:r w:rsidR="00617987">
          <w:rPr>
            <w:noProof/>
            <w:webHidden/>
          </w:rPr>
          <w:tab/>
        </w:r>
        <w:r w:rsidR="00617987">
          <w:rPr>
            <w:noProof/>
            <w:webHidden/>
          </w:rPr>
          <w:fldChar w:fldCharType="begin"/>
        </w:r>
        <w:r w:rsidR="00617987">
          <w:rPr>
            <w:noProof/>
            <w:webHidden/>
          </w:rPr>
          <w:instrText xml:space="preserve"> PAGEREF _Toc163221123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58288091" w14:textId="33C571FC" w:rsidR="00617987" w:rsidRDefault="00E51D93">
      <w:pPr>
        <w:pStyle w:val="TableofFigures"/>
        <w:tabs>
          <w:tab w:val="right" w:pos="9854"/>
        </w:tabs>
        <w:rPr>
          <w:noProof/>
          <w:sz w:val="22"/>
          <w:szCs w:val="22"/>
          <w:lang w:eastAsia="en-AU"/>
        </w:rPr>
      </w:pPr>
      <w:hyperlink w:anchor="_Toc163221124" w:history="1">
        <w:r w:rsidR="00617987" w:rsidRPr="003A6C2D">
          <w:rPr>
            <w:rStyle w:val="Hyperlink"/>
            <w:noProof/>
          </w:rPr>
          <w:t>Table 12 – Benefits and costs of the best option</w:t>
        </w:r>
        <w:r w:rsidR="00617987">
          <w:rPr>
            <w:noProof/>
            <w:webHidden/>
          </w:rPr>
          <w:tab/>
        </w:r>
        <w:r w:rsidR="00617987">
          <w:rPr>
            <w:noProof/>
            <w:webHidden/>
          </w:rPr>
          <w:fldChar w:fldCharType="begin"/>
        </w:r>
        <w:r w:rsidR="00617987">
          <w:rPr>
            <w:noProof/>
            <w:webHidden/>
          </w:rPr>
          <w:instrText xml:space="preserve"> PAGEREF _Toc163221124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24D92394" w14:textId="34811527" w:rsidR="00617987" w:rsidRDefault="00E51D93">
      <w:pPr>
        <w:pStyle w:val="TableofFigures"/>
        <w:tabs>
          <w:tab w:val="right" w:pos="9854"/>
        </w:tabs>
        <w:rPr>
          <w:noProof/>
          <w:sz w:val="22"/>
          <w:szCs w:val="22"/>
          <w:lang w:eastAsia="en-AU"/>
        </w:rPr>
      </w:pPr>
      <w:hyperlink w:anchor="_Toc163221125" w:history="1">
        <w:r w:rsidR="00617987" w:rsidRPr="003A6C2D">
          <w:rPr>
            <w:rStyle w:val="Hyperlink"/>
            <w:noProof/>
          </w:rPr>
          <w:t>Table 13 – Definition of stakeholders</w:t>
        </w:r>
        <w:r w:rsidR="00617987">
          <w:rPr>
            <w:noProof/>
            <w:webHidden/>
          </w:rPr>
          <w:tab/>
        </w:r>
        <w:r w:rsidR="00617987">
          <w:rPr>
            <w:noProof/>
            <w:webHidden/>
          </w:rPr>
          <w:fldChar w:fldCharType="begin"/>
        </w:r>
        <w:r w:rsidR="00617987">
          <w:rPr>
            <w:noProof/>
            <w:webHidden/>
          </w:rPr>
          <w:instrText xml:space="preserve"> PAGEREF _Toc163221125 \h </w:instrText>
        </w:r>
        <w:r w:rsidR="00617987">
          <w:rPr>
            <w:noProof/>
            <w:webHidden/>
          </w:rPr>
        </w:r>
        <w:r w:rsidR="00617987">
          <w:rPr>
            <w:noProof/>
            <w:webHidden/>
          </w:rPr>
          <w:fldChar w:fldCharType="separate"/>
        </w:r>
        <w:r w:rsidR="00617987">
          <w:rPr>
            <w:noProof/>
            <w:webHidden/>
          </w:rPr>
          <w:t>58</w:t>
        </w:r>
        <w:r w:rsidR="00617987">
          <w:rPr>
            <w:noProof/>
            <w:webHidden/>
          </w:rPr>
          <w:fldChar w:fldCharType="end"/>
        </w:r>
      </w:hyperlink>
    </w:p>
    <w:p w14:paraId="3936A3A2" w14:textId="449D25A3" w:rsidR="00617987" w:rsidRDefault="00E51D93">
      <w:pPr>
        <w:pStyle w:val="TableofFigures"/>
        <w:tabs>
          <w:tab w:val="right" w:pos="9854"/>
        </w:tabs>
        <w:rPr>
          <w:noProof/>
          <w:sz w:val="22"/>
          <w:szCs w:val="22"/>
          <w:lang w:eastAsia="en-AU"/>
        </w:rPr>
      </w:pPr>
      <w:hyperlink w:anchor="_Toc163221126" w:history="1">
        <w:r w:rsidR="00617987" w:rsidRPr="003A6C2D">
          <w:rPr>
            <w:rStyle w:val="Hyperlink"/>
            <w:noProof/>
          </w:rPr>
          <w:t>Table 14 – Stakeholder impacts of options</w:t>
        </w:r>
        <w:r w:rsidR="00617987">
          <w:rPr>
            <w:noProof/>
            <w:webHidden/>
          </w:rPr>
          <w:tab/>
        </w:r>
        <w:r w:rsidR="00617987">
          <w:rPr>
            <w:noProof/>
            <w:webHidden/>
          </w:rPr>
          <w:fldChar w:fldCharType="begin"/>
        </w:r>
        <w:r w:rsidR="00617987">
          <w:rPr>
            <w:noProof/>
            <w:webHidden/>
          </w:rPr>
          <w:instrText xml:space="preserve"> PAGEREF _Toc163221126 \h </w:instrText>
        </w:r>
        <w:r w:rsidR="00617987">
          <w:rPr>
            <w:noProof/>
            <w:webHidden/>
          </w:rPr>
        </w:r>
        <w:r w:rsidR="00617987">
          <w:rPr>
            <w:noProof/>
            <w:webHidden/>
          </w:rPr>
          <w:fldChar w:fldCharType="separate"/>
        </w:r>
        <w:r w:rsidR="00617987">
          <w:rPr>
            <w:noProof/>
            <w:webHidden/>
          </w:rPr>
          <w:t>59</w:t>
        </w:r>
        <w:r w:rsidR="00617987">
          <w:rPr>
            <w:noProof/>
            <w:webHidden/>
          </w:rPr>
          <w:fldChar w:fldCharType="end"/>
        </w:r>
      </w:hyperlink>
    </w:p>
    <w:p w14:paraId="0030408B" w14:textId="0942BE80" w:rsidR="00617987" w:rsidRDefault="00E51D93">
      <w:pPr>
        <w:pStyle w:val="TableofFigures"/>
        <w:tabs>
          <w:tab w:val="right" w:pos="9854"/>
        </w:tabs>
        <w:rPr>
          <w:noProof/>
          <w:sz w:val="22"/>
          <w:szCs w:val="22"/>
          <w:lang w:eastAsia="en-AU"/>
        </w:rPr>
      </w:pPr>
      <w:hyperlink w:anchor="_Toc163221127" w:history="1">
        <w:r w:rsidR="00617987" w:rsidRPr="003A6C2D">
          <w:rPr>
            <w:rStyle w:val="Hyperlink"/>
            <w:noProof/>
          </w:rPr>
          <w:t>Table 15 – Benefits and costs for states and territories</w:t>
        </w:r>
        <w:r w:rsidR="00617987">
          <w:rPr>
            <w:noProof/>
            <w:webHidden/>
          </w:rPr>
          <w:tab/>
        </w:r>
        <w:r w:rsidR="00617987">
          <w:rPr>
            <w:noProof/>
            <w:webHidden/>
          </w:rPr>
          <w:fldChar w:fldCharType="begin"/>
        </w:r>
        <w:r w:rsidR="00617987">
          <w:rPr>
            <w:noProof/>
            <w:webHidden/>
          </w:rPr>
          <w:instrText xml:space="preserve"> PAGEREF _Toc163221127 \h </w:instrText>
        </w:r>
        <w:r w:rsidR="00617987">
          <w:rPr>
            <w:noProof/>
            <w:webHidden/>
          </w:rPr>
        </w:r>
        <w:r w:rsidR="00617987">
          <w:rPr>
            <w:noProof/>
            <w:webHidden/>
          </w:rPr>
          <w:fldChar w:fldCharType="separate"/>
        </w:r>
        <w:r w:rsidR="00617987">
          <w:rPr>
            <w:noProof/>
            <w:webHidden/>
          </w:rPr>
          <w:t>60</w:t>
        </w:r>
        <w:r w:rsidR="00617987">
          <w:rPr>
            <w:noProof/>
            <w:webHidden/>
          </w:rPr>
          <w:fldChar w:fldCharType="end"/>
        </w:r>
      </w:hyperlink>
    </w:p>
    <w:p w14:paraId="5628BAEF" w14:textId="261D9772" w:rsidR="00617987" w:rsidRDefault="00E51D93">
      <w:pPr>
        <w:pStyle w:val="TableofFigures"/>
        <w:tabs>
          <w:tab w:val="right" w:pos="9854"/>
        </w:tabs>
        <w:rPr>
          <w:noProof/>
          <w:sz w:val="22"/>
          <w:szCs w:val="22"/>
          <w:lang w:eastAsia="en-AU"/>
        </w:rPr>
      </w:pPr>
      <w:hyperlink w:anchor="_Toc163221128" w:history="1">
        <w:r w:rsidR="00617987" w:rsidRPr="003A6C2D">
          <w:rPr>
            <w:rStyle w:val="Hyperlink"/>
            <w:noProof/>
          </w:rPr>
          <w:t>Table 16 – Benefits and costs for different locations</w:t>
        </w:r>
        <w:r w:rsidR="00617987">
          <w:rPr>
            <w:noProof/>
            <w:webHidden/>
          </w:rPr>
          <w:tab/>
        </w:r>
        <w:r w:rsidR="00617987">
          <w:rPr>
            <w:noProof/>
            <w:webHidden/>
          </w:rPr>
          <w:fldChar w:fldCharType="begin"/>
        </w:r>
        <w:r w:rsidR="00617987">
          <w:rPr>
            <w:noProof/>
            <w:webHidden/>
          </w:rPr>
          <w:instrText xml:space="preserve"> PAGEREF _Toc163221128 \h </w:instrText>
        </w:r>
        <w:r w:rsidR="00617987">
          <w:rPr>
            <w:noProof/>
            <w:webHidden/>
          </w:rPr>
        </w:r>
        <w:r w:rsidR="00617987">
          <w:rPr>
            <w:noProof/>
            <w:webHidden/>
          </w:rPr>
          <w:fldChar w:fldCharType="separate"/>
        </w:r>
        <w:r w:rsidR="00617987">
          <w:rPr>
            <w:noProof/>
            <w:webHidden/>
          </w:rPr>
          <w:t>60</w:t>
        </w:r>
        <w:r w:rsidR="00617987">
          <w:rPr>
            <w:noProof/>
            <w:webHidden/>
          </w:rPr>
          <w:fldChar w:fldCharType="end"/>
        </w:r>
      </w:hyperlink>
    </w:p>
    <w:p w14:paraId="739843A1" w14:textId="07388ECE" w:rsidR="00617987" w:rsidRDefault="00E51D93">
      <w:pPr>
        <w:pStyle w:val="TableofFigures"/>
        <w:tabs>
          <w:tab w:val="right" w:pos="9854"/>
        </w:tabs>
        <w:rPr>
          <w:noProof/>
          <w:sz w:val="22"/>
          <w:szCs w:val="22"/>
          <w:lang w:eastAsia="en-AU"/>
        </w:rPr>
      </w:pPr>
      <w:hyperlink w:anchor="_Toc163221129" w:history="1">
        <w:r w:rsidR="00617987" w:rsidRPr="003A6C2D">
          <w:rPr>
            <w:rStyle w:val="Hyperlink"/>
            <w:noProof/>
          </w:rPr>
          <w:t>Table 17 – Sensitivity analysis</w:t>
        </w:r>
        <w:r w:rsidR="00617987">
          <w:rPr>
            <w:noProof/>
            <w:webHidden/>
          </w:rPr>
          <w:tab/>
        </w:r>
        <w:r w:rsidR="00617987">
          <w:rPr>
            <w:noProof/>
            <w:webHidden/>
          </w:rPr>
          <w:fldChar w:fldCharType="begin"/>
        </w:r>
        <w:r w:rsidR="00617987">
          <w:rPr>
            <w:noProof/>
            <w:webHidden/>
          </w:rPr>
          <w:instrText xml:space="preserve"> PAGEREF _Toc163221129 \h </w:instrText>
        </w:r>
        <w:r w:rsidR="00617987">
          <w:rPr>
            <w:noProof/>
            <w:webHidden/>
          </w:rPr>
        </w:r>
        <w:r w:rsidR="00617987">
          <w:rPr>
            <w:noProof/>
            <w:webHidden/>
          </w:rPr>
          <w:fldChar w:fldCharType="separate"/>
        </w:r>
        <w:r w:rsidR="00617987">
          <w:rPr>
            <w:noProof/>
            <w:webHidden/>
          </w:rPr>
          <w:t>62</w:t>
        </w:r>
        <w:r w:rsidR="00617987">
          <w:rPr>
            <w:noProof/>
            <w:webHidden/>
          </w:rPr>
          <w:fldChar w:fldCharType="end"/>
        </w:r>
      </w:hyperlink>
    </w:p>
    <w:p w14:paraId="336779CA" w14:textId="54634BD7" w:rsidR="00617987" w:rsidRDefault="00E51D93">
      <w:pPr>
        <w:pStyle w:val="TableofFigures"/>
        <w:tabs>
          <w:tab w:val="right" w:pos="9854"/>
        </w:tabs>
        <w:rPr>
          <w:noProof/>
          <w:sz w:val="22"/>
          <w:szCs w:val="22"/>
          <w:lang w:eastAsia="en-AU"/>
        </w:rPr>
      </w:pPr>
      <w:hyperlink w:anchor="_Toc163221130" w:history="1">
        <w:r w:rsidR="00617987" w:rsidRPr="003A6C2D">
          <w:rPr>
            <w:rStyle w:val="Hyperlink"/>
            <w:noProof/>
          </w:rPr>
          <w:t>Table 18 – Consumer welfare loss analysis</w:t>
        </w:r>
        <w:r w:rsidR="00617987">
          <w:rPr>
            <w:noProof/>
            <w:webHidden/>
          </w:rPr>
          <w:tab/>
        </w:r>
        <w:r w:rsidR="00617987">
          <w:rPr>
            <w:noProof/>
            <w:webHidden/>
          </w:rPr>
          <w:fldChar w:fldCharType="begin"/>
        </w:r>
        <w:r w:rsidR="00617987">
          <w:rPr>
            <w:noProof/>
            <w:webHidden/>
          </w:rPr>
          <w:instrText xml:space="preserve"> PAGEREF _Toc163221130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23B80F6E" w14:textId="6BF2542F" w:rsidR="00617987" w:rsidRDefault="00E51D93">
      <w:pPr>
        <w:pStyle w:val="TableofFigures"/>
        <w:tabs>
          <w:tab w:val="right" w:pos="9854"/>
        </w:tabs>
        <w:rPr>
          <w:noProof/>
          <w:sz w:val="22"/>
          <w:szCs w:val="22"/>
          <w:lang w:eastAsia="en-AU"/>
        </w:rPr>
      </w:pPr>
      <w:hyperlink w:anchor="_Toc163221131" w:history="1">
        <w:r w:rsidR="00617987" w:rsidRPr="003A6C2D">
          <w:rPr>
            <w:rStyle w:val="Hyperlink"/>
            <w:noProof/>
          </w:rPr>
          <w:t>Table 19 – Regulatory burden estimate</w:t>
        </w:r>
        <w:r w:rsidR="00617987">
          <w:rPr>
            <w:noProof/>
            <w:webHidden/>
          </w:rPr>
          <w:tab/>
        </w:r>
        <w:r w:rsidR="00617987">
          <w:rPr>
            <w:noProof/>
            <w:webHidden/>
          </w:rPr>
          <w:fldChar w:fldCharType="begin"/>
        </w:r>
        <w:r w:rsidR="00617987">
          <w:rPr>
            <w:noProof/>
            <w:webHidden/>
          </w:rPr>
          <w:instrText xml:space="preserve"> PAGEREF _Toc163221131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6734A8A7" w14:textId="7B7CBEAE" w:rsidR="00617987" w:rsidRDefault="00E51D93">
      <w:pPr>
        <w:pStyle w:val="TableofFigures"/>
        <w:tabs>
          <w:tab w:val="right" w:pos="9854"/>
        </w:tabs>
        <w:rPr>
          <w:noProof/>
          <w:sz w:val="22"/>
          <w:szCs w:val="22"/>
          <w:lang w:eastAsia="en-AU"/>
        </w:rPr>
      </w:pPr>
      <w:hyperlink w:anchor="_Toc163221132" w:history="1">
        <w:r w:rsidR="00617987" w:rsidRPr="003A6C2D">
          <w:rPr>
            <w:rStyle w:val="Hyperlink"/>
            <w:noProof/>
          </w:rPr>
          <w:t xml:space="preserve">Figure 16 – </w:t>
        </w:r>
        <w:r w:rsidR="00617987" w:rsidRPr="003A6C2D">
          <w:rPr>
            <w:rStyle w:val="Hyperlink"/>
            <w:rFonts w:asciiTheme="majorHAnsi" w:hAnsiTheme="majorHAnsi" w:cstheme="majorHAnsi"/>
            <w:noProof/>
          </w:rPr>
          <w:t>NVES</w:t>
        </w:r>
        <w:r w:rsidR="00617987" w:rsidRPr="003A6C2D">
          <w:rPr>
            <w:rStyle w:val="Hyperlink"/>
            <w:rFonts w:ascii="Calibri" w:eastAsia="Calibri" w:hAnsi="Calibri" w:cs="Calibri"/>
            <w:noProof/>
          </w:rPr>
          <w:t xml:space="preserve"> consultation timeline</w:t>
        </w:r>
        <w:r w:rsidR="00617987">
          <w:rPr>
            <w:noProof/>
            <w:webHidden/>
          </w:rPr>
          <w:tab/>
        </w:r>
        <w:r w:rsidR="00617987">
          <w:rPr>
            <w:noProof/>
            <w:webHidden/>
          </w:rPr>
          <w:fldChar w:fldCharType="begin"/>
        </w:r>
        <w:r w:rsidR="00617987">
          <w:rPr>
            <w:noProof/>
            <w:webHidden/>
          </w:rPr>
          <w:instrText xml:space="preserve"> PAGEREF _Toc163221132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6A37099F" w14:textId="373271BB" w:rsidR="00617987" w:rsidRDefault="00E51D93">
      <w:pPr>
        <w:pStyle w:val="TableofFigures"/>
        <w:tabs>
          <w:tab w:val="right" w:pos="9854"/>
        </w:tabs>
        <w:rPr>
          <w:noProof/>
          <w:sz w:val="22"/>
          <w:szCs w:val="22"/>
          <w:lang w:eastAsia="en-AU"/>
        </w:rPr>
      </w:pPr>
      <w:hyperlink w:anchor="_Toc163221133" w:history="1">
        <w:r w:rsidR="00617987" w:rsidRPr="003A6C2D">
          <w:rPr>
            <w:rStyle w:val="Hyperlink"/>
            <w:noProof/>
          </w:rPr>
          <w:t>Figure 17 –</w:t>
        </w:r>
        <w:r w:rsidR="00617987" w:rsidRPr="003A6C2D">
          <w:rPr>
            <w:rStyle w:val="Hyperlink"/>
            <w:rFonts w:ascii="Calibri" w:eastAsia="Calibri" w:hAnsi="Calibri" w:cs="Calibri"/>
            <w:noProof/>
          </w:rPr>
          <w:t xml:space="preserve"> Key themes from </w:t>
        </w:r>
        <w:r w:rsidR="00617987" w:rsidRPr="003A6C2D">
          <w:rPr>
            <w:rStyle w:val="Hyperlink"/>
            <w:rFonts w:asciiTheme="majorHAnsi" w:hAnsiTheme="majorHAnsi" w:cstheme="majorHAnsi"/>
            <w:noProof/>
          </w:rPr>
          <w:t>the</w:t>
        </w:r>
        <w:r w:rsidR="00617987" w:rsidRPr="003A6C2D">
          <w:rPr>
            <w:rStyle w:val="Hyperlink"/>
            <w:rFonts w:ascii="Calibri" w:eastAsia="Calibri" w:hAnsi="Calibri" w:cs="Calibri"/>
            <w:noProof/>
          </w:rPr>
          <w:t xml:space="preserve"> Phase 1 consultation</w:t>
        </w:r>
        <w:r w:rsidR="00617987">
          <w:rPr>
            <w:noProof/>
            <w:webHidden/>
          </w:rPr>
          <w:tab/>
        </w:r>
        <w:r w:rsidR="00617987">
          <w:rPr>
            <w:noProof/>
            <w:webHidden/>
          </w:rPr>
          <w:fldChar w:fldCharType="begin"/>
        </w:r>
        <w:r w:rsidR="00617987">
          <w:rPr>
            <w:noProof/>
            <w:webHidden/>
          </w:rPr>
          <w:instrText xml:space="preserve"> PAGEREF _Toc163221133 \h </w:instrText>
        </w:r>
        <w:r w:rsidR="00617987">
          <w:rPr>
            <w:noProof/>
            <w:webHidden/>
          </w:rPr>
        </w:r>
        <w:r w:rsidR="00617987">
          <w:rPr>
            <w:noProof/>
            <w:webHidden/>
          </w:rPr>
          <w:fldChar w:fldCharType="separate"/>
        </w:r>
        <w:r w:rsidR="00617987">
          <w:rPr>
            <w:noProof/>
            <w:webHidden/>
          </w:rPr>
          <w:t>66</w:t>
        </w:r>
        <w:r w:rsidR="00617987">
          <w:rPr>
            <w:noProof/>
            <w:webHidden/>
          </w:rPr>
          <w:fldChar w:fldCharType="end"/>
        </w:r>
      </w:hyperlink>
    </w:p>
    <w:p w14:paraId="5C791BBC" w14:textId="52EEA315" w:rsidR="00617987" w:rsidRDefault="00E51D93">
      <w:pPr>
        <w:pStyle w:val="TableofFigures"/>
        <w:tabs>
          <w:tab w:val="right" w:pos="9854"/>
        </w:tabs>
        <w:rPr>
          <w:noProof/>
          <w:sz w:val="22"/>
          <w:szCs w:val="22"/>
          <w:lang w:eastAsia="en-AU"/>
        </w:rPr>
      </w:pPr>
      <w:hyperlink w:anchor="_Toc163221134" w:history="1">
        <w:r w:rsidR="00617987" w:rsidRPr="003A6C2D">
          <w:rPr>
            <w:rStyle w:val="Hyperlink"/>
            <w:noProof/>
          </w:rPr>
          <w:t>Figure 18 – Organisation category for Phase 1 consultation</w:t>
        </w:r>
        <w:r w:rsidR="00617987">
          <w:rPr>
            <w:noProof/>
            <w:webHidden/>
          </w:rPr>
          <w:tab/>
        </w:r>
        <w:r w:rsidR="00617987">
          <w:rPr>
            <w:noProof/>
            <w:webHidden/>
          </w:rPr>
          <w:fldChar w:fldCharType="begin"/>
        </w:r>
        <w:r w:rsidR="00617987">
          <w:rPr>
            <w:noProof/>
            <w:webHidden/>
          </w:rPr>
          <w:instrText xml:space="preserve"> PAGEREF _Toc163221134 \h </w:instrText>
        </w:r>
        <w:r w:rsidR="00617987">
          <w:rPr>
            <w:noProof/>
            <w:webHidden/>
          </w:rPr>
        </w:r>
        <w:r w:rsidR="00617987">
          <w:rPr>
            <w:noProof/>
            <w:webHidden/>
          </w:rPr>
          <w:fldChar w:fldCharType="separate"/>
        </w:r>
        <w:r w:rsidR="00617987">
          <w:rPr>
            <w:noProof/>
            <w:webHidden/>
          </w:rPr>
          <w:t>67</w:t>
        </w:r>
        <w:r w:rsidR="00617987">
          <w:rPr>
            <w:noProof/>
            <w:webHidden/>
          </w:rPr>
          <w:fldChar w:fldCharType="end"/>
        </w:r>
      </w:hyperlink>
    </w:p>
    <w:p w14:paraId="2D29E89E" w14:textId="710FBD67" w:rsidR="00617987" w:rsidRDefault="00E51D93">
      <w:pPr>
        <w:pStyle w:val="TableofFigures"/>
        <w:tabs>
          <w:tab w:val="right" w:pos="9854"/>
        </w:tabs>
        <w:rPr>
          <w:noProof/>
          <w:sz w:val="22"/>
          <w:szCs w:val="22"/>
          <w:lang w:eastAsia="en-AU"/>
        </w:rPr>
      </w:pPr>
      <w:hyperlink w:anchor="_Toc163221135" w:history="1">
        <w:r w:rsidR="00617987" w:rsidRPr="003A6C2D">
          <w:rPr>
            <w:rStyle w:val="Hyperlink"/>
            <w:noProof/>
          </w:rPr>
          <w:t>Figure 19 – Digital outreach</w:t>
        </w:r>
        <w:r w:rsidR="00617987">
          <w:rPr>
            <w:noProof/>
            <w:webHidden/>
          </w:rPr>
          <w:tab/>
        </w:r>
        <w:r w:rsidR="00617987">
          <w:rPr>
            <w:noProof/>
            <w:webHidden/>
          </w:rPr>
          <w:fldChar w:fldCharType="begin"/>
        </w:r>
        <w:r w:rsidR="00617987">
          <w:rPr>
            <w:noProof/>
            <w:webHidden/>
          </w:rPr>
          <w:instrText xml:space="preserve"> PAGEREF _Toc163221135 \h </w:instrText>
        </w:r>
        <w:r w:rsidR="00617987">
          <w:rPr>
            <w:noProof/>
            <w:webHidden/>
          </w:rPr>
        </w:r>
        <w:r w:rsidR="00617987">
          <w:rPr>
            <w:noProof/>
            <w:webHidden/>
          </w:rPr>
          <w:fldChar w:fldCharType="separate"/>
        </w:r>
        <w:r w:rsidR="00617987">
          <w:rPr>
            <w:noProof/>
            <w:webHidden/>
          </w:rPr>
          <w:t>71</w:t>
        </w:r>
        <w:r w:rsidR="00617987">
          <w:rPr>
            <w:noProof/>
            <w:webHidden/>
          </w:rPr>
          <w:fldChar w:fldCharType="end"/>
        </w:r>
      </w:hyperlink>
    </w:p>
    <w:p w14:paraId="3BCDCFC3" w14:textId="4916C638" w:rsidR="00617987" w:rsidRDefault="00E51D93">
      <w:pPr>
        <w:pStyle w:val="TableofFigures"/>
        <w:tabs>
          <w:tab w:val="right" w:pos="9854"/>
        </w:tabs>
        <w:rPr>
          <w:noProof/>
          <w:sz w:val="22"/>
          <w:szCs w:val="22"/>
          <w:lang w:eastAsia="en-AU"/>
        </w:rPr>
      </w:pPr>
      <w:hyperlink w:anchor="_Toc163221136" w:history="1">
        <w:r w:rsidR="00617987" w:rsidRPr="003A6C2D">
          <w:rPr>
            <w:rStyle w:val="Hyperlink"/>
            <w:noProof/>
          </w:rPr>
          <w:t>Figure 20 – Phase 2 Consultation – Questionnaire results</w:t>
        </w:r>
        <w:r w:rsidR="00617987">
          <w:rPr>
            <w:noProof/>
            <w:webHidden/>
          </w:rPr>
          <w:tab/>
        </w:r>
        <w:r w:rsidR="00617987">
          <w:rPr>
            <w:noProof/>
            <w:webHidden/>
          </w:rPr>
          <w:fldChar w:fldCharType="begin"/>
        </w:r>
        <w:r w:rsidR="00617987">
          <w:rPr>
            <w:noProof/>
            <w:webHidden/>
          </w:rPr>
          <w:instrText xml:space="preserve"> PAGEREF _Toc163221136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61A847ED" w14:textId="02C0A44D" w:rsidR="00617987" w:rsidRDefault="00E51D93">
      <w:pPr>
        <w:pStyle w:val="TableofFigures"/>
        <w:tabs>
          <w:tab w:val="right" w:pos="9854"/>
        </w:tabs>
        <w:rPr>
          <w:noProof/>
          <w:sz w:val="22"/>
          <w:szCs w:val="22"/>
          <w:lang w:eastAsia="en-AU"/>
        </w:rPr>
      </w:pPr>
      <w:hyperlink w:anchor="_Toc163221137" w:history="1">
        <w:r w:rsidR="00617987" w:rsidRPr="003A6C2D">
          <w:rPr>
            <w:rStyle w:val="Hyperlink"/>
            <w:noProof/>
          </w:rPr>
          <w:t>Figure 21 – Individual responses themes</w:t>
        </w:r>
        <w:r w:rsidR="00617987">
          <w:rPr>
            <w:noProof/>
            <w:webHidden/>
          </w:rPr>
          <w:tab/>
        </w:r>
        <w:r w:rsidR="00617987">
          <w:rPr>
            <w:noProof/>
            <w:webHidden/>
          </w:rPr>
          <w:fldChar w:fldCharType="begin"/>
        </w:r>
        <w:r w:rsidR="00617987">
          <w:rPr>
            <w:noProof/>
            <w:webHidden/>
          </w:rPr>
          <w:instrText xml:space="preserve"> PAGEREF _Toc163221137 \h </w:instrText>
        </w:r>
        <w:r w:rsidR="00617987">
          <w:rPr>
            <w:noProof/>
            <w:webHidden/>
          </w:rPr>
        </w:r>
        <w:r w:rsidR="00617987">
          <w:rPr>
            <w:noProof/>
            <w:webHidden/>
          </w:rPr>
          <w:fldChar w:fldCharType="separate"/>
        </w:r>
        <w:r w:rsidR="00617987">
          <w:rPr>
            <w:noProof/>
            <w:webHidden/>
          </w:rPr>
          <w:t>73</w:t>
        </w:r>
        <w:r w:rsidR="00617987">
          <w:rPr>
            <w:noProof/>
            <w:webHidden/>
          </w:rPr>
          <w:fldChar w:fldCharType="end"/>
        </w:r>
      </w:hyperlink>
    </w:p>
    <w:p w14:paraId="0FDC3202" w14:textId="636E20FE" w:rsidR="00617987" w:rsidRDefault="00E51D93">
      <w:pPr>
        <w:pStyle w:val="TableofFigures"/>
        <w:tabs>
          <w:tab w:val="right" w:pos="9854"/>
        </w:tabs>
        <w:rPr>
          <w:noProof/>
          <w:sz w:val="22"/>
          <w:szCs w:val="22"/>
          <w:lang w:eastAsia="en-AU"/>
        </w:rPr>
      </w:pPr>
      <w:hyperlink w:anchor="_Toc163221138" w:history="1">
        <w:r w:rsidR="00617987" w:rsidRPr="003A6C2D">
          <w:rPr>
            <w:rStyle w:val="Hyperlink"/>
            <w:rFonts w:asciiTheme="majorHAnsi" w:hAnsiTheme="majorHAnsi" w:cstheme="majorHAnsi"/>
            <w:noProof/>
          </w:rPr>
          <w:t>Figure 22 – Organisation types for Phase 2</w:t>
        </w:r>
        <w:r w:rsidR="00617987">
          <w:rPr>
            <w:noProof/>
            <w:webHidden/>
          </w:rPr>
          <w:tab/>
        </w:r>
        <w:r w:rsidR="00617987">
          <w:rPr>
            <w:noProof/>
            <w:webHidden/>
          </w:rPr>
          <w:fldChar w:fldCharType="begin"/>
        </w:r>
        <w:r w:rsidR="00617987">
          <w:rPr>
            <w:noProof/>
            <w:webHidden/>
          </w:rPr>
          <w:instrText xml:space="preserve"> PAGEREF _Toc163221138 \h </w:instrText>
        </w:r>
        <w:r w:rsidR="00617987">
          <w:rPr>
            <w:noProof/>
            <w:webHidden/>
          </w:rPr>
        </w:r>
        <w:r w:rsidR="00617987">
          <w:rPr>
            <w:noProof/>
            <w:webHidden/>
          </w:rPr>
          <w:fldChar w:fldCharType="separate"/>
        </w:r>
        <w:r w:rsidR="00617987">
          <w:rPr>
            <w:noProof/>
            <w:webHidden/>
          </w:rPr>
          <w:t>75</w:t>
        </w:r>
        <w:r w:rsidR="00617987">
          <w:rPr>
            <w:noProof/>
            <w:webHidden/>
          </w:rPr>
          <w:fldChar w:fldCharType="end"/>
        </w:r>
      </w:hyperlink>
    </w:p>
    <w:p w14:paraId="0D772137" w14:textId="30755369" w:rsidR="00617987" w:rsidRDefault="00E51D93">
      <w:pPr>
        <w:pStyle w:val="TableofFigures"/>
        <w:tabs>
          <w:tab w:val="right" w:pos="9854"/>
        </w:tabs>
        <w:rPr>
          <w:noProof/>
          <w:sz w:val="22"/>
          <w:szCs w:val="22"/>
          <w:lang w:eastAsia="en-AU"/>
        </w:rPr>
      </w:pPr>
      <w:hyperlink w:anchor="_Toc163221139" w:history="1">
        <w:r w:rsidR="00617987" w:rsidRPr="003A6C2D">
          <w:rPr>
            <w:rStyle w:val="Hyperlink"/>
            <w:noProof/>
          </w:rPr>
          <w:t>Figure 24 – Proposed regulatory timeframe</w:t>
        </w:r>
        <w:r w:rsidR="00617987">
          <w:rPr>
            <w:noProof/>
            <w:webHidden/>
          </w:rPr>
          <w:tab/>
        </w:r>
        <w:r w:rsidR="00617987">
          <w:rPr>
            <w:noProof/>
            <w:webHidden/>
          </w:rPr>
          <w:fldChar w:fldCharType="begin"/>
        </w:r>
        <w:r w:rsidR="00617987">
          <w:rPr>
            <w:noProof/>
            <w:webHidden/>
          </w:rPr>
          <w:instrText xml:space="preserve"> PAGEREF _Toc163221139 \h </w:instrText>
        </w:r>
        <w:r w:rsidR="00617987">
          <w:rPr>
            <w:noProof/>
            <w:webHidden/>
          </w:rPr>
        </w:r>
        <w:r w:rsidR="00617987">
          <w:rPr>
            <w:noProof/>
            <w:webHidden/>
          </w:rPr>
          <w:fldChar w:fldCharType="separate"/>
        </w:r>
        <w:r w:rsidR="00617987">
          <w:rPr>
            <w:noProof/>
            <w:webHidden/>
          </w:rPr>
          <w:t>87</w:t>
        </w:r>
        <w:r w:rsidR="00617987">
          <w:rPr>
            <w:noProof/>
            <w:webHidden/>
          </w:rPr>
          <w:fldChar w:fldCharType="end"/>
        </w:r>
      </w:hyperlink>
    </w:p>
    <w:p w14:paraId="2E41EE15" w14:textId="73CF64D1" w:rsidR="00617987" w:rsidRDefault="00E51D93">
      <w:pPr>
        <w:pStyle w:val="TableofFigures"/>
        <w:tabs>
          <w:tab w:val="right" w:pos="9854"/>
        </w:tabs>
        <w:rPr>
          <w:noProof/>
          <w:sz w:val="22"/>
          <w:szCs w:val="22"/>
          <w:lang w:eastAsia="en-AU"/>
        </w:rPr>
      </w:pPr>
      <w:hyperlink w:anchor="_Toc163221140" w:history="1">
        <w:r w:rsidR="00617987" w:rsidRPr="003A6C2D">
          <w:rPr>
            <w:rStyle w:val="Hyperlink"/>
            <w:noProof/>
          </w:rPr>
          <w:t>Table 20 – Proposed timetable for implementation</w:t>
        </w:r>
        <w:r w:rsidR="00617987">
          <w:rPr>
            <w:noProof/>
            <w:webHidden/>
          </w:rPr>
          <w:tab/>
        </w:r>
        <w:r w:rsidR="00617987">
          <w:rPr>
            <w:noProof/>
            <w:webHidden/>
          </w:rPr>
          <w:fldChar w:fldCharType="begin"/>
        </w:r>
        <w:r w:rsidR="00617987">
          <w:rPr>
            <w:noProof/>
            <w:webHidden/>
          </w:rPr>
          <w:instrText xml:space="preserve"> PAGEREF _Toc163221140 \h </w:instrText>
        </w:r>
        <w:r w:rsidR="00617987">
          <w:rPr>
            <w:noProof/>
            <w:webHidden/>
          </w:rPr>
        </w:r>
        <w:r w:rsidR="00617987">
          <w:rPr>
            <w:noProof/>
            <w:webHidden/>
          </w:rPr>
          <w:fldChar w:fldCharType="separate"/>
        </w:r>
        <w:r w:rsidR="00617987">
          <w:rPr>
            <w:noProof/>
            <w:webHidden/>
          </w:rPr>
          <w:t>89</w:t>
        </w:r>
        <w:r w:rsidR="00617987">
          <w:rPr>
            <w:noProof/>
            <w:webHidden/>
          </w:rPr>
          <w:fldChar w:fldCharType="end"/>
        </w:r>
      </w:hyperlink>
    </w:p>
    <w:p w14:paraId="325770D3" w14:textId="2112C75D" w:rsidR="00617987" w:rsidRDefault="00E51D93">
      <w:pPr>
        <w:pStyle w:val="TableofFigures"/>
        <w:tabs>
          <w:tab w:val="right" w:pos="9854"/>
        </w:tabs>
        <w:rPr>
          <w:noProof/>
          <w:sz w:val="22"/>
          <w:szCs w:val="22"/>
          <w:lang w:eastAsia="en-AU"/>
        </w:rPr>
      </w:pPr>
      <w:hyperlink w:anchor="_Toc163221141" w:history="1">
        <w:r w:rsidR="00617987" w:rsidRPr="003A6C2D">
          <w:rPr>
            <w:rStyle w:val="Hyperlink"/>
            <w:noProof/>
          </w:rPr>
          <w:t>Table 21 – Success Measures and Associated Evaluation Metrics</w:t>
        </w:r>
        <w:r w:rsidR="00617987">
          <w:rPr>
            <w:noProof/>
            <w:webHidden/>
          </w:rPr>
          <w:tab/>
        </w:r>
        <w:r w:rsidR="00617987">
          <w:rPr>
            <w:noProof/>
            <w:webHidden/>
          </w:rPr>
          <w:fldChar w:fldCharType="begin"/>
        </w:r>
        <w:r w:rsidR="00617987">
          <w:rPr>
            <w:noProof/>
            <w:webHidden/>
          </w:rPr>
          <w:instrText xml:space="preserve"> PAGEREF _Toc163221141 \h </w:instrText>
        </w:r>
        <w:r w:rsidR="00617987">
          <w:rPr>
            <w:noProof/>
            <w:webHidden/>
          </w:rPr>
        </w:r>
        <w:r w:rsidR="00617987">
          <w:rPr>
            <w:noProof/>
            <w:webHidden/>
          </w:rPr>
          <w:fldChar w:fldCharType="separate"/>
        </w:r>
        <w:r w:rsidR="00617987">
          <w:rPr>
            <w:noProof/>
            <w:webHidden/>
          </w:rPr>
          <w:t>92</w:t>
        </w:r>
        <w:r w:rsidR="00617987">
          <w:rPr>
            <w:noProof/>
            <w:webHidden/>
          </w:rPr>
          <w:fldChar w:fldCharType="end"/>
        </w:r>
      </w:hyperlink>
    </w:p>
    <w:p w14:paraId="5F901648" w14:textId="06AF7423" w:rsidR="00617987" w:rsidRDefault="00E51D93">
      <w:pPr>
        <w:pStyle w:val="TableofFigures"/>
        <w:tabs>
          <w:tab w:val="right" w:pos="9854"/>
        </w:tabs>
        <w:rPr>
          <w:noProof/>
          <w:sz w:val="22"/>
          <w:szCs w:val="22"/>
          <w:lang w:eastAsia="en-AU"/>
        </w:rPr>
      </w:pPr>
      <w:hyperlink w:anchor="_Toc163221142" w:history="1">
        <w:r w:rsidR="00617987" w:rsidRPr="003A6C2D">
          <w:rPr>
            <w:rStyle w:val="Hyperlink"/>
            <w:noProof/>
          </w:rPr>
          <w:t>Table 22 – Slope and reference mass</w:t>
        </w:r>
        <w:r w:rsidR="00617987">
          <w:rPr>
            <w:noProof/>
            <w:webHidden/>
          </w:rPr>
          <w:tab/>
        </w:r>
        <w:r w:rsidR="00617987">
          <w:rPr>
            <w:noProof/>
            <w:webHidden/>
          </w:rPr>
          <w:fldChar w:fldCharType="begin"/>
        </w:r>
        <w:r w:rsidR="00617987">
          <w:rPr>
            <w:noProof/>
            <w:webHidden/>
          </w:rPr>
          <w:instrText xml:space="preserve"> PAGEREF _Toc163221142 \h </w:instrText>
        </w:r>
        <w:r w:rsidR="00617987">
          <w:rPr>
            <w:noProof/>
            <w:webHidden/>
          </w:rPr>
        </w:r>
        <w:r w:rsidR="00617987">
          <w:rPr>
            <w:noProof/>
            <w:webHidden/>
          </w:rPr>
          <w:fldChar w:fldCharType="separate"/>
        </w:r>
        <w:r w:rsidR="00617987">
          <w:rPr>
            <w:noProof/>
            <w:webHidden/>
          </w:rPr>
          <w:t>108</w:t>
        </w:r>
        <w:r w:rsidR="00617987">
          <w:rPr>
            <w:noProof/>
            <w:webHidden/>
          </w:rPr>
          <w:fldChar w:fldCharType="end"/>
        </w:r>
      </w:hyperlink>
    </w:p>
    <w:p w14:paraId="11ABE91B" w14:textId="4818EF9D" w:rsidR="004720C4" w:rsidRPr="00CF39C8" w:rsidRDefault="006E1ECA" w:rsidP="002C2E15">
      <w:pPr>
        <w:rPr>
          <w:rFonts w:asciiTheme="majorHAnsi" w:eastAsia="Times New Roman" w:hAnsiTheme="majorHAnsi" w:cstheme="majorHAnsi"/>
          <w:sz w:val="22"/>
          <w:szCs w:val="22"/>
        </w:rPr>
      </w:pPr>
      <w:r w:rsidRPr="00CF39C8">
        <w:rPr>
          <w:rFonts w:asciiTheme="majorHAnsi" w:hAnsiTheme="majorHAnsi" w:cstheme="majorHAnsi"/>
        </w:rPr>
        <w:fldChar w:fldCharType="end"/>
      </w:r>
    </w:p>
    <w:p w14:paraId="0B1A67E2" w14:textId="77777777" w:rsidR="004720C4" w:rsidRPr="00CF39C8" w:rsidRDefault="004720C4">
      <w:pPr>
        <w:rPr>
          <w:rFonts w:asciiTheme="majorHAnsi" w:hAnsiTheme="majorHAnsi" w:cstheme="majorHAnsi"/>
        </w:rPr>
        <w:sectPr w:rsidR="004720C4" w:rsidRPr="00CF39C8" w:rsidSect="00DC0C3E">
          <w:pgSz w:w="11906" w:h="16838" w:code="9"/>
          <w:pgMar w:top="1021" w:right="1021" w:bottom="1021" w:left="1021" w:header="510" w:footer="567" w:gutter="0"/>
          <w:cols w:space="708"/>
          <w:docGrid w:linePitch="360"/>
        </w:sectPr>
      </w:pPr>
    </w:p>
    <w:p w14:paraId="0F100FFD" w14:textId="77777777" w:rsidR="00A169F2" w:rsidRPr="00CF39C8" w:rsidRDefault="00A169F2" w:rsidP="00A169F2">
      <w:pPr>
        <w:pStyle w:val="Heading1"/>
        <w:rPr>
          <w:rFonts w:cstheme="majorHAnsi"/>
        </w:rPr>
      </w:pPr>
      <w:bookmarkStart w:id="9" w:name="_Toc146622505"/>
      <w:bookmarkStart w:id="10" w:name="_Toc161837637"/>
      <w:bookmarkStart w:id="11" w:name="_Toc161933135"/>
      <w:bookmarkStart w:id="12" w:name="_Toc162276442"/>
      <w:bookmarkStart w:id="13" w:name="_Toc163221038"/>
      <w:r w:rsidRPr="00CF39C8">
        <w:rPr>
          <w:rFonts w:cstheme="majorHAnsi"/>
        </w:rPr>
        <w:t>Key Terms</w:t>
      </w:r>
      <w:bookmarkEnd w:id="9"/>
      <w:bookmarkEnd w:id="10"/>
      <w:bookmarkEnd w:id="11"/>
      <w:bookmarkEnd w:id="12"/>
      <w:bookmarkEnd w:id="13"/>
    </w:p>
    <w:tbl>
      <w:tblPr>
        <w:tblStyle w:val="DefaultTable1"/>
        <w:tblW w:w="0" w:type="auto"/>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Key Terms"/>
      </w:tblPr>
      <w:tblGrid>
        <w:gridCol w:w="1676"/>
        <w:gridCol w:w="7806"/>
      </w:tblGrid>
      <w:tr w:rsidR="00A169F2" w:rsidRPr="00CF39C8" w14:paraId="1301EF03" w14:textId="77777777" w:rsidTr="0024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one" w:sz="0" w:space="0" w:color="auto"/>
              <w:bottom w:val="none" w:sz="0" w:space="0" w:color="auto"/>
            </w:tcBorders>
            <w:shd w:val="clear" w:color="auto" w:fill="417A84" w:themeFill="accent5" w:themeFillShade="BF"/>
          </w:tcPr>
          <w:p w14:paraId="764209F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Term</w:t>
            </w:r>
          </w:p>
        </w:tc>
        <w:tc>
          <w:tcPr>
            <w:tcW w:w="7806" w:type="dxa"/>
            <w:tcBorders>
              <w:top w:val="none" w:sz="0" w:space="0" w:color="auto"/>
              <w:bottom w:val="none" w:sz="0" w:space="0" w:color="auto"/>
            </w:tcBorders>
            <w:shd w:val="clear" w:color="auto" w:fill="417A84" w:themeFill="accent5" w:themeFillShade="BF"/>
          </w:tcPr>
          <w:p w14:paraId="5E8442C2" w14:textId="77777777" w:rsidR="00A169F2" w:rsidRPr="00CF39C8" w:rsidRDefault="00A169F2" w:rsidP="0009114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Definition</w:t>
            </w:r>
          </w:p>
        </w:tc>
      </w:tr>
      <w:tr w:rsidR="00A169F2" w:rsidRPr="00CF39C8" w14:paraId="507D5AB4"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C3AF418"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ABS</w:t>
            </w:r>
          </w:p>
        </w:tc>
        <w:tc>
          <w:tcPr>
            <w:tcW w:w="7806" w:type="dxa"/>
            <w:shd w:val="clear" w:color="auto" w:fill="auto"/>
          </w:tcPr>
          <w:p w14:paraId="0CB32ACB" w14:textId="77777777" w:rsidR="00A169F2" w:rsidRPr="00CF39C8" w:rsidRDefault="00A169F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Australian Bureau of Statistics is the central statistical authority for the Australian Government and, by legal arrangements, provider of statistical services to Australian </w:t>
            </w:r>
            <w:r w:rsidR="00DD7A77">
              <w:rPr>
                <w:rFonts w:asciiTheme="majorHAnsi" w:hAnsiTheme="majorHAnsi" w:cstheme="majorHAnsi"/>
              </w:rPr>
              <w:t>s</w:t>
            </w:r>
            <w:r w:rsidRPr="00CF39C8">
              <w:rPr>
                <w:rFonts w:asciiTheme="majorHAnsi" w:hAnsiTheme="majorHAnsi" w:cstheme="majorHAnsi"/>
              </w:rPr>
              <w:t xml:space="preserve">tate and </w:t>
            </w:r>
            <w:r w:rsidR="00DD7A77">
              <w:rPr>
                <w:rFonts w:asciiTheme="majorHAnsi" w:hAnsiTheme="majorHAnsi" w:cstheme="majorHAnsi"/>
              </w:rPr>
              <w:t>t</w:t>
            </w:r>
            <w:r w:rsidRPr="00CF39C8">
              <w:rPr>
                <w:rFonts w:asciiTheme="majorHAnsi" w:hAnsiTheme="majorHAnsi" w:cstheme="majorHAnsi"/>
              </w:rPr>
              <w:t xml:space="preserve">erritory </w:t>
            </w:r>
            <w:r w:rsidR="00CB5FD0" w:rsidRPr="00CF39C8">
              <w:rPr>
                <w:rFonts w:asciiTheme="majorHAnsi" w:hAnsiTheme="majorHAnsi" w:cstheme="majorHAnsi"/>
              </w:rPr>
              <w:t>go</w:t>
            </w:r>
            <w:r w:rsidRPr="00CF39C8">
              <w:rPr>
                <w:rFonts w:asciiTheme="majorHAnsi" w:hAnsiTheme="majorHAnsi" w:cstheme="majorHAnsi"/>
              </w:rPr>
              <w:t>vernments.</w:t>
            </w:r>
          </w:p>
        </w:tc>
      </w:tr>
      <w:tr w:rsidR="00A169F2" w:rsidRPr="00CF39C8" w14:paraId="0BA0683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40D84A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ADR</w:t>
            </w:r>
          </w:p>
        </w:tc>
        <w:tc>
          <w:tcPr>
            <w:tcW w:w="7806" w:type="dxa"/>
            <w:shd w:val="clear" w:color="auto" w:fill="auto"/>
          </w:tcPr>
          <w:p w14:paraId="45A5FB24" w14:textId="77777777" w:rsidR="00A169F2" w:rsidRPr="00CF39C8" w:rsidRDefault="00A169F2"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The Australian Design Rules are the national standards for vehicle safety, anti-theft and emissions.</w:t>
            </w:r>
          </w:p>
        </w:tc>
      </w:tr>
      <w:tr w:rsidR="00A169F2" w:rsidRPr="00CF39C8" w14:paraId="083829C9"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3CB2BE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Attribute-based standard</w:t>
            </w:r>
          </w:p>
        </w:tc>
        <w:tc>
          <w:tcPr>
            <w:tcW w:w="7806" w:type="dxa"/>
            <w:shd w:val="clear" w:color="auto" w:fill="auto"/>
          </w:tcPr>
          <w:p w14:paraId="445EE9B2" w14:textId="77777777" w:rsidR="00A169F2" w:rsidRPr="00CF39C8" w:rsidRDefault="00A169F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Is a standard that is based on an attribute of a vehicle such as mass, or footprint (i.e. length and width), which is further defined by the limit curve.</w:t>
            </w:r>
          </w:p>
        </w:tc>
      </w:tr>
      <w:tr w:rsidR="00A169F2" w:rsidRPr="00CF39C8" w14:paraId="7CBAA89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DA7A882"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BAU</w:t>
            </w:r>
          </w:p>
        </w:tc>
        <w:tc>
          <w:tcPr>
            <w:tcW w:w="7806" w:type="dxa"/>
            <w:shd w:val="clear" w:color="auto" w:fill="auto"/>
          </w:tcPr>
          <w:p w14:paraId="53F86EAC" w14:textId="77777777" w:rsidR="00A169F2" w:rsidRPr="00CF39C8" w:rsidRDefault="00A169F2"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Business as usual</w:t>
            </w:r>
            <w:r w:rsidR="00D237AD" w:rsidRPr="00CF39C8">
              <w:rPr>
                <w:rFonts w:asciiTheme="majorHAnsi" w:hAnsiTheme="majorHAnsi" w:cstheme="majorHAnsi"/>
              </w:rPr>
              <w:t>.</w:t>
            </w:r>
          </w:p>
        </w:tc>
      </w:tr>
      <w:tr w:rsidR="00A169F2" w:rsidRPr="00CF39C8" w14:paraId="7A6E346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FE32045" w14:textId="77777777" w:rsidR="00A169F2" w:rsidRPr="00CF39C8" w:rsidRDefault="00D94022" w:rsidP="00091144">
            <w:pPr>
              <w:rPr>
                <w:rFonts w:asciiTheme="majorHAnsi" w:hAnsiTheme="majorHAnsi" w:cstheme="majorHAnsi"/>
              </w:rPr>
            </w:pPr>
            <w:r w:rsidRPr="00CF39C8">
              <w:rPr>
                <w:rFonts w:asciiTheme="majorHAnsi" w:hAnsiTheme="majorHAnsi" w:cstheme="majorHAnsi"/>
              </w:rPr>
              <w:t>BCR</w:t>
            </w:r>
          </w:p>
        </w:tc>
        <w:tc>
          <w:tcPr>
            <w:tcW w:w="7806" w:type="dxa"/>
            <w:shd w:val="clear" w:color="auto" w:fill="auto"/>
          </w:tcPr>
          <w:p w14:paraId="6759C883" w14:textId="77777777" w:rsidR="00A169F2" w:rsidRPr="00CF39C8" w:rsidRDefault="00D9402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Benefit-cost ratio.</w:t>
            </w:r>
          </w:p>
        </w:tc>
      </w:tr>
      <w:tr w:rsidR="009242A6" w:rsidRPr="00CF39C8" w14:paraId="0E59DAB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0DE8746" w14:textId="77777777" w:rsidR="009242A6" w:rsidRPr="00CF39C8" w:rsidRDefault="00004F6A" w:rsidP="00091144">
            <w:pPr>
              <w:rPr>
                <w:rFonts w:asciiTheme="majorHAnsi" w:hAnsiTheme="majorHAnsi" w:cstheme="majorHAnsi"/>
              </w:rPr>
            </w:pPr>
            <w:r w:rsidRPr="00CF39C8">
              <w:rPr>
                <w:rFonts w:asciiTheme="majorHAnsi" w:hAnsiTheme="majorHAnsi" w:cstheme="majorHAnsi"/>
              </w:rPr>
              <w:t>Car parc</w:t>
            </w:r>
          </w:p>
        </w:tc>
        <w:tc>
          <w:tcPr>
            <w:tcW w:w="7806" w:type="dxa"/>
            <w:shd w:val="clear" w:color="auto" w:fill="auto"/>
          </w:tcPr>
          <w:p w14:paraId="23F87980" w14:textId="77777777" w:rsidR="009242A6" w:rsidRPr="00CF39C8" w:rsidRDefault="000B0C66"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w:t>
            </w:r>
            <w:r w:rsidR="00004F6A" w:rsidRPr="00CF39C8">
              <w:rPr>
                <w:rFonts w:asciiTheme="majorHAnsi" w:hAnsiTheme="majorHAnsi" w:cstheme="majorHAnsi"/>
              </w:rPr>
              <w:t xml:space="preserve"> term that refers to all registered vehicles </w:t>
            </w:r>
            <w:r w:rsidR="007D7BA8" w:rsidRPr="00CF39C8">
              <w:rPr>
                <w:rFonts w:asciiTheme="majorHAnsi" w:hAnsiTheme="majorHAnsi" w:cstheme="majorHAnsi"/>
              </w:rPr>
              <w:t>in Australia</w:t>
            </w:r>
            <w:r w:rsidR="00004F6A" w:rsidRPr="00CF39C8">
              <w:rPr>
                <w:rFonts w:asciiTheme="majorHAnsi" w:hAnsiTheme="majorHAnsi" w:cstheme="majorHAnsi"/>
              </w:rPr>
              <w:t>.</w:t>
            </w:r>
          </w:p>
        </w:tc>
      </w:tr>
      <w:tr w:rsidR="00A169F2" w:rsidRPr="00CF39C8" w14:paraId="5AD7689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828C007"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CO</w:t>
            </w:r>
            <w:r w:rsidRPr="00CF39C8">
              <w:rPr>
                <w:rFonts w:asciiTheme="majorHAnsi" w:hAnsiTheme="majorHAnsi" w:cstheme="majorHAnsi"/>
                <w:vertAlign w:val="subscript"/>
              </w:rPr>
              <w:t>2</w:t>
            </w:r>
          </w:p>
        </w:tc>
        <w:tc>
          <w:tcPr>
            <w:tcW w:w="7806" w:type="dxa"/>
            <w:shd w:val="clear" w:color="auto" w:fill="auto"/>
          </w:tcPr>
          <w:p w14:paraId="3E5B97B2"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Carbon dioxide, the key greenhouse gas expelled from the exhaust systems of internal combustion engines.</w:t>
            </w:r>
          </w:p>
        </w:tc>
      </w:tr>
      <w:tr w:rsidR="00A169F2" w:rsidRPr="00CF39C8" w14:paraId="0333AE63"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4D5774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CO</w:t>
            </w:r>
            <w:r w:rsidRPr="00CF39C8">
              <w:rPr>
                <w:rFonts w:asciiTheme="majorHAnsi" w:hAnsiTheme="majorHAnsi" w:cstheme="majorHAnsi"/>
                <w:vertAlign w:val="subscript"/>
              </w:rPr>
              <w:t>2</w:t>
            </w:r>
            <w:r w:rsidRPr="00CF39C8">
              <w:rPr>
                <w:rFonts w:asciiTheme="majorHAnsi" w:hAnsiTheme="majorHAnsi" w:cstheme="majorHAnsi"/>
              </w:rPr>
              <w:t>-e</w:t>
            </w:r>
          </w:p>
        </w:tc>
        <w:tc>
          <w:tcPr>
            <w:tcW w:w="7806" w:type="dxa"/>
            <w:shd w:val="clear" w:color="auto" w:fill="auto"/>
          </w:tcPr>
          <w:p w14:paraId="5C4CA3C5"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Carbon dioxide equivalent (in terms of global warming potential)</w:t>
            </w:r>
            <w:r w:rsidR="00D237AD" w:rsidRPr="00CF39C8">
              <w:rPr>
                <w:rFonts w:asciiTheme="majorHAnsi" w:hAnsiTheme="majorHAnsi" w:cstheme="majorHAnsi"/>
              </w:rPr>
              <w:t>.</w:t>
            </w:r>
          </w:p>
        </w:tc>
      </w:tr>
      <w:tr w:rsidR="00D94022" w:rsidRPr="00CF39C8" w14:paraId="2ACCC385"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0B5BC11" w14:textId="77777777" w:rsidR="00D94022" w:rsidRPr="00CF39C8" w:rsidRDefault="00D94022" w:rsidP="00091144">
            <w:pPr>
              <w:rPr>
                <w:rFonts w:asciiTheme="majorHAnsi" w:hAnsiTheme="majorHAnsi" w:cstheme="majorHAnsi"/>
              </w:rPr>
            </w:pPr>
            <w:r w:rsidRPr="00CF39C8">
              <w:rPr>
                <w:rFonts w:asciiTheme="majorHAnsi" w:hAnsiTheme="majorHAnsi" w:cstheme="majorHAnsi"/>
              </w:rPr>
              <w:t>CBA</w:t>
            </w:r>
          </w:p>
        </w:tc>
        <w:tc>
          <w:tcPr>
            <w:tcW w:w="7806" w:type="dxa"/>
            <w:shd w:val="clear" w:color="auto" w:fill="auto"/>
          </w:tcPr>
          <w:p w14:paraId="06FCC98C" w14:textId="77777777" w:rsidR="00D94022" w:rsidRPr="00CF39C8" w:rsidRDefault="00D9402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Cost-benefit analysis</w:t>
            </w:r>
            <w:r w:rsidR="00E22EC0" w:rsidRPr="00CF39C8">
              <w:rPr>
                <w:rFonts w:asciiTheme="majorHAnsi" w:hAnsiTheme="majorHAnsi" w:cstheme="majorHAnsi"/>
              </w:rPr>
              <w:t>.</w:t>
            </w:r>
            <w:r w:rsidRPr="00CF39C8">
              <w:rPr>
                <w:rFonts w:asciiTheme="majorHAnsi" w:hAnsiTheme="majorHAnsi" w:cstheme="majorHAnsi"/>
              </w:rPr>
              <w:t xml:space="preserve"> </w:t>
            </w:r>
          </w:p>
        </w:tc>
      </w:tr>
      <w:tr w:rsidR="00A169F2" w:rsidRPr="00CF39C8" w14:paraId="388D9814"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759FFC" w14:textId="77777777" w:rsidR="00A169F2" w:rsidRPr="00CF39C8" w:rsidRDefault="00A169F2" w:rsidP="00091144">
            <w:pPr>
              <w:rPr>
                <w:rFonts w:asciiTheme="majorHAnsi" w:hAnsiTheme="majorHAnsi" w:cstheme="majorHAnsi"/>
              </w:rPr>
            </w:pPr>
            <w:r w:rsidRPr="00D40BBD">
              <w:rPr>
                <w:rFonts w:asciiTheme="majorHAnsi" w:hAnsiTheme="majorHAnsi" w:cstheme="majorHAnsi"/>
              </w:rPr>
              <w:t>Credits</w:t>
            </w:r>
          </w:p>
        </w:tc>
        <w:tc>
          <w:tcPr>
            <w:tcW w:w="7806" w:type="dxa"/>
            <w:shd w:val="clear" w:color="auto" w:fill="auto"/>
          </w:tcPr>
          <w:p w14:paraId="178731C9"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 mechanism to track when a supplier beats its target</w:t>
            </w:r>
            <w:r w:rsidR="007D7BA8" w:rsidRPr="00CF39C8">
              <w:rPr>
                <w:rFonts w:asciiTheme="majorHAnsi" w:hAnsiTheme="majorHAnsi" w:cstheme="majorHAnsi"/>
              </w:rPr>
              <w:t>.</w:t>
            </w:r>
          </w:p>
        </w:tc>
      </w:tr>
      <w:tr w:rsidR="00A169F2" w:rsidRPr="00CF39C8" w14:paraId="38B68D0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B10099D"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 xml:space="preserve">DCCEEW </w:t>
            </w:r>
          </w:p>
        </w:tc>
        <w:tc>
          <w:tcPr>
            <w:tcW w:w="7806" w:type="dxa"/>
            <w:shd w:val="clear" w:color="auto" w:fill="auto"/>
          </w:tcPr>
          <w:p w14:paraId="214D976A"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Department of Climate Change, Energy, the Environment and Water.</w:t>
            </w:r>
          </w:p>
        </w:tc>
      </w:tr>
      <w:tr w:rsidR="00A169F2" w:rsidRPr="00CF39C8" w14:paraId="3B337C5B"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E4C54D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 xml:space="preserve">The </w:t>
            </w:r>
            <w:r w:rsidR="00A97AE7" w:rsidRPr="00CF39C8">
              <w:rPr>
                <w:rFonts w:asciiTheme="majorHAnsi" w:hAnsiTheme="majorHAnsi" w:cstheme="majorHAnsi"/>
              </w:rPr>
              <w:t>d</w:t>
            </w:r>
            <w:r w:rsidR="003D4C2D" w:rsidRPr="00CF39C8">
              <w:rPr>
                <w:rFonts w:asciiTheme="majorHAnsi" w:hAnsiTheme="majorHAnsi" w:cstheme="majorHAnsi"/>
              </w:rPr>
              <w:t>epartment</w:t>
            </w:r>
          </w:p>
        </w:tc>
        <w:tc>
          <w:tcPr>
            <w:tcW w:w="7806" w:type="dxa"/>
            <w:shd w:val="clear" w:color="auto" w:fill="auto"/>
          </w:tcPr>
          <w:p w14:paraId="616001D7"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Department of Infrastructure, Transport, Regional Development, Communications and the Arts.</w:t>
            </w:r>
          </w:p>
        </w:tc>
      </w:tr>
      <w:tr w:rsidR="00A169F2" w:rsidRPr="00CF39C8" w14:paraId="44AD8A9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136947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EV</w:t>
            </w:r>
          </w:p>
        </w:tc>
        <w:tc>
          <w:tcPr>
            <w:tcW w:w="7806" w:type="dxa"/>
            <w:shd w:val="clear" w:color="auto" w:fill="auto"/>
          </w:tcPr>
          <w:p w14:paraId="65E95D4F" w14:textId="77777777" w:rsidR="00A169F2" w:rsidRPr="00CF39C8" w:rsidRDefault="00CC0639"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t>A vehicle that exclusively uses chemical energy stored in rechargeable battery packs to power at least one electric motor with no secondary source of propulsion.</w:t>
            </w:r>
          </w:p>
        </w:tc>
      </w:tr>
      <w:tr w:rsidR="00A169F2" w:rsidRPr="00CF39C8" w14:paraId="4939D987"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0ABD75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FCEV</w:t>
            </w:r>
          </w:p>
        </w:tc>
        <w:tc>
          <w:tcPr>
            <w:tcW w:w="7806" w:type="dxa"/>
            <w:shd w:val="clear" w:color="auto" w:fill="auto"/>
          </w:tcPr>
          <w:p w14:paraId="6B702B4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w:t>
            </w:r>
            <w:r w:rsidR="005D01A8" w:rsidRPr="00CF39C8">
              <w:rPr>
                <w:rFonts w:asciiTheme="majorHAnsi" w:hAnsiTheme="majorHAnsi" w:cstheme="majorHAnsi"/>
              </w:rPr>
              <w:t>h</w:t>
            </w:r>
            <w:r w:rsidRPr="00CF39C8">
              <w:rPr>
                <w:rFonts w:asciiTheme="majorHAnsi" w:hAnsiTheme="majorHAnsi" w:cstheme="majorHAnsi"/>
              </w:rPr>
              <w:t xml:space="preserve">ydrogen fuel cell electric vehicle, is an electric vehicle that is powered by electricity generated by a fuel cell that uses compressed hydrogen, as opposed to being powered by externally sourced electricity stored in an onboard battery like in a BEV. </w:t>
            </w:r>
          </w:p>
        </w:tc>
      </w:tr>
      <w:tr w:rsidR="00A169F2" w:rsidRPr="00CF39C8" w14:paraId="0EB129F1"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B5ADE7E"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Fleet limit</w:t>
            </w:r>
            <w:r w:rsidR="0094056A" w:rsidRPr="00CF39C8">
              <w:rPr>
                <w:rFonts w:asciiTheme="majorHAnsi" w:hAnsiTheme="majorHAnsi" w:cstheme="majorHAnsi"/>
              </w:rPr>
              <w:t xml:space="preserve"> </w:t>
            </w:r>
            <w:r w:rsidRPr="00CF39C8">
              <w:rPr>
                <w:rFonts w:asciiTheme="majorHAnsi" w:hAnsiTheme="majorHAnsi" w:cstheme="majorHAnsi"/>
              </w:rPr>
              <w:t>curve</w:t>
            </w:r>
          </w:p>
        </w:tc>
        <w:tc>
          <w:tcPr>
            <w:tcW w:w="7806" w:type="dxa"/>
            <w:shd w:val="clear" w:color="auto" w:fill="auto"/>
          </w:tcPr>
          <w:p w14:paraId="7816686E" w14:textId="77777777" w:rsidR="00A169F2" w:rsidRPr="00CF39C8" w:rsidRDefault="00EB06FF"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Defines the amount of CO</w:t>
            </w:r>
            <w:r w:rsidRPr="00CF39C8">
              <w:rPr>
                <w:rFonts w:asciiTheme="majorHAnsi" w:hAnsiTheme="majorHAnsi" w:cstheme="majorHAnsi"/>
                <w:vertAlign w:val="subscript"/>
              </w:rPr>
              <w:t>2</w:t>
            </w:r>
            <w:r w:rsidRPr="00CF39C8">
              <w:rPr>
                <w:rFonts w:asciiTheme="majorHAnsi" w:hAnsiTheme="majorHAnsi" w:cstheme="majorHAnsi"/>
              </w:rPr>
              <w:t xml:space="preserve"> a supplier’s fleet of cars is able to emit on average, over time and is often drawn on a graph against vehicle mass.</w:t>
            </w:r>
          </w:p>
        </w:tc>
      </w:tr>
      <w:tr w:rsidR="00DF3A96" w:rsidRPr="00CF39C8" w14:paraId="2F732358"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DA2BE45" w14:textId="77777777" w:rsidR="00DF3A96" w:rsidRPr="00CF39C8" w:rsidRDefault="00DF3A96" w:rsidP="00DF3A96">
            <w:pPr>
              <w:rPr>
                <w:rFonts w:asciiTheme="majorHAnsi" w:hAnsiTheme="majorHAnsi" w:cstheme="majorHAnsi"/>
              </w:rPr>
            </w:pPr>
            <w:r w:rsidRPr="00CF39C8">
              <w:rPr>
                <w:rFonts w:asciiTheme="majorHAnsi" w:hAnsiTheme="majorHAnsi" w:cstheme="majorHAnsi"/>
              </w:rPr>
              <w:t>GVM</w:t>
            </w:r>
          </w:p>
        </w:tc>
        <w:tc>
          <w:tcPr>
            <w:tcW w:w="7806" w:type="dxa"/>
            <w:shd w:val="clear" w:color="auto" w:fill="auto"/>
          </w:tcPr>
          <w:p w14:paraId="276A2DFE" w14:textId="77777777" w:rsidR="00DF3A96" w:rsidRPr="00CF39C8" w:rsidRDefault="00DF3A96" w:rsidP="00DF3A96">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Gross vehicle mass is the maximum loaded weight of a vehicle while driving on the road</w:t>
            </w:r>
            <w:r w:rsidR="00E22EC0" w:rsidRPr="00CF39C8">
              <w:rPr>
                <w:rFonts w:asciiTheme="majorHAnsi" w:hAnsiTheme="majorHAnsi" w:cstheme="majorHAnsi"/>
              </w:rPr>
              <w:t>.</w:t>
            </w:r>
          </w:p>
        </w:tc>
      </w:tr>
      <w:tr w:rsidR="00A169F2" w:rsidRPr="00CF39C8" w14:paraId="065E5D46"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F1FB80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GHGs</w:t>
            </w:r>
          </w:p>
        </w:tc>
        <w:tc>
          <w:tcPr>
            <w:tcW w:w="7806" w:type="dxa"/>
            <w:shd w:val="clear" w:color="auto" w:fill="auto"/>
          </w:tcPr>
          <w:p w14:paraId="2EE44601"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 greenhouse gas is any gas that contributes to global climate change. CO</w:t>
            </w:r>
            <w:r w:rsidRPr="00CF39C8">
              <w:rPr>
                <w:rFonts w:asciiTheme="majorHAnsi" w:hAnsiTheme="majorHAnsi" w:cstheme="majorHAnsi"/>
                <w:vertAlign w:val="subscript"/>
              </w:rPr>
              <w:t xml:space="preserve">2 </w:t>
            </w:r>
            <w:r w:rsidRPr="00CF39C8">
              <w:rPr>
                <w:rFonts w:asciiTheme="majorHAnsi" w:hAnsiTheme="majorHAnsi" w:cstheme="majorHAnsi"/>
              </w:rPr>
              <w:t xml:space="preserve">is one of the key GHGs emitted by ICE-powered vehicles.  </w:t>
            </w:r>
          </w:p>
        </w:tc>
      </w:tr>
      <w:tr w:rsidR="00471BE8" w:rsidRPr="00CF39C8" w14:paraId="179B34DE"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D2CEFCA" w14:textId="77777777" w:rsidR="00471BE8" w:rsidRPr="00CF39C8" w:rsidRDefault="00471BE8" w:rsidP="00091144">
            <w:pPr>
              <w:rPr>
                <w:rFonts w:asciiTheme="majorHAnsi" w:hAnsiTheme="majorHAnsi" w:cstheme="majorHAnsi"/>
              </w:rPr>
            </w:pPr>
            <w:r w:rsidRPr="00CF39C8">
              <w:rPr>
                <w:rFonts w:asciiTheme="majorHAnsi" w:hAnsiTheme="majorHAnsi" w:cstheme="majorHAnsi"/>
              </w:rPr>
              <w:t>GWP</w:t>
            </w:r>
          </w:p>
        </w:tc>
        <w:tc>
          <w:tcPr>
            <w:tcW w:w="7806" w:type="dxa"/>
            <w:shd w:val="clear" w:color="auto" w:fill="auto"/>
          </w:tcPr>
          <w:p w14:paraId="6FF7FC69" w14:textId="77777777" w:rsidR="00471BE8" w:rsidRPr="00CF39C8" w:rsidRDefault="00471BE8"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Global-warming potential is used to describe the relative potency</w:t>
            </w:r>
            <w:r w:rsidR="005A1B6C" w:rsidRPr="00CF39C8">
              <w:rPr>
                <w:rFonts w:asciiTheme="majorHAnsi" w:hAnsiTheme="majorHAnsi" w:cstheme="majorHAnsi"/>
              </w:rPr>
              <w:t>, molecule for molecule,</w:t>
            </w:r>
            <w:r w:rsidR="00573F9C" w:rsidRPr="00CF39C8">
              <w:rPr>
                <w:rFonts w:asciiTheme="majorHAnsi" w:hAnsiTheme="majorHAnsi" w:cstheme="majorHAnsi"/>
              </w:rPr>
              <w:t xml:space="preserve"> </w:t>
            </w:r>
            <w:r w:rsidRPr="00CF39C8">
              <w:rPr>
                <w:rFonts w:asciiTheme="majorHAnsi" w:hAnsiTheme="majorHAnsi" w:cstheme="majorHAnsi"/>
              </w:rPr>
              <w:t>of a greenhouse gas, taking account of how long it remains active in the atmosphere.</w:t>
            </w:r>
          </w:p>
        </w:tc>
      </w:tr>
      <w:tr w:rsidR="00A169F2" w:rsidRPr="00CF39C8" w14:paraId="7EDB228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847F1B4"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Hybrid / HEV</w:t>
            </w:r>
          </w:p>
        </w:tc>
        <w:tc>
          <w:tcPr>
            <w:tcW w:w="7806" w:type="dxa"/>
            <w:shd w:val="clear" w:color="auto" w:fill="auto"/>
          </w:tcPr>
          <w:p w14:paraId="3B10640D"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 hybrid electric vehicle is a vehicle that is powered by the combination of an internal combustion engine and an electric motor, which is not able to plugged into an external source of power to charge its internal battery.</w:t>
            </w:r>
          </w:p>
        </w:tc>
      </w:tr>
      <w:tr w:rsidR="00A169F2" w:rsidRPr="00CF39C8" w14:paraId="6E5583AF"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7C7C29F"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ICE</w:t>
            </w:r>
          </w:p>
        </w:tc>
        <w:tc>
          <w:tcPr>
            <w:tcW w:w="7806" w:type="dxa"/>
            <w:shd w:val="clear" w:color="auto" w:fill="auto"/>
          </w:tcPr>
          <w:p w14:paraId="05822F19"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rPr>
            </w:pPr>
            <w:r w:rsidRPr="00CF39C8">
              <w:rPr>
                <w:rFonts w:asciiTheme="majorHAnsi" w:hAnsiTheme="majorHAnsi" w:cstheme="majorHAnsi"/>
              </w:rPr>
              <w:t xml:space="preserve">An internal combustion engine-powered vehicle solely utilises the power from its internal combustion engine and no other source of propulsion. ICE engines power cars that most Australians have historically driven and generally consume carbon-based fuels such as petrol or diesel. </w:t>
            </w:r>
            <w:r w:rsidR="003253F2" w:rsidRPr="00CF39C8">
              <w:rPr>
                <w:rFonts w:asciiTheme="majorHAnsi" w:hAnsiTheme="majorHAnsi" w:cstheme="majorHAnsi"/>
              </w:rPr>
              <w:t>‘</w:t>
            </w:r>
            <w:r w:rsidR="00EB06FF" w:rsidRPr="00CF39C8">
              <w:rPr>
                <w:rFonts w:asciiTheme="majorHAnsi" w:hAnsiTheme="majorHAnsi" w:cstheme="majorHAnsi"/>
              </w:rPr>
              <w:t>Advanced</w:t>
            </w:r>
            <w:r w:rsidR="003253F2" w:rsidRPr="00CF39C8">
              <w:rPr>
                <w:rFonts w:asciiTheme="majorHAnsi" w:hAnsiTheme="majorHAnsi" w:cstheme="majorHAnsi"/>
              </w:rPr>
              <w:t>’</w:t>
            </w:r>
            <w:r w:rsidR="00EB06FF" w:rsidRPr="00CF39C8">
              <w:rPr>
                <w:rFonts w:asciiTheme="majorHAnsi" w:hAnsiTheme="majorHAnsi" w:cstheme="majorHAnsi"/>
              </w:rPr>
              <w:t xml:space="preserve"> ICE refers to ICE vehicles that have improved efficiency above what is currently available on the Australian market. </w:t>
            </w:r>
          </w:p>
        </w:tc>
      </w:tr>
      <w:tr w:rsidR="00A169F2" w:rsidRPr="00CF39C8" w14:paraId="46D4431C"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1A9B3D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Intensity</w:t>
            </w:r>
          </w:p>
        </w:tc>
        <w:tc>
          <w:tcPr>
            <w:tcW w:w="7806" w:type="dxa"/>
            <w:shd w:val="clear" w:color="auto" w:fill="auto"/>
          </w:tcPr>
          <w:p w14:paraId="4665A5F6"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The carbon dioxide emissions intensity for vehicles is calculated using the method described in Vehicle Standard (</w:t>
            </w:r>
            <w:r w:rsidRPr="00CF39C8">
              <w:rPr>
                <w:rFonts w:asciiTheme="majorHAnsi" w:hAnsiTheme="majorHAnsi" w:cstheme="majorHAnsi"/>
                <w:i/>
              </w:rPr>
              <w:t>Australian Design Rule 81/02 – fuel consumption labelling for light vehicles</w:t>
            </w:r>
            <w:r w:rsidRPr="00CF39C8">
              <w:rPr>
                <w:rFonts w:asciiTheme="majorHAnsi" w:hAnsiTheme="majorHAnsi" w:cstheme="majorHAnsi"/>
              </w:rPr>
              <w:t xml:space="preserve">) and expressed in grams of carbon dioxide per kilometre (g/km). </w:t>
            </w:r>
          </w:p>
          <w:p w14:paraId="449C9A32"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Vehicle emissions intensity is a measure of vehicle efficiency, not actual vehicle emissions, which depend on many real-world factors, such as the distance travelled, the nature of the driving, and road and traffic conditions.</w:t>
            </w:r>
          </w:p>
        </w:tc>
      </w:tr>
      <w:tr w:rsidR="0032060F" w:rsidRPr="00CF39C8" w14:paraId="6D89A2F6"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81F65EF" w14:textId="77777777" w:rsidR="0032060F" w:rsidRPr="00CF39C8" w:rsidRDefault="0032060F" w:rsidP="00091144">
            <w:pPr>
              <w:rPr>
                <w:rFonts w:asciiTheme="majorHAnsi" w:hAnsiTheme="majorHAnsi" w:cstheme="majorHAnsi"/>
              </w:rPr>
            </w:pPr>
            <w:r>
              <w:rPr>
                <w:rFonts w:asciiTheme="majorHAnsi" w:hAnsiTheme="majorHAnsi" w:cstheme="majorHAnsi"/>
              </w:rPr>
              <w:t>IEV</w:t>
            </w:r>
          </w:p>
        </w:tc>
        <w:tc>
          <w:tcPr>
            <w:tcW w:w="7806" w:type="dxa"/>
            <w:shd w:val="clear" w:color="auto" w:fill="auto"/>
          </w:tcPr>
          <w:p w14:paraId="479656B8" w14:textId="77777777" w:rsidR="0032060F" w:rsidRPr="00CF39C8" w:rsidRDefault="0032060F"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sz w:val="22"/>
              </w:rPr>
              <w:t xml:space="preserve">Interim Emissions Value. </w:t>
            </w:r>
            <w:r w:rsidR="00BB228F" w:rsidRPr="00BB228F">
              <w:rPr>
                <w:iCs/>
              </w:rPr>
              <w:t xml:space="preserve">A </w:t>
            </w:r>
            <w:r w:rsidR="00BB228F">
              <w:rPr>
                <w:iCs/>
              </w:rPr>
              <w:t>supplier’s</w:t>
            </w:r>
            <w:r w:rsidR="00BB228F" w:rsidRPr="00BB228F">
              <w:rPr>
                <w:iCs/>
              </w:rPr>
              <w:t xml:space="preserve"> interim emissions value for a year is worked out by measuring the performance of each vehicle for the person for the year against the set emissions targets for the year. A positive value indicates that the vehicle has underperformed against its targets (the vehicle produce</w:t>
            </w:r>
            <w:r w:rsidR="00F74707">
              <w:rPr>
                <w:iCs/>
              </w:rPr>
              <w:t>s</w:t>
            </w:r>
            <w:r w:rsidR="00BB228F" w:rsidRPr="00BB228F">
              <w:rPr>
                <w:iCs/>
              </w:rPr>
              <w:t xml:space="preserve"> emissions over its target), whereas a negative value indicates overperformance (the vehicle produces fewer emissions than its target). These numbers are summated to obtain the </w:t>
            </w:r>
            <w:r w:rsidR="00BB228F">
              <w:rPr>
                <w:iCs/>
              </w:rPr>
              <w:t>supplier</w:t>
            </w:r>
            <w:r w:rsidR="00BB228F" w:rsidRPr="00BB228F">
              <w:rPr>
                <w:iCs/>
              </w:rPr>
              <w:t>’s interim emissions value for the year.</w:t>
            </w:r>
          </w:p>
        </w:tc>
      </w:tr>
      <w:tr w:rsidR="00A169F2" w:rsidRPr="00CF39C8" w14:paraId="15C1E40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43DBA9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LCV</w:t>
            </w:r>
          </w:p>
        </w:tc>
        <w:tc>
          <w:tcPr>
            <w:tcW w:w="7806" w:type="dxa"/>
            <w:shd w:val="clear" w:color="auto" w:fill="auto"/>
          </w:tcPr>
          <w:p w14:paraId="5F2B289C" w14:textId="77777777" w:rsidR="00EB06FF" w:rsidRPr="00CF39C8" w:rsidRDefault="00EB06FF" w:rsidP="00EB06FF">
            <w:pPr>
              <w:cnfStyle w:val="000000000000" w:firstRow="0" w:lastRow="0" w:firstColumn="0" w:lastColumn="0" w:oddVBand="0" w:evenVBand="0" w:oddHBand="0" w:evenHBand="0" w:firstRowFirstColumn="0" w:firstRowLastColumn="0" w:lastRowFirstColumn="0" w:lastRowLastColumn="0"/>
              <w:rPr>
                <w:color w:val="000000" w:themeColor="text1"/>
              </w:rPr>
            </w:pPr>
            <w:r w:rsidRPr="00CF39C8">
              <w:rPr>
                <w:color w:val="000000" w:themeColor="text1"/>
              </w:rPr>
              <w:t xml:space="preserve">Light </w:t>
            </w:r>
            <w:r w:rsidR="002C736D" w:rsidRPr="00CF39C8">
              <w:rPr>
                <w:rFonts w:asciiTheme="majorHAnsi" w:hAnsiTheme="majorHAnsi" w:cstheme="majorHAnsi"/>
                <w:color w:val="000000" w:themeColor="text1"/>
              </w:rPr>
              <w:t>c</w:t>
            </w:r>
            <w:r w:rsidRPr="00CF39C8">
              <w:rPr>
                <w:rFonts w:asciiTheme="majorHAnsi" w:hAnsiTheme="majorHAnsi" w:cstheme="majorHAnsi"/>
                <w:color w:val="000000" w:themeColor="text1"/>
              </w:rPr>
              <w:t>ommercial</w:t>
            </w:r>
            <w:r w:rsidRPr="00CF39C8">
              <w:rPr>
                <w:color w:val="000000" w:themeColor="text1"/>
              </w:rPr>
              <w:t xml:space="preserve"> </w:t>
            </w:r>
            <w:r w:rsidR="002C736D" w:rsidRPr="00CF39C8">
              <w:rPr>
                <w:color w:val="000000" w:themeColor="text1"/>
              </w:rPr>
              <w:t>v</w:t>
            </w:r>
            <w:r w:rsidRPr="00CF39C8">
              <w:rPr>
                <w:color w:val="000000" w:themeColor="text1"/>
              </w:rPr>
              <w:t xml:space="preserve">ehicles are utes and vans. Under the </w:t>
            </w:r>
            <w:r w:rsidR="005D01A8" w:rsidRPr="00CF39C8">
              <w:rPr>
                <w:color w:val="000000" w:themeColor="text1"/>
              </w:rPr>
              <w:t>relevant</w:t>
            </w:r>
            <w:r w:rsidRPr="00CF39C8">
              <w:rPr>
                <w:color w:val="000000" w:themeColor="text1"/>
              </w:rPr>
              <w:t xml:space="preserve"> legislative framework (see </w:t>
            </w:r>
            <w:r w:rsidRPr="00CF39C8">
              <w:rPr>
                <w:i/>
                <w:color w:val="000000" w:themeColor="text1"/>
              </w:rPr>
              <w:t>Vehicle Standard (Australian Design Rule – Definitions and Vehicle Categories) 2005)</w:t>
            </w:r>
            <w:r w:rsidR="005D01A8" w:rsidRPr="00CF39C8">
              <w:rPr>
                <w:i/>
                <w:color w:val="000000" w:themeColor="text1"/>
              </w:rPr>
              <w:t>,</w:t>
            </w:r>
            <w:r w:rsidRPr="00CF39C8">
              <w:rPr>
                <w:i/>
                <w:color w:val="000000" w:themeColor="text1"/>
              </w:rPr>
              <w:t xml:space="preserve"> </w:t>
            </w:r>
            <w:r w:rsidRPr="00CF39C8">
              <w:rPr>
                <w:color w:val="000000" w:themeColor="text1"/>
              </w:rPr>
              <w:t>we place NA (light goods vehicles) and NB</w:t>
            </w:r>
            <w:r w:rsidR="00651BA0" w:rsidRPr="00CF39C8">
              <w:rPr>
                <w:color w:val="000000" w:themeColor="text1"/>
              </w:rPr>
              <w:t>1</w:t>
            </w:r>
            <w:r w:rsidRPr="00CF39C8">
              <w:rPr>
                <w:color w:val="000000" w:themeColor="text1"/>
              </w:rPr>
              <w:t xml:space="preserve"> (medium goods vehicles) in the </w:t>
            </w:r>
            <w:r w:rsidR="000B0C66" w:rsidRPr="00CF39C8">
              <w:rPr>
                <w:color w:val="000000" w:themeColor="text1"/>
              </w:rPr>
              <w:t>l</w:t>
            </w:r>
            <w:r w:rsidRPr="00CF39C8">
              <w:rPr>
                <w:color w:val="000000" w:themeColor="text1"/>
              </w:rPr>
              <w:t xml:space="preserve">ight </w:t>
            </w:r>
            <w:r w:rsidR="002C736D" w:rsidRPr="00CF39C8">
              <w:rPr>
                <w:color w:val="000000" w:themeColor="text1"/>
              </w:rPr>
              <w:t>c</w:t>
            </w:r>
            <w:r w:rsidRPr="00CF39C8">
              <w:rPr>
                <w:color w:val="000000" w:themeColor="text1"/>
              </w:rPr>
              <w:t xml:space="preserve">ommercial </w:t>
            </w:r>
            <w:r w:rsidR="002C736D" w:rsidRPr="00CF39C8">
              <w:rPr>
                <w:color w:val="000000" w:themeColor="text1"/>
              </w:rPr>
              <w:t>v</w:t>
            </w:r>
            <w:r w:rsidRPr="00CF39C8">
              <w:rPr>
                <w:color w:val="000000" w:themeColor="text1"/>
              </w:rPr>
              <w:t>ehicle category</w:t>
            </w:r>
            <w:r w:rsidR="000B0C66" w:rsidRPr="00CF39C8">
              <w:rPr>
                <w:color w:val="000000" w:themeColor="text1"/>
              </w:rPr>
              <w:t xml:space="preserve"> with exemptions available for some NB1 vehicles</w:t>
            </w:r>
            <w:r w:rsidR="003D4EFE" w:rsidRPr="00CF39C8">
              <w:rPr>
                <w:color w:val="000000" w:themeColor="text1"/>
              </w:rPr>
              <w:t>.</w:t>
            </w:r>
          </w:p>
        </w:tc>
      </w:tr>
      <w:tr w:rsidR="00A169F2" w:rsidRPr="00CF39C8" w14:paraId="5B256ACB"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A54D374"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LZEV</w:t>
            </w:r>
          </w:p>
        </w:tc>
        <w:tc>
          <w:tcPr>
            <w:tcW w:w="7806" w:type="dxa"/>
            <w:shd w:val="clear" w:color="auto" w:fill="auto"/>
          </w:tcPr>
          <w:p w14:paraId="3340E1D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rPr>
            </w:pPr>
            <w:r w:rsidRPr="00CF39C8">
              <w:rPr>
                <w:rFonts w:asciiTheme="majorHAnsi" w:hAnsiTheme="majorHAnsi" w:cstheme="majorHAnsi"/>
              </w:rPr>
              <w:t xml:space="preserve">Low and Zero Emission Vehicles is a catch-all term to describe, BEVs, HEVs and PHEVs. </w:t>
            </w:r>
          </w:p>
        </w:tc>
      </w:tr>
      <w:tr w:rsidR="00A169F2" w:rsidRPr="00CF39C8" w14:paraId="1513FC15"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57EDE97"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MIRO</w:t>
            </w:r>
          </w:p>
        </w:tc>
        <w:tc>
          <w:tcPr>
            <w:tcW w:w="7806" w:type="dxa"/>
            <w:shd w:val="clear" w:color="auto" w:fill="auto"/>
          </w:tcPr>
          <w:p w14:paraId="2F2E0F76"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Mass </w:t>
            </w:r>
            <w:r w:rsidR="003D4EFE" w:rsidRPr="00CF39C8">
              <w:rPr>
                <w:rFonts w:asciiTheme="majorHAnsi" w:hAnsiTheme="majorHAnsi" w:cstheme="majorHAnsi"/>
              </w:rPr>
              <w:t xml:space="preserve">In Running Order </w:t>
            </w:r>
            <w:r w:rsidRPr="00CF39C8">
              <w:rPr>
                <w:rFonts w:asciiTheme="majorHAnsi" w:hAnsiTheme="majorHAnsi" w:cstheme="majorHAnsi"/>
              </w:rPr>
              <w:t xml:space="preserve">is </w:t>
            </w:r>
            <w:r w:rsidR="00651BA0" w:rsidRPr="00CF39C8">
              <w:rPr>
                <w:rFonts w:asciiTheme="majorHAnsi" w:hAnsiTheme="majorHAnsi" w:cstheme="majorHAnsi"/>
              </w:rPr>
              <w:t>mass of the vehicle with all fluids, standard equipment and 75kg for the driver.</w:t>
            </w:r>
          </w:p>
        </w:tc>
      </w:tr>
      <w:tr w:rsidR="00A169F2" w:rsidRPr="00CF39C8" w14:paraId="5EE31F26"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ABA7FC8"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Net zero</w:t>
            </w:r>
          </w:p>
        </w:tc>
        <w:tc>
          <w:tcPr>
            <w:tcW w:w="7806" w:type="dxa"/>
            <w:shd w:val="clear" w:color="auto" w:fill="auto"/>
          </w:tcPr>
          <w:p w14:paraId="1FC4E071"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United Nations defines net zero as cutting GHG emissions to as close to zero as possible, and where any remaining emissions are re-absorbed from the atmosphere, for example by forests or seas.  </w:t>
            </w:r>
          </w:p>
        </w:tc>
      </w:tr>
      <w:tr w:rsidR="00A169F2" w:rsidRPr="00CF39C8" w14:paraId="5FBA6DB1"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A2ED55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NEVS</w:t>
            </w:r>
          </w:p>
        </w:tc>
        <w:tc>
          <w:tcPr>
            <w:tcW w:w="7806" w:type="dxa"/>
            <w:shd w:val="clear" w:color="auto" w:fill="auto"/>
          </w:tcPr>
          <w:p w14:paraId="01BA361B"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The National Electric Vehicle Strategy</w:t>
            </w:r>
            <w:r w:rsidR="003D4C2D" w:rsidRPr="00CF39C8">
              <w:rPr>
                <w:rFonts w:asciiTheme="majorHAnsi" w:hAnsiTheme="majorHAnsi" w:cstheme="majorHAnsi"/>
              </w:rPr>
              <w:t xml:space="preserve"> </w:t>
            </w:r>
            <w:r w:rsidRPr="00CF39C8">
              <w:rPr>
                <w:rFonts w:asciiTheme="majorHAnsi" w:hAnsiTheme="majorHAnsi" w:cstheme="majorHAnsi"/>
              </w:rPr>
              <w:t>sets out Australia’s ambition to improve supply and access to EVs, improve EV infrastructure and increase demand for EVs</w:t>
            </w:r>
            <w:r w:rsidR="00A908F3" w:rsidRPr="00CF39C8">
              <w:rPr>
                <w:rFonts w:asciiTheme="majorHAnsi" w:hAnsiTheme="majorHAnsi" w:cstheme="majorHAnsi"/>
              </w:rPr>
              <w:t>.</w:t>
            </w:r>
          </w:p>
        </w:tc>
      </w:tr>
      <w:tr w:rsidR="00B03FA1" w:rsidRPr="00CF39C8" w14:paraId="72982AB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E0F0EE0" w14:textId="77777777" w:rsidR="00B03FA1" w:rsidRPr="00CF39C8" w:rsidRDefault="00B03FA1" w:rsidP="00091144">
            <w:pPr>
              <w:rPr>
                <w:rFonts w:asciiTheme="majorHAnsi" w:hAnsiTheme="majorHAnsi" w:cstheme="majorHAnsi"/>
              </w:rPr>
            </w:pPr>
            <w:r w:rsidRPr="00CF39C8">
              <w:rPr>
                <w:rFonts w:asciiTheme="majorHAnsi" w:hAnsiTheme="majorHAnsi" w:cstheme="majorHAnsi"/>
              </w:rPr>
              <w:t>NVES</w:t>
            </w:r>
          </w:p>
        </w:tc>
        <w:tc>
          <w:tcPr>
            <w:tcW w:w="7806" w:type="dxa"/>
            <w:shd w:val="clear" w:color="auto" w:fill="auto"/>
          </w:tcPr>
          <w:p w14:paraId="72BA5D3F" w14:textId="77777777" w:rsidR="00B03FA1" w:rsidRPr="00CF39C8" w:rsidRDefault="00B03FA1"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 new vehicle efficiency standard is a legislative framework that regulates CO</w:t>
            </w:r>
            <w:r w:rsidRPr="00CF39C8">
              <w:rPr>
                <w:rFonts w:asciiTheme="majorHAnsi" w:hAnsiTheme="majorHAnsi" w:cstheme="majorHAnsi"/>
                <w:vertAlign w:val="subscript"/>
              </w:rPr>
              <w:t>2</w:t>
            </w:r>
            <w:r w:rsidRPr="00CF39C8">
              <w:rPr>
                <w:rFonts w:asciiTheme="majorHAnsi" w:hAnsiTheme="majorHAnsi" w:cstheme="majorHAnsi"/>
              </w:rPr>
              <w:t xml:space="preserve"> emissions from vehicles, usually by applying an average CO</w:t>
            </w:r>
            <w:r w:rsidRPr="00CF39C8">
              <w:rPr>
                <w:rFonts w:asciiTheme="majorHAnsi" w:hAnsiTheme="majorHAnsi" w:cstheme="majorHAnsi"/>
                <w:vertAlign w:val="subscript"/>
              </w:rPr>
              <w:t xml:space="preserve">2 </w:t>
            </w:r>
            <w:r w:rsidRPr="00CF39C8">
              <w:rPr>
                <w:rFonts w:asciiTheme="majorHAnsi" w:hAnsiTheme="majorHAnsi" w:cstheme="majorHAnsi"/>
              </w:rPr>
              <w:t xml:space="preserve">target to a suppliers’ fleet of new vehicles. A NVES usually </w:t>
            </w:r>
            <w:r w:rsidR="002A1676" w:rsidRPr="00CF39C8">
              <w:rPr>
                <w:rFonts w:asciiTheme="majorHAnsi" w:hAnsiTheme="majorHAnsi" w:cstheme="majorHAnsi"/>
              </w:rPr>
              <w:t xml:space="preserve">becomes more stringent </w:t>
            </w:r>
            <w:r w:rsidRPr="00CF39C8">
              <w:rPr>
                <w:rFonts w:asciiTheme="majorHAnsi" w:hAnsiTheme="majorHAnsi" w:cstheme="majorHAnsi"/>
              </w:rPr>
              <w:t>over time. We previously referred to this policy as a Fuel Efficiency Standard.</w:t>
            </w:r>
          </w:p>
        </w:tc>
      </w:tr>
      <w:tr w:rsidR="00EB06FF" w:rsidRPr="00CF39C8" w14:paraId="2DF0D023"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2AC10B0" w14:textId="77777777" w:rsidR="00EB06FF" w:rsidRPr="00CF39C8" w:rsidRDefault="00EB06FF" w:rsidP="00091144">
            <w:pPr>
              <w:rPr>
                <w:rFonts w:asciiTheme="majorHAnsi" w:hAnsiTheme="majorHAnsi" w:cstheme="majorHAnsi"/>
              </w:rPr>
            </w:pPr>
            <w:r w:rsidRPr="00CF39C8">
              <w:rPr>
                <w:rFonts w:asciiTheme="majorHAnsi" w:hAnsiTheme="majorHAnsi" w:cstheme="majorHAnsi"/>
              </w:rPr>
              <w:t>PVs</w:t>
            </w:r>
          </w:p>
        </w:tc>
        <w:tc>
          <w:tcPr>
            <w:tcW w:w="7806" w:type="dxa"/>
            <w:shd w:val="clear" w:color="auto" w:fill="auto"/>
          </w:tcPr>
          <w:p w14:paraId="2E09182A" w14:textId="77777777" w:rsidR="00EB06FF" w:rsidRPr="00CF39C8" w:rsidRDefault="00EB06FF"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color w:val="000000" w:themeColor="text1"/>
              </w:rPr>
              <w:t>Passenger</w:t>
            </w:r>
            <w:r w:rsidRPr="00CF39C8">
              <w:rPr>
                <w:color w:val="000000" w:themeColor="text1"/>
              </w:rPr>
              <w:t xml:space="preserve"> </w:t>
            </w:r>
            <w:r w:rsidR="002C736D" w:rsidRPr="00CF39C8">
              <w:rPr>
                <w:color w:val="000000" w:themeColor="text1"/>
              </w:rPr>
              <w:t>v</w:t>
            </w:r>
            <w:r w:rsidRPr="00CF39C8">
              <w:rPr>
                <w:color w:val="000000" w:themeColor="text1"/>
              </w:rPr>
              <w:t xml:space="preserve">ehicles are sedans, hatch backs, SUVs and most 4WDs. Under Australian legislation (see </w:t>
            </w:r>
            <w:r w:rsidRPr="00CF39C8">
              <w:rPr>
                <w:i/>
                <w:color w:val="000000" w:themeColor="text1"/>
              </w:rPr>
              <w:t xml:space="preserve">Vehicle Standard (Australian Design Rule – Definitions and Vehicle Categories) 2005) </w:t>
            </w:r>
            <w:r w:rsidRPr="00CF39C8">
              <w:rPr>
                <w:color w:val="000000" w:themeColor="text1"/>
              </w:rPr>
              <w:t>cars are further sub</w:t>
            </w:r>
            <w:r w:rsidR="00D26581" w:rsidRPr="00CF39C8">
              <w:rPr>
                <w:color w:val="000000" w:themeColor="text1"/>
              </w:rPr>
              <w:t>-</w:t>
            </w:r>
            <w:r w:rsidRPr="00CF39C8">
              <w:rPr>
                <w:color w:val="000000" w:themeColor="text1"/>
              </w:rPr>
              <w:t xml:space="preserve">categorised. </w:t>
            </w:r>
            <w:r w:rsidRPr="00C7633E">
              <w:rPr>
                <w:color w:val="000000" w:themeColor="text1"/>
              </w:rPr>
              <w:t xml:space="preserve">Using the legislative categories, we </w:t>
            </w:r>
            <w:r w:rsidR="003D4EFE" w:rsidRPr="00C7633E">
              <w:rPr>
                <w:color w:val="000000" w:themeColor="text1"/>
              </w:rPr>
              <w:t xml:space="preserve">generally </w:t>
            </w:r>
            <w:r w:rsidRPr="00C7633E">
              <w:rPr>
                <w:color w:val="000000" w:themeColor="text1"/>
              </w:rPr>
              <w:t>put MA (</w:t>
            </w:r>
            <w:r w:rsidR="002C736D" w:rsidRPr="00C7633E">
              <w:rPr>
                <w:color w:val="000000" w:themeColor="text1"/>
              </w:rPr>
              <w:t>p</w:t>
            </w:r>
            <w:r w:rsidRPr="00C7633E">
              <w:rPr>
                <w:color w:val="000000" w:themeColor="text1"/>
              </w:rPr>
              <w:t>assenger cars), MB (</w:t>
            </w:r>
            <w:r w:rsidR="002C736D" w:rsidRPr="00C7633E">
              <w:rPr>
                <w:color w:val="000000" w:themeColor="text1"/>
              </w:rPr>
              <w:t>f</w:t>
            </w:r>
            <w:r w:rsidRPr="00C7633E">
              <w:rPr>
                <w:color w:val="000000" w:themeColor="text1"/>
              </w:rPr>
              <w:t xml:space="preserve">orward-control passenger vehicles) and MC (Off-road passenger vehicles) categories in the </w:t>
            </w:r>
            <w:r w:rsidR="002C736D" w:rsidRPr="00C7633E">
              <w:rPr>
                <w:color w:val="000000" w:themeColor="text1"/>
              </w:rPr>
              <w:t>p</w:t>
            </w:r>
            <w:r w:rsidRPr="00C7633E">
              <w:rPr>
                <w:color w:val="000000" w:themeColor="text1"/>
              </w:rPr>
              <w:t xml:space="preserve">assenger </w:t>
            </w:r>
            <w:r w:rsidR="002C736D" w:rsidRPr="00C7633E">
              <w:rPr>
                <w:color w:val="000000" w:themeColor="text1"/>
              </w:rPr>
              <w:t>v</w:t>
            </w:r>
            <w:r w:rsidRPr="00C7633E">
              <w:rPr>
                <w:color w:val="000000" w:themeColor="text1"/>
              </w:rPr>
              <w:t>ehicle category.</w:t>
            </w:r>
            <w:r w:rsidR="00D40BBD" w:rsidRPr="00C7633E">
              <w:rPr>
                <w:color w:val="000000" w:themeColor="text1"/>
              </w:rPr>
              <w:t xml:space="preserve"> </w:t>
            </w:r>
          </w:p>
        </w:tc>
      </w:tr>
      <w:tr w:rsidR="00A169F2" w:rsidRPr="00CF39C8" w14:paraId="15A5E203"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A6D902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PHEV</w:t>
            </w:r>
          </w:p>
        </w:tc>
        <w:tc>
          <w:tcPr>
            <w:tcW w:w="7806" w:type="dxa"/>
            <w:shd w:val="clear" w:color="auto" w:fill="auto"/>
          </w:tcPr>
          <w:p w14:paraId="283F0B6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plug-in hybrid electric vehicle is </w:t>
            </w:r>
            <w:r w:rsidR="00F70D33" w:rsidRPr="00CF39C8">
              <w:rPr>
                <w:rFonts w:asciiTheme="majorHAnsi" w:hAnsiTheme="majorHAnsi" w:cstheme="majorHAnsi"/>
              </w:rPr>
              <w:t xml:space="preserve">a </w:t>
            </w:r>
            <w:r w:rsidRPr="00CF39C8">
              <w:rPr>
                <w:rFonts w:asciiTheme="majorHAnsi" w:hAnsiTheme="majorHAnsi" w:cstheme="majorHAnsi"/>
              </w:rPr>
              <w:t xml:space="preserve">vehicle that is propelled by a combination </w:t>
            </w:r>
            <w:r w:rsidR="00F70D33" w:rsidRPr="00CF39C8">
              <w:rPr>
                <w:rFonts w:asciiTheme="majorHAnsi" w:hAnsiTheme="majorHAnsi" w:cstheme="majorHAnsi"/>
              </w:rPr>
              <w:t xml:space="preserve">of </w:t>
            </w:r>
            <w:r w:rsidRPr="00CF39C8">
              <w:rPr>
                <w:rFonts w:asciiTheme="majorHAnsi" w:hAnsiTheme="majorHAnsi" w:cstheme="majorHAnsi"/>
              </w:rPr>
              <w:t xml:space="preserve">power from a battery that can be recharged by plugging it into an external source of electric power, in addition to its on-board </w:t>
            </w:r>
            <w:r w:rsidR="0080707C" w:rsidRPr="00CF39C8">
              <w:rPr>
                <w:rFonts w:asciiTheme="majorHAnsi" w:hAnsiTheme="majorHAnsi" w:cstheme="majorHAnsi"/>
              </w:rPr>
              <w:t xml:space="preserve">ICE </w:t>
            </w:r>
            <w:r w:rsidRPr="00CF39C8">
              <w:rPr>
                <w:rFonts w:asciiTheme="majorHAnsi" w:hAnsiTheme="majorHAnsi" w:cstheme="majorHAnsi"/>
              </w:rPr>
              <w:t>engine</w:t>
            </w:r>
            <w:r w:rsidR="00F70D33" w:rsidRPr="00CF39C8">
              <w:rPr>
                <w:rFonts w:asciiTheme="majorHAnsi" w:hAnsiTheme="majorHAnsi" w:cstheme="majorHAnsi"/>
              </w:rPr>
              <w:t>,</w:t>
            </w:r>
            <w:r w:rsidRPr="00CF39C8">
              <w:rPr>
                <w:rFonts w:asciiTheme="majorHAnsi" w:hAnsiTheme="majorHAnsi" w:cstheme="majorHAnsi"/>
              </w:rPr>
              <w:t xml:space="preserve"> which also acts as a generator to recharge the battery.</w:t>
            </w:r>
          </w:p>
        </w:tc>
      </w:tr>
      <w:tr w:rsidR="00A169F2" w:rsidRPr="00CF39C8" w14:paraId="78F414F6"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7DC5446"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ROVER</w:t>
            </w:r>
          </w:p>
        </w:tc>
        <w:tc>
          <w:tcPr>
            <w:tcW w:w="7806" w:type="dxa"/>
            <w:shd w:val="clear" w:color="auto" w:fill="auto"/>
          </w:tcPr>
          <w:p w14:paraId="7A99CA55"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ROVER (</w:t>
            </w:r>
            <w:r w:rsidRPr="00CF39C8">
              <w:rPr>
                <w:rFonts w:asciiTheme="majorHAnsi" w:hAnsiTheme="majorHAnsi" w:cstheme="majorHAnsi"/>
                <w:bCs/>
              </w:rPr>
              <w:t>Ro</w:t>
            </w:r>
            <w:r w:rsidRPr="00CF39C8">
              <w:rPr>
                <w:rFonts w:asciiTheme="majorHAnsi" w:hAnsiTheme="majorHAnsi" w:cstheme="majorHAnsi"/>
              </w:rPr>
              <w:t>ad </w:t>
            </w:r>
            <w:r w:rsidRPr="00CF39C8">
              <w:rPr>
                <w:rFonts w:asciiTheme="majorHAnsi" w:hAnsiTheme="majorHAnsi" w:cstheme="majorHAnsi"/>
                <w:bCs/>
              </w:rPr>
              <w:t>Ve</w:t>
            </w:r>
            <w:r w:rsidRPr="00CF39C8">
              <w:rPr>
                <w:rFonts w:asciiTheme="majorHAnsi" w:hAnsiTheme="majorHAnsi" w:cstheme="majorHAnsi"/>
              </w:rPr>
              <w:t>hicle </w:t>
            </w:r>
            <w:r w:rsidRPr="00CF39C8">
              <w:rPr>
                <w:rFonts w:asciiTheme="majorHAnsi" w:hAnsiTheme="majorHAnsi" w:cstheme="majorHAnsi"/>
                <w:bCs/>
              </w:rPr>
              <w:t>R</w:t>
            </w:r>
            <w:r w:rsidRPr="00CF39C8">
              <w:rPr>
                <w:rFonts w:asciiTheme="majorHAnsi" w:hAnsiTheme="majorHAnsi" w:cstheme="majorHAnsi"/>
              </w:rPr>
              <w:t xml:space="preserve">egulator) is an administration system for the </w:t>
            </w:r>
            <w:r w:rsidRPr="00CF39C8">
              <w:rPr>
                <w:rFonts w:asciiTheme="majorHAnsi" w:hAnsiTheme="majorHAnsi" w:cstheme="majorHAnsi"/>
                <w:i/>
                <w:iCs/>
              </w:rPr>
              <w:t xml:space="preserve">Road Vehicle Standards Act 2018 </w:t>
            </w:r>
            <w:r w:rsidRPr="00CF39C8">
              <w:rPr>
                <w:rFonts w:asciiTheme="majorHAnsi" w:hAnsiTheme="majorHAnsi" w:cstheme="majorHAnsi"/>
              </w:rPr>
              <w:t>within the Department of Infrastructure, Transport, Regional Development, Communications and the Arts.</w:t>
            </w:r>
          </w:p>
        </w:tc>
      </w:tr>
      <w:tr w:rsidR="00A169F2" w:rsidRPr="00CF39C8" w14:paraId="484DD382"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6D52BC2"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Supplier</w:t>
            </w:r>
          </w:p>
        </w:tc>
        <w:tc>
          <w:tcPr>
            <w:tcW w:w="7806" w:type="dxa"/>
            <w:shd w:val="clear" w:color="auto" w:fill="auto"/>
          </w:tcPr>
          <w:p w14:paraId="7AFC9E32"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An entity that holds an approval under the </w:t>
            </w:r>
            <w:r w:rsidRPr="00CF39C8">
              <w:rPr>
                <w:rFonts w:asciiTheme="majorHAnsi" w:hAnsiTheme="majorHAnsi" w:cstheme="majorHAnsi"/>
                <w:i/>
                <w:iCs/>
              </w:rPr>
              <w:t>Road Vehicle Standards Act 2018</w:t>
            </w:r>
            <w:r w:rsidRPr="00CF39C8">
              <w:rPr>
                <w:rFonts w:asciiTheme="majorHAnsi" w:hAnsiTheme="majorHAnsi" w:cstheme="majorHAnsi"/>
              </w:rPr>
              <w:t xml:space="preserve"> to provide vehicles to the Australian market (for example</w:t>
            </w:r>
            <w:r w:rsidR="002C736D" w:rsidRPr="00CF39C8">
              <w:rPr>
                <w:rFonts w:asciiTheme="majorHAnsi" w:hAnsiTheme="majorHAnsi" w:cstheme="majorHAnsi"/>
              </w:rPr>
              <w:t>,</w:t>
            </w:r>
            <w:r w:rsidRPr="00CF39C8">
              <w:rPr>
                <w:rFonts w:asciiTheme="majorHAnsi" w:hAnsiTheme="majorHAnsi" w:cstheme="majorHAnsi"/>
              </w:rPr>
              <w:t xml:space="preserve"> a company that imports cars into Australia).</w:t>
            </w:r>
          </w:p>
        </w:tc>
      </w:tr>
      <w:tr w:rsidR="00A169F2" w:rsidRPr="00CF39C8" w14:paraId="3CCEA790"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B7F91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ZEV</w:t>
            </w:r>
          </w:p>
        </w:tc>
        <w:tc>
          <w:tcPr>
            <w:tcW w:w="7806" w:type="dxa"/>
            <w:shd w:val="clear" w:color="auto" w:fill="auto"/>
          </w:tcPr>
          <w:p w14:paraId="68DAEF05" w14:textId="77777777" w:rsidR="00574E57" w:rsidRPr="00CF39C8" w:rsidRDefault="00574E57"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vehicle with no tailpipe emissions. </w:t>
            </w:r>
          </w:p>
          <w:p w14:paraId="321077BF"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Where reference is made in this document to a zero emissions vehicle for the purposes of a </w:t>
            </w:r>
            <w:r w:rsidR="00D612C1" w:rsidRPr="00CF39C8">
              <w:rPr>
                <w:rFonts w:asciiTheme="majorHAnsi" w:hAnsiTheme="majorHAnsi" w:cstheme="majorHAnsi"/>
              </w:rPr>
              <w:t>new vehicle efficiency standard</w:t>
            </w:r>
            <w:r w:rsidRPr="00CF39C8">
              <w:rPr>
                <w:rFonts w:asciiTheme="majorHAnsi" w:hAnsiTheme="majorHAnsi" w:cstheme="majorHAnsi"/>
              </w:rPr>
              <w:t>, it is taken to mean a vehicle that does not have an internal combustion engine and therefore does not produce CO</w:t>
            </w:r>
            <w:r w:rsidRPr="00CF39C8">
              <w:rPr>
                <w:rFonts w:asciiTheme="majorHAnsi" w:hAnsiTheme="majorHAnsi" w:cstheme="majorHAnsi"/>
                <w:vertAlign w:val="subscript"/>
              </w:rPr>
              <w:t>2</w:t>
            </w:r>
            <w:r w:rsidRPr="00CF39C8">
              <w:rPr>
                <w:rFonts w:asciiTheme="majorHAnsi" w:hAnsiTheme="majorHAnsi" w:cstheme="majorHAnsi"/>
              </w:rPr>
              <w:t xml:space="preserve"> while driving.</w:t>
            </w:r>
            <w:r w:rsidR="00574E57" w:rsidRPr="00CF39C8">
              <w:rPr>
                <w:rFonts w:asciiTheme="majorHAnsi" w:hAnsiTheme="majorHAnsi" w:cstheme="majorHAnsi"/>
              </w:rPr>
              <w:t xml:space="preserve"> There may be other emissions, such as grid emission</w:t>
            </w:r>
            <w:r w:rsidR="00F70D33" w:rsidRPr="00CF39C8">
              <w:rPr>
                <w:rFonts w:asciiTheme="majorHAnsi" w:hAnsiTheme="majorHAnsi" w:cstheme="majorHAnsi"/>
              </w:rPr>
              <w:t>s</w:t>
            </w:r>
            <w:r w:rsidR="00574E57" w:rsidRPr="00CF39C8">
              <w:rPr>
                <w:rFonts w:asciiTheme="majorHAnsi" w:hAnsiTheme="majorHAnsi" w:cstheme="majorHAnsi"/>
              </w:rPr>
              <w:t xml:space="preserve"> from charging an EV or hydrogen electrolysis, and lifecycle emissions from manufacturing processes.</w:t>
            </w:r>
            <w:r w:rsidR="003D4EFE" w:rsidRPr="00CF39C8">
              <w:rPr>
                <w:rFonts w:asciiTheme="majorHAnsi" w:hAnsiTheme="majorHAnsi" w:cstheme="majorHAnsi"/>
              </w:rPr>
              <w:t xml:space="preserve"> </w:t>
            </w:r>
            <w:r w:rsidR="003D4EFE" w:rsidRPr="00C7633E">
              <w:rPr>
                <w:rFonts w:asciiTheme="majorHAnsi" w:hAnsiTheme="majorHAnsi" w:cstheme="majorHAnsi"/>
              </w:rPr>
              <w:t xml:space="preserve">See </w:t>
            </w:r>
            <w:r w:rsidR="00831F0F" w:rsidRPr="00C7633E">
              <w:rPr>
                <w:rFonts w:asciiTheme="majorHAnsi" w:hAnsiTheme="majorHAnsi" w:cstheme="majorHAnsi"/>
              </w:rPr>
              <w:t>C</w:t>
            </w:r>
            <w:r w:rsidR="003D4EFE" w:rsidRPr="00C7633E">
              <w:rPr>
                <w:rFonts w:asciiTheme="majorHAnsi" w:hAnsiTheme="majorHAnsi" w:cstheme="majorHAnsi"/>
              </w:rPr>
              <w:t>hapter 4 for</w:t>
            </w:r>
            <w:r w:rsidR="003D4EFE" w:rsidRPr="00CF39C8">
              <w:rPr>
                <w:rFonts w:asciiTheme="majorHAnsi" w:hAnsiTheme="majorHAnsi" w:cstheme="majorHAnsi"/>
              </w:rPr>
              <w:t xml:space="preserve"> more analysis on this aspect. </w:t>
            </w:r>
          </w:p>
        </w:tc>
      </w:tr>
    </w:tbl>
    <w:p w14:paraId="5EFF1C99" w14:textId="77777777" w:rsidR="00A169F2" w:rsidRPr="00CF39C8" w:rsidRDefault="00A169F2">
      <w:pPr>
        <w:rPr>
          <w:rFonts w:asciiTheme="majorHAnsi" w:hAnsiTheme="majorHAnsi" w:cstheme="majorHAnsi"/>
          <w:color w:val="377B88"/>
          <w:sz w:val="26"/>
        </w:rPr>
      </w:pPr>
    </w:p>
    <w:p w14:paraId="7BF8F8E3" w14:textId="77777777" w:rsidR="00912CDC" w:rsidRPr="00CF39C8" w:rsidRDefault="00A169F2" w:rsidP="00F43A2E">
      <w:pPr>
        <w:pStyle w:val="Heading1"/>
        <w:spacing w:before="0"/>
        <w:rPr>
          <w:rFonts w:cstheme="majorHAnsi"/>
          <w:color w:val="377B88"/>
          <w:sz w:val="26"/>
        </w:rPr>
      </w:pPr>
      <w:r w:rsidRPr="00CF39C8">
        <w:rPr>
          <w:rFonts w:cstheme="majorHAnsi"/>
          <w:color w:val="377B88"/>
          <w:sz w:val="26"/>
        </w:rPr>
        <w:br w:type="page"/>
      </w:r>
    </w:p>
    <w:p w14:paraId="19711E78" w14:textId="77777777" w:rsidR="00912CDC" w:rsidRPr="00CF39C8" w:rsidRDefault="00912CDC" w:rsidP="00912CDC">
      <w:pPr>
        <w:pStyle w:val="Heading1"/>
        <w:spacing w:before="0"/>
        <w:rPr>
          <w:rFonts w:cstheme="majorHAnsi"/>
        </w:rPr>
      </w:pPr>
      <w:bookmarkStart w:id="14" w:name="_Toc161837638"/>
      <w:bookmarkStart w:id="15" w:name="_Toc161933136"/>
      <w:bookmarkStart w:id="16" w:name="_Toc162276443"/>
      <w:bookmarkStart w:id="17" w:name="_Toc163221039"/>
      <w:r w:rsidRPr="00CF39C8">
        <w:rPr>
          <w:rFonts w:cstheme="majorHAnsi"/>
        </w:rPr>
        <w:t>Foreword</w:t>
      </w:r>
      <w:bookmarkEnd w:id="14"/>
      <w:bookmarkEnd w:id="15"/>
      <w:bookmarkEnd w:id="16"/>
      <w:bookmarkEnd w:id="17"/>
    </w:p>
    <w:p w14:paraId="23AA9AC4" w14:textId="77777777" w:rsidR="00912CDC" w:rsidRPr="00CF39C8" w:rsidRDefault="009C163C" w:rsidP="00912CDC">
      <w:pPr>
        <w:rPr>
          <w:rFonts w:asciiTheme="majorHAnsi" w:hAnsiTheme="majorHAnsi" w:cstheme="majorHAnsi"/>
        </w:rPr>
      </w:pPr>
      <w:r w:rsidRPr="00CF39C8">
        <w:rPr>
          <w:rFonts w:asciiTheme="majorHAnsi" w:hAnsiTheme="majorHAnsi" w:cstheme="majorHAnsi"/>
          <w:noProof/>
          <w:lang w:eastAsia="en-AU"/>
        </w:rPr>
        <w:drawing>
          <wp:anchor distT="0" distB="0" distL="114300" distR="114300" simplePos="0" relativeHeight="251658245" behindDoc="1" locked="0" layoutInCell="1" allowOverlap="1" wp14:anchorId="7C767385" wp14:editId="673AB91D">
            <wp:simplePos x="0" y="0"/>
            <wp:positionH relativeFrom="column">
              <wp:posOffset>2720975</wp:posOffset>
            </wp:positionH>
            <wp:positionV relativeFrom="paragraph">
              <wp:posOffset>80010</wp:posOffset>
            </wp:positionV>
            <wp:extent cx="3183255" cy="2314575"/>
            <wp:effectExtent l="0" t="0" r="0" b="9525"/>
            <wp:wrapTight wrapText="bothSides">
              <wp:wrapPolygon edited="0">
                <wp:start x="0" y="0"/>
                <wp:lineTo x="0" y="21511"/>
                <wp:lineTo x="21458" y="21511"/>
                <wp:lineTo x="21458" y="0"/>
                <wp:lineTo x="0" y="0"/>
              </wp:wrapPolygon>
            </wp:wrapTight>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732473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3255" cy="2314575"/>
                    </a:xfrm>
                    <a:prstGeom prst="rect">
                      <a:avLst/>
                    </a:prstGeom>
                  </pic:spPr>
                </pic:pic>
              </a:graphicData>
            </a:graphic>
            <wp14:sizeRelH relativeFrom="margin">
              <wp14:pctWidth>0</wp14:pctWidth>
            </wp14:sizeRelH>
            <wp14:sizeRelV relativeFrom="margin">
              <wp14:pctHeight>0</wp14:pctHeight>
            </wp14:sizeRelV>
          </wp:anchor>
        </w:drawing>
      </w:r>
    </w:p>
    <w:p w14:paraId="63001B61" w14:textId="77777777" w:rsidR="00912CDC" w:rsidRPr="009C163C" w:rsidRDefault="00912CDC" w:rsidP="00912CDC">
      <w:pPr>
        <w:rPr>
          <w:rFonts w:asciiTheme="majorHAnsi" w:hAnsiTheme="majorHAnsi" w:cstheme="majorHAnsi"/>
          <w:b/>
          <w:color w:val="417A84" w:themeColor="accent5" w:themeShade="BF"/>
          <w:sz w:val="27"/>
          <w:szCs w:val="27"/>
        </w:rPr>
      </w:pPr>
      <w:r w:rsidRPr="009C163C">
        <w:rPr>
          <w:rFonts w:asciiTheme="majorHAnsi" w:hAnsiTheme="majorHAnsi" w:cstheme="majorHAnsi"/>
          <w:b/>
          <w:color w:val="417A84" w:themeColor="accent5" w:themeShade="BF"/>
          <w:sz w:val="27"/>
          <w:szCs w:val="27"/>
        </w:rPr>
        <w:t xml:space="preserve">Australia is a nation of drivers.  </w:t>
      </w:r>
    </w:p>
    <w:p w14:paraId="162751B3" w14:textId="77777777" w:rsidR="00912CDC" w:rsidRPr="009C163C" w:rsidRDefault="00912CDC" w:rsidP="00912CDC">
      <w:pPr>
        <w:rPr>
          <w:rFonts w:asciiTheme="majorHAnsi" w:hAnsiTheme="majorHAnsi" w:cstheme="majorHAnsi"/>
          <w:sz w:val="27"/>
          <w:szCs w:val="27"/>
        </w:rPr>
      </w:pPr>
      <w:r w:rsidRPr="009C163C">
        <w:rPr>
          <w:rFonts w:asciiTheme="majorHAnsi" w:hAnsiTheme="majorHAnsi" w:cstheme="majorHAnsi"/>
          <w:color w:val="417A84" w:themeColor="accent5" w:themeShade="BF"/>
          <w:sz w:val="27"/>
          <w:szCs w:val="27"/>
        </w:rPr>
        <w:t>In 2020, Australia was in the top five car owning nations globally</w:t>
      </w:r>
      <w:r w:rsidRPr="009C163C">
        <w:rPr>
          <w:rStyle w:val="FootnoteReference"/>
          <w:rFonts w:asciiTheme="majorHAnsi" w:hAnsiTheme="majorHAnsi" w:cstheme="majorHAnsi"/>
          <w:color w:val="417A84" w:themeColor="accent5" w:themeShade="BF"/>
          <w:sz w:val="27"/>
          <w:szCs w:val="27"/>
        </w:rPr>
        <w:footnoteReference w:id="2"/>
      </w:r>
      <w:r w:rsidRPr="009C163C">
        <w:rPr>
          <w:rFonts w:asciiTheme="majorHAnsi" w:hAnsiTheme="majorHAnsi" w:cstheme="majorHAnsi"/>
          <w:color w:val="417A84" w:themeColor="accent5" w:themeShade="BF"/>
          <w:sz w:val="27"/>
          <w:szCs w:val="27"/>
        </w:rPr>
        <w:t xml:space="preserve"> and, there were nearly twenty million cars in Australia. We bought more fuel for passenger carrying vehicles than we did for vehicles carrying freight, and almost 80% of our fuel consumption was petrol.</w:t>
      </w:r>
      <w:r w:rsidRPr="009C163C">
        <w:rPr>
          <w:rStyle w:val="FootnoteReference"/>
          <w:rFonts w:asciiTheme="majorHAnsi" w:hAnsiTheme="majorHAnsi" w:cstheme="majorHAnsi"/>
          <w:color w:val="417A84" w:themeColor="accent5" w:themeShade="BF"/>
          <w:sz w:val="27"/>
          <w:szCs w:val="27"/>
        </w:rPr>
        <w:t xml:space="preserve"> </w:t>
      </w:r>
      <w:r w:rsidRPr="009C163C">
        <w:rPr>
          <w:rStyle w:val="EndnoteReference"/>
          <w:rFonts w:asciiTheme="majorHAnsi" w:hAnsiTheme="majorHAnsi" w:cstheme="majorHAnsi"/>
          <w:sz w:val="27"/>
          <w:szCs w:val="27"/>
        </w:rPr>
        <w:endnoteReference w:id="2"/>
      </w:r>
    </w:p>
    <w:p w14:paraId="7D76045C"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Yet, Australians are being left behind as the major economies of the world benefit from more fuel-efficient cars</w:t>
      </w:r>
      <w:r w:rsidRPr="00CF39C8">
        <w:rPr>
          <w:rStyle w:val="FootnoteReference"/>
          <w:rFonts w:asciiTheme="majorHAnsi" w:hAnsiTheme="majorHAnsi" w:cstheme="majorHAnsi"/>
        </w:rPr>
        <w:footnoteReference w:id="3"/>
      </w:r>
      <w:r w:rsidRPr="00CF39C8">
        <w:rPr>
          <w:rFonts w:asciiTheme="majorHAnsi" w:hAnsiTheme="majorHAnsi" w:cstheme="majorHAnsi"/>
        </w:rPr>
        <w:t xml:space="preserve"> and greater access to new low and zero emissions technology. Australia and Russia are among the only advanced economies without a new vehicle efficiency standard (also known as a fuel efficiency standard</w:t>
      </w:r>
      <w:r w:rsidRPr="00CF39C8">
        <w:rPr>
          <w:rStyle w:val="FootnoteReference"/>
          <w:rFonts w:asciiTheme="majorHAnsi" w:hAnsiTheme="majorHAnsi" w:cstheme="majorHAnsi"/>
        </w:rPr>
        <w:footnoteReference w:id="4"/>
      </w:r>
      <w:r w:rsidRPr="00CF39C8">
        <w:rPr>
          <w:rFonts w:asciiTheme="majorHAnsi" w:hAnsiTheme="majorHAnsi" w:cstheme="majorHAnsi"/>
        </w:rPr>
        <w:t xml:space="preserve">), so we spend more on fuel and have fewer choices of </w:t>
      </w:r>
      <w:r w:rsidR="00F26F37">
        <w:rPr>
          <w:rFonts w:asciiTheme="majorHAnsi" w:hAnsiTheme="majorHAnsi" w:cstheme="majorHAnsi"/>
        </w:rPr>
        <w:t xml:space="preserve">cleaner, </w:t>
      </w:r>
      <w:r w:rsidRPr="00CF39C8">
        <w:rPr>
          <w:rFonts w:asciiTheme="majorHAnsi" w:hAnsiTheme="majorHAnsi" w:cstheme="majorHAnsi"/>
        </w:rPr>
        <w:t xml:space="preserve">cheaper-to-run cars. </w:t>
      </w:r>
    </w:p>
    <w:p w14:paraId="33923070"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Over 85% of cars sold worldwide are covered by a new vehicle efficiency standard, but in contrast, the</w:t>
      </w:r>
      <w:r w:rsidR="002A1676" w:rsidRPr="00CF39C8">
        <w:rPr>
          <w:rFonts w:asciiTheme="majorHAnsi" w:hAnsiTheme="majorHAnsi" w:cstheme="majorHAnsi"/>
        </w:rPr>
        <w:t xml:space="preserve"> </w:t>
      </w:r>
      <w:r w:rsidR="002715C8">
        <w:rPr>
          <w:rFonts w:asciiTheme="majorHAnsi" w:hAnsiTheme="majorHAnsi" w:cstheme="majorHAnsi"/>
        </w:rPr>
        <w:t>1.1</w:t>
      </w:r>
      <w:r w:rsidR="004D1A24">
        <w:rPr>
          <w:rFonts w:asciiTheme="majorHAnsi" w:hAnsiTheme="majorHAnsi" w:cstheme="majorHAnsi"/>
        </w:rPr>
        <w:t> </w:t>
      </w:r>
      <w:r w:rsidRPr="00CF39C8">
        <w:rPr>
          <w:rFonts w:asciiTheme="majorHAnsi" w:hAnsiTheme="majorHAnsi" w:cstheme="majorHAnsi"/>
        </w:rPr>
        <w:t xml:space="preserve">million new cars sold in Australia </w:t>
      </w:r>
      <w:r w:rsidR="001243FF">
        <w:rPr>
          <w:rFonts w:asciiTheme="majorHAnsi" w:hAnsiTheme="majorHAnsi" w:cstheme="majorHAnsi"/>
        </w:rPr>
        <w:t>in 2023 were</w:t>
      </w:r>
      <w:r w:rsidRPr="00CF39C8">
        <w:rPr>
          <w:rFonts w:asciiTheme="majorHAnsi" w:hAnsiTheme="majorHAnsi" w:cstheme="majorHAnsi"/>
        </w:rPr>
        <w:t xml:space="preserve"> not required to meet any level of fuel efficiency. Because of this, Australian new cars use significantly more fuel than new cars on the road in the United States. In fact, passenger cars in Australia on average, use 20% more fuel than passenger cars in the US. The inefficiency of our vehicles means that for every litre of fuel we buy, we drive fewer kilometres.</w:t>
      </w:r>
    </w:p>
    <w:p w14:paraId="0A590BA3"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In 2023, the cars we drove were responsible for more megatonnes of greenhouse gas emissions (particularly carbon dioxide (CO</w:t>
      </w:r>
      <w:r w:rsidRPr="00CF39C8">
        <w:rPr>
          <w:rFonts w:asciiTheme="majorHAnsi" w:hAnsiTheme="majorHAnsi" w:cstheme="majorHAnsi"/>
          <w:vertAlign w:val="subscript"/>
        </w:rPr>
        <w:t>2</w:t>
      </w:r>
      <w:r w:rsidRPr="00CF39C8">
        <w:rPr>
          <w:rFonts w:asciiTheme="majorHAnsi" w:hAnsiTheme="majorHAnsi" w:cstheme="majorHAnsi"/>
        </w:rPr>
        <w:t>)) than from any other form of transport</w:t>
      </w:r>
      <w:r w:rsidR="00C62BBC">
        <w:rPr>
          <w:rFonts w:asciiTheme="majorHAnsi" w:hAnsiTheme="majorHAnsi" w:cstheme="majorHAnsi"/>
        </w:rPr>
        <w:t>, and cars represent 11.4% of Australia’s total emissions</w:t>
      </w:r>
      <w:r w:rsidR="002A1676" w:rsidRPr="00CF39C8">
        <w:rPr>
          <w:rFonts w:asciiTheme="majorHAnsi" w:hAnsiTheme="majorHAnsi" w:cstheme="majorHAnsi"/>
        </w:rPr>
        <w:t>.</w:t>
      </w:r>
      <w:r w:rsidRPr="00CF39C8">
        <w:rPr>
          <w:rStyle w:val="FootnoteReference"/>
          <w:rFonts w:asciiTheme="majorHAnsi" w:hAnsiTheme="majorHAnsi" w:cstheme="majorHAnsi"/>
        </w:rPr>
        <w:footnoteReference w:id="5"/>
      </w:r>
      <w:r w:rsidR="002A1676" w:rsidRPr="00CF39C8">
        <w:rPr>
          <w:rFonts w:asciiTheme="majorHAnsi" w:hAnsiTheme="majorHAnsi" w:cstheme="majorHAnsi"/>
        </w:rPr>
        <w:t xml:space="preserve"> </w:t>
      </w:r>
      <w:r w:rsidRPr="00CF39C8">
        <w:rPr>
          <w:rFonts w:asciiTheme="majorHAnsi" w:hAnsiTheme="majorHAnsi" w:cstheme="majorHAnsi"/>
        </w:rPr>
        <w:t xml:space="preserve">The impact of these emissions on Australia’s climate outlook, within our lifetime, cannot be ignored. </w:t>
      </w:r>
    </w:p>
    <w:p w14:paraId="1520229E" w14:textId="77777777" w:rsidR="009C163C" w:rsidRDefault="00F84068" w:rsidP="00C95A8B">
      <w:r>
        <w:t xml:space="preserve">Our vision is for a future where the Australian community can benefit from a stronger climate outlook, health benefits through reduced emissions, savings on fuel costs, and access to a wider choice of vehicles from a car industry that is vibrant and sustainable. </w:t>
      </w:r>
    </w:p>
    <w:p w14:paraId="0CDCB5EF" w14:textId="77777777" w:rsidR="00C95A8B" w:rsidRDefault="00C95A8B" w:rsidP="00C95A8B">
      <w:pPr>
        <w:rPr>
          <w:rFonts w:cstheme="majorHAnsi"/>
        </w:rPr>
      </w:pPr>
      <w:r w:rsidRPr="00CF39C8">
        <w:rPr>
          <w:rFonts w:asciiTheme="majorHAnsi" w:hAnsiTheme="majorHAnsi" w:cstheme="majorHAnsi"/>
        </w:rPr>
        <w:t xml:space="preserve">We recognise that there are a range of different views in the community – </w:t>
      </w:r>
      <w:r w:rsidRPr="00CF39C8">
        <w:rPr>
          <w:rFonts w:cstheme="majorHAnsi"/>
        </w:rPr>
        <w:t xml:space="preserve">especially given the cultural place that cars play in our society. That is why we have undertaken multiple rounds of consultation </w:t>
      </w:r>
      <w:r>
        <w:rPr>
          <w:rFonts w:cstheme="majorHAnsi"/>
        </w:rPr>
        <w:t xml:space="preserve">to calibrate </w:t>
      </w:r>
      <w:r w:rsidRPr="00CF39C8">
        <w:rPr>
          <w:rFonts w:cstheme="majorHAnsi"/>
        </w:rPr>
        <w:t>this Impact Analysis</w:t>
      </w:r>
      <w:r>
        <w:rPr>
          <w:rFonts w:cstheme="majorHAnsi"/>
        </w:rPr>
        <w:t xml:space="preserve"> for a policy that is right for Australia</w:t>
      </w:r>
      <w:r w:rsidRPr="00CF39C8">
        <w:rPr>
          <w:rFonts w:cstheme="majorHAnsi"/>
        </w:rPr>
        <w:t xml:space="preserve">. </w:t>
      </w:r>
    </w:p>
    <w:p w14:paraId="0A3C3D96" w14:textId="77777777" w:rsidR="00F43A2E" w:rsidRPr="00CF39C8" w:rsidRDefault="00F43A2E" w:rsidP="00F43A2E">
      <w:pPr>
        <w:pStyle w:val="Heading1"/>
        <w:spacing w:before="0"/>
        <w:rPr>
          <w:rFonts w:cstheme="majorHAnsi"/>
        </w:rPr>
      </w:pPr>
      <w:bookmarkStart w:id="18" w:name="_Toc161837639"/>
      <w:bookmarkStart w:id="19" w:name="_Toc161933137"/>
      <w:bookmarkStart w:id="20" w:name="_Toc162276444"/>
      <w:bookmarkStart w:id="21" w:name="_Toc163221040"/>
      <w:r w:rsidRPr="00CF39C8">
        <w:rPr>
          <w:rFonts w:cstheme="majorHAnsi"/>
        </w:rPr>
        <w:t>Executive Summary</w:t>
      </w:r>
      <w:bookmarkEnd w:id="18"/>
      <w:bookmarkEnd w:id="19"/>
      <w:bookmarkEnd w:id="20"/>
      <w:bookmarkEnd w:id="21"/>
    </w:p>
    <w:p w14:paraId="441359F7" w14:textId="77777777" w:rsidR="00A04611" w:rsidRPr="00CF39C8" w:rsidRDefault="00A04611" w:rsidP="00DA0952">
      <w:pPr>
        <w:rPr>
          <w:rFonts w:asciiTheme="majorHAnsi" w:hAnsiTheme="majorHAnsi" w:cstheme="majorHAnsi"/>
        </w:rPr>
      </w:pPr>
    </w:p>
    <w:p w14:paraId="356F3498" w14:textId="77777777" w:rsidR="00A04611" w:rsidRPr="00CF39C8" w:rsidRDefault="00A04611" w:rsidP="00A04611">
      <w:pPr>
        <w:spacing w:after="0" w:line="259" w:lineRule="auto"/>
        <w:rPr>
          <w:rFonts w:asciiTheme="majorHAnsi" w:hAnsiTheme="majorHAnsi" w:cstheme="majorHAnsi"/>
        </w:rPr>
      </w:pPr>
      <w:r w:rsidRPr="00CF39C8">
        <w:rPr>
          <w:rFonts w:asciiTheme="majorHAnsi" w:hAnsiTheme="majorHAnsi" w:cstheme="majorHAnsi"/>
        </w:rPr>
        <w:t xml:space="preserve">This Impact Analysis </w:t>
      </w:r>
      <w:r w:rsidR="003A37CC" w:rsidRPr="00CF39C8">
        <w:rPr>
          <w:rFonts w:asciiTheme="majorHAnsi" w:hAnsiTheme="majorHAnsi" w:cstheme="majorHAnsi"/>
        </w:rPr>
        <w:t>sets out the</w:t>
      </w:r>
      <w:r w:rsidRPr="00CF39C8">
        <w:rPr>
          <w:rFonts w:asciiTheme="majorHAnsi" w:hAnsiTheme="majorHAnsi" w:cstheme="majorHAnsi"/>
        </w:rPr>
        <w:t xml:space="preserve"> </w:t>
      </w:r>
      <w:r w:rsidR="003A37CC" w:rsidRPr="00CF39C8">
        <w:rPr>
          <w:rFonts w:asciiTheme="majorHAnsi" w:hAnsiTheme="majorHAnsi" w:cstheme="majorHAnsi"/>
        </w:rPr>
        <w:t xml:space="preserve">Government’s final </w:t>
      </w:r>
      <w:r w:rsidRPr="00CF39C8">
        <w:rPr>
          <w:rFonts w:asciiTheme="majorHAnsi" w:hAnsiTheme="majorHAnsi" w:cstheme="majorHAnsi"/>
        </w:rPr>
        <w:t xml:space="preserve">design </w:t>
      </w:r>
      <w:r w:rsidR="003A37CC" w:rsidRPr="00CF39C8">
        <w:rPr>
          <w:rFonts w:asciiTheme="majorHAnsi" w:hAnsiTheme="majorHAnsi" w:cstheme="majorHAnsi"/>
        </w:rPr>
        <w:t>for</w:t>
      </w:r>
      <w:r w:rsidRPr="00CF39C8">
        <w:rPr>
          <w:rFonts w:asciiTheme="majorHAnsi" w:hAnsiTheme="majorHAnsi" w:cstheme="majorHAnsi"/>
        </w:rPr>
        <w:t xml:space="preserve"> a</w:t>
      </w:r>
      <w:r w:rsidR="003A37CC" w:rsidRPr="00CF39C8">
        <w:rPr>
          <w:rFonts w:asciiTheme="majorHAnsi" w:hAnsiTheme="majorHAnsi" w:cstheme="majorHAnsi"/>
        </w:rPr>
        <w:t>n Australian</w:t>
      </w:r>
      <w:r w:rsidRPr="00CF39C8">
        <w:rPr>
          <w:rFonts w:asciiTheme="majorHAnsi" w:hAnsiTheme="majorHAnsi" w:cstheme="majorHAnsi"/>
        </w:rPr>
        <w:t xml:space="preserve"> </w:t>
      </w:r>
      <w:r w:rsidR="003A37CC" w:rsidRPr="00CF39C8">
        <w:rPr>
          <w:rFonts w:asciiTheme="majorHAnsi" w:hAnsiTheme="majorHAnsi" w:cstheme="majorHAnsi"/>
        </w:rPr>
        <w:t>N</w:t>
      </w:r>
      <w:r w:rsidRPr="00CF39C8">
        <w:rPr>
          <w:rFonts w:asciiTheme="majorHAnsi" w:hAnsiTheme="majorHAnsi" w:cstheme="majorHAnsi"/>
        </w:rPr>
        <w:t xml:space="preserve">ew </w:t>
      </w:r>
      <w:r w:rsidR="003A37CC" w:rsidRPr="00CF39C8">
        <w:rPr>
          <w:rFonts w:asciiTheme="majorHAnsi" w:hAnsiTheme="majorHAnsi" w:cstheme="majorHAnsi"/>
        </w:rPr>
        <w:t>V</w:t>
      </w:r>
      <w:r w:rsidRPr="00CF39C8">
        <w:rPr>
          <w:rFonts w:asciiTheme="majorHAnsi" w:hAnsiTheme="majorHAnsi" w:cstheme="majorHAnsi"/>
        </w:rPr>
        <w:t xml:space="preserve">ehicle </w:t>
      </w:r>
      <w:r w:rsidR="003A37CC" w:rsidRPr="00CF39C8">
        <w:rPr>
          <w:rFonts w:asciiTheme="majorHAnsi" w:hAnsiTheme="majorHAnsi" w:cstheme="majorHAnsi"/>
        </w:rPr>
        <w:t>E</w:t>
      </w:r>
      <w:r w:rsidRPr="00CF39C8">
        <w:rPr>
          <w:rFonts w:asciiTheme="majorHAnsi" w:hAnsiTheme="majorHAnsi" w:cstheme="majorHAnsi"/>
        </w:rPr>
        <w:t xml:space="preserve">fficiency </w:t>
      </w:r>
      <w:r w:rsidR="003A37CC" w:rsidRPr="00CF39C8">
        <w:rPr>
          <w:rFonts w:asciiTheme="majorHAnsi" w:hAnsiTheme="majorHAnsi" w:cstheme="majorHAnsi"/>
        </w:rPr>
        <w:t>S</w:t>
      </w:r>
      <w:r w:rsidRPr="00CF39C8">
        <w:rPr>
          <w:rFonts w:asciiTheme="majorHAnsi" w:hAnsiTheme="majorHAnsi" w:cstheme="majorHAnsi"/>
        </w:rPr>
        <w:t>tandard</w:t>
      </w:r>
      <w:r w:rsidR="003A37CC" w:rsidRPr="00CF39C8">
        <w:rPr>
          <w:rFonts w:asciiTheme="majorHAnsi" w:hAnsiTheme="majorHAnsi" w:cstheme="majorHAnsi"/>
        </w:rPr>
        <w:t xml:space="preserve"> (NVES)</w:t>
      </w:r>
      <w:r w:rsidRPr="00CF39C8">
        <w:rPr>
          <w:rFonts w:asciiTheme="majorHAnsi" w:hAnsiTheme="majorHAnsi" w:cstheme="majorHAnsi"/>
        </w:rPr>
        <w:t xml:space="preserve">. As many readers will be familiar with, long standing Australian Government policy is that substantive regulatory decisions should be accompanied by an </w:t>
      </w:r>
      <w:r w:rsidR="003A37CC" w:rsidRPr="00CF39C8">
        <w:rPr>
          <w:rFonts w:asciiTheme="majorHAnsi" w:hAnsiTheme="majorHAnsi" w:cstheme="majorHAnsi"/>
        </w:rPr>
        <w:t>I</w:t>
      </w:r>
      <w:r w:rsidRPr="00CF39C8">
        <w:rPr>
          <w:rFonts w:asciiTheme="majorHAnsi" w:hAnsiTheme="majorHAnsi" w:cstheme="majorHAnsi"/>
        </w:rPr>
        <w:t xml:space="preserve">mpact </w:t>
      </w:r>
      <w:r w:rsidR="003A37CC" w:rsidRPr="00CF39C8">
        <w:rPr>
          <w:rFonts w:asciiTheme="majorHAnsi" w:hAnsiTheme="majorHAnsi" w:cstheme="majorHAnsi"/>
        </w:rPr>
        <w:t>A</w:t>
      </w:r>
      <w:r w:rsidRPr="00CF39C8">
        <w:rPr>
          <w:rFonts w:asciiTheme="majorHAnsi" w:hAnsiTheme="majorHAnsi" w:cstheme="majorHAnsi"/>
        </w:rPr>
        <w:t xml:space="preserve">ssessment (previously known as a Regulation Impact Statement, or RIS). </w:t>
      </w:r>
    </w:p>
    <w:p w14:paraId="06417939" w14:textId="77777777" w:rsidR="00A04611" w:rsidRPr="00CF39C8" w:rsidRDefault="00A04611" w:rsidP="00A04611">
      <w:pPr>
        <w:spacing w:after="0" w:line="259" w:lineRule="auto"/>
        <w:rPr>
          <w:rFonts w:asciiTheme="majorHAnsi" w:hAnsiTheme="majorHAnsi" w:cstheme="majorHAnsi"/>
          <w:sz w:val="16"/>
          <w:szCs w:val="16"/>
        </w:rPr>
      </w:pPr>
    </w:p>
    <w:p w14:paraId="18D4368F" w14:textId="77777777" w:rsidR="00A04611" w:rsidRPr="00CF39C8" w:rsidRDefault="00A04611" w:rsidP="00A04611">
      <w:pPr>
        <w:spacing w:after="0" w:line="259" w:lineRule="auto"/>
        <w:rPr>
          <w:rFonts w:asciiTheme="majorHAnsi" w:hAnsiTheme="majorHAnsi" w:cstheme="majorHAnsi"/>
        </w:rPr>
      </w:pPr>
      <w:r w:rsidRPr="00CF39C8">
        <w:rPr>
          <w:rFonts w:asciiTheme="majorHAnsi" w:hAnsiTheme="majorHAnsi" w:cstheme="majorHAnsi"/>
        </w:rPr>
        <w:t xml:space="preserve">An Impact Analysis helps policymakers consider how proposals affect businesses, individuals and community organisations, as well as broader economic and other impacts. A strong evidence-based impact analysis is a powerful tool when applied intentionally and consistently. The Australian Government’s Policy Impact Analysis Framework ensures that decision makers are supported with the necessary evidence base, and that policy is well-designed, well-targeted and fit-for-purpose. </w:t>
      </w:r>
    </w:p>
    <w:p w14:paraId="203DBDEE" w14:textId="77777777" w:rsidR="00A04611" w:rsidRPr="00CF39C8" w:rsidRDefault="00A04611" w:rsidP="00A04611">
      <w:pPr>
        <w:spacing w:after="0"/>
        <w:rPr>
          <w:rFonts w:asciiTheme="majorHAnsi" w:eastAsia="Arial" w:hAnsiTheme="majorHAnsi" w:cstheme="majorHAnsi"/>
        </w:rPr>
      </w:pPr>
    </w:p>
    <w:p w14:paraId="7BAC0CDA" w14:textId="77777777" w:rsidR="00F22013" w:rsidRPr="00CF39C8" w:rsidRDefault="00A04611" w:rsidP="00A04611">
      <w:pPr>
        <w:spacing w:after="0"/>
        <w:rPr>
          <w:rFonts w:asciiTheme="majorHAnsi" w:eastAsia="Arial" w:hAnsiTheme="majorHAnsi" w:cstheme="majorHAnsi"/>
        </w:rPr>
      </w:pPr>
      <w:r w:rsidRPr="00CF39C8">
        <w:rPr>
          <w:rFonts w:asciiTheme="majorHAnsi" w:eastAsia="Arial" w:hAnsiTheme="majorHAnsi" w:cstheme="majorHAnsi"/>
        </w:rPr>
        <w:t>All impact analyses follow the Australian Government requirements, addressing seven key questions</w:t>
      </w:r>
      <w:r w:rsidR="003B6D6A">
        <w:rPr>
          <w:rFonts w:asciiTheme="majorHAnsi" w:eastAsia="Arial" w:hAnsiTheme="majorHAnsi" w:cstheme="majorHAnsi"/>
        </w:rPr>
        <w:t>.</w:t>
      </w:r>
      <w:r w:rsidRPr="00CF39C8">
        <w:rPr>
          <w:rStyle w:val="EndnoteReference"/>
          <w:rFonts w:asciiTheme="majorHAnsi" w:eastAsia="Arial" w:hAnsiTheme="majorHAnsi" w:cstheme="majorHAnsi"/>
        </w:rPr>
        <w:endnoteReference w:id="3"/>
      </w:r>
      <w:r w:rsidRPr="00CF39C8">
        <w:rPr>
          <w:rFonts w:asciiTheme="majorHAnsi" w:eastAsia="Arial" w:hAnsiTheme="majorHAnsi" w:cstheme="majorHAnsi"/>
        </w:rPr>
        <w:t xml:space="preserve"> In this paper, we have provided content in line with these questions. </w:t>
      </w:r>
      <w:r w:rsidR="00F22013" w:rsidRPr="00CF39C8">
        <w:rPr>
          <w:rFonts w:asciiTheme="majorHAnsi" w:eastAsia="Arial" w:hAnsiTheme="majorHAnsi" w:cstheme="majorHAnsi"/>
        </w:rPr>
        <w:t>The</w:t>
      </w:r>
      <w:r w:rsidRPr="00CF39C8">
        <w:rPr>
          <w:rFonts w:asciiTheme="majorHAnsi" w:eastAsia="Arial" w:hAnsiTheme="majorHAnsi" w:cstheme="majorHAnsi"/>
        </w:rPr>
        <w:t xml:space="preserve"> final Impact Analysis </w:t>
      </w:r>
      <w:r w:rsidR="00F26F37">
        <w:rPr>
          <w:rFonts w:asciiTheme="majorHAnsi" w:eastAsia="Arial" w:hAnsiTheme="majorHAnsi" w:cstheme="majorHAnsi"/>
        </w:rPr>
        <w:t>will</w:t>
      </w:r>
      <w:r w:rsidRPr="00CF39C8">
        <w:rPr>
          <w:rFonts w:asciiTheme="majorHAnsi" w:eastAsia="Arial" w:hAnsiTheme="majorHAnsi" w:cstheme="majorHAnsi"/>
        </w:rPr>
        <w:t xml:space="preserve"> be published on the Office for Impact Analysis’ (OIA) website. </w:t>
      </w:r>
    </w:p>
    <w:p w14:paraId="12760CA5" w14:textId="77777777" w:rsidR="00F22013" w:rsidRPr="00CF39C8" w:rsidRDefault="00F22013" w:rsidP="00A04611">
      <w:pPr>
        <w:spacing w:after="0"/>
        <w:rPr>
          <w:rFonts w:asciiTheme="majorHAnsi" w:eastAsia="Arial" w:hAnsiTheme="majorHAnsi" w:cstheme="majorHAnsi"/>
        </w:rPr>
      </w:pPr>
    </w:p>
    <w:p w14:paraId="55CFDCBF" w14:textId="77777777" w:rsidR="00A04611" w:rsidRPr="00CF39C8" w:rsidRDefault="00A04611" w:rsidP="00A04611">
      <w:pPr>
        <w:spacing w:after="0"/>
        <w:rPr>
          <w:rFonts w:asciiTheme="majorHAnsi" w:eastAsia="Arial" w:hAnsiTheme="majorHAnsi" w:cstheme="majorHAnsi"/>
        </w:rPr>
      </w:pPr>
      <w:r w:rsidRPr="00CF39C8">
        <w:rPr>
          <w:rFonts w:asciiTheme="majorHAnsi" w:eastAsia="Arial" w:hAnsiTheme="majorHAnsi" w:cstheme="majorHAnsi"/>
        </w:rPr>
        <w:t>The OIA’s seven Impact Analysis questions are:</w:t>
      </w:r>
    </w:p>
    <w:p w14:paraId="22547E2E" w14:textId="77777777" w:rsidR="00A04611" w:rsidRPr="00CF39C8" w:rsidRDefault="00A04611" w:rsidP="00A04611">
      <w:pPr>
        <w:spacing w:after="0"/>
        <w:rPr>
          <w:rFonts w:asciiTheme="majorHAnsi" w:eastAsia="Arial" w:hAnsiTheme="majorHAnsi" w:cstheme="majorHAnsi"/>
        </w:rPr>
      </w:pPr>
    </w:p>
    <w:tbl>
      <w:tblPr>
        <w:tblStyle w:val="TableGrid"/>
        <w:tblW w:w="9498" w:type="dxa"/>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The Office of Impact Analysis' seven Impact Analysis questions"/>
      </w:tblPr>
      <w:tblGrid>
        <w:gridCol w:w="7797"/>
        <w:gridCol w:w="1701"/>
      </w:tblGrid>
      <w:tr w:rsidR="00A04611" w:rsidRPr="00CF39C8" w14:paraId="61FAD941" w14:textId="77777777" w:rsidTr="00E34D4F">
        <w:trPr>
          <w:trHeight w:val="20"/>
        </w:trPr>
        <w:tc>
          <w:tcPr>
            <w:tcW w:w="7797" w:type="dxa"/>
            <w:shd w:val="clear" w:color="auto" w:fill="417A84" w:themeFill="accent5" w:themeFillShade="BF"/>
            <w:vAlign w:val="center"/>
          </w:tcPr>
          <w:p w14:paraId="1E7968AE" w14:textId="77777777" w:rsidR="00A04611" w:rsidRPr="00CF39C8" w:rsidRDefault="00A04611" w:rsidP="00E34D4F">
            <w:pPr>
              <w:pStyle w:val="ListParagraph"/>
              <w:spacing w:line="259" w:lineRule="auto"/>
              <w:ind w:left="446"/>
              <w:rPr>
                <w:rFonts w:asciiTheme="majorHAnsi" w:hAnsiTheme="majorHAnsi" w:cstheme="majorHAnsi"/>
                <w:b/>
                <w:color w:val="FFFFFF" w:themeColor="background1"/>
              </w:rPr>
            </w:pPr>
            <w:r w:rsidRPr="00CF39C8">
              <w:rPr>
                <w:rFonts w:asciiTheme="majorHAnsi" w:hAnsiTheme="majorHAnsi" w:cstheme="majorHAnsi"/>
                <w:b/>
                <w:color w:val="FFFFFF" w:themeColor="background1"/>
              </w:rPr>
              <w:t>Question</w:t>
            </w:r>
          </w:p>
        </w:tc>
        <w:tc>
          <w:tcPr>
            <w:tcW w:w="1701" w:type="dxa"/>
            <w:shd w:val="clear" w:color="auto" w:fill="417A84" w:themeFill="accent5" w:themeFillShade="BF"/>
            <w:vAlign w:val="center"/>
          </w:tcPr>
          <w:p w14:paraId="32B19701" w14:textId="77777777" w:rsidR="00A04611" w:rsidRPr="00CF39C8" w:rsidRDefault="00A04611" w:rsidP="00E34D4F">
            <w:pPr>
              <w:pStyle w:val="ListParagraph"/>
              <w:spacing w:line="259" w:lineRule="auto"/>
              <w:ind w:left="0"/>
              <w:jc w:val="center"/>
              <w:rPr>
                <w:rFonts w:asciiTheme="majorHAnsi" w:hAnsiTheme="majorHAnsi" w:cstheme="majorHAnsi"/>
                <w:b/>
                <w:color w:val="FFFFFF" w:themeColor="background1"/>
              </w:rPr>
            </w:pPr>
            <w:r w:rsidRPr="00CF39C8">
              <w:rPr>
                <w:rFonts w:asciiTheme="majorHAnsi" w:hAnsiTheme="majorHAnsi" w:cstheme="majorHAnsi"/>
                <w:b/>
                <w:color w:val="FFFFFF" w:themeColor="background1"/>
              </w:rPr>
              <w:t>Related chapters in this document</w:t>
            </w:r>
          </w:p>
        </w:tc>
      </w:tr>
      <w:tr w:rsidR="00A04611" w:rsidRPr="00CF39C8" w14:paraId="016FFE6C" w14:textId="77777777" w:rsidTr="00E34D4F">
        <w:trPr>
          <w:trHeight w:val="20"/>
        </w:trPr>
        <w:tc>
          <w:tcPr>
            <w:tcW w:w="7797" w:type="dxa"/>
          </w:tcPr>
          <w:p w14:paraId="6F6D6EEC"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policy problem you are trying to solve and what data is available?</w:t>
            </w:r>
          </w:p>
        </w:tc>
        <w:tc>
          <w:tcPr>
            <w:tcW w:w="1701" w:type="dxa"/>
            <w:vAlign w:val="center"/>
          </w:tcPr>
          <w:p w14:paraId="54454B8B"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2</w:t>
            </w:r>
          </w:p>
        </w:tc>
      </w:tr>
      <w:tr w:rsidR="00A04611" w:rsidRPr="00CF39C8" w14:paraId="64A187F9" w14:textId="77777777" w:rsidTr="00E34D4F">
        <w:trPr>
          <w:trHeight w:val="20"/>
        </w:trPr>
        <w:tc>
          <w:tcPr>
            <w:tcW w:w="7797" w:type="dxa"/>
          </w:tcPr>
          <w:p w14:paraId="4080306E"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 xml:space="preserve">What are the objectives, why is </w:t>
            </w:r>
            <w:r w:rsidR="00DD7A77">
              <w:rPr>
                <w:rFonts w:asciiTheme="majorHAnsi" w:hAnsiTheme="majorHAnsi" w:cstheme="majorHAnsi"/>
              </w:rPr>
              <w:t>G</w:t>
            </w:r>
            <w:r w:rsidRPr="00CF39C8">
              <w:rPr>
                <w:rFonts w:asciiTheme="majorHAnsi" w:hAnsiTheme="majorHAnsi" w:cstheme="majorHAnsi"/>
              </w:rPr>
              <w:t>overnment intervention needed to achieve them, and how will success be measured?</w:t>
            </w:r>
          </w:p>
        </w:tc>
        <w:tc>
          <w:tcPr>
            <w:tcW w:w="1701" w:type="dxa"/>
            <w:vAlign w:val="center"/>
          </w:tcPr>
          <w:p w14:paraId="10CEB279"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3</w:t>
            </w:r>
          </w:p>
        </w:tc>
      </w:tr>
      <w:tr w:rsidR="00A04611" w:rsidRPr="00CF39C8" w14:paraId="2D5C27E3" w14:textId="77777777" w:rsidTr="00E34D4F">
        <w:trPr>
          <w:trHeight w:val="20"/>
        </w:trPr>
        <w:tc>
          <w:tcPr>
            <w:tcW w:w="7797" w:type="dxa"/>
          </w:tcPr>
          <w:p w14:paraId="23EA4841"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policy options are you considering?</w:t>
            </w:r>
          </w:p>
        </w:tc>
        <w:tc>
          <w:tcPr>
            <w:tcW w:w="1701" w:type="dxa"/>
            <w:vAlign w:val="center"/>
          </w:tcPr>
          <w:p w14:paraId="6DE2B58F"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4</w:t>
            </w:r>
          </w:p>
        </w:tc>
      </w:tr>
      <w:tr w:rsidR="00A04611" w:rsidRPr="00CF39C8" w14:paraId="0B980F7A" w14:textId="77777777" w:rsidTr="00E34D4F">
        <w:trPr>
          <w:trHeight w:val="20"/>
        </w:trPr>
        <w:tc>
          <w:tcPr>
            <w:tcW w:w="7797" w:type="dxa"/>
          </w:tcPr>
          <w:p w14:paraId="4372E989"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likely net benefit of each option?</w:t>
            </w:r>
          </w:p>
        </w:tc>
        <w:tc>
          <w:tcPr>
            <w:tcW w:w="1701" w:type="dxa"/>
            <w:vAlign w:val="center"/>
          </w:tcPr>
          <w:p w14:paraId="2A75FDD8"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5</w:t>
            </w:r>
          </w:p>
        </w:tc>
      </w:tr>
      <w:tr w:rsidR="00A04611" w:rsidRPr="00CF39C8" w14:paraId="015609E4" w14:textId="77777777" w:rsidTr="00E34D4F">
        <w:trPr>
          <w:trHeight w:val="20"/>
        </w:trPr>
        <w:tc>
          <w:tcPr>
            <w:tcW w:w="7797" w:type="dxa"/>
          </w:tcPr>
          <w:p w14:paraId="63968426"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Who did you consult and how did you incorporate their feedback?</w:t>
            </w:r>
          </w:p>
        </w:tc>
        <w:tc>
          <w:tcPr>
            <w:tcW w:w="1701" w:type="dxa"/>
            <w:vAlign w:val="center"/>
          </w:tcPr>
          <w:p w14:paraId="205894ED"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6</w:t>
            </w:r>
          </w:p>
        </w:tc>
      </w:tr>
      <w:tr w:rsidR="00A04611" w:rsidRPr="00CF39C8" w14:paraId="3D7EDFAA" w14:textId="77777777" w:rsidTr="00E34D4F">
        <w:trPr>
          <w:trHeight w:val="20"/>
        </w:trPr>
        <w:tc>
          <w:tcPr>
            <w:tcW w:w="7797" w:type="dxa"/>
          </w:tcPr>
          <w:p w14:paraId="5CC60F5F"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best option from those you have considered and how will it be implemented?</w:t>
            </w:r>
          </w:p>
        </w:tc>
        <w:tc>
          <w:tcPr>
            <w:tcW w:w="1701" w:type="dxa"/>
            <w:vAlign w:val="center"/>
          </w:tcPr>
          <w:p w14:paraId="35489B69"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7</w:t>
            </w:r>
          </w:p>
        </w:tc>
      </w:tr>
      <w:tr w:rsidR="00A04611" w:rsidRPr="00CF39C8" w14:paraId="4E165620" w14:textId="77777777" w:rsidTr="00E34D4F">
        <w:trPr>
          <w:trHeight w:val="20"/>
        </w:trPr>
        <w:tc>
          <w:tcPr>
            <w:tcW w:w="7797" w:type="dxa"/>
          </w:tcPr>
          <w:p w14:paraId="47575267"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 xml:space="preserve">How will you evaluate your chosen </w:t>
            </w:r>
            <w:r w:rsidR="00DC48C3">
              <w:rPr>
                <w:rFonts w:asciiTheme="majorHAnsi" w:hAnsiTheme="majorHAnsi" w:cstheme="majorHAnsi"/>
              </w:rPr>
              <w:t>option a</w:t>
            </w:r>
            <w:r w:rsidRPr="00CF39C8">
              <w:rPr>
                <w:rFonts w:asciiTheme="majorHAnsi" w:hAnsiTheme="majorHAnsi" w:cstheme="majorHAnsi"/>
              </w:rPr>
              <w:t>gainst the success metrics?</w:t>
            </w:r>
          </w:p>
        </w:tc>
        <w:tc>
          <w:tcPr>
            <w:tcW w:w="1701" w:type="dxa"/>
            <w:vAlign w:val="center"/>
          </w:tcPr>
          <w:p w14:paraId="7C01047E"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8</w:t>
            </w:r>
          </w:p>
        </w:tc>
      </w:tr>
    </w:tbl>
    <w:p w14:paraId="49F2E94F" w14:textId="77777777" w:rsidR="00A04611" w:rsidRPr="00CF39C8" w:rsidRDefault="00A04611" w:rsidP="00A04611">
      <w:pPr>
        <w:pStyle w:val="Heading2"/>
        <w:rPr>
          <w:rFonts w:eastAsia="Arial"/>
        </w:rPr>
      </w:pPr>
    </w:p>
    <w:p w14:paraId="06ED53D2" w14:textId="77777777" w:rsidR="009C163C" w:rsidRDefault="009C163C" w:rsidP="00CA0D37">
      <w:pPr>
        <w:rPr>
          <w:rFonts w:asciiTheme="majorHAnsi" w:hAnsiTheme="majorHAnsi" w:cstheme="majorHAnsi"/>
        </w:rPr>
      </w:pPr>
    </w:p>
    <w:p w14:paraId="59B543C7" w14:textId="77777777" w:rsidR="009C163C" w:rsidRDefault="009C163C" w:rsidP="00CA0D37">
      <w:pPr>
        <w:rPr>
          <w:rFonts w:asciiTheme="majorHAnsi" w:hAnsiTheme="majorHAnsi" w:cstheme="majorHAnsi"/>
        </w:rPr>
      </w:pPr>
    </w:p>
    <w:p w14:paraId="19F614BE" w14:textId="77777777" w:rsidR="009C163C" w:rsidRDefault="009C163C" w:rsidP="00CA0D37">
      <w:pPr>
        <w:rPr>
          <w:rFonts w:asciiTheme="majorHAnsi" w:hAnsiTheme="majorHAnsi" w:cstheme="majorHAnsi"/>
        </w:rPr>
      </w:pPr>
    </w:p>
    <w:p w14:paraId="108682A3" w14:textId="77777777" w:rsidR="009C163C" w:rsidRDefault="009C163C" w:rsidP="00CA0D37">
      <w:pPr>
        <w:rPr>
          <w:rFonts w:asciiTheme="majorHAnsi" w:hAnsiTheme="majorHAnsi" w:cstheme="majorHAnsi"/>
        </w:rPr>
      </w:pPr>
    </w:p>
    <w:p w14:paraId="134E50E1"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t>Following more than 12 months of consultation with the community and industry</w:t>
      </w:r>
      <w:r w:rsidR="00C17152">
        <w:rPr>
          <w:rFonts w:asciiTheme="majorHAnsi" w:hAnsiTheme="majorHAnsi" w:cstheme="majorHAnsi"/>
        </w:rPr>
        <w:t xml:space="preserve"> which attracted more than 1</w:t>
      </w:r>
      <w:r w:rsidR="006118CA">
        <w:rPr>
          <w:rFonts w:asciiTheme="majorHAnsi" w:hAnsiTheme="majorHAnsi" w:cstheme="majorHAnsi"/>
        </w:rPr>
        <w:t>1</w:t>
      </w:r>
      <w:r w:rsidR="00C17152">
        <w:rPr>
          <w:rFonts w:asciiTheme="majorHAnsi" w:hAnsiTheme="majorHAnsi" w:cstheme="majorHAnsi"/>
        </w:rPr>
        <w:t>,000 submissions</w:t>
      </w:r>
      <w:r w:rsidR="006118CA">
        <w:rPr>
          <w:rFonts w:asciiTheme="majorHAnsi" w:hAnsiTheme="majorHAnsi" w:cstheme="majorHAnsi"/>
        </w:rPr>
        <w:t xml:space="preserve"> in total and featured two roundtables with industry and other stakeholders</w:t>
      </w:r>
      <w:r w:rsidRPr="00CF39C8">
        <w:rPr>
          <w:rFonts w:asciiTheme="majorHAnsi" w:hAnsiTheme="majorHAnsi" w:cstheme="majorHAnsi"/>
        </w:rPr>
        <w:t xml:space="preserve">, extensive economic modelling and consideration of a range of options, the Government has </w:t>
      </w:r>
      <w:r>
        <w:rPr>
          <w:rFonts w:asciiTheme="majorHAnsi" w:hAnsiTheme="majorHAnsi" w:cstheme="majorHAnsi"/>
        </w:rPr>
        <w:t xml:space="preserve">identified </w:t>
      </w:r>
      <w:r w:rsidR="004C533A">
        <w:rPr>
          <w:rFonts w:asciiTheme="majorHAnsi" w:hAnsiTheme="majorHAnsi" w:cstheme="majorHAnsi"/>
        </w:rPr>
        <w:t xml:space="preserve">a </w:t>
      </w:r>
      <w:r w:rsidR="00AE4BF3">
        <w:rPr>
          <w:rFonts w:asciiTheme="majorHAnsi" w:hAnsiTheme="majorHAnsi" w:cstheme="majorHAnsi"/>
        </w:rPr>
        <w:t>best</w:t>
      </w:r>
      <w:r w:rsidR="004C533A">
        <w:rPr>
          <w:rFonts w:asciiTheme="majorHAnsi" w:hAnsiTheme="majorHAnsi" w:cstheme="majorHAnsi"/>
        </w:rPr>
        <w:t xml:space="preserve"> option</w:t>
      </w:r>
      <w:r w:rsidRPr="00CF39C8">
        <w:rPr>
          <w:rFonts w:asciiTheme="majorHAnsi" w:hAnsiTheme="majorHAnsi" w:cstheme="majorHAnsi"/>
        </w:rPr>
        <w:t xml:space="preserve"> for the </w:t>
      </w:r>
      <w:r>
        <w:rPr>
          <w:rFonts w:asciiTheme="majorHAnsi" w:hAnsiTheme="majorHAnsi" w:cstheme="majorHAnsi"/>
        </w:rPr>
        <w:t xml:space="preserve">design of the </w:t>
      </w:r>
      <w:r w:rsidRPr="00CF39C8">
        <w:rPr>
          <w:rFonts w:asciiTheme="majorHAnsi" w:hAnsiTheme="majorHAnsi" w:cstheme="majorHAnsi"/>
        </w:rPr>
        <w:t xml:space="preserve">NVES. The three </w:t>
      </w:r>
      <w:r>
        <w:rPr>
          <w:rFonts w:asciiTheme="majorHAnsi" w:hAnsiTheme="majorHAnsi" w:cstheme="majorHAnsi"/>
        </w:rPr>
        <w:t xml:space="preserve">earlier </w:t>
      </w:r>
      <w:r w:rsidRPr="00CF39C8">
        <w:rPr>
          <w:rFonts w:asciiTheme="majorHAnsi" w:hAnsiTheme="majorHAnsi" w:cstheme="majorHAnsi"/>
        </w:rPr>
        <w:t xml:space="preserve">options, and </w:t>
      </w:r>
      <w:r>
        <w:rPr>
          <w:rFonts w:asciiTheme="majorHAnsi" w:hAnsiTheme="majorHAnsi" w:cstheme="majorHAnsi"/>
        </w:rPr>
        <w:t xml:space="preserve">the </w:t>
      </w:r>
      <w:r w:rsidR="00AE4BF3">
        <w:rPr>
          <w:rFonts w:asciiTheme="majorHAnsi" w:hAnsiTheme="majorHAnsi" w:cstheme="majorHAnsi"/>
        </w:rPr>
        <w:t>best</w:t>
      </w:r>
      <w:r>
        <w:rPr>
          <w:rFonts w:asciiTheme="majorHAnsi" w:hAnsiTheme="majorHAnsi" w:cstheme="majorHAnsi"/>
        </w:rPr>
        <w:t xml:space="preserve"> option</w:t>
      </w:r>
      <w:r w:rsidRPr="00CF39C8">
        <w:rPr>
          <w:rFonts w:asciiTheme="majorHAnsi" w:hAnsiTheme="majorHAnsi" w:cstheme="majorHAnsi"/>
        </w:rPr>
        <w:t xml:space="preserve">, are set out in detail in this Impact Analysis. Legislation enabling the introduction of the NVES, the </w:t>
      </w:r>
      <w:r w:rsidRPr="002E4381">
        <w:rPr>
          <w:rFonts w:asciiTheme="majorHAnsi" w:hAnsiTheme="majorHAnsi" w:cstheme="majorHAnsi"/>
        </w:rPr>
        <w:t>New Vehicle Efficiency Standard Bill 2024</w:t>
      </w:r>
      <w:r w:rsidRPr="00CF39C8">
        <w:rPr>
          <w:rFonts w:asciiTheme="majorHAnsi" w:hAnsiTheme="majorHAnsi" w:cstheme="majorHAnsi"/>
        </w:rPr>
        <w:t xml:space="preserve">, will be introduced in Parliament in the first half of 2024. </w:t>
      </w:r>
    </w:p>
    <w:p w14:paraId="3E817AEA"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t>The options considered by Government in February 2024 varied in their settings, which resulted in different potential levels of fuel savings, carbon dioxide (CO</w:t>
      </w:r>
      <w:r w:rsidRPr="00CF39C8">
        <w:rPr>
          <w:rFonts w:asciiTheme="majorHAnsi" w:hAnsiTheme="majorHAnsi" w:cstheme="majorHAnsi"/>
          <w:vertAlign w:val="subscript"/>
        </w:rPr>
        <w:t>2</w:t>
      </w:r>
      <w:r w:rsidRPr="00CF39C8">
        <w:rPr>
          <w:rFonts w:asciiTheme="majorHAnsi" w:hAnsiTheme="majorHAnsi" w:cstheme="majorHAnsi"/>
        </w:rPr>
        <w:t>) abatement and health benefits</w:t>
      </w:r>
      <w:r w:rsidR="004C533A">
        <w:rPr>
          <w:rFonts w:asciiTheme="majorHAnsi" w:hAnsiTheme="majorHAnsi" w:cstheme="majorHAnsi"/>
        </w:rPr>
        <w:t xml:space="preserve"> as well as variations in costs</w:t>
      </w:r>
      <w:r w:rsidRPr="00CF39C8">
        <w:rPr>
          <w:rFonts w:asciiTheme="majorHAnsi" w:hAnsiTheme="majorHAnsi" w:cstheme="majorHAnsi"/>
        </w:rPr>
        <w:t xml:space="preserve">. </w:t>
      </w:r>
      <w:r>
        <w:rPr>
          <w:rFonts w:asciiTheme="majorHAnsi" w:hAnsiTheme="majorHAnsi" w:cstheme="majorHAnsi"/>
        </w:rPr>
        <w:t>One of the options was do-nothing, that is, no policy intervention by Government. Our modelling showed that this ‘do nothing’ option would lead to a gradual emissions reduction as efficiency of</w:t>
      </w:r>
      <w:r w:rsidR="005B2FAC">
        <w:rPr>
          <w:rFonts w:asciiTheme="majorHAnsi" w:hAnsiTheme="majorHAnsi" w:cstheme="majorHAnsi"/>
        </w:rPr>
        <w:t xml:space="preserve"> internal combustion</w:t>
      </w:r>
      <w:r>
        <w:rPr>
          <w:rFonts w:asciiTheme="majorHAnsi" w:hAnsiTheme="majorHAnsi" w:cstheme="majorHAnsi"/>
        </w:rPr>
        <w:t xml:space="preserve"> </w:t>
      </w:r>
      <w:r w:rsidR="005B2FAC">
        <w:rPr>
          <w:rFonts w:asciiTheme="majorHAnsi" w:hAnsiTheme="majorHAnsi" w:cstheme="majorHAnsi"/>
        </w:rPr>
        <w:t>engine (</w:t>
      </w:r>
      <w:r>
        <w:rPr>
          <w:rFonts w:asciiTheme="majorHAnsi" w:hAnsiTheme="majorHAnsi" w:cstheme="majorHAnsi"/>
        </w:rPr>
        <w:t>ICE</w:t>
      </w:r>
      <w:r w:rsidR="005B2FAC">
        <w:rPr>
          <w:rFonts w:asciiTheme="majorHAnsi" w:hAnsiTheme="majorHAnsi" w:cstheme="majorHAnsi"/>
        </w:rPr>
        <w:t>)</w:t>
      </w:r>
      <w:r>
        <w:rPr>
          <w:rFonts w:asciiTheme="majorHAnsi" w:hAnsiTheme="majorHAnsi" w:cstheme="majorHAnsi"/>
        </w:rPr>
        <w:t xml:space="preserve"> vehicles slowly increases, and that sales of zero emissions vehicles reach 100% of new car sales by around 2046.</w:t>
      </w:r>
    </w:p>
    <w:p w14:paraId="08553F2C" w14:textId="77777777" w:rsidR="00CA0D37" w:rsidRPr="00CF39C8" w:rsidRDefault="00DC48C3" w:rsidP="00CA0D37">
      <w:pPr>
        <w:rPr>
          <w:rFonts w:asciiTheme="majorHAnsi" w:hAnsiTheme="majorHAnsi" w:cstheme="majorHAnsi"/>
        </w:rPr>
      </w:pPr>
      <w:r>
        <w:rPr>
          <w:rFonts w:asciiTheme="majorHAnsi" w:hAnsiTheme="majorHAnsi" w:cstheme="majorHAnsi"/>
        </w:rPr>
        <w:t>Option A</w:t>
      </w:r>
      <w:r w:rsidR="00CA0D37" w:rsidRPr="00CF39C8">
        <w:rPr>
          <w:rFonts w:asciiTheme="majorHAnsi" w:hAnsiTheme="majorHAnsi" w:cstheme="majorHAnsi"/>
        </w:rPr>
        <w:t xml:space="preserve"> provided the lowest fuel savings, abatement, and health benefits. It was also the least likely to incentivise the supply of fuel-efficient, low and zero emissions vehicles to the Australian market. </w:t>
      </w:r>
    </w:p>
    <w:p w14:paraId="49653E7F" w14:textId="77777777" w:rsidR="00CA0D37" w:rsidRDefault="00C12BE2" w:rsidP="00CA0D37">
      <w:pPr>
        <w:rPr>
          <w:rFonts w:asciiTheme="majorHAnsi" w:hAnsiTheme="majorHAnsi" w:cstheme="majorHAnsi"/>
        </w:rPr>
      </w:pPr>
      <w:r>
        <w:rPr>
          <w:rFonts w:asciiTheme="majorHAnsi" w:hAnsiTheme="majorHAnsi" w:cstheme="majorHAnsi"/>
        </w:rPr>
        <w:t>Option B</w:t>
      </w:r>
      <w:r w:rsidR="00CA0D37" w:rsidRPr="00CF39C8">
        <w:rPr>
          <w:rFonts w:asciiTheme="majorHAnsi" w:hAnsiTheme="majorHAnsi" w:cstheme="majorHAnsi"/>
        </w:rPr>
        <w:t xml:space="preserve">, the Government’s </w:t>
      </w:r>
      <w:r w:rsidR="00A940F5">
        <w:rPr>
          <w:rFonts w:asciiTheme="majorHAnsi" w:hAnsiTheme="majorHAnsi" w:cstheme="majorHAnsi"/>
        </w:rPr>
        <w:t>previous</w:t>
      </w:r>
      <w:r w:rsidR="00910C27">
        <w:rPr>
          <w:rFonts w:asciiTheme="majorHAnsi" w:hAnsiTheme="majorHAnsi" w:cstheme="majorHAnsi"/>
        </w:rPr>
        <w:t>ly</w:t>
      </w:r>
      <w:r w:rsidR="00A940F5">
        <w:rPr>
          <w:rFonts w:asciiTheme="majorHAnsi" w:hAnsiTheme="majorHAnsi" w:cstheme="majorHAnsi"/>
        </w:rPr>
        <w:t xml:space="preserve"> best</w:t>
      </w:r>
      <w:r w:rsidR="00A940F5" w:rsidRPr="00CF39C8">
        <w:rPr>
          <w:rFonts w:asciiTheme="majorHAnsi" w:hAnsiTheme="majorHAnsi" w:cstheme="majorHAnsi"/>
        </w:rPr>
        <w:t xml:space="preserve"> </w:t>
      </w:r>
      <w:r w:rsidR="00DC48C3">
        <w:rPr>
          <w:rFonts w:asciiTheme="majorHAnsi" w:hAnsiTheme="majorHAnsi" w:cstheme="majorHAnsi"/>
        </w:rPr>
        <w:t>option a</w:t>
      </w:r>
      <w:r w:rsidR="00CA0D37" w:rsidRPr="00CF39C8">
        <w:rPr>
          <w:rFonts w:asciiTheme="majorHAnsi" w:hAnsiTheme="majorHAnsi" w:cstheme="majorHAnsi"/>
        </w:rPr>
        <w:t>s published in the Consultation I</w:t>
      </w:r>
      <w:r w:rsidR="002E4381">
        <w:rPr>
          <w:rFonts w:asciiTheme="majorHAnsi" w:hAnsiTheme="majorHAnsi" w:cstheme="majorHAnsi"/>
        </w:rPr>
        <w:t>mpact Analysis</w:t>
      </w:r>
      <w:r w:rsidR="00CA0D37" w:rsidRPr="00CF39C8">
        <w:rPr>
          <w:rFonts w:asciiTheme="majorHAnsi" w:hAnsiTheme="majorHAnsi" w:cstheme="majorHAnsi"/>
        </w:rPr>
        <w:t xml:space="preserve"> </w:t>
      </w:r>
      <w:r w:rsidR="00DD7A77">
        <w:rPr>
          <w:rFonts w:asciiTheme="majorHAnsi" w:hAnsiTheme="majorHAnsi" w:cstheme="majorHAnsi"/>
        </w:rPr>
        <w:t xml:space="preserve">in </w:t>
      </w:r>
      <w:r w:rsidR="00CA0D37" w:rsidRPr="00CF39C8">
        <w:rPr>
          <w:rFonts w:asciiTheme="majorHAnsi" w:hAnsiTheme="majorHAnsi" w:cstheme="majorHAnsi"/>
        </w:rPr>
        <w:t>February 2024, found that Australia would catch up with the currently proposed US average vehicle emissions intensity by around 2028. This option was estimated to deliver abatement of 369 million tonnes of CO</w:t>
      </w:r>
      <w:r w:rsidR="00CA0D37" w:rsidRPr="00CF39C8">
        <w:rPr>
          <w:rFonts w:asciiTheme="majorHAnsi" w:hAnsiTheme="majorHAnsi" w:cstheme="majorHAnsi"/>
          <w:vertAlign w:val="subscript"/>
        </w:rPr>
        <w:t>2</w:t>
      </w:r>
      <w:r w:rsidR="00CA0D37" w:rsidRPr="00CF39C8">
        <w:rPr>
          <w:rFonts w:asciiTheme="majorHAnsi" w:hAnsiTheme="majorHAnsi" w:cstheme="majorHAnsi"/>
        </w:rPr>
        <w:t xml:space="preserve"> by 2050, and close to 100 million tonnes of CO</w:t>
      </w:r>
      <w:r w:rsidR="00CA0D37" w:rsidRPr="00CF39C8">
        <w:rPr>
          <w:rFonts w:asciiTheme="majorHAnsi" w:hAnsiTheme="majorHAnsi" w:cstheme="majorHAnsi"/>
          <w:vertAlign w:val="subscript"/>
        </w:rPr>
        <w:t>2</w:t>
      </w:r>
      <w:r w:rsidR="00CA0D37" w:rsidRPr="00CF39C8">
        <w:rPr>
          <w:rFonts w:asciiTheme="majorHAnsi" w:hAnsiTheme="majorHAnsi" w:cstheme="majorHAnsi"/>
        </w:rPr>
        <w:t xml:space="preserve"> abatement by 2035. </w:t>
      </w:r>
    </w:p>
    <w:p w14:paraId="4C1B5ADD" w14:textId="77777777" w:rsidR="00CA0D37" w:rsidRPr="00CF39C8" w:rsidRDefault="00C12BE2" w:rsidP="00CA0D37">
      <w:r>
        <w:rPr>
          <w:rFonts w:asciiTheme="majorHAnsi" w:hAnsiTheme="majorHAnsi" w:cstheme="majorHAnsi"/>
        </w:rPr>
        <w:t>Option C</w:t>
      </w:r>
      <w:r w:rsidR="00CA0D37" w:rsidRPr="00CF39C8">
        <w:rPr>
          <w:rFonts w:asciiTheme="majorHAnsi" w:hAnsiTheme="majorHAnsi" w:cstheme="majorHAnsi"/>
        </w:rPr>
        <w:t xml:space="preserve">, offered larger fuel savings and emissions reductions, but higher quantitative technology costs and a higher qualitatively assessed risk of disruption to the availability of the kinds of vehicles Australians use for work and leisure. The </w:t>
      </w:r>
      <w:r w:rsidR="00CA0D37" w:rsidRPr="00CF39C8">
        <w:t xml:space="preserve">resulted in both a high net benefit and greater abatement. </w:t>
      </w:r>
    </w:p>
    <w:p w14:paraId="5079AA20" w14:textId="77777777" w:rsidR="00CA0D37" w:rsidRPr="0035779B" w:rsidRDefault="00CA0D37" w:rsidP="00CA0D37">
      <w:pPr>
        <w:rPr>
          <w:rFonts w:asciiTheme="majorHAnsi" w:hAnsiTheme="majorHAnsi" w:cstheme="majorHAnsi"/>
        </w:rPr>
      </w:pPr>
      <w:r>
        <w:rPr>
          <w:rFonts w:asciiTheme="majorHAnsi" w:hAnsiTheme="majorHAnsi" w:cstheme="majorHAnsi"/>
        </w:rPr>
        <w:t xml:space="preserve">The consultation process identified </w:t>
      </w:r>
      <w:r w:rsidR="0035779B">
        <w:rPr>
          <w:rFonts w:asciiTheme="majorHAnsi" w:hAnsiTheme="majorHAnsi" w:cstheme="majorHAnsi"/>
        </w:rPr>
        <w:t>some</w:t>
      </w:r>
      <w:r>
        <w:rPr>
          <w:rFonts w:asciiTheme="majorHAnsi" w:hAnsiTheme="majorHAnsi" w:cstheme="majorHAnsi"/>
        </w:rPr>
        <w:t xml:space="preserve"> specific and targeted amendments to </w:t>
      </w:r>
      <w:r w:rsidR="00C12BE2">
        <w:rPr>
          <w:rFonts w:asciiTheme="majorHAnsi" w:hAnsiTheme="majorHAnsi" w:cstheme="majorHAnsi"/>
        </w:rPr>
        <w:t>Option B</w:t>
      </w:r>
      <w:r>
        <w:rPr>
          <w:rFonts w:asciiTheme="majorHAnsi" w:hAnsiTheme="majorHAnsi" w:cstheme="majorHAnsi"/>
        </w:rPr>
        <w:t xml:space="preserve"> that would improve the </w:t>
      </w:r>
      <w:r w:rsidR="00C12BE2">
        <w:rPr>
          <w:rFonts w:asciiTheme="majorHAnsi" w:hAnsiTheme="majorHAnsi" w:cstheme="majorHAnsi"/>
        </w:rPr>
        <w:t>option b</w:t>
      </w:r>
      <w:r w:rsidR="006118CA">
        <w:rPr>
          <w:rFonts w:asciiTheme="majorHAnsi" w:hAnsiTheme="majorHAnsi" w:cstheme="majorHAnsi"/>
        </w:rPr>
        <w:t>ased on the need to achieve a balance between abatement, consumer needs and the sustainability and vibrancy of the Australian car market</w:t>
      </w:r>
      <w:r>
        <w:rPr>
          <w:rFonts w:asciiTheme="majorHAnsi" w:hAnsiTheme="majorHAnsi" w:cstheme="majorHAnsi"/>
        </w:rPr>
        <w:t xml:space="preserve">. </w:t>
      </w:r>
      <w:r w:rsidR="003B6D6A">
        <w:rPr>
          <w:rFonts w:asciiTheme="majorHAnsi" w:hAnsiTheme="majorHAnsi" w:cstheme="majorHAnsi"/>
        </w:rPr>
        <w:t xml:space="preserve">The decision maker </w:t>
      </w:r>
      <w:r w:rsidR="00615A80">
        <w:rPr>
          <w:rFonts w:asciiTheme="majorHAnsi" w:hAnsiTheme="majorHAnsi" w:cstheme="majorHAnsi"/>
        </w:rPr>
        <w:t>can</w:t>
      </w:r>
      <w:r w:rsidR="003B6D6A">
        <w:rPr>
          <w:rFonts w:asciiTheme="majorHAnsi" w:hAnsiTheme="majorHAnsi" w:cstheme="majorHAnsi"/>
        </w:rPr>
        <w:t xml:space="preserve"> adopt </w:t>
      </w:r>
      <w:r w:rsidR="00C043D6">
        <w:rPr>
          <w:rFonts w:asciiTheme="majorHAnsi" w:hAnsiTheme="majorHAnsi" w:cstheme="majorHAnsi"/>
        </w:rPr>
        <w:t xml:space="preserve">none, </w:t>
      </w:r>
      <w:r w:rsidR="003B6D6A">
        <w:rPr>
          <w:rFonts w:asciiTheme="majorHAnsi" w:hAnsiTheme="majorHAnsi" w:cstheme="majorHAnsi"/>
        </w:rPr>
        <w:t>some, or all of these changes, or alternative settings.</w:t>
      </w:r>
      <w:r>
        <w:rPr>
          <w:rFonts w:asciiTheme="majorHAnsi" w:hAnsiTheme="majorHAnsi" w:cstheme="majorHAnsi"/>
        </w:rPr>
        <w:t xml:space="preserve"> The impact of each of these on the abatement achieved relative to </w:t>
      </w:r>
      <w:r w:rsidR="00C12BE2">
        <w:rPr>
          <w:rFonts w:asciiTheme="majorHAnsi" w:hAnsiTheme="majorHAnsi" w:cstheme="majorHAnsi"/>
        </w:rPr>
        <w:t>Option B</w:t>
      </w:r>
      <w:r w:rsidRPr="0035779B">
        <w:rPr>
          <w:rFonts w:asciiTheme="majorHAnsi" w:hAnsiTheme="majorHAnsi" w:cstheme="majorHAnsi"/>
        </w:rPr>
        <w:t xml:space="preserve"> and change to the benefit-cost ratio are at Chapter </w:t>
      </w:r>
      <w:r w:rsidR="006768A4" w:rsidRPr="0035779B">
        <w:rPr>
          <w:rFonts w:asciiTheme="majorHAnsi" w:hAnsiTheme="majorHAnsi" w:cstheme="majorHAnsi"/>
        </w:rPr>
        <w:t>4</w:t>
      </w:r>
      <w:r w:rsidRPr="0035779B">
        <w:rPr>
          <w:rFonts w:asciiTheme="majorHAnsi" w:hAnsiTheme="majorHAnsi" w:cstheme="majorHAnsi"/>
        </w:rPr>
        <w:t xml:space="preserve"> in this Impact Analysis.</w:t>
      </w:r>
    </w:p>
    <w:p w14:paraId="66805F4B" w14:textId="77777777" w:rsidR="00CA0D37" w:rsidRPr="0035779B" w:rsidRDefault="0035779B" w:rsidP="00CA0D37">
      <w:pPr>
        <w:rPr>
          <w:rFonts w:asciiTheme="majorHAnsi" w:hAnsiTheme="majorHAnsi" w:cstheme="majorHAnsi"/>
        </w:rPr>
      </w:pPr>
      <w:r w:rsidRPr="0035779B">
        <w:rPr>
          <w:rFonts w:asciiTheme="majorHAnsi" w:hAnsiTheme="majorHAnsi" w:cstheme="majorHAnsi"/>
        </w:rPr>
        <w:t>These were</w:t>
      </w:r>
      <w:r w:rsidR="00CA0D37" w:rsidRPr="0035779B">
        <w:rPr>
          <w:rFonts w:asciiTheme="majorHAnsi" w:hAnsiTheme="majorHAnsi" w:cstheme="majorHAnsi"/>
        </w:rPr>
        <w:t xml:space="preserve">: </w:t>
      </w:r>
    </w:p>
    <w:p w14:paraId="65D4BFFF"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Changes to the Light Commercial Vehicle headline limit: A recalibration of the Light Commercial Vehicle (LCV) headline limit;</w:t>
      </w:r>
    </w:p>
    <w:p w14:paraId="2DD68E3A"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 xml:space="preserve">Breakpoints: </w:t>
      </w:r>
      <w:r w:rsidR="004C533A" w:rsidRPr="0035779B">
        <w:rPr>
          <w:rFonts w:asciiTheme="majorHAnsi" w:hAnsiTheme="majorHAnsi" w:cstheme="majorHAnsi"/>
        </w:rPr>
        <w:t>A</w:t>
      </w:r>
      <w:r w:rsidRPr="0035779B">
        <w:rPr>
          <w:rFonts w:asciiTheme="majorHAnsi" w:hAnsiTheme="majorHAnsi" w:cstheme="majorHAnsi"/>
        </w:rPr>
        <w:t>djustments to the upper breakpoint limits in both the Passenger Vehicle (PV) and LCV categories;</w:t>
      </w:r>
    </w:p>
    <w:p w14:paraId="1B1B12D3"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 xml:space="preserve">Category shift: Move a small number of very large 4WDs to the LCV category; and </w:t>
      </w:r>
    </w:p>
    <w:p w14:paraId="78ADF4A0" w14:textId="77777777" w:rsidR="00CA0D37" w:rsidRPr="0035779B" w:rsidRDefault="0057678D" w:rsidP="00430317">
      <w:pPr>
        <w:pStyle w:val="ListParagraph"/>
        <w:numPr>
          <w:ilvl w:val="0"/>
          <w:numId w:val="82"/>
        </w:numPr>
        <w:rPr>
          <w:rFonts w:asciiTheme="majorHAnsi" w:hAnsiTheme="majorHAnsi" w:cstheme="majorHAnsi"/>
        </w:rPr>
      </w:pPr>
      <w:r>
        <w:rPr>
          <w:rFonts w:asciiTheme="majorHAnsi" w:hAnsiTheme="majorHAnsi" w:cstheme="majorHAnsi"/>
        </w:rPr>
        <w:t>I</w:t>
      </w:r>
      <w:r w:rsidR="00CA0D37" w:rsidRPr="0035779B">
        <w:rPr>
          <w:rFonts w:asciiTheme="majorHAnsi" w:hAnsiTheme="majorHAnsi" w:cstheme="majorHAnsi"/>
        </w:rPr>
        <w:t>mplementation</w:t>
      </w:r>
      <w:r>
        <w:rPr>
          <w:rFonts w:asciiTheme="majorHAnsi" w:hAnsiTheme="majorHAnsi" w:cstheme="majorHAnsi"/>
        </w:rPr>
        <w:t xml:space="preserve"> timing: Have the NVES commence from 1 January 2025, but adjust the timing so that no </w:t>
      </w:r>
      <w:r w:rsidR="00C15BF6">
        <w:rPr>
          <w:rFonts w:asciiTheme="majorHAnsi" w:hAnsiTheme="majorHAnsi" w:cstheme="majorHAnsi"/>
        </w:rPr>
        <w:t xml:space="preserve">credits and debits can be accrued </w:t>
      </w:r>
      <w:r>
        <w:rPr>
          <w:rFonts w:asciiTheme="majorHAnsi" w:hAnsiTheme="majorHAnsi" w:cstheme="majorHAnsi"/>
        </w:rPr>
        <w:t>until</w:t>
      </w:r>
      <w:r w:rsidR="00C15BF6">
        <w:rPr>
          <w:rFonts w:asciiTheme="majorHAnsi" w:hAnsiTheme="majorHAnsi" w:cstheme="majorHAnsi"/>
        </w:rPr>
        <w:t xml:space="preserve"> </w:t>
      </w:r>
      <w:r w:rsidR="00CA0D37" w:rsidRPr="0035779B">
        <w:rPr>
          <w:rFonts w:asciiTheme="majorHAnsi" w:hAnsiTheme="majorHAnsi" w:cstheme="majorHAnsi"/>
        </w:rPr>
        <w:t>1 July 2025</w:t>
      </w:r>
      <w:r w:rsidR="00C15BF6">
        <w:rPr>
          <w:rFonts w:asciiTheme="majorHAnsi" w:hAnsiTheme="majorHAnsi" w:cstheme="majorHAnsi"/>
        </w:rPr>
        <w:t>.</w:t>
      </w:r>
    </w:p>
    <w:p w14:paraId="448EA55F" w14:textId="77777777" w:rsidR="00CA0D37" w:rsidRDefault="00CA0D37" w:rsidP="00CA0D37">
      <w:pPr>
        <w:rPr>
          <w:rFonts w:asciiTheme="majorHAnsi" w:hAnsiTheme="majorHAnsi" w:cstheme="majorHAnsi"/>
        </w:rPr>
      </w:pPr>
      <w:r w:rsidRPr="00CF39C8">
        <w:rPr>
          <w:rFonts w:asciiTheme="majorHAnsi" w:hAnsiTheme="majorHAnsi" w:cstheme="majorHAnsi"/>
        </w:rPr>
        <w:t xml:space="preserve">The </w:t>
      </w:r>
      <w:r>
        <w:rPr>
          <w:rFonts w:asciiTheme="majorHAnsi" w:hAnsiTheme="majorHAnsi" w:cstheme="majorHAnsi"/>
        </w:rPr>
        <w:t xml:space="preserve">proposed </w:t>
      </w:r>
      <w:r w:rsidR="00C73B6B">
        <w:rPr>
          <w:rFonts w:asciiTheme="majorHAnsi" w:hAnsiTheme="majorHAnsi" w:cstheme="majorHAnsi"/>
        </w:rPr>
        <w:t>best</w:t>
      </w:r>
      <w:r w:rsidR="00C73B6B" w:rsidRPr="00CF39C8">
        <w:rPr>
          <w:rFonts w:asciiTheme="majorHAnsi" w:hAnsiTheme="majorHAnsi" w:cstheme="majorHAnsi"/>
        </w:rPr>
        <w:t xml:space="preserve"> </w:t>
      </w:r>
      <w:r w:rsidRPr="00CF39C8">
        <w:rPr>
          <w:rFonts w:asciiTheme="majorHAnsi" w:hAnsiTheme="majorHAnsi" w:cstheme="majorHAnsi"/>
        </w:rPr>
        <w:t xml:space="preserve">option </w:t>
      </w:r>
      <w:r>
        <w:rPr>
          <w:rFonts w:asciiTheme="majorHAnsi" w:hAnsiTheme="majorHAnsi" w:cstheme="majorHAnsi"/>
        </w:rPr>
        <w:t>incorporates all of these potential changes</w:t>
      </w:r>
      <w:r w:rsidRPr="00CF39C8">
        <w:rPr>
          <w:rFonts w:asciiTheme="majorHAnsi" w:hAnsiTheme="majorHAnsi" w:cstheme="majorHAnsi"/>
        </w:rPr>
        <w:t>.</w:t>
      </w:r>
      <w:r>
        <w:rPr>
          <w:rFonts w:asciiTheme="majorHAnsi" w:hAnsiTheme="majorHAnsi" w:cstheme="majorHAnsi"/>
        </w:rPr>
        <w:t xml:space="preserve"> The </w:t>
      </w:r>
      <w:r w:rsidR="00C73B6B">
        <w:rPr>
          <w:rFonts w:asciiTheme="majorHAnsi" w:hAnsiTheme="majorHAnsi" w:cstheme="majorHAnsi"/>
        </w:rPr>
        <w:t xml:space="preserve">best </w:t>
      </w:r>
      <w:r w:rsidR="00DC48C3">
        <w:rPr>
          <w:rFonts w:asciiTheme="majorHAnsi" w:hAnsiTheme="majorHAnsi" w:cstheme="majorHAnsi"/>
        </w:rPr>
        <w:t>option a</w:t>
      </w:r>
      <w:r>
        <w:rPr>
          <w:rFonts w:asciiTheme="majorHAnsi" w:hAnsiTheme="majorHAnsi" w:cstheme="majorHAnsi"/>
        </w:rPr>
        <w:t>ims to maximise consumer fuel savings health benefit</w:t>
      </w:r>
      <w:r w:rsidR="0005532C">
        <w:rPr>
          <w:rFonts w:asciiTheme="majorHAnsi" w:hAnsiTheme="majorHAnsi" w:cstheme="majorHAnsi"/>
        </w:rPr>
        <w:t>s</w:t>
      </w:r>
      <w:r>
        <w:rPr>
          <w:rFonts w:asciiTheme="majorHAnsi" w:hAnsiTheme="majorHAnsi" w:cstheme="majorHAnsi"/>
        </w:rPr>
        <w:t xml:space="preserve"> and potential CO</w:t>
      </w:r>
      <w:r w:rsidRPr="00F03EE0">
        <w:rPr>
          <w:rFonts w:asciiTheme="majorHAnsi" w:hAnsiTheme="majorHAnsi" w:cstheme="majorHAnsi"/>
          <w:vertAlign w:val="subscript"/>
        </w:rPr>
        <w:t>2</w:t>
      </w:r>
      <w:r>
        <w:rPr>
          <w:rFonts w:asciiTheme="majorHAnsi" w:hAnsiTheme="majorHAnsi" w:cstheme="majorHAnsi"/>
        </w:rPr>
        <w:t xml:space="preserve"> abatement, while ensuring Australia’s car industry is vibrant and can supply Australians with the cars they like to drive. </w:t>
      </w:r>
    </w:p>
    <w:p w14:paraId="2F6B021B"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t xml:space="preserve">This option is estimated to deliver abatement of </w:t>
      </w:r>
      <w:r w:rsidR="00C15BF6">
        <w:rPr>
          <w:rFonts w:asciiTheme="majorHAnsi" w:hAnsiTheme="majorHAnsi" w:cstheme="majorHAnsi"/>
        </w:rPr>
        <w:t xml:space="preserve">20Mt </w:t>
      </w:r>
      <w:r w:rsidR="00C043D6">
        <w:rPr>
          <w:rFonts w:asciiTheme="majorHAnsi" w:hAnsiTheme="majorHAnsi" w:cstheme="majorHAnsi"/>
        </w:rPr>
        <w:t>to 2030, 8</w:t>
      </w:r>
      <w:r w:rsidR="0085772C">
        <w:rPr>
          <w:rFonts w:asciiTheme="majorHAnsi" w:hAnsiTheme="majorHAnsi" w:cstheme="majorHAnsi"/>
        </w:rPr>
        <w:t>0</w:t>
      </w:r>
      <w:r w:rsidR="00C043D6">
        <w:rPr>
          <w:rFonts w:asciiTheme="majorHAnsi" w:hAnsiTheme="majorHAnsi" w:cstheme="majorHAnsi"/>
        </w:rPr>
        <w:t xml:space="preserve"> Mt to 2035, and </w:t>
      </w:r>
      <w:r w:rsidR="00C15BF6">
        <w:rPr>
          <w:rFonts w:asciiTheme="majorHAnsi" w:hAnsiTheme="majorHAnsi" w:cstheme="majorHAnsi"/>
          <w:color w:val="000000" w:themeColor="text1"/>
        </w:rPr>
        <w:t>32</w:t>
      </w:r>
      <w:r w:rsidR="00206F45">
        <w:rPr>
          <w:rFonts w:asciiTheme="majorHAnsi" w:hAnsiTheme="majorHAnsi" w:cstheme="majorHAnsi"/>
          <w:color w:val="000000" w:themeColor="text1"/>
        </w:rPr>
        <w:t>1</w:t>
      </w:r>
      <w:r w:rsidR="00C15BF6" w:rsidRPr="00615A80">
        <w:rPr>
          <w:rFonts w:asciiTheme="majorHAnsi" w:hAnsiTheme="majorHAnsi" w:cstheme="majorHAnsi"/>
          <w:color w:val="000000" w:themeColor="text1"/>
        </w:rPr>
        <w:t xml:space="preserve"> </w:t>
      </w:r>
      <w:r w:rsidRPr="00615A80">
        <w:rPr>
          <w:rFonts w:asciiTheme="majorHAnsi" w:hAnsiTheme="majorHAnsi" w:cstheme="majorHAnsi"/>
        </w:rPr>
        <w:t>million tonnes of CO</w:t>
      </w:r>
      <w:r w:rsidRPr="00615A80">
        <w:rPr>
          <w:rFonts w:asciiTheme="majorHAnsi" w:hAnsiTheme="majorHAnsi" w:cstheme="majorHAnsi"/>
          <w:vertAlign w:val="subscript"/>
        </w:rPr>
        <w:t>2</w:t>
      </w:r>
      <w:r w:rsidRPr="00615A80">
        <w:rPr>
          <w:rFonts w:asciiTheme="majorHAnsi" w:hAnsiTheme="majorHAnsi" w:cstheme="majorHAnsi"/>
        </w:rPr>
        <w:t xml:space="preserve"> by 2050. Our modelling shows that Australians will accrue around $</w:t>
      </w:r>
      <w:r w:rsidR="003C2D6B">
        <w:rPr>
          <w:rFonts w:asciiTheme="majorHAnsi" w:hAnsiTheme="majorHAnsi" w:cstheme="majorHAnsi"/>
        </w:rPr>
        <w:t>86.04</w:t>
      </w:r>
      <w:r w:rsidRPr="00615A80">
        <w:rPr>
          <w:rFonts w:asciiTheme="majorHAnsi" w:hAnsiTheme="majorHAnsi" w:cstheme="majorHAnsi"/>
        </w:rPr>
        <w:t xml:space="preserve"> billion in</w:t>
      </w:r>
      <w:r w:rsidR="00AE74E9">
        <w:rPr>
          <w:rFonts w:asciiTheme="majorHAnsi" w:hAnsiTheme="majorHAnsi" w:cstheme="majorHAnsi"/>
        </w:rPr>
        <w:t xml:space="preserve"> net</w:t>
      </w:r>
      <w:r w:rsidRPr="00615A80">
        <w:rPr>
          <w:rFonts w:asciiTheme="majorHAnsi" w:hAnsiTheme="majorHAnsi" w:cstheme="majorHAnsi"/>
        </w:rPr>
        <w:t xml:space="preserve"> benefits out to 2050</w:t>
      </w:r>
      <w:r w:rsidR="00C043D6" w:rsidRPr="00615A80">
        <w:rPr>
          <w:rFonts w:asciiTheme="majorHAnsi" w:hAnsiTheme="majorHAnsi" w:cstheme="majorHAnsi"/>
        </w:rPr>
        <w:t>, including</w:t>
      </w:r>
      <w:r w:rsidRPr="00615A80">
        <w:rPr>
          <w:rFonts w:asciiTheme="majorHAnsi" w:hAnsiTheme="majorHAnsi" w:cstheme="majorHAnsi"/>
        </w:rPr>
        <w:t xml:space="preserve"> </w:t>
      </w:r>
      <w:r w:rsidR="003C2D6B">
        <w:rPr>
          <w:rFonts w:asciiTheme="majorHAnsi" w:hAnsiTheme="majorHAnsi" w:cstheme="majorHAnsi"/>
        </w:rPr>
        <w:t>over</w:t>
      </w:r>
      <w:r w:rsidR="003C2D6B" w:rsidRPr="00615A80">
        <w:rPr>
          <w:rFonts w:asciiTheme="majorHAnsi" w:hAnsiTheme="majorHAnsi" w:cstheme="majorHAnsi"/>
        </w:rPr>
        <w:t xml:space="preserve"> </w:t>
      </w:r>
      <w:r w:rsidRPr="00615A80">
        <w:rPr>
          <w:rFonts w:asciiTheme="majorHAnsi" w:hAnsiTheme="majorHAnsi" w:cstheme="majorHAnsi"/>
        </w:rPr>
        <w:t>$</w:t>
      </w:r>
      <w:r w:rsidR="003C2D6B">
        <w:rPr>
          <w:rFonts w:asciiTheme="majorHAnsi" w:hAnsiTheme="majorHAnsi" w:cstheme="majorHAnsi"/>
        </w:rPr>
        <w:t>95</w:t>
      </w:r>
      <w:r w:rsidR="0005532C" w:rsidRPr="00615A80">
        <w:rPr>
          <w:rFonts w:asciiTheme="majorHAnsi" w:hAnsiTheme="majorHAnsi" w:cstheme="majorHAnsi"/>
        </w:rPr>
        <w:t xml:space="preserve"> </w:t>
      </w:r>
      <w:r w:rsidRPr="00615A80">
        <w:rPr>
          <w:rFonts w:asciiTheme="majorHAnsi" w:hAnsiTheme="majorHAnsi" w:cstheme="majorHAnsi"/>
        </w:rPr>
        <w:t>billion in fuel savings to 2050 for everyday Australians</w:t>
      </w:r>
      <w:r w:rsidR="00DD68BF" w:rsidRPr="00615A80">
        <w:rPr>
          <w:rFonts w:asciiTheme="majorHAnsi" w:hAnsiTheme="majorHAnsi" w:cstheme="majorHAnsi"/>
        </w:rPr>
        <w:t>.</w:t>
      </w:r>
    </w:p>
    <w:p w14:paraId="373CA26C" w14:textId="77777777" w:rsidR="007D66CF" w:rsidRPr="007D66CF" w:rsidRDefault="00CA0D37" w:rsidP="00CA0D37">
      <w:pPr>
        <w:rPr>
          <w:rFonts w:asciiTheme="majorHAnsi" w:hAnsiTheme="majorHAnsi" w:cstheme="majorHAnsi"/>
        </w:rPr>
      </w:pPr>
      <w:r w:rsidRPr="007D66CF">
        <w:rPr>
          <w:rFonts w:asciiTheme="majorHAnsi" w:hAnsiTheme="majorHAnsi" w:cstheme="majorHAnsi"/>
        </w:rPr>
        <w:t xml:space="preserve">The </w:t>
      </w:r>
      <w:r w:rsidR="00C73B6B">
        <w:rPr>
          <w:rFonts w:asciiTheme="majorHAnsi" w:hAnsiTheme="majorHAnsi" w:cstheme="majorHAnsi"/>
        </w:rPr>
        <w:t>best</w:t>
      </w:r>
      <w:r w:rsidR="00C73B6B" w:rsidRPr="007D66CF">
        <w:rPr>
          <w:rFonts w:asciiTheme="majorHAnsi" w:hAnsiTheme="majorHAnsi" w:cstheme="majorHAnsi"/>
        </w:rPr>
        <w:t xml:space="preserve"> </w:t>
      </w:r>
      <w:r w:rsidRPr="007D66CF">
        <w:rPr>
          <w:rFonts w:asciiTheme="majorHAnsi" w:hAnsiTheme="majorHAnsi" w:cstheme="majorHAnsi"/>
        </w:rPr>
        <w:t xml:space="preserve">option is an ambitious approach, but one that balances ambition with achievability. It </w:t>
      </w:r>
      <w:r w:rsidR="004C533A" w:rsidRPr="007D66CF">
        <w:rPr>
          <w:rFonts w:asciiTheme="majorHAnsi" w:hAnsiTheme="majorHAnsi" w:cstheme="majorHAnsi"/>
        </w:rPr>
        <w:t xml:space="preserve">responds to consultation feedback and </w:t>
      </w:r>
      <w:r w:rsidRPr="007D66CF">
        <w:rPr>
          <w:rFonts w:asciiTheme="majorHAnsi" w:hAnsiTheme="majorHAnsi" w:cstheme="majorHAnsi"/>
        </w:rPr>
        <w:t xml:space="preserve">addresses key implementation risks by allowing sufficient time for the establishment and embedding of technical systems needed to operate the NVES, and providing a slight extension of time for manufacturers to adjust their product offerings to meet the targets in the standard. </w:t>
      </w:r>
    </w:p>
    <w:p w14:paraId="2C2FD031" w14:textId="77777777" w:rsidR="00C95A8B" w:rsidRPr="007D66CF" w:rsidRDefault="00CA0D37" w:rsidP="00CA0D37">
      <w:pPr>
        <w:rPr>
          <w:rFonts w:asciiTheme="majorHAnsi" w:hAnsiTheme="majorHAnsi" w:cstheme="majorHAnsi"/>
        </w:rPr>
      </w:pPr>
      <w:r w:rsidRPr="007D66CF">
        <w:rPr>
          <w:rFonts w:asciiTheme="majorHAnsi" w:hAnsiTheme="majorHAnsi" w:cstheme="majorHAnsi"/>
        </w:rPr>
        <w:t xml:space="preserve">Importantly, the passenger vehicle headline limit </w:t>
      </w:r>
      <w:r w:rsidR="00C043D6">
        <w:rPr>
          <w:rFonts w:asciiTheme="majorHAnsi" w:hAnsiTheme="majorHAnsi" w:cstheme="majorHAnsi"/>
        </w:rPr>
        <w:t>which covers the vast majority of vehicles sold</w:t>
      </w:r>
      <w:r w:rsidR="004D1A24">
        <w:rPr>
          <w:rFonts w:asciiTheme="majorHAnsi" w:hAnsiTheme="majorHAnsi" w:cstheme="majorHAnsi"/>
        </w:rPr>
        <w:t>,</w:t>
      </w:r>
      <w:r w:rsidRPr="007D66CF">
        <w:rPr>
          <w:rFonts w:asciiTheme="majorHAnsi" w:hAnsiTheme="majorHAnsi" w:cstheme="majorHAnsi"/>
        </w:rPr>
        <w:t xml:space="preserve"> remains unchanged </w:t>
      </w:r>
      <w:r w:rsidR="00106D9C">
        <w:rPr>
          <w:rFonts w:asciiTheme="majorHAnsi" w:hAnsiTheme="majorHAnsi" w:cstheme="majorHAnsi"/>
        </w:rPr>
        <w:t>which will</w:t>
      </w:r>
      <w:r w:rsidRPr="007D66CF">
        <w:rPr>
          <w:rFonts w:asciiTheme="majorHAnsi" w:hAnsiTheme="majorHAnsi" w:cstheme="majorHAnsi"/>
        </w:rPr>
        <w:t xml:space="preserve"> drive substantial emissions reductions in the category of vehicles with advanced hybrid, low and zero emission options. </w:t>
      </w:r>
      <w:r w:rsidR="006C75D4" w:rsidRPr="007D66CF">
        <w:rPr>
          <w:rFonts w:asciiTheme="majorHAnsi" w:hAnsiTheme="majorHAnsi" w:cstheme="majorHAnsi"/>
        </w:rPr>
        <w:t>Supercredits, o</w:t>
      </w:r>
      <w:r w:rsidRPr="007D66CF">
        <w:rPr>
          <w:rFonts w:asciiTheme="majorHAnsi" w:hAnsiTheme="majorHAnsi" w:cstheme="majorHAnsi"/>
        </w:rPr>
        <w:t>ff-cycle credits and air conditioning credits are not part of this standard - maintaining simplicity and transparency</w:t>
      </w:r>
      <w:r w:rsidR="006C75D4" w:rsidRPr="007D66CF">
        <w:rPr>
          <w:rFonts w:asciiTheme="majorHAnsi" w:hAnsiTheme="majorHAnsi" w:cstheme="majorHAnsi"/>
        </w:rPr>
        <w:t>.</w:t>
      </w:r>
    </w:p>
    <w:p w14:paraId="4152C22A" w14:textId="77777777" w:rsidR="006337FD" w:rsidRDefault="006337FD" w:rsidP="00DA0952">
      <w:pPr>
        <w:rPr>
          <w:rFonts w:asciiTheme="majorHAnsi" w:hAnsiTheme="majorHAnsi" w:cstheme="majorHAnsi"/>
        </w:rPr>
      </w:pPr>
      <w:bookmarkStart w:id="22" w:name="_Toc161148469"/>
      <w:bookmarkStart w:id="23" w:name="_Toc161149693"/>
      <w:bookmarkStart w:id="24" w:name="_Toc161150318"/>
      <w:bookmarkStart w:id="25" w:name="_Toc161150514"/>
      <w:bookmarkStart w:id="26" w:name="_Toc161151414"/>
      <w:bookmarkStart w:id="27" w:name="_Toc161152049"/>
      <w:bookmarkStart w:id="28" w:name="_Toc161155643"/>
      <w:bookmarkStart w:id="29" w:name="_Toc161155706"/>
      <w:bookmarkStart w:id="30" w:name="_Toc161155769"/>
      <w:bookmarkStart w:id="31" w:name="_Toc161157256"/>
      <w:bookmarkStart w:id="32" w:name="_Toc161239102"/>
      <w:bookmarkStart w:id="33" w:name="_Toc161243896"/>
      <w:bookmarkStart w:id="34" w:name="_Toc161408207"/>
      <w:bookmarkStart w:id="35" w:name="_Toc161408276"/>
      <w:bookmarkStart w:id="36" w:name="_Toc161408366"/>
      <w:bookmarkStart w:id="37" w:name="_Toc161408436"/>
      <w:bookmarkStart w:id="38" w:name="_Toc16140862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EEFA159" w14:textId="77777777" w:rsidR="00E971E0" w:rsidRDefault="00E971E0" w:rsidP="00DA0952">
      <w:pPr>
        <w:rPr>
          <w:rFonts w:asciiTheme="majorHAnsi" w:hAnsiTheme="majorHAnsi" w:cstheme="majorHAnsi"/>
        </w:rPr>
      </w:pPr>
    </w:p>
    <w:p w14:paraId="6A0D8FDF" w14:textId="77777777" w:rsidR="00E971E0" w:rsidRDefault="00E971E0" w:rsidP="00DA0952">
      <w:pPr>
        <w:rPr>
          <w:rFonts w:asciiTheme="majorHAnsi" w:hAnsiTheme="majorHAnsi" w:cstheme="majorHAnsi"/>
        </w:rPr>
        <w:sectPr w:rsidR="00E971E0" w:rsidSect="00784214">
          <w:headerReference w:type="default" r:id="rId26"/>
          <w:headerReference w:type="first" r:id="rId27"/>
          <w:pgSz w:w="11906" w:h="16838" w:code="9"/>
          <w:pgMar w:top="1021" w:right="1133" w:bottom="709" w:left="1276" w:header="510" w:footer="567" w:gutter="0"/>
          <w:cols w:space="708"/>
          <w:docGrid w:linePitch="360"/>
        </w:sectPr>
      </w:pPr>
      <w:r>
        <w:rPr>
          <w:rFonts w:asciiTheme="majorHAnsi" w:hAnsiTheme="majorHAnsi" w:cstheme="majorHAnsi"/>
          <w:noProof/>
          <w:lang w:eastAsia="en-AU"/>
        </w:rPr>
        <w:drawing>
          <wp:inline distT="0" distB="0" distL="0" distR="0" wp14:anchorId="52DC7ADB" wp14:editId="6F61FDEB">
            <wp:extent cx="6030595" cy="4523105"/>
            <wp:effectExtent l="0" t="0" r="825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tail light.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14:paraId="25555539" w14:textId="77777777" w:rsidR="00AE3241" w:rsidRPr="00CF39C8" w:rsidRDefault="00F84068" w:rsidP="00430317">
      <w:pPr>
        <w:pStyle w:val="Heading1"/>
        <w:numPr>
          <w:ilvl w:val="0"/>
          <w:numId w:val="67"/>
        </w:numPr>
      </w:pPr>
      <w:bookmarkStart w:id="39" w:name="_Toc161837640"/>
      <w:bookmarkStart w:id="40" w:name="_Toc161933138"/>
      <w:bookmarkStart w:id="41" w:name="_Toc162276445"/>
      <w:bookmarkStart w:id="42" w:name="_Toc163221041"/>
      <w:r>
        <w:t>Background</w:t>
      </w:r>
      <w:bookmarkEnd w:id="39"/>
      <w:bookmarkEnd w:id="40"/>
      <w:bookmarkEnd w:id="41"/>
      <w:bookmarkEnd w:id="42"/>
    </w:p>
    <w:p w14:paraId="55B3452C" w14:textId="77777777" w:rsidR="00F10CB7" w:rsidRPr="00CF39C8" w:rsidRDefault="00F10CB7" w:rsidP="004E34F8">
      <w:pPr>
        <w:spacing w:after="0" w:line="259" w:lineRule="auto"/>
        <w:rPr>
          <w:rFonts w:asciiTheme="majorHAnsi" w:hAnsiTheme="majorHAnsi" w:cstheme="majorHAnsi"/>
        </w:rPr>
      </w:pPr>
      <w:bookmarkStart w:id="43" w:name="_Hlk146789337"/>
    </w:p>
    <w:p w14:paraId="59717E2D" w14:textId="77777777" w:rsidR="00F84068" w:rsidRDefault="00F84068" w:rsidP="007E3B20">
      <w:pPr>
        <w:spacing w:after="0" w:line="259" w:lineRule="auto"/>
        <w:rPr>
          <w:rFonts w:asciiTheme="majorHAnsi" w:hAnsiTheme="majorHAnsi" w:cstheme="majorHAnsi"/>
        </w:rPr>
      </w:pPr>
    </w:p>
    <w:p w14:paraId="72027257" w14:textId="77777777" w:rsidR="007E3B20" w:rsidRPr="00CF39C8" w:rsidRDefault="00C95A8B" w:rsidP="008E35D3">
      <w:pPr>
        <w:pStyle w:val="Heading2"/>
        <w:numPr>
          <w:ilvl w:val="1"/>
          <w:numId w:val="89"/>
        </w:numPr>
        <w:ind w:hanging="792"/>
        <w:rPr>
          <w:rFonts w:eastAsia="Arial"/>
        </w:rPr>
      </w:pPr>
      <w:bookmarkStart w:id="44" w:name="_Toc161837641"/>
      <w:bookmarkStart w:id="45" w:name="_Toc161933139"/>
      <w:bookmarkStart w:id="46" w:name="_Toc162276446"/>
      <w:bookmarkStart w:id="47" w:name="_Toc163221042"/>
      <w:r>
        <w:rPr>
          <w:rFonts w:eastAsia="Arial"/>
        </w:rPr>
        <w:t>H</w:t>
      </w:r>
      <w:r w:rsidR="00F84068">
        <w:rPr>
          <w:rFonts w:eastAsia="Arial"/>
        </w:rPr>
        <w:t>istory of light vehicle emissions regulation in Australia</w:t>
      </w:r>
      <w:bookmarkEnd w:id="44"/>
      <w:bookmarkEnd w:id="45"/>
      <w:bookmarkEnd w:id="46"/>
      <w:bookmarkEnd w:id="47"/>
    </w:p>
    <w:p w14:paraId="62E96652" w14:textId="77777777" w:rsidR="0049686C" w:rsidRPr="00CF39C8" w:rsidRDefault="00AE3241" w:rsidP="0049686C">
      <w:pPr>
        <w:spacing w:after="0" w:line="259" w:lineRule="auto"/>
        <w:rPr>
          <w:rFonts w:asciiTheme="majorHAnsi" w:hAnsiTheme="majorHAnsi" w:cstheme="majorHAnsi"/>
        </w:rPr>
      </w:pPr>
      <w:r w:rsidRPr="00CF39C8">
        <w:rPr>
          <w:rFonts w:asciiTheme="majorHAnsi" w:hAnsiTheme="majorHAnsi" w:cstheme="majorHAnsi"/>
        </w:rPr>
        <w:t>Since at least 2008, successive Australian governments have considered measures that would improve the fuel</w:t>
      </w:r>
      <w:r w:rsidR="00E22EC0" w:rsidRPr="00CF39C8">
        <w:rPr>
          <w:rFonts w:asciiTheme="majorHAnsi" w:hAnsiTheme="majorHAnsi" w:cstheme="majorHAnsi"/>
        </w:rPr>
        <w:t xml:space="preserve"> </w:t>
      </w:r>
      <w:r w:rsidRPr="00CF39C8">
        <w:rPr>
          <w:rFonts w:asciiTheme="majorHAnsi" w:hAnsiTheme="majorHAnsi" w:cstheme="majorHAnsi"/>
        </w:rPr>
        <w:t xml:space="preserve">efficiency of </w:t>
      </w:r>
      <w:r w:rsidR="00D42543" w:rsidRPr="00CF39C8">
        <w:rPr>
          <w:rFonts w:asciiTheme="majorHAnsi" w:hAnsiTheme="majorHAnsi" w:cstheme="majorHAnsi"/>
        </w:rPr>
        <w:t>cars</w:t>
      </w:r>
      <w:r w:rsidRPr="00CF39C8">
        <w:rPr>
          <w:rFonts w:asciiTheme="majorHAnsi" w:hAnsiTheme="majorHAnsi" w:cstheme="majorHAnsi"/>
        </w:rPr>
        <w:t xml:space="preserve">. </w:t>
      </w:r>
      <w:r w:rsidR="00D33142" w:rsidRPr="00CF39C8">
        <w:rPr>
          <w:rFonts w:asciiTheme="majorHAnsi" w:hAnsiTheme="majorHAnsi" w:cstheme="majorHAnsi"/>
        </w:rPr>
        <w:t>T</w:t>
      </w:r>
      <w:r w:rsidR="0049686C" w:rsidRPr="00CF39C8">
        <w:rPr>
          <w:rFonts w:asciiTheme="majorHAnsi" w:hAnsiTheme="majorHAnsi" w:cstheme="majorHAnsi"/>
        </w:rPr>
        <w:t xml:space="preserve">hese efforts have not </w:t>
      </w:r>
      <w:r w:rsidR="008874EC" w:rsidRPr="00CF39C8">
        <w:rPr>
          <w:rFonts w:asciiTheme="majorHAnsi" w:hAnsiTheme="majorHAnsi" w:cstheme="majorHAnsi"/>
        </w:rPr>
        <w:t xml:space="preserve">yet </w:t>
      </w:r>
      <w:r w:rsidR="0049686C" w:rsidRPr="00CF39C8">
        <w:rPr>
          <w:rFonts w:asciiTheme="majorHAnsi" w:hAnsiTheme="majorHAnsi" w:cstheme="majorHAnsi"/>
        </w:rPr>
        <w:t xml:space="preserve">translated into </w:t>
      </w:r>
      <w:r w:rsidR="00AB78FB" w:rsidRPr="00CF39C8">
        <w:rPr>
          <w:rFonts w:asciiTheme="majorHAnsi" w:hAnsiTheme="majorHAnsi" w:cstheme="majorHAnsi"/>
        </w:rPr>
        <w:t>action</w:t>
      </w:r>
      <w:r w:rsidR="0049686C" w:rsidRPr="00CF39C8">
        <w:rPr>
          <w:rFonts w:asciiTheme="majorHAnsi" w:hAnsiTheme="majorHAnsi" w:cstheme="majorHAnsi"/>
        </w:rPr>
        <w:t xml:space="preserve">. While vehicle fuel efficiency technology has improved over time, it has not been enough to offset emissions from the increasing number of </w:t>
      </w:r>
      <w:r w:rsidR="00D33142" w:rsidRPr="00CF39C8">
        <w:rPr>
          <w:rFonts w:asciiTheme="majorHAnsi" w:hAnsiTheme="majorHAnsi" w:cstheme="majorHAnsi"/>
        </w:rPr>
        <w:t>cars that</w:t>
      </w:r>
      <w:r w:rsidR="0049686C" w:rsidRPr="00CF39C8">
        <w:rPr>
          <w:rFonts w:asciiTheme="majorHAnsi" w:hAnsiTheme="majorHAnsi" w:cstheme="majorHAnsi"/>
        </w:rPr>
        <w:t xml:space="preserve"> Australians drive.</w:t>
      </w:r>
    </w:p>
    <w:p w14:paraId="2F07353A" w14:textId="77777777" w:rsidR="00AE3241" w:rsidRPr="00CF39C8" w:rsidRDefault="00AE3241" w:rsidP="004E34F8">
      <w:pPr>
        <w:spacing w:after="0" w:line="259" w:lineRule="auto"/>
        <w:rPr>
          <w:rFonts w:asciiTheme="majorHAnsi" w:hAnsiTheme="majorHAnsi" w:cstheme="majorHAnsi"/>
        </w:rPr>
      </w:pPr>
    </w:p>
    <w:p w14:paraId="4291B8F4" w14:textId="77777777" w:rsidR="00343756" w:rsidRPr="00CF39C8" w:rsidRDefault="00705AFE" w:rsidP="004E34F8">
      <w:pPr>
        <w:spacing w:after="0" w:line="259" w:lineRule="auto"/>
        <w:rPr>
          <w:rFonts w:asciiTheme="majorHAnsi" w:hAnsiTheme="majorHAnsi" w:cstheme="majorHAnsi"/>
        </w:rPr>
      </w:pPr>
      <w:r w:rsidRPr="00CF39C8">
        <w:rPr>
          <w:rFonts w:asciiTheme="majorHAnsi" w:hAnsiTheme="majorHAnsi" w:cstheme="majorHAnsi"/>
        </w:rPr>
        <w:t xml:space="preserve">Figure </w:t>
      </w:r>
      <w:r w:rsidR="0023600C">
        <w:rPr>
          <w:rFonts w:asciiTheme="majorHAnsi" w:hAnsiTheme="majorHAnsi" w:cstheme="majorHAnsi"/>
        </w:rPr>
        <w:t>2</w:t>
      </w:r>
      <w:r w:rsidR="00D23174" w:rsidRPr="00CF39C8">
        <w:rPr>
          <w:rFonts w:asciiTheme="majorHAnsi" w:hAnsiTheme="majorHAnsi" w:cstheme="majorHAnsi"/>
        </w:rPr>
        <w:t xml:space="preserve"> </w:t>
      </w:r>
      <w:r w:rsidR="00950F31">
        <w:rPr>
          <w:rFonts w:asciiTheme="majorHAnsi" w:hAnsiTheme="majorHAnsi" w:cstheme="majorHAnsi"/>
        </w:rPr>
        <w:t>in section 1.</w:t>
      </w:r>
      <w:r w:rsidR="0023600C">
        <w:rPr>
          <w:rFonts w:asciiTheme="majorHAnsi" w:hAnsiTheme="majorHAnsi" w:cstheme="majorHAnsi"/>
        </w:rPr>
        <w:t>3</w:t>
      </w:r>
      <w:r w:rsidR="0049686C" w:rsidRPr="00CF39C8">
        <w:rPr>
          <w:rFonts w:asciiTheme="majorHAnsi" w:hAnsiTheme="majorHAnsi" w:cstheme="majorHAnsi"/>
        </w:rPr>
        <w:t xml:space="preserve"> shows that</w:t>
      </w:r>
      <w:r w:rsidR="00AB78FB" w:rsidRPr="00CF39C8">
        <w:rPr>
          <w:rFonts w:asciiTheme="majorHAnsi" w:hAnsiTheme="majorHAnsi" w:cstheme="majorHAnsi"/>
        </w:rPr>
        <w:t>,</w:t>
      </w:r>
      <w:r w:rsidR="0049686C" w:rsidRPr="00CF39C8">
        <w:rPr>
          <w:rFonts w:asciiTheme="majorHAnsi" w:hAnsiTheme="majorHAnsi" w:cstheme="majorHAnsi"/>
        </w:rPr>
        <w:t xml:space="preserve"> over time, </w:t>
      </w:r>
      <w:r w:rsidR="00BF3E46" w:rsidRPr="00CF39C8">
        <w:rPr>
          <w:rFonts w:asciiTheme="majorHAnsi" w:hAnsiTheme="majorHAnsi" w:cstheme="majorHAnsi"/>
        </w:rPr>
        <w:t>Australia’s transport</w:t>
      </w:r>
      <w:r w:rsidR="0053790E" w:rsidRPr="00CF39C8">
        <w:rPr>
          <w:rFonts w:asciiTheme="majorHAnsi" w:hAnsiTheme="majorHAnsi" w:cstheme="majorHAnsi"/>
        </w:rPr>
        <w:t xml:space="preserve"> sector</w:t>
      </w:r>
      <w:r w:rsidR="0073780E" w:rsidRPr="00CF39C8">
        <w:rPr>
          <w:rFonts w:asciiTheme="majorHAnsi" w:hAnsiTheme="majorHAnsi" w:cstheme="majorHAnsi"/>
        </w:rPr>
        <w:t xml:space="preserve"> (light vehicles, heavy vehicles, domestic aviation, domestic maritime etc.)</w:t>
      </w:r>
      <w:r w:rsidR="00BF3E46" w:rsidRPr="00CF39C8">
        <w:rPr>
          <w:rFonts w:asciiTheme="majorHAnsi" w:hAnsiTheme="majorHAnsi" w:cstheme="majorHAnsi"/>
        </w:rPr>
        <w:t xml:space="preserve"> emissions </w:t>
      </w:r>
      <w:r w:rsidR="0049686C" w:rsidRPr="00CF39C8">
        <w:rPr>
          <w:rFonts w:asciiTheme="majorHAnsi" w:hAnsiTheme="majorHAnsi" w:cstheme="majorHAnsi"/>
        </w:rPr>
        <w:t xml:space="preserve">(depicted as </w:t>
      </w:r>
      <w:r w:rsidR="00C904E5" w:rsidRPr="00CF39C8">
        <w:rPr>
          <w:rFonts w:asciiTheme="majorHAnsi" w:hAnsiTheme="majorHAnsi" w:cstheme="majorHAnsi"/>
        </w:rPr>
        <w:t>millions of</w:t>
      </w:r>
      <w:r w:rsidR="0049686C" w:rsidRPr="00CF39C8">
        <w:rPr>
          <w:rFonts w:asciiTheme="majorHAnsi" w:hAnsiTheme="majorHAnsi" w:cstheme="majorHAnsi"/>
        </w:rPr>
        <w:t xml:space="preserve"> tons (</w:t>
      </w:r>
      <w:r w:rsidR="00C904E5" w:rsidRPr="00CF39C8">
        <w:rPr>
          <w:rFonts w:asciiTheme="majorHAnsi" w:hAnsiTheme="majorHAnsi" w:cstheme="majorHAnsi"/>
        </w:rPr>
        <w:t>Meg</w:t>
      </w:r>
      <w:r w:rsidR="005F1614" w:rsidRPr="00CF39C8">
        <w:rPr>
          <w:rFonts w:asciiTheme="majorHAnsi" w:hAnsiTheme="majorHAnsi" w:cstheme="majorHAnsi"/>
        </w:rPr>
        <w:t>a</w:t>
      </w:r>
      <w:r w:rsidR="00C904E5" w:rsidRPr="00CF39C8">
        <w:rPr>
          <w:rFonts w:asciiTheme="majorHAnsi" w:hAnsiTheme="majorHAnsi" w:cstheme="majorHAnsi"/>
        </w:rPr>
        <w:t xml:space="preserve">tons or </w:t>
      </w:r>
      <w:r w:rsidR="0049686C" w:rsidRPr="00CF39C8">
        <w:rPr>
          <w:rFonts w:asciiTheme="majorHAnsi" w:hAnsiTheme="majorHAnsi" w:cstheme="majorHAnsi"/>
        </w:rPr>
        <w:t>Mt)</w:t>
      </w:r>
      <w:r w:rsidR="00CF2BE4" w:rsidRPr="00CF39C8">
        <w:rPr>
          <w:rFonts w:asciiTheme="majorHAnsi" w:hAnsiTheme="majorHAnsi" w:cstheme="majorHAnsi"/>
        </w:rPr>
        <w:t>)</w:t>
      </w:r>
      <w:r w:rsidR="0049686C" w:rsidRPr="00CF39C8">
        <w:rPr>
          <w:rFonts w:asciiTheme="majorHAnsi" w:hAnsiTheme="majorHAnsi" w:cstheme="majorHAnsi"/>
        </w:rPr>
        <w:t xml:space="preserve"> of carbon dioxide equivalent (CO₂</w:t>
      </w:r>
      <w:r w:rsidR="00CF2BE4" w:rsidRPr="00CF39C8">
        <w:rPr>
          <w:rFonts w:asciiTheme="majorHAnsi" w:hAnsiTheme="majorHAnsi" w:cstheme="majorHAnsi"/>
        </w:rPr>
        <w:t>-e</w:t>
      </w:r>
      <w:r w:rsidR="0049686C" w:rsidRPr="00CF39C8">
        <w:rPr>
          <w:rFonts w:asciiTheme="majorHAnsi" w:hAnsiTheme="majorHAnsi" w:cstheme="majorHAnsi"/>
        </w:rPr>
        <w:t xml:space="preserve">) have been steadily rising, </w:t>
      </w:r>
      <w:r w:rsidR="00D23174" w:rsidRPr="00CF39C8">
        <w:rPr>
          <w:rFonts w:asciiTheme="majorHAnsi" w:hAnsiTheme="majorHAnsi" w:cstheme="majorHAnsi"/>
        </w:rPr>
        <w:t>against a range of</w:t>
      </w:r>
      <w:r w:rsidR="00067ECB" w:rsidRPr="00CF39C8">
        <w:rPr>
          <w:rFonts w:asciiTheme="majorHAnsi" w:hAnsiTheme="majorHAnsi" w:cstheme="majorHAnsi"/>
        </w:rPr>
        <w:t xml:space="preserve"> </w:t>
      </w:r>
      <w:r w:rsidR="00911B19" w:rsidRPr="00CF39C8">
        <w:rPr>
          <w:rFonts w:asciiTheme="majorHAnsi" w:hAnsiTheme="majorHAnsi" w:cstheme="majorHAnsi"/>
        </w:rPr>
        <w:t>initiatives</w:t>
      </w:r>
      <w:r w:rsidR="00D23174" w:rsidRPr="00CF39C8">
        <w:rPr>
          <w:rFonts w:asciiTheme="majorHAnsi" w:hAnsiTheme="majorHAnsi" w:cstheme="majorHAnsi"/>
        </w:rPr>
        <w:t xml:space="preserve"> by both </w:t>
      </w:r>
      <w:r w:rsidR="00CB5FD0" w:rsidRPr="00CF39C8">
        <w:rPr>
          <w:rFonts w:asciiTheme="majorHAnsi" w:hAnsiTheme="majorHAnsi" w:cstheme="majorHAnsi"/>
        </w:rPr>
        <w:t>g</w:t>
      </w:r>
      <w:r w:rsidR="00D23174" w:rsidRPr="00CF39C8">
        <w:rPr>
          <w:rFonts w:asciiTheme="majorHAnsi" w:hAnsiTheme="majorHAnsi" w:cstheme="majorHAnsi"/>
        </w:rPr>
        <w:t xml:space="preserve">overnment and industry. </w:t>
      </w:r>
      <w:r w:rsidR="00911B19" w:rsidRPr="00CF39C8">
        <w:rPr>
          <w:rFonts w:asciiTheme="majorHAnsi" w:hAnsiTheme="majorHAnsi" w:cstheme="majorHAnsi"/>
        </w:rPr>
        <w:t>This work</w:t>
      </w:r>
      <w:r w:rsidR="00D23174" w:rsidRPr="00CF39C8">
        <w:rPr>
          <w:rFonts w:asciiTheme="majorHAnsi" w:hAnsiTheme="majorHAnsi" w:cstheme="majorHAnsi"/>
        </w:rPr>
        <w:t xml:space="preserve"> ha</w:t>
      </w:r>
      <w:r w:rsidR="00911B19" w:rsidRPr="00CF39C8">
        <w:rPr>
          <w:rFonts w:asciiTheme="majorHAnsi" w:hAnsiTheme="majorHAnsi" w:cstheme="majorHAnsi"/>
        </w:rPr>
        <w:t>s</w:t>
      </w:r>
      <w:r w:rsidR="00D23174" w:rsidRPr="00CF39C8">
        <w:rPr>
          <w:rFonts w:asciiTheme="majorHAnsi" w:hAnsiTheme="majorHAnsi" w:cstheme="majorHAnsi"/>
        </w:rPr>
        <w:t xml:space="preserve"> failed to translate into effective abatement</w:t>
      </w:r>
      <w:r w:rsidR="001F0067" w:rsidRPr="00CF39C8">
        <w:rPr>
          <w:rFonts w:asciiTheme="majorHAnsi" w:hAnsiTheme="majorHAnsi" w:cstheme="majorHAnsi"/>
        </w:rPr>
        <w:t xml:space="preserve"> of emissions</w:t>
      </w:r>
      <w:r w:rsidR="00D23174" w:rsidRPr="00CF39C8">
        <w:rPr>
          <w:rFonts w:asciiTheme="majorHAnsi" w:hAnsiTheme="majorHAnsi" w:cstheme="majorHAnsi"/>
        </w:rPr>
        <w:t xml:space="preserve">. </w:t>
      </w:r>
    </w:p>
    <w:p w14:paraId="6B713C09" w14:textId="77777777" w:rsidR="00F5108C" w:rsidRPr="00CF39C8" w:rsidRDefault="00F5108C" w:rsidP="004E34F8">
      <w:pPr>
        <w:spacing w:after="0" w:line="259" w:lineRule="auto"/>
        <w:rPr>
          <w:rFonts w:asciiTheme="majorHAnsi" w:hAnsiTheme="majorHAnsi" w:cstheme="majorHAnsi"/>
        </w:rPr>
      </w:pPr>
    </w:p>
    <w:p w14:paraId="7219057A" w14:textId="77777777" w:rsidR="00944F9D" w:rsidRPr="00CF39C8" w:rsidRDefault="00944F9D" w:rsidP="00924063">
      <w:pPr>
        <w:keepNext/>
        <w:spacing w:after="0" w:line="259" w:lineRule="auto"/>
        <w:rPr>
          <w:rFonts w:asciiTheme="majorHAnsi" w:hAnsiTheme="majorHAnsi" w:cstheme="majorHAnsi"/>
        </w:rPr>
      </w:pPr>
    </w:p>
    <w:p w14:paraId="44F3FBDA" w14:textId="77777777" w:rsidR="005D5114" w:rsidRPr="00CF39C8" w:rsidRDefault="0028050A" w:rsidP="005D5114">
      <w:pPr>
        <w:keepNext/>
        <w:spacing w:after="0" w:line="259" w:lineRule="auto"/>
      </w:pPr>
      <w:bookmarkStart w:id="48" w:name="_Hlk155710006"/>
      <w:r w:rsidRPr="00CF39C8">
        <w:rPr>
          <w:noProof/>
          <w:lang w:eastAsia="en-AU"/>
        </w:rPr>
        <w:drawing>
          <wp:inline distT="0" distB="0" distL="0" distR="0" wp14:anchorId="1D5722D3" wp14:editId="32DFB545">
            <wp:extent cx="6029325" cy="3419475"/>
            <wp:effectExtent l="19050" t="19050" r="28575" b="28575"/>
            <wp:docPr id="20" name="Picture 20" descr="Figure 1: Actions to consider a new vehicle efficiency standard (referred to as a fuel efficiency standard) and CO2 emissions over time.&#10;&#10;Figure is a line graph of Australia's transport emissions, with historical and current events relating to fuel new vehicle efficiency standards highlighted between 2005 and 2023. The figure highlights the presence of COVID-19 pandemic between the years 2019-2022.  &#10;&#10;2008: Australian Transport Council identified a CO2 emissions standard as a measure to improve light vehicle efficiency. Value: 86 megatons of carbon dioxide equivalent. &#10;&#10;2010: Task Group on Energy Efficiency recommended a mandatory CO2 standard for light vehicles. Value: 89 megatons of carbon dioxide equivalent. &#10;&#10;2011: Department of Infrastructure and Transport released discussion paper on a CO2 emissions standard. Value: 91 megatons of carbon dioxide equivalent. &#10;&#10;2012: CSIRO study found Australia’s most significant transport sector emissions reductions are from more efficient fuel use in light vehicles. Value: 92 megatons of carbon dioxide equivalent. &#10;&#10;2014: Climate Change Authority recommend introduction of light vehicle CO2 emissions standard and undertook analysis of three options. Value: 93 megatons of carbon dioxide equivalent. &#10;&#10;2015: Australian Government established the Ministerial Forum on Vehicle Emissions, including consideration of a fuel efficiency standard. Value: 95 megatons of carbon dioxide equivalent. &#10;&#10;2016-17: Draft Regulatory Impact Statement on fuel efficiency standard released for public consultation. Value: 98 megatons of carbon dioxide equivalent. &#10;&#10;2020: Introduction of a voluntary standard designed by the Federal Chamber of Automotive Industries. Value: 93 megatons of carbon dioxide equivalent. &#10;&#10;2022: Consultation on draft National Electric Vehicle Strategy found overwhelming support for a fuel efficiency standard. Value: 91 megatons of carbon dioxide equivalent. &#10;&#10;2023: Release of the National EV Strategy including commitment to introducing a mandatory CO2 standard for light vehicles. Value: 102 megatons of carbon dioxide equival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3419475"/>
                    </a:xfrm>
                    <a:prstGeom prst="rect">
                      <a:avLst/>
                    </a:prstGeom>
                    <a:noFill/>
                    <a:ln w="3175">
                      <a:solidFill>
                        <a:schemeClr val="accent5">
                          <a:lumMod val="75000"/>
                        </a:schemeClr>
                      </a:solidFill>
                    </a:ln>
                  </pic:spPr>
                </pic:pic>
              </a:graphicData>
            </a:graphic>
          </wp:inline>
        </w:drawing>
      </w:r>
    </w:p>
    <w:bookmarkEnd w:id="48"/>
    <w:p w14:paraId="5F11AEA3" w14:textId="77777777" w:rsidR="00C761BD" w:rsidRPr="00CF39C8" w:rsidRDefault="00C761BD" w:rsidP="00924063">
      <w:pPr>
        <w:keepNext/>
        <w:spacing w:after="0" w:line="259" w:lineRule="auto"/>
      </w:pPr>
    </w:p>
    <w:p w14:paraId="44659841" w14:textId="77777777" w:rsidR="00AE3241" w:rsidRPr="00CF39C8" w:rsidRDefault="00924063" w:rsidP="00924063">
      <w:pPr>
        <w:pStyle w:val="Caption"/>
        <w:rPr>
          <w:rFonts w:asciiTheme="majorHAnsi" w:hAnsiTheme="majorHAnsi" w:cstheme="majorHAnsi"/>
          <w:b w:val="0"/>
          <w:highlight w:val="yellow"/>
        </w:rPr>
      </w:pPr>
      <w:bookmarkStart w:id="49" w:name="_Ref153981951"/>
      <w:bookmarkStart w:id="50" w:name="_Toc148362144"/>
      <w:bookmarkStart w:id="51" w:name="_Toc148362617"/>
      <w:bookmarkStart w:id="52" w:name="_Toc148361181"/>
      <w:bookmarkStart w:id="53" w:name="_Toc149907226"/>
      <w:bookmarkStart w:id="54" w:name="_Toc161837749"/>
      <w:bookmarkStart w:id="55" w:name="_Toc161933197"/>
      <w:bookmarkStart w:id="56" w:name="_Toc163221098"/>
      <w:r w:rsidRPr="00CF39C8">
        <w:t xml:space="preserve">Figure </w:t>
      </w:r>
      <w:bookmarkEnd w:id="49"/>
      <w:r w:rsidR="00DB038C">
        <w:t>1</w:t>
      </w:r>
      <w:r w:rsidRPr="00CF39C8">
        <w:rPr>
          <w:rFonts w:asciiTheme="majorHAnsi" w:hAnsiTheme="majorHAnsi" w:cstheme="majorHAnsi"/>
        </w:rPr>
        <w:t xml:space="preserve"> </w:t>
      </w:r>
      <w:r w:rsidR="00AB78FB" w:rsidRPr="00CF39C8">
        <w:rPr>
          <w:rFonts w:asciiTheme="majorHAnsi" w:hAnsiTheme="majorHAnsi" w:cstheme="majorHAnsi"/>
          <w:b w:val="0"/>
        </w:rPr>
        <w:t>–</w:t>
      </w:r>
      <w:r w:rsidRPr="00CF39C8">
        <w:rPr>
          <w:rFonts w:asciiTheme="majorHAnsi" w:hAnsiTheme="majorHAnsi" w:cstheme="majorHAnsi"/>
          <w:b w:val="0"/>
        </w:rPr>
        <w:t xml:space="preserve"> </w:t>
      </w:r>
      <w:r w:rsidR="00AB78FB" w:rsidRPr="00CF39C8">
        <w:rPr>
          <w:rFonts w:asciiTheme="majorHAnsi" w:hAnsiTheme="majorHAnsi" w:cstheme="majorHAnsi"/>
          <w:b w:val="0"/>
        </w:rPr>
        <w:t>A</w:t>
      </w:r>
      <w:r w:rsidRPr="00CF39C8">
        <w:rPr>
          <w:rFonts w:asciiTheme="majorHAnsi" w:hAnsiTheme="majorHAnsi" w:cstheme="majorHAnsi"/>
          <w:b w:val="0"/>
        </w:rPr>
        <w:t>ctions</w:t>
      </w:r>
      <w:r w:rsidR="00AB78FB" w:rsidRPr="00CF39C8">
        <w:rPr>
          <w:rFonts w:asciiTheme="majorHAnsi" w:hAnsiTheme="majorHAnsi" w:cstheme="majorHAnsi"/>
          <w:b w:val="0"/>
        </w:rPr>
        <w:t xml:space="preserve"> to consider</w:t>
      </w:r>
      <w:r w:rsidR="00D612C1" w:rsidRPr="00CF39C8">
        <w:rPr>
          <w:rFonts w:asciiTheme="majorHAnsi" w:hAnsiTheme="majorHAnsi" w:cstheme="majorHAnsi"/>
          <w:b w:val="0"/>
        </w:rPr>
        <w:t xml:space="preserve"> a</w:t>
      </w:r>
      <w:r w:rsidR="00AB78FB" w:rsidRPr="00CF39C8">
        <w:rPr>
          <w:rFonts w:asciiTheme="majorHAnsi" w:hAnsiTheme="majorHAnsi" w:cstheme="majorHAnsi"/>
          <w:b w:val="0"/>
        </w:rPr>
        <w:t xml:space="preserve"> </w:t>
      </w:r>
      <w:r w:rsidR="00D612C1" w:rsidRPr="00CF39C8">
        <w:rPr>
          <w:rFonts w:asciiTheme="majorHAnsi" w:hAnsiTheme="majorHAnsi" w:cstheme="majorHAnsi"/>
          <w:b w:val="0"/>
        </w:rPr>
        <w:t>new vehicle efficiency standard</w:t>
      </w:r>
      <w:r w:rsidR="003669E8" w:rsidRPr="00CF39C8">
        <w:rPr>
          <w:rFonts w:asciiTheme="majorHAnsi" w:hAnsiTheme="majorHAnsi" w:cstheme="majorHAnsi"/>
          <w:b w:val="0"/>
        </w:rPr>
        <w:t xml:space="preserve"> (referred to above as a fuel efficiency standard)</w:t>
      </w:r>
      <w:r w:rsidR="00D612C1" w:rsidRPr="00CF39C8" w:rsidDel="00D612C1">
        <w:rPr>
          <w:rFonts w:asciiTheme="majorHAnsi" w:hAnsiTheme="majorHAnsi" w:cstheme="majorHAnsi"/>
          <w:b w:val="0"/>
        </w:rPr>
        <w:t xml:space="preserve"> </w:t>
      </w:r>
      <w:r w:rsidRPr="00CF39C8">
        <w:rPr>
          <w:rFonts w:asciiTheme="majorHAnsi" w:hAnsiTheme="majorHAnsi" w:cstheme="majorHAnsi"/>
          <w:b w:val="0"/>
        </w:rPr>
        <w:t xml:space="preserve">and </w:t>
      </w:r>
      <w:r w:rsidR="00BF3E46" w:rsidRPr="00CF39C8">
        <w:rPr>
          <w:rFonts w:asciiTheme="majorHAnsi" w:hAnsiTheme="majorHAnsi" w:cstheme="majorHAnsi"/>
          <w:b w:val="0"/>
        </w:rPr>
        <w:t>CO</w:t>
      </w:r>
      <w:r w:rsidR="00BF3E46" w:rsidRPr="00CF39C8">
        <w:rPr>
          <w:rFonts w:asciiTheme="majorHAnsi" w:hAnsiTheme="majorHAnsi" w:cstheme="majorHAnsi"/>
          <w:b w:val="0"/>
          <w:vertAlign w:val="subscript"/>
        </w:rPr>
        <w:t>2</w:t>
      </w:r>
      <w:r w:rsidR="00BF3E46" w:rsidRPr="00CF39C8">
        <w:rPr>
          <w:rFonts w:asciiTheme="majorHAnsi" w:hAnsiTheme="majorHAnsi" w:cstheme="majorHAnsi"/>
          <w:b w:val="0"/>
        </w:rPr>
        <w:t xml:space="preserve"> </w:t>
      </w:r>
      <w:r w:rsidR="006A0FBB" w:rsidRPr="00CF39C8">
        <w:rPr>
          <w:rFonts w:asciiTheme="majorHAnsi" w:hAnsiTheme="majorHAnsi" w:cstheme="majorHAnsi"/>
          <w:b w:val="0"/>
        </w:rPr>
        <w:t xml:space="preserve">equivalent </w:t>
      </w:r>
      <w:r w:rsidR="00BF3E46" w:rsidRPr="00CF39C8">
        <w:rPr>
          <w:rFonts w:asciiTheme="majorHAnsi" w:hAnsiTheme="majorHAnsi" w:cstheme="majorHAnsi"/>
          <w:b w:val="0"/>
        </w:rPr>
        <w:t>emissions</w:t>
      </w:r>
      <w:r w:rsidR="00AB78FB" w:rsidRPr="00CF39C8">
        <w:rPr>
          <w:rFonts w:asciiTheme="majorHAnsi" w:hAnsiTheme="majorHAnsi" w:cstheme="majorHAnsi"/>
          <w:b w:val="0"/>
        </w:rPr>
        <w:t>,</w:t>
      </w:r>
      <w:r w:rsidRPr="00CF39C8">
        <w:rPr>
          <w:rFonts w:asciiTheme="majorHAnsi" w:hAnsiTheme="majorHAnsi" w:cstheme="majorHAnsi"/>
          <w:b w:val="0"/>
        </w:rPr>
        <w:t xml:space="preserve"> over time.</w:t>
      </w:r>
      <w:bookmarkEnd w:id="50"/>
      <w:bookmarkEnd w:id="51"/>
      <w:bookmarkEnd w:id="52"/>
      <w:bookmarkEnd w:id="53"/>
      <w:bookmarkEnd w:id="54"/>
      <w:bookmarkEnd w:id="55"/>
      <w:bookmarkEnd w:id="56"/>
    </w:p>
    <w:p w14:paraId="088EC4D1" w14:textId="77777777" w:rsidR="002071D6" w:rsidRDefault="002071D6" w:rsidP="00294DAD">
      <w:pPr>
        <w:spacing w:after="0" w:line="259" w:lineRule="auto"/>
        <w:rPr>
          <w:rFonts w:asciiTheme="majorHAnsi" w:hAnsiTheme="majorHAnsi" w:cstheme="majorHAnsi"/>
        </w:rPr>
      </w:pPr>
    </w:p>
    <w:p w14:paraId="6821392D" w14:textId="77777777" w:rsidR="003375A6" w:rsidRPr="00597A2F" w:rsidRDefault="003375A6" w:rsidP="008E35D3">
      <w:pPr>
        <w:pStyle w:val="Heading2"/>
        <w:numPr>
          <w:ilvl w:val="1"/>
          <w:numId w:val="89"/>
        </w:numPr>
        <w:ind w:hanging="792"/>
        <w:rPr>
          <w:rFonts w:eastAsia="Arial"/>
        </w:rPr>
      </w:pPr>
      <w:bookmarkStart w:id="57" w:name="_Toc161837642"/>
      <w:bookmarkStart w:id="58" w:name="_Toc161933140"/>
      <w:bookmarkStart w:id="59" w:name="_Toc162276447"/>
      <w:bookmarkStart w:id="60" w:name="_Toc163221043"/>
      <w:r w:rsidRPr="00597A2F">
        <w:rPr>
          <w:rFonts w:eastAsia="Arial"/>
        </w:rPr>
        <w:t>What is a car (light vehicle)?</w:t>
      </w:r>
      <w:bookmarkEnd w:id="57"/>
      <w:bookmarkEnd w:id="58"/>
      <w:bookmarkEnd w:id="59"/>
      <w:bookmarkEnd w:id="60"/>
    </w:p>
    <w:p w14:paraId="5D9B567A" w14:textId="77777777" w:rsidR="003375A6" w:rsidRPr="00CF39C8" w:rsidRDefault="003375A6" w:rsidP="003375A6">
      <w:pPr>
        <w:rPr>
          <w:color w:val="000000" w:themeColor="text1"/>
        </w:rPr>
      </w:pPr>
      <w:r w:rsidRPr="00CF39C8">
        <w:rPr>
          <w:color w:val="000000" w:themeColor="text1"/>
        </w:rPr>
        <w:t>In this document, we use the word ‘car’ to refer to</w:t>
      </w:r>
      <w:r>
        <w:rPr>
          <w:color w:val="000000" w:themeColor="text1"/>
        </w:rPr>
        <w:t xml:space="preserve"> a</w:t>
      </w:r>
      <w:r w:rsidRPr="00CF39C8">
        <w:rPr>
          <w:color w:val="000000" w:themeColor="text1"/>
        </w:rPr>
        <w:t xml:space="preserve"> ‘light vehicle’, which (with some exceptions) are generally cars that are </w:t>
      </w:r>
      <w:r>
        <w:rPr>
          <w:color w:val="000000" w:themeColor="text1"/>
        </w:rPr>
        <w:t>up to</w:t>
      </w:r>
      <w:r w:rsidRPr="00CF39C8">
        <w:rPr>
          <w:color w:val="000000" w:themeColor="text1"/>
        </w:rPr>
        <w:t xml:space="preserve"> 4.5 tonnes. We refer to two different categories of cars in this document – </w:t>
      </w:r>
      <w:r w:rsidRPr="00CF39C8">
        <w:rPr>
          <w:b/>
          <w:color w:val="000000" w:themeColor="text1"/>
        </w:rPr>
        <w:t>passenger vehicles</w:t>
      </w:r>
      <w:r w:rsidRPr="00CF39C8">
        <w:rPr>
          <w:color w:val="000000" w:themeColor="text1"/>
        </w:rPr>
        <w:t xml:space="preserve"> (or PVs) and </w:t>
      </w:r>
      <w:r w:rsidRPr="00CF39C8">
        <w:rPr>
          <w:b/>
          <w:color w:val="000000" w:themeColor="text1"/>
        </w:rPr>
        <w:t>light commercial vehicles</w:t>
      </w:r>
      <w:r w:rsidRPr="00CF39C8">
        <w:rPr>
          <w:color w:val="000000" w:themeColor="text1"/>
        </w:rPr>
        <w:t xml:space="preserve"> (or LCVs). </w:t>
      </w:r>
    </w:p>
    <w:p w14:paraId="2B516C13" w14:textId="77777777" w:rsidR="003375A6" w:rsidRPr="00CF39C8" w:rsidRDefault="003375A6" w:rsidP="00430317">
      <w:pPr>
        <w:pStyle w:val="ListParagraph"/>
        <w:numPr>
          <w:ilvl w:val="0"/>
          <w:numId w:val="26"/>
        </w:numPr>
        <w:spacing w:after="0"/>
        <w:ind w:left="567" w:hanging="425"/>
        <w:rPr>
          <w:color w:val="000000" w:themeColor="text1"/>
        </w:rPr>
      </w:pPr>
      <w:r w:rsidRPr="00CF39C8">
        <w:rPr>
          <w:rFonts w:asciiTheme="majorHAnsi" w:hAnsiTheme="majorHAnsi" w:cstheme="majorHAnsi"/>
          <w:color w:val="000000" w:themeColor="text1"/>
        </w:rPr>
        <w:t>Passenger</w:t>
      </w:r>
      <w:r w:rsidRPr="00CF39C8">
        <w:rPr>
          <w:color w:val="000000" w:themeColor="text1"/>
        </w:rPr>
        <w:t xml:space="preserve"> vehicles are sedans, hatch backs, SUVs and 4WDs. Under Australian legislation (see </w:t>
      </w:r>
      <w:r w:rsidRPr="00CF39C8">
        <w:rPr>
          <w:i/>
          <w:color w:val="000000" w:themeColor="text1"/>
        </w:rPr>
        <w:t xml:space="preserve">Vehicle Standard (Australian Design Rule – Definitions and Vehicle Categories) 2005) </w:t>
      </w:r>
      <w:r w:rsidRPr="00CF39C8">
        <w:rPr>
          <w:color w:val="000000" w:themeColor="text1"/>
        </w:rPr>
        <w:t>cars are further sub-categorised. Using the legislative categories, we put MA (passenger cars), MB (forward-control passenger vehicles) and</w:t>
      </w:r>
      <w:r>
        <w:rPr>
          <w:color w:val="000000" w:themeColor="text1"/>
        </w:rPr>
        <w:t xml:space="preserve"> the majority of</w:t>
      </w:r>
      <w:r w:rsidRPr="00CF39C8">
        <w:rPr>
          <w:color w:val="000000" w:themeColor="text1"/>
        </w:rPr>
        <w:t xml:space="preserve"> MC (off-road passenger vehicles) categories in the passenger vehicle category. </w:t>
      </w:r>
      <w:r>
        <w:rPr>
          <w:color w:val="000000" w:themeColor="text1"/>
        </w:rPr>
        <w:t xml:space="preserve">Note that one of the changes </w:t>
      </w:r>
      <w:r w:rsidR="00DE1FD8">
        <w:rPr>
          <w:color w:val="000000" w:themeColor="text1"/>
        </w:rPr>
        <w:t>we made to</w:t>
      </w:r>
      <w:r>
        <w:rPr>
          <w:color w:val="000000" w:themeColor="text1"/>
        </w:rPr>
        <w:t xml:space="preserve"> </w:t>
      </w:r>
      <w:r w:rsidR="00C12BE2">
        <w:rPr>
          <w:color w:val="000000" w:themeColor="text1"/>
        </w:rPr>
        <w:t>Option B</w:t>
      </w:r>
      <w:r>
        <w:rPr>
          <w:color w:val="000000" w:themeColor="text1"/>
        </w:rPr>
        <w:t xml:space="preserve">, is that a small category of MC vehicles </w:t>
      </w:r>
      <w:r w:rsidR="00DE1FD8">
        <w:rPr>
          <w:color w:val="000000" w:themeColor="text1"/>
        </w:rPr>
        <w:t>be</w:t>
      </w:r>
      <w:r>
        <w:rPr>
          <w:color w:val="000000" w:themeColor="text1"/>
        </w:rPr>
        <w:t xml:space="preserve"> moved to the LCV category. </w:t>
      </w:r>
    </w:p>
    <w:p w14:paraId="6DABE200" w14:textId="77777777" w:rsidR="003375A6" w:rsidRPr="00CF39C8" w:rsidRDefault="003375A6" w:rsidP="00430317">
      <w:pPr>
        <w:pStyle w:val="ListParagraph"/>
        <w:numPr>
          <w:ilvl w:val="0"/>
          <w:numId w:val="26"/>
        </w:numPr>
        <w:spacing w:after="0"/>
        <w:ind w:left="567" w:hanging="425"/>
        <w:rPr>
          <w:color w:val="000000" w:themeColor="text1"/>
        </w:rPr>
      </w:pPr>
      <w:r w:rsidRPr="00CF39C8">
        <w:rPr>
          <w:color w:val="000000" w:themeColor="text1"/>
        </w:rPr>
        <w:t xml:space="preserve">Light </w:t>
      </w:r>
      <w:r w:rsidRPr="00CF39C8">
        <w:rPr>
          <w:rFonts w:asciiTheme="majorHAnsi" w:hAnsiTheme="majorHAnsi" w:cstheme="majorHAnsi"/>
          <w:color w:val="000000" w:themeColor="text1"/>
        </w:rPr>
        <w:t>commercial</w:t>
      </w:r>
      <w:r w:rsidRPr="00CF39C8">
        <w:rPr>
          <w:color w:val="000000" w:themeColor="text1"/>
        </w:rPr>
        <w:t xml:space="preserve"> vehicles are utes and vans</w:t>
      </w:r>
      <w:r>
        <w:rPr>
          <w:color w:val="000000" w:themeColor="text1"/>
        </w:rPr>
        <w:t xml:space="preserve"> (and under our </w:t>
      </w:r>
      <w:r w:rsidR="00C73B6B">
        <w:rPr>
          <w:color w:val="000000" w:themeColor="text1"/>
        </w:rPr>
        <w:t xml:space="preserve">best </w:t>
      </w:r>
      <w:r>
        <w:rPr>
          <w:color w:val="000000" w:themeColor="text1"/>
        </w:rPr>
        <w:t xml:space="preserve">option, a small number of </w:t>
      </w:r>
      <w:r w:rsidR="004D7169">
        <w:rPr>
          <w:color w:val="000000" w:themeColor="text1"/>
        </w:rPr>
        <w:t xml:space="preserve">large </w:t>
      </w:r>
      <w:r>
        <w:rPr>
          <w:color w:val="000000" w:themeColor="text1"/>
        </w:rPr>
        <w:t>4WDs)</w:t>
      </w:r>
      <w:r w:rsidRPr="00CF39C8">
        <w:rPr>
          <w:color w:val="000000" w:themeColor="text1"/>
        </w:rPr>
        <w:t>. Under the legislative framework we place NA (light goods vehicles with a GVM not exceeding 3.5 tonnes) and NB1 (medium goods vehicles with GVM over 3.5 tonnes up to 4.5 tonnes) in the light commercial vehicle category</w:t>
      </w:r>
      <w:r>
        <w:rPr>
          <w:color w:val="000000" w:themeColor="text1"/>
        </w:rPr>
        <w:t xml:space="preserve"> as well as a small category of MC vehicles</w:t>
      </w:r>
      <w:r w:rsidRPr="00CF39C8">
        <w:rPr>
          <w:color w:val="000000" w:themeColor="text1"/>
        </w:rPr>
        <w:t xml:space="preserve">.  </w:t>
      </w:r>
    </w:p>
    <w:p w14:paraId="760A16AD" w14:textId="77777777" w:rsidR="00F84068" w:rsidRPr="00CF39C8" w:rsidRDefault="00F84068" w:rsidP="008E35D3">
      <w:pPr>
        <w:pStyle w:val="Heading2"/>
        <w:numPr>
          <w:ilvl w:val="1"/>
          <w:numId w:val="89"/>
        </w:numPr>
        <w:ind w:hanging="792"/>
        <w:rPr>
          <w:rFonts w:eastAsia="Arial"/>
        </w:rPr>
      </w:pPr>
      <w:bookmarkStart w:id="61" w:name="_Toc161837643"/>
      <w:bookmarkStart w:id="62" w:name="_Toc161933141"/>
      <w:bookmarkStart w:id="63" w:name="_Toc162276448"/>
      <w:bookmarkStart w:id="64" w:name="_Toc163221044"/>
      <w:r>
        <w:rPr>
          <w:rFonts w:eastAsia="Arial"/>
        </w:rPr>
        <w:t>P</w:t>
      </w:r>
      <w:r w:rsidRPr="00CF39C8">
        <w:rPr>
          <w:rFonts w:eastAsia="Arial"/>
        </w:rPr>
        <w:t>rocess to date and next steps</w:t>
      </w:r>
      <w:bookmarkEnd w:id="61"/>
      <w:bookmarkEnd w:id="62"/>
      <w:bookmarkEnd w:id="63"/>
      <w:bookmarkEnd w:id="64"/>
    </w:p>
    <w:p w14:paraId="7C14F4A3" w14:textId="77777777" w:rsidR="00F84068" w:rsidRDefault="00F84068" w:rsidP="00F84068">
      <w:pPr>
        <w:rPr>
          <w:rFonts w:asciiTheme="majorHAnsi" w:hAnsiTheme="majorHAnsi" w:cstheme="majorHAnsi"/>
        </w:rPr>
      </w:pPr>
      <w:r w:rsidRPr="00F84068">
        <w:rPr>
          <w:rFonts w:asciiTheme="majorHAnsi" w:hAnsiTheme="majorHAnsi" w:cstheme="majorHAnsi"/>
        </w:rPr>
        <w:t xml:space="preserve">In submissions to the National Electric Vehicle Strategy in September 2022, there was strong support for an Australian new vehicle efficiency standard. In April 2023, the Government released a consultation paper seeking views on the design of a standard – and by June 2023, around 2,700 submissions were received, with the majority supporting a new vehicle efficiency standard. </w:t>
      </w:r>
    </w:p>
    <w:p w14:paraId="4AFA12EA" w14:textId="77777777" w:rsidR="00F84068" w:rsidRPr="00F84068" w:rsidRDefault="00F84068" w:rsidP="00F84068">
      <w:pPr>
        <w:rPr>
          <w:rFonts w:asciiTheme="majorHAnsi" w:hAnsiTheme="majorHAnsi" w:cstheme="majorHAnsi"/>
        </w:rPr>
      </w:pPr>
      <w:r w:rsidRPr="00F84068">
        <w:rPr>
          <w:rFonts w:asciiTheme="majorHAnsi" w:hAnsiTheme="majorHAnsi" w:cstheme="majorHAnsi"/>
        </w:rPr>
        <w:t xml:space="preserve">In February 2024, the Government published the </w:t>
      </w:r>
      <w:r w:rsidRPr="00F84068">
        <w:rPr>
          <w:rFonts w:asciiTheme="majorHAnsi" w:hAnsiTheme="majorHAnsi" w:cstheme="majorHAnsi"/>
          <w:i/>
          <w:iCs/>
        </w:rPr>
        <w:t>Cleaner, Cheaper to Run Cars: An Australian New Vehicle Efficiency Standard Consultation Impact Analysis</w:t>
      </w:r>
      <w:r w:rsidRPr="00F84068">
        <w:rPr>
          <w:rFonts w:asciiTheme="majorHAnsi" w:hAnsiTheme="majorHAnsi" w:cstheme="majorHAnsi"/>
        </w:rPr>
        <w:t xml:space="preserve"> (the Consultation Impact Analysis) and launched </w:t>
      </w:r>
      <w:r w:rsidR="004C533A">
        <w:rPr>
          <w:rFonts w:asciiTheme="majorHAnsi" w:hAnsiTheme="majorHAnsi" w:cstheme="majorHAnsi"/>
        </w:rPr>
        <w:t>a</w:t>
      </w:r>
      <w:r w:rsidRPr="00F84068">
        <w:rPr>
          <w:rFonts w:asciiTheme="majorHAnsi" w:hAnsiTheme="majorHAnsi" w:cstheme="majorHAnsi"/>
        </w:rPr>
        <w:t xml:space="preserve"> four-week phase of consultation on 4 February. By 4 March, around 8,</w:t>
      </w:r>
      <w:r>
        <w:rPr>
          <w:rFonts w:asciiTheme="majorHAnsi" w:hAnsiTheme="majorHAnsi" w:cstheme="majorHAnsi"/>
        </w:rPr>
        <w:t>9</w:t>
      </w:r>
      <w:r w:rsidRPr="00F84068">
        <w:rPr>
          <w:rFonts w:asciiTheme="majorHAnsi" w:hAnsiTheme="majorHAnsi" w:cstheme="majorHAnsi"/>
        </w:rPr>
        <w:t>00 submissions had been received from individuals and a range of organisations, including the car manufacturing and automotive sector.</w:t>
      </w:r>
    </w:p>
    <w:p w14:paraId="76B48507" w14:textId="77777777" w:rsidR="008E44C6" w:rsidRPr="00CF39C8" w:rsidRDefault="0083467D" w:rsidP="008E44C6">
      <w:pPr>
        <w:spacing w:line="259" w:lineRule="auto"/>
        <w:rPr>
          <w:rFonts w:asciiTheme="majorHAnsi" w:eastAsia="Arial" w:hAnsiTheme="majorHAnsi" w:cstheme="majorHAnsi"/>
        </w:rPr>
      </w:pPr>
      <w:r>
        <w:rPr>
          <w:rFonts w:asciiTheme="majorHAnsi" w:eastAsia="Arial" w:hAnsiTheme="majorHAnsi" w:cstheme="majorHAnsi"/>
          <w:noProof/>
          <w:lang w:eastAsia="en-AU"/>
        </w:rPr>
        <w:drawing>
          <wp:anchor distT="0" distB="0" distL="114300" distR="114300" simplePos="0" relativeHeight="251658251" behindDoc="1" locked="0" layoutInCell="1" allowOverlap="1" wp14:anchorId="4B39EFE2" wp14:editId="08B48673">
            <wp:simplePos x="0" y="0"/>
            <wp:positionH relativeFrom="margin">
              <wp:posOffset>437515</wp:posOffset>
            </wp:positionH>
            <wp:positionV relativeFrom="paragraph">
              <wp:posOffset>393700</wp:posOffset>
            </wp:positionV>
            <wp:extent cx="6029325" cy="2952750"/>
            <wp:effectExtent l="0" t="0" r="9525" b="0"/>
            <wp:wrapSquare wrapText="bothSides"/>
            <wp:docPr id="2" name="Picture 2" descr="A drop-down style graphic that outlines the phases of Australian Government consultation that has informed legislation. &#10;&#10;Initial consultation: National Electric Vehicle Strategy. Consultation closed 31 October 2022.&#10;&#10;Consultation Phase 1: &#10;Consultation on the design of a NVES. Consultation closed 31 May 2023.&#10;&#10;Consultation Phase 2: &#10;Impact Analysis consultation on the Government's preferred model. Consultation closed 4 March 2024&#10;&#10;Final Impact Analysis and introduction of new legislation: &#10;The Government will release its final Impact Analysis, including its preferred option, and introduce new legislation. &#10;&#10;Establish a new regulator and commence the NVES&#10;The NVES is proposed to commence on 1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952750"/>
                    </a:xfrm>
                    <a:prstGeom prst="rect">
                      <a:avLst/>
                    </a:prstGeom>
                    <a:noFill/>
                    <a:ln>
                      <a:noFill/>
                    </a:ln>
                  </pic:spPr>
                </pic:pic>
              </a:graphicData>
            </a:graphic>
          </wp:anchor>
        </w:drawing>
      </w:r>
      <w:r w:rsidR="00855768" w:rsidRPr="00CF39C8">
        <w:rPr>
          <w:rFonts w:asciiTheme="majorHAnsi" w:eastAsia="Arial" w:hAnsiTheme="majorHAnsi" w:cstheme="majorHAnsi"/>
        </w:rPr>
        <w:t xml:space="preserve">This document </w:t>
      </w:r>
      <w:r w:rsidR="00BA3BD6" w:rsidRPr="00CF39C8">
        <w:rPr>
          <w:rFonts w:asciiTheme="majorHAnsi" w:eastAsia="Arial" w:hAnsiTheme="majorHAnsi" w:cstheme="majorHAnsi"/>
        </w:rPr>
        <w:t xml:space="preserve">represents the </w:t>
      </w:r>
      <w:r w:rsidR="00D31ED4" w:rsidRPr="00CF39C8">
        <w:rPr>
          <w:rFonts w:asciiTheme="majorHAnsi" w:eastAsia="Arial" w:hAnsiTheme="majorHAnsi" w:cstheme="majorHAnsi"/>
        </w:rPr>
        <w:t xml:space="preserve">final phase </w:t>
      </w:r>
      <w:r w:rsidR="00950F31">
        <w:rPr>
          <w:rFonts w:asciiTheme="majorHAnsi" w:eastAsia="Arial" w:hAnsiTheme="majorHAnsi" w:cstheme="majorHAnsi"/>
        </w:rPr>
        <w:t>of analysis informing Government’s policy and new legislation</w:t>
      </w:r>
      <w:r w:rsidR="0021784D" w:rsidRPr="00CF39C8">
        <w:rPr>
          <w:rFonts w:asciiTheme="majorHAnsi" w:eastAsia="Arial" w:hAnsiTheme="majorHAnsi" w:cstheme="majorHAnsi"/>
        </w:rPr>
        <w:t xml:space="preserve">, as set out in </w:t>
      </w:r>
      <w:r w:rsidR="00205052" w:rsidRPr="00E971E0">
        <w:rPr>
          <w:rFonts w:asciiTheme="majorHAnsi" w:eastAsia="Arial" w:hAnsiTheme="majorHAnsi" w:cstheme="majorHAnsi"/>
        </w:rPr>
        <w:t>Figur</w:t>
      </w:r>
      <w:r w:rsidR="00951A05" w:rsidRPr="00E971E0">
        <w:rPr>
          <w:rFonts w:asciiTheme="majorHAnsi" w:eastAsia="Arial" w:hAnsiTheme="majorHAnsi" w:cstheme="majorHAnsi"/>
        </w:rPr>
        <w:t xml:space="preserve">e </w:t>
      </w:r>
      <w:r w:rsidR="00E971E0" w:rsidRPr="00E971E0">
        <w:rPr>
          <w:rFonts w:asciiTheme="majorHAnsi" w:eastAsia="Arial" w:hAnsiTheme="majorHAnsi" w:cstheme="majorHAnsi"/>
        </w:rPr>
        <w:t>2</w:t>
      </w:r>
      <w:r w:rsidR="00BA3BD6" w:rsidRPr="00E971E0">
        <w:rPr>
          <w:rFonts w:asciiTheme="majorHAnsi" w:eastAsia="Arial" w:hAnsiTheme="majorHAnsi" w:cstheme="majorHAnsi"/>
        </w:rPr>
        <w:t>.</w:t>
      </w:r>
      <w:r w:rsidR="00BA3BD6" w:rsidRPr="00CF39C8">
        <w:rPr>
          <w:rFonts w:asciiTheme="majorHAnsi" w:eastAsia="Arial" w:hAnsiTheme="majorHAnsi" w:cstheme="majorHAnsi"/>
        </w:rPr>
        <w:t xml:space="preserve"> </w:t>
      </w:r>
    </w:p>
    <w:p w14:paraId="06605E93" w14:textId="77777777" w:rsidR="008E44C6" w:rsidRPr="00CF39C8" w:rsidRDefault="008E44C6" w:rsidP="008E44C6">
      <w:pPr>
        <w:spacing w:line="259" w:lineRule="auto"/>
        <w:rPr>
          <w:rFonts w:cstheme="majorHAnsi"/>
        </w:rPr>
      </w:pPr>
    </w:p>
    <w:p w14:paraId="3A18D8C9" w14:textId="77777777" w:rsidR="008E44C6" w:rsidRPr="00CF39C8" w:rsidRDefault="008E44C6" w:rsidP="008E44C6">
      <w:pPr>
        <w:spacing w:line="259" w:lineRule="auto"/>
        <w:rPr>
          <w:rFonts w:cstheme="majorHAnsi"/>
        </w:rPr>
      </w:pPr>
    </w:p>
    <w:bookmarkEnd w:id="43"/>
    <w:p w14:paraId="66417760" w14:textId="77777777" w:rsidR="008E44C6" w:rsidRPr="00CF39C8" w:rsidRDefault="008E44C6" w:rsidP="008E44C6">
      <w:pPr>
        <w:spacing w:line="259" w:lineRule="auto"/>
        <w:rPr>
          <w:rFonts w:cstheme="majorHAnsi"/>
        </w:rPr>
      </w:pPr>
    </w:p>
    <w:p w14:paraId="788D8E57" w14:textId="77777777" w:rsidR="00951A05" w:rsidRPr="00CF39C8" w:rsidRDefault="00951A05" w:rsidP="008E44C6">
      <w:pPr>
        <w:spacing w:line="259" w:lineRule="auto"/>
        <w:rPr>
          <w:rFonts w:cstheme="majorHAnsi"/>
        </w:rPr>
      </w:pPr>
    </w:p>
    <w:p w14:paraId="699A9218" w14:textId="77777777" w:rsidR="00951A05" w:rsidRPr="00CF39C8" w:rsidRDefault="00951A05" w:rsidP="008E44C6">
      <w:pPr>
        <w:spacing w:line="259" w:lineRule="auto"/>
        <w:rPr>
          <w:rFonts w:cstheme="majorHAnsi"/>
        </w:rPr>
      </w:pPr>
    </w:p>
    <w:p w14:paraId="69E39189" w14:textId="77777777" w:rsidR="00951A05" w:rsidRPr="00CF39C8" w:rsidRDefault="00951A05" w:rsidP="008E44C6">
      <w:pPr>
        <w:spacing w:line="259" w:lineRule="auto"/>
        <w:rPr>
          <w:rFonts w:cstheme="majorHAnsi"/>
        </w:rPr>
      </w:pPr>
    </w:p>
    <w:p w14:paraId="5A532769" w14:textId="77777777" w:rsidR="00951A05" w:rsidRPr="00CF39C8" w:rsidRDefault="00951A05" w:rsidP="008E44C6">
      <w:pPr>
        <w:spacing w:line="259" w:lineRule="auto"/>
        <w:rPr>
          <w:rFonts w:cstheme="majorHAnsi"/>
        </w:rPr>
      </w:pPr>
    </w:p>
    <w:p w14:paraId="431BBD89" w14:textId="77777777" w:rsidR="00F84068" w:rsidRDefault="00F84068" w:rsidP="008E44C6">
      <w:pPr>
        <w:spacing w:line="259" w:lineRule="auto"/>
        <w:rPr>
          <w:rFonts w:cstheme="majorHAnsi"/>
        </w:rPr>
      </w:pPr>
    </w:p>
    <w:p w14:paraId="1A431B2C" w14:textId="77777777" w:rsidR="003375A6" w:rsidRDefault="003375A6" w:rsidP="008E44C6">
      <w:pPr>
        <w:spacing w:line="259" w:lineRule="auto"/>
        <w:rPr>
          <w:rFonts w:cstheme="majorHAnsi"/>
        </w:rPr>
      </w:pPr>
    </w:p>
    <w:p w14:paraId="1B7617C4" w14:textId="77777777" w:rsidR="008F2F20" w:rsidRDefault="008F2F20" w:rsidP="008E44C6">
      <w:pPr>
        <w:spacing w:line="259" w:lineRule="auto"/>
        <w:rPr>
          <w:rFonts w:cstheme="majorHAnsi"/>
        </w:rPr>
      </w:pPr>
    </w:p>
    <w:p w14:paraId="1C7A7732" w14:textId="77777777" w:rsidR="008F2F20" w:rsidRDefault="008F2F20" w:rsidP="008E44C6">
      <w:pPr>
        <w:spacing w:line="259" w:lineRule="auto"/>
        <w:rPr>
          <w:rFonts w:cstheme="majorHAnsi"/>
        </w:rPr>
      </w:pPr>
    </w:p>
    <w:p w14:paraId="213B8D76" w14:textId="77777777" w:rsidR="008F2F20" w:rsidRDefault="008F2F20" w:rsidP="008E44C6">
      <w:pPr>
        <w:spacing w:line="259" w:lineRule="auto"/>
        <w:rPr>
          <w:rFonts w:cstheme="majorHAnsi"/>
        </w:rPr>
      </w:pPr>
    </w:p>
    <w:p w14:paraId="04AEA89C" w14:textId="77777777" w:rsidR="008F2F20" w:rsidRPr="008F2F20" w:rsidRDefault="008F2F20" w:rsidP="008F2F20">
      <w:pPr>
        <w:pStyle w:val="Caption"/>
        <w:ind w:left="360" w:firstLine="720"/>
        <w:rPr>
          <w:rFonts w:asciiTheme="majorHAnsi" w:hAnsiTheme="majorHAnsi" w:cstheme="majorHAnsi"/>
          <w:b w:val="0"/>
        </w:rPr>
        <w:sectPr w:rsidR="008F2F20" w:rsidRPr="008F2F20" w:rsidSect="00784214">
          <w:pgSz w:w="11906" w:h="16838" w:code="9"/>
          <w:pgMar w:top="1021" w:right="1133" w:bottom="709" w:left="1276" w:header="510" w:footer="567" w:gutter="0"/>
          <w:cols w:space="708"/>
          <w:docGrid w:linePitch="360"/>
        </w:sectPr>
      </w:pPr>
      <w:bookmarkStart w:id="65" w:name="_Toc163221099"/>
      <w:r w:rsidRPr="008F2F20">
        <w:rPr>
          <w:rFonts w:asciiTheme="majorHAnsi" w:hAnsiTheme="majorHAnsi" w:cstheme="majorHAnsi"/>
        </w:rPr>
        <w:t>Figure 2</w:t>
      </w:r>
      <w:r w:rsidRPr="008F2F20">
        <w:rPr>
          <w:rFonts w:asciiTheme="majorHAnsi" w:hAnsiTheme="majorHAnsi" w:cstheme="majorHAnsi"/>
          <w:b w:val="0"/>
        </w:rPr>
        <w:t xml:space="preserve"> </w:t>
      </w:r>
      <w:r w:rsidRPr="00CF39C8">
        <w:rPr>
          <w:rFonts w:asciiTheme="majorHAnsi" w:hAnsiTheme="majorHAnsi" w:cstheme="majorHAnsi"/>
          <w:b w:val="0"/>
        </w:rPr>
        <w:t xml:space="preserve">– </w:t>
      </w:r>
      <w:r>
        <w:rPr>
          <w:rFonts w:asciiTheme="majorHAnsi" w:hAnsiTheme="majorHAnsi" w:cstheme="majorHAnsi"/>
          <w:b w:val="0"/>
        </w:rPr>
        <w:t>Process to date</w:t>
      </w:r>
      <w:bookmarkEnd w:id="65"/>
    </w:p>
    <w:p w14:paraId="3B8719C0" w14:textId="77777777" w:rsidR="00AE3241" w:rsidRPr="00CF39C8" w:rsidRDefault="00AB78FB" w:rsidP="00430317">
      <w:pPr>
        <w:pStyle w:val="Heading1"/>
        <w:numPr>
          <w:ilvl w:val="0"/>
          <w:numId w:val="67"/>
        </w:numPr>
      </w:pPr>
      <w:bookmarkStart w:id="66" w:name="_Toc161837644"/>
      <w:bookmarkStart w:id="67" w:name="_Toc161933142"/>
      <w:bookmarkStart w:id="68" w:name="_Toc162276449"/>
      <w:bookmarkStart w:id="69" w:name="_Toc163221045"/>
      <w:r w:rsidRPr="00CF39C8">
        <w:t xml:space="preserve">What is the </w:t>
      </w:r>
      <w:r w:rsidR="00796961" w:rsidRPr="00CF39C8">
        <w:t xml:space="preserve">policy </w:t>
      </w:r>
      <w:r w:rsidRPr="00CF39C8">
        <w:t>problem</w:t>
      </w:r>
      <w:r w:rsidR="00796961" w:rsidRPr="00CF39C8">
        <w:t xml:space="preserve"> you are trying to solve and what data is available</w:t>
      </w:r>
      <w:r w:rsidRPr="00CF39C8">
        <w:t>?</w:t>
      </w:r>
      <w:bookmarkEnd w:id="66"/>
      <w:bookmarkEnd w:id="67"/>
      <w:bookmarkEnd w:id="68"/>
      <w:bookmarkEnd w:id="69"/>
    </w:p>
    <w:p w14:paraId="48F3B39D" w14:textId="77777777" w:rsidR="001D6BCE" w:rsidRPr="00CF39C8" w:rsidRDefault="00141083" w:rsidP="00D539F8">
      <w:pPr>
        <w:rPr>
          <w:rFonts w:asciiTheme="majorHAnsi" w:hAnsiTheme="majorHAnsi" w:cstheme="majorHAnsi"/>
        </w:rPr>
      </w:pPr>
      <w:bookmarkStart w:id="70" w:name="_Toc146622470"/>
      <w:r w:rsidRPr="00CF39C8">
        <w:rPr>
          <w:rFonts w:asciiTheme="majorHAnsi" w:hAnsiTheme="majorHAnsi" w:cstheme="majorHAnsi"/>
        </w:rPr>
        <w:t>T</w:t>
      </w:r>
      <w:r w:rsidR="00D539F8" w:rsidRPr="00CF39C8">
        <w:rPr>
          <w:rFonts w:asciiTheme="majorHAnsi" w:hAnsiTheme="majorHAnsi" w:cstheme="majorHAnsi"/>
        </w:rPr>
        <w:t xml:space="preserve">he primary </w:t>
      </w:r>
      <w:r w:rsidR="00BD77F2" w:rsidRPr="00CF39C8">
        <w:rPr>
          <w:rFonts w:asciiTheme="majorHAnsi" w:hAnsiTheme="majorHAnsi" w:cstheme="majorHAnsi"/>
        </w:rPr>
        <w:t>problem</w:t>
      </w:r>
      <w:r w:rsidR="00C16169" w:rsidRPr="00CF39C8">
        <w:rPr>
          <w:rFonts w:asciiTheme="majorHAnsi" w:hAnsiTheme="majorHAnsi" w:cstheme="majorHAnsi"/>
        </w:rPr>
        <w:t>s</w:t>
      </w:r>
      <w:r w:rsidR="00BD77F2" w:rsidRPr="00CF39C8">
        <w:rPr>
          <w:rFonts w:asciiTheme="majorHAnsi" w:hAnsiTheme="majorHAnsi" w:cstheme="majorHAnsi"/>
        </w:rPr>
        <w:t xml:space="preserve"> that </w:t>
      </w:r>
      <w:r w:rsidR="00E76798" w:rsidRPr="00CF39C8">
        <w:rPr>
          <w:rFonts w:asciiTheme="majorHAnsi" w:hAnsiTheme="majorHAnsi" w:cstheme="majorHAnsi"/>
        </w:rPr>
        <w:t xml:space="preserve">Government </w:t>
      </w:r>
      <w:r w:rsidR="00BD77F2" w:rsidRPr="00CF39C8">
        <w:rPr>
          <w:rFonts w:asciiTheme="majorHAnsi" w:hAnsiTheme="majorHAnsi" w:cstheme="majorHAnsi"/>
        </w:rPr>
        <w:t>is trying to solve is</w:t>
      </w:r>
      <w:r w:rsidR="000A2695" w:rsidRPr="00CF39C8">
        <w:rPr>
          <w:rFonts w:asciiTheme="majorHAnsi" w:hAnsiTheme="majorHAnsi" w:cstheme="majorHAnsi"/>
        </w:rPr>
        <w:t xml:space="preserve"> how to</w:t>
      </w:r>
      <w:r w:rsidR="001D6BCE" w:rsidRPr="00CF39C8">
        <w:rPr>
          <w:rFonts w:asciiTheme="majorHAnsi" w:hAnsiTheme="majorHAnsi" w:cstheme="majorHAnsi"/>
        </w:rPr>
        <w:t>:</w:t>
      </w:r>
    </w:p>
    <w:p w14:paraId="483E7835" w14:textId="77777777" w:rsidR="005B771B" w:rsidRPr="00CF39C8" w:rsidRDefault="005B771B" w:rsidP="00430317">
      <w:pPr>
        <w:pStyle w:val="ListParagraph"/>
        <w:numPr>
          <w:ilvl w:val="0"/>
          <w:numId w:val="25"/>
        </w:numPr>
        <w:rPr>
          <w:rFonts w:asciiTheme="majorHAnsi" w:hAnsiTheme="majorHAnsi" w:cstheme="majorHAnsi"/>
        </w:rPr>
      </w:pPr>
      <w:r w:rsidRPr="00CF39C8">
        <w:rPr>
          <w:rFonts w:asciiTheme="majorHAnsi" w:hAnsiTheme="majorHAnsi" w:cstheme="majorHAnsi"/>
        </w:rPr>
        <w:t>save Australians money on fuel</w:t>
      </w:r>
    </w:p>
    <w:p w14:paraId="1F9671DB" w14:textId="77777777" w:rsidR="005B771B" w:rsidRPr="00CF39C8" w:rsidRDefault="005B771B" w:rsidP="00430317">
      <w:pPr>
        <w:pStyle w:val="ListParagraph"/>
        <w:numPr>
          <w:ilvl w:val="0"/>
          <w:numId w:val="25"/>
        </w:numPr>
        <w:rPr>
          <w:rFonts w:asciiTheme="majorHAnsi" w:hAnsiTheme="majorHAnsi" w:cstheme="majorHAnsi"/>
        </w:rPr>
      </w:pPr>
      <w:r w:rsidRPr="00CF39C8">
        <w:rPr>
          <w:rFonts w:asciiTheme="majorHAnsi" w:hAnsiTheme="majorHAnsi" w:cstheme="majorHAnsi"/>
        </w:rPr>
        <w:t>reduce CO</w:t>
      </w:r>
      <w:r w:rsidRPr="00CF39C8">
        <w:rPr>
          <w:rFonts w:asciiTheme="majorHAnsi" w:hAnsiTheme="majorHAnsi" w:cstheme="majorHAnsi"/>
          <w:vertAlign w:val="subscript"/>
        </w:rPr>
        <w:t>2</w:t>
      </w:r>
      <w:r w:rsidRPr="00CF39C8">
        <w:rPr>
          <w:rFonts w:asciiTheme="majorHAnsi" w:hAnsiTheme="majorHAnsi" w:cstheme="majorHAnsi"/>
        </w:rPr>
        <w:t xml:space="preserve"> emissions from new cars</w:t>
      </w:r>
    </w:p>
    <w:p w14:paraId="699AA7E9" w14:textId="77777777" w:rsidR="000A2695" w:rsidRPr="00CF39C8" w:rsidRDefault="00805D20" w:rsidP="00430317">
      <w:pPr>
        <w:pStyle w:val="ListParagraph"/>
        <w:numPr>
          <w:ilvl w:val="0"/>
          <w:numId w:val="25"/>
        </w:numPr>
        <w:rPr>
          <w:rFonts w:asciiTheme="majorHAnsi" w:hAnsiTheme="majorHAnsi" w:cstheme="majorHAnsi"/>
        </w:rPr>
      </w:pPr>
      <w:r w:rsidRPr="00CF39C8">
        <w:rPr>
          <w:rFonts w:asciiTheme="majorHAnsi" w:hAnsiTheme="majorHAnsi" w:cstheme="majorHAnsi"/>
        </w:rPr>
        <w:t>stimulat</w:t>
      </w:r>
      <w:r w:rsidR="003375A6">
        <w:rPr>
          <w:rFonts w:asciiTheme="majorHAnsi" w:hAnsiTheme="majorHAnsi" w:cstheme="majorHAnsi"/>
        </w:rPr>
        <w:t>e</w:t>
      </w:r>
      <w:r w:rsidRPr="00CF39C8">
        <w:rPr>
          <w:rFonts w:asciiTheme="majorHAnsi" w:hAnsiTheme="majorHAnsi" w:cstheme="majorHAnsi"/>
        </w:rPr>
        <w:t xml:space="preserve"> the supply of more fuel-efficient, low and zero emissions</w:t>
      </w:r>
      <w:r w:rsidR="006F6E3F">
        <w:rPr>
          <w:rFonts w:asciiTheme="majorHAnsi" w:hAnsiTheme="majorHAnsi" w:cstheme="majorHAnsi"/>
        </w:rPr>
        <w:t xml:space="preserve"> vehicles</w:t>
      </w:r>
      <w:r w:rsidRPr="00CF39C8">
        <w:rPr>
          <w:rFonts w:asciiTheme="majorHAnsi" w:hAnsiTheme="majorHAnsi" w:cstheme="majorHAnsi"/>
        </w:rPr>
        <w:t xml:space="preserve"> into the Australian marke</w:t>
      </w:r>
      <w:r w:rsidR="005E2A0B" w:rsidRPr="00CF39C8">
        <w:rPr>
          <w:rFonts w:asciiTheme="majorHAnsi" w:hAnsiTheme="majorHAnsi" w:cstheme="majorHAnsi"/>
        </w:rPr>
        <w:t>t</w:t>
      </w:r>
      <w:r w:rsidR="00693975">
        <w:rPr>
          <w:rFonts w:asciiTheme="majorHAnsi" w:hAnsiTheme="majorHAnsi" w:cstheme="majorHAnsi"/>
        </w:rPr>
        <w:t>.</w:t>
      </w:r>
    </w:p>
    <w:p w14:paraId="6D288F2D" w14:textId="77777777" w:rsidR="001E706E" w:rsidRPr="00CF39C8" w:rsidRDefault="00AC71ED" w:rsidP="001E706E">
      <w:pPr>
        <w:rPr>
          <w:rFonts w:asciiTheme="majorHAnsi" w:hAnsiTheme="majorHAnsi" w:cstheme="majorHAnsi"/>
        </w:rPr>
      </w:pPr>
      <w:r>
        <w:rPr>
          <w:rFonts w:asciiTheme="majorHAnsi" w:hAnsiTheme="majorHAnsi" w:cstheme="majorHAnsi"/>
        </w:rPr>
        <w:t>We want</w:t>
      </w:r>
      <w:r w:rsidR="001E706E" w:rsidRPr="00CF39C8">
        <w:rPr>
          <w:rFonts w:asciiTheme="majorHAnsi" w:hAnsiTheme="majorHAnsi" w:cstheme="majorHAnsi"/>
        </w:rPr>
        <w:t xml:space="preserve"> to maximise access to the best vehicle technology</w:t>
      </w:r>
      <w:r w:rsidR="004F4FC5" w:rsidRPr="00CF39C8">
        <w:rPr>
          <w:rFonts w:asciiTheme="majorHAnsi" w:hAnsiTheme="majorHAnsi" w:cstheme="majorHAnsi"/>
        </w:rPr>
        <w:t xml:space="preserve"> and</w:t>
      </w:r>
      <w:r w:rsidR="001E706E" w:rsidRPr="00CF39C8">
        <w:rPr>
          <w:rFonts w:asciiTheme="majorHAnsi" w:hAnsiTheme="majorHAnsi" w:cstheme="majorHAnsi"/>
        </w:rPr>
        <w:t xml:space="preserve"> to reduce consumer fuel costs.</w:t>
      </w:r>
      <w:r w:rsidR="005A5EA9" w:rsidRPr="00CF39C8">
        <w:rPr>
          <w:rFonts w:asciiTheme="majorHAnsi" w:hAnsiTheme="majorHAnsi" w:cstheme="majorHAnsi"/>
        </w:rPr>
        <w:t xml:space="preserve"> An intended outcome is reducing how much Australian consumers pay at the bowser by improving the efficiency of the vehicle fleet</w:t>
      </w:r>
      <w:r w:rsidR="00141083" w:rsidRPr="00CF39C8">
        <w:rPr>
          <w:rFonts w:asciiTheme="majorHAnsi" w:hAnsiTheme="majorHAnsi" w:cstheme="majorHAnsi"/>
        </w:rPr>
        <w:t xml:space="preserve"> over time</w:t>
      </w:r>
      <w:r w:rsidR="005A5EA9" w:rsidRPr="00CF39C8">
        <w:rPr>
          <w:rFonts w:asciiTheme="majorHAnsi" w:hAnsiTheme="majorHAnsi" w:cstheme="majorHAnsi"/>
        </w:rPr>
        <w:t>.</w:t>
      </w:r>
    </w:p>
    <w:p w14:paraId="4809A304" w14:textId="77777777" w:rsidR="003669E8" w:rsidRPr="00CF39C8" w:rsidRDefault="003669E8" w:rsidP="001E706E">
      <w:pPr>
        <w:rPr>
          <w:rFonts w:asciiTheme="majorHAnsi" w:hAnsiTheme="majorHAnsi" w:cstheme="majorHAnsi"/>
        </w:rPr>
      </w:pPr>
      <w:r w:rsidRPr="00CF39C8">
        <w:rPr>
          <w:rFonts w:asciiTheme="majorHAnsi" w:hAnsiTheme="majorHAnsi" w:cstheme="majorHAnsi"/>
        </w:rPr>
        <w:t xml:space="preserve">This will support achievement of the emissions reduction targets established under the </w:t>
      </w:r>
      <w:r w:rsidRPr="00CF39C8">
        <w:rPr>
          <w:rFonts w:asciiTheme="majorHAnsi" w:hAnsiTheme="majorHAnsi" w:cstheme="majorHAnsi"/>
          <w:i/>
        </w:rPr>
        <w:t>Climate</w:t>
      </w:r>
      <w:r w:rsidR="00DE1FD8">
        <w:rPr>
          <w:rFonts w:asciiTheme="majorHAnsi" w:hAnsiTheme="majorHAnsi" w:cstheme="majorHAnsi"/>
          <w:i/>
        </w:rPr>
        <w:t> </w:t>
      </w:r>
      <w:r w:rsidRPr="00CF39C8">
        <w:rPr>
          <w:rFonts w:asciiTheme="majorHAnsi" w:hAnsiTheme="majorHAnsi" w:cstheme="majorHAnsi"/>
          <w:i/>
        </w:rPr>
        <w:t>Change</w:t>
      </w:r>
      <w:r w:rsidR="00DE1FD8">
        <w:rPr>
          <w:rFonts w:asciiTheme="majorHAnsi" w:hAnsiTheme="majorHAnsi" w:cstheme="majorHAnsi"/>
          <w:i/>
        </w:rPr>
        <w:t> </w:t>
      </w:r>
      <w:r w:rsidRPr="00CF39C8">
        <w:rPr>
          <w:rFonts w:asciiTheme="majorHAnsi" w:hAnsiTheme="majorHAnsi" w:cstheme="majorHAnsi"/>
          <w:i/>
        </w:rPr>
        <w:t>Act</w:t>
      </w:r>
      <w:r w:rsidR="00DE1FD8">
        <w:rPr>
          <w:rFonts w:asciiTheme="majorHAnsi" w:hAnsiTheme="majorHAnsi" w:cstheme="majorHAnsi"/>
          <w:i/>
        </w:rPr>
        <w:t> </w:t>
      </w:r>
      <w:r w:rsidRPr="00CF39C8">
        <w:rPr>
          <w:rFonts w:asciiTheme="majorHAnsi" w:hAnsiTheme="majorHAnsi" w:cstheme="majorHAnsi"/>
          <w:i/>
        </w:rPr>
        <w:t>2022</w:t>
      </w:r>
      <w:r w:rsidRPr="00CF39C8">
        <w:rPr>
          <w:rFonts w:asciiTheme="majorHAnsi" w:hAnsiTheme="majorHAnsi" w:cstheme="majorHAnsi"/>
        </w:rPr>
        <w:t xml:space="preserve"> and Australia’s updated Nationally Determined Contribution under Article 4 of the Paris Agreement.</w:t>
      </w:r>
    </w:p>
    <w:p w14:paraId="34BF990F" w14:textId="77777777" w:rsidR="00D23D9B" w:rsidRPr="00CF39C8" w:rsidRDefault="00D23D9B" w:rsidP="001E706E">
      <w:pPr>
        <w:rPr>
          <w:rFonts w:asciiTheme="majorHAnsi" w:hAnsiTheme="majorHAnsi" w:cstheme="majorHAnsi"/>
        </w:rPr>
      </w:pPr>
      <w:r w:rsidRPr="00CF39C8">
        <w:rPr>
          <w:rFonts w:asciiTheme="majorHAnsi" w:hAnsiTheme="majorHAnsi" w:cstheme="majorHAnsi"/>
        </w:rPr>
        <w:t xml:space="preserve">Secondary considerations </w:t>
      </w:r>
      <w:r w:rsidR="004F4FC5" w:rsidRPr="00CF39C8">
        <w:rPr>
          <w:rFonts w:asciiTheme="majorHAnsi" w:hAnsiTheme="majorHAnsi" w:cstheme="majorHAnsi"/>
        </w:rPr>
        <w:t>are</w:t>
      </w:r>
      <w:r w:rsidRPr="00CF39C8">
        <w:rPr>
          <w:rFonts w:asciiTheme="majorHAnsi" w:hAnsiTheme="majorHAnsi" w:cstheme="majorHAnsi"/>
        </w:rPr>
        <w:t xml:space="preserve"> improvements to the air that Australians breathe, and to improve fuel security. </w:t>
      </w:r>
    </w:p>
    <w:p w14:paraId="355FAEAA" w14:textId="77777777" w:rsidR="00106235" w:rsidRPr="00CF39C8" w:rsidRDefault="001E706E" w:rsidP="00106235">
      <w:pPr>
        <w:rPr>
          <w:rFonts w:asciiTheme="majorHAnsi" w:hAnsiTheme="majorHAnsi" w:cstheme="majorHAnsi"/>
        </w:rPr>
      </w:pPr>
      <w:r w:rsidRPr="00CF39C8">
        <w:rPr>
          <w:rFonts w:asciiTheme="majorHAnsi" w:hAnsiTheme="majorHAnsi" w:cstheme="majorHAnsi"/>
        </w:rPr>
        <w:t xml:space="preserve">This analysis </w:t>
      </w:r>
      <w:r w:rsidR="00106235" w:rsidRPr="00CF39C8">
        <w:rPr>
          <w:rFonts w:asciiTheme="majorHAnsi" w:hAnsiTheme="majorHAnsi" w:cstheme="majorHAnsi"/>
        </w:rPr>
        <w:t xml:space="preserve">considers options within the bounds of what we think is possible. </w:t>
      </w:r>
      <w:r w:rsidR="00C509BB" w:rsidRPr="00CF39C8">
        <w:rPr>
          <w:rFonts w:asciiTheme="majorHAnsi" w:hAnsiTheme="majorHAnsi" w:cstheme="majorHAnsi"/>
        </w:rPr>
        <w:t xml:space="preserve">The analysis we present below is on the basis that it is not feasible to </w:t>
      </w:r>
      <w:r w:rsidR="00D369E5" w:rsidRPr="00CF39C8">
        <w:rPr>
          <w:rFonts w:asciiTheme="majorHAnsi" w:hAnsiTheme="majorHAnsi" w:cstheme="majorHAnsi"/>
        </w:rPr>
        <w:t>‘</w:t>
      </w:r>
      <w:r w:rsidR="008874EC" w:rsidRPr="00CF39C8">
        <w:rPr>
          <w:rFonts w:asciiTheme="majorHAnsi" w:hAnsiTheme="majorHAnsi" w:cstheme="majorHAnsi"/>
        </w:rPr>
        <w:t>mandate</w:t>
      </w:r>
      <w:r w:rsidR="00D369E5" w:rsidRPr="00CF39C8">
        <w:rPr>
          <w:rFonts w:asciiTheme="majorHAnsi" w:hAnsiTheme="majorHAnsi" w:cstheme="majorHAnsi"/>
        </w:rPr>
        <w:t>’</w:t>
      </w:r>
      <w:r w:rsidR="00C509BB" w:rsidRPr="00CF39C8">
        <w:rPr>
          <w:rFonts w:asciiTheme="majorHAnsi" w:hAnsiTheme="majorHAnsi" w:cstheme="majorHAnsi"/>
        </w:rPr>
        <w:t xml:space="preserve"> </w:t>
      </w:r>
      <w:r w:rsidR="008874EC" w:rsidRPr="00CF39C8">
        <w:rPr>
          <w:rFonts w:asciiTheme="majorHAnsi" w:hAnsiTheme="majorHAnsi" w:cstheme="majorHAnsi"/>
        </w:rPr>
        <w:t xml:space="preserve">the use of </w:t>
      </w:r>
      <w:r w:rsidR="00C509BB" w:rsidRPr="00CF39C8">
        <w:rPr>
          <w:rFonts w:asciiTheme="majorHAnsi" w:hAnsiTheme="majorHAnsi" w:cstheme="majorHAnsi"/>
        </w:rPr>
        <w:t>certain types of cars</w:t>
      </w:r>
      <w:r w:rsidR="00007766" w:rsidRPr="00CF39C8">
        <w:rPr>
          <w:rFonts w:asciiTheme="majorHAnsi" w:hAnsiTheme="majorHAnsi" w:cstheme="majorHAnsi"/>
        </w:rPr>
        <w:t>.</w:t>
      </w:r>
      <w:r w:rsidR="00C509BB" w:rsidRPr="00CF39C8">
        <w:rPr>
          <w:rFonts w:asciiTheme="majorHAnsi" w:hAnsiTheme="majorHAnsi" w:cstheme="majorHAnsi"/>
        </w:rPr>
        <w:t xml:space="preserve"> </w:t>
      </w:r>
      <w:r w:rsidR="00106235" w:rsidRPr="00CF39C8">
        <w:rPr>
          <w:rFonts w:asciiTheme="majorHAnsi" w:hAnsiTheme="majorHAnsi" w:cstheme="majorHAnsi"/>
        </w:rPr>
        <w:t xml:space="preserve"> </w:t>
      </w:r>
    </w:p>
    <w:p w14:paraId="32BC7DE9" w14:textId="77777777" w:rsidR="00D539F8" w:rsidRPr="00CF39C8" w:rsidRDefault="00D539F8" w:rsidP="00D539F8">
      <w:pPr>
        <w:rPr>
          <w:rFonts w:asciiTheme="majorHAnsi" w:hAnsiTheme="majorHAnsi" w:cstheme="majorHAnsi"/>
        </w:rPr>
      </w:pPr>
      <w:r w:rsidRPr="00CF39C8">
        <w:rPr>
          <w:rFonts w:asciiTheme="majorHAnsi" w:hAnsiTheme="majorHAnsi" w:cstheme="majorHAnsi"/>
        </w:rPr>
        <w:t xml:space="preserve">This chapter seeks to </w:t>
      </w:r>
      <w:r w:rsidR="00007766" w:rsidRPr="00CF39C8">
        <w:rPr>
          <w:rFonts w:asciiTheme="majorHAnsi" w:hAnsiTheme="majorHAnsi" w:cstheme="majorHAnsi"/>
        </w:rPr>
        <w:t>outline</w:t>
      </w:r>
      <w:r w:rsidRPr="00CF39C8">
        <w:rPr>
          <w:rFonts w:asciiTheme="majorHAnsi" w:hAnsiTheme="majorHAnsi" w:cstheme="majorHAnsi"/>
        </w:rPr>
        <w:t xml:space="preserve">: </w:t>
      </w:r>
    </w:p>
    <w:p w14:paraId="0437186F" w14:textId="77777777" w:rsidR="00D539F8" w:rsidRPr="00CF39C8" w:rsidRDefault="00D539F8" w:rsidP="00430317">
      <w:pPr>
        <w:pStyle w:val="ListParagraph"/>
        <w:numPr>
          <w:ilvl w:val="0"/>
          <w:numId w:val="25"/>
        </w:numPr>
        <w:rPr>
          <w:rFonts w:asciiTheme="majorHAnsi" w:hAnsiTheme="majorHAnsi" w:cstheme="majorHAnsi"/>
        </w:rPr>
      </w:pPr>
      <w:r w:rsidRPr="00CF39C8">
        <w:rPr>
          <w:rFonts w:asciiTheme="majorHAnsi" w:hAnsiTheme="majorHAnsi" w:cstheme="majorHAnsi"/>
        </w:rPr>
        <w:t xml:space="preserve">The </w:t>
      </w:r>
      <w:r w:rsidR="00007766" w:rsidRPr="00CF39C8">
        <w:rPr>
          <w:rFonts w:asciiTheme="majorHAnsi" w:hAnsiTheme="majorHAnsi" w:cstheme="majorHAnsi"/>
        </w:rPr>
        <w:t>level of carbon pollution from new Australian cars, in the context of the transport sector overall</w:t>
      </w:r>
      <w:r w:rsidR="00164771" w:rsidRPr="00CF39C8">
        <w:rPr>
          <w:rFonts w:asciiTheme="majorHAnsi" w:hAnsiTheme="majorHAnsi" w:cstheme="majorHAnsi"/>
        </w:rPr>
        <w:t>;</w:t>
      </w:r>
    </w:p>
    <w:p w14:paraId="50B1040F" w14:textId="77777777" w:rsidR="00164771" w:rsidRPr="00CF39C8" w:rsidRDefault="00164771" w:rsidP="00430317">
      <w:pPr>
        <w:pStyle w:val="ListParagraph"/>
        <w:numPr>
          <w:ilvl w:val="0"/>
          <w:numId w:val="25"/>
        </w:numPr>
        <w:rPr>
          <w:rFonts w:asciiTheme="majorHAnsi" w:hAnsiTheme="majorHAnsi" w:cstheme="majorHAnsi"/>
        </w:rPr>
      </w:pPr>
      <w:r w:rsidRPr="00CF39C8">
        <w:rPr>
          <w:rFonts w:asciiTheme="majorHAnsi" w:hAnsiTheme="majorHAnsi" w:cstheme="majorHAnsi"/>
        </w:rPr>
        <w:t xml:space="preserve">The lack of zero </w:t>
      </w:r>
      <w:r w:rsidR="00FB5021" w:rsidRPr="00CF39C8">
        <w:rPr>
          <w:rFonts w:asciiTheme="majorHAnsi" w:hAnsiTheme="majorHAnsi" w:cstheme="majorHAnsi"/>
        </w:rPr>
        <w:t xml:space="preserve">or low </w:t>
      </w:r>
      <w:r w:rsidRPr="00CF39C8">
        <w:rPr>
          <w:rFonts w:asciiTheme="majorHAnsi" w:hAnsiTheme="majorHAnsi" w:cstheme="majorHAnsi"/>
        </w:rPr>
        <w:t>emissions vehicle choices in Australia, compared to other markets</w:t>
      </w:r>
      <w:r w:rsidR="00717E4C" w:rsidRPr="00CF39C8">
        <w:rPr>
          <w:rFonts w:asciiTheme="majorHAnsi" w:hAnsiTheme="majorHAnsi" w:cstheme="majorHAnsi"/>
        </w:rPr>
        <w:t>;</w:t>
      </w:r>
      <w:r w:rsidRPr="00CF39C8">
        <w:rPr>
          <w:rFonts w:asciiTheme="majorHAnsi" w:hAnsiTheme="majorHAnsi" w:cstheme="majorHAnsi"/>
        </w:rPr>
        <w:t xml:space="preserve">  </w:t>
      </w:r>
    </w:p>
    <w:p w14:paraId="31F593F5" w14:textId="77777777" w:rsidR="00D539F8" w:rsidRPr="00CF39C8" w:rsidRDefault="00D539F8" w:rsidP="00430317">
      <w:pPr>
        <w:pStyle w:val="ListParagraph"/>
        <w:numPr>
          <w:ilvl w:val="0"/>
          <w:numId w:val="25"/>
        </w:numPr>
        <w:rPr>
          <w:rFonts w:asciiTheme="majorHAnsi" w:hAnsiTheme="majorHAnsi" w:cstheme="majorHAnsi"/>
        </w:rPr>
      </w:pPr>
      <w:r w:rsidRPr="00CF39C8">
        <w:rPr>
          <w:rFonts w:asciiTheme="majorHAnsi" w:hAnsiTheme="majorHAnsi" w:cstheme="majorHAnsi"/>
        </w:rPr>
        <w:t>The impact that high fuel prices are having on everyday Australians</w:t>
      </w:r>
      <w:r w:rsidR="004C1C6F" w:rsidRPr="00CF39C8">
        <w:rPr>
          <w:rFonts w:asciiTheme="majorHAnsi" w:hAnsiTheme="majorHAnsi" w:cstheme="majorHAnsi"/>
        </w:rPr>
        <w:t>; and</w:t>
      </w:r>
    </w:p>
    <w:p w14:paraId="3539F60C" w14:textId="77777777" w:rsidR="007B33AD" w:rsidRDefault="003A6B9F" w:rsidP="00430317">
      <w:pPr>
        <w:pStyle w:val="ListParagraph"/>
        <w:numPr>
          <w:ilvl w:val="0"/>
          <w:numId w:val="25"/>
        </w:numPr>
        <w:rPr>
          <w:rFonts w:asciiTheme="majorHAnsi" w:hAnsiTheme="majorHAnsi" w:cstheme="majorHAnsi"/>
        </w:rPr>
      </w:pPr>
      <w:r w:rsidRPr="00CF39C8">
        <w:rPr>
          <w:rFonts w:asciiTheme="majorHAnsi" w:hAnsiTheme="majorHAnsi" w:cstheme="majorHAnsi"/>
        </w:rPr>
        <w:t>T</w:t>
      </w:r>
      <w:r w:rsidR="00025997" w:rsidRPr="00CF39C8">
        <w:rPr>
          <w:rFonts w:asciiTheme="majorHAnsi" w:hAnsiTheme="majorHAnsi" w:cstheme="majorHAnsi"/>
        </w:rPr>
        <w:t>he data that is available about vehicle use and emissions</w:t>
      </w:r>
      <w:r w:rsidR="004C1C6F" w:rsidRPr="00CF39C8">
        <w:rPr>
          <w:rFonts w:asciiTheme="majorHAnsi" w:hAnsiTheme="majorHAnsi" w:cstheme="majorHAnsi"/>
        </w:rPr>
        <w:t xml:space="preserve"> in Australia and around the world.</w:t>
      </w:r>
    </w:p>
    <w:p w14:paraId="0BA0EE3F" w14:textId="77777777" w:rsidR="00F84068" w:rsidRPr="00F84068" w:rsidRDefault="00F84068" w:rsidP="00F84068">
      <w:pPr>
        <w:rPr>
          <w:rFonts w:asciiTheme="majorHAnsi" w:hAnsiTheme="majorHAnsi" w:cstheme="majorHAnsi"/>
        </w:rPr>
      </w:pPr>
    </w:p>
    <w:p w14:paraId="37E0B018" w14:textId="77777777" w:rsidR="00805D20" w:rsidRPr="00CF39C8" w:rsidRDefault="00C06ACC" w:rsidP="00430317">
      <w:pPr>
        <w:pStyle w:val="Heading2"/>
        <w:numPr>
          <w:ilvl w:val="1"/>
          <w:numId w:val="59"/>
        </w:numPr>
        <w:ind w:hanging="792"/>
        <w:rPr>
          <w:rFonts w:cstheme="majorHAnsi"/>
        </w:rPr>
      </w:pPr>
      <w:bookmarkStart w:id="71" w:name="_Toc148036165"/>
      <w:bookmarkStart w:id="72" w:name="_Toc148036616"/>
      <w:bookmarkStart w:id="73" w:name="_Toc148037910"/>
      <w:bookmarkStart w:id="74" w:name="_Toc147687350"/>
      <w:bookmarkStart w:id="75" w:name="_Toc147691333"/>
      <w:bookmarkStart w:id="76" w:name="_Toc147699477"/>
      <w:bookmarkStart w:id="77" w:name="_Toc147687351"/>
      <w:bookmarkStart w:id="78" w:name="_Toc147691334"/>
      <w:bookmarkStart w:id="79" w:name="_Toc147699478"/>
      <w:bookmarkStart w:id="80" w:name="_Toc150427489"/>
      <w:bookmarkStart w:id="81" w:name="_Toc161837645"/>
      <w:bookmarkStart w:id="82" w:name="_Toc161933143"/>
      <w:bookmarkStart w:id="83" w:name="_Toc162276450"/>
      <w:bookmarkStart w:id="84" w:name="_Toc163221046"/>
      <w:bookmarkStart w:id="85" w:name="_Toc147833227"/>
      <w:bookmarkEnd w:id="71"/>
      <w:bookmarkEnd w:id="72"/>
      <w:bookmarkEnd w:id="73"/>
      <w:bookmarkEnd w:id="74"/>
      <w:bookmarkEnd w:id="75"/>
      <w:bookmarkEnd w:id="76"/>
      <w:bookmarkEnd w:id="77"/>
      <w:bookmarkEnd w:id="78"/>
      <w:bookmarkEnd w:id="79"/>
      <w:r w:rsidRPr="00CF39C8">
        <w:t>Australians don’t currently have access to the same fuel-efficient cars as other jurisdictions…</w:t>
      </w:r>
      <w:bookmarkEnd w:id="80"/>
      <w:bookmarkEnd w:id="81"/>
      <w:bookmarkEnd w:id="82"/>
      <w:bookmarkEnd w:id="83"/>
      <w:bookmarkEnd w:id="84"/>
    </w:p>
    <w:p w14:paraId="41D04DF4" w14:textId="77777777" w:rsidR="00164771" w:rsidRPr="00CF39C8" w:rsidRDefault="00164771" w:rsidP="00164771">
      <w:pPr>
        <w:rPr>
          <w:rFonts w:asciiTheme="majorHAnsi" w:hAnsiTheme="majorHAnsi" w:cstheme="majorHAnsi"/>
        </w:rPr>
      </w:pPr>
      <w:r w:rsidRPr="00CF39C8">
        <w:rPr>
          <w:rFonts w:cstheme="majorHAnsi"/>
        </w:rPr>
        <w:t>Globally</w:t>
      </w:r>
      <w:r w:rsidRPr="00CF39C8">
        <w:rPr>
          <w:rFonts w:asciiTheme="majorHAnsi" w:hAnsiTheme="majorHAnsi" w:cstheme="majorHAnsi"/>
        </w:rPr>
        <w:t xml:space="preserve">, and for decades, car manufacturers have been developing new technologies and materials designed to improve the fuel efficiency of cars. However, the type of vehicles and technologies vary depending on where the vehicle is manufactured and </w:t>
      </w:r>
      <w:r w:rsidR="0095225F" w:rsidRPr="00CF39C8">
        <w:rPr>
          <w:rFonts w:asciiTheme="majorHAnsi" w:hAnsiTheme="majorHAnsi" w:cstheme="majorHAnsi"/>
        </w:rPr>
        <w:t xml:space="preserve">to </w:t>
      </w:r>
      <w:r w:rsidRPr="00CF39C8">
        <w:rPr>
          <w:rFonts w:asciiTheme="majorHAnsi" w:hAnsiTheme="majorHAnsi" w:cstheme="majorHAnsi"/>
        </w:rPr>
        <w:t>which market the cars are supplied.</w:t>
      </w:r>
    </w:p>
    <w:p w14:paraId="6F4B5D2F" w14:textId="77777777" w:rsidR="00164771" w:rsidRPr="00CF39C8" w:rsidRDefault="00164771" w:rsidP="007B64C2">
      <w:pPr>
        <w:rPr>
          <w:rFonts w:asciiTheme="majorHAnsi" w:hAnsiTheme="majorHAnsi" w:cstheme="majorHAnsi"/>
        </w:rPr>
      </w:pPr>
      <w:r w:rsidRPr="00CF39C8">
        <w:rPr>
          <w:rFonts w:asciiTheme="majorHAnsi" w:hAnsiTheme="majorHAnsi" w:cstheme="majorHAnsi"/>
        </w:rPr>
        <w:t xml:space="preserve">Compared to cars in other jurisdictions, new cars supplied to Australia use more fuel per kilometre. </w:t>
      </w:r>
      <w:r w:rsidR="0053575D" w:rsidRPr="00CF39C8">
        <w:rPr>
          <w:rFonts w:asciiTheme="majorHAnsi" w:hAnsiTheme="majorHAnsi" w:cstheme="majorHAnsi"/>
        </w:rPr>
        <w:t xml:space="preserve">As </w:t>
      </w:r>
      <w:r w:rsidR="00321E51" w:rsidRPr="00CF39C8">
        <w:rPr>
          <w:rFonts w:asciiTheme="majorHAnsi" w:hAnsiTheme="majorHAnsi" w:cstheme="majorHAnsi"/>
        </w:rPr>
        <w:t>outlined</w:t>
      </w:r>
      <w:r w:rsidR="0053575D" w:rsidRPr="00CF39C8">
        <w:rPr>
          <w:rFonts w:asciiTheme="majorHAnsi" w:hAnsiTheme="majorHAnsi" w:cstheme="majorHAnsi"/>
        </w:rPr>
        <w:t xml:space="preserve"> above, m</w:t>
      </w:r>
      <w:r w:rsidRPr="00CF39C8">
        <w:rPr>
          <w:rFonts w:asciiTheme="majorHAnsi" w:hAnsiTheme="majorHAnsi" w:cstheme="majorHAnsi"/>
        </w:rPr>
        <w:t>anufacturers supply cars to the Australian market that aren’t as fuel</w:t>
      </w:r>
      <w:r w:rsidR="00750F0B" w:rsidRPr="00CF39C8">
        <w:rPr>
          <w:rFonts w:asciiTheme="majorHAnsi" w:hAnsiTheme="majorHAnsi" w:cstheme="majorHAnsi"/>
        </w:rPr>
        <w:t>-</w:t>
      </w:r>
      <w:r w:rsidRPr="00CF39C8">
        <w:rPr>
          <w:rFonts w:asciiTheme="majorHAnsi" w:hAnsiTheme="majorHAnsi" w:cstheme="majorHAnsi"/>
        </w:rPr>
        <w:t xml:space="preserve">efficient as the cars they supply to other markets. </w:t>
      </w:r>
      <w:r w:rsidR="007B64C2" w:rsidRPr="00CF39C8">
        <w:rPr>
          <w:rFonts w:asciiTheme="majorHAnsi" w:hAnsiTheme="majorHAnsi" w:cstheme="majorHAnsi"/>
        </w:rPr>
        <w:t>G</w:t>
      </w:r>
      <w:r w:rsidRPr="00CF39C8">
        <w:rPr>
          <w:rFonts w:asciiTheme="majorHAnsi" w:hAnsiTheme="majorHAnsi" w:cstheme="majorHAnsi"/>
        </w:rPr>
        <w:t>lobal vehicle manufacturers</w:t>
      </w:r>
      <w:r w:rsidRPr="00CF39C8">
        <w:rPr>
          <w:rFonts w:asciiTheme="majorHAnsi" w:hAnsiTheme="majorHAnsi" w:cstheme="majorHAnsi"/>
          <w:b/>
        </w:rPr>
        <w:t xml:space="preserve"> </w:t>
      </w:r>
      <w:r w:rsidRPr="00CF39C8">
        <w:rPr>
          <w:rFonts w:asciiTheme="majorHAnsi" w:hAnsiTheme="majorHAnsi" w:cstheme="majorHAnsi"/>
        </w:rPr>
        <w:t xml:space="preserve">are not currently offering the same range of fuel-efficient vehicles, including </w:t>
      </w:r>
      <w:r w:rsidR="008874EC" w:rsidRPr="00CF39C8">
        <w:rPr>
          <w:rFonts w:asciiTheme="majorHAnsi" w:hAnsiTheme="majorHAnsi" w:cstheme="majorHAnsi"/>
        </w:rPr>
        <w:t xml:space="preserve">plug-in hybrid electric vehicles (PHEV), hybrid electric vehicle (HEV) models, and </w:t>
      </w:r>
      <w:r w:rsidRPr="00CF39C8">
        <w:rPr>
          <w:rFonts w:asciiTheme="majorHAnsi" w:hAnsiTheme="majorHAnsi" w:cstheme="majorHAnsi"/>
        </w:rPr>
        <w:t>electric vehicles (EV</w:t>
      </w:r>
      <w:r w:rsidR="008874EC" w:rsidRPr="00CF39C8">
        <w:rPr>
          <w:rFonts w:asciiTheme="majorHAnsi" w:hAnsiTheme="majorHAnsi" w:cstheme="majorHAnsi"/>
        </w:rPr>
        <w:t>s</w:t>
      </w:r>
      <w:r w:rsidRPr="00CF39C8">
        <w:rPr>
          <w:rFonts w:asciiTheme="majorHAnsi" w:hAnsiTheme="majorHAnsi" w:cstheme="majorHAnsi"/>
        </w:rPr>
        <w:t>)</w:t>
      </w:r>
      <w:r w:rsidRPr="00CF39C8" w:rsidDel="00032CCC">
        <w:rPr>
          <w:rFonts w:asciiTheme="majorHAnsi" w:hAnsiTheme="majorHAnsi" w:cstheme="majorHAnsi"/>
        </w:rPr>
        <w:t xml:space="preserve">, </w:t>
      </w:r>
      <w:r w:rsidRPr="00CF39C8">
        <w:rPr>
          <w:rFonts w:asciiTheme="majorHAnsi" w:hAnsiTheme="majorHAnsi" w:cstheme="majorHAnsi"/>
        </w:rPr>
        <w:t xml:space="preserve">for distribution in Australia. In 2022, there were 500 EV models available globally, compared to </w:t>
      </w:r>
      <w:r w:rsidR="00DA3116">
        <w:rPr>
          <w:rFonts w:asciiTheme="majorHAnsi" w:hAnsiTheme="majorHAnsi" w:cstheme="majorHAnsi"/>
        </w:rPr>
        <w:t>around 100</w:t>
      </w:r>
      <w:r w:rsidRPr="00CF39C8">
        <w:rPr>
          <w:rFonts w:asciiTheme="majorHAnsi" w:hAnsiTheme="majorHAnsi" w:cstheme="majorHAnsi"/>
        </w:rPr>
        <w:t xml:space="preserve"> EV models available for sale in Australia</w:t>
      </w:r>
      <w:r w:rsidR="00DA3116">
        <w:rPr>
          <w:rFonts w:asciiTheme="majorHAnsi" w:hAnsiTheme="majorHAnsi" w:cstheme="majorHAnsi"/>
        </w:rPr>
        <w:t xml:space="preserve"> (56 BEVs, 43 PHEVs)</w:t>
      </w:r>
      <w:r w:rsidRPr="00CF39C8">
        <w:rPr>
          <w:rFonts w:asciiTheme="majorHAnsi" w:hAnsiTheme="majorHAnsi" w:cstheme="majorHAnsi"/>
        </w:rPr>
        <w:t>.</w:t>
      </w:r>
      <w:r w:rsidR="00DA3116">
        <w:rPr>
          <w:rStyle w:val="EndnoteReference"/>
          <w:rFonts w:asciiTheme="majorHAnsi" w:hAnsiTheme="majorHAnsi" w:cstheme="majorHAnsi"/>
        </w:rPr>
        <w:endnoteReference w:id="4"/>
      </w:r>
      <w:r w:rsidRPr="00CF39C8">
        <w:rPr>
          <w:rFonts w:asciiTheme="majorHAnsi" w:hAnsiTheme="majorHAnsi" w:cstheme="majorHAnsi"/>
        </w:rPr>
        <w:t xml:space="preserve"> The US, NZ, the EU, the UK, and China all had higher number</w:t>
      </w:r>
      <w:r w:rsidR="00990C75" w:rsidRPr="00CF39C8">
        <w:rPr>
          <w:rFonts w:asciiTheme="majorHAnsi" w:hAnsiTheme="majorHAnsi" w:cstheme="majorHAnsi"/>
        </w:rPr>
        <w:t>s</w:t>
      </w:r>
      <w:r w:rsidRPr="00CF39C8">
        <w:rPr>
          <w:rFonts w:asciiTheme="majorHAnsi" w:hAnsiTheme="majorHAnsi" w:cstheme="majorHAnsi"/>
        </w:rPr>
        <w:t xml:space="preserve"> of EV models</w:t>
      </w:r>
      <w:r w:rsidR="0095225F" w:rsidRPr="00CF39C8">
        <w:rPr>
          <w:rFonts w:asciiTheme="majorHAnsi" w:hAnsiTheme="majorHAnsi" w:cstheme="majorHAnsi"/>
        </w:rPr>
        <w:t xml:space="preserve"> available</w:t>
      </w:r>
      <w:r w:rsidRPr="00CF39C8">
        <w:rPr>
          <w:rFonts w:asciiTheme="majorHAnsi" w:hAnsiTheme="majorHAnsi" w:cstheme="majorHAnsi"/>
        </w:rPr>
        <w:t xml:space="preserve"> than Australia.</w:t>
      </w:r>
      <w:r w:rsidR="00067ECB" w:rsidRPr="00CF39C8">
        <w:rPr>
          <w:rFonts w:asciiTheme="majorHAnsi" w:hAnsiTheme="majorHAnsi" w:cstheme="majorHAnsi"/>
        </w:rPr>
        <w:t xml:space="preserve"> </w:t>
      </w:r>
      <w:r w:rsidR="00BD36AF" w:rsidRPr="00CF39C8">
        <w:rPr>
          <w:rFonts w:asciiTheme="majorHAnsi" w:hAnsiTheme="majorHAnsi" w:cstheme="majorHAnsi"/>
        </w:rPr>
        <w:t>C</w:t>
      </w:r>
      <w:r w:rsidR="00067ECB" w:rsidRPr="00CF39C8">
        <w:rPr>
          <w:rFonts w:asciiTheme="majorHAnsi" w:hAnsiTheme="majorHAnsi" w:cstheme="majorHAnsi"/>
        </w:rPr>
        <w:t>ompared to other markets, Australia also lacks access to more efficient ICE vehicles (as the average CO</w:t>
      </w:r>
      <w:r w:rsidR="00067ECB" w:rsidRPr="00CF39C8">
        <w:rPr>
          <w:rFonts w:asciiTheme="majorHAnsi" w:hAnsiTheme="majorHAnsi" w:cstheme="majorHAnsi"/>
          <w:vertAlign w:val="subscript"/>
        </w:rPr>
        <w:t>2</w:t>
      </w:r>
      <w:r w:rsidR="00067ECB" w:rsidRPr="00CF39C8">
        <w:rPr>
          <w:rFonts w:asciiTheme="majorHAnsi" w:hAnsiTheme="majorHAnsi" w:cstheme="majorHAnsi"/>
        </w:rPr>
        <w:t xml:space="preserve"> g/km of different jurisdictions is testament to). </w:t>
      </w:r>
    </w:p>
    <w:p w14:paraId="3942C238" w14:textId="77777777" w:rsidR="00F9746D" w:rsidRPr="00CF39C8" w:rsidRDefault="00F9746D" w:rsidP="00F9746D">
      <w:pPr>
        <w:rPr>
          <w:rFonts w:asciiTheme="majorHAnsi" w:eastAsia="Times New Roman" w:hAnsiTheme="majorHAnsi" w:cstheme="majorHAnsi"/>
        </w:rPr>
      </w:pPr>
      <w:r w:rsidRPr="00CF39C8">
        <w:rPr>
          <w:rFonts w:asciiTheme="majorHAnsi" w:hAnsiTheme="majorHAnsi" w:cstheme="majorHAnsi"/>
        </w:rPr>
        <w:t xml:space="preserve">Stakeholders have made clear that the driver for this lack of supply is the absence of a mandatory </w:t>
      </w:r>
      <w:r w:rsidR="00D612C1" w:rsidRPr="00CF39C8">
        <w:rPr>
          <w:rFonts w:asciiTheme="majorHAnsi" w:hAnsiTheme="majorHAnsi" w:cstheme="majorHAnsi"/>
        </w:rPr>
        <w:t>NVES</w:t>
      </w:r>
      <w:r w:rsidRPr="00CF39C8">
        <w:rPr>
          <w:rFonts w:asciiTheme="majorHAnsi" w:hAnsiTheme="majorHAnsi" w:cstheme="majorHAnsi"/>
        </w:rPr>
        <w:t xml:space="preserve"> in Australia, placing Australian consumers at a disadvantage compared to those overseas. </w:t>
      </w:r>
      <w:r w:rsidR="00990C75" w:rsidRPr="00CF39C8">
        <w:rPr>
          <w:rFonts w:asciiTheme="majorHAnsi" w:eastAsia="Times New Roman" w:hAnsiTheme="majorHAnsi" w:cstheme="majorHAnsi"/>
        </w:rPr>
        <w:t xml:space="preserve">For </w:t>
      </w:r>
      <w:r w:rsidR="000377AE" w:rsidRPr="00CF39C8">
        <w:rPr>
          <w:rFonts w:asciiTheme="majorHAnsi" w:eastAsia="Times New Roman" w:hAnsiTheme="majorHAnsi" w:cstheme="majorHAnsi"/>
        </w:rPr>
        <w:t>example,</w:t>
      </w:r>
      <w:r w:rsidR="00990C75" w:rsidRPr="00CF39C8">
        <w:rPr>
          <w:rFonts w:asciiTheme="majorHAnsi" w:eastAsia="Times New Roman" w:hAnsiTheme="majorHAnsi" w:cstheme="majorHAnsi"/>
        </w:rPr>
        <w:t xml:space="preserve"> in</w:t>
      </w:r>
      <w:r w:rsidR="00C24A88" w:rsidRPr="00CF39C8">
        <w:rPr>
          <w:rFonts w:asciiTheme="majorHAnsi" w:eastAsia="Times New Roman" w:hAnsiTheme="majorHAnsi" w:cstheme="majorHAnsi"/>
        </w:rPr>
        <w:t xml:space="preserve"> 2021,</w:t>
      </w:r>
      <w:r w:rsidRPr="00CF39C8">
        <w:rPr>
          <w:rFonts w:asciiTheme="majorHAnsi" w:eastAsia="Times New Roman" w:hAnsiTheme="majorHAnsi" w:cstheme="majorHAnsi"/>
        </w:rPr>
        <w:t xml:space="preserve"> the former head of VW Group Australia, Michael Bartsch stated that “unless a CO</w:t>
      </w:r>
      <w:r w:rsidRPr="00CF39C8">
        <w:rPr>
          <w:rFonts w:asciiTheme="majorHAnsi" w:eastAsia="Times New Roman" w:hAnsiTheme="majorHAnsi" w:cstheme="majorHAnsi"/>
          <w:vertAlign w:val="subscript"/>
        </w:rPr>
        <w:t>2</w:t>
      </w:r>
      <w:r w:rsidRPr="00CF39C8">
        <w:rPr>
          <w:rFonts w:asciiTheme="majorHAnsi" w:eastAsia="Times New Roman" w:hAnsiTheme="majorHAnsi" w:cstheme="majorHAnsi"/>
        </w:rPr>
        <w:t xml:space="preserve"> target is set [in Australia], manufacturers will continue to prioritise modern markets both for zero emission vehicles and the most efficient conventional engines”</w:t>
      </w:r>
      <w:r w:rsidRPr="00CF39C8">
        <w:rPr>
          <w:rStyle w:val="FootnoteReference"/>
          <w:rFonts w:asciiTheme="majorHAnsi" w:eastAsia="Times New Roman" w:hAnsiTheme="majorHAnsi" w:cstheme="majorHAnsi"/>
        </w:rPr>
        <w:t xml:space="preserve"> </w:t>
      </w:r>
      <w:r w:rsidR="002A1792" w:rsidRPr="00CF39C8">
        <w:rPr>
          <w:rStyle w:val="EndnoteReference"/>
          <w:rFonts w:asciiTheme="majorHAnsi" w:eastAsia="Times New Roman" w:hAnsiTheme="majorHAnsi" w:cstheme="majorHAnsi"/>
        </w:rPr>
        <w:endnoteReference w:id="5"/>
      </w:r>
      <w:r w:rsidRPr="00CF39C8">
        <w:rPr>
          <w:rFonts w:asciiTheme="majorHAnsi" w:eastAsia="Times New Roman" w:hAnsiTheme="majorHAnsi" w:cstheme="majorHAnsi"/>
        </w:rPr>
        <w:t xml:space="preserve"> and that “markets where there are punitive fines if they don’t are naturally first in line for zero emission vehicles</w:t>
      </w:r>
      <w:r w:rsidR="002C5D3B" w:rsidRPr="00CF39C8">
        <w:rPr>
          <w:rFonts w:asciiTheme="majorHAnsi" w:eastAsia="Times New Roman" w:hAnsiTheme="majorHAnsi" w:cstheme="majorHAnsi"/>
        </w:rPr>
        <w:t>”</w:t>
      </w:r>
      <w:r w:rsidRPr="00CF39C8">
        <w:rPr>
          <w:rFonts w:asciiTheme="majorHAnsi" w:eastAsia="Times New Roman" w:hAnsiTheme="majorHAnsi" w:cstheme="majorHAnsi"/>
        </w:rPr>
        <w:t>.</w:t>
      </w:r>
      <w:r w:rsidRPr="00CF39C8">
        <w:rPr>
          <w:rStyle w:val="FootnoteReference"/>
          <w:rFonts w:asciiTheme="majorHAnsi" w:eastAsia="Times New Roman" w:hAnsiTheme="majorHAnsi" w:cstheme="majorHAnsi"/>
        </w:rPr>
        <w:t xml:space="preserve"> </w:t>
      </w:r>
      <w:r w:rsidR="002A1792" w:rsidRPr="00CF39C8">
        <w:rPr>
          <w:rStyle w:val="EndnoteReference"/>
          <w:rFonts w:asciiTheme="majorHAnsi" w:eastAsia="Times New Roman" w:hAnsiTheme="majorHAnsi" w:cstheme="majorHAnsi"/>
        </w:rPr>
        <w:endnoteReference w:id="6"/>
      </w:r>
      <w:r w:rsidRPr="00CF39C8">
        <w:rPr>
          <w:rStyle w:val="FootnoteReference"/>
          <w:rFonts w:asciiTheme="majorHAnsi" w:eastAsia="Times New Roman" w:hAnsiTheme="majorHAnsi" w:cstheme="majorHAnsi"/>
        </w:rPr>
        <w:t>,</w:t>
      </w:r>
      <w:r w:rsidR="002A1792" w:rsidRPr="00CF39C8">
        <w:rPr>
          <w:rStyle w:val="EndnoteReference"/>
          <w:rFonts w:asciiTheme="majorHAnsi" w:eastAsia="Times New Roman" w:hAnsiTheme="majorHAnsi" w:cstheme="majorHAnsi"/>
        </w:rPr>
        <w:endnoteReference w:id="7"/>
      </w:r>
    </w:p>
    <w:p w14:paraId="5121B8C8" w14:textId="77777777" w:rsidR="000608D4" w:rsidRPr="00CF39C8" w:rsidRDefault="000377AE" w:rsidP="00141083">
      <w:pPr>
        <w:rPr>
          <w:rFonts w:asciiTheme="majorHAnsi" w:hAnsiTheme="majorHAnsi" w:cstheme="majorHAnsi"/>
        </w:rPr>
      </w:pPr>
      <w:r w:rsidRPr="00CF39C8">
        <w:rPr>
          <w:rFonts w:asciiTheme="majorHAnsi" w:hAnsiTheme="majorHAnsi" w:cstheme="majorHAnsi"/>
        </w:rPr>
        <w:t>The</w:t>
      </w:r>
      <w:r w:rsidR="002C5D3B" w:rsidRPr="00CF39C8">
        <w:rPr>
          <w:rFonts w:asciiTheme="majorHAnsi" w:hAnsiTheme="majorHAnsi" w:cstheme="majorHAnsi"/>
        </w:rPr>
        <w:t xml:space="preserve"> lack of improvement </w:t>
      </w:r>
      <w:r w:rsidR="00141083" w:rsidRPr="00CF39C8">
        <w:rPr>
          <w:rFonts w:asciiTheme="majorHAnsi" w:hAnsiTheme="majorHAnsi" w:cstheme="majorHAnsi"/>
        </w:rPr>
        <w:t xml:space="preserve">at the same rate as other jurisdictions </w:t>
      </w:r>
      <w:r w:rsidR="002C5D3B" w:rsidRPr="00CF39C8">
        <w:rPr>
          <w:rFonts w:asciiTheme="majorHAnsi" w:hAnsiTheme="majorHAnsi" w:cstheme="majorHAnsi"/>
        </w:rPr>
        <w:t>is not for technical reasons. On the contrary, t</w:t>
      </w:r>
      <w:r w:rsidR="000608D4" w:rsidRPr="00CF39C8">
        <w:rPr>
          <w:rFonts w:asciiTheme="majorHAnsi" w:hAnsiTheme="majorHAnsi" w:cstheme="majorHAnsi"/>
        </w:rPr>
        <w:t xml:space="preserve">he fuel efficiency of a vehicle with an internal combustion engine can be improved in a number of ways, from engine design to a vehicle’s weight, the type of tyres and its aerodynamics. </w:t>
      </w:r>
      <w:r w:rsidR="00F95F07" w:rsidRPr="00CF39C8">
        <w:rPr>
          <w:rFonts w:asciiTheme="majorHAnsi" w:hAnsiTheme="majorHAnsi" w:cstheme="majorHAnsi"/>
        </w:rPr>
        <w:t xml:space="preserve">Figure </w:t>
      </w:r>
      <w:r w:rsidR="0023600C">
        <w:rPr>
          <w:rFonts w:asciiTheme="majorHAnsi" w:hAnsiTheme="majorHAnsi" w:cstheme="majorHAnsi"/>
        </w:rPr>
        <w:t>9</w:t>
      </w:r>
      <w:r w:rsidR="000608D4" w:rsidRPr="00CF39C8">
        <w:rPr>
          <w:rFonts w:asciiTheme="majorHAnsi" w:hAnsiTheme="majorHAnsi" w:cstheme="majorHAnsi"/>
        </w:rPr>
        <w:t xml:space="preserve"> demonstrates some of the technological options available to improve fuel efficiency. </w:t>
      </w:r>
      <w:r w:rsidR="000616A0" w:rsidRPr="00CF39C8">
        <w:rPr>
          <w:rFonts w:asciiTheme="majorHAnsi" w:hAnsiTheme="majorHAnsi" w:cstheme="majorHAnsi"/>
        </w:rPr>
        <w:t>T</w:t>
      </w:r>
      <w:r w:rsidR="000608D4" w:rsidRPr="00CF39C8">
        <w:rPr>
          <w:rFonts w:asciiTheme="majorHAnsi" w:hAnsiTheme="majorHAnsi" w:cstheme="majorHAnsi"/>
        </w:rPr>
        <w:t>he</w:t>
      </w:r>
      <w:r w:rsidR="002C5D3B" w:rsidRPr="00CF39C8">
        <w:rPr>
          <w:rFonts w:asciiTheme="majorHAnsi" w:hAnsiTheme="majorHAnsi" w:cstheme="majorHAnsi"/>
        </w:rPr>
        <w:t>re are</w:t>
      </w:r>
      <w:r w:rsidR="000608D4" w:rsidRPr="00CF39C8">
        <w:rPr>
          <w:rFonts w:asciiTheme="majorHAnsi" w:hAnsiTheme="majorHAnsi" w:cstheme="majorHAnsi"/>
        </w:rPr>
        <w:t xml:space="preserve"> two other possibilities for why the fuel efficiency of new vehicles being sold into Australia has not </w:t>
      </w:r>
      <w:r w:rsidR="00D15D0C" w:rsidRPr="00CF39C8">
        <w:rPr>
          <w:rFonts w:asciiTheme="majorHAnsi" w:hAnsiTheme="majorHAnsi" w:cstheme="majorHAnsi"/>
        </w:rPr>
        <w:t>improved</w:t>
      </w:r>
      <w:r w:rsidR="000608D4" w:rsidRPr="00CF39C8">
        <w:rPr>
          <w:rFonts w:asciiTheme="majorHAnsi" w:hAnsiTheme="majorHAnsi" w:cstheme="majorHAnsi"/>
        </w:rPr>
        <w:t xml:space="preserve">: </w:t>
      </w:r>
    </w:p>
    <w:p w14:paraId="15BAB3B7" w14:textId="77777777" w:rsidR="000608D4" w:rsidRPr="00CF39C8" w:rsidRDefault="00BB725F" w:rsidP="00430317">
      <w:pPr>
        <w:pStyle w:val="ListParagraph"/>
        <w:numPr>
          <w:ilvl w:val="0"/>
          <w:numId w:val="26"/>
        </w:numPr>
        <w:ind w:left="851" w:hanging="425"/>
        <w:rPr>
          <w:rFonts w:asciiTheme="majorHAnsi" w:hAnsiTheme="majorHAnsi" w:cstheme="majorHAnsi"/>
        </w:rPr>
      </w:pPr>
      <w:r w:rsidRPr="00CF39C8">
        <w:rPr>
          <w:rFonts w:asciiTheme="majorHAnsi" w:hAnsiTheme="majorHAnsi" w:cstheme="majorHAnsi"/>
          <w:b/>
        </w:rPr>
        <w:t>Demand side</w:t>
      </w:r>
      <w:r w:rsidRPr="00CF39C8">
        <w:rPr>
          <w:rFonts w:asciiTheme="majorHAnsi" w:hAnsiTheme="majorHAnsi" w:cstheme="majorHAnsi"/>
        </w:rPr>
        <w:t xml:space="preserve">: </w:t>
      </w:r>
      <w:r w:rsidR="000616A0" w:rsidRPr="00CF39C8">
        <w:rPr>
          <w:rFonts w:asciiTheme="majorHAnsi" w:hAnsiTheme="majorHAnsi" w:cstheme="majorHAnsi"/>
        </w:rPr>
        <w:t>Over time, c</w:t>
      </w:r>
      <w:r w:rsidR="000608D4" w:rsidRPr="00CF39C8">
        <w:rPr>
          <w:rFonts w:asciiTheme="majorHAnsi" w:hAnsiTheme="majorHAnsi" w:cstheme="majorHAnsi"/>
        </w:rPr>
        <w:t xml:space="preserve">onsumers have </w:t>
      </w:r>
      <w:r w:rsidR="000616A0" w:rsidRPr="00CF39C8">
        <w:rPr>
          <w:rFonts w:asciiTheme="majorHAnsi" w:hAnsiTheme="majorHAnsi" w:cstheme="majorHAnsi"/>
        </w:rPr>
        <w:t xml:space="preserve">come to prefer </w:t>
      </w:r>
      <w:r w:rsidR="00B46D95" w:rsidRPr="00CF39C8">
        <w:rPr>
          <w:rFonts w:asciiTheme="majorHAnsi" w:hAnsiTheme="majorHAnsi" w:cstheme="majorHAnsi"/>
        </w:rPr>
        <w:t xml:space="preserve">larger, </w:t>
      </w:r>
      <w:r w:rsidR="000608D4" w:rsidRPr="00CF39C8">
        <w:rPr>
          <w:rFonts w:asciiTheme="majorHAnsi" w:hAnsiTheme="majorHAnsi" w:cstheme="majorHAnsi"/>
        </w:rPr>
        <w:t>less fuel-efficient vehicles</w:t>
      </w:r>
      <w:r w:rsidR="000616A0" w:rsidRPr="00CF39C8">
        <w:rPr>
          <w:rFonts w:asciiTheme="majorHAnsi" w:hAnsiTheme="majorHAnsi" w:cstheme="majorHAnsi"/>
        </w:rPr>
        <w:t>.</w:t>
      </w:r>
      <w:r w:rsidR="00281452" w:rsidRPr="00CF39C8">
        <w:rPr>
          <w:rFonts w:asciiTheme="majorHAnsi" w:hAnsiTheme="majorHAnsi" w:cstheme="majorHAnsi"/>
        </w:rPr>
        <w:t xml:space="preserve"> Consumers tend to undervalue fuel cost savings when purchasing</w:t>
      </w:r>
      <w:r w:rsidR="00B050D7" w:rsidRPr="00CF39C8">
        <w:rPr>
          <w:rFonts w:asciiTheme="majorHAnsi" w:hAnsiTheme="majorHAnsi" w:cstheme="majorHAnsi"/>
        </w:rPr>
        <w:t xml:space="preserve">. In order to make a choice, individuals may rely on pertinent information such as relying on a brand or model they have previously purchased; </w:t>
      </w:r>
      <w:r w:rsidR="000377AE" w:rsidRPr="00CF39C8">
        <w:rPr>
          <w:rFonts w:asciiTheme="majorHAnsi" w:hAnsiTheme="majorHAnsi" w:cstheme="majorHAnsi"/>
        </w:rPr>
        <w:t xml:space="preserve">accepting </w:t>
      </w:r>
      <w:r w:rsidR="00B050D7" w:rsidRPr="00CF39C8">
        <w:rPr>
          <w:rFonts w:asciiTheme="majorHAnsi" w:hAnsiTheme="majorHAnsi" w:cstheme="majorHAnsi"/>
        </w:rPr>
        <w:t xml:space="preserve">personal recommendations from friends or family; or focussing </w:t>
      </w:r>
      <w:r w:rsidR="0095225F" w:rsidRPr="00CF39C8">
        <w:rPr>
          <w:rFonts w:asciiTheme="majorHAnsi" w:hAnsiTheme="majorHAnsi" w:cstheme="majorHAnsi"/>
        </w:rPr>
        <w:t>o</w:t>
      </w:r>
      <w:r w:rsidR="00B050D7" w:rsidRPr="00CF39C8">
        <w:rPr>
          <w:rFonts w:asciiTheme="majorHAnsi" w:hAnsiTheme="majorHAnsi" w:cstheme="majorHAnsi"/>
        </w:rPr>
        <w:t>n simplified choice criteria on a subset of features</w:t>
      </w:r>
      <w:r w:rsidR="00DD6A6C" w:rsidRPr="00CF39C8">
        <w:rPr>
          <w:rFonts w:asciiTheme="majorHAnsi" w:hAnsiTheme="majorHAnsi" w:cstheme="majorHAnsi"/>
        </w:rPr>
        <w:t>.</w:t>
      </w:r>
      <w:r w:rsidR="00BC1AC7" w:rsidRPr="00CF39C8">
        <w:rPr>
          <w:rStyle w:val="EndnoteReference"/>
          <w:rFonts w:asciiTheme="majorHAnsi" w:hAnsiTheme="majorHAnsi" w:cstheme="majorHAnsi"/>
        </w:rPr>
        <w:endnoteReference w:id="8"/>
      </w:r>
      <w:r w:rsidR="00B050D7" w:rsidRPr="00CF39C8">
        <w:rPr>
          <w:rFonts w:asciiTheme="majorHAnsi" w:hAnsiTheme="majorHAnsi" w:cstheme="majorHAnsi"/>
        </w:rPr>
        <w:t xml:space="preserve"> Similarly, the A</w:t>
      </w:r>
      <w:r w:rsidR="005350EB" w:rsidRPr="00CF39C8">
        <w:rPr>
          <w:rFonts w:asciiTheme="majorHAnsi" w:hAnsiTheme="majorHAnsi" w:cstheme="majorHAnsi"/>
        </w:rPr>
        <w:t>ustralian Competition and Consumer Commission</w:t>
      </w:r>
      <w:r w:rsidR="00B050D7" w:rsidRPr="00CF39C8">
        <w:rPr>
          <w:rFonts w:asciiTheme="majorHAnsi" w:hAnsiTheme="majorHAnsi" w:cstheme="majorHAnsi"/>
        </w:rPr>
        <w:t xml:space="preserve"> finds that purchase price and vehicle type </w:t>
      </w:r>
      <w:r w:rsidR="0095225F" w:rsidRPr="00CF39C8">
        <w:rPr>
          <w:rFonts w:asciiTheme="majorHAnsi" w:hAnsiTheme="majorHAnsi" w:cstheme="majorHAnsi"/>
        </w:rPr>
        <w:t>have</w:t>
      </w:r>
      <w:r w:rsidR="00B050D7" w:rsidRPr="00CF39C8">
        <w:rPr>
          <w:rFonts w:asciiTheme="majorHAnsi" w:hAnsiTheme="majorHAnsi" w:cstheme="majorHAnsi"/>
        </w:rPr>
        <w:t xml:space="preserve"> the strongest influence on purchasing decisions, and fuel efficiency is regarded as </w:t>
      </w:r>
      <w:r w:rsidR="002C5D3B" w:rsidRPr="00CF39C8">
        <w:rPr>
          <w:rFonts w:asciiTheme="majorHAnsi" w:hAnsiTheme="majorHAnsi" w:cstheme="majorHAnsi"/>
        </w:rPr>
        <w:t xml:space="preserve">just </w:t>
      </w:r>
      <w:r w:rsidR="00B050D7" w:rsidRPr="00CF39C8">
        <w:rPr>
          <w:rFonts w:asciiTheme="majorHAnsi" w:hAnsiTheme="majorHAnsi" w:cstheme="majorHAnsi"/>
        </w:rPr>
        <w:t>a consideration</w:t>
      </w:r>
      <w:r w:rsidR="00DD6A6C" w:rsidRPr="00CF39C8">
        <w:rPr>
          <w:rFonts w:asciiTheme="majorHAnsi" w:hAnsiTheme="majorHAnsi" w:cstheme="majorHAnsi"/>
        </w:rPr>
        <w:t>.</w:t>
      </w:r>
      <w:r w:rsidR="00BC1AC7" w:rsidRPr="00CF39C8">
        <w:rPr>
          <w:rStyle w:val="EndnoteReference"/>
          <w:rFonts w:asciiTheme="majorHAnsi" w:hAnsiTheme="majorHAnsi" w:cstheme="majorHAnsi"/>
        </w:rPr>
        <w:endnoteReference w:id="9"/>
      </w:r>
    </w:p>
    <w:p w14:paraId="368D2BE7" w14:textId="77777777" w:rsidR="00BB725F" w:rsidRPr="00CF39C8" w:rsidRDefault="00BB725F" w:rsidP="00656076">
      <w:pPr>
        <w:pStyle w:val="ListParagraph"/>
        <w:ind w:left="851" w:hanging="425"/>
        <w:rPr>
          <w:rFonts w:asciiTheme="majorHAnsi" w:hAnsiTheme="majorHAnsi" w:cstheme="majorHAnsi"/>
        </w:rPr>
      </w:pPr>
    </w:p>
    <w:p w14:paraId="60DA0E23" w14:textId="77777777" w:rsidR="000608D4" w:rsidRPr="00CF39C8" w:rsidRDefault="00BB725F" w:rsidP="00430317">
      <w:pPr>
        <w:pStyle w:val="ListParagraph"/>
        <w:numPr>
          <w:ilvl w:val="0"/>
          <w:numId w:val="26"/>
        </w:numPr>
        <w:ind w:left="851" w:hanging="425"/>
        <w:rPr>
          <w:rFonts w:asciiTheme="majorHAnsi" w:hAnsiTheme="majorHAnsi" w:cstheme="majorHAnsi"/>
        </w:rPr>
      </w:pPr>
      <w:r w:rsidRPr="00CF39C8">
        <w:rPr>
          <w:rFonts w:asciiTheme="majorHAnsi" w:hAnsiTheme="majorHAnsi" w:cstheme="majorHAnsi"/>
          <w:b/>
        </w:rPr>
        <w:t>Supply side</w:t>
      </w:r>
      <w:r w:rsidRPr="00CF39C8">
        <w:rPr>
          <w:rFonts w:asciiTheme="majorHAnsi" w:hAnsiTheme="majorHAnsi" w:cstheme="majorHAnsi"/>
        </w:rPr>
        <w:t xml:space="preserve">: </w:t>
      </w:r>
      <w:r w:rsidR="000608D4" w:rsidRPr="00CF39C8">
        <w:rPr>
          <w:rFonts w:asciiTheme="majorHAnsi" w:hAnsiTheme="majorHAnsi" w:cstheme="majorHAnsi"/>
        </w:rPr>
        <w:t>Suppliers preference other markets with effective mandatory CO</w:t>
      </w:r>
      <w:r w:rsidR="000608D4" w:rsidRPr="00CF39C8">
        <w:rPr>
          <w:rFonts w:asciiTheme="majorHAnsi" w:hAnsiTheme="majorHAnsi" w:cstheme="majorHAnsi"/>
          <w:vertAlign w:val="subscript"/>
        </w:rPr>
        <w:t>2</w:t>
      </w:r>
      <w:r w:rsidR="000608D4" w:rsidRPr="00CF39C8">
        <w:rPr>
          <w:rFonts w:asciiTheme="majorHAnsi" w:hAnsiTheme="majorHAnsi" w:cstheme="majorHAnsi"/>
        </w:rPr>
        <w:t xml:space="preserve"> reduction regimes and </w:t>
      </w:r>
      <w:r w:rsidR="00FD17C3" w:rsidRPr="00CF39C8">
        <w:rPr>
          <w:rFonts w:asciiTheme="majorHAnsi" w:hAnsiTheme="majorHAnsi" w:cstheme="majorHAnsi"/>
        </w:rPr>
        <w:t>may</w:t>
      </w:r>
      <w:r w:rsidR="000608D4" w:rsidRPr="00CF39C8">
        <w:rPr>
          <w:rFonts w:asciiTheme="majorHAnsi" w:hAnsiTheme="majorHAnsi" w:cstheme="majorHAnsi"/>
        </w:rPr>
        <w:t xml:space="preserve"> seek more time to recoup the production and development costs of existing ICE vehicles</w:t>
      </w:r>
      <w:r w:rsidR="00141083" w:rsidRPr="00CF39C8">
        <w:rPr>
          <w:rFonts w:asciiTheme="majorHAnsi" w:hAnsiTheme="majorHAnsi" w:cstheme="majorHAnsi"/>
        </w:rPr>
        <w:t xml:space="preserve"> in markets where there are no standards, such as Australia</w:t>
      </w:r>
      <w:r w:rsidR="000608D4" w:rsidRPr="00CF39C8">
        <w:rPr>
          <w:rFonts w:asciiTheme="majorHAnsi" w:hAnsiTheme="majorHAnsi" w:cstheme="majorHAnsi"/>
        </w:rPr>
        <w:t>.</w:t>
      </w:r>
      <w:r w:rsidR="000608D4" w:rsidRPr="00CF39C8">
        <w:rPr>
          <w:rStyle w:val="EndnoteReference"/>
          <w:rFonts w:asciiTheme="majorHAnsi" w:hAnsiTheme="majorHAnsi" w:cstheme="majorHAnsi"/>
        </w:rPr>
        <w:endnoteReference w:id="10"/>
      </w:r>
      <w:r w:rsidR="000608D4" w:rsidRPr="00CF39C8">
        <w:rPr>
          <w:rFonts w:asciiTheme="majorHAnsi" w:hAnsiTheme="majorHAnsi" w:cstheme="majorHAnsi"/>
        </w:rPr>
        <w:t xml:space="preserve"> Suppliers to the Australian car market have acknowledged that the lack of a federally regulated mechanism to reduce tailpipe CO</w:t>
      </w:r>
      <w:r w:rsidR="000608D4" w:rsidRPr="00CF39C8">
        <w:rPr>
          <w:rFonts w:asciiTheme="majorHAnsi" w:hAnsiTheme="majorHAnsi" w:cstheme="majorHAnsi"/>
          <w:vertAlign w:val="subscript"/>
        </w:rPr>
        <w:t>2</w:t>
      </w:r>
      <w:r w:rsidR="000608D4" w:rsidRPr="00CF39C8">
        <w:rPr>
          <w:rFonts w:asciiTheme="majorHAnsi" w:hAnsiTheme="majorHAnsi" w:cstheme="majorHAnsi"/>
        </w:rPr>
        <w:t xml:space="preserve"> emissions </w:t>
      </w:r>
      <w:r w:rsidR="00690849" w:rsidRPr="00CF39C8">
        <w:rPr>
          <w:rFonts w:asciiTheme="majorHAnsi" w:hAnsiTheme="majorHAnsi" w:cstheme="majorHAnsi"/>
        </w:rPr>
        <w:t>is a strong driver of their</w:t>
      </w:r>
      <w:r w:rsidR="000608D4" w:rsidRPr="00CF39C8">
        <w:rPr>
          <w:rFonts w:asciiTheme="majorHAnsi" w:hAnsiTheme="majorHAnsi" w:cstheme="majorHAnsi"/>
        </w:rPr>
        <w:t xml:space="preserve"> inability to secure a greater supply of fuel saving technology, hybrids and EVs for Australian consumers.</w:t>
      </w:r>
      <w:r w:rsidR="000608D4" w:rsidRPr="00CF39C8">
        <w:rPr>
          <w:rStyle w:val="EndnoteReference"/>
          <w:rFonts w:asciiTheme="majorHAnsi" w:hAnsiTheme="majorHAnsi" w:cstheme="majorHAnsi"/>
        </w:rPr>
        <w:endnoteReference w:id="11"/>
      </w:r>
      <w:r w:rsidR="00C90BEC" w:rsidRPr="00CF39C8">
        <w:rPr>
          <w:rFonts w:asciiTheme="majorHAnsi" w:hAnsiTheme="majorHAnsi" w:cstheme="majorHAnsi"/>
          <w:vertAlign w:val="superscript"/>
        </w:rPr>
        <w:t>,</w:t>
      </w:r>
      <w:r w:rsidR="000608D4" w:rsidRPr="00CF39C8">
        <w:rPr>
          <w:rStyle w:val="EndnoteReference"/>
          <w:rFonts w:asciiTheme="majorHAnsi" w:hAnsiTheme="majorHAnsi" w:cstheme="majorHAnsi"/>
        </w:rPr>
        <w:endnoteReference w:id="12"/>
      </w:r>
      <w:r w:rsidR="00164771" w:rsidRPr="00CF39C8">
        <w:rPr>
          <w:rFonts w:cstheme="majorHAnsi"/>
        </w:rPr>
        <w:t xml:space="preserve"> </w:t>
      </w:r>
      <w:r w:rsidR="003A6B9F" w:rsidRPr="00CF39C8">
        <w:rPr>
          <w:rFonts w:cstheme="majorHAnsi"/>
        </w:rPr>
        <w:t>We</w:t>
      </w:r>
      <w:r w:rsidRPr="00CF39C8">
        <w:rPr>
          <w:rFonts w:cstheme="majorHAnsi"/>
        </w:rPr>
        <w:t xml:space="preserve"> can see in our own analysis that it can be advantageous financially for suppliers to preference jurisdictions with regulations in place over Australia (i.e. if a supplier fails to meet its obligations in the EU, it faces substantial financial penalties). On top of this, </w:t>
      </w:r>
      <w:r w:rsidR="003A6B9F" w:rsidRPr="00CF39C8">
        <w:rPr>
          <w:rFonts w:cstheme="majorHAnsi"/>
        </w:rPr>
        <w:t xml:space="preserve">vehicle </w:t>
      </w:r>
      <w:r w:rsidRPr="00CF39C8">
        <w:rPr>
          <w:rFonts w:cstheme="majorHAnsi"/>
        </w:rPr>
        <w:t xml:space="preserve">suppliers have told us that they place a very high value on being </w:t>
      </w:r>
      <w:r w:rsidR="00321E51" w:rsidRPr="00CF39C8">
        <w:rPr>
          <w:rFonts w:cstheme="majorHAnsi"/>
        </w:rPr>
        <w:t xml:space="preserve">compliant </w:t>
      </w:r>
      <w:r w:rsidRPr="00CF39C8">
        <w:rPr>
          <w:rFonts w:cstheme="majorHAnsi"/>
        </w:rPr>
        <w:t>with jurisdictions</w:t>
      </w:r>
      <w:r w:rsidR="0095225F" w:rsidRPr="00CF39C8">
        <w:rPr>
          <w:rFonts w:cstheme="majorHAnsi"/>
        </w:rPr>
        <w:t>’</w:t>
      </w:r>
      <w:r w:rsidRPr="00CF39C8">
        <w:rPr>
          <w:rFonts w:cstheme="majorHAnsi"/>
        </w:rPr>
        <w:t xml:space="preserve"> CO</w:t>
      </w:r>
      <w:r w:rsidRPr="00CF39C8">
        <w:rPr>
          <w:rFonts w:cstheme="majorHAnsi"/>
          <w:vertAlign w:val="subscript"/>
        </w:rPr>
        <w:t>2</w:t>
      </w:r>
      <w:r w:rsidRPr="00CF39C8">
        <w:rPr>
          <w:rFonts w:cstheme="majorHAnsi"/>
        </w:rPr>
        <w:t xml:space="preserve"> emissions standards (far beyond the financial cost</w:t>
      </w:r>
      <w:r w:rsidR="00690849" w:rsidRPr="00CF39C8">
        <w:rPr>
          <w:rFonts w:cstheme="majorHAnsi"/>
        </w:rPr>
        <w:t xml:space="preserve"> of penalties</w:t>
      </w:r>
      <w:r w:rsidRPr="00CF39C8">
        <w:rPr>
          <w:rFonts w:cstheme="majorHAnsi"/>
        </w:rPr>
        <w:t>) because of the reputational har</w:t>
      </w:r>
      <w:r w:rsidR="00690849" w:rsidRPr="00CF39C8">
        <w:rPr>
          <w:rFonts w:cstheme="majorHAnsi"/>
        </w:rPr>
        <w:t>m</w:t>
      </w:r>
      <w:r w:rsidRPr="00CF39C8">
        <w:rPr>
          <w:rFonts w:cstheme="majorHAnsi"/>
        </w:rPr>
        <w:t xml:space="preserve"> of having penalties applied against them. </w:t>
      </w:r>
    </w:p>
    <w:p w14:paraId="285D5106" w14:textId="77777777" w:rsidR="00BB725F" w:rsidRDefault="00690849" w:rsidP="00BB725F">
      <w:pPr>
        <w:rPr>
          <w:rFonts w:asciiTheme="majorHAnsi" w:hAnsiTheme="majorHAnsi" w:cstheme="majorHAnsi"/>
        </w:rPr>
      </w:pPr>
      <w:r w:rsidRPr="00CF39C8">
        <w:rPr>
          <w:rFonts w:asciiTheme="majorHAnsi" w:hAnsiTheme="majorHAnsi" w:cstheme="majorHAnsi"/>
        </w:rPr>
        <w:t>What is clear is that demand side</w:t>
      </w:r>
      <w:r w:rsidRPr="00CF39C8" w:rsidDel="0095225F">
        <w:rPr>
          <w:rFonts w:asciiTheme="majorHAnsi" w:hAnsiTheme="majorHAnsi" w:cstheme="majorHAnsi"/>
        </w:rPr>
        <w:t xml:space="preserve"> </w:t>
      </w:r>
      <w:r w:rsidRPr="00CF39C8">
        <w:rPr>
          <w:rFonts w:asciiTheme="majorHAnsi" w:hAnsiTheme="majorHAnsi" w:cstheme="majorHAnsi"/>
        </w:rPr>
        <w:t>and supply side measures need to work together to deliver</w:t>
      </w:r>
      <w:r w:rsidR="00141083" w:rsidRPr="00CF39C8">
        <w:rPr>
          <w:rFonts w:asciiTheme="majorHAnsi" w:hAnsiTheme="majorHAnsi" w:cstheme="majorHAnsi"/>
        </w:rPr>
        <w:t xml:space="preserve"> a</w:t>
      </w:r>
      <w:r w:rsidRPr="00CF39C8">
        <w:rPr>
          <w:rFonts w:asciiTheme="majorHAnsi" w:hAnsiTheme="majorHAnsi" w:cstheme="majorHAnsi"/>
        </w:rPr>
        <w:t xml:space="preserve"> real reduction in </w:t>
      </w:r>
      <w:r w:rsidR="004348EA" w:rsidRPr="00CF39C8">
        <w:rPr>
          <w:rFonts w:asciiTheme="majorHAnsi" w:hAnsiTheme="majorHAnsi" w:cstheme="majorHAnsi"/>
        </w:rPr>
        <w:t xml:space="preserve">fuel costs and </w:t>
      </w:r>
      <w:r w:rsidRPr="00CF39C8">
        <w:rPr>
          <w:rFonts w:asciiTheme="majorHAnsi" w:hAnsiTheme="majorHAnsi" w:cstheme="majorHAnsi"/>
        </w:rPr>
        <w:t>car emissions</w:t>
      </w:r>
      <w:r w:rsidR="0095225F" w:rsidRPr="00CF39C8">
        <w:rPr>
          <w:rFonts w:asciiTheme="majorHAnsi" w:hAnsiTheme="majorHAnsi" w:cstheme="majorHAnsi"/>
        </w:rPr>
        <w:t>,</w:t>
      </w:r>
      <w:r w:rsidRPr="00CF39C8">
        <w:rPr>
          <w:rFonts w:asciiTheme="majorHAnsi" w:hAnsiTheme="majorHAnsi" w:cstheme="majorHAnsi"/>
        </w:rPr>
        <w:t xml:space="preserve"> and to get the best technology for Australian consumers. </w:t>
      </w:r>
      <w:r w:rsidR="00D15D0C" w:rsidRPr="00CF39C8">
        <w:rPr>
          <w:rFonts w:asciiTheme="majorHAnsi" w:hAnsiTheme="majorHAnsi" w:cstheme="majorHAnsi"/>
        </w:rPr>
        <w:t>T</w:t>
      </w:r>
      <w:r w:rsidR="00BB725F" w:rsidRPr="00CF39C8">
        <w:rPr>
          <w:rFonts w:asciiTheme="majorHAnsi" w:hAnsiTheme="majorHAnsi" w:cstheme="majorHAnsi"/>
        </w:rPr>
        <w:t>he Government has already put in place programs to address demand side failures</w:t>
      </w:r>
      <w:r w:rsidRPr="00CF39C8">
        <w:rPr>
          <w:rFonts w:asciiTheme="majorHAnsi" w:hAnsiTheme="majorHAnsi" w:cstheme="majorHAnsi"/>
        </w:rPr>
        <w:t xml:space="preserve"> by improving consumer knowledge of fuel efficiency of vehicles</w:t>
      </w:r>
      <w:r w:rsidR="00BB725F" w:rsidRPr="00CF39C8">
        <w:rPr>
          <w:rFonts w:asciiTheme="majorHAnsi" w:hAnsiTheme="majorHAnsi" w:cstheme="majorHAnsi"/>
        </w:rPr>
        <w:t xml:space="preserve">. In particular, there are already regulatory obligations for suppliers to put in place fuel consumption labels, </w:t>
      </w:r>
      <w:r w:rsidR="005E5A4F" w:rsidRPr="00CF39C8">
        <w:rPr>
          <w:rFonts w:asciiTheme="majorHAnsi" w:hAnsiTheme="majorHAnsi" w:cstheme="majorHAnsi"/>
        </w:rPr>
        <w:t xml:space="preserve">the Green Vehicle Guide has been updated and is functioning well (see </w:t>
      </w:r>
      <w:r w:rsidR="003A6B9F" w:rsidRPr="00F74707">
        <w:rPr>
          <w:rFonts w:asciiTheme="majorHAnsi" w:hAnsiTheme="majorHAnsi" w:cstheme="majorHAnsi"/>
        </w:rPr>
        <w:t>www.greenvehicleguide.gov.au</w:t>
      </w:r>
      <w:r w:rsidR="00E370E4" w:rsidRPr="00CF39C8">
        <w:rPr>
          <w:rFonts w:asciiTheme="majorHAnsi" w:hAnsiTheme="majorHAnsi" w:cstheme="majorHAnsi"/>
        </w:rPr>
        <w:t>)</w:t>
      </w:r>
      <w:r w:rsidR="005E5A4F" w:rsidRPr="00CF39C8">
        <w:rPr>
          <w:rFonts w:asciiTheme="majorHAnsi" w:hAnsiTheme="majorHAnsi" w:cstheme="majorHAnsi"/>
        </w:rPr>
        <w:t xml:space="preserve"> </w:t>
      </w:r>
      <w:r w:rsidR="00BB725F" w:rsidRPr="00CF39C8">
        <w:rPr>
          <w:rFonts w:asciiTheme="majorHAnsi" w:hAnsiTheme="majorHAnsi" w:cstheme="majorHAnsi"/>
        </w:rPr>
        <w:t xml:space="preserve">and the Government has recently put in place a </w:t>
      </w:r>
      <w:r w:rsidR="00E72E20" w:rsidRPr="00CF39C8">
        <w:rPr>
          <w:rFonts w:asciiTheme="majorHAnsi" w:hAnsiTheme="majorHAnsi" w:cstheme="majorHAnsi"/>
        </w:rPr>
        <w:t>Real-World</w:t>
      </w:r>
      <w:r w:rsidR="00BB725F" w:rsidRPr="00CF39C8">
        <w:rPr>
          <w:rFonts w:asciiTheme="majorHAnsi" w:hAnsiTheme="majorHAnsi" w:cstheme="majorHAnsi"/>
        </w:rPr>
        <w:t xml:space="preserve"> Testing </w:t>
      </w:r>
      <w:r w:rsidR="00E72E20" w:rsidRPr="00CF39C8">
        <w:rPr>
          <w:rFonts w:asciiTheme="majorHAnsi" w:hAnsiTheme="majorHAnsi" w:cstheme="majorHAnsi"/>
        </w:rPr>
        <w:t xml:space="preserve">(RWT) </w:t>
      </w:r>
      <w:r w:rsidR="00BB725F" w:rsidRPr="00CF39C8">
        <w:rPr>
          <w:rFonts w:asciiTheme="majorHAnsi" w:hAnsiTheme="majorHAnsi" w:cstheme="majorHAnsi"/>
        </w:rPr>
        <w:t>program</w:t>
      </w:r>
      <w:r w:rsidR="00E370E4" w:rsidRPr="00CF39C8">
        <w:rPr>
          <w:rFonts w:asciiTheme="majorHAnsi" w:hAnsiTheme="majorHAnsi" w:cstheme="majorHAnsi"/>
        </w:rPr>
        <w:t xml:space="preserve"> (see </w:t>
      </w:r>
      <w:r w:rsidR="003A6B9F" w:rsidRPr="00F74707">
        <w:rPr>
          <w:rFonts w:asciiTheme="majorHAnsi" w:hAnsiTheme="majorHAnsi" w:cstheme="majorHAnsi"/>
        </w:rPr>
        <w:t>www.aaa.asn.au/realworld</w:t>
      </w:r>
      <w:r w:rsidR="00E370E4" w:rsidRPr="00CF39C8">
        <w:rPr>
          <w:rFonts w:asciiTheme="majorHAnsi" w:hAnsiTheme="majorHAnsi" w:cstheme="majorHAnsi"/>
        </w:rPr>
        <w:t>)</w:t>
      </w:r>
      <w:r w:rsidR="00DD6A6C" w:rsidRPr="00CF39C8">
        <w:rPr>
          <w:rFonts w:asciiTheme="majorHAnsi" w:hAnsiTheme="majorHAnsi" w:cstheme="majorHAnsi"/>
        </w:rPr>
        <w:t>.</w:t>
      </w:r>
      <w:r w:rsidR="00E72E20" w:rsidRPr="00CF39C8">
        <w:rPr>
          <w:rStyle w:val="EndnoteReference"/>
          <w:rFonts w:asciiTheme="majorHAnsi" w:hAnsiTheme="majorHAnsi" w:cstheme="majorHAnsi"/>
        </w:rPr>
        <w:endnoteReference w:id="13"/>
      </w:r>
      <w:r w:rsidR="00E72E20" w:rsidRPr="00CF39C8">
        <w:rPr>
          <w:rFonts w:asciiTheme="majorHAnsi" w:hAnsiTheme="majorHAnsi" w:cstheme="majorHAnsi"/>
        </w:rPr>
        <w:t xml:space="preserve"> As these programs are already in place, and in the case of the RWT program, nascent, it would be premature to consider their effectiveness. </w:t>
      </w:r>
      <w:r w:rsidR="0095225F" w:rsidRPr="00CF39C8">
        <w:rPr>
          <w:rFonts w:asciiTheme="majorHAnsi" w:hAnsiTheme="majorHAnsi" w:cstheme="majorHAnsi"/>
        </w:rPr>
        <w:t>T</w:t>
      </w:r>
      <w:r w:rsidR="00E72E20" w:rsidRPr="00CF39C8">
        <w:rPr>
          <w:rFonts w:asciiTheme="majorHAnsi" w:hAnsiTheme="majorHAnsi" w:cstheme="majorHAnsi"/>
        </w:rPr>
        <w:t>herefore</w:t>
      </w:r>
      <w:r w:rsidR="002E0BDF" w:rsidRPr="00CF39C8">
        <w:rPr>
          <w:rFonts w:asciiTheme="majorHAnsi" w:hAnsiTheme="majorHAnsi" w:cstheme="majorHAnsi"/>
        </w:rPr>
        <w:t>, we</w:t>
      </w:r>
      <w:r w:rsidR="00E72E20" w:rsidRPr="00CF39C8">
        <w:rPr>
          <w:rFonts w:asciiTheme="majorHAnsi" w:hAnsiTheme="majorHAnsi" w:cstheme="majorHAnsi"/>
        </w:rPr>
        <w:t xml:space="preserve"> proceed in this document </w:t>
      </w:r>
      <w:r w:rsidR="00D15D0C" w:rsidRPr="00CF39C8">
        <w:rPr>
          <w:rFonts w:asciiTheme="majorHAnsi" w:hAnsiTheme="majorHAnsi" w:cstheme="majorHAnsi"/>
        </w:rPr>
        <w:t xml:space="preserve">mostly </w:t>
      </w:r>
      <w:r w:rsidR="00E72E20" w:rsidRPr="00CF39C8">
        <w:rPr>
          <w:rFonts w:asciiTheme="majorHAnsi" w:hAnsiTheme="majorHAnsi" w:cstheme="majorHAnsi"/>
        </w:rPr>
        <w:t xml:space="preserve">focussed on supply side failures. </w:t>
      </w:r>
    </w:p>
    <w:p w14:paraId="1EFA13C5" w14:textId="77777777" w:rsidR="00C06ACC" w:rsidRPr="00CF39C8" w:rsidRDefault="00C06ACC" w:rsidP="00DE1FD8">
      <w:pPr>
        <w:pStyle w:val="Heading2"/>
        <w:numPr>
          <w:ilvl w:val="1"/>
          <w:numId w:val="88"/>
        </w:numPr>
        <w:ind w:hanging="792"/>
      </w:pPr>
      <w:bookmarkStart w:id="86" w:name="_Toc150427490"/>
      <w:bookmarkStart w:id="87" w:name="_Toc161837646"/>
      <w:bookmarkStart w:id="88" w:name="_Toc161933144"/>
      <w:bookmarkStart w:id="89" w:name="_Toc162276451"/>
      <w:bookmarkStart w:id="90" w:name="_Toc163221047"/>
      <w:bookmarkEnd w:id="85"/>
      <w:r w:rsidRPr="00CF39C8">
        <w:t>…and we’re spending more on fuel than ever before</w:t>
      </w:r>
      <w:bookmarkEnd w:id="86"/>
      <w:bookmarkEnd w:id="87"/>
      <w:bookmarkEnd w:id="88"/>
      <w:bookmarkEnd w:id="89"/>
      <w:bookmarkEnd w:id="90"/>
    </w:p>
    <w:p w14:paraId="7AD53611" w14:textId="77777777" w:rsidR="004E735F" w:rsidRPr="00CF39C8" w:rsidRDefault="0075373B" w:rsidP="003E7827">
      <w:pPr>
        <w:rPr>
          <w:rFonts w:asciiTheme="majorHAnsi" w:hAnsiTheme="majorHAnsi" w:cstheme="majorHAnsi"/>
        </w:rPr>
      </w:pPr>
      <w:r w:rsidRPr="00CF39C8">
        <w:rPr>
          <w:rFonts w:asciiTheme="majorHAnsi" w:hAnsiTheme="majorHAnsi" w:cstheme="majorHAnsi"/>
        </w:rPr>
        <w:t xml:space="preserve">The price </w:t>
      </w:r>
      <w:r w:rsidR="003E7827" w:rsidRPr="00CF39C8">
        <w:rPr>
          <w:rFonts w:asciiTheme="majorHAnsi" w:hAnsiTheme="majorHAnsi" w:cstheme="majorHAnsi"/>
        </w:rPr>
        <w:t>Australian household</w:t>
      </w:r>
      <w:r w:rsidRPr="00CF39C8">
        <w:rPr>
          <w:rFonts w:asciiTheme="majorHAnsi" w:hAnsiTheme="majorHAnsi" w:cstheme="majorHAnsi"/>
        </w:rPr>
        <w:t>s pay for fuel has been steadily increasing for decades</w:t>
      </w:r>
      <w:r w:rsidR="00766EDC" w:rsidRPr="00CF39C8">
        <w:rPr>
          <w:rFonts w:asciiTheme="majorHAnsi" w:hAnsiTheme="majorHAnsi" w:cstheme="majorHAnsi"/>
        </w:rPr>
        <w:t xml:space="preserve">, </w:t>
      </w:r>
      <w:r w:rsidR="00C05C79" w:rsidRPr="00CF39C8">
        <w:rPr>
          <w:rFonts w:asciiTheme="majorHAnsi" w:hAnsiTheme="majorHAnsi" w:cstheme="majorHAnsi"/>
        </w:rPr>
        <w:t xml:space="preserve">and we’re driving more kilometres each year than ever before. According to the ABS Survey of Motor Vehicle Use, Australians drove </w:t>
      </w:r>
      <w:r w:rsidR="006371DD" w:rsidRPr="00CF39C8">
        <w:rPr>
          <w:rFonts w:asciiTheme="majorHAnsi" w:hAnsiTheme="majorHAnsi" w:cstheme="majorHAnsi"/>
        </w:rPr>
        <w:t xml:space="preserve">215,212 million </w:t>
      </w:r>
      <w:r w:rsidR="00C05C79" w:rsidRPr="00CF39C8">
        <w:rPr>
          <w:rFonts w:asciiTheme="majorHAnsi" w:hAnsiTheme="majorHAnsi" w:cstheme="majorHAnsi"/>
        </w:rPr>
        <w:t>kilometres in 2020</w:t>
      </w:r>
      <w:r w:rsidR="006371DD" w:rsidRPr="00CF39C8">
        <w:rPr>
          <w:rFonts w:asciiTheme="majorHAnsi" w:hAnsiTheme="majorHAnsi" w:cstheme="majorHAnsi"/>
        </w:rPr>
        <w:t>.</w:t>
      </w:r>
      <w:r w:rsidR="006371DD" w:rsidRPr="00CF39C8">
        <w:rPr>
          <w:rStyle w:val="EndnoteReference"/>
          <w:rFonts w:asciiTheme="majorHAnsi" w:hAnsiTheme="majorHAnsi" w:cstheme="majorHAnsi"/>
        </w:rPr>
        <w:endnoteReference w:id="14"/>
      </w:r>
      <w:r w:rsidR="00C05C79" w:rsidRPr="00CF39C8">
        <w:rPr>
          <w:rFonts w:asciiTheme="majorHAnsi" w:hAnsiTheme="majorHAnsi" w:cstheme="majorHAnsi"/>
        </w:rPr>
        <w:t xml:space="preserve"> </w:t>
      </w:r>
      <w:r w:rsidR="00AC148A" w:rsidRPr="00CF39C8">
        <w:rPr>
          <w:rFonts w:asciiTheme="majorHAnsi" w:hAnsiTheme="majorHAnsi" w:cstheme="majorHAnsi"/>
        </w:rPr>
        <w:t>Even allowing for population and car number increases, the fact remains, Australia is a country that relies on cars</w:t>
      </w:r>
      <w:r w:rsidR="004E735F" w:rsidRPr="00CF39C8">
        <w:rPr>
          <w:rFonts w:asciiTheme="majorHAnsi" w:hAnsiTheme="majorHAnsi" w:cstheme="majorHAnsi"/>
        </w:rPr>
        <w:t xml:space="preserve">. </w:t>
      </w:r>
    </w:p>
    <w:p w14:paraId="608831A5" w14:textId="77777777" w:rsidR="00AC148A" w:rsidRPr="00CF39C8" w:rsidRDefault="004E735F" w:rsidP="003E7827">
      <w:pPr>
        <w:rPr>
          <w:rFonts w:asciiTheme="majorHAnsi" w:hAnsiTheme="majorHAnsi" w:cstheme="majorHAnsi"/>
        </w:rPr>
      </w:pPr>
      <w:r w:rsidRPr="00CF39C8">
        <w:rPr>
          <w:rFonts w:asciiTheme="majorHAnsi" w:hAnsiTheme="majorHAnsi" w:cstheme="majorHAnsi"/>
        </w:rPr>
        <w:t>Australian Institute of Petroleum figures show that in September 2023, the national average fuel price hit a high of 204.4 cents a litre</w:t>
      </w:r>
      <w:r w:rsidR="00AC148A" w:rsidRPr="00CF39C8">
        <w:rPr>
          <w:rFonts w:asciiTheme="majorHAnsi" w:hAnsiTheme="majorHAnsi" w:cstheme="majorHAnsi"/>
        </w:rPr>
        <w:t>,</w:t>
      </w:r>
      <w:r w:rsidRPr="00CF39C8">
        <w:rPr>
          <w:rFonts w:asciiTheme="majorHAnsi" w:hAnsiTheme="majorHAnsi" w:cstheme="majorHAnsi"/>
        </w:rPr>
        <w:t xml:space="preserve"> </w:t>
      </w:r>
      <w:r w:rsidR="00821053" w:rsidRPr="00CF39C8">
        <w:rPr>
          <w:rFonts w:asciiTheme="majorHAnsi" w:hAnsiTheme="majorHAnsi" w:cstheme="majorHAnsi"/>
        </w:rPr>
        <w:t xml:space="preserve">putting pressure on </w:t>
      </w:r>
      <w:r w:rsidRPr="00CF39C8">
        <w:rPr>
          <w:rFonts w:asciiTheme="majorHAnsi" w:hAnsiTheme="majorHAnsi" w:cstheme="majorHAnsi"/>
        </w:rPr>
        <w:t xml:space="preserve">the budgets of households and businesses alike. </w:t>
      </w:r>
      <w:r w:rsidR="00393C36" w:rsidRPr="00CF39C8">
        <w:rPr>
          <w:rFonts w:asciiTheme="majorHAnsi" w:hAnsiTheme="majorHAnsi" w:cstheme="majorHAnsi"/>
        </w:rPr>
        <w:t xml:space="preserve">Figure </w:t>
      </w:r>
      <w:r w:rsidR="00CF1D61">
        <w:rPr>
          <w:rFonts w:asciiTheme="majorHAnsi" w:hAnsiTheme="majorHAnsi" w:cstheme="majorHAnsi"/>
        </w:rPr>
        <w:t>3</w:t>
      </w:r>
      <w:r w:rsidRPr="00CF39C8">
        <w:rPr>
          <w:rFonts w:asciiTheme="majorHAnsi" w:hAnsiTheme="majorHAnsi" w:cstheme="majorHAnsi"/>
        </w:rPr>
        <w:t xml:space="preserve"> demonstrates that prices have risen sharply since the COVID</w:t>
      </w:r>
      <w:r w:rsidR="00690849" w:rsidRPr="00CF39C8">
        <w:rPr>
          <w:rFonts w:asciiTheme="majorHAnsi" w:hAnsiTheme="majorHAnsi" w:cstheme="majorHAnsi"/>
        </w:rPr>
        <w:t>-</w:t>
      </w:r>
      <w:r w:rsidRPr="00CF39C8">
        <w:rPr>
          <w:rFonts w:asciiTheme="majorHAnsi" w:hAnsiTheme="majorHAnsi" w:cstheme="majorHAnsi"/>
        </w:rPr>
        <w:t>19-induced downturn.</w:t>
      </w:r>
    </w:p>
    <w:p w14:paraId="63E5705D" w14:textId="77777777" w:rsidR="002041E3" w:rsidRDefault="002041E3" w:rsidP="003E7827">
      <w:pPr>
        <w:rPr>
          <w:rFonts w:asciiTheme="majorHAnsi" w:hAnsiTheme="majorHAnsi" w:cstheme="majorHAnsi"/>
        </w:rPr>
      </w:pPr>
      <w:r>
        <w:rPr>
          <w:rFonts w:asciiTheme="majorHAnsi" w:hAnsiTheme="majorHAnsi" w:cstheme="majorHAnsi"/>
          <w:noProof/>
          <w:lang w:eastAsia="en-AU"/>
        </w:rPr>
        <w:drawing>
          <wp:anchor distT="0" distB="0" distL="114300" distR="114300" simplePos="0" relativeHeight="251658246" behindDoc="1" locked="0" layoutInCell="1" allowOverlap="1" wp14:anchorId="109698FC" wp14:editId="7C77BFA7">
            <wp:simplePos x="0" y="0"/>
            <wp:positionH relativeFrom="margin">
              <wp:align>left</wp:align>
            </wp:positionH>
            <wp:positionV relativeFrom="paragraph">
              <wp:posOffset>27940</wp:posOffset>
            </wp:positionV>
            <wp:extent cx="5391902" cy="3000794"/>
            <wp:effectExtent l="19050" t="19050" r="18415" b="28575"/>
            <wp:wrapTight wrapText="bothSides">
              <wp:wrapPolygon edited="0">
                <wp:start x="-76" y="-137"/>
                <wp:lineTo x="-76" y="21669"/>
                <wp:lineTo x="21597" y="21669"/>
                <wp:lineTo x="21597" y="-137"/>
                <wp:lineTo x="-76" y="-137"/>
              </wp:wrapPolygon>
            </wp:wrapTight>
            <wp:docPr id="13" name="Picture 13" descr="A line graph of the average diesel and petrol national prices from 2007 to 2022. The prices for diesel and petrol appear to be close with some deviations.&#10;&#10;Data for average diesel national price for the years 2007-2022:&#10;2007 = 131.3.&#10;2008 = 161.6.&#10;2009 = 122.5.&#10;2010 = 130.1.&#10;2011 = 148.5.&#10;2012 = 150.6.&#10;2013 = 154.3.&#10;2014 = 156.8.&#10;2015 = 130.4.&#10;2016 = 118.5.&#10;2017 = 129.6.&#10;2018 = 149.8.&#10;2019 = 148.0.&#10;2020 = 126.9.&#10;2021 = 143.0.&#10;2022 = 207.5.&#10;&#10;Data for average petrol national price for the years 2007-2022:&#10;2007 = 125.4.&#10;2008 = 142.4.&#10;2009 = 120.3.&#10;2010 = 126.3.&#10;2011 = 141.2.&#10;2012 = 144.3.&#10;2013 = 147.9.&#10;2014 = 148.8.&#10;2015 = 129.6.&#10;2016 = 117.8.&#10;2017 = 129.3.&#10;2018 = 144.3.&#10;2019 = 142.0.&#10;2020 = 123.4.&#10;2021 = 147.8.&#10;2022 = 18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 - Petrol and diesel price over time.PNG"/>
                    <pic:cNvPicPr/>
                  </pic:nvPicPr>
                  <pic:blipFill>
                    <a:blip r:embed="rId31">
                      <a:extLst>
                        <a:ext uri="{28A0092B-C50C-407E-A947-70E740481C1C}">
                          <a14:useLocalDpi xmlns:a14="http://schemas.microsoft.com/office/drawing/2010/main" val="0"/>
                        </a:ext>
                      </a:extLst>
                    </a:blip>
                    <a:stretch>
                      <a:fillRect/>
                    </a:stretch>
                  </pic:blipFill>
                  <pic:spPr>
                    <a:xfrm>
                      <a:off x="0" y="0"/>
                      <a:ext cx="5391902" cy="3000794"/>
                    </a:xfrm>
                    <a:prstGeom prst="rect">
                      <a:avLst/>
                    </a:prstGeom>
                    <a:ln>
                      <a:solidFill>
                        <a:schemeClr val="tx1"/>
                      </a:solidFill>
                    </a:ln>
                  </pic:spPr>
                </pic:pic>
              </a:graphicData>
            </a:graphic>
          </wp:anchor>
        </w:drawing>
      </w:r>
    </w:p>
    <w:p w14:paraId="74148F6D" w14:textId="77777777" w:rsidR="002041E3" w:rsidRDefault="002041E3" w:rsidP="003E7827">
      <w:pPr>
        <w:rPr>
          <w:rFonts w:asciiTheme="majorHAnsi" w:hAnsiTheme="majorHAnsi" w:cstheme="majorHAnsi"/>
        </w:rPr>
      </w:pPr>
    </w:p>
    <w:p w14:paraId="53CF3B2A" w14:textId="77777777" w:rsidR="002041E3" w:rsidRDefault="002041E3" w:rsidP="003E7827">
      <w:pPr>
        <w:rPr>
          <w:rFonts w:asciiTheme="majorHAnsi" w:hAnsiTheme="majorHAnsi" w:cstheme="majorHAnsi"/>
        </w:rPr>
      </w:pPr>
    </w:p>
    <w:p w14:paraId="501D89C2" w14:textId="77777777" w:rsidR="002041E3" w:rsidRDefault="002041E3" w:rsidP="003E7827">
      <w:pPr>
        <w:rPr>
          <w:rFonts w:asciiTheme="majorHAnsi" w:hAnsiTheme="majorHAnsi" w:cstheme="majorHAnsi"/>
        </w:rPr>
      </w:pPr>
    </w:p>
    <w:p w14:paraId="183AA69B" w14:textId="77777777" w:rsidR="002041E3" w:rsidRPr="00CF39C8" w:rsidRDefault="002041E3" w:rsidP="003E7827">
      <w:pPr>
        <w:rPr>
          <w:rFonts w:asciiTheme="majorHAnsi" w:hAnsiTheme="majorHAnsi" w:cstheme="majorHAnsi"/>
        </w:rPr>
      </w:pPr>
    </w:p>
    <w:p w14:paraId="1D163498" w14:textId="77777777" w:rsidR="002041E3" w:rsidRDefault="002041E3" w:rsidP="008028A6">
      <w:pPr>
        <w:pStyle w:val="Caption"/>
      </w:pPr>
    </w:p>
    <w:p w14:paraId="77EC6C1B" w14:textId="77777777" w:rsidR="002041E3" w:rsidRDefault="002041E3" w:rsidP="008028A6">
      <w:pPr>
        <w:pStyle w:val="Caption"/>
      </w:pPr>
    </w:p>
    <w:p w14:paraId="43FC2D30" w14:textId="77777777" w:rsidR="002041E3" w:rsidRDefault="002041E3" w:rsidP="008028A6">
      <w:pPr>
        <w:pStyle w:val="Caption"/>
      </w:pPr>
    </w:p>
    <w:p w14:paraId="3C5E5B23" w14:textId="77777777" w:rsidR="002041E3" w:rsidRDefault="002041E3" w:rsidP="008028A6">
      <w:pPr>
        <w:pStyle w:val="Caption"/>
      </w:pPr>
    </w:p>
    <w:p w14:paraId="0ADB193F" w14:textId="77777777" w:rsidR="002041E3" w:rsidRDefault="002041E3" w:rsidP="008028A6">
      <w:pPr>
        <w:pStyle w:val="Caption"/>
      </w:pPr>
    </w:p>
    <w:p w14:paraId="12643CF6" w14:textId="77777777" w:rsidR="002041E3" w:rsidRDefault="002041E3" w:rsidP="008028A6">
      <w:pPr>
        <w:pStyle w:val="Caption"/>
      </w:pPr>
    </w:p>
    <w:p w14:paraId="2A837040" w14:textId="77777777" w:rsidR="002041E3" w:rsidRDefault="002041E3" w:rsidP="008028A6">
      <w:pPr>
        <w:pStyle w:val="Caption"/>
      </w:pPr>
    </w:p>
    <w:p w14:paraId="0F761AA6" w14:textId="77777777" w:rsidR="002041E3" w:rsidRDefault="002041E3" w:rsidP="008028A6">
      <w:pPr>
        <w:pStyle w:val="Caption"/>
      </w:pPr>
    </w:p>
    <w:p w14:paraId="40E90C26" w14:textId="77777777" w:rsidR="008028A6" w:rsidRPr="004508F4" w:rsidRDefault="008028A6" w:rsidP="004508F4">
      <w:pPr>
        <w:pStyle w:val="Caption"/>
        <w:rPr>
          <w:rFonts w:asciiTheme="majorHAnsi" w:hAnsiTheme="majorHAnsi" w:cstheme="majorHAnsi"/>
          <w:b w:val="0"/>
          <w:sz w:val="21"/>
          <w:szCs w:val="21"/>
        </w:rPr>
      </w:pPr>
      <w:bookmarkStart w:id="91" w:name="_Toc161837751"/>
      <w:bookmarkStart w:id="92" w:name="_Toc161933199"/>
      <w:bookmarkStart w:id="93" w:name="_Toc163221100"/>
      <w:r w:rsidRPr="00CF39C8">
        <w:t xml:space="preserve">Figure </w:t>
      </w:r>
      <w:r w:rsidR="00DB038C">
        <w:t>3</w:t>
      </w:r>
      <w:r w:rsidRPr="00CF39C8">
        <w:t xml:space="preserve"> </w:t>
      </w:r>
      <w:r w:rsidRPr="00CF39C8">
        <w:rPr>
          <w:b w:val="0"/>
        </w:rPr>
        <w:t>– Petrol and diesel price over time</w:t>
      </w:r>
      <w:bookmarkEnd w:id="91"/>
      <w:bookmarkEnd w:id="92"/>
      <w:bookmarkEnd w:id="93"/>
    </w:p>
    <w:p w14:paraId="4783F056" w14:textId="77777777" w:rsidR="004E3357" w:rsidRPr="00CF39C8" w:rsidRDefault="004E3357" w:rsidP="004E3357">
      <w:pPr>
        <w:pStyle w:val="BodyText"/>
        <w:rPr>
          <w:rFonts w:asciiTheme="majorHAnsi" w:hAnsiTheme="majorHAnsi" w:cstheme="majorHAnsi"/>
          <w:color w:val="000000" w:themeColor="text1"/>
          <w:sz w:val="21"/>
          <w:szCs w:val="21"/>
        </w:rPr>
      </w:pPr>
      <w:r w:rsidRPr="00CF39C8">
        <w:rPr>
          <w:rFonts w:asciiTheme="majorHAnsi" w:hAnsiTheme="majorHAnsi" w:cstheme="majorHAnsi"/>
          <w:color w:val="000000" w:themeColor="text1"/>
          <w:sz w:val="21"/>
          <w:szCs w:val="21"/>
        </w:rPr>
        <w:t>Fuel prices can be influenced by a myriad of global and local factors; most recently, Australian fuel prices have been affected by the COVID-19 pandemic and global supply issues because of the war in Ukraine</w:t>
      </w:r>
      <w:r w:rsidR="00664A65" w:rsidRPr="00CF39C8">
        <w:rPr>
          <w:rFonts w:asciiTheme="majorHAnsi" w:hAnsiTheme="majorHAnsi" w:cstheme="majorHAnsi"/>
          <w:color w:val="000000" w:themeColor="text1"/>
          <w:sz w:val="21"/>
          <w:szCs w:val="21"/>
        </w:rPr>
        <w:t xml:space="preserve"> and</w:t>
      </w:r>
      <w:r w:rsidR="00C77150" w:rsidRPr="00CF39C8">
        <w:rPr>
          <w:rFonts w:asciiTheme="majorHAnsi" w:hAnsiTheme="majorHAnsi" w:cstheme="majorHAnsi"/>
          <w:color w:val="000000" w:themeColor="text1"/>
          <w:sz w:val="21"/>
          <w:szCs w:val="21"/>
        </w:rPr>
        <w:t xml:space="preserve"> events</w:t>
      </w:r>
      <w:r w:rsidR="00664A65" w:rsidRPr="00CF39C8">
        <w:rPr>
          <w:rFonts w:asciiTheme="majorHAnsi" w:hAnsiTheme="majorHAnsi" w:cstheme="majorHAnsi"/>
          <w:color w:val="000000" w:themeColor="text1"/>
          <w:sz w:val="21"/>
          <w:szCs w:val="21"/>
        </w:rPr>
        <w:t xml:space="preserve"> in the Middle East</w:t>
      </w:r>
      <w:r w:rsidRPr="00CF39C8">
        <w:rPr>
          <w:rFonts w:asciiTheme="majorHAnsi" w:hAnsiTheme="majorHAnsi" w:cstheme="majorHAnsi"/>
          <w:color w:val="000000" w:themeColor="text1"/>
          <w:sz w:val="21"/>
          <w:szCs w:val="21"/>
        </w:rPr>
        <w:t>. Domestically, location also plays a part, with fuel prices in regional locations being more stable. But automotive fuel expenses in regional areas are also affected by other factors that increase the cost of fuel and do not apply to city locations, such as:</w:t>
      </w:r>
    </w:p>
    <w:p w14:paraId="2BA7E79D" w14:textId="77777777" w:rsidR="004E3357" w:rsidRPr="00CF39C8" w:rsidRDefault="004E3357" w:rsidP="00430317">
      <w:pPr>
        <w:pStyle w:val="ListBullet"/>
        <w:numPr>
          <w:ilvl w:val="0"/>
          <w:numId w:val="27"/>
        </w:numPr>
        <w:rPr>
          <w:color w:val="000000" w:themeColor="text1"/>
        </w:rPr>
      </w:pPr>
      <w:r w:rsidRPr="00CF39C8">
        <w:rPr>
          <w:color w:val="000000" w:themeColor="text1"/>
        </w:rPr>
        <w:t>less competition and discounting due to smaller demand</w:t>
      </w:r>
    </w:p>
    <w:p w14:paraId="636D39BD" w14:textId="77777777" w:rsidR="004E3357" w:rsidRPr="00CF39C8" w:rsidRDefault="004E3357" w:rsidP="00430317">
      <w:pPr>
        <w:pStyle w:val="ListBullet"/>
        <w:numPr>
          <w:ilvl w:val="0"/>
          <w:numId w:val="27"/>
        </w:numPr>
      </w:pPr>
      <w:r w:rsidRPr="00CF39C8">
        <w:rPr>
          <w:color w:val="000000" w:themeColor="text1"/>
        </w:rPr>
        <w:t>higher storage and transportation costs</w:t>
      </w:r>
    </w:p>
    <w:p w14:paraId="704D0157" w14:textId="77777777" w:rsidR="004E3357" w:rsidRPr="00CF39C8" w:rsidRDefault="004E3357" w:rsidP="00430317">
      <w:pPr>
        <w:pStyle w:val="ListBullet"/>
        <w:numPr>
          <w:ilvl w:val="0"/>
          <w:numId w:val="27"/>
        </w:numPr>
        <w:rPr>
          <w:color w:val="000000" w:themeColor="text1"/>
        </w:rPr>
      </w:pPr>
      <w:r w:rsidRPr="00CF39C8">
        <w:rPr>
          <w:color w:val="000000" w:themeColor="text1"/>
        </w:rPr>
        <w:t>less demand for convenience sales (which act to keep fuel prices down)</w:t>
      </w:r>
    </w:p>
    <w:p w14:paraId="55396635" w14:textId="77777777" w:rsidR="004E3357" w:rsidRPr="00CF39C8" w:rsidRDefault="004E3357" w:rsidP="00430317">
      <w:pPr>
        <w:pStyle w:val="ListBullet"/>
        <w:numPr>
          <w:ilvl w:val="0"/>
          <w:numId w:val="27"/>
        </w:numPr>
        <w:rPr>
          <w:color w:val="000000" w:themeColor="text1"/>
        </w:rPr>
      </w:pPr>
      <w:r w:rsidRPr="00CF39C8">
        <w:rPr>
          <w:color w:val="000000" w:themeColor="text1"/>
        </w:rPr>
        <w:t>highway locations of outlets.</w:t>
      </w:r>
      <w:r w:rsidR="00BC1AC7" w:rsidRPr="00CF39C8">
        <w:rPr>
          <w:color w:val="000000" w:themeColor="text1"/>
          <w:vertAlign w:val="superscript"/>
        </w:rPr>
        <w:endnoteReference w:id="15"/>
      </w:r>
      <w:r w:rsidR="00BC1AC7" w:rsidRPr="00CF39C8">
        <w:rPr>
          <w:color w:val="000000" w:themeColor="text1"/>
        </w:rPr>
        <w:t xml:space="preserve"> </w:t>
      </w:r>
    </w:p>
    <w:p w14:paraId="1612E5FC" w14:textId="77777777" w:rsidR="00F10CB7" w:rsidRPr="00CF39C8" w:rsidRDefault="00243E86" w:rsidP="00F10CB7">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The Australian Automobile Association publishes a transport affordability index. The most recent results for that index show that on average, motorists in capital cities are paying around $100 a week in fuel costs </w:t>
      </w:r>
      <w:r w:rsidR="00EE5A02" w:rsidRPr="00CF39C8">
        <w:rPr>
          <w:rFonts w:asciiTheme="majorHAnsi" w:hAnsiTheme="majorHAnsi" w:cstheme="majorHAnsi"/>
          <w:color w:val="000000" w:themeColor="text1"/>
        </w:rPr>
        <w:t xml:space="preserve">or </w:t>
      </w:r>
      <w:r w:rsidRPr="00CF39C8">
        <w:rPr>
          <w:rFonts w:asciiTheme="majorHAnsi" w:hAnsiTheme="majorHAnsi" w:cstheme="majorHAnsi"/>
          <w:color w:val="000000" w:themeColor="text1"/>
        </w:rPr>
        <w:t xml:space="preserve">around $5,215 per year. The regional average is around $103 per week </w:t>
      </w:r>
      <w:r w:rsidR="00EE5A02" w:rsidRPr="00CF39C8">
        <w:rPr>
          <w:rFonts w:asciiTheme="majorHAnsi" w:hAnsiTheme="majorHAnsi" w:cstheme="majorHAnsi"/>
          <w:color w:val="000000" w:themeColor="text1"/>
        </w:rPr>
        <w:t xml:space="preserve">or </w:t>
      </w:r>
      <w:r w:rsidRPr="00CF39C8">
        <w:rPr>
          <w:rFonts w:asciiTheme="majorHAnsi" w:hAnsiTheme="majorHAnsi" w:cstheme="majorHAnsi"/>
          <w:color w:val="000000" w:themeColor="text1"/>
        </w:rPr>
        <w:t>$5,380 per year.</w:t>
      </w:r>
      <w:r w:rsidRPr="00CF39C8">
        <w:rPr>
          <w:rStyle w:val="EndnoteReference"/>
          <w:rFonts w:asciiTheme="majorHAnsi" w:hAnsiTheme="majorHAnsi" w:cstheme="majorHAnsi"/>
          <w:color w:val="000000" w:themeColor="text1"/>
        </w:rPr>
        <w:endnoteReference w:id="16"/>
      </w:r>
      <w:r w:rsidRPr="00CF39C8">
        <w:rPr>
          <w:rFonts w:asciiTheme="majorHAnsi" w:hAnsiTheme="majorHAnsi" w:cstheme="majorHAnsi"/>
          <w:color w:val="000000" w:themeColor="text1"/>
        </w:rPr>
        <w:t xml:space="preserve"> According to this index fuel is the second largest expense faced by motorists, behind car loan payments.</w:t>
      </w:r>
    </w:p>
    <w:p w14:paraId="6E0DA925" w14:textId="77777777" w:rsidR="006E15BF" w:rsidRDefault="00D2743D" w:rsidP="00F10CB7">
      <w:r w:rsidRPr="00CF39C8">
        <w:t xml:space="preserve">Reducing Australia’s exposure to the volatile international liquid fuel market not only provides monetary benefits to consumers as identified above, but also reinforces the Government’s commitment to </w:t>
      </w:r>
      <w:r w:rsidR="0007314E" w:rsidRPr="00CF39C8">
        <w:t>ensuring</w:t>
      </w:r>
      <w:r w:rsidRPr="00CF39C8">
        <w:t xml:space="preserve"> Australia’s fuel security. The Government’s existing fuel security measures largely relate to ensuring Australia has a resilient supply, storage and refining capacity.</w:t>
      </w:r>
      <w:r w:rsidR="00BC1AC7" w:rsidRPr="00CF39C8">
        <w:rPr>
          <w:rStyle w:val="EndnoteReference"/>
        </w:rPr>
        <w:endnoteReference w:id="17"/>
      </w:r>
      <w:r w:rsidR="00BC1AC7" w:rsidRPr="00CF39C8">
        <w:t xml:space="preserve"> </w:t>
      </w:r>
      <w:r w:rsidRPr="00CF39C8">
        <w:t>Despite these measures, Australia is</w:t>
      </w:r>
      <w:r w:rsidR="006521FF" w:rsidRPr="00CF39C8">
        <w:t xml:space="preserve"> </w:t>
      </w:r>
      <w:r w:rsidR="000501B9" w:rsidRPr="00CF39C8">
        <w:t>not immune</w:t>
      </w:r>
      <w:r w:rsidRPr="00CF39C8">
        <w:t xml:space="preserve"> to</w:t>
      </w:r>
      <w:r w:rsidR="00B67089" w:rsidRPr="00CF39C8">
        <w:t xml:space="preserve"> </w:t>
      </w:r>
      <w:r w:rsidR="000501B9" w:rsidRPr="00CF39C8">
        <w:t>t</w:t>
      </w:r>
      <w:r w:rsidRPr="00CF39C8">
        <w:t>he price shocks</w:t>
      </w:r>
      <w:r w:rsidR="00B67089" w:rsidRPr="00CF39C8">
        <w:t xml:space="preserve"> </w:t>
      </w:r>
      <w:r w:rsidR="006521FF" w:rsidRPr="00CF39C8">
        <w:t xml:space="preserve">caused by the actions of </w:t>
      </w:r>
      <w:r w:rsidR="00B67089" w:rsidRPr="00CF39C8">
        <w:t xml:space="preserve">international </w:t>
      </w:r>
      <w:r w:rsidR="002F3294" w:rsidRPr="00CF39C8">
        <w:t>actors or</w:t>
      </w:r>
      <w:r w:rsidR="00B67089" w:rsidRPr="00CF39C8">
        <w:t xml:space="preserve"> events including </w:t>
      </w:r>
      <w:r w:rsidR="00E370E4" w:rsidRPr="00CF39C8">
        <w:t xml:space="preserve">the </w:t>
      </w:r>
      <w:r w:rsidRPr="00CF39C8">
        <w:t>Russian invasion of Ukraine</w:t>
      </w:r>
      <w:r w:rsidR="00AA4854" w:rsidRPr="00CF39C8">
        <w:t xml:space="preserve"> or instability in the Middle </w:t>
      </w:r>
      <w:r w:rsidR="000616A0" w:rsidRPr="00CF39C8">
        <w:t>East.</w:t>
      </w:r>
      <w:r w:rsidR="00BC1AC7" w:rsidRPr="00CF39C8">
        <w:rPr>
          <w:rStyle w:val="EndnoteReference"/>
        </w:rPr>
        <w:endnoteReference w:id="18"/>
      </w:r>
      <w:r w:rsidR="00BC1AC7" w:rsidRPr="00CF39C8">
        <w:t xml:space="preserve"> </w:t>
      </w:r>
      <w:r w:rsidR="00A27F26" w:rsidRPr="00CF39C8">
        <w:t>Over time, a</w:t>
      </w:r>
      <w:r w:rsidRPr="00CF39C8">
        <w:t xml:space="preserve"> </w:t>
      </w:r>
      <w:r w:rsidR="00D612C1" w:rsidRPr="00CF39C8">
        <w:rPr>
          <w:rFonts w:asciiTheme="majorHAnsi" w:hAnsiTheme="majorHAnsi" w:cstheme="majorHAnsi"/>
        </w:rPr>
        <w:t>NVES</w:t>
      </w:r>
      <w:r w:rsidRPr="00CF39C8">
        <w:t xml:space="preserve"> </w:t>
      </w:r>
      <w:r w:rsidR="002F3294" w:rsidRPr="00CF39C8">
        <w:t>c</w:t>
      </w:r>
      <w:r w:rsidRPr="00CF39C8">
        <w:t>ould reduc</w:t>
      </w:r>
      <w:r w:rsidR="002F3294" w:rsidRPr="00CF39C8">
        <w:t>e</w:t>
      </w:r>
      <w:r w:rsidRPr="00CF39C8">
        <w:t xml:space="preserve"> consumer demand for imported oil </w:t>
      </w:r>
      <w:r w:rsidR="00FB5021" w:rsidRPr="00CF39C8">
        <w:t>as</w:t>
      </w:r>
      <w:r w:rsidRPr="00CF39C8">
        <w:t xml:space="preserve"> </w:t>
      </w:r>
      <w:r w:rsidR="000501B9" w:rsidRPr="00CF39C8">
        <w:t>the supply</w:t>
      </w:r>
      <w:r w:rsidR="00243E86" w:rsidRPr="00CF39C8">
        <w:t xml:space="preserve"> of</w:t>
      </w:r>
      <w:r w:rsidR="000501B9" w:rsidRPr="00CF39C8">
        <w:t xml:space="preserve"> more fuel-efficient </w:t>
      </w:r>
      <w:r w:rsidRPr="00CF39C8">
        <w:t>vehicles</w:t>
      </w:r>
      <w:r w:rsidR="00FB5021" w:rsidRPr="00CF39C8">
        <w:t xml:space="preserve"> increases</w:t>
      </w:r>
      <w:r w:rsidRPr="00CF39C8">
        <w:t>.</w:t>
      </w:r>
    </w:p>
    <w:p w14:paraId="1D1EDDEA" w14:textId="77777777" w:rsidR="00D2743D" w:rsidRDefault="00D2743D" w:rsidP="00F10CB7">
      <w:r w:rsidRPr="00CF39C8">
        <w:t xml:space="preserve"> </w:t>
      </w:r>
    </w:p>
    <w:p w14:paraId="44341C05" w14:textId="77777777" w:rsidR="004A2553" w:rsidRPr="00426A11" w:rsidRDefault="004A2553" w:rsidP="004A2553">
      <w:pPr>
        <w:rPr>
          <w:b/>
        </w:rPr>
      </w:pPr>
      <w:r>
        <w:rPr>
          <w:b/>
        </w:rPr>
        <w:t>W</w:t>
      </w:r>
      <w:r w:rsidRPr="00426A11">
        <w:rPr>
          <w:b/>
        </w:rPr>
        <w:t xml:space="preserve">ill a </w:t>
      </w:r>
      <w:r w:rsidRPr="00D612C1">
        <w:rPr>
          <w:rFonts w:asciiTheme="majorHAnsi" w:hAnsiTheme="majorHAnsi" w:cstheme="majorHAnsi"/>
          <w:b/>
        </w:rPr>
        <w:t>NVES</w:t>
      </w:r>
      <w:r w:rsidRPr="00426A11">
        <w:rPr>
          <w:b/>
        </w:rPr>
        <w:t xml:space="preserve"> make cars more expensive?</w:t>
      </w:r>
    </w:p>
    <w:p w14:paraId="1E23C6A2" w14:textId="77777777" w:rsidR="004A2553" w:rsidRPr="00A3328D" w:rsidRDefault="004A2553" w:rsidP="004A2553">
      <w:pPr>
        <w:rPr>
          <w:rFonts w:asciiTheme="majorHAnsi" w:hAnsiTheme="majorHAnsi" w:cstheme="majorHAnsi"/>
        </w:rPr>
      </w:pPr>
      <w:r w:rsidRPr="00A3328D">
        <w:rPr>
          <w:rFonts w:asciiTheme="majorHAnsi" w:hAnsiTheme="majorHAnsi" w:cstheme="majorHAnsi"/>
        </w:rPr>
        <w:t xml:space="preserve">Some stakeholders have asked if a </w:t>
      </w:r>
      <w:r>
        <w:rPr>
          <w:rFonts w:asciiTheme="majorHAnsi" w:hAnsiTheme="majorHAnsi" w:cstheme="majorHAnsi"/>
        </w:rPr>
        <w:t xml:space="preserve">NVES </w:t>
      </w:r>
      <w:r w:rsidRPr="00A3328D">
        <w:rPr>
          <w:rFonts w:asciiTheme="majorHAnsi" w:hAnsiTheme="majorHAnsi" w:cstheme="majorHAnsi"/>
        </w:rPr>
        <w:t xml:space="preserve">will make cars more expensive. </w:t>
      </w:r>
      <w:r>
        <w:rPr>
          <w:rFonts w:asciiTheme="majorHAnsi" w:hAnsiTheme="majorHAnsi" w:cstheme="majorHAnsi"/>
        </w:rPr>
        <w:t>The intention</w:t>
      </w:r>
      <w:r w:rsidRPr="00A3328D">
        <w:rPr>
          <w:rFonts w:asciiTheme="majorHAnsi" w:hAnsiTheme="majorHAnsi" w:cstheme="majorHAnsi"/>
        </w:rPr>
        <w:t xml:space="preserve"> of the </w:t>
      </w:r>
      <w:r>
        <w:rPr>
          <w:rFonts w:asciiTheme="majorHAnsi" w:hAnsiTheme="majorHAnsi" w:cstheme="majorHAnsi"/>
        </w:rPr>
        <w:t xml:space="preserve">NVES </w:t>
      </w:r>
      <w:r w:rsidRPr="00A3328D">
        <w:rPr>
          <w:rFonts w:asciiTheme="majorHAnsi" w:hAnsiTheme="majorHAnsi" w:cstheme="majorHAnsi"/>
        </w:rPr>
        <w:t>is to require vehicle suppliers include more modern fuel-saving technology in the new cars sold to Australian consumers, and for suppliers to provide an increasing range of hybrid</w:t>
      </w:r>
      <w:r>
        <w:rPr>
          <w:rFonts w:asciiTheme="majorHAnsi" w:hAnsiTheme="majorHAnsi" w:cstheme="majorHAnsi"/>
        </w:rPr>
        <w:t xml:space="preserve"> variants</w:t>
      </w:r>
      <w:r w:rsidRPr="00A3328D">
        <w:rPr>
          <w:rFonts w:asciiTheme="majorHAnsi" w:hAnsiTheme="majorHAnsi" w:cstheme="majorHAnsi"/>
        </w:rPr>
        <w:t xml:space="preserve"> and EVs. </w:t>
      </w:r>
      <w:r>
        <w:rPr>
          <w:rFonts w:asciiTheme="majorHAnsi" w:hAnsiTheme="majorHAnsi" w:cstheme="majorHAnsi"/>
        </w:rPr>
        <w:t>E</w:t>
      </w:r>
      <w:r w:rsidRPr="00A3328D">
        <w:rPr>
          <w:rFonts w:asciiTheme="majorHAnsi" w:hAnsiTheme="majorHAnsi" w:cstheme="majorHAnsi"/>
        </w:rPr>
        <w:t>vidence to date consistently finds no purchase price impact, or a negligible purchase price impact, for consumers.</w:t>
      </w:r>
    </w:p>
    <w:p w14:paraId="5D87EE05" w14:textId="77777777" w:rsidR="004A2553" w:rsidRDefault="004A2553" w:rsidP="004A2553">
      <w:pPr>
        <w:rPr>
          <w:rFonts w:asciiTheme="majorHAnsi" w:hAnsiTheme="majorHAnsi" w:cstheme="majorHAnsi"/>
        </w:rPr>
      </w:pPr>
      <w:r w:rsidRPr="003F043C">
        <w:rPr>
          <w:rFonts w:asciiTheme="majorHAnsi" w:hAnsiTheme="majorHAnsi" w:cstheme="majorHAnsi"/>
        </w:rPr>
        <w:t xml:space="preserve">The experience in the US </w:t>
      </w:r>
      <w:r>
        <w:rPr>
          <w:rFonts w:asciiTheme="majorHAnsi" w:hAnsiTheme="majorHAnsi" w:cstheme="majorHAnsi"/>
        </w:rPr>
        <w:t>and</w:t>
      </w:r>
      <w:r w:rsidRPr="003F043C">
        <w:rPr>
          <w:rFonts w:asciiTheme="majorHAnsi" w:hAnsiTheme="majorHAnsi" w:cstheme="majorHAnsi"/>
        </w:rPr>
        <w:t xml:space="preserve"> EU, which have long standing fuel efficiency regulation</w:t>
      </w:r>
      <w:r>
        <w:rPr>
          <w:rFonts w:asciiTheme="majorHAnsi" w:hAnsiTheme="majorHAnsi" w:cstheme="majorHAnsi"/>
        </w:rPr>
        <w:t>s</w:t>
      </w:r>
      <w:r w:rsidRPr="003F043C">
        <w:rPr>
          <w:rFonts w:asciiTheme="majorHAnsi" w:hAnsiTheme="majorHAnsi" w:cstheme="majorHAnsi"/>
        </w:rPr>
        <w:t xml:space="preserve">, and New Zealand, which implemented an ambitious fuel efficiency standard </w:t>
      </w:r>
      <w:r>
        <w:rPr>
          <w:rFonts w:asciiTheme="majorHAnsi" w:hAnsiTheme="majorHAnsi" w:cstheme="majorHAnsi"/>
        </w:rPr>
        <w:t>in 2023</w:t>
      </w:r>
      <w:r w:rsidRPr="003F043C">
        <w:rPr>
          <w:rFonts w:asciiTheme="majorHAnsi" w:hAnsiTheme="majorHAnsi" w:cstheme="majorHAnsi"/>
        </w:rPr>
        <w:t>, doesn’t show a vehicle purchase price increase. A 2023 study in the US by the consumer organization Consumer Reports found “</w:t>
      </w:r>
      <w:r w:rsidR="00BF6023">
        <w:rPr>
          <w:rFonts w:asciiTheme="majorHAnsi" w:hAnsiTheme="majorHAnsi" w:cstheme="majorHAnsi"/>
        </w:rPr>
        <w:t>a</w:t>
      </w:r>
      <w:r w:rsidRPr="00A3328D">
        <w:rPr>
          <w:rFonts w:asciiTheme="majorHAnsi" w:hAnsiTheme="majorHAnsi" w:cstheme="majorHAnsi"/>
        </w:rPr>
        <w:t>fter adjusting for inflation, vehicle prices didn’t increase during the time period studied – model years 2003 through to 2021 – even as average fuel economy increased 30% and proven lifesaving technologies became common</w:t>
      </w:r>
      <w:r>
        <w:rPr>
          <w:rFonts w:asciiTheme="majorHAnsi" w:hAnsiTheme="majorHAnsi" w:cstheme="majorHAnsi"/>
        </w:rPr>
        <w:t>.</w:t>
      </w:r>
      <w:r w:rsidRPr="003F043C">
        <w:rPr>
          <w:rFonts w:asciiTheme="majorHAnsi" w:hAnsiTheme="majorHAnsi" w:cstheme="majorHAnsi"/>
        </w:rPr>
        <w:t>”</w:t>
      </w:r>
      <w:r w:rsidRPr="00AA4854">
        <w:rPr>
          <w:vertAlign w:val="superscript"/>
        </w:rPr>
        <w:endnoteReference w:id="19"/>
      </w:r>
      <w:r w:rsidRPr="00AA4854">
        <w:rPr>
          <w:rFonts w:asciiTheme="majorHAnsi" w:hAnsiTheme="majorHAnsi" w:cstheme="majorHAnsi"/>
          <w:vertAlign w:val="superscript"/>
        </w:rPr>
        <w:t xml:space="preserve"> </w:t>
      </w:r>
    </w:p>
    <w:p w14:paraId="42C3265C" w14:textId="77777777" w:rsidR="004A2553" w:rsidRDefault="004A2553" w:rsidP="004A2553">
      <w:pPr>
        <w:rPr>
          <w:rFonts w:asciiTheme="majorHAnsi" w:hAnsiTheme="majorHAnsi" w:cstheme="majorHAnsi"/>
        </w:rPr>
      </w:pPr>
      <w:r w:rsidRPr="003F043C">
        <w:rPr>
          <w:rFonts w:asciiTheme="majorHAnsi" w:hAnsiTheme="majorHAnsi" w:cstheme="majorHAnsi"/>
        </w:rPr>
        <w:t>Similarly, a 2017 report by the International Council on Clean Transportation found “</w:t>
      </w:r>
      <w:r w:rsidR="00BF6023">
        <w:rPr>
          <w:rFonts w:asciiTheme="majorHAnsi" w:hAnsiTheme="majorHAnsi" w:cstheme="majorHAnsi"/>
        </w:rPr>
        <w:t>f</w:t>
      </w:r>
      <w:r w:rsidRPr="003F043C">
        <w:rPr>
          <w:rFonts w:asciiTheme="majorHAnsi" w:hAnsiTheme="majorHAnsi" w:cstheme="majorHAnsi"/>
        </w:rPr>
        <w:t>uel economy standards in the United States – a technology forcer – do not appear to have had any significant effect on real vehicle prices faced by consumers</w:t>
      </w:r>
      <w:r>
        <w:rPr>
          <w:rFonts w:asciiTheme="majorHAnsi" w:hAnsiTheme="majorHAnsi" w:cstheme="majorHAnsi"/>
        </w:rPr>
        <w:t>.</w:t>
      </w:r>
      <w:r w:rsidRPr="003F043C">
        <w:rPr>
          <w:rFonts w:asciiTheme="majorHAnsi" w:hAnsiTheme="majorHAnsi" w:cstheme="majorHAnsi"/>
        </w:rPr>
        <w:t>”</w:t>
      </w:r>
      <w:r w:rsidRPr="00DD6A6C">
        <w:rPr>
          <w:vertAlign w:val="superscript"/>
        </w:rPr>
        <w:endnoteReference w:id="20"/>
      </w:r>
      <w:r w:rsidRPr="00DD6A6C">
        <w:rPr>
          <w:rFonts w:asciiTheme="majorHAnsi" w:hAnsiTheme="majorHAnsi" w:cstheme="majorHAnsi"/>
          <w:vertAlign w:val="superscript"/>
        </w:rPr>
        <w:t xml:space="preserve"> </w:t>
      </w:r>
      <w:r w:rsidRPr="00A3328D">
        <w:rPr>
          <w:rFonts w:asciiTheme="majorHAnsi" w:hAnsiTheme="majorHAnsi" w:cstheme="majorHAnsi"/>
        </w:rPr>
        <w:t xml:space="preserve">A report to the European Union of the actual performance of EU Regulations 443/2009 and 510/2011 in 2015 found that comparing car retail prices is challenging because consumers are offered numerous features and discounts. </w:t>
      </w:r>
    </w:p>
    <w:p w14:paraId="53A36A84" w14:textId="77777777" w:rsidR="004A2553" w:rsidRPr="00A3328D" w:rsidRDefault="004A2553" w:rsidP="004A2553">
      <w:pPr>
        <w:rPr>
          <w:rFonts w:asciiTheme="majorHAnsi" w:hAnsiTheme="majorHAnsi" w:cstheme="majorHAnsi"/>
        </w:rPr>
      </w:pPr>
      <w:r w:rsidRPr="00A3328D">
        <w:rPr>
          <w:rFonts w:asciiTheme="majorHAnsi" w:hAnsiTheme="majorHAnsi" w:cstheme="majorHAnsi"/>
        </w:rPr>
        <w:t>This report also stated</w:t>
      </w:r>
      <w:r>
        <w:rPr>
          <w:rFonts w:asciiTheme="majorHAnsi" w:hAnsiTheme="majorHAnsi" w:cstheme="majorHAnsi"/>
        </w:rPr>
        <w:t xml:space="preserve"> </w:t>
      </w:r>
      <w:r w:rsidRPr="00A3328D">
        <w:rPr>
          <w:rFonts w:asciiTheme="majorHAnsi" w:hAnsiTheme="majorHAnsi" w:cstheme="majorHAnsi"/>
        </w:rPr>
        <w:t>“</w:t>
      </w:r>
      <w:r>
        <w:rPr>
          <w:rFonts w:asciiTheme="majorHAnsi" w:hAnsiTheme="majorHAnsi" w:cstheme="majorHAnsi"/>
        </w:rPr>
        <w:t>I</w:t>
      </w:r>
      <w:r w:rsidRPr="00A3328D">
        <w:rPr>
          <w:rFonts w:asciiTheme="majorHAnsi" w:hAnsiTheme="majorHAnsi" w:cstheme="majorHAnsi"/>
        </w:rPr>
        <w:t>t is difficult to find evidence that legislation has actually led to real-world increases in end user prices, and indeed data from ICCT (2014c) suggests that retail prices adjusted for inflation have remained the same or slightly decreased for most segments, with the exception of sports cars (which are unlikely to be relevant to low-income consumers). In addition, when assessed in terms of maximum engine power output (a measure of vehicle performance), there does not appear to have been any compromise in consumer utility.”</w:t>
      </w:r>
      <w:r w:rsidRPr="00DD6A6C">
        <w:rPr>
          <w:vertAlign w:val="superscript"/>
        </w:rPr>
        <w:endnoteReference w:id="21"/>
      </w:r>
      <w:r w:rsidRPr="00DD6A6C">
        <w:rPr>
          <w:rFonts w:asciiTheme="majorHAnsi" w:hAnsiTheme="majorHAnsi" w:cstheme="majorHAnsi"/>
          <w:vertAlign w:val="superscript"/>
        </w:rPr>
        <w:t xml:space="preserve"> </w:t>
      </w:r>
    </w:p>
    <w:p w14:paraId="3F3A34A7" w14:textId="77777777" w:rsidR="004A2553" w:rsidRPr="00CF39C8" w:rsidRDefault="004A2553" w:rsidP="00F10CB7">
      <w:r w:rsidRPr="00A3328D">
        <w:rPr>
          <w:rFonts w:asciiTheme="majorHAnsi" w:hAnsiTheme="majorHAnsi" w:cstheme="majorHAnsi"/>
        </w:rPr>
        <w:t>The same study found that the technology costs to manufacturers were much lower than anticipated. The empirical costs of meeting the standard were estimated at EU</w:t>
      </w:r>
      <w:r>
        <w:rPr>
          <w:rFonts w:cstheme="minorHAnsi"/>
        </w:rPr>
        <w:t>€</w:t>
      </w:r>
      <w:r w:rsidRPr="00A3328D">
        <w:rPr>
          <w:rFonts w:asciiTheme="majorHAnsi" w:hAnsiTheme="majorHAnsi" w:cstheme="majorHAnsi"/>
        </w:rPr>
        <w:t>183 per car for passenger vehicles</w:t>
      </w:r>
      <w:r>
        <w:rPr>
          <w:rFonts w:asciiTheme="majorHAnsi" w:hAnsiTheme="majorHAnsi" w:cstheme="majorHAnsi"/>
        </w:rPr>
        <w:t xml:space="preserve"> (approximately AUD $300)</w:t>
      </w:r>
      <w:r w:rsidRPr="00A3328D">
        <w:rPr>
          <w:rFonts w:asciiTheme="majorHAnsi" w:hAnsiTheme="majorHAnsi" w:cstheme="majorHAnsi"/>
        </w:rPr>
        <w:t>, and EU</w:t>
      </w:r>
      <w:r>
        <w:rPr>
          <w:rFonts w:cstheme="minorHAnsi"/>
        </w:rPr>
        <w:t>€</w:t>
      </w:r>
      <w:r w:rsidRPr="00A3328D">
        <w:rPr>
          <w:rFonts w:asciiTheme="majorHAnsi" w:hAnsiTheme="majorHAnsi" w:cstheme="majorHAnsi"/>
        </w:rPr>
        <w:t>115</w:t>
      </w:r>
      <w:r>
        <w:rPr>
          <w:rFonts w:asciiTheme="majorHAnsi" w:hAnsiTheme="majorHAnsi" w:cstheme="majorHAnsi"/>
        </w:rPr>
        <w:t xml:space="preserve"> (approximately AUD $190)</w:t>
      </w:r>
      <w:r w:rsidRPr="00A3328D">
        <w:rPr>
          <w:rFonts w:asciiTheme="majorHAnsi" w:hAnsiTheme="majorHAnsi" w:cstheme="majorHAnsi"/>
        </w:rPr>
        <w:t xml:space="preserve"> for light commercial vehicles. As noted above, this study did not find evidence that </w:t>
      </w:r>
      <w:r>
        <w:rPr>
          <w:rFonts w:asciiTheme="majorHAnsi" w:hAnsiTheme="majorHAnsi" w:cstheme="majorHAnsi"/>
        </w:rPr>
        <w:t xml:space="preserve">even </w:t>
      </w:r>
      <w:r w:rsidRPr="00A3328D">
        <w:rPr>
          <w:rFonts w:asciiTheme="majorHAnsi" w:hAnsiTheme="majorHAnsi" w:cstheme="majorHAnsi"/>
        </w:rPr>
        <w:t>this very small cost was passed on to consumers in the form of higher prices.</w:t>
      </w:r>
    </w:p>
    <w:p w14:paraId="3702B752" w14:textId="77777777" w:rsidR="009257AE" w:rsidRPr="00CF39C8" w:rsidRDefault="009257AE" w:rsidP="00DE1FD8">
      <w:pPr>
        <w:pStyle w:val="Heading2"/>
        <w:numPr>
          <w:ilvl w:val="1"/>
          <w:numId w:val="87"/>
        </w:numPr>
        <w:ind w:hanging="792"/>
      </w:pPr>
      <w:bookmarkStart w:id="94" w:name="_Toc161837647"/>
      <w:bookmarkStart w:id="95" w:name="_Toc161933145"/>
      <w:bookmarkStart w:id="96" w:name="_Toc162276452"/>
      <w:bookmarkStart w:id="97" w:name="_Toc163221048"/>
      <w:r w:rsidRPr="00CF39C8">
        <w:t>Australian cars are highly polluting</w:t>
      </w:r>
      <w:bookmarkEnd w:id="94"/>
      <w:bookmarkEnd w:id="95"/>
      <w:bookmarkEnd w:id="96"/>
      <w:bookmarkEnd w:id="97"/>
      <w:r w:rsidRPr="00CF39C8">
        <w:t xml:space="preserve"> </w:t>
      </w:r>
    </w:p>
    <w:p w14:paraId="7E3F97A8"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Increasing concentrations of greenhouse gases in the atmosphere are warming our climate, and will continue to impact on Australia over coming decades. Land and ocean temperatures are rising, and rainfall is declining in southern Australia and increasing in northern Australia. Droughts and periods of extreme fire weather are expected to become more common, as are more intense rainfall events. The Australian Government’s 2021 State of the Environment (SOE) report found that: </w:t>
      </w:r>
    </w:p>
    <w:p w14:paraId="68AA042F" w14:textId="77777777" w:rsidR="009257AE" w:rsidRPr="00CF39C8" w:rsidRDefault="009257AE" w:rsidP="009257AE">
      <w:pPr>
        <w:ind w:left="720"/>
        <w:rPr>
          <w:rFonts w:asciiTheme="majorHAnsi" w:hAnsiTheme="majorHAnsi" w:cstheme="majorHAnsi"/>
        </w:rPr>
      </w:pPr>
      <w:r w:rsidRPr="00CF39C8">
        <w:rPr>
          <w:rFonts w:asciiTheme="majorHAnsi" w:hAnsiTheme="majorHAnsi" w:cstheme="majorHAnsi"/>
        </w:rPr>
        <w:t>‘</w:t>
      </w:r>
      <w:r w:rsidRPr="00CF39C8">
        <w:rPr>
          <w:rFonts w:asciiTheme="majorHAnsi" w:hAnsiTheme="majorHAnsi" w:cstheme="majorHAnsi"/>
          <w:i/>
        </w:rPr>
        <w:t>long-term changes in the climate, particularly the changed incidence of extreme events such as cyclones and bushfires, place pressure on many aspects of the Australian environment. Further changes in the climate, driven by past and future emissions of greenhouse gases, will continue to make climate a major pressure on the Australian environment and communities for the foreseeable future</w:t>
      </w:r>
      <w:r w:rsidRPr="00CF39C8">
        <w:rPr>
          <w:rFonts w:asciiTheme="majorHAnsi" w:hAnsiTheme="majorHAnsi" w:cstheme="majorHAnsi"/>
        </w:rPr>
        <w:t xml:space="preserve">’ </w:t>
      </w:r>
    </w:p>
    <w:p w14:paraId="5D6F7E87"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The need to reduce greenhouse gases is clear, and every sector of the economy, including the transport sector, has a role to play. </w:t>
      </w:r>
    </w:p>
    <w:p w14:paraId="1955D9C3"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Transport is Australia’s third largest source of greenhouse gas emissions</w:t>
      </w:r>
      <w:r w:rsidRPr="00CF39C8">
        <w:rPr>
          <w:rStyle w:val="EndnoteReference"/>
          <w:rFonts w:asciiTheme="majorHAnsi" w:hAnsiTheme="majorHAnsi" w:cstheme="majorHAnsi"/>
        </w:rPr>
        <w:endnoteReference w:id="22"/>
      </w:r>
      <w:r w:rsidRPr="00CF39C8">
        <w:rPr>
          <w:rFonts w:asciiTheme="majorHAnsi" w:hAnsiTheme="majorHAnsi" w:cstheme="majorHAnsi"/>
        </w:rPr>
        <w:t xml:space="preserve"> and will soon become the largest source if nothing is done. In 2023, transport emitted 98 Mt CO₂-e of greenhouse gases, representing 21% of Australia’s total greenhouse gas emissions. Passenger cars emitted 41 Mt CO₂-e (42% of all transport emissions) and light commercial vehicles emitted 18 Mt CO₂-e (18% of all transport emissions). Overall, cars make up about 60% of transport emissions. </w:t>
      </w:r>
      <w:r w:rsidR="00CC55FE">
        <w:rPr>
          <w:rFonts w:asciiTheme="majorHAnsi" w:hAnsiTheme="majorHAnsi" w:cstheme="majorHAnsi"/>
        </w:rPr>
        <w:t xml:space="preserve">Passenger cars and light commercial vehicles combined account for </w:t>
      </w:r>
      <w:r w:rsidR="00FA414C" w:rsidRPr="00FA414C">
        <w:rPr>
          <w:rFonts w:asciiTheme="majorHAnsi" w:hAnsiTheme="majorHAnsi" w:cstheme="majorHAnsi"/>
        </w:rPr>
        <w:t>11.4%</w:t>
      </w:r>
      <w:r w:rsidR="00CC55FE">
        <w:rPr>
          <w:rFonts w:asciiTheme="majorHAnsi" w:hAnsiTheme="majorHAnsi" w:cstheme="majorHAnsi"/>
        </w:rPr>
        <w:t xml:space="preserve"> of Australia’s total carbon emissions.</w:t>
      </w:r>
    </w:p>
    <w:p w14:paraId="0D8FC3B7"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The 2023 Emissions Projections Report (Figure </w:t>
      </w:r>
      <w:r w:rsidR="00CF1D61">
        <w:rPr>
          <w:rFonts w:asciiTheme="majorHAnsi" w:hAnsiTheme="majorHAnsi" w:cstheme="majorHAnsi"/>
        </w:rPr>
        <w:t>4</w:t>
      </w:r>
      <w:r w:rsidRPr="00CF39C8">
        <w:rPr>
          <w:rFonts w:asciiTheme="majorHAnsi" w:hAnsiTheme="majorHAnsi" w:cstheme="majorHAnsi"/>
        </w:rPr>
        <w:t xml:space="preserve">) found that while restrictions during the early period of the COVID-19 pandemic resulted in a measurable decrease in transport emissions, the pre-2019 emissions trajectory has largely resumed and is projected to increase from 98 Mt in 2023 to a peak of 103 Mt in 2027. </w:t>
      </w:r>
    </w:p>
    <w:p w14:paraId="5F540DF5" w14:textId="77777777" w:rsidR="009257AE" w:rsidRPr="00CF39C8" w:rsidRDefault="009257AE" w:rsidP="009257AE">
      <w:pPr>
        <w:rPr>
          <w:rFonts w:asciiTheme="majorHAnsi" w:hAnsiTheme="majorHAnsi" w:cstheme="majorHAnsi"/>
        </w:rPr>
      </w:pPr>
      <w:r w:rsidRPr="00CF39C8">
        <w:rPr>
          <w:rFonts w:asciiTheme="majorHAnsi" w:hAnsiTheme="majorHAnsi" w:cstheme="majorHAnsi"/>
          <w:noProof/>
          <w:lang w:eastAsia="en-AU"/>
        </w:rPr>
        <w:drawing>
          <wp:inline distT="0" distB="0" distL="0" distR="0" wp14:anchorId="19006E25" wp14:editId="408E3A50">
            <wp:extent cx="5975350" cy="2482850"/>
            <wp:effectExtent l="19050" t="19050" r="25400" b="12700"/>
            <wp:docPr id="2066" name="Picture 2066" descr="A bar graph of Australia's projected transport emissions by mode in 2025. &#10;The bar graph demonstrates cars (passenger vehicles) are projected to be the transport mode with the greatest emissions in 2025, followed by cars (light commercial vehicles) and articulated trucks. &#10;&#10;Projected transport emissions by mode in 2025 (Mt CO2-e):&#10;Cars (Passenger vehicles) = 45 &#10;Cars (Light commercial vehicles) = 18&#10;Buses = 2&#10;Rigid trucks = 9&#10;Articulated trucks = 13&#10;Motorcycles = &lt;1&#10;Domestic aviation = 9&#10;Domestic maritime = 2&#10;Railways = 4&#10;Other transpo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975350" cy="2482850"/>
                    </a:xfrm>
                    <a:prstGeom prst="rect">
                      <a:avLst/>
                    </a:prstGeom>
                    <a:noFill/>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85EF9" w14:textId="77777777" w:rsidR="009257AE" w:rsidRPr="00CF39C8" w:rsidRDefault="009257AE" w:rsidP="009257AE">
      <w:pPr>
        <w:pStyle w:val="Caption"/>
        <w:rPr>
          <w:rFonts w:asciiTheme="majorHAnsi" w:hAnsiTheme="majorHAnsi" w:cstheme="majorHAnsi"/>
          <w:b w:val="0"/>
        </w:rPr>
      </w:pPr>
      <w:bookmarkStart w:id="98" w:name="_Toc161837752"/>
      <w:bookmarkStart w:id="99" w:name="_Toc161933200"/>
      <w:bookmarkStart w:id="100" w:name="_Toc163221101"/>
      <w:r w:rsidRPr="00CF39C8">
        <w:t xml:space="preserve">Figure </w:t>
      </w:r>
      <w:r w:rsidR="00DB038C">
        <w:rPr>
          <w:rFonts w:asciiTheme="majorHAnsi" w:hAnsiTheme="majorHAnsi" w:cstheme="majorHAnsi"/>
        </w:rPr>
        <w:t>4</w:t>
      </w:r>
      <w:r w:rsidRPr="00CF39C8">
        <w:rPr>
          <w:rFonts w:asciiTheme="majorHAnsi" w:hAnsiTheme="majorHAnsi" w:cstheme="majorHAnsi"/>
          <w:b w:val="0"/>
        </w:rPr>
        <w:t xml:space="preserve"> </w:t>
      </w:r>
      <w:r w:rsidRPr="00CF39C8">
        <w:t xml:space="preserve">– </w:t>
      </w:r>
      <w:r w:rsidRPr="00CF39C8">
        <w:rPr>
          <w:b w:val="0"/>
        </w:rPr>
        <w:t xml:space="preserve">Transport emissions sources – Australia’s emissions projections, DCCEEW </w:t>
      </w:r>
      <w:r w:rsidRPr="00CF39C8">
        <w:rPr>
          <w:rFonts w:asciiTheme="majorHAnsi" w:hAnsiTheme="majorHAnsi" w:cstheme="majorHAnsi"/>
          <w:b w:val="0"/>
        </w:rPr>
        <w:t>2023</w:t>
      </w:r>
      <w:bookmarkEnd w:id="98"/>
      <w:bookmarkEnd w:id="99"/>
      <w:bookmarkEnd w:id="100"/>
    </w:p>
    <w:p w14:paraId="745050AB" w14:textId="77777777" w:rsidR="009257AE" w:rsidRDefault="009257AE" w:rsidP="009257AE">
      <w:pPr>
        <w:spacing w:before="360" w:after="0" w:line="240" w:lineRule="auto"/>
        <w:rPr>
          <w:rFonts w:asciiTheme="majorHAnsi" w:hAnsiTheme="majorHAnsi" w:cstheme="majorHAnsi"/>
        </w:rPr>
      </w:pPr>
      <w:r w:rsidRPr="00CF39C8">
        <w:rPr>
          <w:rFonts w:asciiTheme="majorHAnsi" w:hAnsiTheme="majorHAnsi" w:cstheme="majorHAnsi"/>
        </w:rPr>
        <w:t xml:space="preserve">Growth in car emissions is driven by two factors – the number of vehicles on our roads, and the amount of emissions from each car. Over the last few decades, both have increased: </w:t>
      </w:r>
    </w:p>
    <w:p w14:paraId="4833A4A2" w14:textId="77777777" w:rsidR="00A406DE" w:rsidRDefault="00A406DE" w:rsidP="00A406DE">
      <w:pPr>
        <w:spacing w:after="0" w:line="240" w:lineRule="auto"/>
        <w:rPr>
          <w:rFonts w:asciiTheme="majorHAnsi" w:hAnsiTheme="majorHAnsi" w:cstheme="majorHAnsi"/>
        </w:rPr>
      </w:pPr>
    </w:p>
    <w:p w14:paraId="003FC614" w14:textId="77777777" w:rsidR="009257AE" w:rsidRPr="00CF39C8" w:rsidRDefault="009257AE" w:rsidP="00430317">
      <w:pPr>
        <w:pStyle w:val="ListParagraph"/>
        <w:numPr>
          <w:ilvl w:val="0"/>
          <w:numId w:val="26"/>
        </w:numPr>
        <w:rPr>
          <w:rFonts w:asciiTheme="majorHAnsi" w:hAnsiTheme="majorHAnsi" w:cstheme="majorHAnsi"/>
        </w:rPr>
      </w:pPr>
      <w:r w:rsidRPr="00CF39C8">
        <w:rPr>
          <w:rFonts w:asciiTheme="majorHAnsi" w:hAnsiTheme="majorHAnsi" w:cstheme="majorHAnsi"/>
        </w:rPr>
        <w:t>The number of cars on Australian roads has increased from 11.9 million in 2002</w:t>
      </w:r>
      <w:r w:rsidRPr="00CF39C8">
        <w:rPr>
          <w:rStyle w:val="EndnoteReference"/>
          <w:rFonts w:asciiTheme="majorHAnsi" w:hAnsiTheme="majorHAnsi" w:cstheme="majorHAnsi"/>
        </w:rPr>
        <w:endnoteReference w:id="23"/>
      </w:r>
      <w:r w:rsidRPr="00CF39C8">
        <w:rPr>
          <w:rFonts w:asciiTheme="majorHAnsi" w:hAnsiTheme="majorHAnsi" w:cstheme="majorHAnsi"/>
        </w:rPr>
        <w:t xml:space="preserve"> to 18.3 million in 2021.</w:t>
      </w:r>
      <w:r w:rsidRPr="00CF39C8">
        <w:rPr>
          <w:rStyle w:val="EndnoteReference"/>
          <w:rFonts w:asciiTheme="majorHAnsi" w:hAnsiTheme="majorHAnsi" w:cstheme="majorHAnsi"/>
        </w:rPr>
        <w:endnoteReference w:id="24"/>
      </w:r>
      <w:r w:rsidRPr="00CF39C8">
        <w:rPr>
          <w:rFonts w:asciiTheme="majorHAnsi" w:hAnsiTheme="majorHAnsi" w:cstheme="majorHAnsi"/>
        </w:rPr>
        <w:t xml:space="preserve"> </w:t>
      </w:r>
    </w:p>
    <w:p w14:paraId="299E9DF9" w14:textId="77777777" w:rsidR="007A0644" w:rsidRPr="007A0644" w:rsidRDefault="009257AE" w:rsidP="00430317">
      <w:pPr>
        <w:pStyle w:val="ListParagraph"/>
        <w:numPr>
          <w:ilvl w:val="0"/>
          <w:numId w:val="26"/>
        </w:numPr>
        <w:rPr>
          <w:rFonts w:asciiTheme="majorHAnsi" w:hAnsiTheme="majorHAnsi" w:cstheme="majorHAnsi"/>
        </w:rPr>
      </w:pPr>
      <w:r w:rsidRPr="00CF39C8">
        <w:rPr>
          <w:rFonts w:asciiTheme="majorHAnsi" w:hAnsiTheme="majorHAnsi" w:cstheme="majorHAnsi"/>
        </w:rPr>
        <w:t>Despite technological advances to increase the emissions efficiency</w:t>
      </w:r>
      <w:r w:rsidRPr="00CF39C8">
        <w:rPr>
          <w:rStyle w:val="EndnoteReference"/>
          <w:rFonts w:asciiTheme="majorHAnsi" w:hAnsiTheme="majorHAnsi" w:cstheme="majorHAnsi"/>
        </w:rPr>
        <w:endnoteReference w:id="25"/>
      </w:r>
      <w:r w:rsidRPr="00CF39C8">
        <w:rPr>
          <w:rFonts w:asciiTheme="majorHAnsi" w:hAnsiTheme="majorHAnsi" w:cstheme="majorHAnsi"/>
        </w:rPr>
        <w:t xml:space="preserve"> of new vehicles, the voluntary </w:t>
      </w:r>
      <w:r w:rsidR="00F14BFD">
        <w:rPr>
          <w:rFonts w:asciiTheme="majorHAnsi" w:hAnsiTheme="majorHAnsi" w:cstheme="majorHAnsi"/>
        </w:rPr>
        <w:t>fuel</w:t>
      </w:r>
      <w:r w:rsidRPr="00CF39C8">
        <w:rPr>
          <w:rFonts w:asciiTheme="majorHAnsi" w:hAnsiTheme="majorHAnsi" w:cstheme="majorHAnsi"/>
        </w:rPr>
        <w:t xml:space="preserve"> efficiency standard</w:t>
      </w:r>
      <w:r w:rsidRPr="00CF39C8" w:rsidDel="00D612C1">
        <w:rPr>
          <w:rFonts w:asciiTheme="majorHAnsi" w:hAnsiTheme="majorHAnsi" w:cstheme="majorHAnsi"/>
        </w:rPr>
        <w:t xml:space="preserve"> </w:t>
      </w:r>
      <w:r w:rsidR="00F14BFD">
        <w:rPr>
          <w:rFonts w:asciiTheme="majorHAnsi" w:hAnsiTheme="majorHAnsi" w:cstheme="majorHAnsi"/>
        </w:rPr>
        <w:t xml:space="preserve">for light vehicles </w:t>
      </w:r>
      <w:r w:rsidRPr="00CF39C8">
        <w:rPr>
          <w:rFonts w:asciiTheme="majorHAnsi" w:hAnsiTheme="majorHAnsi" w:cstheme="majorHAnsi"/>
        </w:rPr>
        <w:t xml:space="preserve">adopted by the Federal Chamber of Automotive Industries (FCAI) and its members in 2020, and the more recent increases in the uptake of low and zero emissions vehicles in Australia, Australia’s overall vehicle emissions have not decreased, instead remaining relatively steady in recent years. </w:t>
      </w:r>
      <w:r w:rsidRPr="00CF39C8">
        <w:rPr>
          <w:rFonts w:asciiTheme="majorHAnsi" w:hAnsiTheme="majorHAnsi" w:cstheme="majorHAnsi"/>
          <w:color w:val="000000"/>
        </w:rPr>
        <w:t>In 2019 (for instance), the average new light vehicle sold in Australia produced 181 grams of CO</w:t>
      </w:r>
      <w:r w:rsidRPr="00CF39C8">
        <w:rPr>
          <w:rFonts w:asciiTheme="majorHAnsi" w:hAnsiTheme="majorHAnsi" w:cstheme="majorHAnsi"/>
          <w:color w:val="000000"/>
          <w:sz w:val="18"/>
          <w:szCs w:val="18"/>
          <w:vertAlign w:val="subscript"/>
        </w:rPr>
        <w:t>2</w:t>
      </w:r>
      <w:r w:rsidRPr="00CF39C8">
        <w:rPr>
          <w:rFonts w:asciiTheme="majorHAnsi" w:hAnsiTheme="majorHAnsi" w:cstheme="majorHAnsi"/>
          <w:color w:val="000000"/>
          <w:sz w:val="18"/>
          <w:szCs w:val="18"/>
        </w:rPr>
        <w:t xml:space="preserve"> </w:t>
      </w:r>
      <w:r w:rsidRPr="00CF39C8">
        <w:rPr>
          <w:rFonts w:asciiTheme="majorHAnsi" w:hAnsiTheme="majorHAnsi" w:cstheme="majorHAnsi"/>
          <w:color w:val="000000"/>
        </w:rPr>
        <w:t>per kilometre (g/km).</w:t>
      </w:r>
      <w:r w:rsidRPr="00CF39C8">
        <w:rPr>
          <w:rStyle w:val="EndnoteReference"/>
          <w:rFonts w:asciiTheme="majorHAnsi" w:hAnsiTheme="majorHAnsi" w:cstheme="majorHAnsi"/>
          <w:color w:val="000000"/>
        </w:rPr>
        <w:endnoteReference w:id="26"/>
      </w:r>
      <w:r w:rsidRPr="00CF39C8">
        <w:rPr>
          <w:rFonts w:asciiTheme="majorHAnsi" w:hAnsiTheme="majorHAnsi" w:cstheme="majorHAnsi"/>
          <w:color w:val="000000"/>
        </w:rPr>
        <w:t xml:space="preserve"> </w:t>
      </w:r>
    </w:p>
    <w:p w14:paraId="451F0F7B" w14:textId="77777777" w:rsidR="008F2F20" w:rsidRDefault="008F2F20" w:rsidP="009257AE">
      <w:pPr>
        <w:rPr>
          <w:rFonts w:asciiTheme="majorHAnsi" w:hAnsiTheme="majorHAnsi" w:cstheme="majorHAnsi"/>
        </w:rPr>
      </w:pPr>
    </w:p>
    <w:p w14:paraId="53A1C87C" w14:textId="77777777" w:rsidR="008F2F20" w:rsidRDefault="008F2F20" w:rsidP="009257AE">
      <w:pPr>
        <w:rPr>
          <w:rFonts w:asciiTheme="majorHAnsi" w:hAnsiTheme="majorHAnsi" w:cstheme="majorHAnsi"/>
        </w:rPr>
      </w:pPr>
    </w:p>
    <w:p w14:paraId="00951EFB" w14:textId="77777777" w:rsidR="008F2F20" w:rsidRDefault="008F2F20" w:rsidP="009257AE">
      <w:pPr>
        <w:rPr>
          <w:rFonts w:asciiTheme="majorHAnsi" w:hAnsiTheme="majorHAnsi" w:cstheme="majorHAnsi"/>
        </w:rPr>
      </w:pPr>
    </w:p>
    <w:p w14:paraId="73D2462B" w14:textId="77777777" w:rsidR="008F2F20" w:rsidRDefault="008F2F20" w:rsidP="009257AE">
      <w:pPr>
        <w:rPr>
          <w:rFonts w:asciiTheme="majorHAnsi" w:hAnsiTheme="majorHAnsi" w:cstheme="majorHAnsi"/>
        </w:rPr>
      </w:pPr>
    </w:p>
    <w:p w14:paraId="64DAC84C" w14:textId="77777777" w:rsidR="008F2F20" w:rsidRDefault="008F2F20" w:rsidP="009257AE">
      <w:pPr>
        <w:rPr>
          <w:rFonts w:asciiTheme="majorHAnsi" w:hAnsiTheme="majorHAnsi" w:cstheme="majorHAnsi"/>
        </w:rPr>
      </w:pPr>
    </w:p>
    <w:p w14:paraId="3842E78C" w14:textId="77777777" w:rsidR="008F2F20" w:rsidRDefault="008F2F20" w:rsidP="009257AE">
      <w:pPr>
        <w:rPr>
          <w:rFonts w:asciiTheme="majorHAnsi" w:hAnsiTheme="majorHAnsi" w:cstheme="majorHAnsi"/>
        </w:rPr>
      </w:pPr>
    </w:p>
    <w:p w14:paraId="79B9BAD3" w14:textId="77777777" w:rsidR="008F2F20" w:rsidRDefault="008F2F20" w:rsidP="009257AE">
      <w:pPr>
        <w:rPr>
          <w:rFonts w:asciiTheme="majorHAnsi" w:hAnsiTheme="majorHAnsi" w:cstheme="majorHAnsi"/>
        </w:rPr>
      </w:pPr>
    </w:p>
    <w:p w14:paraId="6541301A" w14:textId="77777777" w:rsidR="007A0644" w:rsidRDefault="007A0644" w:rsidP="009257AE">
      <w:pPr>
        <w:rPr>
          <w:rFonts w:asciiTheme="majorHAnsi" w:hAnsiTheme="majorHAnsi" w:cstheme="majorHAnsi"/>
        </w:rPr>
      </w:pPr>
      <w:r w:rsidRPr="00CF39C8">
        <w:rPr>
          <w:rFonts w:asciiTheme="majorHAnsi" w:hAnsiTheme="majorHAnsi" w:cstheme="majorHAnsi"/>
        </w:rPr>
        <w:t>Australia’s fleet-average CO</w:t>
      </w:r>
      <w:r w:rsidRPr="00CF39C8">
        <w:rPr>
          <w:rFonts w:asciiTheme="majorHAnsi" w:hAnsiTheme="majorHAnsi" w:cstheme="majorHAnsi"/>
          <w:vertAlign w:val="subscript"/>
        </w:rPr>
        <w:t>2</w:t>
      </w:r>
      <w:r w:rsidRPr="00CF39C8">
        <w:rPr>
          <w:rFonts w:asciiTheme="majorHAnsi" w:hAnsiTheme="majorHAnsi" w:cstheme="majorHAnsi"/>
        </w:rPr>
        <w:t xml:space="preserve"> emissions for new vehicles in 2020 on the New European Driving Cycle (NEDC) are higher than the US by 31% for cars and 24% for LCVs (utes, light trucks and vans).</w:t>
      </w:r>
      <w:r w:rsidRPr="00CF39C8">
        <w:rPr>
          <w:rStyle w:val="EndnoteReference"/>
          <w:rFonts w:asciiTheme="majorHAnsi" w:hAnsiTheme="majorHAnsi" w:cstheme="majorHAnsi"/>
        </w:rPr>
        <w:endnoteReference w:id="27"/>
      </w:r>
      <w:r w:rsidRPr="00CF39C8">
        <w:rPr>
          <w:rFonts w:asciiTheme="majorHAnsi" w:hAnsiTheme="majorHAnsi" w:cstheme="majorHAnsi"/>
        </w:rPr>
        <w:t xml:space="preserve"> </w:t>
      </w:r>
    </w:p>
    <w:p w14:paraId="10DF549A" w14:textId="77777777" w:rsidR="009257AE" w:rsidRDefault="009257AE" w:rsidP="009257AE">
      <w:pPr>
        <w:rPr>
          <w:rFonts w:asciiTheme="majorHAnsi" w:hAnsiTheme="majorHAnsi" w:cstheme="majorHAnsi"/>
        </w:rPr>
      </w:pPr>
      <w:r w:rsidRPr="00CF39C8">
        <w:rPr>
          <w:rFonts w:asciiTheme="majorHAnsi" w:hAnsiTheme="majorHAnsi" w:cstheme="majorHAnsi"/>
        </w:rPr>
        <w:t>Cars in Australia are more emissions intensive compared to many other countries.</w:t>
      </w:r>
      <w:r w:rsidR="004E3F0F">
        <w:rPr>
          <w:rFonts w:asciiTheme="majorHAnsi" w:hAnsiTheme="majorHAnsi" w:cstheme="majorHAnsi"/>
        </w:rPr>
        <w:t xml:space="preserve"> Analysis by the department shows</w:t>
      </w:r>
      <w:r w:rsidRPr="00CF39C8" w:rsidDel="004E3F0F">
        <w:rPr>
          <w:rFonts w:asciiTheme="majorHAnsi" w:hAnsiTheme="majorHAnsi" w:cstheme="majorHAnsi"/>
        </w:rPr>
        <w:t xml:space="preserve"> </w:t>
      </w:r>
      <w:r w:rsidR="004E3F0F">
        <w:rPr>
          <w:rFonts w:asciiTheme="majorHAnsi" w:hAnsiTheme="majorHAnsi" w:cstheme="majorHAnsi"/>
        </w:rPr>
        <w:t>i</w:t>
      </w:r>
      <w:r w:rsidRPr="00CF39C8">
        <w:rPr>
          <w:rFonts w:asciiTheme="majorHAnsi" w:hAnsiTheme="majorHAnsi" w:cstheme="majorHAnsi"/>
        </w:rPr>
        <w:t>n 2022, the average CO</w:t>
      </w:r>
      <w:r w:rsidRPr="00CF39C8">
        <w:rPr>
          <w:rFonts w:asciiTheme="majorHAnsi" w:hAnsiTheme="majorHAnsi" w:cstheme="majorHAnsi"/>
          <w:vertAlign w:val="subscript"/>
        </w:rPr>
        <w:t>2</w:t>
      </w:r>
      <w:r w:rsidRPr="00CF39C8">
        <w:rPr>
          <w:rFonts w:asciiTheme="majorHAnsi" w:hAnsiTheme="majorHAnsi" w:cstheme="majorHAnsi"/>
        </w:rPr>
        <w:t xml:space="preserve"> intensity for new passenger vehicles (cars) in Australia was 179.1g CO</w:t>
      </w:r>
      <w:r w:rsidRPr="00CF39C8">
        <w:rPr>
          <w:rFonts w:asciiTheme="majorHAnsi" w:hAnsiTheme="majorHAnsi" w:cstheme="majorHAnsi"/>
          <w:vertAlign w:val="subscript"/>
        </w:rPr>
        <w:t>2</w:t>
      </w:r>
      <w:r w:rsidRPr="00CF39C8">
        <w:rPr>
          <w:rFonts w:asciiTheme="majorHAnsi" w:hAnsiTheme="majorHAnsi" w:cstheme="majorHAnsi"/>
        </w:rPr>
        <w:t>/km,</w:t>
      </w:r>
      <w:r w:rsidRPr="00CF39C8">
        <w:rPr>
          <w:rFonts w:asciiTheme="majorHAnsi" w:hAnsiTheme="majorHAnsi" w:cstheme="majorHAnsi"/>
          <w:color w:val="000000"/>
        </w:rPr>
        <w:t xml:space="preserve"> </w:t>
      </w:r>
      <w:r w:rsidR="008F2F20">
        <w:rPr>
          <w:rFonts w:asciiTheme="majorHAnsi" w:hAnsiTheme="majorHAnsi" w:cstheme="majorHAnsi"/>
          <w:color w:val="000000"/>
        </w:rPr>
        <w:t>m</w:t>
      </w:r>
      <w:r w:rsidRPr="00CF39C8">
        <w:rPr>
          <w:rFonts w:asciiTheme="majorHAnsi" w:hAnsiTheme="majorHAnsi" w:cstheme="majorHAnsi"/>
          <w:color w:val="000000"/>
        </w:rPr>
        <w:t>ade up of 161.9g CO</w:t>
      </w:r>
      <w:r w:rsidRPr="00CF39C8">
        <w:rPr>
          <w:rFonts w:asciiTheme="majorHAnsi" w:hAnsiTheme="majorHAnsi" w:cstheme="majorHAnsi"/>
          <w:color w:val="000000"/>
          <w:vertAlign w:val="subscript"/>
        </w:rPr>
        <w:t>2</w:t>
      </w:r>
      <w:r w:rsidRPr="00CF39C8">
        <w:rPr>
          <w:rFonts w:asciiTheme="majorHAnsi" w:hAnsiTheme="majorHAnsi" w:cstheme="majorHAnsi"/>
          <w:color w:val="000000"/>
        </w:rPr>
        <w:t>/km for passenger vehicles</w:t>
      </w:r>
      <w:r w:rsidRPr="00CF39C8">
        <w:rPr>
          <w:rStyle w:val="FootnoteReference"/>
          <w:rFonts w:asciiTheme="majorHAnsi" w:hAnsiTheme="majorHAnsi" w:cstheme="majorHAnsi"/>
          <w:color w:val="000000"/>
        </w:rPr>
        <w:footnoteReference w:id="6"/>
      </w:r>
      <w:r w:rsidRPr="00CF39C8">
        <w:rPr>
          <w:rFonts w:asciiTheme="majorHAnsi" w:hAnsiTheme="majorHAnsi" w:cstheme="majorHAnsi"/>
          <w:color w:val="000000"/>
        </w:rPr>
        <w:t xml:space="preserve"> and 230.3g CO</w:t>
      </w:r>
      <w:r w:rsidRPr="00CF39C8">
        <w:rPr>
          <w:rFonts w:asciiTheme="majorHAnsi" w:hAnsiTheme="majorHAnsi" w:cstheme="majorHAnsi"/>
          <w:color w:val="000000"/>
          <w:vertAlign w:val="subscript"/>
        </w:rPr>
        <w:t>2</w:t>
      </w:r>
      <w:r w:rsidRPr="00CF39C8">
        <w:rPr>
          <w:rFonts w:asciiTheme="majorHAnsi" w:hAnsiTheme="majorHAnsi" w:cstheme="majorHAnsi"/>
          <w:color w:val="000000"/>
        </w:rPr>
        <w:t>/km for light commercial vehicles.</w:t>
      </w:r>
      <w:r w:rsidRPr="00CF39C8">
        <w:rPr>
          <w:rStyle w:val="FootnoteReference"/>
          <w:rFonts w:asciiTheme="majorHAnsi" w:hAnsiTheme="majorHAnsi" w:cstheme="majorHAnsi"/>
          <w:color w:val="000000"/>
        </w:rPr>
        <w:footnoteReference w:id="7"/>
      </w:r>
      <w:r w:rsidRPr="00CF39C8">
        <w:rPr>
          <w:rFonts w:asciiTheme="majorHAnsi" w:hAnsiTheme="majorHAnsi" w:cstheme="majorHAnsi"/>
        </w:rPr>
        <w:t xml:space="preserve"> As </w:t>
      </w:r>
      <w:r w:rsidR="001955F4" w:rsidRPr="00CF1D61">
        <w:rPr>
          <w:rFonts w:asciiTheme="majorHAnsi" w:hAnsiTheme="majorHAnsi" w:cstheme="majorHAnsi"/>
        </w:rPr>
        <w:t>Figure</w:t>
      </w:r>
      <w:r w:rsidR="007D66CF" w:rsidRPr="00F60FD2">
        <w:rPr>
          <w:rFonts w:asciiTheme="majorHAnsi" w:hAnsiTheme="majorHAnsi" w:cstheme="majorHAnsi"/>
        </w:rPr>
        <w:t> 5</w:t>
      </w:r>
      <w:r w:rsidRPr="00CF39C8">
        <w:rPr>
          <w:rFonts w:asciiTheme="majorHAnsi" w:hAnsiTheme="majorHAnsi" w:cstheme="majorHAnsi"/>
        </w:rPr>
        <w:t xml:space="preserve"> shows, this compares to 169 g CO</w:t>
      </w:r>
      <w:r w:rsidRPr="00CF39C8">
        <w:rPr>
          <w:rFonts w:asciiTheme="majorHAnsi" w:hAnsiTheme="majorHAnsi" w:cstheme="majorHAnsi"/>
          <w:vertAlign w:val="subscript"/>
        </w:rPr>
        <w:t>2</w:t>
      </w:r>
      <w:r w:rsidRPr="00CF39C8">
        <w:rPr>
          <w:rFonts w:asciiTheme="majorHAnsi" w:hAnsiTheme="majorHAnsi" w:cstheme="majorHAnsi"/>
        </w:rPr>
        <w:t>/km in the United States.</w:t>
      </w:r>
    </w:p>
    <w:p w14:paraId="62BD54C9" w14:textId="77777777" w:rsidR="008F2F20" w:rsidRDefault="008F2F20" w:rsidP="008F2F20">
      <w:pPr>
        <w:rPr>
          <w:rFonts w:asciiTheme="majorHAnsi" w:hAnsiTheme="majorHAnsi" w:cstheme="majorHAnsi"/>
        </w:rPr>
      </w:pPr>
      <w:r w:rsidRPr="00CF39C8">
        <w:rPr>
          <w:noProof/>
          <w:lang w:eastAsia="en-AU"/>
        </w:rPr>
        <w:drawing>
          <wp:anchor distT="0" distB="0" distL="114300" distR="114300" simplePos="0" relativeHeight="251658247" behindDoc="0" locked="0" layoutInCell="1" allowOverlap="1" wp14:anchorId="2B5FE3BC" wp14:editId="18B06084">
            <wp:simplePos x="0" y="0"/>
            <wp:positionH relativeFrom="column">
              <wp:posOffset>56515</wp:posOffset>
            </wp:positionH>
            <wp:positionV relativeFrom="paragraph">
              <wp:posOffset>300355</wp:posOffset>
            </wp:positionV>
            <wp:extent cx="5686425" cy="3924935"/>
            <wp:effectExtent l="0" t="0" r="9525" b="0"/>
            <wp:wrapSquare wrapText="bothSides"/>
            <wp:docPr id="2074" name="Picture 2074" descr="A chart showing average passenger car CO2 emissions from 2000 to 2035 for Australia, China, the EU, India, Japan, the US, EU (proposed) and New Zealand. All lines are decreasing over time, but Australia (shown from 2016 to 2022) is higher than all others and does not decrease a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86425" cy="3924935"/>
                    </a:xfrm>
                    <a:prstGeom prst="rect">
                      <a:avLst/>
                    </a:prstGeom>
                  </pic:spPr>
                </pic:pic>
              </a:graphicData>
            </a:graphic>
            <wp14:sizeRelH relativeFrom="margin">
              <wp14:pctWidth>0</wp14:pctWidth>
            </wp14:sizeRelH>
            <wp14:sizeRelV relativeFrom="margin">
              <wp14:pctHeight>0</wp14:pctHeight>
            </wp14:sizeRelV>
          </wp:anchor>
        </w:drawing>
      </w:r>
    </w:p>
    <w:p w14:paraId="146A8FBE" w14:textId="77777777" w:rsidR="008F2F20" w:rsidRDefault="008F2F20" w:rsidP="008F2F20">
      <w:pPr>
        <w:pStyle w:val="Caption"/>
        <w:rPr>
          <w:b w:val="0"/>
        </w:rPr>
      </w:pPr>
      <w:bookmarkStart w:id="101" w:name="_Toc163221102"/>
      <w:bookmarkStart w:id="102" w:name="_Toc161837755"/>
      <w:bookmarkStart w:id="103" w:name="_Toc161933203"/>
      <w:r w:rsidRPr="00CF39C8">
        <w:t xml:space="preserve">Figure </w:t>
      </w:r>
      <w:r>
        <w:t>5</w:t>
      </w:r>
      <w:r w:rsidRPr="00CF39C8">
        <w:t xml:space="preserve"> </w:t>
      </w:r>
      <w:r w:rsidRPr="00CF39C8">
        <w:rPr>
          <w:b w:val="0"/>
        </w:rPr>
        <w:t xml:space="preserve">– International </w:t>
      </w:r>
      <w:r>
        <w:rPr>
          <w:b w:val="0"/>
        </w:rPr>
        <w:t>passenger</w:t>
      </w:r>
      <w:r w:rsidRPr="00CF39C8">
        <w:rPr>
          <w:b w:val="0"/>
        </w:rPr>
        <w:t xml:space="preserve"> vehicle emissions trajectories</w:t>
      </w:r>
      <w:r>
        <w:rPr>
          <w:rStyle w:val="EndnoteReference"/>
          <w:b w:val="0"/>
        </w:rPr>
        <w:endnoteReference w:id="28"/>
      </w:r>
      <w:bookmarkEnd w:id="101"/>
    </w:p>
    <w:p w14:paraId="57193501" w14:textId="77777777" w:rsidR="008F2F20" w:rsidRDefault="008F2F20" w:rsidP="008F2F20"/>
    <w:p w14:paraId="7D133E0D" w14:textId="77777777" w:rsidR="008F2F20" w:rsidRDefault="008F2F20" w:rsidP="008F2F20"/>
    <w:p w14:paraId="66407EFE" w14:textId="77777777" w:rsidR="008F2F20" w:rsidRDefault="008F2F20" w:rsidP="008F2F20"/>
    <w:p w14:paraId="5354C34B" w14:textId="77777777" w:rsidR="008F2F20" w:rsidRDefault="008F2F20" w:rsidP="008F2F20"/>
    <w:p w14:paraId="75D4F919" w14:textId="77777777" w:rsidR="008F2F20" w:rsidRDefault="008F2F20" w:rsidP="008F2F20"/>
    <w:p w14:paraId="066520A8" w14:textId="77777777" w:rsidR="008F2F20" w:rsidRDefault="008F2F20" w:rsidP="008F2F20"/>
    <w:p w14:paraId="70A28826" w14:textId="77777777" w:rsidR="008F2F20" w:rsidRDefault="008F2F20" w:rsidP="008F2F20"/>
    <w:p w14:paraId="264DFFB6" w14:textId="77777777" w:rsidR="008F2F20" w:rsidRDefault="008F2F20" w:rsidP="002D5876">
      <w:r w:rsidRPr="00CF39C8">
        <w:rPr>
          <w:noProof/>
          <w:lang w:eastAsia="en-AU"/>
        </w:rPr>
        <w:drawing>
          <wp:anchor distT="0" distB="0" distL="114300" distR="114300" simplePos="0" relativeHeight="251658248" behindDoc="1" locked="0" layoutInCell="1" allowOverlap="1" wp14:anchorId="41736ACA" wp14:editId="03D4A220">
            <wp:simplePos x="0" y="0"/>
            <wp:positionH relativeFrom="column">
              <wp:posOffset>85090</wp:posOffset>
            </wp:positionH>
            <wp:positionV relativeFrom="paragraph">
              <wp:posOffset>0</wp:posOffset>
            </wp:positionV>
            <wp:extent cx="5624195" cy="3704590"/>
            <wp:effectExtent l="0" t="0" r="0" b="0"/>
            <wp:wrapTight wrapText="bothSides">
              <wp:wrapPolygon edited="0">
                <wp:start x="0" y="0"/>
                <wp:lineTo x="0" y="21437"/>
                <wp:lineTo x="21510" y="21437"/>
                <wp:lineTo x="21510" y="0"/>
                <wp:lineTo x="0" y="0"/>
              </wp:wrapPolygon>
            </wp:wrapTight>
            <wp:docPr id="7" name="Picture 7" descr="A chart showing average passenger car CO2 emissions from 2000 to 2035 for Australia, Chile, China, the EU, EU (proposed), Japan, New Zealand and the US. All lines are decreasing over time, but Australia (shown from 2016 to 2022) is higher than all others and does not decrease a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24195" cy="3704590"/>
                    </a:xfrm>
                    <a:prstGeom prst="rect">
                      <a:avLst/>
                    </a:prstGeom>
                  </pic:spPr>
                </pic:pic>
              </a:graphicData>
            </a:graphic>
            <wp14:sizeRelH relativeFrom="margin">
              <wp14:pctWidth>0</wp14:pctWidth>
            </wp14:sizeRelH>
            <wp14:sizeRelV relativeFrom="margin">
              <wp14:pctHeight>0</wp14:pctHeight>
            </wp14:sizeRelV>
          </wp:anchor>
        </w:drawing>
      </w:r>
    </w:p>
    <w:p w14:paraId="19579DCB" w14:textId="77777777" w:rsidR="008F2F20" w:rsidRDefault="008F2F20" w:rsidP="00795090">
      <w:pPr>
        <w:pStyle w:val="Caption"/>
      </w:pPr>
    </w:p>
    <w:p w14:paraId="514D42D2" w14:textId="77777777" w:rsidR="008F2F20" w:rsidRDefault="008F2F20" w:rsidP="00795090">
      <w:pPr>
        <w:pStyle w:val="Caption"/>
      </w:pPr>
    </w:p>
    <w:p w14:paraId="1C095679" w14:textId="77777777" w:rsidR="008F2F20" w:rsidRDefault="008F2F20" w:rsidP="00795090">
      <w:pPr>
        <w:pStyle w:val="Caption"/>
      </w:pPr>
    </w:p>
    <w:p w14:paraId="2D470DD1" w14:textId="77777777" w:rsidR="008F2F20" w:rsidRDefault="008F2F20" w:rsidP="00795090">
      <w:pPr>
        <w:pStyle w:val="Caption"/>
      </w:pPr>
    </w:p>
    <w:p w14:paraId="19E9C4B3" w14:textId="77777777" w:rsidR="008F2F20" w:rsidRDefault="008F2F20" w:rsidP="00795090">
      <w:pPr>
        <w:pStyle w:val="Caption"/>
      </w:pPr>
    </w:p>
    <w:p w14:paraId="382BBC3A" w14:textId="77777777" w:rsidR="00795090" w:rsidRDefault="00795090" w:rsidP="00795090">
      <w:pPr>
        <w:pStyle w:val="Caption"/>
        <w:rPr>
          <w:b w:val="0"/>
        </w:rPr>
      </w:pPr>
      <w:bookmarkStart w:id="104" w:name="_Toc163221103"/>
      <w:r w:rsidRPr="00CF39C8">
        <w:t xml:space="preserve">Figure </w:t>
      </w:r>
      <w:r w:rsidR="00693975">
        <w:t>6</w:t>
      </w:r>
      <w:r w:rsidRPr="00CF39C8">
        <w:t xml:space="preserve"> </w:t>
      </w:r>
      <w:r w:rsidRPr="00CF39C8">
        <w:rPr>
          <w:b w:val="0"/>
        </w:rPr>
        <w:t>– International light commercial vehicle emissions trajectories</w:t>
      </w:r>
      <w:r w:rsidR="00134BB1">
        <w:rPr>
          <w:rStyle w:val="EndnoteReference"/>
          <w:b w:val="0"/>
        </w:rPr>
        <w:endnoteReference w:id="29"/>
      </w:r>
      <w:bookmarkEnd w:id="102"/>
      <w:bookmarkEnd w:id="103"/>
      <w:bookmarkEnd w:id="104"/>
    </w:p>
    <w:p w14:paraId="00E0D591" w14:textId="77777777" w:rsidR="008F2F20" w:rsidRDefault="008F2F20" w:rsidP="008F2F20"/>
    <w:p w14:paraId="4C6DBCA5" w14:textId="77777777" w:rsidR="008F2F20" w:rsidRDefault="008F2F20" w:rsidP="008F2F20"/>
    <w:p w14:paraId="28EADCC9" w14:textId="77777777" w:rsidR="008F2F20" w:rsidRDefault="008F2F20" w:rsidP="008F2F20"/>
    <w:p w14:paraId="5524DDF7" w14:textId="77777777" w:rsidR="008F2F20" w:rsidRDefault="008F2F20" w:rsidP="008F2F20"/>
    <w:p w14:paraId="0264297F" w14:textId="77777777" w:rsidR="008F2F20" w:rsidRDefault="008F2F20" w:rsidP="008F2F20"/>
    <w:p w14:paraId="57989BAB" w14:textId="77777777" w:rsidR="008F2F20" w:rsidRDefault="008F2F20" w:rsidP="008F2F20"/>
    <w:p w14:paraId="1498C13F" w14:textId="77777777" w:rsidR="008F2F20" w:rsidRDefault="008F2F20" w:rsidP="008F2F20"/>
    <w:p w14:paraId="433A5B5D" w14:textId="77777777" w:rsidR="008F2F20" w:rsidRDefault="008F2F20" w:rsidP="008F2F20"/>
    <w:p w14:paraId="30CFD195" w14:textId="77777777" w:rsidR="008F2F20" w:rsidRDefault="008F2F20" w:rsidP="008F2F20"/>
    <w:p w14:paraId="2FA80FF4" w14:textId="77777777" w:rsidR="008F2F20" w:rsidRDefault="008F2F20" w:rsidP="008F2F20"/>
    <w:p w14:paraId="5D78E0C6" w14:textId="77777777" w:rsidR="008F2F20" w:rsidRDefault="008F2F20" w:rsidP="008F2F20"/>
    <w:p w14:paraId="015403AB" w14:textId="77777777" w:rsidR="008F2F20" w:rsidRDefault="008F2F20" w:rsidP="008F2F20"/>
    <w:p w14:paraId="0F1D74A4" w14:textId="77777777" w:rsidR="008F2F20" w:rsidRDefault="008F2F20" w:rsidP="008F2F20"/>
    <w:p w14:paraId="78106FEC" w14:textId="77777777" w:rsidR="008F2F20" w:rsidRDefault="008F2F20" w:rsidP="008F2F20"/>
    <w:p w14:paraId="29A2ACDB" w14:textId="77777777" w:rsidR="008F2F20" w:rsidRDefault="008F2F20" w:rsidP="008F2F20"/>
    <w:p w14:paraId="60CE1005" w14:textId="77777777" w:rsidR="008F2F20" w:rsidRDefault="008F2F20" w:rsidP="008F2F20"/>
    <w:p w14:paraId="5C496E13" w14:textId="77777777" w:rsidR="00AE3241" w:rsidRPr="00CF39C8" w:rsidRDefault="00796961" w:rsidP="00430317">
      <w:pPr>
        <w:pStyle w:val="Heading1"/>
        <w:numPr>
          <w:ilvl w:val="0"/>
          <w:numId w:val="68"/>
        </w:numPr>
      </w:pPr>
      <w:bookmarkStart w:id="105" w:name="_Toc146622473"/>
      <w:bookmarkStart w:id="106" w:name="_Toc161837648"/>
      <w:bookmarkStart w:id="107" w:name="_Toc161933146"/>
      <w:bookmarkStart w:id="108" w:name="_Toc162276453"/>
      <w:bookmarkStart w:id="109" w:name="_Toc163221049"/>
      <w:bookmarkEnd w:id="70"/>
      <w:r w:rsidRPr="00CF39C8">
        <w:t xml:space="preserve">What are the objectives, why is </w:t>
      </w:r>
      <w:r w:rsidR="003C070B">
        <w:t>G</w:t>
      </w:r>
      <w:r w:rsidRPr="00CF39C8">
        <w:t>overnment intervention needed to achieve them, and how will success be measured</w:t>
      </w:r>
      <w:r w:rsidR="00AE3241" w:rsidRPr="00CF39C8">
        <w:t>?</w:t>
      </w:r>
      <w:bookmarkEnd w:id="105"/>
      <w:bookmarkEnd w:id="106"/>
      <w:bookmarkEnd w:id="107"/>
      <w:bookmarkEnd w:id="108"/>
      <w:bookmarkEnd w:id="109"/>
    </w:p>
    <w:p w14:paraId="0810BC14" w14:textId="77777777" w:rsidR="00613C51" w:rsidRPr="00CF39C8" w:rsidRDefault="001E706E" w:rsidP="00613C51">
      <w:pPr>
        <w:rPr>
          <w:rFonts w:asciiTheme="majorHAnsi" w:hAnsiTheme="majorHAnsi" w:cstheme="majorHAnsi"/>
        </w:rPr>
      </w:pPr>
      <w:r w:rsidRPr="00CF39C8">
        <w:rPr>
          <w:rFonts w:asciiTheme="majorHAnsi" w:hAnsiTheme="majorHAnsi" w:cstheme="majorHAnsi"/>
        </w:rPr>
        <w:t xml:space="preserve">In this </w:t>
      </w:r>
      <w:r w:rsidR="00613C51" w:rsidRPr="00CF39C8">
        <w:rPr>
          <w:rFonts w:asciiTheme="majorHAnsi" w:hAnsiTheme="majorHAnsi" w:cstheme="majorHAnsi"/>
        </w:rPr>
        <w:t xml:space="preserve">chapter </w:t>
      </w:r>
      <w:r w:rsidRPr="00CF39C8">
        <w:rPr>
          <w:rFonts w:asciiTheme="majorHAnsi" w:hAnsiTheme="majorHAnsi" w:cstheme="majorHAnsi"/>
        </w:rPr>
        <w:t xml:space="preserve">we </w:t>
      </w:r>
      <w:r w:rsidR="00613C51" w:rsidRPr="00CF39C8">
        <w:rPr>
          <w:rFonts w:asciiTheme="majorHAnsi" w:hAnsiTheme="majorHAnsi" w:cstheme="majorHAnsi"/>
        </w:rPr>
        <w:t xml:space="preserve">explain: </w:t>
      </w:r>
    </w:p>
    <w:p w14:paraId="050BF155" w14:textId="77777777" w:rsidR="00613C51"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376D92" w:rsidRPr="00CF39C8">
        <w:rPr>
          <w:rFonts w:asciiTheme="majorHAnsi" w:hAnsiTheme="majorHAnsi" w:cstheme="majorHAnsi"/>
        </w:rPr>
        <w:t>he context of the</w:t>
      </w:r>
      <w:r w:rsidR="00EE1B49" w:rsidRPr="00CF39C8">
        <w:rPr>
          <w:rFonts w:asciiTheme="majorHAnsi" w:hAnsiTheme="majorHAnsi" w:cstheme="majorHAnsi"/>
        </w:rPr>
        <w:t xml:space="preserve"> Government’s commitment to act o</w:t>
      </w:r>
      <w:r w:rsidR="00DD0877" w:rsidRPr="00CF39C8">
        <w:rPr>
          <w:rFonts w:asciiTheme="majorHAnsi" w:hAnsiTheme="majorHAnsi" w:cstheme="majorHAnsi"/>
        </w:rPr>
        <w:t>n</w:t>
      </w:r>
      <w:r w:rsidR="00EE1B49" w:rsidRPr="00CF39C8">
        <w:rPr>
          <w:rFonts w:asciiTheme="majorHAnsi" w:hAnsiTheme="majorHAnsi" w:cstheme="majorHAnsi"/>
        </w:rPr>
        <w:t xml:space="preserve"> climate change </w:t>
      </w:r>
    </w:p>
    <w:p w14:paraId="363607D8" w14:textId="77777777" w:rsidR="00E730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a</w:t>
      </w:r>
      <w:r w:rsidR="00E730ED" w:rsidRPr="00CF39C8">
        <w:rPr>
          <w:rFonts w:asciiTheme="majorHAnsi" w:hAnsiTheme="majorHAnsi" w:cstheme="majorHAnsi"/>
        </w:rPr>
        <w:t xml:space="preserve">lternatives to Government action </w:t>
      </w:r>
    </w:p>
    <w:p w14:paraId="51D7CBA0" w14:textId="77777777" w:rsidR="00DD0877"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EE1B49" w:rsidRPr="00CF39C8">
        <w:rPr>
          <w:rFonts w:asciiTheme="majorHAnsi" w:hAnsiTheme="majorHAnsi" w:cstheme="majorHAnsi"/>
        </w:rPr>
        <w:t xml:space="preserve">he ability for </w:t>
      </w:r>
      <w:r w:rsidR="00DD0877" w:rsidRPr="00CF39C8">
        <w:rPr>
          <w:rFonts w:asciiTheme="majorHAnsi" w:hAnsiTheme="majorHAnsi" w:cstheme="majorHAnsi"/>
        </w:rPr>
        <w:t>Government</w:t>
      </w:r>
      <w:r w:rsidR="00CA48ED" w:rsidRPr="00CF39C8">
        <w:rPr>
          <w:rFonts w:asciiTheme="majorHAnsi" w:hAnsiTheme="majorHAnsi" w:cstheme="majorHAnsi"/>
        </w:rPr>
        <w:t xml:space="preserve"> to act</w:t>
      </w:r>
    </w:p>
    <w:p w14:paraId="5EAB9104" w14:textId="77777777" w:rsidR="00E730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E730ED" w:rsidRPr="00CF39C8">
        <w:rPr>
          <w:rFonts w:asciiTheme="majorHAnsi" w:hAnsiTheme="majorHAnsi" w:cstheme="majorHAnsi"/>
        </w:rPr>
        <w:t>he objectives of Government’s actions</w:t>
      </w:r>
      <w:r w:rsidR="001E103A" w:rsidRPr="00CF39C8">
        <w:rPr>
          <w:rFonts w:asciiTheme="majorHAnsi" w:hAnsiTheme="majorHAnsi" w:cstheme="majorHAnsi"/>
        </w:rPr>
        <w:t>;</w:t>
      </w:r>
    </w:p>
    <w:p w14:paraId="76E722C3" w14:textId="77777777" w:rsidR="001E103A"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CA48ED" w:rsidRPr="00CF39C8">
        <w:rPr>
          <w:rFonts w:asciiTheme="majorHAnsi" w:hAnsiTheme="majorHAnsi" w:cstheme="majorHAnsi"/>
        </w:rPr>
        <w:t>he barriers to action</w:t>
      </w:r>
      <w:r w:rsidR="001E103A" w:rsidRPr="00CF39C8">
        <w:rPr>
          <w:rFonts w:asciiTheme="majorHAnsi" w:hAnsiTheme="majorHAnsi" w:cstheme="majorHAnsi"/>
        </w:rPr>
        <w:t>; and</w:t>
      </w:r>
    </w:p>
    <w:p w14:paraId="1C2D8AA7" w14:textId="77777777" w:rsidR="00CA48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h</w:t>
      </w:r>
      <w:r w:rsidR="001E103A" w:rsidRPr="00CF39C8">
        <w:rPr>
          <w:rFonts w:asciiTheme="majorHAnsi" w:hAnsiTheme="majorHAnsi" w:cstheme="majorHAnsi"/>
        </w:rPr>
        <w:t xml:space="preserve">ow success </w:t>
      </w:r>
      <w:r w:rsidR="00143531" w:rsidRPr="00CF39C8">
        <w:rPr>
          <w:rFonts w:asciiTheme="majorHAnsi" w:hAnsiTheme="majorHAnsi" w:cstheme="majorHAnsi"/>
        </w:rPr>
        <w:t xml:space="preserve">against the Guiding Principles </w:t>
      </w:r>
      <w:r w:rsidR="001E103A" w:rsidRPr="00CF39C8">
        <w:rPr>
          <w:rFonts w:asciiTheme="majorHAnsi" w:hAnsiTheme="majorHAnsi" w:cstheme="majorHAnsi"/>
        </w:rPr>
        <w:t>will be measured</w:t>
      </w:r>
      <w:r w:rsidR="00DD6A6C" w:rsidRPr="00CF39C8">
        <w:rPr>
          <w:rFonts w:asciiTheme="majorHAnsi" w:hAnsiTheme="majorHAnsi" w:cstheme="majorHAnsi"/>
        </w:rPr>
        <w:t>.</w:t>
      </w:r>
      <w:r w:rsidR="0007586E" w:rsidRPr="00CF39C8">
        <w:rPr>
          <w:rStyle w:val="FootnoteReference"/>
          <w:rFonts w:asciiTheme="majorHAnsi" w:hAnsiTheme="majorHAnsi" w:cstheme="majorHAnsi"/>
        </w:rPr>
        <w:footnoteReference w:id="8"/>
      </w:r>
    </w:p>
    <w:p w14:paraId="1A2CED3B" w14:textId="77777777" w:rsidR="00AE3241" w:rsidRPr="00CF39C8" w:rsidRDefault="008B53B2" w:rsidP="00430317">
      <w:pPr>
        <w:pStyle w:val="Heading2"/>
        <w:numPr>
          <w:ilvl w:val="1"/>
          <w:numId w:val="61"/>
        </w:numPr>
        <w:ind w:hanging="792"/>
      </w:pPr>
      <w:bookmarkStart w:id="110" w:name="_Toc148036171"/>
      <w:bookmarkStart w:id="111" w:name="_Toc148036622"/>
      <w:bookmarkStart w:id="112" w:name="_Toc148037916"/>
      <w:bookmarkStart w:id="113" w:name="_Toc148036173"/>
      <w:bookmarkStart w:id="114" w:name="_Toc148036624"/>
      <w:bookmarkStart w:id="115" w:name="_Toc148037918"/>
      <w:bookmarkStart w:id="116" w:name="_Toc148036181"/>
      <w:bookmarkStart w:id="117" w:name="_Toc148036632"/>
      <w:bookmarkStart w:id="118" w:name="_Toc148037926"/>
      <w:bookmarkStart w:id="119" w:name="_Toc161837649"/>
      <w:bookmarkStart w:id="120" w:name="_Toc161933147"/>
      <w:bookmarkStart w:id="121" w:name="_Toc162276454"/>
      <w:bookmarkStart w:id="122" w:name="_Toc163221050"/>
      <w:bookmarkStart w:id="123" w:name="_Hlk147221246"/>
      <w:bookmarkEnd w:id="110"/>
      <w:bookmarkEnd w:id="111"/>
      <w:bookmarkEnd w:id="112"/>
      <w:bookmarkEnd w:id="113"/>
      <w:bookmarkEnd w:id="114"/>
      <w:bookmarkEnd w:id="115"/>
      <w:bookmarkEnd w:id="116"/>
      <w:bookmarkEnd w:id="117"/>
      <w:bookmarkEnd w:id="118"/>
      <w:r w:rsidRPr="00CF39C8">
        <w:t xml:space="preserve">Government </w:t>
      </w:r>
      <w:r w:rsidR="00376D92" w:rsidRPr="00CF39C8">
        <w:t>is committed to cut</w:t>
      </w:r>
      <w:r w:rsidR="00776347" w:rsidRPr="00CF39C8">
        <w:t xml:space="preserve"> CO</w:t>
      </w:r>
      <w:r w:rsidR="00776347" w:rsidRPr="00CF39C8">
        <w:rPr>
          <w:vertAlign w:val="subscript"/>
        </w:rPr>
        <w:t>2</w:t>
      </w:r>
      <w:r w:rsidR="00776347" w:rsidRPr="00CF39C8">
        <w:t xml:space="preserve"> emissions</w:t>
      </w:r>
      <w:bookmarkEnd w:id="119"/>
      <w:bookmarkEnd w:id="120"/>
      <w:bookmarkEnd w:id="121"/>
      <w:bookmarkEnd w:id="122"/>
    </w:p>
    <w:bookmarkEnd w:id="123"/>
    <w:p w14:paraId="4895ABA0" w14:textId="77777777" w:rsidR="007C445C" w:rsidRPr="00CF39C8" w:rsidRDefault="004F2C07" w:rsidP="00386513">
      <w:pPr>
        <w:rPr>
          <w:rFonts w:asciiTheme="majorHAnsi" w:hAnsiTheme="majorHAnsi" w:cstheme="majorHAnsi"/>
        </w:rPr>
      </w:pPr>
      <w:r w:rsidRPr="00CF39C8">
        <w:rPr>
          <w:rFonts w:asciiTheme="majorHAnsi" w:hAnsiTheme="majorHAnsi" w:cstheme="majorHAnsi"/>
        </w:rPr>
        <w:t xml:space="preserve">Australia’s policy is to reach net zero by 2050. </w:t>
      </w:r>
      <w:r w:rsidR="00DD0877" w:rsidRPr="00CF39C8">
        <w:rPr>
          <w:rFonts w:asciiTheme="majorHAnsi" w:hAnsiTheme="majorHAnsi" w:cstheme="majorHAnsi"/>
        </w:rPr>
        <w:t>The Government is</w:t>
      </w:r>
      <w:r w:rsidR="00776347" w:rsidRPr="00CF39C8">
        <w:rPr>
          <w:rFonts w:asciiTheme="majorHAnsi" w:hAnsiTheme="majorHAnsi" w:cstheme="majorHAnsi"/>
        </w:rPr>
        <w:t xml:space="preserve"> committed </w:t>
      </w:r>
      <w:r w:rsidRPr="00CF39C8">
        <w:rPr>
          <w:rFonts w:asciiTheme="majorHAnsi" w:hAnsiTheme="majorHAnsi" w:cstheme="majorHAnsi"/>
        </w:rPr>
        <w:t xml:space="preserve">to </w:t>
      </w:r>
      <w:r w:rsidR="00776347" w:rsidRPr="00CF39C8">
        <w:rPr>
          <w:rFonts w:asciiTheme="majorHAnsi" w:hAnsiTheme="majorHAnsi" w:cstheme="majorHAnsi"/>
        </w:rPr>
        <w:t xml:space="preserve">reducing </w:t>
      </w:r>
      <w:r w:rsidR="00F60A68" w:rsidRPr="00CF39C8">
        <w:rPr>
          <w:rFonts w:asciiTheme="majorHAnsi" w:hAnsiTheme="majorHAnsi" w:cstheme="majorHAnsi"/>
        </w:rPr>
        <w:t xml:space="preserve">greenhouse gas </w:t>
      </w:r>
      <w:r w:rsidR="00776347" w:rsidRPr="00CF39C8">
        <w:rPr>
          <w:rFonts w:asciiTheme="majorHAnsi" w:hAnsiTheme="majorHAnsi" w:cstheme="majorHAnsi"/>
        </w:rPr>
        <w:t xml:space="preserve">emissions </w:t>
      </w:r>
      <w:r w:rsidRPr="00CF39C8">
        <w:rPr>
          <w:rFonts w:asciiTheme="majorHAnsi" w:hAnsiTheme="majorHAnsi" w:cstheme="majorHAnsi"/>
        </w:rPr>
        <w:t xml:space="preserve">and </w:t>
      </w:r>
      <w:r w:rsidR="00DD0877" w:rsidRPr="00CF39C8">
        <w:rPr>
          <w:rFonts w:asciiTheme="majorHAnsi" w:hAnsiTheme="majorHAnsi" w:cstheme="majorHAnsi"/>
        </w:rPr>
        <w:t xml:space="preserve">is </w:t>
      </w:r>
      <w:r w:rsidRPr="00CF39C8">
        <w:rPr>
          <w:rFonts w:asciiTheme="majorHAnsi" w:hAnsiTheme="majorHAnsi" w:cstheme="majorHAnsi"/>
        </w:rPr>
        <w:t>party to a number of international partnerships and agreements, such as the Paris Agreement and the Kyoto Protocol</w:t>
      </w:r>
      <w:r w:rsidR="007C445C" w:rsidRPr="00CF39C8">
        <w:rPr>
          <w:rFonts w:asciiTheme="majorHAnsi" w:hAnsiTheme="majorHAnsi" w:cstheme="majorHAnsi"/>
        </w:rPr>
        <w:t xml:space="preserve">. </w:t>
      </w:r>
      <w:r w:rsidR="00F60A68" w:rsidRPr="00CF39C8">
        <w:rPr>
          <w:rFonts w:asciiTheme="majorHAnsi" w:hAnsiTheme="majorHAnsi" w:cstheme="majorHAnsi"/>
        </w:rPr>
        <w:t>T</w:t>
      </w:r>
      <w:r w:rsidR="007C445C" w:rsidRPr="00CF39C8">
        <w:rPr>
          <w:rFonts w:asciiTheme="majorHAnsi" w:hAnsiTheme="majorHAnsi" w:cstheme="majorHAnsi"/>
        </w:rPr>
        <w:t>he Paris Agreement aims to strengthen the global response to the threat of climate change by</w:t>
      </w:r>
      <w:r w:rsidR="00386513" w:rsidRPr="00CF39C8">
        <w:rPr>
          <w:rFonts w:asciiTheme="majorHAnsi" w:hAnsiTheme="majorHAnsi" w:cstheme="majorHAnsi"/>
        </w:rPr>
        <w:t xml:space="preserve"> </w:t>
      </w:r>
      <w:r w:rsidR="007C445C" w:rsidRPr="00CF39C8">
        <w:rPr>
          <w:rFonts w:asciiTheme="majorHAnsi" w:eastAsia="Times New Roman" w:hAnsiTheme="majorHAnsi" w:cstheme="majorHAnsi"/>
          <w:color w:val="000000"/>
          <w:lang w:eastAsia="en-AU"/>
        </w:rPr>
        <w:t>holding the increase in the global average temperature to well below 2°C above pre-industrial levels</w:t>
      </w:r>
      <w:r w:rsidR="00386513" w:rsidRPr="00CF39C8">
        <w:rPr>
          <w:rFonts w:asciiTheme="majorHAnsi" w:eastAsia="Times New Roman" w:hAnsiTheme="majorHAnsi" w:cstheme="majorHAnsi"/>
          <w:color w:val="000000"/>
          <w:lang w:eastAsia="en-AU"/>
        </w:rPr>
        <w:t xml:space="preserve"> and </w:t>
      </w:r>
      <w:r w:rsidR="00386513" w:rsidRPr="00CF39C8">
        <w:rPr>
          <w:rFonts w:asciiTheme="majorHAnsi" w:hAnsiTheme="majorHAnsi" w:cstheme="majorHAnsi"/>
        </w:rPr>
        <w:t>p</w:t>
      </w:r>
      <w:r w:rsidR="007C445C" w:rsidRPr="00CF39C8">
        <w:rPr>
          <w:rFonts w:asciiTheme="majorHAnsi" w:hAnsiTheme="majorHAnsi" w:cstheme="majorHAnsi"/>
        </w:rPr>
        <w:t>ursuing efforts to limit temperature increase to 1.5°C.</w:t>
      </w:r>
      <w:r w:rsidR="00B1202A" w:rsidRPr="00CF39C8">
        <w:rPr>
          <w:rFonts w:asciiTheme="majorHAnsi" w:hAnsiTheme="majorHAnsi" w:cstheme="majorHAnsi"/>
        </w:rPr>
        <w:t xml:space="preserve"> </w:t>
      </w:r>
    </w:p>
    <w:p w14:paraId="30E605FF" w14:textId="77777777" w:rsidR="00B1202A" w:rsidRPr="00CF39C8" w:rsidRDefault="00B1202A" w:rsidP="00B1202A">
      <w:pPr>
        <w:rPr>
          <w:rFonts w:asciiTheme="majorHAnsi" w:hAnsiTheme="majorHAnsi" w:cstheme="majorHAnsi"/>
          <w:color w:val="000000" w:themeColor="text1"/>
        </w:rPr>
      </w:pPr>
      <w:r w:rsidRPr="00CF39C8">
        <w:rPr>
          <w:rFonts w:asciiTheme="majorHAnsi" w:hAnsiTheme="majorHAnsi" w:cstheme="majorHAnsi"/>
        </w:rPr>
        <w:t>Australia needed to act, and in</w:t>
      </w:r>
      <w:r w:rsidRPr="00CF39C8" w:rsidDel="00D03595">
        <w:rPr>
          <w:rFonts w:asciiTheme="majorHAnsi" w:hAnsiTheme="majorHAnsi" w:cstheme="majorHAnsi"/>
        </w:rPr>
        <w:t xml:space="preserve"> </w:t>
      </w:r>
      <w:r w:rsidRPr="00CF39C8">
        <w:rPr>
          <w:rFonts w:asciiTheme="majorHAnsi" w:hAnsiTheme="majorHAnsi" w:cstheme="majorHAnsi"/>
        </w:rPr>
        <w:t>June 2022 the Australian Government updated its Nationally Determined Contribution (NDC) to the United Nations Framework Convention on Climate Change (UNFCCC), committing to reduce greenhouse gas emissions to 43</w:t>
      </w:r>
      <w:r w:rsidR="009242A6" w:rsidRPr="00CF39C8">
        <w:rPr>
          <w:rFonts w:asciiTheme="majorHAnsi" w:hAnsiTheme="majorHAnsi" w:cstheme="majorHAnsi"/>
        </w:rPr>
        <w:t>%</w:t>
      </w:r>
      <w:r w:rsidRPr="00CF39C8">
        <w:rPr>
          <w:rFonts w:asciiTheme="majorHAnsi" w:hAnsiTheme="majorHAnsi" w:cstheme="majorHAnsi"/>
        </w:rPr>
        <w:t xml:space="preserve"> below 2005 levels by 2030. In September 2022, the passage of the </w:t>
      </w:r>
      <w:r w:rsidRPr="00CF39C8">
        <w:rPr>
          <w:rFonts w:asciiTheme="majorHAnsi" w:hAnsiTheme="majorHAnsi" w:cstheme="majorHAnsi"/>
          <w:i/>
        </w:rPr>
        <w:t>Climate Change Act 2022</w:t>
      </w:r>
      <w:r w:rsidRPr="00CF39C8">
        <w:rPr>
          <w:rFonts w:asciiTheme="majorHAnsi" w:hAnsiTheme="majorHAnsi" w:cstheme="majorHAnsi"/>
        </w:rPr>
        <w:t xml:space="preserve"> enshrined this in law, as well as our </w:t>
      </w:r>
      <w:r w:rsidRPr="00CF39C8">
        <w:rPr>
          <w:rFonts w:asciiTheme="majorHAnsi" w:hAnsiTheme="majorHAnsi" w:cstheme="majorHAnsi"/>
          <w:color w:val="000000" w:themeColor="text1"/>
        </w:rPr>
        <w:t>most significant commitment yet</w:t>
      </w:r>
      <w:r w:rsidR="00D03595"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net zero by 2050. </w:t>
      </w:r>
    </w:p>
    <w:p w14:paraId="0380DE8F" w14:textId="77777777" w:rsidR="00F10CB7" w:rsidRDefault="00FF352B" w:rsidP="00FF352B">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To achieve these </w:t>
      </w:r>
      <w:r w:rsidR="007B64C2" w:rsidRPr="00CF39C8">
        <w:rPr>
          <w:rFonts w:asciiTheme="majorHAnsi" w:hAnsiTheme="majorHAnsi" w:cstheme="majorHAnsi"/>
          <w:color w:val="000000" w:themeColor="text1"/>
        </w:rPr>
        <w:t>objectives</w:t>
      </w:r>
      <w:r w:rsidRPr="00CF39C8">
        <w:rPr>
          <w:rFonts w:asciiTheme="majorHAnsi" w:hAnsiTheme="majorHAnsi" w:cstheme="majorHAnsi"/>
          <w:color w:val="000000" w:themeColor="text1"/>
        </w:rPr>
        <w:t xml:space="preserve">, </w:t>
      </w:r>
      <w:r w:rsidR="00DD0877" w:rsidRPr="00CF39C8">
        <w:rPr>
          <w:rFonts w:asciiTheme="majorHAnsi" w:hAnsiTheme="majorHAnsi" w:cstheme="majorHAnsi"/>
          <w:color w:val="000000" w:themeColor="text1"/>
        </w:rPr>
        <w:t>the Government</w:t>
      </w:r>
      <w:r w:rsidRPr="00CF39C8">
        <w:rPr>
          <w:rFonts w:asciiTheme="majorHAnsi" w:hAnsiTheme="majorHAnsi" w:cstheme="majorHAnsi"/>
          <w:color w:val="000000" w:themeColor="text1"/>
        </w:rPr>
        <w:t xml:space="preserve"> must pursue emissions reductions across every sector</w:t>
      </w:r>
      <w:r w:rsidR="000E1A24" w:rsidRPr="00CF39C8">
        <w:rPr>
          <w:rFonts w:asciiTheme="majorHAnsi" w:hAnsiTheme="majorHAnsi" w:cstheme="majorHAnsi"/>
          <w:color w:val="000000" w:themeColor="text1"/>
        </w:rPr>
        <w:t>, including from light passenger and light commercial vehicles</w:t>
      </w:r>
      <w:r w:rsidRPr="00CF39C8">
        <w:rPr>
          <w:rFonts w:asciiTheme="majorHAnsi" w:hAnsiTheme="majorHAnsi" w:cstheme="majorHAnsi"/>
          <w:color w:val="000000" w:themeColor="text1"/>
        </w:rPr>
        <w:t xml:space="preserve">. </w:t>
      </w:r>
      <w:r w:rsidR="00C505B4" w:rsidRPr="00CF39C8">
        <w:rPr>
          <w:rFonts w:asciiTheme="majorHAnsi" w:hAnsiTheme="majorHAnsi" w:cstheme="majorHAnsi"/>
          <w:color w:val="000000" w:themeColor="text1"/>
        </w:rPr>
        <w:t xml:space="preserve">According to </w:t>
      </w:r>
      <w:r w:rsidR="00C505B4" w:rsidRPr="00CF39C8">
        <w:rPr>
          <w:rFonts w:asciiTheme="majorHAnsi" w:hAnsiTheme="majorHAnsi" w:cstheme="majorHAnsi"/>
          <w:i/>
          <w:color w:val="000000" w:themeColor="text1"/>
        </w:rPr>
        <w:t>Australia’s Emissions Projections 2023</w:t>
      </w:r>
      <w:r w:rsidR="00C505B4" w:rsidRPr="00CF39C8">
        <w:rPr>
          <w:rFonts w:asciiTheme="majorHAnsi" w:hAnsiTheme="majorHAnsi" w:cstheme="majorHAnsi"/>
          <w:color w:val="000000" w:themeColor="text1"/>
        </w:rPr>
        <w:t xml:space="preserve"> (DCCEEW, November 2023)</w:t>
      </w:r>
      <w:r w:rsidR="00F04D94" w:rsidRPr="00CF39C8">
        <w:rPr>
          <w:rFonts w:asciiTheme="majorHAnsi" w:hAnsiTheme="majorHAnsi" w:cstheme="majorHAnsi"/>
          <w:color w:val="000000" w:themeColor="text1"/>
        </w:rPr>
        <w:t>, t</w:t>
      </w:r>
      <w:r w:rsidR="000E1A24" w:rsidRPr="00CF39C8">
        <w:rPr>
          <w:rFonts w:asciiTheme="majorHAnsi" w:hAnsiTheme="majorHAnsi" w:cstheme="majorHAnsi"/>
          <w:color w:val="000000" w:themeColor="text1"/>
        </w:rPr>
        <w:t>ransport represent</w:t>
      </w:r>
      <w:r w:rsidR="00F04D94" w:rsidRPr="00CF39C8">
        <w:rPr>
          <w:rFonts w:asciiTheme="majorHAnsi" w:hAnsiTheme="majorHAnsi" w:cstheme="majorHAnsi"/>
          <w:color w:val="000000" w:themeColor="text1"/>
        </w:rPr>
        <w:t>s</w:t>
      </w:r>
      <w:r w:rsidRPr="00CF39C8">
        <w:rPr>
          <w:rFonts w:asciiTheme="majorHAnsi" w:hAnsiTheme="majorHAnsi" w:cstheme="majorHAnsi"/>
          <w:color w:val="000000" w:themeColor="text1"/>
        </w:rPr>
        <w:t xml:space="preserve"> the third largest source of emissions in Australia, behind electricity generation (35</w:t>
      </w:r>
      <w:r w:rsidR="009242A6"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and stationary energy (20</w:t>
      </w:r>
      <w:r w:rsidR="009242A6"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w:t>
      </w:r>
      <w:r w:rsidR="00F04D94" w:rsidRPr="00CF39C8">
        <w:rPr>
          <w:rFonts w:asciiTheme="majorHAnsi" w:hAnsiTheme="majorHAnsi" w:cstheme="majorHAnsi"/>
          <w:color w:val="000000" w:themeColor="text1"/>
        </w:rPr>
        <w:t xml:space="preserve"> and is</w:t>
      </w:r>
      <w:r w:rsidRPr="00CF39C8">
        <w:rPr>
          <w:rFonts w:asciiTheme="majorHAnsi" w:hAnsiTheme="majorHAnsi" w:cstheme="majorHAnsi"/>
          <w:color w:val="000000" w:themeColor="text1"/>
        </w:rPr>
        <w:t xml:space="preserve"> projected </w:t>
      </w:r>
      <w:r w:rsidR="00D03595" w:rsidRPr="00CF39C8">
        <w:rPr>
          <w:rFonts w:asciiTheme="majorHAnsi" w:hAnsiTheme="majorHAnsi" w:cstheme="majorHAnsi"/>
          <w:color w:val="000000" w:themeColor="text1"/>
        </w:rPr>
        <w:t xml:space="preserve">to </w:t>
      </w:r>
      <w:r w:rsidRPr="00CF39C8">
        <w:rPr>
          <w:rFonts w:asciiTheme="majorHAnsi" w:hAnsiTheme="majorHAnsi" w:cstheme="majorHAnsi"/>
          <w:color w:val="000000" w:themeColor="text1"/>
        </w:rPr>
        <w:t>be Australia’s largest source of emissions by 2030</w:t>
      </w:r>
      <w:r w:rsidR="000E1A24" w:rsidRPr="00CF39C8">
        <w:rPr>
          <w:rFonts w:asciiTheme="majorHAnsi" w:hAnsiTheme="majorHAnsi" w:cstheme="majorHAnsi"/>
          <w:color w:val="000000" w:themeColor="text1"/>
        </w:rPr>
        <w:t xml:space="preserve">. </w:t>
      </w:r>
    </w:p>
    <w:p w14:paraId="01E6BC0A" w14:textId="77777777" w:rsidR="00C367C0" w:rsidRDefault="00C367C0" w:rsidP="00FF352B">
      <w:pPr>
        <w:rPr>
          <w:rFonts w:asciiTheme="majorHAnsi" w:hAnsiTheme="majorHAnsi" w:cstheme="majorHAnsi"/>
          <w:color w:val="000000" w:themeColor="text1"/>
        </w:rPr>
      </w:pPr>
    </w:p>
    <w:p w14:paraId="0BC885EE" w14:textId="77777777" w:rsidR="00C367C0" w:rsidRDefault="00C367C0" w:rsidP="00FF352B">
      <w:pPr>
        <w:rPr>
          <w:rFonts w:asciiTheme="majorHAnsi" w:hAnsiTheme="majorHAnsi" w:cstheme="majorHAnsi"/>
          <w:color w:val="000000" w:themeColor="text1"/>
        </w:rPr>
      </w:pPr>
    </w:p>
    <w:p w14:paraId="26C6BB14" w14:textId="77777777" w:rsidR="00C367C0" w:rsidRPr="00CF39C8" w:rsidRDefault="00C367C0" w:rsidP="00FF352B">
      <w:pPr>
        <w:rPr>
          <w:rFonts w:asciiTheme="majorHAnsi" w:hAnsiTheme="majorHAnsi" w:cstheme="majorHAnsi"/>
          <w:color w:val="000000" w:themeColor="text1"/>
        </w:rPr>
      </w:pPr>
    </w:p>
    <w:p w14:paraId="3103C0E7" w14:textId="77777777" w:rsidR="00231371" w:rsidRPr="00CF39C8" w:rsidRDefault="00A3172B" w:rsidP="00430317">
      <w:pPr>
        <w:pStyle w:val="Heading3"/>
        <w:numPr>
          <w:ilvl w:val="2"/>
          <w:numId w:val="32"/>
        </w:numPr>
        <w:rPr>
          <w:rFonts w:cstheme="majorHAnsi"/>
        </w:rPr>
      </w:pPr>
      <w:bookmarkStart w:id="124" w:name="_Toc148036183"/>
      <w:bookmarkStart w:id="125" w:name="_Toc148036634"/>
      <w:bookmarkStart w:id="126" w:name="_Toc148037928"/>
      <w:bookmarkStart w:id="127" w:name="_Toc161837650"/>
      <w:bookmarkStart w:id="128" w:name="_Toc161933148"/>
      <w:bookmarkStart w:id="129" w:name="_Toc162276455"/>
      <w:bookmarkStart w:id="130" w:name="_Toc163221051"/>
      <w:bookmarkEnd w:id="124"/>
      <w:bookmarkEnd w:id="125"/>
      <w:bookmarkEnd w:id="126"/>
      <w:r w:rsidRPr="00CF39C8">
        <w:rPr>
          <w:rFonts w:cstheme="majorHAnsi"/>
        </w:rPr>
        <w:t xml:space="preserve">Alternatives to Government action – such as a voluntary scheme – will not deliver more fuel-efficient </w:t>
      </w:r>
      <w:r w:rsidR="00D15D0C" w:rsidRPr="00CF39C8">
        <w:rPr>
          <w:rFonts w:cstheme="majorHAnsi"/>
        </w:rPr>
        <w:t xml:space="preserve">new </w:t>
      </w:r>
      <w:r w:rsidRPr="00CF39C8">
        <w:rPr>
          <w:rFonts w:cstheme="majorHAnsi"/>
        </w:rPr>
        <w:t>cars</w:t>
      </w:r>
      <w:bookmarkEnd w:id="127"/>
      <w:bookmarkEnd w:id="128"/>
      <w:bookmarkEnd w:id="129"/>
      <w:bookmarkEnd w:id="130"/>
      <w:r w:rsidRPr="00CF39C8">
        <w:rPr>
          <w:rFonts w:cstheme="majorHAnsi"/>
        </w:rPr>
        <w:t xml:space="preserve"> </w:t>
      </w:r>
    </w:p>
    <w:p w14:paraId="780C35EB" w14:textId="77777777" w:rsidR="00D3043D" w:rsidRPr="00CF39C8" w:rsidRDefault="00FA394F" w:rsidP="00D15D0C">
      <w:pPr>
        <w:spacing w:after="160" w:line="259" w:lineRule="auto"/>
        <w:rPr>
          <w:rFonts w:asciiTheme="majorHAnsi" w:hAnsiTheme="majorHAnsi" w:cstheme="majorHAnsi"/>
        </w:rPr>
      </w:pPr>
      <w:r w:rsidRPr="00CF39C8">
        <w:rPr>
          <w:rFonts w:asciiTheme="majorHAnsi" w:hAnsiTheme="majorHAnsi" w:cstheme="majorHAnsi"/>
          <w:iCs/>
        </w:rPr>
        <w:t>Over time, manufacturers</w:t>
      </w:r>
      <w:r w:rsidR="00E43967" w:rsidRPr="00CF39C8">
        <w:rPr>
          <w:rFonts w:asciiTheme="majorHAnsi" w:hAnsiTheme="majorHAnsi" w:cstheme="majorHAnsi"/>
        </w:rPr>
        <w:t xml:space="preserve"> of </w:t>
      </w:r>
      <w:r w:rsidR="00DD0877" w:rsidRPr="00CF39C8">
        <w:rPr>
          <w:rFonts w:asciiTheme="majorHAnsi" w:hAnsiTheme="majorHAnsi" w:cstheme="majorHAnsi"/>
        </w:rPr>
        <w:t>cars</w:t>
      </w:r>
      <w:r w:rsidR="00E43967" w:rsidRPr="00CF39C8">
        <w:rPr>
          <w:rFonts w:asciiTheme="majorHAnsi" w:hAnsiTheme="majorHAnsi" w:cstheme="majorHAnsi"/>
        </w:rPr>
        <w:t xml:space="preserve"> </w:t>
      </w:r>
      <w:r w:rsidRPr="00CF39C8">
        <w:rPr>
          <w:rFonts w:asciiTheme="majorHAnsi" w:hAnsiTheme="majorHAnsi" w:cstheme="majorHAnsi"/>
          <w:iCs/>
        </w:rPr>
        <w:t xml:space="preserve">have made </w:t>
      </w:r>
      <w:r w:rsidR="00F41181" w:rsidRPr="00CF39C8">
        <w:rPr>
          <w:rFonts w:asciiTheme="majorHAnsi" w:hAnsiTheme="majorHAnsi" w:cstheme="majorHAnsi"/>
          <w:iCs/>
        </w:rPr>
        <w:t xml:space="preserve">incremental </w:t>
      </w:r>
      <w:r w:rsidRPr="00CF39C8">
        <w:rPr>
          <w:rFonts w:asciiTheme="majorHAnsi" w:hAnsiTheme="majorHAnsi" w:cstheme="majorHAnsi"/>
          <w:iCs/>
        </w:rPr>
        <w:t>improvements</w:t>
      </w:r>
      <w:r w:rsidR="00E43967" w:rsidRPr="00CF39C8">
        <w:rPr>
          <w:rFonts w:asciiTheme="majorHAnsi" w:hAnsiTheme="majorHAnsi" w:cstheme="majorHAnsi"/>
        </w:rPr>
        <w:t xml:space="preserve"> that </w:t>
      </w:r>
      <w:r w:rsidRPr="00CF39C8">
        <w:rPr>
          <w:rFonts w:asciiTheme="majorHAnsi" w:hAnsiTheme="majorHAnsi" w:cstheme="majorHAnsi"/>
          <w:iCs/>
        </w:rPr>
        <w:t xml:space="preserve">provide </w:t>
      </w:r>
      <w:r w:rsidR="00807A5A" w:rsidRPr="00CF39C8">
        <w:rPr>
          <w:rFonts w:asciiTheme="majorHAnsi" w:hAnsiTheme="majorHAnsi" w:cstheme="majorHAnsi"/>
          <w:iCs/>
        </w:rPr>
        <w:t xml:space="preserve">some </w:t>
      </w:r>
      <w:r w:rsidR="00F41181" w:rsidRPr="00CF39C8">
        <w:rPr>
          <w:rFonts w:asciiTheme="majorHAnsi" w:hAnsiTheme="majorHAnsi" w:cstheme="majorHAnsi"/>
          <w:iCs/>
        </w:rPr>
        <w:t xml:space="preserve">increases </w:t>
      </w:r>
      <w:r w:rsidRPr="00CF39C8">
        <w:rPr>
          <w:rFonts w:asciiTheme="majorHAnsi" w:hAnsiTheme="majorHAnsi" w:cstheme="majorHAnsi"/>
          <w:iCs/>
        </w:rPr>
        <w:t>to fuel efficiency. However, the rate of th</w:t>
      </w:r>
      <w:r w:rsidR="00C64FDB" w:rsidRPr="00CF39C8">
        <w:rPr>
          <w:rFonts w:asciiTheme="majorHAnsi" w:hAnsiTheme="majorHAnsi" w:cstheme="majorHAnsi"/>
          <w:iCs/>
        </w:rPr>
        <w:t xml:space="preserve">ese business-as-usual improvements </w:t>
      </w:r>
      <w:r w:rsidR="00D3043D" w:rsidRPr="00CF39C8">
        <w:rPr>
          <w:rFonts w:asciiTheme="majorHAnsi" w:hAnsiTheme="majorHAnsi" w:cstheme="majorHAnsi"/>
          <w:iCs/>
        </w:rPr>
        <w:t>has</w:t>
      </w:r>
      <w:r w:rsidR="00C64FDB" w:rsidRPr="00CF39C8">
        <w:rPr>
          <w:rFonts w:asciiTheme="majorHAnsi" w:hAnsiTheme="majorHAnsi" w:cstheme="majorHAnsi"/>
          <w:iCs/>
        </w:rPr>
        <w:t xml:space="preserve"> been modest and projections suggest they will fall </w:t>
      </w:r>
      <w:r w:rsidR="00E43967" w:rsidRPr="00CF39C8">
        <w:rPr>
          <w:rFonts w:asciiTheme="majorHAnsi" w:hAnsiTheme="majorHAnsi" w:cstheme="majorHAnsi"/>
        </w:rPr>
        <w:t xml:space="preserve">significantly short of achieving </w:t>
      </w:r>
      <w:r w:rsidR="00DD0877" w:rsidRPr="00CF39C8">
        <w:rPr>
          <w:rFonts w:asciiTheme="majorHAnsi" w:hAnsiTheme="majorHAnsi" w:cstheme="majorHAnsi"/>
        </w:rPr>
        <w:t xml:space="preserve">whole of economy </w:t>
      </w:r>
      <w:r w:rsidR="00C64FDB" w:rsidRPr="00CF39C8">
        <w:rPr>
          <w:rFonts w:asciiTheme="majorHAnsi" w:hAnsiTheme="majorHAnsi" w:cstheme="majorHAnsi"/>
          <w:iCs/>
        </w:rPr>
        <w:t>legislated emissions</w:t>
      </w:r>
      <w:r w:rsidR="00E43967" w:rsidRPr="00CF39C8">
        <w:rPr>
          <w:rFonts w:asciiTheme="majorHAnsi" w:hAnsiTheme="majorHAnsi" w:cstheme="majorHAnsi"/>
        </w:rPr>
        <w:t xml:space="preserve"> targets</w:t>
      </w:r>
      <w:r w:rsidR="00C64FDB" w:rsidRPr="00CF39C8">
        <w:rPr>
          <w:rFonts w:asciiTheme="majorHAnsi" w:hAnsiTheme="majorHAnsi" w:cstheme="majorHAnsi"/>
          <w:iCs/>
        </w:rPr>
        <w:t>.</w:t>
      </w:r>
      <w:r w:rsidR="00E43967" w:rsidRPr="00CF39C8">
        <w:rPr>
          <w:rFonts w:asciiTheme="majorHAnsi" w:hAnsiTheme="majorHAnsi" w:cstheme="majorHAnsi"/>
        </w:rPr>
        <w:t xml:space="preserve"> </w:t>
      </w:r>
      <w:r w:rsidR="007B64C2" w:rsidRPr="00CF39C8">
        <w:rPr>
          <w:rFonts w:asciiTheme="majorHAnsi" w:hAnsiTheme="majorHAnsi" w:cstheme="majorHAnsi"/>
          <w:iCs/>
        </w:rPr>
        <w:t xml:space="preserve">In 2020, car manufacturers adopted a voluntary </w:t>
      </w:r>
      <w:r w:rsidR="00D612C1" w:rsidRPr="00CF39C8">
        <w:rPr>
          <w:rFonts w:asciiTheme="majorHAnsi" w:hAnsiTheme="majorHAnsi" w:cstheme="majorHAnsi"/>
        </w:rPr>
        <w:t>new vehicle efficiency standard</w:t>
      </w:r>
      <w:r w:rsidR="00D612C1" w:rsidRPr="00CF39C8" w:rsidDel="00D612C1">
        <w:rPr>
          <w:rFonts w:asciiTheme="majorHAnsi" w:hAnsiTheme="majorHAnsi" w:cstheme="majorHAnsi"/>
          <w:iCs/>
        </w:rPr>
        <w:t xml:space="preserve"> </w:t>
      </w:r>
      <w:r w:rsidR="007C69E4" w:rsidRPr="00CF39C8">
        <w:rPr>
          <w:rFonts w:asciiTheme="majorHAnsi" w:hAnsiTheme="majorHAnsi" w:cstheme="majorHAnsi"/>
          <w:iCs/>
        </w:rPr>
        <w:t>(voluntary standard)</w:t>
      </w:r>
      <w:r w:rsidR="007B64C2" w:rsidRPr="00CF39C8">
        <w:rPr>
          <w:rFonts w:asciiTheme="majorHAnsi" w:hAnsiTheme="majorHAnsi" w:cstheme="majorHAnsi"/>
          <w:iCs/>
        </w:rPr>
        <w:t xml:space="preserve"> designed by the (Australian) Federal Chamber of Automotive Industries (FCAI). </w:t>
      </w:r>
      <w:r w:rsidR="00D3043D" w:rsidRPr="00CF39C8">
        <w:rPr>
          <w:rFonts w:asciiTheme="majorHAnsi" w:hAnsiTheme="majorHAnsi" w:cstheme="majorHAnsi"/>
          <w:iCs/>
        </w:rPr>
        <w:t>Under the</w:t>
      </w:r>
      <w:r w:rsidR="007B64C2" w:rsidRPr="00CF39C8">
        <w:rPr>
          <w:rFonts w:asciiTheme="majorHAnsi" w:hAnsiTheme="majorHAnsi" w:cstheme="majorHAnsi"/>
        </w:rPr>
        <w:t xml:space="preserve"> FCAI</w:t>
      </w:r>
      <w:r w:rsidR="007C69E4" w:rsidRPr="00CF39C8">
        <w:rPr>
          <w:rFonts w:asciiTheme="majorHAnsi" w:hAnsiTheme="majorHAnsi" w:cstheme="majorHAnsi"/>
        </w:rPr>
        <w:t>’s</w:t>
      </w:r>
      <w:r w:rsidR="007B64C2" w:rsidRPr="00CF39C8">
        <w:rPr>
          <w:rFonts w:asciiTheme="majorHAnsi" w:hAnsiTheme="majorHAnsi" w:cstheme="majorHAnsi"/>
        </w:rPr>
        <w:t xml:space="preserve"> voluntary standard, </w:t>
      </w:r>
      <w:r w:rsidR="007C69E4" w:rsidRPr="00CF39C8">
        <w:rPr>
          <w:rFonts w:asciiTheme="majorHAnsi" w:hAnsiTheme="majorHAnsi" w:cstheme="majorHAnsi"/>
        </w:rPr>
        <w:t>its member</w:t>
      </w:r>
      <w:r w:rsidR="00D3043D" w:rsidRPr="00CF39C8">
        <w:rPr>
          <w:rFonts w:asciiTheme="majorHAnsi" w:hAnsiTheme="majorHAnsi" w:cstheme="majorHAnsi"/>
        </w:rPr>
        <w:t>s</w:t>
      </w:r>
      <w:r w:rsidR="007C69E4" w:rsidRPr="00CF39C8">
        <w:rPr>
          <w:rFonts w:asciiTheme="majorHAnsi" w:hAnsiTheme="majorHAnsi" w:cstheme="majorHAnsi"/>
        </w:rPr>
        <w:t xml:space="preserve"> </w:t>
      </w:r>
      <w:r w:rsidR="007B64C2" w:rsidRPr="00CF39C8">
        <w:rPr>
          <w:rFonts w:asciiTheme="majorHAnsi" w:hAnsiTheme="majorHAnsi" w:cstheme="majorHAnsi"/>
        </w:rPr>
        <w:t>have agreed to meet year-on-year CO</w:t>
      </w:r>
      <w:r w:rsidR="007B64C2" w:rsidRPr="00CF39C8">
        <w:rPr>
          <w:rFonts w:asciiTheme="majorHAnsi" w:hAnsiTheme="majorHAnsi" w:cstheme="majorHAnsi"/>
          <w:vertAlign w:val="subscript"/>
        </w:rPr>
        <w:t>2</w:t>
      </w:r>
      <w:r w:rsidR="007B64C2" w:rsidRPr="00CF39C8">
        <w:rPr>
          <w:rFonts w:asciiTheme="majorHAnsi" w:hAnsiTheme="majorHAnsi" w:cstheme="majorHAnsi"/>
        </w:rPr>
        <w:t xml:space="preserve"> emissions reduction targets. </w:t>
      </w:r>
    </w:p>
    <w:p w14:paraId="077D7252" w14:textId="77777777" w:rsidR="00805D20" w:rsidRPr="00CF39C8" w:rsidRDefault="007B64C2" w:rsidP="00D15D0C">
      <w:pPr>
        <w:spacing w:after="160" w:line="259" w:lineRule="auto"/>
        <w:rPr>
          <w:rFonts w:asciiTheme="majorHAnsi" w:hAnsiTheme="majorHAnsi" w:cstheme="majorHAnsi"/>
        </w:rPr>
      </w:pPr>
      <w:r w:rsidRPr="00CF39C8">
        <w:rPr>
          <w:rFonts w:asciiTheme="majorHAnsi" w:hAnsiTheme="majorHAnsi" w:cstheme="majorHAnsi"/>
        </w:rPr>
        <w:t xml:space="preserve">Because </w:t>
      </w:r>
      <w:r w:rsidR="00D3043D" w:rsidRPr="00CF39C8">
        <w:rPr>
          <w:rFonts w:asciiTheme="majorHAnsi" w:hAnsiTheme="majorHAnsi" w:cstheme="majorHAnsi"/>
        </w:rPr>
        <w:t>it is</w:t>
      </w:r>
      <w:r w:rsidRPr="00CF39C8">
        <w:rPr>
          <w:rFonts w:asciiTheme="majorHAnsi" w:hAnsiTheme="majorHAnsi" w:cstheme="majorHAnsi"/>
        </w:rPr>
        <w:t xml:space="preserve"> voluntary, and the</w:t>
      </w:r>
      <w:r w:rsidR="00805D20" w:rsidRPr="00CF39C8">
        <w:rPr>
          <w:rFonts w:asciiTheme="majorHAnsi" w:hAnsiTheme="majorHAnsi" w:cstheme="majorHAnsi"/>
        </w:rPr>
        <w:t>re’s an</w:t>
      </w:r>
      <w:r w:rsidRPr="00CF39C8">
        <w:rPr>
          <w:rFonts w:asciiTheme="majorHAnsi" w:hAnsiTheme="majorHAnsi" w:cstheme="majorHAnsi"/>
        </w:rPr>
        <w:t xml:space="preserve"> </w:t>
      </w:r>
      <w:r w:rsidR="00D3043D" w:rsidRPr="00CF39C8">
        <w:rPr>
          <w:rFonts w:asciiTheme="majorHAnsi" w:hAnsiTheme="majorHAnsi" w:cstheme="majorHAnsi"/>
        </w:rPr>
        <w:t>absence</w:t>
      </w:r>
      <w:r w:rsidRPr="00CF39C8">
        <w:rPr>
          <w:rFonts w:asciiTheme="majorHAnsi" w:hAnsiTheme="majorHAnsi" w:cstheme="majorHAnsi"/>
        </w:rPr>
        <w:t xml:space="preserve"> of </w:t>
      </w:r>
      <w:r w:rsidR="00C01AA7" w:rsidRPr="00CF39C8">
        <w:rPr>
          <w:rFonts w:asciiTheme="majorHAnsi" w:hAnsiTheme="majorHAnsi" w:cstheme="majorHAnsi"/>
        </w:rPr>
        <w:t xml:space="preserve">monetary </w:t>
      </w:r>
      <w:r w:rsidRPr="00CF39C8">
        <w:rPr>
          <w:rFonts w:asciiTheme="majorHAnsi" w:hAnsiTheme="majorHAnsi" w:cstheme="majorHAnsi"/>
        </w:rPr>
        <w:t xml:space="preserve">consequence if the standards are </w:t>
      </w:r>
      <w:r w:rsidR="00C01AA7" w:rsidRPr="00CF39C8">
        <w:rPr>
          <w:rFonts w:asciiTheme="majorHAnsi" w:hAnsiTheme="majorHAnsi" w:cstheme="majorHAnsi"/>
        </w:rPr>
        <w:t>not met</w:t>
      </w:r>
      <w:r w:rsidRPr="00CF39C8">
        <w:rPr>
          <w:rFonts w:asciiTheme="majorHAnsi" w:hAnsiTheme="majorHAnsi" w:cstheme="majorHAnsi"/>
        </w:rPr>
        <w:t xml:space="preserve">, </w:t>
      </w:r>
      <w:r w:rsidR="007C69E4" w:rsidRPr="00CF39C8">
        <w:rPr>
          <w:rFonts w:asciiTheme="majorHAnsi" w:hAnsiTheme="majorHAnsi" w:cstheme="majorHAnsi"/>
        </w:rPr>
        <w:t xml:space="preserve">the </w:t>
      </w:r>
      <w:r w:rsidRPr="00CF39C8">
        <w:rPr>
          <w:rFonts w:asciiTheme="majorHAnsi" w:hAnsiTheme="majorHAnsi" w:cstheme="majorHAnsi"/>
        </w:rPr>
        <w:t>voluntary standard h</w:t>
      </w:r>
      <w:r w:rsidR="007C69E4" w:rsidRPr="00CF39C8">
        <w:rPr>
          <w:rFonts w:asciiTheme="majorHAnsi" w:hAnsiTheme="majorHAnsi" w:cstheme="majorHAnsi"/>
        </w:rPr>
        <w:t>as</w:t>
      </w:r>
      <w:r w:rsidRPr="00CF39C8">
        <w:rPr>
          <w:rFonts w:asciiTheme="majorHAnsi" w:hAnsiTheme="majorHAnsi" w:cstheme="majorHAnsi"/>
        </w:rPr>
        <w:t xml:space="preserve"> not provided sufficient incentive to introduce more effective fuel efficiency technology to cars supplied to the Australian market.</w:t>
      </w:r>
      <w:r w:rsidRPr="00CF39C8">
        <w:rPr>
          <w:rStyle w:val="EndnoteReference"/>
          <w:rFonts w:asciiTheme="majorHAnsi" w:hAnsiTheme="majorHAnsi" w:cstheme="majorHAnsi"/>
        </w:rPr>
        <w:endnoteReference w:id="30"/>
      </w:r>
      <w:r w:rsidR="0049244A" w:rsidRPr="00CF39C8">
        <w:rPr>
          <w:rFonts w:asciiTheme="majorHAnsi" w:hAnsiTheme="majorHAnsi" w:cstheme="majorHAnsi"/>
          <w:vertAlign w:val="superscript"/>
        </w:rPr>
        <w:t>,</w:t>
      </w:r>
      <w:r w:rsidR="0049244A" w:rsidRPr="00CF39C8">
        <w:rPr>
          <w:rStyle w:val="EndnoteReference"/>
          <w:rFonts w:asciiTheme="majorHAnsi" w:hAnsiTheme="majorHAnsi" w:cstheme="majorHAnsi"/>
        </w:rPr>
        <w:t xml:space="preserve"> </w:t>
      </w:r>
      <w:r w:rsidR="0049244A" w:rsidRPr="00CF39C8">
        <w:rPr>
          <w:rStyle w:val="EndnoteReference"/>
          <w:rFonts w:asciiTheme="majorHAnsi" w:hAnsiTheme="majorHAnsi" w:cstheme="majorHAnsi"/>
        </w:rPr>
        <w:endnoteReference w:id="31"/>
      </w:r>
      <w:r w:rsidR="00D3043D" w:rsidRPr="00CF39C8">
        <w:rPr>
          <w:rFonts w:asciiTheme="majorHAnsi" w:hAnsiTheme="majorHAnsi" w:cstheme="majorHAnsi"/>
        </w:rPr>
        <w:t xml:space="preserve"> </w:t>
      </w:r>
      <w:r w:rsidR="00805D20" w:rsidRPr="00CF39C8">
        <w:rPr>
          <w:rFonts w:asciiTheme="majorHAnsi" w:hAnsiTheme="majorHAnsi" w:cstheme="majorHAnsi"/>
        </w:rPr>
        <w:t>Even if the targets under the voluntary standard were made more stringent with the objective of lowering projected CO</w:t>
      </w:r>
      <w:r w:rsidR="00805D20" w:rsidRPr="00CF39C8">
        <w:rPr>
          <w:rFonts w:asciiTheme="majorHAnsi" w:hAnsiTheme="majorHAnsi" w:cstheme="majorHAnsi"/>
          <w:vertAlign w:val="subscript"/>
        </w:rPr>
        <w:t>2</w:t>
      </w:r>
      <w:r w:rsidR="00805D20" w:rsidRPr="00CF39C8">
        <w:rPr>
          <w:rFonts w:asciiTheme="majorHAnsi" w:hAnsiTheme="majorHAnsi" w:cstheme="majorHAnsi"/>
        </w:rPr>
        <w:t xml:space="preserve"> emissions, it is very unlikely that manufacturers would strive to meet the targets and supply more fuel efficient, low and zero emissions cars </w:t>
      </w:r>
      <w:r w:rsidR="006B74EE">
        <w:rPr>
          <w:rFonts w:asciiTheme="majorHAnsi" w:hAnsiTheme="majorHAnsi" w:cstheme="majorHAnsi"/>
        </w:rPr>
        <w:t>because there is no incentive to do so in the form of tradeable credits or financial disincentives such as penalties</w:t>
      </w:r>
      <w:r w:rsidR="00805D20" w:rsidRPr="00CF39C8">
        <w:rPr>
          <w:rFonts w:asciiTheme="majorHAnsi" w:hAnsiTheme="majorHAnsi" w:cstheme="majorHAnsi"/>
        </w:rPr>
        <w:t xml:space="preserve">. </w:t>
      </w:r>
    </w:p>
    <w:p w14:paraId="72976BE8" w14:textId="77777777" w:rsidR="00074BFA" w:rsidRPr="00CF39C8" w:rsidRDefault="007B64C2" w:rsidP="00BF054B">
      <w:pPr>
        <w:spacing w:after="160" w:line="259" w:lineRule="auto"/>
        <w:rPr>
          <w:b/>
        </w:rPr>
      </w:pPr>
      <w:r w:rsidRPr="00CF39C8">
        <w:rPr>
          <w:rFonts w:asciiTheme="majorHAnsi" w:hAnsiTheme="majorHAnsi" w:cstheme="majorHAnsi"/>
        </w:rPr>
        <w:t xml:space="preserve">The FCAI noted in </w:t>
      </w:r>
      <w:r w:rsidR="00C01AA7" w:rsidRPr="00CF39C8">
        <w:rPr>
          <w:rFonts w:asciiTheme="majorHAnsi" w:hAnsiTheme="majorHAnsi" w:cstheme="majorHAnsi"/>
        </w:rPr>
        <w:t xml:space="preserve">its </w:t>
      </w:r>
      <w:r w:rsidRPr="00CF39C8">
        <w:rPr>
          <w:rFonts w:asciiTheme="majorHAnsi" w:hAnsiTheme="majorHAnsi" w:cstheme="majorHAnsi"/>
        </w:rPr>
        <w:t>release of</w:t>
      </w:r>
      <w:r w:rsidR="00C01AA7" w:rsidRPr="00CF39C8">
        <w:rPr>
          <w:rFonts w:asciiTheme="majorHAnsi" w:hAnsiTheme="majorHAnsi" w:cstheme="majorHAnsi"/>
        </w:rPr>
        <w:t xml:space="preserve"> 2022</w:t>
      </w:r>
      <w:r w:rsidRPr="00CF39C8">
        <w:rPr>
          <w:rFonts w:asciiTheme="majorHAnsi" w:hAnsiTheme="majorHAnsi" w:cstheme="majorHAnsi"/>
        </w:rPr>
        <w:t xml:space="preserve"> results for </w:t>
      </w:r>
      <w:r w:rsidR="0067649F" w:rsidRPr="00CF39C8">
        <w:rPr>
          <w:rFonts w:asciiTheme="majorHAnsi" w:hAnsiTheme="majorHAnsi" w:cstheme="majorHAnsi"/>
        </w:rPr>
        <w:t>its</w:t>
      </w:r>
      <w:r w:rsidR="00C01AA7" w:rsidRPr="00CF39C8">
        <w:rPr>
          <w:rFonts w:asciiTheme="majorHAnsi" w:hAnsiTheme="majorHAnsi" w:cstheme="majorHAnsi"/>
        </w:rPr>
        <w:t xml:space="preserve"> </w:t>
      </w:r>
      <w:r w:rsidRPr="00CF39C8">
        <w:rPr>
          <w:rFonts w:asciiTheme="majorHAnsi" w:hAnsiTheme="majorHAnsi" w:cstheme="majorHAnsi"/>
        </w:rPr>
        <w:t>voluntary standard that “</w:t>
      </w:r>
      <w:r w:rsidRPr="00CF39C8">
        <w:rPr>
          <w:rFonts w:asciiTheme="majorHAnsi" w:hAnsiTheme="majorHAnsi" w:cstheme="majorHAnsi"/>
          <w:i/>
        </w:rPr>
        <w:t>the 2022 results demonstrated the challenges of transitioning to a zero-emission light vehicle sector in Australia, especially in the absence of a Government mandated CO</w:t>
      </w:r>
      <w:r w:rsidRPr="00CF39C8">
        <w:rPr>
          <w:rFonts w:asciiTheme="majorHAnsi" w:hAnsiTheme="majorHAnsi" w:cstheme="majorHAnsi"/>
          <w:i/>
          <w:vertAlign w:val="subscript"/>
        </w:rPr>
        <w:t>2</w:t>
      </w:r>
      <w:r w:rsidRPr="00CF39C8">
        <w:rPr>
          <w:rFonts w:asciiTheme="majorHAnsi" w:hAnsiTheme="majorHAnsi" w:cstheme="majorHAnsi"/>
          <w:i/>
        </w:rPr>
        <w:t xml:space="preserve"> standard</w:t>
      </w:r>
      <w:r w:rsidRPr="00CF39C8">
        <w:rPr>
          <w:rFonts w:asciiTheme="majorHAnsi" w:hAnsiTheme="majorHAnsi" w:cstheme="majorHAnsi"/>
        </w:rPr>
        <w:t>.”</w:t>
      </w:r>
      <w:r w:rsidRPr="00CF39C8">
        <w:rPr>
          <w:rStyle w:val="EndnoteReference"/>
          <w:rFonts w:asciiTheme="majorHAnsi" w:hAnsiTheme="majorHAnsi" w:cstheme="majorHAnsi"/>
        </w:rPr>
        <w:endnoteReference w:id="32"/>
      </w:r>
      <w:r w:rsidRPr="00CF39C8">
        <w:rPr>
          <w:rFonts w:asciiTheme="majorHAnsi" w:hAnsiTheme="majorHAnsi" w:cstheme="majorHAnsi"/>
        </w:rPr>
        <w:t xml:space="preserve"> The voluntary standard has not been effective at</w:t>
      </w:r>
      <w:r w:rsidR="00D3043D" w:rsidRPr="00CF39C8">
        <w:rPr>
          <w:rFonts w:asciiTheme="majorHAnsi" w:hAnsiTheme="majorHAnsi" w:cstheme="majorHAnsi"/>
        </w:rPr>
        <w:t xml:space="preserve"> substantially</w:t>
      </w:r>
      <w:r w:rsidRPr="00CF39C8">
        <w:rPr>
          <w:rFonts w:asciiTheme="majorHAnsi" w:hAnsiTheme="majorHAnsi" w:cstheme="majorHAnsi"/>
        </w:rPr>
        <w:t xml:space="preserve"> reducing emissions. </w:t>
      </w:r>
    </w:p>
    <w:p w14:paraId="3613A55C" w14:textId="77777777" w:rsidR="00785690" w:rsidRDefault="00BF054B" w:rsidP="00A3172B">
      <w:pPr>
        <w:rPr>
          <w:rFonts w:asciiTheme="majorHAnsi" w:hAnsiTheme="majorHAnsi" w:cstheme="majorHAnsi"/>
        </w:rPr>
      </w:pPr>
      <w:r>
        <w:rPr>
          <w:rFonts w:asciiTheme="majorHAnsi" w:hAnsiTheme="majorHAnsi" w:cstheme="majorHAnsi"/>
        </w:rPr>
        <w:t>T</w:t>
      </w:r>
      <w:r w:rsidR="00C05C79" w:rsidRPr="00CF39C8">
        <w:rPr>
          <w:rFonts w:asciiTheme="majorHAnsi" w:hAnsiTheme="majorHAnsi" w:cstheme="majorHAnsi"/>
        </w:rPr>
        <w:t xml:space="preserve">he existing </w:t>
      </w:r>
      <w:r w:rsidR="00860591" w:rsidRPr="00CF39C8">
        <w:rPr>
          <w:rFonts w:asciiTheme="majorHAnsi" w:hAnsiTheme="majorHAnsi" w:cstheme="majorHAnsi"/>
        </w:rPr>
        <w:t xml:space="preserve">industry </w:t>
      </w:r>
      <w:r w:rsidR="00C05C79" w:rsidRPr="00CF39C8">
        <w:rPr>
          <w:rFonts w:asciiTheme="majorHAnsi" w:hAnsiTheme="majorHAnsi" w:cstheme="majorHAnsi"/>
        </w:rPr>
        <w:t>voluntary standard</w:t>
      </w:r>
      <w:r w:rsidR="00860591" w:rsidRPr="00CF39C8">
        <w:rPr>
          <w:rFonts w:asciiTheme="majorHAnsi" w:hAnsiTheme="majorHAnsi" w:cstheme="majorHAnsi"/>
        </w:rPr>
        <w:t xml:space="preserve"> is not providing sufficient incentive for global car manufacturers to provide the best fuel saving technology to the cars Australians buy</w:t>
      </w:r>
      <w:r w:rsidR="00785690">
        <w:rPr>
          <w:rFonts w:asciiTheme="majorHAnsi" w:hAnsiTheme="majorHAnsi" w:cstheme="majorHAnsi"/>
        </w:rPr>
        <w:t xml:space="preserve">. </w:t>
      </w:r>
      <w:r w:rsidR="0019121F" w:rsidRPr="00CF39C8">
        <w:rPr>
          <w:rFonts w:asciiTheme="majorHAnsi" w:hAnsiTheme="majorHAnsi" w:cstheme="majorHAnsi"/>
        </w:rPr>
        <w:t>While t</w:t>
      </w:r>
      <w:r w:rsidR="00860591" w:rsidRPr="00CF39C8">
        <w:rPr>
          <w:rFonts w:asciiTheme="majorHAnsi" w:hAnsiTheme="majorHAnsi" w:cstheme="majorHAnsi"/>
        </w:rPr>
        <w:t>he incremental</w:t>
      </w:r>
      <w:r w:rsidR="00C05C79" w:rsidRPr="00CF39C8">
        <w:rPr>
          <w:rFonts w:asciiTheme="majorHAnsi" w:hAnsiTheme="majorHAnsi" w:cstheme="majorHAnsi"/>
        </w:rPr>
        <w:t xml:space="preserve"> </w:t>
      </w:r>
      <w:r w:rsidR="00860591" w:rsidRPr="00CF39C8">
        <w:rPr>
          <w:rFonts w:asciiTheme="majorHAnsi" w:hAnsiTheme="majorHAnsi" w:cstheme="majorHAnsi"/>
        </w:rPr>
        <w:t>rate of technological improvements and business as usual increases to EV uptake</w:t>
      </w:r>
      <w:r w:rsidR="0019121F" w:rsidRPr="00CF39C8">
        <w:rPr>
          <w:rFonts w:asciiTheme="majorHAnsi" w:hAnsiTheme="majorHAnsi" w:cstheme="majorHAnsi"/>
        </w:rPr>
        <w:t xml:space="preserve"> is modestly reducing emissions intensity in the passenger vehicle category, it is also not providing sufficient abatement to support the Government’s economy wide emissions reduction targets.</w:t>
      </w:r>
      <w:r w:rsidR="00C21EED" w:rsidRPr="00CF39C8">
        <w:rPr>
          <w:rFonts w:asciiTheme="majorHAnsi" w:hAnsiTheme="majorHAnsi" w:cstheme="majorHAnsi"/>
        </w:rPr>
        <w:t xml:space="preserve"> </w:t>
      </w:r>
      <w:r w:rsidR="00785690">
        <w:rPr>
          <w:rFonts w:asciiTheme="majorHAnsi" w:hAnsiTheme="majorHAnsi" w:cstheme="majorHAnsi"/>
        </w:rPr>
        <w:t>Specifically, this is around a 5% reduction in emissions on the PV category from 2019 to 2022</w:t>
      </w:r>
      <w:r w:rsidR="00785690">
        <w:rPr>
          <w:rStyle w:val="FootnoteReference"/>
          <w:rFonts w:asciiTheme="majorHAnsi" w:hAnsiTheme="majorHAnsi" w:cstheme="majorHAnsi"/>
        </w:rPr>
        <w:footnoteReference w:id="9"/>
      </w:r>
      <w:r w:rsidR="00785690">
        <w:rPr>
          <w:rFonts w:asciiTheme="majorHAnsi" w:hAnsiTheme="majorHAnsi" w:cstheme="majorHAnsi"/>
        </w:rPr>
        <w:t>, this is far below the 4% per annum targets sought under this standard</w:t>
      </w:r>
      <w:r w:rsidR="00785690" w:rsidRPr="00CF39C8">
        <w:rPr>
          <w:rFonts w:asciiTheme="majorHAnsi" w:hAnsiTheme="majorHAnsi" w:cstheme="majorHAnsi"/>
        </w:rPr>
        <w:t xml:space="preserve">. </w:t>
      </w:r>
    </w:p>
    <w:p w14:paraId="2ABB7A7D" w14:textId="77777777" w:rsidR="00A3172B" w:rsidRPr="00CF39C8" w:rsidRDefault="00A3172B" w:rsidP="00A3172B">
      <w:pPr>
        <w:rPr>
          <w:rFonts w:asciiTheme="majorHAnsi" w:hAnsiTheme="majorHAnsi" w:cstheme="majorHAnsi"/>
        </w:rPr>
      </w:pPr>
      <w:r w:rsidRPr="00CF39C8">
        <w:rPr>
          <w:rFonts w:asciiTheme="majorHAnsi" w:hAnsiTheme="majorHAnsi" w:cstheme="majorHAnsi"/>
        </w:rPr>
        <w:t>The rate at which electric vehicles</w:t>
      </w:r>
      <w:r w:rsidR="0039046F">
        <w:rPr>
          <w:rFonts w:asciiTheme="majorHAnsi" w:hAnsiTheme="majorHAnsi" w:cstheme="majorHAnsi"/>
        </w:rPr>
        <w:t xml:space="preserve">, hybrids and other more </w:t>
      </w:r>
      <w:r w:rsidR="0057678D">
        <w:rPr>
          <w:rFonts w:asciiTheme="majorHAnsi" w:hAnsiTheme="majorHAnsi" w:cstheme="majorHAnsi"/>
        </w:rPr>
        <w:t>fuel-efficient</w:t>
      </w:r>
      <w:r w:rsidR="0039046F">
        <w:rPr>
          <w:rFonts w:asciiTheme="majorHAnsi" w:hAnsiTheme="majorHAnsi" w:cstheme="majorHAnsi"/>
        </w:rPr>
        <w:t xml:space="preserve"> vehicles</w:t>
      </w:r>
      <w:r w:rsidRPr="00CF39C8">
        <w:rPr>
          <w:rFonts w:asciiTheme="majorHAnsi" w:hAnsiTheme="majorHAnsi" w:cstheme="majorHAnsi"/>
        </w:rPr>
        <w:t xml:space="preserve"> are supplied to the Australian market is improving with time (</w:t>
      </w:r>
      <w:r w:rsidR="0039046F">
        <w:rPr>
          <w:rFonts w:asciiTheme="majorHAnsi" w:hAnsiTheme="majorHAnsi" w:cstheme="majorHAnsi"/>
        </w:rPr>
        <w:t xml:space="preserve">for electric vehicles - </w:t>
      </w:r>
      <w:r w:rsidRPr="00CF39C8">
        <w:rPr>
          <w:rFonts w:asciiTheme="majorHAnsi" w:hAnsiTheme="majorHAnsi" w:cstheme="majorHAnsi"/>
        </w:rPr>
        <w:t>8</w:t>
      </w:r>
      <w:r w:rsidR="000B0C66" w:rsidRPr="00CF39C8">
        <w:rPr>
          <w:rFonts w:asciiTheme="majorHAnsi" w:hAnsiTheme="majorHAnsi" w:cstheme="majorHAnsi"/>
        </w:rPr>
        <w:t>.4</w:t>
      </w:r>
      <w:r w:rsidR="009242A6" w:rsidRPr="00CF39C8">
        <w:rPr>
          <w:rFonts w:asciiTheme="majorHAnsi" w:hAnsiTheme="majorHAnsi" w:cstheme="majorHAnsi"/>
        </w:rPr>
        <w:t>%</w:t>
      </w:r>
      <w:r w:rsidRPr="00CF39C8">
        <w:rPr>
          <w:rFonts w:asciiTheme="majorHAnsi" w:hAnsiTheme="majorHAnsi" w:cstheme="majorHAnsi"/>
        </w:rPr>
        <w:t xml:space="preserve"> in </w:t>
      </w:r>
      <w:r w:rsidR="00F41181" w:rsidRPr="00CF39C8">
        <w:rPr>
          <w:rFonts w:asciiTheme="majorHAnsi" w:hAnsiTheme="majorHAnsi" w:cstheme="majorHAnsi"/>
        </w:rPr>
        <w:t xml:space="preserve">the first </w:t>
      </w:r>
      <w:r w:rsidR="00D3043D" w:rsidRPr="00CF39C8">
        <w:rPr>
          <w:rFonts w:asciiTheme="majorHAnsi" w:hAnsiTheme="majorHAnsi" w:cstheme="majorHAnsi"/>
        </w:rPr>
        <w:t>three quarters</w:t>
      </w:r>
      <w:r w:rsidR="00F41181" w:rsidRPr="00CF39C8">
        <w:rPr>
          <w:rFonts w:asciiTheme="majorHAnsi" w:hAnsiTheme="majorHAnsi" w:cstheme="majorHAnsi"/>
        </w:rPr>
        <w:t xml:space="preserve"> of </w:t>
      </w:r>
      <w:r w:rsidRPr="00CF39C8">
        <w:rPr>
          <w:rFonts w:asciiTheme="majorHAnsi" w:hAnsiTheme="majorHAnsi" w:cstheme="majorHAnsi"/>
        </w:rPr>
        <w:t>2023</w:t>
      </w:r>
      <w:r w:rsidR="00DE000D" w:rsidRPr="00CF39C8">
        <w:rPr>
          <w:rFonts w:asciiTheme="majorHAnsi" w:hAnsiTheme="majorHAnsi" w:cstheme="majorHAnsi"/>
        </w:rPr>
        <w:t>, up from 3.4% of total vehicle sales in the same period of 2022</w:t>
      </w:r>
      <w:r w:rsidR="00DD6A6C" w:rsidRPr="00CF39C8">
        <w:rPr>
          <w:rFonts w:asciiTheme="majorHAnsi" w:hAnsiTheme="majorHAnsi" w:cstheme="majorHAnsi"/>
        </w:rPr>
        <w:t>)</w:t>
      </w:r>
      <w:r w:rsidR="0039046F">
        <w:rPr>
          <w:rFonts w:asciiTheme="majorHAnsi" w:hAnsiTheme="majorHAnsi" w:cstheme="majorHAnsi"/>
        </w:rPr>
        <w:t>.</w:t>
      </w:r>
      <w:r w:rsidR="00BC1AC7" w:rsidRPr="00CF39C8">
        <w:rPr>
          <w:rStyle w:val="EndnoteReference"/>
          <w:rFonts w:asciiTheme="majorHAnsi" w:hAnsiTheme="majorHAnsi" w:cstheme="majorHAnsi"/>
        </w:rPr>
        <w:endnoteReference w:id="33"/>
      </w:r>
      <w:r w:rsidRPr="00CF39C8">
        <w:rPr>
          <w:rFonts w:asciiTheme="majorHAnsi" w:hAnsiTheme="majorHAnsi" w:cstheme="majorHAnsi"/>
        </w:rPr>
        <w:t xml:space="preserve"> </w:t>
      </w:r>
      <w:r w:rsidR="0039046F">
        <w:rPr>
          <w:rFonts w:asciiTheme="majorHAnsi" w:hAnsiTheme="majorHAnsi" w:cstheme="majorHAnsi"/>
        </w:rPr>
        <w:t xml:space="preserve"> However this</w:t>
      </w:r>
      <w:r w:rsidR="00A675D5" w:rsidRPr="00CF39C8">
        <w:rPr>
          <w:rFonts w:asciiTheme="majorHAnsi" w:hAnsiTheme="majorHAnsi" w:cstheme="majorHAnsi"/>
        </w:rPr>
        <w:t xml:space="preserve"> remains well below </w:t>
      </w:r>
      <w:r w:rsidR="00982CA5" w:rsidRPr="00CF39C8">
        <w:rPr>
          <w:rFonts w:asciiTheme="majorHAnsi" w:hAnsiTheme="majorHAnsi" w:cstheme="majorHAnsi"/>
        </w:rPr>
        <w:t xml:space="preserve">the </w:t>
      </w:r>
      <w:r w:rsidR="00A675D5" w:rsidRPr="00CF39C8">
        <w:rPr>
          <w:rFonts w:asciiTheme="majorHAnsi" w:hAnsiTheme="majorHAnsi" w:cstheme="majorHAnsi"/>
        </w:rPr>
        <w:t xml:space="preserve">necessary rate </w:t>
      </w:r>
      <w:r w:rsidR="00CF2D53" w:rsidRPr="00CF39C8">
        <w:rPr>
          <w:rFonts w:asciiTheme="majorHAnsi" w:hAnsiTheme="majorHAnsi" w:cstheme="majorHAnsi"/>
        </w:rPr>
        <w:t>to achieve substantive</w:t>
      </w:r>
      <w:r w:rsidR="00982CA5" w:rsidRPr="00CF39C8">
        <w:rPr>
          <w:rFonts w:asciiTheme="majorHAnsi" w:hAnsiTheme="majorHAnsi" w:cstheme="majorHAnsi"/>
        </w:rPr>
        <w:t xml:space="preserve"> </w:t>
      </w:r>
      <w:r w:rsidR="00A675D5" w:rsidRPr="00CF39C8">
        <w:rPr>
          <w:rFonts w:asciiTheme="majorHAnsi" w:hAnsiTheme="majorHAnsi" w:cstheme="majorHAnsi"/>
        </w:rPr>
        <w:t>emissions reduction</w:t>
      </w:r>
      <w:r w:rsidRPr="00CF39C8">
        <w:rPr>
          <w:rFonts w:asciiTheme="majorHAnsi" w:hAnsiTheme="majorHAnsi" w:cstheme="majorHAnsi"/>
        </w:rPr>
        <w:t xml:space="preserve">. </w:t>
      </w:r>
      <w:r w:rsidR="00E72E20" w:rsidRPr="00CF39C8">
        <w:rPr>
          <w:rFonts w:asciiTheme="majorHAnsi" w:hAnsiTheme="majorHAnsi" w:cstheme="majorHAnsi"/>
        </w:rPr>
        <w:t>Consequently, we conclude that</w:t>
      </w:r>
      <w:r w:rsidR="00243E86" w:rsidRPr="00CF39C8">
        <w:rPr>
          <w:rFonts w:asciiTheme="majorHAnsi" w:hAnsiTheme="majorHAnsi" w:cstheme="majorHAnsi"/>
        </w:rPr>
        <w:t xml:space="preserve"> the New Vehicle </w:t>
      </w:r>
      <w:r w:rsidR="00F14BFD">
        <w:rPr>
          <w:rFonts w:asciiTheme="majorHAnsi" w:hAnsiTheme="majorHAnsi" w:cstheme="majorHAnsi"/>
        </w:rPr>
        <w:t>Efficiency</w:t>
      </w:r>
      <w:r w:rsidR="00243E86" w:rsidRPr="00CF39C8">
        <w:rPr>
          <w:rFonts w:asciiTheme="majorHAnsi" w:hAnsiTheme="majorHAnsi" w:cstheme="majorHAnsi"/>
        </w:rPr>
        <w:t xml:space="preserve"> Standard is the most effective available action to encourage the supply of fuel saving technology. </w:t>
      </w:r>
    </w:p>
    <w:p w14:paraId="7556CC7F" w14:textId="77777777" w:rsidR="00AE3241" w:rsidRPr="00CF39C8" w:rsidRDefault="00CA48ED" w:rsidP="00430317">
      <w:pPr>
        <w:pStyle w:val="Heading3"/>
        <w:numPr>
          <w:ilvl w:val="2"/>
          <w:numId w:val="32"/>
        </w:numPr>
        <w:rPr>
          <w:rFonts w:cstheme="majorHAnsi"/>
        </w:rPr>
      </w:pPr>
      <w:bookmarkStart w:id="131" w:name="_Toc148036185"/>
      <w:bookmarkStart w:id="132" w:name="_Toc148036636"/>
      <w:bookmarkStart w:id="133" w:name="_Toc148037930"/>
      <w:bookmarkStart w:id="134" w:name="_Toc148036186"/>
      <w:bookmarkStart w:id="135" w:name="_Toc148036637"/>
      <w:bookmarkStart w:id="136" w:name="_Toc148037931"/>
      <w:bookmarkStart w:id="137" w:name="_Toc161837651"/>
      <w:bookmarkStart w:id="138" w:name="_Toc161933149"/>
      <w:bookmarkStart w:id="139" w:name="_Toc162276456"/>
      <w:bookmarkStart w:id="140" w:name="_Toc163221052"/>
      <w:bookmarkStart w:id="141" w:name="_Hlk147221292"/>
      <w:bookmarkStart w:id="142" w:name="_Toc146622477"/>
      <w:bookmarkEnd w:id="131"/>
      <w:bookmarkEnd w:id="132"/>
      <w:bookmarkEnd w:id="133"/>
      <w:bookmarkEnd w:id="134"/>
      <w:bookmarkEnd w:id="135"/>
      <w:bookmarkEnd w:id="136"/>
      <w:r w:rsidRPr="00CF39C8">
        <w:rPr>
          <w:rFonts w:cstheme="majorHAnsi"/>
        </w:rPr>
        <w:t xml:space="preserve">The Government </w:t>
      </w:r>
      <w:r w:rsidR="00067ECB" w:rsidRPr="00CF39C8">
        <w:rPr>
          <w:rFonts w:cstheme="majorHAnsi"/>
        </w:rPr>
        <w:t xml:space="preserve">can build on </w:t>
      </w:r>
      <w:r w:rsidRPr="00CF39C8">
        <w:rPr>
          <w:rFonts w:cstheme="majorHAnsi"/>
        </w:rPr>
        <w:t xml:space="preserve">an existing </w:t>
      </w:r>
      <w:r w:rsidR="00B82512">
        <w:rPr>
          <w:rFonts w:cstheme="majorHAnsi"/>
        </w:rPr>
        <w:t xml:space="preserve">regulatory </w:t>
      </w:r>
      <w:r w:rsidRPr="00CF39C8">
        <w:rPr>
          <w:rFonts w:cstheme="majorHAnsi"/>
        </w:rPr>
        <w:t xml:space="preserve">framework </w:t>
      </w:r>
      <w:r w:rsidR="0090414F" w:rsidRPr="00CF39C8">
        <w:rPr>
          <w:rFonts w:cstheme="majorHAnsi"/>
        </w:rPr>
        <w:t xml:space="preserve">to </w:t>
      </w:r>
      <w:r w:rsidRPr="00CF39C8">
        <w:rPr>
          <w:rFonts w:cstheme="majorHAnsi"/>
        </w:rPr>
        <w:t>regulat</w:t>
      </w:r>
      <w:r w:rsidR="0090414F" w:rsidRPr="00CF39C8">
        <w:rPr>
          <w:rFonts w:cstheme="majorHAnsi"/>
        </w:rPr>
        <w:t>e CO</w:t>
      </w:r>
      <w:r w:rsidR="0090414F" w:rsidRPr="00CF39C8">
        <w:rPr>
          <w:rFonts w:cstheme="majorHAnsi"/>
          <w:vertAlign w:val="subscript"/>
        </w:rPr>
        <w:t>2</w:t>
      </w:r>
      <w:r w:rsidR="0090414F" w:rsidRPr="00CF39C8">
        <w:rPr>
          <w:rFonts w:cstheme="majorHAnsi"/>
        </w:rPr>
        <w:t xml:space="preserve"> emissions</w:t>
      </w:r>
      <w:bookmarkEnd w:id="137"/>
      <w:bookmarkEnd w:id="138"/>
      <w:bookmarkEnd w:id="139"/>
      <w:bookmarkEnd w:id="140"/>
      <w:r w:rsidR="0090414F" w:rsidRPr="00CF39C8">
        <w:rPr>
          <w:rFonts w:cstheme="majorHAnsi"/>
        </w:rPr>
        <w:t xml:space="preserve"> </w:t>
      </w:r>
    </w:p>
    <w:p w14:paraId="1DF02218" w14:textId="77777777" w:rsidR="00E72E20" w:rsidRPr="00CF39C8" w:rsidRDefault="00956074" w:rsidP="00005002">
      <w:pPr>
        <w:rPr>
          <w:rFonts w:asciiTheme="majorHAnsi" w:eastAsia="Times New Roman" w:hAnsiTheme="majorHAnsi" w:cstheme="majorHAnsi"/>
        </w:rPr>
      </w:pPr>
      <w:bookmarkStart w:id="143" w:name="_Hlk147221610"/>
      <w:bookmarkEnd w:id="141"/>
      <w:r w:rsidRPr="00CF39C8">
        <w:rPr>
          <w:rFonts w:asciiTheme="majorHAnsi" w:eastAsia="Times New Roman" w:hAnsiTheme="majorHAnsi" w:cstheme="majorHAnsi"/>
        </w:rPr>
        <w:t>T</w:t>
      </w:r>
      <w:r w:rsidR="00471A17" w:rsidRPr="00CF39C8">
        <w:rPr>
          <w:rFonts w:asciiTheme="majorHAnsi" w:hAnsiTheme="majorHAnsi" w:cstheme="majorHAnsi"/>
        </w:rPr>
        <w:t xml:space="preserve">he Australian </w:t>
      </w:r>
      <w:r w:rsidR="00A03DA8" w:rsidRPr="00CF39C8">
        <w:rPr>
          <w:rFonts w:asciiTheme="majorHAnsi" w:hAnsiTheme="majorHAnsi" w:cstheme="majorHAnsi"/>
        </w:rPr>
        <w:t>G</w:t>
      </w:r>
      <w:r w:rsidR="00471A17" w:rsidRPr="00CF39C8">
        <w:rPr>
          <w:rFonts w:asciiTheme="majorHAnsi" w:hAnsiTheme="majorHAnsi" w:cstheme="majorHAnsi"/>
        </w:rPr>
        <w:t>overnment does not currently regulate the CO</w:t>
      </w:r>
      <w:r w:rsidR="00471A17" w:rsidRPr="00CF39C8">
        <w:rPr>
          <w:rFonts w:asciiTheme="majorHAnsi" w:hAnsiTheme="majorHAnsi" w:cstheme="majorHAnsi"/>
          <w:vertAlign w:val="subscript"/>
        </w:rPr>
        <w:t>2</w:t>
      </w:r>
      <w:r w:rsidR="00471A17" w:rsidRPr="00CF39C8">
        <w:rPr>
          <w:rFonts w:asciiTheme="majorHAnsi" w:hAnsiTheme="majorHAnsi" w:cstheme="majorHAnsi"/>
        </w:rPr>
        <w:t xml:space="preserve"> emissions of </w:t>
      </w:r>
      <w:r w:rsidR="006566AE" w:rsidRPr="00CF39C8">
        <w:rPr>
          <w:rFonts w:asciiTheme="majorHAnsi" w:hAnsiTheme="majorHAnsi" w:cstheme="majorHAnsi"/>
        </w:rPr>
        <w:t>cars</w:t>
      </w:r>
      <w:r w:rsidR="00E72E20" w:rsidRPr="00CF39C8">
        <w:rPr>
          <w:rFonts w:asciiTheme="majorHAnsi" w:hAnsiTheme="majorHAnsi" w:cstheme="majorHAnsi"/>
        </w:rPr>
        <w:t xml:space="preserve"> directly. The </w:t>
      </w:r>
      <w:r w:rsidR="00E72E20" w:rsidRPr="00CF39C8">
        <w:rPr>
          <w:rFonts w:asciiTheme="majorHAnsi" w:eastAsia="Times New Roman" w:hAnsiTheme="majorHAnsi" w:cstheme="majorHAnsi"/>
          <w:i/>
        </w:rPr>
        <w:t>Road Vehicle Standards Act 2018</w:t>
      </w:r>
      <w:r w:rsidR="00E72E20" w:rsidRPr="00CF39C8">
        <w:rPr>
          <w:rFonts w:asciiTheme="majorHAnsi" w:eastAsia="Times New Roman" w:hAnsiTheme="majorHAnsi" w:cstheme="majorHAnsi"/>
        </w:rPr>
        <w:t xml:space="preserve"> (RVSA) was put in place in 2018, and replaces the </w:t>
      </w:r>
      <w:r w:rsidR="00E72E20" w:rsidRPr="00CF39C8">
        <w:rPr>
          <w:rFonts w:asciiTheme="majorHAnsi" w:eastAsia="Times New Roman" w:hAnsiTheme="majorHAnsi" w:cstheme="majorHAnsi"/>
          <w:i/>
        </w:rPr>
        <w:t>Motor Vehicle Standards Act</w:t>
      </w:r>
      <w:r w:rsidR="00F64C56" w:rsidRPr="00CF39C8">
        <w:rPr>
          <w:rFonts w:asciiTheme="majorHAnsi" w:eastAsia="Times New Roman" w:hAnsiTheme="majorHAnsi" w:cstheme="majorHAnsi"/>
          <w:i/>
        </w:rPr>
        <w:t xml:space="preserve"> 1989</w:t>
      </w:r>
      <w:r w:rsidR="00E72E20" w:rsidRPr="00CF39C8">
        <w:rPr>
          <w:rFonts w:asciiTheme="majorHAnsi" w:eastAsia="Times New Roman" w:hAnsiTheme="majorHAnsi" w:cstheme="majorHAnsi"/>
        </w:rPr>
        <w:t>. Under the RVSA, a range of vehicle standards can be established, covering</w:t>
      </w:r>
      <w:r w:rsidR="00A1541C" w:rsidRPr="00CF39C8">
        <w:rPr>
          <w:rFonts w:asciiTheme="majorHAnsi" w:eastAsia="Times New Roman" w:hAnsiTheme="majorHAnsi" w:cstheme="majorHAnsi"/>
        </w:rPr>
        <w:t>:</w:t>
      </w:r>
      <w:r w:rsidR="00E72E20" w:rsidRPr="00CF39C8">
        <w:rPr>
          <w:rStyle w:val="EndnoteReference"/>
          <w:rFonts w:asciiTheme="majorHAnsi" w:eastAsia="Times New Roman" w:hAnsiTheme="majorHAnsi" w:cstheme="majorHAnsi"/>
        </w:rPr>
        <w:endnoteReference w:id="34"/>
      </w:r>
      <w:r w:rsidR="00E72E20" w:rsidRPr="00CF39C8">
        <w:rPr>
          <w:rFonts w:asciiTheme="majorHAnsi" w:eastAsia="Times New Roman" w:hAnsiTheme="majorHAnsi" w:cstheme="majorHAnsi"/>
        </w:rPr>
        <w:t xml:space="preserve"> </w:t>
      </w:r>
    </w:p>
    <w:p w14:paraId="2058B33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afety;</w:t>
      </w:r>
    </w:p>
    <w:p w14:paraId="05E0C756"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t</w:t>
      </w:r>
      <w:r w:rsidR="00E72E20" w:rsidRPr="00CF39C8">
        <w:rPr>
          <w:rFonts w:asciiTheme="majorHAnsi" w:eastAsia="Times New Roman" w:hAnsiTheme="majorHAnsi" w:cstheme="majorHAnsi"/>
        </w:rPr>
        <w:t>he control of the emission of gas, particles or noise from road vehicles;</w:t>
      </w:r>
    </w:p>
    <w:p w14:paraId="1B4BED1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ecurity against theft;</w:t>
      </w:r>
    </w:p>
    <w:p w14:paraId="4AD40DD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ecurity markings; and</w:t>
      </w:r>
    </w:p>
    <w:p w14:paraId="44247DB9" w14:textId="77777777" w:rsidR="00FF714F"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e</w:t>
      </w:r>
      <w:r w:rsidR="00E72E20" w:rsidRPr="00CF39C8">
        <w:rPr>
          <w:rFonts w:asciiTheme="majorHAnsi" w:eastAsia="Times New Roman" w:hAnsiTheme="majorHAnsi" w:cstheme="majorHAnsi"/>
        </w:rPr>
        <w:t>nergy savings.</w:t>
      </w:r>
      <w:r w:rsidR="00F10CB7" w:rsidRPr="00CF39C8">
        <w:rPr>
          <w:rFonts w:asciiTheme="majorHAnsi" w:eastAsia="Times New Roman" w:hAnsiTheme="majorHAnsi" w:cstheme="majorHAnsi"/>
        </w:rPr>
        <w:t xml:space="preserve"> </w:t>
      </w:r>
    </w:p>
    <w:p w14:paraId="46F80304" w14:textId="77777777" w:rsidR="00C0620D" w:rsidRPr="00CF39C8" w:rsidRDefault="00321E51" w:rsidP="00C0620D">
      <w:pPr>
        <w:rPr>
          <w:rFonts w:asciiTheme="majorHAnsi" w:hAnsiTheme="majorHAnsi" w:cstheme="majorHAnsi"/>
        </w:rPr>
      </w:pPr>
      <w:r w:rsidRPr="00CF39C8">
        <w:rPr>
          <w:rFonts w:asciiTheme="majorHAnsi" w:hAnsiTheme="majorHAnsi" w:cstheme="majorHAnsi"/>
        </w:rPr>
        <w:t xml:space="preserve">In particular, while </w:t>
      </w:r>
      <w:r w:rsidRPr="00CF39C8">
        <w:rPr>
          <w:rFonts w:asciiTheme="majorHAnsi" w:eastAsia="Times New Roman" w:hAnsiTheme="majorHAnsi" w:cstheme="majorHAnsi"/>
          <w:lang w:eastAsia="en-AU"/>
        </w:rPr>
        <w:t>the department does not regulate CO</w:t>
      </w:r>
      <w:r w:rsidRPr="00CF39C8">
        <w:rPr>
          <w:rFonts w:asciiTheme="majorHAnsi" w:eastAsia="Times New Roman" w:hAnsiTheme="majorHAnsi" w:cstheme="majorHAnsi"/>
          <w:vertAlign w:val="subscript"/>
          <w:lang w:eastAsia="en-AU"/>
        </w:rPr>
        <w:t>2</w:t>
      </w:r>
      <w:r w:rsidRPr="00CF39C8">
        <w:rPr>
          <w:rFonts w:asciiTheme="majorHAnsi" w:eastAsia="Times New Roman" w:hAnsiTheme="majorHAnsi" w:cstheme="majorHAnsi"/>
          <w:lang w:eastAsia="en-AU"/>
        </w:rPr>
        <w:t xml:space="preserve"> emissions, it does </w:t>
      </w:r>
      <w:r w:rsidR="0090414F" w:rsidRPr="00CF39C8">
        <w:rPr>
          <w:rFonts w:asciiTheme="majorHAnsi" w:eastAsia="Times New Roman" w:hAnsiTheme="majorHAnsi" w:cstheme="majorHAnsi"/>
          <w:lang w:eastAsia="en-AU"/>
        </w:rPr>
        <w:t>regulate</w:t>
      </w:r>
      <w:r w:rsidRPr="00CF39C8">
        <w:rPr>
          <w:rFonts w:asciiTheme="majorHAnsi" w:eastAsia="Times New Roman" w:hAnsiTheme="majorHAnsi" w:cstheme="majorHAnsi"/>
          <w:lang w:eastAsia="en-AU"/>
        </w:rPr>
        <w:t xml:space="preserve"> other</w:t>
      </w:r>
      <w:r w:rsidR="0090414F" w:rsidRPr="00CF39C8">
        <w:rPr>
          <w:rFonts w:asciiTheme="majorHAnsi" w:eastAsia="Times New Roman" w:hAnsiTheme="majorHAnsi" w:cstheme="majorHAnsi"/>
          <w:lang w:eastAsia="en-AU"/>
        </w:rPr>
        <w:t xml:space="preserve"> emissions including sulfur, particulates and other noxious emissions though the RVSA</w:t>
      </w:r>
      <w:r w:rsidR="00A675D5" w:rsidRPr="00CF39C8">
        <w:rPr>
          <w:rFonts w:asciiTheme="majorHAnsi" w:eastAsia="Times New Roman" w:hAnsiTheme="majorHAnsi" w:cstheme="majorHAnsi"/>
          <w:lang w:eastAsia="en-AU"/>
        </w:rPr>
        <w:t>. The department also operates the Green Vehicle Guide website</w:t>
      </w:r>
      <w:r w:rsidR="000616A0" w:rsidRPr="00CF39C8">
        <w:rPr>
          <w:rFonts w:asciiTheme="majorHAnsi" w:eastAsia="Times New Roman" w:hAnsiTheme="majorHAnsi" w:cstheme="majorHAnsi"/>
          <w:lang w:eastAsia="en-AU"/>
        </w:rPr>
        <w:t>,</w:t>
      </w:r>
      <w:r w:rsidR="00A675D5" w:rsidRPr="00CF39C8">
        <w:rPr>
          <w:rFonts w:asciiTheme="majorHAnsi" w:eastAsia="Times New Roman" w:hAnsiTheme="majorHAnsi" w:cstheme="majorHAnsi"/>
          <w:lang w:eastAsia="en-AU"/>
        </w:rPr>
        <w:t xml:space="preserve"> which provides consumers up to date information about CO</w:t>
      </w:r>
      <w:r w:rsidR="00A675D5" w:rsidRPr="00CF39C8">
        <w:rPr>
          <w:rFonts w:asciiTheme="majorHAnsi" w:eastAsia="Times New Roman" w:hAnsiTheme="majorHAnsi" w:cstheme="majorHAnsi"/>
          <w:vertAlign w:val="subscript"/>
          <w:lang w:eastAsia="en-AU"/>
        </w:rPr>
        <w:t>2</w:t>
      </w:r>
      <w:r w:rsidR="00A675D5" w:rsidRPr="00CF39C8">
        <w:rPr>
          <w:rFonts w:asciiTheme="majorHAnsi" w:eastAsia="Times New Roman" w:hAnsiTheme="majorHAnsi" w:cstheme="majorHAnsi"/>
          <w:lang w:eastAsia="en-AU"/>
        </w:rPr>
        <w:t xml:space="preserve"> emissions from new cars</w:t>
      </w:r>
      <w:r w:rsidR="0090414F" w:rsidRPr="00CF39C8">
        <w:rPr>
          <w:rFonts w:asciiTheme="majorHAnsi" w:eastAsia="Times New Roman" w:hAnsiTheme="majorHAnsi" w:cstheme="majorHAnsi"/>
          <w:lang w:eastAsia="en-AU"/>
        </w:rPr>
        <w:t xml:space="preserve">. The department’s established role as a regulator of light vehicles </w:t>
      </w:r>
      <w:r w:rsidR="00A675D5" w:rsidRPr="00CF39C8">
        <w:rPr>
          <w:rFonts w:asciiTheme="majorHAnsi" w:eastAsia="Times New Roman" w:hAnsiTheme="majorHAnsi" w:cstheme="majorHAnsi"/>
          <w:lang w:eastAsia="en-AU"/>
        </w:rPr>
        <w:t>demonstrates</w:t>
      </w:r>
      <w:r w:rsidRPr="00CF39C8">
        <w:rPr>
          <w:rFonts w:asciiTheme="majorHAnsi" w:eastAsia="Times New Roman" w:hAnsiTheme="majorHAnsi" w:cstheme="majorHAnsi"/>
          <w:lang w:eastAsia="en-AU"/>
        </w:rPr>
        <w:t xml:space="preserve"> the capacity</w:t>
      </w:r>
      <w:r w:rsidR="0090414F" w:rsidRPr="00CF39C8">
        <w:rPr>
          <w:rFonts w:asciiTheme="majorHAnsi" w:eastAsia="Times New Roman" w:hAnsiTheme="majorHAnsi" w:cstheme="majorHAnsi"/>
          <w:lang w:eastAsia="en-AU"/>
        </w:rPr>
        <w:t xml:space="preserve"> for Government to intervene successfully in regulating emissions from cars. </w:t>
      </w:r>
      <w:r w:rsidR="00F14BFD">
        <w:rPr>
          <w:rFonts w:asciiTheme="majorHAnsi" w:eastAsia="Times New Roman" w:hAnsiTheme="majorHAnsi" w:cstheme="majorHAnsi"/>
          <w:lang w:eastAsia="en-AU"/>
        </w:rPr>
        <w:t>Fuel efficiency standards</w:t>
      </w:r>
      <w:r w:rsidR="00A675D5" w:rsidRPr="00CF39C8">
        <w:rPr>
          <w:rFonts w:asciiTheme="majorHAnsi" w:eastAsia="Times New Roman" w:hAnsiTheme="majorHAnsi" w:cstheme="majorHAnsi"/>
          <w:lang w:eastAsia="en-AU"/>
        </w:rPr>
        <w:t xml:space="preserve"> are also in place around the world, including the EU, US, UK and New Zealand, and the department engages with counterparts around the world on </w:t>
      </w:r>
      <w:r w:rsidR="00FB5021" w:rsidRPr="00CF39C8">
        <w:rPr>
          <w:rFonts w:asciiTheme="majorHAnsi" w:eastAsia="Times New Roman" w:hAnsiTheme="majorHAnsi" w:cstheme="majorHAnsi"/>
          <w:lang w:eastAsia="en-AU"/>
        </w:rPr>
        <w:t>NVES</w:t>
      </w:r>
      <w:r w:rsidR="00A675D5" w:rsidRPr="00CF39C8">
        <w:rPr>
          <w:rFonts w:asciiTheme="majorHAnsi" w:eastAsia="Times New Roman" w:hAnsiTheme="majorHAnsi" w:cstheme="majorHAnsi"/>
          <w:lang w:eastAsia="en-AU"/>
        </w:rPr>
        <w:t xml:space="preserve"> policy design and implementation. </w:t>
      </w:r>
      <w:r w:rsidR="007F5061" w:rsidRPr="00CF39C8">
        <w:rPr>
          <w:rFonts w:asciiTheme="majorHAnsi" w:hAnsiTheme="majorHAnsi" w:cstheme="majorHAnsi"/>
        </w:rPr>
        <w:t>Work is underway to develop the relevant regulatory schema, and additional information</w:t>
      </w:r>
      <w:r w:rsidR="00E370E4" w:rsidRPr="00CF39C8">
        <w:rPr>
          <w:rFonts w:asciiTheme="majorHAnsi" w:hAnsiTheme="majorHAnsi" w:cstheme="majorHAnsi"/>
        </w:rPr>
        <w:t xml:space="preserve"> on this aspect</w:t>
      </w:r>
      <w:r w:rsidR="007F5061" w:rsidRPr="00CF39C8">
        <w:rPr>
          <w:rFonts w:asciiTheme="majorHAnsi" w:hAnsiTheme="majorHAnsi" w:cstheme="majorHAnsi"/>
        </w:rPr>
        <w:t xml:space="preserve"> is </w:t>
      </w:r>
      <w:r w:rsidR="007F5061" w:rsidRPr="007D66CF">
        <w:rPr>
          <w:rFonts w:asciiTheme="majorHAnsi" w:hAnsiTheme="majorHAnsi" w:cstheme="majorHAnsi"/>
        </w:rPr>
        <w:t xml:space="preserve">available in </w:t>
      </w:r>
      <w:r w:rsidR="000616A0" w:rsidRPr="007D66CF">
        <w:rPr>
          <w:rFonts w:asciiTheme="majorHAnsi" w:hAnsiTheme="majorHAnsi" w:cstheme="majorHAnsi"/>
        </w:rPr>
        <w:t>C</w:t>
      </w:r>
      <w:r w:rsidR="007F5061" w:rsidRPr="007D66CF">
        <w:rPr>
          <w:rFonts w:asciiTheme="majorHAnsi" w:hAnsiTheme="majorHAnsi" w:cstheme="majorHAnsi"/>
        </w:rPr>
        <w:t xml:space="preserve">hapter </w:t>
      </w:r>
      <w:r w:rsidR="00297FA5" w:rsidRPr="007D66CF">
        <w:rPr>
          <w:rFonts w:asciiTheme="majorHAnsi" w:hAnsiTheme="majorHAnsi" w:cstheme="majorHAnsi"/>
        </w:rPr>
        <w:t>7</w:t>
      </w:r>
      <w:r w:rsidR="007F5061" w:rsidRPr="007D66CF">
        <w:rPr>
          <w:rFonts w:asciiTheme="majorHAnsi" w:hAnsiTheme="majorHAnsi" w:cstheme="majorHAnsi"/>
        </w:rPr>
        <w:t>.</w:t>
      </w:r>
      <w:r w:rsidR="00C0620D" w:rsidRPr="00CF39C8">
        <w:rPr>
          <w:rFonts w:asciiTheme="majorHAnsi" w:hAnsiTheme="majorHAnsi" w:cstheme="majorHAnsi"/>
        </w:rPr>
        <w:t xml:space="preserve"> </w:t>
      </w:r>
    </w:p>
    <w:p w14:paraId="33987E01" w14:textId="77777777" w:rsidR="00AE3241" w:rsidRPr="00CF39C8" w:rsidRDefault="00D20A32" w:rsidP="00430317">
      <w:pPr>
        <w:pStyle w:val="Heading3"/>
        <w:numPr>
          <w:ilvl w:val="2"/>
          <w:numId w:val="32"/>
        </w:numPr>
        <w:rPr>
          <w:rFonts w:cstheme="majorHAnsi"/>
        </w:rPr>
      </w:pPr>
      <w:bookmarkStart w:id="144" w:name="_Toc161837652"/>
      <w:bookmarkStart w:id="145" w:name="_Toc161933150"/>
      <w:bookmarkStart w:id="146" w:name="_Toc162276457"/>
      <w:bookmarkStart w:id="147" w:name="_Toc163221053"/>
      <w:bookmarkStart w:id="148" w:name="_Hlk147221316"/>
      <w:bookmarkEnd w:id="143"/>
      <w:r w:rsidRPr="00CF39C8">
        <w:rPr>
          <w:rFonts w:cstheme="majorHAnsi"/>
        </w:rPr>
        <w:t xml:space="preserve">Success measures were established through the </w:t>
      </w:r>
      <w:r w:rsidRPr="00CF39C8">
        <w:rPr>
          <w:rFonts w:eastAsia="Arial" w:cstheme="majorHAnsi"/>
        </w:rPr>
        <w:t xml:space="preserve">Cleaner Cars </w:t>
      </w:r>
      <w:r w:rsidR="00C23E94" w:rsidRPr="00CF39C8">
        <w:rPr>
          <w:rFonts w:eastAsia="Arial" w:cstheme="majorHAnsi"/>
        </w:rPr>
        <w:t>c</w:t>
      </w:r>
      <w:r w:rsidRPr="00CF39C8">
        <w:rPr>
          <w:rFonts w:eastAsia="Arial" w:cstheme="majorHAnsi"/>
        </w:rPr>
        <w:t xml:space="preserve">onsultation </w:t>
      </w:r>
      <w:r w:rsidR="00C23E94" w:rsidRPr="00CF39C8">
        <w:rPr>
          <w:rFonts w:eastAsia="Arial" w:cstheme="majorHAnsi"/>
        </w:rPr>
        <w:t>p</w:t>
      </w:r>
      <w:r w:rsidRPr="00CF39C8">
        <w:rPr>
          <w:rFonts w:eastAsia="Arial" w:cstheme="majorHAnsi"/>
        </w:rPr>
        <w:t>aper</w:t>
      </w:r>
      <w:r w:rsidR="00BF054B">
        <w:rPr>
          <w:rFonts w:eastAsia="Arial" w:cstheme="majorHAnsi"/>
        </w:rPr>
        <w:t xml:space="preserve"> and consulted on again</w:t>
      </w:r>
      <w:bookmarkEnd w:id="144"/>
      <w:bookmarkEnd w:id="145"/>
      <w:bookmarkEnd w:id="146"/>
      <w:bookmarkEnd w:id="147"/>
      <w:r w:rsidR="00BF054B">
        <w:rPr>
          <w:rFonts w:eastAsia="Arial" w:cstheme="majorHAnsi"/>
        </w:rPr>
        <w:t xml:space="preserve"> </w:t>
      </w:r>
    </w:p>
    <w:p w14:paraId="7C26C620" w14:textId="77777777" w:rsidR="00CA48ED" w:rsidRPr="00CF39C8" w:rsidRDefault="00CA48ED" w:rsidP="00692287">
      <w:pPr>
        <w:rPr>
          <w:rFonts w:asciiTheme="majorHAnsi" w:hAnsiTheme="majorHAnsi" w:cstheme="majorHAnsi"/>
        </w:rPr>
      </w:pPr>
      <w:bookmarkStart w:id="149" w:name="_Hlk146720769"/>
      <w:bookmarkEnd w:id="142"/>
      <w:bookmarkEnd w:id="148"/>
      <w:r w:rsidRPr="00CF39C8">
        <w:rPr>
          <w:rFonts w:asciiTheme="majorHAnsi" w:hAnsiTheme="majorHAnsi" w:cstheme="majorHAnsi"/>
        </w:rPr>
        <w:t xml:space="preserve">As outlined in </w:t>
      </w:r>
      <w:r w:rsidR="005B79E5" w:rsidRPr="007D66CF">
        <w:rPr>
          <w:rFonts w:asciiTheme="majorHAnsi" w:hAnsiTheme="majorHAnsi" w:cstheme="majorHAnsi"/>
        </w:rPr>
        <w:t>C</w:t>
      </w:r>
      <w:r w:rsidRPr="007D66CF">
        <w:rPr>
          <w:rFonts w:asciiTheme="majorHAnsi" w:hAnsiTheme="majorHAnsi" w:cstheme="majorHAnsi"/>
        </w:rPr>
        <w:t>hapter 2, t</w:t>
      </w:r>
      <w:r w:rsidR="00AE3241" w:rsidRPr="007D66CF">
        <w:rPr>
          <w:rFonts w:asciiTheme="majorHAnsi" w:hAnsiTheme="majorHAnsi" w:cstheme="majorHAnsi"/>
        </w:rPr>
        <w:t>he</w:t>
      </w:r>
      <w:r w:rsidR="00AE3241" w:rsidRPr="00CF39C8">
        <w:rPr>
          <w:rFonts w:asciiTheme="majorHAnsi" w:hAnsiTheme="majorHAnsi" w:cstheme="majorHAnsi"/>
        </w:rPr>
        <w:t xml:space="preserve"> Government </w:t>
      </w:r>
      <w:r w:rsidR="00C16169" w:rsidRPr="00CF39C8">
        <w:rPr>
          <w:rFonts w:asciiTheme="majorHAnsi" w:hAnsiTheme="majorHAnsi" w:cstheme="majorHAnsi"/>
        </w:rPr>
        <w:t xml:space="preserve">is acting to </w:t>
      </w:r>
      <w:bookmarkStart w:id="150" w:name="_Hlk147136573"/>
      <w:r w:rsidRPr="00CF39C8">
        <w:rPr>
          <w:rFonts w:asciiTheme="majorHAnsi" w:hAnsiTheme="majorHAnsi" w:cstheme="majorHAnsi"/>
        </w:rPr>
        <w:t>r</w:t>
      </w:r>
      <w:r w:rsidR="00AE3241" w:rsidRPr="00CF39C8">
        <w:rPr>
          <w:rFonts w:asciiTheme="majorHAnsi" w:hAnsiTheme="majorHAnsi" w:cstheme="majorHAnsi"/>
        </w:rPr>
        <w:t>educ</w:t>
      </w:r>
      <w:r w:rsidRPr="00CF39C8">
        <w:rPr>
          <w:rFonts w:asciiTheme="majorHAnsi" w:hAnsiTheme="majorHAnsi" w:cstheme="majorHAnsi"/>
        </w:rPr>
        <w:t xml:space="preserve">e </w:t>
      </w:r>
      <w:r w:rsidR="00AE3241" w:rsidRPr="00CF39C8">
        <w:rPr>
          <w:rFonts w:asciiTheme="majorHAnsi" w:hAnsiTheme="majorHAnsi" w:cstheme="majorHAnsi"/>
        </w:rPr>
        <w:t>CO</w:t>
      </w:r>
      <w:r w:rsidR="00AE3241" w:rsidRPr="00CF39C8">
        <w:rPr>
          <w:rFonts w:asciiTheme="majorHAnsi" w:hAnsiTheme="majorHAnsi" w:cstheme="majorHAnsi"/>
          <w:vertAlign w:val="subscript"/>
        </w:rPr>
        <w:t>2</w:t>
      </w:r>
      <w:r w:rsidR="00AE3241" w:rsidRPr="00CF39C8">
        <w:rPr>
          <w:rFonts w:asciiTheme="majorHAnsi" w:hAnsiTheme="majorHAnsi" w:cstheme="majorHAnsi"/>
        </w:rPr>
        <w:t xml:space="preserve"> emissions</w:t>
      </w:r>
      <w:r w:rsidRPr="00CF39C8">
        <w:rPr>
          <w:rFonts w:asciiTheme="majorHAnsi" w:hAnsiTheme="majorHAnsi" w:cstheme="majorHAnsi"/>
        </w:rPr>
        <w:t xml:space="preserve"> from new cars</w:t>
      </w:r>
      <w:r w:rsidR="00C16169" w:rsidRPr="00CF39C8">
        <w:rPr>
          <w:rFonts w:asciiTheme="majorHAnsi" w:hAnsiTheme="majorHAnsi" w:cstheme="majorHAnsi"/>
        </w:rPr>
        <w:t>, save Australians money on fuel and stimulate the supply of more efficient vehicles into the Australian market</w:t>
      </w:r>
      <w:r w:rsidR="007D36B7">
        <w:rPr>
          <w:rFonts w:asciiTheme="majorHAnsi" w:hAnsiTheme="majorHAnsi" w:cstheme="majorHAnsi"/>
        </w:rPr>
        <w:t xml:space="preserve"> to increase consumer choice and maintain the vibrancy of the Australian car market</w:t>
      </w:r>
      <w:r w:rsidRPr="00CF39C8">
        <w:rPr>
          <w:rFonts w:asciiTheme="majorHAnsi" w:hAnsiTheme="majorHAnsi" w:cstheme="majorHAnsi"/>
        </w:rPr>
        <w:t>.</w:t>
      </w:r>
      <w:r w:rsidR="00D20A32" w:rsidRPr="00CF39C8">
        <w:rPr>
          <w:rFonts w:asciiTheme="majorHAnsi" w:hAnsiTheme="majorHAnsi" w:cstheme="majorHAnsi"/>
        </w:rPr>
        <w:t xml:space="preserve"> </w:t>
      </w:r>
      <w:bookmarkEnd w:id="150"/>
      <w:r w:rsidRPr="00CF39C8">
        <w:rPr>
          <w:rFonts w:asciiTheme="majorHAnsi" w:eastAsia="Arial" w:hAnsiTheme="majorHAnsi" w:cstheme="majorHAnsi"/>
        </w:rPr>
        <w:t xml:space="preserve">In the Cleaner Cars </w:t>
      </w:r>
      <w:r w:rsidR="00C23E94" w:rsidRPr="00CF39C8">
        <w:rPr>
          <w:rFonts w:asciiTheme="majorHAnsi" w:eastAsia="Arial" w:hAnsiTheme="majorHAnsi" w:cstheme="majorHAnsi"/>
        </w:rPr>
        <w:t>c</w:t>
      </w:r>
      <w:r w:rsidRPr="00CF39C8">
        <w:rPr>
          <w:rFonts w:asciiTheme="majorHAnsi" w:eastAsia="Arial" w:hAnsiTheme="majorHAnsi" w:cstheme="majorHAnsi"/>
        </w:rPr>
        <w:t xml:space="preserve">onsultation </w:t>
      </w:r>
      <w:r w:rsidR="00C23E94" w:rsidRPr="00CF39C8">
        <w:rPr>
          <w:rFonts w:asciiTheme="majorHAnsi" w:eastAsia="Arial" w:hAnsiTheme="majorHAnsi" w:cstheme="majorHAnsi"/>
        </w:rPr>
        <w:t>p</w:t>
      </w:r>
      <w:r w:rsidRPr="00CF39C8">
        <w:rPr>
          <w:rFonts w:asciiTheme="majorHAnsi" w:eastAsia="Arial" w:hAnsiTheme="majorHAnsi" w:cstheme="majorHAnsi"/>
        </w:rPr>
        <w:t>aper</w:t>
      </w:r>
      <w:r w:rsidR="00406FBB">
        <w:rPr>
          <w:rFonts w:asciiTheme="majorHAnsi" w:eastAsia="Arial" w:hAnsiTheme="majorHAnsi" w:cstheme="majorHAnsi"/>
        </w:rPr>
        <w:t xml:space="preserve"> (April 2023)</w:t>
      </w:r>
      <w:r w:rsidR="00D03595" w:rsidRPr="00CF39C8">
        <w:rPr>
          <w:rFonts w:asciiTheme="majorHAnsi" w:eastAsia="Arial" w:hAnsiTheme="majorHAnsi" w:cstheme="majorHAnsi"/>
        </w:rPr>
        <w:t>,</w:t>
      </w:r>
      <w:r w:rsidRPr="00CF39C8">
        <w:rPr>
          <w:rFonts w:asciiTheme="majorHAnsi" w:eastAsia="Arial" w:hAnsiTheme="majorHAnsi" w:cstheme="majorHAnsi"/>
        </w:rPr>
        <w:t xml:space="preserve"> we set out a range of principles, and sought feedback on those principles. We propose, along with standard </w:t>
      </w:r>
      <w:r w:rsidR="005B79E5" w:rsidRPr="00CF39C8">
        <w:rPr>
          <w:rFonts w:asciiTheme="majorHAnsi" w:eastAsia="Arial" w:hAnsiTheme="majorHAnsi" w:cstheme="majorHAnsi"/>
        </w:rPr>
        <w:t>c</w:t>
      </w:r>
      <w:r w:rsidRPr="00CF39C8">
        <w:rPr>
          <w:rFonts w:asciiTheme="majorHAnsi" w:eastAsia="Arial" w:hAnsiTheme="majorHAnsi" w:cstheme="majorHAnsi"/>
        </w:rPr>
        <w:t xml:space="preserve">ost </w:t>
      </w:r>
      <w:r w:rsidR="005B79E5" w:rsidRPr="00CF39C8">
        <w:rPr>
          <w:rFonts w:asciiTheme="majorHAnsi" w:eastAsia="Arial" w:hAnsiTheme="majorHAnsi" w:cstheme="majorHAnsi"/>
        </w:rPr>
        <w:t>b</w:t>
      </w:r>
      <w:r w:rsidRPr="00CF39C8">
        <w:rPr>
          <w:rFonts w:asciiTheme="majorHAnsi" w:eastAsia="Arial" w:hAnsiTheme="majorHAnsi" w:cstheme="majorHAnsi"/>
        </w:rPr>
        <w:t xml:space="preserve">enefit </w:t>
      </w:r>
      <w:r w:rsidR="005B79E5" w:rsidRPr="00CF39C8">
        <w:rPr>
          <w:rFonts w:asciiTheme="majorHAnsi" w:eastAsia="Arial" w:hAnsiTheme="majorHAnsi" w:cstheme="majorHAnsi"/>
        </w:rPr>
        <w:t>a</w:t>
      </w:r>
      <w:r w:rsidRPr="00CF39C8">
        <w:rPr>
          <w:rFonts w:asciiTheme="majorHAnsi" w:eastAsia="Arial" w:hAnsiTheme="majorHAnsi" w:cstheme="majorHAnsi"/>
        </w:rPr>
        <w:t xml:space="preserve">nalysis outputs, to use those principles to assist us in assessing the merits, or otherwise, of the proposed option. </w:t>
      </w:r>
      <w:r w:rsidRPr="00CF39C8">
        <w:rPr>
          <w:rFonts w:asciiTheme="majorHAnsi" w:hAnsiTheme="majorHAnsi" w:cstheme="majorHAnsi"/>
        </w:rPr>
        <w:t xml:space="preserve">An outline of those principles, and how we measure success against those measures is set out </w:t>
      </w:r>
      <w:r w:rsidRPr="007D66CF">
        <w:rPr>
          <w:rFonts w:asciiTheme="majorHAnsi" w:hAnsiTheme="majorHAnsi" w:cstheme="majorHAnsi"/>
        </w:rPr>
        <w:t xml:space="preserve">in </w:t>
      </w:r>
      <w:r w:rsidR="00550235" w:rsidRPr="007D66CF">
        <w:rPr>
          <w:rFonts w:asciiTheme="majorHAnsi" w:hAnsiTheme="majorHAnsi" w:cstheme="majorHAnsi"/>
        </w:rPr>
        <w:t xml:space="preserve">Table </w:t>
      </w:r>
      <w:r w:rsidR="007D66CF" w:rsidRPr="007D66CF">
        <w:rPr>
          <w:rFonts w:asciiTheme="majorHAnsi" w:hAnsiTheme="majorHAnsi" w:cstheme="majorHAnsi"/>
        </w:rPr>
        <w:t>1</w:t>
      </w:r>
      <w:r w:rsidR="003B139A" w:rsidRPr="007D66CF">
        <w:rPr>
          <w:rFonts w:asciiTheme="majorHAnsi" w:hAnsiTheme="majorHAnsi" w:cstheme="majorHAnsi"/>
        </w:rPr>
        <w:t xml:space="preserve"> b</w:t>
      </w:r>
      <w:r w:rsidRPr="007D66CF">
        <w:rPr>
          <w:rFonts w:asciiTheme="majorHAnsi" w:hAnsiTheme="majorHAnsi" w:cstheme="majorHAnsi"/>
        </w:rPr>
        <w:t>elow</w:t>
      </w:r>
      <w:r w:rsidRPr="00CF39C8">
        <w:rPr>
          <w:rFonts w:asciiTheme="majorHAnsi" w:hAnsiTheme="majorHAnsi" w:cstheme="majorHAnsi"/>
        </w:rPr>
        <w:t xml:space="preserve">.  </w:t>
      </w:r>
    </w:p>
    <w:p w14:paraId="768BAAB0" w14:textId="77777777" w:rsidR="00C16169" w:rsidRPr="00CF39C8" w:rsidRDefault="00C16169" w:rsidP="00692287">
      <w:pPr>
        <w:rPr>
          <w:rFonts w:asciiTheme="majorHAnsi" w:hAnsiTheme="majorHAnsi" w:cstheme="majorHAnsi"/>
        </w:rPr>
      </w:pPr>
    </w:p>
    <w:p w14:paraId="672025E2" w14:textId="77777777" w:rsidR="00C16169" w:rsidRPr="00CF39C8" w:rsidRDefault="00C16169" w:rsidP="00692287">
      <w:pPr>
        <w:rPr>
          <w:rFonts w:asciiTheme="majorHAnsi" w:hAnsiTheme="majorHAnsi" w:cstheme="majorHAnsi"/>
        </w:rPr>
        <w:sectPr w:rsidR="00C16169" w:rsidRPr="00CF39C8" w:rsidSect="00784214">
          <w:pgSz w:w="11906" w:h="16838" w:code="9"/>
          <w:pgMar w:top="1021" w:right="1133" w:bottom="709" w:left="1276" w:header="510" w:footer="567" w:gutter="0"/>
          <w:cols w:space="708"/>
          <w:docGrid w:linePitch="360"/>
        </w:sectPr>
      </w:pPr>
    </w:p>
    <w:tbl>
      <w:tblPr>
        <w:tblStyle w:val="TableGrid"/>
        <w:tblW w:w="1487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inciples against which the Government’s option is assessed"/>
      </w:tblPr>
      <w:tblGrid>
        <w:gridCol w:w="6941"/>
        <w:gridCol w:w="7938"/>
      </w:tblGrid>
      <w:tr w:rsidR="00A91F21" w:rsidRPr="00CF39C8" w14:paraId="5B541A55" w14:textId="77777777" w:rsidTr="00336E40">
        <w:tc>
          <w:tcPr>
            <w:tcW w:w="6941" w:type="dxa"/>
            <w:shd w:val="clear" w:color="auto" w:fill="417A84" w:themeFill="accent5" w:themeFillShade="BF"/>
          </w:tcPr>
          <w:p w14:paraId="575A4A5C" w14:textId="77777777" w:rsidR="00A91F21" w:rsidRPr="00CF39C8" w:rsidRDefault="00E95AA3" w:rsidP="001057D5">
            <w:pPr>
              <w:rPr>
                <w:rFonts w:asciiTheme="majorHAnsi" w:hAnsiTheme="majorHAnsi" w:cstheme="majorHAnsi"/>
                <w:b/>
                <w:color w:val="FFFFFF" w:themeColor="background1"/>
              </w:rPr>
            </w:pPr>
            <w:bookmarkStart w:id="151" w:name="_Hlk155172762"/>
            <w:r w:rsidRPr="00CF39C8">
              <w:rPr>
                <w:rFonts w:asciiTheme="majorHAnsi" w:hAnsiTheme="majorHAnsi" w:cstheme="majorHAnsi"/>
                <w:b/>
                <w:color w:val="FFFFFF" w:themeColor="background1"/>
              </w:rPr>
              <w:t xml:space="preserve">Guiding </w:t>
            </w:r>
            <w:r w:rsidR="00A91F21" w:rsidRPr="00CF39C8">
              <w:rPr>
                <w:rFonts w:asciiTheme="majorHAnsi" w:hAnsiTheme="majorHAnsi" w:cstheme="majorHAnsi"/>
                <w:b/>
                <w:color w:val="FFFFFF" w:themeColor="background1"/>
              </w:rPr>
              <w:t>Principle</w:t>
            </w:r>
          </w:p>
        </w:tc>
        <w:tc>
          <w:tcPr>
            <w:tcW w:w="7938" w:type="dxa"/>
            <w:shd w:val="clear" w:color="auto" w:fill="417A84" w:themeFill="accent5" w:themeFillShade="BF"/>
          </w:tcPr>
          <w:p w14:paraId="3DE37D8B" w14:textId="77777777" w:rsidR="00A91F21" w:rsidRPr="00CF39C8" w:rsidRDefault="00E95AA3" w:rsidP="001057D5">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Guiding Principle </w:t>
            </w:r>
            <w:r w:rsidR="002C09A2" w:rsidRPr="00CF39C8">
              <w:rPr>
                <w:rFonts w:asciiTheme="majorHAnsi" w:hAnsiTheme="majorHAnsi" w:cstheme="majorHAnsi"/>
                <w:b/>
                <w:color w:val="FFFFFF" w:themeColor="background1"/>
              </w:rPr>
              <w:t>s</w:t>
            </w:r>
            <w:r w:rsidR="00A91F21" w:rsidRPr="00CF39C8">
              <w:rPr>
                <w:rFonts w:asciiTheme="majorHAnsi" w:hAnsiTheme="majorHAnsi" w:cstheme="majorHAnsi"/>
                <w:b/>
                <w:color w:val="FFFFFF" w:themeColor="background1"/>
              </w:rPr>
              <w:t>uccess measure</w:t>
            </w:r>
          </w:p>
        </w:tc>
      </w:tr>
      <w:tr w:rsidR="00A91F21" w:rsidRPr="00CF39C8" w14:paraId="18DB6865" w14:textId="77777777" w:rsidTr="00336E40">
        <w:tc>
          <w:tcPr>
            <w:tcW w:w="6941" w:type="dxa"/>
          </w:tcPr>
          <w:p w14:paraId="44830ABE"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Effective:</w:t>
            </w:r>
            <w:r w:rsidRPr="00CF39C8">
              <w:rPr>
                <w:rFonts w:asciiTheme="majorHAnsi" w:hAnsiTheme="majorHAnsi" w:cstheme="majorHAnsi"/>
              </w:rPr>
              <w:t xml:space="preserve"> Effective in reducing CO</w:t>
            </w:r>
            <w:r w:rsidRPr="00CF39C8">
              <w:rPr>
                <w:rFonts w:asciiTheme="majorHAnsi" w:hAnsiTheme="majorHAnsi" w:cstheme="majorHAnsi"/>
                <w:vertAlign w:val="subscript"/>
              </w:rPr>
              <w:t>2</w:t>
            </w:r>
            <w:r w:rsidRPr="00CF39C8">
              <w:rPr>
                <w:rFonts w:asciiTheme="majorHAnsi" w:hAnsiTheme="majorHAnsi" w:cstheme="majorHAnsi"/>
              </w:rPr>
              <w:t xml:space="preserve"> transport emissions from new cars. </w:t>
            </w:r>
          </w:p>
        </w:tc>
        <w:tc>
          <w:tcPr>
            <w:tcW w:w="7938" w:type="dxa"/>
          </w:tcPr>
          <w:p w14:paraId="723FE905" w14:textId="77777777" w:rsidR="00A91F21" w:rsidRPr="00CF39C8" w:rsidRDefault="00A91F21" w:rsidP="00D20A32">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The per</w:t>
            </w:r>
            <w:r w:rsidR="009242A6" w:rsidRPr="00CF39C8">
              <w:rPr>
                <w:rFonts w:asciiTheme="majorHAnsi" w:eastAsia="Times New Roman" w:hAnsiTheme="majorHAnsi" w:cstheme="majorHAnsi"/>
                <w:lang w:eastAsia="en-AU"/>
              </w:rPr>
              <w:t>centage</w:t>
            </w:r>
            <w:r w:rsidRPr="00CF39C8">
              <w:rPr>
                <w:rFonts w:asciiTheme="majorHAnsi" w:eastAsia="Times New Roman" w:hAnsiTheme="majorHAnsi" w:cstheme="majorHAnsi"/>
                <w:lang w:eastAsia="en-AU"/>
              </w:rPr>
              <w:t xml:space="preserve"> reduction in average CO</w:t>
            </w:r>
            <w:r w:rsidRPr="00CF39C8">
              <w:rPr>
                <w:rFonts w:asciiTheme="majorHAnsi" w:eastAsia="Times New Roman" w:hAnsiTheme="majorHAnsi" w:cstheme="majorHAnsi"/>
                <w:vertAlign w:val="subscript"/>
                <w:lang w:eastAsia="en-AU"/>
              </w:rPr>
              <w:t>2</w:t>
            </w:r>
            <w:r w:rsidRPr="00CF39C8">
              <w:rPr>
                <w:rFonts w:asciiTheme="majorHAnsi" w:eastAsia="Times New Roman" w:hAnsiTheme="majorHAnsi" w:cstheme="majorHAnsi"/>
                <w:lang w:eastAsia="en-AU"/>
              </w:rPr>
              <w:t xml:space="preserve"> emissions</w:t>
            </w:r>
            <w:r w:rsidR="00243E86" w:rsidRPr="00CF39C8">
              <w:rPr>
                <w:rFonts w:asciiTheme="majorHAnsi" w:eastAsia="Times New Roman" w:hAnsiTheme="majorHAnsi" w:cstheme="majorHAnsi"/>
                <w:lang w:eastAsia="en-AU"/>
              </w:rPr>
              <w:t xml:space="preserve"> and fuel costs</w:t>
            </w:r>
            <w:r w:rsidRPr="00CF39C8">
              <w:rPr>
                <w:rFonts w:asciiTheme="majorHAnsi" w:eastAsia="Times New Roman" w:hAnsiTheme="majorHAnsi" w:cstheme="majorHAnsi"/>
                <w:lang w:eastAsia="en-AU"/>
              </w:rPr>
              <w:t xml:space="preserve"> from Australia's new cars, out to 2050.</w:t>
            </w:r>
          </w:p>
        </w:tc>
      </w:tr>
      <w:tr w:rsidR="00A91F21" w:rsidRPr="00CF39C8" w14:paraId="4CEB35D2" w14:textId="77777777" w:rsidTr="005F7E24">
        <w:trPr>
          <w:trHeight w:val="747"/>
        </w:trPr>
        <w:tc>
          <w:tcPr>
            <w:tcW w:w="6941" w:type="dxa"/>
          </w:tcPr>
          <w:p w14:paraId="34409CAB"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Equitable:</w:t>
            </w:r>
            <w:r w:rsidRPr="00CF39C8">
              <w:rPr>
                <w:rFonts w:asciiTheme="majorHAnsi" w:hAnsiTheme="majorHAnsi" w:cstheme="majorHAnsi"/>
              </w:rPr>
              <w:t xml:space="preserve"> All Australians can access the vehicles they need for work and leisure. Intervention needs to be equitable, and not unduly negatively impact any particular group of people or part of Australia.</w:t>
            </w:r>
          </w:p>
        </w:tc>
        <w:tc>
          <w:tcPr>
            <w:tcW w:w="7938" w:type="dxa"/>
          </w:tcPr>
          <w:p w14:paraId="2DC72BE2" w14:textId="77777777" w:rsidR="00A91F21" w:rsidRPr="00CF39C8" w:rsidRDefault="00A91F21"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A design which does not disadvantage small or affordable vehicles</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to protect the continued supply of these vehicles to the Australian market. Ensure that people generally</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and specific cohorts</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have access to fuel-efficient vehicles. </w:t>
            </w:r>
          </w:p>
        </w:tc>
      </w:tr>
      <w:tr w:rsidR="00A91F21" w:rsidRPr="00CF39C8" w14:paraId="7592BCC2" w14:textId="77777777" w:rsidTr="00336E40">
        <w:tc>
          <w:tcPr>
            <w:tcW w:w="6941" w:type="dxa"/>
          </w:tcPr>
          <w:p w14:paraId="767CA662" w14:textId="77777777" w:rsidR="00A91F21" w:rsidRPr="00CF39C8" w:rsidRDefault="00A91F21" w:rsidP="001057D5">
            <w:pPr>
              <w:rPr>
                <w:rFonts w:asciiTheme="majorHAnsi" w:hAnsiTheme="majorHAnsi" w:cstheme="majorHAnsi"/>
              </w:rPr>
            </w:pPr>
            <w:r w:rsidRPr="00CF39C8">
              <w:rPr>
                <w:rFonts w:asciiTheme="majorHAnsi" w:eastAsia="Calibri" w:hAnsiTheme="majorHAnsi" w:cstheme="majorHAnsi"/>
                <w:b/>
              </w:rPr>
              <w:t>Simple and transparent:</w:t>
            </w:r>
            <w:r w:rsidRPr="00CF39C8">
              <w:rPr>
                <w:rFonts w:asciiTheme="majorHAnsi" w:eastAsia="Calibri" w:hAnsiTheme="majorHAnsi" w:cstheme="majorHAnsi"/>
              </w:rPr>
              <w:t xml:space="preserve"> Intervention emphasises simplicity and transparency in design and operation. </w:t>
            </w:r>
          </w:p>
        </w:tc>
        <w:tc>
          <w:tcPr>
            <w:tcW w:w="7938" w:type="dxa"/>
          </w:tcPr>
          <w:p w14:paraId="2707E96D" w14:textId="77777777" w:rsidR="00A91F21" w:rsidRPr="00CF39C8" w:rsidRDefault="00A91F21"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 xml:space="preserve">Design and implement a process which leverages existing regulatory frameworks and touch points with Government, while providing accessible information to both consumers and industry stakeholders. </w:t>
            </w:r>
            <w:r w:rsidR="00AD00D7" w:rsidRPr="00CF39C8">
              <w:rPr>
                <w:rFonts w:asciiTheme="majorHAnsi" w:eastAsia="Times New Roman" w:hAnsiTheme="majorHAnsi" w:cstheme="majorHAnsi"/>
                <w:lang w:eastAsia="en-AU"/>
              </w:rPr>
              <w:t xml:space="preserve">A streamlined </w:t>
            </w:r>
            <w:r w:rsidR="00D612C1" w:rsidRPr="00CF39C8">
              <w:rPr>
                <w:rFonts w:asciiTheme="majorHAnsi" w:hAnsiTheme="majorHAnsi" w:cstheme="majorHAnsi"/>
              </w:rPr>
              <w:t>NVES</w:t>
            </w:r>
            <w:r w:rsidR="00D612C1" w:rsidRPr="00CF39C8">
              <w:rPr>
                <w:rFonts w:asciiTheme="majorHAnsi" w:eastAsia="Times New Roman" w:hAnsiTheme="majorHAnsi" w:cstheme="majorHAnsi"/>
                <w:lang w:eastAsia="en-AU"/>
              </w:rPr>
              <w:t xml:space="preserve"> </w:t>
            </w:r>
            <w:r w:rsidR="00AD00D7" w:rsidRPr="00CF39C8">
              <w:rPr>
                <w:rFonts w:asciiTheme="majorHAnsi" w:eastAsia="Times New Roman" w:hAnsiTheme="majorHAnsi" w:cstheme="majorHAnsi"/>
                <w:lang w:eastAsia="en-AU"/>
              </w:rPr>
              <w:t>design which avoids design features which add complexity, increase administrative complexity, and reduce transparency.</w:t>
            </w:r>
          </w:p>
        </w:tc>
      </w:tr>
      <w:tr w:rsidR="00A91F21" w:rsidRPr="00CF39C8" w14:paraId="1E25A175" w14:textId="77777777" w:rsidTr="00336E40">
        <w:tc>
          <w:tcPr>
            <w:tcW w:w="6941" w:type="dxa"/>
          </w:tcPr>
          <w:p w14:paraId="1960473B"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Credible and robust:</w:t>
            </w:r>
            <w:r w:rsidR="00CF2D53" w:rsidRPr="00CF39C8">
              <w:rPr>
                <w:rFonts w:asciiTheme="majorHAnsi" w:hAnsiTheme="majorHAnsi" w:cstheme="majorHAnsi"/>
              </w:rPr>
              <w:t xml:space="preserve"> </w:t>
            </w:r>
            <w:r w:rsidRPr="00CF39C8">
              <w:rPr>
                <w:rFonts w:asciiTheme="majorHAnsi" w:hAnsiTheme="majorHAnsi" w:cstheme="majorHAnsi"/>
              </w:rPr>
              <w:t>Intervention should be designed with the latest and best analysis available, drawing on the expertise of industry, the environmental community, academia and others.</w:t>
            </w:r>
          </w:p>
        </w:tc>
        <w:tc>
          <w:tcPr>
            <w:tcW w:w="7938" w:type="dxa"/>
          </w:tcPr>
          <w:p w14:paraId="1D995384" w14:textId="77777777" w:rsidR="00A91F21" w:rsidRPr="00CF39C8" w:rsidRDefault="0099356C"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 xml:space="preserve">Analysis is of a high quality, and is accepted by the Office of Impact Analysis. Consultation is broad and includes all key stakeholders. Ongoing opportunity for stakeholders to provide feedback on operational matters, and ability to influence policy settings through reviews. </w:t>
            </w:r>
            <w:r w:rsidR="00A91F21" w:rsidRPr="00CF39C8">
              <w:rPr>
                <w:rFonts w:asciiTheme="majorHAnsi" w:eastAsia="Times New Roman" w:hAnsiTheme="majorHAnsi" w:cstheme="majorHAnsi"/>
                <w:lang w:eastAsia="en-AU"/>
              </w:rPr>
              <w:t> </w:t>
            </w:r>
          </w:p>
        </w:tc>
      </w:tr>
      <w:tr w:rsidR="00A91F21" w:rsidRPr="00CF39C8" w14:paraId="3199451D" w14:textId="77777777" w:rsidTr="00336E40">
        <w:tc>
          <w:tcPr>
            <w:tcW w:w="6941" w:type="dxa"/>
          </w:tcPr>
          <w:p w14:paraId="24AFC951"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Enabling:</w:t>
            </w:r>
            <w:r w:rsidRPr="00CF39C8">
              <w:rPr>
                <w:rFonts w:asciiTheme="majorHAnsi" w:hAnsiTheme="majorHAnsi" w:cstheme="majorHAnsi"/>
              </w:rPr>
              <w:t xml:space="preserve"> Vehicles with the best emissions and safety technology to be available to Australians. Avoid increasing the average age of vehicles in the fleet so there are no inadvertent safety impacts.</w:t>
            </w:r>
          </w:p>
        </w:tc>
        <w:tc>
          <w:tcPr>
            <w:tcW w:w="7938" w:type="dxa"/>
          </w:tcPr>
          <w:p w14:paraId="06CAEAAB" w14:textId="77777777" w:rsidR="00A91F21" w:rsidRPr="00CF39C8" w:rsidRDefault="0099356C" w:rsidP="00887987">
            <w:pPr>
              <w:keepNext/>
              <w:spacing w:line="240" w:lineRule="auto"/>
              <w:textAlignment w:val="baseline"/>
              <w:rPr>
                <w:rFonts w:asciiTheme="majorHAnsi" w:eastAsia="Times New Roman" w:hAnsiTheme="majorHAnsi" w:cstheme="majorHAnsi"/>
                <w:lang w:eastAsia="en-AU"/>
              </w:rPr>
            </w:pPr>
            <w:r w:rsidRPr="00CF39C8">
              <w:rPr>
                <w:rFonts w:asciiTheme="majorHAnsi" w:eastAsia="Times New Roman" w:hAnsiTheme="majorHAnsi" w:cstheme="majorHAnsi"/>
                <w:lang w:eastAsia="en-AU"/>
              </w:rPr>
              <w:t>Consider scrappage rates, and whether the average age of the car</w:t>
            </w:r>
            <w:r w:rsidR="00004F6A" w:rsidRPr="00CF39C8">
              <w:rPr>
                <w:rFonts w:asciiTheme="majorHAnsi" w:eastAsia="Times New Roman" w:hAnsiTheme="majorHAnsi" w:cstheme="majorHAnsi"/>
                <w:lang w:eastAsia="en-AU"/>
              </w:rPr>
              <w:t xml:space="preserve"> </w:t>
            </w:r>
            <w:r w:rsidRPr="00CF39C8">
              <w:rPr>
                <w:rFonts w:asciiTheme="majorHAnsi" w:eastAsia="Times New Roman" w:hAnsiTheme="majorHAnsi" w:cstheme="majorHAnsi"/>
                <w:lang w:eastAsia="en-AU"/>
              </w:rPr>
              <w:t>par</w:t>
            </w:r>
            <w:r w:rsidR="00FE3778" w:rsidRPr="00CF39C8">
              <w:rPr>
                <w:rFonts w:asciiTheme="majorHAnsi" w:eastAsia="Times New Roman" w:hAnsiTheme="majorHAnsi" w:cstheme="majorHAnsi"/>
                <w:lang w:eastAsia="en-AU"/>
              </w:rPr>
              <w:t>c</w:t>
            </w:r>
            <w:r w:rsidR="00E370E4" w:rsidRPr="00CF39C8">
              <w:rPr>
                <w:rStyle w:val="FootnoteReference"/>
                <w:rFonts w:asciiTheme="majorHAnsi" w:eastAsia="Times New Roman" w:hAnsiTheme="majorHAnsi" w:cstheme="majorHAnsi"/>
                <w:lang w:eastAsia="en-AU"/>
              </w:rPr>
              <w:footnoteReference w:id="10"/>
            </w:r>
            <w:r w:rsidRPr="00CF39C8">
              <w:rPr>
                <w:rFonts w:asciiTheme="majorHAnsi" w:eastAsia="Times New Roman" w:hAnsiTheme="majorHAnsi" w:cstheme="majorHAnsi"/>
                <w:lang w:eastAsia="en-AU"/>
              </w:rPr>
              <w:t xml:space="preserve"> </w:t>
            </w:r>
            <w:r w:rsidR="002E500E" w:rsidRPr="00CF39C8">
              <w:rPr>
                <w:rFonts w:asciiTheme="majorHAnsi" w:eastAsia="Times New Roman" w:hAnsiTheme="majorHAnsi" w:cstheme="majorHAnsi"/>
                <w:lang w:eastAsia="en-AU"/>
              </w:rPr>
              <w:t xml:space="preserve">will increase. </w:t>
            </w:r>
          </w:p>
        </w:tc>
      </w:tr>
    </w:tbl>
    <w:p w14:paraId="5FFD3CB4" w14:textId="77777777" w:rsidR="00887987" w:rsidRPr="00CF39C8" w:rsidRDefault="00887987">
      <w:pPr>
        <w:pStyle w:val="Caption"/>
      </w:pPr>
      <w:bookmarkStart w:id="152" w:name="_Ref153281516"/>
      <w:bookmarkStart w:id="153" w:name="_Toc149907236"/>
      <w:bookmarkStart w:id="154" w:name="_Ref153281512"/>
      <w:bookmarkStart w:id="155" w:name="_Toc161837756"/>
      <w:bookmarkStart w:id="156" w:name="_Toc161933204"/>
      <w:bookmarkStart w:id="157" w:name="_Toc163221104"/>
      <w:bookmarkEnd w:id="151"/>
      <w:r w:rsidRPr="00CF39C8">
        <w:t xml:space="preserve">Table </w:t>
      </w:r>
      <w:bookmarkEnd w:id="152"/>
      <w:r w:rsidR="00F52905">
        <w:t>1</w:t>
      </w:r>
      <w:r w:rsidRPr="00CF39C8">
        <w:t xml:space="preserve"> </w:t>
      </w:r>
      <w:r w:rsidRPr="00CF39C8">
        <w:rPr>
          <w:b w:val="0"/>
        </w:rPr>
        <w:t xml:space="preserve">– Principles against </w:t>
      </w:r>
      <w:r w:rsidR="007B63D1" w:rsidRPr="00CF39C8">
        <w:rPr>
          <w:b w:val="0"/>
        </w:rPr>
        <w:t>which</w:t>
      </w:r>
      <w:r w:rsidRPr="00CF39C8">
        <w:rPr>
          <w:b w:val="0"/>
        </w:rPr>
        <w:t xml:space="preserve"> the Government’s option is assessed</w:t>
      </w:r>
      <w:bookmarkEnd w:id="153"/>
      <w:bookmarkEnd w:id="154"/>
      <w:bookmarkEnd w:id="155"/>
      <w:bookmarkEnd w:id="156"/>
      <w:bookmarkEnd w:id="157"/>
    </w:p>
    <w:p w14:paraId="110EB70F" w14:textId="77777777" w:rsidR="0087718D" w:rsidRPr="00CF39C8" w:rsidRDefault="0087718D" w:rsidP="00467602">
      <w:pPr>
        <w:rPr>
          <w:rFonts w:asciiTheme="majorHAnsi" w:hAnsiTheme="majorHAnsi" w:cstheme="majorHAnsi"/>
        </w:rPr>
      </w:pPr>
    </w:p>
    <w:p w14:paraId="7C9182FA" w14:textId="77777777" w:rsidR="0087718D" w:rsidRPr="00CF39C8" w:rsidRDefault="0087718D" w:rsidP="00467602">
      <w:pPr>
        <w:rPr>
          <w:rFonts w:asciiTheme="majorHAnsi" w:hAnsiTheme="majorHAnsi" w:cstheme="majorHAnsi"/>
        </w:rPr>
        <w:sectPr w:rsidR="0087718D" w:rsidRPr="00CF39C8" w:rsidSect="00CA48ED">
          <w:pgSz w:w="16838" w:h="11906" w:orient="landscape" w:code="9"/>
          <w:pgMar w:top="1133" w:right="851" w:bottom="1276" w:left="1021" w:header="510" w:footer="567" w:gutter="0"/>
          <w:cols w:space="708"/>
          <w:docGrid w:linePitch="360"/>
        </w:sectPr>
      </w:pPr>
    </w:p>
    <w:p w14:paraId="755AAA6D" w14:textId="77777777" w:rsidR="00387E94" w:rsidRPr="00CF39C8" w:rsidRDefault="002E500E" w:rsidP="00430317">
      <w:pPr>
        <w:pStyle w:val="Heading3"/>
        <w:numPr>
          <w:ilvl w:val="2"/>
          <w:numId w:val="32"/>
        </w:numPr>
        <w:rPr>
          <w:rFonts w:eastAsia="Times New Roman" w:cstheme="majorHAnsi"/>
        </w:rPr>
      </w:pPr>
      <w:bookmarkStart w:id="158" w:name="_Toc161837653"/>
      <w:bookmarkStart w:id="159" w:name="_Toc161933151"/>
      <w:bookmarkStart w:id="160" w:name="_Toc162276458"/>
      <w:bookmarkStart w:id="161" w:name="_Toc163221054"/>
      <w:bookmarkStart w:id="162" w:name="_Hlk147221338"/>
      <w:r w:rsidRPr="00CF39C8">
        <w:rPr>
          <w:rFonts w:cstheme="majorHAnsi"/>
        </w:rPr>
        <w:t xml:space="preserve">There are a range of other factors, that could </w:t>
      </w:r>
      <w:r w:rsidR="00A5062A">
        <w:rPr>
          <w:rFonts w:cstheme="majorHAnsi"/>
        </w:rPr>
        <w:t>become</w:t>
      </w:r>
      <w:r w:rsidRPr="00CF39C8">
        <w:rPr>
          <w:rFonts w:cstheme="majorHAnsi"/>
        </w:rPr>
        <w:t xml:space="preserve"> barriers to achieving our objectives</w:t>
      </w:r>
      <w:bookmarkEnd w:id="158"/>
      <w:bookmarkEnd w:id="159"/>
      <w:bookmarkEnd w:id="160"/>
      <w:bookmarkEnd w:id="161"/>
      <w:r w:rsidRPr="00CF39C8">
        <w:rPr>
          <w:rFonts w:cstheme="majorHAnsi"/>
        </w:rPr>
        <w:t xml:space="preserve"> </w:t>
      </w:r>
    </w:p>
    <w:p w14:paraId="3249104F" w14:textId="77777777" w:rsidR="00387E94" w:rsidRPr="00CF39C8" w:rsidRDefault="002E500E" w:rsidP="002E500E">
      <w:pPr>
        <w:rPr>
          <w:rFonts w:asciiTheme="majorHAnsi" w:eastAsia="Times New Roman" w:hAnsiTheme="majorHAnsi" w:cstheme="majorHAnsi"/>
          <w:sz w:val="22"/>
          <w:szCs w:val="22"/>
        </w:rPr>
      </w:pPr>
      <w:r w:rsidRPr="00CF39C8">
        <w:rPr>
          <w:rFonts w:asciiTheme="majorHAnsi" w:eastAsia="Times New Roman" w:hAnsiTheme="majorHAnsi" w:cstheme="majorHAnsi"/>
          <w:sz w:val="22"/>
          <w:szCs w:val="22"/>
        </w:rPr>
        <w:t>Beyond the issues outlined in this paper to date</w:t>
      </w:r>
      <w:r w:rsidR="00D971D8" w:rsidRPr="00CF39C8">
        <w:rPr>
          <w:rFonts w:asciiTheme="majorHAnsi" w:eastAsia="Times New Roman" w:hAnsiTheme="majorHAnsi" w:cstheme="majorHAnsi"/>
          <w:sz w:val="22"/>
          <w:szCs w:val="22"/>
        </w:rPr>
        <w:t xml:space="preserve"> (as well as implementation risks at </w:t>
      </w:r>
      <w:r w:rsidR="00D971D8" w:rsidRPr="00406FBB">
        <w:rPr>
          <w:rFonts w:asciiTheme="majorHAnsi" w:eastAsia="Times New Roman" w:hAnsiTheme="majorHAnsi" w:cstheme="majorHAnsi"/>
          <w:sz w:val="22"/>
          <w:szCs w:val="22"/>
        </w:rPr>
        <w:t>Appendix D)</w:t>
      </w:r>
      <w:r w:rsidRPr="00406FBB">
        <w:rPr>
          <w:rFonts w:asciiTheme="majorHAnsi" w:eastAsia="Times New Roman" w:hAnsiTheme="majorHAnsi" w:cstheme="majorHAnsi"/>
          <w:sz w:val="22"/>
          <w:szCs w:val="22"/>
        </w:rPr>
        <w:t>,</w:t>
      </w:r>
      <w:r w:rsidRPr="00CF39C8">
        <w:rPr>
          <w:rFonts w:asciiTheme="majorHAnsi" w:eastAsia="Times New Roman" w:hAnsiTheme="majorHAnsi" w:cstheme="majorHAnsi"/>
          <w:sz w:val="22"/>
          <w:szCs w:val="22"/>
        </w:rPr>
        <w:t xml:space="preserve"> there are also a range of other </w:t>
      </w:r>
      <w:r w:rsidR="00C05C79" w:rsidRPr="00CF39C8">
        <w:rPr>
          <w:rFonts w:asciiTheme="majorHAnsi" w:eastAsia="Times New Roman" w:hAnsiTheme="majorHAnsi" w:cstheme="majorHAnsi"/>
          <w:sz w:val="22"/>
          <w:szCs w:val="22"/>
        </w:rPr>
        <w:t xml:space="preserve">barriers </w:t>
      </w:r>
      <w:r w:rsidR="000F621A" w:rsidRPr="00CF39C8">
        <w:rPr>
          <w:rFonts w:asciiTheme="majorHAnsi" w:eastAsia="Times New Roman" w:hAnsiTheme="majorHAnsi" w:cstheme="majorHAnsi"/>
          <w:sz w:val="22"/>
          <w:szCs w:val="22"/>
        </w:rPr>
        <w:t xml:space="preserve">that could give rise to challenges in achieving the Government’s policy objectives. </w:t>
      </w:r>
    </w:p>
    <w:p w14:paraId="38037227"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Infrastructure </w:t>
      </w:r>
      <w:r w:rsidR="00B31AD0" w:rsidRPr="00CF39C8">
        <w:rPr>
          <w:rFonts w:asciiTheme="majorHAnsi" w:eastAsia="Times New Roman" w:hAnsiTheme="majorHAnsi" w:cstheme="majorHAnsi"/>
          <w:b/>
          <w:sz w:val="22"/>
          <w:szCs w:val="22"/>
        </w:rPr>
        <w:t>l</w:t>
      </w:r>
      <w:r w:rsidRPr="00CF39C8">
        <w:rPr>
          <w:rFonts w:asciiTheme="majorHAnsi" w:eastAsia="Times New Roman" w:hAnsiTheme="majorHAnsi" w:cstheme="majorHAnsi"/>
          <w:b/>
          <w:sz w:val="22"/>
          <w:szCs w:val="22"/>
        </w:rPr>
        <w:t xml:space="preserve">imitations: </w:t>
      </w:r>
      <w:r w:rsidRPr="00CF39C8">
        <w:rPr>
          <w:rFonts w:asciiTheme="majorHAnsi" w:eastAsia="Times New Roman" w:hAnsiTheme="majorHAnsi" w:cstheme="majorHAnsi"/>
          <w:sz w:val="22"/>
          <w:szCs w:val="22"/>
        </w:rPr>
        <w:t xml:space="preserve">Improving </w:t>
      </w:r>
      <w:r w:rsidR="006D08C7" w:rsidRPr="00CF39C8">
        <w:rPr>
          <w:rFonts w:asciiTheme="majorHAnsi" w:eastAsia="Times New Roman" w:hAnsiTheme="majorHAnsi" w:cstheme="majorHAnsi"/>
          <w:sz w:val="22"/>
          <w:szCs w:val="22"/>
        </w:rPr>
        <w:t xml:space="preserve">the take up of </w:t>
      </w:r>
      <w:r w:rsidR="000F621A" w:rsidRPr="00CF39C8">
        <w:rPr>
          <w:rFonts w:asciiTheme="majorHAnsi" w:eastAsia="Times New Roman" w:hAnsiTheme="majorHAnsi" w:cstheme="majorHAnsi"/>
          <w:sz w:val="22"/>
          <w:szCs w:val="22"/>
        </w:rPr>
        <w:t>fuel</w:t>
      </w:r>
      <w:r w:rsidR="00B31AD0" w:rsidRPr="00CF39C8">
        <w:rPr>
          <w:rFonts w:asciiTheme="majorHAnsi" w:eastAsia="Times New Roman" w:hAnsiTheme="majorHAnsi" w:cstheme="majorHAnsi"/>
          <w:sz w:val="22"/>
          <w:szCs w:val="22"/>
        </w:rPr>
        <w:t>-</w:t>
      </w:r>
      <w:r w:rsidR="000F621A" w:rsidRPr="00CF39C8">
        <w:rPr>
          <w:rFonts w:asciiTheme="majorHAnsi" w:eastAsia="Times New Roman" w:hAnsiTheme="majorHAnsi" w:cstheme="majorHAnsi"/>
          <w:sz w:val="22"/>
          <w:szCs w:val="22"/>
        </w:rPr>
        <w:t xml:space="preserve">efficient </w:t>
      </w:r>
      <w:r w:rsidRPr="00CF39C8">
        <w:rPr>
          <w:rFonts w:asciiTheme="majorHAnsi" w:eastAsia="Times New Roman" w:hAnsiTheme="majorHAnsi" w:cstheme="majorHAnsi"/>
          <w:sz w:val="22"/>
          <w:szCs w:val="22"/>
        </w:rPr>
        <w:t>vehicles may be hindered by inadequate infrastructure</w:t>
      </w:r>
      <w:r w:rsidR="00C912E9">
        <w:rPr>
          <w:rFonts w:asciiTheme="majorHAnsi" w:eastAsia="Times New Roman" w:hAnsiTheme="majorHAnsi" w:cstheme="majorHAnsi"/>
          <w:sz w:val="22"/>
          <w:szCs w:val="22"/>
        </w:rPr>
        <w:t xml:space="preserve"> – particularly in the short term. This includes limited access to </w:t>
      </w:r>
      <w:r w:rsidRPr="00CF39C8">
        <w:rPr>
          <w:rFonts w:asciiTheme="majorHAnsi" w:eastAsia="Times New Roman" w:hAnsiTheme="majorHAnsi" w:cstheme="majorHAnsi"/>
          <w:sz w:val="22"/>
          <w:szCs w:val="22"/>
        </w:rPr>
        <w:t xml:space="preserve">charging </w:t>
      </w:r>
      <w:r w:rsidR="006D08C7" w:rsidRPr="00CF39C8">
        <w:rPr>
          <w:rFonts w:asciiTheme="majorHAnsi" w:eastAsia="Times New Roman" w:hAnsiTheme="majorHAnsi" w:cstheme="majorHAnsi"/>
          <w:sz w:val="22"/>
          <w:szCs w:val="22"/>
        </w:rPr>
        <w:t xml:space="preserve">infrastructure </w:t>
      </w:r>
      <w:r w:rsidRPr="00CF39C8">
        <w:rPr>
          <w:rFonts w:asciiTheme="majorHAnsi" w:eastAsia="Times New Roman" w:hAnsiTheme="majorHAnsi" w:cstheme="majorHAnsi"/>
          <w:sz w:val="22"/>
          <w:szCs w:val="22"/>
        </w:rPr>
        <w:t xml:space="preserve">for electric vehicles and the limited availability of alternative fuels. </w:t>
      </w:r>
      <w:r w:rsidR="00C912E9">
        <w:rPr>
          <w:rFonts w:asciiTheme="majorHAnsi" w:eastAsia="Times New Roman" w:hAnsiTheme="majorHAnsi" w:cstheme="majorHAnsi"/>
          <w:sz w:val="22"/>
          <w:szCs w:val="22"/>
        </w:rPr>
        <w:t xml:space="preserve">Government and private sector investment is anticipated to continue to address this barrier over time, and is unlikely to represent </w:t>
      </w:r>
      <w:r w:rsidR="00693975">
        <w:rPr>
          <w:rFonts w:asciiTheme="majorHAnsi" w:eastAsia="Times New Roman" w:hAnsiTheme="majorHAnsi" w:cstheme="majorHAnsi"/>
          <w:sz w:val="22"/>
          <w:szCs w:val="22"/>
        </w:rPr>
        <w:t>over the medium term.</w:t>
      </w:r>
    </w:p>
    <w:p w14:paraId="773F18A2" w14:textId="77777777" w:rsidR="006D08C7" w:rsidRPr="00CF39C8" w:rsidRDefault="006D08C7" w:rsidP="00EC42A6">
      <w:pPr>
        <w:pStyle w:val="ListParagraph"/>
        <w:rPr>
          <w:rFonts w:asciiTheme="majorHAnsi" w:eastAsia="Times New Roman" w:hAnsiTheme="majorHAnsi" w:cstheme="majorHAnsi"/>
          <w:b/>
          <w:sz w:val="22"/>
          <w:szCs w:val="22"/>
        </w:rPr>
      </w:pPr>
    </w:p>
    <w:p w14:paraId="4AA0F038"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Supply </w:t>
      </w:r>
      <w:r w:rsidR="00B31AD0" w:rsidRPr="00CF39C8">
        <w:rPr>
          <w:rFonts w:asciiTheme="majorHAnsi" w:eastAsia="Times New Roman" w:hAnsiTheme="majorHAnsi" w:cstheme="majorHAnsi"/>
          <w:b/>
          <w:sz w:val="22"/>
          <w:szCs w:val="22"/>
        </w:rPr>
        <w:t>c</w:t>
      </w:r>
      <w:r w:rsidRPr="00CF39C8">
        <w:rPr>
          <w:rFonts w:asciiTheme="majorHAnsi" w:eastAsia="Times New Roman" w:hAnsiTheme="majorHAnsi" w:cstheme="majorHAnsi"/>
          <w:b/>
          <w:sz w:val="22"/>
          <w:szCs w:val="22"/>
        </w:rPr>
        <w:t xml:space="preserve">hain </w:t>
      </w:r>
      <w:r w:rsidR="00B31AD0" w:rsidRPr="00CF39C8">
        <w:rPr>
          <w:rFonts w:asciiTheme="majorHAnsi" w:eastAsia="Times New Roman" w:hAnsiTheme="majorHAnsi" w:cstheme="majorHAnsi"/>
          <w:b/>
          <w:sz w:val="22"/>
          <w:szCs w:val="22"/>
        </w:rPr>
        <w:t>c</w:t>
      </w:r>
      <w:r w:rsidRPr="00CF39C8">
        <w:rPr>
          <w:rFonts w:asciiTheme="majorHAnsi" w:eastAsia="Times New Roman" w:hAnsiTheme="majorHAnsi" w:cstheme="majorHAnsi"/>
          <w:b/>
          <w:sz w:val="22"/>
          <w:szCs w:val="22"/>
        </w:rPr>
        <w:t xml:space="preserve">omplexities: </w:t>
      </w:r>
      <w:r w:rsidRPr="00CF39C8">
        <w:rPr>
          <w:rFonts w:asciiTheme="majorHAnsi" w:eastAsia="Times New Roman" w:hAnsiTheme="majorHAnsi" w:cstheme="majorHAnsi"/>
          <w:sz w:val="22"/>
          <w:szCs w:val="22"/>
        </w:rPr>
        <w:t>Manufacturers may encounter supply chain challenges</w:t>
      </w:r>
      <w:r w:rsidR="006D08C7" w:rsidRPr="00CF39C8">
        <w:rPr>
          <w:rFonts w:asciiTheme="majorHAnsi" w:eastAsia="Times New Roman" w:hAnsiTheme="majorHAnsi" w:cstheme="majorHAnsi"/>
          <w:sz w:val="22"/>
          <w:szCs w:val="22"/>
        </w:rPr>
        <w:t xml:space="preserve"> in relation to the critical minerals </w:t>
      </w:r>
      <w:r w:rsidR="000F7568" w:rsidRPr="00CF39C8">
        <w:rPr>
          <w:rFonts w:asciiTheme="majorHAnsi" w:eastAsia="Times New Roman" w:hAnsiTheme="majorHAnsi" w:cstheme="majorHAnsi"/>
          <w:sz w:val="22"/>
          <w:szCs w:val="22"/>
        </w:rPr>
        <w:t xml:space="preserve">and other resources </w:t>
      </w:r>
      <w:r w:rsidR="006D08C7" w:rsidRPr="00CF39C8">
        <w:rPr>
          <w:rFonts w:asciiTheme="majorHAnsi" w:eastAsia="Times New Roman" w:hAnsiTheme="majorHAnsi" w:cstheme="majorHAnsi"/>
          <w:sz w:val="22"/>
          <w:szCs w:val="22"/>
        </w:rPr>
        <w:t xml:space="preserve">needed for the manufacture of </w:t>
      </w:r>
      <w:r w:rsidR="000F7568" w:rsidRPr="00CF39C8">
        <w:rPr>
          <w:rFonts w:asciiTheme="majorHAnsi" w:eastAsia="Times New Roman" w:hAnsiTheme="majorHAnsi" w:cstheme="majorHAnsi"/>
          <w:sz w:val="22"/>
          <w:szCs w:val="22"/>
        </w:rPr>
        <w:t>zero emissions vehicles</w:t>
      </w:r>
      <w:r w:rsidRPr="00CF39C8">
        <w:rPr>
          <w:rFonts w:asciiTheme="majorHAnsi" w:eastAsia="Times New Roman" w:hAnsiTheme="majorHAnsi" w:cstheme="majorHAnsi"/>
          <w:sz w:val="22"/>
          <w:szCs w:val="22"/>
        </w:rPr>
        <w:t>.</w:t>
      </w:r>
      <w:r w:rsidR="000F7568" w:rsidRPr="00CF39C8">
        <w:rPr>
          <w:rFonts w:asciiTheme="majorHAnsi" w:eastAsia="Times New Roman" w:hAnsiTheme="majorHAnsi" w:cstheme="majorHAnsi"/>
          <w:sz w:val="22"/>
          <w:szCs w:val="22"/>
        </w:rPr>
        <w:t xml:space="preserve"> As all new cars sold in Australia </w:t>
      </w:r>
      <w:r w:rsidR="000F621A" w:rsidRPr="00CF39C8">
        <w:rPr>
          <w:rFonts w:asciiTheme="majorHAnsi" w:eastAsia="Times New Roman" w:hAnsiTheme="majorHAnsi" w:cstheme="majorHAnsi"/>
          <w:sz w:val="22"/>
          <w:szCs w:val="22"/>
        </w:rPr>
        <w:t>(</w:t>
      </w:r>
      <w:r w:rsidR="000F7568" w:rsidRPr="00CF39C8">
        <w:rPr>
          <w:rFonts w:asciiTheme="majorHAnsi" w:eastAsia="Times New Roman" w:hAnsiTheme="majorHAnsi" w:cstheme="majorHAnsi"/>
          <w:sz w:val="22"/>
          <w:szCs w:val="22"/>
        </w:rPr>
        <w:t xml:space="preserve">that are registered </w:t>
      </w:r>
      <w:r w:rsidR="000F621A" w:rsidRPr="00CF39C8">
        <w:rPr>
          <w:rFonts w:asciiTheme="majorHAnsi" w:eastAsia="Times New Roman" w:hAnsiTheme="majorHAnsi" w:cstheme="majorHAnsi"/>
          <w:sz w:val="22"/>
          <w:szCs w:val="22"/>
        </w:rPr>
        <w:t xml:space="preserve">on the </w:t>
      </w:r>
      <w:r w:rsidR="00E370E4" w:rsidRPr="00CF39C8">
        <w:rPr>
          <w:rFonts w:asciiTheme="majorHAnsi" w:eastAsia="Times New Roman" w:hAnsiTheme="majorHAnsi" w:cstheme="majorHAnsi"/>
          <w:sz w:val="22"/>
          <w:szCs w:val="22"/>
        </w:rPr>
        <w:t>Register of Approved Vehicles (RAV)</w:t>
      </w:r>
      <w:r w:rsidR="000F621A" w:rsidRPr="00CF39C8">
        <w:rPr>
          <w:rFonts w:asciiTheme="majorHAnsi" w:eastAsia="Times New Roman" w:hAnsiTheme="majorHAnsi" w:cstheme="majorHAnsi"/>
          <w:sz w:val="22"/>
          <w:szCs w:val="22"/>
        </w:rPr>
        <w:t xml:space="preserve">) </w:t>
      </w:r>
      <w:r w:rsidR="000F7568" w:rsidRPr="00CF39C8">
        <w:rPr>
          <w:rFonts w:asciiTheme="majorHAnsi" w:eastAsia="Times New Roman" w:hAnsiTheme="majorHAnsi" w:cstheme="majorHAnsi"/>
          <w:sz w:val="22"/>
          <w:szCs w:val="22"/>
        </w:rPr>
        <w:t>are manufactured</w:t>
      </w:r>
      <w:r w:rsidR="000F621A" w:rsidRPr="00CF39C8">
        <w:rPr>
          <w:rFonts w:asciiTheme="majorHAnsi" w:eastAsia="Times New Roman" w:hAnsiTheme="majorHAnsi" w:cstheme="majorHAnsi"/>
          <w:sz w:val="22"/>
          <w:szCs w:val="22"/>
        </w:rPr>
        <w:t xml:space="preserve"> outside of Australia</w:t>
      </w:r>
      <w:r w:rsidR="000F7568" w:rsidRPr="00CF39C8">
        <w:rPr>
          <w:rFonts w:asciiTheme="majorHAnsi" w:eastAsia="Times New Roman" w:hAnsiTheme="majorHAnsi" w:cstheme="majorHAnsi"/>
          <w:sz w:val="22"/>
          <w:szCs w:val="22"/>
        </w:rPr>
        <w:t>, any global instability can have an adverse impact on supply to Australia</w:t>
      </w:r>
      <w:r w:rsidR="000F621A" w:rsidRPr="00CF39C8">
        <w:rPr>
          <w:rFonts w:asciiTheme="majorHAnsi" w:eastAsia="Times New Roman" w:hAnsiTheme="majorHAnsi" w:cstheme="majorHAnsi"/>
          <w:sz w:val="22"/>
          <w:szCs w:val="22"/>
        </w:rPr>
        <w:t xml:space="preserve"> overall, and not just for fuel</w:t>
      </w:r>
      <w:r w:rsidR="00750F0B" w:rsidRPr="00CF39C8">
        <w:rPr>
          <w:rFonts w:asciiTheme="majorHAnsi" w:eastAsia="Times New Roman" w:hAnsiTheme="majorHAnsi" w:cstheme="majorHAnsi"/>
          <w:sz w:val="22"/>
          <w:szCs w:val="22"/>
        </w:rPr>
        <w:t>-</w:t>
      </w:r>
      <w:r w:rsidR="000F621A" w:rsidRPr="00CF39C8">
        <w:rPr>
          <w:rFonts w:asciiTheme="majorHAnsi" w:eastAsia="Times New Roman" w:hAnsiTheme="majorHAnsi" w:cstheme="majorHAnsi"/>
          <w:sz w:val="22"/>
          <w:szCs w:val="22"/>
        </w:rPr>
        <w:t>efficient vehicles</w:t>
      </w:r>
      <w:r w:rsidR="000F7568" w:rsidRPr="00CF39C8">
        <w:rPr>
          <w:rFonts w:asciiTheme="majorHAnsi" w:eastAsia="Times New Roman" w:hAnsiTheme="majorHAnsi" w:cstheme="majorHAnsi"/>
          <w:sz w:val="22"/>
          <w:szCs w:val="22"/>
        </w:rPr>
        <w:t>.</w:t>
      </w:r>
      <w:r w:rsidR="00C912E9">
        <w:rPr>
          <w:rFonts w:asciiTheme="majorHAnsi" w:eastAsia="Times New Roman" w:hAnsiTheme="majorHAnsi" w:cstheme="majorHAnsi"/>
          <w:sz w:val="22"/>
          <w:szCs w:val="22"/>
        </w:rPr>
        <w:t xml:space="preserve"> Ongoing Australian Government trade negotiations, as well as defined </w:t>
      </w:r>
      <w:r w:rsidR="007D66CF">
        <w:rPr>
          <w:rFonts w:asciiTheme="majorHAnsi" w:eastAsia="Times New Roman" w:hAnsiTheme="majorHAnsi" w:cstheme="majorHAnsi"/>
          <w:sz w:val="22"/>
          <w:szCs w:val="22"/>
        </w:rPr>
        <w:t>initiatives</w:t>
      </w:r>
      <w:r w:rsidR="00C912E9">
        <w:rPr>
          <w:rFonts w:asciiTheme="majorHAnsi" w:eastAsia="Times New Roman" w:hAnsiTheme="majorHAnsi" w:cstheme="majorHAnsi"/>
          <w:sz w:val="22"/>
          <w:szCs w:val="22"/>
        </w:rPr>
        <w:t xml:space="preserve"> such as The Critical Minerals Strategy</w:t>
      </w:r>
      <w:r w:rsidR="003830D8">
        <w:rPr>
          <w:rFonts w:asciiTheme="majorHAnsi" w:eastAsia="Times New Roman" w:hAnsiTheme="majorHAnsi" w:cstheme="majorHAnsi"/>
          <w:sz w:val="22"/>
          <w:szCs w:val="22"/>
        </w:rPr>
        <w:t>,</w:t>
      </w:r>
      <w:r w:rsidR="00C912E9">
        <w:rPr>
          <w:rStyle w:val="FootnoteReference"/>
          <w:rFonts w:asciiTheme="majorHAnsi" w:eastAsia="Times New Roman" w:hAnsiTheme="majorHAnsi" w:cstheme="majorHAnsi"/>
          <w:sz w:val="22"/>
          <w:szCs w:val="22"/>
        </w:rPr>
        <w:footnoteReference w:id="11"/>
      </w:r>
      <w:r w:rsidR="00C912E9">
        <w:rPr>
          <w:rFonts w:asciiTheme="majorHAnsi" w:eastAsia="Times New Roman" w:hAnsiTheme="majorHAnsi" w:cstheme="majorHAnsi"/>
          <w:sz w:val="22"/>
          <w:szCs w:val="22"/>
        </w:rPr>
        <w:t xml:space="preserve"> aim to address supply chain complexity and critical mineral supply in the short term, with a view to introducing greater stability in the long term.  </w:t>
      </w:r>
    </w:p>
    <w:p w14:paraId="1B2C6771" w14:textId="77777777" w:rsidR="006D08C7" w:rsidRPr="00CF39C8" w:rsidRDefault="006D08C7" w:rsidP="00EC42A6">
      <w:pPr>
        <w:pStyle w:val="ListParagraph"/>
        <w:rPr>
          <w:rFonts w:asciiTheme="majorHAnsi" w:eastAsia="Times New Roman" w:hAnsiTheme="majorHAnsi" w:cstheme="majorHAnsi"/>
          <w:b/>
          <w:sz w:val="22"/>
          <w:szCs w:val="22"/>
        </w:rPr>
      </w:pPr>
    </w:p>
    <w:p w14:paraId="11891E63" w14:textId="77777777" w:rsidR="00551DD9"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Consumer </w:t>
      </w:r>
      <w:r w:rsidR="00B31AD0" w:rsidRPr="00CF39C8">
        <w:rPr>
          <w:rFonts w:asciiTheme="majorHAnsi" w:eastAsia="Times New Roman" w:hAnsiTheme="majorHAnsi" w:cstheme="majorHAnsi"/>
          <w:b/>
          <w:sz w:val="22"/>
          <w:szCs w:val="22"/>
        </w:rPr>
        <w:t>a</w:t>
      </w:r>
      <w:r w:rsidRPr="00CF39C8">
        <w:rPr>
          <w:rFonts w:asciiTheme="majorHAnsi" w:eastAsia="Times New Roman" w:hAnsiTheme="majorHAnsi" w:cstheme="majorHAnsi"/>
          <w:b/>
          <w:sz w:val="22"/>
          <w:szCs w:val="22"/>
        </w:rPr>
        <w:t xml:space="preserve">wareness and </w:t>
      </w:r>
      <w:r w:rsidR="00B31AD0" w:rsidRPr="00CF39C8">
        <w:rPr>
          <w:rFonts w:asciiTheme="majorHAnsi" w:eastAsia="Times New Roman" w:hAnsiTheme="majorHAnsi" w:cstheme="majorHAnsi"/>
          <w:b/>
          <w:sz w:val="22"/>
          <w:szCs w:val="22"/>
        </w:rPr>
        <w:t>e</w:t>
      </w:r>
      <w:r w:rsidRPr="00CF39C8">
        <w:rPr>
          <w:rFonts w:asciiTheme="majorHAnsi" w:eastAsia="Times New Roman" w:hAnsiTheme="majorHAnsi" w:cstheme="majorHAnsi"/>
          <w:b/>
          <w:sz w:val="22"/>
          <w:szCs w:val="22"/>
        </w:rPr>
        <w:t xml:space="preserve">ducation: </w:t>
      </w:r>
      <w:r w:rsidRPr="00CF39C8">
        <w:rPr>
          <w:rFonts w:asciiTheme="majorHAnsi" w:eastAsia="Times New Roman" w:hAnsiTheme="majorHAnsi" w:cstheme="majorHAnsi"/>
          <w:sz w:val="22"/>
          <w:szCs w:val="22"/>
        </w:rPr>
        <w:t xml:space="preserve">A lack of awareness and understanding about </w:t>
      </w:r>
      <w:r w:rsidR="00551DD9" w:rsidRPr="00CF39C8">
        <w:rPr>
          <w:rFonts w:asciiTheme="majorHAnsi" w:eastAsia="Times New Roman" w:hAnsiTheme="majorHAnsi" w:cstheme="majorHAnsi"/>
          <w:sz w:val="22"/>
          <w:szCs w:val="22"/>
        </w:rPr>
        <w:t>the fuel efficiency of cars as well as new zero emissions technology, could mean that consumers are hesitant to take up new technology such as hybrids or electric vehic</w:t>
      </w:r>
      <w:r w:rsidR="00551DD9" w:rsidRPr="00C912E9">
        <w:rPr>
          <w:rFonts w:asciiTheme="majorHAnsi" w:eastAsia="Times New Roman" w:hAnsiTheme="majorHAnsi" w:cstheme="majorHAnsi"/>
          <w:sz w:val="22"/>
          <w:szCs w:val="22"/>
        </w:rPr>
        <w:t xml:space="preserve">les. </w:t>
      </w:r>
      <w:r w:rsidR="00C912E9" w:rsidRPr="00C912E9">
        <w:rPr>
          <w:rFonts w:asciiTheme="majorHAnsi" w:eastAsia="Times New Roman" w:hAnsiTheme="majorHAnsi" w:cstheme="majorHAnsi"/>
          <w:sz w:val="22"/>
          <w:szCs w:val="22"/>
        </w:rPr>
        <w:t>The department will use its cleanercars.gov.au website to provide specific consumer information about the fuel efficiency of cars in the short term. The National Electric Vehicle Strategy</w:t>
      </w:r>
      <w:r w:rsidR="00C912E9" w:rsidRPr="00C912E9">
        <w:rPr>
          <w:rStyle w:val="FootnoteReference"/>
          <w:rFonts w:asciiTheme="majorHAnsi" w:eastAsia="Times New Roman" w:hAnsiTheme="majorHAnsi" w:cstheme="majorHAnsi"/>
          <w:sz w:val="22"/>
          <w:szCs w:val="22"/>
        </w:rPr>
        <w:footnoteReference w:id="12"/>
      </w:r>
      <w:r w:rsidR="00C912E9" w:rsidRPr="00C912E9">
        <w:rPr>
          <w:rFonts w:asciiTheme="majorHAnsi" w:eastAsia="Times New Roman" w:hAnsiTheme="majorHAnsi" w:cstheme="majorHAnsi"/>
          <w:sz w:val="22"/>
          <w:szCs w:val="22"/>
        </w:rPr>
        <w:t xml:space="preserve"> contains specific actions to</w:t>
      </w:r>
      <w:r w:rsidR="00C912E9">
        <w:rPr>
          <w:rFonts w:asciiTheme="majorHAnsi" w:eastAsia="Times New Roman" w:hAnsiTheme="majorHAnsi" w:cstheme="majorHAnsi"/>
          <w:b/>
          <w:sz w:val="22"/>
          <w:szCs w:val="22"/>
        </w:rPr>
        <w:t xml:space="preserve"> </w:t>
      </w:r>
      <w:r w:rsidR="00C912E9">
        <w:t xml:space="preserve">ensure nationally consistent information on the benefits and realities of driving an EV in Australia. This will help Australian households and businesses to make informed purchasing decisions and reap the benefits of cheaper, low emissions transport. In the longer term, out to 2050, greater take up of EVs is likely to organically improve consumer and community awareness about the technology.  </w:t>
      </w:r>
    </w:p>
    <w:p w14:paraId="545F889E" w14:textId="77777777" w:rsidR="006D08C7" w:rsidRPr="00CF39C8" w:rsidRDefault="006D08C7" w:rsidP="00EC42A6">
      <w:pPr>
        <w:pStyle w:val="ListParagraph"/>
        <w:rPr>
          <w:rFonts w:asciiTheme="majorHAnsi" w:eastAsia="Times New Roman" w:hAnsiTheme="majorHAnsi" w:cstheme="majorHAnsi"/>
          <w:b/>
          <w:sz w:val="22"/>
          <w:szCs w:val="22"/>
        </w:rPr>
      </w:pPr>
    </w:p>
    <w:p w14:paraId="7008E844"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Technological </w:t>
      </w:r>
      <w:r w:rsidR="00B31AD0" w:rsidRPr="00CF39C8">
        <w:rPr>
          <w:rFonts w:asciiTheme="majorHAnsi" w:eastAsia="Times New Roman" w:hAnsiTheme="majorHAnsi" w:cstheme="majorHAnsi"/>
          <w:b/>
          <w:sz w:val="22"/>
          <w:szCs w:val="22"/>
        </w:rPr>
        <w:t>a</w:t>
      </w:r>
      <w:r w:rsidRPr="00CF39C8">
        <w:rPr>
          <w:rFonts w:asciiTheme="majorHAnsi" w:eastAsia="Times New Roman" w:hAnsiTheme="majorHAnsi" w:cstheme="majorHAnsi"/>
          <w:b/>
          <w:sz w:val="22"/>
          <w:szCs w:val="22"/>
        </w:rPr>
        <w:t xml:space="preserve">dvancements: </w:t>
      </w:r>
      <w:r w:rsidRPr="00CF39C8">
        <w:rPr>
          <w:rFonts w:asciiTheme="majorHAnsi" w:eastAsia="Times New Roman" w:hAnsiTheme="majorHAnsi" w:cstheme="majorHAnsi"/>
          <w:sz w:val="22"/>
          <w:szCs w:val="22"/>
        </w:rPr>
        <w:t xml:space="preserve">Rapid technological advancements can both help and hinder progress. While new innovations provide opportunities for fuel efficiency, they can also render existing technologies obsolete. </w:t>
      </w:r>
      <w:r w:rsidR="00C912E9">
        <w:rPr>
          <w:rFonts w:asciiTheme="majorHAnsi" w:eastAsia="Times New Roman" w:hAnsiTheme="majorHAnsi" w:cstheme="majorHAnsi"/>
          <w:sz w:val="22"/>
          <w:szCs w:val="22"/>
        </w:rPr>
        <w:t xml:space="preserve">Introducing consequential or other financial incentives to develop and supply new technology has the potential to catalyse technological advancements, and ensure that greater volumes of advanced technology (and fuel efficient, low or zero emissions) are supplied and become substitutable for technology that becomes obsolete. </w:t>
      </w:r>
    </w:p>
    <w:bookmarkEnd w:id="162"/>
    <w:p w14:paraId="20C374DD" w14:textId="77777777" w:rsidR="00AE3241" w:rsidRPr="00CF39C8" w:rsidRDefault="00AE3241">
      <w:pPr>
        <w:rPr>
          <w:rFonts w:asciiTheme="majorHAnsi" w:hAnsiTheme="majorHAnsi" w:cstheme="majorHAnsi"/>
        </w:rPr>
      </w:pPr>
      <w:r w:rsidRPr="00CF39C8">
        <w:rPr>
          <w:rFonts w:asciiTheme="majorHAnsi" w:hAnsiTheme="majorHAnsi" w:cstheme="majorHAnsi"/>
        </w:rPr>
        <w:br w:type="page"/>
      </w:r>
    </w:p>
    <w:p w14:paraId="0566F504" w14:textId="77777777" w:rsidR="00AE3241" w:rsidRPr="00CF39C8" w:rsidRDefault="00AE3241" w:rsidP="00430317">
      <w:pPr>
        <w:pStyle w:val="Heading1"/>
        <w:numPr>
          <w:ilvl w:val="0"/>
          <w:numId w:val="69"/>
        </w:numPr>
      </w:pPr>
      <w:bookmarkStart w:id="163" w:name="_Toc146622480"/>
      <w:bookmarkStart w:id="164" w:name="_Toc161837654"/>
      <w:bookmarkStart w:id="165" w:name="_Toc161933152"/>
      <w:bookmarkStart w:id="166" w:name="_Toc162276459"/>
      <w:bookmarkStart w:id="167" w:name="_Toc163221055"/>
      <w:bookmarkEnd w:id="149"/>
      <w:r w:rsidRPr="00CF39C8">
        <w:t xml:space="preserve">What </w:t>
      </w:r>
      <w:r w:rsidR="007E3537" w:rsidRPr="00CF39C8">
        <w:t xml:space="preserve">policy </w:t>
      </w:r>
      <w:r w:rsidRPr="00CF39C8">
        <w:t xml:space="preserve">options are </w:t>
      </w:r>
      <w:r w:rsidR="00C45EA0" w:rsidRPr="00CF39C8">
        <w:t xml:space="preserve">you </w:t>
      </w:r>
      <w:r w:rsidRPr="00CF39C8">
        <w:t>considering?</w:t>
      </w:r>
      <w:bookmarkEnd w:id="163"/>
      <w:bookmarkEnd w:id="164"/>
      <w:bookmarkEnd w:id="165"/>
      <w:bookmarkEnd w:id="166"/>
      <w:bookmarkEnd w:id="167"/>
    </w:p>
    <w:p w14:paraId="59D24CCE" w14:textId="77777777" w:rsidR="00AE3241" w:rsidRPr="00CF39C8" w:rsidRDefault="00AE3241" w:rsidP="0090595A">
      <w:pPr>
        <w:rPr>
          <w:rFonts w:asciiTheme="majorHAnsi" w:hAnsiTheme="majorHAnsi" w:cstheme="majorHAnsi"/>
        </w:rPr>
      </w:pPr>
      <w:r w:rsidRPr="00CF39C8">
        <w:rPr>
          <w:rFonts w:asciiTheme="majorHAnsi" w:hAnsiTheme="majorHAnsi" w:cstheme="majorHAnsi"/>
        </w:rPr>
        <w:t xml:space="preserve">As outlined in </w:t>
      </w:r>
      <w:r w:rsidR="00C743B5" w:rsidRPr="00C743B5">
        <w:rPr>
          <w:rFonts w:asciiTheme="majorHAnsi" w:hAnsiTheme="majorHAnsi" w:cstheme="majorHAnsi"/>
        </w:rPr>
        <w:t>so far</w:t>
      </w:r>
      <w:r w:rsidRPr="00CF39C8">
        <w:rPr>
          <w:rFonts w:asciiTheme="majorHAnsi" w:hAnsiTheme="majorHAnsi" w:cstheme="majorHAnsi"/>
        </w:rPr>
        <w:t xml:space="preserve">, the primary objective of </w:t>
      </w:r>
      <w:r w:rsidR="00C96BFE" w:rsidRPr="00CF39C8">
        <w:rPr>
          <w:rFonts w:asciiTheme="majorHAnsi" w:hAnsiTheme="majorHAnsi" w:cstheme="majorHAnsi"/>
        </w:rPr>
        <w:t>G</w:t>
      </w:r>
      <w:r w:rsidRPr="00CF39C8">
        <w:rPr>
          <w:rFonts w:asciiTheme="majorHAnsi" w:hAnsiTheme="majorHAnsi" w:cstheme="majorHAnsi"/>
        </w:rPr>
        <w:t>overnment action is to reduce CO</w:t>
      </w:r>
      <w:r w:rsidRPr="00CF39C8">
        <w:rPr>
          <w:rFonts w:asciiTheme="majorHAnsi" w:hAnsiTheme="majorHAnsi" w:cstheme="majorHAnsi"/>
          <w:vertAlign w:val="subscript"/>
        </w:rPr>
        <w:t>2</w:t>
      </w:r>
      <w:r w:rsidRPr="00CF39C8">
        <w:rPr>
          <w:rFonts w:asciiTheme="majorHAnsi" w:hAnsiTheme="majorHAnsi" w:cstheme="majorHAnsi"/>
        </w:rPr>
        <w:t xml:space="preserve"> emissions</w:t>
      </w:r>
      <w:r w:rsidR="000F621A" w:rsidRPr="00CF39C8">
        <w:rPr>
          <w:rFonts w:asciiTheme="majorHAnsi" w:hAnsiTheme="majorHAnsi" w:cstheme="majorHAnsi"/>
        </w:rPr>
        <w:t xml:space="preserve"> from new cars. </w:t>
      </w:r>
      <w:r w:rsidRPr="00CF39C8">
        <w:rPr>
          <w:rFonts w:asciiTheme="majorHAnsi" w:hAnsiTheme="majorHAnsi" w:cstheme="majorHAnsi"/>
        </w:rPr>
        <w:t xml:space="preserve">This chapter sets out: </w:t>
      </w:r>
    </w:p>
    <w:p w14:paraId="73D95712" w14:textId="77777777" w:rsidR="001E51D3" w:rsidRDefault="001E51D3" w:rsidP="00046554">
      <w:pPr>
        <w:pStyle w:val="ListParagraph"/>
        <w:numPr>
          <w:ilvl w:val="0"/>
          <w:numId w:val="19"/>
        </w:numPr>
        <w:rPr>
          <w:rFonts w:asciiTheme="majorHAnsi" w:hAnsiTheme="majorHAnsi" w:cstheme="majorHAnsi"/>
        </w:rPr>
      </w:pPr>
      <w:r>
        <w:rPr>
          <w:rFonts w:asciiTheme="majorHAnsi" w:hAnsiTheme="majorHAnsi" w:cstheme="majorHAnsi"/>
        </w:rPr>
        <w:t xml:space="preserve">A brief overview of options </w:t>
      </w:r>
    </w:p>
    <w:p w14:paraId="73EE3E61" w14:textId="77777777" w:rsidR="00046554" w:rsidRDefault="00046554" w:rsidP="00046554">
      <w:pPr>
        <w:pStyle w:val="ListParagraph"/>
        <w:numPr>
          <w:ilvl w:val="0"/>
          <w:numId w:val="19"/>
        </w:numPr>
        <w:rPr>
          <w:rFonts w:asciiTheme="majorHAnsi" w:hAnsiTheme="majorHAnsi" w:cstheme="majorHAnsi"/>
        </w:rPr>
      </w:pPr>
      <w:r w:rsidRPr="00CF39C8">
        <w:rPr>
          <w:rFonts w:asciiTheme="majorHAnsi" w:hAnsiTheme="majorHAnsi" w:cstheme="majorHAnsi"/>
        </w:rPr>
        <w:t>What the baseline, or business as usual/do nothing, scenario is.</w:t>
      </w:r>
    </w:p>
    <w:p w14:paraId="15DBFE5C" w14:textId="77777777" w:rsidR="00AE3241" w:rsidRPr="00CF39C8" w:rsidRDefault="000F621A" w:rsidP="003346F9">
      <w:pPr>
        <w:pStyle w:val="ListParagraph"/>
        <w:numPr>
          <w:ilvl w:val="0"/>
          <w:numId w:val="19"/>
        </w:numPr>
        <w:rPr>
          <w:rFonts w:asciiTheme="majorHAnsi" w:hAnsiTheme="majorHAnsi" w:cstheme="majorHAnsi"/>
        </w:rPr>
      </w:pPr>
      <w:r w:rsidRPr="00CF39C8">
        <w:rPr>
          <w:rFonts w:asciiTheme="majorHAnsi" w:hAnsiTheme="majorHAnsi" w:cstheme="majorHAnsi"/>
        </w:rPr>
        <w:t>The key mechanism under review - a</w:t>
      </w:r>
      <w:r w:rsidR="00AE3241" w:rsidRPr="00CF39C8">
        <w:rPr>
          <w:rFonts w:asciiTheme="majorHAnsi" w:hAnsiTheme="majorHAnsi" w:cstheme="majorHAnsi"/>
        </w:rPr>
        <w:t xml:space="preserve"> </w:t>
      </w:r>
      <w:r w:rsidR="001E51D3">
        <w:rPr>
          <w:rFonts w:asciiTheme="majorHAnsi" w:hAnsiTheme="majorHAnsi" w:cstheme="majorHAnsi"/>
        </w:rPr>
        <w:t>New Vehicle Efficiency Standard (</w:t>
      </w:r>
      <w:r w:rsidR="00D612C1" w:rsidRPr="00CF39C8">
        <w:rPr>
          <w:rFonts w:asciiTheme="majorHAnsi" w:hAnsiTheme="majorHAnsi" w:cstheme="majorHAnsi"/>
        </w:rPr>
        <w:t>NVES</w:t>
      </w:r>
      <w:r w:rsidR="001E51D3">
        <w:rPr>
          <w:rFonts w:asciiTheme="majorHAnsi" w:hAnsiTheme="majorHAnsi" w:cstheme="majorHAnsi"/>
        </w:rPr>
        <w:t>)</w:t>
      </w:r>
      <w:r w:rsidRPr="00CF39C8">
        <w:rPr>
          <w:rFonts w:asciiTheme="majorHAnsi" w:hAnsiTheme="majorHAnsi" w:cstheme="majorHAnsi"/>
        </w:rPr>
        <w:t>, and how that mechanism works</w:t>
      </w:r>
      <w:r w:rsidR="00AE3241" w:rsidRPr="00CF39C8">
        <w:rPr>
          <w:rFonts w:asciiTheme="majorHAnsi" w:hAnsiTheme="majorHAnsi" w:cstheme="majorHAnsi"/>
        </w:rPr>
        <w:t>;</w:t>
      </w:r>
      <w:r w:rsidR="001E51D3">
        <w:rPr>
          <w:rFonts w:asciiTheme="majorHAnsi" w:hAnsiTheme="majorHAnsi" w:cstheme="majorHAnsi"/>
        </w:rPr>
        <w:t xml:space="preserve"> and</w:t>
      </w:r>
    </w:p>
    <w:p w14:paraId="33B9D149" w14:textId="77777777" w:rsidR="0032645E" w:rsidRPr="00CF39C8" w:rsidRDefault="0032645E" w:rsidP="003346F9">
      <w:pPr>
        <w:pStyle w:val="ListParagraph"/>
        <w:numPr>
          <w:ilvl w:val="0"/>
          <w:numId w:val="19"/>
        </w:numPr>
        <w:rPr>
          <w:rFonts w:asciiTheme="majorHAnsi" w:hAnsiTheme="majorHAnsi" w:cstheme="majorHAnsi"/>
        </w:rPr>
      </w:pPr>
      <w:r w:rsidRPr="00CF39C8">
        <w:rPr>
          <w:rFonts w:asciiTheme="majorHAnsi" w:hAnsiTheme="majorHAnsi" w:cstheme="majorHAnsi"/>
        </w:rPr>
        <w:t>How we develop</w:t>
      </w:r>
      <w:r w:rsidR="00C14D65" w:rsidRPr="00CF39C8">
        <w:rPr>
          <w:rFonts w:asciiTheme="majorHAnsi" w:hAnsiTheme="majorHAnsi" w:cstheme="majorHAnsi"/>
        </w:rPr>
        <w:t>ed</w:t>
      </w:r>
      <w:r w:rsidRPr="00CF39C8">
        <w:rPr>
          <w:rFonts w:asciiTheme="majorHAnsi" w:hAnsiTheme="majorHAnsi" w:cstheme="majorHAnsi"/>
        </w:rPr>
        <w:t xml:space="preserve"> </w:t>
      </w:r>
      <w:r w:rsidR="000F621A" w:rsidRPr="00CF39C8">
        <w:rPr>
          <w:rFonts w:asciiTheme="majorHAnsi" w:hAnsiTheme="majorHAnsi" w:cstheme="majorHAnsi"/>
        </w:rPr>
        <w:t xml:space="preserve">the </w:t>
      </w:r>
      <w:r w:rsidR="002F3294" w:rsidRPr="00CF39C8">
        <w:rPr>
          <w:rFonts w:asciiTheme="majorHAnsi" w:hAnsiTheme="majorHAnsi" w:cstheme="majorHAnsi"/>
        </w:rPr>
        <w:t>options</w:t>
      </w:r>
      <w:r w:rsidR="001E51D3">
        <w:rPr>
          <w:rFonts w:asciiTheme="majorHAnsi" w:hAnsiTheme="majorHAnsi" w:cstheme="majorHAnsi"/>
        </w:rPr>
        <w:t>.</w:t>
      </w:r>
    </w:p>
    <w:p w14:paraId="7A9EAA65" w14:textId="77777777" w:rsidR="00333BED" w:rsidRPr="00CF39C8" w:rsidRDefault="00001193" w:rsidP="00430317">
      <w:pPr>
        <w:pStyle w:val="Heading2"/>
        <w:numPr>
          <w:ilvl w:val="1"/>
          <w:numId w:val="62"/>
        </w:numPr>
        <w:ind w:hanging="792"/>
        <w:rPr>
          <w:rFonts w:cstheme="majorHAnsi"/>
        </w:rPr>
      </w:pPr>
      <w:bookmarkStart w:id="168" w:name="_Toc161837655"/>
      <w:bookmarkStart w:id="169" w:name="_Toc161933153"/>
      <w:bookmarkStart w:id="170" w:name="_Toc162276460"/>
      <w:bookmarkStart w:id="171" w:name="_Toc163221056"/>
      <w:r>
        <w:rPr>
          <w:rFonts w:cstheme="majorHAnsi"/>
        </w:rPr>
        <w:t>Overview</w:t>
      </w:r>
      <w:bookmarkEnd w:id="168"/>
      <w:bookmarkEnd w:id="169"/>
      <w:bookmarkEnd w:id="170"/>
      <w:bookmarkEnd w:id="171"/>
    </w:p>
    <w:p w14:paraId="33FBCC78" w14:textId="77777777" w:rsidR="00240F13" w:rsidRPr="00CF39C8" w:rsidRDefault="00240F13" w:rsidP="00C212F1">
      <w:pPr>
        <w:rPr>
          <w:rFonts w:asciiTheme="majorHAnsi" w:hAnsiTheme="majorHAnsi" w:cstheme="majorHAnsi"/>
        </w:rPr>
      </w:pPr>
      <w:r w:rsidRPr="00CF39C8">
        <w:rPr>
          <w:rFonts w:asciiTheme="majorHAnsi" w:hAnsiTheme="majorHAnsi" w:cstheme="majorHAnsi"/>
        </w:rPr>
        <w:t xml:space="preserve">In the Cleaner </w:t>
      </w:r>
      <w:r w:rsidR="00DD6A6C" w:rsidRPr="00CF39C8">
        <w:rPr>
          <w:rFonts w:asciiTheme="majorHAnsi" w:hAnsiTheme="majorHAnsi" w:cstheme="majorHAnsi"/>
        </w:rPr>
        <w:t>C</w:t>
      </w:r>
      <w:r w:rsidRPr="00CF39C8">
        <w:rPr>
          <w:rFonts w:asciiTheme="majorHAnsi" w:hAnsiTheme="majorHAnsi" w:cstheme="majorHAnsi"/>
        </w:rPr>
        <w:t>ars consultation paper</w:t>
      </w:r>
      <w:r w:rsidR="00BD3800">
        <w:rPr>
          <w:rFonts w:asciiTheme="majorHAnsi" w:hAnsiTheme="majorHAnsi" w:cstheme="majorHAnsi"/>
        </w:rPr>
        <w:t xml:space="preserve"> (April 2023)</w:t>
      </w:r>
      <w:r w:rsidRPr="00CF39C8">
        <w:rPr>
          <w:rFonts w:asciiTheme="majorHAnsi" w:hAnsiTheme="majorHAnsi" w:cstheme="majorHAnsi"/>
        </w:rPr>
        <w:t xml:space="preserve">, we asked what </w:t>
      </w:r>
      <w:r w:rsidR="00D612C1" w:rsidRPr="00CF39C8">
        <w:rPr>
          <w:rFonts w:asciiTheme="majorHAnsi" w:hAnsiTheme="majorHAnsi" w:cstheme="majorHAnsi"/>
        </w:rPr>
        <w:t>NVES</w:t>
      </w:r>
      <w:r w:rsidRPr="00CF39C8">
        <w:rPr>
          <w:rFonts w:asciiTheme="majorHAnsi" w:hAnsiTheme="majorHAnsi" w:cstheme="majorHAnsi"/>
        </w:rPr>
        <w:t xml:space="preserve"> options we should consider. The responses we received discussed individual design features, and in some cases offered a comprehensive model. We considered the merits of each design feature individually, and collectively, based on stakeholder feedback and analysis of the best international research on </w:t>
      </w:r>
      <w:r w:rsidR="001071CD" w:rsidRPr="00CF39C8">
        <w:rPr>
          <w:rFonts w:asciiTheme="majorHAnsi" w:hAnsiTheme="majorHAnsi" w:cstheme="majorHAnsi"/>
        </w:rPr>
        <w:t>NEVSs</w:t>
      </w:r>
      <w:r w:rsidR="00D612C1" w:rsidRPr="00CF39C8" w:rsidDel="00D612C1">
        <w:rPr>
          <w:rFonts w:asciiTheme="majorHAnsi" w:hAnsiTheme="majorHAnsi" w:cstheme="majorHAnsi"/>
        </w:rPr>
        <w:t xml:space="preserve"> </w:t>
      </w:r>
      <w:r w:rsidRPr="00CF39C8">
        <w:rPr>
          <w:rFonts w:asciiTheme="majorHAnsi" w:hAnsiTheme="majorHAnsi" w:cstheme="majorHAnsi"/>
        </w:rPr>
        <w:t xml:space="preserve">to inform the options we </w:t>
      </w:r>
      <w:r w:rsidR="007E7962" w:rsidRPr="00CF39C8">
        <w:rPr>
          <w:rFonts w:asciiTheme="majorHAnsi" w:hAnsiTheme="majorHAnsi" w:cstheme="majorHAnsi"/>
        </w:rPr>
        <w:t>developed</w:t>
      </w:r>
      <w:r w:rsidRPr="00CF39C8">
        <w:rPr>
          <w:rFonts w:asciiTheme="majorHAnsi" w:hAnsiTheme="majorHAnsi" w:cstheme="majorHAnsi"/>
        </w:rPr>
        <w:t xml:space="preserve">. </w:t>
      </w:r>
    </w:p>
    <w:p w14:paraId="5DDFE119" w14:textId="77777777" w:rsidR="00EB2177" w:rsidRPr="00CF39C8" w:rsidRDefault="00240F13" w:rsidP="00240F13">
      <w:pPr>
        <w:rPr>
          <w:rFonts w:asciiTheme="majorHAnsi" w:hAnsiTheme="majorHAnsi" w:cstheme="majorHAnsi"/>
        </w:rPr>
      </w:pPr>
      <w:r w:rsidRPr="00CF39C8">
        <w:rPr>
          <w:rFonts w:asciiTheme="majorHAnsi" w:hAnsiTheme="majorHAnsi" w:cstheme="majorHAnsi"/>
        </w:rPr>
        <w:t>Based on submissions received</w:t>
      </w:r>
      <w:r w:rsidR="007E5D6C" w:rsidRPr="00CF39C8">
        <w:rPr>
          <w:rFonts w:asciiTheme="majorHAnsi" w:hAnsiTheme="majorHAnsi" w:cstheme="majorHAnsi"/>
        </w:rPr>
        <w:t xml:space="preserve"> during our first consultation in 2023</w:t>
      </w:r>
      <w:r w:rsidRPr="00CF39C8">
        <w:rPr>
          <w:rFonts w:asciiTheme="majorHAnsi" w:hAnsiTheme="majorHAnsi" w:cstheme="majorHAnsi"/>
        </w:rPr>
        <w:t>, along with our own analysis</w:t>
      </w:r>
      <w:r w:rsidR="00B82318" w:rsidRPr="00CF39C8">
        <w:rPr>
          <w:rFonts w:asciiTheme="majorHAnsi" w:hAnsiTheme="majorHAnsi" w:cstheme="majorHAnsi"/>
        </w:rPr>
        <w:t>,</w:t>
      </w:r>
      <w:r w:rsidRPr="00CF39C8">
        <w:rPr>
          <w:rFonts w:asciiTheme="majorHAnsi" w:hAnsiTheme="majorHAnsi" w:cstheme="majorHAnsi"/>
        </w:rPr>
        <w:t xml:space="preserve"> we developed three options </w:t>
      </w:r>
      <w:r w:rsidR="003B139A" w:rsidRPr="00CF39C8">
        <w:rPr>
          <w:rFonts w:asciiTheme="majorHAnsi" w:hAnsiTheme="majorHAnsi" w:cstheme="majorHAnsi"/>
        </w:rPr>
        <w:t xml:space="preserve">as </w:t>
      </w:r>
      <w:r w:rsidRPr="00CF39C8">
        <w:rPr>
          <w:rFonts w:asciiTheme="majorHAnsi" w:hAnsiTheme="majorHAnsi" w:cstheme="majorHAnsi"/>
        </w:rPr>
        <w:t xml:space="preserve">set out </w:t>
      </w:r>
      <w:r w:rsidR="007E7962" w:rsidRPr="00CF39C8">
        <w:rPr>
          <w:rFonts w:asciiTheme="majorHAnsi" w:hAnsiTheme="majorHAnsi" w:cstheme="majorHAnsi"/>
        </w:rPr>
        <w:t>b</w:t>
      </w:r>
      <w:r w:rsidRPr="00CF39C8">
        <w:rPr>
          <w:rFonts w:asciiTheme="majorHAnsi" w:hAnsiTheme="majorHAnsi" w:cstheme="majorHAnsi"/>
        </w:rPr>
        <w:t>elow</w:t>
      </w:r>
      <w:r w:rsidR="003B139A" w:rsidRPr="00CF39C8">
        <w:rPr>
          <w:rFonts w:asciiTheme="majorHAnsi" w:hAnsiTheme="majorHAnsi" w:cstheme="majorHAnsi"/>
        </w:rPr>
        <w:t xml:space="preserve"> and published these in February 2024</w:t>
      </w:r>
      <w:r w:rsidR="00BD3E67" w:rsidRPr="00CF39C8">
        <w:rPr>
          <w:rFonts w:asciiTheme="majorHAnsi" w:hAnsiTheme="majorHAnsi" w:cstheme="majorHAnsi"/>
        </w:rPr>
        <w:t xml:space="preserve">. </w:t>
      </w:r>
      <w:r w:rsidR="00EB2177" w:rsidRPr="00CF39C8">
        <w:rPr>
          <w:rFonts w:asciiTheme="majorHAnsi" w:hAnsiTheme="majorHAnsi" w:cstheme="majorHAnsi"/>
        </w:rPr>
        <w:t>None of the options precisely mirror</w:t>
      </w:r>
      <w:r w:rsidR="007E5D6C" w:rsidRPr="00CF39C8">
        <w:rPr>
          <w:rFonts w:asciiTheme="majorHAnsi" w:hAnsiTheme="majorHAnsi" w:cstheme="majorHAnsi"/>
        </w:rPr>
        <w:t>ed</w:t>
      </w:r>
      <w:r w:rsidR="00EB2177" w:rsidRPr="00CF39C8">
        <w:rPr>
          <w:rFonts w:asciiTheme="majorHAnsi" w:hAnsiTheme="majorHAnsi" w:cstheme="majorHAnsi"/>
        </w:rPr>
        <w:t xml:space="preserve"> any particular stakeholder’s views, but represent</w:t>
      </w:r>
      <w:r w:rsidR="00BD3E67" w:rsidRPr="00CF39C8">
        <w:rPr>
          <w:rFonts w:asciiTheme="majorHAnsi" w:hAnsiTheme="majorHAnsi" w:cstheme="majorHAnsi"/>
        </w:rPr>
        <w:t>ed</w:t>
      </w:r>
      <w:r w:rsidR="00EB2177" w:rsidRPr="00CF39C8">
        <w:rPr>
          <w:rFonts w:asciiTheme="majorHAnsi" w:hAnsiTheme="majorHAnsi" w:cstheme="majorHAnsi"/>
        </w:rPr>
        <w:t xml:space="preserve"> groups of positions.  </w:t>
      </w:r>
    </w:p>
    <w:p w14:paraId="70CB5D30" w14:textId="77777777" w:rsidR="009B57D6" w:rsidRPr="00CF39C8" w:rsidRDefault="009B57D6"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Baseline </w:t>
      </w:r>
      <w:r w:rsidR="00BD3E67" w:rsidRPr="00CF39C8">
        <w:rPr>
          <w:rFonts w:asciiTheme="majorHAnsi" w:hAnsiTheme="majorHAnsi" w:cstheme="majorHAnsi"/>
        </w:rPr>
        <w:t>was</w:t>
      </w:r>
      <w:r w:rsidRPr="00CF39C8">
        <w:rPr>
          <w:rFonts w:asciiTheme="majorHAnsi" w:hAnsiTheme="majorHAnsi" w:cstheme="majorHAnsi"/>
        </w:rPr>
        <w:t xml:space="preserve"> the do-nothing scenario which is the forecast of a scenario without a </w:t>
      </w:r>
      <w:r w:rsidR="00D612C1" w:rsidRPr="00CF39C8">
        <w:rPr>
          <w:rFonts w:asciiTheme="majorHAnsi" w:hAnsiTheme="majorHAnsi" w:cstheme="majorHAnsi"/>
        </w:rPr>
        <w:t>NVES</w:t>
      </w:r>
      <w:r w:rsidRPr="00CF39C8">
        <w:rPr>
          <w:rFonts w:asciiTheme="majorHAnsi" w:hAnsiTheme="majorHAnsi" w:cstheme="majorHAnsi"/>
        </w:rPr>
        <w:t>. There are no additional benefits or costs associated with this scenario, and the options below are measured as change against this scenario.</w:t>
      </w:r>
    </w:p>
    <w:p w14:paraId="44C2E3DD" w14:textId="77777777" w:rsidR="00EB2177" w:rsidRPr="00CF39C8" w:rsidRDefault="00DC48C3" w:rsidP="00430317">
      <w:pPr>
        <w:pStyle w:val="ListParagraph"/>
        <w:numPr>
          <w:ilvl w:val="0"/>
          <w:numId w:val="53"/>
        </w:numPr>
        <w:rPr>
          <w:rFonts w:asciiTheme="majorHAnsi" w:hAnsiTheme="majorHAnsi" w:cstheme="majorHAnsi"/>
        </w:rPr>
      </w:pPr>
      <w:r>
        <w:rPr>
          <w:rFonts w:asciiTheme="majorHAnsi" w:hAnsiTheme="majorHAnsi" w:cstheme="majorHAnsi"/>
        </w:rPr>
        <w:t>Option A</w:t>
      </w:r>
      <w:r w:rsidR="00EB2177" w:rsidRPr="00CF39C8">
        <w:rPr>
          <w:rFonts w:asciiTheme="majorHAnsi" w:hAnsiTheme="majorHAnsi" w:cstheme="majorHAnsi"/>
        </w:rPr>
        <w:t xml:space="preserve"> </w:t>
      </w:r>
      <w:r w:rsidR="00BD3E67" w:rsidRPr="00CF39C8">
        <w:rPr>
          <w:rFonts w:asciiTheme="majorHAnsi" w:hAnsiTheme="majorHAnsi" w:cstheme="majorHAnsi"/>
        </w:rPr>
        <w:t>was</w:t>
      </w:r>
      <w:r w:rsidR="00EB2177" w:rsidRPr="00CF39C8">
        <w:rPr>
          <w:rFonts w:asciiTheme="majorHAnsi" w:hAnsiTheme="majorHAnsi" w:cstheme="majorHAnsi"/>
        </w:rPr>
        <w:t xml:space="preserve"> </w:t>
      </w:r>
      <w:r w:rsidR="00BD3E67" w:rsidRPr="00CF39C8">
        <w:rPr>
          <w:rFonts w:asciiTheme="majorHAnsi" w:hAnsiTheme="majorHAnsi" w:cstheme="majorHAnsi"/>
        </w:rPr>
        <w:t xml:space="preserve">the ‘slow start’ option. It is </w:t>
      </w:r>
      <w:r w:rsidR="00EB2177" w:rsidRPr="00CF39C8">
        <w:rPr>
          <w:rFonts w:asciiTheme="majorHAnsi" w:hAnsiTheme="majorHAnsi" w:cstheme="majorHAnsi"/>
        </w:rPr>
        <w:t xml:space="preserve">an amalgamation of views of stakeholders that would prefer a more modest and cautious approach. </w:t>
      </w:r>
    </w:p>
    <w:p w14:paraId="03AC5EA5" w14:textId="77777777" w:rsidR="00EB2177" w:rsidRPr="00CF39C8" w:rsidRDefault="00C12BE2" w:rsidP="00430317">
      <w:pPr>
        <w:pStyle w:val="ListParagraph"/>
        <w:numPr>
          <w:ilvl w:val="0"/>
          <w:numId w:val="53"/>
        </w:numPr>
        <w:rPr>
          <w:rFonts w:asciiTheme="majorHAnsi" w:hAnsiTheme="majorHAnsi" w:cstheme="majorHAnsi"/>
        </w:rPr>
      </w:pPr>
      <w:r>
        <w:rPr>
          <w:rFonts w:asciiTheme="majorHAnsi" w:hAnsiTheme="majorHAnsi" w:cstheme="majorHAnsi"/>
        </w:rPr>
        <w:t>Option B</w:t>
      </w:r>
      <w:r w:rsidR="00EB2177" w:rsidRPr="00CF39C8">
        <w:rPr>
          <w:rFonts w:asciiTheme="majorHAnsi" w:hAnsiTheme="majorHAnsi" w:cstheme="majorHAnsi"/>
        </w:rPr>
        <w:t xml:space="preserve"> </w:t>
      </w:r>
      <w:r w:rsidR="00BD3E67" w:rsidRPr="00CF39C8">
        <w:rPr>
          <w:rFonts w:asciiTheme="majorHAnsi" w:hAnsiTheme="majorHAnsi" w:cstheme="majorHAnsi"/>
        </w:rPr>
        <w:t>was</w:t>
      </w:r>
      <w:r w:rsidR="00EB2177" w:rsidRPr="00CF39C8">
        <w:rPr>
          <w:rFonts w:asciiTheme="majorHAnsi" w:hAnsiTheme="majorHAnsi" w:cstheme="majorHAnsi"/>
        </w:rPr>
        <w:t xml:space="preserve"> the </w:t>
      </w:r>
      <w:r w:rsidR="00BD3E67" w:rsidRPr="00CF39C8">
        <w:rPr>
          <w:rFonts w:asciiTheme="majorHAnsi" w:hAnsiTheme="majorHAnsi" w:cstheme="majorHAnsi"/>
        </w:rPr>
        <w:t xml:space="preserve">fast but flexible start option, and </w:t>
      </w:r>
      <w:r w:rsidR="00AE4BF3">
        <w:rPr>
          <w:rFonts w:asciiTheme="majorHAnsi" w:hAnsiTheme="majorHAnsi" w:cstheme="majorHAnsi"/>
        </w:rPr>
        <w:t xml:space="preserve">was </w:t>
      </w:r>
      <w:r w:rsidR="00D635FC">
        <w:rPr>
          <w:rFonts w:asciiTheme="majorHAnsi" w:hAnsiTheme="majorHAnsi" w:cstheme="majorHAnsi"/>
        </w:rPr>
        <w:t xml:space="preserve">presented as </w:t>
      </w:r>
      <w:r w:rsidR="00AE4BF3">
        <w:rPr>
          <w:rFonts w:asciiTheme="majorHAnsi" w:hAnsiTheme="majorHAnsi" w:cstheme="majorHAnsi"/>
        </w:rPr>
        <w:t>the</w:t>
      </w:r>
      <w:r w:rsidR="00BD3E67" w:rsidRPr="00CF39C8">
        <w:rPr>
          <w:rFonts w:asciiTheme="majorHAnsi" w:hAnsiTheme="majorHAnsi" w:cstheme="majorHAnsi"/>
        </w:rPr>
        <w:t xml:space="preserve"> </w:t>
      </w:r>
      <w:r w:rsidR="00EB2177" w:rsidRPr="00CF39C8">
        <w:rPr>
          <w:rFonts w:asciiTheme="majorHAnsi" w:hAnsiTheme="majorHAnsi" w:cstheme="majorHAnsi"/>
        </w:rPr>
        <w:t>Government’s</w:t>
      </w:r>
      <w:r w:rsidR="00A940F5">
        <w:rPr>
          <w:rFonts w:asciiTheme="majorHAnsi" w:hAnsiTheme="majorHAnsi" w:cstheme="majorHAnsi"/>
        </w:rPr>
        <w:t xml:space="preserve"> best option</w:t>
      </w:r>
      <w:r w:rsidR="00EB2177" w:rsidRPr="00CF39C8">
        <w:rPr>
          <w:rFonts w:asciiTheme="majorHAnsi" w:hAnsiTheme="majorHAnsi" w:cstheme="majorHAnsi"/>
        </w:rPr>
        <w:t xml:space="preserve"> </w:t>
      </w:r>
      <w:r w:rsidR="00D635FC">
        <w:rPr>
          <w:rFonts w:asciiTheme="majorHAnsi" w:hAnsiTheme="majorHAnsi" w:cstheme="majorHAnsi"/>
        </w:rPr>
        <w:t>in the Consultation Impact Analysis (February 2024)</w:t>
      </w:r>
      <w:r w:rsidR="00BD3E67" w:rsidRPr="00CF39C8">
        <w:rPr>
          <w:rFonts w:asciiTheme="majorHAnsi" w:hAnsiTheme="majorHAnsi" w:cstheme="majorHAnsi"/>
        </w:rPr>
        <w:t xml:space="preserve">. It sought to </w:t>
      </w:r>
      <w:r w:rsidR="00B82318" w:rsidRPr="00CF39C8">
        <w:rPr>
          <w:rFonts w:asciiTheme="majorHAnsi" w:hAnsiTheme="majorHAnsi" w:cstheme="majorHAnsi"/>
        </w:rPr>
        <w:t>balance ambition and achievability</w:t>
      </w:r>
      <w:r w:rsidR="00EB2177" w:rsidRPr="00CF39C8">
        <w:rPr>
          <w:rFonts w:asciiTheme="majorHAnsi" w:hAnsiTheme="majorHAnsi" w:cstheme="majorHAnsi"/>
        </w:rPr>
        <w:t xml:space="preserve">. </w:t>
      </w:r>
    </w:p>
    <w:p w14:paraId="06B78CC1" w14:textId="77777777" w:rsidR="00EB2177" w:rsidRPr="00CF39C8" w:rsidRDefault="00C12BE2" w:rsidP="00430317">
      <w:pPr>
        <w:pStyle w:val="ListParagraph"/>
        <w:numPr>
          <w:ilvl w:val="0"/>
          <w:numId w:val="53"/>
        </w:numPr>
        <w:rPr>
          <w:rFonts w:asciiTheme="majorHAnsi" w:hAnsiTheme="majorHAnsi" w:cstheme="majorHAnsi"/>
        </w:rPr>
      </w:pPr>
      <w:r>
        <w:rPr>
          <w:rFonts w:asciiTheme="majorHAnsi" w:hAnsiTheme="majorHAnsi" w:cstheme="majorHAnsi"/>
        </w:rPr>
        <w:t>Option C</w:t>
      </w:r>
      <w:r w:rsidR="00EB2177" w:rsidRPr="00CF39C8">
        <w:rPr>
          <w:rFonts w:asciiTheme="majorHAnsi" w:hAnsiTheme="majorHAnsi" w:cstheme="majorHAnsi"/>
        </w:rPr>
        <w:t xml:space="preserve"> is </w:t>
      </w:r>
      <w:r w:rsidR="00BD3E67" w:rsidRPr="00CF39C8">
        <w:rPr>
          <w:rFonts w:asciiTheme="majorHAnsi" w:hAnsiTheme="majorHAnsi" w:cstheme="majorHAnsi"/>
        </w:rPr>
        <w:t xml:space="preserve">the fast start option, and is </w:t>
      </w:r>
      <w:r w:rsidR="00EB2177" w:rsidRPr="00CF39C8">
        <w:rPr>
          <w:rFonts w:asciiTheme="majorHAnsi" w:hAnsiTheme="majorHAnsi" w:cstheme="majorHAnsi"/>
        </w:rPr>
        <w:t>an amalgamation of views of stakeholders that would prefer the most stringent and ambitious approach</w:t>
      </w:r>
      <w:r w:rsidR="00C351A2" w:rsidRPr="00CF39C8">
        <w:rPr>
          <w:rFonts w:asciiTheme="majorHAnsi" w:hAnsiTheme="majorHAnsi" w:cstheme="majorHAnsi"/>
        </w:rPr>
        <w:t xml:space="preserve"> possible</w:t>
      </w:r>
      <w:r w:rsidR="00EB2177" w:rsidRPr="00CF39C8">
        <w:rPr>
          <w:rFonts w:asciiTheme="majorHAnsi" w:hAnsiTheme="majorHAnsi" w:cstheme="majorHAnsi"/>
        </w:rPr>
        <w:t xml:space="preserve">. </w:t>
      </w:r>
    </w:p>
    <w:p w14:paraId="4A9F6D0D" w14:textId="77777777" w:rsidR="007E5D6C" w:rsidRPr="00CF39C8" w:rsidRDefault="007E5D6C" w:rsidP="007E5D6C">
      <w:pPr>
        <w:rPr>
          <w:rFonts w:asciiTheme="majorHAnsi" w:hAnsiTheme="majorHAnsi" w:cstheme="majorHAnsi"/>
        </w:rPr>
      </w:pPr>
      <w:r w:rsidRPr="00CF39C8">
        <w:rPr>
          <w:rFonts w:asciiTheme="majorHAnsi" w:hAnsiTheme="majorHAnsi" w:cstheme="majorHAnsi"/>
        </w:rPr>
        <w:t xml:space="preserve">In February 2024, we published the consultation version of this Impact Analysis, and set out the detail of these three options. </w:t>
      </w:r>
      <w:r w:rsidR="009068D0" w:rsidRPr="00CF39C8">
        <w:rPr>
          <w:rFonts w:asciiTheme="majorHAnsi" w:hAnsiTheme="majorHAnsi" w:cstheme="majorHAnsi"/>
        </w:rPr>
        <w:t>By the end of the consultation period on 4 March, c</w:t>
      </w:r>
      <w:r w:rsidRPr="00CF39C8">
        <w:rPr>
          <w:rFonts w:asciiTheme="majorHAnsi" w:hAnsiTheme="majorHAnsi" w:cstheme="majorHAnsi"/>
        </w:rPr>
        <w:t xml:space="preserve">lose to </w:t>
      </w:r>
      <w:r w:rsidR="00BD3800">
        <w:rPr>
          <w:rFonts w:asciiTheme="majorHAnsi" w:hAnsiTheme="majorHAnsi" w:cstheme="majorHAnsi"/>
        </w:rPr>
        <w:t>8,900</w:t>
      </w:r>
      <w:r w:rsidRPr="00CF39C8">
        <w:rPr>
          <w:rFonts w:asciiTheme="majorHAnsi" w:hAnsiTheme="majorHAnsi" w:cstheme="majorHAnsi"/>
        </w:rPr>
        <w:t xml:space="preserve"> submissions were received from the Australian community and industry</w:t>
      </w:r>
      <w:r w:rsidR="009068D0" w:rsidRPr="00CF39C8">
        <w:rPr>
          <w:rFonts w:asciiTheme="majorHAnsi" w:hAnsiTheme="majorHAnsi" w:cstheme="majorHAnsi"/>
        </w:rPr>
        <w:t>. F</w:t>
      </w:r>
      <w:r w:rsidRPr="00CF39C8">
        <w:rPr>
          <w:rFonts w:asciiTheme="majorHAnsi" w:hAnsiTheme="majorHAnsi" w:cstheme="majorHAnsi"/>
        </w:rPr>
        <w:t xml:space="preserve">ollowing analysis of this feedback and additional economic modelling, the Government has developed a further option </w:t>
      </w:r>
      <w:r w:rsidR="007D36B7">
        <w:rPr>
          <w:rFonts w:asciiTheme="majorHAnsi" w:hAnsiTheme="majorHAnsi" w:cstheme="majorHAnsi"/>
        </w:rPr>
        <w:t>that is</w:t>
      </w:r>
      <w:r w:rsidRPr="00CF39C8">
        <w:rPr>
          <w:rFonts w:asciiTheme="majorHAnsi" w:hAnsiTheme="majorHAnsi" w:cstheme="majorHAnsi"/>
        </w:rPr>
        <w:t xml:space="preserve"> </w:t>
      </w:r>
      <w:r w:rsidR="00B2224C">
        <w:rPr>
          <w:rFonts w:asciiTheme="majorHAnsi" w:hAnsiTheme="majorHAnsi" w:cstheme="majorHAnsi"/>
        </w:rPr>
        <w:t>considered to be the best</w:t>
      </w:r>
      <w:r w:rsidRPr="00CF39C8">
        <w:rPr>
          <w:rFonts w:asciiTheme="majorHAnsi" w:hAnsiTheme="majorHAnsi" w:cstheme="majorHAnsi"/>
        </w:rPr>
        <w:t xml:space="preserve"> model for the New Vehicle Efficiency Standard.</w:t>
      </w:r>
      <w:r w:rsidR="009068D0" w:rsidRPr="00CF39C8">
        <w:rPr>
          <w:rFonts w:asciiTheme="majorHAnsi" w:hAnsiTheme="majorHAnsi" w:cstheme="majorHAnsi"/>
        </w:rPr>
        <w:t xml:space="preserve"> In this document, we have referred </w:t>
      </w:r>
      <w:r w:rsidR="003A00C5" w:rsidRPr="00CF39C8">
        <w:rPr>
          <w:rFonts w:asciiTheme="majorHAnsi" w:hAnsiTheme="majorHAnsi" w:cstheme="majorHAnsi"/>
        </w:rPr>
        <w:t xml:space="preserve">to </w:t>
      </w:r>
      <w:r w:rsidR="00BF054B">
        <w:rPr>
          <w:rFonts w:asciiTheme="majorHAnsi" w:hAnsiTheme="majorHAnsi" w:cstheme="majorHAnsi"/>
        </w:rPr>
        <w:t xml:space="preserve">as the </w:t>
      </w:r>
      <w:r w:rsidR="00C73B6B">
        <w:rPr>
          <w:rFonts w:asciiTheme="majorHAnsi" w:hAnsiTheme="majorHAnsi" w:cstheme="majorHAnsi"/>
        </w:rPr>
        <w:t xml:space="preserve">best </w:t>
      </w:r>
      <w:r w:rsidR="00BF054B">
        <w:rPr>
          <w:rFonts w:asciiTheme="majorHAnsi" w:hAnsiTheme="majorHAnsi" w:cstheme="majorHAnsi"/>
        </w:rPr>
        <w:t>option</w:t>
      </w:r>
      <w:r w:rsidR="003A00C5" w:rsidRPr="00CF39C8">
        <w:rPr>
          <w:rFonts w:asciiTheme="majorHAnsi" w:hAnsiTheme="majorHAnsi" w:cstheme="majorHAnsi"/>
        </w:rPr>
        <w:t>.</w:t>
      </w:r>
    </w:p>
    <w:p w14:paraId="61277A9D" w14:textId="77777777" w:rsidR="003A00C5" w:rsidRDefault="00BF054B" w:rsidP="007E5D6C">
      <w:pPr>
        <w:rPr>
          <w:rFonts w:asciiTheme="majorHAnsi" w:hAnsiTheme="majorHAnsi" w:cstheme="majorHAnsi"/>
          <w:highlight w:val="yellow"/>
        </w:rPr>
      </w:pPr>
      <w:r>
        <w:rPr>
          <w:rFonts w:asciiTheme="majorHAnsi" w:hAnsiTheme="majorHAnsi" w:cstheme="majorHAnsi"/>
        </w:rPr>
        <w:t xml:space="preserve">The </w:t>
      </w:r>
      <w:r w:rsidR="00C73B6B">
        <w:rPr>
          <w:rFonts w:asciiTheme="majorHAnsi" w:hAnsiTheme="majorHAnsi" w:cstheme="majorHAnsi"/>
        </w:rPr>
        <w:t xml:space="preserve">best </w:t>
      </w:r>
      <w:r>
        <w:rPr>
          <w:rFonts w:asciiTheme="majorHAnsi" w:hAnsiTheme="majorHAnsi" w:cstheme="majorHAnsi"/>
        </w:rPr>
        <w:t>option</w:t>
      </w:r>
      <w:r w:rsidR="00D57E0A" w:rsidRPr="00CF39C8">
        <w:rPr>
          <w:rFonts w:asciiTheme="majorHAnsi" w:hAnsiTheme="majorHAnsi" w:cstheme="majorHAnsi"/>
        </w:rPr>
        <w:t xml:space="preserve"> </w:t>
      </w:r>
      <w:r w:rsidR="003A00C5" w:rsidRPr="00CF39C8">
        <w:rPr>
          <w:rFonts w:asciiTheme="majorHAnsi" w:hAnsiTheme="majorHAnsi" w:cstheme="majorHAnsi"/>
        </w:rPr>
        <w:t xml:space="preserve">is based on </w:t>
      </w:r>
      <w:r w:rsidR="00C12BE2">
        <w:rPr>
          <w:rFonts w:asciiTheme="majorHAnsi" w:hAnsiTheme="majorHAnsi" w:cstheme="majorHAnsi"/>
        </w:rPr>
        <w:t>Option B</w:t>
      </w:r>
      <w:r w:rsidR="003A00C5" w:rsidRPr="00CF39C8">
        <w:rPr>
          <w:rFonts w:asciiTheme="majorHAnsi" w:hAnsiTheme="majorHAnsi" w:cstheme="majorHAnsi"/>
        </w:rPr>
        <w:t xml:space="preserve">, with the addition of some measures that </w:t>
      </w:r>
      <w:r w:rsidR="00793718">
        <w:rPr>
          <w:rFonts w:asciiTheme="majorHAnsi" w:hAnsiTheme="majorHAnsi" w:cstheme="majorHAnsi"/>
        </w:rPr>
        <w:t xml:space="preserve">are intended to </w:t>
      </w:r>
      <w:r w:rsidR="007D36B7">
        <w:rPr>
          <w:rFonts w:asciiTheme="majorHAnsi" w:hAnsiTheme="majorHAnsi" w:cstheme="majorHAnsi"/>
        </w:rPr>
        <w:t>maintain</w:t>
      </w:r>
      <w:r w:rsidR="008D03A2" w:rsidRPr="00CF39C8">
        <w:rPr>
          <w:rFonts w:asciiTheme="majorHAnsi" w:hAnsiTheme="majorHAnsi" w:cstheme="majorHAnsi"/>
        </w:rPr>
        <w:t xml:space="preserve"> the vibrancy and sustainability of the Australian light vehicle market. </w:t>
      </w:r>
      <w:r w:rsidR="000222D8">
        <w:rPr>
          <w:rFonts w:asciiTheme="majorHAnsi" w:hAnsiTheme="majorHAnsi" w:cstheme="majorHAnsi"/>
        </w:rPr>
        <w:t>This includes a series of modest revisions to provide greater flexibility to the vehicle industry to design its compliance approach, particularly for large 4wds and utes</w:t>
      </w:r>
      <w:r w:rsidR="000222D8" w:rsidRPr="007D66CF">
        <w:rPr>
          <w:rFonts w:asciiTheme="majorHAnsi" w:hAnsiTheme="majorHAnsi" w:cstheme="majorHAnsi"/>
        </w:rPr>
        <w:t>.</w:t>
      </w:r>
      <w:r w:rsidR="00722A20" w:rsidRPr="007D66CF">
        <w:rPr>
          <w:rFonts w:asciiTheme="majorHAnsi" w:hAnsiTheme="majorHAnsi" w:cstheme="majorHAnsi"/>
        </w:rPr>
        <w:t xml:space="preserve"> More detail on each of these options is at Chapter 4.4.</w:t>
      </w:r>
    </w:p>
    <w:p w14:paraId="4297D2A5" w14:textId="77777777" w:rsidR="002D4823" w:rsidRPr="00CF39C8" w:rsidRDefault="002D4823" w:rsidP="002D4823">
      <w:pPr>
        <w:rPr>
          <w:color w:val="000000" w:themeColor="text1"/>
        </w:rPr>
      </w:pPr>
      <w:r w:rsidRPr="00CF39C8">
        <w:rPr>
          <w:color w:val="000000" w:themeColor="text1"/>
        </w:rPr>
        <w:t xml:space="preserve">As part of developing primary and secondary legislation, </w:t>
      </w:r>
      <w:r w:rsidRPr="007D66CF">
        <w:rPr>
          <w:color w:val="000000" w:themeColor="text1"/>
        </w:rPr>
        <w:t>detailed work is being undertaken to confirm those vehicle types that will be exempted from a NVES. For the purposes of this document, readers should assume that hea</w:t>
      </w:r>
      <w:r w:rsidRPr="00CF39C8">
        <w:rPr>
          <w:color w:val="000000" w:themeColor="text1"/>
        </w:rPr>
        <w:t>vy vehicles and vehicles subject to heavy vehicle emissions tests (i.e. large trucks), military vehicles, law enforcement vehicles, emergency service vehicles, agricultural, construction or mining equipment, motorhomes, horse trucks and motorcycles, would be exempt</w:t>
      </w:r>
      <w:r w:rsidR="003830D8">
        <w:rPr>
          <w:color w:val="000000" w:themeColor="text1"/>
        </w:rPr>
        <w:t>.</w:t>
      </w:r>
      <w:r>
        <w:rPr>
          <w:rStyle w:val="FootnoteReference"/>
          <w:color w:val="000000" w:themeColor="text1"/>
        </w:rPr>
        <w:footnoteReference w:id="13"/>
      </w:r>
      <w:r w:rsidRPr="00CF39C8">
        <w:rPr>
          <w:color w:val="000000" w:themeColor="text1"/>
        </w:rPr>
        <w:t xml:space="preserve"> </w:t>
      </w:r>
      <w:r>
        <w:rPr>
          <w:color w:val="000000" w:themeColor="text1"/>
        </w:rPr>
        <w:t>I</w:t>
      </w:r>
      <w:r w:rsidRPr="00CF39C8">
        <w:rPr>
          <w:color w:val="000000" w:themeColor="text1"/>
        </w:rPr>
        <w:t>t is our intention to capture vehicles sold to the general public</w:t>
      </w:r>
      <w:r>
        <w:rPr>
          <w:color w:val="000000" w:themeColor="text1"/>
        </w:rPr>
        <w:t xml:space="preserve"> - w</w:t>
      </w:r>
      <w:r w:rsidRPr="00CF39C8">
        <w:rPr>
          <w:color w:val="000000" w:themeColor="text1"/>
        </w:rPr>
        <w:t xml:space="preserve">e intend that any vehicle that would require a special licence (such as a heavy vehicle licence) would not be captured. Note that our focus has been on vehicles entered into the Register of Approved Vehicles through the type approval pathway. </w:t>
      </w:r>
      <w:r w:rsidRPr="007D66CF">
        <w:rPr>
          <w:color w:val="000000" w:themeColor="text1"/>
        </w:rPr>
        <w:t>See Chapter 7 for more</w:t>
      </w:r>
      <w:r w:rsidRPr="00CF39C8">
        <w:rPr>
          <w:color w:val="000000" w:themeColor="text1"/>
        </w:rPr>
        <w:t xml:space="preserve"> detail.</w:t>
      </w:r>
    </w:p>
    <w:p w14:paraId="5578D636" w14:textId="77777777" w:rsidR="002D4823" w:rsidRPr="00CF39C8" w:rsidRDefault="002D4823" w:rsidP="007E5D6C">
      <w:pPr>
        <w:rPr>
          <w:rFonts w:asciiTheme="majorHAnsi" w:hAnsiTheme="majorHAnsi" w:cstheme="majorHAnsi"/>
        </w:rPr>
      </w:pPr>
    </w:p>
    <w:p w14:paraId="17BEC065" w14:textId="77777777" w:rsidR="009B57D6" w:rsidRPr="00CF39C8" w:rsidRDefault="009B57D6" w:rsidP="00430317">
      <w:pPr>
        <w:pStyle w:val="Heading2"/>
        <w:numPr>
          <w:ilvl w:val="1"/>
          <w:numId w:val="62"/>
        </w:numPr>
        <w:ind w:hanging="792"/>
        <w:rPr>
          <w:rFonts w:cstheme="majorHAnsi"/>
        </w:rPr>
      </w:pPr>
      <w:bookmarkStart w:id="172" w:name="_Toc161837656"/>
      <w:bookmarkStart w:id="173" w:name="_Toc161933154"/>
      <w:bookmarkStart w:id="174" w:name="_Toc162276461"/>
      <w:bookmarkStart w:id="175" w:name="_Toc163221057"/>
      <w:r w:rsidRPr="00CF39C8">
        <w:rPr>
          <w:rFonts w:cstheme="majorHAnsi"/>
        </w:rPr>
        <w:t xml:space="preserve">What is the </w:t>
      </w:r>
      <w:r w:rsidR="00AD5E53" w:rsidRPr="00CF39C8">
        <w:rPr>
          <w:rFonts w:cstheme="majorHAnsi"/>
        </w:rPr>
        <w:t xml:space="preserve">business-as-usual </w:t>
      </w:r>
      <w:r w:rsidRPr="00CF39C8">
        <w:rPr>
          <w:rFonts w:cstheme="majorHAnsi"/>
        </w:rPr>
        <w:t>scenario?</w:t>
      </w:r>
      <w:bookmarkEnd w:id="172"/>
      <w:bookmarkEnd w:id="173"/>
      <w:bookmarkEnd w:id="174"/>
      <w:bookmarkEnd w:id="175"/>
    </w:p>
    <w:p w14:paraId="0BE78FF4" w14:textId="77777777" w:rsidR="009B57D6" w:rsidRPr="00CF39C8" w:rsidRDefault="009B57D6" w:rsidP="009B57D6">
      <w:pPr>
        <w:spacing w:before="40"/>
        <w:rPr>
          <w:rFonts w:asciiTheme="majorHAnsi" w:hAnsiTheme="majorHAnsi" w:cstheme="majorHAnsi"/>
        </w:rPr>
      </w:pPr>
      <w:r w:rsidRPr="00CF39C8">
        <w:rPr>
          <w:rFonts w:asciiTheme="majorHAnsi" w:hAnsiTheme="majorHAnsi" w:cstheme="majorHAnsi"/>
        </w:rPr>
        <w:t>The Government requires all impact analyses to include an analysis of a business-as-usual (BAU) option to act as a benchmark. The cost benefit analysis (CBA) for any remaining options is then calculated relative to this, so what would have happened under existing policy settings is not attributed to any proposed intervention.</w:t>
      </w:r>
    </w:p>
    <w:p w14:paraId="4D8A2C07" w14:textId="77777777" w:rsidR="00304D18" w:rsidRPr="00CF39C8" w:rsidRDefault="009B57D6" w:rsidP="009B57D6">
      <w:pPr>
        <w:spacing w:before="40"/>
        <w:rPr>
          <w:rFonts w:asciiTheme="majorHAnsi" w:hAnsiTheme="majorHAnsi" w:cstheme="majorHAnsi"/>
        </w:rPr>
      </w:pPr>
      <w:r w:rsidRPr="00CF39C8">
        <w:rPr>
          <w:rFonts w:asciiTheme="majorHAnsi" w:hAnsiTheme="majorHAnsi" w:cstheme="majorHAnsi"/>
        </w:rPr>
        <w:t>Under a BAU option, the Government would not intervene further and instead rely on existing policies</w:t>
      </w:r>
      <w:r w:rsidR="00304D18" w:rsidRPr="00CF39C8">
        <w:rPr>
          <w:rFonts w:asciiTheme="majorHAnsi" w:hAnsiTheme="majorHAnsi" w:cstheme="majorHAnsi"/>
        </w:rPr>
        <w:t xml:space="preserve"> (or lack thereof)</w:t>
      </w:r>
      <w:r w:rsidRPr="00CF39C8">
        <w:rPr>
          <w:rFonts w:asciiTheme="majorHAnsi" w:hAnsiTheme="majorHAnsi" w:cstheme="majorHAnsi"/>
        </w:rPr>
        <w:t xml:space="preserve"> to improve abatement from new cars. There is no existing </w:t>
      </w:r>
      <w:r w:rsidR="00304D18" w:rsidRPr="00CF39C8">
        <w:rPr>
          <w:rFonts w:asciiTheme="majorHAnsi" w:hAnsiTheme="majorHAnsi" w:cstheme="majorHAnsi"/>
        </w:rPr>
        <w:t xml:space="preserve">Government </w:t>
      </w:r>
      <w:r w:rsidRPr="00CF39C8">
        <w:rPr>
          <w:rFonts w:asciiTheme="majorHAnsi" w:hAnsiTheme="majorHAnsi" w:cstheme="majorHAnsi"/>
        </w:rPr>
        <w:t>policy to require any form of CO</w:t>
      </w:r>
      <w:r w:rsidRPr="00CF39C8">
        <w:rPr>
          <w:rFonts w:asciiTheme="majorHAnsi" w:hAnsiTheme="majorHAnsi" w:cstheme="majorHAnsi"/>
          <w:vertAlign w:val="subscript"/>
        </w:rPr>
        <w:t>2</w:t>
      </w:r>
      <w:r w:rsidRPr="00CF39C8">
        <w:rPr>
          <w:rFonts w:asciiTheme="majorHAnsi" w:hAnsiTheme="majorHAnsi" w:cstheme="majorHAnsi"/>
        </w:rPr>
        <w:t xml:space="preserve"> performance by vehicle manufacturers, or their Australian suppliers. </w:t>
      </w:r>
    </w:p>
    <w:p w14:paraId="48C7DEB6" w14:textId="77777777" w:rsidR="00304D18" w:rsidRPr="00CF39C8" w:rsidRDefault="00304D18" w:rsidP="00304D18">
      <w:pPr>
        <w:spacing w:before="40"/>
        <w:rPr>
          <w:rFonts w:asciiTheme="majorHAnsi" w:hAnsiTheme="majorHAnsi" w:cstheme="majorHAnsi"/>
        </w:rPr>
      </w:pPr>
      <w:r w:rsidRPr="00CF39C8">
        <w:rPr>
          <w:rFonts w:asciiTheme="majorHAnsi" w:hAnsiTheme="majorHAnsi" w:cstheme="majorHAnsi"/>
        </w:rPr>
        <w:t xml:space="preserve">The Federal Chamber of Automotive Industries (FCAI) and its member entities (car manufacturers) adopted a voluntary fuel efficiency standard for new cars in </w:t>
      </w:r>
      <w:r w:rsidR="003B139A" w:rsidRPr="00CF39C8">
        <w:rPr>
          <w:rFonts w:asciiTheme="majorHAnsi" w:hAnsiTheme="majorHAnsi" w:cstheme="majorHAnsi"/>
        </w:rPr>
        <w:t>2020</w:t>
      </w:r>
      <w:r w:rsidRPr="00CF39C8">
        <w:rPr>
          <w:rFonts w:asciiTheme="majorHAnsi" w:hAnsiTheme="majorHAnsi" w:cstheme="majorHAnsi"/>
        </w:rPr>
        <w:t xml:space="preserve">. Government analysis of the design settings of the voluntary standard and the lack of penalties to incentivise behaviour change, suggest that if the voluntary standard (which is part of this baseline scenario) remains the only fuel efficiency </w:t>
      </w:r>
      <w:r w:rsidR="00AD5E53" w:rsidRPr="00CF39C8">
        <w:rPr>
          <w:rFonts w:asciiTheme="majorHAnsi" w:hAnsiTheme="majorHAnsi" w:cstheme="majorHAnsi"/>
        </w:rPr>
        <w:t>standard in</w:t>
      </w:r>
      <w:r w:rsidRPr="00CF39C8">
        <w:rPr>
          <w:rFonts w:asciiTheme="majorHAnsi" w:hAnsiTheme="majorHAnsi" w:cstheme="majorHAnsi"/>
        </w:rPr>
        <w:t xml:space="preserve"> Australia, that the </w:t>
      </w:r>
      <w:r w:rsidR="00AD5E53" w:rsidRPr="00CF39C8">
        <w:rPr>
          <w:rFonts w:asciiTheme="majorHAnsi" w:hAnsiTheme="majorHAnsi" w:cstheme="majorHAnsi"/>
        </w:rPr>
        <w:t>outcome would be as follows:</w:t>
      </w:r>
      <w:r w:rsidRPr="00CF39C8">
        <w:rPr>
          <w:rFonts w:asciiTheme="majorHAnsi" w:hAnsiTheme="majorHAnsi" w:cstheme="majorHAnsi"/>
        </w:rPr>
        <w:t xml:space="preserve"> </w:t>
      </w:r>
    </w:p>
    <w:p w14:paraId="36B7C19C" w14:textId="77777777" w:rsidR="009B57D6" w:rsidRPr="00CF39C8" w:rsidRDefault="00AD5E53" w:rsidP="00430317">
      <w:pPr>
        <w:pStyle w:val="ListParagraph"/>
        <w:numPr>
          <w:ilvl w:val="0"/>
          <w:numId w:val="53"/>
        </w:numPr>
        <w:rPr>
          <w:rFonts w:asciiTheme="majorHAnsi" w:hAnsiTheme="majorHAnsi" w:cstheme="majorHAnsi"/>
        </w:rPr>
      </w:pPr>
      <w:r w:rsidRPr="00CF39C8">
        <w:rPr>
          <w:rFonts w:asciiTheme="majorHAnsi" w:hAnsiTheme="majorHAnsi" w:cstheme="majorHAnsi"/>
        </w:rPr>
        <w:t>A</w:t>
      </w:r>
      <w:r w:rsidR="009B57D6" w:rsidRPr="00CF39C8">
        <w:rPr>
          <w:rFonts w:asciiTheme="majorHAnsi" w:hAnsiTheme="majorHAnsi" w:cstheme="majorHAnsi"/>
        </w:rPr>
        <w:t xml:space="preserve">ll reduction in emission intensity </w:t>
      </w:r>
      <w:r w:rsidRPr="00CF39C8">
        <w:rPr>
          <w:rFonts w:asciiTheme="majorHAnsi" w:hAnsiTheme="majorHAnsi" w:cstheme="majorHAnsi"/>
        </w:rPr>
        <w:t>would be attributed</w:t>
      </w:r>
      <w:r w:rsidR="009B57D6" w:rsidRPr="00CF39C8">
        <w:rPr>
          <w:rFonts w:asciiTheme="majorHAnsi" w:hAnsiTheme="majorHAnsi" w:cstheme="majorHAnsi"/>
        </w:rPr>
        <w:t xml:space="preserve"> to a modest improvement in ICE efficiency and organic increased </w:t>
      </w:r>
      <w:r w:rsidR="00BF18A0" w:rsidRPr="00CF39C8">
        <w:rPr>
          <w:rFonts w:asciiTheme="majorHAnsi" w:hAnsiTheme="majorHAnsi" w:cstheme="majorHAnsi"/>
        </w:rPr>
        <w:t xml:space="preserve">LZEV </w:t>
      </w:r>
      <w:r w:rsidR="009B57D6" w:rsidRPr="00CF39C8">
        <w:rPr>
          <w:rFonts w:asciiTheme="majorHAnsi" w:hAnsiTheme="majorHAnsi" w:cstheme="majorHAnsi"/>
        </w:rPr>
        <w:t>uptake as Australia follows (but lags) global movement to low emissions</w:t>
      </w:r>
      <w:r w:rsidRPr="00CF39C8">
        <w:rPr>
          <w:rFonts w:asciiTheme="majorHAnsi" w:hAnsiTheme="majorHAnsi" w:cstheme="majorHAnsi"/>
        </w:rPr>
        <w:t xml:space="preserve"> vehicles.</w:t>
      </w:r>
      <w:r w:rsidR="009B57D6" w:rsidRPr="00CF39C8">
        <w:rPr>
          <w:rFonts w:asciiTheme="majorHAnsi" w:hAnsiTheme="majorHAnsi" w:cstheme="majorHAnsi"/>
        </w:rPr>
        <w:t xml:space="preserve"> </w:t>
      </w:r>
    </w:p>
    <w:p w14:paraId="428B612D" w14:textId="77777777" w:rsidR="009B57D6" w:rsidRPr="00CF39C8" w:rsidRDefault="00AD5E53"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A </w:t>
      </w:r>
      <w:r w:rsidR="009B57D6" w:rsidRPr="00CF39C8">
        <w:rPr>
          <w:rFonts w:asciiTheme="majorHAnsi" w:hAnsiTheme="majorHAnsi" w:cstheme="majorHAnsi"/>
        </w:rPr>
        <w:t>growing proportion of vehicles entering the Australian market will be hybrids and EVs by virtue of their adoption in overseas markets</w:t>
      </w:r>
      <w:r w:rsidR="00043F00" w:rsidRPr="00CF39C8">
        <w:rPr>
          <w:rFonts w:asciiTheme="majorHAnsi" w:hAnsiTheme="majorHAnsi" w:cstheme="majorHAnsi"/>
        </w:rPr>
        <w:t>.</w:t>
      </w:r>
      <w:r w:rsidR="009B57D6" w:rsidRPr="00CF39C8">
        <w:rPr>
          <w:rFonts w:asciiTheme="majorHAnsi" w:hAnsiTheme="majorHAnsi" w:cstheme="majorHAnsi"/>
        </w:rPr>
        <w:t xml:space="preserve"> However, this would occur at a much slower rate than under a mandated standard, as pressures encourage manufacturers to direct their most efficient vehicles to countries with </w:t>
      </w:r>
      <w:r w:rsidR="00D612C1" w:rsidRPr="00CF39C8">
        <w:rPr>
          <w:rFonts w:asciiTheme="majorHAnsi" w:hAnsiTheme="majorHAnsi" w:cstheme="majorHAnsi"/>
        </w:rPr>
        <w:t>NVES</w:t>
      </w:r>
      <w:r w:rsidR="009B57D6" w:rsidRPr="00CF39C8">
        <w:rPr>
          <w:rFonts w:asciiTheme="majorHAnsi" w:hAnsiTheme="majorHAnsi" w:cstheme="majorHAnsi"/>
        </w:rPr>
        <w:t>s.</w:t>
      </w:r>
    </w:p>
    <w:p w14:paraId="781BDD93" w14:textId="77777777" w:rsidR="00AD5E53" w:rsidRPr="00CF39C8" w:rsidRDefault="009B57D6"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EV uptake </w:t>
      </w:r>
      <w:r w:rsidR="00AD5E53" w:rsidRPr="00CF39C8">
        <w:rPr>
          <w:rFonts w:asciiTheme="majorHAnsi" w:hAnsiTheme="majorHAnsi" w:cstheme="majorHAnsi"/>
        </w:rPr>
        <w:t xml:space="preserve">would be </w:t>
      </w:r>
      <w:r w:rsidRPr="00CF39C8">
        <w:rPr>
          <w:rFonts w:asciiTheme="majorHAnsi" w:hAnsiTheme="majorHAnsi" w:cstheme="majorHAnsi"/>
        </w:rPr>
        <w:t xml:space="preserve">constrained by the limited supply of these vehicles to Australia and the fact that suppliers have strong incentives to divert any supply of EVs and ZEVs into markets with </w:t>
      </w:r>
      <w:r w:rsidR="00001193">
        <w:rPr>
          <w:rFonts w:asciiTheme="majorHAnsi" w:hAnsiTheme="majorHAnsi" w:cstheme="majorHAnsi"/>
        </w:rPr>
        <w:t>fuel efficiency standards for new vehicles</w:t>
      </w:r>
      <w:r w:rsidRPr="00CF39C8">
        <w:rPr>
          <w:rFonts w:asciiTheme="majorHAnsi" w:hAnsiTheme="majorHAnsi" w:cstheme="majorHAnsi"/>
        </w:rPr>
        <w:t xml:space="preserve">. </w:t>
      </w:r>
    </w:p>
    <w:p w14:paraId="601055A0" w14:textId="77777777" w:rsidR="00AD5E53" w:rsidRPr="00CF39C8" w:rsidRDefault="00AD5E53" w:rsidP="00AD5E53">
      <w:pPr>
        <w:pStyle w:val="ListParagraph"/>
        <w:rPr>
          <w:rFonts w:asciiTheme="majorHAnsi" w:hAnsiTheme="majorHAnsi" w:cstheme="majorHAnsi"/>
        </w:rPr>
      </w:pPr>
    </w:p>
    <w:p w14:paraId="6DB1B377" w14:textId="77777777" w:rsidR="009B57D6" w:rsidRPr="00CF39C8" w:rsidRDefault="00001193" w:rsidP="00AD5E53">
      <w:pPr>
        <w:rPr>
          <w:rFonts w:asciiTheme="majorHAnsi" w:hAnsiTheme="majorHAnsi" w:cstheme="majorHAnsi"/>
        </w:rPr>
      </w:pPr>
      <w:r>
        <w:rPr>
          <w:rFonts w:asciiTheme="majorHAnsi" w:hAnsiTheme="majorHAnsi" w:cstheme="majorHAnsi"/>
        </w:rPr>
        <w:t>Under</w:t>
      </w:r>
      <w:r w:rsidR="00AD5E53" w:rsidRPr="00CF39C8">
        <w:rPr>
          <w:rFonts w:asciiTheme="majorHAnsi" w:hAnsiTheme="majorHAnsi" w:cstheme="majorHAnsi"/>
        </w:rPr>
        <w:t xml:space="preserve"> a baseline scenario where the FCAI’s voluntary standard is the only fuel efficiency standard</w:t>
      </w:r>
      <w:r w:rsidR="009B57D6" w:rsidRPr="00CF39C8">
        <w:rPr>
          <w:rFonts w:asciiTheme="majorHAnsi" w:hAnsiTheme="majorHAnsi" w:cstheme="majorHAnsi"/>
        </w:rPr>
        <w:t xml:space="preserve">, </w:t>
      </w:r>
      <w:r w:rsidR="00FB124D" w:rsidRPr="00CF39C8">
        <w:rPr>
          <w:rFonts w:asciiTheme="majorHAnsi" w:hAnsiTheme="majorHAnsi" w:cstheme="majorHAnsi"/>
        </w:rPr>
        <w:t xml:space="preserve">Figure </w:t>
      </w:r>
      <w:r w:rsidR="0023600C">
        <w:rPr>
          <w:rFonts w:asciiTheme="majorHAnsi" w:hAnsiTheme="majorHAnsi" w:cstheme="majorHAnsi"/>
        </w:rPr>
        <w:t xml:space="preserve">7 </w:t>
      </w:r>
      <w:r w:rsidR="009B57D6" w:rsidRPr="00CF39C8">
        <w:rPr>
          <w:rFonts w:asciiTheme="majorHAnsi" w:hAnsiTheme="majorHAnsi" w:cstheme="majorHAnsi"/>
        </w:rPr>
        <w:t>below represents the total amount of emissions expected under BAU.</w:t>
      </w:r>
    </w:p>
    <w:p w14:paraId="553EBBFD" w14:textId="77777777" w:rsidR="009B57D6" w:rsidRPr="00CF39C8" w:rsidRDefault="009B57D6" w:rsidP="009B57D6">
      <w:pPr>
        <w:tabs>
          <w:tab w:val="left" w:pos="8180"/>
        </w:tabs>
        <w:rPr>
          <w:rFonts w:asciiTheme="majorHAnsi" w:hAnsiTheme="majorHAnsi" w:cstheme="majorHAnsi"/>
        </w:rPr>
      </w:pPr>
    </w:p>
    <w:p w14:paraId="62BEB824" w14:textId="77777777" w:rsidR="009B57D6" w:rsidRPr="00CF39C8" w:rsidRDefault="008F1746" w:rsidP="009B57D6">
      <w:pPr>
        <w:keepNext/>
        <w:spacing w:before="40"/>
      </w:pPr>
      <w:r>
        <w:rPr>
          <w:rFonts w:asciiTheme="majorHAnsi" w:hAnsiTheme="majorHAnsi" w:cstheme="majorHAnsi"/>
          <w:noProof/>
          <w:lang w:eastAsia="en-AU"/>
        </w:rPr>
        <w:drawing>
          <wp:inline distT="0" distB="0" distL="0" distR="0" wp14:anchorId="0F5C57D5" wp14:editId="64A22E50">
            <wp:extent cx="5953125" cy="3276600"/>
            <wp:effectExtent l="19050" t="19050" r="28575" b="19050"/>
            <wp:docPr id="29" name="Picture 29" descr="A stacked area chart of the total amount of emissions is expected from a BAU scenario over time. There is a downward trend for PVs and LCVs to 2050.&#10;&#10;Passenger Vehicles/SUV's Mt CO2-e:&#10;2023 = 43.37.&#10;2024 = 45.03.&#10;2025 = 44.66.&#10;2026 = 44.03.&#10;2027 = 43.4.&#10;2028 = 42.72.&#10;2029 = 41.99.&#10;2030 = 41.14.&#10;2031 = 40.16.&#10;2032 = 39.07.&#10;2033 = 37.87.&#10;2034 = 36.54.&#10;2035 = 35.11.&#10;2036 = 33.63.&#10;2037 = 32.08.&#10;2038 = 30.9.&#10;2039 = 28.85.&#10;2040 = 27.17.&#10;2041 = 25.46.&#10;2042 = 23.71.&#10;2043 = 21.93.&#10;2044 = 20.1.&#10;2045 = 18.22.&#10;2046 = 16.38.&#10;2047 = 14.66.&#10;2048 = 13.04.&#10;2049 = 11.54.&#10;2050 = 10.17.&#10;&#10;Light commercial vehicles Mt CO2-e:&#10;2023 = 16.64.&#10;2024 = 17.24.&#10;2025 = 17.7.&#10;2026 = 18.08.&#10;2027 = 18.39.&#10;2028 = 18.72.&#10;2029 = 19.02.&#10;2030 = 19.14.&#10;2031 = 19.21.&#10;2032 = 19.2.&#10;2033 = 19.13.&#10;2034 = 19.02.&#10;2035 = 18.81.&#10;2036 = 18.49.&#10;2037 = 18.1.&#10;2038 = 17.62.&#10;2039 = 17.05.&#10;2040 = 16.38.&#10;2041 = 15.62.&#10;2042 = 14.76.&#10;2043 = 13.77.&#10;2044 = 12.76.&#10;2045 = 11.72.&#10;2046 = 10.7.&#10;2047 = 9.74.&#10;2048 = 8.84.&#10;2049 = 7.99.&#10;2050 = 7.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3276600"/>
                    </a:xfrm>
                    <a:prstGeom prst="rect">
                      <a:avLst/>
                    </a:prstGeom>
                    <a:noFill/>
                    <a:ln>
                      <a:solidFill>
                        <a:schemeClr val="tx1"/>
                      </a:solidFill>
                    </a:ln>
                  </pic:spPr>
                </pic:pic>
              </a:graphicData>
            </a:graphic>
          </wp:inline>
        </w:drawing>
      </w:r>
    </w:p>
    <w:p w14:paraId="49AB381C" w14:textId="77777777" w:rsidR="009B57D6" w:rsidRPr="00CF39C8" w:rsidRDefault="009B57D6" w:rsidP="009B57D6">
      <w:pPr>
        <w:pStyle w:val="Caption"/>
        <w:rPr>
          <w:rFonts w:asciiTheme="majorHAnsi" w:hAnsiTheme="majorHAnsi" w:cstheme="majorHAnsi"/>
          <w:highlight w:val="yellow"/>
        </w:rPr>
      </w:pPr>
      <w:bookmarkStart w:id="176" w:name="_Toc161837757"/>
      <w:bookmarkStart w:id="177" w:name="_Toc161933205"/>
      <w:bookmarkStart w:id="178" w:name="_Toc163221105"/>
      <w:r w:rsidRPr="00CF39C8">
        <w:t xml:space="preserve">Figure </w:t>
      </w:r>
      <w:r w:rsidR="002D5876">
        <w:t>7</w:t>
      </w:r>
      <w:r w:rsidRPr="00CF39C8">
        <w:t xml:space="preserve"> </w:t>
      </w:r>
      <w:r w:rsidRPr="00CF39C8">
        <w:rPr>
          <w:b w:val="0"/>
        </w:rPr>
        <w:t>– Total amount of emissions expected from BAU</w:t>
      </w:r>
      <w:bookmarkEnd w:id="176"/>
      <w:bookmarkEnd w:id="177"/>
      <w:bookmarkEnd w:id="178"/>
    </w:p>
    <w:p w14:paraId="48946DC0" w14:textId="77777777" w:rsidR="00AF5959" w:rsidRDefault="00AF5959" w:rsidP="00AF5959">
      <w:pPr>
        <w:rPr>
          <w:rFonts w:asciiTheme="majorHAnsi" w:hAnsiTheme="majorHAnsi" w:cstheme="majorHAnsi"/>
        </w:rPr>
      </w:pPr>
      <w:r w:rsidRPr="00CF39C8">
        <w:rPr>
          <w:rFonts w:asciiTheme="majorHAnsi" w:hAnsiTheme="majorHAnsi" w:cstheme="majorHAnsi"/>
        </w:rPr>
        <w:t>This forecast is based on a synthesis of projections from Bloomberg New Energy Finance and the Department of Climate Change, Energy, the Environment and Water (</w:t>
      </w:r>
      <w:r w:rsidRPr="00406FBB">
        <w:rPr>
          <w:rFonts w:asciiTheme="majorHAnsi" w:hAnsiTheme="majorHAnsi" w:cstheme="majorHAnsi"/>
        </w:rPr>
        <w:t>see Appendix B</w:t>
      </w:r>
      <w:r w:rsidRPr="00CF39C8">
        <w:rPr>
          <w:rFonts w:asciiTheme="majorHAnsi" w:hAnsiTheme="majorHAnsi" w:cstheme="majorHAnsi"/>
        </w:rPr>
        <w:t xml:space="preserve"> for a full list of assumptions). Assumptions that lead to a higher take up of lower emissions vehicles, would lead to higher benefits and lower costs.</w:t>
      </w:r>
    </w:p>
    <w:p w14:paraId="014347F4" w14:textId="77777777" w:rsidR="00A5062A" w:rsidRDefault="00A5062A" w:rsidP="00A5062A">
      <w:pPr>
        <w:rPr>
          <w:rFonts w:asciiTheme="majorHAnsi" w:hAnsiTheme="majorHAnsi" w:cstheme="majorHAnsi"/>
        </w:rPr>
      </w:pPr>
      <w:r w:rsidRPr="00CF39C8">
        <w:rPr>
          <w:rFonts w:asciiTheme="majorHAnsi" w:hAnsiTheme="majorHAnsi" w:cstheme="majorHAnsi"/>
        </w:rPr>
        <w:t>In the chart</w:t>
      </w:r>
      <w:r>
        <w:rPr>
          <w:rFonts w:asciiTheme="majorHAnsi" w:hAnsiTheme="majorHAnsi" w:cstheme="majorHAnsi"/>
        </w:rPr>
        <w:t xml:space="preserve"> below</w:t>
      </w:r>
      <w:r w:rsidRPr="00CF39C8">
        <w:rPr>
          <w:rFonts w:asciiTheme="majorHAnsi" w:hAnsiTheme="majorHAnsi" w:cstheme="majorHAnsi"/>
        </w:rPr>
        <w:t>, we have plotted what we think the total emissions from PVs and LCVs are out to 2050 under a BAU/FCAI voluntary standard scenario. This shows while emission do reduce over time, as consumers gradually take up more efficient vehicles, the CO</w:t>
      </w:r>
      <w:r w:rsidRPr="007D66CF">
        <w:rPr>
          <w:rFonts w:asciiTheme="majorHAnsi" w:hAnsiTheme="majorHAnsi" w:cstheme="majorHAnsi"/>
          <w:vertAlign w:val="subscript"/>
        </w:rPr>
        <w:t>2</w:t>
      </w:r>
      <w:r w:rsidRPr="00CF39C8">
        <w:rPr>
          <w:rFonts w:asciiTheme="majorHAnsi" w:hAnsiTheme="majorHAnsi" w:cstheme="majorHAnsi"/>
        </w:rPr>
        <w:t xml:space="preserve"> reduction under this scenario will not help Australia to meet its emissions reduction targets and achieve net zero by 2050. Given its importance, we have also plotted the BAU take up of EVs in </w:t>
      </w:r>
      <w:r w:rsidRPr="007D66CF">
        <w:rPr>
          <w:rFonts w:asciiTheme="majorHAnsi" w:hAnsiTheme="majorHAnsi" w:cstheme="majorHAnsi"/>
        </w:rPr>
        <w:t xml:space="preserve">Figure </w:t>
      </w:r>
      <w:r w:rsidR="0023600C">
        <w:rPr>
          <w:rFonts w:asciiTheme="majorHAnsi" w:hAnsiTheme="majorHAnsi" w:cstheme="majorHAnsi"/>
        </w:rPr>
        <w:t>8</w:t>
      </w:r>
      <w:r w:rsidRPr="00CF39C8">
        <w:rPr>
          <w:rFonts w:asciiTheme="majorHAnsi" w:hAnsiTheme="majorHAnsi" w:cstheme="majorHAnsi"/>
        </w:rPr>
        <w:t xml:space="preserve"> below. </w:t>
      </w:r>
    </w:p>
    <w:p w14:paraId="0D2C1005" w14:textId="77777777" w:rsidR="00A5062A" w:rsidRPr="00CF39C8" w:rsidRDefault="00A5062A" w:rsidP="00A5062A">
      <w:pPr>
        <w:rPr>
          <w:rFonts w:asciiTheme="majorHAnsi" w:hAnsiTheme="majorHAnsi" w:cstheme="majorHAnsi"/>
        </w:rPr>
      </w:pPr>
      <w:r w:rsidRPr="00CF39C8">
        <w:rPr>
          <w:noProof/>
          <w:lang w:eastAsia="en-AU"/>
        </w:rPr>
        <w:drawing>
          <wp:inline distT="0" distB="0" distL="0" distR="0" wp14:anchorId="3CD7AC26" wp14:editId="38F3F5A9">
            <wp:extent cx="5867352" cy="3338830"/>
            <wp:effectExtent l="19050" t="19050" r="19685" b="13970"/>
            <wp:docPr id="2054" name="Picture 2054" descr="A line graph of expected EV uptake under a BAU scenario over time. The line increases and plateaus at 100 per cent around 2045.&#10;&#10;2025 = 6%.&#10;2026 = 8%. &#10;2027 = 11%.&#10;2028 = 14%.&#10;2029 = 17%.&#10;2030 = 20%.&#10;2031 = 25%.&#10;2032 = 30%.&#10;2033 = 36%.&#10;2034 = 41%.&#10;2035 = 47%.&#10;2036 = 52%.&#10;2037 = 57%.&#10;2038 = 62%.&#10;2039 = 67%.&#10;2040 = 72%.&#10;2041 = 78%.&#10;2042 = 83%.&#10;2043 =88%. &#10;2044 = 93%.&#10;2045 = 98%.&#10;2046 = 98%.&#10;2047 to 2050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24623" cy="3371420"/>
                    </a:xfrm>
                    <a:prstGeom prst="rect">
                      <a:avLst/>
                    </a:prstGeom>
                    <a:ln w="3175">
                      <a:solidFill>
                        <a:schemeClr val="accent5">
                          <a:lumMod val="75000"/>
                        </a:schemeClr>
                      </a:solidFill>
                    </a:ln>
                  </pic:spPr>
                </pic:pic>
              </a:graphicData>
            </a:graphic>
          </wp:inline>
        </w:drawing>
      </w:r>
    </w:p>
    <w:p w14:paraId="6E6F4204" w14:textId="77777777" w:rsidR="00A5062A" w:rsidRPr="00CF39C8" w:rsidRDefault="00A5062A" w:rsidP="00A5062A">
      <w:pPr>
        <w:pStyle w:val="Caption"/>
        <w:rPr>
          <w:rFonts w:asciiTheme="majorHAnsi" w:hAnsiTheme="majorHAnsi" w:cstheme="majorHAnsi"/>
          <w:highlight w:val="yellow"/>
        </w:rPr>
      </w:pPr>
      <w:bookmarkStart w:id="179" w:name="_Toc161837758"/>
      <w:bookmarkStart w:id="180" w:name="_Toc161933206"/>
      <w:bookmarkStart w:id="181" w:name="_Toc163221106"/>
      <w:r w:rsidRPr="00CF39C8">
        <w:t xml:space="preserve">Figure </w:t>
      </w:r>
      <w:r w:rsidR="002D5876">
        <w:t>8</w:t>
      </w:r>
      <w:r w:rsidRPr="00CF39C8">
        <w:t xml:space="preserve"> </w:t>
      </w:r>
      <w:r w:rsidRPr="00CF39C8">
        <w:rPr>
          <w:b w:val="0"/>
        </w:rPr>
        <w:t>– BAU EV uptake</w:t>
      </w:r>
      <w:bookmarkEnd w:id="179"/>
      <w:bookmarkEnd w:id="180"/>
      <w:bookmarkEnd w:id="181"/>
    </w:p>
    <w:p w14:paraId="3D44939E" w14:textId="77777777" w:rsidR="007D66CF" w:rsidRDefault="007D66CF" w:rsidP="00A5062A">
      <w:pPr>
        <w:rPr>
          <w:rFonts w:cstheme="minorHAnsi"/>
          <w:sz w:val="22"/>
          <w:szCs w:val="22"/>
          <w:highlight w:val="yellow"/>
        </w:rPr>
      </w:pPr>
    </w:p>
    <w:p w14:paraId="0ADFF5E2" w14:textId="77777777" w:rsidR="00A5062A" w:rsidRPr="0081252E" w:rsidRDefault="00A5062A" w:rsidP="00A5062A">
      <w:pPr>
        <w:rPr>
          <w:rFonts w:cstheme="minorHAnsi"/>
          <w:sz w:val="22"/>
          <w:szCs w:val="22"/>
        </w:rPr>
      </w:pPr>
      <w:r w:rsidRPr="0081252E">
        <w:rPr>
          <w:rFonts w:cstheme="minorHAnsi"/>
          <w:sz w:val="22"/>
          <w:szCs w:val="22"/>
        </w:rPr>
        <w:t xml:space="preserve">Under the BAU option, uptake of EVs will continue to increase, however overseas vehicle manufacturers will not have the added incentive to send the best low and zero emissions technology to Australia. </w:t>
      </w:r>
    </w:p>
    <w:p w14:paraId="4CE89EA4" w14:textId="77777777" w:rsidR="00F930B5" w:rsidRDefault="00F930B5" w:rsidP="00F930B5">
      <w:pPr>
        <w:rPr>
          <w:rFonts w:asciiTheme="majorHAnsi" w:hAnsiTheme="majorHAnsi" w:cstheme="majorHAnsi"/>
        </w:rPr>
      </w:pPr>
      <w:r w:rsidRPr="00127EC4">
        <w:rPr>
          <w:rFonts w:asciiTheme="majorHAnsi" w:hAnsiTheme="majorHAnsi" w:cstheme="majorHAnsi"/>
          <w:sz w:val="22"/>
        </w:rPr>
        <w:t xml:space="preserve">There are no additional benefits or costs associated with this as the baseline proposes no change to existing policy settings. Note that all costs </w:t>
      </w:r>
      <w:r w:rsidRPr="00CF39C8">
        <w:rPr>
          <w:rFonts w:asciiTheme="majorHAnsi" w:hAnsiTheme="majorHAnsi" w:cstheme="majorHAnsi"/>
        </w:rPr>
        <w:t>and benefits, including abatement, is calculated relative to the baseline.</w:t>
      </w:r>
    </w:p>
    <w:p w14:paraId="131AD49E" w14:textId="77777777" w:rsidR="00A5062A" w:rsidRDefault="00A5062A" w:rsidP="009B57D6">
      <w:pPr>
        <w:rPr>
          <w:rFonts w:asciiTheme="majorHAnsi" w:hAnsiTheme="majorHAnsi" w:cstheme="majorHAnsi"/>
        </w:rPr>
      </w:pPr>
    </w:p>
    <w:p w14:paraId="075B7F7A" w14:textId="77777777" w:rsidR="00AC4EBC" w:rsidRPr="00AC4EBC" w:rsidRDefault="00AC4EBC" w:rsidP="00430317">
      <w:pPr>
        <w:pStyle w:val="Heading3"/>
        <w:numPr>
          <w:ilvl w:val="2"/>
          <w:numId w:val="57"/>
        </w:numPr>
        <w:ind w:left="709"/>
        <w:rPr>
          <w:rFonts w:cstheme="majorHAnsi"/>
        </w:rPr>
      </w:pPr>
      <w:bookmarkStart w:id="182" w:name="_Toc161837657"/>
      <w:bookmarkStart w:id="183" w:name="_Toc161933155"/>
      <w:bookmarkStart w:id="184" w:name="_Toc162276462"/>
      <w:bookmarkStart w:id="185" w:name="_Toc163221058"/>
      <w:r w:rsidRPr="00CF39C8">
        <w:rPr>
          <w:rFonts w:cstheme="majorHAnsi"/>
        </w:rPr>
        <w:t>Do EVs release more emissions than ICE vehicles over their lifetime?</w:t>
      </w:r>
      <w:bookmarkEnd w:id="182"/>
      <w:bookmarkEnd w:id="183"/>
      <w:bookmarkEnd w:id="184"/>
      <w:bookmarkEnd w:id="185"/>
    </w:p>
    <w:p w14:paraId="5C362922" w14:textId="77777777" w:rsidR="00AC4EBC" w:rsidRPr="00CF39C8" w:rsidRDefault="00AC4EBC" w:rsidP="00AC4EBC">
      <w:pPr>
        <w:pStyle w:val="NormalWeb"/>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 xml:space="preserve">We have heard concerns that EVs don’t add up environmentally over the life of the vehicle. </w:t>
      </w:r>
      <w:r w:rsidRPr="00CF39C8">
        <w:rPr>
          <w:rFonts w:asciiTheme="majorHAnsi" w:hAnsiTheme="majorHAnsi" w:cstheme="majorHAnsi"/>
        </w:rPr>
        <w:t>NVES</w:t>
      </w:r>
      <w:r w:rsidRPr="00CF39C8">
        <w:rPr>
          <w:rFonts w:asciiTheme="minorHAnsi" w:hAnsiTheme="minorHAnsi" w:cstheme="minorHAnsi"/>
          <w:sz w:val="22"/>
          <w:szCs w:val="22"/>
        </w:rPr>
        <w:t xml:space="preserve">s focus on vehicle tailpipe emissions, encouraging the sales of vehicles that use less fuel per kilometre to increase the sale of cleaner, cheaper to run cars. This includes EVs, but also more </w:t>
      </w:r>
      <w:r w:rsidR="007D36B7">
        <w:rPr>
          <w:rFonts w:asciiTheme="minorHAnsi" w:hAnsiTheme="minorHAnsi" w:cstheme="minorHAnsi"/>
          <w:sz w:val="22"/>
          <w:szCs w:val="22"/>
        </w:rPr>
        <w:t xml:space="preserve">hybrids and </w:t>
      </w:r>
      <w:r w:rsidRPr="00CF39C8">
        <w:rPr>
          <w:rFonts w:asciiTheme="minorHAnsi" w:hAnsiTheme="minorHAnsi" w:cstheme="minorHAnsi"/>
          <w:sz w:val="22"/>
          <w:szCs w:val="22"/>
        </w:rPr>
        <w:t xml:space="preserve">fuel-efficient ICE vehicles. The operation of </w:t>
      </w:r>
      <w:r w:rsidRPr="00CF39C8">
        <w:rPr>
          <w:rFonts w:asciiTheme="majorHAnsi" w:hAnsiTheme="majorHAnsi" w:cstheme="majorHAnsi"/>
        </w:rPr>
        <w:t>NVES</w:t>
      </w:r>
      <w:r w:rsidRPr="00CF39C8">
        <w:rPr>
          <w:rFonts w:asciiTheme="minorHAnsi" w:hAnsiTheme="minorHAnsi" w:cstheme="minorHAnsi"/>
          <w:sz w:val="22"/>
          <w:szCs w:val="22"/>
        </w:rPr>
        <w:t xml:space="preserve">s in other global markets do not generally consider the emissions that may be generated in the manufacturing of the vehicle, charging an EV or at the end of a vehicle’s life. There are a number of reputable sources that provide good evidence that EVs have much lower emission than ICE vehicles over their whole lifecycle: </w:t>
      </w:r>
    </w:p>
    <w:p w14:paraId="24D4F7F0" w14:textId="77777777" w:rsidR="00AC4EBC" w:rsidRPr="00CF39C8" w:rsidRDefault="00AC4EBC" w:rsidP="00AC4EBC">
      <w:pPr>
        <w:pStyle w:val="NormalWeb"/>
        <w:spacing w:before="0" w:beforeAutospacing="0" w:after="0" w:afterAutospacing="0"/>
        <w:rPr>
          <w:rFonts w:asciiTheme="minorHAnsi" w:hAnsiTheme="minorHAnsi" w:cstheme="minorHAnsi"/>
          <w:sz w:val="10"/>
          <w:szCs w:val="22"/>
        </w:rPr>
      </w:pPr>
    </w:p>
    <w:p w14:paraId="19386BF6"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Modelling by the Bureau of Infrastructure and Transport Research Economics finds that while manufacturing a new EV may produce more GHG emissions than an internal combustion engine vehicle, this is more than offset after about one year if the vehicle is charged entirely from renewably-sourced electricity (e.g. home solar) and two years if charged from the grid (using a mix of electricity generation sources).</w:t>
      </w:r>
    </w:p>
    <w:p w14:paraId="24927191"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211BA02B"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 xml:space="preserve">International studies also find EVs purchased today produce far fewer emissions over their lifetime than ICE vehicles, even when factoring in battery and car manufacturing emissions, electricity grid emissions from charging, and the emissions from comparable fuel production. This was found in countries with a range of </w:t>
      </w:r>
      <w:r w:rsidRPr="00CF39C8">
        <w:rPr>
          <w:rFonts w:asciiTheme="majorHAnsi" w:hAnsiTheme="majorHAnsi" w:cstheme="majorHAnsi"/>
        </w:rPr>
        <w:t>NVES</w:t>
      </w:r>
      <w:r w:rsidRPr="00CF39C8">
        <w:rPr>
          <w:rFonts w:asciiTheme="minorHAnsi" w:hAnsiTheme="minorHAnsi" w:cstheme="minorHAnsi"/>
          <w:sz w:val="22"/>
          <w:szCs w:val="22"/>
        </w:rPr>
        <w:t xml:space="preserve"> settings, including 66–69% lower in Europe, 65% lower in the UK, 60–69% lower in the United States, 37–45% lower in China, and 19–34% lower in India.</w:t>
      </w:r>
      <w:r w:rsidRPr="00CF39C8">
        <w:rPr>
          <w:rStyle w:val="EndnoteReference"/>
          <w:rFonts w:asciiTheme="minorHAnsi" w:hAnsiTheme="minorHAnsi" w:cstheme="minorHAnsi"/>
          <w:sz w:val="22"/>
          <w:szCs w:val="22"/>
        </w:rPr>
        <w:endnoteReference w:id="35"/>
      </w:r>
      <w:r w:rsidRPr="00CF39C8">
        <w:rPr>
          <w:rFonts w:asciiTheme="minorHAnsi" w:hAnsiTheme="minorHAnsi" w:cstheme="minorHAnsi"/>
          <w:sz w:val="22"/>
          <w:szCs w:val="22"/>
          <w:vertAlign w:val="superscript"/>
        </w:rPr>
        <w:t>,</w:t>
      </w:r>
      <w:r w:rsidRPr="00CF39C8">
        <w:rPr>
          <w:rStyle w:val="EndnoteReference"/>
          <w:rFonts w:asciiTheme="minorHAnsi" w:hAnsiTheme="minorHAnsi" w:cstheme="minorHAnsi"/>
          <w:sz w:val="22"/>
          <w:szCs w:val="22"/>
        </w:rPr>
        <w:endnoteReference w:id="36"/>
      </w:r>
      <w:r w:rsidRPr="00CF39C8">
        <w:rPr>
          <w:rFonts w:asciiTheme="minorHAnsi" w:hAnsiTheme="minorHAnsi" w:cstheme="minorHAnsi"/>
          <w:sz w:val="22"/>
          <w:szCs w:val="22"/>
          <w:vertAlign w:val="superscript"/>
        </w:rPr>
        <w:t>,</w:t>
      </w:r>
      <w:r w:rsidRPr="00CF39C8">
        <w:rPr>
          <w:rStyle w:val="EndnoteReference"/>
          <w:rFonts w:asciiTheme="minorHAnsi" w:hAnsiTheme="minorHAnsi" w:cstheme="minorHAnsi"/>
          <w:sz w:val="22"/>
          <w:szCs w:val="22"/>
        </w:rPr>
        <w:endnoteReference w:id="37"/>
      </w:r>
    </w:p>
    <w:p w14:paraId="3BDC58F4"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0F4D5F7C"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Fully electric vehicles also reduce emissions more than hybrids. Battery electric vehicles reduced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on average by 69% compared to a petrol engine, while hybrids only reduced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on average by 21% and plug-in hybrids saw on average a 26% reduction in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over their lifecycle.</w:t>
      </w:r>
      <w:r w:rsidRPr="00CF39C8">
        <w:rPr>
          <w:rStyle w:val="EndnoteReference"/>
          <w:rFonts w:asciiTheme="minorHAnsi" w:hAnsiTheme="minorHAnsi" w:cstheme="minorHAnsi"/>
          <w:sz w:val="22"/>
          <w:szCs w:val="22"/>
        </w:rPr>
        <w:endnoteReference w:id="38"/>
      </w:r>
      <w:r w:rsidRPr="00CF39C8">
        <w:rPr>
          <w:rFonts w:asciiTheme="minorHAnsi" w:hAnsiTheme="minorHAnsi" w:cstheme="minorHAnsi"/>
          <w:sz w:val="22"/>
          <w:szCs w:val="22"/>
        </w:rPr>
        <w:t xml:space="preserve"> ICCT’s analysis of Europe, US, China and India found that of all vehicle types, battery electric vehicles provided the highest certainty for emissions reduction over the lifetime of vehicles.</w:t>
      </w:r>
      <w:r w:rsidRPr="00CF39C8">
        <w:rPr>
          <w:rStyle w:val="EndnoteReference"/>
          <w:rFonts w:asciiTheme="minorHAnsi" w:hAnsiTheme="minorHAnsi" w:cstheme="minorHAnsi"/>
          <w:sz w:val="22"/>
          <w:szCs w:val="22"/>
        </w:rPr>
        <w:endnoteReference w:id="39"/>
      </w:r>
    </w:p>
    <w:p w14:paraId="2654DF88" w14:textId="77777777" w:rsidR="00AC4EBC" w:rsidRPr="00CF39C8" w:rsidRDefault="00AC4EBC" w:rsidP="00AC4EBC">
      <w:pPr>
        <w:pStyle w:val="NormalWeb"/>
        <w:spacing w:before="0" w:beforeAutospacing="0" w:after="0" w:afterAutospacing="0"/>
        <w:rPr>
          <w:rFonts w:asciiTheme="minorHAnsi" w:hAnsiTheme="minorHAnsi" w:cstheme="minorHAnsi"/>
          <w:b/>
          <w:sz w:val="6"/>
          <w:szCs w:val="22"/>
        </w:rPr>
      </w:pPr>
    </w:p>
    <w:p w14:paraId="211022D3"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Australian research in 2018 found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were 29-41% lower for an EV than for a petrol car.</w:t>
      </w:r>
      <w:r w:rsidRPr="00CF39C8">
        <w:rPr>
          <w:rStyle w:val="EndnoteReference"/>
          <w:rFonts w:asciiTheme="minorHAnsi" w:hAnsiTheme="minorHAnsi" w:cstheme="minorHAnsi"/>
          <w:sz w:val="22"/>
          <w:szCs w:val="22"/>
        </w:rPr>
        <w:endnoteReference w:id="40"/>
      </w:r>
      <w:r w:rsidRPr="00CF39C8">
        <w:rPr>
          <w:rFonts w:asciiTheme="minorHAnsi" w:hAnsiTheme="minorHAnsi" w:cstheme="minorHAnsi"/>
          <w:sz w:val="22"/>
          <w:szCs w:val="22"/>
        </w:rPr>
        <w:t xml:space="preserve"> The analysis found emissions vary depending on your location – for example, the greener Tasmanian energy grid, saw 70-77% less emissions per kilometre driven. As the Australian electricity grid further transitions to renewable energy, the emissions from charging a vehicle will continue to reduce. Future improvements in battery technology, battery manufacturing and end-of-life treatment are also expected to continue to reduce the emissions. </w:t>
      </w:r>
    </w:p>
    <w:p w14:paraId="0314B7E5"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4CDF8B5B"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In 2023, the UN established a working group to develop global standards for measuring the carbon footprint of different vehicles.</w:t>
      </w:r>
      <w:r w:rsidRPr="00CF39C8">
        <w:rPr>
          <w:rStyle w:val="EndnoteReference"/>
          <w:rFonts w:asciiTheme="minorHAnsi" w:hAnsiTheme="minorHAnsi" w:cstheme="minorHAnsi"/>
          <w:sz w:val="22"/>
          <w:szCs w:val="22"/>
        </w:rPr>
        <w:endnoteReference w:id="41"/>
      </w:r>
      <w:r w:rsidRPr="00CF39C8">
        <w:rPr>
          <w:rFonts w:asciiTheme="minorHAnsi" w:hAnsiTheme="minorHAnsi" w:cstheme="minorHAnsi"/>
          <w:sz w:val="22"/>
          <w:szCs w:val="22"/>
        </w:rPr>
        <w:t xml:space="preserve"> The latest EU regulations also include a requirement that a lifecycle assessment methodology is developed for manufactures to use by January 2026.</w:t>
      </w:r>
      <w:r w:rsidRPr="00CF39C8">
        <w:rPr>
          <w:rStyle w:val="EndnoteReference"/>
          <w:rFonts w:asciiTheme="minorHAnsi" w:hAnsiTheme="minorHAnsi" w:cstheme="minorHAnsi"/>
          <w:sz w:val="22"/>
          <w:szCs w:val="22"/>
        </w:rPr>
        <w:endnoteReference w:id="42"/>
      </w:r>
      <w:r w:rsidRPr="00CF39C8">
        <w:rPr>
          <w:rFonts w:asciiTheme="minorHAnsi" w:hAnsiTheme="minorHAnsi" w:cstheme="minorHAnsi"/>
          <w:sz w:val="22"/>
          <w:szCs w:val="22"/>
        </w:rPr>
        <w:t xml:space="preserve"> While questions have been raised about the emissions from making vehicles, particularly battery production and recycling, as well as charging an EV using fossil-fuel powered sources, it is clear there are environmental benefits to be gained today, and even more to be gained in the future. </w:t>
      </w:r>
    </w:p>
    <w:p w14:paraId="36F2009F"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7D0EA714" w14:textId="77777777" w:rsidR="00AC4EBC" w:rsidRPr="00CF39C8" w:rsidRDefault="00AC4EBC" w:rsidP="00AC4EBC">
      <w:r w:rsidRPr="00CF39C8">
        <w:rPr>
          <w:rFonts w:cstheme="minorHAnsi"/>
          <w:sz w:val="22"/>
          <w:szCs w:val="22"/>
        </w:rPr>
        <w:t>The IPCC and IEA have both identified that EVs powered by renewable electricity as having the largest emissions reduction potential for land transport. This technology will be crucial for achieving Australian and global emissions reduction targets.</w:t>
      </w:r>
      <w:r w:rsidRPr="00CF39C8">
        <w:rPr>
          <w:rStyle w:val="EndnoteReference"/>
          <w:rFonts w:cstheme="minorHAnsi"/>
          <w:sz w:val="22"/>
          <w:szCs w:val="22"/>
        </w:rPr>
        <w:endnoteReference w:id="43"/>
      </w:r>
      <w:r w:rsidRPr="00CF39C8">
        <w:rPr>
          <w:rStyle w:val="EndnoteReference"/>
          <w:rFonts w:cstheme="minorHAnsi"/>
          <w:sz w:val="22"/>
          <w:szCs w:val="22"/>
        </w:rPr>
        <w:endnoteReference w:id="44"/>
      </w:r>
    </w:p>
    <w:p w14:paraId="362CA9DF" w14:textId="77777777" w:rsidR="009B6754" w:rsidRPr="00CF39C8" w:rsidRDefault="009B6754" w:rsidP="009B57D6">
      <w:pPr>
        <w:rPr>
          <w:rFonts w:asciiTheme="majorHAnsi" w:hAnsiTheme="majorHAnsi" w:cstheme="majorHAnsi"/>
        </w:rPr>
      </w:pPr>
    </w:p>
    <w:p w14:paraId="6A7D905F" w14:textId="77777777" w:rsidR="009B6754" w:rsidRPr="00AC4EBC" w:rsidRDefault="009B6754" w:rsidP="00430317">
      <w:pPr>
        <w:pStyle w:val="Heading3"/>
        <w:numPr>
          <w:ilvl w:val="2"/>
          <w:numId w:val="78"/>
        </w:numPr>
        <w:ind w:hanging="1080"/>
        <w:rPr>
          <w:rFonts w:cstheme="majorHAnsi"/>
        </w:rPr>
      </w:pPr>
      <w:bookmarkStart w:id="186" w:name="_Toc161837658"/>
      <w:bookmarkStart w:id="187" w:name="_Toc161933156"/>
      <w:bookmarkStart w:id="188" w:name="_Toc162276463"/>
      <w:bookmarkStart w:id="189" w:name="_Toc163221059"/>
      <w:r>
        <w:rPr>
          <w:rFonts w:cstheme="majorHAnsi"/>
        </w:rPr>
        <w:t xml:space="preserve">What other Government policies will </w:t>
      </w:r>
      <w:r w:rsidR="00F2100A">
        <w:rPr>
          <w:rFonts w:cstheme="majorHAnsi"/>
        </w:rPr>
        <w:t>act on</w:t>
      </w:r>
      <w:r>
        <w:rPr>
          <w:rFonts w:cstheme="majorHAnsi"/>
        </w:rPr>
        <w:t xml:space="preserve"> </w:t>
      </w:r>
      <w:r w:rsidR="00F2100A">
        <w:rPr>
          <w:rFonts w:cstheme="majorHAnsi"/>
        </w:rPr>
        <w:t>emissions from light vehicles and complement this policy intervention</w:t>
      </w:r>
      <w:r>
        <w:rPr>
          <w:rFonts w:cstheme="majorHAnsi"/>
        </w:rPr>
        <w:t>?</w:t>
      </w:r>
      <w:bookmarkEnd w:id="186"/>
      <w:bookmarkEnd w:id="187"/>
      <w:bookmarkEnd w:id="188"/>
      <w:bookmarkEnd w:id="189"/>
      <w:r>
        <w:rPr>
          <w:rFonts w:cstheme="majorHAnsi"/>
        </w:rPr>
        <w:t xml:space="preserve"> </w:t>
      </w:r>
    </w:p>
    <w:p w14:paraId="6E188DD6" w14:textId="77777777" w:rsidR="00046554" w:rsidRPr="00DA472E" w:rsidRDefault="008B52CE" w:rsidP="009B57D6">
      <w:pPr>
        <w:rPr>
          <w:rFonts w:cstheme="minorHAnsi"/>
          <w:sz w:val="22"/>
          <w:szCs w:val="22"/>
        </w:rPr>
      </w:pPr>
      <w:r w:rsidRPr="00DA472E">
        <w:rPr>
          <w:rFonts w:cstheme="minorHAnsi"/>
          <w:sz w:val="22"/>
          <w:szCs w:val="22"/>
        </w:rPr>
        <w:t>The Government is undertaking a range of measures to reduce other emissions from light vehicles, such as noxious emissions. These emissions include particulate matter, oxides of nitrogen (NOx), volatile organic compounds (VOC) and carbon monoxide (CO) and are a major source of air pollution. In Australia, noxious emissions from vehicles are regulated by the current Euro 5/V standards and the Government has announced that it will phase in Euro6 standards for light vehicles from December 2025 to July 2028</w:t>
      </w:r>
      <w:r w:rsidR="003830D8">
        <w:rPr>
          <w:rFonts w:cstheme="minorHAnsi"/>
          <w:sz w:val="22"/>
          <w:szCs w:val="22"/>
        </w:rPr>
        <w:t>.</w:t>
      </w:r>
      <w:r w:rsidR="00F2100A" w:rsidRPr="00DA472E">
        <w:rPr>
          <w:rStyle w:val="FootnoteReference"/>
          <w:rFonts w:cstheme="minorHAnsi"/>
          <w:sz w:val="22"/>
          <w:szCs w:val="22"/>
        </w:rPr>
        <w:footnoteReference w:id="14"/>
      </w:r>
      <w:r w:rsidR="00F2100A" w:rsidRPr="00DA472E">
        <w:rPr>
          <w:rFonts w:cstheme="minorHAnsi"/>
          <w:sz w:val="22"/>
          <w:szCs w:val="22"/>
        </w:rPr>
        <w:t xml:space="preserve">   </w:t>
      </w:r>
    </w:p>
    <w:p w14:paraId="3F063836" w14:textId="77777777" w:rsidR="00F2100A" w:rsidRPr="00DA472E" w:rsidRDefault="00F2100A" w:rsidP="009B57D6">
      <w:pPr>
        <w:rPr>
          <w:rFonts w:cstheme="minorHAnsi"/>
          <w:sz w:val="22"/>
          <w:szCs w:val="22"/>
        </w:rPr>
      </w:pPr>
      <w:r w:rsidRPr="00DA472E">
        <w:rPr>
          <w:rFonts w:cstheme="minorHAnsi"/>
          <w:sz w:val="22"/>
          <w:szCs w:val="22"/>
        </w:rPr>
        <w:t xml:space="preserve">Government is also making changes to fuel quality standards to reduce allowable levels of aromatics in petrol sold in Australia. This will </w:t>
      </w:r>
      <w:r w:rsidR="00BE7F4C">
        <w:rPr>
          <w:rFonts w:cstheme="minorHAnsi"/>
          <w:sz w:val="22"/>
          <w:szCs w:val="22"/>
        </w:rPr>
        <w:t>have the benefit of enabling</w:t>
      </w:r>
      <w:r w:rsidRPr="00DA472E">
        <w:rPr>
          <w:rFonts w:cstheme="minorHAnsi"/>
          <w:sz w:val="22"/>
          <w:szCs w:val="22"/>
        </w:rPr>
        <w:t xml:space="preserve"> new, more efficient engine technology to enter the Australian market and provides manufacturers with more options to lower their fleet CO</w:t>
      </w:r>
      <w:r w:rsidRPr="00DA472E">
        <w:rPr>
          <w:rFonts w:cstheme="minorHAnsi"/>
          <w:sz w:val="22"/>
          <w:szCs w:val="22"/>
          <w:vertAlign w:val="subscript"/>
        </w:rPr>
        <w:t xml:space="preserve">2 </w:t>
      </w:r>
      <w:r w:rsidRPr="00DA472E">
        <w:rPr>
          <w:rFonts w:cstheme="minorHAnsi"/>
          <w:sz w:val="22"/>
          <w:szCs w:val="22"/>
        </w:rPr>
        <w:t>average under a NVES</w:t>
      </w:r>
      <w:r w:rsidRPr="00DA472E">
        <w:rPr>
          <w:rStyle w:val="FootnoteReference"/>
          <w:rFonts w:cstheme="minorHAnsi"/>
          <w:sz w:val="22"/>
          <w:szCs w:val="22"/>
        </w:rPr>
        <w:footnoteReference w:id="15"/>
      </w:r>
      <w:r w:rsidRPr="00DA472E">
        <w:rPr>
          <w:rFonts w:cstheme="minorHAnsi"/>
          <w:sz w:val="22"/>
          <w:szCs w:val="22"/>
        </w:rPr>
        <w:t>.</w:t>
      </w:r>
    </w:p>
    <w:p w14:paraId="6CA757FD" w14:textId="77777777" w:rsidR="00046554" w:rsidRPr="00CF39C8" w:rsidRDefault="00046554" w:rsidP="00430317">
      <w:pPr>
        <w:pStyle w:val="Heading2"/>
        <w:numPr>
          <w:ilvl w:val="1"/>
          <w:numId w:val="62"/>
        </w:numPr>
        <w:ind w:hanging="792"/>
        <w:rPr>
          <w:rFonts w:cstheme="majorHAnsi"/>
        </w:rPr>
      </w:pPr>
      <w:bookmarkStart w:id="190" w:name="_Toc161837659"/>
      <w:bookmarkStart w:id="191" w:name="_Toc161933157"/>
      <w:bookmarkStart w:id="192" w:name="_Toc162276464"/>
      <w:bookmarkStart w:id="193" w:name="_Toc163221060"/>
      <w:r w:rsidRPr="00CF39C8">
        <w:t>What</w:t>
      </w:r>
      <w:r w:rsidRPr="00CF39C8">
        <w:rPr>
          <w:rFonts w:cstheme="majorHAnsi"/>
        </w:rPr>
        <w:t xml:space="preserve"> is a New Vehicle Efficiency Standard?</w:t>
      </w:r>
      <w:bookmarkEnd w:id="190"/>
      <w:bookmarkEnd w:id="191"/>
      <w:bookmarkEnd w:id="192"/>
      <w:bookmarkEnd w:id="193"/>
    </w:p>
    <w:p w14:paraId="6AE78616"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NVESs have been used across the globe as a way of reducing emissions while also improving consumer outcomes through fuel savings, better vehicle technology and better vehicle choice. </w:t>
      </w:r>
      <w:r w:rsidRPr="00127EC4" w:rsidDel="006F4E9B">
        <w:rPr>
          <w:rFonts w:asciiTheme="majorHAnsi" w:hAnsiTheme="majorHAnsi" w:cstheme="majorHAnsi"/>
          <w:sz w:val="22"/>
          <w:szCs w:val="22"/>
        </w:rPr>
        <w:t xml:space="preserve">The </w:t>
      </w:r>
      <w:r w:rsidRPr="00127EC4">
        <w:rPr>
          <w:rFonts w:asciiTheme="majorHAnsi" w:hAnsiTheme="majorHAnsi" w:cstheme="majorHAnsi"/>
          <w:sz w:val="22"/>
          <w:szCs w:val="22"/>
        </w:rPr>
        <w:t xml:space="preserve">US, the UK, Canada, Japan, South Korea, the EU, NZ and China all have a NVES in place. Australia, along with Russia, is one of the only advanced economies to not have a NVES in place. </w:t>
      </w:r>
    </w:p>
    <w:p w14:paraId="4F0FD986"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A NVES works by imposing a limit on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(measured in grams per kilometre or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each year across the fleet of vehicles that a supplier brings into the country. Each year the limit is reduced, so the standard becomes more stringent. Suppliers can still sell any vehicle they like, but will need to sell more clean cars to offset higher emission cars they sell. If suppliers sell more fuel-efficient cars than the target, they get credits. If they sell more polluting cars than the target, they need to offset this by credits they earn in a later year, buy credits from a different supplier or, eventually, pay a penalty. Unlike some other regulated requirements in the vehicle sector which are binary (i.e. either the vehicle meets the standard or it does not), the settings and stringency of a NVES can be set at a range of different stringency levels.</w:t>
      </w:r>
    </w:p>
    <w:p w14:paraId="2E18DA4C" w14:textId="77777777" w:rsidR="00046554" w:rsidRDefault="00A22FF9" w:rsidP="00046554">
      <w:pPr>
        <w:rPr>
          <w:color w:val="000000" w:themeColor="text1"/>
          <w:sz w:val="22"/>
          <w:szCs w:val="22"/>
        </w:rPr>
      </w:pPr>
      <w:r w:rsidRPr="00127EC4">
        <w:rPr>
          <w:rFonts w:asciiTheme="majorHAnsi" w:eastAsia="Times New Roman" w:hAnsiTheme="majorHAnsi" w:cstheme="majorHAnsi"/>
          <w:noProof/>
          <w:sz w:val="22"/>
          <w:szCs w:val="22"/>
          <w:lang w:eastAsia="en-AU"/>
        </w:rPr>
        <w:drawing>
          <wp:anchor distT="0" distB="0" distL="114300" distR="114300" simplePos="0" relativeHeight="251658249" behindDoc="1" locked="0" layoutInCell="1" allowOverlap="1" wp14:anchorId="022435A8" wp14:editId="422B18AA">
            <wp:simplePos x="0" y="0"/>
            <wp:positionH relativeFrom="column">
              <wp:posOffset>-47625</wp:posOffset>
            </wp:positionH>
            <wp:positionV relativeFrom="paragraph">
              <wp:posOffset>777875</wp:posOffset>
            </wp:positionV>
            <wp:extent cx="6492875" cy="3133725"/>
            <wp:effectExtent l="0" t="0" r="3175" b="9525"/>
            <wp:wrapTopAndBottom/>
            <wp:docPr id="2049" name="Picture 2049" descr="A diagram of a red car that points to different ways to increase efficiency for light vehicles.&#10;&#10;Areas of the car, in clockwise direction.&#10;Engine. There are a number of technology adjustments that OEMs can make to the engine of a light vehicle to increase fuel efficiency without losing performance - such as transitioning from a V8 to a V6.&#10;&#10;Electrical system technologies.&#10;The introduction of certain electrical system technologies can provide a significant increase to the fuel efficiency of a light vehicle, such as power steering and stop-start technology. &#10;&#10;Aerodynamics.&#10;The aerodynamics (or drag coefficient) of a vehicle can have a significant impact on its fuel efficiency. By introducing more streamlined design features to the body and the wheels, fuel efficiency gains can be achieved.&#10;&#10;Car weight.&#10;Heavier vehicles use more fuel to move the vehicle's mass. Using light materials, such as higher strength steels, aluminium or carbon fiber, can significantly increase the fuel efficiency of a light vehicle. &#10;&#10;Gear box.&#10;Manufacturers can increase the number of ratios in the gear box to lower the engine's RPM and therefore decrease the amount of fuel used.&#10;&#10;Tyres and wheel covers.&#10;Tyre tread and composition can impact the fuel efficiency of a light vehicle. Certain tread patterns and materials can reduce the rolling resistance of a light vehi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875" cy="3133725"/>
                    </a:xfrm>
                    <a:prstGeom prst="rect">
                      <a:avLst/>
                    </a:prstGeom>
                    <a:noFill/>
                    <a:ln>
                      <a:noFill/>
                    </a:ln>
                  </pic:spPr>
                </pic:pic>
              </a:graphicData>
            </a:graphic>
          </wp:anchor>
        </w:drawing>
      </w:r>
      <w:r w:rsidR="00CC4961">
        <w:rPr>
          <w:noProof/>
          <w:lang w:eastAsia="en-AU"/>
        </w:rPr>
        <mc:AlternateContent>
          <mc:Choice Requires="wps">
            <w:drawing>
              <wp:anchor distT="0" distB="0" distL="114300" distR="114300" simplePos="0" relativeHeight="251658250" behindDoc="0" locked="0" layoutInCell="1" allowOverlap="1" wp14:anchorId="0A5E192A" wp14:editId="56F81DD9">
                <wp:simplePos x="0" y="0"/>
                <wp:positionH relativeFrom="column">
                  <wp:posOffset>-47625</wp:posOffset>
                </wp:positionH>
                <wp:positionV relativeFrom="paragraph">
                  <wp:posOffset>3911600</wp:posOffset>
                </wp:positionV>
                <wp:extent cx="6492875" cy="635"/>
                <wp:effectExtent l="0" t="0" r="0" b="0"/>
                <wp:wrapTopAndBottom/>
                <wp:docPr id="2061" name="Text Box 2061"/>
                <wp:cNvGraphicFramePr/>
                <a:graphic xmlns:a="http://schemas.openxmlformats.org/drawingml/2006/main">
                  <a:graphicData uri="http://schemas.microsoft.com/office/word/2010/wordprocessingShape">
                    <wps:wsp>
                      <wps:cNvSpPr txBox="1"/>
                      <wps:spPr>
                        <a:xfrm>
                          <a:off x="0" y="0"/>
                          <a:ext cx="6492875" cy="635"/>
                        </a:xfrm>
                        <a:prstGeom prst="rect">
                          <a:avLst/>
                        </a:prstGeom>
                        <a:solidFill>
                          <a:prstClr val="white"/>
                        </a:solidFill>
                        <a:ln>
                          <a:noFill/>
                        </a:ln>
                      </wps:spPr>
                      <wps:txbx>
                        <w:txbxContent>
                          <w:p w14:paraId="6981346D" w14:textId="77777777" w:rsidR="00BD7C09" w:rsidRPr="00A17AEF" w:rsidRDefault="00BD7C09" w:rsidP="00CC4961">
                            <w:pPr>
                              <w:pStyle w:val="Caption"/>
                              <w:rPr>
                                <w:b w:val="0"/>
                              </w:rPr>
                            </w:pPr>
                            <w:bookmarkStart w:id="194" w:name="_Toc161837759"/>
                            <w:bookmarkStart w:id="195" w:name="_Toc161933207"/>
                            <w:bookmarkStart w:id="196" w:name="_Toc162008239"/>
                            <w:bookmarkStart w:id="197" w:name="_Toc162008347"/>
                            <w:bookmarkStart w:id="198" w:name="_Toc162008682"/>
                            <w:bookmarkStart w:id="199" w:name="_Toc162008730"/>
                            <w:bookmarkStart w:id="200" w:name="_Toc162008777"/>
                            <w:bookmarkStart w:id="201" w:name="_Toc162008825"/>
                            <w:bookmarkStart w:id="202" w:name="_Toc162008872"/>
                            <w:bookmarkStart w:id="203" w:name="_Toc162253623"/>
                            <w:bookmarkStart w:id="204" w:name="_Toc162253752"/>
                            <w:bookmarkStart w:id="205" w:name="_Toc163221107"/>
                            <w:r>
                              <w:t xml:space="preserve">Figure 9 </w:t>
                            </w:r>
                            <w:r w:rsidRPr="00A17AEF">
                              <w:rPr>
                                <w:b w:val="0"/>
                              </w:rPr>
                              <w:t>- Light vehicle options to increase fuel efficiency</w:t>
                            </w:r>
                            <w:bookmarkEnd w:id="194"/>
                            <w:bookmarkEnd w:id="195"/>
                            <w:bookmarkEnd w:id="196"/>
                            <w:bookmarkEnd w:id="197"/>
                            <w:bookmarkEnd w:id="198"/>
                            <w:bookmarkEnd w:id="199"/>
                            <w:bookmarkEnd w:id="200"/>
                            <w:bookmarkEnd w:id="201"/>
                            <w:bookmarkEnd w:id="202"/>
                            <w:bookmarkEnd w:id="203"/>
                            <w:bookmarkEnd w:id="204"/>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A5E192A" id="_x0000_t202" coordsize="21600,21600" o:spt="202" path="m,l,21600r21600,l21600,xe">
                <v:stroke joinstyle="miter"/>
                <v:path gradientshapeok="t" o:connecttype="rect"/>
              </v:shapetype>
              <v:shape id="Text Box 2061" o:spid="_x0000_s1026" type="#_x0000_t202" style="position:absolute;margin-left:-3.75pt;margin-top:308pt;width:511.2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" stroked="f">
                <v:textbox style="mso-fit-shape-to-text:t" inset="0,0,0,0">
                  <w:txbxContent>
                    <w:p w14:paraId="6981346D" w14:textId="77777777" w:rsidR="00BD7C09" w:rsidRPr="00A17AEF" w:rsidRDefault="00BD7C09" w:rsidP="00CC4961">
                      <w:pPr>
                        <w:pStyle w:val="Caption"/>
                        <w:rPr>
                          <w:b w:val="0"/>
                        </w:rPr>
                      </w:pPr>
                      <w:bookmarkStart w:id="211" w:name="_Toc161837759"/>
                      <w:bookmarkStart w:id="212" w:name="_Toc161933207"/>
                      <w:bookmarkStart w:id="213" w:name="_Toc162008239"/>
                      <w:bookmarkStart w:id="214" w:name="_Toc162008347"/>
                      <w:bookmarkStart w:id="215" w:name="_Toc162008682"/>
                      <w:bookmarkStart w:id="216" w:name="_Toc162008730"/>
                      <w:bookmarkStart w:id="217" w:name="_Toc162008777"/>
                      <w:bookmarkStart w:id="218" w:name="_Toc162008825"/>
                      <w:bookmarkStart w:id="219" w:name="_Toc162008872"/>
                      <w:bookmarkStart w:id="220" w:name="_Toc162253623"/>
                      <w:bookmarkStart w:id="221" w:name="_Toc162253752"/>
                      <w:bookmarkStart w:id="222" w:name="_Toc163221107"/>
                      <w:r>
                        <w:t xml:space="preserve">Figure 9 </w:t>
                      </w:r>
                      <w:r w:rsidRPr="00A17AEF">
                        <w:rPr>
                          <w:b w:val="0"/>
                        </w:rPr>
                        <w:t>- Light vehicle options to increase fuel efficiency</w:t>
                      </w:r>
                      <w:bookmarkEnd w:id="211"/>
                      <w:bookmarkEnd w:id="212"/>
                      <w:bookmarkEnd w:id="213"/>
                      <w:bookmarkEnd w:id="214"/>
                      <w:bookmarkEnd w:id="215"/>
                      <w:bookmarkEnd w:id="216"/>
                      <w:bookmarkEnd w:id="217"/>
                      <w:bookmarkEnd w:id="218"/>
                      <w:bookmarkEnd w:id="219"/>
                      <w:bookmarkEnd w:id="220"/>
                      <w:bookmarkEnd w:id="221"/>
                      <w:bookmarkEnd w:id="222"/>
                    </w:p>
                  </w:txbxContent>
                </v:textbox>
                <w10:wrap type="topAndBottom"/>
              </v:shape>
            </w:pict>
          </mc:Fallback>
        </mc:AlternateContent>
      </w:r>
      <w:r>
        <w:rPr>
          <w:color w:val="000000" w:themeColor="text1"/>
          <w:sz w:val="22"/>
          <w:szCs w:val="22"/>
        </w:rPr>
        <w:t xml:space="preserve">To help meet their emissions target, </w:t>
      </w:r>
      <w:r w:rsidR="0039046F">
        <w:rPr>
          <w:color w:val="000000" w:themeColor="text1"/>
          <w:sz w:val="22"/>
          <w:szCs w:val="22"/>
        </w:rPr>
        <w:t>t</w:t>
      </w:r>
      <w:r w:rsidR="00046554" w:rsidRPr="00127EC4">
        <w:rPr>
          <w:color w:val="000000" w:themeColor="text1"/>
          <w:sz w:val="22"/>
          <w:szCs w:val="22"/>
        </w:rPr>
        <w:t xml:space="preserve">here are a range of technological improvements that manufacturers can make (and are making) to improve the fuel efficiency of </w:t>
      </w:r>
      <w:r w:rsidR="003E32CF">
        <w:rPr>
          <w:color w:val="000000" w:themeColor="text1"/>
          <w:sz w:val="22"/>
          <w:szCs w:val="22"/>
        </w:rPr>
        <w:t>internal combustion</w:t>
      </w:r>
      <w:r>
        <w:rPr>
          <w:color w:val="000000" w:themeColor="text1"/>
          <w:sz w:val="22"/>
          <w:szCs w:val="22"/>
        </w:rPr>
        <w:t xml:space="preserve"> engine cars</w:t>
      </w:r>
      <w:r w:rsidR="00BD3800" w:rsidRPr="00127EC4">
        <w:rPr>
          <w:color w:val="000000" w:themeColor="text1"/>
          <w:sz w:val="22"/>
          <w:szCs w:val="22"/>
        </w:rPr>
        <w:t xml:space="preserve"> (or utes, vans or 4WDs)</w:t>
      </w:r>
      <w:r>
        <w:rPr>
          <w:color w:val="000000" w:themeColor="text1"/>
          <w:sz w:val="22"/>
          <w:szCs w:val="22"/>
        </w:rPr>
        <w:t>, as well as supplying other low or zero emissions technology such as hybrids, plug in hybrids or electric vehicles</w:t>
      </w:r>
      <w:r w:rsidR="00046554" w:rsidRPr="00127EC4">
        <w:rPr>
          <w:color w:val="000000" w:themeColor="text1"/>
          <w:sz w:val="22"/>
          <w:szCs w:val="22"/>
        </w:rPr>
        <w:t>.</w:t>
      </w:r>
    </w:p>
    <w:p w14:paraId="0A7B6FAD" w14:textId="77777777" w:rsidR="002C77EB" w:rsidRDefault="002C77EB" w:rsidP="00046554">
      <w:pPr>
        <w:rPr>
          <w:color w:val="000000" w:themeColor="text1"/>
          <w:sz w:val="22"/>
          <w:szCs w:val="22"/>
        </w:rPr>
      </w:pPr>
    </w:p>
    <w:p w14:paraId="3C780010" w14:textId="77777777" w:rsidR="002C77EB" w:rsidRDefault="002C77EB" w:rsidP="00046554">
      <w:pPr>
        <w:rPr>
          <w:color w:val="000000" w:themeColor="text1"/>
          <w:sz w:val="22"/>
          <w:szCs w:val="22"/>
        </w:rPr>
      </w:pPr>
    </w:p>
    <w:p w14:paraId="62A732D6" w14:textId="77777777" w:rsidR="002C77EB" w:rsidRDefault="002C77EB" w:rsidP="00046554">
      <w:pPr>
        <w:rPr>
          <w:color w:val="000000" w:themeColor="text1"/>
          <w:sz w:val="22"/>
          <w:szCs w:val="22"/>
        </w:rPr>
      </w:pPr>
    </w:p>
    <w:p w14:paraId="43563174" w14:textId="77777777" w:rsidR="002C77EB" w:rsidRDefault="002C77EB" w:rsidP="00046554">
      <w:pPr>
        <w:rPr>
          <w:color w:val="000000" w:themeColor="text1"/>
          <w:sz w:val="22"/>
          <w:szCs w:val="22"/>
        </w:rPr>
      </w:pPr>
    </w:p>
    <w:p w14:paraId="5CB416B1" w14:textId="77777777" w:rsidR="00046554" w:rsidRPr="00CF39C8" w:rsidRDefault="00046554" w:rsidP="00430317">
      <w:pPr>
        <w:pStyle w:val="Heading3"/>
        <w:numPr>
          <w:ilvl w:val="2"/>
          <w:numId w:val="76"/>
        </w:numPr>
        <w:ind w:left="851" w:hanging="851"/>
        <w:rPr>
          <w:rFonts w:cstheme="majorHAnsi"/>
        </w:rPr>
      </w:pPr>
      <w:bookmarkStart w:id="206" w:name="_Toc161837660"/>
      <w:bookmarkStart w:id="207" w:name="_Toc161933158"/>
      <w:bookmarkStart w:id="208" w:name="_Toc162276465"/>
      <w:bookmarkStart w:id="209" w:name="_Toc163221061"/>
      <w:r w:rsidRPr="00CF39C8">
        <w:rPr>
          <w:rFonts w:cstheme="majorHAnsi"/>
        </w:rPr>
        <w:t>How does a NVES work?</w:t>
      </w:r>
      <w:bookmarkEnd w:id="206"/>
      <w:bookmarkEnd w:id="207"/>
      <w:bookmarkEnd w:id="208"/>
      <w:bookmarkEnd w:id="209"/>
    </w:p>
    <w:p w14:paraId="03D75F31" w14:textId="77777777" w:rsidR="00046554" w:rsidRPr="00127EC4" w:rsidRDefault="00BD3800" w:rsidP="00046554">
      <w:pPr>
        <w:rPr>
          <w:rFonts w:asciiTheme="majorHAnsi" w:hAnsiTheme="majorHAnsi" w:cstheme="majorHAnsi"/>
          <w:sz w:val="22"/>
          <w:szCs w:val="22"/>
        </w:rPr>
      </w:pPr>
      <w:r w:rsidRPr="00127EC4">
        <w:rPr>
          <w:rFonts w:asciiTheme="majorHAnsi" w:hAnsiTheme="majorHAnsi" w:cstheme="majorHAnsi"/>
          <w:sz w:val="22"/>
          <w:szCs w:val="22"/>
        </w:rPr>
        <w:t>There are a number of critical elements within a NVES, which in combination will inform how stringent the standard is and how vehicles are captured. These are</w:t>
      </w:r>
      <w:r w:rsidR="00046554" w:rsidRPr="00127EC4">
        <w:rPr>
          <w:sz w:val="22"/>
          <w:szCs w:val="22"/>
        </w:rPr>
        <w:t>:</w:t>
      </w:r>
    </w:p>
    <w:p w14:paraId="786B9AF0"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Mass</w:t>
      </w:r>
      <w:r w:rsidRPr="00127EC4">
        <w:rPr>
          <w:rFonts w:asciiTheme="majorHAnsi" w:hAnsiTheme="majorHAnsi" w:cstheme="majorHAnsi"/>
          <w:sz w:val="22"/>
          <w:szCs w:val="22"/>
        </w:rPr>
        <w:t>: Mass refers to the weight of a vehicle. For the purposes of this analysis we generally refer to the concept of ‘mass in running order’ or MIRO, which is the weight of a vehicle with fluids, accessories, plus the weight of a person in the vehicle.</w:t>
      </w:r>
    </w:p>
    <w:p w14:paraId="5323D59C"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CO</w:t>
      </w:r>
      <w:r w:rsidRPr="00127EC4">
        <w:rPr>
          <w:rFonts w:asciiTheme="majorHAnsi" w:hAnsiTheme="majorHAnsi" w:cstheme="majorHAnsi"/>
          <w:b/>
          <w:sz w:val="22"/>
          <w:szCs w:val="22"/>
          <w:vertAlign w:val="subscript"/>
        </w:rPr>
        <w:t>2</w:t>
      </w:r>
      <w:r w:rsidRPr="00127EC4">
        <w:rPr>
          <w:rFonts w:asciiTheme="majorHAnsi" w:hAnsiTheme="majorHAnsi" w:cstheme="majorHAnsi"/>
          <w:b/>
          <w:sz w:val="22"/>
          <w:szCs w:val="22"/>
        </w:rPr>
        <w:t xml:space="preserve"> g/km</w:t>
      </w:r>
      <w:r w:rsidRPr="00127EC4">
        <w:rPr>
          <w:rFonts w:asciiTheme="majorHAnsi" w:hAnsiTheme="majorHAnsi" w:cstheme="majorHAnsi"/>
          <w:sz w:val="22"/>
          <w:szCs w:val="22"/>
        </w:rPr>
        <w:t>: This is the number of grams of carbon dioxide emitted by a vehicle per kilometre. For example, a car with 150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emits 150 grams of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for every kilometre it is driven, in the laboratory emissions test. </w:t>
      </w:r>
    </w:p>
    <w:p w14:paraId="20C69538"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Headline target</w:t>
      </w:r>
      <w:r w:rsidRPr="00127EC4">
        <w:rPr>
          <w:rFonts w:asciiTheme="majorHAnsi" w:hAnsiTheme="majorHAnsi" w:cstheme="majorHAnsi"/>
          <w:sz w:val="22"/>
          <w:szCs w:val="22"/>
        </w:rPr>
        <w:t>: The headline target is the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(sometimes referred to as g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/km – these are interchangeable) target that a NVES sets for a supplier. Usually, a standard sets a target beyond which more (or less) of a thing is not permitted. For example, in Australia we have fuel quality standards that require there to be up to 150 parts per million of sulphur in regular unleaded petrol. Unlike the fuel quality standard, a NVES is an attribute-based standard, in that the target for each vehicle supplier (the permitted level of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is adjusted by the average mass of the vehicles sold (so a higher target generally applies to a heavier vehicle fleet). There are penalties applied for a fleet being above the target. No car is prohibited.</w:t>
      </w:r>
    </w:p>
    <w:p w14:paraId="7D574D1F"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Passenger vehicle/light commercial vehicle</w:t>
      </w:r>
      <w:r w:rsidRPr="00127EC4">
        <w:rPr>
          <w:rFonts w:asciiTheme="majorHAnsi" w:hAnsiTheme="majorHAnsi" w:cstheme="majorHAnsi"/>
          <w:sz w:val="22"/>
          <w:szCs w:val="22"/>
        </w:rPr>
        <w:t>: In Australia and around the world, cars are categorised. There are two basic categories (we explore a greater number of categories below) – passenger vehicles (PVs) and light commercial vehicles (LCVs)</w:t>
      </w:r>
      <w:r w:rsidR="00CA4C6D">
        <w:rPr>
          <w:rFonts w:asciiTheme="majorHAnsi" w:hAnsiTheme="majorHAnsi" w:cstheme="majorHAnsi"/>
          <w:sz w:val="22"/>
          <w:szCs w:val="22"/>
        </w:rPr>
        <w:t>.</w:t>
      </w:r>
      <w:r w:rsidRPr="00127EC4">
        <w:rPr>
          <w:rFonts w:asciiTheme="majorHAnsi" w:hAnsiTheme="majorHAnsi" w:cstheme="majorHAnsi"/>
          <w:sz w:val="22"/>
          <w:szCs w:val="22"/>
        </w:rPr>
        <w:t xml:space="preserve"> </w:t>
      </w:r>
    </w:p>
    <w:p w14:paraId="19369EEB"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With that terminology understood, the development of the technical NVES settings needs to be undertaken in steps. We have sought to break down how a NVES applies into the four steps in Figure </w:t>
      </w:r>
      <w:r w:rsidRPr="00ED0AB8">
        <w:rPr>
          <w:rFonts w:asciiTheme="majorHAnsi" w:hAnsiTheme="majorHAnsi" w:cstheme="majorHAnsi"/>
          <w:sz w:val="22"/>
          <w:szCs w:val="22"/>
        </w:rPr>
        <w:t>1</w:t>
      </w:r>
      <w:r w:rsidR="0023600C">
        <w:rPr>
          <w:rFonts w:asciiTheme="majorHAnsi" w:hAnsiTheme="majorHAnsi" w:cstheme="majorHAnsi"/>
          <w:sz w:val="22"/>
          <w:szCs w:val="22"/>
        </w:rPr>
        <w:t>0</w:t>
      </w:r>
      <w:r w:rsidRPr="00127EC4">
        <w:rPr>
          <w:rFonts w:asciiTheme="majorHAnsi" w:hAnsiTheme="majorHAnsi" w:cstheme="majorHAnsi"/>
          <w:sz w:val="22"/>
          <w:szCs w:val="22"/>
        </w:rPr>
        <w:t xml:space="preserve">. This same process can be undertaken every year, or at each regulated review – usually so that the standard becomes more stringent over time and suppliers need to continually improve the efficiency of the vehicles that they sell. </w:t>
      </w:r>
    </w:p>
    <w:p w14:paraId="5F7B4C33" w14:textId="77777777" w:rsidR="0004655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Note </w:t>
      </w:r>
      <w:r w:rsidRPr="00317965">
        <w:rPr>
          <w:rFonts w:asciiTheme="majorHAnsi" w:hAnsiTheme="majorHAnsi" w:cstheme="majorHAnsi"/>
          <w:sz w:val="22"/>
          <w:szCs w:val="22"/>
        </w:rPr>
        <w:t>that Figure 1</w:t>
      </w:r>
      <w:r w:rsidR="0023600C">
        <w:rPr>
          <w:rFonts w:asciiTheme="majorHAnsi" w:hAnsiTheme="majorHAnsi" w:cstheme="majorHAnsi"/>
          <w:sz w:val="22"/>
          <w:szCs w:val="22"/>
        </w:rPr>
        <w:t>0</w:t>
      </w:r>
      <w:r w:rsidRPr="00317965">
        <w:rPr>
          <w:rFonts w:asciiTheme="majorHAnsi" w:hAnsiTheme="majorHAnsi" w:cstheme="majorHAnsi"/>
          <w:sz w:val="22"/>
          <w:szCs w:val="22"/>
        </w:rPr>
        <w:t xml:space="preserve"> </w:t>
      </w:r>
      <w:r w:rsidR="00317965">
        <w:rPr>
          <w:rFonts w:asciiTheme="majorHAnsi" w:hAnsiTheme="majorHAnsi" w:cstheme="majorHAnsi"/>
          <w:sz w:val="22"/>
          <w:szCs w:val="22"/>
        </w:rPr>
        <w:t>(</w:t>
      </w:r>
      <w:r w:rsidR="0023600C">
        <w:rPr>
          <w:rFonts w:asciiTheme="majorHAnsi" w:hAnsiTheme="majorHAnsi" w:cstheme="majorHAnsi"/>
          <w:sz w:val="22"/>
          <w:szCs w:val="22"/>
        </w:rPr>
        <w:t>below</w:t>
      </w:r>
      <w:r w:rsidR="00317965">
        <w:rPr>
          <w:rFonts w:asciiTheme="majorHAnsi" w:hAnsiTheme="majorHAnsi" w:cstheme="majorHAnsi"/>
          <w:sz w:val="22"/>
          <w:szCs w:val="22"/>
        </w:rPr>
        <w:t xml:space="preserve">) </w:t>
      </w:r>
      <w:r w:rsidRPr="00317965">
        <w:rPr>
          <w:rFonts w:asciiTheme="majorHAnsi" w:hAnsiTheme="majorHAnsi" w:cstheme="majorHAnsi"/>
          <w:sz w:val="22"/>
          <w:szCs w:val="22"/>
        </w:rPr>
        <w:t>is</w:t>
      </w:r>
      <w:r w:rsidRPr="00127EC4">
        <w:rPr>
          <w:rFonts w:asciiTheme="majorHAnsi" w:hAnsiTheme="majorHAnsi" w:cstheme="majorHAnsi"/>
          <w:sz w:val="22"/>
          <w:szCs w:val="22"/>
        </w:rPr>
        <w:t xml:space="preserve"> simplified. In particular, the diagram does not show the application of break points and the process in step 4 is undertaken continuously over a given year (in the Australian context, when a supplier places a vehicle on the Register of Approved Vehicles (RAV)).</w:t>
      </w:r>
    </w:p>
    <w:p w14:paraId="18272E86" w14:textId="77777777" w:rsidR="001903A9" w:rsidRPr="00127EC4" w:rsidRDefault="001903A9" w:rsidP="001903A9">
      <w:pPr>
        <w:rPr>
          <w:rFonts w:asciiTheme="majorHAnsi" w:hAnsiTheme="majorHAnsi" w:cstheme="majorHAnsi"/>
          <w:sz w:val="22"/>
          <w:szCs w:val="22"/>
        </w:rPr>
      </w:pPr>
      <w:r w:rsidRPr="00127EC4">
        <w:rPr>
          <w:rFonts w:asciiTheme="majorHAnsi" w:hAnsiTheme="majorHAnsi" w:cstheme="majorHAnsi"/>
          <w:sz w:val="22"/>
          <w:szCs w:val="22"/>
        </w:rPr>
        <w:t xml:space="preserve">Because they are not policy settings per se, </w:t>
      </w:r>
      <w:r>
        <w:rPr>
          <w:rFonts w:asciiTheme="majorHAnsi" w:hAnsiTheme="majorHAnsi" w:cstheme="majorHAnsi"/>
          <w:sz w:val="22"/>
          <w:szCs w:val="22"/>
        </w:rPr>
        <w:t>we have</w:t>
      </w:r>
      <w:r w:rsidRPr="00127EC4">
        <w:rPr>
          <w:rFonts w:asciiTheme="majorHAnsi" w:hAnsiTheme="majorHAnsi" w:cstheme="majorHAnsi"/>
          <w:sz w:val="22"/>
          <w:szCs w:val="22"/>
        </w:rPr>
        <w:t xml:space="preserve"> already calculated the reference mass, along with the slope of the line of best fit for the fleet curve. The results are in the table below. </w:t>
      </w:r>
    </w:p>
    <w:tbl>
      <w:tblPr>
        <w:tblW w:w="9941"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Slope and reference mass"/>
      </w:tblPr>
      <w:tblGrid>
        <w:gridCol w:w="4106"/>
        <w:gridCol w:w="2840"/>
        <w:gridCol w:w="2995"/>
      </w:tblGrid>
      <w:tr w:rsidR="001903A9" w:rsidRPr="00CF39C8" w14:paraId="559EF5B3" w14:textId="77777777" w:rsidTr="00977E3F">
        <w:trPr>
          <w:tblHeader/>
        </w:trPr>
        <w:tc>
          <w:tcPr>
            <w:tcW w:w="4106" w:type="dxa"/>
            <w:shd w:val="clear" w:color="auto" w:fill="417A84" w:themeFill="accent5" w:themeFillShade="BF"/>
            <w:tcMar>
              <w:top w:w="0" w:type="dxa"/>
              <w:left w:w="454" w:type="dxa"/>
              <w:bottom w:w="40" w:type="dxa"/>
              <w:right w:w="0" w:type="dxa"/>
            </w:tcMar>
            <w:hideMark/>
          </w:tcPr>
          <w:p w14:paraId="32309708" w14:textId="77777777" w:rsidR="001903A9" w:rsidRPr="00127EC4" w:rsidRDefault="001903A9" w:rsidP="00977E3F">
            <w:pPr>
              <w:pStyle w:val="Tablecolumnheadings"/>
              <w:ind w:hanging="323"/>
              <w:rPr>
                <w:rFonts w:ascii="Calibri" w:hAnsi="Calibri" w:cs="Calibri"/>
                <w:sz w:val="22"/>
                <w:szCs w:val="22"/>
              </w:rPr>
            </w:pPr>
            <w:r w:rsidRPr="00127EC4">
              <w:rPr>
                <w:rFonts w:ascii="Calibri" w:hAnsi="Calibri" w:cs="Calibri"/>
                <w:sz w:val="22"/>
                <w:szCs w:val="22"/>
              </w:rPr>
              <w:t>Element</w:t>
            </w:r>
          </w:p>
        </w:tc>
        <w:tc>
          <w:tcPr>
            <w:tcW w:w="2840" w:type="dxa"/>
            <w:shd w:val="clear" w:color="auto" w:fill="417A84" w:themeFill="accent5" w:themeFillShade="BF"/>
            <w:hideMark/>
          </w:tcPr>
          <w:p w14:paraId="0D1EEB45" w14:textId="77777777" w:rsidR="001903A9" w:rsidRPr="00127EC4" w:rsidRDefault="001903A9" w:rsidP="00977E3F">
            <w:pPr>
              <w:pStyle w:val="Tablecolumnheadings"/>
              <w:rPr>
                <w:rFonts w:ascii="Calibri" w:hAnsi="Calibri" w:cs="Calibri"/>
                <w:sz w:val="22"/>
                <w:szCs w:val="22"/>
              </w:rPr>
            </w:pPr>
            <w:r w:rsidRPr="00127EC4">
              <w:rPr>
                <w:rFonts w:ascii="Calibri" w:hAnsi="Calibri" w:cs="Calibri"/>
                <w:sz w:val="22"/>
                <w:szCs w:val="22"/>
              </w:rPr>
              <w:t>Passenger vehicles</w:t>
            </w:r>
          </w:p>
        </w:tc>
        <w:tc>
          <w:tcPr>
            <w:tcW w:w="2995" w:type="dxa"/>
            <w:shd w:val="clear" w:color="auto" w:fill="417A84" w:themeFill="accent5" w:themeFillShade="BF"/>
            <w:hideMark/>
          </w:tcPr>
          <w:p w14:paraId="763475FA" w14:textId="77777777" w:rsidR="001903A9" w:rsidRPr="00127EC4" w:rsidRDefault="001903A9" w:rsidP="00977E3F">
            <w:pPr>
              <w:pStyle w:val="Tablecolumnheadings"/>
              <w:rPr>
                <w:rFonts w:ascii="Calibri" w:hAnsi="Calibri" w:cs="Calibri"/>
                <w:sz w:val="22"/>
                <w:szCs w:val="22"/>
              </w:rPr>
            </w:pPr>
            <w:r w:rsidRPr="00127EC4">
              <w:rPr>
                <w:rFonts w:ascii="Calibri" w:hAnsi="Calibri" w:cs="Calibri"/>
                <w:sz w:val="22"/>
                <w:szCs w:val="22"/>
              </w:rPr>
              <w:t>Light commercial vehicles</w:t>
            </w:r>
          </w:p>
        </w:tc>
      </w:tr>
      <w:tr w:rsidR="001903A9" w:rsidRPr="00CF39C8" w14:paraId="432D2128" w14:textId="77777777" w:rsidTr="00977E3F">
        <w:tc>
          <w:tcPr>
            <w:tcW w:w="4106" w:type="dxa"/>
            <w:hideMark/>
          </w:tcPr>
          <w:p w14:paraId="4E44B3DC"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Slope</w:t>
            </w:r>
          </w:p>
        </w:tc>
        <w:tc>
          <w:tcPr>
            <w:tcW w:w="2840" w:type="dxa"/>
            <w:hideMark/>
          </w:tcPr>
          <w:p w14:paraId="3CB4E4FA"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0.0663</w:t>
            </w:r>
          </w:p>
        </w:tc>
        <w:tc>
          <w:tcPr>
            <w:tcW w:w="2995" w:type="dxa"/>
            <w:hideMark/>
          </w:tcPr>
          <w:p w14:paraId="02C10D70"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0.0324</w:t>
            </w:r>
          </w:p>
        </w:tc>
      </w:tr>
      <w:tr w:rsidR="001903A9" w:rsidRPr="00CF39C8" w14:paraId="2790F8E7" w14:textId="77777777" w:rsidTr="00977E3F">
        <w:tc>
          <w:tcPr>
            <w:tcW w:w="4106" w:type="dxa"/>
            <w:hideMark/>
          </w:tcPr>
          <w:p w14:paraId="355DE077"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Reference mass (Mass In Running Order)</w:t>
            </w:r>
          </w:p>
        </w:tc>
        <w:tc>
          <w:tcPr>
            <w:tcW w:w="2840" w:type="dxa"/>
            <w:hideMark/>
          </w:tcPr>
          <w:p w14:paraId="6D78F30B"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1,723 kg</w:t>
            </w:r>
          </w:p>
        </w:tc>
        <w:tc>
          <w:tcPr>
            <w:tcW w:w="2995" w:type="dxa"/>
            <w:hideMark/>
          </w:tcPr>
          <w:p w14:paraId="5410E794"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2,155 kg</w:t>
            </w:r>
          </w:p>
        </w:tc>
      </w:tr>
    </w:tbl>
    <w:p w14:paraId="7FA96B1D" w14:textId="77777777" w:rsidR="001903A9" w:rsidRPr="00F52905" w:rsidRDefault="001903A9" w:rsidP="001903A9">
      <w:pPr>
        <w:pStyle w:val="Caption"/>
        <w:keepNext/>
        <w:rPr>
          <w:b w:val="0"/>
        </w:rPr>
      </w:pPr>
      <w:bookmarkStart w:id="210" w:name="_Toc161837760"/>
      <w:bookmarkStart w:id="211" w:name="_Toc161933208"/>
      <w:bookmarkStart w:id="212" w:name="_Toc163221108"/>
      <w:r w:rsidRPr="00F52905">
        <w:t xml:space="preserve">Table </w:t>
      </w:r>
      <w:r w:rsidR="00F52905" w:rsidRPr="00F52905">
        <w:t>2</w:t>
      </w:r>
      <w:r w:rsidRPr="00F52905">
        <w:t xml:space="preserve"> </w:t>
      </w:r>
      <w:r w:rsidRPr="00F52905">
        <w:rPr>
          <w:b w:val="0"/>
        </w:rPr>
        <w:t>– Slope and reference mass</w:t>
      </w:r>
      <w:bookmarkEnd w:id="210"/>
      <w:bookmarkEnd w:id="211"/>
      <w:bookmarkEnd w:id="212"/>
    </w:p>
    <w:p w14:paraId="217F3664" w14:textId="77777777" w:rsidR="001903A9" w:rsidRPr="00127EC4" w:rsidRDefault="001903A9" w:rsidP="00046554">
      <w:pPr>
        <w:rPr>
          <w:rFonts w:asciiTheme="majorHAnsi" w:hAnsiTheme="majorHAnsi" w:cstheme="majorHAnsi"/>
          <w:sz w:val="22"/>
          <w:szCs w:val="22"/>
        </w:rPr>
      </w:pPr>
    </w:p>
    <w:p w14:paraId="285661BD" w14:textId="77777777" w:rsidR="00046554" w:rsidRPr="00127EC4" w:rsidRDefault="00046554" w:rsidP="00046554">
      <w:pPr>
        <w:keepNext/>
        <w:rPr>
          <w:sz w:val="22"/>
          <w:szCs w:val="22"/>
        </w:rPr>
      </w:pPr>
      <w:r w:rsidRPr="00127EC4">
        <w:rPr>
          <w:sz w:val="22"/>
          <w:szCs w:val="22"/>
        </w:rPr>
        <w:t xml:space="preserve">  </w:t>
      </w:r>
      <w:r w:rsidRPr="00127EC4">
        <w:rPr>
          <w:noProof/>
          <w:sz w:val="22"/>
          <w:szCs w:val="22"/>
          <w:lang w:eastAsia="en-AU"/>
        </w:rPr>
        <w:drawing>
          <wp:inline distT="0" distB="0" distL="0" distR="0" wp14:anchorId="079DF383" wp14:editId="5193AEB9">
            <wp:extent cx="6030595" cy="6037580"/>
            <wp:effectExtent l="0" t="0" r="8255" b="1270"/>
            <wp:docPr id="14" name="Picture 14" descr="A four-step process diagram that outlines what is the headline limit, reference mass, fleet curve and how the curve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30595" cy="6037580"/>
                    </a:xfrm>
                    <a:prstGeom prst="rect">
                      <a:avLst/>
                    </a:prstGeom>
                  </pic:spPr>
                </pic:pic>
              </a:graphicData>
            </a:graphic>
          </wp:inline>
        </w:drawing>
      </w:r>
    </w:p>
    <w:p w14:paraId="14F0471C" w14:textId="77777777" w:rsidR="00046554" w:rsidRPr="007E6FE9" w:rsidRDefault="00046554" w:rsidP="00046554">
      <w:pPr>
        <w:pStyle w:val="Caption"/>
      </w:pPr>
      <w:bookmarkStart w:id="213" w:name="_Toc161837761"/>
      <w:bookmarkStart w:id="214" w:name="_Toc161933209"/>
      <w:bookmarkStart w:id="215" w:name="_Toc163221109"/>
      <w:r w:rsidRPr="007E6FE9">
        <w:t xml:space="preserve">Figure </w:t>
      </w:r>
      <w:r w:rsidR="00DB038C" w:rsidRPr="00DB038C">
        <w:t>1</w:t>
      </w:r>
      <w:r w:rsidR="002D5876">
        <w:t>0</w:t>
      </w:r>
      <w:r w:rsidRPr="007E6FE9">
        <w:t xml:space="preserve"> </w:t>
      </w:r>
      <w:r w:rsidRPr="007E6FE9">
        <w:rPr>
          <w:b w:val="0"/>
        </w:rPr>
        <w:t xml:space="preserve">– </w:t>
      </w:r>
      <w:r w:rsidR="001903A9" w:rsidRPr="007E6FE9">
        <w:rPr>
          <w:b w:val="0"/>
        </w:rPr>
        <w:t>How</w:t>
      </w:r>
      <w:r w:rsidRPr="007E6FE9">
        <w:rPr>
          <w:b w:val="0"/>
        </w:rPr>
        <w:t xml:space="preserve"> a NVES applies</w:t>
      </w:r>
      <w:r w:rsidR="001903A9" w:rsidRPr="007E6FE9">
        <w:rPr>
          <w:b w:val="0"/>
        </w:rPr>
        <w:t xml:space="preserve"> (sample data for illustrative purposes only)</w:t>
      </w:r>
      <w:bookmarkEnd w:id="213"/>
      <w:bookmarkEnd w:id="214"/>
      <w:bookmarkEnd w:id="215"/>
    </w:p>
    <w:p w14:paraId="60E4C088" w14:textId="77777777" w:rsidR="00046554" w:rsidRPr="00127EC4" w:rsidRDefault="00046554" w:rsidP="00046554">
      <w:pPr>
        <w:pStyle w:val="Caption"/>
        <w:rPr>
          <w:sz w:val="22"/>
          <w:szCs w:val="22"/>
        </w:rPr>
      </w:pPr>
    </w:p>
    <w:p w14:paraId="42BB068F" w14:textId="77777777" w:rsidR="006337FD" w:rsidRDefault="006337FD" w:rsidP="006337FD"/>
    <w:p w14:paraId="1BF77E08" w14:textId="77777777" w:rsidR="006337FD" w:rsidRDefault="006337FD" w:rsidP="006337FD"/>
    <w:p w14:paraId="00AAC9D5" w14:textId="77777777" w:rsidR="006337FD" w:rsidRDefault="006337FD" w:rsidP="006337FD"/>
    <w:p w14:paraId="330DAA73" w14:textId="77777777" w:rsidR="006337FD" w:rsidRDefault="006337FD" w:rsidP="006337FD"/>
    <w:p w14:paraId="2E50CEDA" w14:textId="77777777" w:rsidR="006337FD" w:rsidRPr="006337FD" w:rsidRDefault="006337FD" w:rsidP="006337FD"/>
    <w:p w14:paraId="6D1C54B3" w14:textId="77777777" w:rsidR="00046554" w:rsidRPr="00AC4EBC" w:rsidRDefault="00046554" w:rsidP="00430317">
      <w:pPr>
        <w:pStyle w:val="Heading3"/>
        <w:numPr>
          <w:ilvl w:val="2"/>
          <w:numId w:val="77"/>
        </w:numPr>
        <w:rPr>
          <w:rFonts w:cstheme="majorHAnsi"/>
        </w:rPr>
      </w:pPr>
      <w:bookmarkStart w:id="216" w:name="_Toc161837661"/>
      <w:bookmarkStart w:id="217" w:name="_Toc161933159"/>
      <w:bookmarkStart w:id="218" w:name="_Toc162276466"/>
      <w:bookmarkStart w:id="219" w:name="_Toc163221062"/>
      <w:r w:rsidRPr="00AC4EBC">
        <w:rPr>
          <w:rFonts w:cstheme="majorHAnsi"/>
        </w:rPr>
        <w:t>Common features of a NVES</w:t>
      </w:r>
      <w:bookmarkEnd w:id="216"/>
      <w:bookmarkEnd w:id="217"/>
      <w:bookmarkEnd w:id="218"/>
      <w:bookmarkEnd w:id="219"/>
    </w:p>
    <w:p w14:paraId="72EA54DE" w14:textId="77777777" w:rsidR="00046554" w:rsidRPr="00127EC4" w:rsidRDefault="00046554" w:rsidP="00046554">
      <w:pPr>
        <w:widowControl w:val="0"/>
        <w:rPr>
          <w:rFonts w:asciiTheme="majorHAnsi" w:hAnsiTheme="majorHAnsi" w:cstheme="majorHAnsi"/>
          <w:sz w:val="22"/>
        </w:rPr>
      </w:pPr>
      <w:r w:rsidRPr="00127EC4">
        <w:rPr>
          <w:rFonts w:asciiTheme="majorHAnsi" w:hAnsiTheme="majorHAnsi" w:cstheme="majorHAnsi"/>
          <w:sz w:val="22"/>
        </w:rPr>
        <w:t xml:space="preserve">While the settings can be complex, what a NVES seeks to do is straightforward – reduce the average level of emissions from cars over time. NVESs across the globe share a range of different additional features, and there are some assumptions and key features which we think are suitable in the Australian context. </w:t>
      </w:r>
    </w:p>
    <w:p w14:paraId="22C6B838" w14:textId="77777777" w:rsidR="00046554" w:rsidRPr="00127EC4" w:rsidRDefault="00046554" w:rsidP="00430317">
      <w:pPr>
        <w:pStyle w:val="ListParagraph"/>
        <w:numPr>
          <w:ilvl w:val="0"/>
          <w:numId w:val="30"/>
        </w:numPr>
        <w:rPr>
          <w:rFonts w:asciiTheme="majorHAnsi" w:hAnsiTheme="majorHAnsi" w:cstheme="majorHAnsi"/>
          <w:sz w:val="22"/>
        </w:rPr>
      </w:pPr>
      <w:r w:rsidRPr="00127EC4">
        <w:rPr>
          <w:rFonts w:asciiTheme="majorHAnsi" w:hAnsiTheme="majorHAnsi" w:cstheme="majorHAnsi"/>
          <w:b/>
          <w:i/>
          <w:sz w:val="22"/>
        </w:rPr>
        <w:t>A NVES only applies to new cars</w:t>
      </w:r>
      <w:r w:rsidRPr="00127EC4">
        <w:rPr>
          <w:rFonts w:asciiTheme="majorHAnsi" w:hAnsiTheme="majorHAnsi" w:cstheme="majorHAnsi"/>
          <w:i/>
          <w:sz w:val="22"/>
        </w:rPr>
        <w:t>:</w:t>
      </w:r>
      <w:r w:rsidRPr="00127EC4">
        <w:rPr>
          <w:rFonts w:asciiTheme="majorHAnsi" w:hAnsiTheme="majorHAnsi" w:cstheme="majorHAnsi"/>
          <w:sz w:val="22"/>
        </w:rPr>
        <w:t xml:space="preserve"> A NVES only applies to new cars – so once sold for the first time a car would no longer be captured. In the Australian context, a NVES would apply at the point at which a vehicle is entered onto the RAV which is a register of vehicles imported and manufactured in Australia, through the type approval pathway under paragraph 15(2)(a) of the RVSA</w:t>
      </w:r>
      <w:r w:rsidRPr="00127EC4">
        <w:rPr>
          <w:rStyle w:val="FootnoteReference"/>
          <w:rFonts w:asciiTheme="majorHAnsi" w:hAnsiTheme="majorHAnsi" w:cstheme="majorHAnsi"/>
          <w:i/>
          <w:sz w:val="22"/>
        </w:rPr>
        <w:footnoteReference w:id="16"/>
      </w:r>
      <w:r w:rsidRPr="00127EC4">
        <w:rPr>
          <w:rFonts w:asciiTheme="majorHAnsi" w:hAnsiTheme="majorHAnsi" w:cstheme="majorHAnsi"/>
          <w:sz w:val="22"/>
        </w:rPr>
        <w:t xml:space="preserve">. </w:t>
      </w:r>
      <w:r w:rsidR="00083FF2">
        <w:rPr>
          <w:rFonts w:asciiTheme="majorHAnsi" w:hAnsiTheme="majorHAnsi" w:cstheme="majorHAnsi"/>
          <w:sz w:val="22"/>
        </w:rPr>
        <w:t>We recommend that consideration is given to expanding the NVES to Specialist and Enthusiast Vehicles in the future.</w:t>
      </w:r>
      <w:r w:rsidRPr="00127EC4">
        <w:rPr>
          <w:rFonts w:asciiTheme="majorHAnsi" w:hAnsiTheme="majorHAnsi" w:cstheme="majorHAnsi"/>
          <w:sz w:val="22"/>
        </w:rPr>
        <w:br/>
      </w:r>
    </w:p>
    <w:p w14:paraId="3C9601A7" w14:textId="77777777" w:rsidR="00046554" w:rsidRPr="00127EC4" w:rsidRDefault="00046554" w:rsidP="00430317">
      <w:pPr>
        <w:pStyle w:val="ListParagraph"/>
        <w:numPr>
          <w:ilvl w:val="0"/>
          <w:numId w:val="30"/>
        </w:numPr>
        <w:rPr>
          <w:color w:val="000000" w:themeColor="text1"/>
          <w:sz w:val="22"/>
        </w:rPr>
      </w:pPr>
      <w:bookmarkStart w:id="220" w:name="_Hlk161659305"/>
      <w:r w:rsidRPr="00127EC4">
        <w:rPr>
          <w:b/>
          <w:i/>
          <w:sz w:val="22"/>
        </w:rPr>
        <w:t>Exceptions apply</w:t>
      </w:r>
      <w:r w:rsidRPr="00127EC4">
        <w:rPr>
          <w:i/>
          <w:sz w:val="22"/>
        </w:rPr>
        <w:t>:</w:t>
      </w:r>
      <w:r w:rsidRPr="00127EC4">
        <w:rPr>
          <w:sz w:val="22"/>
        </w:rPr>
        <w:t xml:space="preserve"> </w:t>
      </w:r>
      <w:r w:rsidRPr="00127EC4">
        <w:rPr>
          <w:color w:val="000000" w:themeColor="text1"/>
          <w:sz w:val="22"/>
        </w:rPr>
        <w:t xml:space="preserve">As part of developing legislation, </w:t>
      </w:r>
      <w:r w:rsidR="00BD3800" w:rsidRPr="00127EC4">
        <w:rPr>
          <w:color w:val="000000" w:themeColor="text1"/>
          <w:sz w:val="22"/>
        </w:rPr>
        <w:t>work has commenced</w:t>
      </w:r>
      <w:r w:rsidRPr="00127EC4">
        <w:rPr>
          <w:color w:val="000000" w:themeColor="text1"/>
          <w:sz w:val="22"/>
        </w:rPr>
        <w:t xml:space="preserve"> to identify those vehicle categories that will be exempted from a </w:t>
      </w:r>
      <w:r w:rsidRPr="00127EC4">
        <w:rPr>
          <w:rFonts w:asciiTheme="majorHAnsi" w:hAnsiTheme="majorHAnsi" w:cstheme="majorHAnsi"/>
          <w:sz w:val="22"/>
        </w:rPr>
        <w:t>NVES</w:t>
      </w:r>
      <w:r w:rsidRPr="00127EC4">
        <w:rPr>
          <w:color w:val="000000" w:themeColor="text1"/>
          <w:sz w:val="22"/>
        </w:rPr>
        <w:t>. For the purposes of this document, readers should assume that</w:t>
      </w:r>
      <w:r w:rsidR="0057678D">
        <w:rPr>
          <w:color w:val="000000" w:themeColor="text1"/>
          <w:sz w:val="22"/>
        </w:rPr>
        <w:t xml:space="preserve"> vehicles that are</w:t>
      </w:r>
      <w:r w:rsidRPr="00127EC4">
        <w:rPr>
          <w:color w:val="000000" w:themeColor="text1"/>
          <w:sz w:val="22"/>
        </w:rPr>
        <w:t xml:space="preserve"> heavy vehicles and vehicles subject to heavy vehicle emissions tests (i.e. large freight trucks), military vehicles, law enforcement vehicles, emergency service vehicles, agricultural, construction or mining equipment, motorhomes, horse trucks and motorcycles,</w:t>
      </w:r>
      <w:r w:rsidR="0057678D">
        <w:rPr>
          <w:color w:val="000000" w:themeColor="text1"/>
          <w:sz w:val="22"/>
        </w:rPr>
        <w:t xml:space="preserve"> at the time of import,</w:t>
      </w:r>
      <w:r w:rsidRPr="00127EC4">
        <w:rPr>
          <w:color w:val="000000" w:themeColor="text1"/>
          <w:sz w:val="22"/>
        </w:rPr>
        <w:t xml:space="preserve"> would be exempt. </w:t>
      </w:r>
    </w:p>
    <w:bookmarkEnd w:id="220"/>
    <w:p w14:paraId="61CA3E2E" w14:textId="77777777" w:rsidR="00046554" w:rsidRPr="00127EC4" w:rsidRDefault="00046554" w:rsidP="00046554">
      <w:pPr>
        <w:pStyle w:val="ListParagraph"/>
        <w:ind w:left="1080"/>
        <w:rPr>
          <w:rFonts w:asciiTheme="majorHAnsi" w:hAnsiTheme="majorHAnsi" w:cstheme="majorHAnsi"/>
          <w:sz w:val="22"/>
        </w:rPr>
      </w:pPr>
    </w:p>
    <w:p w14:paraId="26C054BD" w14:textId="77777777" w:rsidR="00046554" w:rsidRPr="00127EC4" w:rsidRDefault="00046554" w:rsidP="00430317">
      <w:pPr>
        <w:pStyle w:val="ListParagraph"/>
        <w:numPr>
          <w:ilvl w:val="0"/>
          <w:numId w:val="30"/>
        </w:numPr>
        <w:rPr>
          <w:rFonts w:asciiTheme="majorHAnsi" w:hAnsiTheme="majorHAnsi" w:cstheme="majorHAnsi"/>
          <w:sz w:val="22"/>
        </w:rPr>
      </w:pPr>
      <w:r w:rsidRPr="00127EC4">
        <w:rPr>
          <w:rFonts w:asciiTheme="majorHAnsi" w:hAnsiTheme="majorHAnsi" w:cstheme="majorHAnsi"/>
          <w:b/>
          <w:i/>
          <w:sz w:val="22"/>
        </w:rPr>
        <w:t>A target is set each year</w:t>
      </w:r>
      <w:r w:rsidRPr="00127EC4">
        <w:rPr>
          <w:rFonts w:asciiTheme="majorHAnsi" w:hAnsiTheme="majorHAnsi" w:cstheme="majorHAnsi"/>
          <w:b/>
          <w:sz w:val="22"/>
        </w:rPr>
        <w:t>:</w:t>
      </w:r>
      <w:r w:rsidRPr="00127EC4">
        <w:rPr>
          <w:rFonts w:asciiTheme="majorHAnsi" w:hAnsiTheme="majorHAnsi" w:cstheme="majorHAnsi"/>
          <w:sz w:val="22"/>
        </w:rPr>
        <w:t xml:space="preserve"> In each year of a NVES, a target is set. In </w:t>
      </w:r>
      <w:r w:rsidRPr="00127EC4">
        <w:rPr>
          <w:rFonts w:asciiTheme="majorHAnsi" w:hAnsiTheme="majorHAnsi" w:cstheme="majorHAnsi"/>
          <w:color w:val="000000" w:themeColor="text1"/>
          <w:sz w:val="22"/>
        </w:rPr>
        <w:t xml:space="preserve">the </w:t>
      </w:r>
      <w:r w:rsidRPr="00127EC4">
        <w:rPr>
          <w:rFonts w:asciiTheme="majorHAnsi" w:hAnsiTheme="majorHAnsi" w:cstheme="majorHAnsi"/>
          <w:sz w:val="22"/>
        </w:rPr>
        <w:t>options identified</w:t>
      </w:r>
      <w:r w:rsidRPr="00127EC4">
        <w:rPr>
          <w:rFonts w:asciiTheme="majorHAnsi" w:hAnsiTheme="majorHAnsi" w:cstheme="majorHAnsi"/>
          <w:color w:val="000000" w:themeColor="text1"/>
          <w:sz w:val="22"/>
        </w:rPr>
        <w:t xml:space="preserve">, five </w:t>
      </w:r>
      <w:r w:rsidRPr="00127EC4">
        <w:rPr>
          <w:rFonts w:asciiTheme="majorHAnsi" w:hAnsiTheme="majorHAnsi" w:cstheme="majorHAnsi"/>
          <w:sz w:val="22"/>
        </w:rPr>
        <w:t>years of targets are set (from 2025-2029), with a review in 2026. Separate headline targets are established for both Passenger Vehicles (PVs) and for Light Commercial Vehicles (LCVs)</w:t>
      </w:r>
    </w:p>
    <w:p w14:paraId="3B7F8AF6" w14:textId="77777777" w:rsidR="00046554" w:rsidRPr="00127EC4" w:rsidRDefault="00046554" w:rsidP="00046554">
      <w:pPr>
        <w:pStyle w:val="ListParagraph"/>
        <w:rPr>
          <w:rFonts w:asciiTheme="majorHAnsi" w:hAnsiTheme="majorHAnsi" w:cstheme="majorHAnsi"/>
          <w:i/>
          <w:sz w:val="22"/>
        </w:rPr>
      </w:pPr>
    </w:p>
    <w:p w14:paraId="2702D0F7" w14:textId="77777777" w:rsidR="00083FF2" w:rsidRDefault="00083FF2" w:rsidP="00430317">
      <w:pPr>
        <w:pStyle w:val="ListParagraph"/>
        <w:numPr>
          <w:ilvl w:val="0"/>
          <w:numId w:val="30"/>
        </w:numPr>
        <w:rPr>
          <w:rFonts w:asciiTheme="majorHAnsi" w:hAnsiTheme="majorHAnsi" w:cstheme="majorHAnsi"/>
          <w:sz w:val="22"/>
        </w:rPr>
      </w:pPr>
      <w:bookmarkStart w:id="221" w:name="_Hlk161844712"/>
      <w:r w:rsidRPr="00127EC4">
        <w:rPr>
          <w:rFonts w:asciiTheme="majorHAnsi" w:hAnsiTheme="majorHAnsi" w:cstheme="majorHAnsi"/>
          <w:b/>
          <w:i/>
          <w:sz w:val="22"/>
        </w:rPr>
        <w:t xml:space="preserve">Suppliers that beat the target get credits which can be traded and suppliers that do not meet the target </w:t>
      </w:r>
      <w:r>
        <w:rPr>
          <w:rFonts w:asciiTheme="majorHAnsi" w:hAnsiTheme="majorHAnsi" w:cstheme="majorHAnsi"/>
          <w:b/>
          <w:i/>
          <w:sz w:val="22"/>
        </w:rPr>
        <w:t xml:space="preserve">will eventually have penalties to pay if they don’t acquire credits or </w:t>
      </w:r>
      <w:r w:rsidR="00C4255E">
        <w:rPr>
          <w:rFonts w:asciiTheme="majorHAnsi" w:hAnsiTheme="majorHAnsi" w:cstheme="majorHAnsi"/>
          <w:b/>
          <w:i/>
          <w:sz w:val="22"/>
        </w:rPr>
        <w:t>balance their fleet with lower emitting</w:t>
      </w:r>
      <w:r>
        <w:rPr>
          <w:rFonts w:asciiTheme="majorHAnsi" w:hAnsiTheme="majorHAnsi" w:cstheme="majorHAnsi"/>
          <w:b/>
          <w:i/>
          <w:sz w:val="22"/>
        </w:rPr>
        <w:t xml:space="preserve"> vehicles</w:t>
      </w:r>
      <w:r w:rsidRPr="00127EC4">
        <w:rPr>
          <w:rFonts w:asciiTheme="majorHAnsi" w:hAnsiTheme="majorHAnsi" w:cstheme="majorHAnsi"/>
          <w:i/>
          <w:sz w:val="22"/>
        </w:rPr>
        <w:t>:</w:t>
      </w:r>
      <w:r w:rsidRPr="00127EC4">
        <w:rPr>
          <w:rFonts w:asciiTheme="majorHAnsi" w:hAnsiTheme="majorHAnsi" w:cstheme="majorHAnsi"/>
          <w:sz w:val="22"/>
        </w:rPr>
        <w:t xml:space="preserve"> </w:t>
      </w:r>
      <w:r>
        <w:rPr>
          <w:rFonts w:asciiTheme="majorHAnsi" w:hAnsiTheme="majorHAnsi" w:cstheme="majorHAnsi"/>
          <w:sz w:val="22"/>
        </w:rPr>
        <w:t xml:space="preserve">When a supplier enters a vehicle on the Register of Approved Vehicles </w:t>
      </w:r>
      <w:r w:rsidR="00C4255E">
        <w:rPr>
          <w:rFonts w:asciiTheme="majorHAnsi" w:hAnsiTheme="majorHAnsi" w:cstheme="majorHAnsi"/>
          <w:sz w:val="22"/>
        </w:rPr>
        <w:t>(RAV)</w:t>
      </w:r>
      <w:r>
        <w:rPr>
          <w:rFonts w:asciiTheme="majorHAnsi" w:hAnsiTheme="majorHAnsi" w:cstheme="majorHAnsi"/>
          <w:sz w:val="22"/>
        </w:rPr>
        <w:t xml:space="preserve"> the characteristics of that vehicle will determine change </w:t>
      </w:r>
      <w:r w:rsidR="00C4255E">
        <w:rPr>
          <w:rFonts w:asciiTheme="majorHAnsi" w:hAnsiTheme="majorHAnsi" w:cstheme="majorHAnsi"/>
          <w:sz w:val="22"/>
        </w:rPr>
        <w:t xml:space="preserve">to </w:t>
      </w:r>
      <w:r>
        <w:rPr>
          <w:rFonts w:asciiTheme="majorHAnsi" w:hAnsiTheme="majorHAnsi" w:cstheme="majorHAnsi"/>
          <w:sz w:val="22"/>
        </w:rPr>
        <w:t xml:space="preserve">that supplier’s Interim Emissions Value (IEV). The IEV will go up if </w:t>
      </w:r>
      <w:r w:rsidR="001A3A14">
        <w:rPr>
          <w:rFonts w:asciiTheme="majorHAnsi" w:hAnsiTheme="majorHAnsi" w:cstheme="majorHAnsi"/>
          <w:sz w:val="22"/>
        </w:rPr>
        <w:t>the</w:t>
      </w:r>
      <w:r>
        <w:rPr>
          <w:rFonts w:asciiTheme="majorHAnsi" w:hAnsiTheme="majorHAnsi" w:cstheme="majorHAnsi"/>
          <w:sz w:val="22"/>
        </w:rPr>
        <w:t xml:space="preserve"> vehicle misses the target, and will go down if the vehicle beats the target. Over a year, a suppliers’ IEV will go up and down based on the characteristics of the vehicles that they </w:t>
      </w:r>
      <w:r w:rsidR="00C4255E">
        <w:rPr>
          <w:rFonts w:asciiTheme="majorHAnsi" w:hAnsiTheme="majorHAnsi" w:cstheme="majorHAnsi"/>
          <w:sz w:val="22"/>
        </w:rPr>
        <w:t>enter onto the RAV</w:t>
      </w:r>
      <w:r>
        <w:rPr>
          <w:rFonts w:asciiTheme="majorHAnsi" w:hAnsiTheme="majorHAnsi" w:cstheme="majorHAnsi"/>
          <w:sz w:val="22"/>
        </w:rPr>
        <w:t>. On the 1</w:t>
      </w:r>
      <w:r w:rsidR="001903A9" w:rsidRPr="001903A9">
        <w:rPr>
          <w:rFonts w:asciiTheme="majorHAnsi" w:hAnsiTheme="majorHAnsi" w:cstheme="majorHAnsi"/>
          <w:sz w:val="22"/>
          <w:vertAlign w:val="superscript"/>
        </w:rPr>
        <w:t>st</w:t>
      </w:r>
      <w:r w:rsidR="001903A9">
        <w:rPr>
          <w:rFonts w:asciiTheme="majorHAnsi" w:hAnsiTheme="majorHAnsi" w:cstheme="majorHAnsi"/>
          <w:sz w:val="22"/>
        </w:rPr>
        <w:t xml:space="preserve"> of</w:t>
      </w:r>
      <w:r>
        <w:rPr>
          <w:rFonts w:asciiTheme="majorHAnsi" w:hAnsiTheme="majorHAnsi" w:cstheme="majorHAnsi"/>
          <w:sz w:val="22"/>
        </w:rPr>
        <w:t xml:space="preserve"> February after a year, the IEV will reconcile</w:t>
      </w:r>
      <w:r w:rsidR="00C4255E">
        <w:rPr>
          <w:rFonts w:asciiTheme="majorHAnsi" w:hAnsiTheme="majorHAnsi" w:cstheme="majorHAnsi"/>
          <w:sz w:val="22"/>
        </w:rPr>
        <w:t>. F</w:t>
      </w:r>
      <w:r>
        <w:rPr>
          <w:rFonts w:asciiTheme="majorHAnsi" w:hAnsiTheme="majorHAnsi" w:cstheme="majorHAnsi"/>
          <w:sz w:val="22"/>
        </w:rPr>
        <w:t>rom that point on</w:t>
      </w:r>
      <w:r w:rsidR="00C4255E">
        <w:rPr>
          <w:rFonts w:asciiTheme="majorHAnsi" w:hAnsiTheme="majorHAnsi" w:cstheme="majorHAnsi"/>
          <w:sz w:val="22"/>
        </w:rPr>
        <w:t>,</w:t>
      </w:r>
      <w:r>
        <w:rPr>
          <w:rFonts w:asciiTheme="majorHAnsi" w:hAnsiTheme="majorHAnsi" w:cstheme="majorHAnsi"/>
          <w:sz w:val="22"/>
        </w:rPr>
        <w:t xml:space="preserve"> if the IEV is </w:t>
      </w:r>
      <w:r w:rsidR="00C4255E">
        <w:rPr>
          <w:rFonts w:asciiTheme="majorHAnsi" w:hAnsiTheme="majorHAnsi" w:cstheme="majorHAnsi"/>
          <w:sz w:val="22"/>
        </w:rPr>
        <w:t>less than zero, the supplier will be awarded credits, however</w:t>
      </w:r>
      <w:r>
        <w:rPr>
          <w:rFonts w:asciiTheme="majorHAnsi" w:hAnsiTheme="majorHAnsi" w:cstheme="majorHAnsi"/>
          <w:sz w:val="22"/>
        </w:rPr>
        <w:t xml:space="preserve"> if the IEV is more than zero, the supplier will have two years to bring the value down to zero, by acquiring credits from others or by generating credits itself.  </w:t>
      </w:r>
    </w:p>
    <w:bookmarkEnd w:id="221"/>
    <w:p w14:paraId="32176627" w14:textId="77777777" w:rsidR="00046554" w:rsidRPr="00127EC4" w:rsidRDefault="00046554" w:rsidP="00046554">
      <w:pPr>
        <w:pStyle w:val="ListParagraph"/>
        <w:rPr>
          <w:rFonts w:asciiTheme="majorHAnsi" w:hAnsiTheme="majorHAnsi" w:cstheme="majorHAnsi"/>
          <w:sz w:val="22"/>
        </w:rPr>
      </w:pPr>
    </w:p>
    <w:p w14:paraId="46B6B884" w14:textId="77777777" w:rsidR="00046554" w:rsidRPr="00127EC4" w:rsidRDefault="00D24CD0" w:rsidP="00430317">
      <w:pPr>
        <w:pStyle w:val="ListParagraph"/>
        <w:numPr>
          <w:ilvl w:val="0"/>
          <w:numId w:val="30"/>
        </w:numPr>
        <w:spacing w:before="80"/>
        <w:rPr>
          <w:rFonts w:asciiTheme="majorHAnsi" w:hAnsiTheme="majorHAnsi" w:cstheme="majorHAnsi"/>
          <w:sz w:val="22"/>
        </w:rPr>
      </w:pPr>
      <w:r>
        <w:rPr>
          <w:rFonts w:asciiTheme="majorHAnsi" w:hAnsiTheme="majorHAnsi" w:cstheme="majorHAnsi"/>
          <w:b/>
          <w:i/>
          <w:sz w:val="22"/>
        </w:rPr>
        <w:t>Adjusted for vehicle weight</w:t>
      </w:r>
      <w:r w:rsidR="00046554" w:rsidRPr="00127EC4">
        <w:rPr>
          <w:rFonts w:asciiTheme="majorHAnsi" w:hAnsiTheme="majorHAnsi" w:cstheme="majorHAnsi"/>
          <w:i/>
          <w:sz w:val="22"/>
        </w:rPr>
        <w:t>:</w:t>
      </w:r>
      <w:r w:rsidR="00046554" w:rsidRPr="00127EC4">
        <w:rPr>
          <w:rFonts w:asciiTheme="majorHAnsi" w:hAnsiTheme="majorHAnsi" w:cstheme="majorHAnsi"/>
          <w:sz w:val="22"/>
        </w:rPr>
        <w:t xml:space="preserve"> A NVES gives heavier cars a relatively higher CO</w:t>
      </w:r>
      <w:r w:rsidR="00046554" w:rsidRPr="00127EC4">
        <w:rPr>
          <w:rFonts w:asciiTheme="majorHAnsi" w:hAnsiTheme="majorHAnsi" w:cstheme="majorHAnsi"/>
          <w:sz w:val="22"/>
          <w:vertAlign w:val="subscript"/>
        </w:rPr>
        <w:t>2</w:t>
      </w:r>
      <w:r w:rsidR="00046554" w:rsidRPr="00127EC4">
        <w:rPr>
          <w:rFonts w:asciiTheme="majorHAnsi" w:hAnsiTheme="majorHAnsi" w:cstheme="majorHAnsi"/>
          <w:sz w:val="22"/>
        </w:rPr>
        <w:t xml:space="preserve"> target because it is recognised that some consumers (such as small businesses and trades people) legitimately need a bigger car for their work. </w:t>
      </w:r>
      <w:r w:rsidR="00046554" w:rsidRPr="00127EC4">
        <w:rPr>
          <w:sz w:val="22"/>
        </w:rPr>
        <w:t>The fleet target (described in Figure 1</w:t>
      </w:r>
      <w:r w:rsidR="0023600C">
        <w:rPr>
          <w:sz w:val="22"/>
        </w:rPr>
        <w:t>0</w:t>
      </w:r>
      <w:r w:rsidR="00046554" w:rsidRPr="00127EC4">
        <w:rPr>
          <w:sz w:val="22"/>
        </w:rPr>
        <w:t xml:space="preserve"> above) reduces the disadvantage that heavier (or larger) vehicles have, because heavier vehicles naturally use more fuel. In other words, the fleet limit curve is a way of adjusting the headline limit for a specific car to account for its weight, as a proxy for the use for which the vehicle is required. For example, the </w:t>
      </w:r>
      <w:r w:rsidR="00046554" w:rsidRPr="006C75D4">
        <w:rPr>
          <w:sz w:val="22"/>
        </w:rPr>
        <w:t>headline target</w:t>
      </w:r>
      <w:r w:rsidR="00936403">
        <w:rPr>
          <w:sz w:val="22"/>
        </w:rPr>
        <w:t xml:space="preserve"> for a passenger vehicle</w:t>
      </w:r>
      <w:r w:rsidR="00046554" w:rsidRPr="006C75D4">
        <w:rPr>
          <w:sz w:val="22"/>
        </w:rPr>
        <w:t xml:space="preserve"> might be set at 141 g/km (as in </w:t>
      </w:r>
      <w:r w:rsidR="00C12BE2">
        <w:rPr>
          <w:sz w:val="22"/>
        </w:rPr>
        <w:t>Option B</w:t>
      </w:r>
      <w:r w:rsidR="00046554" w:rsidRPr="006C75D4">
        <w:rPr>
          <w:sz w:val="22"/>
        </w:rPr>
        <w:t xml:space="preserve"> in 2025) but for a car that weighs 1,950 kg, the effective target for that vehicle would be 156 g/km, or a 1,500 kg car would have an effective individual target of 126 g/km.</w:t>
      </w:r>
    </w:p>
    <w:p w14:paraId="6AD16B54" w14:textId="77777777" w:rsidR="00046554" w:rsidRPr="00127EC4" w:rsidRDefault="00046554" w:rsidP="00046554">
      <w:pPr>
        <w:pStyle w:val="ListParagraph"/>
        <w:rPr>
          <w:rFonts w:asciiTheme="majorHAnsi" w:hAnsiTheme="majorHAnsi" w:cstheme="majorHAnsi"/>
          <w:sz w:val="22"/>
        </w:rPr>
      </w:pPr>
    </w:p>
    <w:p w14:paraId="7F0F6B60" w14:textId="77777777" w:rsidR="001903A9" w:rsidRPr="001903A9" w:rsidRDefault="00046554" w:rsidP="00430317">
      <w:pPr>
        <w:pStyle w:val="ListParagraph"/>
        <w:numPr>
          <w:ilvl w:val="0"/>
          <w:numId w:val="30"/>
        </w:numPr>
        <w:spacing w:before="80"/>
        <w:rPr>
          <w:b/>
          <w:sz w:val="22"/>
        </w:rPr>
      </w:pPr>
      <w:r w:rsidRPr="00127EC4">
        <w:rPr>
          <w:b/>
          <w:sz w:val="22"/>
        </w:rPr>
        <w:t xml:space="preserve">…but the </w:t>
      </w:r>
      <w:r w:rsidR="00D24CD0">
        <w:rPr>
          <w:b/>
          <w:sz w:val="22"/>
        </w:rPr>
        <w:t>adjustments</w:t>
      </w:r>
      <w:r w:rsidR="00D24CD0" w:rsidRPr="00127EC4">
        <w:rPr>
          <w:b/>
          <w:sz w:val="22"/>
        </w:rPr>
        <w:t xml:space="preserve"> </w:t>
      </w:r>
      <w:r w:rsidRPr="00127EC4">
        <w:rPr>
          <w:b/>
          <w:sz w:val="22"/>
        </w:rPr>
        <w:t>for very heavy and very light vehicles have a cap:</w:t>
      </w:r>
      <w:r w:rsidRPr="00127EC4">
        <w:rPr>
          <w:sz w:val="22"/>
        </w:rPr>
        <w:t xml:space="preserve"> ‘Break points’ are points on the fleet limit curve that are flattened out. They are used in the US </w:t>
      </w:r>
      <w:r w:rsidRPr="00127EC4">
        <w:rPr>
          <w:rFonts w:asciiTheme="majorHAnsi" w:hAnsiTheme="majorHAnsi" w:cstheme="majorHAnsi"/>
          <w:sz w:val="22"/>
        </w:rPr>
        <w:t>NVES</w:t>
      </w:r>
      <w:r w:rsidRPr="00127EC4">
        <w:rPr>
          <w:sz w:val="22"/>
        </w:rPr>
        <w:t xml:space="preserve"> to place a cap on how much the fleet limit curve helps heavier cars (or in the US, larger cars) and vice versa for lighter cars. For example, </w:t>
      </w:r>
      <w:r w:rsidR="00E43854">
        <w:rPr>
          <w:rFonts w:eastAsia="Calibri"/>
          <w:sz w:val="22"/>
        </w:rPr>
        <w:t>the best option</w:t>
      </w:r>
      <w:r w:rsidR="00EA35EC">
        <w:rPr>
          <w:rFonts w:eastAsia="Calibri"/>
          <w:sz w:val="22"/>
        </w:rPr>
        <w:t xml:space="preserve"> </w:t>
      </w:r>
      <w:r w:rsidR="00B70BBF">
        <w:rPr>
          <w:rFonts w:eastAsia="Calibri"/>
          <w:sz w:val="22"/>
        </w:rPr>
        <w:t xml:space="preserve">as </w:t>
      </w:r>
      <w:r w:rsidRPr="00127EC4">
        <w:rPr>
          <w:rFonts w:eastAsia="Calibri"/>
          <w:sz w:val="22"/>
        </w:rPr>
        <w:t xml:space="preserve">presented </w:t>
      </w:r>
      <w:r w:rsidR="00AE4BF3">
        <w:rPr>
          <w:rFonts w:eastAsia="Calibri"/>
          <w:sz w:val="22"/>
        </w:rPr>
        <w:t>in th</w:t>
      </w:r>
      <w:r w:rsidR="00E43854">
        <w:rPr>
          <w:rFonts w:eastAsia="Calibri"/>
          <w:sz w:val="22"/>
        </w:rPr>
        <w:t>is</w:t>
      </w:r>
      <w:r w:rsidR="00AE4BF3">
        <w:rPr>
          <w:rFonts w:eastAsia="Calibri"/>
          <w:sz w:val="22"/>
        </w:rPr>
        <w:t xml:space="preserve"> Impact Analysis, </w:t>
      </w:r>
      <w:r w:rsidR="00B70BBF">
        <w:rPr>
          <w:rFonts w:eastAsia="Calibri"/>
          <w:sz w:val="22"/>
        </w:rPr>
        <w:t>show</w:t>
      </w:r>
      <w:r w:rsidR="00E43854">
        <w:rPr>
          <w:rFonts w:eastAsia="Calibri"/>
          <w:sz w:val="22"/>
        </w:rPr>
        <w:t>s</w:t>
      </w:r>
      <w:r w:rsidR="00B70BBF">
        <w:rPr>
          <w:rFonts w:eastAsia="Calibri"/>
          <w:sz w:val="22"/>
        </w:rPr>
        <w:t xml:space="preserve"> </w:t>
      </w:r>
      <w:r w:rsidRPr="00127EC4">
        <w:rPr>
          <w:rFonts w:eastAsia="Calibri"/>
          <w:sz w:val="22"/>
        </w:rPr>
        <w:t>the break points for passenger vehicles (PVs) at 1,500 kg and 2,</w:t>
      </w:r>
      <w:r w:rsidR="0039799A">
        <w:rPr>
          <w:rFonts w:eastAsia="Calibri"/>
          <w:sz w:val="22"/>
        </w:rPr>
        <w:t>2</w:t>
      </w:r>
      <w:r w:rsidRPr="00127EC4">
        <w:rPr>
          <w:rFonts w:eastAsia="Calibri"/>
          <w:sz w:val="22"/>
        </w:rPr>
        <w:t>00 kg</w:t>
      </w:r>
      <w:r w:rsidR="0081252E">
        <w:rPr>
          <w:rFonts w:eastAsia="Calibri"/>
          <w:sz w:val="22"/>
        </w:rPr>
        <w:t>, and light commercial vehicles a</w:t>
      </w:r>
      <w:r w:rsidR="00B70BBF">
        <w:rPr>
          <w:rFonts w:eastAsia="Calibri"/>
          <w:sz w:val="22"/>
        </w:rPr>
        <w:t>t</w:t>
      </w:r>
      <w:r w:rsidR="0081252E">
        <w:rPr>
          <w:rFonts w:eastAsia="Calibri"/>
          <w:sz w:val="22"/>
        </w:rPr>
        <w:t xml:space="preserve"> 1,500kg and 2,400kg, reflecting the heavier weight and use case of light commercial vehicles</w:t>
      </w:r>
      <w:r w:rsidRPr="00127EC4">
        <w:rPr>
          <w:rFonts w:eastAsia="Calibri"/>
          <w:sz w:val="22"/>
        </w:rPr>
        <w:t xml:space="preserve">. </w:t>
      </w:r>
    </w:p>
    <w:p w14:paraId="0D973771" w14:textId="77777777" w:rsidR="001903A9" w:rsidRPr="001903A9" w:rsidRDefault="001903A9" w:rsidP="001903A9">
      <w:pPr>
        <w:pStyle w:val="ListParagraph"/>
        <w:rPr>
          <w:rFonts w:eastAsia="Calibri"/>
          <w:sz w:val="22"/>
        </w:rPr>
      </w:pPr>
    </w:p>
    <w:p w14:paraId="7D369D60" w14:textId="77777777" w:rsidR="0081252E" w:rsidRDefault="00046554" w:rsidP="001903A9">
      <w:pPr>
        <w:pStyle w:val="ListParagraph"/>
        <w:spacing w:before="80"/>
        <w:ind w:left="1080"/>
        <w:rPr>
          <w:rFonts w:eastAsia="Calibri"/>
          <w:sz w:val="22"/>
        </w:rPr>
      </w:pPr>
      <w:r w:rsidRPr="00127EC4">
        <w:rPr>
          <w:rFonts w:eastAsia="Calibri"/>
          <w:sz w:val="22"/>
        </w:rPr>
        <w:t>This mean</w:t>
      </w:r>
      <w:r w:rsidR="00E43854">
        <w:rPr>
          <w:rFonts w:eastAsia="Calibri"/>
          <w:sz w:val="22"/>
        </w:rPr>
        <w:t>s</w:t>
      </w:r>
      <w:r w:rsidRPr="00127EC4">
        <w:rPr>
          <w:rFonts w:eastAsia="Calibri"/>
          <w:sz w:val="22"/>
        </w:rPr>
        <w:t xml:space="preserve"> that in 2025, </w:t>
      </w:r>
      <w:r w:rsidR="0081252E">
        <w:rPr>
          <w:rFonts w:eastAsia="Calibri"/>
          <w:sz w:val="22"/>
        </w:rPr>
        <w:t>passenger vehicles</w:t>
      </w:r>
      <w:r w:rsidRPr="00127EC4">
        <w:rPr>
          <w:rFonts w:eastAsia="Calibri"/>
          <w:sz w:val="22"/>
        </w:rPr>
        <w:t xml:space="preserve"> below 1,500kg </w:t>
      </w:r>
      <w:r w:rsidR="0081252E">
        <w:rPr>
          <w:rFonts w:eastAsia="Calibri"/>
          <w:sz w:val="22"/>
        </w:rPr>
        <w:t>MIRO</w:t>
      </w:r>
      <w:r w:rsidRPr="00127EC4">
        <w:rPr>
          <w:rFonts w:eastAsia="Calibri"/>
          <w:sz w:val="22"/>
        </w:rPr>
        <w:t xml:space="preserve"> </w:t>
      </w:r>
      <w:r w:rsidR="00E43854">
        <w:rPr>
          <w:rFonts w:eastAsia="Calibri"/>
          <w:sz w:val="22"/>
        </w:rPr>
        <w:t xml:space="preserve">will </w:t>
      </w:r>
      <w:r w:rsidRPr="00127EC4">
        <w:rPr>
          <w:rFonts w:eastAsia="Calibri"/>
          <w:sz w:val="22"/>
        </w:rPr>
        <w:t>have a target of 126g</w:t>
      </w:r>
      <w:r w:rsidR="0081252E">
        <w:rPr>
          <w:rFonts w:eastAsia="Calibri"/>
          <w:sz w:val="22"/>
        </w:rPr>
        <w:t> </w:t>
      </w:r>
      <w:r w:rsidRPr="00127EC4">
        <w:rPr>
          <w:rFonts w:eastAsia="Calibri"/>
          <w:sz w:val="22"/>
        </w:rPr>
        <w:t>CO</w:t>
      </w:r>
      <w:r w:rsidRPr="00127EC4">
        <w:rPr>
          <w:rFonts w:eastAsia="Calibri"/>
          <w:sz w:val="22"/>
          <w:vertAlign w:val="subscript"/>
        </w:rPr>
        <w:t>2</w:t>
      </w:r>
      <w:r w:rsidRPr="00127EC4">
        <w:rPr>
          <w:rFonts w:eastAsia="Calibri"/>
          <w:sz w:val="22"/>
        </w:rPr>
        <w:t>/km,</w:t>
      </w:r>
      <w:r w:rsidR="0081252E">
        <w:rPr>
          <w:rFonts w:eastAsia="Calibri"/>
          <w:sz w:val="22"/>
        </w:rPr>
        <w:t xml:space="preserve"> and light commercial vehicles below 1,500kg MIRO </w:t>
      </w:r>
      <w:r w:rsidR="00E43854">
        <w:rPr>
          <w:rFonts w:eastAsia="Calibri"/>
          <w:sz w:val="22"/>
        </w:rPr>
        <w:t>will have</w:t>
      </w:r>
      <w:r w:rsidR="0081252E">
        <w:rPr>
          <w:rFonts w:eastAsia="Calibri"/>
          <w:sz w:val="22"/>
        </w:rPr>
        <w:t xml:space="preserve"> a target of </w:t>
      </w:r>
      <w:r w:rsidR="003C610D">
        <w:rPr>
          <w:rFonts w:eastAsia="Calibri"/>
          <w:sz w:val="22"/>
        </w:rPr>
        <w:t>189</w:t>
      </w:r>
      <w:r w:rsidR="0081252E">
        <w:rPr>
          <w:rFonts w:eastAsia="Calibri"/>
          <w:sz w:val="22"/>
        </w:rPr>
        <w:t>g CO</w:t>
      </w:r>
      <w:r w:rsidR="0081252E" w:rsidRPr="0081252E">
        <w:rPr>
          <w:rFonts w:eastAsia="Calibri"/>
          <w:sz w:val="22"/>
          <w:vertAlign w:val="subscript"/>
        </w:rPr>
        <w:t>2</w:t>
      </w:r>
      <w:r w:rsidR="0081252E">
        <w:rPr>
          <w:rFonts w:eastAsia="Calibri"/>
          <w:sz w:val="22"/>
        </w:rPr>
        <w:t>/km</w:t>
      </w:r>
      <w:r w:rsidRPr="00127EC4">
        <w:rPr>
          <w:rFonts w:eastAsia="Calibri"/>
          <w:sz w:val="22"/>
        </w:rPr>
        <w:t xml:space="preserve"> rather than a target that continues to reduce as the vehicle gets lighter. </w:t>
      </w:r>
    </w:p>
    <w:p w14:paraId="334055F9" w14:textId="77777777" w:rsidR="0081252E" w:rsidRDefault="0081252E" w:rsidP="001903A9">
      <w:pPr>
        <w:pStyle w:val="ListParagraph"/>
        <w:spacing w:before="80"/>
        <w:ind w:left="1080"/>
        <w:rPr>
          <w:rFonts w:eastAsia="Calibri"/>
          <w:sz w:val="22"/>
        </w:rPr>
      </w:pPr>
    </w:p>
    <w:p w14:paraId="462F1317" w14:textId="77777777" w:rsidR="00046554" w:rsidRPr="00127EC4" w:rsidRDefault="0081252E" w:rsidP="001903A9">
      <w:pPr>
        <w:pStyle w:val="ListParagraph"/>
        <w:spacing w:before="80"/>
        <w:ind w:left="1080"/>
        <w:rPr>
          <w:b/>
          <w:sz w:val="22"/>
        </w:rPr>
      </w:pPr>
      <w:r>
        <w:rPr>
          <w:rFonts w:eastAsia="Calibri"/>
          <w:sz w:val="22"/>
        </w:rPr>
        <w:t>On the heavier end</w:t>
      </w:r>
      <w:r w:rsidR="00046554" w:rsidRPr="00127EC4">
        <w:rPr>
          <w:rFonts w:eastAsia="Calibri"/>
          <w:sz w:val="22"/>
        </w:rPr>
        <w:t>, all cars in the passenger vehicle category that weigh over 2,</w:t>
      </w:r>
      <w:r w:rsidR="0039799A">
        <w:rPr>
          <w:rFonts w:eastAsia="Calibri"/>
          <w:sz w:val="22"/>
        </w:rPr>
        <w:t>2</w:t>
      </w:r>
      <w:r w:rsidR="00046554" w:rsidRPr="00127EC4">
        <w:rPr>
          <w:rFonts w:eastAsia="Calibri"/>
          <w:sz w:val="22"/>
        </w:rPr>
        <w:t xml:space="preserve">00kg </w:t>
      </w:r>
      <w:r w:rsidR="00E43854">
        <w:rPr>
          <w:rFonts w:eastAsia="Calibri"/>
          <w:sz w:val="22"/>
        </w:rPr>
        <w:t>will have</w:t>
      </w:r>
      <w:r w:rsidR="00046554" w:rsidRPr="00127EC4">
        <w:rPr>
          <w:rFonts w:eastAsia="Calibri"/>
          <w:sz w:val="22"/>
        </w:rPr>
        <w:t xml:space="preserve"> a target of 1</w:t>
      </w:r>
      <w:r w:rsidR="0039799A">
        <w:rPr>
          <w:rFonts w:eastAsia="Calibri"/>
          <w:sz w:val="22"/>
        </w:rPr>
        <w:t>73</w:t>
      </w:r>
      <w:r w:rsidR="00046554" w:rsidRPr="00127EC4">
        <w:rPr>
          <w:rFonts w:eastAsia="Calibri"/>
          <w:sz w:val="22"/>
        </w:rPr>
        <w:t>g CO</w:t>
      </w:r>
      <w:r w:rsidR="00046554" w:rsidRPr="00127EC4">
        <w:rPr>
          <w:rFonts w:eastAsia="Calibri"/>
          <w:sz w:val="22"/>
          <w:vertAlign w:val="subscript"/>
        </w:rPr>
        <w:t>2</w:t>
      </w:r>
      <w:r w:rsidR="00046554" w:rsidRPr="00127EC4">
        <w:rPr>
          <w:rFonts w:eastAsia="Calibri"/>
          <w:sz w:val="22"/>
        </w:rPr>
        <w:t>/km</w:t>
      </w:r>
      <w:r>
        <w:rPr>
          <w:rFonts w:eastAsia="Calibri"/>
          <w:sz w:val="22"/>
        </w:rPr>
        <w:t xml:space="preserve"> and all light commercial vehicles over</w:t>
      </w:r>
      <w:r w:rsidR="00046554" w:rsidRPr="00127EC4">
        <w:rPr>
          <w:rFonts w:eastAsia="Calibri"/>
          <w:sz w:val="22"/>
        </w:rPr>
        <w:t xml:space="preserve"> 2,</w:t>
      </w:r>
      <w:r w:rsidR="0039799A">
        <w:rPr>
          <w:rFonts w:eastAsia="Calibri"/>
          <w:sz w:val="22"/>
        </w:rPr>
        <w:t>4</w:t>
      </w:r>
      <w:r w:rsidR="00046554" w:rsidRPr="00127EC4">
        <w:rPr>
          <w:rFonts w:eastAsia="Calibri"/>
          <w:sz w:val="22"/>
        </w:rPr>
        <w:t>00kg</w:t>
      </w:r>
      <w:r w:rsidR="001903A9">
        <w:rPr>
          <w:rFonts w:eastAsia="Calibri"/>
          <w:sz w:val="22"/>
        </w:rPr>
        <w:t xml:space="preserve"> </w:t>
      </w:r>
      <w:r w:rsidR="00E43854">
        <w:rPr>
          <w:rFonts w:eastAsia="Calibri"/>
          <w:sz w:val="22"/>
        </w:rPr>
        <w:t>will have</w:t>
      </w:r>
      <w:r>
        <w:rPr>
          <w:rFonts w:eastAsia="Calibri"/>
          <w:sz w:val="22"/>
        </w:rPr>
        <w:t xml:space="preserve"> </w:t>
      </w:r>
      <w:r w:rsidR="001903A9">
        <w:rPr>
          <w:rFonts w:eastAsia="Calibri"/>
          <w:sz w:val="22"/>
        </w:rPr>
        <w:t xml:space="preserve">a target of </w:t>
      </w:r>
      <w:r w:rsidR="001903A9" w:rsidRPr="0081252E">
        <w:rPr>
          <w:rFonts w:eastAsia="Calibri"/>
          <w:sz w:val="22"/>
        </w:rPr>
        <w:t>218g CO</w:t>
      </w:r>
      <w:r w:rsidR="001903A9" w:rsidRPr="0081252E">
        <w:rPr>
          <w:rFonts w:eastAsia="Calibri"/>
          <w:sz w:val="22"/>
          <w:vertAlign w:val="subscript"/>
        </w:rPr>
        <w:t>2</w:t>
      </w:r>
      <w:r w:rsidR="001903A9" w:rsidRPr="0081252E">
        <w:rPr>
          <w:rFonts w:eastAsia="Calibri"/>
          <w:sz w:val="22"/>
        </w:rPr>
        <w:t>/km</w:t>
      </w:r>
      <w:r>
        <w:rPr>
          <w:rFonts w:eastAsia="Calibri"/>
          <w:sz w:val="22"/>
        </w:rPr>
        <w:t>, rather than a target that continues to increase as vehicles get heavier.</w:t>
      </w:r>
    </w:p>
    <w:p w14:paraId="16FC26D6" w14:textId="77777777" w:rsidR="00046554" w:rsidRPr="00127EC4" w:rsidRDefault="00046554" w:rsidP="00046554">
      <w:pPr>
        <w:pStyle w:val="ListParagraph"/>
        <w:spacing w:before="80"/>
        <w:ind w:left="1080"/>
        <w:rPr>
          <w:b/>
          <w:sz w:val="22"/>
        </w:rPr>
      </w:pPr>
    </w:p>
    <w:p w14:paraId="626A8C2C" w14:textId="77777777" w:rsidR="009B57D6" w:rsidRPr="00127EC4" w:rsidRDefault="009B57D6" w:rsidP="009B57D6">
      <w:pPr>
        <w:rPr>
          <w:rFonts w:asciiTheme="majorHAnsi" w:hAnsiTheme="majorHAnsi" w:cstheme="majorHAnsi"/>
          <w:sz w:val="22"/>
        </w:rPr>
      </w:pPr>
      <w:r w:rsidRPr="00127EC4">
        <w:rPr>
          <w:rFonts w:asciiTheme="majorHAnsi" w:hAnsiTheme="majorHAnsi" w:cstheme="majorHAnsi"/>
          <w:sz w:val="22"/>
        </w:rPr>
        <w:t xml:space="preserve">It is important to note that cars can have a relatively long asset life. In the projections we present in this analysis, we do not assume the scrappage rate changes over time. Our analysis assumes that approximately 64% of PVs and 49% of LCVs are removed from the fleet before they are 20 years old, and that 87% of PVs and 71% of LCVs are removed from the fleet before they are 25 years old. Around half of all cars are scrapped before they are 21 years old. </w:t>
      </w:r>
    </w:p>
    <w:p w14:paraId="2C90692C" w14:textId="77777777" w:rsidR="00083FF2" w:rsidRDefault="00083FF2" w:rsidP="009B57D6">
      <w:pPr>
        <w:rPr>
          <w:rFonts w:asciiTheme="majorHAnsi" w:hAnsiTheme="majorHAnsi" w:cstheme="majorHAnsi"/>
        </w:rPr>
      </w:pPr>
    </w:p>
    <w:p w14:paraId="3B1F9A1F" w14:textId="77777777" w:rsidR="009B57D6" w:rsidRPr="00CF39C8" w:rsidRDefault="009B57D6" w:rsidP="009B57D6">
      <w:pPr>
        <w:rPr>
          <w:rFonts w:asciiTheme="majorHAnsi" w:hAnsiTheme="majorHAnsi" w:cstheme="majorHAnsi"/>
        </w:rPr>
      </w:pPr>
      <w:r w:rsidRPr="00CF39C8">
        <w:rPr>
          <w:rFonts w:asciiTheme="majorHAnsi" w:hAnsiTheme="majorHAnsi" w:cstheme="majorHAnsi"/>
        </w:rPr>
        <w:t xml:space="preserve"> </w:t>
      </w:r>
    </w:p>
    <w:p w14:paraId="466868A2" w14:textId="77777777" w:rsidR="008C4BC8" w:rsidRDefault="008C4BC8" w:rsidP="00AC4EBC">
      <w:pPr>
        <w:rPr>
          <w:rFonts w:asciiTheme="majorHAnsi" w:hAnsiTheme="majorHAnsi" w:cstheme="majorHAnsi"/>
        </w:rPr>
        <w:sectPr w:rsidR="008C4BC8" w:rsidSect="003A7E7B">
          <w:pgSz w:w="11906" w:h="16838" w:code="9"/>
          <w:pgMar w:top="1021" w:right="1134" w:bottom="851" w:left="1276" w:header="510" w:footer="567" w:gutter="0"/>
          <w:cols w:space="708"/>
          <w:docGrid w:linePitch="360"/>
        </w:sectPr>
      </w:pPr>
    </w:p>
    <w:p w14:paraId="2E82F2BB" w14:textId="77777777" w:rsidR="003A7E7B" w:rsidRPr="00CF39C8" w:rsidRDefault="00722A20" w:rsidP="00430317">
      <w:pPr>
        <w:pStyle w:val="Heading2"/>
        <w:numPr>
          <w:ilvl w:val="1"/>
          <w:numId w:val="62"/>
        </w:numPr>
        <w:ind w:hanging="792"/>
        <w:rPr>
          <w:rFonts w:cstheme="majorHAnsi"/>
        </w:rPr>
      </w:pPr>
      <w:bookmarkStart w:id="222" w:name="_Toc161837663"/>
      <w:bookmarkStart w:id="223" w:name="_Toc161933160"/>
      <w:bookmarkStart w:id="224" w:name="_Toc162276467"/>
      <w:bookmarkStart w:id="225" w:name="_Toc163221063"/>
      <w:r>
        <w:rPr>
          <w:rFonts w:cstheme="majorHAnsi"/>
        </w:rPr>
        <w:t>NVES options compared</w:t>
      </w:r>
      <w:bookmarkEnd w:id="222"/>
      <w:bookmarkEnd w:id="223"/>
      <w:bookmarkEnd w:id="224"/>
      <w:bookmarkEnd w:id="225"/>
    </w:p>
    <w:p w14:paraId="70A6CEA4" w14:textId="77777777" w:rsidR="003A7E7B" w:rsidRDefault="003A7E7B" w:rsidP="003A7E7B">
      <w:pPr>
        <w:rPr>
          <w:rFonts w:asciiTheme="majorHAnsi" w:hAnsiTheme="majorHAnsi" w:cstheme="majorHAnsi"/>
        </w:rPr>
      </w:pPr>
    </w:p>
    <w:tbl>
      <w:tblPr>
        <w:tblStyle w:val="TableGrid"/>
        <w:tblW w:w="5164" w:type="pct"/>
        <w:tblInd w:w="-28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3" w:type="dxa"/>
          <w:bottom w:w="113" w:type="dxa"/>
        </w:tblCellMar>
        <w:tblLook w:val="04A0" w:firstRow="1" w:lastRow="0" w:firstColumn="1" w:lastColumn="0" w:noHBand="0" w:noVBand="1"/>
        <w:tblCaption w:val="Options for NVES policy settings"/>
      </w:tblPr>
      <w:tblGrid>
        <w:gridCol w:w="2269"/>
        <w:gridCol w:w="3157"/>
        <w:gridCol w:w="3262"/>
        <w:gridCol w:w="3401"/>
        <w:gridCol w:w="3358"/>
      </w:tblGrid>
      <w:tr w:rsidR="00BF4AF7" w:rsidRPr="00CF39C8" w14:paraId="12D13DFE" w14:textId="77777777" w:rsidTr="006D01FC">
        <w:trPr>
          <w:tblHeader/>
        </w:trPr>
        <w:tc>
          <w:tcPr>
            <w:tcW w:w="734" w:type="pct"/>
            <w:shd w:val="clear" w:color="auto" w:fill="417A84" w:themeFill="accent5" w:themeFillShade="BF"/>
            <w:vAlign w:val="center"/>
          </w:tcPr>
          <w:p w14:paraId="4A525A32" w14:textId="77777777" w:rsidR="00BF4AF7" w:rsidRPr="00CF39C8" w:rsidRDefault="00BF4AF7" w:rsidP="00610AA7">
            <w:pPr>
              <w:jc w:val="center"/>
              <w:rPr>
                <w:rFonts w:asciiTheme="majorHAnsi" w:hAnsiTheme="majorHAnsi" w:cstheme="majorHAnsi"/>
                <w:b/>
                <w:color w:val="FFFFFF" w:themeColor="background1"/>
                <w:sz w:val="32"/>
                <w:szCs w:val="32"/>
              </w:rPr>
            </w:pPr>
            <w:r w:rsidRPr="00CF39C8">
              <w:rPr>
                <w:rFonts w:asciiTheme="majorHAnsi" w:hAnsiTheme="majorHAnsi" w:cstheme="majorHAnsi"/>
                <w:b/>
                <w:color w:val="FFFFFF" w:themeColor="background1"/>
                <w:sz w:val="32"/>
                <w:szCs w:val="32"/>
              </w:rPr>
              <w:t>ELEMENT</w:t>
            </w:r>
          </w:p>
        </w:tc>
        <w:tc>
          <w:tcPr>
            <w:tcW w:w="1022" w:type="pct"/>
            <w:shd w:val="clear" w:color="auto" w:fill="417A84" w:themeFill="accent5" w:themeFillShade="BF"/>
            <w:vAlign w:val="center"/>
          </w:tcPr>
          <w:p w14:paraId="545B0A4D" w14:textId="77777777" w:rsidR="00BF4AF7" w:rsidRPr="00CF39C8" w:rsidRDefault="00DC48C3" w:rsidP="00610AA7">
            <w:pPr>
              <w:jc w:val="center"/>
              <w:rPr>
                <w:rFonts w:asciiTheme="majorHAnsi" w:hAnsiTheme="majorHAnsi" w:cstheme="majorHAnsi"/>
                <w:b/>
                <w:i/>
                <w:color w:val="FFFFFF" w:themeColor="background1"/>
                <w:sz w:val="32"/>
                <w:szCs w:val="32"/>
              </w:rPr>
            </w:pPr>
            <w:r>
              <w:rPr>
                <w:rFonts w:asciiTheme="majorHAnsi" w:hAnsiTheme="majorHAnsi" w:cstheme="majorHAnsi"/>
                <w:b/>
                <w:color w:val="FFFFFF" w:themeColor="background1"/>
                <w:sz w:val="32"/>
                <w:szCs w:val="32"/>
              </w:rPr>
              <w:t>Option A</w:t>
            </w:r>
            <w:r w:rsidR="00BF4AF7" w:rsidRPr="00CF39C8">
              <w:rPr>
                <w:rFonts w:asciiTheme="majorHAnsi" w:hAnsiTheme="majorHAnsi" w:cstheme="majorHAnsi"/>
                <w:b/>
                <w:color w:val="FFFFFF" w:themeColor="background1"/>
                <w:sz w:val="32"/>
                <w:szCs w:val="32"/>
              </w:rPr>
              <w:t xml:space="preserve"> </w:t>
            </w:r>
          </w:p>
        </w:tc>
        <w:tc>
          <w:tcPr>
            <w:tcW w:w="1056" w:type="pct"/>
            <w:shd w:val="clear" w:color="auto" w:fill="417A84" w:themeFill="accent5" w:themeFillShade="BF"/>
            <w:vAlign w:val="center"/>
          </w:tcPr>
          <w:p w14:paraId="43A71985" w14:textId="77777777" w:rsidR="00BF4AF7" w:rsidRPr="00CF39C8" w:rsidRDefault="00C12BE2" w:rsidP="00610AA7">
            <w:pPr>
              <w:jc w:val="center"/>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Option B</w:t>
            </w:r>
          </w:p>
        </w:tc>
        <w:tc>
          <w:tcPr>
            <w:tcW w:w="1101" w:type="pct"/>
            <w:shd w:val="clear" w:color="auto" w:fill="417A84" w:themeFill="accent5" w:themeFillShade="BF"/>
            <w:vAlign w:val="center"/>
          </w:tcPr>
          <w:p w14:paraId="7C8ACC38" w14:textId="77777777" w:rsidR="00BF4AF7" w:rsidRPr="00CF39C8" w:rsidRDefault="00C12BE2" w:rsidP="00610AA7">
            <w:pPr>
              <w:jc w:val="center"/>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Option C</w:t>
            </w:r>
            <w:r w:rsidR="00BF4AF7" w:rsidRPr="00CF39C8">
              <w:rPr>
                <w:rFonts w:asciiTheme="majorHAnsi" w:hAnsiTheme="majorHAnsi" w:cstheme="majorHAnsi"/>
                <w:b/>
                <w:color w:val="FFFFFF" w:themeColor="background1"/>
                <w:sz w:val="32"/>
                <w:szCs w:val="32"/>
              </w:rPr>
              <w:t xml:space="preserve"> </w:t>
            </w:r>
          </w:p>
        </w:tc>
        <w:tc>
          <w:tcPr>
            <w:tcW w:w="1087" w:type="pct"/>
            <w:shd w:val="clear" w:color="auto" w:fill="404040" w:themeFill="text1" w:themeFillTint="BF"/>
          </w:tcPr>
          <w:p w14:paraId="73C9766E" w14:textId="77777777" w:rsidR="00BF4AF7" w:rsidRPr="00CF39C8" w:rsidRDefault="00AE4BF3" w:rsidP="00610AA7">
            <w:pPr>
              <w:jc w:val="center"/>
              <w:rPr>
                <w:rFonts w:asciiTheme="majorHAnsi" w:hAnsiTheme="majorHAnsi" w:cstheme="majorHAnsi"/>
                <w:b/>
                <w:color w:val="FFFFFF" w:themeColor="background1"/>
                <w:sz w:val="18"/>
                <w:szCs w:val="18"/>
              </w:rPr>
            </w:pPr>
            <w:r>
              <w:rPr>
                <w:rFonts w:asciiTheme="majorHAnsi" w:hAnsiTheme="majorHAnsi" w:cstheme="majorHAnsi"/>
                <w:b/>
                <w:color w:val="FFFFFF" w:themeColor="background1"/>
                <w:sz w:val="32"/>
                <w:szCs w:val="32"/>
              </w:rPr>
              <w:t>Best</w:t>
            </w:r>
            <w:r w:rsidR="001903A9">
              <w:rPr>
                <w:rFonts w:asciiTheme="majorHAnsi" w:hAnsiTheme="majorHAnsi" w:cstheme="majorHAnsi"/>
                <w:b/>
                <w:color w:val="FFFFFF" w:themeColor="background1"/>
                <w:sz w:val="32"/>
                <w:szCs w:val="32"/>
              </w:rPr>
              <w:t xml:space="preserve"> Option</w:t>
            </w:r>
          </w:p>
        </w:tc>
      </w:tr>
      <w:tr w:rsidR="00BF4AF7" w:rsidRPr="00CF39C8" w14:paraId="3F5655DD" w14:textId="77777777" w:rsidTr="00DC2539">
        <w:tc>
          <w:tcPr>
            <w:tcW w:w="734" w:type="pct"/>
          </w:tcPr>
          <w:p w14:paraId="0043FFA3" w14:textId="77777777" w:rsidR="00BF4AF7" w:rsidRPr="00CF39C8" w:rsidRDefault="00BF4AF7" w:rsidP="00610AA7">
            <w:pPr>
              <w:spacing w:before="80"/>
              <w:rPr>
                <w:rFonts w:eastAsia="Calibri"/>
                <w:sz w:val="36"/>
                <w:szCs w:val="36"/>
              </w:rPr>
            </w:pPr>
            <w:r w:rsidRPr="00CF39C8">
              <w:rPr>
                <w:rFonts w:eastAsia="Calibri"/>
                <w:sz w:val="36"/>
                <w:szCs w:val="36"/>
              </w:rPr>
              <w:t>Headline target</w:t>
            </w:r>
          </w:p>
          <w:p w14:paraId="4BB2B2D5" w14:textId="77777777" w:rsidR="00BF4AF7" w:rsidRPr="00CF39C8" w:rsidRDefault="00BF4AF7" w:rsidP="00610AA7">
            <w:pPr>
              <w:spacing w:before="80"/>
              <w:rPr>
                <w:b/>
                <w:bCs/>
                <w:sz w:val="18"/>
                <w:szCs w:val="18"/>
              </w:rPr>
            </w:pPr>
            <w:r w:rsidRPr="00CF39C8">
              <w:rPr>
                <w:sz w:val="18"/>
                <w:szCs w:val="18"/>
              </w:rPr>
              <w:t>The headline CO</w:t>
            </w:r>
            <w:r w:rsidRPr="00CF39C8">
              <w:rPr>
                <w:sz w:val="18"/>
                <w:szCs w:val="18"/>
                <w:vertAlign w:val="subscript"/>
              </w:rPr>
              <w:t>2</w:t>
            </w:r>
            <w:r w:rsidRPr="00CF39C8">
              <w:rPr>
                <w:sz w:val="18"/>
                <w:szCs w:val="18"/>
              </w:rPr>
              <w:t xml:space="preserve"> target and how it should change over time.</w:t>
            </w:r>
            <w:r w:rsidRPr="00CF39C8">
              <w:rPr>
                <w:rStyle w:val="FootnoteReference"/>
                <w:sz w:val="18"/>
                <w:szCs w:val="18"/>
              </w:rPr>
              <w:footnoteReference w:id="17"/>
            </w:r>
            <w:r w:rsidRPr="00CF39C8">
              <w:rPr>
                <w:sz w:val="18"/>
                <w:szCs w:val="18"/>
              </w:rPr>
              <w:t xml:space="preserve"> The headline target is one of the key parameters to develop a </w:t>
            </w:r>
            <w:r w:rsidRPr="00CF39C8">
              <w:rPr>
                <w:rFonts w:asciiTheme="majorHAnsi" w:hAnsiTheme="majorHAnsi" w:cstheme="majorHAnsi"/>
                <w:sz w:val="18"/>
                <w:szCs w:val="18"/>
              </w:rPr>
              <w:t>NVES</w:t>
            </w:r>
            <w:r w:rsidRPr="00CF39C8">
              <w:rPr>
                <w:sz w:val="18"/>
                <w:szCs w:val="18"/>
              </w:rPr>
              <w:t xml:space="preserve">, and the key parameter stakeholders focus on in assessing the ambition of a </w:t>
            </w:r>
            <w:r w:rsidRPr="00CF39C8">
              <w:rPr>
                <w:rFonts w:asciiTheme="majorHAnsi" w:hAnsiTheme="majorHAnsi" w:cstheme="majorHAnsi"/>
                <w:sz w:val="18"/>
                <w:szCs w:val="18"/>
              </w:rPr>
              <w:t>NVES</w:t>
            </w:r>
            <w:r w:rsidRPr="00CF39C8">
              <w:rPr>
                <w:sz w:val="18"/>
                <w:szCs w:val="18"/>
              </w:rPr>
              <w:t>.</w:t>
            </w:r>
          </w:p>
          <w:p w14:paraId="21836C13" w14:textId="77777777" w:rsidR="00BF4AF7" w:rsidRPr="00CF39C8" w:rsidRDefault="00BF4AF7" w:rsidP="00610AA7">
            <w:pPr>
              <w:spacing w:before="80"/>
              <w:rPr>
                <w:bCs/>
                <w:sz w:val="18"/>
                <w:szCs w:val="18"/>
              </w:rPr>
            </w:pPr>
            <w:r w:rsidRPr="00CF39C8">
              <w:rPr>
                <w:sz w:val="18"/>
                <w:szCs w:val="18"/>
              </w:rPr>
              <w:t>US current average reduction rate: ~9% per annum.</w:t>
            </w:r>
          </w:p>
          <w:p w14:paraId="49D5DCD5" w14:textId="77777777" w:rsidR="00BF4AF7" w:rsidRPr="00CF39C8" w:rsidRDefault="00BF4AF7" w:rsidP="00610AA7">
            <w:pPr>
              <w:rPr>
                <w:sz w:val="18"/>
                <w:szCs w:val="18"/>
              </w:rPr>
            </w:pPr>
          </w:p>
          <w:p w14:paraId="2C85BF9B" w14:textId="77777777" w:rsidR="00BF4AF7" w:rsidRPr="00CF39C8" w:rsidRDefault="00BF4AF7" w:rsidP="00610AA7">
            <w:pPr>
              <w:rPr>
                <w:rFonts w:asciiTheme="majorHAnsi" w:hAnsiTheme="majorHAnsi" w:cstheme="majorHAnsi"/>
              </w:rPr>
            </w:pPr>
            <w:r w:rsidRPr="00CF39C8">
              <w:rPr>
                <w:sz w:val="18"/>
                <w:szCs w:val="18"/>
              </w:rPr>
              <w:t>Australia baseline forecast reduction rate: ~4% per annum (PVs), 2% per annum (LCVs).</w:t>
            </w:r>
          </w:p>
        </w:tc>
        <w:tc>
          <w:tcPr>
            <w:tcW w:w="1022" w:type="pct"/>
          </w:tcPr>
          <w:p w14:paraId="22146A30" w14:textId="77777777" w:rsidR="00BF4AF7" w:rsidRPr="00CF39C8" w:rsidRDefault="00BF4AF7" w:rsidP="00610AA7">
            <w:pPr>
              <w:spacing w:line="240" w:lineRule="auto"/>
              <w:rPr>
                <w:color w:val="000000" w:themeColor="text1"/>
                <w:sz w:val="18"/>
                <w:szCs w:val="18"/>
              </w:rPr>
            </w:pPr>
            <w:r w:rsidRPr="00CF39C8">
              <w:rPr>
                <w:rFonts w:asciiTheme="majorHAnsi" w:eastAsia="Calibri" w:hAnsiTheme="majorHAnsi" w:cstheme="majorHAnsi"/>
                <w:sz w:val="18"/>
                <w:szCs w:val="18"/>
              </w:rPr>
              <w:t xml:space="preserve">Slow start and broadly equivalent rate of decline as the US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w:t>
            </w:r>
            <w:r w:rsidRPr="00CF39C8">
              <w:rPr>
                <w:color w:val="000000" w:themeColor="text1"/>
                <w:sz w:val="18"/>
                <w:szCs w:val="18"/>
              </w:rPr>
              <w:t xml:space="preserve"> </w:t>
            </w:r>
          </w:p>
          <w:p w14:paraId="043A74DB" w14:textId="77777777" w:rsidR="00BF4AF7" w:rsidRPr="00CF39C8" w:rsidRDefault="00BF4AF7" w:rsidP="00610AA7">
            <w:pPr>
              <w:spacing w:line="240" w:lineRule="auto"/>
              <w:rPr>
                <w:color w:val="000000" w:themeColor="text1"/>
                <w:sz w:val="18"/>
                <w:szCs w:val="18"/>
              </w:rPr>
            </w:pPr>
          </w:p>
          <w:p w14:paraId="51A198A0" w14:textId="77777777" w:rsidR="00BF4AF7" w:rsidRPr="00CF39C8" w:rsidRDefault="00BF4AF7" w:rsidP="00610AA7">
            <w:pPr>
              <w:spacing w:line="240" w:lineRule="auto"/>
              <w:rPr>
                <w:color w:val="000000" w:themeColor="text1"/>
                <w:sz w:val="18"/>
                <w:szCs w:val="18"/>
              </w:rPr>
            </w:pPr>
            <w:r w:rsidRPr="00CF39C8">
              <w:rPr>
                <w:color w:val="000000" w:themeColor="text1"/>
                <w:sz w:val="18"/>
                <w:szCs w:val="18"/>
              </w:rPr>
              <w:t>Two CO</w:t>
            </w:r>
            <w:r w:rsidRPr="00CF39C8">
              <w:rPr>
                <w:color w:val="000000" w:themeColor="text1"/>
                <w:sz w:val="18"/>
                <w:szCs w:val="18"/>
                <w:vertAlign w:val="subscript"/>
              </w:rPr>
              <w:t>2</w:t>
            </w:r>
            <w:r w:rsidRPr="00CF39C8">
              <w:rPr>
                <w:color w:val="000000" w:themeColor="text1"/>
                <w:sz w:val="18"/>
                <w:szCs w:val="18"/>
              </w:rPr>
              <w:t xml:space="preserve"> targets, one for passenger vehicles and a higher target for light commercial vehicles, but includes many SUVs in the light commercial vehicle class, along with utes and vans. </w:t>
            </w:r>
          </w:p>
          <w:p w14:paraId="3F690C44" w14:textId="77777777" w:rsidR="00BF4AF7" w:rsidRPr="00CF39C8" w:rsidRDefault="00BF4AF7" w:rsidP="00610AA7">
            <w:pPr>
              <w:spacing w:line="240" w:lineRule="auto"/>
              <w:rPr>
                <w:rFonts w:asciiTheme="majorHAnsi" w:eastAsia="Calibri" w:hAnsiTheme="majorHAnsi" w:cstheme="majorHAnsi"/>
                <w:sz w:val="18"/>
                <w:szCs w:val="18"/>
              </w:rPr>
            </w:pPr>
          </w:p>
          <w:p w14:paraId="3C0853E3"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No catch up.</w:t>
            </w:r>
          </w:p>
          <w:p w14:paraId="2686F45F" w14:textId="77777777" w:rsidR="00BF4AF7" w:rsidRPr="00CF39C8" w:rsidRDefault="00BF4AF7" w:rsidP="00610AA7">
            <w:pPr>
              <w:spacing w:line="240" w:lineRule="auto"/>
              <w:rPr>
                <w:rFonts w:asciiTheme="majorHAnsi" w:eastAsia="Calibri" w:hAnsiTheme="majorHAnsi" w:cstheme="majorHAnsi"/>
              </w:rPr>
            </w:pPr>
          </w:p>
          <w:tbl>
            <w:tblPr>
              <w:tblW w:w="2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10"/>
              <w:gridCol w:w="709"/>
            </w:tblGrid>
            <w:tr w:rsidR="00BF4AF7" w:rsidRPr="00CF39C8" w14:paraId="2E73E3FC" w14:textId="77777777" w:rsidTr="00BF4AF7">
              <w:trPr>
                <w:cantSplit/>
                <w:trHeight w:val="1414"/>
                <w:jc w:val="center"/>
              </w:trPr>
              <w:tc>
                <w:tcPr>
                  <w:tcW w:w="1029" w:type="dxa"/>
                  <w:shd w:val="clear" w:color="auto" w:fill="auto"/>
                  <w:noWrap/>
                  <w:textDirection w:val="btLr"/>
                  <w:vAlign w:val="center"/>
                </w:tcPr>
                <w:p w14:paraId="2259B03D"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10" w:type="dxa"/>
                  <w:shd w:val="clear" w:color="auto" w:fill="auto"/>
                  <w:noWrap/>
                  <w:textDirection w:val="btLr"/>
                  <w:vAlign w:val="center"/>
                </w:tcPr>
                <w:p w14:paraId="65CAD1D3"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30E0784D"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5D8A0C2B" w14:textId="77777777" w:rsidTr="00BF4AF7">
              <w:trPr>
                <w:trHeight w:val="288"/>
                <w:jc w:val="center"/>
              </w:trPr>
              <w:tc>
                <w:tcPr>
                  <w:tcW w:w="1029" w:type="dxa"/>
                  <w:shd w:val="clear" w:color="auto" w:fill="auto"/>
                  <w:noWrap/>
                  <w:vAlign w:val="bottom"/>
                  <w:hideMark/>
                </w:tcPr>
                <w:p w14:paraId="2EFE155D"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10" w:type="dxa"/>
                  <w:shd w:val="clear" w:color="auto" w:fill="auto"/>
                  <w:noWrap/>
                  <w:vAlign w:val="bottom"/>
                  <w:hideMark/>
                </w:tcPr>
                <w:p w14:paraId="648649F4"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0ED00630"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199</w:t>
                  </w:r>
                </w:p>
              </w:tc>
            </w:tr>
            <w:tr w:rsidR="00BF4AF7" w:rsidRPr="00CF39C8" w14:paraId="795E2E86" w14:textId="77777777" w:rsidTr="00BF4AF7">
              <w:trPr>
                <w:trHeight w:val="288"/>
                <w:jc w:val="center"/>
              </w:trPr>
              <w:tc>
                <w:tcPr>
                  <w:tcW w:w="1029" w:type="dxa"/>
                  <w:shd w:val="clear" w:color="auto" w:fill="auto"/>
                  <w:noWrap/>
                  <w:vAlign w:val="bottom"/>
                  <w:hideMark/>
                </w:tcPr>
                <w:p w14:paraId="1401B852"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10" w:type="dxa"/>
                  <w:shd w:val="clear" w:color="auto" w:fill="auto"/>
                  <w:noWrap/>
                  <w:vAlign w:val="bottom"/>
                  <w:hideMark/>
                </w:tcPr>
                <w:p w14:paraId="2108EE7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137</w:t>
                  </w:r>
                </w:p>
              </w:tc>
              <w:tc>
                <w:tcPr>
                  <w:tcW w:w="709" w:type="dxa"/>
                  <w:shd w:val="clear" w:color="auto" w:fill="auto"/>
                  <w:noWrap/>
                  <w:vAlign w:val="bottom"/>
                </w:tcPr>
                <w:p w14:paraId="6EB037EB"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190</w:t>
                  </w:r>
                </w:p>
              </w:tc>
            </w:tr>
            <w:tr w:rsidR="00BF4AF7" w:rsidRPr="00CF39C8" w14:paraId="0C1A09E1" w14:textId="77777777" w:rsidTr="00BF4AF7">
              <w:trPr>
                <w:trHeight w:val="288"/>
                <w:jc w:val="center"/>
              </w:trPr>
              <w:tc>
                <w:tcPr>
                  <w:tcW w:w="1029" w:type="dxa"/>
                  <w:shd w:val="clear" w:color="auto" w:fill="auto"/>
                  <w:noWrap/>
                  <w:vAlign w:val="bottom"/>
                  <w:hideMark/>
                </w:tcPr>
                <w:p w14:paraId="2D2BCA22"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10" w:type="dxa"/>
                  <w:shd w:val="clear" w:color="auto" w:fill="auto"/>
                  <w:noWrap/>
                  <w:vAlign w:val="bottom"/>
                  <w:hideMark/>
                </w:tcPr>
                <w:p w14:paraId="03F65325"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127</w:t>
                  </w:r>
                </w:p>
              </w:tc>
              <w:tc>
                <w:tcPr>
                  <w:tcW w:w="709" w:type="dxa"/>
                  <w:shd w:val="clear" w:color="auto" w:fill="auto"/>
                  <w:noWrap/>
                  <w:vAlign w:val="bottom"/>
                </w:tcPr>
                <w:p w14:paraId="1BE06F49"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183</w:t>
                  </w:r>
                </w:p>
              </w:tc>
            </w:tr>
            <w:tr w:rsidR="00BF4AF7" w:rsidRPr="00CF39C8" w14:paraId="419B8EDE" w14:textId="77777777" w:rsidTr="00BF4AF7">
              <w:trPr>
                <w:trHeight w:val="288"/>
                <w:jc w:val="center"/>
              </w:trPr>
              <w:tc>
                <w:tcPr>
                  <w:tcW w:w="1029" w:type="dxa"/>
                  <w:shd w:val="clear" w:color="auto" w:fill="auto"/>
                  <w:noWrap/>
                  <w:vAlign w:val="bottom"/>
                  <w:hideMark/>
                </w:tcPr>
                <w:p w14:paraId="5DF9C5B8"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10" w:type="dxa"/>
                  <w:shd w:val="clear" w:color="auto" w:fill="auto"/>
                  <w:noWrap/>
                  <w:vAlign w:val="bottom"/>
                  <w:hideMark/>
                </w:tcPr>
                <w:p w14:paraId="5222FA89"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115</w:t>
                  </w:r>
                </w:p>
              </w:tc>
              <w:tc>
                <w:tcPr>
                  <w:tcW w:w="709" w:type="dxa"/>
                  <w:shd w:val="clear" w:color="auto" w:fill="auto"/>
                  <w:noWrap/>
                  <w:vAlign w:val="bottom"/>
                  <w:hideMark/>
                </w:tcPr>
                <w:p w14:paraId="22F239AE"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176</w:t>
                  </w:r>
                </w:p>
              </w:tc>
            </w:tr>
            <w:tr w:rsidR="00BF4AF7" w:rsidRPr="00CF39C8" w14:paraId="2DDF77DA" w14:textId="77777777" w:rsidTr="00BF4AF7">
              <w:trPr>
                <w:trHeight w:val="288"/>
                <w:jc w:val="center"/>
              </w:trPr>
              <w:tc>
                <w:tcPr>
                  <w:tcW w:w="1029" w:type="dxa"/>
                  <w:shd w:val="clear" w:color="auto" w:fill="auto"/>
                  <w:noWrap/>
                  <w:vAlign w:val="bottom"/>
                  <w:hideMark/>
                </w:tcPr>
                <w:p w14:paraId="07C4BF8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10" w:type="dxa"/>
                  <w:shd w:val="clear" w:color="auto" w:fill="auto"/>
                  <w:noWrap/>
                  <w:vAlign w:val="bottom"/>
                  <w:hideMark/>
                </w:tcPr>
                <w:p w14:paraId="21F37E13"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99</w:t>
                  </w:r>
                </w:p>
              </w:tc>
              <w:tc>
                <w:tcPr>
                  <w:tcW w:w="709" w:type="dxa"/>
                  <w:shd w:val="clear" w:color="auto" w:fill="auto"/>
                  <w:noWrap/>
                  <w:vAlign w:val="bottom"/>
                </w:tcPr>
                <w:p w14:paraId="153859F3"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172</w:t>
                  </w:r>
                </w:p>
              </w:tc>
            </w:tr>
            <w:tr w:rsidR="00BF4AF7" w:rsidRPr="00CF39C8" w14:paraId="0E48BA4E" w14:textId="77777777" w:rsidTr="00BF4AF7">
              <w:trPr>
                <w:trHeight w:val="288"/>
                <w:jc w:val="center"/>
              </w:trPr>
              <w:tc>
                <w:tcPr>
                  <w:tcW w:w="1029" w:type="dxa"/>
                  <w:shd w:val="clear" w:color="auto" w:fill="auto"/>
                  <w:noWrap/>
                  <w:vAlign w:val="bottom"/>
                </w:tcPr>
                <w:p w14:paraId="71059EFD"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10" w:type="dxa"/>
                  <w:shd w:val="clear" w:color="auto" w:fill="auto"/>
                  <w:noWrap/>
                  <w:vAlign w:val="bottom"/>
                </w:tcPr>
                <w:p w14:paraId="7FB143F8" w14:textId="77777777" w:rsidR="00BF4AF7" w:rsidRPr="00CF39C8" w:rsidRDefault="00BF4AF7" w:rsidP="00610AA7">
                  <w:pPr>
                    <w:spacing w:after="0" w:line="240" w:lineRule="auto"/>
                    <w:jc w:val="center"/>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34%</w:t>
                  </w:r>
                </w:p>
              </w:tc>
              <w:tc>
                <w:tcPr>
                  <w:tcW w:w="709" w:type="dxa"/>
                  <w:shd w:val="clear" w:color="auto" w:fill="auto"/>
                  <w:noWrap/>
                  <w:vAlign w:val="bottom"/>
                </w:tcPr>
                <w:p w14:paraId="4E898F3B" w14:textId="77777777" w:rsidR="00BF4AF7" w:rsidRPr="00CF39C8" w:rsidRDefault="00BF4AF7" w:rsidP="00610AA7">
                  <w:pPr>
                    <w:spacing w:after="0" w:line="240" w:lineRule="auto"/>
                    <w:jc w:val="center"/>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14%</w:t>
                  </w:r>
                </w:p>
              </w:tc>
            </w:tr>
            <w:tr w:rsidR="00BF4AF7" w:rsidRPr="00CF39C8" w14:paraId="5C31EC54" w14:textId="77777777" w:rsidTr="00BF4AF7">
              <w:trPr>
                <w:trHeight w:val="288"/>
                <w:jc w:val="center"/>
              </w:trPr>
              <w:tc>
                <w:tcPr>
                  <w:tcW w:w="1029" w:type="dxa"/>
                  <w:shd w:val="clear" w:color="auto" w:fill="auto"/>
                  <w:noWrap/>
                  <w:vAlign w:val="bottom"/>
                </w:tcPr>
                <w:p w14:paraId="171FFD15"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r w:rsidR="001262C2">
                    <w:rPr>
                      <w:rStyle w:val="FootnoteReference"/>
                      <w:rFonts w:asciiTheme="majorHAnsi" w:eastAsia="Times New Roman" w:hAnsiTheme="majorHAnsi" w:cstheme="majorHAnsi"/>
                      <w:color w:val="000000"/>
                      <w:sz w:val="18"/>
                      <w:szCs w:val="18"/>
                      <w:lang w:eastAsia="en-AU"/>
                    </w:rPr>
                    <w:footnoteReference w:id="18"/>
                  </w:r>
                </w:p>
              </w:tc>
              <w:tc>
                <w:tcPr>
                  <w:tcW w:w="710" w:type="dxa"/>
                  <w:shd w:val="clear" w:color="auto" w:fill="auto"/>
                  <w:noWrap/>
                  <w:vAlign w:val="bottom"/>
                </w:tcPr>
                <w:p w14:paraId="413CD1B1" w14:textId="77777777" w:rsidR="00BF4AF7" w:rsidRPr="00CF39C8" w:rsidRDefault="00BF4AF7" w:rsidP="00610AA7">
                  <w:pPr>
                    <w:spacing w:after="0" w:line="240" w:lineRule="auto"/>
                    <w:jc w:val="center"/>
                    <w:rPr>
                      <w:rFonts w:asciiTheme="majorHAnsi" w:hAnsiTheme="majorHAnsi" w:cstheme="majorHAnsi"/>
                      <w:color w:val="000000"/>
                      <w:sz w:val="18"/>
                      <w:szCs w:val="18"/>
                    </w:rPr>
                  </w:pPr>
                  <w:r w:rsidRPr="00CF39C8">
                    <w:rPr>
                      <w:rFonts w:asciiTheme="majorHAnsi" w:hAnsiTheme="majorHAnsi" w:cstheme="majorHAnsi"/>
                      <w:color w:val="000000"/>
                      <w:sz w:val="18"/>
                      <w:szCs w:val="18"/>
                    </w:rPr>
                    <w:t>6.8%</w:t>
                  </w:r>
                </w:p>
              </w:tc>
              <w:tc>
                <w:tcPr>
                  <w:tcW w:w="709" w:type="dxa"/>
                  <w:shd w:val="clear" w:color="auto" w:fill="auto"/>
                  <w:noWrap/>
                  <w:vAlign w:val="bottom"/>
                </w:tcPr>
                <w:p w14:paraId="55453C94" w14:textId="77777777" w:rsidR="00BF4AF7" w:rsidRPr="00CF39C8" w:rsidRDefault="00BF4AF7" w:rsidP="00610AA7">
                  <w:pPr>
                    <w:spacing w:after="0" w:line="240" w:lineRule="auto"/>
                    <w:jc w:val="center"/>
                    <w:rPr>
                      <w:rFonts w:asciiTheme="majorHAnsi" w:hAnsiTheme="majorHAnsi" w:cstheme="majorHAnsi"/>
                      <w:color w:val="000000"/>
                      <w:sz w:val="18"/>
                      <w:szCs w:val="18"/>
                    </w:rPr>
                  </w:pPr>
                  <w:r w:rsidRPr="00CF39C8">
                    <w:rPr>
                      <w:rFonts w:asciiTheme="majorHAnsi" w:hAnsiTheme="majorHAnsi" w:cstheme="majorHAnsi"/>
                      <w:color w:val="000000"/>
                      <w:sz w:val="18"/>
                      <w:szCs w:val="18"/>
                    </w:rPr>
                    <w:t>3.8%</w:t>
                  </w:r>
                </w:p>
              </w:tc>
            </w:tr>
          </w:tbl>
          <w:p w14:paraId="0244484F" w14:textId="77777777" w:rsidR="00BF4AF7" w:rsidRPr="00CF39C8" w:rsidRDefault="00BF4AF7" w:rsidP="00610AA7">
            <w:pPr>
              <w:rPr>
                <w:rFonts w:asciiTheme="majorHAnsi" w:hAnsiTheme="majorHAnsi" w:cstheme="majorHAnsi"/>
              </w:rPr>
            </w:pPr>
          </w:p>
        </w:tc>
        <w:tc>
          <w:tcPr>
            <w:tcW w:w="1056" w:type="pct"/>
          </w:tcPr>
          <w:p w14:paraId="1096A07F"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 xml:space="preserve">A strong, ambitious and achievable </w:t>
            </w:r>
            <w:r w:rsidRPr="00CF39C8">
              <w:rPr>
                <w:rFonts w:asciiTheme="majorHAnsi" w:hAnsiTheme="majorHAnsi" w:cstheme="majorHAnsi"/>
                <w:sz w:val="18"/>
                <w:szCs w:val="18"/>
              </w:rPr>
              <w:t xml:space="preserve">NVES </w:t>
            </w:r>
            <w:r w:rsidRPr="00CF39C8">
              <w:rPr>
                <w:rFonts w:asciiTheme="majorHAnsi" w:eastAsia="Calibri" w:hAnsiTheme="majorHAnsi" w:cstheme="majorHAnsi"/>
                <w:sz w:val="18"/>
                <w:szCs w:val="18"/>
              </w:rPr>
              <w:t xml:space="preserve">that seeks to catch up with the US around 2028 and then match the stringency of these standards, while not seeking to go beyond these standards. </w:t>
            </w:r>
          </w:p>
          <w:p w14:paraId="7D97D88A" w14:textId="77777777" w:rsidR="00BF4AF7" w:rsidRPr="00CF39C8" w:rsidRDefault="00BF4AF7" w:rsidP="00610AA7">
            <w:pPr>
              <w:spacing w:line="240" w:lineRule="auto"/>
              <w:rPr>
                <w:rFonts w:asciiTheme="majorHAnsi" w:eastAsia="Calibri" w:hAnsiTheme="majorHAnsi" w:cstheme="majorHAnsi"/>
                <w:sz w:val="18"/>
                <w:szCs w:val="18"/>
              </w:rPr>
            </w:pPr>
          </w:p>
          <w:p w14:paraId="455B2403"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Two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targets, one for passenger vehicles and SUVs, and a higher target for utes and vans (including large pick-ups) in the light commercial vehicle category.</w:t>
            </w:r>
          </w:p>
          <w:p w14:paraId="548166EC" w14:textId="77777777" w:rsidR="00BF4AF7" w:rsidRPr="00CF39C8" w:rsidRDefault="00BF4AF7" w:rsidP="00610AA7">
            <w:pPr>
              <w:spacing w:line="240" w:lineRule="auto"/>
              <w:rPr>
                <w:rFonts w:asciiTheme="majorHAnsi" w:eastAsia="Calibri" w:hAnsiTheme="majorHAnsi" w:cstheme="majorHAnsi"/>
              </w:rPr>
            </w:pPr>
          </w:p>
          <w:tbl>
            <w:tblPr>
              <w:tblW w:w="2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9"/>
              <w:gridCol w:w="708"/>
            </w:tblGrid>
            <w:tr w:rsidR="00BF4AF7" w:rsidRPr="00CF39C8" w14:paraId="22F78086" w14:textId="77777777" w:rsidTr="00BF4AF7">
              <w:trPr>
                <w:cantSplit/>
                <w:trHeight w:val="1414"/>
                <w:jc w:val="center"/>
              </w:trPr>
              <w:tc>
                <w:tcPr>
                  <w:tcW w:w="1029" w:type="dxa"/>
                  <w:shd w:val="clear" w:color="auto" w:fill="auto"/>
                  <w:noWrap/>
                  <w:textDirection w:val="btLr"/>
                  <w:vAlign w:val="center"/>
                </w:tcPr>
                <w:p w14:paraId="035651CA" w14:textId="77777777" w:rsidR="00BF4AF7" w:rsidRPr="00CF39C8" w:rsidRDefault="00BF4AF7" w:rsidP="00BF4AF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09" w:type="dxa"/>
                  <w:shd w:val="clear" w:color="auto" w:fill="auto"/>
                  <w:noWrap/>
                  <w:textDirection w:val="btLr"/>
                  <w:vAlign w:val="center"/>
                </w:tcPr>
                <w:p w14:paraId="218C74FF"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8" w:type="dxa"/>
                  <w:shd w:val="clear" w:color="auto" w:fill="auto"/>
                  <w:noWrap/>
                  <w:textDirection w:val="btLr"/>
                  <w:vAlign w:val="center"/>
                </w:tcPr>
                <w:p w14:paraId="24712079"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5EF759EE" w14:textId="77777777" w:rsidTr="00BF4AF7">
              <w:trPr>
                <w:trHeight w:val="288"/>
                <w:jc w:val="center"/>
              </w:trPr>
              <w:tc>
                <w:tcPr>
                  <w:tcW w:w="1029" w:type="dxa"/>
                  <w:shd w:val="clear" w:color="auto" w:fill="auto"/>
                  <w:noWrap/>
                  <w:vAlign w:val="bottom"/>
                  <w:hideMark/>
                </w:tcPr>
                <w:p w14:paraId="0C0A61DC"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09" w:type="dxa"/>
                  <w:shd w:val="clear" w:color="auto" w:fill="auto"/>
                  <w:noWrap/>
                  <w:vAlign w:val="bottom"/>
                  <w:hideMark/>
                </w:tcPr>
                <w:p w14:paraId="0558EBD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141</w:t>
                  </w:r>
                </w:p>
              </w:tc>
              <w:tc>
                <w:tcPr>
                  <w:tcW w:w="708" w:type="dxa"/>
                  <w:shd w:val="clear" w:color="auto" w:fill="auto"/>
                  <w:noWrap/>
                  <w:vAlign w:val="bottom"/>
                </w:tcPr>
                <w:p w14:paraId="3F5C9CC7"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199</w:t>
                  </w:r>
                </w:p>
              </w:tc>
            </w:tr>
            <w:tr w:rsidR="00BF4AF7" w:rsidRPr="00CF39C8" w14:paraId="110D2151" w14:textId="77777777" w:rsidTr="00BF4AF7">
              <w:trPr>
                <w:trHeight w:val="288"/>
                <w:jc w:val="center"/>
              </w:trPr>
              <w:tc>
                <w:tcPr>
                  <w:tcW w:w="1029" w:type="dxa"/>
                  <w:shd w:val="clear" w:color="auto" w:fill="auto"/>
                  <w:noWrap/>
                  <w:vAlign w:val="bottom"/>
                  <w:hideMark/>
                </w:tcPr>
                <w:p w14:paraId="5241DEEB"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09" w:type="dxa"/>
                  <w:shd w:val="clear" w:color="auto" w:fill="auto"/>
                  <w:noWrap/>
                  <w:vAlign w:val="bottom"/>
                  <w:hideMark/>
                </w:tcPr>
                <w:p w14:paraId="4411C6F2"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117</w:t>
                  </w:r>
                </w:p>
              </w:tc>
              <w:tc>
                <w:tcPr>
                  <w:tcW w:w="708" w:type="dxa"/>
                  <w:shd w:val="clear" w:color="auto" w:fill="auto"/>
                  <w:noWrap/>
                  <w:vAlign w:val="bottom"/>
                </w:tcPr>
                <w:p w14:paraId="790A0921"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164</w:t>
                  </w:r>
                </w:p>
              </w:tc>
            </w:tr>
            <w:tr w:rsidR="00BF4AF7" w:rsidRPr="00CF39C8" w14:paraId="67C9BD28" w14:textId="77777777" w:rsidTr="00BF4AF7">
              <w:trPr>
                <w:trHeight w:val="288"/>
                <w:jc w:val="center"/>
              </w:trPr>
              <w:tc>
                <w:tcPr>
                  <w:tcW w:w="1029" w:type="dxa"/>
                  <w:shd w:val="clear" w:color="auto" w:fill="auto"/>
                  <w:noWrap/>
                  <w:vAlign w:val="bottom"/>
                  <w:hideMark/>
                </w:tcPr>
                <w:p w14:paraId="3FC3CA50"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09" w:type="dxa"/>
                  <w:shd w:val="clear" w:color="auto" w:fill="auto"/>
                  <w:noWrap/>
                  <w:vAlign w:val="bottom"/>
                  <w:hideMark/>
                </w:tcPr>
                <w:p w14:paraId="55352724"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92</w:t>
                  </w:r>
                </w:p>
              </w:tc>
              <w:tc>
                <w:tcPr>
                  <w:tcW w:w="708" w:type="dxa"/>
                  <w:shd w:val="clear" w:color="auto" w:fill="auto"/>
                  <w:noWrap/>
                  <w:vAlign w:val="bottom"/>
                </w:tcPr>
                <w:p w14:paraId="732B863D"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129</w:t>
                  </w:r>
                </w:p>
              </w:tc>
            </w:tr>
            <w:tr w:rsidR="00BF4AF7" w:rsidRPr="00CF39C8" w14:paraId="6E0E6232" w14:textId="77777777" w:rsidTr="00BF4AF7">
              <w:trPr>
                <w:trHeight w:val="288"/>
                <w:jc w:val="center"/>
              </w:trPr>
              <w:tc>
                <w:tcPr>
                  <w:tcW w:w="1029" w:type="dxa"/>
                  <w:shd w:val="clear" w:color="auto" w:fill="auto"/>
                  <w:noWrap/>
                  <w:vAlign w:val="bottom"/>
                  <w:hideMark/>
                </w:tcPr>
                <w:p w14:paraId="416A900E"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09" w:type="dxa"/>
                  <w:shd w:val="clear" w:color="auto" w:fill="auto"/>
                  <w:noWrap/>
                  <w:vAlign w:val="bottom"/>
                  <w:hideMark/>
                </w:tcPr>
                <w:p w14:paraId="302551D6"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68</w:t>
                  </w:r>
                </w:p>
              </w:tc>
              <w:tc>
                <w:tcPr>
                  <w:tcW w:w="708" w:type="dxa"/>
                  <w:shd w:val="clear" w:color="auto" w:fill="auto"/>
                  <w:noWrap/>
                  <w:vAlign w:val="bottom"/>
                  <w:hideMark/>
                </w:tcPr>
                <w:p w14:paraId="22C1560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94</w:t>
                  </w:r>
                </w:p>
              </w:tc>
            </w:tr>
            <w:tr w:rsidR="00BF4AF7" w:rsidRPr="00CF39C8" w14:paraId="625FEA04" w14:textId="77777777" w:rsidTr="00BF4AF7">
              <w:trPr>
                <w:trHeight w:val="288"/>
                <w:jc w:val="center"/>
              </w:trPr>
              <w:tc>
                <w:tcPr>
                  <w:tcW w:w="1029" w:type="dxa"/>
                  <w:shd w:val="clear" w:color="auto" w:fill="auto"/>
                  <w:noWrap/>
                  <w:vAlign w:val="bottom"/>
                  <w:hideMark/>
                </w:tcPr>
                <w:p w14:paraId="38DA0A95"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09" w:type="dxa"/>
                  <w:shd w:val="clear" w:color="auto" w:fill="auto"/>
                  <w:noWrap/>
                  <w:vAlign w:val="bottom"/>
                  <w:hideMark/>
                </w:tcPr>
                <w:p w14:paraId="1FD4B7B2"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58</w:t>
                  </w:r>
                </w:p>
              </w:tc>
              <w:tc>
                <w:tcPr>
                  <w:tcW w:w="708" w:type="dxa"/>
                  <w:shd w:val="clear" w:color="auto" w:fill="auto"/>
                  <w:noWrap/>
                  <w:vAlign w:val="bottom"/>
                </w:tcPr>
                <w:p w14:paraId="3E97D8AB"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81</w:t>
                  </w:r>
                </w:p>
              </w:tc>
            </w:tr>
            <w:tr w:rsidR="00BF4AF7" w:rsidRPr="00CF39C8" w14:paraId="1629A56C" w14:textId="77777777" w:rsidTr="00BF4AF7">
              <w:trPr>
                <w:trHeight w:val="288"/>
                <w:jc w:val="center"/>
              </w:trPr>
              <w:tc>
                <w:tcPr>
                  <w:tcW w:w="1029" w:type="dxa"/>
                  <w:shd w:val="clear" w:color="auto" w:fill="auto"/>
                  <w:noWrap/>
                  <w:vAlign w:val="bottom"/>
                </w:tcPr>
                <w:p w14:paraId="14A189C0"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09" w:type="dxa"/>
                  <w:shd w:val="clear" w:color="auto" w:fill="auto"/>
                  <w:noWrap/>
                  <w:vAlign w:val="bottom"/>
                </w:tcPr>
                <w:p w14:paraId="142E4C9D"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61%</w:t>
                  </w:r>
                </w:p>
              </w:tc>
              <w:tc>
                <w:tcPr>
                  <w:tcW w:w="708" w:type="dxa"/>
                  <w:shd w:val="clear" w:color="auto" w:fill="auto"/>
                  <w:noWrap/>
                  <w:vAlign w:val="bottom"/>
                </w:tcPr>
                <w:p w14:paraId="4F3DEFE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62%</w:t>
                  </w:r>
                </w:p>
              </w:tc>
            </w:tr>
            <w:tr w:rsidR="00BF4AF7" w:rsidRPr="00CF39C8" w14:paraId="12985992" w14:textId="77777777" w:rsidTr="00BF4AF7">
              <w:trPr>
                <w:trHeight w:val="288"/>
                <w:jc w:val="center"/>
              </w:trPr>
              <w:tc>
                <w:tcPr>
                  <w:tcW w:w="1029" w:type="dxa"/>
                  <w:shd w:val="clear" w:color="auto" w:fill="auto"/>
                  <w:noWrap/>
                  <w:vAlign w:val="bottom"/>
                </w:tcPr>
                <w:p w14:paraId="56BBE9AA"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p>
              </w:tc>
              <w:tc>
                <w:tcPr>
                  <w:tcW w:w="709" w:type="dxa"/>
                  <w:shd w:val="clear" w:color="auto" w:fill="auto"/>
                  <w:noWrap/>
                  <w:vAlign w:val="bottom"/>
                </w:tcPr>
                <w:p w14:paraId="01FFF8E7"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Calibri" w:hAnsi="Calibri" w:cs="Calibri"/>
                      <w:color w:val="000000"/>
                      <w:sz w:val="18"/>
                      <w:szCs w:val="18"/>
                    </w:rPr>
                    <w:t>12.2%</w:t>
                  </w:r>
                </w:p>
              </w:tc>
              <w:tc>
                <w:tcPr>
                  <w:tcW w:w="708" w:type="dxa"/>
                  <w:shd w:val="clear" w:color="auto" w:fill="auto"/>
                  <w:noWrap/>
                  <w:vAlign w:val="bottom"/>
                </w:tcPr>
                <w:p w14:paraId="53FC56BC"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Calibri" w:hAnsi="Calibri" w:cs="Calibri"/>
                      <w:color w:val="000000"/>
                      <w:sz w:val="18"/>
                      <w:szCs w:val="18"/>
                    </w:rPr>
                    <w:t>12.4%</w:t>
                  </w:r>
                </w:p>
              </w:tc>
            </w:tr>
          </w:tbl>
          <w:p w14:paraId="79B0F666" w14:textId="77777777" w:rsidR="00BF4AF7" w:rsidRPr="00CF39C8" w:rsidRDefault="00BF4AF7" w:rsidP="00610AA7">
            <w:pPr>
              <w:spacing w:line="240" w:lineRule="auto"/>
              <w:rPr>
                <w:rFonts w:asciiTheme="majorHAnsi" w:eastAsia="Calibri" w:hAnsiTheme="majorHAnsi" w:cstheme="majorHAnsi"/>
              </w:rPr>
            </w:pPr>
          </w:p>
        </w:tc>
        <w:tc>
          <w:tcPr>
            <w:tcW w:w="1101" w:type="pct"/>
          </w:tcPr>
          <w:p w14:paraId="14E9A862"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 xml:space="preserve">An aggressive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that catches up with the US around 2026 and then brings forward US targets for 2029-2031 to the Australian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in 2028 and 2029. </w:t>
            </w:r>
          </w:p>
          <w:p w14:paraId="62ED7EDB" w14:textId="77777777" w:rsidR="00BF4AF7" w:rsidRPr="00CF39C8" w:rsidRDefault="00BF4AF7" w:rsidP="00610AA7">
            <w:pPr>
              <w:spacing w:line="240" w:lineRule="auto"/>
              <w:rPr>
                <w:rFonts w:asciiTheme="majorHAnsi" w:eastAsia="Calibri" w:hAnsiTheme="majorHAnsi" w:cstheme="majorHAnsi"/>
                <w:sz w:val="18"/>
                <w:szCs w:val="18"/>
              </w:rPr>
            </w:pPr>
          </w:p>
          <w:p w14:paraId="4C288DCC"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Two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targets, one for passenger vehicles and SUVs and a higher target for utes and vans (including large pick-ups) in the light commercial vehicle category.</w:t>
            </w:r>
          </w:p>
          <w:p w14:paraId="4AD496B6" w14:textId="77777777" w:rsidR="001B6EEE" w:rsidRPr="00CF39C8" w:rsidRDefault="001B6EEE" w:rsidP="00610AA7">
            <w:pPr>
              <w:spacing w:line="240" w:lineRule="auto"/>
              <w:contextualSpacing/>
              <w:rPr>
                <w:color w:val="000000" w:themeColor="text1"/>
              </w:rPr>
            </w:pPr>
          </w:p>
          <w:p w14:paraId="58A6A885" w14:textId="77777777" w:rsidR="00BF4AF7" w:rsidRPr="00CF39C8" w:rsidRDefault="00BF4AF7" w:rsidP="00610AA7">
            <w:pPr>
              <w:spacing w:line="240" w:lineRule="auto"/>
              <w:contextualSpacing/>
              <w:rPr>
                <w:color w:val="000000" w:themeColor="text1"/>
              </w:rPr>
            </w:pPr>
          </w:p>
          <w:tbl>
            <w:tblPr>
              <w:tblW w:w="2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7"/>
              <w:gridCol w:w="709"/>
            </w:tblGrid>
            <w:tr w:rsidR="00BF4AF7" w:rsidRPr="00CF39C8" w14:paraId="619F75BE" w14:textId="77777777" w:rsidTr="00BF4AF7">
              <w:trPr>
                <w:cantSplit/>
                <w:trHeight w:val="1414"/>
                <w:jc w:val="center"/>
              </w:trPr>
              <w:tc>
                <w:tcPr>
                  <w:tcW w:w="1029" w:type="dxa"/>
                  <w:shd w:val="clear" w:color="auto" w:fill="auto"/>
                  <w:noWrap/>
                  <w:textDirection w:val="btLr"/>
                  <w:vAlign w:val="center"/>
                </w:tcPr>
                <w:p w14:paraId="0C9BDF72"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07" w:type="dxa"/>
                  <w:shd w:val="clear" w:color="auto" w:fill="auto"/>
                  <w:noWrap/>
                  <w:textDirection w:val="btLr"/>
                  <w:vAlign w:val="center"/>
                </w:tcPr>
                <w:p w14:paraId="52D7C5D2"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3ACCE5FA"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44726500" w14:textId="77777777" w:rsidTr="00BF4AF7">
              <w:trPr>
                <w:trHeight w:val="288"/>
                <w:jc w:val="center"/>
              </w:trPr>
              <w:tc>
                <w:tcPr>
                  <w:tcW w:w="1029" w:type="dxa"/>
                  <w:shd w:val="clear" w:color="auto" w:fill="auto"/>
                  <w:noWrap/>
                  <w:vAlign w:val="bottom"/>
                  <w:hideMark/>
                </w:tcPr>
                <w:p w14:paraId="3D74F6A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07" w:type="dxa"/>
                  <w:shd w:val="clear" w:color="auto" w:fill="auto"/>
                  <w:noWrap/>
                  <w:vAlign w:val="bottom"/>
                  <w:hideMark/>
                </w:tcPr>
                <w:p w14:paraId="4B265AF3"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197BFBAA"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199</w:t>
                  </w:r>
                </w:p>
              </w:tc>
            </w:tr>
            <w:tr w:rsidR="00BF4AF7" w:rsidRPr="00CF39C8" w14:paraId="51D5ED98" w14:textId="77777777" w:rsidTr="00BF4AF7">
              <w:trPr>
                <w:trHeight w:val="288"/>
                <w:jc w:val="center"/>
              </w:trPr>
              <w:tc>
                <w:tcPr>
                  <w:tcW w:w="1029" w:type="dxa"/>
                  <w:shd w:val="clear" w:color="auto" w:fill="auto"/>
                  <w:noWrap/>
                  <w:vAlign w:val="bottom"/>
                  <w:hideMark/>
                </w:tcPr>
                <w:p w14:paraId="73998C56"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07" w:type="dxa"/>
                  <w:shd w:val="clear" w:color="auto" w:fill="auto"/>
                  <w:noWrap/>
                  <w:vAlign w:val="bottom"/>
                  <w:hideMark/>
                </w:tcPr>
                <w:p w14:paraId="64A9A930"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103</w:t>
                  </w:r>
                </w:p>
              </w:tc>
              <w:tc>
                <w:tcPr>
                  <w:tcW w:w="709" w:type="dxa"/>
                  <w:shd w:val="clear" w:color="auto" w:fill="auto"/>
                  <w:noWrap/>
                  <w:vAlign w:val="bottom"/>
                </w:tcPr>
                <w:p w14:paraId="5BCC90A5"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150</w:t>
                  </w:r>
                </w:p>
              </w:tc>
            </w:tr>
            <w:tr w:rsidR="00BF4AF7" w:rsidRPr="00CF39C8" w14:paraId="7FE6F250" w14:textId="77777777" w:rsidTr="00BF4AF7">
              <w:trPr>
                <w:trHeight w:val="288"/>
                <w:jc w:val="center"/>
              </w:trPr>
              <w:tc>
                <w:tcPr>
                  <w:tcW w:w="1029" w:type="dxa"/>
                  <w:shd w:val="clear" w:color="auto" w:fill="auto"/>
                  <w:noWrap/>
                  <w:vAlign w:val="bottom"/>
                  <w:hideMark/>
                </w:tcPr>
                <w:p w14:paraId="1708D064"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07" w:type="dxa"/>
                  <w:shd w:val="clear" w:color="auto" w:fill="auto"/>
                  <w:noWrap/>
                  <w:vAlign w:val="bottom"/>
                  <w:hideMark/>
                </w:tcPr>
                <w:p w14:paraId="482F3C95"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66</w:t>
                  </w:r>
                </w:p>
              </w:tc>
              <w:tc>
                <w:tcPr>
                  <w:tcW w:w="709" w:type="dxa"/>
                  <w:shd w:val="clear" w:color="auto" w:fill="auto"/>
                  <w:noWrap/>
                  <w:vAlign w:val="bottom"/>
                </w:tcPr>
                <w:p w14:paraId="5733F911"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101</w:t>
                  </w:r>
                </w:p>
              </w:tc>
            </w:tr>
            <w:tr w:rsidR="00BF4AF7" w:rsidRPr="00CF39C8" w14:paraId="2C17C69D" w14:textId="77777777" w:rsidTr="00BF4AF7">
              <w:trPr>
                <w:trHeight w:val="288"/>
                <w:jc w:val="center"/>
              </w:trPr>
              <w:tc>
                <w:tcPr>
                  <w:tcW w:w="1029" w:type="dxa"/>
                  <w:shd w:val="clear" w:color="auto" w:fill="auto"/>
                  <w:noWrap/>
                  <w:vAlign w:val="bottom"/>
                  <w:hideMark/>
                </w:tcPr>
                <w:p w14:paraId="59EAF1E7"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07" w:type="dxa"/>
                  <w:shd w:val="clear" w:color="auto" w:fill="auto"/>
                  <w:noWrap/>
                  <w:vAlign w:val="bottom"/>
                  <w:hideMark/>
                </w:tcPr>
                <w:p w14:paraId="254F1B16"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51</w:t>
                  </w:r>
                </w:p>
              </w:tc>
              <w:tc>
                <w:tcPr>
                  <w:tcW w:w="709" w:type="dxa"/>
                  <w:shd w:val="clear" w:color="auto" w:fill="auto"/>
                  <w:noWrap/>
                  <w:vAlign w:val="bottom"/>
                  <w:hideMark/>
                </w:tcPr>
                <w:p w14:paraId="66CEF19B"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63</w:t>
                  </w:r>
                </w:p>
              </w:tc>
            </w:tr>
            <w:tr w:rsidR="00BF4AF7" w:rsidRPr="00CF39C8" w14:paraId="5B59CD38" w14:textId="77777777" w:rsidTr="00BF4AF7">
              <w:trPr>
                <w:trHeight w:val="288"/>
                <w:jc w:val="center"/>
              </w:trPr>
              <w:tc>
                <w:tcPr>
                  <w:tcW w:w="1029" w:type="dxa"/>
                  <w:shd w:val="clear" w:color="auto" w:fill="auto"/>
                  <w:noWrap/>
                  <w:vAlign w:val="bottom"/>
                  <w:hideMark/>
                </w:tcPr>
                <w:p w14:paraId="272B3FD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07" w:type="dxa"/>
                  <w:shd w:val="clear" w:color="auto" w:fill="auto"/>
                  <w:noWrap/>
                  <w:vAlign w:val="bottom"/>
                  <w:hideMark/>
                </w:tcPr>
                <w:p w14:paraId="413BF30B"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34</w:t>
                  </w:r>
                </w:p>
              </w:tc>
              <w:tc>
                <w:tcPr>
                  <w:tcW w:w="709" w:type="dxa"/>
                  <w:shd w:val="clear" w:color="auto" w:fill="auto"/>
                  <w:noWrap/>
                  <w:vAlign w:val="bottom"/>
                </w:tcPr>
                <w:p w14:paraId="33E7B6BA"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56</w:t>
                  </w:r>
                </w:p>
              </w:tc>
            </w:tr>
            <w:tr w:rsidR="00BF4AF7" w:rsidRPr="00CF39C8" w14:paraId="4E86003D" w14:textId="77777777" w:rsidTr="00BF4AF7">
              <w:trPr>
                <w:trHeight w:val="288"/>
                <w:jc w:val="center"/>
              </w:trPr>
              <w:tc>
                <w:tcPr>
                  <w:tcW w:w="1029" w:type="dxa"/>
                  <w:shd w:val="clear" w:color="auto" w:fill="auto"/>
                  <w:noWrap/>
                  <w:vAlign w:val="bottom"/>
                </w:tcPr>
                <w:p w14:paraId="1F22BA68"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07" w:type="dxa"/>
                  <w:shd w:val="clear" w:color="auto" w:fill="auto"/>
                  <w:noWrap/>
                  <w:vAlign w:val="bottom"/>
                </w:tcPr>
                <w:p w14:paraId="1255F230" w14:textId="77777777" w:rsidR="00BF4AF7" w:rsidRPr="007D4B0B" w:rsidRDefault="00BF4AF7" w:rsidP="00610AA7">
                  <w:pPr>
                    <w:spacing w:after="0" w:line="240" w:lineRule="auto"/>
                    <w:jc w:val="right"/>
                    <w:rPr>
                      <w:rFonts w:asciiTheme="majorHAnsi" w:hAnsiTheme="majorHAnsi" w:cstheme="majorHAnsi"/>
                      <w:color w:val="000000" w:themeColor="text1"/>
                      <w:sz w:val="18"/>
                      <w:szCs w:val="18"/>
                    </w:rPr>
                  </w:pPr>
                  <w:r w:rsidRPr="007D4B0B">
                    <w:rPr>
                      <w:rFonts w:asciiTheme="majorHAnsi" w:hAnsiTheme="majorHAnsi" w:cstheme="majorHAnsi"/>
                      <w:color w:val="000000" w:themeColor="text1"/>
                      <w:sz w:val="18"/>
                      <w:szCs w:val="18"/>
                    </w:rPr>
                    <w:t>77%</w:t>
                  </w:r>
                </w:p>
              </w:tc>
              <w:tc>
                <w:tcPr>
                  <w:tcW w:w="709" w:type="dxa"/>
                  <w:shd w:val="clear" w:color="auto" w:fill="auto"/>
                  <w:noWrap/>
                  <w:vAlign w:val="bottom"/>
                </w:tcPr>
                <w:p w14:paraId="0638DD14" w14:textId="77777777" w:rsidR="00BF4AF7" w:rsidRPr="007D4B0B" w:rsidRDefault="00BF4AF7" w:rsidP="00610AA7">
                  <w:pPr>
                    <w:spacing w:after="0" w:line="240" w:lineRule="auto"/>
                    <w:jc w:val="right"/>
                    <w:rPr>
                      <w:rFonts w:asciiTheme="majorHAnsi" w:hAnsiTheme="majorHAnsi" w:cstheme="majorHAnsi"/>
                      <w:color w:val="000000" w:themeColor="text1"/>
                      <w:sz w:val="18"/>
                      <w:szCs w:val="18"/>
                    </w:rPr>
                  </w:pPr>
                  <w:r w:rsidRPr="007D4B0B">
                    <w:rPr>
                      <w:rFonts w:asciiTheme="majorHAnsi" w:hAnsiTheme="majorHAnsi" w:cstheme="majorHAnsi"/>
                      <w:color w:val="000000" w:themeColor="text1"/>
                      <w:sz w:val="18"/>
                      <w:szCs w:val="18"/>
                    </w:rPr>
                    <w:t>74%</w:t>
                  </w:r>
                </w:p>
              </w:tc>
            </w:tr>
            <w:tr w:rsidR="00BF4AF7" w:rsidRPr="00CF39C8" w14:paraId="5872C0F4" w14:textId="77777777" w:rsidTr="00BF4AF7">
              <w:trPr>
                <w:trHeight w:val="288"/>
                <w:jc w:val="center"/>
              </w:trPr>
              <w:tc>
                <w:tcPr>
                  <w:tcW w:w="1029" w:type="dxa"/>
                  <w:shd w:val="clear" w:color="auto" w:fill="auto"/>
                  <w:noWrap/>
                  <w:vAlign w:val="bottom"/>
                </w:tcPr>
                <w:p w14:paraId="05C3F1F1"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p>
              </w:tc>
              <w:tc>
                <w:tcPr>
                  <w:tcW w:w="707" w:type="dxa"/>
                  <w:shd w:val="clear" w:color="auto" w:fill="auto"/>
                  <w:noWrap/>
                  <w:vAlign w:val="bottom"/>
                </w:tcPr>
                <w:p w14:paraId="49254C7E" w14:textId="77777777" w:rsidR="00BF4AF7" w:rsidRPr="007D4B0B" w:rsidRDefault="00BF4AF7" w:rsidP="00610AA7">
                  <w:pPr>
                    <w:spacing w:after="0" w:line="240" w:lineRule="auto"/>
                    <w:jc w:val="right"/>
                    <w:rPr>
                      <w:rFonts w:asciiTheme="majorHAnsi" w:hAnsiTheme="majorHAnsi" w:cstheme="majorHAnsi"/>
                      <w:color w:val="000000"/>
                      <w:sz w:val="18"/>
                      <w:szCs w:val="18"/>
                    </w:rPr>
                  </w:pPr>
                  <w:r w:rsidRPr="007D4B0B">
                    <w:rPr>
                      <w:rFonts w:asciiTheme="majorHAnsi" w:hAnsiTheme="majorHAnsi" w:cstheme="majorHAnsi"/>
                      <w:color w:val="000000"/>
                      <w:sz w:val="18"/>
                      <w:szCs w:val="18"/>
                    </w:rPr>
                    <w:t>15.5%</w:t>
                  </w:r>
                </w:p>
              </w:tc>
              <w:tc>
                <w:tcPr>
                  <w:tcW w:w="709" w:type="dxa"/>
                  <w:shd w:val="clear" w:color="auto" w:fill="auto"/>
                  <w:noWrap/>
                  <w:vAlign w:val="bottom"/>
                </w:tcPr>
                <w:p w14:paraId="36F4627A" w14:textId="77777777" w:rsidR="00BF4AF7" w:rsidRPr="007D4B0B" w:rsidRDefault="00BF4AF7" w:rsidP="00610AA7">
                  <w:pPr>
                    <w:spacing w:after="0" w:line="240" w:lineRule="auto"/>
                    <w:jc w:val="right"/>
                    <w:rPr>
                      <w:rFonts w:asciiTheme="majorHAnsi" w:hAnsiTheme="majorHAnsi" w:cstheme="majorHAnsi"/>
                      <w:color w:val="000000"/>
                      <w:sz w:val="18"/>
                      <w:szCs w:val="18"/>
                    </w:rPr>
                  </w:pPr>
                  <w:r w:rsidRPr="007D4B0B">
                    <w:rPr>
                      <w:rFonts w:asciiTheme="majorHAnsi" w:hAnsiTheme="majorHAnsi" w:cstheme="majorHAnsi"/>
                      <w:color w:val="000000"/>
                      <w:sz w:val="18"/>
                      <w:szCs w:val="18"/>
                    </w:rPr>
                    <w:t>14.7%</w:t>
                  </w:r>
                </w:p>
              </w:tc>
            </w:tr>
          </w:tbl>
          <w:p w14:paraId="45613A4A" w14:textId="77777777" w:rsidR="00BF4AF7" w:rsidRPr="00CF39C8" w:rsidRDefault="00BF4AF7" w:rsidP="00610AA7">
            <w:pPr>
              <w:rPr>
                <w:rFonts w:asciiTheme="majorHAnsi" w:hAnsiTheme="majorHAnsi" w:cstheme="majorHAnsi"/>
              </w:rPr>
            </w:pPr>
          </w:p>
        </w:tc>
        <w:tc>
          <w:tcPr>
            <w:tcW w:w="1087" w:type="pct"/>
            <w:shd w:val="clear" w:color="auto" w:fill="auto"/>
          </w:tcPr>
          <w:p w14:paraId="3E060711" w14:textId="77777777" w:rsidR="001B6EEE" w:rsidRPr="00DC2539" w:rsidRDefault="003132D3" w:rsidP="00610AA7">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t xml:space="preserve">A strong, ambitious and achievable NVES that retains key design elements of </w:t>
            </w:r>
            <w:r w:rsidR="00C12BE2">
              <w:rPr>
                <w:rFonts w:asciiTheme="majorHAnsi" w:eastAsia="Calibri" w:hAnsiTheme="majorHAnsi" w:cstheme="majorHAnsi"/>
                <w:sz w:val="18"/>
                <w:szCs w:val="18"/>
              </w:rPr>
              <w:t>Option B</w:t>
            </w:r>
            <w:r w:rsidR="001B6EEE" w:rsidRPr="00DC2539">
              <w:rPr>
                <w:rFonts w:asciiTheme="majorHAnsi" w:eastAsia="Calibri" w:hAnsiTheme="majorHAnsi" w:cstheme="majorHAnsi"/>
                <w:sz w:val="18"/>
                <w:szCs w:val="18"/>
              </w:rPr>
              <w:t xml:space="preserve"> while substantively </w:t>
            </w:r>
            <w:r w:rsidR="003E32CF" w:rsidRPr="00DC2539">
              <w:rPr>
                <w:rFonts w:asciiTheme="majorHAnsi" w:eastAsia="Calibri" w:hAnsiTheme="majorHAnsi" w:cstheme="majorHAnsi"/>
                <w:sz w:val="18"/>
                <w:szCs w:val="18"/>
              </w:rPr>
              <w:t>alig</w:t>
            </w:r>
            <w:r w:rsidR="003E32CF">
              <w:rPr>
                <w:rFonts w:asciiTheme="majorHAnsi" w:eastAsia="Calibri" w:hAnsiTheme="majorHAnsi" w:cstheme="majorHAnsi"/>
                <w:sz w:val="18"/>
                <w:szCs w:val="18"/>
              </w:rPr>
              <w:t>ning</w:t>
            </w:r>
            <w:r w:rsidR="001B6EEE" w:rsidRPr="00DC2539">
              <w:rPr>
                <w:rFonts w:asciiTheme="majorHAnsi" w:eastAsia="Calibri" w:hAnsiTheme="majorHAnsi" w:cstheme="majorHAnsi"/>
                <w:sz w:val="18"/>
                <w:szCs w:val="18"/>
              </w:rPr>
              <w:t xml:space="preserve"> with </w:t>
            </w:r>
            <w:r w:rsidR="003E32CF">
              <w:rPr>
                <w:rFonts w:asciiTheme="majorHAnsi" w:eastAsia="Calibri" w:hAnsiTheme="majorHAnsi" w:cstheme="majorHAnsi"/>
                <w:sz w:val="18"/>
                <w:szCs w:val="18"/>
              </w:rPr>
              <w:t xml:space="preserve">the </w:t>
            </w:r>
            <w:r w:rsidR="001B6EEE" w:rsidRPr="00DC2539">
              <w:rPr>
                <w:rFonts w:asciiTheme="majorHAnsi" w:eastAsia="Calibri" w:hAnsiTheme="majorHAnsi" w:cstheme="majorHAnsi"/>
                <w:sz w:val="18"/>
                <w:szCs w:val="18"/>
              </w:rPr>
              <w:t xml:space="preserve">standard proposed in the </w:t>
            </w:r>
            <w:r w:rsidR="003E32CF">
              <w:rPr>
                <w:rFonts w:asciiTheme="majorHAnsi" w:eastAsia="Calibri" w:hAnsiTheme="majorHAnsi" w:cstheme="majorHAnsi"/>
                <w:sz w:val="18"/>
                <w:szCs w:val="18"/>
              </w:rPr>
              <w:t>US.</w:t>
            </w:r>
          </w:p>
          <w:p w14:paraId="0849FD62" w14:textId="77777777" w:rsidR="001B6EEE" w:rsidRPr="00DC2539" w:rsidRDefault="001B6EEE" w:rsidP="00610AA7">
            <w:pPr>
              <w:spacing w:line="240" w:lineRule="auto"/>
              <w:rPr>
                <w:rFonts w:asciiTheme="majorHAnsi" w:eastAsia="Calibri" w:hAnsiTheme="majorHAnsi" w:cstheme="majorHAnsi"/>
                <w:sz w:val="18"/>
                <w:szCs w:val="18"/>
              </w:rPr>
            </w:pPr>
          </w:p>
          <w:p w14:paraId="198A42CA" w14:textId="77777777" w:rsidR="003E32CF" w:rsidRDefault="001B6EEE" w:rsidP="001B6EEE">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t>Two CO</w:t>
            </w:r>
            <w:r w:rsidRPr="00DC2539">
              <w:rPr>
                <w:rFonts w:asciiTheme="majorHAnsi" w:eastAsia="Calibri" w:hAnsiTheme="majorHAnsi" w:cstheme="majorHAnsi"/>
                <w:sz w:val="18"/>
                <w:szCs w:val="18"/>
                <w:vertAlign w:val="subscript"/>
              </w:rPr>
              <w:t>2</w:t>
            </w:r>
            <w:r w:rsidRPr="00DC2539">
              <w:rPr>
                <w:rFonts w:asciiTheme="majorHAnsi" w:eastAsia="Calibri" w:hAnsiTheme="majorHAnsi" w:cstheme="majorHAnsi"/>
                <w:sz w:val="18"/>
                <w:szCs w:val="18"/>
              </w:rPr>
              <w:t xml:space="preserve"> targets, one for passenger vehicles</w:t>
            </w:r>
            <w:r w:rsidR="00681099" w:rsidRPr="00DC2539">
              <w:rPr>
                <w:rFonts w:asciiTheme="majorHAnsi" w:eastAsia="Calibri" w:hAnsiTheme="majorHAnsi" w:cstheme="majorHAnsi"/>
                <w:sz w:val="18"/>
                <w:szCs w:val="18"/>
              </w:rPr>
              <w:t xml:space="preserve"> and SUVs and a higher target for utes</w:t>
            </w:r>
            <w:r w:rsidR="001262C2" w:rsidRPr="00DC2539">
              <w:rPr>
                <w:rFonts w:asciiTheme="majorHAnsi" w:eastAsia="Calibri" w:hAnsiTheme="majorHAnsi" w:cstheme="majorHAnsi"/>
                <w:sz w:val="18"/>
                <w:szCs w:val="18"/>
              </w:rPr>
              <w:t>,</w:t>
            </w:r>
            <w:r w:rsidR="00681099" w:rsidRPr="00DC2539">
              <w:rPr>
                <w:rFonts w:asciiTheme="majorHAnsi" w:eastAsia="Calibri" w:hAnsiTheme="majorHAnsi" w:cstheme="majorHAnsi"/>
                <w:sz w:val="18"/>
                <w:szCs w:val="18"/>
              </w:rPr>
              <w:t xml:space="preserve"> vans</w:t>
            </w:r>
            <w:r w:rsidR="001262C2" w:rsidRPr="00DC2539">
              <w:rPr>
                <w:rFonts w:asciiTheme="majorHAnsi" w:eastAsia="Calibri" w:hAnsiTheme="majorHAnsi" w:cstheme="majorHAnsi"/>
                <w:sz w:val="18"/>
                <w:szCs w:val="18"/>
              </w:rPr>
              <w:t xml:space="preserve"> and some </w:t>
            </w:r>
            <w:r w:rsidR="00F74707">
              <w:rPr>
                <w:rFonts w:asciiTheme="majorHAnsi" w:eastAsia="Calibri" w:hAnsiTheme="majorHAnsi" w:cstheme="majorHAnsi"/>
                <w:sz w:val="18"/>
                <w:szCs w:val="18"/>
              </w:rPr>
              <w:t>4WD</w:t>
            </w:r>
            <w:r w:rsidR="001262C2" w:rsidRPr="00DC2539">
              <w:rPr>
                <w:rFonts w:asciiTheme="majorHAnsi" w:eastAsia="Calibri" w:hAnsiTheme="majorHAnsi" w:cstheme="majorHAnsi"/>
                <w:sz w:val="18"/>
                <w:szCs w:val="18"/>
              </w:rPr>
              <w:t xml:space="preserve"> drives</w:t>
            </w:r>
            <w:r w:rsidRPr="00DC2539">
              <w:rPr>
                <w:rFonts w:asciiTheme="majorHAnsi" w:eastAsia="Calibri" w:hAnsiTheme="majorHAnsi" w:cstheme="majorHAnsi"/>
                <w:sz w:val="18"/>
                <w:szCs w:val="18"/>
              </w:rPr>
              <w:t>.</w:t>
            </w:r>
          </w:p>
          <w:p w14:paraId="6830FCF9" w14:textId="77777777" w:rsidR="003E32CF" w:rsidRDefault="003E32CF" w:rsidP="001B6EEE">
            <w:pPr>
              <w:spacing w:line="240" w:lineRule="auto"/>
              <w:rPr>
                <w:rFonts w:asciiTheme="majorHAnsi" w:eastAsia="Calibri" w:hAnsiTheme="majorHAnsi" w:cstheme="majorHAnsi"/>
                <w:sz w:val="18"/>
                <w:szCs w:val="18"/>
              </w:rPr>
            </w:pPr>
          </w:p>
          <w:p w14:paraId="3A65C223" w14:textId="77777777" w:rsidR="00CE0A06" w:rsidRPr="00DC2539" w:rsidRDefault="001B6EEE" w:rsidP="001B6EEE">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t xml:space="preserve"> </w:t>
            </w:r>
          </w:p>
          <w:p w14:paraId="6CD57ED8" w14:textId="77777777" w:rsidR="00BF4AF7" w:rsidRPr="00DC2539" w:rsidRDefault="00BF4AF7" w:rsidP="00610AA7">
            <w:pPr>
              <w:spacing w:line="240" w:lineRule="auto"/>
              <w:rPr>
                <w:rFonts w:asciiTheme="majorHAnsi" w:eastAsia="Calibri" w:hAnsiTheme="majorHAnsi" w:cstheme="majorHAnsi"/>
                <w:sz w:val="18"/>
                <w:szCs w:val="18"/>
              </w:rPr>
            </w:pPr>
          </w:p>
          <w:tbl>
            <w:tblPr>
              <w:tblW w:w="2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7"/>
              <w:gridCol w:w="709"/>
            </w:tblGrid>
            <w:tr w:rsidR="00BF4AF7" w:rsidRPr="0032060F" w14:paraId="70713E78" w14:textId="77777777" w:rsidTr="00BF4AF7">
              <w:trPr>
                <w:cantSplit/>
                <w:trHeight w:val="1414"/>
                <w:jc w:val="center"/>
              </w:trPr>
              <w:tc>
                <w:tcPr>
                  <w:tcW w:w="1029" w:type="dxa"/>
                  <w:shd w:val="clear" w:color="auto" w:fill="auto"/>
                  <w:noWrap/>
                  <w:textDirection w:val="btLr"/>
                  <w:vAlign w:val="center"/>
                </w:tcPr>
                <w:p w14:paraId="55702545"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Year</w:t>
                  </w:r>
                </w:p>
              </w:tc>
              <w:tc>
                <w:tcPr>
                  <w:tcW w:w="707" w:type="dxa"/>
                  <w:shd w:val="clear" w:color="auto" w:fill="auto"/>
                  <w:noWrap/>
                  <w:textDirection w:val="btLr"/>
                  <w:vAlign w:val="center"/>
                </w:tcPr>
                <w:p w14:paraId="4A52AB32"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PV CO</w:t>
                  </w:r>
                  <w:r w:rsidRPr="00DC2539">
                    <w:rPr>
                      <w:rFonts w:asciiTheme="majorHAnsi" w:eastAsia="Times New Roman" w:hAnsiTheme="majorHAnsi" w:cstheme="majorHAnsi"/>
                      <w:b/>
                      <w:color w:val="000000"/>
                      <w:sz w:val="18"/>
                      <w:szCs w:val="18"/>
                      <w:vertAlign w:val="subscript"/>
                      <w:lang w:eastAsia="en-AU"/>
                    </w:rPr>
                    <w:t xml:space="preserve">2 </w:t>
                  </w:r>
                  <w:r w:rsidRPr="00DC2539">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607E82EA"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LCV CO</w:t>
                  </w:r>
                  <w:r w:rsidRPr="00DC2539">
                    <w:rPr>
                      <w:rFonts w:asciiTheme="majorHAnsi" w:eastAsia="Times New Roman" w:hAnsiTheme="majorHAnsi" w:cstheme="majorHAnsi"/>
                      <w:b/>
                      <w:color w:val="000000"/>
                      <w:sz w:val="18"/>
                      <w:szCs w:val="18"/>
                      <w:vertAlign w:val="subscript"/>
                      <w:lang w:eastAsia="en-AU"/>
                    </w:rPr>
                    <w:t xml:space="preserve">2 </w:t>
                  </w:r>
                  <w:r w:rsidRPr="00DC2539">
                    <w:rPr>
                      <w:rFonts w:asciiTheme="majorHAnsi" w:eastAsia="Times New Roman" w:hAnsiTheme="majorHAnsi" w:cstheme="majorHAnsi"/>
                      <w:b/>
                      <w:color w:val="000000"/>
                      <w:sz w:val="18"/>
                      <w:szCs w:val="18"/>
                      <w:lang w:eastAsia="en-AU"/>
                    </w:rPr>
                    <w:t>(g/KM)</w:t>
                  </w:r>
                </w:p>
              </w:tc>
            </w:tr>
            <w:tr w:rsidR="00BF4AF7" w:rsidRPr="0032060F" w14:paraId="2D066B0E" w14:textId="77777777" w:rsidTr="00BF4AF7">
              <w:trPr>
                <w:trHeight w:val="288"/>
                <w:jc w:val="center"/>
              </w:trPr>
              <w:tc>
                <w:tcPr>
                  <w:tcW w:w="1029" w:type="dxa"/>
                  <w:shd w:val="clear" w:color="auto" w:fill="auto"/>
                  <w:noWrap/>
                  <w:vAlign w:val="bottom"/>
                  <w:hideMark/>
                </w:tcPr>
                <w:p w14:paraId="43767E4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2025</w:t>
                  </w:r>
                </w:p>
              </w:tc>
              <w:tc>
                <w:tcPr>
                  <w:tcW w:w="707" w:type="dxa"/>
                  <w:shd w:val="clear" w:color="auto" w:fill="auto"/>
                  <w:noWrap/>
                  <w:vAlign w:val="bottom"/>
                </w:tcPr>
                <w:p w14:paraId="33D726DC"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5FFAA12F" w14:textId="77777777" w:rsidR="00BF4AF7" w:rsidRPr="00DC2539" w:rsidRDefault="00F9622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210</w:t>
                  </w:r>
                </w:p>
              </w:tc>
            </w:tr>
            <w:tr w:rsidR="00BF4AF7" w:rsidRPr="0032060F" w14:paraId="3ED607C1" w14:textId="77777777" w:rsidTr="00BF4AF7">
              <w:trPr>
                <w:trHeight w:val="288"/>
                <w:jc w:val="center"/>
              </w:trPr>
              <w:tc>
                <w:tcPr>
                  <w:tcW w:w="1029" w:type="dxa"/>
                  <w:shd w:val="clear" w:color="auto" w:fill="auto"/>
                  <w:noWrap/>
                  <w:vAlign w:val="bottom"/>
                  <w:hideMark/>
                </w:tcPr>
                <w:p w14:paraId="6A45CFE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2026</w:t>
                  </w:r>
                </w:p>
              </w:tc>
              <w:tc>
                <w:tcPr>
                  <w:tcW w:w="707" w:type="dxa"/>
                  <w:shd w:val="clear" w:color="auto" w:fill="auto"/>
                  <w:noWrap/>
                  <w:vAlign w:val="bottom"/>
                </w:tcPr>
                <w:p w14:paraId="1345A644"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117</w:t>
                  </w:r>
                </w:p>
              </w:tc>
              <w:tc>
                <w:tcPr>
                  <w:tcW w:w="709" w:type="dxa"/>
                  <w:shd w:val="clear" w:color="auto" w:fill="auto"/>
                  <w:noWrap/>
                  <w:vAlign w:val="bottom"/>
                </w:tcPr>
                <w:p w14:paraId="72082DE8" w14:textId="77777777" w:rsidR="00BF4AF7" w:rsidRPr="00DC2539" w:rsidRDefault="00681099"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w:t>
                  </w:r>
                  <w:r w:rsidR="00F9622F" w:rsidRPr="00DC2539">
                    <w:rPr>
                      <w:rFonts w:asciiTheme="majorHAnsi" w:eastAsia="Times New Roman" w:hAnsiTheme="majorHAnsi" w:cstheme="majorHAnsi"/>
                      <w:color w:val="000000" w:themeColor="text1"/>
                      <w:sz w:val="18"/>
                      <w:szCs w:val="18"/>
                      <w:lang w:eastAsia="en-AU"/>
                    </w:rPr>
                    <w:t>80</w:t>
                  </w:r>
                </w:p>
              </w:tc>
            </w:tr>
            <w:tr w:rsidR="00BF4AF7" w:rsidRPr="0032060F" w14:paraId="21979C21" w14:textId="77777777" w:rsidTr="00BF4AF7">
              <w:trPr>
                <w:trHeight w:val="288"/>
                <w:jc w:val="center"/>
              </w:trPr>
              <w:tc>
                <w:tcPr>
                  <w:tcW w:w="1029" w:type="dxa"/>
                  <w:shd w:val="clear" w:color="auto" w:fill="auto"/>
                  <w:noWrap/>
                  <w:vAlign w:val="bottom"/>
                  <w:hideMark/>
                </w:tcPr>
                <w:p w14:paraId="33F4554D"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2027</w:t>
                  </w:r>
                </w:p>
              </w:tc>
              <w:tc>
                <w:tcPr>
                  <w:tcW w:w="707" w:type="dxa"/>
                  <w:shd w:val="clear" w:color="auto" w:fill="auto"/>
                  <w:noWrap/>
                  <w:vAlign w:val="bottom"/>
                </w:tcPr>
                <w:p w14:paraId="3F792AD0"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92</w:t>
                  </w:r>
                </w:p>
              </w:tc>
              <w:tc>
                <w:tcPr>
                  <w:tcW w:w="709" w:type="dxa"/>
                  <w:shd w:val="clear" w:color="auto" w:fill="auto"/>
                  <w:noWrap/>
                  <w:vAlign w:val="bottom"/>
                </w:tcPr>
                <w:p w14:paraId="266C3E1D" w14:textId="77777777" w:rsidR="00BF4AF7" w:rsidRPr="00DC2539" w:rsidRDefault="00681099"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150</w:t>
                  </w:r>
                </w:p>
              </w:tc>
            </w:tr>
            <w:tr w:rsidR="00BF4AF7" w:rsidRPr="0032060F" w14:paraId="11834AF7" w14:textId="77777777" w:rsidTr="00BF4AF7">
              <w:trPr>
                <w:trHeight w:val="288"/>
                <w:jc w:val="center"/>
              </w:trPr>
              <w:tc>
                <w:tcPr>
                  <w:tcW w:w="1029" w:type="dxa"/>
                  <w:shd w:val="clear" w:color="auto" w:fill="auto"/>
                  <w:noWrap/>
                  <w:vAlign w:val="bottom"/>
                  <w:hideMark/>
                </w:tcPr>
                <w:p w14:paraId="504D5D4D"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2028</w:t>
                  </w:r>
                </w:p>
              </w:tc>
              <w:tc>
                <w:tcPr>
                  <w:tcW w:w="707" w:type="dxa"/>
                  <w:shd w:val="clear" w:color="auto" w:fill="auto"/>
                  <w:noWrap/>
                  <w:vAlign w:val="bottom"/>
                </w:tcPr>
                <w:p w14:paraId="43013F78"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68</w:t>
                  </w:r>
                </w:p>
              </w:tc>
              <w:tc>
                <w:tcPr>
                  <w:tcW w:w="709" w:type="dxa"/>
                  <w:shd w:val="clear" w:color="auto" w:fill="auto"/>
                  <w:noWrap/>
                  <w:vAlign w:val="bottom"/>
                </w:tcPr>
                <w:p w14:paraId="21ECB909" w14:textId="77777777" w:rsidR="00BF4AF7" w:rsidRPr="00DC2539" w:rsidRDefault="003E32C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12</w:t>
                  </w:r>
                  <w:r>
                    <w:rPr>
                      <w:rFonts w:asciiTheme="majorHAnsi" w:eastAsia="Times New Roman" w:hAnsiTheme="majorHAnsi" w:cstheme="majorHAnsi"/>
                      <w:color w:val="000000" w:themeColor="text1"/>
                      <w:sz w:val="18"/>
                      <w:szCs w:val="18"/>
                      <w:lang w:eastAsia="en-AU"/>
                    </w:rPr>
                    <w:t>2</w:t>
                  </w:r>
                </w:p>
              </w:tc>
            </w:tr>
            <w:tr w:rsidR="00BF4AF7" w:rsidRPr="0032060F" w14:paraId="6A984F04" w14:textId="77777777" w:rsidTr="00BF4AF7">
              <w:trPr>
                <w:trHeight w:val="288"/>
                <w:jc w:val="center"/>
              </w:trPr>
              <w:tc>
                <w:tcPr>
                  <w:tcW w:w="1029" w:type="dxa"/>
                  <w:shd w:val="clear" w:color="auto" w:fill="auto"/>
                  <w:noWrap/>
                  <w:vAlign w:val="bottom"/>
                  <w:hideMark/>
                </w:tcPr>
                <w:p w14:paraId="74DF9E2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2029</w:t>
                  </w:r>
                </w:p>
              </w:tc>
              <w:tc>
                <w:tcPr>
                  <w:tcW w:w="707" w:type="dxa"/>
                  <w:shd w:val="clear" w:color="auto" w:fill="auto"/>
                  <w:noWrap/>
                  <w:vAlign w:val="bottom"/>
                </w:tcPr>
                <w:p w14:paraId="41C30F64"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58</w:t>
                  </w:r>
                </w:p>
              </w:tc>
              <w:tc>
                <w:tcPr>
                  <w:tcW w:w="709" w:type="dxa"/>
                  <w:shd w:val="clear" w:color="auto" w:fill="auto"/>
                  <w:noWrap/>
                  <w:vAlign w:val="bottom"/>
                </w:tcPr>
                <w:p w14:paraId="73324545" w14:textId="77777777" w:rsidR="00BF4AF7" w:rsidRPr="00DC2539" w:rsidRDefault="003E32C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w:t>
                  </w:r>
                  <w:r>
                    <w:rPr>
                      <w:rFonts w:asciiTheme="majorHAnsi" w:eastAsia="Times New Roman" w:hAnsiTheme="majorHAnsi" w:cstheme="majorHAnsi"/>
                      <w:color w:val="000000" w:themeColor="text1"/>
                      <w:sz w:val="18"/>
                      <w:szCs w:val="18"/>
                      <w:lang w:eastAsia="en-AU"/>
                    </w:rPr>
                    <w:t>10</w:t>
                  </w:r>
                </w:p>
              </w:tc>
            </w:tr>
            <w:tr w:rsidR="00BF4AF7" w:rsidRPr="0032060F" w14:paraId="68B80ED3" w14:textId="77777777" w:rsidTr="00BF4AF7">
              <w:trPr>
                <w:trHeight w:val="288"/>
                <w:jc w:val="center"/>
              </w:trPr>
              <w:tc>
                <w:tcPr>
                  <w:tcW w:w="1029" w:type="dxa"/>
                  <w:shd w:val="clear" w:color="auto" w:fill="auto"/>
                  <w:noWrap/>
                  <w:vAlign w:val="bottom"/>
                </w:tcPr>
                <w:p w14:paraId="701C3C78" w14:textId="77777777" w:rsidR="00BF4AF7" w:rsidRPr="00DC2539"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Total</w:t>
                  </w:r>
                  <w:r w:rsidRPr="00DC2539">
                    <w:rPr>
                      <w:rFonts w:asciiTheme="majorHAnsi" w:eastAsia="Calibri" w:hAnsiTheme="majorHAnsi" w:cstheme="majorHAnsi"/>
                      <w:sz w:val="18"/>
                      <w:szCs w:val="18"/>
                    </w:rPr>
                    <w:t xml:space="preserve"> CO</w:t>
                  </w:r>
                  <w:r w:rsidRPr="00DC2539">
                    <w:rPr>
                      <w:rFonts w:asciiTheme="majorHAnsi" w:eastAsia="Calibri" w:hAnsiTheme="majorHAnsi" w:cstheme="majorHAnsi"/>
                      <w:sz w:val="18"/>
                      <w:szCs w:val="18"/>
                      <w:vertAlign w:val="subscript"/>
                    </w:rPr>
                    <w:t>2</w:t>
                  </w:r>
                  <w:r w:rsidRPr="00DC2539">
                    <w:rPr>
                      <w:rFonts w:asciiTheme="majorHAnsi" w:eastAsia="Calibri" w:hAnsiTheme="majorHAnsi" w:cstheme="majorHAnsi"/>
                      <w:sz w:val="18"/>
                      <w:szCs w:val="18"/>
                    </w:rPr>
                    <w:t xml:space="preserve"> intensity</w:t>
                  </w:r>
                  <w:r w:rsidRPr="00DC2539">
                    <w:rPr>
                      <w:rFonts w:asciiTheme="majorHAnsi" w:eastAsia="Times New Roman" w:hAnsiTheme="majorHAnsi" w:cstheme="majorHAnsi"/>
                      <w:color w:val="000000" w:themeColor="text1"/>
                      <w:sz w:val="18"/>
                      <w:szCs w:val="18"/>
                      <w:lang w:eastAsia="en-AU"/>
                    </w:rPr>
                    <w:t xml:space="preserve"> reduction 2024</w:t>
                  </w:r>
                  <w:r w:rsidRPr="00DC2539">
                    <w:rPr>
                      <w:rFonts w:asciiTheme="majorHAnsi" w:eastAsia="Times New Roman" w:hAnsiTheme="majorHAnsi" w:cstheme="majorHAnsi"/>
                      <w:color w:val="000000" w:themeColor="text1"/>
                      <w:sz w:val="18"/>
                      <w:szCs w:val="18"/>
                      <w:lang w:eastAsia="en-AU"/>
                    </w:rPr>
                    <w:noBreakHyphen/>
                    <w:t>2029</w:t>
                  </w:r>
                </w:p>
              </w:tc>
              <w:tc>
                <w:tcPr>
                  <w:tcW w:w="707" w:type="dxa"/>
                  <w:shd w:val="clear" w:color="auto" w:fill="auto"/>
                  <w:noWrap/>
                  <w:vAlign w:val="bottom"/>
                </w:tcPr>
                <w:p w14:paraId="0648B6A4" w14:textId="77777777" w:rsidR="00BF4AF7" w:rsidRPr="00DC2539" w:rsidRDefault="001262C2" w:rsidP="00610AA7">
                  <w:pPr>
                    <w:spacing w:after="0" w:line="240" w:lineRule="auto"/>
                    <w:jc w:val="center"/>
                    <w:rPr>
                      <w:rFonts w:asciiTheme="majorHAnsi" w:hAnsiTheme="majorHAnsi" w:cstheme="majorHAnsi"/>
                      <w:color w:val="000000" w:themeColor="text1"/>
                      <w:sz w:val="18"/>
                      <w:szCs w:val="18"/>
                    </w:rPr>
                  </w:pPr>
                  <w:r w:rsidRPr="00DC2539">
                    <w:rPr>
                      <w:rFonts w:asciiTheme="majorHAnsi" w:hAnsiTheme="majorHAnsi" w:cstheme="majorHAnsi"/>
                      <w:color w:val="000000" w:themeColor="text1"/>
                      <w:sz w:val="18"/>
                      <w:szCs w:val="18"/>
                    </w:rPr>
                    <w:t>61%</w:t>
                  </w:r>
                </w:p>
              </w:tc>
              <w:tc>
                <w:tcPr>
                  <w:tcW w:w="709" w:type="dxa"/>
                  <w:shd w:val="clear" w:color="auto" w:fill="auto"/>
                  <w:noWrap/>
                  <w:vAlign w:val="bottom"/>
                </w:tcPr>
                <w:p w14:paraId="2E936C8C" w14:textId="77777777" w:rsidR="00BF4AF7" w:rsidRPr="00DC2539" w:rsidRDefault="003E32CF" w:rsidP="00610AA7">
                  <w:pPr>
                    <w:spacing w:after="0" w:line="240" w:lineRule="auto"/>
                    <w:jc w:val="cente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48</w:t>
                  </w:r>
                  <w:r w:rsidR="001262C2" w:rsidRPr="00DC2539">
                    <w:rPr>
                      <w:rFonts w:asciiTheme="majorHAnsi" w:hAnsiTheme="majorHAnsi" w:cstheme="majorHAnsi"/>
                      <w:color w:val="000000" w:themeColor="text1"/>
                      <w:sz w:val="18"/>
                      <w:szCs w:val="18"/>
                    </w:rPr>
                    <w:t>%</w:t>
                  </w:r>
                </w:p>
              </w:tc>
            </w:tr>
            <w:tr w:rsidR="00BF4AF7" w:rsidRPr="0032060F" w14:paraId="3F7CED9C" w14:textId="77777777" w:rsidTr="00BF4AF7">
              <w:trPr>
                <w:trHeight w:val="288"/>
                <w:jc w:val="center"/>
              </w:trPr>
              <w:tc>
                <w:tcPr>
                  <w:tcW w:w="1029" w:type="dxa"/>
                  <w:shd w:val="clear" w:color="auto" w:fill="auto"/>
                  <w:noWrap/>
                  <w:vAlign w:val="bottom"/>
                </w:tcPr>
                <w:p w14:paraId="781D97EE" w14:textId="77777777" w:rsidR="00BF4AF7" w:rsidRPr="00DC2539" w:rsidRDefault="00BF4AF7" w:rsidP="00610AA7">
                  <w:pPr>
                    <w:spacing w:after="0" w:line="240" w:lineRule="auto"/>
                    <w:rPr>
                      <w:rFonts w:asciiTheme="majorHAnsi" w:eastAsia="Times New Roman" w:hAnsiTheme="majorHAnsi" w:cstheme="majorHAnsi"/>
                      <w:color w:val="000000"/>
                      <w:sz w:val="18"/>
                      <w:szCs w:val="18"/>
                      <w:lang w:eastAsia="en-AU"/>
                    </w:rPr>
                  </w:pPr>
                  <w:r w:rsidRPr="00DC2539">
                    <w:rPr>
                      <w:rFonts w:asciiTheme="majorHAnsi" w:eastAsia="Times New Roman" w:hAnsiTheme="majorHAnsi" w:cstheme="majorHAnsi"/>
                      <w:color w:val="000000"/>
                      <w:sz w:val="18"/>
                      <w:szCs w:val="18"/>
                      <w:lang w:eastAsia="en-AU"/>
                    </w:rPr>
                    <w:t>Average annual CO</w:t>
                  </w:r>
                  <w:r w:rsidRPr="00DC2539">
                    <w:rPr>
                      <w:rFonts w:asciiTheme="majorHAnsi" w:eastAsia="Times New Roman" w:hAnsiTheme="majorHAnsi" w:cstheme="majorHAnsi"/>
                      <w:color w:val="000000"/>
                      <w:sz w:val="18"/>
                      <w:szCs w:val="18"/>
                      <w:vertAlign w:val="subscript"/>
                      <w:lang w:eastAsia="en-AU"/>
                    </w:rPr>
                    <w:t>2</w:t>
                  </w:r>
                  <w:r w:rsidRPr="00DC2539">
                    <w:rPr>
                      <w:rFonts w:asciiTheme="majorHAnsi" w:eastAsia="Times New Roman" w:hAnsiTheme="majorHAnsi" w:cstheme="majorHAnsi"/>
                      <w:color w:val="000000"/>
                      <w:sz w:val="18"/>
                      <w:szCs w:val="18"/>
                      <w:lang w:eastAsia="en-AU"/>
                    </w:rPr>
                    <w:t xml:space="preserve"> intensity reduction for new sales</w:t>
                  </w:r>
                </w:p>
              </w:tc>
              <w:tc>
                <w:tcPr>
                  <w:tcW w:w="707" w:type="dxa"/>
                  <w:shd w:val="clear" w:color="auto" w:fill="auto"/>
                  <w:noWrap/>
                  <w:vAlign w:val="bottom"/>
                </w:tcPr>
                <w:p w14:paraId="225A7927" w14:textId="77777777" w:rsidR="00BF4AF7" w:rsidRPr="00DC2539" w:rsidRDefault="001262C2" w:rsidP="00610AA7">
                  <w:pPr>
                    <w:spacing w:after="0" w:line="240" w:lineRule="auto"/>
                    <w:jc w:val="center"/>
                    <w:rPr>
                      <w:rFonts w:asciiTheme="majorHAnsi" w:hAnsiTheme="majorHAnsi" w:cstheme="majorHAnsi"/>
                      <w:color w:val="000000"/>
                      <w:sz w:val="18"/>
                      <w:szCs w:val="18"/>
                    </w:rPr>
                  </w:pPr>
                  <w:r w:rsidRPr="00DC2539">
                    <w:rPr>
                      <w:rFonts w:asciiTheme="majorHAnsi" w:hAnsiTheme="majorHAnsi" w:cstheme="majorHAnsi"/>
                      <w:color w:val="000000"/>
                      <w:sz w:val="18"/>
                      <w:szCs w:val="18"/>
                    </w:rPr>
                    <w:t>12.2%</w:t>
                  </w:r>
                </w:p>
              </w:tc>
              <w:tc>
                <w:tcPr>
                  <w:tcW w:w="709" w:type="dxa"/>
                  <w:shd w:val="clear" w:color="auto" w:fill="auto"/>
                  <w:noWrap/>
                  <w:vAlign w:val="bottom"/>
                </w:tcPr>
                <w:p w14:paraId="03E69208" w14:textId="77777777" w:rsidR="00BF4AF7" w:rsidRPr="00DC2539" w:rsidRDefault="003E32CF" w:rsidP="00610AA7">
                  <w:pPr>
                    <w:spacing w:after="0"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9.60</w:t>
                  </w:r>
                  <w:r w:rsidR="001262C2" w:rsidRPr="00DC2539">
                    <w:rPr>
                      <w:rFonts w:asciiTheme="majorHAnsi" w:hAnsiTheme="majorHAnsi" w:cstheme="majorHAnsi"/>
                      <w:color w:val="000000"/>
                      <w:sz w:val="18"/>
                      <w:szCs w:val="18"/>
                    </w:rPr>
                    <w:t>%</w:t>
                  </w:r>
                </w:p>
              </w:tc>
            </w:tr>
          </w:tbl>
          <w:p w14:paraId="36B4560F" w14:textId="77777777" w:rsidR="00BF4AF7" w:rsidRPr="00DC2539" w:rsidRDefault="00BF4AF7" w:rsidP="00610AA7">
            <w:pPr>
              <w:spacing w:line="240" w:lineRule="auto"/>
            </w:pPr>
          </w:p>
        </w:tc>
      </w:tr>
      <w:tr w:rsidR="00BF4AF7" w:rsidRPr="00CF39C8" w14:paraId="2E1712D5" w14:textId="77777777" w:rsidTr="006D01FC">
        <w:trPr>
          <w:trHeight w:val="1348"/>
        </w:trPr>
        <w:tc>
          <w:tcPr>
            <w:tcW w:w="734" w:type="pct"/>
          </w:tcPr>
          <w:p w14:paraId="6E28E602" w14:textId="77777777" w:rsidR="00BF4AF7" w:rsidRPr="00CF39C8" w:rsidRDefault="00BF4AF7" w:rsidP="00610AA7">
            <w:pPr>
              <w:spacing w:before="80"/>
              <w:rPr>
                <w:rFonts w:eastAsia="Calibri"/>
                <w:sz w:val="36"/>
                <w:szCs w:val="36"/>
              </w:rPr>
            </w:pPr>
            <w:r w:rsidRPr="00CF39C8">
              <w:rPr>
                <w:rFonts w:eastAsia="Calibri"/>
                <w:sz w:val="36"/>
                <w:szCs w:val="36"/>
              </w:rPr>
              <w:t>Fleet limit curve</w:t>
            </w:r>
          </w:p>
          <w:p w14:paraId="320CDC0E" w14:textId="77777777" w:rsidR="00BF4AF7" w:rsidRPr="00CF39C8" w:rsidRDefault="00BF4AF7" w:rsidP="00610AA7">
            <w:pPr>
              <w:spacing w:before="80"/>
              <w:rPr>
                <w:sz w:val="18"/>
                <w:szCs w:val="18"/>
              </w:rPr>
            </w:pPr>
            <w:r w:rsidRPr="00CF39C8">
              <w:rPr>
                <w:sz w:val="18"/>
                <w:szCs w:val="18"/>
              </w:rPr>
              <w:t xml:space="preserve">The fleet limit curve reduces the disadvantage that heavier (or larger) vehicles have, because heavier vehicles naturally use more fuel. </w:t>
            </w:r>
          </w:p>
          <w:p w14:paraId="3262CC58" w14:textId="77777777" w:rsidR="00BF4AF7" w:rsidRPr="00DC2539" w:rsidRDefault="00BF4AF7" w:rsidP="00610AA7">
            <w:pPr>
              <w:spacing w:before="80"/>
              <w:rPr>
                <w:rFonts w:asciiTheme="majorHAnsi" w:hAnsiTheme="majorHAnsi" w:cstheme="majorHAnsi"/>
                <w:sz w:val="18"/>
                <w:szCs w:val="18"/>
              </w:rPr>
            </w:pPr>
            <w:r w:rsidRPr="00CF39C8">
              <w:rPr>
                <w:rFonts w:asciiTheme="majorHAnsi" w:hAnsiTheme="majorHAnsi" w:cstheme="majorHAnsi"/>
                <w:sz w:val="18"/>
                <w:szCs w:val="18"/>
              </w:rPr>
              <w:t>A break point is a vehicle weight above, or below, which the limit curve is flattened.</w:t>
            </w:r>
          </w:p>
          <w:p w14:paraId="13461BD8" w14:textId="77777777" w:rsidR="00BF4AF7" w:rsidRPr="00CF39C8" w:rsidRDefault="00DC2539" w:rsidP="00610AA7">
            <w:pPr>
              <w:spacing w:before="80"/>
              <w:rPr>
                <w:rFonts w:asciiTheme="majorHAnsi" w:hAnsiTheme="majorHAnsi" w:cstheme="majorHAnsi"/>
              </w:rPr>
            </w:pPr>
            <w:r w:rsidRPr="00DC2539">
              <w:rPr>
                <w:rFonts w:asciiTheme="majorHAnsi" w:hAnsiTheme="majorHAnsi" w:cstheme="majorHAnsi"/>
                <w:sz w:val="18"/>
                <w:szCs w:val="18"/>
              </w:rPr>
              <w:t>See appendix C for reference mass and slope values</w:t>
            </w:r>
          </w:p>
        </w:tc>
        <w:tc>
          <w:tcPr>
            <w:tcW w:w="1022" w:type="pct"/>
          </w:tcPr>
          <w:p w14:paraId="03A6F913"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Limit curve and reference mass derived based on fleet of vehicles sold in 2022 and updated during scheduled reviews of the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No break points. </w:t>
            </w:r>
          </w:p>
        </w:tc>
        <w:tc>
          <w:tcPr>
            <w:tcW w:w="1056" w:type="pct"/>
          </w:tcPr>
          <w:p w14:paraId="37AE0BF2"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Limit curve and reference mass derived based on fleet of vehicles sold in 2022 and updated on a rolling basis annually during the operation of the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w:t>
            </w:r>
          </w:p>
          <w:p w14:paraId="2B0D05AD"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The 2022 limit curve settings in this Impact Analysis are applied to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in 2025 and 2026. After 2025, rolling updates to the limit curve and reference mass, with 2025 vehicle data used in 2026 to set new limit curve slope for 2027, and so on for future years. </w:t>
            </w:r>
          </w:p>
          <w:p w14:paraId="2D9F919E"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p>
          <w:p w14:paraId="5DA23715"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Break points:</w:t>
            </w:r>
          </w:p>
          <w:p w14:paraId="332814EB"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lower break point at 1,500 kg, upper break point at 2,000kg.</w:t>
            </w:r>
          </w:p>
          <w:p w14:paraId="23B7519E"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LCV: lower break point at 1,500 kg, upper break point at 2,200</w:t>
            </w:r>
            <w:r w:rsidR="00D53072">
              <w:rPr>
                <w:rFonts w:asciiTheme="majorHAnsi" w:hAnsiTheme="majorHAnsi" w:cstheme="majorHAnsi"/>
                <w:color w:val="000000" w:themeColor="text1"/>
                <w:sz w:val="18"/>
                <w:szCs w:val="18"/>
              </w:rPr>
              <w:t> </w:t>
            </w:r>
            <w:r w:rsidRPr="00CF39C8">
              <w:rPr>
                <w:rFonts w:asciiTheme="majorHAnsi" w:hAnsiTheme="majorHAnsi" w:cstheme="majorHAnsi"/>
                <w:color w:val="000000" w:themeColor="text1"/>
                <w:sz w:val="18"/>
                <w:szCs w:val="18"/>
              </w:rPr>
              <w:t>kg.</w:t>
            </w:r>
          </w:p>
        </w:tc>
        <w:tc>
          <w:tcPr>
            <w:tcW w:w="1101" w:type="pct"/>
          </w:tcPr>
          <w:p w14:paraId="4AC2D07F"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Flattened limit curve to reduce allowance for heavier vehicles with break points included (30% reduction on 2022 measured slope). </w:t>
            </w:r>
          </w:p>
          <w:p w14:paraId="2EC57786"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p>
          <w:p w14:paraId="68870BEB"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Break points:</w:t>
            </w:r>
          </w:p>
          <w:p w14:paraId="1FE13813"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lower break point at 1,500 kg, upper break point at 2,000kg.</w:t>
            </w:r>
          </w:p>
          <w:p w14:paraId="1E30F47D"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LCV: lower break point at 1,500 kg, upper break point at 2,200 kg.</w:t>
            </w:r>
          </w:p>
        </w:tc>
        <w:tc>
          <w:tcPr>
            <w:tcW w:w="1087" w:type="pct"/>
          </w:tcPr>
          <w:p w14:paraId="5720331B"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Limit curve and reference mass derived based on fleet of vehicles sold in 2022 and updated on a rolling basis annually during the operation of the </w:t>
            </w: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w:t>
            </w:r>
          </w:p>
          <w:p w14:paraId="09556888"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The 2022 limit curve settings in this Impact Analysis are applied to </w:t>
            </w: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in 2025 and 2026. After 2025, rolling updates to the limit curve and reference mass, with 2025 vehicle data used in 2026 to set new limit curve slope for 2027, and so on for future years. </w:t>
            </w:r>
          </w:p>
          <w:p w14:paraId="2C97D517"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p>
          <w:p w14:paraId="57D6A939" w14:textId="77777777" w:rsidR="00681099" w:rsidRPr="003455E7" w:rsidRDefault="00681099" w:rsidP="00681099">
            <w:pPr>
              <w:spacing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Break points:</w:t>
            </w:r>
          </w:p>
          <w:p w14:paraId="6126CFB0" w14:textId="77777777" w:rsidR="00681099" w:rsidRPr="003455E7" w:rsidRDefault="00681099" w:rsidP="00681099">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PV: lower break point at 1,500 kg, upper break point at 2,200kg.</w:t>
            </w:r>
          </w:p>
          <w:p w14:paraId="28FA86EE" w14:textId="77777777" w:rsidR="00BF4AF7" w:rsidRPr="003455E7" w:rsidRDefault="00681099" w:rsidP="00681099">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LCV: lower break point at 1,500 kg, upper break point at 2,400 kg.</w:t>
            </w:r>
          </w:p>
        </w:tc>
      </w:tr>
      <w:tr w:rsidR="00BF4AF7" w:rsidRPr="00CF39C8" w14:paraId="57CA6889" w14:textId="77777777" w:rsidTr="006D01FC">
        <w:trPr>
          <w:trHeight w:val="1775"/>
        </w:trPr>
        <w:tc>
          <w:tcPr>
            <w:tcW w:w="734" w:type="pct"/>
          </w:tcPr>
          <w:p w14:paraId="463A3BF6" w14:textId="77777777" w:rsidR="00BF4AF7" w:rsidRPr="00CF39C8" w:rsidRDefault="00BF4AF7" w:rsidP="00610AA7">
            <w:pPr>
              <w:spacing w:before="80"/>
              <w:rPr>
                <w:rFonts w:eastAsia="Calibri"/>
                <w:sz w:val="36"/>
                <w:szCs w:val="36"/>
              </w:rPr>
            </w:pPr>
            <w:r w:rsidRPr="00CF39C8">
              <w:rPr>
                <w:rFonts w:eastAsia="Calibri"/>
                <w:sz w:val="36"/>
                <w:szCs w:val="36"/>
              </w:rPr>
              <w:t>Vehicle categories</w:t>
            </w:r>
          </w:p>
          <w:p w14:paraId="431B2A41" w14:textId="77777777" w:rsidR="00BF4AF7" w:rsidRPr="00CF39C8" w:rsidRDefault="00BF4AF7" w:rsidP="00610AA7">
            <w:pPr>
              <w:spacing w:before="80"/>
              <w:rPr>
                <w:rFonts w:eastAsia="Calibri"/>
                <w:sz w:val="18"/>
                <w:szCs w:val="18"/>
              </w:rPr>
            </w:pPr>
            <w:r w:rsidRPr="00CF39C8">
              <w:rPr>
                <w:rFonts w:eastAsia="Calibri"/>
                <w:sz w:val="18"/>
                <w:szCs w:val="18"/>
              </w:rPr>
              <w:t xml:space="preserve">What types of vehicle are in which category under the </w:t>
            </w:r>
            <w:r w:rsidRPr="00CF39C8">
              <w:rPr>
                <w:rFonts w:asciiTheme="majorHAnsi" w:hAnsiTheme="majorHAnsi" w:cstheme="majorHAnsi"/>
                <w:sz w:val="18"/>
                <w:szCs w:val="18"/>
              </w:rPr>
              <w:t>NVES</w:t>
            </w:r>
            <w:r w:rsidRPr="00CF39C8">
              <w:rPr>
                <w:rFonts w:eastAsia="Calibri"/>
                <w:sz w:val="18"/>
                <w:szCs w:val="18"/>
              </w:rPr>
              <w:t>.</w:t>
            </w:r>
          </w:p>
        </w:tc>
        <w:tc>
          <w:tcPr>
            <w:tcW w:w="1022" w:type="pct"/>
          </w:tcPr>
          <w:p w14:paraId="0430C9F2"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5EC00395" w14:textId="77777777" w:rsidR="00BF4AF7" w:rsidRPr="00CF39C8" w:rsidRDefault="00BF4AF7" w:rsidP="00BF4AF7">
            <w:pPr>
              <w:pStyle w:val="ListParagraph"/>
              <w:numPr>
                <w:ilvl w:val="1"/>
                <w:numId w:val="15"/>
              </w:num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class is passenger vehicles, light SUVs and two-wheel drive versions of four-wheel drive vehicles (MA and MB categories).</w:t>
            </w:r>
          </w:p>
          <w:p w14:paraId="07564D97" w14:textId="77777777" w:rsidR="00BF4AF7" w:rsidRPr="00CF39C8" w:rsidRDefault="00BF4AF7" w:rsidP="00BF4AF7">
            <w:pPr>
              <w:pStyle w:val="ListParagraph"/>
              <w:numPr>
                <w:ilvl w:val="1"/>
                <w:numId w:val="15"/>
              </w:num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LCVs class is larger SUVs, four-wheel drives, and utes and vans GVM up to 4.5 tonnes (MC, NA and NB1 vehicles, with some exceptions). </w:t>
            </w:r>
          </w:p>
          <w:p w14:paraId="14EB40E5" w14:textId="77777777" w:rsidR="00BF4AF7" w:rsidRPr="00CF39C8" w:rsidRDefault="00BF4AF7" w:rsidP="00610AA7">
            <w:pPr>
              <w:spacing w:line="240" w:lineRule="auto"/>
              <w:rPr>
                <w:rFonts w:asciiTheme="majorHAnsi" w:hAnsiTheme="majorHAnsi" w:cstheme="majorHAnsi"/>
                <w:color w:val="000000" w:themeColor="text1"/>
                <w:sz w:val="18"/>
                <w:szCs w:val="18"/>
              </w:rPr>
            </w:pPr>
          </w:p>
        </w:tc>
        <w:tc>
          <w:tcPr>
            <w:tcW w:w="1056" w:type="pct"/>
          </w:tcPr>
          <w:p w14:paraId="20255D05"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546E5BC3"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PVs class is </w:t>
            </w:r>
            <w:r w:rsidRPr="00CF39C8">
              <w:rPr>
                <w:rFonts w:asciiTheme="majorHAnsi" w:hAnsiTheme="majorHAnsi" w:cstheme="majorHAnsi"/>
                <w:sz w:val="18"/>
                <w:szCs w:val="18"/>
              </w:rPr>
              <w:t>passenger vehicles, light and heavier SUVs and 4WDs (</w:t>
            </w:r>
            <w:r w:rsidRPr="00CF39C8">
              <w:rPr>
                <w:rFonts w:asciiTheme="majorHAnsi" w:hAnsiTheme="majorHAnsi" w:cstheme="majorHAnsi"/>
                <w:color w:val="000000" w:themeColor="text1"/>
                <w:sz w:val="18"/>
                <w:szCs w:val="18"/>
              </w:rPr>
              <w:t>MA, MB and MC categories)</w:t>
            </w:r>
            <w:r w:rsidRPr="00CF39C8">
              <w:rPr>
                <w:rFonts w:asciiTheme="majorHAnsi" w:hAnsiTheme="majorHAnsi" w:cstheme="majorHAnsi"/>
                <w:sz w:val="18"/>
                <w:szCs w:val="18"/>
              </w:rPr>
              <w:t>.</w:t>
            </w:r>
          </w:p>
          <w:p w14:paraId="28C3249A"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LCVs class is utes and vans GVM up to 4.5 tonnes (NA and NB1 vehicles with some exceptions). </w:t>
            </w:r>
          </w:p>
          <w:p w14:paraId="615FFCD6"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p>
        </w:tc>
        <w:tc>
          <w:tcPr>
            <w:tcW w:w="1101" w:type="pct"/>
          </w:tcPr>
          <w:p w14:paraId="3A73963A"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7F570BE7"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PVs class is </w:t>
            </w:r>
            <w:r w:rsidRPr="00CF39C8">
              <w:rPr>
                <w:rFonts w:asciiTheme="majorHAnsi" w:hAnsiTheme="majorHAnsi" w:cstheme="majorHAnsi"/>
                <w:sz w:val="18"/>
                <w:szCs w:val="18"/>
              </w:rPr>
              <w:t>passenger vehicles, light and heavier SUVs and 4WDs (</w:t>
            </w:r>
            <w:r w:rsidRPr="00CF39C8">
              <w:rPr>
                <w:rFonts w:asciiTheme="majorHAnsi" w:hAnsiTheme="majorHAnsi" w:cstheme="majorHAnsi"/>
                <w:color w:val="000000" w:themeColor="text1"/>
                <w:sz w:val="18"/>
                <w:szCs w:val="18"/>
              </w:rPr>
              <w:t>MA, MB and MC categories)</w:t>
            </w:r>
            <w:r w:rsidRPr="00CF39C8">
              <w:rPr>
                <w:rFonts w:asciiTheme="majorHAnsi" w:hAnsiTheme="majorHAnsi" w:cstheme="majorHAnsi"/>
                <w:sz w:val="18"/>
                <w:szCs w:val="18"/>
              </w:rPr>
              <w:t>.</w:t>
            </w:r>
          </w:p>
          <w:p w14:paraId="49709F25"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LCVs class is utes and vans GVM up to 4.5 tonnes (NA and NB1 vehicles with some exceptions). </w:t>
            </w:r>
          </w:p>
          <w:p w14:paraId="00961C99" w14:textId="77777777" w:rsidR="00BF4AF7" w:rsidRPr="00CF39C8" w:rsidRDefault="00BF4AF7" w:rsidP="00610AA7">
            <w:pPr>
              <w:spacing w:line="240" w:lineRule="auto"/>
              <w:rPr>
                <w:rFonts w:asciiTheme="majorHAnsi" w:hAnsiTheme="majorHAnsi" w:cstheme="majorHAnsi"/>
                <w:color w:val="000000" w:themeColor="text1"/>
                <w:sz w:val="18"/>
                <w:szCs w:val="18"/>
              </w:rPr>
            </w:pPr>
          </w:p>
        </w:tc>
        <w:tc>
          <w:tcPr>
            <w:tcW w:w="1087" w:type="pct"/>
          </w:tcPr>
          <w:p w14:paraId="19D3B801" w14:textId="77777777" w:rsidR="00681099" w:rsidRPr="00615A80" w:rsidRDefault="00681099" w:rsidP="00681099">
            <w:pPr>
              <w:spacing w:before="80" w:line="240" w:lineRule="auto"/>
              <w:rPr>
                <w:rFonts w:asciiTheme="majorHAnsi" w:hAnsiTheme="majorHAnsi" w:cstheme="majorHAnsi"/>
                <w:color w:val="000000" w:themeColor="text1"/>
                <w:sz w:val="18"/>
                <w:szCs w:val="18"/>
              </w:rPr>
            </w:pPr>
            <w:r w:rsidRPr="00615A80">
              <w:rPr>
                <w:rFonts w:asciiTheme="majorHAnsi" w:hAnsiTheme="majorHAnsi" w:cstheme="majorHAnsi"/>
                <w:color w:val="000000" w:themeColor="text1"/>
                <w:sz w:val="18"/>
                <w:szCs w:val="18"/>
              </w:rPr>
              <w:t>Vehicle categories:</w:t>
            </w:r>
          </w:p>
          <w:p w14:paraId="6A46CE76" w14:textId="77777777" w:rsidR="00681099" w:rsidRPr="00615A80" w:rsidRDefault="00681099" w:rsidP="00681099">
            <w:pPr>
              <w:pStyle w:val="ListParagraph"/>
              <w:numPr>
                <w:ilvl w:val="1"/>
                <w:numId w:val="15"/>
              </w:numPr>
              <w:spacing w:line="240" w:lineRule="auto"/>
              <w:rPr>
                <w:rFonts w:asciiTheme="majorHAnsi" w:hAnsiTheme="majorHAnsi" w:cstheme="majorHAnsi"/>
                <w:sz w:val="18"/>
                <w:szCs w:val="18"/>
              </w:rPr>
            </w:pPr>
            <w:r w:rsidRPr="00615A80">
              <w:rPr>
                <w:rFonts w:asciiTheme="majorHAnsi" w:hAnsiTheme="majorHAnsi" w:cstheme="majorHAnsi"/>
                <w:color w:val="000000" w:themeColor="text1"/>
                <w:sz w:val="18"/>
                <w:szCs w:val="18"/>
              </w:rPr>
              <w:t xml:space="preserve">PVs class is </w:t>
            </w:r>
            <w:r w:rsidRPr="00615A80">
              <w:rPr>
                <w:rFonts w:asciiTheme="majorHAnsi" w:hAnsiTheme="majorHAnsi" w:cstheme="majorHAnsi"/>
                <w:sz w:val="18"/>
                <w:szCs w:val="18"/>
              </w:rPr>
              <w:t xml:space="preserve">passenger vehicles, light and heavier SUVs and </w:t>
            </w:r>
            <w:r w:rsidR="001262C2" w:rsidRPr="00615A80">
              <w:rPr>
                <w:rFonts w:asciiTheme="majorHAnsi" w:hAnsiTheme="majorHAnsi" w:cstheme="majorHAnsi"/>
                <w:sz w:val="18"/>
                <w:szCs w:val="18"/>
              </w:rPr>
              <w:t xml:space="preserve">many </w:t>
            </w:r>
            <w:r w:rsidRPr="00615A80">
              <w:rPr>
                <w:rFonts w:asciiTheme="majorHAnsi" w:hAnsiTheme="majorHAnsi" w:cstheme="majorHAnsi"/>
                <w:sz w:val="18"/>
                <w:szCs w:val="18"/>
              </w:rPr>
              <w:t>4WDs (</w:t>
            </w:r>
            <w:r w:rsidRPr="00615A80">
              <w:rPr>
                <w:rFonts w:asciiTheme="majorHAnsi" w:hAnsiTheme="majorHAnsi" w:cstheme="majorHAnsi"/>
                <w:color w:val="000000" w:themeColor="text1"/>
                <w:sz w:val="18"/>
                <w:szCs w:val="18"/>
              </w:rPr>
              <w:t>MA, MB and</w:t>
            </w:r>
            <w:r w:rsidR="001262C2" w:rsidRPr="00615A80">
              <w:rPr>
                <w:rFonts w:asciiTheme="majorHAnsi" w:hAnsiTheme="majorHAnsi" w:cstheme="majorHAnsi"/>
                <w:color w:val="000000" w:themeColor="text1"/>
                <w:sz w:val="18"/>
                <w:szCs w:val="18"/>
              </w:rPr>
              <w:t xml:space="preserve"> part-</w:t>
            </w:r>
            <w:r w:rsidRPr="00615A80">
              <w:rPr>
                <w:rFonts w:asciiTheme="majorHAnsi" w:hAnsiTheme="majorHAnsi" w:cstheme="majorHAnsi"/>
                <w:color w:val="000000" w:themeColor="text1"/>
                <w:sz w:val="18"/>
                <w:szCs w:val="18"/>
              </w:rPr>
              <w:t xml:space="preserve"> MC categories)</w:t>
            </w:r>
            <w:r w:rsidRPr="00615A80">
              <w:rPr>
                <w:rFonts w:asciiTheme="majorHAnsi" w:hAnsiTheme="majorHAnsi" w:cstheme="majorHAnsi"/>
                <w:sz w:val="18"/>
                <w:szCs w:val="18"/>
              </w:rPr>
              <w:t>.</w:t>
            </w:r>
          </w:p>
          <w:p w14:paraId="396B70E1" w14:textId="77777777" w:rsidR="00681099" w:rsidRPr="00615A80" w:rsidRDefault="00681099" w:rsidP="00681099">
            <w:pPr>
              <w:pStyle w:val="ListParagraph"/>
              <w:numPr>
                <w:ilvl w:val="1"/>
                <w:numId w:val="15"/>
              </w:numPr>
              <w:spacing w:line="240" w:lineRule="auto"/>
              <w:rPr>
                <w:rFonts w:asciiTheme="majorHAnsi" w:hAnsiTheme="majorHAnsi" w:cstheme="majorHAnsi"/>
                <w:sz w:val="18"/>
                <w:szCs w:val="18"/>
              </w:rPr>
            </w:pPr>
            <w:r w:rsidRPr="00615A80">
              <w:rPr>
                <w:rFonts w:asciiTheme="majorHAnsi" w:hAnsiTheme="majorHAnsi" w:cstheme="majorHAnsi"/>
                <w:color w:val="000000" w:themeColor="text1"/>
                <w:sz w:val="18"/>
                <w:szCs w:val="18"/>
              </w:rPr>
              <w:t xml:space="preserve">LCVs class is utes and vans </w:t>
            </w:r>
            <w:r w:rsidR="00974825" w:rsidRPr="00615A80">
              <w:rPr>
                <w:rFonts w:asciiTheme="majorHAnsi" w:hAnsiTheme="majorHAnsi" w:cstheme="majorHAnsi"/>
                <w:color w:val="000000" w:themeColor="text1"/>
                <w:sz w:val="18"/>
                <w:szCs w:val="18"/>
              </w:rPr>
              <w:t xml:space="preserve">with </w:t>
            </w:r>
            <w:r w:rsidRPr="00615A80">
              <w:rPr>
                <w:rFonts w:asciiTheme="majorHAnsi" w:hAnsiTheme="majorHAnsi" w:cstheme="majorHAnsi"/>
                <w:color w:val="000000" w:themeColor="text1"/>
                <w:sz w:val="18"/>
                <w:szCs w:val="18"/>
              </w:rPr>
              <w:t>GVM up to 4.5 tonnes (NA and NB1 vehicles with some exceptions)</w:t>
            </w:r>
            <w:r w:rsidR="001262C2" w:rsidRPr="00615A80">
              <w:rPr>
                <w:rFonts w:asciiTheme="majorHAnsi" w:hAnsiTheme="majorHAnsi" w:cstheme="majorHAnsi"/>
                <w:color w:val="000000" w:themeColor="text1"/>
                <w:sz w:val="18"/>
                <w:szCs w:val="18"/>
              </w:rPr>
              <w:t xml:space="preserve"> and large </w:t>
            </w:r>
            <w:r w:rsidR="00DB71E5" w:rsidRPr="00615A80">
              <w:rPr>
                <w:rFonts w:asciiTheme="majorHAnsi" w:hAnsiTheme="majorHAnsi" w:cstheme="majorHAnsi"/>
                <w:color w:val="000000" w:themeColor="text1"/>
                <w:sz w:val="18"/>
                <w:szCs w:val="18"/>
              </w:rPr>
              <w:t>4WDs</w:t>
            </w:r>
            <w:r w:rsidR="001262C2" w:rsidRPr="00615A80">
              <w:rPr>
                <w:rFonts w:asciiTheme="majorHAnsi" w:hAnsiTheme="majorHAnsi" w:cstheme="majorHAnsi"/>
                <w:color w:val="000000" w:themeColor="text1"/>
                <w:sz w:val="18"/>
                <w:szCs w:val="18"/>
              </w:rPr>
              <w:t>, defined as MC</w:t>
            </w:r>
            <w:r w:rsidR="003E32CF">
              <w:rPr>
                <w:rFonts w:asciiTheme="majorHAnsi" w:hAnsiTheme="majorHAnsi" w:cstheme="majorHAnsi"/>
                <w:color w:val="000000" w:themeColor="text1"/>
                <w:sz w:val="18"/>
                <w:szCs w:val="18"/>
              </w:rPr>
              <w:t>2</w:t>
            </w:r>
            <w:r w:rsidR="001262C2" w:rsidRPr="00615A80">
              <w:rPr>
                <w:rFonts w:asciiTheme="majorHAnsi" w:hAnsiTheme="majorHAnsi" w:cstheme="majorHAnsi"/>
                <w:color w:val="000000" w:themeColor="text1"/>
                <w:sz w:val="18"/>
                <w:szCs w:val="18"/>
              </w:rPr>
              <w:t xml:space="preserve"> category vehicles with a body-on-frame construction type and 3</w:t>
            </w:r>
            <w:r w:rsidR="003E32CF">
              <w:rPr>
                <w:rFonts w:asciiTheme="majorHAnsi" w:hAnsiTheme="majorHAnsi" w:cstheme="majorHAnsi"/>
                <w:color w:val="000000" w:themeColor="text1"/>
                <w:sz w:val="18"/>
                <w:szCs w:val="18"/>
              </w:rPr>
              <w:t xml:space="preserve"> or more</w:t>
            </w:r>
            <w:r w:rsidR="001262C2" w:rsidRPr="00615A80">
              <w:rPr>
                <w:rFonts w:asciiTheme="majorHAnsi" w:hAnsiTheme="majorHAnsi" w:cstheme="majorHAnsi"/>
                <w:color w:val="000000" w:themeColor="text1"/>
                <w:sz w:val="18"/>
                <w:szCs w:val="18"/>
              </w:rPr>
              <w:t xml:space="preserve"> tonne towing capacity</w:t>
            </w:r>
            <w:r w:rsidRPr="00615A80">
              <w:rPr>
                <w:rFonts w:asciiTheme="majorHAnsi" w:hAnsiTheme="majorHAnsi" w:cstheme="majorHAnsi"/>
                <w:color w:val="000000" w:themeColor="text1"/>
                <w:sz w:val="18"/>
                <w:szCs w:val="18"/>
              </w:rPr>
              <w:t xml:space="preserve">. </w:t>
            </w:r>
          </w:p>
          <w:p w14:paraId="69D62806" w14:textId="77777777" w:rsidR="00BF4AF7" w:rsidRPr="0032060F" w:rsidRDefault="00BF4AF7" w:rsidP="00610AA7">
            <w:pPr>
              <w:spacing w:before="80" w:line="240" w:lineRule="auto"/>
              <w:rPr>
                <w:rFonts w:asciiTheme="majorHAnsi" w:hAnsiTheme="majorHAnsi" w:cstheme="majorHAnsi"/>
                <w:color w:val="000000" w:themeColor="text1"/>
                <w:sz w:val="18"/>
                <w:szCs w:val="18"/>
                <w:highlight w:val="yellow"/>
              </w:rPr>
            </w:pPr>
          </w:p>
        </w:tc>
      </w:tr>
      <w:tr w:rsidR="00BF4AF7" w:rsidRPr="00CF39C8" w14:paraId="08E2A848" w14:textId="77777777" w:rsidTr="006D01FC">
        <w:tc>
          <w:tcPr>
            <w:tcW w:w="734" w:type="pct"/>
          </w:tcPr>
          <w:p w14:paraId="0B19415D" w14:textId="77777777" w:rsidR="00BF4AF7" w:rsidRPr="00CF39C8" w:rsidRDefault="00BF4AF7" w:rsidP="00610AA7">
            <w:pPr>
              <w:spacing w:before="80"/>
              <w:rPr>
                <w:rFonts w:eastAsia="Calibri"/>
                <w:sz w:val="36"/>
                <w:szCs w:val="36"/>
              </w:rPr>
            </w:pPr>
            <w:r w:rsidRPr="00CF39C8">
              <w:rPr>
                <w:rFonts w:eastAsia="Calibri"/>
                <w:sz w:val="36"/>
                <w:szCs w:val="36"/>
              </w:rPr>
              <w:t>Credit banking, pooling and trading</w:t>
            </w:r>
          </w:p>
          <w:p w14:paraId="62ED4E58" w14:textId="77777777" w:rsidR="00BF4AF7" w:rsidRPr="00CF39C8" w:rsidRDefault="00BF4AF7" w:rsidP="00610AA7">
            <w:pPr>
              <w:rPr>
                <w:rFonts w:asciiTheme="majorHAnsi" w:hAnsiTheme="majorHAnsi" w:cstheme="majorHAnsi"/>
                <w:sz w:val="18"/>
                <w:szCs w:val="18"/>
              </w:rPr>
            </w:pPr>
            <w:r w:rsidRPr="00CF39C8">
              <w:rPr>
                <w:sz w:val="18"/>
                <w:szCs w:val="18"/>
              </w:rPr>
              <w:t>Banking, pooling and trading provide flexibility for regulated entities that overachieve to sell credits to those that may not have met their targets, or to bank credits for a later year. Pooling allows a group of regulated entities to form a collective entity whose emissions results are considered collectively.</w:t>
            </w:r>
          </w:p>
        </w:tc>
        <w:tc>
          <w:tcPr>
            <w:tcW w:w="1022" w:type="pct"/>
          </w:tcPr>
          <w:p w14:paraId="44E383B3"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Credit banking, pooling and trading available. </w:t>
            </w:r>
          </w:p>
          <w:p w14:paraId="67403BEC"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5 years after the year of issuance, </w:t>
            </w:r>
            <w:r w:rsidR="00693975">
              <w:rPr>
                <w:rFonts w:asciiTheme="majorHAnsi" w:hAnsiTheme="majorHAnsi" w:cstheme="majorHAnsi"/>
                <w:sz w:val="18"/>
                <w:szCs w:val="18"/>
              </w:rPr>
              <w:t>debits (i.e. a positive Interim Emissions Value)</w:t>
            </w:r>
            <w:r w:rsidRPr="00CF39C8">
              <w:rPr>
                <w:rFonts w:asciiTheme="majorHAnsi" w:hAnsiTheme="majorHAnsi" w:cstheme="majorHAnsi"/>
                <w:sz w:val="18"/>
                <w:szCs w:val="18"/>
              </w:rPr>
              <w:t xml:space="preserve"> must be acquitted after no more than 5 years after the year of issuance.</w:t>
            </w:r>
            <w:r w:rsidR="0070538E">
              <w:rPr>
                <w:rFonts w:asciiTheme="majorHAnsi" w:hAnsiTheme="majorHAnsi" w:cstheme="majorHAnsi"/>
                <w:sz w:val="18"/>
                <w:szCs w:val="18"/>
              </w:rPr>
              <w:t xml:space="preserve"> This is the practical effect of the interim emissions value</w:t>
            </w:r>
            <w:r w:rsidR="00C132F0">
              <w:rPr>
                <w:rFonts w:asciiTheme="majorHAnsi" w:hAnsiTheme="majorHAnsi" w:cstheme="majorHAnsi"/>
                <w:sz w:val="18"/>
                <w:szCs w:val="18"/>
              </w:rPr>
              <w:t xml:space="preserve"> reconciliation</w:t>
            </w:r>
            <w:r w:rsidR="0070538E">
              <w:rPr>
                <w:rFonts w:asciiTheme="majorHAnsi" w:hAnsiTheme="majorHAnsi" w:cstheme="majorHAnsi"/>
                <w:sz w:val="18"/>
                <w:szCs w:val="18"/>
              </w:rPr>
              <w:t>, discussed</w:t>
            </w:r>
            <w:r w:rsidR="00C132F0">
              <w:rPr>
                <w:rFonts w:asciiTheme="majorHAnsi" w:hAnsiTheme="majorHAnsi" w:cstheme="majorHAnsi"/>
                <w:sz w:val="18"/>
                <w:szCs w:val="18"/>
              </w:rPr>
              <w:t xml:space="preserve"> in 4.3.2</w:t>
            </w:r>
            <w:r w:rsidR="0070538E">
              <w:rPr>
                <w:rFonts w:asciiTheme="majorHAnsi" w:hAnsiTheme="majorHAnsi" w:cstheme="majorHAnsi"/>
                <w:sz w:val="18"/>
                <w:szCs w:val="18"/>
              </w:rPr>
              <w:t>.</w:t>
            </w:r>
          </w:p>
          <w:p w14:paraId="2647BB08" w14:textId="77777777" w:rsidR="00BF4AF7" w:rsidRPr="00CF39C8" w:rsidRDefault="00BF4AF7" w:rsidP="00610AA7">
            <w:pPr>
              <w:spacing w:before="80" w:line="240" w:lineRule="auto"/>
              <w:rPr>
                <w:rFonts w:asciiTheme="majorHAnsi" w:hAnsiTheme="majorHAnsi" w:cstheme="majorHAnsi"/>
                <w:sz w:val="18"/>
                <w:szCs w:val="18"/>
              </w:rPr>
            </w:pPr>
          </w:p>
        </w:tc>
        <w:tc>
          <w:tcPr>
            <w:tcW w:w="1056" w:type="pct"/>
          </w:tcPr>
          <w:p w14:paraId="28DEE3C5"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 banking and trading are available. No pooling. </w:t>
            </w:r>
          </w:p>
          <w:p w14:paraId="09D4C972" w14:textId="77777777" w:rsidR="00C132F0" w:rsidRPr="00CF39C8" w:rsidRDefault="00BF4AF7" w:rsidP="00C132F0">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3 years after the year of issuance, </w:t>
            </w:r>
            <w:r w:rsidR="00693975">
              <w:rPr>
                <w:rFonts w:asciiTheme="majorHAnsi" w:hAnsiTheme="majorHAnsi" w:cstheme="majorHAnsi"/>
                <w:sz w:val="18"/>
                <w:szCs w:val="18"/>
              </w:rPr>
              <w:t xml:space="preserve">debits (i.e. a positive Interim Emissions Value) </w:t>
            </w:r>
            <w:r w:rsidRPr="00CF39C8">
              <w:rPr>
                <w:rFonts w:asciiTheme="majorHAnsi" w:hAnsiTheme="majorHAnsi" w:cstheme="majorHAnsi"/>
                <w:sz w:val="18"/>
                <w:szCs w:val="18"/>
              </w:rPr>
              <w:t>must be acquitted after no more than 2 years after the year of issuance.</w:t>
            </w:r>
            <w:r w:rsidR="00C132F0">
              <w:rPr>
                <w:rFonts w:asciiTheme="majorHAnsi" w:hAnsiTheme="majorHAnsi" w:cstheme="majorHAnsi"/>
                <w:sz w:val="18"/>
                <w:szCs w:val="18"/>
              </w:rPr>
              <w:t xml:space="preserve"> This is the practical effect of the interim emissions value reconciliation, discussed in 4.3.2.</w:t>
            </w:r>
          </w:p>
          <w:p w14:paraId="4340DBD4" w14:textId="77777777" w:rsidR="00BF4AF7" w:rsidRPr="00CF39C8" w:rsidRDefault="00BF4AF7" w:rsidP="00610AA7">
            <w:pPr>
              <w:spacing w:before="80" w:line="240" w:lineRule="auto"/>
              <w:ind w:left="29"/>
              <w:rPr>
                <w:rFonts w:asciiTheme="majorHAnsi" w:hAnsiTheme="majorHAnsi" w:cstheme="majorHAnsi"/>
                <w:sz w:val="18"/>
                <w:szCs w:val="18"/>
              </w:rPr>
            </w:pPr>
          </w:p>
          <w:p w14:paraId="2A3E1D72"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101" w:type="pct"/>
          </w:tcPr>
          <w:p w14:paraId="2BFC788E"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Credit banking and trading are available. No pooling.</w:t>
            </w:r>
          </w:p>
          <w:p w14:paraId="0FA9A6C5" w14:textId="77777777" w:rsidR="00C132F0" w:rsidRPr="00CF39C8" w:rsidRDefault="00BF4AF7" w:rsidP="00C132F0">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2 years after the year of issuance, </w:t>
            </w:r>
            <w:r w:rsidR="00693975">
              <w:rPr>
                <w:rFonts w:asciiTheme="majorHAnsi" w:hAnsiTheme="majorHAnsi" w:cstheme="majorHAnsi"/>
                <w:sz w:val="18"/>
                <w:szCs w:val="18"/>
              </w:rPr>
              <w:t xml:space="preserve">debits (i.e. a positive Interim Emissions Value) </w:t>
            </w:r>
            <w:r w:rsidRPr="00CF39C8">
              <w:rPr>
                <w:rFonts w:asciiTheme="majorHAnsi" w:hAnsiTheme="majorHAnsi" w:cstheme="majorHAnsi"/>
                <w:sz w:val="18"/>
                <w:szCs w:val="18"/>
              </w:rPr>
              <w:t>must be acquitted after no more than 2 years after the year of issuance.</w:t>
            </w:r>
            <w:r w:rsidR="00C132F0">
              <w:rPr>
                <w:rFonts w:asciiTheme="majorHAnsi" w:hAnsiTheme="majorHAnsi" w:cstheme="majorHAnsi"/>
                <w:sz w:val="18"/>
                <w:szCs w:val="18"/>
              </w:rPr>
              <w:t xml:space="preserve"> This is the practical effect of the interim emissions value reconciliation, discussed in 4.3.2.</w:t>
            </w:r>
          </w:p>
          <w:p w14:paraId="7A6F9C78" w14:textId="77777777" w:rsidR="00BF4AF7" w:rsidRPr="00CF39C8" w:rsidRDefault="00BF4AF7" w:rsidP="00610AA7">
            <w:pPr>
              <w:spacing w:before="80" w:line="240" w:lineRule="auto"/>
              <w:ind w:left="29"/>
              <w:rPr>
                <w:rFonts w:asciiTheme="majorHAnsi" w:hAnsiTheme="majorHAnsi" w:cstheme="majorHAnsi"/>
                <w:sz w:val="18"/>
                <w:szCs w:val="18"/>
              </w:rPr>
            </w:pPr>
          </w:p>
          <w:p w14:paraId="26D29DAF"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087" w:type="pct"/>
          </w:tcPr>
          <w:p w14:paraId="78F8003D" w14:textId="77777777" w:rsidR="00681099" w:rsidRPr="00C132F0" w:rsidRDefault="00681099" w:rsidP="00681099">
            <w:pPr>
              <w:spacing w:before="80" w:line="240" w:lineRule="auto"/>
              <w:ind w:left="29"/>
              <w:rPr>
                <w:rFonts w:asciiTheme="majorHAnsi" w:hAnsiTheme="majorHAnsi" w:cstheme="majorHAnsi"/>
                <w:sz w:val="18"/>
                <w:szCs w:val="18"/>
              </w:rPr>
            </w:pPr>
            <w:r w:rsidRPr="00C132F0">
              <w:rPr>
                <w:rFonts w:asciiTheme="majorHAnsi" w:hAnsiTheme="majorHAnsi" w:cstheme="majorHAnsi"/>
                <w:sz w:val="18"/>
                <w:szCs w:val="18"/>
              </w:rPr>
              <w:t xml:space="preserve">Credit banking and trading are available. No pooling. </w:t>
            </w:r>
          </w:p>
          <w:p w14:paraId="5D2E10CE" w14:textId="77777777" w:rsidR="00C132F0" w:rsidRPr="00CF39C8" w:rsidRDefault="00681099" w:rsidP="00C132F0">
            <w:pPr>
              <w:spacing w:before="80" w:line="240" w:lineRule="auto"/>
              <w:ind w:left="29"/>
              <w:rPr>
                <w:rFonts w:asciiTheme="majorHAnsi" w:hAnsiTheme="majorHAnsi" w:cstheme="majorHAnsi"/>
                <w:sz w:val="18"/>
                <w:szCs w:val="18"/>
              </w:rPr>
            </w:pPr>
            <w:r w:rsidRPr="00C132F0">
              <w:rPr>
                <w:rFonts w:asciiTheme="majorHAnsi" w:hAnsiTheme="majorHAnsi" w:cstheme="majorHAnsi"/>
                <w:sz w:val="18"/>
                <w:szCs w:val="18"/>
              </w:rPr>
              <w:t xml:space="preserve">Credits last 3 years after the year of issuance, </w:t>
            </w:r>
            <w:r w:rsidR="00693975">
              <w:rPr>
                <w:rFonts w:asciiTheme="majorHAnsi" w:hAnsiTheme="majorHAnsi" w:cstheme="majorHAnsi"/>
                <w:sz w:val="18"/>
                <w:szCs w:val="18"/>
              </w:rPr>
              <w:t xml:space="preserve">debits (i.e. a positive Interim Emissions Value) </w:t>
            </w:r>
            <w:r w:rsidRPr="00C132F0">
              <w:rPr>
                <w:rFonts w:asciiTheme="majorHAnsi" w:hAnsiTheme="majorHAnsi" w:cstheme="majorHAnsi"/>
                <w:sz w:val="18"/>
                <w:szCs w:val="18"/>
              </w:rPr>
              <w:t>must be acquitted after no more than 2 years after the year of issuance.</w:t>
            </w:r>
            <w:r w:rsidR="00C132F0" w:rsidRPr="00C132F0">
              <w:rPr>
                <w:rFonts w:asciiTheme="majorHAnsi" w:hAnsiTheme="majorHAnsi" w:cstheme="majorHAnsi"/>
                <w:sz w:val="18"/>
                <w:szCs w:val="18"/>
              </w:rPr>
              <w:t xml:space="preserve"> This is the practical effect</w:t>
            </w:r>
            <w:r w:rsidR="00C132F0">
              <w:rPr>
                <w:rFonts w:asciiTheme="majorHAnsi" w:hAnsiTheme="majorHAnsi" w:cstheme="majorHAnsi"/>
                <w:sz w:val="18"/>
                <w:szCs w:val="18"/>
              </w:rPr>
              <w:t xml:space="preserve"> of the interim emissions value reconciliation, discussed in 4.3.2.</w:t>
            </w:r>
          </w:p>
          <w:p w14:paraId="4B47975C" w14:textId="77777777" w:rsidR="00681099" w:rsidRPr="0032060F" w:rsidRDefault="00681099" w:rsidP="00681099">
            <w:pPr>
              <w:spacing w:before="80" w:line="240" w:lineRule="auto"/>
              <w:ind w:left="29"/>
              <w:rPr>
                <w:rFonts w:asciiTheme="majorHAnsi" w:hAnsiTheme="majorHAnsi" w:cstheme="majorHAnsi"/>
                <w:sz w:val="18"/>
                <w:szCs w:val="18"/>
                <w:highlight w:val="yellow"/>
              </w:rPr>
            </w:pPr>
          </w:p>
          <w:p w14:paraId="14868D2D" w14:textId="77777777" w:rsidR="00BF4AF7" w:rsidRPr="0032060F" w:rsidRDefault="00BF4AF7" w:rsidP="00610AA7">
            <w:pPr>
              <w:spacing w:before="80" w:line="240" w:lineRule="auto"/>
              <w:ind w:left="29"/>
              <w:rPr>
                <w:rFonts w:asciiTheme="majorHAnsi" w:hAnsiTheme="majorHAnsi" w:cstheme="majorHAnsi"/>
                <w:sz w:val="18"/>
                <w:szCs w:val="18"/>
                <w:highlight w:val="yellow"/>
              </w:rPr>
            </w:pPr>
          </w:p>
        </w:tc>
      </w:tr>
      <w:tr w:rsidR="00BF4AF7" w:rsidRPr="00CF39C8" w14:paraId="6E81E6AB" w14:textId="77777777" w:rsidTr="006D01FC">
        <w:tc>
          <w:tcPr>
            <w:tcW w:w="734" w:type="pct"/>
          </w:tcPr>
          <w:p w14:paraId="7A5E76B8" w14:textId="77777777" w:rsidR="00BF4AF7" w:rsidRPr="00CF39C8" w:rsidRDefault="00BF4AF7" w:rsidP="00610AA7">
            <w:pPr>
              <w:rPr>
                <w:rFonts w:eastAsia="Calibri"/>
                <w:sz w:val="36"/>
                <w:szCs w:val="36"/>
              </w:rPr>
            </w:pPr>
            <w:r w:rsidRPr="00CF39C8">
              <w:rPr>
                <w:rFonts w:eastAsia="Calibri"/>
                <w:sz w:val="36"/>
                <w:szCs w:val="36"/>
              </w:rPr>
              <w:t>Technology credits</w:t>
            </w:r>
          </w:p>
          <w:p w14:paraId="14FD6343" w14:textId="77777777" w:rsidR="00BF4AF7" w:rsidRPr="00CF39C8" w:rsidRDefault="00BF4AF7" w:rsidP="00610AA7">
            <w:pPr>
              <w:rPr>
                <w:rFonts w:asciiTheme="majorHAnsi" w:hAnsiTheme="majorHAnsi" w:cstheme="majorHAnsi"/>
                <w:sz w:val="18"/>
                <w:szCs w:val="18"/>
              </w:rPr>
            </w:pPr>
            <w:r w:rsidRPr="00CF39C8">
              <w:rPr>
                <w:rFonts w:asciiTheme="majorHAnsi" w:hAnsiTheme="majorHAnsi" w:cstheme="majorHAnsi"/>
                <w:sz w:val="18"/>
                <w:szCs w:val="18"/>
              </w:rPr>
              <w:t xml:space="preserve">Supercredits provide additional credits when an eligible vehicle (typically EV or plug in hybrids) is sold by allowing them to be counted more than once. Off-cycle credits awarded for including particular types of technology (i.e. heat reflective paint). Air conditioning credits are credits for including low global warming potential air conditioning refrigerant. </w:t>
            </w:r>
          </w:p>
        </w:tc>
        <w:tc>
          <w:tcPr>
            <w:tcW w:w="1022" w:type="pct"/>
          </w:tcPr>
          <w:p w14:paraId="57D5C2E7" w14:textId="77777777" w:rsidR="00BF4AF7" w:rsidRPr="00CF39C8" w:rsidRDefault="00BF4AF7" w:rsidP="00610AA7">
            <w:pPr>
              <w:spacing w:before="80" w:line="240" w:lineRule="auto"/>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Adopt generous supercredits for a wide range of emissions reduction technologies.</w:t>
            </w:r>
          </w:p>
          <w:p w14:paraId="3EA2EF49" w14:textId="77777777" w:rsidR="00BF4AF7" w:rsidRPr="00CF39C8" w:rsidRDefault="00BF4AF7" w:rsidP="00BF4AF7">
            <w:pPr>
              <w:pStyle w:val="ListParagraph"/>
              <w:numPr>
                <w:ilvl w:val="0"/>
                <w:numId w:val="15"/>
              </w:numPr>
              <w:spacing w:before="80" w:line="240" w:lineRule="auto"/>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 xml:space="preserve">Supercredits for: </w:t>
            </w:r>
          </w:p>
          <w:p w14:paraId="0BC2956B"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Efficient vehicles (60% of limit curve for the vehicle mass level and/or hybrid) (1.5). </w:t>
            </w:r>
          </w:p>
          <w:p w14:paraId="42EAF1CD"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Plug in hybrids (2) (defined as vehicles with CO</w:t>
            </w:r>
            <w:r w:rsidRPr="00CF39C8">
              <w:rPr>
                <w:rFonts w:asciiTheme="majorHAnsi" w:hAnsiTheme="majorHAnsi" w:cstheme="majorHAnsi"/>
                <w:color w:val="000000" w:themeColor="text1"/>
                <w:sz w:val="18"/>
                <w:szCs w:val="18"/>
                <w:vertAlign w:val="subscript"/>
              </w:rPr>
              <w:t>2</w:t>
            </w:r>
            <w:r w:rsidRPr="00CF39C8">
              <w:rPr>
                <w:rFonts w:asciiTheme="majorHAnsi" w:hAnsiTheme="majorHAnsi" w:cstheme="majorHAnsi"/>
                <w:color w:val="000000" w:themeColor="text1"/>
                <w:sz w:val="18"/>
                <w:szCs w:val="18"/>
              </w:rPr>
              <w:t xml:space="preserve"> emissions of 1-50g CO</w:t>
            </w:r>
            <w:r w:rsidRPr="00CF39C8">
              <w:rPr>
                <w:rFonts w:asciiTheme="majorHAnsi" w:hAnsiTheme="majorHAnsi" w:cstheme="majorHAnsi"/>
                <w:color w:val="000000" w:themeColor="text1"/>
                <w:sz w:val="18"/>
                <w:szCs w:val="18"/>
                <w:vertAlign w:val="subscript"/>
              </w:rPr>
              <w:t>2</w:t>
            </w:r>
            <w:r w:rsidRPr="00CF39C8">
              <w:rPr>
                <w:rFonts w:asciiTheme="majorHAnsi" w:hAnsiTheme="majorHAnsi" w:cstheme="majorHAnsi"/>
                <w:color w:val="000000" w:themeColor="text1"/>
                <w:sz w:val="18"/>
                <w:szCs w:val="18"/>
              </w:rPr>
              <w:t>/km).</w:t>
            </w:r>
          </w:p>
          <w:p w14:paraId="4A4B2DB3"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sz w:val="18"/>
                <w:szCs w:val="18"/>
              </w:rPr>
            </w:pPr>
            <w:r w:rsidRPr="00CF39C8">
              <w:rPr>
                <w:rFonts w:asciiTheme="majorHAnsi" w:hAnsiTheme="majorHAnsi" w:cstheme="majorHAnsi"/>
                <w:color w:val="000000" w:themeColor="text1"/>
                <w:sz w:val="18"/>
                <w:szCs w:val="18"/>
              </w:rPr>
              <w:t>Zero emission vehicles (3).</w:t>
            </w:r>
          </w:p>
          <w:p w14:paraId="4124F8E7" w14:textId="77777777" w:rsidR="00BF4AF7" w:rsidRPr="00CF39C8" w:rsidRDefault="00BF4AF7" w:rsidP="00BF4AF7">
            <w:pPr>
              <w:pStyle w:val="ListParagraph"/>
              <w:numPr>
                <w:ilvl w:val="0"/>
                <w:numId w:val="15"/>
              </w:numPr>
              <w:spacing w:before="80" w:line="240" w:lineRule="auto"/>
              <w:ind w:left="312" w:hanging="283"/>
              <w:contextualSpacing w:val="0"/>
              <w:rPr>
                <w:color w:val="000000" w:themeColor="text1"/>
                <w:sz w:val="18"/>
                <w:szCs w:val="18"/>
              </w:rPr>
            </w:pPr>
            <w:r w:rsidRPr="00CF39C8">
              <w:rPr>
                <w:color w:val="000000" w:themeColor="text1"/>
                <w:sz w:val="18"/>
                <w:szCs w:val="18"/>
              </w:rPr>
              <w:t>Off-cycle credits available and all technologies on European and United States technology menu eligible. Credit available for off-cycle credits capped at 10g CO</w:t>
            </w:r>
            <w:r w:rsidRPr="00CF39C8">
              <w:rPr>
                <w:color w:val="000000" w:themeColor="text1"/>
                <w:sz w:val="18"/>
                <w:szCs w:val="18"/>
                <w:vertAlign w:val="subscript"/>
              </w:rPr>
              <w:t>2</w:t>
            </w:r>
            <w:r w:rsidRPr="00CF39C8">
              <w:rPr>
                <w:color w:val="000000" w:themeColor="text1"/>
                <w:sz w:val="18"/>
                <w:szCs w:val="18"/>
              </w:rPr>
              <w:t>/km.</w:t>
            </w:r>
          </w:p>
          <w:p w14:paraId="426D9DB2" w14:textId="77777777" w:rsidR="00BF4AF7" w:rsidRPr="00CF39C8" w:rsidRDefault="00BF4AF7" w:rsidP="00BF4AF7">
            <w:pPr>
              <w:pStyle w:val="ListParagraph"/>
              <w:numPr>
                <w:ilvl w:val="0"/>
                <w:numId w:val="15"/>
              </w:numPr>
              <w:spacing w:before="80" w:line="240" w:lineRule="auto"/>
              <w:contextualSpacing w:val="0"/>
              <w:rPr>
                <w:rFonts w:asciiTheme="majorHAnsi" w:hAnsiTheme="majorHAnsi" w:cstheme="majorHAnsi"/>
                <w:sz w:val="18"/>
                <w:szCs w:val="18"/>
              </w:rPr>
            </w:pPr>
            <w:r w:rsidRPr="00CF39C8">
              <w:rPr>
                <w:color w:val="000000" w:themeColor="text1"/>
                <w:sz w:val="18"/>
                <w:szCs w:val="18"/>
              </w:rPr>
              <w:t xml:space="preserve">Air-conditioning credits available and included in off cycle credit cap. </w:t>
            </w:r>
          </w:p>
          <w:p w14:paraId="02477F19" w14:textId="77777777" w:rsidR="00BF4AF7" w:rsidRPr="00CF39C8" w:rsidRDefault="00BF4AF7" w:rsidP="00BF4AF7">
            <w:pPr>
              <w:pStyle w:val="ListParagraph"/>
              <w:numPr>
                <w:ilvl w:val="0"/>
                <w:numId w:val="15"/>
              </w:numPr>
              <w:spacing w:before="80" w:line="240" w:lineRule="auto"/>
              <w:contextualSpacing w:val="0"/>
              <w:rPr>
                <w:rFonts w:asciiTheme="majorHAnsi" w:hAnsiTheme="majorHAnsi" w:cstheme="majorHAnsi"/>
                <w:sz w:val="18"/>
                <w:szCs w:val="18"/>
              </w:rPr>
            </w:pPr>
            <w:r w:rsidRPr="00CF39C8">
              <w:rPr>
                <w:color w:val="000000" w:themeColor="text1"/>
                <w:sz w:val="18"/>
                <w:szCs w:val="18"/>
              </w:rPr>
              <w:t>All technology credits to be phased out from 2029.</w:t>
            </w:r>
          </w:p>
        </w:tc>
        <w:tc>
          <w:tcPr>
            <w:tcW w:w="1056" w:type="pct"/>
          </w:tcPr>
          <w:p w14:paraId="0BE395DC" w14:textId="77777777" w:rsidR="00BF4AF7" w:rsidRPr="00CF39C8" w:rsidRDefault="00BF4AF7" w:rsidP="00610AA7">
            <w:pPr>
              <w:spacing w:before="80" w:line="240" w:lineRule="auto"/>
              <w:rPr>
                <w:rFonts w:asciiTheme="majorHAnsi" w:eastAsia="Calibri" w:hAnsiTheme="majorHAnsi" w:cstheme="majorHAnsi"/>
                <w:sz w:val="18"/>
                <w:szCs w:val="18"/>
              </w:rPr>
            </w:pPr>
            <w:r w:rsidRPr="00CF39C8">
              <w:rPr>
                <w:rFonts w:asciiTheme="majorHAnsi" w:eastAsia="Calibri" w:hAnsiTheme="majorHAnsi" w:cstheme="majorHAnsi"/>
                <w:color w:val="000000" w:themeColor="text1"/>
                <w:sz w:val="18"/>
                <w:szCs w:val="18"/>
              </w:rPr>
              <w:t xml:space="preserve">Maximise </w:t>
            </w:r>
            <w:r w:rsidRPr="00CF39C8">
              <w:rPr>
                <w:rFonts w:asciiTheme="majorHAnsi" w:eastAsia="Calibri" w:hAnsiTheme="majorHAnsi" w:cstheme="majorHAnsi"/>
                <w:sz w:val="18"/>
                <w:szCs w:val="18"/>
              </w:rPr>
              <w:t>simplicity and transparency.</w:t>
            </w:r>
          </w:p>
          <w:p w14:paraId="34F8E01B"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hAnsiTheme="majorHAnsi" w:cstheme="majorHAnsi"/>
                <w:sz w:val="18"/>
                <w:szCs w:val="18"/>
              </w:rPr>
              <w:t>No supercredits.</w:t>
            </w:r>
            <w:r w:rsidRPr="00CF39C8">
              <w:rPr>
                <w:rFonts w:asciiTheme="majorHAnsi" w:eastAsia="Calibri" w:hAnsiTheme="majorHAnsi" w:cstheme="majorHAnsi"/>
                <w:sz w:val="18"/>
                <w:szCs w:val="18"/>
              </w:rPr>
              <w:t xml:space="preserve"> </w:t>
            </w:r>
          </w:p>
          <w:p w14:paraId="4ABA4BB5"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No off-cycle credits.</w:t>
            </w:r>
          </w:p>
          <w:p w14:paraId="67F73C86"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No air conditioning credits.</w:t>
            </w:r>
          </w:p>
        </w:tc>
        <w:tc>
          <w:tcPr>
            <w:tcW w:w="1101" w:type="pct"/>
          </w:tcPr>
          <w:p w14:paraId="12D9DA11" w14:textId="77777777" w:rsidR="00BF4AF7" w:rsidRPr="00CF39C8" w:rsidRDefault="00BF4AF7" w:rsidP="00610AA7">
            <w:pPr>
              <w:spacing w:before="80" w:line="240" w:lineRule="auto"/>
              <w:rPr>
                <w:rFonts w:asciiTheme="majorHAnsi" w:eastAsia="Calibri" w:hAnsiTheme="majorHAnsi" w:cstheme="majorHAnsi"/>
                <w:sz w:val="18"/>
                <w:szCs w:val="18"/>
              </w:rPr>
            </w:pPr>
            <w:r w:rsidRPr="00CF39C8">
              <w:rPr>
                <w:rFonts w:asciiTheme="majorHAnsi" w:eastAsia="Calibri" w:hAnsiTheme="majorHAnsi" w:cstheme="majorHAnsi"/>
                <w:color w:val="000000" w:themeColor="text1"/>
                <w:sz w:val="18"/>
                <w:szCs w:val="18"/>
              </w:rPr>
              <w:t xml:space="preserve">Maximise </w:t>
            </w:r>
            <w:r w:rsidRPr="00CF39C8">
              <w:rPr>
                <w:rFonts w:asciiTheme="majorHAnsi" w:eastAsia="Calibri" w:hAnsiTheme="majorHAnsi" w:cstheme="majorHAnsi"/>
                <w:sz w:val="18"/>
                <w:szCs w:val="18"/>
              </w:rPr>
              <w:t>simplicity and transparency.</w:t>
            </w:r>
          </w:p>
          <w:p w14:paraId="4A8F7B8B"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hAnsiTheme="majorHAnsi" w:cstheme="majorHAnsi"/>
                <w:sz w:val="18"/>
                <w:szCs w:val="18"/>
              </w:rPr>
              <w:t>No supercredits.</w:t>
            </w:r>
            <w:r w:rsidRPr="00CF39C8">
              <w:rPr>
                <w:rFonts w:asciiTheme="majorHAnsi" w:eastAsia="Calibri" w:hAnsiTheme="majorHAnsi" w:cstheme="majorHAnsi"/>
                <w:sz w:val="18"/>
                <w:szCs w:val="18"/>
              </w:rPr>
              <w:t xml:space="preserve"> </w:t>
            </w:r>
          </w:p>
          <w:p w14:paraId="7D835444"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hAnsiTheme="majorHAnsi" w:cstheme="majorHAnsi"/>
                <w:sz w:val="18"/>
                <w:szCs w:val="18"/>
              </w:rPr>
            </w:pPr>
            <w:r w:rsidRPr="00CF39C8">
              <w:rPr>
                <w:rFonts w:asciiTheme="majorHAnsi" w:eastAsia="Calibri" w:hAnsiTheme="majorHAnsi" w:cstheme="majorHAnsi"/>
                <w:color w:val="000000" w:themeColor="text1"/>
                <w:sz w:val="18"/>
                <w:szCs w:val="18"/>
              </w:rPr>
              <w:t>No off-cycle credits.</w:t>
            </w:r>
          </w:p>
          <w:p w14:paraId="3244AD90"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hAnsiTheme="majorHAnsi" w:cstheme="majorHAnsi"/>
                <w:sz w:val="18"/>
                <w:szCs w:val="18"/>
              </w:rPr>
            </w:pPr>
            <w:r w:rsidRPr="00CF39C8">
              <w:rPr>
                <w:rFonts w:asciiTheme="majorHAnsi" w:eastAsia="Calibri" w:hAnsiTheme="majorHAnsi" w:cstheme="majorHAnsi"/>
                <w:color w:val="000000" w:themeColor="text1"/>
                <w:sz w:val="18"/>
                <w:szCs w:val="18"/>
              </w:rPr>
              <w:t>No air conditioning credits.</w:t>
            </w:r>
          </w:p>
        </w:tc>
        <w:tc>
          <w:tcPr>
            <w:tcW w:w="1087" w:type="pct"/>
          </w:tcPr>
          <w:p w14:paraId="0FC346B5" w14:textId="77777777" w:rsidR="00681099" w:rsidRPr="003455E7" w:rsidRDefault="008C2235" w:rsidP="00681099">
            <w:pPr>
              <w:spacing w:before="80" w:line="240" w:lineRule="auto"/>
              <w:rPr>
                <w:rFonts w:asciiTheme="majorHAnsi" w:eastAsia="Calibri" w:hAnsiTheme="majorHAnsi" w:cstheme="majorHAnsi"/>
                <w:sz w:val="18"/>
                <w:szCs w:val="18"/>
              </w:rPr>
            </w:pPr>
            <w:r w:rsidRPr="003455E7">
              <w:rPr>
                <w:rFonts w:asciiTheme="majorHAnsi" w:eastAsia="Calibri" w:hAnsiTheme="majorHAnsi" w:cstheme="majorHAnsi"/>
                <w:color w:val="000000" w:themeColor="text1"/>
                <w:sz w:val="18"/>
                <w:szCs w:val="18"/>
              </w:rPr>
              <w:t>High level of</w:t>
            </w:r>
            <w:r w:rsidR="00681099" w:rsidRPr="003455E7">
              <w:rPr>
                <w:rFonts w:asciiTheme="majorHAnsi" w:eastAsia="Calibri" w:hAnsiTheme="majorHAnsi" w:cstheme="majorHAnsi"/>
                <w:color w:val="000000" w:themeColor="text1"/>
                <w:sz w:val="18"/>
                <w:szCs w:val="18"/>
              </w:rPr>
              <w:t xml:space="preserve"> </w:t>
            </w:r>
            <w:r w:rsidR="00681099" w:rsidRPr="003455E7">
              <w:rPr>
                <w:rFonts w:asciiTheme="majorHAnsi" w:eastAsia="Calibri" w:hAnsiTheme="majorHAnsi" w:cstheme="majorHAnsi"/>
                <w:sz w:val="18"/>
                <w:szCs w:val="18"/>
              </w:rPr>
              <w:t>simplicity and transparency</w:t>
            </w:r>
            <w:r w:rsidRPr="003455E7">
              <w:rPr>
                <w:rFonts w:asciiTheme="majorHAnsi" w:eastAsia="Calibri" w:hAnsiTheme="majorHAnsi" w:cstheme="majorHAnsi"/>
                <w:sz w:val="18"/>
                <w:szCs w:val="18"/>
              </w:rPr>
              <w:t xml:space="preserve"> and highly targeted technology incentive</w:t>
            </w:r>
            <w:r w:rsidR="00681099" w:rsidRPr="003455E7">
              <w:rPr>
                <w:rFonts w:asciiTheme="majorHAnsi" w:eastAsia="Calibri" w:hAnsiTheme="majorHAnsi" w:cstheme="majorHAnsi"/>
                <w:sz w:val="18"/>
                <w:szCs w:val="18"/>
              </w:rPr>
              <w:t>.</w:t>
            </w:r>
          </w:p>
          <w:p w14:paraId="517C359D" w14:textId="77777777" w:rsidR="001C4B2D" w:rsidRDefault="001C4B2D"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supercredits.</w:t>
            </w:r>
          </w:p>
          <w:p w14:paraId="2521BA27" w14:textId="77777777" w:rsidR="00681099" w:rsidRPr="003455E7" w:rsidRDefault="00681099"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off-cycle credits.</w:t>
            </w:r>
          </w:p>
          <w:p w14:paraId="19EF3626" w14:textId="77777777" w:rsidR="00BF4AF7" w:rsidRPr="003455E7" w:rsidRDefault="00681099"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air conditioning credits.</w:t>
            </w:r>
          </w:p>
          <w:p w14:paraId="08FD0A54" w14:textId="77777777" w:rsidR="008C2235" w:rsidRPr="001C4B2D" w:rsidRDefault="008C2235" w:rsidP="001C4B2D">
            <w:pPr>
              <w:spacing w:before="80" w:line="240" w:lineRule="auto"/>
              <w:rPr>
                <w:rFonts w:asciiTheme="majorHAnsi" w:eastAsia="Calibri" w:hAnsiTheme="majorHAnsi" w:cstheme="majorHAnsi"/>
                <w:color w:val="000000" w:themeColor="text1"/>
                <w:sz w:val="18"/>
                <w:szCs w:val="18"/>
              </w:rPr>
            </w:pPr>
          </w:p>
        </w:tc>
      </w:tr>
      <w:tr w:rsidR="00BF4AF7" w:rsidRPr="00CF39C8" w14:paraId="3550F7F2" w14:textId="77777777" w:rsidTr="006D01FC">
        <w:trPr>
          <w:trHeight w:val="485"/>
        </w:trPr>
        <w:tc>
          <w:tcPr>
            <w:tcW w:w="734" w:type="pct"/>
          </w:tcPr>
          <w:p w14:paraId="087B2A22" w14:textId="77777777" w:rsidR="00BF4AF7" w:rsidRPr="00CF39C8" w:rsidRDefault="00BF4AF7" w:rsidP="00610AA7">
            <w:pPr>
              <w:rPr>
                <w:rFonts w:asciiTheme="majorHAnsi" w:eastAsia="Calibri" w:hAnsiTheme="majorHAnsi" w:cstheme="majorHAnsi"/>
                <w:sz w:val="20"/>
                <w:szCs w:val="20"/>
              </w:rPr>
            </w:pPr>
            <w:r w:rsidRPr="00CF39C8">
              <w:rPr>
                <w:rFonts w:eastAsia="Calibri"/>
                <w:sz w:val="36"/>
                <w:szCs w:val="36"/>
              </w:rPr>
              <w:t>Penalties</w:t>
            </w:r>
          </w:p>
          <w:p w14:paraId="780BFF23" w14:textId="77777777" w:rsidR="00BF4AF7" w:rsidRPr="00CF39C8" w:rsidRDefault="00BF4AF7" w:rsidP="00610AA7">
            <w:pPr>
              <w:rPr>
                <w:rFonts w:asciiTheme="majorHAnsi" w:hAnsiTheme="majorHAnsi" w:cstheme="majorHAnsi"/>
                <w:sz w:val="18"/>
                <w:szCs w:val="18"/>
              </w:rPr>
            </w:pPr>
            <w:r w:rsidRPr="00CF39C8">
              <w:rPr>
                <w:rFonts w:asciiTheme="majorHAnsi" w:eastAsia="Calibri" w:hAnsiTheme="majorHAnsi" w:cstheme="majorHAnsi"/>
                <w:sz w:val="18"/>
                <w:szCs w:val="18"/>
              </w:rPr>
              <w:t xml:space="preserve">The amount of money that a supplier would need to pay for failing to meet the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 </w:t>
            </w:r>
          </w:p>
        </w:tc>
        <w:tc>
          <w:tcPr>
            <w:tcW w:w="1022" w:type="pct"/>
          </w:tcPr>
          <w:p w14:paraId="7F47E908" w14:textId="77777777" w:rsidR="00BF4AF7" w:rsidRPr="00CF39C8" w:rsidRDefault="00BF4AF7" w:rsidP="00610AA7">
            <w:pPr>
              <w:spacing w:before="80" w:line="240" w:lineRule="auto"/>
              <w:rPr>
                <w:rFonts w:asciiTheme="majorHAnsi" w:hAnsiTheme="majorHAnsi" w:cstheme="majorHAnsi"/>
                <w:sz w:val="18"/>
                <w:szCs w:val="18"/>
              </w:rPr>
            </w:pPr>
            <w:r w:rsidRPr="00CF39C8">
              <w:rPr>
                <w:rFonts w:asciiTheme="majorHAnsi" w:hAnsiTheme="majorHAnsi" w:cstheme="majorHAnsi"/>
                <w:sz w:val="18"/>
                <w:szCs w:val="18"/>
              </w:rPr>
              <w:t xml:space="preserve">Low penalty rate of $40 per g/km. </w:t>
            </w:r>
          </w:p>
          <w:p w14:paraId="04C3D9E9" w14:textId="77777777" w:rsidR="00BF4AF7" w:rsidRPr="00CF39C8" w:rsidRDefault="00BF4AF7" w:rsidP="00610AA7">
            <w:pPr>
              <w:spacing w:before="80" w:line="240" w:lineRule="auto"/>
              <w:rPr>
                <w:rFonts w:asciiTheme="majorHAnsi" w:hAnsiTheme="majorHAnsi" w:cstheme="majorHAnsi"/>
                <w:sz w:val="18"/>
                <w:szCs w:val="18"/>
              </w:rPr>
            </w:pPr>
            <w:r w:rsidRPr="00CF39C8">
              <w:rPr>
                <w:rFonts w:asciiTheme="majorHAnsi" w:hAnsiTheme="majorHAnsi" w:cstheme="majorHAnsi"/>
                <w:sz w:val="18"/>
                <w:szCs w:val="18"/>
              </w:rPr>
              <w:t xml:space="preserve">NVES commences in 2025 but offers a </w:t>
            </w:r>
            <w:r w:rsidRPr="00CF39C8">
              <w:rPr>
                <w:rFonts w:asciiTheme="majorHAnsi" w:hAnsiTheme="majorHAnsi" w:cstheme="majorHAnsi"/>
                <w:color w:val="000000" w:themeColor="text1"/>
                <w:sz w:val="18"/>
                <w:szCs w:val="18"/>
              </w:rPr>
              <w:t>2-</w:t>
            </w:r>
            <w:r w:rsidRPr="00CF39C8">
              <w:rPr>
                <w:rFonts w:asciiTheme="majorHAnsi" w:hAnsiTheme="majorHAnsi" w:cstheme="majorHAnsi"/>
                <w:sz w:val="18"/>
                <w:szCs w:val="18"/>
              </w:rPr>
              <w:t xml:space="preserve">year grace period with binding targets commencing in 2027. </w:t>
            </w:r>
          </w:p>
          <w:p w14:paraId="688B78D0" w14:textId="77777777" w:rsidR="00BF4AF7" w:rsidRPr="00CF39C8" w:rsidRDefault="00BF4AF7" w:rsidP="00610AA7">
            <w:pPr>
              <w:spacing w:before="80" w:line="240" w:lineRule="auto"/>
              <w:rPr>
                <w:rFonts w:asciiTheme="majorHAnsi" w:hAnsiTheme="majorHAnsi" w:cstheme="majorHAnsi"/>
                <w:sz w:val="18"/>
                <w:szCs w:val="18"/>
              </w:rPr>
            </w:pPr>
          </w:p>
        </w:tc>
        <w:tc>
          <w:tcPr>
            <w:tcW w:w="1056" w:type="pct"/>
          </w:tcPr>
          <w:p w14:paraId="49A6B41B" w14:textId="77777777" w:rsidR="0043181E" w:rsidRDefault="00BF4AF7" w:rsidP="00610AA7">
            <w:pPr>
              <w:spacing w:before="80" w:line="240" w:lineRule="auto"/>
              <w:ind w:left="29"/>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Moderate penalty rate of $100 per g/km. </w:t>
            </w:r>
          </w:p>
          <w:p w14:paraId="1B5842E8" w14:textId="77777777" w:rsidR="0043181E" w:rsidRDefault="0043181E" w:rsidP="00610AA7">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eflects the mid-range of the penalties that apply internationally, such as the EU (€95 per g/km) and from 2025 in New Zealand (NZD $54.00 or $67.50 per g/km depending on the importer).</w:t>
            </w:r>
            <w:r>
              <w:rPr>
                <w:rFonts w:asciiTheme="majorHAnsi" w:hAnsiTheme="majorHAnsi" w:cstheme="majorHAnsi"/>
                <w:color w:val="000000" w:themeColor="text1"/>
                <w:sz w:val="18"/>
                <w:szCs w:val="18"/>
              </w:rPr>
              <w:t xml:space="preserve"> </w:t>
            </w:r>
          </w:p>
          <w:p w14:paraId="240B829E"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Fastest practical commencement.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commences in full on 1 January 2025.</w:t>
            </w:r>
          </w:p>
        </w:tc>
        <w:tc>
          <w:tcPr>
            <w:tcW w:w="1101" w:type="pct"/>
          </w:tcPr>
          <w:p w14:paraId="689EB40C" w14:textId="77777777" w:rsidR="0043181E"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High penalty rate of $200 per g/km. </w:t>
            </w:r>
          </w:p>
          <w:p w14:paraId="2B6E2998" w14:textId="77777777" w:rsidR="0043181E" w:rsidRDefault="0043181E" w:rsidP="0043181E">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 xml:space="preserve">eflects </w:t>
            </w:r>
            <w:r>
              <w:rPr>
                <w:rFonts w:asciiTheme="majorHAnsi" w:hAnsiTheme="majorHAnsi" w:cstheme="majorHAnsi"/>
                <w:color w:val="000000" w:themeColor="text1"/>
                <w:sz w:val="18"/>
                <w:szCs w:val="18"/>
              </w:rPr>
              <w:t>the highest</w:t>
            </w:r>
            <w:r w:rsidRPr="0043181E">
              <w:rPr>
                <w:rFonts w:asciiTheme="majorHAnsi" w:hAnsiTheme="majorHAnsi" w:cstheme="majorHAnsi"/>
                <w:color w:val="000000" w:themeColor="text1"/>
                <w:sz w:val="18"/>
                <w:szCs w:val="18"/>
              </w:rPr>
              <w:t xml:space="preserve"> penalties that apply internationally, such as the EU (€95 per g/km</w:t>
            </w:r>
            <w:r>
              <w:rPr>
                <w:rFonts w:asciiTheme="majorHAnsi" w:hAnsiTheme="majorHAnsi" w:cstheme="majorHAnsi"/>
                <w:color w:val="000000" w:themeColor="text1"/>
                <w:sz w:val="18"/>
                <w:szCs w:val="18"/>
              </w:rPr>
              <w:t>, approximately AUD $200, PPP conversion</w:t>
            </w:r>
            <w:r w:rsidRPr="0043181E">
              <w:rPr>
                <w:rFonts w:asciiTheme="majorHAnsi" w:hAnsiTheme="majorHAnsi" w:cstheme="majorHAnsi"/>
                <w:color w:val="000000" w:themeColor="text1"/>
                <w:sz w:val="18"/>
                <w:szCs w:val="18"/>
              </w:rPr>
              <w:t>) and</w:t>
            </w:r>
            <w:r>
              <w:rPr>
                <w:rFonts w:asciiTheme="majorHAnsi" w:hAnsiTheme="majorHAnsi" w:cstheme="majorHAnsi"/>
                <w:color w:val="000000" w:themeColor="text1"/>
                <w:sz w:val="18"/>
                <w:szCs w:val="18"/>
              </w:rPr>
              <w:t xml:space="preserve"> is well above penalties commencing in</w:t>
            </w:r>
            <w:r w:rsidRPr="0043181E">
              <w:rPr>
                <w:rFonts w:asciiTheme="majorHAnsi" w:hAnsiTheme="majorHAnsi" w:cstheme="majorHAnsi"/>
                <w:color w:val="000000" w:themeColor="text1"/>
                <w:sz w:val="18"/>
                <w:szCs w:val="18"/>
              </w:rPr>
              <w:t xml:space="preserve"> 2025 in New Zealand (NZD $54.00 or $67.50 per g/km depending on the importer).</w:t>
            </w:r>
            <w:r>
              <w:rPr>
                <w:rFonts w:asciiTheme="majorHAnsi" w:hAnsiTheme="majorHAnsi" w:cstheme="majorHAnsi"/>
                <w:color w:val="000000" w:themeColor="text1"/>
                <w:sz w:val="18"/>
                <w:szCs w:val="18"/>
              </w:rPr>
              <w:t xml:space="preserve"> </w:t>
            </w:r>
          </w:p>
          <w:p w14:paraId="3C3E8203"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Fastest practical commencement. NVES commences in full 1 January 2025. </w:t>
            </w:r>
          </w:p>
          <w:p w14:paraId="450E861B"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087" w:type="pct"/>
          </w:tcPr>
          <w:p w14:paraId="593B8B8E" w14:textId="77777777" w:rsidR="00834C3A" w:rsidRPr="003455E7" w:rsidRDefault="00681099" w:rsidP="00610AA7">
            <w:pPr>
              <w:spacing w:before="80" w:line="240" w:lineRule="auto"/>
              <w:ind w:left="29"/>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Moderate penalty rate of $100 per g/km. </w:t>
            </w:r>
          </w:p>
          <w:p w14:paraId="5C65A6F1" w14:textId="77777777" w:rsidR="0043181E" w:rsidRDefault="0043181E" w:rsidP="0043181E">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eflects the mid-range of the penalties that apply internationally, such as the EU (€95 per g/km) and from 2025 in New Zealand (NZD $54.00 or $67.50 per g/km depending on the importer).</w:t>
            </w:r>
            <w:r>
              <w:rPr>
                <w:rFonts w:asciiTheme="majorHAnsi" w:hAnsiTheme="majorHAnsi" w:cstheme="majorHAnsi"/>
                <w:color w:val="000000" w:themeColor="text1"/>
                <w:sz w:val="18"/>
                <w:szCs w:val="18"/>
              </w:rPr>
              <w:t xml:space="preserve"> </w:t>
            </w:r>
          </w:p>
          <w:p w14:paraId="42C25C05" w14:textId="77777777" w:rsidR="00BF4AF7" w:rsidRPr="0032060F" w:rsidRDefault="00681099" w:rsidP="0057678D">
            <w:pPr>
              <w:spacing w:before="80" w:line="240" w:lineRule="auto"/>
              <w:ind w:left="29"/>
              <w:rPr>
                <w:rFonts w:asciiTheme="majorHAnsi" w:hAnsiTheme="majorHAnsi" w:cstheme="majorHAnsi"/>
                <w:highlight w:val="yellow"/>
              </w:rPr>
            </w:pP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w:t>
            </w:r>
            <w:r w:rsidR="00834C3A" w:rsidRPr="003455E7">
              <w:rPr>
                <w:rFonts w:asciiTheme="majorHAnsi" w:hAnsiTheme="majorHAnsi" w:cstheme="majorHAnsi"/>
                <w:color w:val="000000" w:themeColor="text1"/>
                <w:sz w:val="18"/>
                <w:szCs w:val="18"/>
              </w:rPr>
              <w:t xml:space="preserve">legislation </w:t>
            </w:r>
            <w:r w:rsidRPr="003455E7">
              <w:rPr>
                <w:rFonts w:asciiTheme="majorHAnsi" w:hAnsiTheme="majorHAnsi" w:cstheme="majorHAnsi"/>
                <w:color w:val="000000" w:themeColor="text1"/>
                <w:sz w:val="18"/>
                <w:szCs w:val="18"/>
              </w:rPr>
              <w:t>commences on 1 January 2025</w:t>
            </w:r>
            <w:r w:rsidR="0057678D">
              <w:rPr>
                <w:rFonts w:asciiTheme="majorHAnsi" w:hAnsiTheme="majorHAnsi" w:cstheme="majorHAnsi"/>
                <w:color w:val="000000" w:themeColor="text1"/>
                <w:sz w:val="18"/>
                <w:szCs w:val="18"/>
              </w:rPr>
              <w:t xml:space="preserve"> but penalties and credits can’t be generated until 1 July 2025</w:t>
            </w:r>
            <w:r w:rsidRPr="003455E7">
              <w:rPr>
                <w:rFonts w:asciiTheme="majorHAnsi" w:hAnsiTheme="majorHAnsi" w:cstheme="majorHAnsi"/>
                <w:color w:val="000000" w:themeColor="text1"/>
                <w:sz w:val="18"/>
                <w:szCs w:val="18"/>
              </w:rPr>
              <w:t>.</w:t>
            </w:r>
          </w:p>
        </w:tc>
      </w:tr>
      <w:tr w:rsidR="00BF4AF7" w:rsidRPr="00CF39C8" w14:paraId="284A8FBB" w14:textId="77777777" w:rsidTr="00376BC2">
        <w:trPr>
          <w:trHeight w:val="485"/>
        </w:trPr>
        <w:tc>
          <w:tcPr>
            <w:tcW w:w="734" w:type="pct"/>
            <w:shd w:val="clear" w:color="auto" w:fill="417A84" w:themeFill="accent5" w:themeFillShade="BF"/>
          </w:tcPr>
          <w:p w14:paraId="7E44C75E" w14:textId="77777777" w:rsidR="00BF4AF7" w:rsidRPr="00376BC2" w:rsidRDefault="00F3175D" w:rsidP="00376BC2">
            <w:pPr>
              <w:rPr>
                <w:rFonts w:asciiTheme="majorHAnsi" w:eastAsia="Calibri" w:hAnsiTheme="majorHAnsi" w:cstheme="majorHAnsi"/>
                <w:color w:val="FFFFFF" w:themeColor="background1"/>
                <w:sz w:val="20"/>
                <w:szCs w:val="20"/>
              </w:rPr>
            </w:pPr>
            <w:r w:rsidRPr="00376BC2">
              <w:rPr>
                <w:rFonts w:asciiTheme="majorHAnsi" w:hAnsiTheme="majorHAnsi" w:cstheme="majorHAnsi"/>
                <w:b/>
                <w:color w:val="FFFFFF" w:themeColor="background1"/>
              </w:rPr>
              <w:t>Policy objective</w:t>
            </w:r>
            <w:r w:rsid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Reduce CO2 emissions from new cars</w:t>
            </w:r>
          </w:p>
        </w:tc>
        <w:tc>
          <w:tcPr>
            <w:tcW w:w="1022" w:type="pct"/>
            <w:shd w:val="clear" w:color="auto" w:fill="417A84" w:themeFill="accent5" w:themeFillShade="BF"/>
          </w:tcPr>
          <w:p w14:paraId="2FA153CA" w14:textId="77777777" w:rsidR="00F3175D" w:rsidRPr="00376BC2" w:rsidRDefault="00F3175D" w:rsidP="000E5940">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B1842EC" w14:textId="77777777" w:rsidR="00F3175D"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00A373D6">
              <w:rPr>
                <w:rFonts w:asciiTheme="majorHAnsi" w:hAnsiTheme="majorHAnsi" w:cstheme="majorHAnsi"/>
                <w:b/>
                <w:color w:val="FFFFFF" w:themeColor="background1"/>
              </w:rPr>
              <w:t>1</w:t>
            </w:r>
            <w:r w:rsidR="00BF4AF7" w:rsidRPr="00376BC2">
              <w:rPr>
                <w:rFonts w:asciiTheme="majorHAnsi" w:hAnsiTheme="majorHAnsi" w:cstheme="majorHAnsi"/>
                <w:color w:val="FFFFFF" w:themeColor="background1"/>
              </w:rPr>
              <w:t xml:space="preserve"> Mt</w:t>
            </w:r>
            <w:r w:rsidR="00BF4AF7" w:rsidRPr="00376BC2">
              <w:rPr>
                <w:rFonts w:asciiTheme="majorHAnsi" w:hAnsiTheme="majorHAnsi" w:cstheme="majorHAnsi"/>
                <w:b/>
                <w:color w:val="FFFFFF" w:themeColor="background1"/>
              </w:rPr>
              <w:t xml:space="preserve"> </w:t>
            </w:r>
          </w:p>
          <w:p w14:paraId="4CCC5012" w14:textId="77777777" w:rsidR="00F3175D"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00A373D6" w:rsidRPr="00A373D6">
              <w:rPr>
                <w:rFonts w:asciiTheme="majorHAnsi" w:hAnsiTheme="majorHAnsi" w:cstheme="majorHAnsi"/>
                <w:color w:val="FFFFFF" w:themeColor="background1"/>
              </w:rPr>
              <w:t>1</w:t>
            </w:r>
            <w:r w:rsidR="00BF4AF7" w:rsidRPr="00376BC2">
              <w:rPr>
                <w:rFonts w:asciiTheme="majorHAnsi" w:hAnsiTheme="majorHAnsi" w:cstheme="majorHAnsi"/>
                <w:color w:val="FFFFFF" w:themeColor="background1"/>
              </w:rPr>
              <w:t xml:space="preserve"> Mt</w:t>
            </w:r>
            <w:r w:rsidR="00BF4AF7" w:rsidRPr="00376BC2">
              <w:rPr>
                <w:rFonts w:asciiTheme="majorHAnsi" w:hAnsiTheme="majorHAnsi" w:cstheme="majorHAnsi"/>
                <w:b/>
                <w:color w:val="FFFFFF" w:themeColor="background1"/>
              </w:rPr>
              <w:t xml:space="preserve"> </w:t>
            </w:r>
          </w:p>
          <w:p w14:paraId="55289170" w14:textId="77777777" w:rsidR="00BF4AF7"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w:t>
            </w:r>
            <w:r w:rsidRPr="00376BC2">
              <w:rPr>
                <w:rFonts w:asciiTheme="majorHAnsi" w:hAnsiTheme="majorHAnsi" w:cstheme="majorHAnsi"/>
                <w:b/>
                <w:color w:val="FFFFFF" w:themeColor="background1"/>
              </w:rPr>
              <w:t xml:space="preserve">  </w:t>
            </w:r>
            <w:r w:rsidR="00A373D6" w:rsidRPr="00A373D6">
              <w:rPr>
                <w:rFonts w:asciiTheme="majorHAnsi" w:hAnsiTheme="majorHAnsi" w:cstheme="majorHAnsi"/>
                <w:color w:val="FFFFFF" w:themeColor="background1"/>
              </w:rPr>
              <w:t>1</w:t>
            </w:r>
            <w:r w:rsidR="00BF4AF7" w:rsidRPr="00376BC2">
              <w:rPr>
                <w:rFonts w:asciiTheme="majorHAnsi" w:hAnsiTheme="majorHAnsi" w:cstheme="majorHAnsi"/>
                <w:color w:val="FFFFFF" w:themeColor="background1"/>
              </w:rPr>
              <w:t xml:space="preserve"> Mt</w:t>
            </w:r>
          </w:p>
        </w:tc>
        <w:tc>
          <w:tcPr>
            <w:tcW w:w="1056" w:type="pct"/>
            <w:shd w:val="clear" w:color="auto" w:fill="417A84" w:themeFill="accent5" w:themeFillShade="BF"/>
          </w:tcPr>
          <w:p w14:paraId="106059CC" w14:textId="77777777" w:rsidR="00F3175D" w:rsidRPr="00376BC2" w:rsidRDefault="00F3175D" w:rsidP="00610AA7">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B618DFF"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Pr="00376BC2">
              <w:rPr>
                <w:rFonts w:asciiTheme="majorHAnsi" w:hAnsiTheme="majorHAnsi" w:cstheme="majorHAnsi"/>
                <w:color w:val="FFFFFF" w:themeColor="background1"/>
              </w:rPr>
              <w:t>2</w:t>
            </w:r>
            <w:r w:rsidR="00A373D6">
              <w:rPr>
                <w:rFonts w:asciiTheme="majorHAnsi" w:hAnsiTheme="majorHAnsi" w:cstheme="majorHAnsi"/>
                <w:color w:val="FFFFFF" w:themeColor="background1"/>
              </w:rPr>
              <w:t>6</w:t>
            </w:r>
            <w:r w:rsidRPr="00376BC2">
              <w:rPr>
                <w:rFonts w:asciiTheme="majorHAnsi" w:hAnsiTheme="majorHAnsi" w:cstheme="majorHAnsi"/>
                <w:color w:val="FFFFFF" w:themeColor="background1"/>
              </w:rPr>
              <w:t xml:space="preserve"> Mt</w:t>
            </w:r>
            <w:r w:rsidRPr="00376BC2">
              <w:rPr>
                <w:rFonts w:asciiTheme="majorHAnsi" w:hAnsiTheme="majorHAnsi" w:cstheme="majorHAnsi"/>
                <w:b/>
                <w:color w:val="FFFFFF" w:themeColor="background1"/>
              </w:rPr>
              <w:t xml:space="preserve"> </w:t>
            </w:r>
          </w:p>
          <w:p w14:paraId="489153E4"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Pr="00376BC2">
              <w:rPr>
                <w:rFonts w:asciiTheme="majorHAnsi" w:hAnsiTheme="majorHAnsi" w:cstheme="majorHAnsi"/>
                <w:color w:val="FFFFFF" w:themeColor="background1"/>
              </w:rPr>
              <w:t>97 Mt</w:t>
            </w:r>
            <w:r w:rsidRPr="00376BC2">
              <w:rPr>
                <w:rFonts w:asciiTheme="majorHAnsi" w:hAnsiTheme="majorHAnsi" w:cstheme="majorHAnsi"/>
                <w:b/>
                <w:color w:val="FFFFFF" w:themeColor="background1"/>
              </w:rPr>
              <w:t xml:space="preserve"> </w:t>
            </w:r>
          </w:p>
          <w:p w14:paraId="0A4C2D05" w14:textId="77777777" w:rsidR="000E5940" w:rsidRPr="00376BC2" w:rsidRDefault="000E5940" w:rsidP="00245443">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 xml:space="preserve">: </w:t>
            </w:r>
            <w:r w:rsidRP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369 Mt</w:t>
            </w:r>
          </w:p>
        </w:tc>
        <w:tc>
          <w:tcPr>
            <w:tcW w:w="1101" w:type="pct"/>
            <w:shd w:val="clear" w:color="auto" w:fill="417A84" w:themeFill="accent5" w:themeFillShade="BF"/>
          </w:tcPr>
          <w:p w14:paraId="2767CE78" w14:textId="77777777" w:rsidR="00F3175D" w:rsidRPr="00376BC2" w:rsidRDefault="00F3175D" w:rsidP="00610AA7">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468872B"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Pr="00376BC2">
              <w:rPr>
                <w:rFonts w:asciiTheme="majorHAnsi" w:hAnsiTheme="majorHAnsi" w:cstheme="majorHAnsi"/>
                <w:color w:val="FFFFFF" w:themeColor="background1"/>
              </w:rPr>
              <w:t>3</w:t>
            </w:r>
            <w:r w:rsidR="00A373D6">
              <w:rPr>
                <w:rFonts w:asciiTheme="majorHAnsi" w:hAnsiTheme="majorHAnsi" w:cstheme="majorHAnsi"/>
                <w:color w:val="FFFFFF" w:themeColor="background1"/>
              </w:rPr>
              <w:t>4</w:t>
            </w:r>
            <w:r w:rsidRPr="00376BC2">
              <w:rPr>
                <w:rFonts w:asciiTheme="majorHAnsi" w:hAnsiTheme="majorHAnsi" w:cstheme="majorHAnsi"/>
                <w:color w:val="FFFFFF" w:themeColor="background1"/>
              </w:rPr>
              <w:t xml:space="preserve"> Mt</w:t>
            </w:r>
            <w:r w:rsidRPr="00376BC2">
              <w:rPr>
                <w:rFonts w:asciiTheme="majorHAnsi" w:hAnsiTheme="majorHAnsi" w:cstheme="majorHAnsi"/>
                <w:b/>
                <w:color w:val="FFFFFF" w:themeColor="background1"/>
              </w:rPr>
              <w:t xml:space="preserve"> </w:t>
            </w:r>
          </w:p>
          <w:p w14:paraId="49165197"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Pr="00376BC2">
              <w:rPr>
                <w:rFonts w:asciiTheme="majorHAnsi" w:hAnsiTheme="majorHAnsi" w:cstheme="majorHAnsi"/>
                <w:color w:val="FFFFFF" w:themeColor="background1"/>
              </w:rPr>
              <w:t>125 Mt</w:t>
            </w:r>
            <w:r w:rsidRPr="00376BC2">
              <w:rPr>
                <w:rFonts w:asciiTheme="majorHAnsi" w:hAnsiTheme="majorHAnsi" w:cstheme="majorHAnsi"/>
                <w:b/>
                <w:color w:val="FFFFFF" w:themeColor="background1"/>
              </w:rPr>
              <w:t xml:space="preserve"> </w:t>
            </w:r>
          </w:p>
          <w:p w14:paraId="7844E6F1" w14:textId="77777777" w:rsidR="000E5940" w:rsidRPr="00376BC2" w:rsidRDefault="000E5940" w:rsidP="00245443">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w:t>
            </w:r>
            <w:r w:rsidRP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443 Mt</w:t>
            </w:r>
          </w:p>
        </w:tc>
        <w:tc>
          <w:tcPr>
            <w:tcW w:w="1087" w:type="pct"/>
            <w:shd w:val="clear" w:color="auto" w:fill="417A84" w:themeFill="accent5" w:themeFillShade="BF"/>
          </w:tcPr>
          <w:p w14:paraId="065CAAA2" w14:textId="77777777" w:rsidR="00F3175D" w:rsidRPr="00B27353" w:rsidRDefault="00F3175D" w:rsidP="00610AA7">
            <w:pPr>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Cumulative abatement </w:t>
            </w:r>
          </w:p>
          <w:p w14:paraId="2C0ABEBA" w14:textId="77777777" w:rsidR="000E5940" w:rsidRPr="00B27353" w:rsidRDefault="000E5940" w:rsidP="000E5940">
            <w:pPr>
              <w:spacing w:before="80" w:line="240" w:lineRule="auto"/>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2030:  </w:t>
            </w:r>
            <w:r w:rsidR="003E32CF">
              <w:rPr>
                <w:rFonts w:asciiTheme="majorHAnsi" w:hAnsiTheme="majorHAnsi" w:cstheme="majorHAnsi"/>
                <w:color w:val="FFFFFF" w:themeColor="background1"/>
              </w:rPr>
              <w:t xml:space="preserve">20 </w:t>
            </w:r>
            <w:r w:rsidRPr="00B27353">
              <w:rPr>
                <w:rFonts w:asciiTheme="majorHAnsi" w:hAnsiTheme="majorHAnsi" w:cstheme="majorHAnsi"/>
                <w:color w:val="FFFFFF" w:themeColor="background1"/>
              </w:rPr>
              <w:t>Mt</w:t>
            </w:r>
            <w:r w:rsidRPr="00B27353">
              <w:rPr>
                <w:rFonts w:asciiTheme="majorHAnsi" w:hAnsiTheme="majorHAnsi" w:cstheme="majorHAnsi"/>
                <w:b/>
                <w:color w:val="FFFFFF" w:themeColor="background1"/>
              </w:rPr>
              <w:t xml:space="preserve"> </w:t>
            </w:r>
          </w:p>
          <w:p w14:paraId="3343B00D" w14:textId="77777777" w:rsidR="000E5940" w:rsidRPr="00B27353" w:rsidRDefault="000E5940" w:rsidP="000E5940">
            <w:pPr>
              <w:spacing w:before="80" w:line="240" w:lineRule="auto"/>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2035:  </w:t>
            </w:r>
            <w:r w:rsidR="003E32CF">
              <w:rPr>
                <w:rFonts w:asciiTheme="majorHAnsi" w:hAnsiTheme="majorHAnsi" w:cstheme="majorHAnsi"/>
                <w:color w:val="FFFFFF" w:themeColor="background1"/>
              </w:rPr>
              <w:t>80</w:t>
            </w:r>
            <w:r w:rsidR="003E32CF" w:rsidRPr="00B27353">
              <w:rPr>
                <w:rFonts w:asciiTheme="majorHAnsi" w:hAnsiTheme="majorHAnsi" w:cstheme="majorHAnsi"/>
                <w:color w:val="FFFFFF" w:themeColor="background1"/>
              </w:rPr>
              <w:t xml:space="preserve"> </w:t>
            </w:r>
            <w:r w:rsidRPr="00B27353">
              <w:rPr>
                <w:rFonts w:asciiTheme="majorHAnsi" w:hAnsiTheme="majorHAnsi" w:cstheme="majorHAnsi"/>
                <w:color w:val="FFFFFF" w:themeColor="background1"/>
              </w:rPr>
              <w:t>Mt</w:t>
            </w:r>
            <w:r w:rsidRPr="00B27353">
              <w:rPr>
                <w:rFonts w:asciiTheme="majorHAnsi" w:hAnsiTheme="majorHAnsi" w:cstheme="majorHAnsi"/>
                <w:b/>
                <w:color w:val="FFFFFF" w:themeColor="background1"/>
              </w:rPr>
              <w:t xml:space="preserve"> </w:t>
            </w:r>
          </w:p>
          <w:p w14:paraId="46C5AB54" w14:textId="77777777" w:rsidR="000E5940" w:rsidRPr="0032060F" w:rsidRDefault="000E5940" w:rsidP="00245443">
            <w:pPr>
              <w:spacing w:before="80" w:line="240" w:lineRule="auto"/>
              <w:rPr>
                <w:rFonts w:asciiTheme="majorHAnsi" w:hAnsiTheme="majorHAnsi" w:cstheme="majorHAnsi"/>
                <w:b/>
                <w:color w:val="FFFFFF" w:themeColor="background1"/>
                <w:highlight w:val="yellow"/>
              </w:rPr>
            </w:pPr>
            <w:r w:rsidRPr="00B27353">
              <w:rPr>
                <w:rFonts w:asciiTheme="majorHAnsi" w:hAnsiTheme="majorHAnsi" w:cstheme="majorHAnsi"/>
                <w:b/>
                <w:color w:val="FFFFFF" w:themeColor="background1"/>
              </w:rPr>
              <w:t>2050</w:t>
            </w:r>
            <w:r w:rsidR="00245443" w:rsidRPr="00B27353">
              <w:rPr>
                <w:rFonts w:asciiTheme="majorHAnsi" w:hAnsiTheme="majorHAnsi" w:cstheme="majorHAnsi"/>
                <w:b/>
                <w:color w:val="FFFFFF" w:themeColor="background1"/>
              </w:rPr>
              <w:t>:</w:t>
            </w:r>
            <w:r w:rsidRPr="00B27353">
              <w:rPr>
                <w:rFonts w:asciiTheme="majorHAnsi" w:hAnsiTheme="majorHAnsi" w:cstheme="majorHAnsi"/>
                <w:b/>
                <w:color w:val="FFFFFF" w:themeColor="background1"/>
              </w:rPr>
              <w:t xml:space="preserve">  </w:t>
            </w:r>
            <w:r w:rsidR="003E32CF">
              <w:rPr>
                <w:rFonts w:asciiTheme="majorHAnsi" w:hAnsiTheme="majorHAnsi" w:cstheme="majorHAnsi"/>
                <w:color w:val="FFFFFF" w:themeColor="background1"/>
              </w:rPr>
              <w:t>32</w:t>
            </w:r>
            <w:r w:rsidR="00A373D6">
              <w:rPr>
                <w:rFonts w:asciiTheme="majorHAnsi" w:hAnsiTheme="majorHAnsi" w:cstheme="majorHAnsi"/>
                <w:color w:val="FFFFFF" w:themeColor="background1"/>
              </w:rPr>
              <w:t>1</w:t>
            </w:r>
            <w:r w:rsidR="003E32CF" w:rsidRPr="00B27353">
              <w:rPr>
                <w:rFonts w:asciiTheme="majorHAnsi" w:hAnsiTheme="majorHAnsi" w:cstheme="majorHAnsi"/>
                <w:color w:val="FFFFFF" w:themeColor="background1"/>
              </w:rPr>
              <w:t xml:space="preserve"> </w:t>
            </w:r>
            <w:r w:rsidRPr="00B27353">
              <w:rPr>
                <w:rFonts w:asciiTheme="majorHAnsi" w:hAnsiTheme="majorHAnsi" w:cstheme="majorHAnsi"/>
                <w:color w:val="FFFFFF" w:themeColor="background1"/>
              </w:rPr>
              <w:t>Mt</w:t>
            </w:r>
          </w:p>
        </w:tc>
      </w:tr>
    </w:tbl>
    <w:p w14:paraId="4F78C715" w14:textId="77777777" w:rsidR="00F52905" w:rsidRPr="00F52905" w:rsidRDefault="00F52905" w:rsidP="00F52905">
      <w:pPr>
        <w:pStyle w:val="Caption"/>
        <w:keepNext/>
        <w:rPr>
          <w:b w:val="0"/>
        </w:rPr>
      </w:pPr>
      <w:bookmarkStart w:id="226" w:name="_Toc161837763"/>
      <w:bookmarkStart w:id="227" w:name="_Toc161933210"/>
      <w:bookmarkStart w:id="228" w:name="_Toc163221110"/>
      <w:r w:rsidRPr="00F52905">
        <w:t xml:space="preserve">Table </w:t>
      </w:r>
      <w:r w:rsidR="00C6227F">
        <w:t>3</w:t>
      </w:r>
      <w:r w:rsidRPr="00F52905">
        <w:t xml:space="preserve"> </w:t>
      </w:r>
      <w:r w:rsidRPr="00F52905">
        <w:rPr>
          <w:b w:val="0"/>
        </w:rPr>
        <w:t xml:space="preserve">– </w:t>
      </w:r>
      <w:r>
        <w:rPr>
          <w:b w:val="0"/>
        </w:rPr>
        <w:t>NVES options compared</w:t>
      </w:r>
      <w:bookmarkEnd w:id="226"/>
      <w:bookmarkEnd w:id="227"/>
      <w:bookmarkEnd w:id="228"/>
    </w:p>
    <w:p w14:paraId="677A5BC6" w14:textId="77777777" w:rsidR="00BF4AF7" w:rsidRPr="00CF39C8" w:rsidRDefault="00BF4AF7">
      <w:pPr>
        <w:rPr>
          <w:rFonts w:asciiTheme="majorHAnsi" w:hAnsiTheme="majorHAnsi" w:cstheme="majorHAnsi"/>
        </w:rPr>
        <w:sectPr w:rsidR="00BF4AF7" w:rsidRPr="00CF39C8" w:rsidSect="003A7E7B">
          <w:pgSz w:w="16838" w:h="11906" w:orient="landscape" w:code="9"/>
          <w:pgMar w:top="1276" w:right="1021" w:bottom="1134" w:left="851" w:header="510" w:footer="567" w:gutter="0"/>
          <w:cols w:space="708"/>
          <w:docGrid w:linePitch="360"/>
        </w:sectPr>
      </w:pPr>
    </w:p>
    <w:p w14:paraId="5C1FB164" w14:textId="77777777" w:rsidR="00354B4D" w:rsidRPr="00CF39C8" w:rsidRDefault="00354B4D" w:rsidP="0035273B">
      <w:pPr>
        <w:rPr>
          <w:rFonts w:asciiTheme="majorHAnsi" w:hAnsiTheme="majorHAnsi" w:cstheme="majorHAnsi"/>
        </w:rPr>
      </w:pPr>
      <w:bookmarkStart w:id="229" w:name="_Toc147687365"/>
      <w:bookmarkStart w:id="230" w:name="_Toc147691348"/>
      <w:bookmarkStart w:id="231" w:name="_Toc147699495"/>
      <w:bookmarkEnd w:id="229"/>
      <w:bookmarkEnd w:id="230"/>
      <w:bookmarkEnd w:id="231"/>
      <w:r w:rsidRPr="00CF39C8">
        <w:rPr>
          <w:rFonts w:asciiTheme="majorHAnsi" w:hAnsiTheme="majorHAnsi" w:cstheme="majorHAnsi"/>
        </w:rPr>
        <w:t>Other features of the propos</w:t>
      </w:r>
      <w:r w:rsidR="00CD0B3C" w:rsidRPr="00CF39C8">
        <w:rPr>
          <w:rFonts w:asciiTheme="majorHAnsi" w:hAnsiTheme="majorHAnsi" w:cstheme="majorHAnsi"/>
        </w:rPr>
        <w:t>ed standard</w:t>
      </w:r>
      <w:r w:rsidRPr="00CF39C8">
        <w:rPr>
          <w:rFonts w:asciiTheme="majorHAnsi" w:hAnsiTheme="majorHAnsi" w:cstheme="majorHAnsi"/>
        </w:rPr>
        <w:t xml:space="preserve"> are: </w:t>
      </w:r>
    </w:p>
    <w:p w14:paraId="46E529D6" w14:textId="77777777" w:rsidR="003F0648" w:rsidRPr="00CF39C8" w:rsidRDefault="003F0648" w:rsidP="00B8537A">
      <w:pPr>
        <w:pStyle w:val="ListParagraph"/>
        <w:numPr>
          <w:ilvl w:val="0"/>
          <w:numId w:val="17"/>
        </w:numPr>
        <w:rPr>
          <w:color w:val="000000" w:themeColor="text1"/>
        </w:rPr>
      </w:pPr>
      <w:r w:rsidRPr="00CF39C8">
        <w:rPr>
          <w:b/>
          <w:i/>
          <w:color w:val="000000" w:themeColor="text1"/>
        </w:rPr>
        <w:t xml:space="preserve">A </w:t>
      </w:r>
      <w:r w:rsidR="00D612C1" w:rsidRPr="00CF39C8">
        <w:rPr>
          <w:rFonts w:asciiTheme="majorHAnsi" w:hAnsiTheme="majorHAnsi" w:cstheme="majorHAnsi"/>
          <w:b/>
          <w:i/>
        </w:rPr>
        <w:t>NVES</w:t>
      </w:r>
      <w:r w:rsidR="00D612C1" w:rsidRPr="00CF39C8">
        <w:rPr>
          <w:b/>
          <w:i/>
          <w:color w:val="000000" w:themeColor="text1"/>
        </w:rPr>
        <w:t xml:space="preserve"> </w:t>
      </w:r>
      <w:r w:rsidRPr="00CF39C8">
        <w:rPr>
          <w:b/>
          <w:i/>
          <w:color w:val="000000" w:themeColor="text1"/>
        </w:rPr>
        <w:t>will be mandatory</w:t>
      </w:r>
      <w:r w:rsidRPr="00CF39C8">
        <w:rPr>
          <w:i/>
          <w:color w:val="000000" w:themeColor="text1"/>
        </w:rPr>
        <w:t xml:space="preserve">: </w:t>
      </w:r>
      <w:r w:rsidRPr="00CF39C8">
        <w:rPr>
          <w:color w:val="000000" w:themeColor="text1"/>
        </w:rPr>
        <w:t xml:space="preserve">The Australian </w:t>
      </w:r>
      <w:r w:rsidR="00D612C1" w:rsidRPr="00CF39C8">
        <w:rPr>
          <w:rFonts w:asciiTheme="majorHAnsi" w:hAnsiTheme="majorHAnsi" w:cstheme="majorHAnsi"/>
        </w:rPr>
        <w:t xml:space="preserve">NVES </w:t>
      </w:r>
      <w:r w:rsidRPr="00CF39C8">
        <w:rPr>
          <w:color w:val="000000" w:themeColor="text1"/>
        </w:rPr>
        <w:t xml:space="preserve">will be set out in </w:t>
      </w:r>
      <w:r w:rsidRPr="00CF39C8">
        <w:t xml:space="preserve">primary legislation, will be mandatory, and have the force of law behind it. The </w:t>
      </w:r>
      <w:r w:rsidR="00D612C1" w:rsidRPr="00CF39C8">
        <w:rPr>
          <w:rFonts w:asciiTheme="majorHAnsi" w:hAnsiTheme="majorHAnsi" w:cstheme="majorHAnsi"/>
        </w:rPr>
        <w:t xml:space="preserve">NVES </w:t>
      </w:r>
      <w:r w:rsidRPr="00CF39C8">
        <w:t xml:space="preserve">will be enforced by the regulator (see </w:t>
      </w:r>
      <w:r w:rsidR="002211B7" w:rsidRPr="0032060F">
        <w:t>C</w:t>
      </w:r>
      <w:r w:rsidRPr="0032060F">
        <w:t xml:space="preserve">hapter </w:t>
      </w:r>
      <w:r w:rsidR="00A534F9" w:rsidRPr="0032060F">
        <w:t>7</w:t>
      </w:r>
      <w:r w:rsidRPr="0032060F">
        <w:t>)</w:t>
      </w:r>
      <w:r w:rsidRPr="0032060F">
        <w:rPr>
          <w:color w:val="000000" w:themeColor="text1"/>
        </w:rPr>
        <w:t>.</w:t>
      </w:r>
      <w:r w:rsidRPr="00CF39C8">
        <w:rPr>
          <w:color w:val="000000" w:themeColor="text1"/>
        </w:rPr>
        <w:t xml:space="preserve"> </w:t>
      </w:r>
    </w:p>
    <w:p w14:paraId="6082CEC8" w14:textId="77777777" w:rsidR="003F0648" w:rsidRPr="00CF39C8" w:rsidRDefault="003F0648" w:rsidP="003F0648">
      <w:pPr>
        <w:pStyle w:val="ListParagraph"/>
        <w:rPr>
          <w:color w:val="000000" w:themeColor="text1"/>
        </w:rPr>
      </w:pPr>
    </w:p>
    <w:p w14:paraId="1543B8E8" w14:textId="77777777" w:rsidR="00354B4D" w:rsidRPr="00CF39C8" w:rsidRDefault="00354B4D" w:rsidP="009E7618">
      <w:pPr>
        <w:pStyle w:val="ListParagraph"/>
        <w:numPr>
          <w:ilvl w:val="0"/>
          <w:numId w:val="17"/>
        </w:numPr>
        <w:rPr>
          <w:rFonts w:asciiTheme="majorHAnsi" w:hAnsiTheme="majorHAnsi" w:cstheme="majorHAnsi"/>
        </w:rPr>
      </w:pPr>
      <w:bookmarkStart w:id="232" w:name="_Hlk148369700"/>
      <w:r w:rsidRPr="00CF39C8">
        <w:rPr>
          <w:b/>
          <w:i/>
          <w:color w:val="000000" w:themeColor="text1"/>
        </w:rPr>
        <w:t xml:space="preserve">The </w:t>
      </w:r>
      <w:r w:rsidR="00D612C1" w:rsidRPr="00CF39C8">
        <w:rPr>
          <w:rFonts w:asciiTheme="majorHAnsi" w:hAnsiTheme="majorHAnsi" w:cstheme="majorHAnsi"/>
          <w:b/>
          <w:i/>
        </w:rPr>
        <w:t>NVES</w:t>
      </w:r>
      <w:r w:rsidR="00D612C1" w:rsidRPr="00CF39C8">
        <w:rPr>
          <w:rFonts w:asciiTheme="majorHAnsi" w:hAnsiTheme="majorHAnsi" w:cstheme="majorHAnsi"/>
        </w:rPr>
        <w:t xml:space="preserve"> </w:t>
      </w:r>
      <w:r w:rsidRPr="00CF39C8">
        <w:rPr>
          <w:b/>
          <w:i/>
          <w:color w:val="000000" w:themeColor="text1"/>
        </w:rPr>
        <w:t>needs to be reviewed early and then regularly</w:t>
      </w:r>
      <w:r w:rsidRPr="00CF39C8">
        <w:rPr>
          <w:i/>
          <w:color w:val="000000" w:themeColor="text1"/>
        </w:rPr>
        <w:t>:</w:t>
      </w:r>
      <w:r w:rsidRPr="00CF39C8">
        <w:rPr>
          <w:color w:val="000000" w:themeColor="text1"/>
        </w:rPr>
        <w:t xml:space="preserve"> Many stakeholders highlighted to us that </w:t>
      </w:r>
      <w:r w:rsidR="006D4EF3" w:rsidRPr="00CF39C8">
        <w:rPr>
          <w:rFonts w:asciiTheme="majorHAnsi" w:hAnsiTheme="majorHAnsi" w:cstheme="majorHAnsi"/>
        </w:rPr>
        <w:t xml:space="preserve">NVES </w:t>
      </w:r>
      <w:r w:rsidRPr="00CF39C8">
        <w:rPr>
          <w:color w:val="000000" w:themeColor="text1"/>
        </w:rPr>
        <w:t xml:space="preserve">settings </w:t>
      </w:r>
      <w:r w:rsidR="0065113A" w:rsidRPr="00CF39C8">
        <w:rPr>
          <w:color w:val="000000" w:themeColor="text1"/>
        </w:rPr>
        <w:t xml:space="preserve">are </w:t>
      </w:r>
      <w:r w:rsidRPr="00CF39C8">
        <w:rPr>
          <w:color w:val="000000" w:themeColor="text1"/>
        </w:rPr>
        <w:t xml:space="preserve">important and that regular checks </w:t>
      </w:r>
      <w:r w:rsidR="0084062C" w:rsidRPr="00CF39C8">
        <w:rPr>
          <w:color w:val="000000" w:themeColor="text1"/>
        </w:rPr>
        <w:t xml:space="preserve">are </w:t>
      </w:r>
      <w:r w:rsidRPr="00CF39C8">
        <w:rPr>
          <w:color w:val="000000" w:themeColor="text1"/>
        </w:rPr>
        <w:t xml:space="preserve">required to make sure that the policy </w:t>
      </w:r>
      <w:r w:rsidR="0065113A" w:rsidRPr="00CF39C8">
        <w:rPr>
          <w:color w:val="000000" w:themeColor="text1"/>
        </w:rPr>
        <w:t xml:space="preserve">is </w:t>
      </w:r>
      <w:r w:rsidRPr="00CF39C8">
        <w:rPr>
          <w:color w:val="000000" w:themeColor="text1"/>
        </w:rPr>
        <w:t xml:space="preserve">operating as intended. </w:t>
      </w:r>
      <w:r w:rsidR="001473D3" w:rsidRPr="00CF39C8">
        <w:rPr>
          <w:color w:val="000000" w:themeColor="text1"/>
        </w:rPr>
        <w:t>The</w:t>
      </w:r>
      <w:r w:rsidRPr="00CF39C8">
        <w:rPr>
          <w:color w:val="000000" w:themeColor="text1"/>
        </w:rPr>
        <w:t xml:space="preserve"> </w:t>
      </w:r>
      <w:r w:rsidR="006D4EF3" w:rsidRPr="00CF39C8">
        <w:rPr>
          <w:rFonts w:asciiTheme="majorHAnsi" w:hAnsiTheme="majorHAnsi" w:cstheme="majorHAnsi"/>
        </w:rPr>
        <w:t xml:space="preserve">NVES </w:t>
      </w:r>
      <w:r w:rsidRPr="00CF39C8">
        <w:rPr>
          <w:color w:val="000000" w:themeColor="text1"/>
        </w:rPr>
        <w:t xml:space="preserve">will be </w:t>
      </w:r>
      <w:r w:rsidR="000409EC" w:rsidRPr="00CF39C8">
        <w:rPr>
          <w:color w:val="000000" w:themeColor="text1"/>
        </w:rPr>
        <w:t xml:space="preserve">reviewed in 2026. </w:t>
      </w:r>
      <w:r w:rsidRPr="00CF39C8">
        <w:rPr>
          <w:color w:val="000000" w:themeColor="text1"/>
        </w:rPr>
        <w:t xml:space="preserve">This will allow the Government to assess the relevant headline </w:t>
      </w:r>
      <w:r w:rsidR="00E46B41" w:rsidRPr="00CF39C8">
        <w:rPr>
          <w:color w:val="000000" w:themeColor="text1"/>
        </w:rPr>
        <w:t>targets</w:t>
      </w:r>
      <w:r w:rsidRPr="00CF39C8">
        <w:rPr>
          <w:color w:val="000000" w:themeColor="text1"/>
        </w:rPr>
        <w:t>, the administration of the scheme, the number of credits in the ‘system’, amongst other things</w:t>
      </w:r>
      <w:r w:rsidR="000C19CE" w:rsidRPr="00CF39C8">
        <w:rPr>
          <w:color w:val="000000" w:themeColor="text1"/>
        </w:rPr>
        <w:t xml:space="preserve"> (</w:t>
      </w:r>
      <w:r w:rsidR="000C19CE" w:rsidRPr="0032060F">
        <w:rPr>
          <w:color w:val="000000" w:themeColor="text1"/>
        </w:rPr>
        <w:t xml:space="preserve">see </w:t>
      </w:r>
      <w:r w:rsidR="002211B7" w:rsidRPr="0032060F">
        <w:rPr>
          <w:color w:val="000000" w:themeColor="text1"/>
        </w:rPr>
        <w:t>C</w:t>
      </w:r>
      <w:r w:rsidR="000C19CE" w:rsidRPr="0032060F">
        <w:rPr>
          <w:color w:val="000000" w:themeColor="text1"/>
        </w:rPr>
        <w:t>hapter 8)</w:t>
      </w:r>
      <w:r w:rsidRPr="0032060F">
        <w:rPr>
          <w:color w:val="000000" w:themeColor="text1"/>
        </w:rPr>
        <w:t>.</w:t>
      </w:r>
      <w:r w:rsidRPr="00CF39C8">
        <w:rPr>
          <w:color w:val="000000" w:themeColor="text1"/>
        </w:rPr>
        <w:t xml:space="preserve"> </w:t>
      </w:r>
      <w:bookmarkEnd w:id="232"/>
      <w:r w:rsidR="007F1CA1" w:rsidRPr="00CF39C8">
        <w:rPr>
          <w:color w:val="000000" w:themeColor="text1"/>
        </w:rPr>
        <w:t>We will closely monitor potential impacts to vehicle supply, ensuring that consumers can still access a range of affordable vehicles that meet Australian consumer needs.</w:t>
      </w:r>
    </w:p>
    <w:p w14:paraId="6219657C" w14:textId="77777777" w:rsidR="00FE1CE9" w:rsidRPr="00CF39C8" w:rsidRDefault="00FE1CE9" w:rsidP="00FE1CE9">
      <w:pPr>
        <w:pStyle w:val="ListParagraph"/>
        <w:rPr>
          <w:rFonts w:asciiTheme="majorHAnsi" w:hAnsiTheme="majorHAnsi" w:cstheme="majorHAnsi"/>
        </w:rPr>
      </w:pPr>
    </w:p>
    <w:p w14:paraId="035731A6" w14:textId="77777777" w:rsidR="00354B4D" w:rsidRPr="00CF39C8" w:rsidRDefault="003F0648" w:rsidP="00B8537A">
      <w:pPr>
        <w:pStyle w:val="ListParagraph"/>
        <w:numPr>
          <w:ilvl w:val="0"/>
          <w:numId w:val="17"/>
        </w:numPr>
        <w:rPr>
          <w:rFonts w:asciiTheme="majorHAnsi" w:hAnsiTheme="majorHAnsi" w:cstheme="majorHAnsi"/>
        </w:rPr>
      </w:pPr>
      <w:r w:rsidRPr="00CF39C8">
        <w:rPr>
          <w:b/>
          <w:i/>
          <w:color w:val="000000" w:themeColor="text1"/>
        </w:rPr>
        <w:t xml:space="preserve">A </w:t>
      </w:r>
      <w:r w:rsidR="006D4EF3" w:rsidRPr="00CF39C8">
        <w:rPr>
          <w:rFonts w:asciiTheme="majorHAnsi" w:hAnsiTheme="majorHAnsi" w:cstheme="majorHAnsi"/>
          <w:b/>
          <w:i/>
        </w:rPr>
        <w:t>NVES</w:t>
      </w:r>
      <w:r w:rsidR="006D4EF3" w:rsidRPr="00CF39C8">
        <w:rPr>
          <w:rFonts w:asciiTheme="majorHAnsi" w:hAnsiTheme="majorHAnsi" w:cstheme="majorHAnsi"/>
        </w:rPr>
        <w:t xml:space="preserve"> </w:t>
      </w:r>
      <w:r w:rsidRPr="00CF39C8">
        <w:rPr>
          <w:b/>
          <w:i/>
          <w:color w:val="000000" w:themeColor="text1"/>
        </w:rPr>
        <w:t>will apply to light vehicles</w:t>
      </w:r>
      <w:r w:rsidRPr="00CF39C8">
        <w:rPr>
          <w:b/>
          <w:color w:val="000000" w:themeColor="text1"/>
        </w:rPr>
        <w:t>:</w:t>
      </w:r>
      <w:r w:rsidRPr="00CF39C8">
        <w:rPr>
          <w:color w:val="000000" w:themeColor="text1"/>
        </w:rPr>
        <w:t xml:space="preserve"> The Australian </w:t>
      </w:r>
      <w:r w:rsidR="006D4EF3" w:rsidRPr="00CF39C8">
        <w:rPr>
          <w:rFonts w:asciiTheme="majorHAnsi" w:hAnsiTheme="majorHAnsi" w:cstheme="majorHAnsi"/>
        </w:rPr>
        <w:t xml:space="preserve">NVES </w:t>
      </w:r>
      <w:r w:rsidRPr="00CF39C8">
        <w:rPr>
          <w:color w:val="000000" w:themeColor="text1"/>
        </w:rPr>
        <w:t>will apply to light vehicles</w:t>
      </w:r>
      <w:r w:rsidR="004705E6" w:rsidRPr="00CF39C8">
        <w:rPr>
          <w:color w:val="000000" w:themeColor="text1"/>
        </w:rPr>
        <w:t>, light goods vehicles and some medium goods vehicles</w:t>
      </w:r>
      <w:r w:rsidRPr="00CF39C8">
        <w:rPr>
          <w:color w:val="000000" w:themeColor="text1"/>
        </w:rPr>
        <w:t xml:space="preserve"> for the purposes of the </w:t>
      </w:r>
      <w:r w:rsidRPr="00CF39C8">
        <w:rPr>
          <w:i/>
          <w:color w:val="000000" w:themeColor="text1"/>
        </w:rPr>
        <w:t>Road Vehicle Standards Act 2018</w:t>
      </w:r>
      <w:r w:rsidRPr="00CF39C8">
        <w:rPr>
          <w:color w:val="000000" w:themeColor="text1"/>
        </w:rPr>
        <w:t xml:space="preserve">. Some exemptions will apply. </w:t>
      </w:r>
      <w:r w:rsidR="00354B4D" w:rsidRPr="00CF39C8">
        <w:rPr>
          <w:color w:val="000000" w:themeColor="text1"/>
        </w:rPr>
        <w:t>Heavy vehicles and vehicles subject to heavy vehicle emissions tests (i.e. large</w:t>
      </w:r>
      <w:r w:rsidR="00345408" w:rsidRPr="00CF39C8">
        <w:rPr>
          <w:color w:val="000000" w:themeColor="text1"/>
        </w:rPr>
        <w:t xml:space="preserve"> freight, service or utility</w:t>
      </w:r>
      <w:r w:rsidR="00354B4D" w:rsidRPr="00CF39C8">
        <w:rPr>
          <w:color w:val="000000" w:themeColor="text1"/>
        </w:rPr>
        <w:t xml:space="preserve"> trucks), military vehicles, law enforcement vehicles, emergency service vehicles, agricultural, construction or mining equipment, motorhomes, horse trucks and motorcycles, would be exempt. Some vehicles </w:t>
      </w:r>
      <w:r w:rsidR="00345408" w:rsidRPr="00CF39C8">
        <w:rPr>
          <w:color w:val="000000" w:themeColor="text1"/>
        </w:rPr>
        <w:t xml:space="preserve">between </w:t>
      </w:r>
      <w:r w:rsidR="00354B4D" w:rsidRPr="00CF39C8">
        <w:rPr>
          <w:color w:val="000000" w:themeColor="text1"/>
        </w:rPr>
        <w:t>3.5</w:t>
      </w:r>
      <w:r w:rsidR="00345408" w:rsidRPr="00CF39C8">
        <w:rPr>
          <w:color w:val="000000" w:themeColor="text1"/>
        </w:rPr>
        <w:t xml:space="preserve"> and 4.5</w:t>
      </w:r>
      <w:r w:rsidR="00354B4D" w:rsidRPr="00CF39C8">
        <w:rPr>
          <w:color w:val="000000" w:themeColor="text1"/>
        </w:rPr>
        <w:t xml:space="preserve"> tonnes </w:t>
      </w:r>
      <w:r w:rsidR="00A0228B" w:rsidRPr="00CF39C8">
        <w:rPr>
          <w:color w:val="000000" w:themeColor="text1"/>
        </w:rPr>
        <w:t xml:space="preserve">Gross Vehicle Mass </w:t>
      </w:r>
      <w:r w:rsidR="00354B4D" w:rsidRPr="00CF39C8">
        <w:rPr>
          <w:color w:val="000000" w:themeColor="text1"/>
        </w:rPr>
        <w:t xml:space="preserve">will be caught, particularly those that are intended and marketed to be driven by consumers, </w:t>
      </w:r>
      <w:r w:rsidR="00354B4D" w:rsidRPr="00CF39C8">
        <w:t>but</w:t>
      </w:r>
      <w:r w:rsidR="00354B4D" w:rsidRPr="00CF39C8">
        <w:rPr>
          <w:color w:val="000000" w:themeColor="text1"/>
        </w:rPr>
        <w:t xml:space="preserve"> for which a heavy vehicle licence is not required (</w:t>
      </w:r>
      <w:r w:rsidR="006B660A" w:rsidRPr="00CF39C8">
        <w:rPr>
          <w:color w:val="000000" w:themeColor="text1"/>
        </w:rPr>
        <w:t>i</w:t>
      </w:r>
      <w:r w:rsidR="00354B4D" w:rsidRPr="00CF39C8">
        <w:rPr>
          <w:color w:val="000000" w:themeColor="text1"/>
        </w:rPr>
        <w:t xml:space="preserve">.e. ‘pickup’ style utes). </w:t>
      </w:r>
      <w:r w:rsidR="00354B4D" w:rsidRPr="00CF39C8">
        <w:rPr>
          <w:rFonts w:asciiTheme="majorHAnsi" w:hAnsiTheme="majorHAnsi" w:cstheme="majorHAnsi"/>
        </w:rPr>
        <w:t xml:space="preserve">A low volume importer/manufacturer exemption would apply. Anti-avoidance and tracing rules </w:t>
      </w:r>
      <w:r w:rsidR="00A0228B" w:rsidRPr="00CF39C8">
        <w:rPr>
          <w:rFonts w:asciiTheme="majorHAnsi" w:hAnsiTheme="majorHAnsi" w:cstheme="majorHAnsi"/>
        </w:rPr>
        <w:t>are being considered</w:t>
      </w:r>
      <w:r w:rsidR="00354B4D" w:rsidRPr="00CF39C8">
        <w:rPr>
          <w:rFonts w:asciiTheme="majorHAnsi" w:hAnsiTheme="majorHAnsi" w:cstheme="majorHAnsi"/>
        </w:rPr>
        <w:t xml:space="preserve"> to stop manufacturers from splitting up their fleets across multiple corporate vehicles to defeat the standard. </w:t>
      </w:r>
    </w:p>
    <w:p w14:paraId="43185A7D" w14:textId="77777777" w:rsidR="00354B4D" w:rsidRPr="00CF39C8" w:rsidRDefault="00354B4D" w:rsidP="003F0648">
      <w:pPr>
        <w:pStyle w:val="ListParagraph"/>
        <w:rPr>
          <w:color w:val="000000" w:themeColor="text1"/>
        </w:rPr>
      </w:pPr>
    </w:p>
    <w:p w14:paraId="18543532" w14:textId="77777777" w:rsidR="00F10CB7" w:rsidRPr="00CF39C8" w:rsidRDefault="003F0648" w:rsidP="00F10CB7">
      <w:pPr>
        <w:pStyle w:val="ListParagraph"/>
        <w:numPr>
          <w:ilvl w:val="0"/>
          <w:numId w:val="17"/>
        </w:numPr>
        <w:rPr>
          <w:i/>
          <w:color w:val="000000" w:themeColor="text1"/>
        </w:rPr>
      </w:pPr>
      <w:r w:rsidRPr="00CF39C8">
        <w:rPr>
          <w:b/>
          <w:i/>
          <w:color w:val="000000" w:themeColor="text1"/>
        </w:rPr>
        <w:t>Mass is preferred over footprint</w:t>
      </w:r>
      <w:r w:rsidRPr="00CF39C8">
        <w:rPr>
          <w:i/>
          <w:color w:val="000000" w:themeColor="text1"/>
        </w:rPr>
        <w:t xml:space="preserve">: </w:t>
      </w:r>
      <w:r w:rsidR="004705E6" w:rsidRPr="00CF39C8">
        <w:rPr>
          <w:color w:val="000000" w:themeColor="text1"/>
        </w:rPr>
        <w:t>An attribute</w:t>
      </w:r>
      <w:r w:rsidR="002C736D" w:rsidRPr="00CF39C8">
        <w:rPr>
          <w:color w:val="000000" w:themeColor="text1"/>
        </w:rPr>
        <w:t>-</w:t>
      </w:r>
      <w:r w:rsidR="004705E6" w:rsidRPr="00CF39C8">
        <w:rPr>
          <w:color w:val="000000" w:themeColor="text1"/>
        </w:rPr>
        <w:t>based standard is proposed, and i</w:t>
      </w:r>
      <w:r w:rsidRPr="00CF39C8">
        <w:rPr>
          <w:color w:val="000000" w:themeColor="text1"/>
        </w:rPr>
        <w:t xml:space="preserve">n the Australian context, mass (specifically </w:t>
      </w:r>
      <w:r w:rsidR="00567C80" w:rsidRPr="00CF39C8">
        <w:rPr>
          <w:color w:val="000000" w:themeColor="text1"/>
        </w:rPr>
        <w:t>m</w:t>
      </w:r>
      <w:r w:rsidRPr="00CF39C8">
        <w:rPr>
          <w:color w:val="000000" w:themeColor="text1"/>
        </w:rPr>
        <w:t xml:space="preserve">ass </w:t>
      </w:r>
      <w:r w:rsidR="002C736D" w:rsidRPr="00CF39C8">
        <w:rPr>
          <w:color w:val="000000" w:themeColor="text1"/>
        </w:rPr>
        <w:t>i</w:t>
      </w:r>
      <w:r w:rsidRPr="00CF39C8">
        <w:rPr>
          <w:color w:val="000000" w:themeColor="text1"/>
        </w:rPr>
        <w:t xml:space="preserve">n </w:t>
      </w:r>
      <w:r w:rsidR="002C736D" w:rsidRPr="00CF39C8">
        <w:rPr>
          <w:color w:val="000000" w:themeColor="text1"/>
        </w:rPr>
        <w:t>r</w:t>
      </w:r>
      <w:r w:rsidRPr="00CF39C8">
        <w:rPr>
          <w:color w:val="000000" w:themeColor="text1"/>
        </w:rPr>
        <w:t xml:space="preserve">unning </w:t>
      </w:r>
      <w:r w:rsidR="002C736D" w:rsidRPr="00CF39C8">
        <w:rPr>
          <w:color w:val="000000" w:themeColor="text1"/>
        </w:rPr>
        <w:t>o</w:t>
      </w:r>
      <w:r w:rsidRPr="00CF39C8">
        <w:rPr>
          <w:color w:val="000000" w:themeColor="text1"/>
        </w:rPr>
        <w:t xml:space="preserve">rder or MIRO) is the preferred </w:t>
      </w:r>
      <w:r w:rsidR="00A0228B" w:rsidRPr="00CF39C8">
        <w:rPr>
          <w:color w:val="000000" w:themeColor="text1"/>
        </w:rPr>
        <w:t>attribute</w:t>
      </w:r>
      <w:r w:rsidR="008732ED" w:rsidRPr="00CF39C8">
        <w:rPr>
          <w:color w:val="000000" w:themeColor="text1"/>
        </w:rPr>
        <w:t xml:space="preserve"> to adjust the headline limit</w:t>
      </w:r>
      <w:r w:rsidRPr="00CF39C8">
        <w:rPr>
          <w:color w:val="000000" w:themeColor="text1"/>
        </w:rPr>
        <w:t>.</w:t>
      </w:r>
      <w:r w:rsidR="00F10CB7" w:rsidRPr="00CF39C8">
        <w:rPr>
          <w:color w:val="000000" w:themeColor="text1"/>
        </w:rPr>
        <w:br/>
      </w:r>
    </w:p>
    <w:p w14:paraId="71897316" w14:textId="77777777" w:rsidR="00D65549" w:rsidRPr="00793718" w:rsidRDefault="003F0648" w:rsidP="00F527F1">
      <w:pPr>
        <w:pStyle w:val="ListParagraph"/>
        <w:numPr>
          <w:ilvl w:val="0"/>
          <w:numId w:val="17"/>
        </w:numPr>
        <w:rPr>
          <w:i/>
          <w:color w:val="000000" w:themeColor="text1"/>
        </w:rPr>
      </w:pPr>
      <w:r w:rsidRPr="00793718">
        <w:rPr>
          <w:b/>
          <w:i/>
          <w:color w:val="000000" w:themeColor="text1"/>
        </w:rPr>
        <w:t xml:space="preserve">Testing </w:t>
      </w:r>
      <w:r w:rsidR="00F72A7A" w:rsidRPr="00793718">
        <w:rPr>
          <w:b/>
          <w:i/>
          <w:color w:val="000000" w:themeColor="text1"/>
        </w:rPr>
        <w:t>based on existing ADR requirements</w:t>
      </w:r>
      <w:r w:rsidRPr="00793718">
        <w:rPr>
          <w:i/>
          <w:color w:val="000000" w:themeColor="text1"/>
        </w:rPr>
        <w:t xml:space="preserve">: </w:t>
      </w:r>
      <w:r w:rsidR="00F527F1" w:rsidRPr="00793718">
        <w:rPr>
          <w:i/>
          <w:color w:val="000000" w:themeColor="text1"/>
        </w:rPr>
        <w:t xml:space="preserve"> </w:t>
      </w:r>
      <w:r w:rsidR="00F527F1" w:rsidRPr="00793718">
        <w:t xml:space="preserve">The test </w:t>
      </w:r>
      <w:r w:rsidR="00181058" w:rsidRPr="00793718">
        <w:t xml:space="preserve">currently </w:t>
      </w:r>
      <w:r w:rsidR="00F527F1" w:rsidRPr="00793718">
        <w:t xml:space="preserve">used in Australia to determine </w:t>
      </w:r>
      <w:r w:rsidR="00D65549" w:rsidRPr="00793718">
        <w:t xml:space="preserve">a vehicle’s </w:t>
      </w:r>
      <w:r w:rsidR="00F527F1" w:rsidRPr="00793718">
        <w:t>carbon dioxide emissions is A</w:t>
      </w:r>
      <w:r w:rsidR="00CD27BF" w:rsidRPr="00793718">
        <w:t xml:space="preserve">ustralian </w:t>
      </w:r>
      <w:r w:rsidR="00F527F1" w:rsidRPr="00793718">
        <w:t>D</w:t>
      </w:r>
      <w:r w:rsidR="00CD27BF" w:rsidRPr="00793718">
        <w:t xml:space="preserve">esign </w:t>
      </w:r>
      <w:r w:rsidR="00F527F1" w:rsidRPr="00793718">
        <w:t>R</w:t>
      </w:r>
      <w:r w:rsidR="00CD27BF" w:rsidRPr="00793718">
        <w:t>ule (</w:t>
      </w:r>
      <w:r w:rsidR="00F527F1" w:rsidRPr="00793718">
        <w:t>ADR</w:t>
      </w:r>
      <w:r w:rsidR="00CD27BF" w:rsidRPr="00793718">
        <w:t>)</w:t>
      </w:r>
      <w:r w:rsidR="00F527F1" w:rsidRPr="00793718">
        <w:t xml:space="preserve"> 81/02</w:t>
      </w:r>
      <w:r w:rsidR="00D65549" w:rsidRPr="00793718">
        <w:t>. ADR 81/02</w:t>
      </w:r>
      <w:r w:rsidR="00F527F1" w:rsidRPr="00793718">
        <w:t xml:space="preserve"> adopts </w:t>
      </w:r>
      <w:r w:rsidR="00D65549" w:rsidRPr="00793718">
        <w:t xml:space="preserve">United Nations (UN) Regulation No. 101, which </w:t>
      </w:r>
      <w:r w:rsidR="00181058" w:rsidRPr="00793718">
        <w:t>use</w:t>
      </w:r>
      <w:r w:rsidR="00D65549" w:rsidRPr="00793718">
        <w:t xml:space="preserve">s </w:t>
      </w:r>
      <w:r w:rsidR="00F527F1" w:rsidRPr="00793718">
        <w:t>a test cycle known as the New European Driving Cycle (NEDC).</w:t>
      </w:r>
    </w:p>
    <w:p w14:paraId="41110E79" w14:textId="77777777" w:rsidR="00D65549" w:rsidRPr="00793718" w:rsidRDefault="00D65549" w:rsidP="00D65549">
      <w:pPr>
        <w:pStyle w:val="ListParagraph"/>
        <w:rPr>
          <w:i/>
          <w:color w:val="000000" w:themeColor="text1"/>
        </w:rPr>
      </w:pPr>
    </w:p>
    <w:p w14:paraId="46651EFC" w14:textId="77777777" w:rsidR="00F72A7A" w:rsidRPr="00793718" w:rsidRDefault="00F527F1" w:rsidP="00D65549">
      <w:pPr>
        <w:pStyle w:val="ListParagraph"/>
        <w:rPr>
          <w:i/>
          <w:color w:val="000000" w:themeColor="text1"/>
        </w:rPr>
      </w:pPr>
      <w:r w:rsidRPr="00793718">
        <w:t>In December 2023, the Australian Government announced it will mandate stricter noxious emission standards for light vehicles (known as Euro 6d) for newly approved light vehicle models supplied for the first time from December 2025 and all new light vehicle units supplied from July 2028. Euro 6d adopts an improved test procedure for measuring fuel consumption and emissions known as the Worldwide harmonised Light vehicles Test Procedure (WLTP).</w:t>
      </w:r>
      <w:r w:rsidR="00181058" w:rsidRPr="00793718">
        <w:t xml:space="preserve"> The WLTP has been fully implemented in the European Union and Japan.</w:t>
      </w:r>
    </w:p>
    <w:p w14:paraId="30627A05" w14:textId="77777777" w:rsidR="00D65549" w:rsidRPr="00793718" w:rsidRDefault="00D65549" w:rsidP="00D65549">
      <w:pPr>
        <w:pStyle w:val="ListParagraph"/>
        <w:rPr>
          <w:color w:val="000000" w:themeColor="text1"/>
        </w:rPr>
      </w:pPr>
    </w:p>
    <w:p w14:paraId="4CEFEECD" w14:textId="77777777" w:rsidR="00095BE2" w:rsidRPr="00793718" w:rsidRDefault="00A0228B" w:rsidP="00181058">
      <w:pPr>
        <w:pStyle w:val="ListParagraph"/>
        <w:rPr>
          <w:color w:val="000000" w:themeColor="text1"/>
        </w:rPr>
      </w:pPr>
      <w:r w:rsidRPr="00793718">
        <w:rPr>
          <w:color w:val="000000" w:themeColor="text1"/>
        </w:rPr>
        <w:t xml:space="preserve">WLTP is the latest </w:t>
      </w:r>
      <w:r w:rsidR="003D44DC" w:rsidRPr="00793718">
        <w:rPr>
          <w:color w:val="000000" w:themeColor="text1"/>
        </w:rPr>
        <w:t xml:space="preserve">laboratory test </w:t>
      </w:r>
      <w:r w:rsidR="00D65549" w:rsidRPr="00793718">
        <w:t>adopted by the</w:t>
      </w:r>
      <w:r w:rsidR="00095BE2" w:rsidRPr="00793718">
        <w:t xml:space="preserve"> UN (as Regulation No. 154) to deter</w:t>
      </w:r>
      <w:r w:rsidRPr="00793718">
        <w:rPr>
          <w:color w:val="000000" w:themeColor="text1"/>
        </w:rPr>
        <w:t>mine how much light vehicle</w:t>
      </w:r>
      <w:r w:rsidR="00095BE2" w:rsidRPr="00793718">
        <w:rPr>
          <w:color w:val="000000" w:themeColor="text1"/>
        </w:rPr>
        <w:t>’s</w:t>
      </w:r>
      <w:r w:rsidRPr="00793718">
        <w:rPr>
          <w:color w:val="000000" w:themeColor="text1"/>
        </w:rPr>
        <w:t xml:space="preserve"> </w:t>
      </w:r>
      <w:r w:rsidR="00095BE2" w:rsidRPr="00793718">
        <w:rPr>
          <w:color w:val="000000" w:themeColor="text1"/>
        </w:rPr>
        <w:t>exhaust emissions</w:t>
      </w:r>
      <w:r w:rsidRPr="00793718">
        <w:rPr>
          <w:color w:val="000000" w:themeColor="text1"/>
        </w:rPr>
        <w:t xml:space="preserve">. </w:t>
      </w:r>
      <w:r w:rsidR="003F0648" w:rsidRPr="00793718">
        <w:rPr>
          <w:color w:val="000000" w:themeColor="text1"/>
        </w:rPr>
        <w:t xml:space="preserve">Most stakeholders prefer the WLTP over </w:t>
      </w:r>
      <w:r w:rsidRPr="00793718">
        <w:rPr>
          <w:color w:val="000000" w:themeColor="text1"/>
        </w:rPr>
        <w:t xml:space="preserve">the NEDC </w:t>
      </w:r>
      <w:r w:rsidR="003D44DC" w:rsidRPr="00793718">
        <w:rPr>
          <w:color w:val="000000" w:themeColor="text1"/>
        </w:rPr>
        <w:t xml:space="preserve">test </w:t>
      </w:r>
      <w:r w:rsidR="00D65549" w:rsidRPr="00793718">
        <w:rPr>
          <w:color w:val="000000" w:themeColor="text1"/>
        </w:rPr>
        <w:t xml:space="preserve">currently </w:t>
      </w:r>
      <w:r w:rsidR="00E41546" w:rsidRPr="00793718">
        <w:rPr>
          <w:color w:val="000000" w:themeColor="text1"/>
        </w:rPr>
        <w:t xml:space="preserve">adopted in </w:t>
      </w:r>
      <w:r w:rsidR="00D65549" w:rsidRPr="00793718">
        <w:rPr>
          <w:color w:val="000000" w:themeColor="text1"/>
        </w:rPr>
        <w:t xml:space="preserve">ADR </w:t>
      </w:r>
      <w:r w:rsidR="003D44DC" w:rsidRPr="00793718">
        <w:rPr>
          <w:color w:val="000000" w:themeColor="text1"/>
        </w:rPr>
        <w:t>81/02</w:t>
      </w:r>
      <w:r w:rsidRPr="00793718">
        <w:rPr>
          <w:color w:val="000000" w:themeColor="text1"/>
        </w:rPr>
        <w:t xml:space="preserve"> </w:t>
      </w:r>
      <w:r w:rsidR="00E41546" w:rsidRPr="00793718">
        <w:rPr>
          <w:color w:val="000000" w:themeColor="text1"/>
        </w:rPr>
        <w:t>as it is more representative of real-world driving conditions</w:t>
      </w:r>
      <w:r w:rsidR="003F0648" w:rsidRPr="00793718">
        <w:rPr>
          <w:color w:val="000000" w:themeColor="text1"/>
        </w:rPr>
        <w:t xml:space="preserve">. However, </w:t>
      </w:r>
      <w:r w:rsidR="00E41546" w:rsidRPr="00793718">
        <w:rPr>
          <w:color w:val="000000" w:themeColor="text1"/>
        </w:rPr>
        <w:t xml:space="preserve">it is not feasible to mandate </w:t>
      </w:r>
      <w:r w:rsidR="004F0ECA" w:rsidRPr="00793718">
        <w:rPr>
          <w:color w:val="000000" w:themeColor="text1"/>
        </w:rPr>
        <w:t>WLTP testing</w:t>
      </w:r>
      <w:r w:rsidR="003F0648" w:rsidRPr="00793718">
        <w:rPr>
          <w:color w:val="000000" w:themeColor="text1"/>
        </w:rPr>
        <w:t xml:space="preserve"> </w:t>
      </w:r>
      <w:r w:rsidR="004F0ECA" w:rsidRPr="00793718">
        <w:rPr>
          <w:color w:val="000000" w:themeColor="text1"/>
        </w:rPr>
        <w:t>for all new vehicles</w:t>
      </w:r>
      <w:r w:rsidR="003F0648" w:rsidRPr="00793718">
        <w:rPr>
          <w:color w:val="000000" w:themeColor="text1"/>
        </w:rPr>
        <w:t xml:space="preserve"> until </w:t>
      </w:r>
      <w:r w:rsidR="00D65549" w:rsidRPr="00793718">
        <w:rPr>
          <w:color w:val="000000" w:themeColor="text1"/>
        </w:rPr>
        <w:t xml:space="preserve">the </w:t>
      </w:r>
      <w:r w:rsidR="00E41546" w:rsidRPr="00793718">
        <w:rPr>
          <w:color w:val="000000" w:themeColor="text1"/>
        </w:rPr>
        <w:t>Euro 6d</w:t>
      </w:r>
      <w:r w:rsidR="003F0648" w:rsidRPr="00793718">
        <w:rPr>
          <w:color w:val="000000" w:themeColor="text1"/>
        </w:rPr>
        <w:t xml:space="preserve"> noxious emissions standards are </w:t>
      </w:r>
      <w:r w:rsidR="00E41546" w:rsidRPr="00793718">
        <w:rPr>
          <w:color w:val="000000" w:themeColor="text1"/>
        </w:rPr>
        <w:t>fully implemented for new vehicles</w:t>
      </w:r>
      <w:r w:rsidR="00D65549" w:rsidRPr="00793718">
        <w:rPr>
          <w:color w:val="000000" w:themeColor="text1"/>
        </w:rPr>
        <w:t xml:space="preserve"> in July 2028</w:t>
      </w:r>
    </w:p>
    <w:p w14:paraId="2BA91846" w14:textId="77777777" w:rsidR="00181058" w:rsidRPr="00793718" w:rsidRDefault="00181058" w:rsidP="00181058">
      <w:pPr>
        <w:pStyle w:val="ListParagraph"/>
        <w:rPr>
          <w:color w:val="000000" w:themeColor="text1"/>
        </w:rPr>
      </w:pPr>
    </w:p>
    <w:p w14:paraId="1114FB31" w14:textId="77777777" w:rsidR="00A0228B" w:rsidRPr="00CF39C8" w:rsidRDefault="003F0648" w:rsidP="00F10CB7">
      <w:pPr>
        <w:pStyle w:val="ListParagraph"/>
        <w:rPr>
          <w:color w:val="000000" w:themeColor="text1"/>
        </w:rPr>
      </w:pPr>
      <w:r w:rsidRPr="00793718">
        <w:rPr>
          <w:color w:val="000000" w:themeColor="text1"/>
        </w:rPr>
        <w:t>T</w:t>
      </w:r>
      <w:r w:rsidR="00D65549" w:rsidRPr="00793718">
        <w:rPr>
          <w:color w:val="000000" w:themeColor="text1"/>
        </w:rPr>
        <w:t>o</w:t>
      </w:r>
      <w:r w:rsidR="00D15D0C" w:rsidRPr="00793718">
        <w:rPr>
          <w:color w:val="000000" w:themeColor="text1"/>
        </w:rPr>
        <w:t xml:space="preserve"> </w:t>
      </w:r>
      <w:r w:rsidRPr="00793718">
        <w:rPr>
          <w:color w:val="000000" w:themeColor="text1"/>
        </w:rPr>
        <w:t>enable</w:t>
      </w:r>
      <w:r w:rsidR="00CD27BF" w:rsidRPr="00793718">
        <w:rPr>
          <w:color w:val="000000" w:themeColor="text1"/>
        </w:rPr>
        <w:t xml:space="preserve"> the NVES to be implemented as soon as possible and </w:t>
      </w:r>
      <w:r w:rsidRPr="00793718">
        <w:rPr>
          <w:color w:val="000000" w:themeColor="text1"/>
        </w:rPr>
        <w:t xml:space="preserve">a smooth transition </w:t>
      </w:r>
      <w:r w:rsidR="00095BE2" w:rsidRPr="00793718">
        <w:rPr>
          <w:color w:val="000000" w:themeColor="text1"/>
        </w:rPr>
        <w:t>for both new and existing models</w:t>
      </w:r>
      <w:r w:rsidR="00D65549" w:rsidRPr="00793718">
        <w:rPr>
          <w:color w:val="000000" w:themeColor="text1"/>
        </w:rPr>
        <w:t>, the enabling legislation for the NVES will adopt</w:t>
      </w:r>
      <w:r w:rsidRPr="00793718">
        <w:rPr>
          <w:color w:val="000000" w:themeColor="text1"/>
        </w:rPr>
        <w:t xml:space="preserve"> CO</w:t>
      </w:r>
      <w:r w:rsidRPr="00793718">
        <w:rPr>
          <w:color w:val="000000" w:themeColor="text1"/>
          <w:vertAlign w:val="subscript"/>
        </w:rPr>
        <w:t>2</w:t>
      </w:r>
      <w:r w:rsidRPr="00793718">
        <w:rPr>
          <w:color w:val="000000" w:themeColor="text1"/>
        </w:rPr>
        <w:t xml:space="preserve"> targets </w:t>
      </w:r>
      <w:r w:rsidR="00D65549" w:rsidRPr="00793718">
        <w:rPr>
          <w:color w:val="000000" w:themeColor="text1"/>
        </w:rPr>
        <w:t>for 2025 to 2029 based on the NEDC</w:t>
      </w:r>
      <w:r w:rsidRPr="00793718">
        <w:rPr>
          <w:color w:val="000000" w:themeColor="text1"/>
        </w:rPr>
        <w:t xml:space="preserve"> test cycle</w:t>
      </w:r>
      <w:r w:rsidR="00D65549" w:rsidRPr="00793718">
        <w:rPr>
          <w:color w:val="000000" w:themeColor="text1"/>
        </w:rPr>
        <w:t xml:space="preserve">. </w:t>
      </w:r>
      <w:r w:rsidR="00095BE2" w:rsidRPr="00793718">
        <w:rPr>
          <w:color w:val="000000" w:themeColor="text1"/>
        </w:rPr>
        <w:t>For the purposes of the NVES, n</w:t>
      </w:r>
      <w:r w:rsidR="00D65549" w:rsidRPr="00793718">
        <w:rPr>
          <w:color w:val="000000" w:themeColor="text1"/>
        </w:rPr>
        <w:t xml:space="preserve">ew vehicle models tested </w:t>
      </w:r>
      <w:r w:rsidRPr="00793718">
        <w:rPr>
          <w:color w:val="000000" w:themeColor="text1"/>
        </w:rPr>
        <w:t xml:space="preserve">to the WLTP </w:t>
      </w:r>
      <w:r w:rsidR="00095BE2" w:rsidRPr="00793718">
        <w:rPr>
          <w:color w:val="000000" w:themeColor="text1"/>
        </w:rPr>
        <w:t xml:space="preserve">will be required </w:t>
      </w:r>
      <w:r w:rsidR="004F0ECA" w:rsidRPr="00793718">
        <w:rPr>
          <w:color w:val="000000" w:themeColor="text1"/>
        </w:rPr>
        <w:t xml:space="preserve">to convert </w:t>
      </w:r>
      <w:r w:rsidR="00E41546" w:rsidRPr="00793718">
        <w:rPr>
          <w:color w:val="000000" w:themeColor="text1"/>
        </w:rPr>
        <w:t>CO</w:t>
      </w:r>
      <w:r w:rsidR="00E41546" w:rsidRPr="00793718">
        <w:rPr>
          <w:color w:val="000000" w:themeColor="text1"/>
          <w:vertAlign w:val="subscript"/>
        </w:rPr>
        <w:t>2</w:t>
      </w:r>
      <w:r w:rsidR="00632D59" w:rsidRPr="00793718">
        <w:rPr>
          <w:color w:val="000000" w:themeColor="text1"/>
        </w:rPr>
        <w:t xml:space="preserve"> </w:t>
      </w:r>
      <w:r w:rsidR="00D65549" w:rsidRPr="00793718">
        <w:rPr>
          <w:color w:val="000000" w:themeColor="text1"/>
        </w:rPr>
        <w:t xml:space="preserve">figures </w:t>
      </w:r>
      <w:r w:rsidR="00181058" w:rsidRPr="00793718">
        <w:rPr>
          <w:color w:val="000000" w:themeColor="text1"/>
        </w:rPr>
        <w:t xml:space="preserve">to </w:t>
      </w:r>
      <w:r w:rsidR="00D65549" w:rsidRPr="00793718">
        <w:rPr>
          <w:color w:val="000000" w:themeColor="text1"/>
        </w:rPr>
        <w:t>a</w:t>
      </w:r>
      <w:r w:rsidR="00181058" w:rsidRPr="00793718">
        <w:rPr>
          <w:color w:val="000000" w:themeColor="text1"/>
        </w:rPr>
        <w:t>n</w:t>
      </w:r>
      <w:r w:rsidR="00D65549" w:rsidRPr="00793718">
        <w:rPr>
          <w:color w:val="000000" w:themeColor="text1"/>
        </w:rPr>
        <w:t xml:space="preserve"> </w:t>
      </w:r>
      <w:r w:rsidR="00095BE2" w:rsidRPr="00793718">
        <w:rPr>
          <w:color w:val="000000" w:themeColor="text1"/>
        </w:rPr>
        <w:t>NEDC</w:t>
      </w:r>
      <w:r w:rsidR="004F0ECA" w:rsidRPr="00793718">
        <w:rPr>
          <w:color w:val="000000" w:themeColor="text1"/>
        </w:rPr>
        <w:t xml:space="preserve"> equivalent</w:t>
      </w:r>
      <w:r w:rsidR="00181058" w:rsidRPr="00793718">
        <w:rPr>
          <w:color w:val="000000" w:themeColor="text1"/>
        </w:rPr>
        <w:t>,</w:t>
      </w:r>
      <w:r w:rsidR="00095BE2" w:rsidRPr="00793718">
        <w:rPr>
          <w:color w:val="000000" w:themeColor="text1"/>
        </w:rPr>
        <w:t xml:space="preserve"> in accordance with procedures </w:t>
      </w:r>
      <w:r w:rsidR="00CD27BF" w:rsidRPr="00793718">
        <w:rPr>
          <w:color w:val="000000" w:themeColor="text1"/>
        </w:rPr>
        <w:t>established in</w:t>
      </w:r>
      <w:r w:rsidR="00095BE2" w:rsidRPr="00793718">
        <w:rPr>
          <w:color w:val="000000" w:themeColor="text1"/>
        </w:rPr>
        <w:t xml:space="preserve"> UN Regulation No. 101</w:t>
      </w:r>
      <w:r w:rsidR="00C132F0" w:rsidRPr="00793718">
        <w:rPr>
          <w:color w:val="000000" w:themeColor="text1"/>
        </w:rPr>
        <w:t>.</w:t>
      </w:r>
      <w:r w:rsidR="00181058" w:rsidRPr="00793718">
        <w:rPr>
          <w:rStyle w:val="FootnoteReference"/>
          <w:color w:val="000000" w:themeColor="text1"/>
        </w:rPr>
        <w:footnoteReference w:id="19"/>
      </w:r>
      <w:r w:rsidR="00D65549" w:rsidRPr="00793718">
        <w:rPr>
          <w:color w:val="000000" w:themeColor="text1"/>
        </w:rPr>
        <w:t xml:space="preserve"> </w:t>
      </w:r>
      <w:r w:rsidR="00095BE2" w:rsidRPr="00793718">
        <w:rPr>
          <w:color w:val="000000" w:themeColor="text1"/>
        </w:rPr>
        <w:t>As part of</w:t>
      </w:r>
      <w:r w:rsidR="00181058" w:rsidRPr="00793718">
        <w:rPr>
          <w:color w:val="000000" w:themeColor="text1"/>
        </w:rPr>
        <w:t xml:space="preserve"> its</w:t>
      </w:r>
      <w:r w:rsidR="00095BE2" w:rsidRPr="00793718">
        <w:rPr>
          <w:color w:val="000000" w:themeColor="text1"/>
        </w:rPr>
        <w:t xml:space="preserve"> review of the NVES legislation, </w:t>
      </w:r>
      <w:r w:rsidR="00CD27BF" w:rsidRPr="00793718">
        <w:rPr>
          <w:color w:val="000000" w:themeColor="text1"/>
        </w:rPr>
        <w:t xml:space="preserve">which is </w:t>
      </w:r>
      <w:r w:rsidR="00095BE2" w:rsidRPr="00793718">
        <w:rPr>
          <w:color w:val="000000" w:themeColor="text1"/>
        </w:rPr>
        <w:t>scheduled to commence in 2026, the Government will con</w:t>
      </w:r>
      <w:r w:rsidR="00CD27BF" w:rsidRPr="00793718">
        <w:rPr>
          <w:color w:val="000000" w:themeColor="text1"/>
        </w:rPr>
        <w:t>sider</w:t>
      </w:r>
      <w:r w:rsidR="00095BE2" w:rsidRPr="00793718">
        <w:rPr>
          <w:color w:val="000000" w:themeColor="text1"/>
        </w:rPr>
        <w:t xml:space="preserve"> what targets should apply from 2030 to 2035 and how these </w:t>
      </w:r>
      <w:r w:rsidR="00181058" w:rsidRPr="00793718">
        <w:rPr>
          <w:color w:val="000000" w:themeColor="text1"/>
        </w:rPr>
        <w:t xml:space="preserve">targets </w:t>
      </w:r>
      <w:r w:rsidR="00095BE2" w:rsidRPr="00793718">
        <w:rPr>
          <w:color w:val="000000" w:themeColor="text1"/>
        </w:rPr>
        <w:t>should be implemented.</w:t>
      </w:r>
      <w:r w:rsidRPr="00793718">
        <w:rPr>
          <w:color w:val="000000" w:themeColor="text1"/>
        </w:rPr>
        <w:t xml:space="preserve"> </w:t>
      </w:r>
    </w:p>
    <w:p w14:paraId="6CF53E65" w14:textId="77777777" w:rsidR="00AE3241" w:rsidRDefault="00AE3241" w:rsidP="00C6232E">
      <w:pPr>
        <w:rPr>
          <w:rFonts w:asciiTheme="majorHAnsi" w:hAnsiTheme="majorHAnsi" w:cstheme="majorHAnsi"/>
        </w:rPr>
      </w:pPr>
      <w:r w:rsidRPr="00CF39C8">
        <w:rPr>
          <w:rFonts w:asciiTheme="majorHAnsi" w:hAnsiTheme="majorHAnsi" w:cstheme="majorHAnsi"/>
        </w:rPr>
        <w:t xml:space="preserve">The headline </w:t>
      </w:r>
      <w:r w:rsidR="0021784D" w:rsidRPr="00CF39C8">
        <w:rPr>
          <w:rFonts w:asciiTheme="majorHAnsi" w:hAnsiTheme="majorHAnsi" w:cstheme="majorHAnsi"/>
        </w:rPr>
        <w:t>targets</w:t>
      </w:r>
      <w:r w:rsidR="00CE1916" w:rsidRPr="00CF39C8">
        <w:rPr>
          <w:rFonts w:asciiTheme="majorHAnsi" w:hAnsiTheme="majorHAnsi" w:cstheme="majorHAnsi"/>
        </w:rPr>
        <w:t xml:space="preserve"> for the Government’s propose</w:t>
      </w:r>
      <w:r w:rsidR="00CD0B3C" w:rsidRPr="00CF39C8">
        <w:rPr>
          <w:rFonts w:asciiTheme="majorHAnsi" w:hAnsiTheme="majorHAnsi" w:cstheme="majorHAnsi"/>
        </w:rPr>
        <w:t xml:space="preserve">d </w:t>
      </w:r>
      <w:r w:rsidR="00DC48C3">
        <w:rPr>
          <w:rFonts w:asciiTheme="majorHAnsi" w:hAnsiTheme="majorHAnsi" w:cstheme="majorHAnsi"/>
        </w:rPr>
        <w:t>Option A</w:t>
      </w:r>
      <w:r w:rsidR="00CE1916" w:rsidRPr="00CF39C8">
        <w:rPr>
          <w:rFonts w:asciiTheme="majorHAnsi" w:hAnsiTheme="majorHAnsi" w:cstheme="majorHAnsi"/>
        </w:rPr>
        <w:t>,</w:t>
      </w:r>
      <w:r w:rsidR="00CD0B3C" w:rsidRPr="00CF39C8">
        <w:rPr>
          <w:rFonts w:asciiTheme="majorHAnsi" w:hAnsiTheme="majorHAnsi" w:cstheme="majorHAnsi"/>
        </w:rPr>
        <w:t xml:space="preserve"> </w:t>
      </w:r>
      <w:r w:rsidR="00C12BE2">
        <w:rPr>
          <w:rFonts w:asciiTheme="majorHAnsi" w:hAnsiTheme="majorHAnsi" w:cstheme="majorHAnsi"/>
        </w:rPr>
        <w:t>Option B</w:t>
      </w:r>
      <w:r w:rsidR="00CD0B3C" w:rsidRPr="00CF39C8">
        <w:rPr>
          <w:rFonts w:asciiTheme="majorHAnsi" w:hAnsiTheme="majorHAnsi" w:cstheme="majorHAnsi"/>
        </w:rPr>
        <w:t xml:space="preserve"> and </w:t>
      </w:r>
      <w:r w:rsidR="00C12BE2">
        <w:rPr>
          <w:rFonts w:asciiTheme="majorHAnsi" w:hAnsiTheme="majorHAnsi" w:cstheme="majorHAnsi"/>
        </w:rPr>
        <w:t>Option C</w:t>
      </w:r>
      <w:r w:rsidR="000229CB" w:rsidRPr="00CF39C8">
        <w:rPr>
          <w:rFonts w:asciiTheme="majorHAnsi" w:hAnsiTheme="majorHAnsi" w:cstheme="majorHAnsi"/>
        </w:rPr>
        <w:t>, and international comparators</w:t>
      </w:r>
      <w:r w:rsidR="00CE1916" w:rsidRPr="00CF39C8">
        <w:rPr>
          <w:rFonts w:asciiTheme="majorHAnsi" w:hAnsiTheme="majorHAnsi" w:cstheme="majorHAnsi"/>
        </w:rPr>
        <w:t xml:space="preserve"> </w:t>
      </w:r>
      <w:r w:rsidR="00085CC6" w:rsidRPr="00CF39C8">
        <w:rPr>
          <w:rFonts w:asciiTheme="majorHAnsi" w:hAnsiTheme="majorHAnsi" w:cstheme="majorHAnsi"/>
        </w:rPr>
        <w:t>are</w:t>
      </w:r>
      <w:r w:rsidR="00CE1916" w:rsidRPr="00CF39C8">
        <w:rPr>
          <w:rFonts w:asciiTheme="majorHAnsi" w:hAnsiTheme="majorHAnsi" w:cstheme="majorHAnsi"/>
        </w:rPr>
        <w:t xml:space="preserve"> </w:t>
      </w:r>
      <w:r w:rsidR="0021784D" w:rsidRPr="00CF39C8">
        <w:rPr>
          <w:rFonts w:asciiTheme="majorHAnsi" w:hAnsiTheme="majorHAnsi" w:cstheme="majorHAnsi"/>
        </w:rPr>
        <w:t>in</w:t>
      </w:r>
      <w:r w:rsidR="00B81A42" w:rsidRPr="00CF39C8">
        <w:rPr>
          <w:rFonts w:asciiTheme="majorHAnsi" w:hAnsiTheme="majorHAnsi" w:cstheme="majorHAnsi"/>
        </w:rPr>
        <w:t xml:space="preserve"> </w:t>
      </w:r>
      <w:r w:rsidR="00B81A42" w:rsidRPr="00F60FD2">
        <w:rPr>
          <w:rFonts w:asciiTheme="majorHAnsi" w:hAnsiTheme="majorHAnsi" w:cstheme="majorHAnsi"/>
        </w:rPr>
        <w:t>Figure 1</w:t>
      </w:r>
      <w:r w:rsidR="0023600C">
        <w:rPr>
          <w:rFonts w:asciiTheme="majorHAnsi" w:hAnsiTheme="majorHAnsi" w:cstheme="majorHAnsi"/>
        </w:rPr>
        <w:t>1</w:t>
      </w:r>
      <w:r w:rsidR="00B81A42" w:rsidRPr="00CF39C8">
        <w:rPr>
          <w:rFonts w:asciiTheme="majorHAnsi" w:hAnsiTheme="majorHAnsi" w:cstheme="majorHAnsi"/>
        </w:rPr>
        <w:t xml:space="preserve"> </w:t>
      </w:r>
      <w:r w:rsidR="0021784D" w:rsidRPr="00CF39C8">
        <w:rPr>
          <w:rFonts w:asciiTheme="majorHAnsi" w:hAnsiTheme="majorHAnsi" w:cstheme="majorHAnsi"/>
        </w:rPr>
        <w:t xml:space="preserve">and </w:t>
      </w:r>
      <w:r w:rsidR="00B81A42" w:rsidRPr="00F60FD2">
        <w:rPr>
          <w:rFonts w:asciiTheme="majorHAnsi" w:hAnsiTheme="majorHAnsi" w:cstheme="majorHAnsi"/>
        </w:rPr>
        <w:t>Figure 1</w:t>
      </w:r>
      <w:r w:rsidR="0023600C">
        <w:rPr>
          <w:rFonts w:asciiTheme="majorHAnsi" w:hAnsiTheme="majorHAnsi" w:cstheme="majorHAnsi"/>
        </w:rPr>
        <w:t>2</w:t>
      </w:r>
      <w:r w:rsidR="00B81A42" w:rsidRPr="00CF39C8">
        <w:rPr>
          <w:rFonts w:asciiTheme="majorHAnsi" w:hAnsiTheme="majorHAnsi" w:cstheme="majorHAnsi"/>
        </w:rPr>
        <w:t xml:space="preserve"> </w:t>
      </w:r>
      <w:r w:rsidR="00CE1916" w:rsidRPr="00CF39C8">
        <w:rPr>
          <w:rFonts w:asciiTheme="majorHAnsi" w:hAnsiTheme="majorHAnsi" w:cstheme="majorHAnsi"/>
        </w:rPr>
        <w:t xml:space="preserve">below: </w:t>
      </w:r>
    </w:p>
    <w:p w14:paraId="1767A05B" w14:textId="77777777" w:rsidR="0079769C" w:rsidRPr="00CF39C8" w:rsidRDefault="006A7A48" w:rsidP="00C6232E">
      <w:pPr>
        <w:rPr>
          <w:rFonts w:asciiTheme="majorHAnsi" w:hAnsiTheme="majorHAnsi" w:cstheme="majorHAnsi"/>
        </w:rPr>
      </w:pPr>
      <w:r>
        <w:rPr>
          <w:noProof/>
          <w:lang w:eastAsia="en-AU"/>
        </w:rPr>
        <w:drawing>
          <wp:inline distT="0" distB="0" distL="0" distR="0" wp14:anchorId="29A2C9A6" wp14:editId="651EA1FF">
            <wp:extent cx="6029960" cy="3874770"/>
            <wp:effectExtent l="0" t="0" r="8890" b="0"/>
            <wp:docPr id="2055" name="Picture 2055" descr="A line graph that compares different passenger vehicle headline targets from the United States, including proposed emissions targets with the different proposed model options, including the Government's recommended options. &#10;&#10;Y (vertical) axis depicts the emissions in g/km normalised to NEDC &#10;X (horizontal) axis depicts timeline, from the year 2015 to 2029. &#10;&#10;All lines are de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29960" cy="3874770"/>
                    </a:xfrm>
                    <a:prstGeom prst="rect">
                      <a:avLst/>
                    </a:prstGeom>
                  </pic:spPr>
                </pic:pic>
              </a:graphicData>
            </a:graphic>
          </wp:inline>
        </w:drawing>
      </w:r>
    </w:p>
    <w:p w14:paraId="7D7F79AE" w14:textId="77777777" w:rsidR="007E6FE9" w:rsidRPr="00D815F8" w:rsidRDefault="00F826F2" w:rsidP="00D815F8">
      <w:pPr>
        <w:pStyle w:val="Caption"/>
        <w:spacing w:after="0"/>
      </w:pPr>
      <w:r w:rsidRPr="00D815F8" w:rsidDel="00F826F2">
        <w:t xml:space="preserve"> </w:t>
      </w:r>
      <w:r w:rsidRPr="00D815F8">
        <w:t xml:space="preserve"> </w:t>
      </w:r>
      <w:bookmarkStart w:id="233" w:name="_Ref153982223"/>
      <w:bookmarkStart w:id="234" w:name="_Toc149907242"/>
      <w:bookmarkStart w:id="235" w:name="_Toc161837764"/>
      <w:bookmarkStart w:id="236" w:name="_Toc161933211"/>
      <w:bookmarkStart w:id="237" w:name="_Toc163221111"/>
      <w:r w:rsidR="00BE4960" w:rsidRPr="00D815F8">
        <w:t xml:space="preserve">Figure </w:t>
      </w:r>
      <w:bookmarkEnd w:id="233"/>
      <w:r w:rsidR="00F5055B" w:rsidRPr="00D815F8">
        <w:t>1</w:t>
      </w:r>
      <w:r w:rsidR="002D5876" w:rsidRPr="00D815F8">
        <w:t>1</w:t>
      </w:r>
      <w:r w:rsidR="00696EEB" w:rsidRPr="00D815F8">
        <w:rPr>
          <w:rStyle w:val="FootnoteReference"/>
          <w:b w:val="0"/>
        </w:rPr>
        <w:footnoteReference w:id="20"/>
      </w:r>
      <w:r w:rsidR="00A5485F" w:rsidRPr="00D815F8">
        <w:t xml:space="preserve"> </w:t>
      </w:r>
      <w:r w:rsidR="00BE4960" w:rsidRPr="00CF39C8">
        <w:t xml:space="preserve">– </w:t>
      </w:r>
      <w:r w:rsidR="00BE4960" w:rsidRPr="00D815F8">
        <w:rPr>
          <w:b w:val="0"/>
        </w:rPr>
        <w:t xml:space="preserve">Passenger vehicle headline </w:t>
      </w:r>
      <w:r w:rsidR="00E46B41" w:rsidRPr="00D815F8">
        <w:rPr>
          <w:b w:val="0"/>
        </w:rPr>
        <w:t>targets</w:t>
      </w:r>
      <w:r w:rsidR="00BE4960" w:rsidRPr="00D815F8">
        <w:rPr>
          <w:b w:val="0"/>
        </w:rPr>
        <w:t xml:space="preserve"> </w:t>
      </w:r>
      <w:r w:rsidR="00E46B41" w:rsidRPr="00D815F8">
        <w:rPr>
          <w:b w:val="0"/>
        </w:rPr>
        <w:t>for</w:t>
      </w:r>
      <w:r w:rsidR="00BE4960" w:rsidRPr="00D815F8">
        <w:rPr>
          <w:b w:val="0"/>
        </w:rPr>
        <w:t xml:space="preserve"> option</w:t>
      </w:r>
      <w:r w:rsidR="004124A5" w:rsidRPr="00D815F8">
        <w:rPr>
          <w:b w:val="0"/>
        </w:rPr>
        <w:t>s</w:t>
      </w:r>
      <w:r w:rsidR="00BE4960" w:rsidRPr="00D815F8">
        <w:rPr>
          <w:b w:val="0"/>
        </w:rPr>
        <w:t xml:space="preserve"> relative to </w:t>
      </w:r>
      <w:bookmarkEnd w:id="234"/>
      <w:r w:rsidR="00183007" w:rsidRPr="00D815F8">
        <w:rPr>
          <w:b w:val="0"/>
        </w:rPr>
        <w:t>US EPA proposed</w:t>
      </w:r>
      <w:r w:rsidR="004124A5" w:rsidRPr="00D815F8">
        <w:rPr>
          <w:b w:val="0"/>
        </w:rPr>
        <w:t xml:space="preserve"> targets</w:t>
      </w:r>
      <w:r w:rsidR="00183007" w:rsidRPr="00D815F8">
        <w:rPr>
          <w:b w:val="0"/>
        </w:rPr>
        <w:t>.</w:t>
      </w:r>
      <w:bookmarkEnd w:id="235"/>
      <w:bookmarkEnd w:id="236"/>
      <w:bookmarkEnd w:id="237"/>
      <w:r w:rsidR="00183007" w:rsidRPr="00D815F8">
        <w:rPr>
          <w:b w:val="0"/>
        </w:rPr>
        <w:t xml:space="preserve"> </w:t>
      </w:r>
    </w:p>
    <w:p w14:paraId="1E6BF203" w14:textId="77777777" w:rsidR="00ED2428" w:rsidRDefault="00ED2428" w:rsidP="007E6FE9"/>
    <w:p w14:paraId="2E3022D9" w14:textId="77777777" w:rsidR="00557F9A" w:rsidRPr="007E6FE9" w:rsidRDefault="00183007" w:rsidP="007E6FE9">
      <w:pPr>
        <w:rPr>
          <w:rFonts w:asciiTheme="majorHAnsi" w:hAnsiTheme="majorHAnsi" w:cstheme="majorHAnsi"/>
          <w:sz w:val="20"/>
          <w:szCs w:val="20"/>
        </w:rPr>
      </w:pPr>
      <w:r w:rsidRPr="00EA35EC">
        <w:t xml:space="preserve">Note </w:t>
      </w:r>
      <w:r w:rsidR="00C12BE2">
        <w:t>Option B</w:t>
      </w:r>
      <w:r w:rsidRPr="00EA35EC">
        <w:t xml:space="preserve"> and</w:t>
      </w:r>
      <w:r w:rsidRPr="007E6FE9">
        <w:rPr>
          <w:sz w:val="20"/>
          <w:szCs w:val="20"/>
        </w:rPr>
        <w:t xml:space="preserve"> </w:t>
      </w:r>
      <w:r w:rsidR="001D45EC" w:rsidRPr="00E772E6">
        <w:t xml:space="preserve">the </w:t>
      </w:r>
      <w:r w:rsidR="005F3D68">
        <w:t>best</w:t>
      </w:r>
      <w:r w:rsidR="005F3D68" w:rsidRPr="00E772E6">
        <w:t xml:space="preserve"> </w:t>
      </w:r>
      <w:r w:rsidR="00DC48C3">
        <w:t>option a</w:t>
      </w:r>
      <w:r w:rsidRPr="00E772E6">
        <w:t>re identical</w:t>
      </w:r>
      <w:r w:rsidR="006C3840" w:rsidRPr="00E772E6">
        <w:t>, and so are overlaid in this graph</w:t>
      </w:r>
      <w:r w:rsidRPr="00E772E6">
        <w:t>.</w:t>
      </w:r>
      <w:r w:rsidR="00977E3F" w:rsidRPr="00E772E6">
        <w:t xml:space="preserve"> </w:t>
      </w:r>
    </w:p>
    <w:p w14:paraId="07B5BCCC" w14:textId="77777777" w:rsidR="00221D1D" w:rsidRPr="00CF39C8" w:rsidRDefault="00F826F2" w:rsidP="00BE4960">
      <w:pPr>
        <w:keepNext/>
      </w:pPr>
      <w:r w:rsidRPr="00CF39C8">
        <w:t xml:space="preserve"> </w:t>
      </w:r>
      <w:r w:rsidR="006A7A48">
        <w:rPr>
          <w:noProof/>
          <w:lang w:eastAsia="en-AU"/>
        </w:rPr>
        <w:drawing>
          <wp:inline distT="0" distB="0" distL="0" distR="0" wp14:anchorId="6339926B" wp14:editId="32B30A75">
            <wp:extent cx="6029960" cy="3970020"/>
            <wp:effectExtent l="0" t="0" r="8890" b="0"/>
            <wp:docPr id="2056" name="Picture 2056" descr="A line graph that compares different passenger vehicle headline targets from the United States, including proposed emissions targets with the different proposed model options, including the Government's recommended op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9960" cy="3970020"/>
                    </a:xfrm>
                    <a:prstGeom prst="rect">
                      <a:avLst/>
                    </a:prstGeom>
                  </pic:spPr>
                </pic:pic>
              </a:graphicData>
            </a:graphic>
          </wp:inline>
        </w:drawing>
      </w:r>
    </w:p>
    <w:p w14:paraId="6218890B" w14:textId="77777777" w:rsidR="00A86737" w:rsidRDefault="00BE4960" w:rsidP="003A6453">
      <w:pPr>
        <w:pStyle w:val="Caption"/>
        <w:spacing w:after="0"/>
        <w:rPr>
          <w:b w:val="0"/>
        </w:rPr>
      </w:pPr>
      <w:bookmarkStart w:id="238" w:name="_Ref153982224"/>
      <w:bookmarkStart w:id="239" w:name="_Toc149907243"/>
      <w:bookmarkStart w:id="240" w:name="_Toc161837765"/>
      <w:bookmarkStart w:id="241" w:name="_Toc161933212"/>
      <w:bookmarkStart w:id="242" w:name="_Toc163221112"/>
      <w:r w:rsidRPr="00CF39C8">
        <w:t xml:space="preserve">Figure </w:t>
      </w:r>
      <w:bookmarkEnd w:id="238"/>
      <w:r w:rsidR="00F5055B" w:rsidRPr="00CF39C8">
        <w:rPr>
          <w:bCs w:val="0"/>
        </w:rPr>
        <w:t>1</w:t>
      </w:r>
      <w:r w:rsidR="002D5876">
        <w:rPr>
          <w:bCs w:val="0"/>
        </w:rPr>
        <w:t>2</w:t>
      </w:r>
      <w:r w:rsidR="00956971" w:rsidRPr="00CF39C8">
        <w:rPr>
          <w:rStyle w:val="FootnoteReference"/>
          <w:b w:val="0"/>
        </w:rPr>
        <w:footnoteReference w:id="21"/>
      </w:r>
      <w:r w:rsidR="00956971" w:rsidRPr="00CF39C8">
        <w:t xml:space="preserve"> </w:t>
      </w:r>
      <w:r w:rsidRPr="00CF39C8">
        <w:rPr>
          <w:b w:val="0"/>
        </w:rPr>
        <w:t xml:space="preserve">– Light commercial vehicle headline </w:t>
      </w:r>
      <w:r w:rsidR="00E46B41" w:rsidRPr="00CF39C8">
        <w:rPr>
          <w:b w:val="0"/>
        </w:rPr>
        <w:t xml:space="preserve">targets for </w:t>
      </w:r>
      <w:r w:rsidRPr="00CF39C8">
        <w:rPr>
          <w:b w:val="0"/>
        </w:rPr>
        <w:t>option</w:t>
      </w:r>
      <w:r w:rsidR="004124A5" w:rsidRPr="00CF39C8">
        <w:rPr>
          <w:b w:val="0"/>
        </w:rPr>
        <w:t>s</w:t>
      </w:r>
      <w:r w:rsidRPr="00CF39C8">
        <w:rPr>
          <w:b w:val="0"/>
        </w:rPr>
        <w:t xml:space="preserve"> relative to other </w:t>
      </w:r>
      <w:bookmarkEnd w:id="239"/>
      <w:r w:rsidR="004124A5" w:rsidRPr="00CF39C8">
        <w:rPr>
          <w:b w:val="0"/>
        </w:rPr>
        <w:t>country</w:t>
      </w:r>
      <w:r w:rsidR="008A2057" w:rsidRPr="00CF39C8">
        <w:rPr>
          <w:b w:val="0"/>
        </w:rPr>
        <w:t>’s</w:t>
      </w:r>
      <w:r w:rsidR="004124A5" w:rsidRPr="00CF39C8">
        <w:rPr>
          <w:b w:val="0"/>
        </w:rPr>
        <w:t xml:space="preserve"> targets</w:t>
      </w:r>
      <w:r w:rsidR="00977E3F">
        <w:rPr>
          <w:b w:val="0"/>
        </w:rPr>
        <w:t>.</w:t>
      </w:r>
      <w:bookmarkEnd w:id="240"/>
      <w:bookmarkEnd w:id="241"/>
      <w:bookmarkEnd w:id="242"/>
      <w:r w:rsidR="00977E3F">
        <w:rPr>
          <w:b w:val="0"/>
        </w:rPr>
        <w:t xml:space="preserve"> </w:t>
      </w:r>
    </w:p>
    <w:p w14:paraId="624E47E8" w14:textId="77777777" w:rsidR="006D01FC" w:rsidRDefault="006D01FC" w:rsidP="006D01FC">
      <w:pPr>
        <w:pStyle w:val="Caption"/>
        <w:rPr>
          <w:b w:val="0"/>
        </w:rPr>
      </w:pPr>
    </w:p>
    <w:p w14:paraId="7029721C" w14:textId="77777777" w:rsidR="00F16233" w:rsidRPr="009B0815" w:rsidRDefault="006850E2" w:rsidP="009B0815">
      <w:r w:rsidRPr="009B0815">
        <w:t xml:space="preserve">The cumulative abatement for the </w:t>
      </w:r>
      <w:r w:rsidR="00C132F0">
        <w:t>four</w:t>
      </w:r>
      <w:r w:rsidRPr="009B0815">
        <w:t xml:space="preserve"> options is set out in </w:t>
      </w:r>
      <w:r w:rsidRPr="00F60FD2">
        <w:t>Figure 1</w:t>
      </w:r>
      <w:r w:rsidR="0023600C">
        <w:t>3</w:t>
      </w:r>
      <w:r w:rsidRPr="009B0815">
        <w:t xml:space="preserve"> </w:t>
      </w:r>
      <w:r w:rsidR="00A406DE">
        <w:t>(</w:t>
      </w:r>
      <w:r w:rsidR="0023600C">
        <w:t>below</w:t>
      </w:r>
      <w:r w:rsidR="00A406DE">
        <w:t>)</w:t>
      </w:r>
      <w:r w:rsidRPr="009B0815">
        <w:t>.</w:t>
      </w:r>
    </w:p>
    <w:p w14:paraId="010B8C6B" w14:textId="77777777" w:rsidR="00027EB4" w:rsidRPr="00CF39C8" w:rsidRDefault="005F3D68" w:rsidP="00027EB4">
      <w:pPr>
        <w:keepNext/>
      </w:pPr>
      <w:r>
        <w:rPr>
          <w:noProof/>
          <w:lang w:eastAsia="en-AU"/>
        </w:rPr>
        <w:drawing>
          <wp:inline distT="0" distB="0" distL="0" distR="0" wp14:anchorId="19A50073" wp14:editId="6A0EFC5D">
            <wp:extent cx="5581650" cy="3660166"/>
            <wp:effectExtent l="0" t="0" r="0" b="0"/>
            <wp:docPr id="22" name="Picture 22" descr="A line graph that compares the different levels of cumulative abatement of carbon dioxide emissions from 2025 to 2030 under the different options.&#10;&#10;Option A abatement (Mt CO2).&#10;2025 = 0.&#10;2026 = 0.&#10;2027 = 0&#10;2028 = 1.&#10;2029 = 1.&#10;2030 = 1.&#10;&#10;Option B abatement (Mt CO2).&#10;2025 = 0.&#10;2026 = 2.&#10;2027 = 5.&#10;2028 = 10.&#10;2029 = 17.&#10;2030 = 26.&#10;&#10;Option C abatement (Mt CO2).&#10;2025 = 0.&#10;2026 = 2.&#10;2027 = 6.&#10;2028 =13.&#10;2029 = 22.&#10;2030 = 34.&#10;&#10;Preferred Option abatement (Mt CO2).&#10;2025 = 0.&#10;2026 = 1&#10;2027 = 3&#10;2028 = 7&#10;2029 = 13&#10;2030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5710" cy="3662828"/>
                    </a:xfrm>
                    <a:prstGeom prst="rect">
                      <a:avLst/>
                    </a:prstGeom>
                  </pic:spPr>
                </pic:pic>
              </a:graphicData>
            </a:graphic>
          </wp:inline>
        </w:drawing>
      </w:r>
    </w:p>
    <w:p w14:paraId="33169C3F" w14:textId="77777777" w:rsidR="00EB332C" w:rsidRDefault="00027EB4" w:rsidP="00027EB4">
      <w:pPr>
        <w:pStyle w:val="Caption"/>
        <w:rPr>
          <w:b w:val="0"/>
        </w:rPr>
      </w:pPr>
      <w:bookmarkStart w:id="243" w:name="_Toc161837766"/>
      <w:bookmarkStart w:id="244" w:name="_Toc161933213"/>
      <w:bookmarkStart w:id="245" w:name="_Toc163221113"/>
      <w:r w:rsidRPr="003359DC">
        <w:t>Figure 1</w:t>
      </w:r>
      <w:r w:rsidR="002D5876">
        <w:t>3</w:t>
      </w:r>
      <w:r w:rsidRPr="003359DC">
        <w:t xml:space="preserve"> </w:t>
      </w:r>
      <w:r w:rsidRPr="003359DC">
        <w:rPr>
          <w:b w:val="0"/>
        </w:rPr>
        <w:t>– Cumulative abatement of all options to 2030</w:t>
      </w:r>
      <w:bookmarkEnd w:id="243"/>
      <w:bookmarkEnd w:id="244"/>
      <w:bookmarkEnd w:id="245"/>
    </w:p>
    <w:p w14:paraId="0574D949" w14:textId="77777777" w:rsidR="005F3D68" w:rsidRPr="005F3D68" w:rsidRDefault="005F3D68" w:rsidP="005F3D68"/>
    <w:p w14:paraId="6EC06D91" w14:textId="77777777" w:rsidR="00072852" w:rsidRDefault="005F3D68" w:rsidP="00072852">
      <w:pPr>
        <w:keepNext/>
      </w:pPr>
      <w:r>
        <w:rPr>
          <w:noProof/>
          <w:lang w:eastAsia="en-AU"/>
        </w:rPr>
        <w:drawing>
          <wp:inline distT="0" distB="0" distL="0" distR="0" wp14:anchorId="5BF46BA7" wp14:editId="4AD2C6C6">
            <wp:extent cx="5581650" cy="3530852"/>
            <wp:effectExtent l="0" t="0" r="0" b="0"/>
            <wp:docPr id="24" name="Picture 24" descr="A line graph that compares the different levels of cumulative abatement of carbon dioxide emissions from 2025 to 2050 under the different options.&#10;&#10;&#10;Option A abatement (Mt CO2).&#10;2025 = 0.&#10;2026 = 0.&#10;2027 = 0.&#10;2028 = 1&#10;2029 = 1&#10;2030 = 1&#10;2035 = 1&#10;2040 = 1&#10;2045 = 1&#10;2050 = 1&#10;&#10;Option B abatement (Mt CO2).&#10;2025 = 0.&#10;2026 = 2.&#10;2027 = 5.&#10;2028 = 10.&#10;2029 = 17.&#10;2030 = 26.&#10;2035 = 97. &#10;2040 = 198. &#10;2045 = 298.&#10;2050 = 369.&#10; &#10;Option C abatement (Mt CO2).&#10;2025 = 0.&#10;2026 = 2.&#10;2027 = 6.&#10;2028 =13.&#10;2029 = 22.&#10;2030 = 34.&#10;2035 = 125. &#10;2040 = 247. &#10;2045 = 362. &#10;2050 = 443.&#10;&#10;Best Option abatement (Mt CO2)&#10;2025 = 0.&#10;2026 = 1&#10;2027 = 3&#10;2028 = 7&#10;2029 = 13&#10;2030 = 20&#10;2035 = 80&#10;2040 = 163&#10;2045 = 252&#10;2050 =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18" cy="3536841"/>
                    </a:xfrm>
                    <a:prstGeom prst="rect">
                      <a:avLst/>
                    </a:prstGeom>
                  </pic:spPr>
                </pic:pic>
              </a:graphicData>
            </a:graphic>
          </wp:inline>
        </w:drawing>
      </w:r>
    </w:p>
    <w:p w14:paraId="67384407" w14:textId="77777777" w:rsidR="009476DE" w:rsidRPr="00CF39C8" w:rsidRDefault="00072852" w:rsidP="00072852">
      <w:pPr>
        <w:pStyle w:val="Caption"/>
      </w:pPr>
      <w:bookmarkStart w:id="246" w:name="_Toc161837767"/>
      <w:bookmarkStart w:id="247" w:name="_Toc161933214"/>
      <w:bookmarkStart w:id="248" w:name="_Toc163221114"/>
      <w:r w:rsidRPr="00CF39C8">
        <w:t>Figure 1</w:t>
      </w:r>
      <w:r w:rsidR="002D5876">
        <w:t>4</w:t>
      </w:r>
      <w:r w:rsidRPr="00CF39C8">
        <w:t xml:space="preserve"> </w:t>
      </w:r>
      <w:r w:rsidRPr="00CF39C8">
        <w:rPr>
          <w:b w:val="0"/>
        </w:rPr>
        <w:t>– Cumulative abatement of all options to 2050</w:t>
      </w:r>
      <w:bookmarkEnd w:id="246"/>
      <w:bookmarkEnd w:id="247"/>
      <w:bookmarkEnd w:id="248"/>
    </w:p>
    <w:p w14:paraId="7496BBCC" w14:textId="77777777" w:rsidR="00F0477A" w:rsidRPr="00CF39C8" w:rsidRDefault="005F3D68" w:rsidP="00F0477A">
      <w:pPr>
        <w:rPr>
          <w:rFonts w:asciiTheme="majorHAnsi" w:hAnsiTheme="majorHAnsi" w:cstheme="majorHAnsi"/>
        </w:rPr>
      </w:pPr>
      <w:r>
        <w:rPr>
          <w:noProof/>
          <w:lang w:eastAsia="en-AU"/>
        </w:rPr>
        <w:drawing>
          <wp:inline distT="0" distB="0" distL="0" distR="0" wp14:anchorId="1320835B" wp14:editId="615C0356">
            <wp:extent cx="6029960" cy="3899535"/>
            <wp:effectExtent l="0" t="0" r="8890" b="5715"/>
            <wp:docPr id="26" name="Picture 26" descr="A line graph that compares the different levels of cumulative fuel cost saving from 2025 to 2050 under the different options.&#10;Option A cumulative fuel cost saving.&#10;2025 = $0.&#10;2026 = $0.  &#10;2027 = $233,779,023. &#10;2028 to 2050 = $501,880,859.&#10;&#10;Option B cumulative fuel cost saving. &#10;2025 = $361,719,103.&#10;2026 = $1,400,372,086.&#10;2027 = $3,126,877,743.&#10;2028 = $5,627,187,778.&#10;2029 = $8,693,877,462. &#10;2030 = $12,295,375,016. &#10;2035 = $36,676,737,279. &#10;2040 = $64,105,617,342. &#10;2045 = $85,731,574,760. &#10;2050 = $98,125,803,189.&#10;&#10;Option C cumulative fuel cost saving.&#10;2025 = $350,662,932. &#10;2026 = $1,650,283,489. &#10;2027 = $3,994,772,718. &#10;2028 = $7,285,246,657. &#10;2029 = $11,297,409,518. &#10;2030 = $15,995,524,032. &#10;2035 = $47,283,409,183.&#10;2040 = $80,403,383,178.&#10;2045 = $105,433,431,362. &#10;2050 = $119,520,791,670.&#10;&#10;Preferred option cumulative fuel cost saving&#10;2025: $251,177,132&#10;2026: $988,518,392&#10;2027: $2,333,238,717&#10;2028: $4,393,757,993&#10;2029: $6,982,026,139&#10;2030: $10,059,673,139&#10;2035: $26,478,557,879&#10;2040: $55,470,527,471&#10;2045: $75,060,059,796&#10;2050: $86,383,7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9960" cy="3899535"/>
                    </a:xfrm>
                    <a:prstGeom prst="rect">
                      <a:avLst/>
                    </a:prstGeom>
                  </pic:spPr>
                </pic:pic>
              </a:graphicData>
            </a:graphic>
          </wp:inline>
        </w:drawing>
      </w:r>
    </w:p>
    <w:p w14:paraId="55AF7998" w14:textId="77777777" w:rsidR="00F0477A" w:rsidRPr="00CF39C8" w:rsidRDefault="00F0477A" w:rsidP="00F0477A">
      <w:pPr>
        <w:pStyle w:val="Caption"/>
        <w:rPr>
          <w:rFonts w:asciiTheme="majorHAnsi" w:hAnsiTheme="majorHAnsi" w:cstheme="majorHAnsi"/>
          <w:highlight w:val="yellow"/>
        </w:rPr>
      </w:pPr>
      <w:bookmarkStart w:id="249" w:name="_Toc161837768"/>
      <w:bookmarkStart w:id="250" w:name="_Toc161933215"/>
      <w:bookmarkStart w:id="251" w:name="_Toc163221115"/>
      <w:r w:rsidRPr="00CF39C8">
        <w:t>Figure 1</w:t>
      </w:r>
      <w:r w:rsidR="002D5876">
        <w:t>5</w:t>
      </w:r>
      <w:r w:rsidRPr="00CF39C8">
        <w:t xml:space="preserve"> </w:t>
      </w:r>
      <w:r w:rsidRPr="00CF39C8">
        <w:rPr>
          <w:b w:val="0"/>
        </w:rPr>
        <w:t>– Cumulative fuel cost saving of all options to 2050</w:t>
      </w:r>
      <w:r w:rsidRPr="00CF39C8">
        <w:rPr>
          <w:rStyle w:val="FootnoteReference"/>
          <w:b w:val="0"/>
        </w:rPr>
        <w:footnoteReference w:id="22"/>
      </w:r>
      <w:bookmarkEnd w:id="249"/>
      <w:bookmarkEnd w:id="250"/>
      <w:bookmarkEnd w:id="251"/>
    </w:p>
    <w:p w14:paraId="47D8990E" w14:textId="77777777" w:rsidR="00F0477A" w:rsidRPr="00CF39C8" w:rsidRDefault="00F0477A" w:rsidP="0077297D">
      <w:pPr>
        <w:rPr>
          <w:rFonts w:asciiTheme="majorHAnsi" w:hAnsiTheme="majorHAnsi" w:cstheme="majorHAnsi"/>
        </w:rPr>
      </w:pPr>
    </w:p>
    <w:p w14:paraId="5B7489F2" w14:textId="77777777" w:rsidR="00F16233" w:rsidRPr="00CF39C8" w:rsidRDefault="005250AA" w:rsidP="0077297D">
      <w:pPr>
        <w:rPr>
          <w:rFonts w:asciiTheme="majorHAnsi" w:hAnsiTheme="majorHAnsi" w:cstheme="majorHAnsi"/>
        </w:rPr>
      </w:pPr>
      <w:bookmarkStart w:id="252" w:name="_Hlk157445439"/>
      <w:r w:rsidRPr="00CF39C8">
        <w:rPr>
          <w:rFonts w:asciiTheme="majorHAnsi" w:hAnsiTheme="majorHAnsi" w:cstheme="majorHAnsi"/>
        </w:rPr>
        <w:t xml:space="preserve">Under all </w:t>
      </w:r>
      <w:r w:rsidR="00203FEC" w:rsidRPr="00CF39C8">
        <w:rPr>
          <w:rFonts w:asciiTheme="majorHAnsi" w:hAnsiTheme="majorHAnsi" w:cstheme="majorHAnsi"/>
        </w:rPr>
        <w:t xml:space="preserve">previously considered </w:t>
      </w:r>
      <w:r w:rsidRPr="00CF39C8">
        <w:rPr>
          <w:rFonts w:asciiTheme="majorHAnsi" w:hAnsiTheme="majorHAnsi" w:cstheme="majorHAnsi"/>
        </w:rPr>
        <w:t>options</w:t>
      </w:r>
      <w:r w:rsidR="00EA0106">
        <w:rPr>
          <w:rFonts w:asciiTheme="majorHAnsi" w:hAnsiTheme="majorHAnsi" w:cstheme="majorHAnsi"/>
        </w:rPr>
        <w:t xml:space="preserve"> (A, B and C)</w:t>
      </w:r>
      <w:r w:rsidR="0056477A" w:rsidRPr="00CF39C8">
        <w:rPr>
          <w:rFonts w:asciiTheme="majorHAnsi" w:hAnsiTheme="majorHAnsi" w:cstheme="majorHAnsi"/>
        </w:rPr>
        <w:t xml:space="preserve">, </w:t>
      </w:r>
      <w:r w:rsidR="00203FEC" w:rsidRPr="00CF39C8">
        <w:rPr>
          <w:rFonts w:asciiTheme="majorHAnsi" w:hAnsiTheme="majorHAnsi" w:cstheme="majorHAnsi"/>
        </w:rPr>
        <w:t>and</w:t>
      </w:r>
      <w:r w:rsidR="0056477A" w:rsidRPr="00CF39C8">
        <w:rPr>
          <w:rFonts w:asciiTheme="majorHAnsi" w:hAnsiTheme="majorHAnsi" w:cstheme="majorHAnsi"/>
        </w:rPr>
        <w:t xml:space="preserve"> </w:t>
      </w:r>
      <w:r w:rsidR="00EA0106">
        <w:rPr>
          <w:rFonts w:asciiTheme="majorHAnsi" w:hAnsiTheme="majorHAnsi" w:cstheme="majorHAnsi"/>
        </w:rPr>
        <w:t>the</w:t>
      </w:r>
      <w:r w:rsidR="00613092">
        <w:rPr>
          <w:rFonts w:asciiTheme="majorHAnsi" w:hAnsiTheme="majorHAnsi" w:cstheme="majorHAnsi"/>
        </w:rPr>
        <w:t xml:space="preserve"> </w:t>
      </w:r>
      <w:r w:rsidR="00C73B6B">
        <w:rPr>
          <w:rFonts w:asciiTheme="majorHAnsi" w:hAnsiTheme="majorHAnsi" w:cstheme="majorHAnsi"/>
        </w:rPr>
        <w:t xml:space="preserve">best </w:t>
      </w:r>
      <w:r w:rsidR="00EA0106">
        <w:rPr>
          <w:rFonts w:asciiTheme="majorHAnsi" w:hAnsiTheme="majorHAnsi" w:cstheme="majorHAnsi"/>
        </w:rPr>
        <w:t>option</w:t>
      </w:r>
      <w:r w:rsidR="00613092">
        <w:rPr>
          <w:rFonts w:asciiTheme="majorHAnsi" w:hAnsiTheme="majorHAnsi" w:cstheme="majorHAnsi"/>
        </w:rPr>
        <w:t xml:space="preserve">, </w:t>
      </w:r>
      <w:r w:rsidRPr="00CF39C8">
        <w:rPr>
          <w:rFonts w:asciiTheme="majorHAnsi" w:hAnsiTheme="majorHAnsi" w:cstheme="majorHAnsi"/>
        </w:rPr>
        <w:t xml:space="preserve">targets are </w:t>
      </w:r>
      <w:r w:rsidR="003D3B45" w:rsidRPr="00CF39C8">
        <w:rPr>
          <w:rFonts w:asciiTheme="majorHAnsi" w:hAnsiTheme="majorHAnsi" w:cstheme="majorHAnsi"/>
        </w:rPr>
        <w:t>only proposed</w:t>
      </w:r>
      <w:r w:rsidRPr="00CF39C8">
        <w:rPr>
          <w:rFonts w:asciiTheme="majorHAnsi" w:hAnsiTheme="majorHAnsi" w:cstheme="majorHAnsi"/>
        </w:rPr>
        <w:t xml:space="preserve"> </w:t>
      </w:r>
      <w:r w:rsidR="00C22FE1" w:rsidRPr="00CF39C8">
        <w:rPr>
          <w:rFonts w:asciiTheme="majorHAnsi" w:hAnsiTheme="majorHAnsi" w:cstheme="majorHAnsi"/>
        </w:rPr>
        <w:t>to be</w:t>
      </w:r>
      <w:r w:rsidRPr="00CF39C8">
        <w:rPr>
          <w:rFonts w:asciiTheme="majorHAnsi" w:hAnsiTheme="majorHAnsi" w:cstheme="majorHAnsi"/>
        </w:rPr>
        <w:t xml:space="preserve"> set from 2025 to 2029 inclusive,</w:t>
      </w:r>
      <w:r w:rsidR="003D3B45" w:rsidRPr="00CF39C8">
        <w:rPr>
          <w:rFonts w:asciiTheme="majorHAnsi" w:hAnsiTheme="majorHAnsi" w:cstheme="majorHAnsi"/>
        </w:rPr>
        <w:t xml:space="preserve"> with </w:t>
      </w:r>
      <w:r w:rsidR="006D4EF3" w:rsidRPr="00CF39C8">
        <w:rPr>
          <w:rFonts w:asciiTheme="majorHAnsi" w:hAnsiTheme="majorHAnsi" w:cstheme="majorHAnsi"/>
        </w:rPr>
        <w:t>NVES</w:t>
      </w:r>
      <w:r w:rsidR="008677D4" w:rsidRPr="00CF39C8">
        <w:rPr>
          <w:rFonts w:asciiTheme="majorHAnsi" w:hAnsiTheme="majorHAnsi" w:cstheme="majorHAnsi"/>
        </w:rPr>
        <w:t xml:space="preserve"> settings and </w:t>
      </w:r>
      <w:r w:rsidR="003D3B45" w:rsidRPr="00CF39C8">
        <w:rPr>
          <w:rFonts w:asciiTheme="majorHAnsi" w:hAnsiTheme="majorHAnsi" w:cstheme="majorHAnsi"/>
        </w:rPr>
        <w:t xml:space="preserve">targets after 2029 to be set following a review in 2026. However, we can </w:t>
      </w:r>
      <w:r w:rsidR="005B5F56" w:rsidRPr="00CF39C8">
        <w:rPr>
          <w:rFonts w:asciiTheme="majorHAnsi" w:hAnsiTheme="majorHAnsi" w:cstheme="majorHAnsi"/>
        </w:rPr>
        <w:t>forecast</w:t>
      </w:r>
      <w:r w:rsidR="003D3B45" w:rsidRPr="00CF39C8">
        <w:rPr>
          <w:rFonts w:asciiTheme="majorHAnsi" w:hAnsiTheme="majorHAnsi" w:cstheme="majorHAnsi"/>
        </w:rPr>
        <w:t xml:space="preserve"> what abatement</w:t>
      </w:r>
      <w:r w:rsidR="00F0477A" w:rsidRPr="00CF39C8">
        <w:rPr>
          <w:rFonts w:asciiTheme="majorHAnsi" w:hAnsiTheme="majorHAnsi" w:cstheme="majorHAnsi"/>
        </w:rPr>
        <w:t xml:space="preserve"> and fuel cost savings</w:t>
      </w:r>
      <w:r w:rsidR="003D3B45" w:rsidRPr="00CF39C8">
        <w:rPr>
          <w:rFonts w:asciiTheme="majorHAnsi" w:hAnsiTheme="majorHAnsi" w:cstheme="majorHAnsi"/>
        </w:rPr>
        <w:t xml:space="preserve"> might look like on a longer timescale by projecting the modelling further into the future</w:t>
      </w:r>
      <w:r w:rsidR="00F16233" w:rsidRPr="00CF39C8">
        <w:rPr>
          <w:rFonts w:asciiTheme="majorHAnsi" w:hAnsiTheme="majorHAnsi" w:cstheme="majorHAnsi"/>
        </w:rPr>
        <w:t xml:space="preserve"> (</w:t>
      </w:r>
      <w:r w:rsidR="003D3B45" w:rsidRPr="00CF39C8">
        <w:rPr>
          <w:rFonts w:asciiTheme="majorHAnsi" w:hAnsiTheme="majorHAnsi" w:cstheme="majorHAnsi"/>
        </w:rPr>
        <w:t>in this case to 2050</w:t>
      </w:r>
      <w:r w:rsidR="00F16233" w:rsidRPr="00CF39C8">
        <w:rPr>
          <w:rFonts w:asciiTheme="majorHAnsi" w:hAnsiTheme="majorHAnsi" w:cstheme="majorHAnsi"/>
        </w:rPr>
        <w:t xml:space="preserve">). The way that we do this in this figure is by tracking the </w:t>
      </w:r>
      <w:r w:rsidR="00DC48C3">
        <w:rPr>
          <w:rFonts w:asciiTheme="majorHAnsi" w:hAnsiTheme="majorHAnsi" w:cstheme="majorHAnsi"/>
        </w:rPr>
        <w:t>option a</w:t>
      </w:r>
      <w:r w:rsidR="00F16233" w:rsidRPr="00CF39C8">
        <w:rPr>
          <w:rFonts w:asciiTheme="majorHAnsi" w:hAnsiTheme="majorHAnsi" w:cstheme="majorHAnsi"/>
        </w:rPr>
        <w:t xml:space="preserve">gainst the expected BAU </w:t>
      </w:r>
      <w:r w:rsidR="000D3152">
        <w:rPr>
          <w:rFonts w:asciiTheme="majorHAnsi" w:hAnsiTheme="majorHAnsi" w:cstheme="majorHAnsi"/>
        </w:rPr>
        <w:t xml:space="preserve">trajectory after 2009. </w:t>
      </w:r>
    </w:p>
    <w:p w14:paraId="20DCFD48" w14:textId="77777777" w:rsidR="002B3A11" w:rsidRPr="00CF39C8" w:rsidRDefault="00F16233" w:rsidP="00F16233">
      <w:pPr>
        <w:rPr>
          <w:rFonts w:asciiTheme="majorHAnsi" w:hAnsiTheme="majorHAnsi" w:cstheme="majorHAnsi"/>
        </w:rPr>
      </w:pPr>
      <w:r w:rsidRPr="00CF39C8">
        <w:rPr>
          <w:rFonts w:asciiTheme="majorHAnsi" w:hAnsiTheme="majorHAnsi" w:cstheme="majorHAnsi"/>
        </w:rPr>
        <w:t>What this show</w:t>
      </w:r>
      <w:r w:rsidR="00203FEC" w:rsidRPr="00CF39C8">
        <w:rPr>
          <w:rFonts w:asciiTheme="majorHAnsi" w:hAnsiTheme="majorHAnsi" w:cstheme="majorHAnsi"/>
        </w:rPr>
        <w:t xml:space="preserve">ed for </w:t>
      </w:r>
      <w:r w:rsidRPr="00CF39C8">
        <w:rPr>
          <w:rFonts w:asciiTheme="majorHAnsi" w:hAnsiTheme="majorHAnsi" w:cstheme="majorHAnsi"/>
        </w:rPr>
        <w:t xml:space="preserve">the abatement results for </w:t>
      </w:r>
      <w:r w:rsidR="00DF21D7" w:rsidRPr="00CF39C8">
        <w:rPr>
          <w:rFonts w:asciiTheme="majorHAnsi" w:hAnsiTheme="majorHAnsi" w:cstheme="majorHAnsi"/>
        </w:rPr>
        <w:t>o</w:t>
      </w:r>
      <w:r w:rsidRPr="00CF39C8">
        <w:rPr>
          <w:rFonts w:asciiTheme="majorHAnsi" w:hAnsiTheme="majorHAnsi" w:cstheme="majorHAnsi"/>
        </w:rPr>
        <w:t>ptions B and C</w:t>
      </w:r>
      <w:r w:rsidR="00203FEC" w:rsidRPr="00CF39C8">
        <w:rPr>
          <w:rFonts w:asciiTheme="majorHAnsi" w:hAnsiTheme="majorHAnsi" w:cstheme="majorHAnsi"/>
        </w:rPr>
        <w:t xml:space="preserve"> as considered in February 2024,</w:t>
      </w:r>
      <w:r w:rsidRPr="00CF39C8">
        <w:rPr>
          <w:rFonts w:asciiTheme="majorHAnsi" w:hAnsiTheme="majorHAnsi" w:cstheme="majorHAnsi"/>
        </w:rPr>
        <w:t xml:space="preserve"> is that effort to achieve abatement </w:t>
      </w:r>
      <w:r w:rsidR="00CB5FD0" w:rsidRPr="00CF39C8">
        <w:rPr>
          <w:rFonts w:asciiTheme="majorHAnsi" w:hAnsiTheme="majorHAnsi" w:cstheme="majorHAnsi"/>
        </w:rPr>
        <w:t>in the short-term</w:t>
      </w:r>
      <w:r w:rsidR="00CE7C14" w:rsidRPr="00CF39C8">
        <w:rPr>
          <w:rFonts w:asciiTheme="majorHAnsi" w:hAnsiTheme="majorHAnsi" w:cstheme="majorHAnsi"/>
        </w:rPr>
        <w:t>,</w:t>
      </w:r>
      <w:r w:rsidR="00CB5FD0" w:rsidRPr="00CF39C8">
        <w:rPr>
          <w:rFonts w:asciiTheme="majorHAnsi" w:hAnsiTheme="majorHAnsi" w:cstheme="majorHAnsi"/>
        </w:rPr>
        <w:t xml:space="preserve"> </w:t>
      </w:r>
      <w:r w:rsidRPr="00CF39C8">
        <w:rPr>
          <w:rFonts w:asciiTheme="majorHAnsi" w:hAnsiTheme="majorHAnsi" w:cstheme="majorHAnsi"/>
        </w:rPr>
        <w:t>results in a large abatement payoff over the long term. In more technical terms, t</w:t>
      </w:r>
      <w:r w:rsidR="009E4FC2" w:rsidRPr="00CF39C8">
        <w:rPr>
          <w:rFonts w:asciiTheme="majorHAnsi" w:hAnsiTheme="majorHAnsi" w:cstheme="majorHAnsi"/>
        </w:rPr>
        <w:t xml:space="preserve">he abatement after 2029 is </w:t>
      </w:r>
      <w:r w:rsidR="00F813C6" w:rsidRPr="00CF39C8">
        <w:rPr>
          <w:rFonts w:asciiTheme="majorHAnsi" w:hAnsiTheme="majorHAnsi" w:cstheme="majorHAnsi"/>
        </w:rPr>
        <w:t xml:space="preserve">partly </w:t>
      </w:r>
      <w:r w:rsidR="009E4FC2" w:rsidRPr="00CF39C8">
        <w:rPr>
          <w:rFonts w:asciiTheme="majorHAnsi" w:hAnsiTheme="majorHAnsi" w:cstheme="majorHAnsi"/>
        </w:rPr>
        <w:t>drive</w:t>
      </w:r>
      <w:r w:rsidR="00F813C6" w:rsidRPr="00CF39C8">
        <w:rPr>
          <w:rFonts w:asciiTheme="majorHAnsi" w:hAnsiTheme="majorHAnsi" w:cstheme="majorHAnsi"/>
        </w:rPr>
        <w:t>n</w:t>
      </w:r>
      <w:r w:rsidR="009E4FC2" w:rsidRPr="00CF39C8">
        <w:rPr>
          <w:rFonts w:asciiTheme="majorHAnsi" w:hAnsiTheme="majorHAnsi" w:cstheme="majorHAnsi"/>
        </w:rPr>
        <w:t xml:space="preserve"> by the inferred CO</w:t>
      </w:r>
      <w:r w:rsidR="009E4FC2" w:rsidRPr="00CF39C8">
        <w:rPr>
          <w:rFonts w:asciiTheme="majorHAnsi" w:hAnsiTheme="majorHAnsi" w:cstheme="majorHAnsi"/>
          <w:vertAlign w:val="subscript"/>
        </w:rPr>
        <w:t>2</w:t>
      </w:r>
      <w:r w:rsidR="009E4FC2" w:rsidRPr="00CF39C8">
        <w:rPr>
          <w:rFonts w:asciiTheme="majorHAnsi" w:hAnsiTheme="majorHAnsi" w:cstheme="majorHAnsi"/>
        </w:rPr>
        <w:t xml:space="preserve"> targets, which assume</w:t>
      </w:r>
      <w:r w:rsidR="00F813C6" w:rsidRPr="00CF39C8">
        <w:rPr>
          <w:rFonts w:asciiTheme="majorHAnsi" w:hAnsiTheme="majorHAnsi" w:cstheme="majorHAnsi"/>
        </w:rPr>
        <w:t>s the headline targets</w:t>
      </w:r>
      <w:r w:rsidR="009E4FC2" w:rsidRPr="00CF39C8">
        <w:rPr>
          <w:rFonts w:asciiTheme="majorHAnsi" w:hAnsiTheme="majorHAnsi" w:cstheme="majorHAnsi"/>
        </w:rPr>
        <w:t xml:space="preserve"> track parallel with the BAU trajectory in any years in which targets are not set, to a cap of 20g CO</w:t>
      </w:r>
      <w:r w:rsidR="009E4FC2" w:rsidRPr="00CF39C8">
        <w:rPr>
          <w:rFonts w:asciiTheme="majorHAnsi" w:hAnsiTheme="majorHAnsi" w:cstheme="majorHAnsi"/>
          <w:vertAlign w:val="subscript"/>
        </w:rPr>
        <w:t>2</w:t>
      </w:r>
      <w:r w:rsidR="009E4FC2" w:rsidRPr="00CF39C8">
        <w:rPr>
          <w:rFonts w:asciiTheme="majorHAnsi" w:hAnsiTheme="majorHAnsi" w:cstheme="majorHAnsi"/>
        </w:rPr>
        <w:t>/km</w:t>
      </w:r>
      <w:r w:rsidR="00845194" w:rsidRPr="00CF39C8">
        <w:rPr>
          <w:rFonts w:asciiTheme="majorHAnsi" w:hAnsiTheme="majorHAnsi" w:cstheme="majorHAnsi"/>
        </w:rPr>
        <w:t xml:space="preserve"> (see Appendix B for a full set of assumptions)</w:t>
      </w:r>
      <w:r w:rsidR="009E4FC2" w:rsidRPr="00CF39C8">
        <w:rPr>
          <w:rFonts w:asciiTheme="majorHAnsi" w:hAnsiTheme="majorHAnsi" w:cstheme="majorHAnsi"/>
        </w:rPr>
        <w:t xml:space="preserve">. </w:t>
      </w:r>
      <w:r w:rsidR="00713E25" w:rsidRPr="00CF39C8">
        <w:rPr>
          <w:rFonts w:asciiTheme="majorHAnsi" w:hAnsiTheme="majorHAnsi" w:cstheme="majorHAnsi"/>
        </w:rPr>
        <w:t xml:space="preserve">Note that </w:t>
      </w:r>
      <w:r w:rsidR="00DC48C3">
        <w:rPr>
          <w:rFonts w:asciiTheme="majorHAnsi" w:hAnsiTheme="majorHAnsi" w:cstheme="majorHAnsi"/>
        </w:rPr>
        <w:t>Option A</w:t>
      </w:r>
      <w:r w:rsidR="00713E25" w:rsidRPr="00CF39C8">
        <w:rPr>
          <w:rFonts w:asciiTheme="majorHAnsi" w:hAnsiTheme="majorHAnsi" w:cstheme="majorHAnsi"/>
        </w:rPr>
        <w:t xml:space="preserve"> </w:t>
      </w:r>
      <w:r w:rsidR="00203FEC" w:rsidRPr="00CF39C8">
        <w:rPr>
          <w:rFonts w:asciiTheme="majorHAnsi" w:hAnsiTheme="majorHAnsi" w:cstheme="majorHAnsi"/>
        </w:rPr>
        <w:t xml:space="preserve">would </w:t>
      </w:r>
      <w:r w:rsidR="00713E25" w:rsidRPr="00CF39C8">
        <w:rPr>
          <w:rFonts w:asciiTheme="majorHAnsi" w:hAnsiTheme="majorHAnsi" w:cstheme="majorHAnsi"/>
        </w:rPr>
        <w:t>generate</w:t>
      </w:r>
      <w:r w:rsidR="00997B3D" w:rsidRPr="00CF39C8">
        <w:rPr>
          <w:rFonts w:asciiTheme="majorHAnsi" w:hAnsiTheme="majorHAnsi" w:cstheme="majorHAnsi"/>
        </w:rPr>
        <w:t xml:space="preserve"> minimal</w:t>
      </w:r>
      <w:r w:rsidR="00713E25" w:rsidRPr="00CF39C8">
        <w:rPr>
          <w:rFonts w:asciiTheme="majorHAnsi" w:hAnsiTheme="majorHAnsi" w:cstheme="majorHAnsi"/>
        </w:rPr>
        <w:t xml:space="preserve"> abatement</w:t>
      </w:r>
      <w:r w:rsidR="00F0477A" w:rsidRPr="00CF39C8">
        <w:rPr>
          <w:rFonts w:asciiTheme="majorHAnsi" w:hAnsiTheme="majorHAnsi" w:cstheme="majorHAnsi"/>
        </w:rPr>
        <w:t xml:space="preserve"> and fuel cost saving</w:t>
      </w:r>
      <w:r w:rsidR="00A0228B" w:rsidRPr="00CF39C8">
        <w:rPr>
          <w:rFonts w:asciiTheme="majorHAnsi" w:hAnsiTheme="majorHAnsi" w:cstheme="majorHAnsi"/>
        </w:rPr>
        <w:t xml:space="preserve">. </w:t>
      </w:r>
      <w:r w:rsidR="00997B3D" w:rsidRPr="00CF39C8">
        <w:rPr>
          <w:rFonts w:asciiTheme="majorHAnsi" w:hAnsiTheme="majorHAnsi" w:cstheme="majorHAnsi"/>
        </w:rPr>
        <w:t xml:space="preserve">This is because the targets under this option involve marginal changes from what we estimate the BAU would deliver. </w:t>
      </w:r>
    </w:p>
    <w:bookmarkEnd w:id="252"/>
    <w:p w14:paraId="58ED6A01" w14:textId="77777777" w:rsidR="006C42D9" w:rsidRDefault="006C42D9">
      <w:pPr>
        <w:rPr>
          <w:rFonts w:asciiTheme="majorHAnsi" w:hAnsiTheme="majorHAnsi" w:cstheme="majorHAnsi"/>
          <w:highlight w:val="green"/>
        </w:rPr>
        <w:sectPr w:rsidR="006C42D9" w:rsidSect="006D01FC">
          <w:pgSz w:w="11906" w:h="16838" w:code="9"/>
          <w:pgMar w:top="1021" w:right="1134" w:bottom="851" w:left="1276" w:header="510" w:footer="567" w:gutter="0"/>
          <w:cols w:space="708"/>
          <w:docGrid w:linePitch="360"/>
        </w:sectPr>
      </w:pPr>
    </w:p>
    <w:p w14:paraId="270880B5" w14:textId="77777777" w:rsidR="006C42D9" w:rsidRPr="00CF39C8" w:rsidRDefault="006C42D9" w:rsidP="00430317">
      <w:pPr>
        <w:pStyle w:val="Heading3"/>
        <w:numPr>
          <w:ilvl w:val="2"/>
          <w:numId w:val="80"/>
        </w:numPr>
        <w:ind w:hanging="1080"/>
        <w:rPr>
          <w:rFonts w:cstheme="majorHAnsi"/>
        </w:rPr>
      </w:pPr>
      <w:bookmarkStart w:id="253" w:name="_Toc161837664"/>
      <w:bookmarkStart w:id="254" w:name="_Toc161933161"/>
      <w:bookmarkStart w:id="255" w:name="_Toc162276468"/>
      <w:bookmarkStart w:id="256" w:name="_Toc163221064"/>
      <w:r>
        <w:rPr>
          <w:rFonts w:cstheme="majorHAnsi"/>
        </w:rPr>
        <w:t>What changes could be considered?</w:t>
      </w:r>
      <w:bookmarkEnd w:id="253"/>
      <w:bookmarkEnd w:id="254"/>
      <w:bookmarkEnd w:id="255"/>
      <w:bookmarkEnd w:id="256"/>
    </w:p>
    <w:p w14:paraId="0C3E5927" w14:textId="77777777" w:rsidR="006C42D9" w:rsidRPr="006C42D9" w:rsidRDefault="006C42D9" w:rsidP="006C42D9">
      <w:pPr>
        <w:rPr>
          <w:rFonts w:asciiTheme="majorHAnsi" w:hAnsiTheme="majorHAnsi" w:cstheme="majorHAnsi"/>
          <w:sz w:val="22"/>
        </w:rPr>
      </w:pPr>
      <w:r w:rsidRPr="006C42D9">
        <w:rPr>
          <w:rFonts w:asciiTheme="majorHAnsi" w:hAnsiTheme="majorHAnsi" w:cstheme="majorHAnsi"/>
          <w:sz w:val="22"/>
        </w:rPr>
        <w:t xml:space="preserve">In this section we provide more detail on what changes following consultation are being considered. The table below presents a set of potential options for amendments to </w:t>
      </w:r>
      <w:r w:rsidR="00C12BE2">
        <w:rPr>
          <w:rFonts w:asciiTheme="majorHAnsi" w:hAnsiTheme="majorHAnsi" w:cstheme="majorHAnsi"/>
          <w:sz w:val="22"/>
        </w:rPr>
        <w:t>Option B</w:t>
      </w:r>
      <w:r w:rsidRPr="006C42D9">
        <w:rPr>
          <w:rFonts w:asciiTheme="majorHAnsi" w:hAnsiTheme="majorHAnsi" w:cstheme="majorHAnsi"/>
          <w:sz w:val="22"/>
        </w:rPr>
        <w:t xml:space="preserve">, which the decision maker could choose to adopt, either singly, partially, or collectively whilst substantively retaining alignment with the guiding principles. </w:t>
      </w:r>
    </w:p>
    <w:p w14:paraId="4EEEE5E3" w14:textId="77777777" w:rsidR="006C42D9" w:rsidRDefault="006C42D9" w:rsidP="006C42D9">
      <w:pPr>
        <w:rPr>
          <w:rFonts w:asciiTheme="majorHAnsi" w:hAnsiTheme="majorHAnsi" w:cstheme="majorHAnsi"/>
          <w:sz w:val="22"/>
        </w:rPr>
      </w:pPr>
      <w:r w:rsidRPr="006C42D9">
        <w:rPr>
          <w:rFonts w:asciiTheme="majorHAnsi" w:hAnsiTheme="majorHAnsi" w:cstheme="majorHAnsi"/>
          <w:sz w:val="22"/>
        </w:rPr>
        <w:t xml:space="preserve">These are all </w:t>
      </w:r>
      <w:r w:rsidR="00D53072">
        <w:rPr>
          <w:rFonts w:asciiTheme="majorHAnsi" w:hAnsiTheme="majorHAnsi" w:cstheme="majorHAnsi"/>
          <w:sz w:val="22"/>
        </w:rPr>
        <w:t>presented</w:t>
      </w:r>
      <w:r w:rsidR="00D53072" w:rsidRPr="006C42D9">
        <w:rPr>
          <w:rFonts w:asciiTheme="majorHAnsi" w:hAnsiTheme="majorHAnsi" w:cstheme="majorHAnsi"/>
          <w:sz w:val="22"/>
        </w:rPr>
        <w:t xml:space="preserve"> </w:t>
      </w:r>
      <w:r w:rsidRPr="006C42D9">
        <w:rPr>
          <w:rFonts w:asciiTheme="majorHAnsi" w:hAnsiTheme="majorHAnsi" w:cstheme="majorHAnsi"/>
          <w:sz w:val="22"/>
        </w:rPr>
        <w:t xml:space="preserve">relative to </w:t>
      </w:r>
      <w:r w:rsidR="00C12BE2">
        <w:rPr>
          <w:rFonts w:asciiTheme="majorHAnsi" w:hAnsiTheme="majorHAnsi" w:cstheme="majorHAnsi"/>
          <w:sz w:val="22"/>
        </w:rPr>
        <w:t>Option B</w:t>
      </w:r>
      <w:r w:rsidRPr="006C42D9">
        <w:rPr>
          <w:rFonts w:asciiTheme="majorHAnsi" w:hAnsiTheme="majorHAnsi" w:cstheme="majorHAnsi"/>
          <w:sz w:val="22"/>
        </w:rPr>
        <w:t xml:space="preserve"> in the consultation Impact Analysis because </w:t>
      </w:r>
      <w:r w:rsidR="00C12BE2">
        <w:rPr>
          <w:rFonts w:asciiTheme="majorHAnsi" w:hAnsiTheme="majorHAnsi" w:cstheme="majorHAnsi"/>
          <w:sz w:val="22"/>
        </w:rPr>
        <w:t>Option B</w:t>
      </w:r>
      <w:r w:rsidRPr="006C42D9">
        <w:rPr>
          <w:rFonts w:asciiTheme="majorHAnsi" w:hAnsiTheme="majorHAnsi" w:cstheme="majorHAnsi"/>
          <w:sz w:val="22"/>
        </w:rPr>
        <w:t xml:space="preserve"> was </w:t>
      </w:r>
      <w:r w:rsidR="00062FC3">
        <w:rPr>
          <w:rFonts w:asciiTheme="majorHAnsi" w:hAnsiTheme="majorHAnsi" w:cstheme="majorHAnsi"/>
          <w:sz w:val="22"/>
        </w:rPr>
        <w:t>the Government’s</w:t>
      </w:r>
      <w:r w:rsidRPr="006C42D9">
        <w:rPr>
          <w:rFonts w:asciiTheme="majorHAnsi" w:hAnsiTheme="majorHAnsi" w:cstheme="majorHAnsi"/>
          <w:sz w:val="22"/>
        </w:rPr>
        <w:t xml:space="preserve"> </w:t>
      </w:r>
      <w:r w:rsidR="005154FA">
        <w:rPr>
          <w:rFonts w:asciiTheme="majorHAnsi" w:hAnsiTheme="majorHAnsi" w:cstheme="majorHAnsi"/>
          <w:sz w:val="22"/>
        </w:rPr>
        <w:t>best</w:t>
      </w:r>
      <w:r w:rsidR="005154FA" w:rsidRPr="006C42D9">
        <w:rPr>
          <w:rFonts w:asciiTheme="majorHAnsi" w:hAnsiTheme="majorHAnsi" w:cstheme="majorHAnsi"/>
          <w:sz w:val="22"/>
        </w:rPr>
        <w:t xml:space="preserve"> </w:t>
      </w:r>
      <w:r w:rsidR="00DC48C3">
        <w:rPr>
          <w:rFonts w:asciiTheme="majorHAnsi" w:hAnsiTheme="majorHAnsi" w:cstheme="majorHAnsi"/>
          <w:sz w:val="22"/>
        </w:rPr>
        <w:t>option a</w:t>
      </w:r>
      <w:r w:rsidR="00062FC3">
        <w:rPr>
          <w:rFonts w:asciiTheme="majorHAnsi" w:hAnsiTheme="majorHAnsi" w:cstheme="majorHAnsi"/>
          <w:sz w:val="22"/>
        </w:rPr>
        <w:t xml:space="preserve">t </w:t>
      </w:r>
      <w:r w:rsidR="00D53072">
        <w:rPr>
          <w:rFonts w:asciiTheme="majorHAnsi" w:hAnsiTheme="majorHAnsi" w:cstheme="majorHAnsi"/>
          <w:sz w:val="22"/>
        </w:rPr>
        <w:t xml:space="preserve">the time of </w:t>
      </w:r>
      <w:r w:rsidR="00062FC3">
        <w:rPr>
          <w:rFonts w:asciiTheme="majorHAnsi" w:hAnsiTheme="majorHAnsi" w:cstheme="majorHAnsi"/>
          <w:sz w:val="22"/>
        </w:rPr>
        <w:t>publication</w:t>
      </w:r>
      <w:r w:rsidR="00D53072">
        <w:rPr>
          <w:rFonts w:asciiTheme="majorHAnsi" w:hAnsiTheme="majorHAnsi" w:cstheme="majorHAnsi"/>
          <w:sz w:val="22"/>
        </w:rPr>
        <w:t xml:space="preserve"> (February 2024)</w:t>
      </w:r>
      <w:r w:rsidRPr="006C42D9">
        <w:rPr>
          <w:rFonts w:asciiTheme="majorHAnsi" w:hAnsiTheme="majorHAnsi" w:cstheme="majorHAnsi"/>
          <w:sz w:val="22"/>
        </w:rPr>
        <w:t>.</w:t>
      </w:r>
    </w:p>
    <w:p w14:paraId="3DF62290" w14:textId="77777777" w:rsidR="00CB2867" w:rsidRDefault="00CB2867" w:rsidP="006C42D9">
      <w:pPr>
        <w:rPr>
          <w:rFonts w:asciiTheme="majorHAnsi" w:hAnsiTheme="majorHAnsi" w:cstheme="majorHAnsi"/>
          <w:sz w:val="22"/>
        </w:rPr>
      </w:pPr>
    </w:p>
    <w:tbl>
      <w:tblPr>
        <w:tblStyle w:val="TableGrid"/>
        <w:tblW w:w="14591" w:type="dxa"/>
        <w:tblBorders>
          <w:top w:val="single" w:sz="8" w:space="0" w:color="417A84" w:themeColor="accent5" w:themeShade="BF"/>
          <w:left w:val="single" w:sz="8" w:space="0" w:color="417A84" w:themeColor="accent5" w:themeShade="BF"/>
          <w:bottom w:val="single" w:sz="8" w:space="0" w:color="417A84" w:themeColor="accent5" w:themeShade="BF"/>
          <w:right w:val="single" w:sz="8" w:space="0" w:color="417A84" w:themeColor="accent5" w:themeShade="BF"/>
          <w:insideH w:val="single" w:sz="8" w:space="0" w:color="417A84" w:themeColor="accent5" w:themeShade="BF"/>
          <w:insideV w:val="single" w:sz="8" w:space="0" w:color="417A84" w:themeColor="accent5" w:themeShade="BF"/>
        </w:tblBorders>
        <w:tblCellMar>
          <w:top w:w="57" w:type="dxa"/>
          <w:bottom w:w="57" w:type="dxa"/>
        </w:tblCellMar>
        <w:tblLook w:val="04A0" w:firstRow="1" w:lastRow="0" w:firstColumn="1" w:lastColumn="0" w:noHBand="0" w:noVBand="1"/>
      </w:tblPr>
      <w:tblGrid>
        <w:gridCol w:w="4486"/>
        <w:gridCol w:w="10105"/>
      </w:tblGrid>
      <w:tr w:rsidR="00C35B48" w14:paraId="5CD6FC3C" w14:textId="77777777" w:rsidTr="00C35B48">
        <w:trPr>
          <w:tblHeader/>
        </w:trPr>
        <w:tc>
          <w:tcPr>
            <w:tcW w:w="4486" w:type="dxa"/>
            <w:shd w:val="clear" w:color="auto" w:fill="417A84" w:themeFill="accent5" w:themeFillShade="BF"/>
            <w:vAlign w:val="center"/>
          </w:tcPr>
          <w:p w14:paraId="2698B3C6" w14:textId="77777777" w:rsidR="00C35B48" w:rsidRPr="00204D16" w:rsidRDefault="00C35B48" w:rsidP="008D0A6B">
            <w:pPr>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Proposed amendment</w:t>
            </w:r>
          </w:p>
        </w:tc>
        <w:tc>
          <w:tcPr>
            <w:tcW w:w="10105" w:type="dxa"/>
            <w:shd w:val="clear" w:color="auto" w:fill="417A84" w:themeFill="accent5" w:themeFillShade="BF"/>
            <w:vAlign w:val="center"/>
          </w:tcPr>
          <w:p w14:paraId="4B357504" w14:textId="77777777" w:rsidR="00C35B48" w:rsidRPr="00204D16" w:rsidRDefault="00C35B48" w:rsidP="008D0A6B">
            <w:pPr>
              <w:jc w:val="center"/>
              <w:rPr>
                <w:rFonts w:asciiTheme="majorHAnsi" w:hAnsiTheme="majorHAnsi" w:cstheme="majorHAnsi"/>
                <w:b/>
                <w:color w:val="FFFFFF" w:themeColor="background1"/>
                <w:sz w:val="22"/>
                <w:szCs w:val="22"/>
              </w:rPr>
            </w:pPr>
            <w:r w:rsidRPr="00204D16">
              <w:rPr>
                <w:rFonts w:asciiTheme="majorHAnsi" w:hAnsiTheme="majorHAnsi" w:cstheme="majorHAnsi"/>
                <w:b/>
                <w:color w:val="FFFFFF" w:themeColor="background1"/>
                <w:sz w:val="22"/>
                <w:szCs w:val="22"/>
              </w:rPr>
              <w:t>Rationale and impact</w:t>
            </w:r>
          </w:p>
        </w:tc>
      </w:tr>
      <w:tr w:rsidR="00C35B48" w14:paraId="02F55061" w14:textId="77777777" w:rsidTr="00C35B48">
        <w:tc>
          <w:tcPr>
            <w:tcW w:w="4486" w:type="dxa"/>
          </w:tcPr>
          <w:p w14:paraId="3E976536" w14:textId="77777777" w:rsidR="00C35B48" w:rsidRPr="006337FD" w:rsidRDefault="00C35B48" w:rsidP="00F91ED8">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Revise light commercial vehicle headline limit</w:t>
            </w:r>
          </w:p>
          <w:tbl>
            <w:tblPr>
              <w:tblStyle w:val="TableGrid"/>
              <w:tblW w:w="4141" w:type="dxa"/>
              <w:tblLook w:val="04A0" w:firstRow="1" w:lastRow="0" w:firstColumn="1" w:lastColumn="0" w:noHBand="0" w:noVBand="1"/>
            </w:tblPr>
            <w:tblGrid>
              <w:gridCol w:w="1141"/>
              <w:gridCol w:w="3000"/>
            </w:tblGrid>
            <w:tr w:rsidR="00C35B48" w:rsidRPr="009E4D10" w14:paraId="5D951A0A" w14:textId="77777777" w:rsidTr="00C35B48">
              <w:tc>
                <w:tcPr>
                  <w:tcW w:w="1141" w:type="dxa"/>
                  <w:hideMark/>
                </w:tcPr>
                <w:p w14:paraId="5112932C" w14:textId="77777777" w:rsidR="00C35B48" w:rsidRPr="006337FD" w:rsidRDefault="00C35B48" w:rsidP="008D0A6B">
                  <w:pPr>
                    <w:spacing w:line="240" w:lineRule="auto"/>
                    <w:rPr>
                      <w:rFonts w:cstheme="minorHAnsi"/>
                      <w:b/>
                      <w:sz w:val="22"/>
                      <w:szCs w:val="22"/>
                      <w:lang w:val="en-US"/>
                    </w:rPr>
                  </w:pPr>
                  <w:r w:rsidRPr="006337FD">
                    <w:rPr>
                      <w:rFonts w:cstheme="minorHAnsi"/>
                      <w:b/>
                      <w:sz w:val="22"/>
                      <w:szCs w:val="22"/>
                      <w:lang w:val="en-US"/>
                    </w:rPr>
                    <w:t>Year</w:t>
                  </w:r>
                </w:p>
              </w:tc>
              <w:tc>
                <w:tcPr>
                  <w:tcW w:w="3000" w:type="dxa"/>
                  <w:hideMark/>
                </w:tcPr>
                <w:p w14:paraId="50A4CE8F" w14:textId="77777777" w:rsidR="00C35B48" w:rsidRPr="006337FD" w:rsidRDefault="00C35B48" w:rsidP="008D0A6B">
                  <w:pPr>
                    <w:spacing w:line="240" w:lineRule="auto"/>
                    <w:rPr>
                      <w:rFonts w:cstheme="minorHAnsi"/>
                      <w:b/>
                      <w:sz w:val="22"/>
                      <w:szCs w:val="22"/>
                      <w:lang w:val="en-US"/>
                    </w:rPr>
                  </w:pPr>
                  <w:r w:rsidRPr="006337FD">
                    <w:rPr>
                      <w:rFonts w:cstheme="minorHAnsi"/>
                      <w:b/>
                      <w:sz w:val="22"/>
                      <w:szCs w:val="22"/>
                      <w:lang w:val="en-US"/>
                    </w:rPr>
                    <w:t xml:space="preserve">Revision (change relative to IA </w:t>
                  </w:r>
                  <w:r w:rsidR="00C12BE2">
                    <w:rPr>
                      <w:rFonts w:cstheme="minorHAnsi"/>
                      <w:b/>
                      <w:sz w:val="22"/>
                      <w:szCs w:val="22"/>
                      <w:lang w:val="en-US"/>
                    </w:rPr>
                    <w:t>Option B</w:t>
                  </w:r>
                  <w:r w:rsidRPr="006337FD">
                    <w:rPr>
                      <w:rFonts w:cstheme="minorHAnsi"/>
                      <w:b/>
                      <w:sz w:val="22"/>
                      <w:szCs w:val="22"/>
                      <w:lang w:val="en-US"/>
                    </w:rPr>
                    <w:t>)</w:t>
                  </w:r>
                </w:p>
              </w:tc>
            </w:tr>
            <w:tr w:rsidR="00C35B48" w:rsidRPr="009E4D10" w14:paraId="09F2F669" w14:textId="77777777" w:rsidTr="00C35B48">
              <w:tc>
                <w:tcPr>
                  <w:tcW w:w="1141" w:type="dxa"/>
                  <w:hideMark/>
                </w:tcPr>
                <w:p w14:paraId="3C14E686"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2025</w:t>
                  </w:r>
                </w:p>
              </w:tc>
              <w:tc>
                <w:tcPr>
                  <w:tcW w:w="3000" w:type="dxa"/>
                  <w:hideMark/>
                </w:tcPr>
                <w:p w14:paraId="08DC63F2"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210 </w:t>
                  </w:r>
                </w:p>
              </w:tc>
            </w:tr>
            <w:tr w:rsidR="00C35B48" w:rsidRPr="009E4D10" w14:paraId="5F7B893F" w14:textId="77777777" w:rsidTr="00C35B48">
              <w:tc>
                <w:tcPr>
                  <w:tcW w:w="1141" w:type="dxa"/>
                  <w:hideMark/>
                </w:tcPr>
                <w:p w14:paraId="48E3D629"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2026</w:t>
                  </w:r>
                </w:p>
              </w:tc>
              <w:tc>
                <w:tcPr>
                  <w:tcW w:w="3000" w:type="dxa"/>
                  <w:hideMark/>
                </w:tcPr>
                <w:p w14:paraId="679BCFB0"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180 </w:t>
                  </w:r>
                </w:p>
              </w:tc>
            </w:tr>
            <w:tr w:rsidR="00C35B48" w:rsidRPr="009E4D10" w14:paraId="01DDE08B" w14:textId="77777777" w:rsidTr="00C35B48">
              <w:tc>
                <w:tcPr>
                  <w:tcW w:w="1141" w:type="dxa"/>
                  <w:hideMark/>
                </w:tcPr>
                <w:p w14:paraId="214D2ED3"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2027</w:t>
                  </w:r>
                </w:p>
              </w:tc>
              <w:tc>
                <w:tcPr>
                  <w:tcW w:w="3000" w:type="dxa"/>
                  <w:hideMark/>
                </w:tcPr>
                <w:p w14:paraId="290A0E93"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150 </w:t>
                  </w:r>
                </w:p>
              </w:tc>
            </w:tr>
            <w:tr w:rsidR="00C35B48" w:rsidRPr="009E4D10" w14:paraId="1172A961" w14:textId="77777777" w:rsidTr="00C35B48">
              <w:tc>
                <w:tcPr>
                  <w:tcW w:w="1141" w:type="dxa"/>
                  <w:hideMark/>
                </w:tcPr>
                <w:p w14:paraId="37FBDE62"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2028</w:t>
                  </w:r>
                </w:p>
              </w:tc>
              <w:tc>
                <w:tcPr>
                  <w:tcW w:w="3000" w:type="dxa"/>
                  <w:hideMark/>
                </w:tcPr>
                <w:p w14:paraId="548F1DAF"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12</w:t>
                  </w:r>
                  <w:r>
                    <w:rPr>
                      <w:rFonts w:cstheme="minorHAnsi"/>
                      <w:sz w:val="22"/>
                      <w:szCs w:val="22"/>
                      <w:lang w:val="en-US"/>
                    </w:rPr>
                    <w:t>2</w:t>
                  </w:r>
                  <w:r w:rsidRPr="006337FD">
                    <w:rPr>
                      <w:rFonts w:cstheme="minorHAnsi"/>
                      <w:sz w:val="22"/>
                      <w:szCs w:val="22"/>
                      <w:lang w:val="en-US"/>
                    </w:rPr>
                    <w:t xml:space="preserve"> </w:t>
                  </w:r>
                </w:p>
              </w:tc>
            </w:tr>
            <w:tr w:rsidR="00C35B48" w:rsidRPr="009E4D10" w14:paraId="558D4CE6" w14:textId="77777777" w:rsidTr="00C35B48">
              <w:tc>
                <w:tcPr>
                  <w:tcW w:w="1141" w:type="dxa"/>
                  <w:hideMark/>
                </w:tcPr>
                <w:p w14:paraId="76D8A9CE"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2029</w:t>
                  </w:r>
                </w:p>
              </w:tc>
              <w:tc>
                <w:tcPr>
                  <w:tcW w:w="3000" w:type="dxa"/>
                  <w:hideMark/>
                </w:tcPr>
                <w:p w14:paraId="70F72D2F"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1</w:t>
                  </w:r>
                  <w:r>
                    <w:rPr>
                      <w:rFonts w:cstheme="minorHAnsi"/>
                      <w:sz w:val="22"/>
                      <w:szCs w:val="22"/>
                      <w:lang w:val="en-US"/>
                    </w:rPr>
                    <w:t>10</w:t>
                  </w:r>
                  <w:r w:rsidRPr="006337FD">
                    <w:rPr>
                      <w:rFonts w:cstheme="minorHAnsi"/>
                      <w:sz w:val="22"/>
                      <w:szCs w:val="22"/>
                      <w:lang w:val="en-US"/>
                    </w:rPr>
                    <w:t xml:space="preserve"> </w:t>
                  </w:r>
                </w:p>
              </w:tc>
            </w:tr>
          </w:tbl>
          <w:p w14:paraId="28CBF1E4" w14:textId="77777777" w:rsidR="00C35B48" w:rsidRPr="006337FD" w:rsidRDefault="00C35B48" w:rsidP="008D0A6B">
            <w:pPr>
              <w:rPr>
                <w:rFonts w:asciiTheme="majorHAnsi" w:hAnsiTheme="majorHAnsi" w:cstheme="majorHAnsi"/>
                <w:sz w:val="22"/>
                <w:szCs w:val="22"/>
              </w:rPr>
            </w:pPr>
          </w:p>
        </w:tc>
        <w:tc>
          <w:tcPr>
            <w:tcW w:w="10105" w:type="dxa"/>
          </w:tcPr>
          <w:p w14:paraId="330B859B"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Most vehicle suppliers have argued that the LCV headline limit in </w:t>
            </w:r>
            <w:r w:rsidR="00C12BE2">
              <w:rPr>
                <w:rFonts w:asciiTheme="majorHAnsi" w:hAnsiTheme="majorHAnsi" w:cstheme="majorHAnsi"/>
                <w:sz w:val="22"/>
                <w:szCs w:val="22"/>
              </w:rPr>
              <w:t>Option B</w:t>
            </w:r>
            <w:r w:rsidRPr="006337FD">
              <w:rPr>
                <w:rFonts w:asciiTheme="majorHAnsi" w:hAnsiTheme="majorHAnsi" w:cstheme="majorHAnsi"/>
                <w:sz w:val="22"/>
                <w:szCs w:val="22"/>
              </w:rPr>
              <w:t xml:space="preserve"> would be too steep from commencement, and that there are insufficient lower emissions vehicle options available to adapt to this change in the short term. The revised targets adjust the first year, stretch out the timeframe for the emissions reduction, and reduce the overall level of emissions reduction required to 2029, while still requiring a total reduction from projected 2024 levels to mandated 2029 levels of</w:t>
            </w:r>
            <w:r w:rsidR="00D97729">
              <w:rPr>
                <w:rFonts w:asciiTheme="majorHAnsi" w:hAnsiTheme="majorHAnsi" w:cstheme="majorHAnsi"/>
                <w:sz w:val="22"/>
                <w:szCs w:val="22"/>
              </w:rPr>
              <w:t xml:space="preserve"> over</w:t>
            </w:r>
            <w:r w:rsidRPr="006337FD">
              <w:rPr>
                <w:rFonts w:asciiTheme="majorHAnsi" w:hAnsiTheme="majorHAnsi" w:cstheme="majorHAnsi"/>
                <w:sz w:val="22"/>
                <w:szCs w:val="22"/>
              </w:rPr>
              <w:t xml:space="preserve"> </w:t>
            </w:r>
            <w:r w:rsidR="001E7E73">
              <w:rPr>
                <w:rFonts w:asciiTheme="majorHAnsi" w:hAnsiTheme="majorHAnsi" w:cstheme="majorHAnsi"/>
                <w:sz w:val="22"/>
                <w:szCs w:val="22"/>
              </w:rPr>
              <w:t>48</w:t>
            </w:r>
            <w:r w:rsidRPr="006337FD">
              <w:rPr>
                <w:rFonts w:asciiTheme="majorHAnsi" w:hAnsiTheme="majorHAnsi" w:cstheme="majorHAnsi"/>
                <w:sz w:val="22"/>
                <w:szCs w:val="22"/>
              </w:rPr>
              <w:t>%.</w:t>
            </w:r>
          </w:p>
          <w:p w14:paraId="5C11539D" w14:textId="77777777" w:rsidR="00C35B48" w:rsidRPr="006337FD" w:rsidRDefault="00C35B48" w:rsidP="008D0A6B">
            <w:pPr>
              <w:rPr>
                <w:rFonts w:asciiTheme="majorHAnsi" w:hAnsiTheme="majorHAnsi" w:cstheme="majorHAnsi"/>
                <w:sz w:val="22"/>
                <w:szCs w:val="22"/>
              </w:rPr>
            </w:pPr>
          </w:p>
          <w:p w14:paraId="1FC192BE"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Note, this interacts with </w:t>
            </w:r>
            <w:r>
              <w:rPr>
                <w:rFonts w:asciiTheme="majorHAnsi" w:hAnsiTheme="majorHAnsi" w:cstheme="majorHAnsi"/>
                <w:sz w:val="22"/>
                <w:szCs w:val="22"/>
              </w:rPr>
              <w:t>other changes,</w:t>
            </w:r>
            <w:r w:rsidRPr="006337FD">
              <w:rPr>
                <w:rFonts w:asciiTheme="majorHAnsi" w:hAnsiTheme="majorHAnsi" w:cstheme="majorHAnsi"/>
                <w:sz w:val="22"/>
                <w:szCs w:val="22"/>
              </w:rPr>
              <w:t xml:space="preserve"> detailed below.</w:t>
            </w:r>
          </w:p>
          <w:p w14:paraId="60273B4B" w14:textId="77777777" w:rsidR="00C35B48" w:rsidRDefault="00C35B48" w:rsidP="008D0A6B">
            <w:pPr>
              <w:rPr>
                <w:rFonts w:asciiTheme="majorHAnsi" w:hAnsiTheme="majorHAnsi" w:cstheme="majorHAnsi"/>
                <w:sz w:val="22"/>
                <w:szCs w:val="22"/>
              </w:rPr>
            </w:pPr>
          </w:p>
          <w:p w14:paraId="5C1A95E5" w14:textId="77777777" w:rsidR="00C35B48" w:rsidRPr="006337FD" w:rsidRDefault="00C35B48" w:rsidP="008D0A6B">
            <w:pPr>
              <w:rPr>
                <w:rFonts w:asciiTheme="majorHAnsi" w:hAnsiTheme="majorHAnsi" w:cstheme="majorHAnsi"/>
                <w:sz w:val="22"/>
                <w:szCs w:val="22"/>
              </w:rPr>
            </w:pPr>
          </w:p>
        </w:tc>
      </w:tr>
      <w:tr w:rsidR="00C35B48" w14:paraId="1AE005C3" w14:textId="77777777" w:rsidTr="00C35B48">
        <w:tc>
          <w:tcPr>
            <w:tcW w:w="4486" w:type="dxa"/>
          </w:tcPr>
          <w:p w14:paraId="18195914" w14:textId="77777777" w:rsidR="00C35B48" w:rsidRPr="006337FD" w:rsidRDefault="00C35B48" w:rsidP="00430317">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Move a small number of 4wds into the light commercial vehicle category</w:t>
            </w:r>
          </w:p>
          <w:p w14:paraId="1F7B24D1"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In Options B and C, all 4wds were included in the passenger vehicle category, by virtue of being in the MC category.</w:t>
            </w:r>
          </w:p>
          <w:p w14:paraId="52403A85" w14:textId="77777777" w:rsidR="00C35B48" w:rsidRPr="006337FD" w:rsidRDefault="00C35B48" w:rsidP="008D0A6B">
            <w:pPr>
              <w:rPr>
                <w:rFonts w:asciiTheme="majorHAnsi" w:hAnsiTheme="majorHAnsi" w:cstheme="majorHAnsi"/>
                <w:sz w:val="22"/>
                <w:szCs w:val="22"/>
              </w:rPr>
            </w:pPr>
          </w:p>
          <w:p w14:paraId="0511DCEF"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This proposal is to retain the vast majority of SUVs in the passenger vehicle category, but move a small number of the heaviest off-road 4wds to the light commercial vehicle category. This would be defined as vehicles constructed as a body-on-frame (also known as ladder frame) that also has a towing capacity of 3 tonnes.</w:t>
            </w:r>
          </w:p>
        </w:tc>
        <w:tc>
          <w:tcPr>
            <w:tcW w:w="10105" w:type="dxa"/>
          </w:tcPr>
          <w:p w14:paraId="19555D6C"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The vehicles proposed to change category are a subset of the MC category. Of the annual 1.1 million vehicles sold in Australia, only about 96,000 would be affected by this change. </w:t>
            </w:r>
          </w:p>
          <w:p w14:paraId="7AEDAC3B" w14:textId="77777777" w:rsidR="00C35B48" w:rsidRPr="006337FD" w:rsidRDefault="00C35B48" w:rsidP="008D0A6B">
            <w:pPr>
              <w:rPr>
                <w:rFonts w:asciiTheme="majorHAnsi" w:hAnsiTheme="majorHAnsi" w:cstheme="majorHAnsi"/>
                <w:sz w:val="22"/>
                <w:szCs w:val="22"/>
              </w:rPr>
            </w:pPr>
          </w:p>
          <w:p w14:paraId="0AF555E3" w14:textId="77777777" w:rsidR="00C35B48"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The vehicles proposed to change categories are more akin to utes in their construction and ability to tow heavy loads, and have substantial off-road ability.</w:t>
            </w:r>
          </w:p>
          <w:p w14:paraId="00ECA216" w14:textId="77777777" w:rsidR="001C4B2D" w:rsidRPr="006337FD" w:rsidRDefault="001C4B2D" w:rsidP="008D0A6B">
            <w:pPr>
              <w:rPr>
                <w:rFonts w:asciiTheme="majorHAnsi" w:hAnsiTheme="majorHAnsi" w:cstheme="majorHAnsi"/>
                <w:sz w:val="22"/>
                <w:szCs w:val="22"/>
              </w:rPr>
            </w:pPr>
          </w:p>
          <w:p w14:paraId="1112D773"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Note that this interacts with </w:t>
            </w:r>
            <w:r>
              <w:rPr>
                <w:rFonts w:asciiTheme="majorHAnsi" w:hAnsiTheme="majorHAnsi" w:cstheme="majorHAnsi"/>
                <w:sz w:val="22"/>
                <w:szCs w:val="22"/>
              </w:rPr>
              <w:t>amendment</w:t>
            </w:r>
            <w:r w:rsidRPr="006337FD">
              <w:rPr>
                <w:rFonts w:asciiTheme="majorHAnsi" w:hAnsiTheme="majorHAnsi" w:cstheme="majorHAnsi"/>
                <w:sz w:val="22"/>
                <w:szCs w:val="22"/>
              </w:rPr>
              <w:t xml:space="preserve"> option 1 in a way which is likely to increase the lost abatement from taking both changes. This </w:t>
            </w:r>
            <w:r w:rsidR="00DC48C3">
              <w:rPr>
                <w:rFonts w:asciiTheme="majorHAnsi" w:hAnsiTheme="majorHAnsi" w:cstheme="majorHAnsi"/>
                <w:sz w:val="22"/>
                <w:szCs w:val="22"/>
              </w:rPr>
              <w:t>option a</w:t>
            </w:r>
            <w:r w:rsidRPr="006337FD">
              <w:rPr>
                <w:rFonts w:asciiTheme="majorHAnsi" w:hAnsiTheme="majorHAnsi" w:cstheme="majorHAnsi"/>
                <w:sz w:val="22"/>
                <w:szCs w:val="22"/>
              </w:rPr>
              <w:t xml:space="preserve">lso interacts with </w:t>
            </w:r>
            <w:r>
              <w:rPr>
                <w:rFonts w:asciiTheme="majorHAnsi" w:hAnsiTheme="majorHAnsi" w:cstheme="majorHAnsi"/>
                <w:sz w:val="22"/>
                <w:szCs w:val="22"/>
              </w:rPr>
              <w:t>amendment</w:t>
            </w:r>
            <w:r w:rsidRPr="006337FD">
              <w:rPr>
                <w:rFonts w:asciiTheme="majorHAnsi" w:hAnsiTheme="majorHAnsi" w:cstheme="majorHAnsi"/>
                <w:sz w:val="22"/>
                <w:szCs w:val="22"/>
              </w:rPr>
              <w:t xml:space="preserve"> option 4, detailed below.</w:t>
            </w:r>
          </w:p>
        </w:tc>
      </w:tr>
      <w:tr w:rsidR="00C35B48" w14:paraId="67A7D12E" w14:textId="77777777" w:rsidTr="00C35B48">
        <w:tc>
          <w:tcPr>
            <w:tcW w:w="4486" w:type="dxa"/>
          </w:tcPr>
          <w:p w14:paraId="1F49C48C" w14:textId="77777777" w:rsidR="00C35B48" w:rsidRPr="006337FD" w:rsidRDefault="00C35B48" w:rsidP="00430317">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Move the upper break points</w:t>
            </w:r>
          </w:p>
          <w:p w14:paraId="6C06019E" w14:textId="77777777" w:rsidR="00C35B48"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Move the PV upper break point from 2,000kg to 2,200kg MIRO.</w:t>
            </w:r>
          </w:p>
          <w:p w14:paraId="3D78E8EC" w14:textId="77777777" w:rsidR="00C35B48" w:rsidRPr="006337FD" w:rsidRDefault="00C35B48" w:rsidP="008D0A6B">
            <w:pPr>
              <w:rPr>
                <w:rFonts w:asciiTheme="majorHAnsi" w:hAnsiTheme="majorHAnsi" w:cstheme="majorHAnsi"/>
                <w:sz w:val="22"/>
                <w:szCs w:val="22"/>
              </w:rPr>
            </w:pPr>
          </w:p>
          <w:p w14:paraId="628C71C9"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Move the LCV upper break point from 2,200kg to 2,400kg MIRO.</w:t>
            </w:r>
          </w:p>
        </w:tc>
        <w:tc>
          <w:tcPr>
            <w:tcW w:w="10105" w:type="dxa"/>
          </w:tcPr>
          <w:p w14:paraId="40F613DF"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Revising the PV break point to 2,200kg</w:t>
            </w:r>
            <w:r>
              <w:rPr>
                <w:rFonts w:asciiTheme="majorHAnsi" w:hAnsiTheme="majorHAnsi" w:cstheme="majorHAnsi"/>
                <w:sz w:val="22"/>
                <w:szCs w:val="22"/>
              </w:rPr>
              <w:t xml:space="preserve"> mass in running order (MIRO)</w:t>
            </w:r>
            <w:r w:rsidRPr="006337FD">
              <w:rPr>
                <w:rFonts w:asciiTheme="majorHAnsi" w:hAnsiTheme="majorHAnsi" w:cstheme="majorHAnsi"/>
                <w:sz w:val="22"/>
                <w:szCs w:val="22"/>
              </w:rPr>
              <w:t xml:space="preserve"> is a better statistical match to the distribution of vehicles, and would mean that large passenger vehicles have a more achievable target. It would also mean that electric vehicles (which are more likely to be above this mass due to the weight of the battery) would generate more credits.</w:t>
            </w:r>
          </w:p>
          <w:p w14:paraId="3B652269" w14:textId="77777777" w:rsidR="00C35B48" w:rsidRPr="006337FD" w:rsidRDefault="00C35B48" w:rsidP="008D0A6B">
            <w:pPr>
              <w:rPr>
                <w:rFonts w:asciiTheme="majorHAnsi" w:hAnsiTheme="majorHAnsi" w:cstheme="majorHAnsi"/>
                <w:sz w:val="22"/>
                <w:szCs w:val="22"/>
              </w:rPr>
            </w:pPr>
          </w:p>
          <w:p w14:paraId="31E5EC2A" w14:textId="77777777" w:rsidR="00C35B48" w:rsidRDefault="00C35B48" w:rsidP="008D0A6B">
            <w:pPr>
              <w:rPr>
                <w:rFonts w:asciiTheme="majorHAnsi" w:hAnsiTheme="majorHAnsi" w:cstheme="majorHAnsi"/>
                <w:sz w:val="22"/>
                <w:szCs w:val="22"/>
              </w:rPr>
            </w:pPr>
            <w:r w:rsidRPr="00487954">
              <w:rPr>
                <w:rFonts w:asciiTheme="majorHAnsi" w:hAnsiTheme="majorHAnsi" w:cstheme="majorHAnsi"/>
                <w:sz w:val="22"/>
                <w:szCs w:val="22"/>
              </w:rPr>
              <w:t xml:space="preserve">Revising the LCV breakpoint upwards to 2,400kg MIRO would better match the statistical distribution of vehicles and be set at a point that the variants of utes mostly used for work purposes would be below the break point, while luxury and high-performance variants are above the break point. </w:t>
            </w:r>
          </w:p>
          <w:p w14:paraId="5CA1CED0" w14:textId="77777777" w:rsidR="00C35B48" w:rsidRPr="006337FD" w:rsidRDefault="00C35B48" w:rsidP="008D0A6B">
            <w:pPr>
              <w:rPr>
                <w:rFonts w:asciiTheme="majorHAnsi" w:hAnsiTheme="majorHAnsi" w:cstheme="majorHAnsi"/>
                <w:sz w:val="22"/>
                <w:szCs w:val="22"/>
              </w:rPr>
            </w:pPr>
          </w:p>
          <w:p w14:paraId="4687ED4F" w14:textId="77777777" w:rsidR="00C35B48" w:rsidRPr="006337FD" w:rsidRDefault="00C35B48" w:rsidP="008D0A6B">
            <w:pPr>
              <w:rPr>
                <w:rFonts w:asciiTheme="majorHAnsi" w:hAnsiTheme="majorHAnsi" w:cstheme="majorHAnsi"/>
                <w:sz w:val="22"/>
                <w:szCs w:val="22"/>
              </w:rPr>
            </w:pPr>
            <w:r>
              <w:rPr>
                <w:rFonts w:asciiTheme="majorHAnsi" w:hAnsiTheme="majorHAnsi" w:cstheme="majorHAnsi"/>
                <w:sz w:val="22"/>
                <w:szCs w:val="22"/>
              </w:rPr>
              <w:t>If amendment (2) and (3) are made together, some of the vehicles that would have benefited from the raised PV break point would instead switch category. This would mean they receive a larger benefit than they would if only this item is adopted, but also likely offsets some of the lost abatement from making this change alone.</w:t>
            </w:r>
          </w:p>
        </w:tc>
      </w:tr>
      <w:tr w:rsidR="00C35B48" w14:paraId="692431E1" w14:textId="77777777" w:rsidTr="00C35B48">
        <w:tc>
          <w:tcPr>
            <w:tcW w:w="4486" w:type="dxa"/>
          </w:tcPr>
          <w:p w14:paraId="2C10B79D" w14:textId="77777777" w:rsidR="00C35B48" w:rsidRPr="002C3461" w:rsidRDefault="00F904FE" w:rsidP="00430317">
            <w:pPr>
              <w:pStyle w:val="ListParagraph"/>
              <w:numPr>
                <w:ilvl w:val="0"/>
                <w:numId w:val="83"/>
              </w:numPr>
              <w:rPr>
                <w:rFonts w:asciiTheme="majorHAnsi" w:hAnsiTheme="majorHAnsi" w:cstheme="majorHAnsi"/>
                <w:b/>
                <w:sz w:val="22"/>
                <w:szCs w:val="22"/>
              </w:rPr>
            </w:pPr>
            <w:r>
              <w:rPr>
                <w:rFonts w:asciiTheme="majorHAnsi" w:hAnsiTheme="majorHAnsi" w:cstheme="majorHAnsi"/>
                <w:b/>
                <w:sz w:val="22"/>
                <w:szCs w:val="22"/>
              </w:rPr>
              <w:t>I</w:t>
            </w:r>
            <w:r w:rsidR="00C35B48" w:rsidRPr="002C3461">
              <w:rPr>
                <w:rFonts w:asciiTheme="majorHAnsi" w:hAnsiTheme="majorHAnsi" w:cstheme="majorHAnsi"/>
                <w:b/>
                <w:sz w:val="22"/>
                <w:szCs w:val="22"/>
              </w:rPr>
              <w:t>mplementation</w:t>
            </w:r>
            <w:r>
              <w:rPr>
                <w:rFonts w:asciiTheme="majorHAnsi" w:hAnsiTheme="majorHAnsi" w:cstheme="majorHAnsi"/>
                <w:b/>
                <w:sz w:val="22"/>
                <w:szCs w:val="22"/>
              </w:rPr>
              <w:t xml:space="preserve"> timing</w:t>
            </w:r>
          </w:p>
          <w:p w14:paraId="1860DD13" w14:textId="77777777" w:rsidR="00C35B48" w:rsidRPr="002C3461" w:rsidRDefault="00C35B48" w:rsidP="00EB2275">
            <w:pPr>
              <w:rPr>
                <w:rFonts w:asciiTheme="majorHAnsi" w:hAnsiTheme="majorHAnsi" w:cstheme="majorHAnsi"/>
                <w:sz w:val="22"/>
                <w:szCs w:val="22"/>
              </w:rPr>
            </w:pPr>
            <w:r w:rsidRPr="002C3461">
              <w:rPr>
                <w:rFonts w:asciiTheme="majorHAnsi" w:hAnsiTheme="majorHAnsi" w:cstheme="majorHAnsi"/>
                <w:sz w:val="22"/>
                <w:szCs w:val="22"/>
              </w:rPr>
              <w:t xml:space="preserve">NVES legislation commences on 1 January 2025. </w:t>
            </w:r>
          </w:p>
          <w:p w14:paraId="570DEFFA" w14:textId="77777777" w:rsidR="00C35B48" w:rsidRPr="002C3461" w:rsidRDefault="00F904FE" w:rsidP="00D85B6F">
            <w:pPr>
              <w:rPr>
                <w:rFonts w:asciiTheme="majorHAnsi" w:hAnsiTheme="majorHAnsi" w:cstheme="majorHAnsi"/>
                <w:sz w:val="22"/>
                <w:szCs w:val="22"/>
              </w:rPr>
            </w:pPr>
            <w:r>
              <w:rPr>
                <w:rFonts w:asciiTheme="majorHAnsi" w:hAnsiTheme="majorHAnsi" w:cstheme="majorHAnsi"/>
                <w:sz w:val="22"/>
                <w:szCs w:val="22"/>
              </w:rPr>
              <w:t>However adjusting the timing to</w:t>
            </w:r>
            <w:r w:rsidR="00C35B48" w:rsidRPr="002C3461">
              <w:rPr>
                <w:rFonts w:asciiTheme="majorHAnsi" w:hAnsiTheme="majorHAnsi" w:cstheme="majorHAnsi"/>
                <w:sz w:val="22"/>
                <w:szCs w:val="22"/>
              </w:rPr>
              <w:t xml:space="preserve"> </w:t>
            </w:r>
            <w:r>
              <w:rPr>
                <w:rFonts w:asciiTheme="majorHAnsi" w:hAnsiTheme="majorHAnsi" w:cstheme="majorHAnsi"/>
                <w:sz w:val="22"/>
                <w:szCs w:val="22"/>
              </w:rPr>
              <w:t>a</w:t>
            </w:r>
            <w:r w:rsidR="00C35B48" w:rsidRPr="002C3461">
              <w:rPr>
                <w:rFonts w:asciiTheme="majorHAnsi" w:hAnsiTheme="majorHAnsi" w:cstheme="majorHAnsi"/>
                <w:sz w:val="22"/>
                <w:szCs w:val="22"/>
              </w:rPr>
              <w:t>llow suppliers to generate credits</w:t>
            </w:r>
            <w:r w:rsidR="00C35B48">
              <w:rPr>
                <w:rFonts w:asciiTheme="majorHAnsi" w:hAnsiTheme="majorHAnsi" w:cstheme="majorHAnsi"/>
                <w:sz w:val="22"/>
                <w:szCs w:val="22"/>
              </w:rPr>
              <w:t xml:space="preserve"> and penalties from 1 July 2025</w:t>
            </w:r>
            <w:r>
              <w:rPr>
                <w:rFonts w:asciiTheme="majorHAnsi" w:hAnsiTheme="majorHAnsi" w:cstheme="majorHAnsi"/>
                <w:sz w:val="22"/>
                <w:szCs w:val="22"/>
              </w:rPr>
              <w:t xml:space="preserve"> would offset some implementation risk</w:t>
            </w:r>
            <w:r w:rsidR="00C35B48">
              <w:rPr>
                <w:rFonts w:asciiTheme="majorHAnsi" w:hAnsiTheme="majorHAnsi" w:cstheme="majorHAnsi"/>
                <w:sz w:val="22"/>
                <w:szCs w:val="22"/>
              </w:rPr>
              <w:t>.</w:t>
            </w:r>
          </w:p>
        </w:tc>
        <w:tc>
          <w:tcPr>
            <w:tcW w:w="10105" w:type="dxa"/>
          </w:tcPr>
          <w:p w14:paraId="4CBC2E00" w14:textId="77777777" w:rsidR="00C35B48" w:rsidRPr="002C3461" w:rsidRDefault="00C35B48" w:rsidP="008D0A6B">
            <w:pPr>
              <w:rPr>
                <w:rFonts w:asciiTheme="majorHAnsi" w:hAnsiTheme="majorHAnsi" w:cstheme="majorHAnsi"/>
                <w:sz w:val="22"/>
                <w:szCs w:val="22"/>
              </w:rPr>
            </w:pPr>
            <w:r>
              <w:rPr>
                <w:rFonts w:asciiTheme="majorHAnsi" w:hAnsiTheme="majorHAnsi" w:cstheme="majorHAnsi"/>
                <w:sz w:val="22"/>
                <w:szCs w:val="22"/>
              </w:rPr>
              <w:t>Setting up</w:t>
            </w:r>
            <w:r w:rsidRPr="002C3461">
              <w:rPr>
                <w:rFonts w:asciiTheme="majorHAnsi" w:hAnsiTheme="majorHAnsi" w:cstheme="majorHAnsi"/>
                <w:sz w:val="22"/>
                <w:szCs w:val="22"/>
              </w:rPr>
              <w:t xml:space="preserve"> the regulator, and</w:t>
            </w:r>
            <w:r>
              <w:rPr>
                <w:rFonts w:asciiTheme="majorHAnsi" w:hAnsiTheme="majorHAnsi" w:cstheme="majorHAnsi"/>
                <w:sz w:val="22"/>
                <w:szCs w:val="22"/>
              </w:rPr>
              <w:t xml:space="preserve"> enabling the </w:t>
            </w:r>
            <w:r w:rsidRPr="002C3461">
              <w:rPr>
                <w:rFonts w:asciiTheme="majorHAnsi" w:hAnsiTheme="majorHAnsi" w:cstheme="majorHAnsi"/>
                <w:sz w:val="22"/>
                <w:szCs w:val="22"/>
              </w:rPr>
              <w:t>vehicle industry to implement compliance frameworks (i.e. IT build, data provision, resourcing of critical planning roles)</w:t>
            </w:r>
            <w:r>
              <w:rPr>
                <w:rFonts w:asciiTheme="majorHAnsi" w:hAnsiTheme="majorHAnsi" w:cstheme="majorHAnsi"/>
                <w:sz w:val="22"/>
                <w:szCs w:val="22"/>
              </w:rPr>
              <w:t xml:space="preserve"> will be difficult in the time available</w:t>
            </w:r>
            <w:r w:rsidRPr="002C3461">
              <w:rPr>
                <w:rFonts w:asciiTheme="majorHAnsi" w:hAnsiTheme="majorHAnsi" w:cstheme="majorHAnsi"/>
                <w:sz w:val="22"/>
                <w:szCs w:val="22"/>
              </w:rPr>
              <w:t>. The legislation would still start on 1 January 2025, but credits</w:t>
            </w:r>
            <w:r>
              <w:rPr>
                <w:rFonts w:asciiTheme="majorHAnsi" w:hAnsiTheme="majorHAnsi" w:cstheme="majorHAnsi"/>
                <w:sz w:val="22"/>
                <w:szCs w:val="22"/>
              </w:rPr>
              <w:t xml:space="preserve"> or penalties</w:t>
            </w:r>
            <w:r w:rsidRPr="002C3461">
              <w:rPr>
                <w:rFonts w:asciiTheme="majorHAnsi" w:hAnsiTheme="majorHAnsi" w:cstheme="majorHAnsi"/>
                <w:sz w:val="22"/>
                <w:szCs w:val="22"/>
              </w:rPr>
              <w:t xml:space="preserve"> would not be able to be generated until 1 July 2025. </w:t>
            </w:r>
          </w:p>
          <w:p w14:paraId="6A3D8A38" w14:textId="77777777" w:rsidR="00C35B48" w:rsidRPr="002C3461" w:rsidRDefault="00C35B48" w:rsidP="008D0A6B">
            <w:pPr>
              <w:rPr>
                <w:rFonts w:asciiTheme="majorHAnsi" w:hAnsiTheme="majorHAnsi" w:cstheme="majorHAnsi"/>
                <w:sz w:val="22"/>
                <w:szCs w:val="22"/>
              </w:rPr>
            </w:pPr>
          </w:p>
          <w:p w14:paraId="55EC667A" w14:textId="77777777" w:rsidR="00C35B48" w:rsidRPr="002C3461" w:rsidRDefault="00C35B48" w:rsidP="008D0A6B">
            <w:pPr>
              <w:rPr>
                <w:rFonts w:asciiTheme="majorHAnsi" w:hAnsiTheme="majorHAnsi" w:cstheme="majorHAnsi"/>
                <w:sz w:val="22"/>
                <w:szCs w:val="22"/>
              </w:rPr>
            </w:pPr>
          </w:p>
        </w:tc>
      </w:tr>
    </w:tbl>
    <w:p w14:paraId="2C9A8398" w14:textId="77777777" w:rsidR="009F3FC8" w:rsidRPr="00F52905" w:rsidRDefault="009F3FC8" w:rsidP="009F3FC8">
      <w:pPr>
        <w:pStyle w:val="Caption"/>
        <w:keepNext/>
        <w:rPr>
          <w:b w:val="0"/>
        </w:rPr>
      </w:pPr>
      <w:bookmarkStart w:id="257" w:name="_Toc161835979"/>
      <w:bookmarkStart w:id="258" w:name="_Toc161837769"/>
      <w:bookmarkStart w:id="259" w:name="_Toc161933216"/>
      <w:bookmarkStart w:id="260" w:name="_Toc163221116"/>
      <w:r w:rsidRPr="00F52905">
        <w:t xml:space="preserve">Table </w:t>
      </w:r>
      <w:r w:rsidR="00C6227F">
        <w:t>4</w:t>
      </w:r>
      <w:r w:rsidRPr="00F52905">
        <w:t xml:space="preserve"> </w:t>
      </w:r>
      <w:r w:rsidRPr="00F52905">
        <w:rPr>
          <w:b w:val="0"/>
        </w:rPr>
        <w:t xml:space="preserve">– </w:t>
      </w:r>
      <w:bookmarkEnd w:id="257"/>
      <w:r w:rsidR="00AF03EE">
        <w:rPr>
          <w:b w:val="0"/>
        </w:rPr>
        <w:t xml:space="preserve">Considered changes to </w:t>
      </w:r>
      <w:r w:rsidR="00C12BE2">
        <w:rPr>
          <w:b w:val="0"/>
        </w:rPr>
        <w:t>Option B</w:t>
      </w:r>
      <w:bookmarkEnd w:id="258"/>
      <w:bookmarkEnd w:id="259"/>
      <w:bookmarkEnd w:id="260"/>
      <w:r>
        <w:rPr>
          <w:b w:val="0"/>
        </w:rPr>
        <w:t xml:space="preserve"> </w:t>
      </w:r>
    </w:p>
    <w:p w14:paraId="3EB7258D" w14:textId="77777777" w:rsidR="006C42D9" w:rsidRDefault="006C42D9">
      <w:pPr>
        <w:rPr>
          <w:rFonts w:asciiTheme="majorHAnsi" w:hAnsiTheme="majorHAnsi" w:cstheme="majorHAnsi"/>
          <w:highlight w:val="green"/>
        </w:rPr>
        <w:sectPr w:rsidR="006C42D9" w:rsidSect="006C42D9">
          <w:pgSz w:w="16838" w:h="11906" w:orient="landscape" w:code="9"/>
          <w:pgMar w:top="1276" w:right="1021" w:bottom="1134" w:left="851" w:header="510" w:footer="567" w:gutter="0"/>
          <w:cols w:space="708"/>
          <w:docGrid w:linePitch="360"/>
        </w:sectPr>
      </w:pPr>
    </w:p>
    <w:p w14:paraId="13286911" w14:textId="77777777" w:rsidR="00387E94" w:rsidRPr="00CF39C8" w:rsidRDefault="00387E94" w:rsidP="00430317">
      <w:pPr>
        <w:pStyle w:val="Heading1"/>
        <w:numPr>
          <w:ilvl w:val="0"/>
          <w:numId w:val="75"/>
        </w:numPr>
      </w:pPr>
      <w:bookmarkStart w:id="261" w:name="_Toc161837665"/>
      <w:bookmarkStart w:id="262" w:name="_Toc161933162"/>
      <w:bookmarkStart w:id="263" w:name="_Toc162276469"/>
      <w:bookmarkStart w:id="264" w:name="_Toc163221065"/>
      <w:r w:rsidRPr="00CF39C8">
        <w:t>What is the likely net benefit of each option?</w:t>
      </w:r>
      <w:bookmarkEnd w:id="261"/>
      <w:bookmarkEnd w:id="262"/>
      <w:bookmarkEnd w:id="263"/>
      <w:bookmarkEnd w:id="264"/>
    </w:p>
    <w:p w14:paraId="105378A9" w14:textId="77777777" w:rsidR="00387E94" w:rsidRPr="00CF39C8" w:rsidRDefault="00387E94" w:rsidP="00387E94">
      <w:r w:rsidRPr="00CF39C8">
        <w:t xml:space="preserve">This chapter considers </w:t>
      </w:r>
      <w:r w:rsidRPr="00CF39C8">
        <w:rPr>
          <w:rFonts w:asciiTheme="majorHAnsi" w:hAnsiTheme="majorHAnsi" w:cstheme="majorHAnsi"/>
        </w:rPr>
        <w:t>the</w:t>
      </w:r>
      <w:r w:rsidRPr="00CF39C8">
        <w:t xml:space="preserve"> net benefits of the </w:t>
      </w:r>
      <w:r w:rsidR="00EA0106">
        <w:t>options considered by Government</w:t>
      </w:r>
      <w:r w:rsidRPr="00CF39C8">
        <w:t xml:space="preserve">. In this chapter we consider: </w:t>
      </w:r>
    </w:p>
    <w:p w14:paraId="6D48A9CF" w14:textId="77777777" w:rsidR="00387E94" w:rsidRPr="00CF39C8" w:rsidRDefault="00F435A3" w:rsidP="00387E94">
      <w:pPr>
        <w:pStyle w:val="ListParagraph"/>
        <w:numPr>
          <w:ilvl w:val="0"/>
          <w:numId w:val="17"/>
        </w:numPr>
        <w:rPr>
          <w:color w:val="000000" w:themeColor="text1"/>
        </w:rPr>
      </w:pPr>
      <w:r>
        <w:rPr>
          <w:color w:val="000000" w:themeColor="text1"/>
        </w:rPr>
        <w:t>All</w:t>
      </w:r>
      <w:r w:rsidR="00203FEC" w:rsidRPr="00CF39C8">
        <w:rPr>
          <w:color w:val="000000" w:themeColor="text1"/>
        </w:rPr>
        <w:t xml:space="preserve"> </w:t>
      </w:r>
      <w:r w:rsidR="00D2309F" w:rsidRPr="00CF39C8">
        <w:rPr>
          <w:color w:val="000000" w:themeColor="text1"/>
        </w:rPr>
        <w:t>options compared to</w:t>
      </w:r>
      <w:r w:rsidR="00387E94" w:rsidRPr="00CF39C8">
        <w:rPr>
          <w:color w:val="000000" w:themeColor="text1"/>
        </w:rPr>
        <w:t xml:space="preserve"> each of the principles set out in </w:t>
      </w:r>
      <w:r w:rsidR="00387E94" w:rsidRPr="003B32F1">
        <w:rPr>
          <w:color w:val="000000" w:themeColor="text1"/>
        </w:rPr>
        <w:t xml:space="preserve">Chapter </w:t>
      </w:r>
      <w:r w:rsidR="00FC4690" w:rsidRPr="003B32F1">
        <w:rPr>
          <w:color w:val="000000" w:themeColor="text1"/>
        </w:rPr>
        <w:t>3</w:t>
      </w:r>
      <w:r w:rsidR="00387E94" w:rsidRPr="003B32F1">
        <w:rPr>
          <w:color w:val="000000" w:themeColor="text1"/>
        </w:rPr>
        <w:t>.</w:t>
      </w:r>
      <w:r w:rsidR="00387E94" w:rsidRPr="00CF39C8">
        <w:rPr>
          <w:color w:val="000000" w:themeColor="text1"/>
        </w:rPr>
        <w:t xml:space="preserve"> This analysis is qualitative in nature, and draws on the submissions that were provided in our April consultation process. </w:t>
      </w:r>
    </w:p>
    <w:p w14:paraId="17A74FCE" w14:textId="77777777" w:rsidR="00387E94" w:rsidRPr="00CF39C8" w:rsidRDefault="00387E94" w:rsidP="00387E94">
      <w:pPr>
        <w:pStyle w:val="ListParagraph"/>
        <w:numPr>
          <w:ilvl w:val="0"/>
          <w:numId w:val="17"/>
        </w:numPr>
        <w:rPr>
          <w:color w:val="000000" w:themeColor="text1"/>
        </w:rPr>
      </w:pPr>
      <w:r w:rsidRPr="00CF39C8">
        <w:rPr>
          <w:color w:val="000000" w:themeColor="text1"/>
        </w:rPr>
        <w:t xml:space="preserve">The economic costs and benefits of the </w:t>
      </w:r>
      <w:r w:rsidR="00D2309F" w:rsidRPr="00CF39C8">
        <w:rPr>
          <w:color w:val="000000" w:themeColor="text1"/>
        </w:rPr>
        <w:t>options</w:t>
      </w:r>
      <w:r w:rsidRPr="00CF39C8">
        <w:rPr>
          <w:color w:val="000000" w:themeColor="text1"/>
        </w:rPr>
        <w:t xml:space="preserve"> against the baseline.</w:t>
      </w:r>
    </w:p>
    <w:p w14:paraId="08AD5101" w14:textId="77777777" w:rsidR="00387E94" w:rsidRPr="00CF39C8" w:rsidRDefault="00387E94" w:rsidP="00387E94">
      <w:pPr>
        <w:pStyle w:val="ListParagraph"/>
        <w:numPr>
          <w:ilvl w:val="0"/>
          <w:numId w:val="17"/>
        </w:numPr>
        <w:rPr>
          <w:color w:val="000000" w:themeColor="text1"/>
        </w:rPr>
      </w:pPr>
      <w:r w:rsidRPr="00CF39C8">
        <w:rPr>
          <w:color w:val="000000" w:themeColor="text1"/>
        </w:rPr>
        <w:t xml:space="preserve">The regulatory burden of the </w:t>
      </w:r>
      <w:r w:rsidR="00D2309F" w:rsidRPr="00CF39C8">
        <w:rPr>
          <w:color w:val="000000" w:themeColor="text1"/>
        </w:rPr>
        <w:t>options.</w:t>
      </w:r>
    </w:p>
    <w:p w14:paraId="7C094B8E" w14:textId="77777777" w:rsidR="00387E94" w:rsidRPr="00CF39C8" w:rsidRDefault="007F1CA1" w:rsidP="00430317">
      <w:pPr>
        <w:pStyle w:val="Heading2"/>
        <w:numPr>
          <w:ilvl w:val="1"/>
          <w:numId w:val="63"/>
        </w:numPr>
        <w:ind w:hanging="792"/>
        <w:rPr>
          <w:rFonts w:cstheme="majorHAnsi"/>
        </w:rPr>
      </w:pPr>
      <w:bookmarkStart w:id="265" w:name="_Toc161837666"/>
      <w:bookmarkStart w:id="266" w:name="_Toc161933163"/>
      <w:bookmarkStart w:id="267" w:name="_Toc162276470"/>
      <w:bookmarkStart w:id="268" w:name="_Toc163221066"/>
      <w:r w:rsidRPr="00CF39C8">
        <w:rPr>
          <w:rFonts w:cstheme="majorHAnsi"/>
        </w:rPr>
        <w:t>Any viable</w:t>
      </w:r>
      <w:r w:rsidR="00387E94" w:rsidRPr="00CF39C8">
        <w:rPr>
          <w:rFonts w:cstheme="majorHAnsi"/>
        </w:rPr>
        <w:t xml:space="preserve"> </w:t>
      </w:r>
      <w:r w:rsidR="00A26BD0" w:rsidRPr="00CF39C8">
        <w:rPr>
          <w:rFonts w:cstheme="majorHAnsi"/>
        </w:rPr>
        <w:t xml:space="preserve">option </w:t>
      </w:r>
      <w:r w:rsidRPr="00CF39C8">
        <w:rPr>
          <w:rFonts w:cstheme="majorHAnsi"/>
        </w:rPr>
        <w:t>must</w:t>
      </w:r>
      <w:r w:rsidR="00A26BD0" w:rsidRPr="00CF39C8">
        <w:rPr>
          <w:rFonts w:cstheme="majorHAnsi"/>
        </w:rPr>
        <w:t xml:space="preserve"> </w:t>
      </w:r>
      <w:r w:rsidR="00387E94" w:rsidRPr="00CF39C8">
        <w:rPr>
          <w:rFonts w:cstheme="majorHAnsi"/>
        </w:rPr>
        <w:t>compare well against the principles established</w:t>
      </w:r>
      <w:bookmarkEnd w:id="265"/>
      <w:bookmarkEnd w:id="266"/>
      <w:bookmarkEnd w:id="267"/>
      <w:bookmarkEnd w:id="268"/>
    </w:p>
    <w:p w14:paraId="0BA48FA2" w14:textId="77777777" w:rsidR="00AE3241" w:rsidRPr="00CF39C8" w:rsidRDefault="00387E94" w:rsidP="004161C2">
      <w:pPr>
        <w:rPr>
          <w:rFonts w:asciiTheme="majorHAnsi" w:hAnsiTheme="majorHAnsi" w:cstheme="majorHAnsi"/>
        </w:rPr>
      </w:pPr>
      <w:r w:rsidRPr="00CF39C8">
        <w:rPr>
          <w:rFonts w:asciiTheme="majorHAnsi" w:hAnsiTheme="majorHAnsi" w:cstheme="majorHAnsi"/>
        </w:rPr>
        <w:t xml:space="preserve">As we established in </w:t>
      </w:r>
      <w:r w:rsidRPr="003B32F1">
        <w:rPr>
          <w:rFonts w:asciiTheme="majorHAnsi" w:hAnsiTheme="majorHAnsi" w:cstheme="majorHAnsi"/>
        </w:rPr>
        <w:t>Chapter 3</w:t>
      </w:r>
      <w:r w:rsidRPr="00CF39C8">
        <w:rPr>
          <w:rFonts w:asciiTheme="majorHAnsi" w:hAnsiTheme="majorHAnsi" w:cstheme="majorHAnsi"/>
        </w:rPr>
        <w:t xml:space="preserve">, </w:t>
      </w:r>
      <w:r w:rsidR="007F1CA1" w:rsidRPr="00CF39C8">
        <w:rPr>
          <w:rFonts w:asciiTheme="majorHAnsi" w:hAnsiTheme="majorHAnsi" w:cstheme="majorHAnsi"/>
        </w:rPr>
        <w:t xml:space="preserve">the </w:t>
      </w:r>
      <w:r w:rsidR="00D97186" w:rsidRPr="00CF39C8">
        <w:rPr>
          <w:rFonts w:asciiTheme="majorHAnsi" w:hAnsiTheme="majorHAnsi" w:cstheme="majorHAnsi"/>
        </w:rPr>
        <w:t>d</w:t>
      </w:r>
      <w:r w:rsidR="007F1CA1" w:rsidRPr="00CF39C8">
        <w:rPr>
          <w:rFonts w:asciiTheme="majorHAnsi" w:hAnsiTheme="majorHAnsi" w:cstheme="majorHAnsi"/>
        </w:rPr>
        <w:t>epartment</w:t>
      </w:r>
      <w:r w:rsidRPr="00CF39C8">
        <w:rPr>
          <w:rFonts w:asciiTheme="majorHAnsi" w:hAnsiTheme="majorHAnsi" w:cstheme="majorHAnsi"/>
        </w:rPr>
        <w:t xml:space="preserve"> developed a series of principles to </w:t>
      </w:r>
      <w:r w:rsidR="007F1CA1" w:rsidRPr="00CF39C8">
        <w:rPr>
          <w:rFonts w:asciiTheme="majorHAnsi" w:hAnsiTheme="majorHAnsi" w:cstheme="majorHAnsi"/>
        </w:rPr>
        <w:t>inform policy design.</w:t>
      </w:r>
      <w:r w:rsidRPr="00CF39C8">
        <w:rPr>
          <w:rFonts w:asciiTheme="majorHAnsi" w:hAnsiTheme="majorHAnsi" w:cstheme="majorHAnsi"/>
        </w:rPr>
        <w:t xml:space="preserve"> In </w:t>
      </w:r>
      <w:r w:rsidR="00845194" w:rsidRPr="00CF39C8">
        <w:rPr>
          <w:rFonts w:asciiTheme="majorHAnsi" w:hAnsiTheme="majorHAnsi" w:cstheme="majorHAnsi"/>
        </w:rPr>
        <w:t xml:space="preserve">the table </w:t>
      </w:r>
      <w:r w:rsidR="004D6A91" w:rsidRPr="00CF39C8">
        <w:rPr>
          <w:rFonts w:asciiTheme="majorHAnsi" w:hAnsiTheme="majorHAnsi" w:cstheme="majorHAnsi"/>
        </w:rPr>
        <w:t>below,</w:t>
      </w:r>
      <w:r w:rsidRPr="00CF39C8">
        <w:rPr>
          <w:rFonts w:asciiTheme="majorHAnsi" w:hAnsiTheme="majorHAnsi" w:cstheme="majorHAnsi"/>
        </w:rPr>
        <w:t xml:space="preserve"> we have used colo</w:t>
      </w:r>
      <w:r w:rsidR="003B32F1">
        <w:rPr>
          <w:rFonts w:asciiTheme="majorHAnsi" w:hAnsiTheme="majorHAnsi" w:cstheme="majorHAnsi"/>
        </w:rPr>
        <w:t>u</w:t>
      </w:r>
      <w:r w:rsidRPr="00CF39C8">
        <w:rPr>
          <w:rFonts w:asciiTheme="majorHAnsi" w:hAnsiTheme="majorHAnsi" w:cstheme="majorHAnsi"/>
        </w:rPr>
        <w:t xml:space="preserve">rs and symbols to </w:t>
      </w:r>
      <w:r w:rsidR="007F1CA1" w:rsidRPr="00CF39C8">
        <w:rPr>
          <w:rFonts w:asciiTheme="majorHAnsi" w:hAnsiTheme="majorHAnsi" w:cstheme="majorHAnsi"/>
        </w:rPr>
        <w:t xml:space="preserve">assess each </w:t>
      </w:r>
      <w:r w:rsidR="00DC48C3">
        <w:rPr>
          <w:rFonts w:asciiTheme="majorHAnsi" w:hAnsiTheme="majorHAnsi" w:cstheme="majorHAnsi"/>
        </w:rPr>
        <w:t>option a</w:t>
      </w:r>
      <w:r w:rsidR="007F1CA1" w:rsidRPr="00CF39C8">
        <w:rPr>
          <w:rFonts w:asciiTheme="majorHAnsi" w:hAnsiTheme="majorHAnsi" w:cstheme="majorHAnsi"/>
        </w:rPr>
        <w:t xml:space="preserve">gainst the baseline and </w:t>
      </w:r>
      <w:r w:rsidRPr="00CF39C8">
        <w:rPr>
          <w:rFonts w:asciiTheme="majorHAnsi" w:hAnsiTheme="majorHAnsi" w:cstheme="majorHAnsi"/>
        </w:rPr>
        <w:t xml:space="preserve">depict </w:t>
      </w:r>
      <w:r w:rsidR="00AA3C98" w:rsidRPr="00CF39C8">
        <w:rPr>
          <w:rFonts w:asciiTheme="majorHAnsi" w:hAnsiTheme="majorHAnsi" w:cstheme="majorHAnsi"/>
        </w:rPr>
        <w:t>i</w:t>
      </w:r>
      <w:r w:rsidR="004D6A91" w:rsidRPr="00CF39C8">
        <w:rPr>
          <w:rFonts w:asciiTheme="majorHAnsi" w:hAnsiTheme="majorHAnsi" w:cstheme="majorHAnsi"/>
        </w:rPr>
        <w:t>f</w:t>
      </w:r>
      <w:r w:rsidR="00AA3C98" w:rsidRPr="00CF39C8">
        <w:rPr>
          <w:rFonts w:asciiTheme="majorHAnsi" w:hAnsiTheme="majorHAnsi" w:cstheme="majorHAnsi"/>
        </w:rPr>
        <w:t xml:space="preserve"> the option</w:t>
      </w:r>
      <w:r w:rsidR="009B7211" w:rsidRPr="00CF39C8">
        <w:rPr>
          <w:rFonts w:asciiTheme="majorHAnsi" w:hAnsiTheme="majorHAnsi" w:cstheme="majorHAnsi"/>
        </w:rPr>
        <w:t>, in our analysis,</w:t>
      </w:r>
      <w:r w:rsidR="00AA3C98" w:rsidRPr="00CF39C8">
        <w:rPr>
          <w:rFonts w:asciiTheme="majorHAnsi" w:hAnsiTheme="majorHAnsi" w:cstheme="majorHAnsi"/>
        </w:rPr>
        <w:t xml:space="preserve"> is</w:t>
      </w:r>
      <w:r w:rsidRPr="00CF39C8">
        <w:rPr>
          <w:rFonts w:asciiTheme="majorHAnsi" w:hAnsiTheme="majorHAnsi" w:cstheme="majorHAnsi"/>
        </w:rPr>
        <w:t xml:space="preserve">: </w:t>
      </w:r>
    </w:p>
    <w:p w14:paraId="4326F5DF" w14:textId="77777777" w:rsidR="00387E94"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1" behindDoc="1" locked="0" layoutInCell="1" allowOverlap="1" wp14:anchorId="21F8ECCF" wp14:editId="65A1909F">
                <wp:simplePos x="0" y="0"/>
                <wp:positionH relativeFrom="column">
                  <wp:posOffset>1093206</wp:posOffset>
                </wp:positionH>
                <wp:positionV relativeFrom="paragraph">
                  <wp:posOffset>6350</wp:posOffset>
                </wp:positionV>
                <wp:extent cx="186690" cy="147320"/>
                <wp:effectExtent l="19050" t="19050" r="41910" b="24130"/>
                <wp:wrapNone/>
                <wp:docPr id="17" name="Arrow: Down 17" descr="Image of an arrow representing superior = 'Increase'."/>
                <wp:cNvGraphicFramePr/>
                <a:graphic xmlns:a="http://schemas.openxmlformats.org/drawingml/2006/main">
                  <a:graphicData uri="http://schemas.microsoft.com/office/word/2010/wordprocessingShape">
                    <wps:wsp>
                      <wps:cNvSpPr/>
                      <wps:spPr>
                        <a:xfrm rot="10800000">
                          <a:off x="0" y="0"/>
                          <a:ext cx="18669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C4D8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alt="Image of an arrow representing superior = 'Increase'." style="position:absolute;margin-left:86.1pt;margin-top:.5pt;width:14.7pt;height:11.6pt;rotation:180;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" adj="10800" fillcolor="black [3213]" strokecolor="black [3213]" strokeweight="1pt"/>
            </w:pict>
          </mc:Fallback>
        </mc:AlternateContent>
      </w:r>
      <w:r w:rsidR="00997B3D" w:rsidRPr="00CF39C8">
        <w:rPr>
          <w:rFonts w:asciiTheme="majorHAnsi" w:hAnsiTheme="majorHAnsi" w:cstheme="majorHAnsi"/>
          <w:b/>
        </w:rPr>
        <w:t>Superior</w:t>
      </w:r>
      <w:r w:rsidRPr="00CF39C8">
        <w:rPr>
          <w:rFonts w:asciiTheme="majorHAnsi" w:hAnsiTheme="majorHAnsi" w:cstheme="majorHAnsi"/>
        </w:rPr>
        <w:tab/>
      </w:r>
      <w:r w:rsidR="00FB549D" w:rsidRPr="00CF39C8">
        <w:rPr>
          <w:rFonts w:asciiTheme="majorHAnsi" w:hAnsiTheme="majorHAnsi" w:cstheme="majorHAnsi"/>
          <w:shd w:val="clear" w:color="auto" w:fill="92D050"/>
        </w:rPr>
        <w:t>GREEN</w:t>
      </w:r>
      <w:r w:rsidR="00FB549D" w:rsidRPr="00CF39C8">
        <w:rPr>
          <w:rFonts w:asciiTheme="majorHAnsi" w:hAnsiTheme="majorHAnsi" w:cstheme="majorHAnsi"/>
        </w:rPr>
        <w:t xml:space="preserve"> </w:t>
      </w:r>
    </w:p>
    <w:p w14:paraId="48B33272" w14:textId="77777777" w:rsidR="00FB549D" w:rsidRPr="00CF39C8" w:rsidRDefault="00FB549D" w:rsidP="007F7C7A">
      <w:pPr>
        <w:ind w:left="709" w:hanging="283"/>
        <w:rPr>
          <w:rFonts w:asciiTheme="majorHAnsi" w:hAnsiTheme="majorHAnsi" w:cstheme="majorHAnsi"/>
        </w:rPr>
      </w:pPr>
    </w:p>
    <w:p w14:paraId="1DA30F5D" w14:textId="77777777" w:rsidR="00FB549D"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3" behindDoc="1" locked="0" layoutInCell="1" allowOverlap="1" wp14:anchorId="02361249" wp14:editId="6F682AEC">
                <wp:simplePos x="0" y="0"/>
                <wp:positionH relativeFrom="column">
                  <wp:posOffset>1071880</wp:posOffset>
                </wp:positionH>
                <wp:positionV relativeFrom="paragraph">
                  <wp:posOffset>34554</wp:posOffset>
                </wp:positionV>
                <wp:extent cx="243840" cy="99060"/>
                <wp:effectExtent l="0" t="0" r="22860" b="15240"/>
                <wp:wrapNone/>
                <wp:docPr id="28" name="Rectangle 28" descr="Image of a dash representing moderate = '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0F4925" id="Rectangle 28" o:spid="_x0000_s1026" alt="Image of a dash representing moderate = 'no change'." style="position:absolute;margin-left:84.4pt;margin-top:2.7pt;width:19.2pt;height:7.8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" fillcolor="black [3213]" strokecolor="black [3213]" strokeweight="1pt"/>
            </w:pict>
          </mc:Fallback>
        </mc:AlternateContent>
      </w:r>
      <w:r w:rsidR="00FB549D" w:rsidRPr="00CF39C8">
        <w:rPr>
          <w:rFonts w:asciiTheme="majorHAnsi" w:hAnsiTheme="majorHAnsi" w:cstheme="majorHAnsi"/>
          <w:b/>
        </w:rPr>
        <w:t>Moderate</w:t>
      </w:r>
      <w:r w:rsidRPr="00CF39C8">
        <w:rPr>
          <w:rFonts w:asciiTheme="majorHAnsi" w:hAnsiTheme="majorHAnsi" w:cstheme="majorHAnsi"/>
        </w:rPr>
        <w:tab/>
      </w:r>
      <w:r w:rsidR="00FB549D" w:rsidRPr="00CF39C8">
        <w:rPr>
          <w:rFonts w:asciiTheme="majorHAnsi" w:hAnsiTheme="majorHAnsi" w:cstheme="majorHAnsi"/>
          <w:shd w:val="clear" w:color="auto" w:fill="FFC000"/>
        </w:rPr>
        <w:t>AMBER</w:t>
      </w:r>
      <w:r w:rsidR="00FB549D" w:rsidRPr="00CF39C8">
        <w:rPr>
          <w:rFonts w:asciiTheme="majorHAnsi" w:hAnsiTheme="majorHAnsi" w:cstheme="majorHAnsi"/>
        </w:rPr>
        <w:t xml:space="preserve"> </w:t>
      </w:r>
    </w:p>
    <w:p w14:paraId="1391355C" w14:textId="77777777" w:rsidR="00FB549D" w:rsidRPr="00CF39C8" w:rsidRDefault="00FB549D" w:rsidP="007F7C7A">
      <w:pPr>
        <w:ind w:left="709" w:hanging="283"/>
        <w:rPr>
          <w:rFonts w:asciiTheme="majorHAnsi" w:hAnsiTheme="majorHAnsi" w:cstheme="majorHAnsi"/>
        </w:rPr>
      </w:pPr>
    </w:p>
    <w:p w14:paraId="44B8C457" w14:textId="77777777" w:rsidR="00FB549D"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0" behindDoc="1" locked="0" layoutInCell="1" allowOverlap="1" wp14:anchorId="0A43869E" wp14:editId="5B900E93">
                <wp:simplePos x="0" y="0"/>
                <wp:positionH relativeFrom="column">
                  <wp:posOffset>1068969</wp:posOffset>
                </wp:positionH>
                <wp:positionV relativeFrom="paragraph">
                  <wp:posOffset>21590</wp:posOffset>
                </wp:positionV>
                <wp:extent cx="205740" cy="147320"/>
                <wp:effectExtent l="38100" t="0" r="22860" b="43180"/>
                <wp:wrapNone/>
                <wp:docPr id="580354309" name="Arrow: Down 580354309" descr="Image of downwards arrow representing inferior = '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86C7F" id="Arrow: Down 580354309" o:spid="_x0000_s1026" type="#_x0000_t67" alt="Image of downwards arrow representing inferior = 'decrease'." style="position:absolute;margin-left:84.15pt;margin-top:1.7pt;width:16.2pt;height:11.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" adj="10800" fillcolor="black [3213]" strokecolor="black [3213]" strokeweight="1pt"/>
            </w:pict>
          </mc:Fallback>
        </mc:AlternateContent>
      </w:r>
      <w:r w:rsidR="00FB549D" w:rsidRPr="00CF39C8">
        <w:rPr>
          <w:rFonts w:asciiTheme="majorHAnsi" w:hAnsiTheme="majorHAnsi" w:cstheme="majorHAnsi"/>
          <w:b/>
        </w:rPr>
        <w:t>Inferior</w:t>
      </w:r>
      <w:r w:rsidRPr="00CF39C8">
        <w:rPr>
          <w:rFonts w:asciiTheme="majorHAnsi" w:hAnsiTheme="majorHAnsi" w:cstheme="majorHAnsi"/>
          <w:b/>
        </w:rPr>
        <w:tab/>
      </w:r>
      <w:r w:rsidRPr="00CF39C8">
        <w:rPr>
          <w:rFonts w:asciiTheme="majorHAnsi" w:hAnsiTheme="majorHAnsi" w:cstheme="majorHAnsi"/>
          <w:b/>
        </w:rPr>
        <w:tab/>
      </w:r>
      <w:r w:rsidR="00FB549D" w:rsidRPr="00CF39C8">
        <w:rPr>
          <w:rFonts w:asciiTheme="majorHAnsi" w:hAnsiTheme="majorHAnsi" w:cstheme="majorHAnsi"/>
          <w:shd w:val="clear" w:color="auto" w:fill="FF0000"/>
        </w:rPr>
        <w:t>RED</w:t>
      </w:r>
    </w:p>
    <w:p w14:paraId="7F51271A" w14:textId="77777777" w:rsidR="00596514" w:rsidRPr="00CF39C8" w:rsidRDefault="00596514" w:rsidP="00596514">
      <w:pPr>
        <w:rPr>
          <w:rFonts w:asciiTheme="majorHAnsi" w:hAnsiTheme="majorHAnsi" w:cstheme="majorHAnsi"/>
        </w:rPr>
      </w:pPr>
    </w:p>
    <w:p w14:paraId="6756070E" w14:textId="77777777" w:rsidR="00596514" w:rsidRPr="00CF39C8" w:rsidRDefault="00596514" w:rsidP="00596514">
      <w:pPr>
        <w:rPr>
          <w:rFonts w:asciiTheme="majorHAnsi" w:hAnsiTheme="majorHAnsi" w:cstheme="majorHAnsi"/>
        </w:rPr>
      </w:pPr>
      <w:r w:rsidRPr="00CF39C8">
        <w:rPr>
          <w:rFonts w:asciiTheme="majorHAnsi" w:hAnsiTheme="majorHAnsi" w:cstheme="majorHAnsi"/>
        </w:rPr>
        <w:t xml:space="preserve">In summary, the principles are: </w:t>
      </w:r>
    </w:p>
    <w:p w14:paraId="6A59929A" w14:textId="77777777" w:rsidR="00596514" w:rsidRPr="00CF39C8" w:rsidRDefault="00596514" w:rsidP="00430317">
      <w:pPr>
        <w:pStyle w:val="ListParagraph"/>
        <w:numPr>
          <w:ilvl w:val="0"/>
          <w:numId w:val="39"/>
        </w:numPr>
        <w:ind w:left="709" w:hanging="283"/>
        <w:rPr>
          <w:rFonts w:asciiTheme="majorHAnsi" w:hAnsiTheme="majorHAnsi" w:cstheme="majorHAnsi"/>
        </w:rPr>
      </w:pPr>
      <w:r w:rsidRPr="00CF39C8">
        <w:rPr>
          <w:rFonts w:asciiTheme="majorHAnsi" w:hAnsiTheme="majorHAnsi" w:cstheme="majorHAnsi"/>
          <w:b/>
        </w:rPr>
        <w:t xml:space="preserve">Effective: </w:t>
      </w:r>
      <w:r w:rsidRPr="00CF39C8">
        <w:rPr>
          <w:rFonts w:asciiTheme="majorHAnsi" w:hAnsiTheme="majorHAnsi" w:cstheme="majorHAnsi"/>
        </w:rPr>
        <w:t>Effective in reducing CO</w:t>
      </w:r>
      <w:r w:rsidRPr="00CF39C8">
        <w:rPr>
          <w:rFonts w:asciiTheme="majorHAnsi" w:hAnsiTheme="majorHAnsi" w:cstheme="majorHAnsi"/>
          <w:vertAlign w:val="subscript"/>
        </w:rPr>
        <w:t>2</w:t>
      </w:r>
      <w:r w:rsidRPr="00CF39C8">
        <w:rPr>
          <w:rFonts w:asciiTheme="majorHAnsi" w:hAnsiTheme="majorHAnsi" w:cstheme="majorHAnsi"/>
        </w:rPr>
        <w:t xml:space="preserve"> transport emissions from new cars. </w:t>
      </w:r>
    </w:p>
    <w:p w14:paraId="095A1B14" w14:textId="77777777" w:rsidR="00596514" w:rsidRPr="00CF39C8" w:rsidRDefault="00596514" w:rsidP="00430317">
      <w:pPr>
        <w:pStyle w:val="ListParagraph"/>
        <w:numPr>
          <w:ilvl w:val="0"/>
          <w:numId w:val="39"/>
        </w:numPr>
        <w:ind w:left="709" w:hanging="283"/>
        <w:rPr>
          <w:rFonts w:asciiTheme="majorHAnsi" w:hAnsiTheme="majorHAnsi" w:cstheme="majorHAnsi"/>
        </w:rPr>
      </w:pPr>
      <w:r w:rsidRPr="00CF39C8">
        <w:rPr>
          <w:rFonts w:asciiTheme="majorHAnsi" w:hAnsiTheme="majorHAnsi" w:cstheme="majorHAnsi"/>
          <w:b/>
        </w:rPr>
        <w:t xml:space="preserve">Equitable: </w:t>
      </w:r>
      <w:r w:rsidRPr="00CF39C8">
        <w:rPr>
          <w:rFonts w:asciiTheme="majorHAnsi" w:hAnsiTheme="majorHAnsi" w:cstheme="majorHAnsi"/>
        </w:rPr>
        <w:t>All Australians can access the vehicles they need for work and leisure. Intervention needs to be equitable, and not unduly negatively impact any particular group of people or part of Australia.</w:t>
      </w:r>
    </w:p>
    <w:p w14:paraId="60CD8EC7" w14:textId="77777777" w:rsidR="00596514" w:rsidRPr="00CF39C8" w:rsidRDefault="00596514" w:rsidP="00430317">
      <w:pPr>
        <w:pStyle w:val="ListParagraph"/>
        <w:numPr>
          <w:ilvl w:val="0"/>
          <w:numId w:val="39"/>
        </w:numPr>
        <w:ind w:left="709" w:hanging="283"/>
        <w:rPr>
          <w:rFonts w:asciiTheme="majorHAnsi" w:hAnsiTheme="majorHAnsi" w:cstheme="majorHAnsi"/>
          <w:b/>
        </w:rPr>
      </w:pPr>
      <w:r w:rsidRPr="00CF39C8">
        <w:rPr>
          <w:rFonts w:asciiTheme="majorHAnsi" w:hAnsiTheme="majorHAnsi" w:cstheme="majorHAnsi"/>
          <w:b/>
        </w:rPr>
        <w:t xml:space="preserve">Simple and transparent: </w:t>
      </w:r>
      <w:r w:rsidRPr="00CF39C8">
        <w:rPr>
          <w:rFonts w:asciiTheme="majorHAnsi" w:hAnsiTheme="majorHAnsi" w:cstheme="majorHAnsi"/>
        </w:rPr>
        <w:t>Intervention emphasises simplicity and transparency, in design and operation.</w:t>
      </w:r>
      <w:r w:rsidRPr="00CF39C8">
        <w:rPr>
          <w:rFonts w:asciiTheme="majorHAnsi" w:hAnsiTheme="majorHAnsi" w:cstheme="majorHAnsi"/>
          <w:b/>
        </w:rPr>
        <w:t xml:space="preserve"> </w:t>
      </w:r>
    </w:p>
    <w:p w14:paraId="48EB5131" w14:textId="77777777" w:rsidR="00596514" w:rsidRPr="00CF39C8" w:rsidRDefault="00596514" w:rsidP="00430317">
      <w:pPr>
        <w:pStyle w:val="ListParagraph"/>
        <w:numPr>
          <w:ilvl w:val="0"/>
          <w:numId w:val="39"/>
        </w:numPr>
        <w:ind w:left="709" w:hanging="283"/>
        <w:rPr>
          <w:rFonts w:asciiTheme="majorHAnsi" w:hAnsiTheme="majorHAnsi" w:cstheme="majorHAnsi"/>
          <w:b/>
        </w:rPr>
      </w:pPr>
      <w:r w:rsidRPr="00CF39C8">
        <w:rPr>
          <w:rFonts w:asciiTheme="majorHAnsi" w:hAnsiTheme="majorHAnsi" w:cstheme="majorHAnsi"/>
          <w:b/>
        </w:rPr>
        <w:t xml:space="preserve">Credible and robust: </w:t>
      </w:r>
      <w:r w:rsidRPr="00CF39C8">
        <w:rPr>
          <w:rFonts w:asciiTheme="majorHAnsi" w:hAnsiTheme="majorHAnsi" w:cstheme="majorHAnsi"/>
        </w:rPr>
        <w:t>By drawing on expert analysis and experience. Intervention should be designed with the latest and best analysis available, drawing on the expertise of industry, the environmental community, academia and others.</w:t>
      </w:r>
    </w:p>
    <w:p w14:paraId="0696AA08" w14:textId="77777777" w:rsidR="00596514" w:rsidRPr="00CF39C8" w:rsidRDefault="00596514" w:rsidP="00430317">
      <w:pPr>
        <w:pStyle w:val="ListParagraph"/>
        <w:numPr>
          <w:ilvl w:val="0"/>
          <w:numId w:val="39"/>
        </w:numPr>
        <w:ind w:left="709" w:hanging="283"/>
        <w:rPr>
          <w:rFonts w:asciiTheme="majorHAnsi" w:hAnsiTheme="majorHAnsi" w:cstheme="majorHAnsi"/>
        </w:rPr>
        <w:sectPr w:rsidR="00596514" w:rsidRPr="00CF39C8" w:rsidSect="006D01FC">
          <w:pgSz w:w="11906" w:h="16838" w:code="9"/>
          <w:pgMar w:top="1021" w:right="1134" w:bottom="851" w:left="1276" w:header="510" w:footer="567" w:gutter="0"/>
          <w:cols w:space="708"/>
          <w:docGrid w:linePitch="360"/>
        </w:sectPr>
      </w:pPr>
      <w:r w:rsidRPr="00CF39C8">
        <w:rPr>
          <w:rFonts w:asciiTheme="majorHAnsi" w:hAnsiTheme="majorHAnsi" w:cstheme="majorHAnsi"/>
          <w:b/>
        </w:rPr>
        <w:t xml:space="preserve">Enabling: </w:t>
      </w:r>
      <w:r w:rsidRPr="00CF39C8">
        <w:rPr>
          <w:rFonts w:asciiTheme="majorHAnsi" w:hAnsiTheme="majorHAnsi" w:cstheme="majorHAnsi"/>
        </w:rPr>
        <w:t>Vehicles with the best emissions and safety technology to be available to Australians. Avoid increasing the average age of vehicles in the fleet so there are no inadvertent safety impacts.</w:t>
      </w:r>
    </w:p>
    <w:tbl>
      <w:tblPr>
        <w:tblStyle w:val="TableGrid"/>
        <w:tblW w:w="482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Assessment of options vs principles"/>
      </w:tblPr>
      <w:tblGrid>
        <w:gridCol w:w="3187"/>
        <w:gridCol w:w="2281"/>
        <w:gridCol w:w="2281"/>
        <w:gridCol w:w="2281"/>
        <w:gridCol w:w="2128"/>
        <w:gridCol w:w="2278"/>
      </w:tblGrid>
      <w:tr w:rsidR="00610AA7" w:rsidRPr="00CF39C8" w14:paraId="068E792D" w14:textId="77777777" w:rsidTr="00C35B48">
        <w:trPr>
          <w:trHeight w:val="527"/>
          <w:tblHeader/>
        </w:trPr>
        <w:tc>
          <w:tcPr>
            <w:tcW w:w="1104" w:type="pct"/>
            <w:shd w:val="clear" w:color="auto" w:fill="417A84" w:themeFill="accent5" w:themeFillShade="BF"/>
            <w:vAlign w:val="center"/>
          </w:tcPr>
          <w:p w14:paraId="5D05B797" w14:textId="77777777" w:rsidR="00610AA7" w:rsidRPr="00CF39C8" w:rsidRDefault="00610AA7" w:rsidP="00610AA7">
            <w:pPr>
              <w:rPr>
                <w:rFonts w:asciiTheme="majorHAnsi" w:hAnsiTheme="majorHAnsi" w:cstheme="majorHAnsi"/>
                <w:b/>
                <w:color w:val="FFFFFF" w:themeColor="background1"/>
              </w:rPr>
            </w:pPr>
            <w:bookmarkStart w:id="269" w:name="_Toc147691351"/>
            <w:bookmarkStart w:id="270" w:name="_Toc147699498"/>
            <w:bookmarkStart w:id="271" w:name="_Toc147691353"/>
            <w:bookmarkStart w:id="272" w:name="_Toc147699500"/>
            <w:bookmarkStart w:id="273" w:name="_Toc147691352"/>
            <w:bookmarkStart w:id="274" w:name="_Toc147699499"/>
            <w:bookmarkStart w:id="275" w:name="_Toc147691611"/>
            <w:bookmarkStart w:id="276" w:name="_Toc147699758"/>
            <w:bookmarkStart w:id="277" w:name="_Toc147691612"/>
            <w:bookmarkStart w:id="278" w:name="_Toc147699759"/>
            <w:bookmarkStart w:id="279" w:name="_Toc147691613"/>
            <w:bookmarkStart w:id="280" w:name="_Toc147699760"/>
            <w:bookmarkStart w:id="281" w:name="_Toc147691614"/>
            <w:bookmarkStart w:id="282" w:name="_Toc147699761"/>
            <w:bookmarkStart w:id="283" w:name="_Toc147691615"/>
            <w:bookmarkStart w:id="284" w:name="_Toc147699762"/>
            <w:bookmarkStart w:id="285" w:name="_Toc147691616"/>
            <w:bookmarkStart w:id="286" w:name="_Toc147699763"/>
            <w:bookmarkStart w:id="287" w:name="_Toc147691617"/>
            <w:bookmarkStart w:id="288" w:name="_Toc147699764"/>
            <w:bookmarkStart w:id="289" w:name="_Toc147691618"/>
            <w:bookmarkStart w:id="290" w:name="_Toc147699765"/>
            <w:bookmarkStart w:id="291" w:name="_Toc147691619"/>
            <w:bookmarkStart w:id="292" w:name="_Toc147699766"/>
            <w:bookmarkStart w:id="293" w:name="_Toc147691620"/>
            <w:bookmarkStart w:id="294" w:name="_Toc147699767"/>
            <w:bookmarkStart w:id="295" w:name="_Toc147691621"/>
            <w:bookmarkStart w:id="296" w:name="_Toc147699768"/>
            <w:bookmarkStart w:id="297" w:name="_Toc147691622"/>
            <w:bookmarkStart w:id="298" w:name="_Toc147699769"/>
            <w:bookmarkStart w:id="299" w:name="_Toc147691623"/>
            <w:bookmarkStart w:id="300" w:name="_Toc147699770"/>
            <w:bookmarkStart w:id="301" w:name="_Toc147691624"/>
            <w:bookmarkStart w:id="302" w:name="_Toc147699771"/>
            <w:bookmarkStart w:id="303" w:name="_Toc147691625"/>
            <w:bookmarkStart w:id="304" w:name="_Toc147699772"/>
            <w:bookmarkStart w:id="305" w:name="_Toc147691626"/>
            <w:bookmarkStart w:id="306" w:name="_Toc147699773"/>
            <w:bookmarkStart w:id="307" w:name="_Toc147691627"/>
            <w:bookmarkStart w:id="308" w:name="_Toc147699774"/>
            <w:bookmarkStart w:id="309" w:name="_Toc147691628"/>
            <w:bookmarkStart w:id="310" w:name="_Toc147699775"/>
            <w:bookmarkStart w:id="311" w:name="_Toc147691629"/>
            <w:bookmarkStart w:id="312" w:name="_Toc147699776"/>
            <w:bookmarkStart w:id="313" w:name="_Toc147691630"/>
            <w:bookmarkStart w:id="314" w:name="_Toc147699777"/>
            <w:bookmarkStart w:id="315" w:name="_Toc147691631"/>
            <w:bookmarkStart w:id="316" w:name="_Toc147699778"/>
            <w:bookmarkStart w:id="317" w:name="_Toc147691632"/>
            <w:bookmarkStart w:id="318" w:name="_Toc147699779"/>
            <w:bookmarkStart w:id="319" w:name="_Ref153982514"/>
            <w:bookmarkStart w:id="320" w:name="_Toc148362162"/>
            <w:bookmarkStart w:id="321" w:name="_Toc148362635"/>
            <w:bookmarkStart w:id="322" w:name="_Toc148361198"/>
            <w:bookmarkStart w:id="323" w:name="_Toc14990724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CF39C8">
              <w:rPr>
                <w:rFonts w:asciiTheme="majorHAnsi" w:hAnsiTheme="majorHAnsi" w:cstheme="majorHAnsi"/>
                <w:b/>
                <w:color w:val="FFFFFF" w:themeColor="background1"/>
              </w:rPr>
              <w:t>Principle</w:t>
            </w:r>
          </w:p>
        </w:tc>
        <w:tc>
          <w:tcPr>
            <w:tcW w:w="790" w:type="pct"/>
            <w:shd w:val="clear" w:color="auto" w:fill="417A84" w:themeFill="accent5" w:themeFillShade="BF"/>
            <w:vAlign w:val="center"/>
          </w:tcPr>
          <w:p w14:paraId="3F610F05" w14:textId="77777777" w:rsidR="00610AA7" w:rsidRPr="00CF39C8" w:rsidRDefault="00610AA7" w:rsidP="00860480">
            <w:pPr>
              <w:jc w:val="center"/>
              <w:rPr>
                <w:rFonts w:asciiTheme="majorHAnsi" w:hAnsiTheme="majorHAnsi" w:cstheme="majorHAnsi"/>
                <w:b/>
                <w:color w:val="FFFFFF" w:themeColor="background1"/>
              </w:rPr>
            </w:pPr>
            <w:r w:rsidRPr="00CF39C8">
              <w:rPr>
                <w:rFonts w:asciiTheme="majorHAnsi" w:hAnsiTheme="majorHAnsi" w:cstheme="majorHAnsi"/>
                <w:b/>
                <w:color w:val="FFFFFF" w:themeColor="background1"/>
              </w:rPr>
              <w:t>Baseline</w:t>
            </w:r>
          </w:p>
        </w:tc>
        <w:tc>
          <w:tcPr>
            <w:tcW w:w="790" w:type="pct"/>
            <w:shd w:val="clear" w:color="auto" w:fill="417A84" w:themeFill="accent5" w:themeFillShade="BF"/>
            <w:vAlign w:val="center"/>
          </w:tcPr>
          <w:p w14:paraId="098A13A1" w14:textId="77777777" w:rsidR="00610AA7" w:rsidRPr="00CF39C8" w:rsidRDefault="00DC48C3"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A</w:t>
            </w:r>
          </w:p>
        </w:tc>
        <w:tc>
          <w:tcPr>
            <w:tcW w:w="790" w:type="pct"/>
            <w:shd w:val="clear" w:color="auto" w:fill="417A84" w:themeFill="accent5" w:themeFillShade="BF"/>
            <w:vAlign w:val="center"/>
          </w:tcPr>
          <w:p w14:paraId="111FAEAE" w14:textId="77777777" w:rsidR="00610AA7" w:rsidRPr="00CF39C8" w:rsidRDefault="00C12BE2"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B</w:t>
            </w:r>
          </w:p>
        </w:tc>
        <w:tc>
          <w:tcPr>
            <w:tcW w:w="737" w:type="pct"/>
            <w:shd w:val="clear" w:color="auto" w:fill="417A84" w:themeFill="accent5" w:themeFillShade="BF"/>
            <w:vAlign w:val="center"/>
          </w:tcPr>
          <w:p w14:paraId="077CFC9E" w14:textId="77777777" w:rsidR="00610AA7" w:rsidRPr="00CF39C8" w:rsidRDefault="00C12BE2"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C</w:t>
            </w:r>
          </w:p>
        </w:tc>
        <w:tc>
          <w:tcPr>
            <w:tcW w:w="790" w:type="pct"/>
            <w:shd w:val="clear" w:color="auto" w:fill="404040" w:themeFill="text1" w:themeFillTint="BF"/>
            <w:vAlign w:val="center"/>
          </w:tcPr>
          <w:p w14:paraId="60F3DDBD" w14:textId="77777777" w:rsidR="00610AA7" w:rsidRPr="00CF39C8" w:rsidRDefault="00AE4BF3"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Best</w:t>
            </w:r>
            <w:r w:rsidR="00075E6E">
              <w:rPr>
                <w:rFonts w:asciiTheme="majorHAnsi" w:hAnsiTheme="majorHAnsi" w:cstheme="majorHAnsi"/>
                <w:b/>
                <w:color w:val="FFFFFF" w:themeColor="background1"/>
              </w:rPr>
              <w:t xml:space="preserve"> Option </w:t>
            </w:r>
          </w:p>
        </w:tc>
      </w:tr>
      <w:tr w:rsidR="00610AA7" w:rsidRPr="00CF39C8" w14:paraId="164423C0" w14:textId="77777777" w:rsidTr="00C35B48">
        <w:tc>
          <w:tcPr>
            <w:tcW w:w="1104" w:type="pct"/>
          </w:tcPr>
          <w:p w14:paraId="22CB5AD6"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Effective</w:t>
            </w:r>
            <w:r w:rsidRPr="00CF39C8">
              <w:rPr>
                <w:rFonts w:asciiTheme="majorHAnsi" w:eastAsia="Calibri" w:hAnsiTheme="majorHAnsi" w:cstheme="majorHAnsi"/>
              </w:rPr>
              <w:t>: Reduce the average amount of CO</w:t>
            </w:r>
            <w:r w:rsidRPr="00CF39C8">
              <w:rPr>
                <w:rFonts w:asciiTheme="majorHAnsi" w:eastAsia="Calibri" w:hAnsiTheme="majorHAnsi" w:cstheme="majorHAnsi"/>
                <w:vertAlign w:val="subscript"/>
              </w:rPr>
              <w:t>2</w:t>
            </w:r>
            <w:r w:rsidRPr="00CF39C8">
              <w:rPr>
                <w:rFonts w:asciiTheme="majorHAnsi" w:eastAsia="Calibri" w:hAnsiTheme="majorHAnsi" w:cstheme="majorHAnsi"/>
              </w:rPr>
              <w:t xml:space="preserve"> emitted by Australia’s new light vehicle fleet over time, </w:t>
            </w:r>
            <w:r w:rsidRPr="00CF39C8">
              <w:rPr>
                <w:rFonts w:asciiTheme="majorHAnsi" w:hAnsiTheme="majorHAnsi" w:cstheme="majorHAnsi"/>
              </w:rPr>
              <w:t xml:space="preserve">consistent with the </w:t>
            </w:r>
            <w:r w:rsidR="00DD7A77">
              <w:rPr>
                <w:rFonts w:asciiTheme="majorHAnsi" w:hAnsiTheme="majorHAnsi" w:cstheme="majorHAnsi"/>
              </w:rPr>
              <w:t>G</w:t>
            </w:r>
            <w:r w:rsidRPr="00CF39C8">
              <w:rPr>
                <w:rFonts w:asciiTheme="majorHAnsi" w:hAnsiTheme="majorHAnsi" w:cstheme="majorHAnsi"/>
              </w:rPr>
              <w:t>overnment’s emissions reduction and net zero targets</w:t>
            </w:r>
            <w:r w:rsidRPr="00CF39C8">
              <w:rPr>
                <w:rFonts w:asciiTheme="majorHAnsi" w:eastAsia="Calibri" w:hAnsiTheme="majorHAnsi" w:cstheme="majorHAnsi"/>
              </w:rPr>
              <w:t xml:space="preserve"> and broadly consistent with the </w:t>
            </w:r>
            <w:r w:rsidRPr="00CF39C8">
              <w:rPr>
                <w:rFonts w:asciiTheme="majorHAnsi" w:hAnsiTheme="majorHAnsi" w:cstheme="majorHAnsi"/>
              </w:rPr>
              <w:t xml:space="preserve">NVES </w:t>
            </w:r>
            <w:r w:rsidRPr="00CF39C8">
              <w:rPr>
                <w:rFonts w:asciiTheme="majorHAnsi" w:eastAsia="Calibri" w:hAnsiTheme="majorHAnsi" w:cstheme="majorHAnsi"/>
              </w:rPr>
              <w:t>in place and fuel savings achieved in other major advanced markets.</w:t>
            </w:r>
          </w:p>
        </w:tc>
        <w:tc>
          <w:tcPr>
            <w:tcW w:w="790" w:type="pct"/>
            <w:shd w:val="clear" w:color="auto" w:fill="EC6940"/>
          </w:tcPr>
          <w:p w14:paraId="6E68930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08BF990" wp14:editId="54F1F32F">
                      <wp:extent cx="205740" cy="147320"/>
                      <wp:effectExtent l="38100" t="0" r="22860" b="43180"/>
                      <wp:docPr id="31" name="Arrow: Down 31"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342C2A" id="Arrow: Down 31"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VK3N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14:paraId="3CDCE109"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Zero abatement</w:t>
            </w:r>
          </w:p>
        </w:tc>
        <w:tc>
          <w:tcPr>
            <w:tcW w:w="790" w:type="pct"/>
            <w:shd w:val="clear" w:color="auto" w:fill="EC6940"/>
          </w:tcPr>
          <w:p w14:paraId="00B1F55C"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10B452A" wp14:editId="0869361A">
                      <wp:extent cx="205740" cy="147320"/>
                      <wp:effectExtent l="38100" t="0" r="22860" b="43180"/>
                      <wp:docPr id="580354304" name="Arrow: Down 580354304"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87DD7C" id="Arrow: Down 580354304"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OD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j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GLwDg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CF39C8">
              <w:rPr>
                <w:rFonts w:asciiTheme="majorHAnsi" w:hAnsiTheme="majorHAnsi" w:cstheme="majorHAnsi"/>
              </w:rPr>
              <w:t xml:space="preserve"> </w:t>
            </w:r>
          </w:p>
          <w:p w14:paraId="461E6AC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2030: </w:t>
            </w:r>
            <w:r w:rsidR="00893D12">
              <w:rPr>
                <w:rFonts w:asciiTheme="majorHAnsi" w:hAnsiTheme="majorHAnsi" w:cstheme="majorHAnsi"/>
              </w:rPr>
              <w:t>1</w:t>
            </w:r>
            <w:r w:rsidRPr="00CF39C8">
              <w:rPr>
                <w:rFonts w:asciiTheme="majorHAnsi" w:hAnsiTheme="majorHAnsi" w:cstheme="majorHAnsi"/>
              </w:rPr>
              <w:t xml:space="preserve"> Mt</w:t>
            </w:r>
          </w:p>
          <w:p w14:paraId="17F3B335"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w:t>
            </w:r>
            <w:r w:rsidR="00893D12">
              <w:rPr>
                <w:rFonts w:asciiTheme="majorHAnsi" w:hAnsiTheme="majorHAnsi" w:cstheme="majorHAnsi"/>
              </w:rPr>
              <w:t>1</w:t>
            </w:r>
            <w:r w:rsidRPr="00CF39C8">
              <w:rPr>
                <w:rFonts w:asciiTheme="majorHAnsi" w:hAnsiTheme="majorHAnsi" w:cstheme="majorHAnsi"/>
              </w:rPr>
              <w:t xml:space="preserve"> Mt </w:t>
            </w:r>
          </w:p>
          <w:p w14:paraId="7B2EC5C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2050: </w:t>
            </w:r>
            <w:r w:rsidR="00893D12">
              <w:rPr>
                <w:rFonts w:asciiTheme="majorHAnsi" w:hAnsiTheme="majorHAnsi" w:cstheme="majorHAnsi"/>
              </w:rPr>
              <w:t>1</w:t>
            </w:r>
            <w:r w:rsidRPr="00CF39C8">
              <w:rPr>
                <w:rFonts w:asciiTheme="majorHAnsi" w:hAnsiTheme="majorHAnsi" w:cstheme="majorHAnsi"/>
              </w:rPr>
              <w:t xml:space="preserve"> Mt</w:t>
            </w:r>
          </w:p>
        </w:tc>
        <w:tc>
          <w:tcPr>
            <w:tcW w:w="790" w:type="pct"/>
            <w:shd w:val="clear" w:color="auto" w:fill="92D050"/>
          </w:tcPr>
          <w:p w14:paraId="4C67499A"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74D2EC1" wp14:editId="77077B80">
                      <wp:extent cx="187036" cy="147320"/>
                      <wp:effectExtent l="19050" t="19050" r="41910" b="24130"/>
                      <wp:docPr id="580354328" name="Arrow: Down 580354328"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2CC13A" id="Arrow: Down 580354328"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h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vRg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TBbZxWXw93pYlgjN&#10;E82kTbiVTMJIujvn0uOwufDdAKKpJtVmE91oGljhb8yDlQE8qBrK93H/JND2he6pQ25hGApi9abU&#10;O98QaWCz9VDWsQ9ede31pkkSC6efemFUHe+j1+tsXv8G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yTq1I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317F63C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2030: 2</w:t>
            </w:r>
            <w:r w:rsidR="00893D12">
              <w:rPr>
                <w:rFonts w:asciiTheme="majorHAnsi" w:hAnsiTheme="majorHAnsi" w:cstheme="majorHAnsi"/>
              </w:rPr>
              <w:t>6</w:t>
            </w:r>
            <w:r w:rsidRPr="00CF39C8">
              <w:rPr>
                <w:rFonts w:asciiTheme="majorHAnsi" w:hAnsiTheme="majorHAnsi" w:cstheme="majorHAnsi"/>
              </w:rPr>
              <w:t xml:space="preserve"> Mt</w:t>
            </w:r>
          </w:p>
          <w:p w14:paraId="7F24748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97 Mt </w:t>
            </w:r>
          </w:p>
          <w:p w14:paraId="3498578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2050: 369 Mt</w:t>
            </w:r>
          </w:p>
        </w:tc>
        <w:tc>
          <w:tcPr>
            <w:tcW w:w="737" w:type="pct"/>
            <w:shd w:val="clear" w:color="auto" w:fill="92D050"/>
          </w:tcPr>
          <w:p w14:paraId="5363D90C" w14:textId="77777777" w:rsidR="00610AA7" w:rsidRPr="00CF39C8" w:rsidRDefault="00610AA7" w:rsidP="00610AA7">
            <w:pPr>
              <w:rPr>
                <w:rFonts w:asciiTheme="majorHAnsi" w:hAnsiTheme="majorHAnsi" w:cstheme="majorHAnsi"/>
                <w:highlight w:val="yellow"/>
              </w:rPr>
            </w:pPr>
            <w:r w:rsidRPr="00CF39C8">
              <w:rPr>
                <w:rFonts w:asciiTheme="majorHAnsi" w:hAnsiTheme="majorHAnsi" w:cstheme="majorHAnsi"/>
                <w:noProof/>
                <w:lang w:eastAsia="en-AU"/>
              </w:rPr>
              <mc:AlternateContent>
                <mc:Choice Requires="wps">
                  <w:drawing>
                    <wp:inline distT="0" distB="0" distL="0" distR="0" wp14:anchorId="7519D216" wp14:editId="7A9D881B">
                      <wp:extent cx="187036" cy="147320"/>
                      <wp:effectExtent l="19050" t="19050" r="41910" b="24130"/>
                      <wp:docPr id="580354324" name="Arrow: Down 58035432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FD41C" id="Arrow: Down 58035432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C6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NFWgu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388A81D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2030: 3</w:t>
            </w:r>
            <w:r w:rsidR="00893D12">
              <w:rPr>
                <w:rFonts w:asciiTheme="majorHAnsi" w:hAnsiTheme="majorHAnsi" w:cstheme="majorHAnsi"/>
              </w:rPr>
              <w:t>4</w:t>
            </w:r>
            <w:r w:rsidRPr="00CF39C8">
              <w:rPr>
                <w:rFonts w:asciiTheme="majorHAnsi" w:hAnsiTheme="majorHAnsi" w:cstheme="majorHAnsi"/>
              </w:rPr>
              <w:t xml:space="preserve"> Mt</w:t>
            </w:r>
          </w:p>
          <w:p w14:paraId="34A4F9B1"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125 Mt </w:t>
            </w:r>
          </w:p>
          <w:p w14:paraId="380BBF30"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2050: 443 Mt</w:t>
            </w:r>
          </w:p>
        </w:tc>
        <w:tc>
          <w:tcPr>
            <w:tcW w:w="790" w:type="pct"/>
            <w:shd w:val="clear" w:color="auto" w:fill="92D050"/>
          </w:tcPr>
          <w:p w14:paraId="35B25DA5" w14:textId="77777777" w:rsidR="00610AA7" w:rsidRPr="00CF39C8" w:rsidRDefault="00610AA7" w:rsidP="00610AA7">
            <w:pPr>
              <w:rPr>
                <w:rFonts w:asciiTheme="majorHAnsi" w:hAnsiTheme="majorHAnsi" w:cstheme="majorHAnsi"/>
                <w:highlight w:val="yellow"/>
              </w:rPr>
            </w:pPr>
            <w:r w:rsidRPr="00CF39C8">
              <w:rPr>
                <w:rFonts w:asciiTheme="majorHAnsi" w:hAnsiTheme="majorHAnsi" w:cstheme="majorHAnsi"/>
                <w:noProof/>
                <w:lang w:eastAsia="en-AU"/>
              </w:rPr>
              <mc:AlternateContent>
                <mc:Choice Requires="wps">
                  <w:drawing>
                    <wp:inline distT="0" distB="0" distL="0" distR="0" wp14:anchorId="087B663A" wp14:editId="010D80A3">
                      <wp:extent cx="187036" cy="147320"/>
                      <wp:effectExtent l="19050" t="19050" r="41910" b="24130"/>
                      <wp:docPr id="709939149" name="Arrow: Down 70993914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0B0E7B" id="Arrow: Down 70993914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eZ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zAzHm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6BF482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2030: </w:t>
            </w:r>
            <w:r w:rsidR="00C35B48">
              <w:rPr>
                <w:rFonts w:asciiTheme="majorHAnsi" w:hAnsiTheme="majorHAnsi" w:cstheme="majorHAnsi"/>
              </w:rPr>
              <w:t>20</w:t>
            </w:r>
          </w:p>
          <w:p w14:paraId="4340B9E5" w14:textId="77777777" w:rsidR="00C35B48" w:rsidRPr="00CF39C8" w:rsidRDefault="00610AA7" w:rsidP="00610AA7">
            <w:pPr>
              <w:rPr>
                <w:rFonts w:asciiTheme="majorHAnsi" w:hAnsiTheme="majorHAnsi" w:cstheme="majorHAnsi"/>
              </w:rPr>
            </w:pPr>
            <w:r w:rsidRPr="00CF39C8">
              <w:rPr>
                <w:rFonts w:asciiTheme="majorHAnsi" w:hAnsiTheme="majorHAnsi" w:cstheme="majorHAnsi"/>
              </w:rPr>
              <w:t xml:space="preserve">2035: </w:t>
            </w:r>
            <w:r w:rsidR="00C35B48">
              <w:rPr>
                <w:rFonts w:asciiTheme="majorHAnsi" w:hAnsiTheme="majorHAnsi" w:cstheme="majorHAnsi"/>
              </w:rPr>
              <w:t>80</w:t>
            </w:r>
          </w:p>
          <w:p w14:paraId="25284DF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2050: </w:t>
            </w:r>
            <w:r w:rsidR="0085772C">
              <w:rPr>
                <w:rFonts w:asciiTheme="majorHAnsi" w:hAnsiTheme="majorHAnsi" w:cstheme="majorHAnsi"/>
              </w:rPr>
              <w:t>3</w:t>
            </w:r>
            <w:r w:rsidR="00C35B48">
              <w:rPr>
                <w:rFonts w:asciiTheme="majorHAnsi" w:hAnsiTheme="majorHAnsi" w:cstheme="majorHAnsi"/>
              </w:rPr>
              <w:t>2</w:t>
            </w:r>
            <w:r w:rsidR="00893D12">
              <w:rPr>
                <w:rFonts w:asciiTheme="majorHAnsi" w:hAnsiTheme="majorHAnsi" w:cstheme="majorHAnsi"/>
              </w:rPr>
              <w:t>1</w:t>
            </w:r>
          </w:p>
        </w:tc>
      </w:tr>
      <w:tr w:rsidR="00610AA7" w:rsidRPr="00CF39C8" w14:paraId="058D3D99" w14:textId="77777777" w:rsidTr="00C35B48">
        <w:tc>
          <w:tcPr>
            <w:tcW w:w="1104" w:type="pct"/>
          </w:tcPr>
          <w:p w14:paraId="4F1C2B81"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Equitable</w:t>
            </w:r>
            <w:r w:rsidRPr="00CF39C8">
              <w:rPr>
                <w:rFonts w:asciiTheme="majorHAnsi" w:eastAsia="Calibri" w:hAnsiTheme="majorHAnsi" w:cstheme="majorHAnsi"/>
              </w:rPr>
              <w:t>: Ensure equitable access to the vehicles Australians need for work and leisure.</w:t>
            </w:r>
          </w:p>
        </w:tc>
        <w:tc>
          <w:tcPr>
            <w:tcW w:w="790" w:type="pct"/>
            <w:shd w:val="clear" w:color="auto" w:fill="EC6940"/>
          </w:tcPr>
          <w:p w14:paraId="06BDDAE5"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E0C9E37" wp14:editId="451E9C3E">
                      <wp:extent cx="205740" cy="147320"/>
                      <wp:effectExtent l="38100" t="0" r="22860" b="43180"/>
                      <wp:docPr id="580354305" name="Arrow: Down 58035430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B3257F" id="Arrow: Down 58035430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N+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n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cAcDf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CF39C8">
              <w:rPr>
                <w:rFonts w:asciiTheme="majorHAnsi" w:hAnsiTheme="majorHAnsi" w:cstheme="majorHAnsi"/>
              </w:rPr>
              <w:t xml:space="preserve"> </w:t>
            </w:r>
          </w:p>
          <w:p w14:paraId="3C832D4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Reduced access to EVs, advanced ICE and hybrids. </w:t>
            </w:r>
          </w:p>
        </w:tc>
        <w:tc>
          <w:tcPr>
            <w:tcW w:w="790" w:type="pct"/>
            <w:shd w:val="clear" w:color="auto" w:fill="EC6940"/>
          </w:tcPr>
          <w:p w14:paraId="0F6DBFF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25CCA12" wp14:editId="7CC0DC51">
                      <wp:extent cx="205740" cy="147320"/>
                      <wp:effectExtent l="38100" t="0" r="22860" b="43180"/>
                      <wp:docPr id="25" name="Arrow: Down 2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2140D" id="Arrow: Down 2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kBgPe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14:paraId="006A03C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Reduced access to EVs, advanced ICE and hybrids.</w:t>
            </w:r>
          </w:p>
        </w:tc>
        <w:tc>
          <w:tcPr>
            <w:tcW w:w="790" w:type="pct"/>
            <w:shd w:val="clear" w:color="auto" w:fill="92D050"/>
          </w:tcPr>
          <w:p w14:paraId="7E20BB97"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DD11015" wp14:editId="2862A476">
                      <wp:extent cx="187036" cy="147320"/>
                      <wp:effectExtent l="19050" t="19050" r="41910" b="24130"/>
                      <wp:docPr id="580354329" name="Arrow: Down 58035432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3AAA7E" id="Arrow: Down 58035432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OzMvR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48C9942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Improved access to EVs, advanced ICE and hybrids. Access to at risk affordable vehicles protected by ‘break point’ providing higher CO</w:t>
            </w:r>
            <w:r w:rsidRPr="00CF39C8">
              <w:rPr>
                <w:rFonts w:asciiTheme="majorHAnsi" w:hAnsiTheme="majorHAnsi" w:cstheme="majorHAnsi"/>
                <w:vertAlign w:val="subscript"/>
              </w:rPr>
              <w:t>2</w:t>
            </w:r>
            <w:r w:rsidRPr="00CF39C8">
              <w:rPr>
                <w:rFonts w:asciiTheme="majorHAnsi" w:hAnsiTheme="majorHAnsi" w:cstheme="majorHAnsi"/>
              </w:rPr>
              <w:t xml:space="preserve"> target to many small and medium vehicles.</w:t>
            </w:r>
          </w:p>
        </w:tc>
        <w:tc>
          <w:tcPr>
            <w:tcW w:w="737" w:type="pct"/>
            <w:shd w:val="clear" w:color="auto" w:fill="FFCD2F"/>
          </w:tcPr>
          <w:p w14:paraId="7846886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B4C0A7F" wp14:editId="5F3B9CDA">
                      <wp:extent cx="243840" cy="99060"/>
                      <wp:effectExtent l="0" t="0" r="22860" b="15240"/>
                      <wp:docPr id="580354312" name="Rectangle 580354312"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C60992" id="Rectangle 580354312"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t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q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D9PDq2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44EB62C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Potential withdrawal or limited sales volumes of some ICE vehicles. Improved access to EVs, advanced ICE and hybrids.  </w:t>
            </w:r>
          </w:p>
        </w:tc>
        <w:tc>
          <w:tcPr>
            <w:tcW w:w="790" w:type="pct"/>
            <w:shd w:val="clear" w:color="auto" w:fill="92D050"/>
          </w:tcPr>
          <w:p w14:paraId="153A6A0E"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CFD34A2" wp14:editId="68D8F1BB">
                      <wp:extent cx="187036" cy="147320"/>
                      <wp:effectExtent l="19050" t="19050" r="41910" b="24130"/>
                      <wp:docPr id="709939153" name="Arrow: Down 709939153"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6F7379" id="Arrow: Down 709939153"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F6L1Om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7D03602B"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 xml:space="preserve">Improved access to EVs, advanced ICE and hybrids. Access to at risk affordable vehicles protected by </w:t>
            </w:r>
            <w:r w:rsidR="00075E6E">
              <w:rPr>
                <w:rFonts w:asciiTheme="majorHAnsi" w:hAnsiTheme="majorHAnsi" w:cstheme="majorHAnsi"/>
              </w:rPr>
              <w:t xml:space="preserve">expanded </w:t>
            </w:r>
            <w:r w:rsidRPr="00CF39C8">
              <w:rPr>
                <w:rFonts w:asciiTheme="majorHAnsi" w:hAnsiTheme="majorHAnsi" w:cstheme="majorHAnsi"/>
              </w:rPr>
              <w:t>‘break point’ providing higher CO</w:t>
            </w:r>
            <w:r w:rsidRPr="00CF39C8">
              <w:rPr>
                <w:rFonts w:asciiTheme="majorHAnsi" w:hAnsiTheme="majorHAnsi" w:cstheme="majorHAnsi"/>
                <w:vertAlign w:val="subscript"/>
              </w:rPr>
              <w:t>2</w:t>
            </w:r>
            <w:r w:rsidRPr="00CF39C8">
              <w:rPr>
                <w:rFonts w:asciiTheme="majorHAnsi" w:hAnsiTheme="majorHAnsi" w:cstheme="majorHAnsi"/>
              </w:rPr>
              <w:t xml:space="preserve"> target to many small and medium vehicles</w:t>
            </w:r>
            <w:r w:rsidR="00075E6E">
              <w:rPr>
                <w:rFonts w:asciiTheme="majorHAnsi" w:hAnsiTheme="majorHAnsi" w:cstheme="majorHAnsi"/>
              </w:rPr>
              <w:t xml:space="preserve"> and a </w:t>
            </w:r>
            <w:r w:rsidR="003B32F1">
              <w:rPr>
                <w:rFonts w:asciiTheme="majorHAnsi" w:hAnsiTheme="majorHAnsi" w:cstheme="majorHAnsi"/>
              </w:rPr>
              <w:t xml:space="preserve">raised upper break point providing more achievable targets for large </w:t>
            </w:r>
            <w:r w:rsidR="00224794">
              <w:rPr>
                <w:rFonts w:asciiTheme="majorHAnsi" w:hAnsiTheme="majorHAnsi" w:cstheme="majorHAnsi"/>
              </w:rPr>
              <w:t>4WD</w:t>
            </w:r>
            <w:r w:rsidR="003B32F1">
              <w:rPr>
                <w:rFonts w:asciiTheme="majorHAnsi" w:hAnsiTheme="majorHAnsi" w:cstheme="majorHAnsi"/>
              </w:rPr>
              <w:t xml:space="preserve"> drives, and utes.</w:t>
            </w:r>
          </w:p>
        </w:tc>
      </w:tr>
      <w:tr w:rsidR="00610AA7" w:rsidRPr="00CF39C8" w14:paraId="5480A62B" w14:textId="77777777" w:rsidTr="00C35B48">
        <w:tc>
          <w:tcPr>
            <w:tcW w:w="1104" w:type="pct"/>
          </w:tcPr>
          <w:p w14:paraId="1680C052"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Simple and transparent</w:t>
            </w:r>
            <w:r w:rsidRPr="00CF39C8">
              <w:rPr>
                <w:rFonts w:asciiTheme="majorHAnsi" w:eastAsia="Calibri" w:hAnsiTheme="majorHAnsi" w:cstheme="majorHAnsi"/>
              </w:rPr>
              <w:t xml:space="preserve">: the Australian </w:t>
            </w:r>
            <w:r w:rsidRPr="00CF39C8">
              <w:rPr>
                <w:rFonts w:asciiTheme="majorHAnsi" w:hAnsiTheme="majorHAnsi" w:cstheme="majorHAnsi"/>
              </w:rPr>
              <w:t>NVES</w:t>
            </w:r>
            <w:r w:rsidRPr="00CF39C8">
              <w:rPr>
                <w:rFonts w:asciiTheme="majorHAnsi" w:eastAsia="Calibri" w:hAnsiTheme="majorHAnsi" w:cstheme="majorHAnsi"/>
              </w:rPr>
              <w:t xml:space="preserve"> will emphasise simplicity and transparency in design and operation. The operation and administration of </w:t>
            </w:r>
            <w:r w:rsidRPr="00CF39C8">
              <w:rPr>
                <w:rFonts w:asciiTheme="majorHAnsi" w:hAnsiTheme="majorHAnsi" w:cstheme="majorHAnsi"/>
              </w:rPr>
              <w:t>NVES</w:t>
            </w:r>
            <w:r w:rsidRPr="00CF39C8">
              <w:rPr>
                <w:rFonts w:asciiTheme="majorHAnsi" w:eastAsia="Calibri" w:hAnsiTheme="majorHAnsi" w:cstheme="majorHAnsi"/>
              </w:rPr>
              <w:t xml:space="preserve">s are complex, which risks greater compliance costs, reduced transparency and unpredictable outcomes, particularly where credit trading markets are established. </w:t>
            </w:r>
          </w:p>
        </w:tc>
        <w:tc>
          <w:tcPr>
            <w:tcW w:w="790" w:type="pct"/>
            <w:shd w:val="clear" w:color="auto" w:fill="FFCD2F"/>
          </w:tcPr>
          <w:p w14:paraId="645EC3EE"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5BE8CB1" wp14:editId="5A284282">
                      <wp:extent cx="243840" cy="99060"/>
                      <wp:effectExtent l="0" t="0" r="22860" b="15240"/>
                      <wp:docPr id="580354314" name="Rectangle 580354314"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6392EF" id="Rectangle 580354314"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DF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a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N7yoMW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228F7FD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No change. There is no reliable source of the emissions from fleets of vehicles. </w:t>
            </w:r>
          </w:p>
        </w:tc>
        <w:tc>
          <w:tcPr>
            <w:tcW w:w="790" w:type="pct"/>
            <w:shd w:val="clear" w:color="auto" w:fill="FFCD2F"/>
          </w:tcPr>
          <w:p w14:paraId="76292B88"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558C57C2" wp14:editId="040F81DA">
                      <wp:extent cx="243840" cy="99060"/>
                      <wp:effectExtent l="0" t="0" r="22860" b="15240"/>
                      <wp:docPr id="580354317" name="Rectangle 58035431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C7163" id="Rectangle 58035431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A4vTxy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2477EFF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Complex arrangements in relation to credits risks reduced transparency. </w:t>
            </w:r>
          </w:p>
        </w:tc>
        <w:tc>
          <w:tcPr>
            <w:tcW w:w="790" w:type="pct"/>
            <w:shd w:val="clear" w:color="auto" w:fill="92D050"/>
          </w:tcPr>
          <w:p w14:paraId="283E0F21"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1F52989" wp14:editId="15476675">
                      <wp:extent cx="187036" cy="147320"/>
                      <wp:effectExtent l="19050" t="19050" r="41910" b="24130"/>
                      <wp:docPr id="580354331" name="Arrow: Down 58035433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7492C8" id="Arrow: Down 58035433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8BtA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Zhln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DHUJsYvL4O/1sCwR&#10;mieaSZtwK5mEkXR3zqXHYXPhuwFEU02qzSa60TSwwt+YBysDeFA1lO/j/kmg7QvdU4fcwjAUxOpN&#10;qXe+IdLAZuuhrGMfvOra602TJBZOP/XCqDreR6/X2bz+DQ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DSnvw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6FD73F80"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2FABFB86" w14:textId="77777777" w:rsidR="00610AA7" w:rsidRPr="00CF39C8" w:rsidRDefault="00610AA7" w:rsidP="00610AA7">
            <w:pPr>
              <w:rPr>
                <w:rFonts w:asciiTheme="majorHAnsi" w:hAnsiTheme="majorHAnsi" w:cstheme="majorHAnsi"/>
              </w:rPr>
            </w:pPr>
          </w:p>
          <w:p w14:paraId="73DD1E6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Absence of technology credits allows the NVES to be predictable and transparent. </w:t>
            </w:r>
          </w:p>
        </w:tc>
        <w:tc>
          <w:tcPr>
            <w:tcW w:w="737" w:type="pct"/>
            <w:shd w:val="clear" w:color="auto" w:fill="92D050"/>
          </w:tcPr>
          <w:p w14:paraId="04E4C771"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F324961" wp14:editId="7735F4E3">
                      <wp:extent cx="187036" cy="147320"/>
                      <wp:effectExtent l="19050" t="19050" r="41910" b="24130"/>
                      <wp:docPr id="580354327" name="Arrow: Down 58035432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AD03EC" id="Arrow: Down 58035432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W0+56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57C3E223"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10C73960" w14:textId="77777777" w:rsidR="00610AA7" w:rsidRPr="00CF39C8" w:rsidRDefault="00610AA7" w:rsidP="00610AA7">
            <w:pPr>
              <w:rPr>
                <w:rFonts w:asciiTheme="majorHAnsi" w:hAnsiTheme="majorHAnsi" w:cstheme="majorHAnsi"/>
              </w:rPr>
            </w:pPr>
          </w:p>
          <w:p w14:paraId="45F0D77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Absence of technology credits allows the NVES to be predictable and transparent.</w:t>
            </w:r>
          </w:p>
        </w:tc>
        <w:tc>
          <w:tcPr>
            <w:tcW w:w="790" w:type="pct"/>
            <w:shd w:val="clear" w:color="auto" w:fill="92D050"/>
          </w:tcPr>
          <w:p w14:paraId="4387B86B"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C00A2F8" wp14:editId="6F7903B2">
                      <wp:extent cx="187036" cy="147320"/>
                      <wp:effectExtent l="19050" t="19050" r="41910" b="24130"/>
                      <wp:docPr id="709939156" name="Arrow: Down 709939156"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7C560" id="Arrow: Down 709939156"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Z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76X/G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48BAAAD3" w14:textId="77777777" w:rsidR="003A4060" w:rsidRPr="00CF39C8" w:rsidRDefault="003A4060" w:rsidP="003A4060">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3C384535" w14:textId="77777777" w:rsidR="003A4060" w:rsidRPr="00CF39C8" w:rsidRDefault="003A4060" w:rsidP="003A4060">
            <w:pPr>
              <w:rPr>
                <w:rFonts w:asciiTheme="majorHAnsi" w:hAnsiTheme="majorHAnsi" w:cstheme="majorHAnsi"/>
              </w:rPr>
            </w:pPr>
          </w:p>
          <w:p w14:paraId="55C3D2F3"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Absence of technology credits allows the NVES to be predictable and transparent.</w:t>
            </w:r>
          </w:p>
        </w:tc>
      </w:tr>
      <w:tr w:rsidR="00610AA7" w:rsidRPr="00CF39C8" w14:paraId="31EF6BBF" w14:textId="77777777" w:rsidTr="00C35B48">
        <w:tc>
          <w:tcPr>
            <w:tcW w:w="1104" w:type="pct"/>
          </w:tcPr>
          <w:p w14:paraId="66739D0E"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Credible and robust</w:t>
            </w:r>
            <w:r w:rsidRPr="00CF39C8">
              <w:rPr>
                <w:rFonts w:asciiTheme="majorHAnsi" w:eastAsia="Calibri" w:hAnsiTheme="majorHAnsi" w:cstheme="majorHAnsi"/>
              </w:rPr>
              <w:t>: Draws on expert analysis and experience. I</w:t>
            </w:r>
            <w:r w:rsidRPr="00CF39C8">
              <w:rPr>
                <w:rFonts w:asciiTheme="majorHAnsi" w:hAnsiTheme="majorHAnsi" w:cstheme="majorHAnsi"/>
              </w:rPr>
              <w:t>ntervention should be designed with the latest and best analysis available.</w:t>
            </w:r>
          </w:p>
        </w:tc>
        <w:tc>
          <w:tcPr>
            <w:tcW w:w="790" w:type="pct"/>
            <w:shd w:val="clear" w:color="auto" w:fill="FFCD2F"/>
          </w:tcPr>
          <w:p w14:paraId="7C5D0F5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108FAA65" wp14:editId="7288995D">
                      <wp:extent cx="243840" cy="99060"/>
                      <wp:effectExtent l="0" t="0" r="22860" b="15240"/>
                      <wp:docPr id="1349018337" name="Rectangle 134901833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93B672" id="Rectangle 134901833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" fillcolor="black [3213]" strokecolor="black [3213]" strokeweight="1pt">
                      <w10:anchorlock/>
                    </v:rect>
                  </w:pict>
                </mc:Fallback>
              </mc:AlternateContent>
            </w:r>
          </w:p>
          <w:p w14:paraId="19220347"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No change.</w:t>
            </w:r>
          </w:p>
        </w:tc>
        <w:tc>
          <w:tcPr>
            <w:tcW w:w="790" w:type="pct"/>
            <w:shd w:val="clear" w:color="auto" w:fill="EC6940"/>
          </w:tcPr>
          <w:p w14:paraId="48E474B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D707938" wp14:editId="5EE76409">
                      <wp:extent cx="205740" cy="147320"/>
                      <wp:effectExtent l="38100" t="0" r="22860" b="43180"/>
                      <wp:docPr id="580354306" name="Arrow: Down 580354306"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DA45D0" id="Arrow: Down 580354306"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icxzo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7F5E539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Limited abatement impacts on this option’s credibility.</w:t>
            </w:r>
            <w:r w:rsidRPr="00CF39C8">
              <w:rPr>
                <w:rStyle w:val="FootnoteReference"/>
                <w:rFonts w:asciiTheme="majorHAnsi" w:hAnsiTheme="majorHAnsi" w:cstheme="majorHAnsi"/>
              </w:rPr>
              <w:footnoteReference w:id="23"/>
            </w:r>
            <w:r w:rsidRPr="00CF39C8">
              <w:rPr>
                <w:rFonts w:asciiTheme="majorHAnsi" w:hAnsiTheme="majorHAnsi" w:cstheme="majorHAnsi"/>
              </w:rPr>
              <w:t xml:space="preserve"> </w:t>
            </w:r>
          </w:p>
        </w:tc>
        <w:tc>
          <w:tcPr>
            <w:tcW w:w="790" w:type="pct"/>
            <w:shd w:val="clear" w:color="auto" w:fill="92D050"/>
          </w:tcPr>
          <w:p w14:paraId="60BAA4A5"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DF58F7F" wp14:editId="008F005D">
                      <wp:extent cx="187036" cy="147320"/>
                      <wp:effectExtent l="19050" t="19050" r="41910" b="24130"/>
                      <wp:docPr id="1349018341" name="Arrow: Down 134901834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C9802F" id="Arrow: Down 134901834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btQ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" adj="10800" fillcolor="black [3213]" strokecolor="black [3213]" strokeweight="1pt">
                      <w10:anchorlock/>
                    </v:shape>
                  </w:pict>
                </mc:Fallback>
              </mc:AlternateContent>
            </w:r>
          </w:p>
          <w:p w14:paraId="734B3C75"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The proposed option has been developed after extensive consultation. Consistent with international arrangements.</w:t>
            </w:r>
          </w:p>
        </w:tc>
        <w:tc>
          <w:tcPr>
            <w:tcW w:w="737" w:type="pct"/>
            <w:shd w:val="clear" w:color="auto" w:fill="92D050"/>
          </w:tcPr>
          <w:p w14:paraId="285B51A3"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90DA1C4" wp14:editId="6B039599">
                      <wp:extent cx="187036" cy="147320"/>
                      <wp:effectExtent l="19050" t="19050" r="41910" b="24130"/>
                      <wp:docPr id="580354335" name="Arrow: Down 58035433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7EB13B" id="Arrow: Down 58035433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" adj="10800" fillcolor="windowText" strokecolor="windowText" strokeweight="1pt">
                      <w10:anchorlock/>
                    </v:shape>
                  </w:pict>
                </mc:Fallback>
              </mc:AlternateContent>
            </w:r>
          </w:p>
          <w:p w14:paraId="52579AE1" w14:textId="77777777" w:rsidR="00610AA7" w:rsidRPr="00CF39C8" w:rsidRDefault="00610AA7" w:rsidP="00610AA7">
            <w:pPr>
              <w:rPr>
                <w:rFonts w:asciiTheme="majorHAnsi" w:hAnsiTheme="majorHAnsi" w:cstheme="majorHAnsi"/>
                <w:color w:val="66FF66"/>
              </w:rPr>
            </w:pPr>
            <w:r w:rsidRPr="00CF39C8">
              <w:rPr>
                <w:rFonts w:asciiTheme="majorHAnsi" w:hAnsiTheme="majorHAnsi" w:cstheme="majorHAnsi"/>
              </w:rPr>
              <w:t xml:space="preserve">Exceeds the stringency of international NVESs.  </w:t>
            </w:r>
          </w:p>
        </w:tc>
        <w:tc>
          <w:tcPr>
            <w:tcW w:w="790" w:type="pct"/>
            <w:shd w:val="clear" w:color="auto" w:fill="92D050"/>
          </w:tcPr>
          <w:p w14:paraId="05DD7A37"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38EF92C" wp14:editId="1EF9BC1E">
                      <wp:extent cx="187036" cy="147320"/>
                      <wp:effectExtent l="19050" t="19050" r="41910" b="24130"/>
                      <wp:docPr id="709939154" name="Arrow: Down 70993915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FA4930" id="Arrow: Down 70993915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55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pUnue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CA6469B"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The proposed option has been developed after extensive consultation. Consistent with international arrangements.</w:t>
            </w:r>
          </w:p>
        </w:tc>
      </w:tr>
      <w:tr w:rsidR="00610AA7" w:rsidRPr="00CF39C8" w14:paraId="7A852893" w14:textId="77777777" w:rsidTr="00C35B48">
        <w:tc>
          <w:tcPr>
            <w:tcW w:w="1104" w:type="pct"/>
          </w:tcPr>
          <w:p w14:paraId="49054425"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Enabling</w:t>
            </w:r>
            <w:r w:rsidRPr="00CF39C8">
              <w:rPr>
                <w:rFonts w:asciiTheme="majorHAnsi" w:eastAsia="Calibri" w:hAnsiTheme="majorHAnsi" w:cstheme="majorHAnsi"/>
              </w:rPr>
              <w:t>: vehicles with the best emissions and safety technology to be available to Australians</w:t>
            </w:r>
            <w:r w:rsidRPr="00CF39C8">
              <w:rPr>
                <w:rFonts w:asciiTheme="majorHAnsi" w:hAnsiTheme="majorHAnsi" w:cstheme="majorHAnsi"/>
              </w:rPr>
              <w:t>, as good as or better than what is available internationally</w:t>
            </w:r>
            <w:r w:rsidRPr="00CF39C8">
              <w:rPr>
                <w:rFonts w:asciiTheme="majorHAnsi" w:eastAsia="Calibri" w:hAnsiTheme="majorHAnsi" w:cstheme="majorHAnsi"/>
              </w:rPr>
              <w:t>.</w:t>
            </w:r>
          </w:p>
        </w:tc>
        <w:tc>
          <w:tcPr>
            <w:tcW w:w="790" w:type="pct"/>
            <w:shd w:val="clear" w:color="auto" w:fill="EC6940"/>
          </w:tcPr>
          <w:p w14:paraId="6A141D6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DB2880A" wp14:editId="7519C9DC">
                      <wp:extent cx="205740" cy="147320"/>
                      <wp:effectExtent l="38100" t="0" r="22860" b="43180"/>
                      <wp:docPr id="580354307" name="Arrow: Down 580354307"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427ECC" id="Arrow: Down 580354307"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4XdzX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20B8C9B8"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Reduced access to EVs, advanced ICE and hybrids.</w:t>
            </w:r>
          </w:p>
        </w:tc>
        <w:tc>
          <w:tcPr>
            <w:tcW w:w="790" w:type="pct"/>
            <w:shd w:val="clear" w:color="auto" w:fill="EC6940"/>
          </w:tcPr>
          <w:p w14:paraId="6C1F4E6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9620237" wp14:editId="3FFBFD94">
                      <wp:extent cx="205740" cy="147320"/>
                      <wp:effectExtent l="38100" t="0" r="22860" b="43180"/>
                      <wp:docPr id="580354310" name="Arrow: Down 580354310"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BBDC2" id="Arrow: Down 580354310"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" adj="10800" fillcolor="black [3213]" strokecolor="black [3213]" strokeweight="1pt">
                      <w10:anchorlock/>
                    </v:shape>
                  </w:pict>
                </mc:Fallback>
              </mc:AlternateContent>
            </w:r>
          </w:p>
          <w:p w14:paraId="080F352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Reduced access to EVs, advanced ICE and hybrids. </w:t>
            </w:r>
          </w:p>
        </w:tc>
        <w:tc>
          <w:tcPr>
            <w:tcW w:w="790" w:type="pct"/>
            <w:shd w:val="clear" w:color="auto" w:fill="92D050"/>
          </w:tcPr>
          <w:p w14:paraId="4A772FD9"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13BEB83" wp14:editId="32C6C4C7">
                      <wp:extent cx="187036" cy="147320"/>
                      <wp:effectExtent l="19050" t="19050" r="41910" b="24130"/>
                      <wp:docPr id="1349018345" name="Arrow: Down 134901834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484561" id="Arrow: Down 134901834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Gn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FKaIae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59737C62"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rPr>
              <w:t>Improved access to EVs, advanced ICE and hybrids.</w:t>
            </w:r>
          </w:p>
          <w:p w14:paraId="3E77B2AA" w14:textId="77777777" w:rsidR="00610AA7" w:rsidRPr="00CF39C8" w:rsidRDefault="00610AA7" w:rsidP="00610AA7">
            <w:pPr>
              <w:keepNext/>
              <w:rPr>
                <w:rFonts w:asciiTheme="majorHAnsi" w:hAnsiTheme="majorHAnsi" w:cstheme="majorHAnsi"/>
              </w:rPr>
            </w:pPr>
          </w:p>
          <w:p w14:paraId="110DEF4A" w14:textId="77777777" w:rsidR="00610AA7" w:rsidRPr="00CF39C8" w:rsidRDefault="00610AA7" w:rsidP="00610AA7">
            <w:pPr>
              <w:keepNext/>
              <w:rPr>
                <w:rFonts w:asciiTheme="majorHAnsi" w:hAnsiTheme="majorHAnsi" w:cstheme="majorHAnsi"/>
              </w:rPr>
            </w:pPr>
          </w:p>
        </w:tc>
        <w:tc>
          <w:tcPr>
            <w:tcW w:w="737" w:type="pct"/>
            <w:shd w:val="clear" w:color="auto" w:fill="EC6940"/>
          </w:tcPr>
          <w:p w14:paraId="5EA1A0F4"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E77C503" wp14:editId="23CDB8D7">
                      <wp:extent cx="205740" cy="147320"/>
                      <wp:effectExtent l="38100" t="0" r="22860" b="43180"/>
                      <wp:docPr id="580354308" name="Arrow: Down 580354308"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C27389" id="Arrow: Down 580354308"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E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fp8iRK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79A89DE2"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rPr>
              <w:t>Potential reduced access to affordable new vehicles, partially offset by greater availability of relatively affordable low and zero emissions vehicles.</w:t>
            </w:r>
          </w:p>
        </w:tc>
        <w:tc>
          <w:tcPr>
            <w:tcW w:w="790" w:type="pct"/>
            <w:shd w:val="clear" w:color="auto" w:fill="92D050"/>
          </w:tcPr>
          <w:p w14:paraId="54BDE0DC"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2638E527" wp14:editId="6FBBC2DC">
                      <wp:extent cx="187036" cy="147320"/>
                      <wp:effectExtent l="19050" t="19050" r="41910" b="24130"/>
                      <wp:docPr id="709939157" name="Arrow: Down 70993915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DD3DBA" id="Arrow: Down 70993915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ylP3K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3683835" w14:textId="77777777" w:rsidR="003A4060" w:rsidRPr="00CF39C8" w:rsidRDefault="003A4060" w:rsidP="003A4060">
            <w:pPr>
              <w:keepNext/>
              <w:rPr>
                <w:rFonts w:asciiTheme="majorHAnsi" w:hAnsiTheme="majorHAnsi" w:cstheme="majorHAnsi"/>
              </w:rPr>
            </w:pPr>
            <w:r w:rsidRPr="00CF39C8">
              <w:rPr>
                <w:rFonts w:asciiTheme="majorHAnsi" w:hAnsiTheme="majorHAnsi" w:cstheme="majorHAnsi"/>
              </w:rPr>
              <w:t>Improved access to EVs, advanced ICE and hybrids.</w:t>
            </w:r>
          </w:p>
          <w:p w14:paraId="20410C64" w14:textId="77777777" w:rsidR="00610AA7" w:rsidRPr="00CF39C8" w:rsidRDefault="00610AA7" w:rsidP="00610AA7">
            <w:pPr>
              <w:keepNext/>
              <w:rPr>
                <w:rFonts w:asciiTheme="majorHAnsi" w:hAnsiTheme="majorHAnsi" w:cstheme="majorHAnsi"/>
              </w:rPr>
            </w:pPr>
          </w:p>
        </w:tc>
      </w:tr>
    </w:tbl>
    <w:p w14:paraId="61727DD8" w14:textId="77777777" w:rsidR="007150AB" w:rsidRDefault="003811B6" w:rsidP="003811B6">
      <w:pPr>
        <w:pStyle w:val="Caption"/>
        <w:rPr>
          <w:b w:val="0"/>
        </w:rPr>
        <w:sectPr w:rsidR="007150AB" w:rsidSect="003A7E7B">
          <w:headerReference w:type="default" r:id="rId44"/>
          <w:headerReference w:type="first" r:id="rId45"/>
          <w:pgSz w:w="16838" w:h="11906" w:orient="landscape" w:code="9"/>
          <w:pgMar w:top="1276" w:right="1021" w:bottom="1134" w:left="851" w:header="510" w:footer="567" w:gutter="0"/>
          <w:cols w:space="708"/>
          <w:docGrid w:linePitch="360"/>
        </w:sectPr>
      </w:pPr>
      <w:bookmarkStart w:id="324" w:name="_Toc161837770"/>
      <w:bookmarkStart w:id="325" w:name="_Toc161933217"/>
      <w:bookmarkStart w:id="326" w:name="_Toc163221117"/>
      <w:r w:rsidRPr="00CF39C8">
        <w:t xml:space="preserve">Table </w:t>
      </w:r>
      <w:bookmarkEnd w:id="319"/>
      <w:r w:rsidR="00C6227F">
        <w:t>5</w:t>
      </w:r>
      <w:r w:rsidR="00033892" w:rsidRPr="00CF39C8">
        <w:t xml:space="preserve"> </w:t>
      </w:r>
      <w:r w:rsidRPr="00CF39C8">
        <w:rPr>
          <w:b w:val="0"/>
        </w:rPr>
        <w:t>–</w:t>
      </w:r>
      <w:bookmarkEnd w:id="320"/>
      <w:bookmarkEnd w:id="321"/>
      <w:bookmarkEnd w:id="322"/>
      <w:r w:rsidRPr="00CF39C8">
        <w:rPr>
          <w:b w:val="0"/>
        </w:rPr>
        <w:t xml:space="preserve"> Assessment of option</w:t>
      </w:r>
      <w:r w:rsidR="00A915CB" w:rsidRPr="00CF39C8">
        <w:rPr>
          <w:b w:val="0"/>
        </w:rPr>
        <w:t>s</w:t>
      </w:r>
      <w:r w:rsidRPr="00CF39C8">
        <w:rPr>
          <w:b w:val="0"/>
        </w:rPr>
        <w:t xml:space="preserve"> vs principles</w:t>
      </w:r>
      <w:bookmarkEnd w:id="323"/>
      <w:bookmarkEnd w:id="324"/>
      <w:bookmarkEnd w:id="325"/>
      <w:bookmarkEnd w:id="326"/>
    </w:p>
    <w:p w14:paraId="0052BDC9" w14:textId="77777777" w:rsidR="000229CB" w:rsidRPr="00CF39C8" w:rsidRDefault="00A05BA8" w:rsidP="00430317">
      <w:pPr>
        <w:pStyle w:val="Heading2"/>
        <w:numPr>
          <w:ilvl w:val="1"/>
          <w:numId w:val="63"/>
        </w:numPr>
        <w:ind w:hanging="792"/>
      </w:pPr>
      <w:bookmarkStart w:id="327" w:name="_Toc161837667"/>
      <w:bookmarkStart w:id="328" w:name="_Toc161933164"/>
      <w:bookmarkStart w:id="329" w:name="_Toc162276471"/>
      <w:bookmarkStart w:id="330" w:name="_Toc163221067"/>
      <w:bookmarkStart w:id="331" w:name="_Toc146622492"/>
      <w:r w:rsidRPr="00CF39C8">
        <w:rPr>
          <w:rFonts w:cstheme="majorHAnsi"/>
        </w:rPr>
        <w:t xml:space="preserve">The </w:t>
      </w:r>
      <w:r w:rsidR="00A26BD0" w:rsidRPr="00CF39C8">
        <w:rPr>
          <w:rFonts w:cstheme="majorHAnsi"/>
        </w:rPr>
        <w:t>options analysed all</w:t>
      </w:r>
      <w:r w:rsidRPr="00CF39C8">
        <w:rPr>
          <w:rFonts w:cstheme="majorHAnsi"/>
        </w:rPr>
        <w:t xml:space="preserve"> ha</w:t>
      </w:r>
      <w:r w:rsidR="00A26BD0" w:rsidRPr="00CF39C8">
        <w:rPr>
          <w:rFonts w:cstheme="majorHAnsi"/>
        </w:rPr>
        <w:t>ve</w:t>
      </w:r>
      <w:r w:rsidRPr="00CF39C8">
        <w:rPr>
          <w:rFonts w:cstheme="majorHAnsi"/>
        </w:rPr>
        <w:t xml:space="preserve"> a net benefit</w:t>
      </w:r>
      <w:bookmarkEnd w:id="327"/>
      <w:bookmarkEnd w:id="328"/>
      <w:bookmarkEnd w:id="329"/>
      <w:bookmarkEnd w:id="330"/>
      <w:r w:rsidRPr="00CF39C8">
        <w:rPr>
          <w:rFonts w:cstheme="majorHAnsi"/>
        </w:rPr>
        <w:t xml:space="preserve"> </w:t>
      </w:r>
    </w:p>
    <w:p w14:paraId="0147743B" w14:textId="77777777" w:rsidR="000229CB" w:rsidRPr="00CF39C8" w:rsidRDefault="00B53666" w:rsidP="000229CB">
      <w:r w:rsidRPr="00CF39C8">
        <w:t xml:space="preserve">A benefit-cost analysis is undertaken to estimate how each option </w:t>
      </w:r>
      <w:r w:rsidR="00D342A5" w:rsidRPr="00CF39C8">
        <w:t>performs</w:t>
      </w:r>
      <w:r w:rsidRPr="00CF39C8">
        <w:t xml:space="preserve"> when we set out all of the costs and benefits. The key indicators of the economic viability of a proposed </w:t>
      </w:r>
      <w:r w:rsidR="008A532D">
        <w:t>o</w:t>
      </w:r>
      <w:r w:rsidR="00DC48C3">
        <w:t xml:space="preserve">ption </w:t>
      </w:r>
      <w:r w:rsidR="008A532D">
        <w:t>a</w:t>
      </w:r>
      <w:r w:rsidRPr="00CF39C8">
        <w:t xml:space="preserve">re its net benefits and the benefit cost ratio (BCR). If the net benefits are positive, the BCR will be greater than one. In order to assess the net benefits of each option, a range of benefits and costs are quantified based on the best available evidence. The Government then considers this quantitative analysis, alongside the qualitative assessment of the options against the policy principles, to determine the ‘best’ option in line with the </w:t>
      </w:r>
      <w:r w:rsidRPr="00CF39C8">
        <w:rPr>
          <w:i/>
        </w:rPr>
        <w:t>Australian Government Guide to Policy Impact Analysis</w:t>
      </w:r>
      <w:r w:rsidRPr="00CF39C8">
        <w:t>.</w:t>
      </w:r>
      <w:r w:rsidR="000229CB" w:rsidRPr="00CF39C8">
        <w:rPr>
          <w:rStyle w:val="EndnoteReference"/>
          <w:rFonts w:asciiTheme="majorHAnsi" w:hAnsiTheme="majorHAnsi" w:cstheme="majorHAnsi"/>
          <w:color w:val="000000" w:themeColor="text1"/>
        </w:rPr>
        <w:endnoteReference w:id="45"/>
      </w:r>
      <w:r w:rsidR="000229CB" w:rsidRPr="00CF39C8">
        <w:t xml:space="preserve"> </w:t>
      </w:r>
      <w:r w:rsidR="008D1913" w:rsidRPr="00CF39C8">
        <w:t xml:space="preserve">The best option will have the highest net benefit </w:t>
      </w:r>
      <w:r w:rsidR="001273DC" w:rsidRPr="00CF39C8">
        <w:t>while</w:t>
      </w:r>
      <w:r w:rsidR="008D1913" w:rsidRPr="00CF39C8">
        <w:t xml:space="preserve"> also adequately address</w:t>
      </w:r>
      <w:r w:rsidR="001273DC" w:rsidRPr="00CF39C8">
        <w:t>ing</w:t>
      </w:r>
      <w:r w:rsidR="008D1913" w:rsidRPr="00CF39C8">
        <w:t xml:space="preserve"> the principles</w:t>
      </w:r>
      <w:r w:rsidR="00592BBD" w:rsidRPr="00CF39C8">
        <w:t xml:space="preserve"> and Government objectives</w:t>
      </w:r>
      <w:r w:rsidR="008D1913" w:rsidRPr="00CF39C8">
        <w:t>.</w:t>
      </w:r>
      <w:r w:rsidR="00551C78" w:rsidRPr="00CF39C8">
        <w:t xml:space="preserve"> </w:t>
      </w:r>
    </w:p>
    <w:p w14:paraId="2D42B55B" w14:textId="77777777" w:rsidR="000229CB" w:rsidRPr="00CF39C8" w:rsidRDefault="000229CB" w:rsidP="000229CB">
      <w:pPr>
        <w:rPr>
          <w:rFonts w:asciiTheme="majorHAnsi" w:hAnsiTheme="majorHAnsi" w:cstheme="majorHAnsi"/>
          <w:color w:val="000000" w:themeColor="text1"/>
        </w:rPr>
      </w:pPr>
      <w:r w:rsidRPr="00CF39C8">
        <w:rPr>
          <w:color w:val="000000" w:themeColor="text1"/>
        </w:rPr>
        <w:t xml:space="preserve">The </w:t>
      </w:r>
      <w:r w:rsidR="00D26581" w:rsidRPr="00CF39C8">
        <w:rPr>
          <w:color w:val="000000" w:themeColor="text1"/>
        </w:rPr>
        <w:t>d</w:t>
      </w:r>
      <w:r w:rsidR="00D15D0C" w:rsidRPr="00CF39C8">
        <w:rPr>
          <w:color w:val="000000" w:themeColor="text1"/>
        </w:rPr>
        <w:t xml:space="preserve">epartment </w:t>
      </w:r>
      <w:r w:rsidRPr="00CF39C8">
        <w:rPr>
          <w:color w:val="000000" w:themeColor="text1"/>
        </w:rPr>
        <w:t>undertook a detailed benefit-cost analysis of the</w:t>
      </w:r>
      <w:r w:rsidR="001273DC" w:rsidRPr="00CF39C8">
        <w:rPr>
          <w:color w:val="000000" w:themeColor="text1"/>
        </w:rPr>
        <w:t xml:space="preserve"> </w:t>
      </w:r>
      <w:r w:rsidR="00EA0106">
        <w:rPr>
          <w:color w:val="000000" w:themeColor="text1"/>
        </w:rPr>
        <w:t>all</w:t>
      </w:r>
      <w:r w:rsidRPr="00CF39C8">
        <w:rPr>
          <w:color w:val="000000" w:themeColor="text1"/>
        </w:rPr>
        <w:t xml:space="preserve"> options. The analysis found that </w:t>
      </w:r>
      <w:bookmarkStart w:id="332" w:name="_Hlk148449220"/>
      <w:r w:rsidRPr="00CF39C8">
        <w:rPr>
          <w:color w:val="000000" w:themeColor="text1"/>
        </w:rPr>
        <w:t xml:space="preserve">over the </w:t>
      </w:r>
      <w:r w:rsidRPr="00CF39C8">
        <w:t xml:space="preserve">evaluation period of </w:t>
      </w:r>
      <w:r w:rsidR="00C63178" w:rsidRPr="00CF39C8">
        <w:t>2025</w:t>
      </w:r>
      <w:r w:rsidRPr="00CF39C8">
        <w:t xml:space="preserve"> to 2050 at a discount rate of </w:t>
      </w:r>
      <w:r w:rsidR="001455D9" w:rsidRPr="00CF39C8">
        <w:t>7</w:t>
      </w:r>
      <w:r w:rsidR="00004F6A" w:rsidRPr="00CF39C8">
        <w:t>%</w:t>
      </w:r>
      <w:r w:rsidR="001F48E6" w:rsidRPr="00CF39C8">
        <w:t xml:space="preserve"> (a common method which accounts for people placing a greater weight on consumption (i.e. spending) occurring closer to the present)</w:t>
      </w:r>
      <w:r w:rsidRPr="00CF39C8">
        <w:t>,</w:t>
      </w:r>
      <w:r w:rsidR="001273DC" w:rsidRPr="00CF39C8">
        <w:t xml:space="preserve"> all options</w:t>
      </w:r>
      <w:r w:rsidR="003B2E80" w:rsidRPr="00CF39C8">
        <w:t xml:space="preserve"> presented below</w:t>
      </w:r>
      <w:r w:rsidR="001273DC" w:rsidRPr="00CF39C8">
        <w:t xml:space="preserve"> have a BCR greater than 1, meaning</w:t>
      </w:r>
      <w:r w:rsidRPr="00CF39C8">
        <w:t xml:space="preserve"> the policy </w:t>
      </w:r>
      <w:r w:rsidR="00AA3C98" w:rsidRPr="00CF39C8">
        <w:t>options</w:t>
      </w:r>
      <w:r w:rsidRPr="00CF39C8">
        <w:t xml:space="preserve"> ha</w:t>
      </w:r>
      <w:r w:rsidR="00AA3C98" w:rsidRPr="00CF39C8">
        <w:t>ve</w:t>
      </w:r>
      <w:r w:rsidRPr="00CF39C8">
        <w:t xml:space="preserve"> a net benefit to the community. </w:t>
      </w:r>
      <w:bookmarkEnd w:id="332"/>
      <w:r w:rsidR="00CB2867">
        <w:t xml:space="preserve">The </w:t>
      </w:r>
      <w:r w:rsidR="00C73B6B">
        <w:t xml:space="preserve">best </w:t>
      </w:r>
      <w:r w:rsidR="00CB2867">
        <w:t>option</w:t>
      </w:r>
      <w:r w:rsidR="00773CF6" w:rsidRPr="00CF39C8">
        <w:t xml:space="preserve"> provides </w:t>
      </w:r>
      <w:r w:rsidR="00773CF6" w:rsidRPr="00301807">
        <w:t>the highe</w:t>
      </w:r>
      <w:r w:rsidR="00FE660C" w:rsidRPr="00301807">
        <w:t>st</w:t>
      </w:r>
      <w:r w:rsidR="00773CF6" w:rsidRPr="00301807">
        <w:t xml:space="preserve"> BCR</w:t>
      </w:r>
      <w:r w:rsidR="00F443D2" w:rsidRPr="00301807">
        <w:t xml:space="preserve"> </w:t>
      </w:r>
      <w:r w:rsidR="00FE660C" w:rsidRPr="00301807">
        <w:t>of 3.1</w:t>
      </w:r>
      <w:r w:rsidR="002726CC">
        <w:t>2</w:t>
      </w:r>
      <w:r w:rsidR="00FE660C" w:rsidRPr="00301807">
        <w:t xml:space="preserve"> </w:t>
      </w:r>
      <w:r w:rsidR="00F443D2" w:rsidRPr="00301807">
        <w:t xml:space="preserve">with </w:t>
      </w:r>
      <w:r w:rsidR="00845194" w:rsidRPr="00301807">
        <w:t xml:space="preserve">just </w:t>
      </w:r>
      <w:r w:rsidR="00F443D2" w:rsidRPr="00301807">
        <w:t>over $</w:t>
      </w:r>
      <w:r w:rsidR="00301807" w:rsidRPr="00301807">
        <w:t>8</w:t>
      </w:r>
      <w:r w:rsidR="002726CC">
        <w:t>6</w:t>
      </w:r>
      <w:r w:rsidR="00301807" w:rsidRPr="00301807">
        <w:t xml:space="preserve"> billion</w:t>
      </w:r>
      <w:r w:rsidR="00F443D2" w:rsidRPr="00301807">
        <w:t xml:space="preserve"> of</w:t>
      </w:r>
      <w:r w:rsidR="00F443D2" w:rsidRPr="00CF39C8">
        <w:t xml:space="preserve"> </w:t>
      </w:r>
      <w:r w:rsidR="00080216" w:rsidRPr="00CF39C8">
        <w:t xml:space="preserve">net </w:t>
      </w:r>
      <w:r w:rsidR="00F443D2" w:rsidRPr="00CF39C8">
        <w:t>benefit</w:t>
      </w:r>
      <w:r w:rsidR="00773CF6" w:rsidRPr="00CF39C8">
        <w:t>.</w:t>
      </w:r>
      <w:r w:rsidR="00C718FC">
        <w:t xml:space="preserve"> </w:t>
      </w:r>
      <w:r w:rsidRPr="00CF39C8">
        <w:rPr>
          <w:rFonts w:asciiTheme="majorHAnsi" w:hAnsiTheme="majorHAnsi" w:cstheme="majorHAnsi"/>
          <w:color w:val="000000" w:themeColor="text1"/>
        </w:rPr>
        <w:t xml:space="preserve">A detailed breakdown of the costs and benefits is </w:t>
      </w:r>
      <w:r w:rsidR="004D6A91" w:rsidRPr="00CF39C8">
        <w:rPr>
          <w:rFonts w:asciiTheme="majorHAnsi" w:hAnsiTheme="majorHAnsi" w:cstheme="majorHAnsi"/>
          <w:color w:val="000000" w:themeColor="text1"/>
        </w:rPr>
        <w:t>in</w:t>
      </w:r>
      <w:r w:rsidR="00FE660C">
        <w:rPr>
          <w:rFonts w:asciiTheme="majorHAnsi" w:hAnsiTheme="majorHAnsi" w:cstheme="majorHAnsi"/>
          <w:color w:val="000000" w:themeColor="text1"/>
        </w:rPr>
        <w:t xml:space="preserve"> Table 6</w:t>
      </w:r>
      <w:r w:rsidRPr="00CF39C8">
        <w:rPr>
          <w:rFonts w:asciiTheme="majorHAnsi" w:hAnsiTheme="majorHAnsi" w:cstheme="majorHAnsi"/>
          <w:color w:val="000000" w:themeColor="text1"/>
        </w:rPr>
        <w:t>, using the central case assumption of a 7</w:t>
      </w:r>
      <w:r w:rsidR="00004F6A"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 discount rate:  </w:t>
      </w:r>
    </w:p>
    <w:tbl>
      <w:tblPr>
        <w:tblStyle w:val="GridTable1Light"/>
        <w:tblW w:w="9351" w:type="dxa"/>
        <w:jc w:val="center"/>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Look w:val="04A0" w:firstRow="1" w:lastRow="0" w:firstColumn="1" w:lastColumn="0" w:noHBand="0" w:noVBand="1"/>
        <w:tblCaption w:val="Benefits and costs of options"/>
      </w:tblPr>
      <w:tblGrid>
        <w:gridCol w:w="2121"/>
        <w:gridCol w:w="1702"/>
        <w:gridCol w:w="1842"/>
        <w:gridCol w:w="1843"/>
        <w:gridCol w:w="1843"/>
      </w:tblGrid>
      <w:tr w:rsidR="00610AA7" w:rsidRPr="00CF39C8" w14:paraId="34F7E21B" w14:textId="77777777" w:rsidTr="00610AA7">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9351" w:type="dxa"/>
            <w:gridSpan w:val="5"/>
            <w:shd w:val="clear" w:color="auto" w:fill="417A84" w:themeFill="accent5" w:themeFillShade="BF"/>
          </w:tcPr>
          <w:p w14:paraId="73343591" w14:textId="77777777" w:rsidR="00610AA7" w:rsidRPr="00CF39C8" w:rsidRDefault="00610AA7" w:rsidP="000C65BE">
            <w:pPr>
              <w:spacing w:before="80"/>
              <w:rPr>
                <w:rFonts w:cstheme="minorHAnsi"/>
                <w:color w:val="FFFFFF" w:themeColor="background1"/>
                <w:sz w:val="24"/>
                <w:szCs w:val="32"/>
              </w:rPr>
            </w:pPr>
            <w:r w:rsidRPr="00CF39C8">
              <w:rPr>
                <w:rFonts w:cstheme="minorHAnsi"/>
                <w:color w:val="FFFFFF" w:themeColor="background1"/>
                <w:sz w:val="24"/>
                <w:szCs w:val="32"/>
              </w:rPr>
              <w:t>Impacts (AUD billions) Net Present Value Discount Rate 7% - 2025 to 2050</w:t>
            </w:r>
          </w:p>
        </w:tc>
      </w:tr>
      <w:tr w:rsidR="00610AA7" w:rsidRPr="00CF39C8" w14:paraId="611A7EFD" w14:textId="77777777" w:rsidTr="00860480">
        <w:trPr>
          <w:trHeight w:val="551"/>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24A9E4FA" w14:textId="77777777" w:rsidR="00610AA7" w:rsidRPr="00CF39C8" w:rsidRDefault="00610AA7" w:rsidP="000C65BE">
            <w:pPr>
              <w:spacing w:before="80"/>
              <w:ind w:left="29"/>
              <w:rPr>
                <w:rFonts w:cstheme="minorHAnsi"/>
                <w:bCs w:val="0"/>
              </w:rPr>
            </w:pPr>
            <w:r w:rsidRPr="00CF39C8">
              <w:rPr>
                <w:rFonts w:cstheme="minorHAnsi"/>
              </w:rPr>
              <w:t>Option:</w:t>
            </w:r>
          </w:p>
        </w:tc>
        <w:tc>
          <w:tcPr>
            <w:tcW w:w="1702" w:type="dxa"/>
            <w:shd w:val="clear" w:color="auto" w:fill="DDECEE" w:themeFill="accent5" w:themeFillTint="33"/>
            <w:vAlign w:val="center"/>
          </w:tcPr>
          <w:p w14:paraId="24C20305" w14:textId="77777777" w:rsidR="00610AA7" w:rsidRPr="00CF39C8" w:rsidRDefault="00DC48C3" w:rsidP="00610AA7">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Option A</w:t>
            </w:r>
          </w:p>
        </w:tc>
        <w:tc>
          <w:tcPr>
            <w:tcW w:w="1842" w:type="dxa"/>
            <w:shd w:val="clear" w:color="auto" w:fill="DDECEE" w:themeFill="accent5" w:themeFillTint="33"/>
            <w:vAlign w:val="center"/>
          </w:tcPr>
          <w:p w14:paraId="41FA9322" w14:textId="77777777" w:rsidR="00610AA7" w:rsidRPr="00CF39C8" w:rsidRDefault="00C12BE2"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Pr>
                <w:rFonts w:cstheme="minorHAnsi"/>
                <w:b/>
              </w:rPr>
              <w:t>Option B</w:t>
            </w:r>
          </w:p>
        </w:tc>
        <w:tc>
          <w:tcPr>
            <w:tcW w:w="1843" w:type="dxa"/>
            <w:shd w:val="clear" w:color="auto" w:fill="DDECEE" w:themeFill="accent5" w:themeFillTint="33"/>
            <w:vAlign w:val="center"/>
          </w:tcPr>
          <w:p w14:paraId="44EB61A8" w14:textId="77777777" w:rsidR="00610AA7" w:rsidRPr="00CF39C8" w:rsidRDefault="00C12BE2"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Pr>
                <w:rFonts w:eastAsia="Calibri" w:cstheme="minorHAnsi"/>
                <w:b/>
              </w:rPr>
              <w:t>Option C</w:t>
            </w:r>
          </w:p>
        </w:tc>
        <w:tc>
          <w:tcPr>
            <w:tcW w:w="1843" w:type="dxa"/>
            <w:shd w:val="clear" w:color="auto" w:fill="404040" w:themeFill="text1" w:themeFillTint="BF"/>
            <w:vAlign w:val="center"/>
          </w:tcPr>
          <w:p w14:paraId="150E4FDD" w14:textId="77777777" w:rsidR="00610AA7" w:rsidRPr="00CF39C8" w:rsidRDefault="00CE75FE"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rPr>
            </w:pPr>
            <w:r w:rsidRPr="00301807">
              <w:rPr>
                <w:rFonts w:eastAsia="Calibri" w:cstheme="minorHAnsi"/>
                <w:b/>
                <w:color w:val="FFFFFF" w:themeColor="background1"/>
              </w:rPr>
              <w:t>Best Option</w:t>
            </w:r>
          </w:p>
        </w:tc>
      </w:tr>
      <w:tr w:rsidR="00610AA7" w:rsidRPr="00CF39C8" w14:paraId="0B59A366" w14:textId="77777777" w:rsidTr="00610AA7">
        <w:trPr>
          <w:trHeight w:val="11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5086A878"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Total costs</w:t>
            </w:r>
          </w:p>
        </w:tc>
        <w:tc>
          <w:tcPr>
            <w:tcW w:w="1702" w:type="dxa"/>
            <w:shd w:val="clear" w:color="auto" w:fill="DDECEE" w:themeFill="accent5" w:themeFillTint="33"/>
            <w:vAlign w:val="center"/>
          </w:tcPr>
          <w:p w14:paraId="58F9E766"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$0.41</w:t>
            </w:r>
          </w:p>
        </w:tc>
        <w:tc>
          <w:tcPr>
            <w:tcW w:w="1842" w:type="dxa"/>
            <w:shd w:val="clear" w:color="auto" w:fill="DDECEE" w:themeFill="accent5" w:themeFillTint="33"/>
            <w:vAlign w:val="center"/>
          </w:tcPr>
          <w:p w14:paraId="062F0BCD" w14:textId="77777777" w:rsidR="00610AA7" w:rsidRPr="00CF39C8" w:rsidRDefault="00610AA7" w:rsidP="00FD5CF4">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$46.49</w:t>
            </w:r>
          </w:p>
        </w:tc>
        <w:tc>
          <w:tcPr>
            <w:tcW w:w="1843" w:type="dxa"/>
            <w:shd w:val="clear" w:color="auto" w:fill="DDECEE" w:themeFill="accent5" w:themeFillTint="33"/>
            <w:vAlign w:val="center"/>
          </w:tcPr>
          <w:p w14:paraId="55E45F7C"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$58.75</w:t>
            </w:r>
          </w:p>
        </w:tc>
        <w:tc>
          <w:tcPr>
            <w:tcW w:w="1843" w:type="dxa"/>
            <w:shd w:val="clear" w:color="auto" w:fill="DDECEE" w:themeFill="accent5" w:themeFillTint="33"/>
          </w:tcPr>
          <w:p w14:paraId="352FF1BD"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4</w:t>
            </w:r>
            <w:r w:rsidR="00C35B48">
              <w:rPr>
                <w:rFonts w:cstheme="minorHAnsi"/>
                <w:color w:val="000000"/>
              </w:rPr>
              <w:t>0</w:t>
            </w:r>
            <w:r w:rsidRPr="00301807">
              <w:rPr>
                <w:rFonts w:cstheme="minorHAnsi"/>
                <w:color w:val="000000"/>
              </w:rPr>
              <w:t>.</w:t>
            </w:r>
            <w:r w:rsidR="00C35B48">
              <w:rPr>
                <w:rFonts w:cstheme="minorHAnsi"/>
                <w:color w:val="000000"/>
              </w:rPr>
              <w:t>5</w:t>
            </w:r>
            <w:r w:rsidR="00D0707B">
              <w:rPr>
                <w:rFonts w:cstheme="minorHAnsi"/>
                <w:color w:val="000000"/>
              </w:rPr>
              <w:t>5</w:t>
            </w:r>
          </w:p>
        </w:tc>
      </w:tr>
      <w:tr w:rsidR="00610AA7" w:rsidRPr="00CF39C8" w14:paraId="38E4B82E" w14:textId="77777777" w:rsidTr="00610AA7">
        <w:trPr>
          <w:trHeight w:val="12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08DE3B54"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Total benefits</w:t>
            </w:r>
          </w:p>
        </w:tc>
        <w:tc>
          <w:tcPr>
            <w:tcW w:w="1702" w:type="dxa"/>
            <w:shd w:val="clear" w:color="auto" w:fill="DDECEE" w:themeFill="accent5" w:themeFillTint="33"/>
            <w:vAlign w:val="center"/>
          </w:tcPr>
          <w:p w14:paraId="5096ACA1"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$0.58</w:t>
            </w:r>
          </w:p>
        </w:tc>
        <w:tc>
          <w:tcPr>
            <w:tcW w:w="1842" w:type="dxa"/>
            <w:shd w:val="clear" w:color="auto" w:fill="DDECEE" w:themeFill="accent5" w:themeFillTint="33"/>
            <w:vAlign w:val="center"/>
          </w:tcPr>
          <w:p w14:paraId="3F696F49" w14:textId="77777777" w:rsidR="00610AA7" w:rsidRPr="00CF39C8" w:rsidRDefault="00610AA7" w:rsidP="00FD5CF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$142.95</w:t>
            </w:r>
          </w:p>
        </w:tc>
        <w:tc>
          <w:tcPr>
            <w:tcW w:w="1843" w:type="dxa"/>
            <w:shd w:val="clear" w:color="auto" w:fill="DDECEE" w:themeFill="accent5" w:themeFillTint="33"/>
            <w:vAlign w:val="center"/>
          </w:tcPr>
          <w:p w14:paraId="4ADF1258"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$173.65</w:t>
            </w:r>
          </w:p>
        </w:tc>
        <w:tc>
          <w:tcPr>
            <w:tcW w:w="1843" w:type="dxa"/>
            <w:shd w:val="clear" w:color="auto" w:fill="DDECEE" w:themeFill="accent5" w:themeFillTint="33"/>
          </w:tcPr>
          <w:p w14:paraId="6ACF971A"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12</w:t>
            </w:r>
            <w:r w:rsidR="00C35B48">
              <w:rPr>
                <w:rFonts w:cstheme="minorHAnsi"/>
                <w:color w:val="000000"/>
              </w:rPr>
              <w:t>6</w:t>
            </w:r>
            <w:r w:rsidRPr="00301807">
              <w:rPr>
                <w:rFonts w:cstheme="minorHAnsi"/>
                <w:color w:val="000000"/>
              </w:rPr>
              <w:t>.</w:t>
            </w:r>
            <w:r w:rsidR="00C35B48">
              <w:rPr>
                <w:rFonts w:cstheme="minorHAnsi"/>
                <w:color w:val="000000"/>
              </w:rPr>
              <w:t>5</w:t>
            </w:r>
            <w:r w:rsidR="00D0707B">
              <w:rPr>
                <w:rFonts w:cstheme="minorHAnsi"/>
                <w:color w:val="000000"/>
              </w:rPr>
              <w:t>9</w:t>
            </w:r>
          </w:p>
        </w:tc>
      </w:tr>
      <w:tr w:rsidR="00610AA7" w:rsidRPr="00CF39C8" w14:paraId="31926CD1" w14:textId="77777777" w:rsidTr="00610AA7">
        <w:trPr>
          <w:trHeight w:val="11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397AA0BE"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Net benefits</w:t>
            </w:r>
          </w:p>
        </w:tc>
        <w:tc>
          <w:tcPr>
            <w:tcW w:w="1702" w:type="dxa"/>
            <w:shd w:val="clear" w:color="auto" w:fill="DDECEE" w:themeFill="accent5" w:themeFillTint="33"/>
            <w:vAlign w:val="center"/>
          </w:tcPr>
          <w:p w14:paraId="30755F4F"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$0.17</w:t>
            </w:r>
          </w:p>
        </w:tc>
        <w:tc>
          <w:tcPr>
            <w:tcW w:w="1842" w:type="dxa"/>
            <w:shd w:val="clear" w:color="auto" w:fill="DDECEE" w:themeFill="accent5" w:themeFillTint="33"/>
            <w:vAlign w:val="center"/>
          </w:tcPr>
          <w:p w14:paraId="21D61BB7" w14:textId="77777777" w:rsidR="00610AA7" w:rsidRPr="00CF39C8" w:rsidRDefault="00610AA7" w:rsidP="00FD5CF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$96.46</w:t>
            </w:r>
          </w:p>
        </w:tc>
        <w:tc>
          <w:tcPr>
            <w:tcW w:w="1843" w:type="dxa"/>
            <w:shd w:val="clear" w:color="auto" w:fill="DDECEE" w:themeFill="accent5" w:themeFillTint="33"/>
            <w:vAlign w:val="center"/>
          </w:tcPr>
          <w:p w14:paraId="2DF1EFEF"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$114.90</w:t>
            </w:r>
          </w:p>
        </w:tc>
        <w:tc>
          <w:tcPr>
            <w:tcW w:w="1843" w:type="dxa"/>
            <w:shd w:val="clear" w:color="auto" w:fill="DDECEE" w:themeFill="accent5" w:themeFillTint="33"/>
          </w:tcPr>
          <w:p w14:paraId="358E5CFF"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8</w:t>
            </w:r>
            <w:r w:rsidR="00C35B48">
              <w:rPr>
                <w:rFonts w:cstheme="minorHAnsi"/>
                <w:color w:val="000000"/>
              </w:rPr>
              <w:t>6</w:t>
            </w:r>
            <w:r w:rsidRPr="00301807">
              <w:rPr>
                <w:rFonts w:cstheme="minorHAnsi"/>
                <w:color w:val="000000"/>
              </w:rPr>
              <w:t>.</w:t>
            </w:r>
            <w:r w:rsidR="00C35B48">
              <w:rPr>
                <w:rFonts w:cstheme="minorHAnsi"/>
                <w:color w:val="000000"/>
              </w:rPr>
              <w:t>04</w:t>
            </w:r>
          </w:p>
        </w:tc>
      </w:tr>
      <w:tr w:rsidR="00610AA7" w:rsidRPr="00CF39C8" w14:paraId="6FB56FE0" w14:textId="77777777" w:rsidTr="00860480">
        <w:trPr>
          <w:trHeight w:val="323"/>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417A84" w:themeFill="accent5" w:themeFillShade="BF"/>
          </w:tcPr>
          <w:p w14:paraId="59656105" w14:textId="77777777" w:rsidR="00610AA7" w:rsidRPr="00CF39C8" w:rsidRDefault="00610AA7" w:rsidP="000C65BE">
            <w:pPr>
              <w:spacing w:before="80"/>
              <w:ind w:left="29"/>
              <w:rPr>
                <w:rFonts w:cstheme="minorHAnsi"/>
                <w:color w:val="FFFFFF" w:themeColor="background1"/>
              </w:rPr>
            </w:pPr>
            <w:r w:rsidRPr="00CF39C8">
              <w:rPr>
                <w:rFonts w:cstheme="minorHAnsi"/>
                <w:color w:val="FFFFFF" w:themeColor="background1"/>
              </w:rPr>
              <w:t>Benefits cost ratio:</w:t>
            </w:r>
          </w:p>
        </w:tc>
        <w:tc>
          <w:tcPr>
            <w:tcW w:w="1702" w:type="dxa"/>
            <w:shd w:val="clear" w:color="auto" w:fill="417A84" w:themeFill="accent5" w:themeFillShade="BF"/>
          </w:tcPr>
          <w:p w14:paraId="2147E784"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1.42</w:t>
            </w:r>
          </w:p>
        </w:tc>
        <w:tc>
          <w:tcPr>
            <w:tcW w:w="1842" w:type="dxa"/>
            <w:shd w:val="clear" w:color="auto" w:fill="417A84" w:themeFill="accent5" w:themeFillShade="BF"/>
          </w:tcPr>
          <w:p w14:paraId="5E897F9A"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3.08</w:t>
            </w:r>
          </w:p>
        </w:tc>
        <w:tc>
          <w:tcPr>
            <w:tcW w:w="1843" w:type="dxa"/>
            <w:shd w:val="clear" w:color="auto" w:fill="417A84" w:themeFill="accent5" w:themeFillShade="BF"/>
          </w:tcPr>
          <w:p w14:paraId="5BF1302E"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2.96</w:t>
            </w:r>
          </w:p>
        </w:tc>
        <w:tc>
          <w:tcPr>
            <w:tcW w:w="1843" w:type="dxa"/>
            <w:shd w:val="clear" w:color="auto" w:fill="404040" w:themeFill="text1" w:themeFillTint="BF"/>
          </w:tcPr>
          <w:p w14:paraId="4ED22A81" w14:textId="77777777" w:rsidR="00610AA7" w:rsidRPr="00301807" w:rsidRDefault="0030180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301807">
              <w:rPr>
                <w:rFonts w:cstheme="minorHAnsi"/>
                <w:b/>
                <w:color w:val="FFFFFF" w:themeColor="background1"/>
              </w:rPr>
              <w:t>3.</w:t>
            </w:r>
            <w:r w:rsidR="00C35B48" w:rsidRPr="00301807">
              <w:rPr>
                <w:rFonts w:cstheme="minorHAnsi"/>
                <w:b/>
                <w:color w:val="FFFFFF" w:themeColor="background1"/>
              </w:rPr>
              <w:t>1</w:t>
            </w:r>
            <w:r w:rsidR="00C35B48">
              <w:rPr>
                <w:rFonts w:cstheme="minorHAnsi"/>
                <w:b/>
                <w:color w:val="FFFFFF" w:themeColor="background1"/>
              </w:rPr>
              <w:t>2</w:t>
            </w:r>
          </w:p>
        </w:tc>
      </w:tr>
    </w:tbl>
    <w:p w14:paraId="1E91DC7D" w14:textId="77777777" w:rsidR="00F77D4E" w:rsidRPr="00CF39C8" w:rsidRDefault="00610AA7">
      <w:pPr>
        <w:pStyle w:val="Caption"/>
      </w:pPr>
      <w:bookmarkStart w:id="333" w:name="_Ref153982573"/>
      <w:bookmarkStart w:id="334" w:name="_Toc149907246"/>
      <w:bookmarkStart w:id="335" w:name="_Toc148362163"/>
      <w:bookmarkStart w:id="336" w:name="_Toc148362636"/>
      <w:bookmarkStart w:id="337" w:name="_Toc148361199"/>
      <w:r w:rsidRPr="00CF39C8">
        <w:t xml:space="preserve">      </w:t>
      </w:r>
      <w:bookmarkStart w:id="338" w:name="_Toc161837771"/>
      <w:bookmarkStart w:id="339" w:name="_Toc161933218"/>
      <w:bookmarkStart w:id="340" w:name="_Toc163221118"/>
      <w:r w:rsidR="00F77D4E" w:rsidRPr="00CF39C8">
        <w:t xml:space="preserve">Table </w:t>
      </w:r>
      <w:bookmarkEnd w:id="333"/>
      <w:r w:rsidR="00C6227F">
        <w:t>6</w:t>
      </w:r>
      <w:r w:rsidR="00F77D4E" w:rsidRPr="00CF39C8">
        <w:t xml:space="preserve"> </w:t>
      </w:r>
      <w:r w:rsidR="00F77D4E" w:rsidRPr="00CF39C8">
        <w:rPr>
          <w:b w:val="0"/>
        </w:rPr>
        <w:t xml:space="preserve">– Benefits and costs of </w:t>
      </w:r>
      <w:bookmarkEnd w:id="334"/>
      <w:r w:rsidR="00B62631" w:rsidRPr="00CF39C8">
        <w:rPr>
          <w:b w:val="0"/>
        </w:rPr>
        <w:t>options</w:t>
      </w:r>
      <w:bookmarkEnd w:id="338"/>
      <w:bookmarkEnd w:id="339"/>
      <w:bookmarkEnd w:id="340"/>
    </w:p>
    <w:bookmarkEnd w:id="335"/>
    <w:bookmarkEnd w:id="336"/>
    <w:bookmarkEnd w:id="337"/>
    <w:p w14:paraId="5CC4617A" w14:textId="77777777" w:rsidR="000229CB" w:rsidRDefault="000229CB" w:rsidP="000229CB">
      <w:pPr>
        <w:rPr>
          <w:rFonts w:asciiTheme="majorHAnsi" w:hAnsiTheme="majorHAnsi" w:cstheme="majorHAnsi"/>
        </w:rPr>
      </w:pPr>
      <w:r w:rsidRPr="00CF39C8">
        <w:rPr>
          <w:rFonts w:asciiTheme="majorHAnsi" w:hAnsiTheme="majorHAnsi" w:cstheme="majorHAnsi"/>
        </w:rPr>
        <w:t xml:space="preserve">The key benefits that we </w:t>
      </w:r>
      <w:r w:rsidR="00C63178" w:rsidRPr="00CF39C8">
        <w:rPr>
          <w:rFonts w:asciiTheme="majorHAnsi" w:hAnsiTheme="majorHAnsi" w:cstheme="majorHAnsi"/>
        </w:rPr>
        <w:t>have considered</w:t>
      </w:r>
      <w:r w:rsidRPr="00CF39C8">
        <w:rPr>
          <w:rFonts w:asciiTheme="majorHAnsi" w:hAnsiTheme="majorHAnsi" w:cstheme="majorHAnsi"/>
        </w:rPr>
        <w:t xml:space="preserve"> are: </w:t>
      </w:r>
    </w:p>
    <w:tbl>
      <w:tblPr>
        <w:tblStyle w:val="TableGrid"/>
        <w:tblW w:w="0" w:type="auto"/>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28" w:type="dxa"/>
          <w:bottom w:w="28" w:type="dxa"/>
        </w:tblCellMar>
        <w:tblLook w:val="04A0" w:firstRow="1" w:lastRow="0" w:firstColumn="1" w:lastColumn="0" w:noHBand="0" w:noVBand="1"/>
      </w:tblPr>
      <w:tblGrid>
        <w:gridCol w:w="2830"/>
        <w:gridCol w:w="4111"/>
        <w:gridCol w:w="2410"/>
      </w:tblGrid>
      <w:tr w:rsidR="00CC3B0F" w14:paraId="3A60BF5D" w14:textId="77777777" w:rsidTr="00C718FC">
        <w:tc>
          <w:tcPr>
            <w:tcW w:w="2830" w:type="dxa"/>
            <w:shd w:val="clear" w:color="auto" w:fill="417A84" w:themeFill="accent5" w:themeFillShade="BF"/>
          </w:tcPr>
          <w:p w14:paraId="74DC7CC1"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Benefit type</w:t>
            </w:r>
          </w:p>
        </w:tc>
        <w:tc>
          <w:tcPr>
            <w:tcW w:w="4111" w:type="dxa"/>
            <w:shd w:val="clear" w:color="auto" w:fill="417A84" w:themeFill="accent5" w:themeFillShade="BF"/>
          </w:tcPr>
          <w:p w14:paraId="49AAE67B"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Detail</w:t>
            </w:r>
          </w:p>
        </w:tc>
        <w:tc>
          <w:tcPr>
            <w:tcW w:w="2410" w:type="dxa"/>
            <w:shd w:val="clear" w:color="auto" w:fill="417A84" w:themeFill="accent5" w:themeFillShade="BF"/>
          </w:tcPr>
          <w:p w14:paraId="3C58EBF4"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Who it accrues to</w:t>
            </w:r>
          </w:p>
        </w:tc>
      </w:tr>
      <w:tr w:rsidR="00CC3B0F" w14:paraId="3077B64D" w14:textId="77777777" w:rsidTr="00C718FC">
        <w:tc>
          <w:tcPr>
            <w:tcW w:w="2830" w:type="dxa"/>
            <w:shd w:val="clear" w:color="auto" w:fill="9BC7CE" w:themeFill="accent5" w:themeFillTint="99"/>
          </w:tcPr>
          <w:p w14:paraId="2C9A36D1" w14:textId="77777777" w:rsidR="00CC3B0F" w:rsidRDefault="00CC3B0F" w:rsidP="000229CB">
            <w:pPr>
              <w:rPr>
                <w:rFonts w:asciiTheme="majorHAnsi" w:hAnsiTheme="majorHAnsi" w:cstheme="majorHAnsi"/>
              </w:rPr>
            </w:pPr>
            <w:r w:rsidRPr="00CF39C8">
              <w:rPr>
                <w:rFonts w:asciiTheme="majorHAnsi" w:hAnsiTheme="majorHAnsi" w:cstheme="majorHAnsi"/>
                <w:b/>
                <w:i/>
              </w:rPr>
              <w:t>Fuel savings</w:t>
            </w:r>
          </w:p>
        </w:tc>
        <w:tc>
          <w:tcPr>
            <w:tcW w:w="4111" w:type="dxa"/>
          </w:tcPr>
          <w:p w14:paraId="3335B636" w14:textId="77777777" w:rsidR="00CC3B0F" w:rsidRDefault="00CC3B0F" w:rsidP="000229CB">
            <w:pPr>
              <w:rPr>
                <w:rFonts w:asciiTheme="majorHAnsi" w:hAnsiTheme="majorHAnsi" w:cstheme="majorHAnsi"/>
              </w:rPr>
            </w:pPr>
            <w:r w:rsidRPr="00CF39C8">
              <w:rPr>
                <w:rFonts w:asciiTheme="majorHAnsi" w:hAnsiTheme="majorHAnsi" w:cstheme="majorHAnsi"/>
              </w:rPr>
              <w:t>The amount in dollars that consumers save in fuel when they switch to electric vehicles, hybrids and more efficient ICE vehicles</w:t>
            </w:r>
          </w:p>
        </w:tc>
        <w:tc>
          <w:tcPr>
            <w:tcW w:w="2410" w:type="dxa"/>
          </w:tcPr>
          <w:p w14:paraId="2E9BF7A1" w14:textId="77777777" w:rsidR="00CC3B0F" w:rsidRDefault="00CC3B0F" w:rsidP="000229CB">
            <w:pPr>
              <w:rPr>
                <w:rFonts w:asciiTheme="majorHAnsi" w:hAnsiTheme="majorHAnsi" w:cstheme="majorHAnsi"/>
              </w:rPr>
            </w:pPr>
            <w:r>
              <w:rPr>
                <w:rFonts w:asciiTheme="majorHAnsi" w:hAnsiTheme="majorHAnsi" w:cstheme="majorHAnsi"/>
              </w:rPr>
              <w:t>Consumers</w:t>
            </w:r>
          </w:p>
        </w:tc>
      </w:tr>
      <w:tr w:rsidR="00CC3B0F" w14:paraId="66B4D3D0" w14:textId="77777777" w:rsidTr="00C718FC">
        <w:tc>
          <w:tcPr>
            <w:tcW w:w="2830" w:type="dxa"/>
            <w:shd w:val="clear" w:color="auto" w:fill="9BC7CE" w:themeFill="accent5" w:themeFillTint="99"/>
          </w:tcPr>
          <w:p w14:paraId="7B998781"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Reduced vehicle maintenance</w:t>
            </w:r>
          </w:p>
        </w:tc>
        <w:tc>
          <w:tcPr>
            <w:tcW w:w="4111" w:type="dxa"/>
          </w:tcPr>
          <w:p w14:paraId="4BF05068"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EVs require less maintenance than traditional ICE vehicles</w:t>
            </w:r>
          </w:p>
        </w:tc>
        <w:tc>
          <w:tcPr>
            <w:tcW w:w="2410" w:type="dxa"/>
          </w:tcPr>
          <w:p w14:paraId="5D497906" w14:textId="77777777" w:rsidR="00CC3B0F" w:rsidRDefault="00CC3B0F" w:rsidP="000229CB">
            <w:pPr>
              <w:rPr>
                <w:rFonts w:asciiTheme="majorHAnsi" w:hAnsiTheme="majorHAnsi" w:cstheme="majorHAnsi"/>
              </w:rPr>
            </w:pPr>
            <w:r>
              <w:rPr>
                <w:rFonts w:asciiTheme="majorHAnsi" w:hAnsiTheme="majorHAnsi" w:cstheme="majorHAnsi"/>
              </w:rPr>
              <w:t>Consumers</w:t>
            </w:r>
          </w:p>
        </w:tc>
      </w:tr>
      <w:tr w:rsidR="00CC3B0F" w14:paraId="6E0ADF6F" w14:textId="77777777" w:rsidTr="00C718FC">
        <w:tc>
          <w:tcPr>
            <w:tcW w:w="2830" w:type="dxa"/>
            <w:shd w:val="clear" w:color="auto" w:fill="9BC7CE" w:themeFill="accent5" w:themeFillTint="99"/>
          </w:tcPr>
          <w:p w14:paraId="422EBD56"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Health benefits</w:t>
            </w:r>
          </w:p>
        </w:tc>
        <w:tc>
          <w:tcPr>
            <w:tcW w:w="4111" w:type="dxa"/>
          </w:tcPr>
          <w:p w14:paraId="16225FDD"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The health benefits of cleaner air. This benefit is in addition to other changes (e.g., the implementation of Euro 6 and Euro VI noxious emissions standards)</w:t>
            </w:r>
          </w:p>
        </w:tc>
        <w:tc>
          <w:tcPr>
            <w:tcW w:w="2410" w:type="dxa"/>
          </w:tcPr>
          <w:p w14:paraId="3FC47009" w14:textId="77777777" w:rsidR="00CC3B0F" w:rsidRDefault="00CC3B0F" w:rsidP="000229CB">
            <w:pPr>
              <w:rPr>
                <w:rFonts w:asciiTheme="majorHAnsi" w:hAnsiTheme="majorHAnsi" w:cstheme="majorHAnsi"/>
              </w:rPr>
            </w:pPr>
            <w:r>
              <w:rPr>
                <w:rFonts w:asciiTheme="majorHAnsi" w:hAnsiTheme="majorHAnsi" w:cstheme="majorHAnsi"/>
              </w:rPr>
              <w:t xml:space="preserve">Australian community </w:t>
            </w:r>
          </w:p>
        </w:tc>
      </w:tr>
      <w:tr w:rsidR="00CC3B0F" w14:paraId="13952D5F" w14:textId="77777777" w:rsidTr="00C718FC">
        <w:tc>
          <w:tcPr>
            <w:tcW w:w="2830" w:type="dxa"/>
            <w:shd w:val="clear" w:color="auto" w:fill="9BC7CE" w:themeFill="accent5" w:themeFillTint="99"/>
          </w:tcPr>
          <w:p w14:paraId="322AA12F"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Emissions reductions</w:t>
            </w:r>
          </w:p>
        </w:tc>
        <w:tc>
          <w:tcPr>
            <w:tcW w:w="4111" w:type="dxa"/>
          </w:tcPr>
          <w:p w14:paraId="2876454B"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Emissions reduction has a societal benefit in assisting to combat climate change. This is forecast at $60 per tonne from 2025, inflated at 3% per annum</w:t>
            </w:r>
            <w:r>
              <w:rPr>
                <w:rFonts w:asciiTheme="majorHAnsi" w:hAnsiTheme="majorHAnsi" w:cstheme="majorHAnsi"/>
              </w:rPr>
              <w:t>.</w:t>
            </w:r>
          </w:p>
        </w:tc>
        <w:tc>
          <w:tcPr>
            <w:tcW w:w="2410" w:type="dxa"/>
          </w:tcPr>
          <w:p w14:paraId="5C4D1115" w14:textId="77777777" w:rsidR="00CC3B0F" w:rsidRDefault="00CC3B0F" w:rsidP="000229CB">
            <w:pPr>
              <w:rPr>
                <w:rFonts w:asciiTheme="majorHAnsi" w:hAnsiTheme="majorHAnsi" w:cstheme="majorHAnsi"/>
              </w:rPr>
            </w:pPr>
            <w:r>
              <w:rPr>
                <w:rFonts w:asciiTheme="majorHAnsi" w:hAnsiTheme="majorHAnsi" w:cstheme="majorHAnsi"/>
              </w:rPr>
              <w:t>Australia’s community and its future resilience</w:t>
            </w:r>
          </w:p>
        </w:tc>
      </w:tr>
    </w:tbl>
    <w:p w14:paraId="5CFA47B6" w14:textId="77777777" w:rsidR="00AF03EE" w:rsidRPr="00F52905" w:rsidRDefault="00AF03EE" w:rsidP="00AF03EE">
      <w:pPr>
        <w:pStyle w:val="Caption"/>
        <w:keepNext/>
        <w:rPr>
          <w:b w:val="0"/>
        </w:rPr>
      </w:pPr>
      <w:bookmarkStart w:id="341" w:name="_Toc161837772"/>
      <w:bookmarkStart w:id="342" w:name="_Toc161933219"/>
      <w:bookmarkStart w:id="343" w:name="_Toc163221119"/>
      <w:r w:rsidRPr="00F52905">
        <w:t xml:space="preserve">Table </w:t>
      </w:r>
      <w:r w:rsidR="00C6227F">
        <w:t>7</w:t>
      </w:r>
      <w:r w:rsidRPr="00F52905">
        <w:t xml:space="preserve"> </w:t>
      </w:r>
      <w:r w:rsidRPr="00F52905">
        <w:rPr>
          <w:b w:val="0"/>
        </w:rPr>
        <w:t xml:space="preserve">– </w:t>
      </w:r>
      <w:r>
        <w:rPr>
          <w:b w:val="0"/>
        </w:rPr>
        <w:t>Key benefits</w:t>
      </w:r>
      <w:bookmarkEnd w:id="341"/>
      <w:bookmarkEnd w:id="342"/>
      <w:bookmarkEnd w:id="343"/>
    </w:p>
    <w:p w14:paraId="089E05C9" w14:textId="77777777" w:rsidR="00224794" w:rsidRDefault="00224794" w:rsidP="000229CB">
      <w:pPr>
        <w:rPr>
          <w:rFonts w:asciiTheme="majorHAnsi" w:hAnsiTheme="majorHAnsi" w:cstheme="majorHAnsi"/>
        </w:rPr>
      </w:pPr>
    </w:p>
    <w:p w14:paraId="31509C61" w14:textId="77777777" w:rsidR="007B658E" w:rsidRDefault="007B658E" w:rsidP="000229CB">
      <w:pPr>
        <w:rPr>
          <w:rFonts w:asciiTheme="majorHAnsi" w:hAnsiTheme="majorHAnsi" w:cstheme="majorHAnsi"/>
        </w:rPr>
      </w:pPr>
    </w:p>
    <w:p w14:paraId="7C8BFD17" w14:textId="77777777" w:rsidR="00CC3B0F" w:rsidRDefault="00CC3B0F" w:rsidP="000229CB">
      <w:pPr>
        <w:rPr>
          <w:rFonts w:asciiTheme="majorHAnsi" w:hAnsiTheme="majorHAnsi" w:cstheme="majorHAnsi"/>
        </w:rPr>
      </w:pPr>
      <w:r>
        <w:rPr>
          <w:rFonts w:asciiTheme="majorHAnsi" w:hAnsiTheme="majorHAnsi" w:cstheme="majorHAnsi"/>
        </w:rPr>
        <w:t>The costs we have considered are:</w:t>
      </w:r>
    </w:p>
    <w:tbl>
      <w:tblPr>
        <w:tblStyle w:val="TableGrid"/>
        <w:tblW w:w="0" w:type="auto"/>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28" w:type="dxa"/>
          <w:bottom w:w="28" w:type="dxa"/>
        </w:tblCellMar>
        <w:tblLook w:val="04A0" w:firstRow="1" w:lastRow="0" w:firstColumn="1" w:lastColumn="0" w:noHBand="0" w:noVBand="1"/>
      </w:tblPr>
      <w:tblGrid>
        <w:gridCol w:w="2830"/>
        <w:gridCol w:w="4111"/>
        <w:gridCol w:w="2410"/>
      </w:tblGrid>
      <w:tr w:rsidR="00CC3B0F" w14:paraId="1B009540" w14:textId="77777777" w:rsidTr="00C718FC">
        <w:tc>
          <w:tcPr>
            <w:tcW w:w="2830" w:type="dxa"/>
            <w:shd w:val="clear" w:color="auto" w:fill="417A84" w:themeFill="accent5" w:themeFillShade="BF"/>
          </w:tcPr>
          <w:p w14:paraId="217962FA" w14:textId="77777777" w:rsidR="00CC3B0F" w:rsidRPr="00CC3B0F" w:rsidRDefault="00CC3B0F" w:rsidP="00BE7F4C">
            <w:pPr>
              <w:rPr>
                <w:rFonts w:asciiTheme="majorHAnsi" w:hAnsiTheme="majorHAnsi" w:cstheme="majorHAnsi"/>
                <w:color w:val="FFFFFF" w:themeColor="background1"/>
              </w:rPr>
            </w:pPr>
            <w:r>
              <w:rPr>
                <w:rFonts w:asciiTheme="majorHAnsi" w:hAnsiTheme="majorHAnsi" w:cstheme="majorHAnsi"/>
                <w:color w:val="FFFFFF" w:themeColor="background1"/>
              </w:rPr>
              <w:t xml:space="preserve">Cost </w:t>
            </w:r>
            <w:r w:rsidRPr="00CC3B0F">
              <w:rPr>
                <w:rFonts w:asciiTheme="majorHAnsi" w:hAnsiTheme="majorHAnsi" w:cstheme="majorHAnsi"/>
                <w:color w:val="FFFFFF" w:themeColor="background1"/>
              </w:rPr>
              <w:t>type</w:t>
            </w:r>
          </w:p>
        </w:tc>
        <w:tc>
          <w:tcPr>
            <w:tcW w:w="4111" w:type="dxa"/>
            <w:shd w:val="clear" w:color="auto" w:fill="417A84" w:themeFill="accent5" w:themeFillShade="BF"/>
          </w:tcPr>
          <w:p w14:paraId="48D6E1F8" w14:textId="77777777" w:rsidR="00CC3B0F" w:rsidRPr="00CC3B0F" w:rsidRDefault="00CC3B0F" w:rsidP="00BE7F4C">
            <w:pPr>
              <w:rPr>
                <w:rFonts w:asciiTheme="majorHAnsi" w:hAnsiTheme="majorHAnsi" w:cstheme="majorHAnsi"/>
                <w:color w:val="FFFFFF" w:themeColor="background1"/>
              </w:rPr>
            </w:pPr>
            <w:r w:rsidRPr="00CC3B0F">
              <w:rPr>
                <w:rFonts w:asciiTheme="majorHAnsi" w:hAnsiTheme="majorHAnsi" w:cstheme="majorHAnsi"/>
                <w:color w:val="FFFFFF" w:themeColor="background1"/>
              </w:rPr>
              <w:t>Detail</w:t>
            </w:r>
          </w:p>
        </w:tc>
        <w:tc>
          <w:tcPr>
            <w:tcW w:w="2410" w:type="dxa"/>
            <w:shd w:val="clear" w:color="auto" w:fill="417A84" w:themeFill="accent5" w:themeFillShade="BF"/>
          </w:tcPr>
          <w:p w14:paraId="76A7B611" w14:textId="77777777" w:rsidR="00CC3B0F" w:rsidRPr="00CC3B0F" w:rsidRDefault="00CC3B0F" w:rsidP="00BE7F4C">
            <w:pPr>
              <w:rPr>
                <w:rFonts w:asciiTheme="majorHAnsi" w:hAnsiTheme="majorHAnsi" w:cstheme="majorHAnsi"/>
                <w:color w:val="FFFFFF" w:themeColor="background1"/>
              </w:rPr>
            </w:pPr>
            <w:r>
              <w:rPr>
                <w:rFonts w:asciiTheme="majorHAnsi" w:hAnsiTheme="majorHAnsi" w:cstheme="majorHAnsi"/>
                <w:color w:val="FFFFFF" w:themeColor="background1"/>
              </w:rPr>
              <w:t>Cost to who</w:t>
            </w:r>
          </w:p>
        </w:tc>
      </w:tr>
      <w:tr w:rsidR="00CC3B0F" w14:paraId="3B2B8C8A" w14:textId="77777777" w:rsidTr="00C718FC">
        <w:tc>
          <w:tcPr>
            <w:tcW w:w="2830" w:type="dxa"/>
            <w:shd w:val="clear" w:color="auto" w:fill="9BC7CE" w:themeFill="accent5" w:themeFillTint="99"/>
          </w:tcPr>
          <w:p w14:paraId="006A8176" w14:textId="77777777" w:rsidR="00CC3B0F" w:rsidRDefault="00CC3B0F" w:rsidP="00BE7F4C">
            <w:pPr>
              <w:rPr>
                <w:rFonts w:asciiTheme="majorHAnsi" w:hAnsiTheme="majorHAnsi" w:cstheme="majorHAnsi"/>
              </w:rPr>
            </w:pPr>
            <w:r w:rsidRPr="00CF39C8">
              <w:rPr>
                <w:rFonts w:asciiTheme="majorHAnsi" w:hAnsiTheme="majorHAnsi" w:cstheme="majorHAnsi"/>
                <w:b/>
                <w:i/>
              </w:rPr>
              <w:t>Government and compliance costs</w:t>
            </w:r>
          </w:p>
        </w:tc>
        <w:tc>
          <w:tcPr>
            <w:tcW w:w="4111" w:type="dxa"/>
          </w:tcPr>
          <w:p w14:paraId="10F52ABE" w14:textId="77777777" w:rsidR="00CC3B0F" w:rsidRDefault="00CC3B0F" w:rsidP="00BE7F4C">
            <w:pPr>
              <w:rPr>
                <w:rFonts w:asciiTheme="majorHAnsi" w:hAnsiTheme="majorHAnsi" w:cstheme="majorHAnsi"/>
              </w:rPr>
            </w:pPr>
            <w:r w:rsidRPr="00CF39C8">
              <w:rPr>
                <w:rFonts w:asciiTheme="majorHAnsi" w:hAnsiTheme="majorHAnsi" w:cstheme="majorHAnsi"/>
              </w:rPr>
              <w:t xml:space="preserve">This includes setting up a new system internally to interface between </w:t>
            </w:r>
            <w:r w:rsidR="00DD7A77">
              <w:rPr>
                <w:rFonts w:asciiTheme="majorHAnsi" w:hAnsiTheme="majorHAnsi" w:cstheme="majorHAnsi"/>
              </w:rPr>
              <w:t>G</w:t>
            </w:r>
            <w:r w:rsidRPr="00CF39C8">
              <w:rPr>
                <w:rFonts w:asciiTheme="majorHAnsi" w:hAnsiTheme="majorHAnsi" w:cstheme="majorHAnsi"/>
              </w:rPr>
              <w:t>overnment and OEMs</w:t>
            </w:r>
          </w:p>
        </w:tc>
        <w:tc>
          <w:tcPr>
            <w:tcW w:w="2410" w:type="dxa"/>
          </w:tcPr>
          <w:p w14:paraId="28756835" w14:textId="77777777" w:rsidR="00CC3B0F" w:rsidRDefault="00CC3B0F" w:rsidP="00BE7F4C">
            <w:pPr>
              <w:rPr>
                <w:rFonts w:asciiTheme="majorHAnsi" w:hAnsiTheme="majorHAnsi" w:cstheme="majorHAnsi"/>
              </w:rPr>
            </w:pPr>
            <w:r>
              <w:rPr>
                <w:rFonts w:asciiTheme="majorHAnsi" w:hAnsiTheme="majorHAnsi" w:cstheme="majorHAnsi"/>
              </w:rPr>
              <w:t xml:space="preserve">Cost on </w:t>
            </w:r>
            <w:r w:rsidRPr="00CC3B0F">
              <w:rPr>
                <w:rFonts w:asciiTheme="majorHAnsi" w:hAnsiTheme="majorHAnsi" w:cstheme="majorHAnsi"/>
                <w:b/>
              </w:rPr>
              <w:t>suppliers</w:t>
            </w:r>
            <w:r>
              <w:rPr>
                <w:rFonts w:asciiTheme="majorHAnsi" w:hAnsiTheme="majorHAnsi" w:cstheme="majorHAnsi"/>
              </w:rPr>
              <w:t xml:space="preserve"> to comply with the regulatory system.</w:t>
            </w:r>
          </w:p>
        </w:tc>
      </w:tr>
      <w:tr w:rsidR="00CC3B0F" w14:paraId="193FA587" w14:textId="77777777" w:rsidTr="00C718FC">
        <w:tc>
          <w:tcPr>
            <w:tcW w:w="2830" w:type="dxa"/>
            <w:shd w:val="clear" w:color="auto" w:fill="9BC7CE" w:themeFill="accent5" w:themeFillTint="99"/>
          </w:tcPr>
          <w:p w14:paraId="10BB4CB6"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Technology costs</w:t>
            </w:r>
          </w:p>
        </w:tc>
        <w:tc>
          <w:tcPr>
            <w:tcW w:w="4111" w:type="dxa"/>
          </w:tcPr>
          <w:p w14:paraId="7C7A9152"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We assume that equivalent ICE and EVs reach price parity by 2030 (note that this is one of the sensitivity tests that we undertook</w:t>
            </w:r>
            <w:r>
              <w:rPr>
                <w:rFonts w:asciiTheme="majorHAnsi" w:hAnsiTheme="majorHAnsi" w:cstheme="majorHAnsi"/>
              </w:rPr>
              <w:t>.</w:t>
            </w:r>
          </w:p>
        </w:tc>
        <w:tc>
          <w:tcPr>
            <w:tcW w:w="2410" w:type="dxa"/>
          </w:tcPr>
          <w:p w14:paraId="0525E144" w14:textId="77777777" w:rsidR="00CC3B0F" w:rsidRDefault="00CC3B0F" w:rsidP="00BE7F4C">
            <w:pPr>
              <w:rPr>
                <w:rFonts w:asciiTheme="majorHAnsi" w:hAnsiTheme="majorHAnsi" w:cstheme="majorHAnsi"/>
              </w:rPr>
            </w:pPr>
            <w:r w:rsidRPr="00CF39C8">
              <w:rPr>
                <w:rFonts w:asciiTheme="majorHAnsi" w:hAnsiTheme="majorHAnsi" w:cstheme="majorHAnsi"/>
              </w:rPr>
              <w:t xml:space="preserve">The costs to </w:t>
            </w:r>
            <w:r w:rsidRPr="00CC3B0F">
              <w:rPr>
                <w:rFonts w:asciiTheme="majorHAnsi" w:hAnsiTheme="majorHAnsi" w:cstheme="majorHAnsi"/>
                <w:b/>
              </w:rPr>
              <w:t xml:space="preserve">suppliers </w:t>
            </w:r>
            <w:r w:rsidRPr="00CF39C8">
              <w:rPr>
                <w:rFonts w:asciiTheme="majorHAnsi" w:hAnsiTheme="majorHAnsi" w:cstheme="majorHAnsi"/>
              </w:rPr>
              <w:t>to adjust production to bring advanced ICE cars, hybrids and EVs to the Australian market</w:t>
            </w:r>
            <w:r>
              <w:rPr>
                <w:rFonts w:asciiTheme="majorHAnsi" w:hAnsiTheme="majorHAnsi" w:cstheme="majorHAnsi"/>
              </w:rPr>
              <w:t>.</w:t>
            </w:r>
          </w:p>
        </w:tc>
      </w:tr>
      <w:tr w:rsidR="00CC3B0F" w14:paraId="645132A7" w14:textId="77777777" w:rsidTr="00C718FC">
        <w:tc>
          <w:tcPr>
            <w:tcW w:w="2830" w:type="dxa"/>
            <w:shd w:val="clear" w:color="auto" w:fill="9BC7CE" w:themeFill="accent5" w:themeFillTint="99"/>
          </w:tcPr>
          <w:p w14:paraId="39BDEBE2"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Electricity costs</w:t>
            </w:r>
          </w:p>
        </w:tc>
        <w:tc>
          <w:tcPr>
            <w:tcW w:w="4111" w:type="dxa"/>
          </w:tcPr>
          <w:p w14:paraId="460F0DA6"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The costs to charge an EV/plug-in hybrid</w:t>
            </w:r>
            <w:r>
              <w:rPr>
                <w:rFonts w:asciiTheme="majorHAnsi" w:hAnsiTheme="majorHAnsi" w:cstheme="majorHAnsi"/>
              </w:rPr>
              <w:t>.</w:t>
            </w:r>
          </w:p>
        </w:tc>
        <w:tc>
          <w:tcPr>
            <w:tcW w:w="2410" w:type="dxa"/>
          </w:tcPr>
          <w:p w14:paraId="4A8B7D42" w14:textId="77777777" w:rsidR="00CC3B0F" w:rsidRDefault="00CC3B0F" w:rsidP="00BE7F4C">
            <w:pPr>
              <w:rPr>
                <w:rFonts w:asciiTheme="majorHAnsi" w:hAnsiTheme="majorHAnsi" w:cstheme="majorHAnsi"/>
              </w:rPr>
            </w:pPr>
            <w:r>
              <w:rPr>
                <w:rFonts w:asciiTheme="majorHAnsi" w:hAnsiTheme="majorHAnsi" w:cstheme="majorHAnsi"/>
              </w:rPr>
              <w:t>Consumers</w:t>
            </w:r>
          </w:p>
        </w:tc>
      </w:tr>
      <w:tr w:rsidR="00CC3B0F" w14:paraId="1F1802A1" w14:textId="77777777" w:rsidTr="00C718FC">
        <w:tc>
          <w:tcPr>
            <w:tcW w:w="2830" w:type="dxa"/>
            <w:shd w:val="clear" w:color="auto" w:fill="9BC7CE" w:themeFill="accent5" w:themeFillTint="99"/>
          </w:tcPr>
          <w:p w14:paraId="1A111D2B"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Battery replacement</w:t>
            </w:r>
          </w:p>
        </w:tc>
        <w:tc>
          <w:tcPr>
            <w:tcW w:w="4111" w:type="dxa"/>
          </w:tcPr>
          <w:p w14:paraId="1D98AEB3"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 xml:space="preserve">The cost of replacing batteries for EVs. We note current projections </w:t>
            </w:r>
            <w:r w:rsidRPr="00CF39C8">
              <w:t>that contemporary EV battery life may lie between 10-18 years, and that some believe the figure to be 20+ years. The analysis assumes that batteries will require replacement every 12 years, 1½ times the average battery warranty period. Given uncertainties and the rapidly evolving battery technology this may overstate the need and inflate the battery replacement costs in the analysis</w:t>
            </w:r>
          </w:p>
        </w:tc>
        <w:tc>
          <w:tcPr>
            <w:tcW w:w="2410" w:type="dxa"/>
          </w:tcPr>
          <w:p w14:paraId="0572C5B9" w14:textId="77777777" w:rsidR="00CC3B0F" w:rsidRDefault="00CC3B0F" w:rsidP="00BE7F4C">
            <w:pPr>
              <w:rPr>
                <w:rFonts w:asciiTheme="majorHAnsi" w:hAnsiTheme="majorHAnsi" w:cstheme="majorHAnsi"/>
              </w:rPr>
            </w:pPr>
            <w:r>
              <w:rPr>
                <w:rFonts w:asciiTheme="majorHAnsi" w:hAnsiTheme="majorHAnsi" w:cstheme="majorHAnsi"/>
              </w:rPr>
              <w:t xml:space="preserve">Consumers </w:t>
            </w:r>
          </w:p>
        </w:tc>
      </w:tr>
    </w:tbl>
    <w:p w14:paraId="7729ABB5" w14:textId="77777777" w:rsidR="00AF03EE" w:rsidRPr="00F52905" w:rsidRDefault="00AF03EE" w:rsidP="00AF03EE">
      <w:pPr>
        <w:pStyle w:val="Caption"/>
        <w:keepNext/>
        <w:rPr>
          <w:b w:val="0"/>
        </w:rPr>
      </w:pPr>
      <w:bookmarkStart w:id="344" w:name="_Toc161837773"/>
      <w:bookmarkStart w:id="345" w:name="_Toc161933220"/>
      <w:bookmarkStart w:id="346" w:name="_Toc163221120"/>
      <w:r w:rsidRPr="00F52905">
        <w:t xml:space="preserve">Table </w:t>
      </w:r>
      <w:r w:rsidR="00C6227F">
        <w:t>8</w:t>
      </w:r>
      <w:r w:rsidRPr="00F52905">
        <w:t xml:space="preserve"> </w:t>
      </w:r>
      <w:r w:rsidRPr="00F52905">
        <w:rPr>
          <w:b w:val="0"/>
        </w:rPr>
        <w:t xml:space="preserve">– </w:t>
      </w:r>
      <w:r>
        <w:rPr>
          <w:b w:val="0"/>
        </w:rPr>
        <w:t>Key costs</w:t>
      </w:r>
      <w:bookmarkEnd w:id="344"/>
      <w:bookmarkEnd w:id="345"/>
      <w:bookmarkEnd w:id="346"/>
    </w:p>
    <w:p w14:paraId="14AD3B10" w14:textId="77777777" w:rsidR="00A26BD0" w:rsidRPr="00CF39C8" w:rsidRDefault="00A26BD0" w:rsidP="00A26BD0">
      <w:pPr>
        <w:spacing w:after="160" w:line="256" w:lineRule="auto"/>
        <w:rPr>
          <w:rFonts w:asciiTheme="majorHAnsi" w:hAnsiTheme="majorHAnsi" w:cstheme="majorHAnsi"/>
        </w:rPr>
      </w:pPr>
      <w:r w:rsidRPr="00CF39C8">
        <w:rPr>
          <w:rFonts w:asciiTheme="majorHAnsi" w:hAnsiTheme="majorHAnsi" w:cstheme="majorHAnsi"/>
        </w:rPr>
        <w:t>Key assumption</w:t>
      </w:r>
      <w:r w:rsidR="00773CF6" w:rsidRPr="00CF39C8">
        <w:rPr>
          <w:rFonts w:asciiTheme="majorHAnsi" w:hAnsiTheme="majorHAnsi" w:cstheme="majorHAnsi"/>
        </w:rPr>
        <w:t>s</w:t>
      </w:r>
      <w:r w:rsidR="00AA3C98" w:rsidRPr="00CF39C8">
        <w:rPr>
          <w:rFonts w:asciiTheme="majorHAnsi" w:hAnsiTheme="majorHAnsi" w:cstheme="majorHAnsi"/>
        </w:rPr>
        <w:t xml:space="preserve"> </w:t>
      </w:r>
      <w:r w:rsidRPr="00CF39C8">
        <w:rPr>
          <w:rFonts w:asciiTheme="majorHAnsi" w:hAnsiTheme="majorHAnsi" w:cstheme="majorHAnsi"/>
        </w:rPr>
        <w:t xml:space="preserve">used in our </w:t>
      </w:r>
      <w:r w:rsidR="0015781C" w:rsidRPr="00CF39C8">
        <w:rPr>
          <w:rFonts w:asciiTheme="majorHAnsi" w:hAnsiTheme="majorHAnsi" w:cstheme="majorHAnsi"/>
        </w:rPr>
        <w:t xml:space="preserve">analysis </w:t>
      </w:r>
      <w:r w:rsidRPr="00CF39C8">
        <w:rPr>
          <w:rFonts w:asciiTheme="majorHAnsi" w:hAnsiTheme="majorHAnsi" w:cstheme="majorHAnsi"/>
        </w:rPr>
        <w:t>are at Appendix B.</w:t>
      </w:r>
    </w:p>
    <w:p w14:paraId="54BF957A" w14:textId="77777777" w:rsidR="00AF03EE" w:rsidRDefault="00AF03EE" w:rsidP="00A26BD0">
      <w:pPr>
        <w:spacing w:after="160" w:line="256" w:lineRule="auto"/>
        <w:rPr>
          <w:rFonts w:asciiTheme="majorHAnsi" w:hAnsiTheme="majorHAnsi" w:cstheme="majorHAnsi"/>
        </w:rPr>
      </w:pPr>
    </w:p>
    <w:p w14:paraId="54D639CB" w14:textId="77777777" w:rsidR="00C718FC" w:rsidRDefault="00C718FC" w:rsidP="00A26BD0">
      <w:pPr>
        <w:spacing w:after="160" w:line="256" w:lineRule="auto"/>
        <w:rPr>
          <w:rFonts w:asciiTheme="majorHAnsi" w:hAnsiTheme="majorHAnsi" w:cstheme="majorHAnsi"/>
        </w:rPr>
        <w:sectPr w:rsidR="00C718FC" w:rsidSect="00C718FC">
          <w:pgSz w:w="11906" w:h="16838" w:code="9"/>
          <w:pgMar w:top="1021" w:right="1134" w:bottom="709" w:left="1276" w:header="510" w:footer="567" w:gutter="0"/>
          <w:cols w:space="708"/>
          <w:docGrid w:linePitch="360"/>
        </w:sectPr>
      </w:pPr>
    </w:p>
    <w:p w14:paraId="3973FDBC" w14:textId="77777777" w:rsidR="00B62631" w:rsidRPr="00CF39C8" w:rsidRDefault="00DC48C3" w:rsidP="00430317">
      <w:pPr>
        <w:pStyle w:val="Heading3"/>
        <w:numPr>
          <w:ilvl w:val="2"/>
          <w:numId w:val="72"/>
        </w:numPr>
        <w:rPr>
          <w:rFonts w:cstheme="majorHAnsi"/>
        </w:rPr>
      </w:pPr>
      <w:bookmarkStart w:id="347" w:name="_Toc161837668"/>
      <w:bookmarkStart w:id="348" w:name="_Toc161933165"/>
      <w:bookmarkStart w:id="349" w:name="_Toc162276472"/>
      <w:bookmarkStart w:id="350" w:name="_Toc163221068"/>
      <w:r>
        <w:rPr>
          <w:rFonts w:cstheme="majorHAnsi"/>
        </w:rPr>
        <w:t>Option A</w:t>
      </w:r>
      <w:r w:rsidR="00251A7E" w:rsidRPr="00CF39C8">
        <w:rPr>
          <w:rFonts w:cstheme="majorHAnsi"/>
        </w:rPr>
        <w:t xml:space="preserve"> – slow start</w:t>
      </w:r>
      <w:bookmarkEnd w:id="347"/>
      <w:bookmarkEnd w:id="348"/>
      <w:bookmarkEnd w:id="349"/>
      <w:bookmarkEnd w:id="350"/>
    </w:p>
    <w:p w14:paraId="31D9D8BC" w14:textId="77777777" w:rsidR="00904773" w:rsidRPr="00CF39C8" w:rsidRDefault="00C559D1" w:rsidP="00A26BD0">
      <w:pPr>
        <w:rPr>
          <w:i/>
        </w:rPr>
      </w:pPr>
      <w:r w:rsidRPr="00CF39C8">
        <w:t>This option p</w:t>
      </w:r>
      <w:r w:rsidR="00A26BD0" w:rsidRPr="00CF39C8">
        <w:t>rovide</w:t>
      </w:r>
      <w:r w:rsidRPr="00CF39C8">
        <w:t>d</w:t>
      </w:r>
      <w:r w:rsidR="00A26BD0" w:rsidRPr="00CF39C8">
        <w:t xml:space="preserve"> the slowest start</w:t>
      </w:r>
      <w:r w:rsidR="00251A7E" w:rsidRPr="00CF39C8">
        <w:t xml:space="preserve">, </w:t>
      </w:r>
      <w:r w:rsidRPr="00CF39C8">
        <w:t xml:space="preserve">and did not </w:t>
      </w:r>
      <w:r w:rsidR="00251A7E" w:rsidRPr="00CF39C8">
        <w:t>seek to catch up to other jurisdictions but look</w:t>
      </w:r>
      <w:r w:rsidRPr="00CF39C8">
        <w:t>ed</w:t>
      </w:r>
      <w:r w:rsidR="00251A7E" w:rsidRPr="00CF39C8">
        <w:t xml:space="preserve"> to keep pace. This cause</w:t>
      </w:r>
      <w:r w:rsidRPr="00CF39C8">
        <w:t>d</w:t>
      </w:r>
      <w:r w:rsidR="00251A7E" w:rsidRPr="00CF39C8">
        <w:t xml:space="preserve"> the</w:t>
      </w:r>
      <w:r w:rsidR="00A26BD0" w:rsidRPr="00CF39C8">
        <w:t xml:space="preserve"> least disruption</w:t>
      </w:r>
      <w:r w:rsidR="00251A7E" w:rsidRPr="00CF39C8">
        <w:t xml:space="preserve"> of all the options</w:t>
      </w:r>
      <w:r w:rsidR="00A26BD0" w:rsidRPr="00CF39C8">
        <w:t xml:space="preserve">, </w:t>
      </w:r>
      <w:r w:rsidR="00251A7E" w:rsidRPr="00CF39C8">
        <w:t>with</w:t>
      </w:r>
      <w:r w:rsidR="00A26BD0" w:rsidRPr="00CF39C8">
        <w:t xml:space="preserve"> the</w:t>
      </w:r>
      <w:r w:rsidR="00251A7E" w:rsidRPr="00CF39C8">
        <w:t xml:space="preserve"> lowest</w:t>
      </w:r>
      <w:r w:rsidR="00A26BD0" w:rsidRPr="00CF39C8">
        <w:t xml:space="preserve"> benefits and </w:t>
      </w:r>
      <w:r w:rsidR="00251A7E" w:rsidRPr="00CF39C8">
        <w:t xml:space="preserve">also the lowest </w:t>
      </w:r>
      <w:r w:rsidR="00A26BD0" w:rsidRPr="00CF39C8">
        <w:t xml:space="preserve">costs. </w:t>
      </w:r>
      <w:r w:rsidR="00A0228B" w:rsidRPr="00CF39C8">
        <w:t>This option</w:t>
      </w:r>
      <w:r w:rsidR="00FD5CF4" w:rsidRPr="00CF39C8">
        <w:t xml:space="preserve"> </w:t>
      </w:r>
      <w:r w:rsidRPr="00CF39C8">
        <w:t xml:space="preserve">would </w:t>
      </w:r>
      <w:r w:rsidR="007150AB" w:rsidRPr="00CF39C8">
        <w:t>generate</w:t>
      </w:r>
      <w:r w:rsidR="00FD5CF4" w:rsidRPr="00CF39C8">
        <w:t xml:space="preserve"> negligible abatement</w:t>
      </w:r>
      <w:r w:rsidR="009E38EB" w:rsidRPr="00CF39C8">
        <w:t xml:space="preserve"> and d</w:t>
      </w:r>
      <w:r w:rsidRPr="00CF39C8">
        <w:t>id</w:t>
      </w:r>
      <w:r w:rsidR="009E38EB" w:rsidRPr="00CF39C8">
        <w:t xml:space="preserve"> not support achievement of the </w:t>
      </w:r>
      <w:r w:rsidR="00997B3D" w:rsidRPr="00CF39C8">
        <w:t>G</w:t>
      </w:r>
      <w:r w:rsidR="009E38EB" w:rsidRPr="00CF39C8">
        <w:t>overnment’s legislated 2030 emissions reduction targets</w:t>
      </w:r>
      <w:r w:rsidR="00FD5CF4" w:rsidRPr="00CF39C8">
        <w:t>.</w:t>
      </w:r>
      <w:r w:rsidR="00904773" w:rsidRPr="00CF39C8">
        <w:rPr>
          <w:rStyle w:val="FootnoteReference"/>
        </w:rPr>
        <w:footnoteReference w:id="24"/>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A"/>
      </w:tblPr>
      <w:tblGrid>
        <w:gridCol w:w="3114"/>
        <w:gridCol w:w="1984"/>
        <w:gridCol w:w="3261"/>
        <w:gridCol w:w="1417"/>
      </w:tblGrid>
      <w:tr w:rsidR="00A26BD0" w:rsidRPr="00CF39C8" w14:paraId="2D5D790C"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vAlign w:val="center"/>
          </w:tcPr>
          <w:p w14:paraId="0D5C6A0F" w14:textId="77777777" w:rsidR="00A26BD0" w:rsidRPr="00CF39C8" w:rsidRDefault="00A26BD0" w:rsidP="00DE62A5">
            <w:pPr>
              <w:spacing w:before="80" w:after="120"/>
              <w:rPr>
                <w:rFonts w:cstheme="minorHAnsi"/>
                <w:i/>
                <w:color w:val="808080" w:themeColor="background1" w:themeShade="80"/>
                <w:highlight w:val="yellow"/>
              </w:rPr>
            </w:pPr>
            <w:bookmarkStart w:id="351" w:name="_Hlk156135179"/>
            <w:r w:rsidRPr="00CF39C8">
              <w:rPr>
                <w:rFonts w:cstheme="minorHAnsi"/>
                <w:color w:val="FFFFFF" w:themeColor="background1"/>
                <w:sz w:val="24"/>
                <w:szCs w:val="32"/>
              </w:rPr>
              <w:t>Impacts (AUD billions) Net Present Value Discount Rate 7% - 2025 to 2050</w:t>
            </w:r>
          </w:p>
        </w:tc>
      </w:tr>
      <w:tr w:rsidR="00A26BD0" w:rsidRPr="00CF39C8" w14:paraId="6D15E761" w14:textId="77777777" w:rsidTr="00204D16">
        <w:trPr>
          <w:trHeight w:val="293"/>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75F992A7" w14:textId="77777777" w:rsidR="00A26BD0" w:rsidRPr="00CF39C8" w:rsidRDefault="00A26BD0" w:rsidP="000C65BE">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027C13F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 billion)</w:t>
            </w:r>
            <w:r w:rsidRPr="00CF39C8">
              <w:rPr>
                <w:rFonts w:cstheme="minorHAnsi"/>
                <w:b/>
                <w:bCs/>
              </w:rPr>
              <w:t>:</w:t>
            </w:r>
          </w:p>
        </w:tc>
      </w:tr>
      <w:tr w:rsidR="00A26BD0" w:rsidRPr="00CF39C8" w14:paraId="4BEA8CB3"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7C5A647B" w14:textId="77777777" w:rsidR="00A26BD0" w:rsidRPr="00CF39C8" w:rsidRDefault="00A26BD0" w:rsidP="000C65BE">
            <w:pPr>
              <w:spacing w:before="80"/>
              <w:ind w:left="29"/>
              <w:rPr>
                <w:rFonts w:cstheme="minorHAnsi"/>
                <w:b w:val="0"/>
                <w:bCs w:val="0"/>
                <w:color w:val="000000"/>
              </w:rPr>
            </w:pPr>
            <w:r w:rsidRPr="00CF39C8">
              <w:rPr>
                <w:rFonts w:cstheme="minorHAnsi"/>
                <w:b w:val="0"/>
                <w:bCs w:val="0"/>
                <w:color w:val="000000"/>
              </w:rPr>
              <w:t>Fuel savings</w:t>
            </w:r>
          </w:p>
        </w:tc>
        <w:tc>
          <w:tcPr>
            <w:tcW w:w="1984" w:type="dxa"/>
            <w:shd w:val="clear" w:color="auto" w:fill="BFEDC1"/>
            <w:vAlign w:val="center"/>
          </w:tcPr>
          <w:p w14:paraId="32CDB759"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FD5CF4" w:rsidRPr="00CF39C8">
              <w:rPr>
                <w:rFonts w:cstheme="minorHAnsi"/>
                <w:color w:val="000000"/>
              </w:rPr>
              <w:t>.</w:t>
            </w:r>
            <w:r w:rsidR="006E0315" w:rsidRPr="00CF39C8">
              <w:rPr>
                <w:rFonts w:cstheme="minorHAnsi"/>
                <w:color w:val="000000"/>
              </w:rPr>
              <w:t>5</w:t>
            </w:r>
            <w:r w:rsidR="00241374" w:rsidRPr="00CF39C8">
              <w:rPr>
                <w:rFonts w:cstheme="minorHAnsi"/>
                <w:color w:val="000000"/>
              </w:rPr>
              <w:t>0</w:t>
            </w:r>
          </w:p>
        </w:tc>
        <w:tc>
          <w:tcPr>
            <w:tcW w:w="3261" w:type="dxa"/>
            <w:shd w:val="clear" w:color="auto" w:fill="FBE6B1"/>
            <w:vAlign w:val="center"/>
          </w:tcPr>
          <w:p w14:paraId="18FFA421" w14:textId="77777777" w:rsidR="00A26BD0" w:rsidRPr="00CF39C8" w:rsidRDefault="00A26BD0" w:rsidP="000C65BE">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Government and Compliance</w:t>
            </w:r>
          </w:p>
        </w:tc>
        <w:tc>
          <w:tcPr>
            <w:tcW w:w="1417" w:type="dxa"/>
            <w:shd w:val="clear" w:color="auto" w:fill="FBE6B1"/>
            <w:vAlign w:val="center"/>
          </w:tcPr>
          <w:p w14:paraId="224854D1"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FD5CF4" w:rsidRPr="00CF39C8">
              <w:rPr>
                <w:rFonts w:cstheme="minorHAnsi"/>
                <w:color w:val="000000"/>
              </w:rPr>
              <w:t>0.21</w:t>
            </w:r>
          </w:p>
        </w:tc>
      </w:tr>
      <w:tr w:rsidR="00A26BD0" w:rsidRPr="00CF39C8" w14:paraId="61217C76"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0248067"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 xml:space="preserve">Reduced vehicle maintenance </w:t>
            </w:r>
          </w:p>
        </w:tc>
        <w:tc>
          <w:tcPr>
            <w:tcW w:w="1984" w:type="dxa"/>
            <w:shd w:val="clear" w:color="auto" w:fill="BFEDC1"/>
            <w:vAlign w:val="center"/>
          </w:tcPr>
          <w:p w14:paraId="135EACF0"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w:t>
            </w:r>
            <w:r w:rsidR="00EB5B70">
              <w:rPr>
                <w:rFonts w:cstheme="minorHAnsi"/>
                <w:color w:val="000000"/>
              </w:rPr>
              <w:t>0</w:t>
            </w:r>
            <w:r w:rsidRPr="00CF39C8">
              <w:rPr>
                <w:rFonts w:cstheme="minorHAnsi"/>
                <w:color w:val="000000"/>
              </w:rPr>
              <w:t>1</w:t>
            </w:r>
          </w:p>
        </w:tc>
        <w:tc>
          <w:tcPr>
            <w:tcW w:w="3261" w:type="dxa"/>
            <w:shd w:val="clear" w:color="auto" w:fill="FBE6B1"/>
            <w:vAlign w:val="center"/>
          </w:tcPr>
          <w:p w14:paraId="321D2B89"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Vehicle Technology Costs</w:t>
            </w:r>
            <w:r w:rsidRPr="00CF39C8" w:rsidDel="00A55B5C">
              <w:rPr>
                <w:rFonts w:cstheme="minorHAnsi"/>
                <w:color w:val="000000"/>
              </w:rPr>
              <w:t xml:space="preserve"> </w:t>
            </w:r>
          </w:p>
        </w:tc>
        <w:tc>
          <w:tcPr>
            <w:tcW w:w="1417" w:type="dxa"/>
            <w:shd w:val="clear" w:color="auto" w:fill="FBE6B1"/>
            <w:vAlign w:val="center"/>
          </w:tcPr>
          <w:p w14:paraId="241BFF65"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FD5CF4" w:rsidRPr="00CF39C8">
              <w:rPr>
                <w:rFonts w:cstheme="minorHAnsi"/>
                <w:color w:val="000000"/>
              </w:rPr>
              <w:t>.1</w:t>
            </w:r>
            <w:r w:rsidR="00241374" w:rsidRPr="00CF39C8">
              <w:rPr>
                <w:rFonts w:cstheme="minorHAnsi"/>
                <w:color w:val="000000"/>
              </w:rPr>
              <w:t>9</w:t>
            </w:r>
          </w:p>
        </w:tc>
      </w:tr>
      <w:tr w:rsidR="00A26BD0" w:rsidRPr="00CF39C8" w14:paraId="16224CB4" w14:textId="77777777" w:rsidTr="00F31AD0">
        <w:trPr>
          <w:trHeight w:val="302"/>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CB0B29A"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1984" w:type="dxa"/>
            <w:shd w:val="clear" w:color="auto" w:fill="BFEDC1"/>
            <w:vAlign w:val="center"/>
          </w:tcPr>
          <w:p w14:paraId="01C0A1D4"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$0.02</w:t>
            </w:r>
          </w:p>
        </w:tc>
        <w:tc>
          <w:tcPr>
            <w:tcW w:w="3261" w:type="dxa"/>
            <w:shd w:val="clear" w:color="auto" w:fill="FBE6B1"/>
            <w:vAlign w:val="center"/>
          </w:tcPr>
          <w:p w14:paraId="560CFA5C"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4AED8C0B" w14:textId="77777777" w:rsidR="00A26BD0" w:rsidRPr="00CF39C8" w:rsidRDefault="00432811"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$0.004</w:t>
            </w:r>
          </w:p>
        </w:tc>
      </w:tr>
      <w:tr w:rsidR="00A26BD0" w:rsidRPr="00CF39C8" w14:paraId="375F5706"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3CE54C8A"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GHG emissions</w:t>
            </w:r>
            <w:r w:rsidRPr="00CF39C8" w:rsidDel="00551C78">
              <w:rPr>
                <w:rFonts w:cstheme="minorHAnsi"/>
                <w:b w:val="0"/>
                <w:bCs w:val="0"/>
                <w:color w:val="000000"/>
              </w:rPr>
              <w:t xml:space="preserve"> </w:t>
            </w:r>
          </w:p>
        </w:tc>
        <w:tc>
          <w:tcPr>
            <w:tcW w:w="1984" w:type="dxa"/>
            <w:shd w:val="clear" w:color="auto" w:fill="BFEDC1"/>
            <w:vAlign w:val="center"/>
          </w:tcPr>
          <w:p w14:paraId="43B617FC"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$0.05</w:t>
            </w:r>
          </w:p>
        </w:tc>
        <w:tc>
          <w:tcPr>
            <w:tcW w:w="3261" w:type="dxa"/>
            <w:shd w:val="clear" w:color="auto" w:fill="FBE6B1"/>
            <w:vAlign w:val="center"/>
          </w:tcPr>
          <w:p w14:paraId="3BC2EDD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402A71DF"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9E38EB" w:rsidRPr="00CF39C8">
              <w:rPr>
                <w:rFonts w:cstheme="minorHAnsi"/>
                <w:color w:val="000000"/>
              </w:rPr>
              <w:t>.</w:t>
            </w:r>
            <w:r w:rsidR="006E0315" w:rsidRPr="00CF39C8">
              <w:rPr>
                <w:rFonts w:cstheme="minorHAnsi"/>
                <w:color w:val="000000"/>
              </w:rPr>
              <w:t>0</w:t>
            </w:r>
            <w:r w:rsidR="00DC5AC7" w:rsidRPr="00CF39C8">
              <w:rPr>
                <w:rFonts w:cstheme="minorHAnsi"/>
                <w:color w:val="000000"/>
              </w:rPr>
              <w:t>0</w:t>
            </w:r>
          </w:p>
        </w:tc>
      </w:tr>
      <w:tr w:rsidR="00A26BD0" w:rsidRPr="00CF39C8" w14:paraId="2072DC5F"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F9A40F1" w14:textId="77777777" w:rsidR="00A26BD0" w:rsidRPr="00CF39C8" w:rsidRDefault="00A26BD0" w:rsidP="000C65BE">
            <w:pPr>
              <w:spacing w:before="80"/>
              <w:ind w:left="29"/>
              <w:rPr>
                <w:rFonts w:cstheme="minorHAnsi"/>
              </w:rPr>
            </w:pPr>
            <w:r w:rsidRPr="00CF39C8">
              <w:rPr>
                <w:rFonts w:cstheme="minorHAnsi"/>
              </w:rPr>
              <w:t>Total benefits</w:t>
            </w:r>
          </w:p>
        </w:tc>
        <w:tc>
          <w:tcPr>
            <w:tcW w:w="1984" w:type="dxa"/>
            <w:shd w:val="clear" w:color="auto" w:fill="BFEDC1"/>
            <w:vAlign w:val="center"/>
          </w:tcPr>
          <w:p w14:paraId="3BBA4D7F"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w:t>
            </w:r>
            <w:r w:rsidR="006E0315" w:rsidRPr="00CF39C8">
              <w:rPr>
                <w:rFonts w:cstheme="minorHAnsi"/>
                <w:b/>
                <w:bCs/>
              </w:rPr>
              <w:t>0</w:t>
            </w:r>
            <w:r w:rsidR="00FD5CF4" w:rsidRPr="00CF39C8">
              <w:rPr>
                <w:rFonts w:cstheme="minorHAnsi"/>
                <w:b/>
                <w:bCs/>
              </w:rPr>
              <w:t>.</w:t>
            </w:r>
            <w:r w:rsidR="00241374" w:rsidRPr="00CF39C8">
              <w:rPr>
                <w:rFonts w:cstheme="minorHAnsi"/>
                <w:b/>
                <w:bCs/>
              </w:rPr>
              <w:t>58</w:t>
            </w:r>
          </w:p>
        </w:tc>
        <w:tc>
          <w:tcPr>
            <w:tcW w:w="3261" w:type="dxa"/>
            <w:shd w:val="clear" w:color="auto" w:fill="FBE6B1"/>
            <w:vAlign w:val="center"/>
          </w:tcPr>
          <w:p w14:paraId="753BC2D9" w14:textId="77777777" w:rsidR="00A26BD0" w:rsidRPr="00CF39C8" w:rsidRDefault="00A26BD0" w:rsidP="000C65BE">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10AEE423"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w:t>
            </w:r>
            <w:r w:rsidR="006E0315" w:rsidRPr="00CF39C8">
              <w:rPr>
                <w:rFonts w:cstheme="minorHAnsi"/>
                <w:b/>
                <w:color w:val="000000"/>
              </w:rPr>
              <w:t>0</w:t>
            </w:r>
            <w:r w:rsidR="009E38EB" w:rsidRPr="00CF39C8">
              <w:rPr>
                <w:rFonts w:cstheme="minorHAnsi"/>
                <w:b/>
                <w:color w:val="000000"/>
              </w:rPr>
              <w:t>.</w:t>
            </w:r>
            <w:r w:rsidR="006E0315" w:rsidRPr="00CF39C8">
              <w:rPr>
                <w:rFonts w:cstheme="minorHAnsi"/>
                <w:b/>
                <w:color w:val="000000"/>
              </w:rPr>
              <w:t>4</w:t>
            </w:r>
            <w:r w:rsidR="00241374" w:rsidRPr="00CF39C8">
              <w:rPr>
                <w:rFonts w:cstheme="minorHAnsi"/>
                <w:b/>
                <w:color w:val="000000"/>
              </w:rPr>
              <w:t>1</w:t>
            </w:r>
          </w:p>
        </w:tc>
      </w:tr>
      <w:tr w:rsidR="00A26BD0" w:rsidRPr="00CF39C8" w14:paraId="19E11EA7"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717CF131"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Net benefits:</w:t>
            </w:r>
          </w:p>
        </w:tc>
        <w:tc>
          <w:tcPr>
            <w:tcW w:w="6662" w:type="dxa"/>
            <w:gridSpan w:val="3"/>
            <w:shd w:val="clear" w:color="auto" w:fill="417A84" w:themeFill="accent5" w:themeFillShade="BF"/>
          </w:tcPr>
          <w:p w14:paraId="613DC5FB" w14:textId="77777777" w:rsidR="00A26BD0" w:rsidRPr="00CF39C8" w:rsidRDefault="00A26BD0" w:rsidP="000C65BE">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6E0315" w:rsidRPr="00CF39C8">
              <w:rPr>
                <w:rFonts w:cstheme="minorHAnsi"/>
                <w:b/>
                <w:color w:val="FFFFFF" w:themeColor="background1"/>
              </w:rPr>
              <w:t>0</w:t>
            </w:r>
            <w:r w:rsidR="009E38EB" w:rsidRPr="00CF39C8">
              <w:rPr>
                <w:rFonts w:cstheme="minorHAnsi"/>
                <w:b/>
                <w:color w:val="FFFFFF" w:themeColor="background1"/>
              </w:rPr>
              <w:t>.</w:t>
            </w:r>
            <w:r w:rsidR="006E0315" w:rsidRPr="00CF39C8">
              <w:rPr>
                <w:rFonts w:cstheme="minorHAnsi"/>
                <w:b/>
                <w:color w:val="FFFFFF" w:themeColor="background1"/>
              </w:rPr>
              <w:t>1</w:t>
            </w:r>
            <w:r w:rsidR="00241374" w:rsidRPr="00CF39C8">
              <w:rPr>
                <w:rFonts w:cstheme="minorHAnsi"/>
                <w:b/>
                <w:color w:val="FFFFFF" w:themeColor="background1"/>
              </w:rPr>
              <w:t>7</w:t>
            </w:r>
            <w:r w:rsidR="00656DE9" w:rsidRPr="00CF39C8">
              <w:rPr>
                <w:rFonts w:cstheme="minorHAnsi"/>
                <w:b/>
                <w:color w:val="FFFFFF" w:themeColor="background1"/>
              </w:rPr>
              <w:t xml:space="preserve"> billion</w:t>
            </w:r>
          </w:p>
        </w:tc>
      </w:tr>
      <w:tr w:rsidR="00A26BD0" w:rsidRPr="00CF39C8" w14:paraId="6ECFB106"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6C61B8CB"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Benefit cost ratio:</w:t>
            </w:r>
          </w:p>
        </w:tc>
        <w:tc>
          <w:tcPr>
            <w:tcW w:w="6662" w:type="dxa"/>
            <w:gridSpan w:val="3"/>
            <w:shd w:val="clear" w:color="auto" w:fill="417A84" w:themeFill="accent5" w:themeFillShade="BF"/>
          </w:tcPr>
          <w:p w14:paraId="7BFB3290" w14:textId="77777777" w:rsidR="00A26BD0" w:rsidRPr="00CF39C8" w:rsidRDefault="00D50BAD"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1</w:t>
            </w:r>
            <w:r w:rsidR="009E38EB" w:rsidRPr="00CF39C8">
              <w:rPr>
                <w:rFonts w:cstheme="minorHAnsi"/>
                <w:b/>
                <w:color w:val="FFFFFF" w:themeColor="background1"/>
              </w:rPr>
              <w:t>.</w:t>
            </w:r>
            <w:r w:rsidR="00241374" w:rsidRPr="00CF39C8">
              <w:rPr>
                <w:rFonts w:cstheme="minorHAnsi"/>
                <w:b/>
                <w:color w:val="FFFFFF" w:themeColor="background1"/>
              </w:rPr>
              <w:t>42</w:t>
            </w:r>
          </w:p>
        </w:tc>
      </w:tr>
    </w:tbl>
    <w:p w14:paraId="30C736FB" w14:textId="77777777" w:rsidR="00EA0106" w:rsidRDefault="002B3A11" w:rsidP="00EA0106">
      <w:pPr>
        <w:pStyle w:val="Caption"/>
        <w:rPr>
          <w:b w:val="0"/>
        </w:rPr>
      </w:pPr>
      <w:bookmarkStart w:id="352" w:name="_Toc161837774"/>
      <w:bookmarkStart w:id="353" w:name="_Toc161933221"/>
      <w:bookmarkStart w:id="354" w:name="_Toc163221121"/>
      <w:bookmarkEnd w:id="351"/>
      <w:r w:rsidRPr="00CF39C8">
        <w:t xml:space="preserve">Table </w:t>
      </w:r>
      <w:r w:rsidR="00C6227F">
        <w:t>9</w:t>
      </w:r>
      <w:r w:rsidR="00033892" w:rsidRPr="00CF39C8">
        <w:t xml:space="preserve"> </w:t>
      </w:r>
      <w:r w:rsidRPr="00CF39C8">
        <w:t xml:space="preserve">– </w:t>
      </w:r>
      <w:r w:rsidR="000A1476" w:rsidRPr="00CF39C8">
        <w:rPr>
          <w:b w:val="0"/>
        </w:rPr>
        <w:t xml:space="preserve">Benefits and costs of </w:t>
      </w:r>
      <w:r w:rsidR="00DC48C3">
        <w:rPr>
          <w:b w:val="0"/>
        </w:rPr>
        <w:t>Option A</w:t>
      </w:r>
      <w:bookmarkStart w:id="355" w:name="_Toc155268007"/>
      <w:bookmarkEnd w:id="352"/>
      <w:bookmarkEnd w:id="353"/>
      <w:bookmarkEnd w:id="354"/>
    </w:p>
    <w:p w14:paraId="65950224" w14:textId="77777777" w:rsidR="00773CF6" w:rsidRPr="00CF39C8" w:rsidRDefault="00C12BE2" w:rsidP="00430317">
      <w:pPr>
        <w:pStyle w:val="Heading3"/>
        <w:numPr>
          <w:ilvl w:val="2"/>
          <w:numId w:val="72"/>
        </w:numPr>
        <w:rPr>
          <w:rFonts w:cstheme="majorHAnsi"/>
        </w:rPr>
      </w:pPr>
      <w:bookmarkStart w:id="356" w:name="_Toc161837669"/>
      <w:bookmarkStart w:id="357" w:name="_Toc161933166"/>
      <w:bookmarkStart w:id="358" w:name="_Toc162276473"/>
      <w:bookmarkStart w:id="359" w:name="_Toc163221069"/>
      <w:r>
        <w:rPr>
          <w:rFonts w:cstheme="majorHAnsi"/>
        </w:rPr>
        <w:t>Option B</w:t>
      </w:r>
      <w:r w:rsidR="00773CF6" w:rsidRPr="00CF39C8">
        <w:rPr>
          <w:rFonts w:cstheme="majorHAnsi"/>
        </w:rPr>
        <w:t xml:space="preserve"> – fast but flexible</w:t>
      </w:r>
      <w:bookmarkEnd w:id="355"/>
      <w:bookmarkEnd w:id="356"/>
      <w:bookmarkEnd w:id="357"/>
      <w:bookmarkEnd w:id="358"/>
      <w:bookmarkEnd w:id="359"/>
    </w:p>
    <w:p w14:paraId="207FF972" w14:textId="77777777" w:rsidR="00063AC5" w:rsidRPr="00CF39C8" w:rsidRDefault="00A26BD0" w:rsidP="00A26BD0">
      <w:r w:rsidRPr="00CF39C8">
        <w:t>Provide</w:t>
      </w:r>
      <w:r w:rsidR="00C559D1" w:rsidRPr="00CF39C8">
        <w:t>d</w:t>
      </w:r>
      <w:r w:rsidRPr="00CF39C8">
        <w:t xml:space="preserve"> a </w:t>
      </w:r>
      <w:r w:rsidR="00251A7E" w:rsidRPr="00CF39C8">
        <w:t>strong, ambitious and achievable policy.</w:t>
      </w:r>
      <w:r w:rsidR="007651FD" w:rsidRPr="00CF39C8">
        <w:t xml:space="preserve"> The </w:t>
      </w:r>
      <w:r w:rsidR="00C559D1" w:rsidRPr="00CF39C8">
        <w:t xml:space="preserve">proposed </w:t>
      </w:r>
      <w:r w:rsidR="007651FD" w:rsidRPr="00CF39C8">
        <w:t>policy settings provide</w:t>
      </w:r>
      <w:r w:rsidR="00C559D1" w:rsidRPr="00CF39C8">
        <w:t>d</w:t>
      </w:r>
      <w:r w:rsidR="007651FD" w:rsidRPr="00CF39C8">
        <w:t xml:space="preserve"> enough flexibility to avoid extremely high costs, with an opportunity for suppliers to inves</w:t>
      </w:r>
      <w:r w:rsidR="00845194" w:rsidRPr="00CF39C8">
        <w:t>t</w:t>
      </w:r>
      <w:r w:rsidR="007651FD" w:rsidRPr="00CF39C8">
        <w:t xml:space="preserve"> to support the transition</w:t>
      </w:r>
      <w:r w:rsidR="00C74C1C" w:rsidRPr="00CF39C8">
        <w:t>, and deliver</w:t>
      </w:r>
      <w:r w:rsidR="00C559D1" w:rsidRPr="00CF39C8">
        <w:t>ed</w:t>
      </w:r>
      <w:r w:rsidR="00C74C1C" w:rsidRPr="00CF39C8">
        <w:t xml:space="preserve"> considerable abatement and fuel cost savings to Australians</w:t>
      </w:r>
      <w:r w:rsidR="007651FD" w:rsidRPr="00CF39C8">
        <w:t xml:space="preserve">. </w:t>
      </w:r>
      <w:r w:rsidR="00C74C1C" w:rsidRPr="00CF39C8">
        <w:t>By omitting technology credits (super</w:t>
      </w:r>
      <w:r w:rsidR="00A46F81" w:rsidRPr="00CF39C8">
        <w:t>-</w:t>
      </w:r>
      <w:r w:rsidR="00C74C1C" w:rsidRPr="00CF39C8">
        <w:t>credits and off</w:t>
      </w:r>
      <w:r w:rsidR="00A46F81" w:rsidRPr="00CF39C8">
        <w:t>-</w:t>
      </w:r>
      <w:r w:rsidR="00C74C1C" w:rsidRPr="00CF39C8">
        <w:t>cycle credits), this option reduce</w:t>
      </w:r>
      <w:r w:rsidR="00C559D1" w:rsidRPr="00CF39C8">
        <w:t>d</w:t>
      </w:r>
      <w:r w:rsidR="00C74C1C" w:rsidRPr="00CF39C8">
        <w:t xml:space="preserve"> the risk of the </w:t>
      </w:r>
      <w:r w:rsidR="006D4EF3" w:rsidRPr="00CF39C8">
        <w:rPr>
          <w:rFonts w:asciiTheme="majorHAnsi" w:hAnsiTheme="majorHAnsi" w:cstheme="majorHAnsi"/>
        </w:rPr>
        <w:t>NVES</w:t>
      </w:r>
      <w:r w:rsidR="00C74C1C" w:rsidRPr="00CF39C8">
        <w:t xml:space="preserve"> not meeting it emissions reduction or fuel cost saving targets, and reduce</w:t>
      </w:r>
      <w:r w:rsidR="00C559D1" w:rsidRPr="00CF39C8">
        <w:t>d</w:t>
      </w:r>
      <w:r w:rsidR="00C74C1C" w:rsidRPr="00CF39C8">
        <w:t xml:space="preserve"> administrative costs. </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B"/>
      </w:tblPr>
      <w:tblGrid>
        <w:gridCol w:w="2972"/>
        <w:gridCol w:w="2126"/>
        <w:gridCol w:w="3261"/>
        <w:gridCol w:w="1417"/>
      </w:tblGrid>
      <w:tr w:rsidR="00A26BD0" w:rsidRPr="00CF39C8" w14:paraId="2756619F"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tcPr>
          <w:p w14:paraId="68914023" w14:textId="77777777" w:rsidR="00A26BD0" w:rsidRPr="00CF39C8" w:rsidRDefault="00A26BD0" w:rsidP="000C65BE">
            <w:pPr>
              <w:spacing w:before="80"/>
              <w:rPr>
                <w:rFonts w:cstheme="minorHAnsi"/>
                <w:i/>
                <w:color w:val="808080" w:themeColor="background1" w:themeShade="80"/>
                <w:highlight w:val="yellow"/>
              </w:rPr>
            </w:pPr>
            <w:bookmarkStart w:id="360" w:name="_Hlk156135238"/>
            <w:r w:rsidRPr="00CF39C8">
              <w:rPr>
                <w:rFonts w:cstheme="minorHAnsi"/>
                <w:color w:val="FFFFFF" w:themeColor="background1"/>
                <w:sz w:val="24"/>
                <w:szCs w:val="32"/>
              </w:rPr>
              <w:t>Impacts (AUD billions) Net Present Value Discount Rate 7% - 2025 to 2050</w:t>
            </w:r>
          </w:p>
        </w:tc>
      </w:tr>
      <w:tr w:rsidR="00A26BD0" w:rsidRPr="00CF39C8" w14:paraId="4427CEE9" w14:textId="77777777" w:rsidTr="00204D16">
        <w:trPr>
          <w:trHeight w:val="27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37EBE19C" w14:textId="77777777" w:rsidR="00A26BD0" w:rsidRPr="00CF39C8" w:rsidRDefault="00A26BD0" w:rsidP="000C65BE">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6F3AF72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w:t>
            </w:r>
            <w:r w:rsidR="00656DE9" w:rsidRPr="00CF39C8">
              <w:rPr>
                <w:rFonts w:cstheme="minorHAnsi"/>
                <w:b/>
              </w:rPr>
              <w:t>($ billion)</w:t>
            </w:r>
            <w:r w:rsidRPr="00CF39C8">
              <w:rPr>
                <w:rFonts w:cstheme="minorHAnsi"/>
                <w:b/>
                <w:bCs/>
              </w:rPr>
              <w:t>:</w:t>
            </w:r>
          </w:p>
        </w:tc>
      </w:tr>
      <w:tr w:rsidR="00A26BD0" w:rsidRPr="00CF39C8" w14:paraId="0BF7BACA"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4639885A" w14:textId="77777777" w:rsidR="00A26BD0" w:rsidRPr="00CF39C8" w:rsidRDefault="00A26BD0" w:rsidP="000C65BE">
            <w:pPr>
              <w:spacing w:before="80"/>
              <w:ind w:left="29"/>
              <w:rPr>
                <w:rFonts w:cstheme="minorHAnsi"/>
                <w:b w:val="0"/>
                <w:bCs w:val="0"/>
                <w:color w:val="000000"/>
              </w:rPr>
            </w:pPr>
            <w:r w:rsidRPr="00CF39C8">
              <w:rPr>
                <w:rFonts w:cstheme="minorHAnsi"/>
                <w:b w:val="0"/>
                <w:bCs w:val="0"/>
                <w:color w:val="000000"/>
              </w:rPr>
              <w:t>Fuel savings</w:t>
            </w:r>
          </w:p>
        </w:tc>
        <w:tc>
          <w:tcPr>
            <w:tcW w:w="2126" w:type="dxa"/>
            <w:shd w:val="clear" w:color="auto" w:fill="BFEDC1"/>
            <w:vAlign w:val="center"/>
          </w:tcPr>
          <w:p w14:paraId="2830B804"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$107.6</w:t>
            </w:r>
          </w:p>
        </w:tc>
        <w:tc>
          <w:tcPr>
            <w:tcW w:w="3261" w:type="dxa"/>
            <w:shd w:val="clear" w:color="auto" w:fill="FBE6B1"/>
            <w:vAlign w:val="center"/>
          </w:tcPr>
          <w:p w14:paraId="70104AB1" w14:textId="77777777" w:rsidR="00A26BD0" w:rsidRPr="00CF39C8" w:rsidRDefault="00A26BD0" w:rsidP="000C65BE">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Government and </w:t>
            </w:r>
            <w:r w:rsidR="003A6DA8" w:rsidRPr="00CF39C8">
              <w:rPr>
                <w:rFonts w:cstheme="minorHAnsi"/>
                <w:color w:val="000000"/>
              </w:rPr>
              <w:t>c</w:t>
            </w:r>
            <w:r w:rsidRPr="00CF39C8">
              <w:rPr>
                <w:rFonts w:cstheme="minorHAnsi"/>
                <w:color w:val="000000"/>
              </w:rPr>
              <w:t>ompliance</w:t>
            </w:r>
          </w:p>
        </w:tc>
        <w:tc>
          <w:tcPr>
            <w:tcW w:w="1417" w:type="dxa"/>
            <w:shd w:val="clear" w:color="auto" w:fill="FBE6B1"/>
            <w:vAlign w:val="center"/>
          </w:tcPr>
          <w:p w14:paraId="3C0E4EF4"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$0.18</w:t>
            </w:r>
          </w:p>
        </w:tc>
      </w:tr>
      <w:tr w:rsidR="00A26BD0" w:rsidRPr="00CF39C8" w14:paraId="73519DFC"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39C58A2F"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Reduced vehicle maintenance</w:t>
            </w:r>
            <w:r w:rsidRPr="00CF39C8" w:rsidDel="00551C78">
              <w:rPr>
                <w:rFonts w:cstheme="minorHAnsi"/>
                <w:b w:val="0"/>
                <w:bCs w:val="0"/>
                <w:color w:val="000000"/>
              </w:rPr>
              <w:t xml:space="preserve"> </w:t>
            </w:r>
          </w:p>
        </w:tc>
        <w:tc>
          <w:tcPr>
            <w:tcW w:w="2126" w:type="dxa"/>
            <w:shd w:val="clear" w:color="auto" w:fill="BFEDC1"/>
            <w:vAlign w:val="center"/>
          </w:tcPr>
          <w:p w14:paraId="6A530CC1"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$15.46 </w:t>
            </w:r>
          </w:p>
        </w:tc>
        <w:tc>
          <w:tcPr>
            <w:tcW w:w="3261" w:type="dxa"/>
            <w:shd w:val="clear" w:color="auto" w:fill="FBE6B1"/>
            <w:vAlign w:val="center"/>
          </w:tcPr>
          <w:p w14:paraId="0F1D4698"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Vehicle </w:t>
            </w:r>
            <w:r w:rsidR="003A6DA8" w:rsidRPr="00CF39C8">
              <w:rPr>
                <w:rFonts w:cstheme="minorHAnsi"/>
                <w:color w:val="000000"/>
              </w:rPr>
              <w:t>t</w:t>
            </w:r>
            <w:r w:rsidRPr="00CF39C8">
              <w:rPr>
                <w:rFonts w:cstheme="minorHAnsi"/>
                <w:color w:val="000000"/>
              </w:rPr>
              <w:t xml:space="preserve">echnology </w:t>
            </w:r>
            <w:r w:rsidR="003A6DA8" w:rsidRPr="00CF39C8">
              <w:rPr>
                <w:rFonts w:cstheme="minorHAnsi"/>
                <w:color w:val="000000"/>
              </w:rPr>
              <w:t>c</w:t>
            </w:r>
            <w:r w:rsidRPr="00CF39C8">
              <w:rPr>
                <w:rFonts w:cstheme="minorHAnsi"/>
                <w:color w:val="000000"/>
              </w:rPr>
              <w:t>osts</w:t>
            </w:r>
            <w:r w:rsidRPr="00CF39C8" w:rsidDel="00A55B5C">
              <w:rPr>
                <w:rFonts w:cstheme="minorHAnsi"/>
                <w:color w:val="000000"/>
              </w:rPr>
              <w:t xml:space="preserve"> </w:t>
            </w:r>
          </w:p>
        </w:tc>
        <w:tc>
          <w:tcPr>
            <w:tcW w:w="1417" w:type="dxa"/>
            <w:shd w:val="clear" w:color="auto" w:fill="FBE6B1"/>
            <w:vAlign w:val="center"/>
          </w:tcPr>
          <w:p w14:paraId="712A0012"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$7.69</w:t>
            </w:r>
          </w:p>
        </w:tc>
      </w:tr>
      <w:tr w:rsidR="00A26BD0" w:rsidRPr="00CF39C8" w14:paraId="14535094"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1D26B8AC"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2126" w:type="dxa"/>
            <w:shd w:val="clear" w:color="auto" w:fill="BFEDC1"/>
            <w:vAlign w:val="center"/>
          </w:tcPr>
          <w:p w14:paraId="71875627"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$5.52</w:t>
            </w:r>
          </w:p>
        </w:tc>
        <w:tc>
          <w:tcPr>
            <w:tcW w:w="3261" w:type="dxa"/>
            <w:shd w:val="clear" w:color="auto" w:fill="FBE6B1"/>
            <w:vAlign w:val="center"/>
          </w:tcPr>
          <w:p w14:paraId="700114CB"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7487AF0C"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$29.38</w:t>
            </w:r>
          </w:p>
        </w:tc>
      </w:tr>
      <w:tr w:rsidR="00A26BD0" w:rsidRPr="00CF39C8" w14:paraId="6355BF65"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5B4702EC"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 xml:space="preserve">GHG emissions </w:t>
            </w:r>
          </w:p>
        </w:tc>
        <w:tc>
          <w:tcPr>
            <w:tcW w:w="2126" w:type="dxa"/>
            <w:shd w:val="clear" w:color="auto" w:fill="BFEDC1"/>
            <w:vAlign w:val="center"/>
          </w:tcPr>
          <w:p w14:paraId="4E480AAC"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$14.3</w:t>
            </w:r>
            <w:r w:rsidR="00C45D95">
              <w:rPr>
                <w:rFonts w:cstheme="minorHAnsi"/>
                <w:color w:val="000000"/>
              </w:rPr>
              <w:t>7</w:t>
            </w:r>
          </w:p>
        </w:tc>
        <w:tc>
          <w:tcPr>
            <w:tcW w:w="3261" w:type="dxa"/>
            <w:shd w:val="clear" w:color="auto" w:fill="FBE6B1"/>
            <w:vAlign w:val="center"/>
          </w:tcPr>
          <w:p w14:paraId="3CCE5AC0"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537C51AA"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$9.23</w:t>
            </w:r>
          </w:p>
        </w:tc>
      </w:tr>
      <w:tr w:rsidR="00A26BD0" w:rsidRPr="00CF39C8" w14:paraId="7612B9FB"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6B9C8152" w14:textId="77777777" w:rsidR="00A26BD0" w:rsidRPr="00CF39C8" w:rsidRDefault="00A26BD0" w:rsidP="000C65BE">
            <w:pPr>
              <w:spacing w:before="80"/>
              <w:ind w:left="29"/>
              <w:rPr>
                <w:rFonts w:cstheme="minorHAnsi"/>
              </w:rPr>
            </w:pPr>
            <w:r w:rsidRPr="00CF39C8">
              <w:rPr>
                <w:rFonts w:cstheme="minorHAnsi"/>
              </w:rPr>
              <w:t>Total benefits</w:t>
            </w:r>
          </w:p>
        </w:tc>
        <w:tc>
          <w:tcPr>
            <w:tcW w:w="2126" w:type="dxa"/>
            <w:shd w:val="clear" w:color="auto" w:fill="BFEDC1"/>
            <w:vAlign w:val="center"/>
          </w:tcPr>
          <w:p w14:paraId="6E1A1BC0"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$142.95</w:t>
            </w:r>
          </w:p>
        </w:tc>
        <w:tc>
          <w:tcPr>
            <w:tcW w:w="3261" w:type="dxa"/>
            <w:shd w:val="clear" w:color="auto" w:fill="FBE6B1"/>
            <w:vAlign w:val="center"/>
          </w:tcPr>
          <w:p w14:paraId="7AA7836A" w14:textId="77777777" w:rsidR="00A26BD0" w:rsidRPr="00CF39C8" w:rsidRDefault="00A26BD0" w:rsidP="000C65BE">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076984A7"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$46.49</w:t>
            </w:r>
          </w:p>
        </w:tc>
      </w:tr>
      <w:tr w:rsidR="00A26BD0" w:rsidRPr="00CF39C8" w14:paraId="0A300A5D"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hemeFill="accent5" w:themeFillShade="BF"/>
          </w:tcPr>
          <w:p w14:paraId="4775BEAE"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Net benefits:</w:t>
            </w:r>
          </w:p>
        </w:tc>
        <w:tc>
          <w:tcPr>
            <w:tcW w:w="6804" w:type="dxa"/>
            <w:gridSpan w:val="3"/>
            <w:shd w:val="clear" w:color="auto" w:fill="417A84" w:themeFill="accent5" w:themeFillShade="BF"/>
          </w:tcPr>
          <w:p w14:paraId="0B20F3A7" w14:textId="77777777" w:rsidR="00A26BD0" w:rsidRPr="00CF39C8" w:rsidRDefault="00A26BD0" w:rsidP="000C65BE">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$96.46</w:t>
            </w:r>
            <w:r w:rsidR="00656DE9" w:rsidRPr="00CF39C8">
              <w:rPr>
                <w:rFonts w:cstheme="minorHAnsi"/>
                <w:b/>
                <w:color w:val="FFFFFF" w:themeColor="background1"/>
              </w:rPr>
              <w:t xml:space="preserve"> billion</w:t>
            </w:r>
          </w:p>
        </w:tc>
      </w:tr>
      <w:tr w:rsidR="00A26BD0" w:rsidRPr="00CF39C8" w14:paraId="4D2BB243"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hemeFill="accent5" w:themeFillShade="BF"/>
          </w:tcPr>
          <w:p w14:paraId="700A4A34"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Benefit cost ratio:</w:t>
            </w:r>
          </w:p>
        </w:tc>
        <w:tc>
          <w:tcPr>
            <w:tcW w:w="6804" w:type="dxa"/>
            <w:gridSpan w:val="3"/>
            <w:shd w:val="clear" w:color="auto" w:fill="417A84" w:themeFill="accent5" w:themeFillShade="BF"/>
          </w:tcPr>
          <w:p w14:paraId="55CDA47A" w14:textId="77777777" w:rsidR="00A26BD0" w:rsidRPr="00CF39C8" w:rsidRDefault="00A26BD0"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3.08</w:t>
            </w:r>
          </w:p>
        </w:tc>
      </w:tr>
    </w:tbl>
    <w:p w14:paraId="20629B4B" w14:textId="77777777" w:rsidR="00530808" w:rsidRDefault="000A1476" w:rsidP="00A02602">
      <w:pPr>
        <w:pStyle w:val="Caption"/>
        <w:rPr>
          <w:b w:val="0"/>
        </w:rPr>
      </w:pPr>
      <w:bookmarkStart w:id="361" w:name="_Toc161837775"/>
      <w:bookmarkStart w:id="362" w:name="_Toc161933222"/>
      <w:bookmarkStart w:id="363" w:name="_Toc163221122"/>
      <w:bookmarkEnd w:id="360"/>
      <w:r w:rsidRPr="00CF39C8">
        <w:t xml:space="preserve">Table </w:t>
      </w:r>
      <w:r w:rsidR="00C6227F">
        <w:t>10</w:t>
      </w:r>
      <w:r w:rsidR="00860CE1" w:rsidRPr="00CF39C8">
        <w:t xml:space="preserve"> </w:t>
      </w:r>
      <w:r w:rsidR="00EE68E1" w:rsidRPr="00CF39C8">
        <w:rPr>
          <w:b w:val="0"/>
        </w:rPr>
        <w:t>–</w:t>
      </w:r>
      <w:r w:rsidR="00EE68E1" w:rsidRPr="00CF39C8">
        <w:t xml:space="preserve"> </w:t>
      </w:r>
      <w:r w:rsidRPr="00CF39C8">
        <w:rPr>
          <w:b w:val="0"/>
        </w:rPr>
        <w:t xml:space="preserve">Benefits and costs of </w:t>
      </w:r>
      <w:r w:rsidR="00C12BE2">
        <w:rPr>
          <w:b w:val="0"/>
        </w:rPr>
        <w:t>Option B</w:t>
      </w:r>
      <w:bookmarkEnd w:id="361"/>
      <w:bookmarkEnd w:id="362"/>
      <w:bookmarkEnd w:id="363"/>
    </w:p>
    <w:p w14:paraId="01EC55C1" w14:textId="77777777" w:rsidR="00C718FC" w:rsidRPr="00C718FC" w:rsidRDefault="00C718FC" w:rsidP="00C718FC"/>
    <w:p w14:paraId="62A287DB" w14:textId="77777777" w:rsidR="00A26BD0" w:rsidRPr="00CF39C8" w:rsidRDefault="00C12BE2" w:rsidP="00430317">
      <w:pPr>
        <w:pStyle w:val="Heading3"/>
        <w:numPr>
          <w:ilvl w:val="2"/>
          <w:numId w:val="72"/>
        </w:numPr>
        <w:rPr>
          <w:rFonts w:cstheme="majorHAnsi"/>
        </w:rPr>
      </w:pPr>
      <w:bookmarkStart w:id="364" w:name="_Toc161837670"/>
      <w:bookmarkStart w:id="365" w:name="_Toc161933167"/>
      <w:bookmarkStart w:id="366" w:name="_Toc162276474"/>
      <w:bookmarkStart w:id="367" w:name="_Toc163221070"/>
      <w:r>
        <w:rPr>
          <w:rFonts w:cstheme="majorHAnsi"/>
        </w:rPr>
        <w:t>Option C</w:t>
      </w:r>
      <w:r w:rsidR="00251A7E" w:rsidRPr="00CF39C8">
        <w:rPr>
          <w:rFonts w:cstheme="majorHAnsi"/>
        </w:rPr>
        <w:t xml:space="preserve"> – fast start</w:t>
      </w:r>
      <w:bookmarkEnd w:id="364"/>
      <w:bookmarkEnd w:id="365"/>
      <w:bookmarkEnd w:id="366"/>
      <w:bookmarkEnd w:id="367"/>
    </w:p>
    <w:p w14:paraId="1042C5FD" w14:textId="77777777" w:rsidR="00A26BD0" w:rsidRPr="00CF39C8" w:rsidRDefault="00287BB7" w:rsidP="00A26BD0">
      <w:r>
        <w:t>Proposes</w:t>
      </w:r>
      <w:r w:rsidR="00A26BD0" w:rsidRPr="00CF39C8">
        <w:t xml:space="preserve"> the fastest transition</w:t>
      </w:r>
      <w:r w:rsidR="00251A7E" w:rsidRPr="00CF39C8">
        <w:t xml:space="preserve">, with an accelerated </w:t>
      </w:r>
      <w:r w:rsidR="00C74C1C" w:rsidRPr="00CF39C8">
        <w:t xml:space="preserve">trajectory </w:t>
      </w:r>
      <w:r w:rsidR="00251A7E" w:rsidRPr="00CF39C8">
        <w:t xml:space="preserve">to catch up to </w:t>
      </w:r>
      <w:r w:rsidR="00C74C1C" w:rsidRPr="00CF39C8">
        <w:t>the US in 2027 and then pull forward</w:t>
      </w:r>
      <w:r w:rsidR="00C559D1" w:rsidRPr="00CF39C8">
        <w:t xml:space="preserve"> the</w:t>
      </w:r>
      <w:r w:rsidR="00C74C1C" w:rsidRPr="00CF39C8">
        <w:t xml:space="preserve"> CO</w:t>
      </w:r>
      <w:r w:rsidR="00C74C1C" w:rsidRPr="00CF39C8">
        <w:rPr>
          <w:vertAlign w:val="subscript"/>
        </w:rPr>
        <w:t>2</w:t>
      </w:r>
      <w:r w:rsidR="00C74C1C" w:rsidRPr="00CF39C8">
        <w:t xml:space="preserve"> targets </w:t>
      </w:r>
      <w:r w:rsidR="00904773" w:rsidRPr="00CF39C8">
        <w:t>for 2030</w:t>
      </w:r>
      <w:r w:rsidR="00DE62A5" w:rsidRPr="00CF39C8">
        <w:t>-</w:t>
      </w:r>
      <w:r w:rsidR="00904773" w:rsidRPr="00CF39C8">
        <w:t>32 in</w:t>
      </w:r>
      <w:r w:rsidR="00C74C1C" w:rsidRPr="00CF39C8">
        <w:t xml:space="preserve"> </w:t>
      </w:r>
      <w:r w:rsidR="00C559D1" w:rsidRPr="00CF39C8">
        <w:t xml:space="preserve">the proposed </w:t>
      </w:r>
      <w:r w:rsidR="00C74C1C" w:rsidRPr="00CF39C8">
        <w:t>US</w:t>
      </w:r>
      <w:r w:rsidR="00C559D1" w:rsidRPr="00CF39C8">
        <w:t xml:space="preserve"> settings</w:t>
      </w:r>
      <w:r w:rsidR="00C74C1C" w:rsidRPr="00CF39C8">
        <w:t xml:space="preserve"> into Australia in 2028</w:t>
      </w:r>
      <w:r w:rsidR="00DE62A5" w:rsidRPr="00CF39C8">
        <w:t>-</w:t>
      </w:r>
      <w:r w:rsidR="00C74C1C" w:rsidRPr="00CF39C8">
        <w:t>29</w:t>
      </w:r>
      <w:r w:rsidR="00251A7E" w:rsidRPr="00CF39C8">
        <w:t>. This result</w:t>
      </w:r>
      <w:r w:rsidR="00C559D1" w:rsidRPr="00CF39C8">
        <w:t>ed</w:t>
      </w:r>
      <w:r w:rsidR="00251A7E" w:rsidRPr="00CF39C8">
        <w:t xml:space="preserve"> in both</w:t>
      </w:r>
      <w:r w:rsidR="00A26BD0" w:rsidRPr="00CF39C8">
        <w:t xml:space="preserve"> </w:t>
      </w:r>
      <w:r w:rsidR="00EB13AD" w:rsidRPr="00CF39C8">
        <w:t>a high</w:t>
      </w:r>
      <w:r w:rsidR="00C74C1C" w:rsidRPr="00CF39C8">
        <w:t xml:space="preserve"> net benefit</w:t>
      </w:r>
      <w:r w:rsidR="00904773" w:rsidRPr="00CF39C8">
        <w:t xml:space="preserve"> and greater abatement</w:t>
      </w:r>
      <w:r w:rsidR="00C74C1C" w:rsidRPr="00CF39C8">
        <w:t>, but</w:t>
      </w:r>
      <w:r w:rsidR="00EB13AD" w:rsidRPr="00CF39C8">
        <w:t xml:space="preserve"> also higher</w:t>
      </w:r>
      <w:r w:rsidR="00A26BD0" w:rsidRPr="00CF39C8">
        <w:t xml:space="preserve"> </w:t>
      </w:r>
      <w:r w:rsidR="00C74C1C" w:rsidRPr="00CF39C8">
        <w:t xml:space="preserve">technology </w:t>
      </w:r>
      <w:r w:rsidR="00A26BD0" w:rsidRPr="00CF39C8">
        <w:t>costs.</w:t>
      </w:r>
      <w:r w:rsidR="00C74C1C" w:rsidRPr="00CF39C8">
        <w:t xml:space="preserve"> By adopting</w:t>
      </w:r>
      <w:r w:rsidR="00904773" w:rsidRPr="00CF39C8">
        <w:t xml:space="preserve"> an aggressive emissions reduction trajectory and</w:t>
      </w:r>
      <w:r w:rsidR="00C74C1C" w:rsidRPr="00CF39C8">
        <w:t xml:space="preserve"> more stringent targets</w:t>
      </w:r>
      <w:r w:rsidR="00C559D1" w:rsidRPr="00CF39C8">
        <w:t xml:space="preserve">, </w:t>
      </w:r>
      <w:r w:rsidR="00C74C1C" w:rsidRPr="00CF39C8">
        <w:t>this option risk</w:t>
      </w:r>
      <w:r w:rsidR="00C559D1" w:rsidRPr="00CF39C8">
        <w:t>ed</w:t>
      </w:r>
      <w:r w:rsidR="00C74C1C" w:rsidRPr="00CF39C8">
        <w:t xml:space="preserve"> unavailability of technology and </w:t>
      </w:r>
      <w:r w:rsidR="001223E9" w:rsidRPr="00CF39C8">
        <w:t xml:space="preserve">undesirable </w:t>
      </w:r>
      <w:r w:rsidR="00C74C1C" w:rsidRPr="00CF39C8">
        <w:t>consumer outcomes</w:t>
      </w:r>
      <w:r w:rsidR="00904773" w:rsidRPr="00CF39C8">
        <w:t>.</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C"/>
      </w:tblPr>
      <w:tblGrid>
        <w:gridCol w:w="3114"/>
        <w:gridCol w:w="1984"/>
        <w:gridCol w:w="3119"/>
        <w:gridCol w:w="1559"/>
      </w:tblGrid>
      <w:tr w:rsidR="00B62631" w:rsidRPr="00CF39C8" w14:paraId="0BA19285"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tcPr>
          <w:p w14:paraId="6CB234D4" w14:textId="77777777" w:rsidR="00B62631" w:rsidRPr="00CF39C8" w:rsidRDefault="00B62631" w:rsidP="00B62631">
            <w:pPr>
              <w:spacing w:before="80"/>
              <w:rPr>
                <w:rFonts w:cstheme="minorHAnsi"/>
                <w:i/>
                <w:color w:val="808080" w:themeColor="background1" w:themeShade="80"/>
                <w:highlight w:val="yellow"/>
              </w:rPr>
            </w:pPr>
            <w:bookmarkStart w:id="368" w:name="_Hlk156135591"/>
            <w:r w:rsidRPr="00CF39C8">
              <w:rPr>
                <w:rFonts w:cstheme="minorHAnsi"/>
                <w:color w:val="FFFFFF" w:themeColor="background1"/>
                <w:sz w:val="24"/>
                <w:szCs w:val="32"/>
              </w:rPr>
              <w:t>Impacts (AUD billions) Net Present Value Discount Rate 7% - 2025 to 2050</w:t>
            </w:r>
          </w:p>
        </w:tc>
      </w:tr>
      <w:tr w:rsidR="00B62631" w:rsidRPr="00CF39C8" w14:paraId="0E5E5C42" w14:textId="77777777" w:rsidTr="00204D16">
        <w:trPr>
          <w:trHeight w:val="28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507EA233" w14:textId="77777777" w:rsidR="00B62631" w:rsidRPr="00CF39C8" w:rsidRDefault="00B62631" w:rsidP="00B62631">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25216CF9"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w:t>
            </w:r>
            <w:r w:rsidR="00656DE9" w:rsidRPr="00CF39C8">
              <w:rPr>
                <w:rFonts w:cstheme="minorHAnsi"/>
              </w:rPr>
              <w:t>($ billion)</w:t>
            </w:r>
            <w:r w:rsidRPr="00CF39C8">
              <w:rPr>
                <w:rFonts w:cstheme="minorHAnsi"/>
                <w:b/>
                <w:bCs/>
              </w:rPr>
              <w:t>:</w:t>
            </w:r>
          </w:p>
        </w:tc>
      </w:tr>
      <w:tr w:rsidR="00B62631" w:rsidRPr="00CF39C8" w14:paraId="6C0173E6"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506149C" w14:textId="77777777" w:rsidR="00B62631" w:rsidRPr="00CF39C8" w:rsidRDefault="00B62631" w:rsidP="00B62631">
            <w:pPr>
              <w:spacing w:before="80"/>
              <w:ind w:left="29"/>
              <w:rPr>
                <w:rFonts w:cstheme="minorHAnsi"/>
                <w:b w:val="0"/>
                <w:bCs w:val="0"/>
                <w:color w:val="000000"/>
              </w:rPr>
            </w:pPr>
            <w:r w:rsidRPr="00CF39C8">
              <w:rPr>
                <w:rFonts w:cstheme="minorHAnsi"/>
                <w:b w:val="0"/>
                <w:bCs w:val="0"/>
                <w:color w:val="000000"/>
              </w:rPr>
              <w:t>Fuel savings</w:t>
            </w:r>
          </w:p>
        </w:tc>
        <w:tc>
          <w:tcPr>
            <w:tcW w:w="1984" w:type="dxa"/>
            <w:shd w:val="clear" w:color="auto" w:fill="BFEDC1"/>
            <w:vAlign w:val="center"/>
          </w:tcPr>
          <w:p w14:paraId="65518D32"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w:t>
            </w:r>
            <w:r w:rsidR="00904773" w:rsidRPr="00CF39C8">
              <w:rPr>
                <w:rFonts w:cstheme="minorHAnsi"/>
                <w:color w:val="000000"/>
              </w:rPr>
              <w:t>29.96</w:t>
            </w:r>
          </w:p>
        </w:tc>
        <w:tc>
          <w:tcPr>
            <w:tcW w:w="3119" w:type="dxa"/>
            <w:shd w:val="clear" w:color="auto" w:fill="FBE6B1"/>
            <w:vAlign w:val="center"/>
          </w:tcPr>
          <w:p w14:paraId="04A29FEB" w14:textId="77777777" w:rsidR="00B62631" w:rsidRPr="00CF39C8" w:rsidRDefault="00B62631" w:rsidP="00B62631">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Government and </w:t>
            </w:r>
            <w:r w:rsidR="00B822AA" w:rsidRPr="00CF39C8">
              <w:rPr>
                <w:rFonts w:cstheme="minorHAnsi"/>
                <w:color w:val="000000"/>
              </w:rPr>
              <w:t>c</w:t>
            </w:r>
            <w:r w:rsidRPr="00CF39C8">
              <w:rPr>
                <w:rFonts w:cstheme="minorHAnsi"/>
                <w:color w:val="000000"/>
              </w:rPr>
              <w:t>ompliance</w:t>
            </w:r>
          </w:p>
        </w:tc>
        <w:tc>
          <w:tcPr>
            <w:tcW w:w="1559" w:type="dxa"/>
            <w:shd w:val="clear" w:color="auto" w:fill="FBE6B1"/>
            <w:vAlign w:val="center"/>
          </w:tcPr>
          <w:p w14:paraId="6DDDAB4C"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w:t>
            </w:r>
            <w:r w:rsidR="00904773" w:rsidRPr="00CF39C8">
              <w:rPr>
                <w:rFonts w:cstheme="minorHAnsi"/>
                <w:color w:val="000000"/>
              </w:rPr>
              <w:t>7</w:t>
            </w:r>
          </w:p>
        </w:tc>
      </w:tr>
      <w:tr w:rsidR="00B62631" w:rsidRPr="00CF39C8" w14:paraId="6C011D63"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EC830F9" w14:textId="77777777" w:rsidR="00B62631" w:rsidRPr="00CF39C8" w:rsidRDefault="00ED3588" w:rsidP="00B62631">
            <w:pPr>
              <w:spacing w:before="80"/>
              <w:ind w:left="29"/>
              <w:rPr>
                <w:rFonts w:cstheme="minorHAnsi"/>
                <w:b w:val="0"/>
                <w:bCs w:val="0"/>
                <w:color w:val="000000"/>
              </w:rPr>
            </w:pPr>
            <w:r w:rsidRPr="00CF39C8">
              <w:rPr>
                <w:rFonts w:cstheme="minorHAnsi"/>
                <w:b w:val="0"/>
                <w:bCs w:val="0"/>
                <w:color w:val="000000"/>
              </w:rPr>
              <w:t>Reduced vehicle maintenance</w:t>
            </w:r>
          </w:p>
        </w:tc>
        <w:tc>
          <w:tcPr>
            <w:tcW w:w="1984" w:type="dxa"/>
            <w:shd w:val="clear" w:color="auto" w:fill="BFEDC1"/>
            <w:vAlign w:val="center"/>
          </w:tcPr>
          <w:p w14:paraId="310B8205"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$19.65</w:t>
            </w:r>
          </w:p>
        </w:tc>
        <w:tc>
          <w:tcPr>
            <w:tcW w:w="3119" w:type="dxa"/>
            <w:shd w:val="clear" w:color="auto" w:fill="FBE6B1"/>
            <w:vAlign w:val="center"/>
          </w:tcPr>
          <w:p w14:paraId="2187D12F"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Vehicle </w:t>
            </w:r>
            <w:r w:rsidR="00B822AA" w:rsidRPr="00CF39C8">
              <w:rPr>
                <w:rFonts w:cstheme="minorHAnsi"/>
                <w:color w:val="000000"/>
              </w:rPr>
              <w:t>t</w:t>
            </w:r>
            <w:r w:rsidRPr="00CF39C8">
              <w:rPr>
                <w:rFonts w:cstheme="minorHAnsi"/>
                <w:color w:val="000000"/>
              </w:rPr>
              <w:t xml:space="preserve">echnology </w:t>
            </w:r>
            <w:r w:rsidR="00B822AA" w:rsidRPr="00CF39C8">
              <w:rPr>
                <w:rFonts w:cstheme="minorHAnsi"/>
                <w:color w:val="000000"/>
              </w:rPr>
              <w:t>c</w:t>
            </w:r>
            <w:r w:rsidRPr="00CF39C8">
              <w:rPr>
                <w:rFonts w:cstheme="minorHAnsi"/>
                <w:color w:val="000000"/>
              </w:rPr>
              <w:t>osts</w:t>
            </w:r>
            <w:r w:rsidRPr="00CF39C8" w:rsidDel="00A55B5C">
              <w:rPr>
                <w:rFonts w:cstheme="minorHAnsi"/>
                <w:color w:val="000000"/>
              </w:rPr>
              <w:t xml:space="preserve"> </w:t>
            </w:r>
          </w:p>
        </w:tc>
        <w:tc>
          <w:tcPr>
            <w:tcW w:w="1559" w:type="dxa"/>
            <w:shd w:val="clear" w:color="auto" w:fill="FBE6B1"/>
            <w:vAlign w:val="center"/>
          </w:tcPr>
          <w:p w14:paraId="7270C9F8"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9.49</w:t>
            </w:r>
          </w:p>
        </w:tc>
      </w:tr>
      <w:tr w:rsidR="00B62631" w:rsidRPr="00CF39C8" w14:paraId="1A1EE03A"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1D14732" w14:textId="77777777" w:rsidR="00B62631" w:rsidRPr="00CF39C8" w:rsidRDefault="00ED3588" w:rsidP="00B62631">
            <w:pPr>
              <w:spacing w:before="80"/>
              <w:ind w:left="29"/>
              <w:rPr>
                <w:rFonts w:cstheme="minorHAnsi"/>
                <w:b w:val="0"/>
                <w:bCs w:val="0"/>
                <w:color w:val="000000"/>
              </w:rPr>
            </w:pPr>
            <w:r w:rsidRPr="00CF39C8">
              <w:rPr>
                <w:rFonts w:cstheme="minorHAnsi"/>
                <w:b w:val="0"/>
                <w:bCs w:val="0"/>
                <w:color w:val="000000"/>
              </w:rPr>
              <w:t xml:space="preserve">Health benefits   </w:t>
            </w:r>
          </w:p>
        </w:tc>
        <w:tc>
          <w:tcPr>
            <w:tcW w:w="1984" w:type="dxa"/>
            <w:shd w:val="clear" w:color="auto" w:fill="BFEDC1"/>
            <w:vAlign w:val="center"/>
          </w:tcPr>
          <w:p w14:paraId="54A4EFC0"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$6.75 </w:t>
            </w:r>
          </w:p>
        </w:tc>
        <w:tc>
          <w:tcPr>
            <w:tcW w:w="3119" w:type="dxa"/>
            <w:shd w:val="clear" w:color="auto" w:fill="FBE6B1"/>
            <w:vAlign w:val="center"/>
          </w:tcPr>
          <w:p w14:paraId="568E877F"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559" w:type="dxa"/>
            <w:shd w:val="clear" w:color="auto" w:fill="FBE6B1"/>
            <w:vAlign w:val="center"/>
          </w:tcPr>
          <w:p w14:paraId="34F0EF73"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37.37</w:t>
            </w:r>
          </w:p>
        </w:tc>
      </w:tr>
      <w:tr w:rsidR="00B62631" w:rsidRPr="00CF39C8" w14:paraId="4B7411C2"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2D8CD58E" w14:textId="77777777" w:rsidR="00B62631" w:rsidRPr="00CF39C8" w:rsidRDefault="00551C78" w:rsidP="00B62631">
            <w:pPr>
              <w:spacing w:before="80"/>
              <w:ind w:left="29"/>
              <w:rPr>
                <w:rFonts w:cstheme="minorHAnsi"/>
                <w:b w:val="0"/>
                <w:bCs w:val="0"/>
                <w:color w:val="000000"/>
              </w:rPr>
            </w:pPr>
            <w:r w:rsidRPr="00CF39C8">
              <w:rPr>
                <w:rFonts w:cstheme="minorHAnsi"/>
                <w:b w:val="0"/>
                <w:bCs w:val="0"/>
                <w:color w:val="000000"/>
              </w:rPr>
              <w:t xml:space="preserve">GHG emissions </w:t>
            </w:r>
          </w:p>
        </w:tc>
        <w:tc>
          <w:tcPr>
            <w:tcW w:w="1984" w:type="dxa"/>
            <w:shd w:val="clear" w:color="auto" w:fill="BFEDC1"/>
            <w:vAlign w:val="center"/>
          </w:tcPr>
          <w:p w14:paraId="0EE9832D"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$17.29</w:t>
            </w:r>
          </w:p>
        </w:tc>
        <w:tc>
          <w:tcPr>
            <w:tcW w:w="3119" w:type="dxa"/>
            <w:shd w:val="clear" w:color="auto" w:fill="FBE6B1"/>
            <w:vAlign w:val="center"/>
          </w:tcPr>
          <w:p w14:paraId="2F5A1FFA"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559" w:type="dxa"/>
            <w:shd w:val="clear" w:color="auto" w:fill="FBE6B1"/>
            <w:vAlign w:val="center"/>
          </w:tcPr>
          <w:p w14:paraId="2F89905D"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11.72</w:t>
            </w:r>
          </w:p>
        </w:tc>
      </w:tr>
      <w:tr w:rsidR="00B62631" w:rsidRPr="00CF39C8" w14:paraId="5377BCF4"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3EDA0E60" w14:textId="77777777" w:rsidR="00B62631" w:rsidRPr="00CF39C8" w:rsidRDefault="00B62631" w:rsidP="00B62631">
            <w:pPr>
              <w:spacing w:before="80"/>
              <w:ind w:left="29"/>
              <w:rPr>
                <w:rFonts w:cstheme="minorHAnsi"/>
              </w:rPr>
            </w:pPr>
            <w:r w:rsidRPr="00CF39C8">
              <w:rPr>
                <w:rFonts w:cstheme="minorHAnsi"/>
              </w:rPr>
              <w:t>Total benefits</w:t>
            </w:r>
          </w:p>
        </w:tc>
        <w:tc>
          <w:tcPr>
            <w:tcW w:w="1984" w:type="dxa"/>
            <w:shd w:val="clear" w:color="auto" w:fill="BFEDC1"/>
            <w:vAlign w:val="center"/>
          </w:tcPr>
          <w:p w14:paraId="4E665CFB"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w:t>
            </w:r>
            <w:r w:rsidR="00904773" w:rsidRPr="00CF39C8">
              <w:rPr>
                <w:rFonts w:cstheme="minorHAnsi"/>
                <w:b/>
                <w:bCs/>
              </w:rPr>
              <w:t>173.65</w:t>
            </w:r>
          </w:p>
        </w:tc>
        <w:tc>
          <w:tcPr>
            <w:tcW w:w="3119" w:type="dxa"/>
            <w:shd w:val="clear" w:color="auto" w:fill="FBE6B1"/>
            <w:vAlign w:val="center"/>
          </w:tcPr>
          <w:p w14:paraId="4809D66F" w14:textId="77777777" w:rsidR="00B62631" w:rsidRPr="00CF39C8" w:rsidRDefault="00B62631" w:rsidP="00B62631">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559" w:type="dxa"/>
            <w:shd w:val="clear" w:color="auto" w:fill="FBE6B1"/>
            <w:vAlign w:val="center"/>
          </w:tcPr>
          <w:p w14:paraId="3C744494"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w:t>
            </w:r>
            <w:r w:rsidR="00904773" w:rsidRPr="00CF39C8">
              <w:rPr>
                <w:rFonts w:cstheme="minorHAnsi"/>
                <w:b/>
                <w:color w:val="000000"/>
              </w:rPr>
              <w:t>58.75</w:t>
            </w:r>
          </w:p>
        </w:tc>
      </w:tr>
      <w:tr w:rsidR="00B62631" w:rsidRPr="00CF39C8" w14:paraId="2233A148"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3398B8A7" w14:textId="77777777" w:rsidR="00B62631" w:rsidRPr="00CF39C8" w:rsidRDefault="00B62631" w:rsidP="00B62631">
            <w:pPr>
              <w:spacing w:before="80"/>
              <w:ind w:left="29"/>
              <w:rPr>
                <w:rFonts w:cstheme="minorHAnsi"/>
                <w:color w:val="FFFFFF" w:themeColor="background1"/>
              </w:rPr>
            </w:pPr>
            <w:r w:rsidRPr="00CF39C8">
              <w:rPr>
                <w:rFonts w:cstheme="minorHAnsi"/>
                <w:color w:val="FFFFFF" w:themeColor="background1"/>
              </w:rPr>
              <w:t>Net benefits:</w:t>
            </w:r>
          </w:p>
        </w:tc>
        <w:tc>
          <w:tcPr>
            <w:tcW w:w="6662" w:type="dxa"/>
            <w:gridSpan w:val="3"/>
            <w:shd w:val="clear" w:color="auto" w:fill="417A84" w:themeFill="accent5" w:themeFillShade="BF"/>
          </w:tcPr>
          <w:p w14:paraId="04F0BA9C" w14:textId="77777777" w:rsidR="00B62631" w:rsidRPr="00CF39C8" w:rsidRDefault="00B62631" w:rsidP="00B62631">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904773" w:rsidRPr="00CF39C8">
              <w:rPr>
                <w:rFonts w:cstheme="minorHAnsi"/>
                <w:b/>
                <w:color w:val="FFFFFF" w:themeColor="background1"/>
              </w:rPr>
              <w:t>114.90</w:t>
            </w:r>
            <w:r w:rsidR="00656DE9" w:rsidRPr="00CF39C8">
              <w:rPr>
                <w:rFonts w:cstheme="minorHAnsi"/>
                <w:b/>
                <w:color w:val="FFFFFF" w:themeColor="background1"/>
              </w:rPr>
              <w:t xml:space="preserve"> billion</w:t>
            </w:r>
          </w:p>
        </w:tc>
      </w:tr>
      <w:tr w:rsidR="00B62631" w:rsidRPr="00CF39C8" w14:paraId="3DEECD2A"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31BEF9E2" w14:textId="77777777" w:rsidR="00B62631" w:rsidRPr="00CF39C8" w:rsidRDefault="00B62631" w:rsidP="00B62631">
            <w:pPr>
              <w:spacing w:before="80"/>
              <w:ind w:left="29"/>
              <w:rPr>
                <w:rFonts w:cstheme="minorHAnsi"/>
                <w:color w:val="FFFFFF" w:themeColor="background1"/>
              </w:rPr>
            </w:pPr>
            <w:r w:rsidRPr="00CF39C8">
              <w:rPr>
                <w:rFonts w:cstheme="minorHAnsi"/>
                <w:color w:val="FFFFFF" w:themeColor="background1"/>
              </w:rPr>
              <w:t>Benefit cost ratio:</w:t>
            </w:r>
          </w:p>
        </w:tc>
        <w:tc>
          <w:tcPr>
            <w:tcW w:w="6662" w:type="dxa"/>
            <w:gridSpan w:val="3"/>
            <w:shd w:val="clear" w:color="auto" w:fill="417A84" w:themeFill="accent5" w:themeFillShade="BF"/>
          </w:tcPr>
          <w:p w14:paraId="06852BD2" w14:textId="77777777" w:rsidR="00B62631" w:rsidRPr="00CF39C8" w:rsidRDefault="00904773" w:rsidP="00B62631">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2.96</w:t>
            </w:r>
          </w:p>
        </w:tc>
      </w:tr>
    </w:tbl>
    <w:p w14:paraId="0D418EBD" w14:textId="77777777" w:rsidR="000706DD" w:rsidRPr="00CF39C8" w:rsidRDefault="00B62631" w:rsidP="000706DD">
      <w:pPr>
        <w:pStyle w:val="Caption"/>
        <w:rPr>
          <w:b w:val="0"/>
        </w:rPr>
      </w:pPr>
      <w:bookmarkStart w:id="369" w:name="_Toc161837776"/>
      <w:bookmarkStart w:id="370" w:name="_Toc161933223"/>
      <w:bookmarkStart w:id="371" w:name="_Toc163221123"/>
      <w:bookmarkEnd w:id="368"/>
      <w:r w:rsidRPr="00CF39C8">
        <w:t xml:space="preserve">Table </w:t>
      </w:r>
      <w:r w:rsidR="0052587E">
        <w:t>1</w:t>
      </w:r>
      <w:r w:rsidR="00C6227F">
        <w:t>1</w:t>
      </w:r>
      <w:r w:rsidRPr="00CF39C8">
        <w:t xml:space="preserve"> </w:t>
      </w:r>
      <w:r w:rsidRPr="00CF39C8">
        <w:rPr>
          <w:b w:val="0"/>
        </w:rPr>
        <w:t xml:space="preserve">– Benefits and costs of </w:t>
      </w:r>
      <w:r w:rsidR="00C12BE2">
        <w:rPr>
          <w:b w:val="0"/>
        </w:rPr>
        <w:t>Option C</w:t>
      </w:r>
      <w:bookmarkEnd w:id="369"/>
      <w:bookmarkEnd w:id="370"/>
      <w:bookmarkEnd w:id="371"/>
    </w:p>
    <w:p w14:paraId="270DB144" w14:textId="77777777" w:rsidR="003D2B37" w:rsidRPr="00BF5966" w:rsidRDefault="007150AB" w:rsidP="00430317">
      <w:pPr>
        <w:pStyle w:val="Heading3"/>
        <w:numPr>
          <w:ilvl w:val="2"/>
          <w:numId w:val="72"/>
        </w:numPr>
        <w:rPr>
          <w:rFonts w:cstheme="majorHAnsi"/>
        </w:rPr>
      </w:pPr>
      <w:bookmarkStart w:id="372" w:name="_Toc161837671"/>
      <w:bookmarkStart w:id="373" w:name="_Toc161933168"/>
      <w:bookmarkStart w:id="374" w:name="_Toc162276475"/>
      <w:bookmarkStart w:id="375" w:name="_Toc163221071"/>
      <w:r w:rsidRPr="00A2710A">
        <w:rPr>
          <w:rFonts w:cstheme="majorHAnsi"/>
        </w:rPr>
        <w:t>The best option from those considered</w:t>
      </w:r>
      <w:bookmarkEnd w:id="372"/>
      <w:bookmarkEnd w:id="373"/>
      <w:bookmarkEnd w:id="374"/>
      <w:bookmarkEnd w:id="375"/>
    </w:p>
    <w:p w14:paraId="535657EA" w14:textId="77777777" w:rsidR="0028279F" w:rsidRPr="0028279F" w:rsidRDefault="003B2E80" w:rsidP="003D2B37">
      <w:pPr>
        <w:rPr>
          <w:sz w:val="22"/>
          <w:szCs w:val="22"/>
        </w:rPr>
      </w:pPr>
      <w:r w:rsidRPr="0028279F">
        <w:rPr>
          <w:color w:val="000000" w:themeColor="text1"/>
          <w:sz w:val="22"/>
          <w:szCs w:val="22"/>
        </w:rPr>
        <w:t xml:space="preserve">This </w:t>
      </w:r>
      <w:r w:rsidR="00C12BE2">
        <w:rPr>
          <w:color w:val="000000" w:themeColor="text1"/>
          <w:sz w:val="22"/>
          <w:szCs w:val="22"/>
        </w:rPr>
        <w:t>option c</w:t>
      </w:r>
      <w:r w:rsidRPr="0028279F">
        <w:rPr>
          <w:sz w:val="22"/>
          <w:szCs w:val="22"/>
        </w:rPr>
        <w:t xml:space="preserve">ontinues to provide a strong, ambitious and achievable policy based on </w:t>
      </w:r>
      <w:r w:rsidR="00C12BE2">
        <w:rPr>
          <w:sz w:val="22"/>
          <w:szCs w:val="22"/>
        </w:rPr>
        <w:t>Option B</w:t>
      </w:r>
      <w:r w:rsidR="003A4060" w:rsidRPr="0028279F">
        <w:rPr>
          <w:sz w:val="22"/>
          <w:szCs w:val="22"/>
        </w:rPr>
        <w:t xml:space="preserve"> but with </w:t>
      </w:r>
      <w:r w:rsidR="0028279F" w:rsidRPr="0028279F">
        <w:rPr>
          <w:sz w:val="22"/>
          <w:szCs w:val="22"/>
        </w:rPr>
        <w:t xml:space="preserve">important </w:t>
      </w:r>
      <w:r w:rsidR="003A4060" w:rsidRPr="0028279F">
        <w:rPr>
          <w:sz w:val="22"/>
          <w:szCs w:val="22"/>
        </w:rPr>
        <w:t>adjustments</w:t>
      </w:r>
      <w:r w:rsidRPr="0028279F">
        <w:rPr>
          <w:sz w:val="22"/>
          <w:szCs w:val="22"/>
        </w:rPr>
        <w:t xml:space="preserve">. The retained policy settings </w:t>
      </w:r>
      <w:r w:rsidR="0028279F" w:rsidRPr="0028279F">
        <w:rPr>
          <w:sz w:val="22"/>
          <w:szCs w:val="22"/>
        </w:rPr>
        <w:t xml:space="preserve">provide enough flexibility to avoid extremely high costs, with an opportunity for suppliers to invest to support the transition, </w:t>
      </w:r>
      <w:r w:rsidR="004F11C1" w:rsidRPr="0028279F">
        <w:rPr>
          <w:sz w:val="22"/>
          <w:szCs w:val="22"/>
        </w:rPr>
        <w:t>and delivers considerable abatement and fuel cost savings to Australians</w:t>
      </w:r>
      <w:r w:rsidR="0028279F" w:rsidRPr="0028279F">
        <w:rPr>
          <w:sz w:val="22"/>
          <w:szCs w:val="22"/>
        </w:rPr>
        <w:t>.</w:t>
      </w:r>
    </w:p>
    <w:p w14:paraId="3277A086" w14:textId="77777777" w:rsidR="003A4060" w:rsidRPr="0028279F" w:rsidRDefault="003B2E80" w:rsidP="003B2E80">
      <w:pPr>
        <w:rPr>
          <w:color w:val="000000" w:themeColor="text1"/>
          <w:sz w:val="22"/>
          <w:szCs w:val="22"/>
        </w:rPr>
      </w:pPr>
      <w:r w:rsidRPr="0028279F">
        <w:rPr>
          <w:sz w:val="22"/>
          <w:szCs w:val="22"/>
        </w:rPr>
        <w:t>Based on consultation feedback and the need to e</w:t>
      </w:r>
      <w:r w:rsidRPr="0028279F">
        <w:rPr>
          <w:color w:val="000000" w:themeColor="text1"/>
          <w:sz w:val="22"/>
          <w:szCs w:val="22"/>
        </w:rPr>
        <w:t>nsure consumers can access the types of vehicles they want and need to drive, th</w:t>
      </w:r>
      <w:r w:rsidR="003D2B37" w:rsidRPr="0028279F">
        <w:rPr>
          <w:color w:val="000000" w:themeColor="text1"/>
          <w:sz w:val="22"/>
          <w:szCs w:val="22"/>
        </w:rPr>
        <w:t xml:space="preserve">is </w:t>
      </w:r>
      <w:r w:rsidR="008A532D">
        <w:rPr>
          <w:color w:val="000000" w:themeColor="text1"/>
          <w:sz w:val="22"/>
          <w:szCs w:val="22"/>
        </w:rPr>
        <w:t>o</w:t>
      </w:r>
      <w:r w:rsidR="00DC48C3">
        <w:rPr>
          <w:color w:val="000000" w:themeColor="text1"/>
          <w:sz w:val="22"/>
          <w:szCs w:val="22"/>
        </w:rPr>
        <w:t xml:space="preserve">ption </w:t>
      </w:r>
      <w:r w:rsidR="008A532D">
        <w:rPr>
          <w:color w:val="000000" w:themeColor="text1"/>
          <w:sz w:val="22"/>
          <w:szCs w:val="22"/>
        </w:rPr>
        <w:t>a</w:t>
      </w:r>
      <w:r w:rsidR="00B93A36">
        <w:rPr>
          <w:color w:val="000000" w:themeColor="text1"/>
          <w:sz w:val="22"/>
          <w:szCs w:val="22"/>
        </w:rPr>
        <w:t>lso includes</w:t>
      </w:r>
      <w:r w:rsidR="003D2B37" w:rsidRPr="0028279F">
        <w:rPr>
          <w:color w:val="000000" w:themeColor="text1"/>
          <w:sz w:val="22"/>
          <w:szCs w:val="22"/>
        </w:rPr>
        <w:t xml:space="preserve"> </w:t>
      </w:r>
      <w:r w:rsidRPr="00BF132B">
        <w:rPr>
          <w:color w:val="000000" w:themeColor="text1"/>
          <w:sz w:val="22"/>
          <w:szCs w:val="22"/>
        </w:rPr>
        <w:t xml:space="preserve">less stringent targets/headline limits </w:t>
      </w:r>
      <w:r w:rsidR="00B93A36">
        <w:rPr>
          <w:color w:val="000000" w:themeColor="text1"/>
          <w:sz w:val="22"/>
          <w:szCs w:val="22"/>
        </w:rPr>
        <w:t xml:space="preserve">(compared to </w:t>
      </w:r>
      <w:r w:rsidR="00C12BE2">
        <w:rPr>
          <w:color w:val="000000" w:themeColor="text1"/>
          <w:sz w:val="22"/>
          <w:szCs w:val="22"/>
        </w:rPr>
        <w:t>Option B</w:t>
      </w:r>
      <w:r w:rsidR="00B93A36">
        <w:rPr>
          <w:color w:val="000000" w:themeColor="text1"/>
          <w:sz w:val="22"/>
          <w:szCs w:val="22"/>
        </w:rPr>
        <w:t xml:space="preserve">) </w:t>
      </w:r>
      <w:r w:rsidRPr="00BF132B">
        <w:rPr>
          <w:color w:val="000000" w:themeColor="text1"/>
          <w:sz w:val="22"/>
          <w:szCs w:val="22"/>
        </w:rPr>
        <w:t xml:space="preserve">for light commercial vehicles like </w:t>
      </w:r>
      <w:r w:rsidR="00B93A36">
        <w:rPr>
          <w:color w:val="000000" w:themeColor="text1"/>
          <w:sz w:val="22"/>
          <w:szCs w:val="22"/>
        </w:rPr>
        <w:t xml:space="preserve">some </w:t>
      </w:r>
      <w:r w:rsidRPr="00BF132B">
        <w:rPr>
          <w:color w:val="000000" w:themeColor="text1"/>
          <w:sz w:val="22"/>
          <w:szCs w:val="22"/>
        </w:rPr>
        <w:t xml:space="preserve">utes and vans, </w:t>
      </w:r>
      <w:r w:rsidR="0028279F" w:rsidRPr="00BF132B">
        <w:rPr>
          <w:color w:val="000000" w:themeColor="text1"/>
          <w:sz w:val="22"/>
          <w:szCs w:val="22"/>
        </w:rPr>
        <w:t>altered break points,</w:t>
      </w:r>
      <w:r w:rsidRPr="00BF132B">
        <w:rPr>
          <w:color w:val="000000" w:themeColor="text1"/>
          <w:sz w:val="22"/>
          <w:szCs w:val="22"/>
        </w:rPr>
        <w:t xml:space="preserve"> and a delayed start to the </w:t>
      </w:r>
      <w:r w:rsidR="00B93A36">
        <w:rPr>
          <w:color w:val="000000" w:themeColor="text1"/>
          <w:sz w:val="22"/>
          <w:szCs w:val="22"/>
        </w:rPr>
        <w:t xml:space="preserve">generation of credits and </w:t>
      </w:r>
      <w:r w:rsidRPr="00BF132B">
        <w:rPr>
          <w:color w:val="000000" w:themeColor="text1"/>
          <w:sz w:val="22"/>
          <w:szCs w:val="22"/>
        </w:rPr>
        <w:t xml:space="preserve">application of </w:t>
      </w:r>
      <w:r w:rsidR="00693975">
        <w:rPr>
          <w:color w:val="000000" w:themeColor="text1"/>
          <w:sz w:val="22"/>
          <w:szCs w:val="22"/>
        </w:rPr>
        <w:t>penalties</w:t>
      </w:r>
      <w:r w:rsidRPr="00BF132B">
        <w:rPr>
          <w:color w:val="000000" w:themeColor="text1"/>
          <w:sz w:val="22"/>
          <w:szCs w:val="22"/>
        </w:rPr>
        <w:t xml:space="preserve"> in the </w:t>
      </w:r>
      <w:r w:rsidR="003A4060" w:rsidRPr="00BF132B">
        <w:rPr>
          <w:color w:val="000000" w:themeColor="text1"/>
          <w:sz w:val="22"/>
          <w:szCs w:val="22"/>
        </w:rPr>
        <w:t>Standard</w:t>
      </w:r>
      <w:r w:rsidRPr="00BF132B">
        <w:rPr>
          <w:color w:val="000000" w:themeColor="text1"/>
          <w:sz w:val="22"/>
          <w:szCs w:val="22"/>
        </w:rPr>
        <w:t>.</w:t>
      </w:r>
      <w:r w:rsidRPr="0028279F">
        <w:rPr>
          <w:color w:val="000000" w:themeColor="text1"/>
          <w:sz w:val="22"/>
          <w:szCs w:val="22"/>
        </w:rPr>
        <w:t xml:space="preserve">  </w:t>
      </w:r>
    </w:p>
    <w:p w14:paraId="3255F977" w14:textId="77777777" w:rsidR="003B2E80" w:rsidRPr="0028279F" w:rsidRDefault="003A4060" w:rsidP="003B2E80">
      <w:pPr>
        <w:rPr>
          <w:color w:val="000000" w:themeColor="text1"/>
          <w:sz w:val="22"/>
          <w:szCs w:val="22"/>
        </w:rPr>
      </w:pPr>
      <w:r w:rsidRPr="0028279F">
        <w:rPr>
          <w:color w:val="000000" w:themeColor="text1"/>
          <w:sz w:val="22"/>
          <w:szCs w:val="22"/>
        </w:rPr>
        <w:t>This</w:t>
      </w:r>
      <w:r w:rsidR="003B2E80" w:rsidRPr="0028279F">
        <w:rPr>
          <w:color w:val="000000" w:themeColor="text1"/>
          <w:sz w:val="22"/>
          <w:szCs w:val="22"/>
        </w:rPr>
        <w:t xml:space="preserve"> option will maximise abatement while maintaining the vibrancy of the Australian car market</w:t>
      </w:r>
      <w:r w:rsidRPr="0028279F">
        <w:rPr>
          <w:color w:val="000000" w:themeColor="text1"/>
          <w:sz w:val="22"/>
          <w:szCs w:val="22"/>
        </w:rPr>
        <w:t xml:space="preserve"> and achieve </w:t>
      </w:r>
      <w:r w:rsidR="003B2E80" w:rsidRPr="0028279F">
        <w:rPr>
          <w:color w:val="000000" w:themeColor="text1"/>
          <w:sz w:val="22"/>
          <w:szCs w:val="22"/>
        </w:rPr>
        <w:t xml:space="preserve">fuel savings for Australian consumers. </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B"/>
      </w:tblPr>
      <w:tblGrid>
        <w:gridCol w:w="2972"/>
        <w:gridCol w:w="2126"/>
        <w:gridCol w:w="3261"/>
        <w:gridCol w:w="1417"/>
      </w:tblGrid>
      <w:tr w:rsidR="003B2E80" w:rsidRPr="00CF39C8" w14:paraId="470EE906"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04040" w:themeFill="text1" w:themeFillTint="BF"/>
          </w:tcPr>
          <w:p w14:paraId="27501A55" w14:textId="77777777" w:rsidR="003B2E80" w:rsidRPr="00CF39C8" w:rsidRDefault="003B2E80" w:rsidP="003B2E80">
            <w:pPr>
              <w:spacing w:before="80"/>
              <w:rPr>
                <w:rFonts w:cstheme="minorHAnsi"/>
                <w:i/>
                <w:color w:val="808080" w:themeColor="background1" w:themeShade="80"/>
                <w:highlight w:val="yellow"/>
              </w:rPr>
            </w:pPr>
            <w:r w:rsidRPr="00CF39C8">
              <w:rPr>
                <w:rFonts w:cstheme="minorHAnsi"/>
                <w:color w:val="FFFFFF" w:themeColor="background1"/>
                <w:sz w:val="24"/>
                <w:szCs w:val="32"/>
              </w:rPr>
              <w:t>Impacts (AUD billions) Net Present Value Discount Rate 7% - 2025 to 2050</w:t>
            </w:r>
          </w:p>
        </w:tc>
      </w:tr>
      <w:tr w:rsidR="003B2E80" w:rsidRPr="00CF39C8" w14:paraId="54D7A16C" w14:textId="77777777" w:rsidTr="00204D16">
        <w:trPr>
          <w:trHeight w:val="27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220E6339" w14:textId="77777777" w:rsidR="003B2E80" w:rsidRPr="00CF39C8" w:rsidRDefault="003B2E80" w:rsidP="003B2E80">
            <w:pPr>
              <w:spacing w:before="80"/>
              <w:ind w:left="29"/>
              <w:rPr>
                <w:rFonts w:cstheme="minorHAnsi"/>
              </w:rPr>
            </w:pPr>
            <w:r w:rsidRPr="00CF39C8">
              <w:rPr>
                <w:rFonts w:cstheme="minorHAnsi"/>
              </w:rPr>
              <w:t>Benefits ($ billion):</w:t>
            </w:r>
          </w:p>
        </w:tc>
        <w:tc>
          <w:tcPr>
            <w:tcW w:w="4678" w:type="dxa"/>
            <w:gridSpan w:val="2"/>
            <w:shd w:val="clear" w:color="auto" w:fill="FBE6B1"/>
            <w:vAlign w:val="center"/>
          </w:tcPr>
          <w:p w14:paraId="1D014598"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 xml:space="preserve">Costs </w:t>
            </w:r>
            <w:r w:rsidRPr="00CF39C8">
              <w:rPr>
                <w:rFonts w:cstheme="minorHAnsi"/>
                <w:b/>
              </w:rPr>
              <w:t>($ billion)</w:t>
            </w:r>
            <w:r w:rsidRPr="00CF39C8">
              <w:rPr>
                <w:rFonts w:cstheme="minorHAnsi"/>
                <w:b/>
                <w:bCs/>
              </w:rPr>
              <w:t>:</w:t>
            </w:r>
          </w:p>
        </w:tc>
      </w:tr>
      <w:tr w:rsidR="003B2E80" w:rsidRPr="00CF39C8" w14:paraId="4A99358D"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6F5897D4"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Fuel savings</w:t>
            </w:r>
          </w:p>
        </w:tc>
        <w:tc>
          <w:tcPr>
            <w:tcW w:w="2126" w:type="dxa"/>
            <w:shd w:val="clear" w:color="auto" w:fill="BFEDC1"/>
            <w:vAlign w:val="center"/>
          </w:tcPr>
          <w:p w14:paraId="34C599ED" w14:textId="77777777" w:rsidR="003B2E80" w:rsidRPr="00CF39C8" w:rsidRDefault="00ED3588"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C35B48">
              <w:rPr>
                <w:rFonts w:cstheme="minorHAnsi"/>
                <w:color w:val="000000"/>
              </w:rPr>
              <w:t>95</w:t>
            </w:r>
            <w:r>
              <w:rPr>
                <w:rFonts w:cstheme="minorHAnsi"/>
                <w:color w:val="000000"/>
              </w:rPr>
              <w:t>.</w:t>
            </w:r>
            <w:r w:rsidR="00C35B48">
              <w:rPr>
                <w:rFonts w:cstheme="minorHAnsi"/>
                <w:color w:val="000000"/>
              </w:rPr>
              <w:t>08</w:t>
            </w:r>
          </w:p>
        </w:tc>
        <w:tc>
          <w:tcPr>
            <w:tcW w:w="3261" w:type="dxa"/>
            <w:shd w:val="clear" w:color="auto" w:fill="FBE6B1"/>
            <w:vAlign w:val="center"/>
          </w:tcPr>
          <w:p w14:paraId="1BAEE0F5" w14:textId="77777777" w:rsidR="003B2E80" w:rsidRPr="00CF39C8" w:rsidRDefault="003B2E80" w:rsidP="003B2E80">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Government and compliance</w:t>
            </w:r>
          </w:p>
        </w:tc>
        <w:tc>
          <w:tcPr>
            <w:tcW w:w="1417" w:type="dxa"/>
            <w:shd w:val="clear" w:color="auto" w:fill="FBE6B1"/>
            <w:vAlign w:val="center"/>
          </w:tcPr>
          <w:p w14:paraId="1EF8D1E6"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$0.19</w:t>
            </w:r>
          </w:p>
        </w:tc>
      </w:tr>
      <w:tr w:rsidR="003B2E80" w:rsidRPr="00CF39C8" w14:paraId="13D67771"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2A8499F"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Reduced vehicle maintenance</w:t>
            </w:r>
            <w:r w:rsidRPr="00CF39C8" w:rsidDel="00551C78">
              <w:rPr>
                <w:rFonts w:cstheme="minorHAnsi"/>
                <w:b w:val="0"/>
                <w:bCs w:val="0"/>
                <w:color w:val="000000"/>
              </w:rPr>
              <w:t xml:space="preserve"> </w:t>
            </w:r>
          </w:p>
        </w:tc>
        <w:tc>
          <w:tcPr>
            <w:tcW w:w="2126" w:type="dxa"/>
            <w:shd w:val="clear" w:color="auto" w:fill="BFEDC1"/>
            <w:vAlign w:val="center"/>
          </w:tcPr>
          <w:p w14:paraId="3D1D4C14" w14:textId="77777777" w:rsidR="003B2E80" w:rsidRPr="00CF39C8" w:rsidRDefault="00ED3588"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C35B48">
              <w:rPr>
                <w:rFonts w:cstheme="minorHAnsi"/>
                <w:color w:val="000000"/>
              </w:rPr>
              <w:t>13</w:t>
            </w:r>
            <w:r>
              <w:rPr>
                <w:rFonts w:cstheme="minorHAnsi"/>
                <w:color w:val="000000"/>
              </w:rPr>
              <w:t>.</w:t>
            </w:r>
            <w:r w:rsidR="00C35B48">
              <w:rPr>
                <w:rFonts w:cstheme="minorHAnsi"/>
                <w:color w:val="000000"/>
              </w:rPr>
              <w:t>8</w:t>
            </w:r>
            <w:r w:rsidR="00066565">
              <w:rPr>
                <w:rFonts w:cstheme="minorHAnsi"/>
                <w:color w:val="000000"/>
              </w:rPr>
              <w:t>5</w:t>
            </w:r>
          </w:p>
        </w:tc>
        <w:tc>
          <w:tcPr>
            <w:tcW w:w="3261" w:type="dxa"/>
            <w:shd w:val="clear" w:color="auto" w:fill="FBE6B1"/>
            <w:vAlign w:val="center"/>
          </w:tcPr>
          <w:p w14:paraId="27FC63B9"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Vehicle technology costs</w:t>
            </w:r>
            <w:r w:rsidRPr="00CF39C8" w:rsidDel="00A55B5C">
              <w:rPr>
                <w:rFonts w:cstheme="minorHAnsi"/>
                <w:color w:val="000000"/>
              </w:rPr>
              <w:t xml:space="preserve"> </w:t>
            </w:r>
          </w:p>
        </w:tc>
        <w:tc>
          <w:tcPr>
            <w:tcW w:w="1417" w:type="dxa"/>
            <w:shd w:val="clear" w:color="auto" w:fill="FBE6B1"/>
            <w:vAlign w:val="center"/>
          </w:tcPr>
          <w:p w14:paraId="188A7C7D"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w:t>
            </w:r>
            <w:r w:rsidR="000840DA">
              <w:rPr>
                <w:rFonts w:cstheme="minorHAnsi"/>
                <w:color w:val="000000"/>
              </w:rPr>
              <w:t>59</w:t>
            </w:r>
          </w:p>
        </w:tc>
      </w:tr>
      <w:tr w:rsidR="003B2E80" w:rsidRPr="00CF39C8" w14:paraId="64146775" w14:textId="77777777" w:rsidTr="00E33731">
        <w:trPr>
          <w:trHeight w:val="284"/>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25B0EE16"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2126" w:type="dxa"/>
            <w:shd w:val="clear" w:color="auto" w:fill="BFEDC1"/>
            <w:vAlign w:val="center"/>
          </w:tcPr>
          <w:p w14:paraId="0FAA9923" w14:textId="77777777" w:rsidR="003B2E80" w:rsidRPr="00CF39C8" w:rsidRDefault="005F2BA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$4.9</w:t>
            </w:r>
            <w:r w:rsidR="00066565">
              <w:rPr>
                <w:rFonts w:cstheme="minorHAnsi"/>
                <w:color w:val="000000"/>
              </w:rPr>
              <w:t>9</w:t>
            </w:r>
          </w:p>
        </w:tc>
        <w:tc>
          <w:tcPr>
            <w:tcW w:w="3261" w:type="dxa"/>
            <w:shd w:val="clear" w:color="auto" w:fill="FBE6B1"/>
            <w:vAlign w:val="center"/>
          </w:tcPr>
          <w:p w14:paraId="1EC190B5"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02D9440D"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w:t>
            </w:r>
            <w:r w:rsidR="000840DA">
              <w:rPr>
                <w:rFonts w:cstheme="minorHAnsi"/>
                <w:color w:val="000000"/>
              </w:rPr>
              <w:t>5</w:t>
            </w:r>
            <w:r>
              <w:rPr>
                <w:rFonts w:cstheme="minorHAnsi"/>
                <w:color w:val="000000"/>
              </w:rPr>
              <w:t>.</w:t>
            </w:r>
            <w:r w:rsidR="000840DA">
              <w:rPr>
                <w:rFonts w:cstheme="minorHAnsi"/>
                <w:color w:val="000000"/>
              </w:rPr>
              <w:t>69</w:t>
            </w:r>
          </w:p>
        </w:tc>
      </w:tr>
      <w:tr w:rsidR="003B2E80" w:rsidRPr="00CF39C8" w14:paraId="299CA4AC"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DD1F14F"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 xml:space="preserve">GHG emissions </w:t>
            </w:r>
          </w:p>
        </w:tc>
        <w:tc>
          <w:tcPr>
            <w:tcW w:w="2126" w:type="dxa"/>
            <w:shd w:val="clear" w:color="auto" w:fill="BFEDC1"/>
            <w:vAlign w:val="center"/>
          </w:tcPr>
          <w:p w14:paraId="7A235390"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0840DA">
              <w:rPr>
                <w:rFonts w:cstheme="minorHAnsi"/>
                <w:color w:val="000000"/>
              </w:rPr>
              <w:t>12</w:t>
            </w:r>
            <w:r>
              <w:rPr>
                <w:rFonts w:cstheme="minorHAnsi"/>
                <w:color w:val="000000"/>
              </w:rPr>
              <w:t>.</w:t>
            </w:r>
            <w:r w:rsidR="000840DA">
              <w:rPr>
                <w:rFonts w:cstheme="minorHAnsi"/>
                <w:color w:val="000000"/>
              </w:rPr>
              <w:t>67</w:t>
            </w:r>
          </w:p>
        </w:tc>
        <w:tc>
          <w:tcPr>
            <w:tcW w:w="3261" w:type="dxa"/>
            <w:shd w:val="clear" w:color="auto" w:fill="FBE6B1"/>
            <w:vAlign w:val="center"/>
          </w:tcPr>
          <w:p w14:paraId="3849C2DC"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00C53C08"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0840DA">
              <w:rPr>
                <w:rFonts w:cstheme="minorHAnsi"/>
                <w:color w:val="000000"/>
              </w:rPr>
              <w:t>8</w:t>
            </w:r>
            <w:r>
              <w:rPr>
                <w:rFonts w:cstheme="minorHAnsi"/>
                <w:color w:val="000000"/>
              </w:rPr>
              <w:t>.</w:t>
            </w:r>
            <w:r w:rsidR="000840DA">
              <w:rPr>
                <w:rFonts w:cstheme="minorHAnsi"/>
                <w:color w:val="000000"/>
              </w:rPr>
              <w:t>0</w:t>
            </w:r>
            <w:r w:rsidR="002726CC">
              <w:rPr>
                <w:rFonts w:cstheme="minorHAnsi"/>
                <w:color w:val="000000"/>
              </w:rPr>
              <w:t>7</w:t>
            </w:r>
          </w:p>
        </w:tc>
      </w:tr>
      <w:tr w:rsidR="003B2E80" w:rsidRPr="00CF39C8" w14:paraId="475489EC"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96622F0" w14:textId="77777777" w:rsidR="003B2E80" w:rsidRPr="00CF39C8" w:rsidRDefault="003B2E80" w:rsidP="003B2E80">
            <w:pPr>
              <w:spacing w:before="80"/>
              <w:ind w:left="29"/>
              <w:rPr>
                <w:rFonts w:cstheme="minorHAnsi"/>
              </w:rPr>
            </w:pPr>
            <w:r w:rsidRPr="00CF39C8">
              <w:rPr>
                <w:rFonts w:cstheme="minorHAnsi"/>
              </w:rPr>
              <w:t>Total benefits</w:t>
            </w:r>
          </w:p>
        </w:tc>
        <w:tc>
          <w:tcPr>
            <w:tcW w:w="2126" w:type="dxa"/>
            <w:shd w:val="clear" w:color="auto" w:fill="BFEDC1"/>
            <w:vAlign w:val="center"/>
          </w:tcPr>
          <w:p w14:paraId="5E574F54"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w:t>
            </w:r>
            <w:r w:rsidR="000840DA">
              <w:rPr>
                <w:rFonts w:cstheme="minorHAnsi"/>
                <w:b/>
                <w:bCs/>
              </w:rPr>
              <w:t>126</w:t>
            </w:r>
            <w:r>
              <w:rPr>
                <w:rFonts w:cstheme="minorHAnsi"/>
                <w:b/>
                <w:bCs/>
              </w:rPr>
              <w:t>.</w:t>
            </w:r>
            <w:r w:rsidR="000840DA">
              <w:rPr>
                <w:rFonts w:cstheme="minorHAnsi"/>
                <w:b/>
                <w:bCs/>
              </w:rPr>
              <w:t>5</w:t>
            </w:r>
            <w:r w:rsidR="00066565">
              <w:rPr>
                <w:rFonts w:cstheme="minorHAnsi"/>
                <w:b/>
                <w:bCs/>
              </w:rPr>
              <w:t>9</w:t>
            </w:r>
          </w:p>
        </w:tc>
        <w:tc>
          <w:tcPr>
            <w:tcW w:w="3261" w:type="dxa"/>
            <w:shd w:val="clear" w:color="auto" w:fill="FBE6B1"/>
            <w:vAlign w:val="center"/>
          </w:tcPr>
          <w:p w14:paraId="568B2E98" w14:textId="77777777" w:rsidR="003B2E80" w:rsidRPr="00CF39C8" w:rsidRDefault="003B2E80" w:rsidP="003B2E80">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34875855" w14:textId="77777777" w:rsidR="003B2E80" w:rsidRPr="00CF39C8" w:rsidRDefault="00524D48" w:rsidP="003B2E80">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w:t>
            </w:r>
            <w:r w:rsidR="000840DA">
              <w:rPr>
                <w:rFonts w:cstheme="minorHAnsi"/>
                <w:b/>
                <w:color w:val="000000"/>
              </w:rPr>
              <w:t>40</w:t>
            </w:r>
            <w:r>
              <w:rPr>
                <w:rFonts w:cstheme="minorHAnsi"/>
                <w:b/>
                <w:color w:val="000000"/>
              </w:rPr>
              <w:t>.</w:t>
            </w:r>
            <w:r w:rsidR="000840DA">
              <w:rPr>
                <w:rFonts w:cstheme="minorHAnsi"/>
                <w:b/>
                <w:color w:val="000000"/>
              </w:rPr>
              <w:t>5</w:t>
            </w:r>
            <w:r w:rsidR="00066565">
              <w:rPr>
                <w:rFonts w:cstheme="minorHAnsi"/>
                <w:b/>
                <w:color w:val="000000"/>
              </w:rPr>
              <w:t>5</w:t>
            </w:r>
          </w:p>
        </w:tc>
      </w:tr>
      <w:tr w:rsidR="003B2E80" w:rsidRPr="00CF39C8" w14:paraId="38E7B838"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04040" w:themeFill="text1" w:themeFillTint="BF"/>
          </w:tcPr>
          <w:p w14:paraId="113C02CC" w14:textId="77777777" w:rsidR="003B2E80" w:rsidRPr="00CF39C8" w:rsidRDefault="003B2E80" w:rsidP="003B2E80">
            <w:pPr>
              <w:spacing w:before="80"/>
              <w:ind w:left="29"/>
              <w:rPr>
                <w:rFonts w:cstheme="minorHAnsi"/>
                <w:color w:val="FFFFFF" w:themeColor="background1"/>
              </w:rPr>
            </w:pPr>
            <w:r w:rsidRPr="00CF39C8">
              <w:rPr>
                <w:rFonts w:cstheme="minorHAnsi"/>
                <w:color w:val="FFFFFF" w:themeColor="background1"/>
              </w:rPr>
              <w:t>Net benefits:</w:t>
            </w:r>
          </w:p>
        </w:tc>
        <w:tc>
          <w:tcPr>
            <w:tcW w:w="6804" w:type="dxa"/>
            <w:gridSpan w:val="3"/>
            <w:shd w:val="clear" w:color="auto" w:fill="404040" w:themeFill="text1" w:themeFillTint="BF"/>
          </w:tcPr>
          <w:p w14:paraId="4643FA57" w14:textId="77777777" w:rsidR="003B2E80" w:rsidRPr="00CF39C8" w:rsidRDefault="003B2E80" w:rsidP="003B2E80">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0840DA">
              <w:rPr>
                <w:rFonts w:cstheme="minorHAnsi"/>
                <w:b/>
                <w:color w:val="FFFFFF" w:themeColor="background1"/>
              </w:rPr>
              <w:t>86</w:t>
            </w:r>
            <w:r w:rsidR="00524D48">
              <w:rPr>
                <w:rFonts w:cstheme="minorHAnsi"/>
                <w:b/>
                <w:color w:val="FFFFFF" w:themeColor="background1"/>
              </w:rPr>
              <w:t>.</w:t>
            </w:r>
            <w:r w:rsidR="000840DA">
              <w:rPr>
                <w:rFonts w:cstheme="minorHAnsi"/>
                <w:b/>
                <w:color w:val="FFFFFF" w:themeColor="background1"/>
              </w:rPr>
              <w:t>04</w:t>
            </w:r>
            <w:r w:rsidR="002726CC">
              <w:rPr>
                <w:rFonts w:cstheme="minorHAnsi"/>
                <w:b/>
                <w:color w:val="FFFFFF" w:themeColor="background1"/>
              </w:rPr>
              <w:t xml:space="preserve"> billion</w:t>
            </w:r>
          </w:p>
        </w:tc>
      </w:tr>
      <w:tr w:rsidR="003B2E80" w:rsidRPr="00CF39C8" w14:paraId="57726E54"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04040" w:themeFill="text1" w:themeFillTint="BF"/>
          </w:tcPr>
          <w:p w14:paraId="2C93034D" w14:textId="77777777" w:rsidR="003B2E80" w:rsidRPr="00CF39C8" w:rsidRDefault="003B2E80" w:rsidP="003B2E80">
            <w:pPr>
              <w:spacing w:before="80"/>
              <w:ind w:left="29"/>
              <w:rPr>
                <w:rFonts w:cstheme="minorHAnsi"/>
                <w:color w:val="FFFFFF" w:themeColor="background1"/>
              </w:rPr>
            </w:pPr>
            <w:r w:rsidRPr="00CF39C8">
              <w:rPr>
                <w:rFonts w:cstheme="minorHAnsi"/>
                <w:color w:val="FFFFFF" w:themeColor="background1"/>
              </w:rPr>
              <w:t>Benefits cost ratio:</w:t>
            </w:r>
          </w:p>
        </w:tc>
        <w:tc>
          <w:tcPr>
            <w:tcW w:w="6804" w:type="dxa"/>
            <w:gridSpan w:val="3"/>
            <w:shd w:val="clear" w:color="auto" w:fill="404040" w:themeFill="text1" w:themeFillTint="BF"/>
          </w:tcPr>
          <w:p w14:paraId="1EF27B57" w14:textId="77777777" w:rsidR="003B2E80" w:rsidRPr="00CF39C8" w:rsidRDefault="00524D48" w:rsidP="003B2E80">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3.</w:t>
            </w:r>
            <w:r w:rsidR="000840DA">
              <w:rPr>
                <w:rFonts w:cstheme="minorHAnsi"/>
                <w:b/>
                <w:color w:val="FFFFFF" w:themeColor="background1"/>
              </w:rPr>
              <w:t>12</w:t>
            </w:r>
          </w:p>
        </w:tc>
      </w:tr>
    </w:tbl>
    <w:p w14:paraId="5BFF6F6B" w14:textId="77777777" w:rsidR="003B2E80" w:rsidRPr="00CF39C8" w:rsidRDefault="003B2E80" w:rsidP="003B2E80">
      <w:pPr>
        <w:pStyle w:val="Caption"/>
        <w:rPr>
          <w:b w:val="0"/>
        </w:rPr>
      </w:pPr>
      <w:bookmarkStart w:id="376" w:name="_Toc161837777"/>
      <w:bookmarkStart w:id="377" w:name="_Toc161933224"/>
      <w:bookmarkStart w:id="378" w:name="_Toc163221124"/>
      <w:r w:rsidRPr="00CF39C8">
        <w:t xml:space="preserve">Table </w:t>
      </w:r>
      <w:r w:rsidR="0052587E">
        <w:t>1</w:t>
      </w:r>
      <w:r w:rsidR="00C6227F">
        <w:t>2</w:t>
      </w:r>
      <w:r w:rsidRPr="00CF39C8">
        <w:t xml:space="preserve"> </w:t>
      </w:r>
      <w:r w:rsidRPr="00CF39C8">
        <w:rPr>
          <w:b w:val="0"/>
        </w:rPr>
        <w:t>–</w:t>
      </w:r>
      <w:r w:rsidRPr="00CF39C8">
        <w:t xml:space="preserve"> </w:t>
      </w:r>
      <w:r w:rsidRPr="00CF39C8">
        <w:rPr>
          <w:b w:val="0"/>
        </w:rPr>
        <w:t xml:space="preserve">Benefits and costs of </w:t>
      </w:r>
      <w:bookmarkEnd w:id="376"/>
      <w:r w:rsidR="005A655D">
        <w:rPr>
          <w:b w:val="0"/>
        </w:rPr>
        <w:t>the best option</w:t>
      </w:r>
      <w:bookmarkEnd w:id="377"/>
      <w:bookmarkEnd w:id="378"/>
    </w:p>
    <w:p w14:paraId="71625314" w14:textId="77777777" w:rsidR="003703BB" w:rsidRPr="00CF39C8" w:rsidRDefault="00A2710A" w:rsidP="00430317">
      <w:pPr>
        <w:pStyle w:val="Heading3"/>
        <w:numPr>
          <w:ilvl w:val="2"/>
          <w:numId w:val="73"/>
        </w:numPr>
        <w:rPr>
          <w:rFonts w:cstheme="majorHAnsi"/>
        </w:rPr>
      </w:pPr>
      <w:bookmarkStart w:id="379" w:name="_Toc161837672"/>
      <w:bookmarkStart w:id="380" w:name="_Toc161933169"/>
      <w:bookmarkStart w:id="381" w:name="_Toc162276476"/>
      <w:bookmarkStart w:id="382" w:name="_Toc163221072"/>
      <w:r>
        <w:rPr>
          <w:rFonts w:cstheme="majorHAnsi"/>
        </w:rPr>
        <w:t>H</w:t>
      </w:r>
      <w:r w:rsidR="003703BB" w:rsidRPr="00CF39C8">
        <w:rPr>
          <w:rFonts w:cstheme="majorHAnsi"/>
        </w:rPr>
        <w:t>ow do the different options impact stakeholders?</w:t>
      </w:r>
      <w:bookmarkEnd w:id="379"/>
      <w:bookmarkEnd w:id="380"/>
      <w:bookmarkEnd w:id="381"/>
      <w:bookmarkEnd w:id="382"/>
      <w:r w:rsidR="003703BB" w:rsidRPr="00CF39C8">
        <w:rPr>
          <w:rFonts w:cstheme="majorHAnsi"/>
        </w:rPr>
        <w:t xml:space="preserve"> </w:t>
      </w:r>
    </w:p>
    <w:p w14:paraId="641A2617" w14:textId="77777777" w:rsidR="00A26BD0" w:rsidRPr="00CF39C8" w:rsidRDefault="00663E1B" w:rsidP="00493424">
      <w:pPr>
        <w:spacing w:after="160" w:line="256" w:lineRule="auto"/>
        <w:rPr>
          <w:rFonts w:asciiTheme="majorHAnsi" w:hAnsiTheme="majorHAnsi" w:cstheme="majorHAnsi"/>
        </w:rPr>
      </w:pPr>
      <w:r w:rsidRPr="00CF39C8">
        <w:rPr>
          <w:rFonts w:asciiTheme="majorHAnsi" w:hAnsiTheme="majorHAnsi" w:cstheme="majorHAnsi"/>
        </w:rPr>
        <w:t>The options considered impact different groups in different ways, but some trends are clear.</w:t>
      </w:r>
      <w:r w:rsidR="003D5249" w:rsidRPr="00CF39C8">
        <w:rPr>
          <w:rFonts w:asciiTheme="majorHAnsi" w:hAnsiTheme="majorHAnsi" w:cstheme="majorHAnsi"/>
        </w:rPr>
        <w:t xml:space="preserve"> </w:t>
      </w:r>
    </w:p>
    <w:tbl>
      <w:tblPr>
        <w:tblStyle w:val="ListTable4-Accent5"/>
        <w:tblW w:w="9776" w:type="dxa"/>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CellMar>
          <w:top w:w="57" w:type="dxa"/>
        </w:tblCellMar>
        <w:tblLook w:val="04A0" w:firstRow="1" w:lastRow="0" w:firstColumn="1" w:lastColumn="0" w:noHBand="0" w:noVBand="1"/>
      </w:tblPr>
      <w:tblGrid>
        <w:gridCol w:w="2689"/>
        <w:gridCol w:w="7087"/>
      </w:tblGrid>
      <w:tr w:rsidR="00FF42F6" w:rsidRPr="00CF39C8" w14:paraId="59B4FEB6" w14:textId="77777777" w:rsidTr="0020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shd w:val="clear" w:color="auto" w:fill="417A84" w:themeFill="accent5" w:themeFillShade="BF"/>
            <w:vAlign w:val="center"/>
          </w:tcPr>
          <w:p w14:paraId="5A343C10" w14:textId="77777777" w:rsidR="00FF42F6" w:rsidRPr="00CF39C8" w:rsidRDefault="00FF42F6" w:rsidP="00141463">
            <w:pPr>
              <w:spacing w:after="160" w:line="256" w:lineRule="auto"/>
              <w:rPr>
                <w:rFonts w:asciiTheme="majorHAnsi" w:hAnsiTheme="majorHAnsi" w:cstheme="majorHAnsi"/>
                <w:sz w:val="24"/>
                <w:szCs w:val="24"/>
              </w:rPr>
            </w:pPr>
            <w:r w:rsidRPr="00CF39C8">
              <w:rPr>
                <w:rFonts w:asciiTheme="majorHAnsi" w:hAnsiTheme="majorHAnsi" w:cstheme="majorHAnsi"/>
                <w:sz w:val="24"/>
                <w:szCs w:val="24"/>
              </w:rPr>
              <w:t>Stakeholder</w:t>
            </w:r>
          </w:p>
        </w:tc>
        <w:tc>
          <w:tcPr>
            <w:tcW w:w="7087" w:type="dxa"/>
            <w:tcBorders>
              <w:top w:val="none" w:sz="0" w:space="0" w:color="auto"/>
              <w:bottom w:val="none" w:sz="0" w:space="0" w:color="auto"/>
              <w:right w:val="none" w:sz="0" w:space="0" w:color="auto"/>
            </w:tcBorders>
            <w:shd w:val="clear" w:color="auto" w:fill="417A84" w:themeFill="accent5" w:themeFillShade="BF"/>
            <w:vAlign w:val="center"/>
          </w:tcPr>
          <w:p w14:paraId="20F10762" w14:textId="77777777" w:rsidR="00FF42F6" w:rsidRPr="00CF39C8" w:rsidRDefault="00FF42F6" w:rsidP="00141463">
            <w:pPr>
              <w:spacing w:after="160" w:line="25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CF39C8">
              <w:rPr>
                <w:rFonts w:asciiTheme="majorHAnsi" w:hAnsiTheme="majorHAnsi" w:cstheme="majorHAnsi"/>
                <w:sz w:val="24"/>
                <w:szCs w:val="24"/>
              </w:rPr>
              <w:t>Definition</w:t>
            </w:r>
          </w:p>
        </w:tc>
      </w:tr>
      <w:tr w:rsidR="00FF42F6" w:rsidRPr="00CF39C8" w14:paraId="775F0F00" w14:textId="77777777" w:rsidTr="00204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F9C6A3B"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 xml:space="preserve">Motorists </w:t>
            </w:r>
          </w:p>
        </w:tc>
        <w:tc>
          <w:tcPr>
            <w:tcW w:w="7087" w:type="dxa"/>
            <w:vAlign w:val="center"/>
          </w:tcPr>
          <w:p w14:paraId="7EA4124D" w14:textId="77777777" w:rsidR="00FF42F6" w:rsidRPr="00CF39C8" w:rsidRDefault="003B2E80" w:rsidP="00141463">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Australians who drive light vehicles for work, leisure or personal purposes.</w:t>
            </w:r>
          </w:p>
        </w:tc>
      </w:tr>
      <w:tr w:rsidR="00FF42F6" w:rsidRPr="00CF39C8" w14:paraId="28E0DE24" w14:textId="77777777" w:rsidTr="00204D16">
        <w:tc>
          <w:tcPr>
            <w:cnfStyle w:val="001000000000" w:firstRow="0" w:lastRow="0" w:firstColumn="1" w:lastColumn="0" w:oddVBand="0" w:evenVBand="0" w:oddHBand="0" w:evenHBand="0" w:firstRowFirstColumn="0" w:firstRowLastColumn="0" w:lastRowFirstColumn="0" w:lastRowLastColumn="0"/>
            <w:tcW w:w="2689" w:type="dxa"/>
            <w:vAlign w:val="center"/>
          </w:tcPr>
          <w:p w14:paraId="14CF7D19"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 xml:space="preserve">Community </w:t>
            </w:r>
          </w:p>
        </w:tc>
        <w:tc>
          <w:tcPr>
            <w:tcW w:w="7087" w:type="dxa"/>
            <w:vAlign w:val="center"/>
          </w:tcPr>
          <w:p w14:paraId="76FED290" w14:textId="77777777" w:rsidR="00FF42F6" w:rsidRPr="00CF39C8" w:rsidRDefault="003B2E80" w:rsidP="00141463">
            <w:pPr>
              <w:spacing w:after="160"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broader Australian community. </w:t>
            </w:r>
          </w:p>
        </w:tc>
      </w:tr>
      <w:tr w:rsidR="00FF42F6" w:rsidRPr="00CF39C8" w14:paraId="3343F6F2" w14:textId="77777777" w:rsidTr="00204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5B6E06C"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Car suppliers</w:t>
            </w:r>
          </w:p>
        </w:tc>
        <w:tc>
          <w:tcPr>
            <w:tcW w:w="7087" w:type="dxa"/>
            <w:vAlign w:val="center"/>
          </w:tcPr>
          <w:p w14:paraId="63CC64CD" w14:textId="77777777" w:rsidR="00FF42F6" w:rsidRPr="00CF39C8" w:rsidRDefault="00A43211" w:rsidP="00141463">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An entity that holds an approval under the </w:t>
            </w:r>
            <w:r w:rsidRPr="00CF39C8">
              <w:rPr>
                <w:rFonts w:asciiTheme="majorHAnsi" w:hAnsiTheme="majorHAnsi" w:cstheme="majorHAnsi"/>
                <w:i/>
                <w:iCs/>
              </w:rPr>
              <w:t>Road Vehicle Standards Act 2018</w:t>
            </w:r>
            <w:r w:rsidRPr="00CF39C8">
              <w:rPr>
                <w:rFonts w:asciiTheme="majorHAnsi" w:hAnsiTheme="majorHAnsi" w:cstheme="majorHAnsi"/>
              </w:rPr>
              <w:t xml:space="preserve"> to provide vehicles to the Australian market. This means an entity that supplies cars to the Australian market. </w:t>
            </w:r>
          </w:p>
        </w:tc>
      </w:tr>
    </w:tbl>
    <w:p w14:paraId="51658006" w14:textId="77777777" w:rsidR="009C5230" w:rsidRPr="00CF39C8" w:rsidRDefault="0052587E" w:rsidP="0052587E">
      <w:pPr>
        <w:pStyle w:val="Caption"/>
        <w:keepNext/>
        <w:rPr>
          <w:rFonts w:asciiTheme="majorHAnsi" w:hAnsiTheme="majorHAnsi" w:cstheme="majorHAnsi"/>
        </w:rPr>
      </w:pPr>
      <w:bookmarkStart w:id="383" w:name="_Toc161837778"/>
      <w:bookmarkStart w:id="384" w:name="_Toc161933225"/>
      <w:bookmarkStart w:id="385" w:name="_Toc163221125"/>
      <w:r w:rsidRPr="00F52905">
        <w:t xml:space="preserve">Table </w:t>
      </w:r>
      <w:r>
        <w:t>1</w:t>
      </w:r>
      <w:r w:rsidR="00C6227F">
        <w:t>3</w:t>
      </w:r>
      <w:r w:rsidRPr="00F52905">
        <w:t xml:space="preserve"> </w:t>
      </w:r>
      <w:r w:rsidRPr="00F52905">
        <w:rPr>
          <w:b w:val="0"/>
        </w:rPr>
        <w:t xml:space="preserve">– </w:t>
      </w:r>
      <w:r>
        <w:rPr>
          <w:b w:val="0"/>
        </w:rPr>
        <w:t>Definition of stakeholders</w:t>
      </w:r>
      <w:bookmarkEnd w:id="383"/>
      <w:bookmarkEnd w:id="384"/>
      <w:bookmarkEnd w:id="385"/>
    </w:p>
    <w:p w14:paraId="3DED456A" w14:textId="77777777" w:rsidR="0035082B" w:rsidRPr="00CF39C8" w:rsidRDefault="00663E1B" w:rsidP="00493424">
      <w:pPr>
        <w:spacing w:after="160" w:line="256" w:lineRule="auto"/>
        <w:rPr>
          <w:rFonts w:asciiTheme="majorHAnsi" w:hAnsiTheme="majorHAnsi" w:cstheme="majorHAnsi"/>
        </w:rPr>
      </w:pPr>
      <w:r w:rsidRPr="00CF39C8">
        <w:rPr>
          <w:rFonts w:asciiTheme="majorHAnsi" w:hAnsiTheme="majorHAnsi" w:cstheme="majorHAnsi"/>
        </w:rPr>
        <w:t xml:space="preserve">Fuel savings to motorists are the dominant benefit, accounting for </w:t>
      </w:r>
      <w:r w:rsidR="00831254" w:rsidRPr="00CF39C8">
        <w:rPr>
          <w:rFonts w:asciiTheme="majorHAnsi" w:hAnsiTheme="majorHAnsi" w:cstheme="majorHAnsi"/>
        </w:rPr>
        <w:t>around three quarters</w:t>
      </w:r>
      <w:r w:rsidR="00E5573E" w:rsidRPr="00CF39C8">
        <w:rPr>
          <w:rFonts w:asciiTheme="majorHAnsi" w:hAnsiTheme="majorHAnsi" w:cstheme="majorHAnsi"/>
        </w:rPr>
        <w:t xml:space="preserve"> of the benefits under </w:t>
      </w:r>
      <w:r w:rsidR="00B93A36">
        <w:rPr>
          <w:rFonts w:asciiTheme="majorHAnsi" w:hAnsiTheme="majorHAnsi" w:cstheme="majorHAnsi"/>
        </w:rPr>
        <w:t xml:space="preserve">the </w:t>
      </w:r>
      <w:r w:rsidR="00C73B6B">
        <w:rPr>
          <w:rFonts w:asciiTheme="majorHAnsi" w:hAnsiTheme="majorHAnsi" w:cstheme="majorHAnsi"/>
        </w:rPr>
        <w:t xml:space="preserve">best </w:t>
      </w:r>
      <w:r w:rsidR="008A532D">
        <w:rPr>
          <w:rFonts w:asciiTheme="majorHAnsi" w:hAnsiTheme="majorHAnsi" w:cstheme="majorHAnsi"/>
        </w:rPr>
        <w:t>o</w:t>
      </w:r>
      <w:r w:rsidR="00DC48C3">
        <w:rPr>
          <w:rFonts w:asciiTheme="majorHAnsi" w:hAnsiTheme="majorHAnsi" w:cstheme="majorHAnsi"/>
        </w:rPr>
        <w:t xml:space="preserve">ption </w:t>
      </w:r>
      <w:r w:rsidR="008A532D">
        <w:rPr>
          <w:rFonts w:asciiTheme="majorHAnsi" w:hAnsiTheme="majorHAnsi" w:cstheme="majorHAnsi"/>
        </w:rPr>
        <w:t>a</w:t>
      </w:r>
      <w:r w:rsidR="00B93A36">
        <w:rPr>
          <w:rFonts w:asciiTheme="majorHAnsi" w:hAnsiTheme="majorHAnsi" w:cstheme="majorHAnsi"/>
        </w:rPr>
        <w:t>s well as o</w:t>
      </w:r>
      <w:r w:rsidR="005216AB" w:rsidRPr="00CF39C8">
        <w:rPr>
          <w:rFonts w:asciiTheme="majorHAnsi" w:hAnsiTheme="majorHAnsi" w:cstheme="majorHAnsi"/>
        </w:rPr>
        <w:t>ptions B</w:t>
      </w:r>
      <w:r w:rsidR="004109CD" w:rsidRPr="00CF39C8">
        <w:rPr>
          <w:rFonts w:asciiTheme="majorHAnsi" w:hAnsiTheme="majorHAnsi" w:cstheme="majorHAnsi"/>
        </w:rPr>
        <w:t xml:space="preserve">, </w:t>
      </w:r>
      <w:r w:rsidR="005216AB" w:rsidRPr="00CF39C8">
        <w:rPr>
          <w:rFonts w:asciiTheme="majorHAnsi" w:hAnsiTheme="majorHAnsi" w:cstheme="majorHAnsi"/>
        </w:rPr>
        <w:t xml:space="preserve">C, and most of the benefit in </w:t>
      </w:r>
      <w:r w:rsidR="00DC48C3">
        <w:rPr>
          <w:rFonts w:asciiTheme="majorHAnsi" w:hAnsiTheme="majorHAnsi" w:cstheme="majorHAnsi"/>
        </w:rPr>
        <w:t>Option A</w:t>
      </w:r>
      <w:r w:rsidR="00E5573E" w:rsidRPr="00CF39C8">
        <w:rPr>
          <w:rFonts w:asciiTheme="majorHAnsi" w:hAnsiTheme="majorHAnsi" w:cstheme="majorHAnsi"/>
        </w:rPr>
        <w:t xml:space="preserve">. This is partly offset by electricity costs as the fleet is electrified, but for example, under </w:t>
      </w:r>
      <w:r w:rsidR="00C12BE2">
        <w:rPr>
          <w:rFonts w:asciiTheme="majorHAnsi" w:hAnsiTheme="majorHAnsi" w:cstheme="majorHAnsi"/>
        </w:rPr>
        <w:t>Option B</w:t>
      </w:r>
      <w:r w:rsidR="003A4060" w:rsidRPr="00CF39C8">
        <w:rPr>
          <w:rFonts w:asciiTheme="majorHAnsi" w:hAnsiTheme="majorHAnsi" w:cstheme="majorHAnsi"/>
        </w:rPr>
        <w:t xml:space="preserve"> and </w:t>
      </w:r>
      <w:r w:rsidR="00996747" w:rsidRPr="0075340E">
        <w:rPr>
          <w:rFonts w:asciiTheme="majorHAnsi" w:hAnsiTheme="majorHAnsi" w:cstheme="majorHAnsi"/>
        </w:rPr>
        <w:t xml:space="preserve">the </w:t>
      </w:r>
      <w:r w:rsidR="00C73B6B">
        <w:rPr>
          <w:rFonts w:asciiTheme="majorHAnsi" w:hAnsiTheme="majorHAnsi" w:cstheme="majorHAnsi"/>
        </w:rPr>
        <w:t>best</w:t>
      </w:r>
      <w:r w:rsidR="00C73B6B" w:rsidRPr="0075340E">
        <w:rPr>
          <w:rFonts w:asciiTheme="majorHAnsi" w:hAnsiTheme="majorHAnsi" w:cstheme="majorHAnsi"/>
        </w:rPr>
        <w:t xml:space="preserve"> </w:t>
      </w:r>
      <w:r w:rsidR="00996747" w:rsidRPr="0075340E">
        <w:rPr>
          <w:rFonts w:asciiTheme="majorHAnsi" w:hAnsiTheme="majorHAnsi" w:cstheme="majorHAnsi"/>
        </w:rPr>
        <w:t>option</w:t>
      </w:r>
      <w:r w:rsidR="00E5573E" w:rsidRPr="00CF39C8">
        <w:rPr>
          <w:rFonts w:asciiTheme="majorHAnsi" w:hAnsiTheme="majorHAnsi" w:cstheme="majorHAnsi"/>
        </w:rPr>
        <w:t>, the increased electricity costs are less than one third of the fuel cost savings</w:t>
      </w:r>
      <w:r w:rsidR="00415417" w:rsidRPr="00CF39C8">
        <w:rPr>
          <w:rFonts w:asciiTheme="majorHAnsi" w:hAnsiTheme="majorHAnsi" w:cstheme="majorHAnsi"/>
        </w:rPr>
        <w:t xml:space="preserve">. </w:t>
      </w:r>
    </w:p>
    <w:p w14:paraId="528CC82D" w14:textId="77777777" w:rsidR="00F23D6C" w:rsidRPr="00CF39C8" w:rsidRDefault="00415417" w:rsidP="00493424">
      <w:pPr>
        <w:spacing w:after="160" w:line="256" w:lineRule="auto"/>
        <w:rPr>
          <w:rFonts w:asciiTheme="majorHAnsi" w:hAnsiTheme="majorHAnsi" w:cstheme="majorHAnsi"/>
        </w:rPr>
      </w:pPr>
      <w:r w:rsidRPr="00CF39C8">
        <w:rPr>
          <w:rFonts w:asciiTheme="majorHAnsi" w:hAnsiTheme="majorHAnsi" w:cstheme="majorHAnsi"/>
        </w:rPr>
        <w:t>U</w:t>
      </w:r>
      <w:r w:rsidR="00F23D6C" w:rsidRPr="00CF39C8">
        <w:rPr>
          <w:rFonts w:asciiTheme="majorHAnsi" w:hAnsiTheme="majorHAnsi" w:cstheme="majorHAnsi"/>
        </w:rPr>
        <w:t xml:space="preserve">nder </w:t>
      </w:r>
      <w:r w:rsidR="00DC48C3">
        <w:rPr>
          <w:rFonts w:asciiTheme="majorHAnsi" w:hAnsiTheme="majorHAnsi" w:cstheme="majorHAnsi"/>
        </w:rPr>
        <w:t>Option A</w:t>
      </w:r>
      <w:r w:rsidRPr="00CF39C8">
        <w:rPr>
          <w:rFonts w:asciiTheme="majorHAnsi" w:hAnsiTheme="majorHAnsi" w:cstheme="majorHAnsi"/>
        </w:rPr>
        <w:t xml:space="preserve"> electricity costs </w:t>
      </w:r>
      <w:r w:rsidR="0035082B" w:rsidRPr="00CF39C8">
        <w:rPr>
          <w:rFonts w:asciiTheme="majorHAnsi" w:hAnsiTheme="majorHAnsi" w:cstheme="majorHAnsi"/>
        </w:rPr>
        <w:t>were</w:t>
      </w:r>
      <w:r w:rsidRPr="00CF39C8">
        <w:rPr>
          <w:rFonts w:asciiTheme="majorHAnsi" w:hAnsiTheme="majorHAnsi" w:cstheme="majorHAnsi"/>
        </w:rPr>
        <w:t xml:space="preserve"> negligible at $4</w:t>
      </w:r>
      <w:r w:rsidR="006371DD" w:rsidRPr="00CF39C8">
        <w:rPr>
          <w:rFonts w:asciiTheme="majorHAnsi" w:hAnsiTheme="majorHAnsi" w:cstheme="majorHAnsi"/>
        </w:rPr>
        <w:t>0</w:t>
      </w:r>
      <w:r w:rsidRPr="00CF39C8">
        <w:rPr>
          <w:rFonts w:asciiTheme="majorHAnsi" w:hAnsiTheme="majorHAnsi" w:cstheme="majorHAnsi"/>
        </w:rPr>
        <w:t xml:space="preserve"> million because</w:t>
      </w:r>
      <w:r w:rsidR="00F23D6C" w:rsidRPr="00CF39C8">
        <w:rPr>
          <w:rFonts w:asciiTheme="majorHAnsi" w:hAnsiTheme="majorHAnsi" w:cstheme="majorHAnsi"/>
        </w:rPr>
        <w:t xml:space="preserve"> under this option our </w:t>
      </w:r>
      <w:r w:rsidR="00082F9C" w:rsidRPr="00CF39C8">
        <w:rPr>
          <w:rFonts w:asciiTheme="majorHAnsi" w:hAnsiTheme="majorHAnsi" w:cstheme="majorHAnsi"/>
        </w:rPr>
        <w:t xml:space="preserve">analysis </w:t>
      </w:r>
      <w:r w:rsidR="00F23D6C" w:rsidRPr="00CF39C8">
        <w:rPr>
          <w:rFonts w:asciiTheme="majorHAnsi" w:hAnsiTheme="majorHAnsi" w:cstheme="majorHAnsi"/>
        </w:rPr>
        <w:t>indicate</w:t>
      </w:r>
      <w:r w:rsidR="0035082B" w:rsidRPr="00CF39C8">
        <w:rPr>
          <w:rFonts w:asciiTheme="majorHAnsi" w:hAnsiTheme="majorHAnsi" w:cstheme="majorHAnsi"/>
        </w:rPr>
        <w:t>d</w:t>
      </w:r>
      <w:r w:rsidR="00F23D6C" w:rsidRPr="00CF39C8">
        <w:rPr>
          <w:rFonts w:asciiTheme="majorHAnsi" w:hAnsiTheme="majorHAnsi" w:cstheme="majorHAnsi"/>
        </w:rPr>
        <w:t xml:space="preserve"> that </w:t>
      </w:r>
      <w:r w:rsidRPr="00CF39C8">
        <w:rPr>
          <w:rFonts w:asciiTheme="majorHAnsi" w:hAnsiTheme="majorHAnsi" w:cstheme="majorHAnsi"/>
        </w:rPr>
        <w:t>almost all the</w:t>
      </w:r>
      <w:r w:rsidR="00F23D6C" w:rsidRPr="00CF39C8">
        <w:rPr>
          <w:rFonts w:asciiTheme="majorHAnsi" w:hAnsiTheme="majorHAnsi" w:cstheme="majorHAnsi"/>
        </w:rPr>
        <w:t xml:space="preserve"> emissions reduction required to deliver the targets is provided by advanced ICE technology and hybrids. </w:t>
      </w:r>
      <w:r w:rsidR="00B93A36">
        <w:rPr>
          <w:rFonts w:asciiTheme="majorHAnsi" w:hAnsiTheme="majorHAnsi" w:cstheme="majorHAnsi"/>
        </w:rPr>
        <w:t xml:space="preserve">The health benefits achieved under the </w:t>
      </w:r>
      <w:r w:rsidR="00AE4BF3">
        <w:rPr>
          <w:rFonts w:asciiTheme="majorHAnsi" w:hAnsiTheme="majorHAnsi" w:cstheme="majorHAnsi"/>
        </w:rPr>
        <w:t>best</w:t>
      </w:r>
      <w:r w:rsidR="00B93A36">
        <w:rPr>
          <w:rFonts w:asciiTheme="majorHAnsi" w:hAnsiTheme="majorHAnsi" w:cstheme="majorHAnsi"/>
        </w:rPr>
        <w:t xml:space="preserve"> option, as well as options B and C were greater than what could be achieved under </w:t>
      </w:r>
      <w:r w:rsidR="00DC48C3">
        <w:rPr>
          <w:rFonts w:asciiTheme="majorHAnsi" w:hAnsiTheme="majorHAnsi" w:cstheme="majorHAnsi"/>
        </w:rPr>
        <w:t>Option A</w:t>
      </w:r>
      <w:r w:rsidR="00B93A36">
        <w:rPr>
          <w:rFonts w:asciiTheme="majorHAnsi" w:hAnsiTheme="majorHAnsi" w:cstheme="majorHAnsi"/>
        </w:rPr>
        <w:t xml:space="preserve"> where they were comparatively limited. </w:t>
      </w:r>
      <w:r w:rsidR="00F23D6C" w:rsidRPr="00CF39C8">
        <w:rPr>
          <w:rFonts w:asciiTheme="majorHAnsi" w:hAnsiTheme="majorHAnsi" w:cstheme="majorHAnsi"/>
        </w:rPr>
        <w:t>A similar trend occurs for the value of GHG emissions reduction and reduced vehicle maintenance. All of these benefits accrue to motorists or the general community.</w:t>
      </w:r>
    </w:p>
    <w:p w14:paraId="7DE849ED" w14:textId="77777777" w:rsidR="00041212" w:rsidRPr="00CF39C8" w:rsidRDefault="00041212" w:rsidP="00041212">
      <w:pPr>
        <w:spacing w:after="160" w:line="256" w:lineRule="auto"/>
        <w:rPr>
          <w:rFonts w:asciiTheme="majorHAnsi" w:hAnsiTheme="majorHAnsi" w:cstheme="majorHAnsi"/>
        </w:rPr>
      </w:pPr>
      <w:r w:rsidRPr="00CF39C8">
        <w:rPr>
          <w:rFonts w:asciiTheme="majorHAnsi" w:hAnsiTheme="majorHAnsi" w:cstheme="majorHAnsi"/>
        </w:rPr>
        <w:t>The largest forecast cost is electricity costs which is the electricity used to charge electri</w:t>
      </w:r>
      <w:r w:rsidR="00B93A36">
        <w:rPr>
          <w:rFonts w:asciiTheme="majorHAnsi" w:hAnsiTheme="majorHAnsi" w:cstheme="majorHAnsi"/>
        </w:rPr>
        <w:t>fied</w:t>
      </w:r>
      <w:r w:rsidRPr="00CF39C8">
        <w:rPr>
          <w:rFonts w:asciiTheme="majorHAnsi" w:hAnsiTheme="majorHAnsi" w:cstheme="majorHAnsi"/>
        </w:rPr>
        <w:t xml:space="preserve"> vehicles. </w:t>
      </w:r>
      <w:r w:rsidR="00B93A36">
        <w:rPr>
          <w:rFonts w:asciiTheme="majorHAnsi" w:hAnsiTheme="majorHAnsi" w:cstheme="majorHAnsi"/>
        </w:rPr>
        <w:t>T</w:t>
      </w:r>
      <w:r w:rsidRPr="00CF39C8">
        <w:rPr>
          <w:rFonts w:asciiTheme="majorHAnsi" w:hAnsiTheme="majorHAnsi" w:cstheme="majorHAnsi"/>
        </w:rPr>
        <w:t xml:space="preserve">his affects motorists, but offsets only between a third and a sixth of the fuel cost savings. For example, </w:t>
      </w:r>
      <w:r w:rsidR="00C12BE2">
        <w:rPr>
          <w:rFonts w:asciiTheme="majorHAnsi" w:hAnsiTheme="majorHAnsi" w:cstheme="majorHAnsi"/>
        </w:rPr>
        <w:t>Option B</w:t>
      </w:r>
      <w:r w:rsidRPr="00CF39C8">
        <w:rPr>
          <w:rFonts w:asciiTheme="majorHAnsi" w:hAnsiTheme="majorHAnsi" w:cstheme="majorHAnsi"/>
        </w:rPr>
        <w:t xml:space="preserve"> forecast $107.6 billion in fuel cost savings and $29.38 billion in electricity costs offsetting some of the fuel saving</w:t>
      </w:r>
      <w:r>
        <w:rPr>
          <w:rFonts w:asciiTheme="majorHAnsi" w:hAnsiTheme="majorHAnsi" w:cstheme="majorHAnsi"/>
        </w:rPr>
        <w:t xml:space="preserve">. The </w:t>
      </w:r>
      <w:r w:rsidR="00C73B6B">
        <w:rPr>
          <w:rFonts w:asciiTheme="majorHAnsi" w:hAnsiTheme="majorHAnsi" w:cstheme="majorHAnsi"/>
        </w:rPr>
        <w:t xml:space="preserve">best </w:t>
      </w:r>
      <w:r>
        <w:rPr>
          <w:rFonts w:asciiTheme="majorHAnsi" w:hAnsiTheme="majorHAnsi" w:cstheme="majorHAnsi"/>
        </w:rPr>
        <w:t>option</w:t>
      </w:r>
      <w:r w:rsidRPr="003D0C26">
        <w:rPr>
          <w:rFonts w:asciiTheme="majorHAnsi" w:hAnsiTheme="majorHAnsi" w:cstheme="majorHAnsi"/>
        </w:rPr>
        <w:t xml:space="preserve"> forecasts $</w:t>
      </w:r>
      <w:r w:rsidR="009B1D3A">
        <w:rPr>
          <w:rFonts w:asciiTheme="majorHAnsi" w:hAnsiTheme="majorHAnsi" w:cstheme="majorHAnsi"/>
        </w:rPr>
        <w:t>95</w:t>
      </w:r>
      <w:r w:rsidR="00076E79">
        <w:rPr>
          <w:rFonts w:asciiTheme="majorHAnsi" w:hAnsiTheme="majorHAnsi" w:cstheme="majorHAnsi"/>
        </w:rPr>
        <w:t>.08</w:t>
      </w:r>
      <w:r w:rsidRPr="003D0C26">
        <w:rPr>
          <w:rFonts w:asciiTheme="majorHAnsi" w:hAnsiTheme="majorHAnsi" w:cstheme="majorHAnsi"/>
        </w:rPr>
        <w:t xml:space="preserve"> billion in fuel cost savings and $</w:t>
      </w:r>
      <w:r w:rsidR="0021517D" w:rsidRPr="003D0C26">
        <w:rPr>
          <w:rFonts w:asciiTheme="majorHAnsi" w:hAnsiTheme="majorHAnsi" w:cstheme="majorHAnsi"/>
        </w:rPr>
        <w:t>2</w:t>
      </w:r>
      <w:r w:rsidR="00066565">
        <w:rPr>
          <w:rFonts w:asciiTheme="majorHAnsi" w:hAnsiTheme="majorHAnsi" w:cstheme="majorHAnsi"/>
        </w:rPr>
        <w:t>5.69</w:t>
      </w:r>
      <w:r w:rsidRPr="003D0C26">
        <w:rPr>
          <w:rFonts w:asciiTheme="majorHAnsi" w:hAnsiTheme="majorHAnsi" w:cstheme="majorHAnsi"/>
        </w:rPr>
        <w:t xml:space="preserve"> billion in electricity costs</w:t>
      </w:r>
      <w:r w:rsidRPr="00CF39C8">
        <w:rPr>
          <w:rFonts w:asciiTheme="majorHAnsi" w:hAnsiTheme="majorHAnsi" w:cstheme="majorHAnsi"/>
        </w:rPr>
        <w:t xml:space="preserve">. </w:t>
      </w:r>
    </w:p>
    <w:p w14:paraId="5368F24C" w14:textId="77777777" w:rsidR="00041212" w:rsidRDefault="00041212" w:rsidP="00041212">
      <w:pPr>
        <w:spacing w:after="160" w:line="256" w:lineRule="auto"/>
        <w:rPr>
          <w:rFonts w:asciiTheme="majorHAnsi" w:hAnsiTheme="majorHAnsi" w:cstheme="majorHAnsi"/>
        </w:rPr>
      </w:pPr>
      <w:r w:rsidRPr="00CF39C8">
        <w:rPr>
          <w:rFonts w:asciiTheme="majorHAnsi" w:hAnsiTheme="majorHAnsi" w:cstheme="majorHAnsi"/>
        </w:rPr>
        <w:t>The other main costs are vehicle technology costs (which affect vehicle suppliers) and battery replacement costs (which affect motorists). Both of these are substantially higher under options B</w:t>
      </w:r>
      <w:r w:rsidR="00762BA5">
        <w:rPr>
          <w:rFonts w:asciiTheme="majorHAnsi" w:hAnsiTheme="majorHAnsi" w:cstheme="majorHAnsi"/>
        </w:rPr>
        <w:t xml:space="preserve">, </w:t>
      </w:r>
      <w:r w:rsidRPr="00CF39C8">
        <w:rPr>
          <w:rFonts w:asciiTheme="majorHAnsi" w:hAnsiTheme="majorHAnsi" w:cstheme="majorHAnsi"/>
        </w:rPr>
        <w:t>C</w:t>
      </w:r>
      <w:r>
        <w:rPr>
          <w:rFonts w:asciiTheme="majorHAnsi" w:hAnsiTheme="majorHAnsi" w:cstheme="majorHAnsi"/>
        </w:rPr>
        <w:t xml:space="preserve"> and the </w:t>
      </w:r>
      <w:r w:rsidR="00C73B6B">
        <w:rPr>
          <w:rFonts w:asciiTheme="majorHAnsi" w:hAnsiTheme="majorHAnsi" w:cstheme="majorHAnsi"/>
        </w:rPr>
        <w:t xml:space="preserve">best </w:t>
      </w:r>
      <w:r>
        <w:rPr>
          <w:rFonts w:asciiTheme="majorHAnsi" w:hAnsiTheme="majorHAnsi" w:cstheme="majorHAnsi"/>
        </w:rPr>
        <w:t>option,</w:t>
      </w:r>
      <w:r w:rsidRPr="00CF39C8">
        <w:rPr>
          <w:rFonts w:asciiTheme="majorHAnsi" w:hAnsiTheme="majorHAnsi" w:cstheme="majorHAnsi"/>
        </w:rPr>
        <w:t xml:space="preserve"> as a result of these options requiring more significant and rapid changes from business as usual activities. </w:t>
      </w:r>
      <w:r w:rsidR="00DC48C3">
        <w:rPr>
          <w:rFonts w:asciiTheme="majorHAnsi" w:hAnsiTheme="majorHAnsi" w:cstheme="majorHAnsi"/>
        </w:rPr>
        <w:t>Option A</w:t>
      </w:r>
      <w:r w:rsidRPr="00CF39C8">
        <w:rPr>
          <w:rFonts w:asciiTheme="majorHAnsi" w:hAnsiTheme="majorHAnsi" w:cstheme="majorHAnsi"/>
        </w:rPr>
        <w:t xml:space="preserve"> has no material battery replacement cost because this option is achievable with only a few thousand additional EV sales above business as usual.</w:t>
      </w:r>
    </w:p>
    <w:p w14:paraId="7C242858" w14:textId="77777777" w:rsidR="000840DA" w:rsidRDefault="000840DA" w:rsidP="00041212">
      <w:pPr>
        <w:spacing w:after="160" w:line="256" w:lineRule="auto"/>
        <w:rPr>
          <w:rFonts w:asciiTheme="majorHAnsi" w:hAnsiTheme="majorHAnsi" w:cstheme="majorHAnsi"/>
        </w:rPr>
      </w:pPr>
    </w:p>
    <w:p w14:paraId="122CB6E7" w14:textId="77777777" w:rsidR="000840DA" w:rsidRDefault="000840DA" w:rsidP="00041212">
      <w:pPr>
        <w:spacing w:after="160" w:line="256" w:lineRule="auto"/>
        <w:rPr>
          <w:rFonts w:asciiTheme="majorHAnsi" w:hAnsiTheme="majorHAnsi" w:cstheme="majorHAnsi"/>
        </w:rPr>
      </w:pPr>
    </w:p>
    <w:p w14:paraId="58716401" w14:textId="77777777" w:rsidR="000840DA" w:rsidRDefault="000840DA" w:rsidP="00041212">
      <w:pPr>
        <w:spacing w:after="160" w:line="256" w:lineRule="auto"/>
        <w:rPr>
          <w:rFonts w:asciiTheme="majorHAnsi" w:hAnsiTheme="majorHAnsi" w:cstheme="majorHAnsi"/>
        </w:rPr>
      </w:pPr>
    </w:p>
    <w:p w14:paraId="11165B06" w14:textId="77777777" w:rsidR="000840DA" w:rsidRDefault="000840DA" w:rsidP="00041212">
      <w:pPr>
        <w:spacing w:after="160" w:line="256" w:lineRule="auto"/>
        <w:rPr>
          <w:rFonts w:asciiTheme="majorHAnsi" w:hAnsiTheme="majorHAnsi" w:cstheme="majorHAnsi"/>
        </w:rPr>
      </w:pPr>
    </w:p>
    <w:p w14:paraId="21AEB4CC" w14:textId="77777777" w:rsidR="000840DA" w:rsidRDefault="000840DA" w:rsidP="00041212">
      <w:pPr>
        <w:spacing w:after="160" w:line="256" w:lineRule="auto"/>
        <w:rPr>
          <w:rFonts w:asciiTheme="majorHAnsi" w:hAnsiTheme="majorHAnsi" w:cstheme="majorHAnsi"/>
        </w:rPr>
      </w:pPr>
    </w:p>
    <w:p w14:paraId="465AB1C1" w14:textId="77777777" w:rsidR="000840DA" w:rsidRDefault="000840DA" w:rsidP="00041212">
      <w:pPr>
        <w:spacing w:after="160" w:line="256" w:lineRule="auto"/>
        <w:rPr>
          <w:rFonts w:asciiTheme="majorHAnsi" w:hAnsiTheme="majorHAnsi" w:cstheme="majorHAnsi"/>
        </w:rPr>
      </w:pPr>
    </w:p>
    <w:p w14:paraId="20620312" w14:textId="77777777" w:rsidR="000840DA" w:rsidRDefault="000840DA" w:rsidP="00041212">
      <w:pPr>
        <w:spacing w:after="160" w:line="256" w:lineRule="auto"/>
        <w:rPr>
          <w:rFonts w:asciiTheme="majorHAnsi" w:hAnsiTheme="majorHAnsi" w:cstheme="majorHAnsi"/>
        </w:rPr>
      </w:pPr>
    </w:p>
    <w:p w14:paraId="6B1C87BA" w14:textId="77777777" w:rsidR="000840DA" w:rsidRDefault="000840DA" w:rsidP="00041212">
      <w:pPr>
        <w:spacing w:after="160" w:line="256" w:lineRule="auto"/>
        <w:rPr>
          <w:rFonts w:asciiTheme="majorHAnsi" w:hAnsiTheme="majorHAnsi" w:cstheme="majorHAnsi"/>
        </w:rPr>
      </w:pPr>
    </w:p>
    <w:p w14:paraId="408FE1A2" w14:textId="77777777" w:rsidR="00041212" w:rsidRPr="00CF39C8" w:rsidRDefault="00041212" w:rsidP="00041212">
      <w:pPr>
        <w:spacing w:after="160" w:line="256" w:lineRule="auto"/>
        <w:rPr>
          <w:rFonts w:asciiTheme="majorHAnsi" w:hAnsiTheme="majorHAnsi" w:cstheme="majorHAnsi"/>
        </w:rPr>
      </w:pPr>
    </w:p>
    <w:tbl>
      <w:tblPr>
        <w:tblStyle w:val="GridTable1Light"/>
        <w:tblW w:w="0" w:type="auto"/>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9BC7CE"/>
        </w:tblBorders>
        <w:tblLayout w:type="fixed"/>
        <w:tblCellMar>
          <w:top w:w="11" w:type="dxa"/>
          <w:bottom w:w="11" w:type="dxa"/>
        </w:tblCellMar>
        <w:tblLook w:val="04A0" w:firstRow="1" w:lastRow="0" w:firstColumn="1" w:lastColumn="0" w:noHBand="0" w:noVBand="1"/>
        <w:tblCaption w:val="Stakeholder impacts of options"/>
      </w:tblPr>
      <w:tblGrid>
        <w:gridCol w:w="1838"/>
        <w:gridCol w:w="1276"/>
        <w:gridCol w:w="1134"/>
        <w:gridCol w:w="1276"/>
        <w:gridCol w:w="1276"/>
        <w:gridCol w:w="1417"/>
      </w:tblGrid>
      <w:tr w:rsidR="000840DA" w:rsidRPr="00CF39C8" w14:paraId="4156798B" w14:textId="77777777" w:rsidTr="000840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6"/>
            <w:tcBorders>
              <w:bottom w:val="single" w:sz="4" w:space="0" w:color="000000" w:themeColor="text1"/>
            </w:tcBorders>
            <w:shd w:val="clear" w:color="auto" w:fill="417A84" w:themeFill="accent5" w:themeFillShade="BF"/>
          </w:tcPr>
          <w:p w14:paraId="6ACFCF74" w14:textId="77777777" w:rsidR="000840DA" w:rsidRPr="00CF39C8" w:rsidRDefault="000840DA" w:rsidP="000840DA">
            <w:pPr>
              <w:spacing w:before="80"/>
              <w:jc w:val="center"/>
              <w:rPr>
                <w:rFonts w:cstheme="minorHAnsi"/>
                <w:color w:val="FFFFFF" w:themeColor="background1"/>
                <w:sz w:val="18"/>
                <w:szCs w:val="18"/>
              </w:rPr>
            </w:pPr>
            <w:r w:rsidRPr="00CF39C8">
              <w:rPr>
                <w:rFonts w:cstheme="minorHAnsi"/>
                <w:color w:val="FFFFFF" w:themeColor="background1"/>
                <w:sz w:val="18"/>
                <w:szCs w:val="18"/>
              </w:rPr>
              <w:t>Benefits and costs of implementation, and affected stakeholders</w:t>
            </w:r>
          </w:p>
        </w:tc>
      </w:tr>
      <w:tr w:rsidR="008A1242" w:rsidRPr="00CF39C8" w14:paraId="4A0285A5"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right w:val="single" w:sz="4" w:space="0" w:color="000000" w:themeColor="text1"/>
            </w:tcBorders>
            <w:shd w:val="clear" w:color="auto" w:fill="92D050"/>
            <w:vAlign w:val="center"/>
          </w:tcPr>
          <w:p w14:paraId="2D81B29F" w14:textId="77777777" w:rsidR="008A1242" w:rsidRPr="00CF39C8" w:rsidRDefault="008A1242" w:rsidP="00493424">
            <w:pPr>
              <w:spacing w:before="80"/>
              <w:ind w:left="29"/>
              <w:rPr>
                <w:rFonts w:cstheme="minorHAnsi"/>
                <w:sz w:val="18"/>
                <w:szCs w:val="18"/>
              </w:rPr>
            </w:pPr>
            <w:r w:rsidRPr="00CF39C8">
              <w:rPr>
                <w:rFonts w:cstheme="minorHAnsi"/>
                <w:sz w:val="18"/>
                <w:szCs w:val="18"/>
              </w:rPr>
              <w:t>Benefits:</w:t>
            </w:r>
          </w:p>
        </w:tc>
        <w:tc>
          <w:tcPr>
            <w:tcW w:w="1276" w:type="dxa"/>
            <w:vMerge w:val="restart"/>
            <w:tcBorders>
              <w:left w:val="single" w:sz="4" w:space="0" w:color="000000" w:themeColor="text1"/>
              <w:right w:val="single" w:sz="4" w:space="0" w:color="000000" w:themeColor="text1"/>
            </w:tcBorders>
            <w:shd w:val="clear" w:color="auto" w:fill="92D050"/>
            <w:vAlign w:val="center"/>
          </w:tcPr>
          <w:p w14:paraId="63AE5188" w14:textId="77777777" w:rsidR="008A1242" w:rsidRPr="00CF39C8" w:rsidRDefault="008A1242" w:rsidP="00493424">
            <w:pPr>
              <w:spacing w:before="80"/>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Stakeholder affected</w:t>
            </w:r>
          </w:p>
        </w:tc>
        <w:tc>
          <w:tcPr>
            <w:tcW w:w="5103" w:type="dxa"/>
            <w:gridSpan w:val="4"/>
            <w:tcBorders>
              <w:left w:val="single" w:sz="4" w:space="0" w:color="000000" w:themeColor="text1"/>
            </w:tcBorders>
            <w:shd w:val="clear" w:color="auto" w:fill="92D050"/>
          </w:tcPr>
          <w:p w14:paraId="317AAB18" w14:textId="77777777" w:rsidR="008A1242" w:rsidRPr="00CF39C8" w:rsidRDefault="008A1242" w:rsidP="00493424">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 xml:space="preserve">Costs (by 2050) </w:t>
            </w:r>
            <w:r w:rsidRPr="00CF39C8">
              <w:rPr>
                <w:rFonts w:eastAsia="Calibri" w:cstheme="minorHAnsi"/>
                <w:b/>
                <w:sz w:val="18"/>
                <w:szCs w:val="18"/>
              </w:rPr>
              <w:t>($ billion)</w:t>
            </w:r>
          </w:p>
        </w:tc>
      </w:tr>
      <w:tr w:rsidR="008A1242" w:rsidRPr="00CF39C8" w14:paraId="46D4D85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right w:val="single" w:sz="4" w:space="0" w:color="000000" w:themeColor="text1"/>
            </w:tcBorders>
            <w:shd w:val="clear" w:color="auto" w:fill="92D050"/>
            <w:vAlign w:val="center"/>
          </w:tcPr>
          <w:p w14:paraId="5DCDE12F" w14:textId="77777777" w:rsidR="008A1242" w:rsidRPr="00CF39C8" w:rsidRDefault="008A1242" w:rsidP="00493424">
            <w:pPr>
              <w:ind w:left="29"/>
              <w:rPr>
                <w:rFonts w:cstheme="minorHAnsi"/>
                <w:color w:val="000000"/>
                <w:sz w:val="18"/>
                <w:szCs w:val="18"/>
              </w:rPr>
            </w:pPr>
          </w:p>
        </w:tc>
        <w:tc>
          <w:tcPr>
            <w:tcW w:w="1276" w:type="dxa"/>
            <w:vMerge/>
            <w:tcBorders>
              <w:left w:val="single" w:sz="4" w:space="0" w:color="000000" w:themeColor="text1"/>
              <w:right w:val="single" w:sz="4" w:space="0" w:color="000000" w:themeColor="text1"/>
            </w:tcBorders>
            <w:shd w:val="clear" w:color="auto" w:fill="92D050"/>
            <w:vAlign w:val="center"/>
          </w:tcPr>
          <w:p w14:paraId="3E44A489" w14:textId="77777777" w:rsidR="008A1242" w:rsidRPr="00CF39C8" w:rsidRDefault="008A1242" w:rsidP="0049342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134" w:type="dxa"/>
            <w:tcBorders>
              <w:left w:val="single" w:sz="4" w:space="0" w:color="000000" w:themeColor="text1"/>
              <w:right w:val="single" w:sz="4" w:space="0" w:color="000000" w:themeColor="text1"/>
            </w:tcBorders>
            <w:shd w:val="clear" w:color="auto" w:fill="92D050"/>
            <w:vAlign w:val="center"/>
          </w:tcPr>
          <w:p w14:paraId="6A68FB27" w14:textId="77777777" w:rsidR="008A1242" w:rsidRPr="00CF39C8" w:rsidRDefault="00DC48C3" w:rsidP="00493424">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A</w:t>
            </w:r>
          </w:p>
        </w:tc>
        <w:tc>
          <w:tcPr>
            <w:tcW w:w="1276" w:type="dxa"/>
            <w:tcBorders>
              <w:left w:val="single" w:sz="4" w:space="0" w:color="000000" w:themeColor="text1"/>
              <w:right w:val="single" w:sz="4" w:space="0" w:color="000000" w:themeColor="text1"/>
            </w:tcBorders>
            <w:shd w:val="clear" w:color="auto" w:fill="92D050"/>
            <w:vAlign w:val="center"/>
          </w:tcPr>
          <w:p w14:paraId="5877E9C6" w14:textId="77777777" w:rsidR="008A1242" w:rsidRPr="00CF39C8" w:rsidRDefault="00C12BE2"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B</w:t>
            </w:r>
          </w:p>
        </w:tc>
        <w:tc>
          <w:tcPr>
            <w:tcW w:w="1276" w:type="dxa"/>
            <w:tcBorders>
              <w:left w:val="single" w:sz="4" w:space="0" w:color="000000" w:themeColor="text1"/>
              <w:right w:val="single" w:sz="4" w:space="0" w:color="000000" w:themeColor="text1"/>
            </w:tcBorders>
            <w:shd w:val="clear" w:color="auto" w:fill="92D050"/>
            <w:vAlign w:val="center"/>
          </w:tcPr>
          <w:p w14:paraId="0B502C45" w14:textId="77777777" w:rsidR="008A1242" w:rsidRPr="00CF39C8" w:rsidRDefault="00C12BE2"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C</w:t>
            </w:r>
          </w:p>
        </w:tc>
        <w:tc>
          <w:tcPr>
            <w:tcW w:w="1417" w:type="dxa"/>
            <w:tcBorders>
              <w:left w:val="single" w:sz="4" w:space="0" w:color="000000" w:themeColor="text1"/>
            </w:tcBorders>
            <w:shd w:val="clear" w:color="auto" w:fill="595959" w:themeFill="text1" w:themeFillTint="A6"/>
          </w:tcPr>
          <w:p w14:paraId="1DBF16A7" w14:textId="77777777" w:rsidR="008A1242" w:rsidRPr="00CF39C8" w:rsidRDefault="00F27C65"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Best Option</w:t>
            </w:r>
            <w:r w:rsidR="00041212">
              <w:rPr>
                <w:rFonts w:cstheme="minorHAnsi"/>
                <w:b/>
                <w:color w:val="FFFFFF" w:themeColor="background1"/>
                <w:sz w:val="18"/>
                <w:szCs w:val="18"/>
              </w:rPr>
              <w:t xml:space="preserve"> </w:t>
            </w:r>
          </w:p>
        </w:tc>
      </w:tr>
      <w:tr w:rsidR="008A1242" w:rsidRPr="00CF39C8" w14:paraId="4538D387"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6E7D3D80" w14:textId="77777777" w:rsidR="008A1242" w:rsidRPr="00CF39C8" w:rsidRDefault="008A1242" w:rsidP="006E0315">
            <w:pPr>
              <w:spacing w:before="80"/>
              <w:ind w:left="29"/>
              <w:rPr>
                <w:rFonts w:cstheme="minorHAnsi"/>
                <w:b w:val="0"/>
                <w:bCs w:val="0"/>
                <w:color w:val="000000"/>
                <w:sz w:val="18"/>
                <w:szCs w:val="18"/>
              </w:rPr>
            </w:pPr>
            <w:r w:rsidRPr="00CF39C8">
              <w:rPr>
                <w:rFonts w:cstheme="minorHAnsi"/>
                <w:b w:val="0"/>
                <w:bCs w:val="0"/>
                <w:color w:val="000000"/>
                <w:sz w:val="18"/>
                <w:szCs w:val="18"/>
              </w:rPr>
              <w:t>Fuel savings</w:t>
            </w:r>
          </w:p>
        </w:tc>
        <w:tc>
          <w:tcPr>
            <w:tcW w:w="1276" w:type="dxa"/>
            <w:tcBorders>
              <w:left w:val="single" w:sz="4" w:space="0" w:color="000000" w:themeColor="text1"/>
              <w:right w:val="single" w:sz="4" w:space="0" w:color="000000" w:themeColor="text1"/>
            </w:tcBorders>
            <w:shd w:val="clear" w:color="auto" w:fill="C5E0B3"/>
            <w:vAlign w:val="center"/>
          </w:tcPr>
          <w:p w14:paraId="55AD4FE9"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C5E0B3"/>
            <w:vAlign w:val="center"/>
          </w:tcPr>
          <w:p w14:paraId="74DF7396" w14:textId="77777777" w:rsidR="008A1242" w:rsidRPr="00CF39C8" w:rsidRDefault="008A1242" w:rsidP="006E0315">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$0.50</w:t>
            </w:r>
          </w:p>
        </w:tc>
        <w:tc>
          <w:tcPr>
            <w:tcW w:w="1276" w:type="dxa"/>
            <w:tcBorders>
              <w:left w:val="single" w:sz="4" w:space="0" w:color="000000" w:themeColor="text1"/>
              <w:right w:val="single" w:sz="4" w:space="0" w:color="000000" w:themeColor="text1"/>
            </w:tcBorders>
            <w:shd w:val="clear" w:color="auto" w:fill="C5E0B3"/>
            <w:vAlign w:val="center"/>
          </w:tcPr>
          <w:p w14:paraId="3B622872"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$107.6</w:t>
            </w:r>
          </w:p>
        </w:tc>
        <w:tc>
          <w:tcPr>
            <w:tcW w:w="1276" w:type="dxa"/>
            <w:tcBorders>
              <w:left w:val="single" w:sz="4" w:space="0" w:color="000000" w:themeColor="text1"/>
              <w:right w:val="single" w:sz="4" w:space="0" w:color="000000" w:themeColor="text1"/>
            </w:tcBorders>
            <w:shd w:val="clear" w:color="auto" w:fill="C5E0B3"/>
            <w:vAlign w:val="center"/>
          </w:tcPr>
          <w:p w14:paraId="3FB66712"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$129.96</w:t>
            </w:r>
          </w:p>
        </w:tc>
        <w:tc>
          <w:tcPr>
            <w:tcW w:w="1417" w:type="dxa"/>
            <w:tcBorders>
              <w:left w:val="single" w:sz="4" w:space="0" w:color="000000" w:themeColor="text1"/>
            </w:tcBorders>
            <w:shd w:val="clear" w:color="auto" w:fill="C5E0B3"/>
            <w:vAlign w:val="center"/>
          </w:tcPr>
          <w:p w14:paraId="539CE638" w14:textId="77777777" w:rsidR="008A1242" w:rsidRPr="00CF39C8" w:rsidRDefault="0021517D"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$9</w:t>
            </w:r>
            <w:r w:rsidR="000840DA">
              <w:rPr>
                <w:rFonts w:cstheme="minorHAnsi"/>
                <w:color w:val="000000"/>
                <w:sz w:val="18"/>
              </w:rPr>
              <w:t>5</w:t>
            </w:r>
            <w:r w:rsidRPr="0021517D">
              <w:rPr>
                <w:rFonts w:cstheme="minorHAnsi"/>
                <w:color w:val="000000"/>
                <w:sz w:val="18"/>
              </w:rPr>
              <w:t>.</w:t>
            </w:r>
            <w:r w:rsidR="000840DA">
              <w:rPr>
                <w:rFonts w:cstheme="minorHAnsi"/>
                <w:color w:val="000000"/>
                <w:sz w:val="18"/>
              </w:rPr>
              <w:t>08</w:t>
            </w:r>
          </w:p>
        </w:tc>
      </w:tr>
      <w:tr w:rsidR="008A1242" w:rsidRPr="00CF39C8" w14:paraId="691BA0B9"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3017AC13"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Reduced vehicle maintenance</w:t>
            </w:r>
          </w:p>
        </w:tc>
        <w:tc>
          <w:tcPr>
            <w:tcW w:w="1276" w:type="dxa"/>
            <w:tcBorders>
              <w:left w:val="single" w:sz="4" w:space="0" w:color="000000" w:themeColor="text1"/>
              <w:right w:val="single" w:sz="4" w:space="0" w:color="000000" w:themeColor="text1"/>
            </w:tcBorders>
            <w:shd w:val="clear" w:color="auto" w:fill="C5E0B3"/>
            <w:vAlign w:val="center"/>
          </w:tcPr>
          <w:p w14:paraId="17311A1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C5E0B3"/>
            <w:vAlign w:val="center"/>
          </w:tcPr>
          <w:p w14:paraId="51C1A46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w:t>
            </w:r>
            <w:r w:rsidR="00F40789">
              <w:rPr>
                <w:rFonts w:cstheme="minorHAnsi"/>
                <w:color w:val="000000"/>
                <w:sz w:val="18"/>
                <w:szCs w:val="18"/>
              </w:rPr>
              <w:t>0</w:t>
            </w:r>
            <w:r w:rsidRPr="00CF39C8">
              <w:rPr>
                <w:rFonts w:cstheme="minorHAnsi"/>
                <w:color w:val="000000"/>
                <w:sz w:val="18"/>
                <w:szCs w:val="18"/>
              </w:rPr>
              <w:t>01</w:t>
            </w:r>
          </w:p>
        </w:tc>
        <w:tc>
          <w:tcPr>
            <w:tcW w:w="1276" w:type="dxa"/>
            <w:tcBorders>
              <w:left w:val="single" w:sz="4" w:space="0" w:color="000000" w:themeColor="text1"/>
              <w:right w:val="single" w:sz="4" w:space="0" w:color="000000" w:themeColor="text1"/>
            </w:tcBorders>
            <w:shd w:val="clear" w:color="auto" w:fill="C5E0B3"/>
            <w:vAlign w:val="center"/>
          </w:tcPr>
          <w:p w14:paraId="0CCC5C3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$15.46</w:t>
            </w:r>
          </w:p>
        </w:tc>
        <w:tc>
          <w:tcPr>
            <w:tcW w:w="1276" w:type="dxa"/>
            <w:tcBorders>
              <w:left w:val="single" w:sz="4" w:space="0" w:color="000000" w:themeColor="text1"/>
              <w:right w:val="single" w:sz="4" w:space="0" w:color="000000" w:themeColor="text1"/>
            </w:tcBorders>
            <w:shd w:val="clear" w:color="auto" w:fill="C5E0B3"/>
            <w:vAlign w:val="center"/>
          </w:tcPr>
          <w:p w14:paraId="16FB1D5A"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$19.65</w:t>
            </w:r>
          </w:p>
        </w:tc>
        <w:tc>
          <w:tcPr>
            <w:tcW w:w="1417" w:type="dxa"/>
            <w:tcBorders>
              <w:left w:val="single" w:sz="4" w:space="0" w:color="000000" w:themeColor="text1"/>
            </w:tcBorders>
            <w:shd w:val="clear" w:color="auto" w:fill="C5E0B3"/>
            <w:vAlign w:val="center"/>
          </w:tcPr>
          <w:p w14:paraId="3AA1B7F9"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sidRPr="0021517D">
              <w:rPr>
                <w:rFonts w:cstheme="minorHAnsi"/>
                <w:color w:val="000000"/>
                <w:sz w:val="18"/>
              </w:rPr>
              <w:t>1</w:t>
            </w:r>
            <w:r w:rsidR="000840DA">
              <w:rPr>
                <w:rFonts w:cstheme="minorHAnsi"/>
                <w:color w:val="000000"/>
                <w:sz w:val="18"/>
              </w:rPr>
              <w:t>3</w:t>
            </w:r>
            <w:r w:rsidRPr="0021517D">
              <w:rPr>
                <w:rFonts w:cstheme="minorHAnsi"/>
                <w:color w:val="000000"/>
                <w:sz w:val="18"/>
              </w:rPr>
              <w:t>.</w:t>
            </w:r>
            <w:r w:rsidR="000840DA">
              <w:rPr>
                <w:rFonts w:cstheme="minorHAnsi"/>
                <w:color w:val="000000"/>
                <w:sz w:val="18"/>
              </w:rPr>
              <w:t>8</w:t>
            </w:r>
            <w:r w:rsidR="002726CC">
              <w:rPr>
                <w:rFonts w:cstheme="minorHAnsi"/>
                <w:color w:val="000000"/>
                <w:sz w:val="18"/>
              </w:rPr>
              <w:t>5</w:t>
            </w:r>
          </w:p>
        </w:tc>
      </w:tr>
      <w:tr w:rsidR="008A1242" w:rsidRPr="00CF39C8" w14:paraId="7232C88B"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63F1CE2B"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Health benefits</w:t>
            </w:r>
          </w:p>
        </w:tc>
        <w:tc>
          <w:tcPr>
            <w:tcW w:w="1276" w:type="dxa"/>
            <w:tcBorders>
              <w:left w:val="single" w:sz="4" w:space="0" w:color="000000" w:themeColor="text1"/>
              <w:right w:val="single" w:sz="4" w:space="0" w:color="000000" w:themeColor="text1"/>
            </w:tcBorders>
            <w:shd w:val="clear" w:color="auto" w:fill="C5E0B3"/>
            <w:vAlign w:val="center"/>
          </w:tcPr>
          <w:p w14:paraId="4E7F3637"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Community</w:t>
            </w:r>
          </w:p>
        </w:tc>
        <w:tc>
          <w:tcPr>
            <w:tcW w:w="1134" w:type="dxa"/>
            <w:tcBorders>
              <w:left w:val="single" w:sz="4" w:space="0" w:color="000000" w:themeColor="text1"/>
              <w:right w:val="single" w:sz="4" w:space="0" w:color="000000" w:themeColor="text1"/>
            </w:tcBorders>
            <w:shd w:val="clear" w:color="auto" w:fill="C5E0B3"/>
            <w:vAlign w:val="center"/>
          </w:tcPr>
          <w:p w14:paraId="014FB9B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$0.02</w:t>
            </w:r>
          </w:p>
        </w:tc>
        <w:tc>
          <w:tcPr>
            <w:tcW w:w="1276" w:type="dxa"/>
            <w:tcBorders>
              <w:left w:val="single" w:sz="4" w:space="0" w:color="000000" w:themeColor="text1"/>
              <w:right w:val="single" w:sz="4" w:space="0" w:color="000000" w:themeColor="text1"/>
            </w:tcBorders>
            <w:shd w:val="clear" w:color="auto" w:fill="C5E0B3"/>
            <w:vAlign w:val="center"/>
          </w:tcPr>
          <w:p w14:paraId="6A94843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$5.5</w:t>
            </w:r>
            <w:r w:rsidR="00066565">
              <w:rPr>
                <w:rFonts w:cstheme="minorHAnsi"/>
                <w:color w:val="000000"/>
                <w:sz w:val="18"/>
                <w:szCs w:val="18"/>
              </w:rPr>
              <w:t>2</w:t>
            </w:r>
          </w:p>
        </w:tc>
        <w:tc>
          <w:tcPr>
            <w:tcW w:w="1276" w:type="dxa"/>
            <w:tcBorders>
              <w:left w:val="single" w:sz="4" w:space="0" w:color="000000" w:themeColor="text1"/>
              <w:right w:val="single" w:sz="4" w:space="0" w:color="000000" w:themeColor="text1"/>
            </w:tcBorders>
            <w:shd w:val="clear" w:color="auto" w:fill="C5E0B3"/>
            <w:vAlign w:val="center"/>
          </w:tcPr>
          <w:p w14:paraId="5EA1DB1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$6.75</w:t>
            </w:r>
          </w:p>
        </w:tc>
        <w:tc>
          <w:tcPr>
            <w:tcW w:w="1417" w:type="dxa"/>
            <w:tcBorders>
              <w:left w:val="single" w:sz="4" w:space="0" w:color="000000" w:themeColor="text1"/>
            </w:tcBorders>
            <w:shd w:val="clear" w:color="auto" w:fill="C5E0B3"/>
            <w:vAlign w:val="center"/>
          </w:tcPr>
          <w:p w14:paraId="025E2EB7"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Pr>
                <w:rFonts w:cstheme="minorHAnsi"/>
                <w:color w:val="000000"/>
                <w:sz w:val="18"/>
              </w:rPr>
              <w:t>4</w:t>
            </w:r>
            <w:r w:rsidRPr="0021517D">
              <w:rPr>
                <w:rFonts w:cstheme="minorHAnsi"/>
                <w:color w:val="000000"/>
                <w:sz w:val="18"/>
              </w:rPr>
              <w:t>.</w:t>
            </w:r>
            <w:r w:rsidR="000840DA">
              <w:rPr>
                <w:rFonts w:cstheme="minorHAnsi"/>
                <w:color w:val="000000"/>
                <w:sz w:val="18"/>
              </w:rPr>
              <w:t>9</w:t>
            </w:r>
            <w:r w:rsidR="002726CC">
              <w:rPr>
                <w:rFonts w:cstheme="minorHAnsi"/>
                <w:color w:val="000000"/>
                <w:sz w:val="18"/>
              </w:rPr>
              <w:t>9</w:t>
            </w:r>
          </w:p>
        </w:tc>
      </w:tr>
      <w:tr w:rsidR="008A1242" w:rsidRPr="00CF39C8" w14:paraId="764EA88B"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214460D4"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GHG emissions</w:t>
            </w:r>
          </w:p>
        </w:tc>
        <w:tc>
          <w:tcPr>
            <w:tcW w:w="1276" w:type="dxa"/>
            <w:tcBorders>
              <w:left w:val="single" w:sz="4" w:space="0" w:color="000000" w:themeColor="text1"/>
              <w:right w:val="single" w:sz="4" w:space="0" w:color="000000" w:themeColor="text1"/>
            </w:tcBorders>
            <w:shd w:val="clear" w:color="auto" w:fill="C5E0B3"/>
            <w:vAlign w:val="center"/>
          </w:tcPr>
          <w:p w14:paraId="574377CF"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Community</w:t>
            </w:r>
          </w:p>
        </w:tc>
        <w:tc>
          <w:tcPr>
            <w:tcW w:w="1134" w:type="dxa"/>
            <w:tcBorders>
              <w:left w:val="single" w:sz="4" w:space="0" w:color="000000" w:themeColor="text1"/>
              <w:right w:val="single" w:sz="4" w:space="0" w:color="000000" w:themeColor="text1"/>
            </w:tcBorders>
            <w:shd w:val="clear" w:color="auto" w:fill="C5E0B3"/>
            <w:vAlign w:val="center"/>
          </w:tcPr>
          <w:p w14:paraId="5258356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$0.05</w:t>
            </w:r>
          </w:p>
        </w:tc>
        <w:tc>
          <w:tcPr>
            <w:tcW w:w="1276" w:type="dxa"/>
            <w:tcBorders>
              <w:left w:val="single" w:sz="4" w:space="0" w:color="000000" w:themeColor="text1"/>
              <w:right w:val="single" w:sz="4" w:space="0" w:color="000000" w:themeColor="text1"/>
            </w:tcBorders>
            <w:shd w:val="clear" w:color="auto" w:fill="C5E0B3"/>
            <w:vAlign w:val="center"/>
          </w:tcPr>
          <w:p w14:paraId="1D04F41A"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$14.37</w:t>
            </w:r>
          </w:p>
        </w:tc>
        <w:tc>
          <w:tcPr>
            <w:tcW w:w="1276" w:type="dxa"/>
            <w:tcBorders>
              <w:left w:val="single" w:sz="4" w:space="0" w:color="000000" w:themeColor="text1"/>
              <w:right w:val="single" w:sz="4" w:space="0" w:color="000000" w:themeColor="text1"/>
            </w:tcBorders>
            <w:shd w:val="clear" w:color="auto" w:fill="C5E0B3"/>
            <w:vAlign w:val="center"/>
          </w:tcPr>
          <w:p w14:paraId="62155AD1"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$17.29</w:t>
            </w:r>
          </w:p>
        </w:tc>
        <w:tc>
          <w:tcPr>
            <w:tcW w:w="1417" w:type="dxa"/>
            <w:tcBorders>
              <w:left w:val="single" w:sz="4" w:space="0" w:color="000000" w:themeColor="text1"/>
            </w:tcBorders>
            <w:shd w:val="clear" w:color="auto" w:fill="C5E0B3"/>
            <w:vAlign w:val="center"/>
          </w:tcPr>
          <w:p w14:paraId="6849E7C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sidRPr="0021517D">
              <w:rPr>
                <w:rFonts w:cstheme="minorHAnsi"/>
                <w:color w:val="000000"/>
                <w:sz w:val="18"/>
              </w:rPr>
              <w:t>1</w:t>
            </w:r>
            <w:r w:rsidR="000840DA">
              <w:rPr>
                <w:rFonts w:cstheme="minorHAnsi"/>
                <w:color w:val="000000"/>
                <w:sz w:val="18"/>
              </w:rPr>
              <w:t>2</w:t>
            </w:r>
            <w:r w:rsidRPr="0021517D">
              <w:rPr>
                <w:rFonts w:cstheme="minorHAnsi"/>
                <w:color w:val="000000"/>
                <w:sz w:val="18"/>
              </w:rPr>
              <w:t>.</w:t>
            </w:r>
            <w:r w:rsidR="000840DA">
              <w:rPr>
                <w:rFonts w:cstheme="minorHAnsi"/>
                <w:color w:val="000000"/>
                <w:sz w:val="18"/>
              </w:rPr>
              <w:t>67</w:t>
            </w:r>
          </w:p>
        </w:tc>
      </w:tr>
      <w:tr w:rsidR="008A1242" w:rsidRPr="00CF39C8" w14:paraId="24107245"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9BC7CE" w:themeFill="accent5" w:themeFillTint="99"/>
            <w:vAlign w:val="center"/>
          </w:tcPr>
          <w:p w14:paraId="42A4CD1D" w14:textId="77777777" w:rsidR="008A1242" w:rsidRPr="00CF39C8" w:rsidRDefault="008A1242" w:rsidP="00551C78">
            <w:pPr>
              <w:spacing w:before="80"/>
              <w:ind w:left="29"/>
              <w:jc w:val="center"/>
              <w:rPr>
                <w:rFonts w:cstheme="minorHAnsi"/>
                <w:color w:val="000000" w:themeColor="text1"/>
                <w:sz w:val="18"/>
                <w:szCs w:val="18"/>
              </w:rPr>
            </w:pPr>
            <w:r w:rsidRPr="00CF39C8">
              <w:rPr>
                <w:rFonts w:cstheme="minorHAnsi"/>
                <w:color w:val="000000" w:themeColor="text1"/>
                <w:sz w:val="18"/>
                <w:szCs w:val="18"/>
              </w:rPr>
              <w:t>Total benefits:</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75DABA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p>
        </w:tc>
        <w:tc>
          <w:tcPr>
            <w:tcW w:w="1134" w:type="dxa"/>
            <w:tcBorders>
              <w:left w:val="single" w:sz="4" w:space="0" w:color="000000" w:themeColor="text1"/>
              <w:right w:val="single" w:sz="4" w:space="0" w:color="000000" w:themeColor="text1"/>
            </w:tcBorders>
            <w:shd w:val="clear" w:color="auto" w:fill="9BC7CE" w:themeFill="accent5" w:themeFillTint="99"/>
            <w:vAlign w:val="center"/>
          </w:tcPr>
          <w:p w14:paraId="6F8FD307"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r w:rsidRPr="00CF39C8">
              <w:rPr>
                <w:rFonts w:cstheme="minorHAnsi"/>
                <w:b/>
                <w:bCs/>
                <w:sz w:val="18"/>
                <w:szCs w:val="18"/>
              </w:rPr>
              <w:t>$0.58</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7B9FA2CF"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$142.95</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3635D55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$173.65</w:t>
            </w:r>
          </w:p>
        </w:tc>
        <w:tc>
          <w:tcPr>
            <w:tcW w:w="1417" w:type="dxa"/>
            <w:tcBorders>
              <w:left w:val="single" w:sz="4" w:space="0" w:color="000000" w:themeColor="text1"/>
            </w:tcBorders>
            <w:shd w:val="clear" w:color="auto" w:fill="9BC7CE" w:themeFill="accent5" w:themeFillTint="99"/>
            <w:vAlign w:val="center"/>
          </w:tcPr>
          <w:p w14:paraId="4A47157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21517D">
              <w:rPr>
                <w:rFonts w:cstheme="minorHAnsi"/>
                <w:b/>
                <w:color w:val="000000" w:themeColor="text1"/>
                <w:sz w:val="18"/>
                <w:szCs w:val="18"/>
              </w:rPr>
              <w:t>$</w:t>
            </w:r>
            <w:r w:rsidR="000840DA" w:rsidRPr="0021517D">
              <w:rPr>
                <w:rFonts w:cstheme="minorHAnsi"/>
                <w:b/>
                <w:color w:val="000000" w:themeColor="text1"/>
                <w:sz w:val="18"/>
                <w:szCs w:val="18"/>
              </w:rPr>
              <w:t>12</w:t>
            </w:r>
            <w:r w:rsidR="000840DA">
              <w:rPr>
                <w:rFonts w:cstheme="minorHAnsi"/>
                <w:b/>
                <w:color w:val="000000" w:themeColor="text1"/>
                <w:sz w:val="18"/>
                <w:szCs w:val="18"/>
              </w:rPr>
              <w:t>6</w:t>
            </w:r>
            <w:r w:rsidRPr="0021517D">
              <w:rPr>
                <w:rFonts w:cstheme="minorHAnsi"/>
                <w:b/>
                <w:color w:val="000000" w:themeColor="text1"/>
                <w:sz w:val="18"/>
                <w:szCs w:val="18"/>
              </w:rPr>
              <w:t>.</w:t>
            </w:r>
            <w:r w:rsidR="000840DA">
              <w:rPr>
                <w:rFonts w:cstheme="minorHAnsi"/>
                <w:b/>
                <w:color w:val="000000" w:themeColor="text1"/>
                <w:sz w:val="18"/>
                <w:szCs w:val="18"/>
              </w:rPr>
              <w:t>5</w:t>
            </w:r>
            <w:r w:rsidR="002726CC">
              <w:rPr>
                <w:rFonts w:cstheme="minorHAnsi"/>
                <w:b/>
                <w:color w:val="000000" w:themeColor="text1"/>
                <w:sz w:val="18"/>
                <w:szCs w:val="18"/>
              </w:rPr>
              <w:t>9</w:t>
            </w:r>
          </w:p>
        </w:tc>
      </w:tr>
      <w:tr w:rsidR="008A1242" w:rsidRPr="00CF39C8" w14:paraId="3CA63784"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right w:val="single" w:sz="4" w:space="0" w:color="000000" w:themeColor="text1"/>
            </w:tcBorders>
            <w:shd w:val="clear" w:color="auto" w:fill="FFC000"/>
            <w:vAlign w:val="center"/>
          </w:tcPr>
          <w:p w14:paraId="25FC7F55" w14:textId="77777777" w:rsidR="008A1242" w:rsidRPr="00CF39C8" w:rsidRDefault="008A1242" w:rsidP="00551C78">
            <w:pPr>
              <w:spacing w:before="80"/>
              <w:ind w:left="29"/>
              <w:rPr>
                <w:rFonts w:cstheme="minorHAnsi"/>
                <w:sz w:val="18"/>
                <w:szCs w:val="18"/>
              </w:rPr>
            </w:pPr>
            <w:r w:rsidRPr="00CF39C8">
              <w:rPr>
                <w:rFonts w:cstheme="minorHAnsi"/>
                <w:sz w:val="18"/>
                <w:szCs w:val="18"/>
              </w:rPr>
              <w:t>Costs:</w:t>
            </w:r>
          </w:p>
        </w:tc>
        <w:tc>
          <w:tcPr>
            <w:tcW w:w="1276" w:type="dxa"/>
            <w:vMerge w:val="restart"/>
            <w:tcBorders>
              <w:left w:val="single" w:sz="4" w:space="0" w:color="000000" w:themeColor="text1"/>
              <w:right w:val="single" w:sz="4" w:space="0" w:color="000000" w:themeColor="text1"/>
            </w:tcBorders>
            <w:shd w:val="clear" w:color="auto" w:fill="FFC000"/>
            <w:vAlign w:val="center"/>
          </w:tcPr>
          <w:p w14:paraId="62ADB78B" w14:textId="77777777" w:rsidR="008A1242" w:rsidRPr="00CF39C8" w:rsidRDefault="008A1242" w:rsidP="00551C78">
            <w:pPr>
              <w:spacing w:before="80"/>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Stakeholder affected</w:t>
            </w:r>
          </w:p>
        </w:tc>
        <w:tc>
          <w:tcPr>
            <w:tcW w:w="5103" w:type="dxa"/>
            <w:gridSpan w:val="4"/>
            <w:tcBorders>
              <w:left w:val="single" w:sz="4" w:space="0" w:color="000000" w:themeColor="text1"/>
            </w:tcBorders>
            <w:shd w:val="clear" w:color="auto" w:fill="FFC000"/>
          </w:tcPr>
          <w:p w14:paraId="3D673D44" w14:textId="77777777" w:rsidR="008A1242" w:rsidRPr="00CF39C8" w:rsidRDefault="008A1242" w:rsidP="00551C78">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CF39C8">
              <w:rPr>
                <w:rFonts w:cstheme="minorHAnsi"/>
                <w:b/>
                <w:bCs/>
                <w:sz w:val="18"/>
                <w:szCs w:val="18"/>
              </w:rPr>
              <w:t xml:space="preserve">Costs (by 2050) </w:t>
            </w:r>
            <w:r w:rsidRPr="00CF39C8">
              <w:rPr>
                <w:rFonts w:eastAsia="Calibri" w:cstheme="minorHAnsi"/>
                <w:b/>
                <w:sz w:val="18"/>
                <w:szCs w:val="18"/>
              </w:rPr>
              <w:t>($ billion)</w:t>
            </w:r>
          </w:p>
        </w:tc>
      </w:tr>
      <w:tr w:rsidR="008A1242" w:rsidRPr="00CF39C8" w14:paraId="303919BC"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right w:val="single" w:sz="4" w:space="0" w:color="000000" w:themeColor="text1"/>
            </w:tcBorders>
            <w:shd w:val="clear" w:color="auto" w:fill="9BC7CE" w:themeFill="accent5" w:themeFillTint="99"/>
            <w:vAlign w:val="center"/>
          </w:tcPr>
          <w:p w14:paraId="4FAC8650" w14:textId="77777777" w:rsidR="008A1242" w:rsidRPr="00CF39C8" w:rsidRDefault="008A1242" w:rsidP="00551C78">
            <w:pPr>
              <w:ind w:left="29"/>
              <w:rPr>
                <w:rFonts w:cstheme="minorHAnsi"/>
                <w:color w:val="000000"/>
                <w:sz w:val="18"/>
                <w:szCs w:val="18"/>
              </w:rPr>
            </w:pPr>
          </w:p>
        </w:tc>
        <w:tc>
          <w:tcPr>
            <w:tcW w:w="1276" w:type="dxa"/>
            <w:vMerge/>
            <w:tcBorders>
              <w:left w:val="single" w:sz="4" w:space="0" w:color="000000" w:themeColor="text1"/>
              <w:right w:val="single" w:sz="4" w:space="0" w:color="000000" w:themeColor="text1"/>
            </w:tcBorders>
            <w:shd w:val="clear" w:color="auto" w:fill="9BC7CE" w:themeFill="accent5" w:themeFillTint="99"/>
            <w:vAlign w:val="center"/>
          </w:tcPr>
          <w:p w14:paraId="28A9903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134" w:type="dxa"/>
            <w:tcBorders>
              <w:left w:val="single" w:sz="4" w:space="0" w:color="000000" w:themeColor="text1"/>
              <w:right w:val="single" w:sz="4" w:space="0" w:color="000000" w:themeColor="text1"/>
            </w:tcBorders>
            <w:shd w:val="clear" w:color="auto" w:fill="FFC000"/>
            <w:vAlign w:val="center"/>
          </w:tcPr>
          <w:p w14:paraId="0C0E7011" w14:textId="77777777" w:rsidR="008A1242" w:rsidRPr="00CF39C8" w:rsidRDefault="00DC48C3"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A</w:t>
            </w:r>
          </w:p>
        </w:tc>
        <w:tc>
          <w:tcPr>
            <w:tcW w:w="1276" w:type="dxa"/>
            <w:tcBorders>
              <w:left w:val="single" w:sz="4" w:space="0" w:color="000000" w:themeColor="text1"/>
              <w:right w:val="single" w:sz="4" w:space="0" w:color="000000" w:themeColor="text1"/>
            </w:tcBorders>
            <w:shd w:val="clear" w:color="auto" w:fill="FFC000"/>
            <w:vAlign w:val="center"/>
          </w:tcPr>
          <w:p w14:paraId="20EDE6BD" w14:textId="77777777" w:rsidR="008A1242" w:rsidRPr="00CF39C8" w:rsidRDefault="00C12BE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B</w:t>
            </w:r>
          </w:p>
        </w:tc>
        <w:tc>
          <w:tcPr>
            <w:tcW w:w="1276" w:type="dxa"/>
            <w:tcBorders>
              <w:left w:val="single" w:sz="4" w:space="0" w:color="000000" w:themeColor="text1"/>
              <w:right w:val="single" w:sz="4" w:space="0" w:color="000000" w:themeColor="text1"/>
            </w:tcBorders>
            <w:shd w:val="clear" w:color="auto" w:fill="FFC000"/>
            <w:vAlign w:val="center"/>
          </w:tcPr>
          <w:p w14:paraId="61B99ABA" w14:textId="77777777" w:rsidR="008A1242" w:rsidRPr="00CF39C8" w:rsidRDefault="00C12BE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C</w:t>
            </w:r>
          </w:p>
        </w:tc>
        <w:tc>
          <w:tcPr>
            <w:tcW w:w="1417" w:type="dxa"/>
            <w:tcBorders>
              <w:left w:val="single" w:sz="4" w:space="0" w:color="000000" w:themeColor="text1"/>
            </w:tcBorders>
            <w:shd w:val="clear" w:color="auto" w:fill="595959" w:themeFill="text1" w:themeFillTint="A6"/>
          </w:tcPr>
          <w:p w14:paraId="2871C902" w14:textId="77777777" w:rsidR="008A1242" w:rsidRPr="00CF39C8" w:rsidRDefault="00AA2E3C"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Best Option</w:t>
            </w:r>
          </w:p>
        </w:tc>
      </w:tr>
      <w:tr w:rsidR="008A1242" w:rsidRPr="00CF39C8" w14:paraId="2BFFBB9A"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199D0A21"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Government and compliance</w:t>
            </w:r>
          </w:p>
        </w:tc>
        <w:tc>
          <w:tcPr>
            <w:tcW w:w="1276" w:type="dxa"/>
            <w:tcBorders>
              <w:left w:val="single" w:sz="4" w:space="0" w:color="000000" w:themeColor="text1"/>
              <w:right w:val="single" w:sz="4" w:space="0" w:color="000000" w:themeColor="text1"/>
            </w:tcBorders>
            <w:shd w:val="clear" w:color="auto" w:fill="FFF2CC"/>
            <w:vAlign w:val="center"/>
          </w:tcPr>
          <w:p w14:paraId="389A5CBF" w14:textId="77777777" w:rsidR="008A1242" w:rsidRPr="00CF39C8" w:rsidRDefault="008D0A6B"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cstheme="minorHAnsi"/>
                <w:color w:val="000000"/>
                <w:sz w:val="18"/>
                <w:szCs w:val="18"/>
              </w:rPr>
              <w:t>Community</w:t>
            </w:r>
            <w:r w:rsidR="008A1242" w:rsidRPr="00CF39C8">
              <w:rPr>
                <w:rFonts w:cstheme="minorHAnsi"/>
                <w:color w:val="000000"/>
                <w:sz w:val="18"/>
                <w:szCs w:val="18"/>
              </w:rPr>
              <w:t xml:space="preserve"> and suppliers</w:t>
            </w:r>
          </w:p>
        </w:tc>
        <w:tc>
          <w:tcPr>
            <w:tcW w:w="1134" w:type="dxa"/>
            <w:tcBorders>
              <w:left w:val="single" w:sz="4" w:space="0" w:color="000000" w:themeColor="text1"/>
              <w:right w:val="single" w:sz="4" w:space="0" w:color="000000" w:themeColor="text1"/>
            </w:tcBorders>
            <w:shd w:val="clear" w:color="auto" w:fill="FFF2CC"/>
            <w:vAlign w:val="center"/>
          </w:tcPr>
          <w:p w14:paraId="14E4CD2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$0.21</w:t>
            </w:r>
          </w:p>
        </w:tc>
        <w:tc>
          <w:tcPr>
            <w:tcW w:w="1276" w:type="dxa"/>
            <w:tcBorders>
              <w:left w:val="single" w:sz="4" w:space="0" w:color="000000" w:themeColor="text1"/>
              <w:right w:val="single" w:sz="4" w:space="0" w:color="000000" w:themeColor="text1"/>
            </w:tcBorders>
            <w:shd w:val="clear" w:color="auto" w:fill="FFF2CC"/>
            <w:vAlign w:val="center"/>
          </w:tcPr>
          <w:p w14:paraId="289FFD4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$0.18</w:t>
            </w:r>
          </w:p>
        </w:tc>
        <w:tc>
          <w:tcPr>
            <w:tcW w:w="1276" w:type="dxa"/>
            <w:tcBorders>
              <w:left w:val="single" w:sz="4" w:space="0" w:color="000000" w:themeColor="text1"/>
              <w:right w:val="single" w:sz="4" w:space="0" w:color="000000" w:themeColor="text1"/>
            </w:tcBorders>
            <w:shd w:val="clear" w:color="auto" w:fill="FFF2CC"/>
            <w:vAlign w:val="center"/>
          </w:tcPr>
          <w:p w14:paraId="1CC3928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$0.17</w:t>
            </w:r>
          </w:p>
        </w:tc>
        <w:tc>
          <w:tcPr>
            <w:tcW w:w="1417" w:type="dxa"/>
            <w:tcBorders>
              <w:left w:val="single" w:sz="4" w:space="0" w:color="000000" w:themeColor="text1"/>
            </w:tcBorders>
            <w:shd w:val="clear" w:color="auto" w:fill="FFF2CC"/>
            <w:vAlign w:val="center"/>
          </w:tcPr>
          <w:p w14:paraId="15D874A6"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$0.19</w:t>
            </w:r>
          </w:p>
        </w:tc>
      </w:tr>
      <w:tr w:rsidR="008A1242" w:rsidRPr="00CF39C8" w14:paraId="1C4D3FA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0CCCDEBC"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Vehicle technology costs</w:t>
            </w:r>
            <w:r w:rsidRPr="00CF39C8" w:rsidDel="00A55B5C">
              <w:rPr>
                <w:rFonts w:cstheme="minorHAnsi"/>
                <w:b w:val="0"/>
                <w:color w:val="000000"/>
                <w:sz w:val="18"/>
                <w:szCs w:val="18"/>
              </w:rPr>
              <w:t xml:space="preserve"> </w:t>
            </w:r>
          </w:p>
        </w:tc>
        <w:tc>
          <w:tcPr>
            <w:tcW w:w="1276" w:type="dxa"/>
            <w:tcBorders>
              <w:left w:val="single" w:sz="4" w:space="0" w:color="000000" w:themeColor="text1"/>
              <w:right w:val="single" w:sz="4" w:space="0" w:color="000000" w:themeColor="text1"/>
            </w:tcBorders>
            <w:shd w:val="clear" w:color="auto" w:fill="FFF2CC"/>
            <w:vAlign w:val="center"/>
          </w:tcPr>
          <w:p w14:paraId="2A899955"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Car suppliers</w:t>
            </w:r>
          </w:p>
        </w:tc>
        <w:tc>
          <w:tcPr>
            <w:tcW w:w="1134" w:type="dxa"/>
            <w:tcBorders>
              <w:left w:val="single" w:sz="4" w:space="0" w:color="000000" w:themeColor="text1"/>
              <w:right w:val="single" w:sz="4" w:space="0" w:color="000000" w:themeColor="text1"/>
            </w:tcBorders>
            <w:shd w:val="clear" w:color="auto" w:fill="FFF2CC"/>
            <w:vAlign w:val="center"/>
          </w:tcPr>
          <w:p w14:paraId="7BCC0CD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$0.19</w:t>
            </w:r>
          </w:p>
        </w:tc>
        <w:tc>
          <w:tcPr>
            <w:tcW w:w="1276" w:type="dxa"/>
            <w:tcBorders>
              <w:left w:val="single" w:sz="4" w:space="0" w:color="000000" w:themeColor="text1"/>
              <w:right w:val="single" w:sz="4" w:space="0" w:color="000000" w:themeColor="text1"/>
            </w:tcBorders>
            <w:shd w:val="clear" w:color="auto" w:fill="FFF2CC"/>
            <w:vAlign w:val="center"/>
          </w:tcPr>
          <w:p w14:paraId="5E15B8C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$7.69</w:t>
            </w:r>
          </w:p>
        </w:tc>
        <w:tc>
          <w:tcPr>
            <w:tcW w:w="1276" w:type="dxa"/>
            <w:tcBorders>
              <w:left w:val="single" w:sz="4" w:space="0" w:color="000000" w:themeColor="text1"/>
              <w:right w:val="single" w:sz="4" w:space="0" w:color="000000" w:themeColor="text1"/>
            </w:tcBorders>
            <w:shd w:val="clear" w:color="auto" w:fill="FFF2CC"/>
            <w:vAlign w:val="center"/>
          </w:tcPr>
          <w:p w14:paraId="025F4D8B"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$9.49</w:t>
            </w:r>
          </w:p>
        </w:tc>
        <w:tc>
          <w:tcPr>
            <w:tcW w:w="1417" w:type="dxa"/>
            <w:tcBorders>
              <w:left w:val="single" w:sz="4" w:space="0" w:color="000000" w:themeColor="text1"/>
            </w:tcBorders>
            <w:shd w:val="clear" w:color="auto" w:fill="FFF2CC"/>
            <w:vAlign w:val="center"/>
          </w:tcPr>
          <w:p w14:paraId="1D2E8266"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$6.</w:t>
            </w:r>
            <w:r w:rsidR="000840DA">
              <w:rPr>
                <w:rFonts w:cstheme="minorHAnsi"/>
                <w:color w:val="000000"/>
                <w:sz w:val="18"/>
                <w:szCs w:val="18"/>
              </w:rPr>
              <w:t>59</w:t>
            </w:r>
          </w:p>
        </w:tc>
      </w:tr>
      <w:tr w:rsidR="008A1242" w:rsidRPr="00CF39C8" w14:paraId="6EC0C6C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5A90984D"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Electricity costs</w:t>
            </w:r>
            <w:r w:rsidRPr="00CF39C8" w:rsidDel="00A55B5C">
              <w:rPr>
                <w:rFonts w:cstheme="minorHAnsi"/>
                <w:b w:val="0"/>
                <w:color w:val="000000"/>
                <w:sz w:val="18"/>
                <w:szCs w:val="18"/>
              </w:rPr>
              <w:t xml:space="preserve"> </w:t>
            </w:r>
            <w:r w:rsidRPr="00CF39C8">
              <w:rPr>
                <w:rFonts w:cstheme="minorHAnsi"/>
                <w:b w:val="0"/>
                <w:color w:val="000000"/>
                <w:sz w:val="18"/>
                <w:szCs w:val="18"/>
              </w:rPr>
              <w:t>(offset by fuel saving)</w:t>
            </w:r>
          </w:p>
        </w:tc>
        <w:tc>
          <w:tcPr>
            <w:tcW w:w="1276" w:type="dxa"/>
            <w:tcBorders>
              <w:left w:val="single" w:sz="4" w:space="0" w:color="000000" w:themeColor="text1"/>
              <w:right w:val="single" w:sz="4" w:space="0" w:color="000000" w:themeColor="text1"/>
            </w:tcBorders>
            <w:shd w:val="clear" w:color="auto" w:fill="FFF2CC"/>
            <w:vAlign w:val="center"/>
          </w:tcPr>
          <w:p w14:paraId="782FB49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FFF2CC"/>
            <w:vAlign w:val="center"/>
          </w:tcPr>
          <w:p w14:paraId="5930C16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w:t>
            </w:r>
            <w:r w:rsidR="00F40789">
              <w:rPr>
                <w:rFonts w:cstheme="minorHAnsi"/>
                <w:color w:val="000000"/>
                <w:sz w:val="18"/>
                <w:szCs w:val="18"/>
              </w:rPr>
              <w:t>0</w:t>
            </w:r>
            <w:r w:rsidRPr="00CF39C8">
              <w:rPr>
                <w:rFonts w:cstheme="minorHAnsi"/>
                <w:color w:val="000000"/>
                <w:sz w:val="18"/>
                <w:szCs w:val="18"/>
              </w:rPr>
              <w:t>04</w:t>
            </w:r>
          </w:p>
        </w:tc>
        <w:tc>
          <w:tcPr>
            <w:tcW w:w="1276" w:type="dxa"/>
            <w:tcBorders>
              <w:left w:val="single" w:sz="4" w:space="0" w:color="000000" w:themeColor="text1"/>
              <w:right w:val="single" w:sz="4" w:space="0" w:color="000000" w:themeColor="text1"/>
            </w:tcBorders>
            <w:shd w:val="clear" w:color="auto" w:fill="FFF2CC"/>
            <w:vAlign w:val="center"/>
          </w:tcPr>
          <w:p w14:paraId="3E795D1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$29.38</w:t>
            </w:r>
          </w:p>
        </w:tc>
        <w:tc>
          <w:tcPr>
            <w:tcW w:w="1276" w:type="dxa"/>
            <w:tcBorders>
              <w:left w:val="single" w:sz="4" w:space="0" w:color="000000" w:themeColor="text1"/>
              <w:right w:val="single" w:sz="4" w:space="0" w:color="000000" w:themeColor="text1"/>
            </w:tcBorders>
            <w:shd w:val="clear" w:color="auto" w:fill="FFF2CC"/>
            <w:vAlign w:val="center"/>
          </w:tcPr>
          <w:p w14:paraId="50F459A6"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$37.37</w:t>
            </w:r>
          </w:p>
        </w:tc>
        <w:tc>
          <w:tcPr>
            <w:tcW w:w="1417" w:type="dxa"/>
            <w:tcBorders>
              <w:left w:val="single" w:sz="4" w:space="0" w:color="000000" w:themeColor="text1"/>
            </w:tcBorders>
            <w:shd w:val="clear" w:color="auto" w:fill="FFF2CC"/>
            <w:vAlign w:val="center"/>
          </w:tcPr>
          <w:p w14:paraId="4920148A"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w:t>
            </w:r>
            <w:r w:rsidR="000840DA" w:rsidRPr="0021517D">
              <w:rPr>
                <w:rFonts w:cstheme="minorHAnsi"/>
                <w:color w:val="000000"/>
                <w:sz w:val="18"/>
                <w:szCs w:val="18"/>
              </w:rPr>
              <w:t>2</w:t>
            </w:r>
            <w:r w:rsidR="000840DA">
              <w:rPr>
                <w:rFonts w:cstheme="minorHAnsi"/>
                <w:color w:val="000000"/>
                <w:sz w:val="18"/>
                <w:szCs w:val="18"/>
              </w:rPr>
              <w:t>5</w:t>
            </w:r>
            <w:r w:rsidRPr="0021517D">
              <w:rPr>
                <w:rFonts w:cstheme="minorHAnsi"/>
                <w:color w:val="000000"/>
                <w:sz w:val="18"/>
                <w:szCs w:val="18"/>
              </w:rPr>
              <w:t>.</w:t>
            </w:r>
            <w:r w:rsidR="000840DA">
              <w:rPr>
                <w:rFonts w:cstheme="minorHAnsi"/>
                <w:color w:val="000000"/>
                <w:sz w:val="18"/>
                <w:szCs w:val="18"/>
              </w:rPr>
              <w:t>69</w:t>
            </w:r>
          </w:p>
        </w:tc>
      </w:tr>
      <w:tr w:rsidR="008A1242" w:rsidRPr="00CF39C8" w14:paraId="634C8E9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74978A0D" w14:textId="77777777" w:rsidR="008A1242" w:rsidRPr="00CF39C8" w:rsidRDefault="008A1242" w:rsidP="00551C78">
            <w:pPr>
              <w:spacing w:before="80"/>
              <w:ind w:left="29"/>
              <w:rPr>
                <w:rFonts w:cstheme="minorHAnsi"/>
                <w:b w:val="0"/>
                <w:sz w:val="18"/>
                <w:szCs w:val="18"/>
              </w:rPr>
            </w:pPr>
            <w:r w:rsidRPr="00CF39C8">
              <w:rPr>
                <w:rFonts w:cstheme="minorHAnsi"/>
                <w:b w:val="0"/>
                <w:color w:val="000000"/>
                <w:sz w:val="18"/>
                <w:szCs w:val="18"/>
              </w:rPr>
              <w:t>Battery replacement costs</w:t>
            </w:r>
            <w:r w:rsidRPr="00CF39C8" w:rsidDel="00A55B5C">
              <w:rPr>
                <w:rFonts w:cstheme="minorHAnsi"/>
                <w:b w:val="0"/>
                <w:color w:val="000000"/>
                <w:sz w:val="18"/>
                <w:szCs w:val="18"/>
              </w:rPr>
              <w:t xml:space="preserve"> </w:t>
            </w:r>
          </w:p>
        </w:tc>
        <w:tc>
          <w:tcPr>
            <w:tcW w:w="1276" w:type="dxa"/>
            <w:tcBorders>
              <w:left w:val="single" w:sz="4" w:space="0" w:color="000000" w:themeColor="text1"/>
              <w:right w:val="single" w:sz="4" w:space="0" w:color="000000" w:themeColor="text1"/>
            </w:tcBorders>
            <w:shd w:val="clear" w:color="auto" w:fill="FFF2CC"/>
            <w:vAlign w:val="center"/>
          </w:tcPr>
          <w:p w14:paraId="7497FDFE"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FFF2CC"/>
            <w:vAlign w:val="center"/>
          </w:tcPr>
          <w:p w14:paraId="05F8016C"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F39C8">
              <w:rPr>
                <w:rFonts w:cstheme="minorHAnsi"/>
                <w:color w:val="000000"/>
                <w:sz w:val="18"/>
                <w:szCs w:val="18"/>
              </w:rPr>
              <w:t>$0.0</w:t>
            </w:r>
          </w:p>
        </w:tc>
        <w:tc>
          <w:tcPr>
            <w:tcW w:w="1276" w:type="dxa"/>
            <w:tcBorders>
              <w:left w:val="single" w:sz="4" w:space="0" w:color="000000" w:themeColor="text1"/>
              <w:right w:val="single" w:sz="4" w:space="0" w:color="000000" w:themeColor="text1"/>
            </w:tcBorders>
            <w:shd w:val="clear" w:color="auto" w:fill="FFF2CC"/>
            <w:vAlign w:val="center"/>
          </w:tcPr>
          <w:p w14:paraId="165B415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$9.23</w:t>
            </w:r>
          </w:p>
        </w:tc>
        <w:tc>
          <w:tcPr>
            <w:tcW w:w="1276" w:type="dxa"/>
            <w:tcBorders>
              <w:left w:val="single" w:sz="4" w:space="0" w:color="000000" w:themeColor="text1"/>
              <w:right w:val="single" w:sz="4" w:space="0" w:color="000000" w:themeColor="text1"/>
            </w:tcBorders>
            <w:shd w:val="clear" w:color="auto" w:fill="FFF2CC"/>
            <w:vAlign w:val="center"/>
          </w:tcPr>
          <w:p w14:paraId="45E737F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$11.72</w:t>
            </w:r>
          </w:p>
        </w:tc>
        <w:tc>
          <w:tcPr>
            <w:tcW w:w="1417" w:type="dxa"/>
            <w:tcBorders>
              <w:left w:val="single" w:sz="4" w:space="0" w:color="000000" w:themeColor="text1"/>
            </w:tcBorders>
            <w:shd w:val="clear" w:color="auto" w:fill="FFF2CC"/>
            <w:vAlign w:val="center"/>
          </w:tcPr>
          <w:p w14:paraId="525A0A5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$8.</w:t>
            </w:r>
            <w:r w:rsidR="000840DA">
              <w:rPr>
                <w:rFonts w:cstheme="minorHAnsi"/>
                <w:color w:val="000000"/>
                <w:sz w:val="18"/>
                <w:szCs w:val="18"/>
              </w:rPr>
              <w:t>0</w:t>
            </w:r>
            <w:r w:rsidR="002726CC">
              <w:rPr>
                <w:rFonts w:cstheme="minorHAnsi"/>
                <w:color w:val="000000"/>
                <w:sz w:val="18"/>
                <w:szCs w:val="18"/>
              </w:rPr>
              <w:t>7</w:t>
            </w:r>
          </w:p>
        </w:tc>
      </w:tr>
      <w:tr w:rsidR="008A1242" w:rsidRPr="00CF39C8" w14:paraId="7203D49E"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9BC7CE" w:themeFill="accent5" w:themeFillTint="99"/>
            <w:vAlign w:val="center"/>
          </w:tcPr>
          <w:p w14:paraId="0B080E68" w14:textId="77777777" w:rsidR="008A1242" w:rsidRPr="00CF39C8" w:rsidRDefault="008A1242" w:rsidP="00551C78">
            <w:pPr>
              <w:spacing w:before="80"/>
              <w:ind w:left="29"/>
              <w:jc w:val="center"/>
              <w:rPr>
                <w:rFonts w:cstheme="minorHAnsi"/>
                <w:color w:val="000000" w:themeColor="text1"/>
                <w:sz w:val="18"/>
                <w:szCs w:val="18"/>
              </w:rPr>
            </w:pPr>
            <w:r w:rsidRPr="00CF39C8">
              <w:rPr>
                <w:rFonts w:cstheme="minorHAnsi"/>
                <w:color w:val="000000" w:themeColor="text1"/>
                <w:sz w:val="18"/>
                <w:szCs w:val="18"/>
              </w:rPr>
              <w:t>Total costs:</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F1D587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p>
        </w:tc>
        <w:tc>
          <w:tcPr>
            <w:tcW w:w="1134" w:type="dxa"/>
            <w:tcBorders>
              <w:left w:val="single" w:sz="4" w:space="0" w:color="000000" w:themeColor="text1"/>
              <w:right w:val="single" w:sz="4" w:space="0" w:color="000000" w:themeColor="text1"/>
            </w:tcBorders>
            <w:shd w:val="clear" w:color="auto" w:fill="9BC7CE" w:themeFill="accent5" w:themeFillTint="99"/>
            <w:vAlign w:val="center"/>
          </w:tcPr>
          <w:p w14:paraId="33D6A46B"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r w:rsidRPr="00CF39C8">
              <w:rPr>
                <w:rFonts w:cstheme="minorHAnsi"/>
                <w:b/>
                <w:color w:val="000000"/>
                <w:sz w:val="18"/>
                <w:szCs w:val="18"/>
              </w:rPr>
              <w:t>$0.41</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C6E6DA5"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$46.49</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371257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$58.75</w:t>
            </w:r>
          </w:p>
        </w:tc>
        <w:tc>
          <w:tcPr>
            <w:tcW w:w="1417" w:type="dxa"/>
            <w:tcBorders>
              <w:left w:val="single" w:sz="4" w:space="0" w:color="000000" w:themeColor="text1"/>
            </w:tcBorders>
            <w:shd w:val="clear" w:color="auto" w:fill="9BC7CE" w:themeFill="accent5" w:themeFillTint="99"/>
            <w:vAlign w:val="center"/>
          </w:tcPr>
          <w:p w14:paraId="66B61300"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21517D">
              <w:rPr>
                <w:rFonts w:cstheme="minorHAnsi"/>
                <w:b/>
                <w:color w:val="000000"/>
                <w:sz w:val="18"/>
                <w:szCs w:val="18"/>
              </w:rPr>
              <w:t>$</w:t>
            </w:r>
            <w:r w:rsidR="000840DA" w:rsidRPr="0021517D">
              <w:rPr>
                <w:rFonts w:cstheme="minorHAnsi"/>
                <w:b/>
                <w:color w:val="000000"/>
                <w:sz w:val="18"/>
                <w:szCs w:val="18"/>
              </w:rPr>
              <w:t>4</w:t>
            </w:r>
            <w:r w:rsidR="000840DA">
              <w:rPr>
                <w:rFonts w:cstheme="minorHAnsi"/>
                <w:b/>
                <w:color w:val="000000"/>
                <w:sz w:val="18"/>
                <w:szCs w:val="18"/>
              </w:rPr>
              <w:t>0</w:t>
            </w:r>
            <w:r w:rsidRPr="0021517D">
              <w:rPr>
                <w:rFonts w:cstheme="minorHAnsi"/>
                <w:b/>
                <w:color w:val="000000"/>
                <w:sz w:val="18"/>
                <w:szCs w:val="18"/>
              </w:rPr>
              <w:t>.</w:t>
            </w:r>
            <w:r w:rsidR="000840DA">
              <w:rPr>
                <w:rFonts w:cstheme="minorHAnsi"/>
                <w:b/>
                <w:color w:val="000000"/>
                <w:sz w:val="18"/>
                <w:szCs w:val="18"/>
              </w:rPr>
              <w:t>5</w:t>
            </w:r>
            <w:r w:rsidR="002726CC">
              <w:rPr>
                <w:rFonts w:cstheme="minorHAnsi"/>
                <w:b/>
                <w:color w:val="000000"/>
                <w:sz w:val="18"/>
                <w:szCs w:val="18"/>
              </w:rPr>
              <w:t>5</w:t>
            </w:r>
          </w:p>
        </w:tc>
      </w:tr>
      <w:tr w:rsidR="008A1242" w:rsidRPr="00CF39C8" w14:paraId="25173BDA"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417A84" w:themeFill="accent5" w:themeFillShade="BF"/>
            <w:vAlign w:val="center"/>
          </w:tcPr>
          <w:p w14:paraId="1800A7A3" w14:textId="77777777" w:rsidR="008A1242" w:rsidRPr="00CF39C8" w:rsidRDefault="008A1242" w:rsidP="00551C78">
            <w:pPr>
              <w:spacing w:before="80"/>
              <w:ind w:left="29"/>
              <w:jc w:val="center"/>
              <w:rPr>
                <w:rFonts w:cstheme="minorHAnsi"/>
                <w:color w:val="FFFFFF" w:themeColor="background1"/>
                <w:sz w:val="18"/>
                <w:szCs w:val="18"/>
              </w:rPr>
            </w:pPr>
            <w:r w:rsidRPr="00CF39C8">
              <w:rPr>
                <w:rFonts w:cstheme="minorHAnsi"/>
                <w:bCs w:val="0"/>
                <w:color w:val="FFFFFF" w:themeColor="background1"/>
                <w:sz w:val="18"/>
                <w:szCs w:val="18"/>
              </w:rPr>
              <w:t>Net benefits:</w:t>
            </w:r>
          </w:p>
        </w:tc>
        <w:tc>
          <w:tcPr>
            <w:tcW w:w="1276" w:type="dxa"/>
            <w:tcBorders>
              <w:left w:val="single" w:sz="4" w:space="0" w:color="000000" w:themeColor="text1"/>
              <w:right w:val="single" w:sz="4" w:space="0" w:color="000000" w:themeColor="text1"/>
            </w:tcBorders>
            <w:shd w:val="clear" w:color="auto" w:fill="417A84" w:themeFill="accent5" w:themeFillShade="BF"/>
          </w:tcPr>
          <w:p w14:paraId="6C2BE3F7"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134" w:type="dxa"/>
            <w:tcBorders>
              <w:left w:val="single" w:sz="4" w:space="0" w:color="000000" w:themeColor="text1"/>
              <w:right w:val="single" w:sz="4" w:space="0" w:color="000000" w:themeColor="text1"/>
            </w:tcBorders>
            <w:shd w:val="clear" w:color="auto" w:fill="417A84" w:themeFill="accent5" w:themeFillShade="BF"/>
          </w:tcPr>
          <w:p w14:paraId="6AD56D12"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$0.17</w:t>
            </w:r>
          </w:p>
        </w:tc>
        <w:tc>
          <w:tcPr>
            <w:tcW w:w="1276" w:type="dxa"/>
            <w:tcBorders>
              <w:left w:val="single" w:sz="4" w:space="0" w:color="000000" w:themeColor="text1"/>
              <w:right w:val="single" w:sz="4" w:space="0" w:color="000000" w:themeColor="text1"/>
            </w:tcBorders>
            <w:shd w:val="clear" w:color="auto" w:fill="417A84" w:themeFill="accent5" w:themeFillShade="BF"/>
          </w:tcPr>
          <w:p w14:paraId="18C62C93"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$96.46</w:t>
            </w:r>
          </w:p>
        </w:tc>
        <w:tc>
          <w:tcPr>
            <w:tcW w:w="1276" w:type="dxa"/>
            <w:tcBorders>
              <w:left w:val="single" w:sz="4" w:space="0" w:color="000000" w:themeColor="text1"/>
              <w:right w:val="single" w:sz="4" w:space="0" w:color="000000" w:themeColor="text1"/>
            </w:tcBorders>
            <w:shd w:val="clear" w:color="auto" w:fill="417A84" w:themeFill="accent5" w:themeFillShade="BF"/>
          </w:tcPr>
          <w:p w14:paraId="05A8BF93"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$114.9</w:t>
            </w:r>
          </w:p>
        </w:tc>
        <w:tc>
          <w:tcPr>
            <w:tcW w:w="1417" w:type="dxa"/>
            <w:tcBorders>
              <w:left w:val="single" w:sz="4" w:space="0" w:color="000000" w:themeColor="text1"/>
            </w:tcBorders>
            <w:shd w:val="clear" w:color="auto" w:fill="417A84" w:themeFill="accent5" w:themeFillShade="BF"/>
            <w:vAlign w:val="center"/>
          </w:tcPr>
          <w:p w14:paraId="35CA1869" w14:textId="77777777" w:rsidR="008A1242" w:rsidRPr="00CF39C8" w:rsidRDefault="0021517D"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21517D">
              <w:rPr>
                <w:rFonts w:cstheme="minorHAnsi"/>
                <w:b/>
                <w:color w:val="FFFFFF" w:themeColor="background1"/>
                <w:sz w:val="18"/>
                <w:szCs w:val="18"/>
              </w:rPr>
              <w:t>$</w:t>
            </w:r>
            <w:r w:rsidR="000840DA" w:rsidRPr="0021517D">
              <w:rPr>
                <w:rFonts w:cstheme="minorHAnsi"/>
                <w:b/>
                <w:color w:val="FFFFFF" w:themeColor="background1"/>
                <w:sz w:val="18"/>
                <w:szCs w:val="18"/>
              </w:rPr>
              <w:t>8</w:t>
            </w:r>
            <w:r w:rsidR="000840DA">
              <w:rPr>
                <w:rFonts w:cstheme="minorHAnsi"/>
                <w:b/>
                <w:color w:val="FFFFFF" w:themeColor="background1"/>
                <w:sz w:val="18"/>
                <w:szCs w:val="18"/>
              </w:rPr>
              <w:t>6</w:t>
            </w:r>
            <w:r w:rsidRPr="0021517D">
              <w:rPr>
                <w:rFonts w:cstheme="minorHAnsi"/>
                <w:b/>
                <w:color w:val="FFFFFF" w:themeColor="background1"/>
                <w:sz w:val="18"/>
                <w:szCs w:val="18"/>
              </w:rPr>
              <w:t>.</w:t>
            </w:r>
            <w:r w:rsidR="000840DA">
              <w:rPr>
                <w:rFonts w:cstheme="minorHAnsi"/>
                <w:b/>
                <w:color w:val="FFFFFF" w:themeColor="background1"/>
                <w:sz w:val="18"/>
                <w:szCs w:val="18"/>
              </w:rPr>
              <w:t>04</w:t>
            </w:r>
          </w:p>
        </w:tc>
      </w:tr>
      <w:tr w:rsidR="008A1242" w:rsidRPr="00CF39C8" w14:paraId="7B18DFAF"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417A84" w:themeFill="accent5" w:themeFillShade="BF"/>
            <w:vAlign w:val="center"/>
          </w:tcPr>
          <w:p w14:paraId="075FED85" w14:textId="77777777" w:rsidR="008A1242" w:rsidRPr="00CF39C8" w:rsidRDefault="008A1242" w:rsidP="00551C78">
            <w:pPr>
              <w:spacing w:before="80"/>
              <w:ind w:left="29"/>
              <w:jc w:val="center"/>
              <w:rPr>
                <w:rFonts w:cstheme="minorHAnsi"/>
                <w:color w:val="FFFFFF" w:themeColor="background1"/>
                <w:sz w:val="18"/>
                <w:szCs w:val="18"/>
              </w:rPr>
            </w:pPr>
            <w:r w:rsidRPr="00CF39C8">
              <w:rPr>
                <w:rFonts w:cstheme="minorHAnsi"/>
                <w:color w:val="FFFFFF" w:themeColor="background1"/>
                <w:sz w:val="18"/>
                <w:szCs w:val="18"/>
              </w:rPr>
              <w:t>Benefits cost ratio:</w:t>
            </w:r>
          </w:p>
        </w:tc>
        <w:tc>
          <w:tcPr>
            <w:tcW w:w="1276" w:type="dxa"/>
            <w:tcBorders>
              <w:left w:val="single" w:sz="4" w:space="0" w:color="000000" w:themeColor="text1"/>
              <w:right w:val="single" w:sz="4" w:space="0" w:color="000000" w:themeColor="text1"/>
            </w:tcBorders>
            <w:shd w:val="clear" w:color="auto" w:fill="417A84" w:themeFill="accent5" w:themeFillShade="BF"/>
          </w:tcPr>
          <w:p w14:paraId="0627BA3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p>
        </w:tc>
        <w:tc>
          <w:tcPr>
            <w:tcW w:w="1134" w:type="dxa"/>
            <w:tcBorders>
              <w:left w:val="single" w:sz="4" w:space="0" w:color="000000" w:themeColor="text1"/>
              <w:right w:val="single" w:sz="4" w:space="0" w:color="000000" w:themeColor="text1"/>
            </w:tcBorders>
            <w:shd w:val="clear" w:color="auto" w:fill="417A84" w:themeFill="accent5" w:themeFillShade="BF"/>
            <w:vAlign w:val="center"/>
          </w:tcPr>
          <w:p w14:paraId="3D1ED074"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CF39C8">
              <w:rPr>
                <w:rFonts w:cstheme="minorHAnsi"/>
                <w:b/>
                <w:bCs/>
                <w:color w:val="FFFFFF" w:themeColor="background1"/>
                <w:sz w:val="18"/>
                <w:szCs w:val="18"/>
              </w:rPr>
              <w:t>1.42</w:t>
            </w:r>
          </w:p>
        </w:tc>
        <w:tc>
          <w:tcPr>
            <w:tcW w:w="1276" w:type="dxa"/>
            <w:tcBorders>
              <w:left w:val="single" w:sz="4" w:space="0" w:color="000000" w:themeColor="text1"/>
              <w:right w:val="single" w:sz="4" w:space="0" w:color="000000" w:themeColor="text1"/>
            </w:tcBorders>
            <w:shd w:val="clear" w:color="auto" w:fill="417A84" w:themeFill="accent5" w:themeFillShade="BF"/>
            <w:vAlign w:val="center"/>
          </w:tcPr>
          <w:p w14:paraId="622FC62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3.08</w:t>
            </w:r>
          </w:p>
        </w:tc>
        <w:tc>
          <w:tcPr>
            <w:tcW w:w="1276" w:type="dxa"/>
            <w:tcBorders>
              <w:left w:val="single" w:sz="4" w:space="0" w:color="000000" w:themeColor="text1"/>
              <w:right w:val="single" w:sz="4" w:space="0" w:color="000000" w:themeColor="text1"/>
            </w:tcBorders>
            <w:shd w:val="clear" w:color="auto" w:fill="417A84" w:themeFill="accent5" w:themeFillShade="BF"/>
            <w:vAlign w:val="center"/>
          </w:tcPr>
          <w:p w14:paraId="5DD0F7F1"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2.96</w:t>
            </w:r>
          </w:p>
        </w:tc>
        <w:tc>
          <w:tcPr>
            <w:tcW w:w="1417" w:type="dxa"/>
            <w:tcBorders>
              <w:left w:val="single" w:sz="4" w:space="0" w:color="000000" w:themeColor="text1"/>
            </w:tcBorders>
            <w:shd w:val="clear" w:color="auto" w:fill="417A84" w:themeFill="accent5" w:themeFillShade="BF"/>
            <w:vAlign w:val="center"/>
          </w:tcPr>
          <w:p w14:paraId="34C4C07A"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21517D">
              <w:rPr>
                <w:rFonts w:cstheme="minorHAnsi"/>
                <w:b/>
                <w:color w:val="FFFFFF" w:themeColor="background1"/>
                <w:sz w:val="18"/>
                <w:szCs w:val="18"/>
              </w:rPr>
              <w:t>3.</w:t>
            </w:r>
            <w:r w:rsidR="000840DA" w:rsidRPr="0021517D">
              <w:rPr>
                <w:rFonts w:cstheme="minorHAnsi"/>
                <w:b/>
                <w:color w:val="FFFFFF" w:themeColor="background1"/>
                <w:sz w:val="18"/>
                <w:szCs w:val="18"/>
              </w:rPr>
              <w:t>1</w:t>
            </w:r>
            <w:r w:rsidR="000840DA">
              <w:rPr>
                <w:rFonts w:cstheme="minorHAnsi"/>
                <w:b/>
                <w:color w:val="FFFFFF" w:themeColor="background1"/>
                <w:sz w:val="18"/>
                <w:szCs w:val="18"/>
              </w:rPr>
              <w:t>2</w:t>
            </w:r>
          </w:p>
        </w:tc>
      </w:tr>
    </w:tbl>
    <w:p w14:paraId="044A34D7" w14:textId="77777777" w:rsidR="00F71743" w:rsidRPr="00CF39C8" w:rsidRDefault="000A1476" w:rsidP="000A1476">
      <w:pPr>
        <w:pStyle w:val="Caption"/>
        <w:rPr>
          <w:b w:val="0"/>
        </w:rPr>
      </w:pPr>
      <w:bookmarkStart w:id="386" w:name="_Toc161837779"/>
      <w:bookmarkStart w:id="387" w:name="_Toc161933226"/>
      <w:bookmarkStart w:id="388" w:name="_Toc163221126"/>
      <w:r w:rsidRPr="00CF39C8">
        <w:t xml:space="preserve">Table </w:t>
      </w:r>
      <w:r w:rsidR="00860CE1" w:rsidRPr="00CF39C8">
        <w:t>1</w:t>
      </w:r>
      <w:r w:rsidR="00C6227F">
        <w:t>4</w:t>
      </w:r>
      <w:r w:rsidR="00860CE1" w:rsidRPr="00CF39C8">
        <w:rPr>
          <w:b w:val="0"/>
        </w:rPr>
        <w:t xml:space="preserve"> </w:t>
      </w:r>
      <w:r w:rsidRPr="00CF39C8">
        <w:rPr>
          <w:b w:val="0"/>
        </w:rPr>
        <w:t>– Stakeholder impacts of options</w:t>
      </w:r>
      <w:bookmarkEnd w:id="386"/>
      <w:bookmarkEnd w:id="387"/>
      <w:bookmarkEnd w:id="388"/>
    </w:p>
    <w:p w14:paraId="2DD9BDC0" w14:textId="77777777" w:rsidR="00497203" w:rsidRPr="003D0C26" w:rsidRDefault="00AD0E06" w:rsidP="003D0C26">
      <w:pPr>
        <w:spacing w:after="160" w:line="257" w:lineRule="auto"/>
        <w:rPr>
          <w:rFonts w:asciiTheme="majorHAnsi" w:hAnsiTheme="majorHAnsi" w:cstheme="majorHAnsi"/>
        </w:rPr>
      </w:pPr>
      <w:r w:rsidRPr="003D0C26">
        <w:rPr>
          <w:rFonts w:asciiTheme="majorHAnsi" w:hAnsiTheme="majorHAnsi" w:cstheme="majorHAnsi"/>
        </w:rPr>
        <w:t>This illustrates that very significant benefits flow to the community and motorists</w:t>
      </w:r>
      <w:r w:rsidR="004E4FBC" w:rsidRPr="003D0C26">
        <w:rPr>
          <w:rFonts w:asciiTheme="majorHAnsi" w:hAnsiTheme="majorHAnsi" w:cstheme="majorHAnsi"/>
        </w:rPr>
        <w:t xml:space="preserve"> across the </w:t>
      </w:r>
      <w:r w:rsidR="008A1242" w:rsidRPr="003D0C26">
        <w:rPr>
          <w:rFonts w:asciiTheme="majorHAnsi" w:hAnsiTheme="majorHAnsi" w:cstheme="majorHAnsi"/>
        </w:rPr>
        <w:t>four options considered</w:t>
      </w:r>
      <w:r w:rsidR="00762BA5" w:rsidRPr="003D0C26">
        <w:rPr>
          <w:rFonts w:asciiTheme="majorHAnsi" w:hAnsiTheme="majorHAnsi" w:cstheme="majorHAnsi"/>
        </w:rPr>
        <w:t>;</w:t>
      </w:r>
      <w:r w:rsidRPr="003D0C26">
        <w:rPr>
          <w:rFonts w:asciiTheme="majorHAnsi" w:hAnsiTheme="majorHAnsi" w:cstheme="majorHAnsi"/>
        </w:rPr>
        <w:t xml:space="preserve"> a result of reduced fuel costs, reduced health costs as a result of vehicle emissions, and greenhouse gas emissions savings. For motorists, fuel savings and reduced vehicle maintenance more than offset electricity costs and battery replacement, even with our </w:t>
      </w:r>
      <w:r w:rsidR="0021517D" w:rsidRPr="003D0C26">
        <w:rPr>
          <w:rFonts w:asciiTheme="majorHAnsi" w:hAnsiTheme="majorHAnsi" w:cstheme="majorHAnsi"/>
        </w:rPr>
        <w:t xml:space="preserve">very </w:t>
      </w:r>
      <w:r w:rsidRPr="003D0C26">
        <w:rPr>
          <w:rFonts w:asciiTheme="majorHAnsi" w:hAnsiTheme="majorHAnsi" w:cstheme="majorHAnsi"/>
        </w:rPr>
        <w:t>conservative assumption about EV battery life.</w:t>
      </w:r>
      <w:r w:rsidR="005D7A05" w:rsidRPr="003D0C26">
        <w:rPr>
          <w:rFonts w:asciiTheme="majorHAnsi" w:hAnsiTheme="majorHAnsi" w:cstheme="majorHAnsi"/>
        </w:rPr>
        <w:t xml:space="preserve"> Our </w:t>
      </w:r>
      <w:r w:rsidR="0015781C" w:rsidRPr="003D0C26">
        <w:rPr>
          <w:rFonts w:asciiTheme="majorHAnsi" w:hAnsiTheme="majorHAnsi" w:cstheme="majorHAnsi"/>
        </w:rPr>
        <w:t xml:space="preserve">analysis </w:t>
      </w:r>
      <w:r w:rsidR="005D7A05" w:rsidRPr="003D0C26">
        <w:rPr>
          <w:rFonts w:asciiTheme="majorHAnsi" w:hAnsiTheme="majorHAnsi" w:cstheme="majorHAnsi"/>
        </w:rPr>
        <w:t xml:space="preserve">assumes technology costs for more efficient internal combustion engine technology, hybrid technology and EV technology are applied efficiently to comply with the </w:t>
      </w:r>
      <w:r w:rsidR="006D4EF3" w:rsidRPr="003D0C26">
        <w:rPr>
          <w:rFonts w:asciiTheme="majorHAnsi" w:hAnsiTheme="majorHAnsi" w:cstheme="majorHAnsi"/>
        </w:rPr>
        <w:t>NVES</w:t>
      </w:r>
      <w:r w:rsidR="005D7A05" w:rsidRPr="003D0C26">
        <w:rPr>
          <w:rFonts w:asciiTheme="majorHAnsi" w:hAnsiTheme="majorHAnsi" w:cstheme="majorHAnsi"/>
        </w:rPr>
        <w:t xml:space="preserve"> target, i.e. that the lowest cost option is taken where practical. </w:t>
      </w:r>
    </w:p>
    <w:p w14:paraId="15513795" w14:textId="77777777" w:rsidR="00041212" w:rsidRPr="003D0C26" w:rsidRDefault="00041212" w:rsidP="003D0C26">
      <w:pPr>
        <w:spacing w:after="160" w:line="257" w:lineRule="auto"/>
        <w:rPr>
          <w:rFonts w:asciiTheme="majorHAnsi" w:hAnsiTheme="majorHAnsi" w:cstheme="majorHAnsi"/>
        </w:rPr>
      </w:pPr>
      <w:r w:rsidRPr="003D0C26">
        <w:rPr>
          <w:rFonts w:asciiTheme="majorHAnsi" w:hAnsiTheme="majorHAnsi" w:cstheme="majorHAnsi"/>
        </w:rPr>
        <w:t xml:space="preserve">These costs were not inconsiderable, ranging from $0.19 billion for </w:t>
      </w:r>
      <w:r w:rsidR="00DC48C3">
        <w:rPr>
          <w:rFonts w:asciiTheme="majorHAnsi" w:hAnsiTheme="majorHAnsi" w:cstheme="majorHAnsi"/>
        </w:rPr>
        <w:t>Option A</w:t>
      </w:r>
      <w:r w:rsidRPr="003D0C26">
        <w:rPr>
          <w:rFonts w:asciiTheme="majorHAnsi" w:hAnsiTheme="majorHAnsi" w:cstheme="majorHAnsi"/>
        </w:rPr>
        <w:t xml:space="preserve">, to $9.49 billion for </w:t>
      </w:r>
      <w:r w:rsidR="00C12BE2">
        <w:rPr>
          <w:rFonts w:asciiTheme="majorHAnsi" w:hAnsiTheme="majorHAnsi" w:cstheme="majorHAnsi"/>
        </w:rPr>
        <w:t>Option C</w:t>
      </w:r>
      <w:r w:rsidRPr="003D0C26">
        <w:rPr>
          <w:rFonts w:asciiTheme="majorHAnsi" w:hAnsiTheme="majorHAnsi" w:cstheme="majorHAnsi"/>
        </w:rPr>
        <w:t xml:space="preserve">, but are heavily outweighed by the fuel and maintenance cost savings of $0.51 billion for </w:t>
      </w:r>
      <w:r w:rsidR="00DC48C3">
        <w:rPr>
          <w:rFonts w:asciiTheme="majorHAnsi" w:hAnsiTheme="majorHAnsi" w:cstheme="majorHAnsi"/>
        </w:rPr>
        <w:t>Option A</w:t>
      </w:r>
      <w:r w:rsidRPr="003D0C26">
        <w:rPr>
          <w:rFonts w:asciiTheme="majorHAnsi" w:hAnsiTheme="majorHAnsi" w:cstheme="majorHAnsi"/>
        </w:rPr>
        <w:t xml:space="preserve"> to $149.61 billion for </w:t>
      </w:r>
      <w:r w:rsidR="00C12BE2">
        <w:rPr>
          <w:rFonts w:asciiTheme="majorHAnsi" w:hAnsiTheme="majorHAnsi" w:cstheme="majorHAnsi"/>
        </w:rPr>
        <w:t>Option C</w:t>
      </w:r>
      <w:r w:rsidRPr="003D0C26">
        <w:rPr>
          <w:rFonts w:asciiTheme="majorHAnsi" w:hAnsiTheme="majorHAnsi" w:cstheme="majorHAnsi"/>
        </w:rPr>
        <w:t>.</w:t>
      </w:r>
      <w:r w:rsidR="00781613" w:rsidRPr="003D0C26">
        <w:rPr>
          <w:rFonts w:asciiTheme="majorHAnsi" w:hAnsiTheme="majorHAnsi" w:cstheme="majorHAnsi"/>
        </w:rPr>
        <w:t xml:space="preserve"> </w:t>
      </w:r>
      <w:r w:rsidR="00781613" w:rsidRPr="00793718">
        <w:rPr>
          <w:rFonts w:asciiTheme="majorHAnsi" w:hAnsiTheme="majorHAnsi" w:cstheme="majorHAnsi"/>
        </w:rPr>
        <w:t xml:space="preserve">In the </w:t>
      </w:r>
      <w:r w:rsidR="00AE4BF3" w:rsidRPr="00793718">
        <w:rPr>
          <w:rFonts w:asciiTheme="majorHAnsi" w:hAnsiTheme="majorHAnsi" w:cstheme="majorHAnsi"/>
        </w:rPr>
        <w:t>best</w:t>
      </w:r>
      <w:r w:rsidR="00781613" w:rsidRPr="00793718">
        <w:rPr>
          <w:rFonts w:asciiTheme="majorHAnsi" w:hAnsiTheme="majorHAnsi" w:cstheme="majorHAnsi"/>
        </w:rPr>
        <w:t xml:space="preserve"> option, the</w:t>
      </w:r>
      <w:r w:rsidR="00F61D7D">
        <w:rPr>
          <w:rFonts w:asciiTheme="majorHAnsi" w:hAnsiTheme="majorHAnsi" w:cstheme="majorHAnsi"/>
        </w:rPr>
        <w:t xml:space="preserve"> vehicle technology</w:t>
      </w:r>
      <w:r w:rsidR="00781613" w:rsidRPr="00793718">
        <w:rPr>
          <w:rFonts w:asciiTheme="majorHAnsi" w:hAnsiTheme="majorHAnsi" w:cstheme="majorHAnsi"/>
        </w:rPr>
        <w:t xml:space="preserve"> costs are $</w:t>
      </w:r>
      <w:r w:rsidR="00A76C16" w:rsidRPr="00793718">
        <w:rPr>
          <w:rFonts w:asciiTheme="majorHAnsi" w:hAnsiTheme="majorHAnsi" w:cstheme="majorHAnsi"/>
        </w:rPr>
        <w:t>6.59</w:t>
      </w:r>
      <w:r w:rsidR="00062FC3" w:rsidRPr="00793718">
        <w:rPr>
          <w:rFonts w:asciiTheme="majorHAnsi" w:hAnsiTheme="majorHAnsi" w:cstheme="majorHAnsi"/>
        </w:rPr>
        <w:t xml:space="preserve"> </w:t>
      </w:r>
      <w:r w:rsidR="00781613" w:rsidRPr="00793718">
        <w:rPr>
          <w:rFonts w:asciiTheme="majorHAnsi" w:hAnsiTheme="majorHAnsi" w:cstheme="majorHAnsi"/>
        </w:rPr>
        <w:t>billion, while the fuel and maintenance savings are $</w:t>
      </w:r>
      <w:r w:rsidR="000840DA" w:rsidRPr="00793718">
        <w:rPr>
          <w:rFonts w:asciiTheme="majorHAnsi" w:hAnsiTheme="majorHAnsi" w:cstheme="majorHAnsi"/>
        </w:rPr>
        <w:t>1</w:t>
      </w:r>
      <w:r w:rsidR="000840DA">
        <w:rPr>
          <w:rFonts w:asciiTheme="majorHAnsi" w:hAnsiTheme="majorHAnsi" w:cstheme="majorHAnsi"/>
        </w:rPr>
        <w:t>08</w:t>
      </w:r>
      <w:r w:rsidR="00A76C16" w:rsidRPr="00793718">
        <w:rPr>
          <w:rFonts w:asciiTheme="majorHAnsi" w:hAnsiTheme="majorHAnsi" w:cstheme="majorHAnsi"/>
        </w:rPr>
        <w:t>.</w:t>
      </w:r>
      <w:r w:rsidR="000840DA">
        <w:rPr>
          <w:rFonts w:asciiTheme="majorHAnsi" w:hAnsiTheme="majorHAnsi" w:cstheme="majorHAnsi"/>
        </w:rPr>
        <w:t>9</w:t>
      </w:r>
      <w:r w:rsidR="00F61D7D">
        <w:rPr>
          <w:rFonts w:asciiTheme="majorHAnsi" w:hAnsiTheme="majorHAnsi" w:cstheme="majorHAnsi"/>
        </w:rPr>
        <w:t>3</w:t>
      </w:r>
      <w:r w:rsidR="000840DA" w:rsidRPr="00793718">
        <w:rPr>
          <w:rFonts w:asciiTheme="majorHAnsi" w:hAnsiTheme="majorHAnsi" w:cstheme="majorHAnsi"/>
        </w:rPr>
        <w:t xml:space="preserve"> </w:t>
      </w:r>
      <w:r w:rsidR="00781613" w:rsidRPr="00793718">
        <w:rPr>
          <w:rFonts w:asciiTheme="majorHAnsi" w:hAnsiTheme="majorHAnsi" w:cstheme="majorHAnsi"/>
        </w:rPr>
        <w:t>billion.</w:t>
      </w:r>
    </w:p>
    <w:p w14:paraId="67CE17E2" w14:textId="77777777" w:rsidR="009B3926" w:rsidRPr="00CF39C8" w:rsidRDefault="009B3926" w:rsidP="0074044E">
      <w:pPr>
        <w:spacing w:after="160" w:line="256" w:lineRule="auto"/>
        <w:rPr>
          <w:rFonts w:asciiTheme="majorHAnsi" w:hAnsiTheme="majorHAnsi" w:cstheme="majorHAnsi"/>
          <w:b/>
        </w:rPr>
      </w:pPr>
      <w:bookmarkStart w:id="389" w:name="_Hlk161905986"/>
      <w:r w:rsidRPr="00CF39C8">
        <w:rPr>
          <w:rFonts w:asciiTheme="majorHAnsi" w:hAnsiTheme="majorHAnsi" w:cstheme="majorHAnsi"/>
          <w:b/>
        </w:rPr>
        <w:t>Distributional analysis</w:t>
      </w:r>
    </w:p>
    <w:p w14:paraId="68772140" w14:textId="77777777" w:rsidR="00C832D6" w:rsidRPr="00CF39C8" w:rsidRDefault="00C832D6" w:rsidP="00951764">
      <w:pPr>
        <w:spacing w:after="160" w:line="257" w:lineRule="auto"/>
        <w:rPr>
          <w:rFonts w:asciiTheme="majorHAnsi" w:hAnsiTheme="majorHAnsi" w:cstheme="majorHAnsi"/>
        </w:rPr>
      </w:pPr>
      <w:r w:rsidRPr="00CF39C8">
        <w:rPr>
          <w:rFonts w:asciiTheme="majorHAnsi" w:hAnsiTheme="majorHAnsi" w:cstheme="majorHAnsi"/>
        </w:rPr>
        <w:t xml:space="preserve">To test the impacts of the </w:t>
      </w:r>
      <w:r w:rsidR="006D4EF3" w:rsidRPr="00CF39C8">
        <w:rPr>
          <w:rFonts w:asciiTheme="majorHAnsi" w:hAnsiTheme="majorHAnsi" w:cstheme="majorHAnsi"/>
        </w:rPr>
        <w:t>NVES</w:t>
      </w:r>
      <w:r w:rsidRPr="00CF39C8">
        <w:rPr>
          <w:rFonts w:asciiTheme="majorHAnsi" w:hAnsiTheme="majorHAnsi" w:cstheme="majorHAnsi"/>
        </w:rPr>
        <w:t xml:space="preserve"> on different parts of the country, we undertook a distributional analysis based on state and territory</w:t>
      </w:r>
      <w:r w:rsidR="00DE62A5" w:rsidRPr="00CF39C8">
        <w:rPr>
          <w:rFonts w:asciiTheme="majorHAnsi" w:hAnsiTheme="majorHAnsi" w:cstheme="majorHAnsi"/>
        </w:rPr>
        <w:t>,</w:t>
      </w:r>
      <w:r w:rsidRPr="00CF39C8">
        <w:rPr>
          <w:rFonts w:asciiTheme="majorHAnsi" w:hAnsiTheme="majorHAnsi" w:cstheme="majorHAnsi"/>
        </w:rPr>
        <w:t xml:space="preserve"> and on remoteness. This examines the costs and benefits of the </w:t>
      </w:r>
      <w:r w:rsidR="006D4EF3" w:rsidRPr="00CF39C8">
        <w:rPr>
          <w:rFonts w:asciiTheme="majorHAnsi" w:hAnsiTheme="majorHAnsi" w:cstheme="majorHAnsi"/>
        </w:rPr>
        <w:t>NVES</w:t>
      </w:r>
      <w:r w:rsidRPr="00CF39C8">
        <w:rPr>
          <w:rFonts w:asciiTheme="majorHAnsi" w:hAnsiTheme="majorHAnsi" w:cstheme="majorHAnsi"/>
        </w:rPr>
        <w:t xml:space="preserve"> for people in different parts of the country. </w:t>
      </w:r>
    </w:p>
    <w:p w14:paraId="3D438086" w14:textId="77777777" w:rsidR="00D00FB2" w:rsidRDefault="00D00FB2" w:rsidP="00D00FB2">
      <w:pPr>
        <w:spacing w:after="160" w:line="257" w:lineRule="auto"/>
        <w:rPr>
          <w:rFonts w:asciiTheme="majorHAnsi" w:hAnsiTheme="majorHAnsi" w:cstheme="majorHAnsi"/>
        </w:rPr>
      </w:pPr>
      <w:r w:rsidRPr="00CF39C8">
        <w:rPr>
          <w:rFonts w:asciiTheme="majorHAnsi" w:hAnsiTheme="majorHAnsi" w:cstheme="majorHAnsi"/>
        </w:rPr>
        <w:t xml:space="preserve">The state and territory analysis finds that all jurisdictions see a strong positive benefit-to-cost ratio under all options. The largest benefit-to-cost ratio is in the Northern Territory and Tasmania, with the Australian Capital Territory, New South Wales, Victoria and Western Australia having BCRs slightly below the national average, but all still above 3 for </w:t>
      </w:r>
      <w:r>
        <w:rPr>
          <w:rFonts w:asciiTheme="majorHAnsi" w:hAnsiTheme="majorHAnsi" w:cstheme="majorHAnsi"/>
        </w:rPr>
        <w:t xml:space="preserve">the </w:t>
      </w:r>
      <w:r w:rsidR="00AE4BF3">
        <w:rPr>
          <w:rFonts w:asciiTheme="majorHAnsi" w:hAnsiTheme="majorHAnsi" w:cstheme="majorHAnsi"/>
        </w:rPr>
        <w:t>best</w:t>
      </w:r>
      <w:r>
        <w:rPr>
          <w:rFonts w:asciiTheme="majorHAnsi" w:hAnsiTheme="majorHAnsi" w:cstheme="majorHAnsi"/>
        </w:rPr>
        <w:t xml:space="preserve"> option</w:t>
      </w:r>
      <w:r w:rsidRPr="00CF39C8">
        <w:rPr>
          <w:rFonts w:asciiTheme="majorHAnsi" w:hAnsiTheme="majorHAnsi" w:cstheme="majorHAnsi"/>
        </w:rPr>
        <w:t>.</w:t>
      </w:r>
    </w:p>
    <w:p w14:paraId="61A65A36" w14:textId="77777777" w:rsidR="00C718FC" w:rsidRDefault="00C718FC" w:rsidP="00D00FB2">
      <w:pPr>
        <w:spacing w:after="160" w:line="257" w:lineRule="auto"/>
        <w:rPr>
          <w:rFonts w:asciiTheme="majorHAnsi" w:hAnsiTheme="majorHAnsi" w:cstheme="majorHAnsi"/>
        </w:rPr>
        <w:sectPr w:rsidR="00C718FC" w:rsidSect="00C718FC">
          <w:pgSz w:w="11906" w:h="16838" w:code="9"/>
          <w:pgMar w:top="1021" w:right="1134" w:bottom="709" w:left="1276" w:header="510" w:footer="567" w:gutter="0"/>
          <w:cols w:space="708"/>
          <w:docGrid w:linePitch="360"/>
        </w:sectPr>
      </w:pPr>
    </w:p>
    <w:tbl>
      <w:tblPr>
        <w:tblW w:w="9854"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tblCellMar>
        <w:tblLook w:val="04A0" w:firstRow="1" w:lastRow="0" w:firstColumn="1" w:lastColumn="0" w:noHBand="0" w:noVBand="1"/>
        <w:tblCaption w:val="Benefits and costs for states and territories"/>
      </w:tblPr>
      <w:tblGrid>
        <w:gridCol w:w="3186"/>
        <w:gridCol w:w="1672"/>
        <w:gridCol w:w="1672"/>
        <w:gridCol w:w="1672"/>
        <w:gridCol w:w="1652"/>
      </w:tblGrid>
      <w:tr w:rsidR="008A1242" w:rsidRPr="00CF39C8" w14:paraId="0B017961" w14:textId="77777777" w:rsidTr="007D3101">
        <w:trPr>
          <w:trHeight w:val="335"/>
        </w:trPr>
        <w:tc>
          <w:tcPr>
            <w:tcW w:w="3186" w:type="dxa"/>
            <w:shd w:val="clear" w:color="auto" w:fill="417A84" w:themeFill="accent5" w:themeFillShade="BF"/>
            <w:vAlign w:val="center"/>
            <w:hideMark/>
          </w:tcPr>
          <w:p w14:paraId="45DFB909" w14:textId="77777777" w:rsidR="008A1242" w:rsidRPr="00CF39C8" w:rsidRDefault="008A1242" w:rsidP="00DE62A5">
            <w:pPr>
              <w:spacing w:after="0" w:line="257" w:lineRule="auto"/>
              <w:rPr>
                <w:rFonts w:asciiTheme="majorHAnsi" w:hAnsiTheme="majorHAnsi" w:cstheme="majorHAnsi"/>
                <w:b/>
                <w:color w:val="FFFFFF" w:themeColor="background1"/>
              </w:rPr>
            </w:pPr>
            <w:r w:rsidRPr="00CF39C8">
              <w:rPr>
                <w:rFonts w:asciiTheme="majorHAnsi" w:hAnsiTheme="majorHAnsi" w:cstheme="majorHAnsi"/>
                <w:b/>
                <w:color w:val="FFFFFF" w:themeColor="background1"/>
              </w:rPr>
              <w:t>Benefits and costs for states or territories</w:t>
            </w:r>
          </w:p>
        </w:tc>
        <w:tc>
          <w:tcPr>
            <w:tcW w:w="1672" w:type="dxa"/>
            <w:shd w:val="clear" w:color="auto" w:fill="417A84" w:themeFill="accent5" w:themeFillShade="BF"/>
            <w:vAlign w:val="center"/>
            <w:hideMark/>
          </w:tcPr>
          <w:p w14:paraId="32CA6BEE" w14:textId="77777777" w:rsidR="008A1242" w:rsidRPr="00CF39C8" w:rsidRDefault="00DC48C3"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A</w:t>
            </w:r>
            <w:r w:rsidR="008A1242" w:rsidRPr="00CF39C8">
              <w:rPr>
                <w:rFonts w:asciiTheme="majorHAnsi" w:hAnsiTheme="majorHAnsi" w:cstheme="majorHAnsi"/>
                <w:b/>
                <w:color w:val="FFFFFF" w:themeColor="background1"/>
              </w:rPr>
              <w:t> </w:t>
            </w:r>
          </w:p>
        </w:tc>
        <w:tc>
          <w:tcPr>
            <w:tcW w:w="1672" w:type="dxa"/>
            <w:shd w:val="clear" w:color="auto" w:fill="417A84" w:themeFill="accent5" w:themeFillShade="BF"/>
            <w:vAlign w:val="center"/>
            <w:hideMark/>
          </w:tcPr>
          <w:p w14:paraId="1A9B6540" w14:textId="77777777" w:rsidR="008A1242" w:rsidRPr="00CF39C8" w:rsidRDefault="00C12BE2"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B</w:t>
            </w:r>
          </w:p>
        </w:tc>
        <w:tc>
          <w:tcPr>
            <w:tcW w:w="1672" w:type="dxa"/>
            <w:shd w:val="clear" w:color="auto" w:fill="417A84" w:themeFill="accent5" w:themeFillShade="BF"/>
            <w:vAlign w:val="center"/>
          </w:tcPr>
          <w:p w14:paraId="56880F48" w14:textId="77777777" w:rsidR="008A1242" w:rsidRPr="00CF39C8" w:rsidRDefault="00C12BE2"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C</w:t>
            </w:r>
          </w:p>
        </w:tc>
        <w:tc>
          <w:tcPr>
            <w:tcW w:w="1652" w:type="dxa"/>
            <w:shd w:val="clear" w:color="auto" w:fill="595959" w:themeFill="text1" w:themeFillTint="A6"/>
            <w:vAlign w:val="center"/>
          </w:tcPr>
          <w:p w14:paraId="3CBF1E7D" w14:textId="77777777" w:rsidR="008A1242" w:rsidRPr="00CF39C8" w:rsidRDefault="00AE4BF3" w:rsidP="008A1242">
            <w:pPr>
              <w:spacing w:after="0" w:line="256" w:lineRule="auto"/>
              <w:jc w:val="center"/>
              <w:rPr>
                <w:rFonts w:asciiTheme="majorHAnsi" w:hAnsiTheme="majorHAnsi" w:cstheme="majorHAnsi"/>
                <w:b/>
                <w:color w:val="FFFFFF" w:themeColor="background1"/>
              </w:rPr>
            </w:pPr>
            <w:r>
              <w:rPr>
                <w:rFonts w:asciiTheme="majorHAnsi" w:hAnsiTheme="majorHAnsi" w:cstheme="majorHAnsi"/>
                <w:b/>
                <w:color w:val="FFFFFF" w:themeColor="background1"/>
              </w:rPr>
              <w:t>Best</w:t>
            </w:r>
            <w:r w:rsidR="00D00FB2">
              <w:rPr>
                <w:rFonts w:asciiTheme="majorHAnsi" w:hAnsiTheme="majorHAnsi" w:cstheme="majorHAnsi"/>
                <w:b/>
                <w:color w:val="FFFFFF" w:themeColor="background1"/>
              </w:rPr>
              <w:t xml:space="preserve"> </w:t>
            </w:r>
            <w:r w:rsidR="008A1242" w:rsidRPr="00CF39C8">
              <w:rPr>
                <w:rFonts w:asciiTheme="majorHAnsi" w:hAnsiTheme="majorHAnsi" w:cstheme="majorHAnsi"/>
                <w:b/>
                <w:color w:val="FFFFFF" w:themeColor="background1"/>
              </w:rPr>
              <w:t xml:space="preserve">Option </w:t>
            </w:r>
          </w:p>
        </w:tc>
      </w:tr>
      <w:tr w:rsidR="008A1242" w:rsidRPr="00CF39C8" w14:paraId="79CAA5CC" w14:textId="77777777" w:rsidTr="008A1242">
        <w:trPr>
          <w:trHeight w:val="60"/>
        </w:trPr>
        <w:tc>
          <w:tcPr>
            <w:tcW w:w="3186" w:type="dxa"/>
            <w:shd w:val="clear" w:color="auto" w:fill="C8CAE7" w:themeFill="text2" w:themeFillTint="33"/>
            <w:vAlign w:val="center"/>
          </w:tcPr>
          <w:p w14:paraId="529A3B27"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Reference BCR</w:t>
            </w:r>
          </w:p>
        </w:tc>
        <w:tc>
          <w:tcPr>
            <w:tcW w:w="1672" w:type="dxa"/>
            <w:shd w:val="clear" w:color="auto" w:fill="C8CAE7" w:themeFill="text2" w:themeFillTint="33"/>
            <w:vAlign w:val="center"/>
          </w:tcPr>
          <w:p w14:paraId="01DC3ADD"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1.42</w:t>
            </w:r>
          </w:p>
        </w:tc>
        <w:tc>
          <w:tcPr>
            <w:tcW w:w="1672" w:type="dxa"/>
            <w:shd w:val="clear" w:color="auto" w:fill="C8CAE7" w:themeFill="text2" w:themeFillTint="33"/>
            <w:vAlign w:val="center"/>
          </w:tcPr>
          <w:p w14:paraId="78CACEC7"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3.08</w:t>
            </w:r>
          </w:p>
        </w:tc>
        <w:tc>
          <w:tcPr>
            <w:tcW w:w="1672" w:type="dxa"/>
            <w:shd w:val="clear" w:color="auto" w:fill="C8CAE7" w:themeFill="text2" w:themeFillTint="33"/>
            <w:vAlign w:val="center"/>
          </w:tcPr>
          <w:p w14:paraId="176BA5BA"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2.96</w:t>
            </w:r>
          </w:p>
        </w:tc>
        <w:tc>
          <w:tcPr>
            <w:tcW w:w="1652" w:type="dxa"/>
            <w:shd w:val="clear" w:color="auto" w:fill="C8CAE7" w:themeFill="text2" w:themeFillTint="33"/>
          </w:tcPr>
          <w:p w14:paraId="17C19DAD" w14:textId="77777777" w:rsidR="008A1242" w:rsidRPr="009F296D" w:rsidRDefault="00A76C16" w:rsidP="00DE62A5">
            <w:pPr>
              <w:spacing w:after="0" w:line="256" w:lineRule="auto"/>
              <w:rPr>
                <w:rFonts w:asciiTheme="majorHAnsi" w:hAnsiTheme="majorHAnsi" w:cstheme="majorHAnsi"/>
                <w:b/>
              </w:rPr>
            </w:pPr>
            <w:r w:rsidRPr="009F296D">
              <w:rPr>
                <w:rFonts w:asciiTheme="majorHAnsi" w:hAnsiTheme="majorHAnsi" w:cstheme="majorHAnsi"/>
                <w:b/>
              </w:rPr>
              <w:t>3.1</w:t>
            </w:r>
            <w:r w:rsidR="002726CC">
              <w:rPr>
                <w:rFonts w:asciiTheme="majorHAnsi" w:hAnsiTheme="majorHAnsi" w:cstheme="majorHAnsi"/>
                <w:b/>
              </w:rPr>
              <w:t>2</w:t>
            </w:r>
          </w:p>
        </w:tc>
      </w:tr>
      <w:tr w:rsidR="008A1242" w:rsidRPr="00CF39C8" w14:paraId="476DE1BD" w14:textId="77777777" w:rsidTr="008A1242">
        <w:trPr>
          <w:trHeight w:val="60"/>
        </w:trPr>
        <w:tc>
          <w:tcPr>
            <w:tcW w:w="3186" w:type="dxa"/>
            <w:shd w:val="clear" w:color="auto" w:fill="auto"/>
            <w:vAlign w:val="center"/>
          </w:tcPr>
          <w:p w14:paraId="6E478CE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ACT</w:t>
            </w:r>
          </w:p>
        </w:tc>
        <w:tc>
          <w:tcPr>
            <w:tcW w:w="1672" w:type="dxa"/>
            <w:shd w:val="clear" w:color="auto" w:fill="auto"/>
            <w:vAlign w:val="center"/>
          </w:tcPr>
          <w:p w14:paraId="49F5554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1.34</w:t>
            </w:r>
          </w:p>
        </w:tc>
        <w:tc>
          <w:tcPr>
            <w:tcW w:w="1672" w:type="dxa"/>
            <w:shd w:val="clear" w:color="auto" w:fill="auto"/>
            <w:vAlign w:val="center"/>
          </w:tcPr>
          <w:p w14:paraId="63D488A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3.02</w:t>
            </w:r>
          </w:p>
        </w:tc>
        <w:tc>
          <w:tcPr>
            <w:tcW w:w="1672" w:type="dxa"/>
            <w:vAlign w:val="center"/>
          </w:tcPr>
          <w:p w14:paraId="6B8AAFE0"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2.90</w:t>
            </w:r>
          </w:p>
        </w:tc>
        <w:tc>
          <w:tcPr>
            <w:tcW w:w="1652" w:type="dxa"/>
          </w:tcPr>
          <w:p w14:paraId="428A1C56"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4F7724" w:rsidRPr="009F296D">
              <w:rPr>
                <w:rFonts w:asciiTheme="majorHAnsi" w:hAnsiTheme="majorHAnsi" w:cstheme="majorHAnsi"/>
              </w:rPr>
              <w:t>0</w:t>
            </w:r>
            <w:r w:rsidR="004F7724">
              <w:rPr>
                <w:rFonts w:asciiTheme="majorHAnsi" w:hAnsiTheme="majorHAnsi" w:cstheme="majorHAnsi"/>
              </w:rPr>
              <w:t>6</w:t>
            </w:r>
          </w:p>
        </w:tc>
      </w:tr>
      <w:tr w:rsidR="008A1242" w:rsidRPr="00CF39C8" w14:paraId="28EA2C08" w14:textId="77777777" w:rsidTr="008A1242">
        <w:trPr>
          <w:trHeight w:val="60"/>
        </w:trPr>
        <w:tc>
          <w:tcPr>
            <w:tcW w:w="3186" w:type="dxa"/>
            <w:shd w:val="clear" w:color="auto" w:fill="auto"/>
            <w:vAlign w:val="center"/>
          </w:tcPr>
          <w:p w14:paraId="5D79E8F9"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NSW</w:t>
            </w:r>
          </w:p>
        </w:tc>
        <w:tc>
          <w:tcPr>
            <w:tcW w:w="1672" w:type="dxa"/>
            <w:shd w:val="clear" w:color="auto" w:fill="auto"/>
            <w:vAlign w:val="center"/>
          </w:tcPr>
          <w:p w14:paraId="28EB8614"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1.41</w:t>
            </w:r>
          </w:p>
        </w:tc>
        <w:tc>
          <w:tcPr>
            <w:tcW w:w="1672" w:type="dxa"/>
            <w:shd w:val="clear" w:color="auto" w:fill="auto"/>
            <w:vAlign w:val="center"/>
          </w:tcPr>
          <w:p w14:paraId="6E837D2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456499A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3F688CB1"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0</w:t>
            </w:r>
          </w:p>
        </w:tc>
      </w:tr>
      <w:tr w:rsidR="008A1242" w:rsidRPr="00CF39C8" w14:paraId="0BD6C68E" w14:textId="77777777" w:rsidTr="008A1242">
        <w:trPr>
          <w:trHeight w:val="60"/>
        </w:trPr>
        <w:tc>
          <w:tcPr>
            <w:tcW w:w="3186" w:type="dxa"/>
            <w:shd w:val="clear" w:color="auto" w:fill="auto"/>
            <w:vAlign w:val="center"/>
          </w:tcPr>
          <w:p w14:paraId="3AA7FE8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NT</w:t>
            </w:r>
          </w:p>
        </w:tc>
        <w:tc>
          <w:tcPr>
            <w:tcW w:w="1672" w:type="dxa"/>
            <w:shd w:val="clear" w:color="auto" w:fill="auto"/>
            <w:vAlign w:val="center"/>
          </w:tcPr>
          <w:p w14:paraId="59DD6AA5"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1.75</w:t>
            </w:r>
          </w:p>
        </w:tc>
        <w:tc>
          <w:tcPr>
            <w:tcW w:w="1672" w:type="dxa"/>
            <w:shd w:val="clear" w:color="auto" w:fill="auto"/>
            <w:vAlign w:val="center"/>
          </w:tcPr>
          <w:p w14:paraId="1E512CB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3.57</w:t>
            </w:r>
          </w:p>
        </w:tc>
        <w:tc>
          <w:tcPr>
            <w:tcW w:w="1672" w:type="dxa"/>
            <w:vAlign w:val="center"/>
          </w:tcPr>
          <w:p w14:paraId="2B2D03C2"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3.38</w:t>
            </w:r>
          </w:p>
        </w:tc>
        <w:tc>
          <w:tcPr>
            <w:tcW w:w="1652" w:type="dxa"/>
          </w:tcPr>
          <w:p w14:paraId="78F5E172" w14:textId="77777777" w:rsidR="008A1242" w:rsidRPr="009F296D" w:rsidRDefault="00AE59D1" w:rsidP="00DE62A5">
            <w:pPr>
              <w:spacing w:after="0" w:line="256" w:lineRule="auto"/>
              <w:rPr>
                <w:rFonts w:asciiTheme="majorHAnsi" w:hAnsiTheme="majorHAnsi" w:cstheme="majorHAnsi"/>
              </w:rPr>
            </w:pPr>
            <w:r w:rsidRPr="009F296D">
              <w:rPr>
                <w:rFonts w:asciiTheme="majorHAnsi" w:hAnsiTheme="majorHAnsi" w:cstheme="majorHAnsi"/>
              </w:rPr>
              <w:t>3.61</w:t>
            </w:r>
          </w:p>
        </w:tc>
      </w:tr>
      <w:tr w:rsidR="008A1242" w:rsidRPr="00CF39C8" w14:paraId="5BC3A69F" w14:textId="77777777" w:rsidTr="008A1242">
        <w:trPr>
          <w:trHeight w:val="60"/>
        </w:trPr>
        <w:tc>
          <w:tcPr>
            <w:tcW w:w="3186" w:type="dxa"/>
            <w:shd w:val="clear" w:color="auto" w:fill="auto"/>
            <w:vAlign w:val="center"/>
          </w:tcPr>
          <w:p w14:paraId="498BFE0B"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QLD</w:t>
            </w:r>
          </w:p>
        </w:tc>
        <w:tc>
          <w:tcPr>
            <w:tcW w:w="1672" w:type="dxa"/>
            <w:shd w:val="clear" w:color="auto" w:fill="auto"/>
            <w:vAlign w:val="center"/>
          </w:tcPr>
          <w:p w14:paraId="1A9DB847"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1.44</w:t>
            </w:r>
          </w:p>
        </w:tc>
        <w:tc>
          <w:tcPr>
            <w:tcW w:w="1672" w:type="dxa"/>
            <w:shd w:val="clear" w:color="auto" w:fill="auto"/>
            <w:vAlign w:val="center"/>
          </w:tcPr>
          <w:p w14:paraId="2FB32BD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3.11</w:t>
            </w:r>
          </w:p>
        </w:tc>
        <w:tc>
          <w:tcPr>
            <w:tcW w:w="1672" w:type="dxa"/>
            <w:vAlign w:val="center"/>
          </w:tcPr>
          <w:p w14:paraId="07A501B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2.99</w:t>
            </w:r>
          </w:p>
        </w:tc>
        <w:tc>
          <w:tcPr>
            <w:tcW w:w="1652" w:type="dxa"/>
          </w:tcPr>
          <w:p w14:paraId="603E9414"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5</w:t>
            </w:r>
          </w:p>
        </w:tc>
      </w:tr>
      <w:tr w:rsidR="008A1242" w:rsidRPr="00CF39C8" w14:paraId="43E5A380" w14:textId="77777777" w:rsidTr="008A1242">
        <w:trPr>
          <w:trHeight w:val="60"/>
        </w:trPr>
        <w:tc>
          <w:tcPr>
            <w:tcW w:w="3186" w:type="dxa"/>
            <w:shd w:val="clear" w:color="auto" w:fill="auto"/>
            <w:vAlign w:val="center"/>
          </w:tcPr>
          <w:p w14:paraId="7BDBF60D"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SA</w:t>
            </w:r>
          </w:p>
        </w:tc>
        <w:tc>
          <w:tcPr>
            <w:tcW w:w="1672" w:type="dxa"/>
            <w:shd w:val="clear" w:color="auto" w:fill="auto"/>
            <w:vAlign w:val="center"/>
          </w:tcPr>
          <w:p w14:paraId="407B5E30"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1.43</w:t>
            </w:r>
          </w:p>
        </w:tc>
        <w:tc>
          <w:tcPr>
            <w:tcW w:w="1672" w:type="dxa"/>
            <w:shd w:val="clear" w:color="auto" w:fill="auto"/>
            <w:vAlign w:val="center"/>
          </w:tcPr>
          <w:p w14:paraId="57D92EE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41E8469A"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06E96C1F"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r w:rsidR="008A1242" w:rsidRPr="00CF39C8" w14:paraId="6F40FD21" w14:textId="77777777" w:rsidTr="008A1242">
        <w:trPr>
          <w:trHeight w:val="60"/>
        </w:trPr>
        <w:tc>
          <w:tcPr>
            <w:tcW w:w="3186" w:type="dxa"/>
            <w:shd w:val="clear" w:color="auto" w:fill="auto"/>
            <w:vAlign w:val="center"/>
          </w:tcPr>
          <w:p w14:paraId="5BBE2EDA"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TAS</w:t>
            </w:r>
          </w:p>
        </w:tc>
        <w:tc>
          <w:tcPr>
            <w:tcW w:w="1672" w:type="dxa"/>
            <w:shd w:val="clear" w:color="auto" w:fill="auto"/>
            <w:vAlign w:val="center"/>
          </w:tcPr>
          <w:p w14:paraId="2A185ABB"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1.58</w:t>
            </w:r>
          </w:p>
        </w:tc>
        <w:tc>
          <w:tcPr>
            <w:tcW w:w="1672" w:type="dxa"/>
            <w:shd w:val="clear" w:color="auto" w:fill="auto"/>
            <w:vAlign w:val="center"/>
          </w:tcPr>
          <w:p w14:paraId="035D833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3.27</w:t>
            </w:r>
          </w:p>
        </w:tc>
        <w:tc>
          <w:tcPr>
            <w:tcW w:w="1672" w:type="dxa"/>
            <w:vAlign w:val="center"/>
          </w:tcPr>
          <w:p w14:paraId="358083B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3.13</w:t>
            </w:r>
          </w:p>
        </w:tc>
        <w:tc>
          <w:tcPr>
            <w:tcW w:w="1652" w:type="dxa"/>
          </w:tcPr>
          <w:p w14:paraId="1E48F08C"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4F7724" w:rsidRPr="009F296D">
              <w:rPr>
                <w:rFonts w:asciiTheme="majorHAnsi" w:hAnsiTheme="majorHAnsi" w:cstheme="majorHAnsi"/>
              </w:rPr>
              <w:t>3</w:t>
            </w:r>
            <w:r w:rsidR="004F7724">
              <w:rPr>
                <w:rFonts w:asciiTheme="majorHAnsi" w:hAnsiTheme="majorHAnsi" w:cstheme="majorHAnsi"/>
              </w:rPr>
              <w:t>1</w:t>
            </w:r>
          </w:p>
        </w:tc>
      </w:tr>
      <w:tr w:rsidR="008A1242" w:rsidRPr="00CF39C8" w14:paraId="696DF57E" w14:textId="77777777" w:rsidTr="008A1242">
        <w:trPr>
          <w:trHeight w:val="60"/>
        </w:trPr>
        <w:tc>
          <w:tcPr>
            <w:tcW w:w="3186" w:type="dxa"/>
            <w:shd w:val="clear" w:color="auto" w:fill="auto"/>
            <w:vAlign w:val="center"/>
          </w:tcPr>
          <w:p w14:paraId="2B3BC5C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VIC</w:t>
            </w:r>
          </w:p>
        </w:tc>
        <w:tc>
          <w:tcPr>
            <w:tcW w:w="1672" w:type="dxa"/>
            <w:shd w:val="clear" w:color="auto" w:fill="auto"/>
            <w:vAlign w:val="center"/>
          </w:tcPr>
          <w:p w14:paraId="2F1E9D89"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1.38</w:t>
            </w:r>
          </w:p>
        </w:tc>
        <w:tc>
          <w:tcPr>
            <w:tcW w:w="1672" w:type="dxa"/>
            <w:shd w:val="clear" w:color="auto" w:fill="auto"/>
            <w:vAlign w:val="center"/>
          </w:tcPr>
          <w:p w14:paraId="448E667D"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25FE9B75"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339EAD5F"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r w:rsidR="008A1242" w:rsidRPr="00CF39C8" w14:paraId="24FCE87C" w14:textId="77777777" w:rsidTr="008A1242">
        <w:trPr>
          <w:trHeight w:val="60"/>
        </w:trPr>
        <w:tc>
          <w:tcPr>
            <w:tcW w:w="3186" w:type="dxa"/>
            <w:shd w:val="clear" w:color="auto" w:fill="auto"/>
            <w:vAlign w:val="center"/>
          </w:tcPr>
          <w:p w14:paraId="3A6FD6C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WA</w:t>
            </w:r>
          </w:p>
        </w:tc>
        <w:tc>
          <w:tcPr>
            <w:tcW w:w="1672" w:type="dxa"/>
            <w:shd w:val="clear" w:color="auto" w:fill="auto"/>
            <w:vAlign w:val="center"/>
          </w:tcPr>
          <w:p w14:paraId="6F8ED792"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1.43</w:t>
            </w:r>
          </w:p>
        </w:tc>
        <w:tc>
          <w:tcPr>
            <w:tcW w:w="1672" w:type="dxa"/>
            <w:shd w:val="clear" w:color="auto" w:fill="auto"/>
            <w:vAlign w:val="center"/>
          </w:tcPr>
          <w:p w14:paraId="55F0E8FC"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1626E99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2.95</w:t>
            </w:r>
          </w:p>
        </w:tc>
        <w:tc>
          <w:tcPr>
            <w:tcW w:w="1652" w:type="dxa"/>
          </w:tcPr>
          <w:p w14:paraId="6DDBD164"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bl>
    <w:p w14:paraId="156F99F7" w14:textId="77777777" w:rsidR="00B53666" w:rsidRPr="00CF39C8" w:rsidRDefault="000A1476" w:rsidP="00005A50">
      <w:pPr>
        <w:pStyle w:val="Caption"/>
        <w:rPr>
          <w:b w:val="0"/>
        </w:rPr>
      </w:pPr>
      <w:bookmarkStart w:id="390" w:name="_Toc161837780"/>
      <w:bookmarkStart w:id="391" w:name="_Toc161933227"/>
      <w:bookmarkStart w:id="392" w:name="_Toc163221127"/>
      <w:r w:rsidRPr="00CF39C8">
        <w:t xml:space="preserve">Table </w:t>
      </w:r>
      <w:r w:rsidR="00A53662" w:rsidRPr="00CF39C8">
        <w:t>1</w:t>
      </w:r>
      <w:r w:rsidR="00C6227F">
        <w:t>5</w:t>
      </w:r>
      <w:r w:rsidR="00A53662" w:rsidRPr="00CF39C8">
        <w:rPr>
          <w:b w:val="0"/>
        </w:rPr>
        <w:t xml:space="preserve"> </w:t>
      </w:r>
      <w:r w:rsidRPr="00CF39C8">
        <w:rPr>
          <w:b w:val="0"/>
        </w:rPr>
        <w:t>– Benefits and costs for states and territories</w:t>
      </w:r>
      <w:bookmarkEnd w:id="390"/>
      <w:bookmarkEnd w:id="391"/>
      <w:bookmarkEnd w:id="392"/>
    </w:p>
    <w:p w14:paraId="7572660E" w14:textId="77777777" w:rsidR="00760AEE" w:rsidRPr="00CF39C8" w:rsidRDefault="0044496A" w:rsidP="00951764">
      <w:pPr>
        <w:spacing w:before="120" w:after="160" w:line="257" w:lineRule="auto"/>
        <w:rPr>
          <w:rFonts w:asciiTheme="majorHAnsi" w:hAnsiTheme="majorHAnsi" w:cstheme="majorHAnsi"/>
        </w:rPr>
      </w:pPr>
      <w:r w:rsidRPr="00CF39C8">
        <w:rPr>
          <w:rFonts w:asciiTheme="majorHAnsi" w:hAnsiTheme="majorHAnsi" w:cstheme="majorHAnsi"/>
        </w:rPr>
        <w:t>The regional analysis similarly finds that the benefit</w:t>
      </w:r>
      <w:r w:rsidR="00473C68" w:rsidRPr="00CF39C8">
        <w:rPr>
          <w:rFonts w:asciiTheme="majorHAnsi" w:hAnsiTheme="majorHAnsi" w:cstheme="majorHAnsi"/>
        </w:rPr>
        <w:t>-</w:t>
      </w:r>
      <w:r w:rsidRPr="00CF39C8">
        <w:rPr>
          <w:rFonts w:asciiTheme="majorHAnsi" w:hAnsiTheme="majorHAnsi" w:cstheme="majorHAnsi"/>
        </w:rPr>
        <w:t>to</w:t>
      </w:r>
      <w:r w:rsidR="00473C68" w:rsidRPr="00CF39C8">
        <w:rPr>
          <w:rFonts w:asciiTheme="majorHAnsi" w:hAnsiTheme="majorHAnsi" w:cstheme="majorHAnsi"/>
        </w:rPr>
        <w:t>-</w:t>
      </w:r>
      <w:r w:rsidRPr="00CF39C8">
        <w:rPr>
          <w:rFonts w:asciiTheme="majorHAnsi" w:hAnsiTheme="majorHAnsi" w:cstheme="majorHAnsi"/>
        </w:rPr>
        <w:t>cost ratio increases as the region becomes more remote</w:t>
      </w:r>
      <w:r w:rsidR="003F01BF" w:rsidRPr="00CF39C8">
        <w:rPr>
          <w:rFonts w:asciiTheme="majorHAnsi" w:hAnsiTheme="majorHAnsi" w:cstheme="majorHAnsi"/>
        </w:rPr>
        <w:t xml:space="preserve">. </w:t>
      </w:r>
      <w:r w:rsidR="00F71743" w:rsidRPr="00CF39C8">
        <w:rPr>
          <w:rFonts w:asciiTheme="majorHAnsi" w:hAnsiTheme="majorHAnsi" w:cstheme="majorHAnsi"/>
        </w:rPr>
        <w:t>Different parts of Australia reflect different</w:t>
      </w:r>
      <w:r w:rsidRPr="00CF39C8">
        <w:rPr>
          <w:rFonts w:asciiTheme="majorHAnsi" w:hAnsiTheme="majorHAnsi" w:cstheme="majorHAnsi"/>
        </w:rPr>
        <w:t xml:space="preserve"> car purchasing and</w:t>
      </w:r>
      <w:r w:rsidR="00F71743" w:rsidRPr="00CF39C8">
        <w:rPr>
          <w:rFonts w:asciiTheme="majorHAnsi" w:hAnsiTheme="majorHAnsi" w:cstheme="majorHAnsi"/>
        </w:rPr>
        <w:t xml:space="preserve"> driving behaviours, with more remote areas driving </w:t>
      </w:r>
      <w:r w:rsidR="00BE74AD" w:rsidRPr="00CF39C8">
        <w:rPr>
          <w:rFonts w:asciiTheme="majorHAnsi" w:hAnsiTheme="majorHAnsi" w:cstheme="majorHAnsi"/>
        </w:rPr>
        <w:t xml:space="preserve">greater distances, </w:t>
      </w:r>
      <w:r w:rsidRPr="00CF39C8">
        <w:rPr>
          <w:rFonts w:asciiTheme="majorHAnsi" w:hAnsiTheme="majorHAnsi" w:cstheme="majorHAnsi"/>
        </w:rPr>
        <w:t xml:space="preserve">having </w:t>
      </w:r>
      <w:r w:rsidR="00BE74AD" w:rsidRPr="00CF39C8">
        <w:rPr>
          <w:rFonts w:asciiTheme="majorHAnsi" w:hAnsiTheme="majorHAnsi" w:cstheme="majorHAnsi"/>
        </w:rPr>
        <w:t>higher rates of vehicle ownership</w:t>
      </w:r>
      <w:r w:rsidRPr="00CF39C8">
        <w:rPr>
          <w:rFonts w:asciiTheme="majorHAnsi" w:hAnsiTheme="majorHAnsi" w:cstheme="majorHAnsi"/>
        </w:rPr>
        <w:t xml:space="preserve"> and purchasing larger cars, more </w:t>
      </w:r>
      <w:r w:rsidR="004617E5" w:rsidRPr="00CF39C8">
        <w:rPr>
          <w:rFonts w:asciiTheme="majorHAnsi" w:hAnsiTheme="majorHAnsi" w:cstheme="majorHAnsi"/>
        </w:rPr>
        <w:t>4WDs</w:t>
      </w:r>
      <w:r w:rsidRPr="00CF39C8">
        <w:rPr>
          <w:rFonts w:asciiTheme="majorHAnsi" w:hAnsiTheme="majorHAnsi" w:cstheme="majorHAnsi"/>
        </w:rPr>
        <w:t xml:space="preserve"> and utes</w:t>
      </w:r>
      <w:r w:rsidR="00BE74AD" w:rsidRPr="00CF39C8">
        <w:rPr>
          <w:rFonts w:asciiTheme="majorHAnsi" w:hAnsiTheme="majorHAnsi" w:cstheme="majorHAnsi"/>
        </w:rPr>
        <w:t>.</w:t>
      </w:r>
      <w:r w:rsidR="00F71743" w:rsidRPr="00CF39C8">
        <w:rPr>
          <w:rFonts w:asciiTheme="majorHAnsi" w:hAnsiTheme="majorHAnsi" w:cstheme="majorHAnsi"/>
        </w:rPr>
        <w:t xml:space="preserve"> </w:t>
      </w:r>
      <w:r w:rsidR="00BE74AD" w:rsidRPr="00CF39C8">
        <w:rPr>
          <w:rFonts w:asciiTheme="majorHAnsi" w:hAnsiTheme="majorHAnsi" w:cstheme="majorHAnsi"/>
        </w:rPr>
        <w:t>Our analysis finds</w:t>
      </w:r>
      <w:r w:rsidR="008722BE" w:rsidRPr="00CF39C8">
        <w:rPr>
          <w:rFonts w:asciiTheme="majorHAnsi" w:hAnsiTheme="majorHAnsi" w:cstheme="majorHAnsi"/>
        </w:rPr>
        <w:t xml:space="preserve"> that</w:t>
      </w:r>
      <w:r w:rsidR="00BE74AD" w:rsidRPr="00CF39C8">
        <w:rPr>
          <w:rFonts w:asciiTheme="majorHAnsi" w:hAnsiTheme="majorHAnsi" w:cstheme="majorHAnsi"/>
        </w:rPr>
        <w:t xml:space="preserve"> for all options there are higher BCR</w:t>
      </w:r>
      <w:r w:rsidR="00760AEE" w:rsidRPr="00CF39C8">
        <w:t xml:space="preserve"> outcomes for regional and rural </w:t>
      </w:r>
      <w:r w:rsidR="00BE74AD" w:rsidRPr="00CF39C8">
        <w:t>locations.</w:t>
      </w:r>
      <w:r w:rsidRPr="00CF39C8">
        <w:t xml:space="preserve"> In other words, rural, regional and remote areas have a </w:t>
      </w:r>
      <w:r w:rsidR="008722BE" w:rsidRPr="00CF39C8">
        <w:t>better</w:t>
      </w:r>
      <w:r w:rsidRPr="00CF39C8">
        <w:t xml:space="preserve"> return on each dollar spent.</w:t>
      </w:r>
      <w:r w:rsidR="00BE74AD" w:rsidRPr="00CF39C8">
        <w:t xml:space="preserve"> </w:t>
      </w:r>
      <w:r w:rsidRPr="00CF39C8">
        <w:t>This is driven by larger</w:t>
      </w:r>
      <w:r w:rsidR="00760AEE" w:rsidRPr="00CF39C8">
        <w:t xml:space="preserve"> fuel </w:t>
      </w:r>
      <w:r w:rsidR="00975101" w:rsidRPr="00CF39C8">
        <w:t xml:space="preserve">cost </w:t>
      </w:r>
      <w:r w:rsidR="00760AEE" w:rsidRPr="00CF39C8">
        <w:t xml:space="preserve">savings </w:t>
      </w:r>
      <w:r w:rsidR="00BE74AD" w:rsidRPr="00CF39C8">
        <w:t xml:space="preserve">expected </w:t>
      </w:r>
      <w:r w:rsidR="00760AEE" w:rsidRPr="00CF39C8">
        <w:t xml:space="preserve">for </w:t>
      </w:r>
      <w:r w:rsidRPr="00CF39C8">
        <w:t>people in areas that drive greater distances</w:t>
      </w:r>
      <w:r w:rsidR="00BE74AD" w:rsidRPr="00CF39C8">
        <w:rPr>
          <w:rFonts w:asciiTheme="majorHAnsi" w:hAnsiTheme="majorHAnsi" w:cstheme="majorHAnsi"/>
        </w:rPr>
        <w:t xml:space="preserve"> and higher rates of vehicle ownership. This isn’t to say there aren’t benefits for major cities – this is where the majority of Australians live </w:t>
      </w:r>
      <w:r w:rsidR="00975101" w:rsidRPr="00CF39C8">
        <w:rPr>
          <w:rFonts w:asciiTheme="majorHAnsi" w:hAnsiTheme="majorHAnsi" w:cstheme="majorHAnsi"/>
        </w:rPr>
        <w:t>and drive</w:t>
      </w:r>
      <w:r w:rsidR="00BE74AD" w:rsidRPr="00CF39C8">
        <w:rPr>
          <w:rFonts w:asciiTheme="majorHAnsi" w:hAnsiTheme="majorHAnsi" w:cstheme="majorHAnsi"/>
        </w:rPr>
        <w:t xml:space="preserve">, and we see that all motorists will benefit from more </w:t>
      </w:r>
      <w:r w:rsidR="00082F9C" w:rsidRPr="00CF39C8">
        <w:rPr>
          <w:rFonts w:asciiTheme="majorHAnsi" w:hAnsiTheme="majorHAnsi" w:cstheme="majorHAnsi"/>
        </w:rPr>
        <w:t>fuel-efficient</w:t>
      </w:r>
      <w:r w:rsidR="00BE74AD" w:rsidRPr="00CF39C8">
        <w:rPr>
          <w:rFonts w:asciiTheme="majorHAnsi" w:hAnsiTheme="majorHAnsi" w:cstheme="majorHAnsi"/>
        </w:rPr>
        <w:t xml:space="preserve"> technology.</w:t>
      </w:r>
    </w:p>
    <w:tbl>
      <w:tblPr>
        <w:tblW w:w="850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right w:w="0" w:type="dxa"/>
        </w:tblCellMar>
        <w:tblLook w:val="04A0" w:firstRow="1" w:lastRow="0" w:firstColumn="1" w:lastColumn="0" w:noHBand="0" w:noVBand="1"/>
        <w:tblCaption w:val="Benefits and costs for different locations"/>
      </w:tblPr>
      <w:tblGrid>
        <w:gridCol w:w="3823"/>
        <w:gridCol w:w="1134"/>
        <w:gridCol w:w="1134"/>
        <w:gridCol w:w="1134"/>
        <w:gridCol w:w="1275"/>
      </w:tblGrid>
      <w:tr w:rsidR="007D3101" w:rsidRPr="00CF39C8" w14:paraId="17952A03" w14:textId="77777777" w:rsidTr="003E2A1D">
        <w:trPr>
          <w:trHeight w:val="282"/>
        </w:trPr>
        <w:tc>
          <w:tcPr>
            <w:tcW w:w="3823" w:type="dxa"/>
            <w:shd w:val="clear" w:color="auto" w:fill="417A84" w:themeFill="accent5" w:themeFillShade="BF"/>
            <w:hideMark/>
          </w:tcPr>
          <w:p w14:paraId="40C2124F" w14:textId="77777777" w:rsidR="007D3101" w:rsidRPr="00CF39C8" w:rsidRDefault="007D3101" w:rsidP="00BC43F6">
            <w:pPr>
              <w:spacing w:after="0"/>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Benefits and costs for each location</w:t>
            </w:r>
            <w:r w:rsidRPr="00CF39C8">
              <w:rPr>
                <w:rStyle w:val="EndnoteReference"/>
                <w:rFonts w:asciiTheme="majorHAnsi" w:hAnsiTheme="majorHAnsi" w:cstheme="majorHAnsi"/>
                <w:b/>
                <w:bCs/>
                <w:color w:val="FFFFFF" w:themeColor="background1"/>
              </w:rPr>
              <w:endnoteReference w:id="46"/>
            </w:r>
          </w:p>
        </w:tc>
        <w:tc>
          <w:tcPr>
            <w:tcW w:w="1134" w:type="dxa"/>
            <w:shd w:val="clear" w:color="auto" w:fill="417A84" w:themeFill="accent5" w:themeFillShade="BF"/>
            <w:hideMark/>
          </w:tcPr>
          <w:p w14:paraId="704537D7" w14:textId="77777777" w:rsidR="007D3101" w:rsidRPr="00CF39C8" w:rsidRDefault="00DC48C3"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A</w:t>
            </w:r>
            <w:r w:rsidR="007D3101" w:rsidRPr="00CF39C8">
              <w:rPr>
                <w:rFonts w:asciiTheme="majorHAnsi" w:hAnsiTheme="majorHAnsi" w:cstheme="majorHAnsi"/>
                <w:b/>
                <w:bCs/>
                <w:color w:val="FFFFFF" w:themeColor="background1"/>
              </w:rPr>
              <w:t> </w:t>
            </w:r>
          </w:p>
        </w:tc>
        <w:tc>
          <w:tcPr>
            <w:tcW w:w="1134" w:type="dxa"/>
            <w:shd w:val="clear" w:color="auto" w:fill="417A84" w:themeFill="accent5" w:themeFillShade="BF"/>
            <w:hideMark/>
          </w:tcPr>
          <w:p w14:paraId="2A7C1676" w14:textId="77777777" w:rsidR="007D3101" w:rsidRPr="00CF39C8" w:rsidRDefault="00C12BE2"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B</w:t>
            </w:r>
          </w:p>
        </w:tc>
        <w:tc>
          <w:tcPr>
            <w:tcW w:w="1134" w:type="dxa"/>
            <w:shd w:val="clear" w:color="auto" w:fill="417A84" w:themeFill="accent5" w:themeFillShade="BF"/>
          </w:tcPr>
          <w:p w14:paraId="7576814F" w14:textId="77777777" w:rsidR="007D3101" w:rsidRPr="00CF39C8" w:rsidRDefault="00C12BE2"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C</w:t>
            </w:r>
          </w:p>
        </w:tc>
        <w:tc>
          <w:tcPr>
            <w:tcW w:w="1275" w:type="dxa"/>
            <w:shd w:val="clear" w:color="auto" w:fill="595959" w:themeFill="text1" w:themeFillTint="A6"/>
          </w:tcPr>
          <w:p w14:paraId="5E4BA8BC" w14:textId="77777777" w:rsidR="007D3101" w:rsidRPr="00CF39C8" w:rsidRDefault="009326DA"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Best Option</w:t>
            </w:r>
          </w:p>
        </w:tc>
      </w:tr>
      <w:tr w:rsidR="007D3101" w:rsidRPr="00CF39C8" w14:paraId="2B341320" w14:textId="77777777" w:rsidTr="003E2A1D">
        <w:trPr>
          <w:trHeight w:val="282"/>
        </w:trPr>
        <w:tc>
          <w:tcPr>
            <w:tcW w:w="3823" w:type="dxa"/>
            <w:shd w:val="clear" w:color="auto" w:fill="C8CAE7" w:themeFill="text2" w:themeFillTint="33"/>
          </w:tcPr>
          <w:p w14:paraId="50797647" w14:textId="77777777" w:rsidR="007D3101" w:rsidRPr="00CF39C8" w:rsidRDefault="007D3101" w:rsidP="00BC43F6">
            <w:pPr>
              <w:spacing w:after="0"/>
              <w:rPr>
                <w:rFonts w:asciiTheme="majorHAnsi" w:hAnsiTheme="majorHAnsi" w:cstheme="majorHAnsi"/>
                <w:b/>
                <w:bCs/>
                <w:color w:val="000000" w:themeColor="text1"/>
              </w:rPr>
            </w:pPr>
            <w:r w:rsidRPr="00CF39C8">
              <w:rPr>
                <w:rFonts w:asciiTheme="majorHAnsi" w:hAnsiTheme="majorHAnsi" w:cstheme="majorHAnsi"/>
                <w:b/>
                <w:bCs/>
                <w:color w:val="000000" w:themeColor="text1"/>
              </w:rPr>
              <w:t>Reference BCR</w:t>
            </w:r>
          </w:p>
        </w:tc>
        <w:tc>
          <w:tcPr>
            <w:tcW w:w="1134" w:type="dxa"/>
            <w:shd w:val="clear" w:color="auto" w:fill="C8CAE7" w:themeFill="text2" w:themeFillTint="33"/>
          </w:tcPr>
          <w:p w14:paraId="5EBB5CAE"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1.42</w:t>
            </w:r>
          </w:p>
        </w:tc>
        <w:tc>
          <w:tcPr>
            <w:tcW w:w="1134" w:type="dxa"/>
            <w:shd w:val="clear" w:color="auto" w:fill="C8CAE7" w:themeFill="text2" w:themeFillTint="33"/>
          </w:tcPr>
          <w:p w14:paraId="54DF65B6"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3.08</w:t>
            </w:r>
          </w:p>
        </w:tc>
        <w:tc>
          <w:tcPr>
            <w:tcW w:w="1134" w:type="dxa"/>
            <w:shd w:val="clear" w:color="auto" w:fill="C8CAE7" w:themeFill="text2" w:themeFillTint="33"/>
          </w:tcPr>
          <w:p w14:paraId="194DE38B"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2.96</w:t>
            </w:r>
          </w:p>
        </w:tc>
        <w:tc>
          <w:tcPr>
            <w:tcW w:w="1275" w:type="dxa"/>
            <w:shd w:val="clear" w:color="auto" w:fill="C8CAE7" w:themeFill="text2" w:themeFillTint="33"/>
          </w:tcPr>
          <w:p w14:paraId="5C1EF89A" w14:textId="77777777" w:rsidR="007D3101" w:rsidRPr="009F296D" w:rsidRDefault="003E1796" w:rsidP="00BC43F6">
            <w:pPr>
              <w:spacing w:after="0"/>
              <w:rPr>
                <w:rFonts w:asciiTheme="majorHAnsi" w:hAnsiTheme="majorHAnsi" w:cstheme="majorHAnsi"/>
                <w:b/>
                <w:color w:val="000000" w:themeColor="text1"/>
              </w:rPr>
            </w:pPr>
            <w:r w:rsidRPr="009F296D">
              <w:rPr>
                <w:rFonts w:asciiTheme="majorHAnsi" w:hAnsiTheme="majorHAnsi" w:cstheme="majorHAnsi"/>
                <w:b/>
                <w:color w:val="000000" w:themeColor="text1"/>
              </w:rPr>
              <w:t>3.1</w:t>
            </w:r>
            <w:r w:rsidR="002726CC">
              <w:rPr>
                <w:rFonts w:asciiTheme="majorHAnsi" w:hAnsiTheme="majorHAnsi" w:cstheme="majorHAnsi"/>
                <w:b/>
                <w:color w:val="000000" w:themeColor="text1"/>
              </w:rPr>
              <w:t>2</w:t>
            </w:r>
          </w:p>
        </w:tc>
      </w:tr>
      <w:tr w:rsidR="007D3101" w:rsidRPr="00CF39C8" w14:paraId="6A75845E" w14:textId="77777777" w:rsidTr="003E2A1D">
        <w:trPr>
          <w:trHeight w:val="282"/>
        </w:trPr>
        <w:tc>
          <w:tcPr>
            <w:tcW w:w="3823" w:type="dxa"/>
            <w:shd w:val="clear" w:color="auto" w:fill="auto"/>
          </w:tcPr>
          <w:p w14:paraId="07CE6AAD"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Major Cities</w:t>
            </w:r>
          </w:p>
        </w:tc>
        <w:tc>
          <w:tcPr>
            <w:tcW w:w="1134" w:type="dxa"/>
            <w:shd w:val="clear" w:color="auto" w:fill="auto"/>
            <w:vAlign w:val="bottom"/>
          </w:tcPr>
          <w:p w14:paraId="14DF1D3B"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1.37</w:t>
            </w:r>
          </w:p>
        </w:tc>
        <w:tc>
          <w:tcPr>
            <w:tcW w:w="1134" w:type="dxa"/>
            <w:shd w:val="clear" w:color="auto" w:fill="auto"/>
          </w:tcPr>
          <w:p w14:paraId="4E71249E"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2.99</w:t>
            </w:r>
          </w:p>
        </w:tc>
        <w:tc>
          <w:tcPr>
            <w:tcW w:w="1134" w:type="dxa"/>
          </w:tcPr>
          <w:p w14:paraId="6596A67A"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2.88</w:t>
            </w:r>
          </w:p>
        </w:tc>
        <w:tc>
          <w:tcPr>
            <w:tcW w:w="1275" w:type="dxa"/>
          </w:tcPr>
          <w:p w14:paraId="5F7D716E"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0840DA" w:rsidRPr="009F296D">
              <w:rPr>
                <w:rFonts w:asciiTheme="majorHAnsi" w:hAnsiTheme="majorHAnsi" w:cstheme="majorHAnsi"/>
                <w:color w:val="000000" w:themeColor="text1"/>
              </w:rPr>
              <w:t>0</w:t>
            </w:r>
            <w:r w:rsidR="000840DA">
              <w:rPr>
                <w:rFonts w:asciiTheme="majorHAnsi" w:hAnsiTheme="majorHAnsi" w:cstheme="majorHAnsi"/>
                <w:color w:val="000000" w:themeColor="text1"/>
              </w:rPr>
              <w:t>4</w:t>
            </w:r>
          </w:p>
        </w:tc>
      </w:tr>
      <w:tr w:rsidR="007D3101" w:rsidRPr="00CF39C8" w14:paraId="06646356" w14:textId="77777777" w:rsidTr="003E2A1D">
        <w:trPr>
          <w:trHeight w:val="282"/>
        </w:trPr>
        <w:tc>
          <w:tcPr>
            <w:tcW w:w="3823" w:type="dxa"/>
            <w:shd w:val="clear" w:color="auto" w:fill="auto"/>
          </w:tcPr>
          <w:p w14:paraId="3963EA35"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Inner Regional</w:t>
            </w:r>
          </w:p>
        </w:tc>
        <w:tc>
          <w:tcPr>
            <w:tcW w:w="1134" w:type="dxa"/>
            <w:shd w:val="clear" w:color="auto" w:fill="auto"/>
            <w:vAlign w:val="bottom"/>
          </w:tcPr>
          <w:p w14:paraId="491CC7D9"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1.45</w:t>
            </w:r>
          </w:p>
        </w:tc>
        <w:tc>
          <w:tcPr>
            <w:tcW w:w="1134" w:type="dxa"/>
            <w:shd w:val="clear" w:color="auto" w:fill="auto"/>
          </w:tcPr>
          <w:p w14:paraId="702BAC71"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3.27</w:t>
            </w:r>
          </w:p>
        </w:tc>
        <w:tc>
          <w:tcPr>
            <w:tcW w:w="1134" w:type="dxa"/>
          </w:tcPr>
          <w:p w14:paraId="5683585F"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3.13</w:t>
            </w:r>
          </w:p>
        </w:tc>
        <w:tc>
          <w:tcPr>
            <w:tcW w:w="1275" w:type="dxa"/>
          </w:tcPr>
          <w:p w14:paraId="07E20EF4"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sidRPr="009F296D">
              <w:rPr>
                <w:rFonts w:asciiTheme="majorHAnsi" w:hAnsiTheme="majorHAnsi" w:cstheme="majorHAnsi"/>
                <w:color w:val="000000" w:themeColor="text1"/>
              </w:rPr>
              <w:t>3</w:t>
            </w:r>
            <w:r w:rsidR="00D7491A">
              <w:rPr>
                <w:rFonts w:asciiTheme="majorHAnsi" w:hAnsiTheme="majorHAnsi" w:cstheme="majorHAnsi"/>
                <w:color w:val="000000" w:themeColor="text1"/>
              </w:rPr>
              <w:t>1</w:t>
            </w:r>
          </w:p>
        </w:tc>
      </w:tr>
      <w:tr w:rsidR="007D3101" w:rsidRPr="00CF39C8" w14:paraId="3166882D" w14:textId="77777777" w:rsidTr="003E2A1D">
        <w:trPr>
          <w:trHeight w:val="282"/>
        </w:trPr>
        <w:tc>
          <w:tcPr>
            <w:tcW w:w="3823" w:type="dxa"/>
            <w:shd w:val="clear" w:color="auto" w:fill="auto"/>
          </w:tcPr>
          <w:p w14:paraId="544392AA"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Outer Regional</w:t>
            </w:r>
          </w:p>
        </w:tc>
        <w:tc>
          <w:tcPr>
            <w:tcW w:w="1134" w:type="dxa"/>
            <w:shd w:val="clear" w:color="auto" w:fill="auto"/>
            <w:vAlign w:val="bottom"/>
          </w:tcPr>
          <w:p w14:paraId="3F5E54FB"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1.61</w:t>
            </w:r>
          </w:p>
        </w:tc>
        <w:tc>
          <w:tcPr>
            <w:tcW w:w="1134" w:type="dxa"/>
            <w:shd w:val="clear" w:color="auto" w:fill="auto"/>
          </w:tcPr>
          <w:p w14:paraId="20EEF721"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3.43</w:t>
            </w:r>
          </w:p>
        </w:tc>
        <w:tc>
          <w:tcPr>
            <w:tcW w:w="1134" w:type="dxa"/>
          </w:tcPr>
          <w:p w14:paraId="0A8B6D94"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3.26</w:t>
            </w:r>
          </w:p>
        </w:tc>
        <w:tc>
          <w:tcPr>
            <w:tcW w:w="1275" w:type="dxa"/>
          </w:tcPr>
          <w:p w14:paraId="21F79046"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Pr>
                <w:rFonts w:asciiTheme="majorHAnsi" w:hAnsiTheme="majorHAnsi" w:cstheme="majorHAnsi"/>
                <w:color w:val="000000" w:themeColor="text1"/>
              </w:rPr>
              <w:t>46</w:t>
            </w:r>
          </w:p>
        </w:tc>
      </w:tr>
      <w:tr w:rsidR="007D3101" w:rsidRPr="00CF39C8" w14:paraId="42F6EDE2" w14:textId="77777777" w:rsidTr="003E2A1D">
        <w:trPr>
          <w:trHeight w:val="282"/>
        </w:trPr>
        <w:tc>
          <w:tcPr>
            <w:tcW w:w="3823" w:type="dxa"/>
            <w:shd w:val="clear" w:color="auto" w:fill="auto"/>
          </w:tcPr>
          <w:p w14:paraId="4582E969"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Remote</w:t>
            </w:r>
          </w:p>
        </w:tc>
        <w:tc>
          <w:tcPr>
            <w:tcW w:w="1134" w:type="dxa"/>
            <w:shd w:val="clear" w:color="auto" w:fill="auto"/>
            <w:vAlign w:val="bottom"/>
          </w:tcPr>
          <w:p w14:paraId="4A412A6D"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1.90</w:t>
            </w:r>
          </w:p>
        </w:tc>
        <w:tc>
          <w:tcPr>
            <w:tcW w:w="1134" w:type="dxa"/>
            <w:shd w:val="clear" w:color="auto" w:fill="auto"/>
          </w:tcPr>
          <w:p w14:paraId="410563CD"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3.75</w:t>
            </w:r>
          </w:p>
        </w:tc>
        <w:tc>
          <w:tcPr>
            <w:tcW w:w="1134" w:type="dxa"/>
          </w:tcPr>
          <w:p w14:paraId="06D27EE7"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3.52</w:t>
            </w:r>
          </w:p>
        </w:tc>
        <w:tc>
          <w:tcPr>
            <w:tcW w:w="1275" w:type="dxa"/>
          </w:tcPr>
          <w:p w14:paraId="545B05B6"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Pr>
                <w:rFonts w:asciiTheme="majorHAnsi" w:hAnsiTheme="majorHAnsi" w:cstheme="majorHAnsi"/>
                <w:color w:val="000000" w:themeColor="text1"/>
              </w:rPr>
              <w:t>79</w:t>
            </w:r>
          </w:p>
        </w:tc>
      </w:tr>
      <w:tr w:rsidR="007D3101" w:rsidRPr="00CF39C8" w14:paraId="0EADD9D8" w14:textId="77777777" w:rsidTr="003E2A1D">
        <w:trPr>
          <w:trHeight w:val="282"/>
        </w:trPr>
        <w:tc>
          <w:tcPr>
            <w:tcW w:w="3823" w:type="dxa"/>
            <w:shd w:val="clear" w:color="auto" w:fill="auto"/>
          </w:tcPr>
          <w:p w14:paraId="1610DDFB"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Very Remote</w:t>
            </w:r>
          </w:p>
        </w:tc>
        <w:tc>
          <w:tcPr>
            <w:tcW w:w="1134" w:type="dxa"/>
            <w:shd w:val="clear" w:color="auto" w:fill="auto"/>
            <w:vAlign w:val="bottom"/>
          </w:tcPr>
          <w:p w14:paraId="2020A8B9"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2.06</w:t>
            </w:r>
          </w:p>
        </w:tc>
        <w:tc>
          <w:tcPr>
            <w:tcW w:w="1134" w:type="dxa"/>
            <w:shd w:val="clear" w:color="auto" w:fill="auto"/>
          </w:tcPr>
          <w:p w14:paraId="1FF58013"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3.79</w:t>
            </w:r>
          </w:p>
        </w:tc>
        <w:tc>
          <w:tcPr>
            <w:tcW w:w="1134" w:type="dxa"/>
          </w:tcPr>
          <w:p w14:paraId="283F1B97"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3.55</w:t>
            </w:r>
          </w:p>
        </w:tc>
        <w:tc>
          <w:tcPr>
            <w:tcW w:w="1275" w:type="dxa"/>
          </w:tcPr>
          <w:p w14:paraId="18123CA9"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3.83</w:t>
            </w:r>
          </w:p>
        </w:tc>
      </w:tr>
    </w:tbl>
    <w:p w14:paraId="3E8ADAA8" w14:textId="77777777" w:rsidR="00BC43F6" w:rsidRPr="00CF39C8" w:rsidRDefault="000A1476" w:rsidP="000A1476">
      <w:pPr>
        <w:pStyle w:val="Caption"/>
        <w:rPr>
          <w:b w:val="0"/>
        </w:rPr>
      </w:pPr>
      <w:bookmarkStart w:id="393" w:name="_Toc161837781"/>
      <w:bookmarkStart w:id="394" w:name="_Toc161933228"/>
      <w:bookmarkStart w:id="395" w:name="_Toc163221128"/>
      <w:r w:rsidRPr="00CF39C8">
        <w:t xml:space="preserve">Table </w:t>
      </w:r>
      <w:r w:rsidR="00860CE1" w:rsidRPr="00CF39C8">
        <w:t>1</w:t>
      </w:r>
      <w:r w:rsidR="00C6227F">
        <w:t>6</w:t>
      </w:r>
      <w:r w:rsidRPr="00CF39C8">
        <w:rPr>
          <w:b w:val="0"/>
        </w:rPr>
        <w:t xml:space="preserve"> – Benefits and costs for different locations</w:t>
      </w:r>
      <w:bookmarkEnd w:id="393"/>
      <w:bookmarkEnd w:id="394"/>
      <w:bookmarkEnd w:id="395"/>
    </w:p>
    <w:p w14:paraId="6FF338CB" w14:textId="77777777" w:rsidR="00005A50" w:rsidRDefault="00005A50" w:rsidP="00A169F2">
      <w:pPr>
        <w:spacing w:after="160" w:line="256" w:lineRule="auto"/>
        <w:rPr>
          <w:rFonts w:asciiTheme="majorHAnsi" w:hAnsiTheme="majorHAnsi" w:cstheme="majorHAnsi"/>
        </w:rPr>
      </w:pPr>
    </w:p>
    <w:p w14:paraId="60D6B4D0" w14:textId="77777777" w:rsidR="00F902E8" w:rsidRDefault="00F902E8" w:rsidP="00A169F2">
      <w:pPr>
        <w:spacing w:after="160" w:line="256" w:lineRule="auto"/>
        <w:rPr>
          <w:rFonts w:asciiTheme="majorHAnsi" w:hAnsiTheme="majorHAnsi" w:cstheme="majorHAnsi"/>
        </w:rPr>
      </w:pPr>
    </w:p>
    <w:p w14:paraId="27E36D26" w14:textId="77777777" w:rsidR="005D2A4F" w:rsidRPr="00CF39C8" w:rsidRDefault="005D2A4F" w:rsidP="00A169F2">
      <w:pPr>
        <w:spacing w:after="160" w:line="256" w:lineRule="auto"/>
        <w:rPr>
          <w:rFonts w:asciiTheme="majorHAnsi" w:hAnsiTheme="majorHAnsi" w:cstheme="majorHAnsi"/>
        </w:rPr>
      </w:pPr>
    </w:p>
    <w:p w14:paraId="5ADF1F9F" w14:textId="77777777" w:rsidR="000229CB" w:rsidRPr="00CF39C8" w:rsidRDefault="000229CB" w:rsidP="001C5AA9">
      <w:pPr>
        <w:pStyle w:val="Heading3"/>
        <w:numPr>
          <w:ilvl w:val="2"/>
          <w:numId w:val="42"/>
        </w:numPr>
        <w:ind w:hanging="1080"/>
        <w:rPr>
          <w:sz w:val="24"/>
        </w:rPr>
      </w:pPr>
      <w:bookmarkStart w:id="396" w:name="_Toc161837673"/>
      <w:bookmarkStart w:id="397" w:name="_Toc161933170"/>
      <w:bookmarkStart w:id="398" w:name="_Toc162276477"/>
      <w:bookmarkStart w:id="399" w:name="_Toc163221073"/>
      <w:bookmarkEnd w:id="389"/>
      <w:r w:rsidRPr="00CF39C8">
        <w:rPr>
          <w:sz w:val="24"/>
        </w:rPr>
        <w:t xml:space="preserve">What </w:t>
      </w:r>
      <w:r w:rsidR="005A42F8" w:rsidRPr="00CF39C8">
        <w:rPr>
          <w:sz w:val="24"/>
        </w:rPr>
        <w:t>s</w:t>
      </w:r>
      <w:r w:rsidRPr="00CF39C8">
        <w:rPr>
          <w:sz w:val="24"/>
        </w:rPr>
        <w:t xml:space="preserve">ensitivity </w:t>
      </w:r>
      <w:r w:rsidR="005A42F8" w:rsidRPr="00CF39C8">
        <w:rPr>
          <w:sz w:val="24"/>
        </w:rPr>
        <w:t>t</w:t>
      </w:r>
      <w:r w:rsidRPr="00CF39C8">
        <w:rPr>
          <w:sz w:val="24"/>
        </w:rPr>
        <w:t xml:space="preserve">ests </w:t>
      </w:r>
      <w:r w:rsidR="005A42F8" w:rsidRPr="00CF39C8">
        <w:rPr>
          <w:sz w:val="24"/>
        </w:rPr>
        <w:t>w</w:t>
      </w:r>
      <w:r w:rsidRPr="00CF39C8">
        <w:rPr>
          <w:sz w:val="24"/>
        </w:rPr>
        <w:t xml:space="preserve">ere </w:t>
      </w:r>
      <w:r w:rsidR="005A42F8" w:rsidRPr="00CF39C8">
        <w:rPr>
          <w:sz w:val="24"/>
        </w:rPr>
        <w:t>c</w:t>
      </w:r>
      <w:r w:rsidRPr="00CF39C8">
        <w:rPr>
          <w:sz w:val="24"/>
        </w:rPr>
        <w:t>onsidered?</w:t>
      </w:r>
      <w:bookmarkEnd w:id="396"/>
      <w:bookmarkEnd w:id="397"/>
      <w:bookmarkEnd w:id="398"/>
      <w:bookmarkEnd w:id="399"/>
      <w:r w:rsidRPr="00CF39C8">
        <w:rPr>
          <w:sz w:val="24"/>
        </w:rPr>
        <w:t xml:space="preserve"> </w:t>
      </w:r>
    </w:p>
    <w:p w14:paraId="3CCD0847" w14:textId="77777777" w:rsidR="000229CB" w:rsidRPr="00CF39C8" w:rsidRDefault="000229CB" w:rsidP="000229CB">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Sensitivity testing was undertaken across key variables, in particular in relation to discount rates assumed. </w:t>
      </w:r>
      <w:r w:rsidR="00D000AD" w:rsidRPr="00CF39C8">
        <w:rPr>
          <w:rFonts w:asciiTheme="majorHAnsi" w:hAnsiTheme="majorHAnsi" w:cstheme="majorHAnsi"/>
          <w:color w:val="000000" w:themeColor="text1"/>
        </w:rPr>
        <w:t xml:space="preserve">The </w:t>
      </w:r>
      <w:r w:rsidR="000F1143" w:rsidRPr="00CF39C8">
        <w:rPr>
          <w:rFonts w:asciiTheme="majorHAnsi" w:hAnsiTheme="majorHAnsi" w:cstheme="majorHAnsi"/>
          <w:color w:val="000000" w:themeColor="text1"/>
        </w:rPr>
        <w:t xml:space="preserve">table </w:t>
      </w:r>
      <w:r w:rsidRPr="00CF39C8">
        <w:rPr>
          <w:rFonts w:asciiTheme="majorHAnsi" w:hAnsiTheme="majorHAnsi" w:cstheme="majorHAnsi"/>
          <w:color w:val="000000" w:themeColor="text1"/>
        </w:rPr>
        <w:t xml:space="preserve">below sets out the net benefits and BCRs for the sensitivity tests that we performed. </w:t>
      </w:r>
      <w:r w:rsidR="00283517" w:rsidRPr="00CF39C8">
        <w:rPr>
          <w:rFonts w:asciiTheme="majorHAnsi" w:hAnsiTheme="majorHAnsi" w:cstheme="majorHAnsi"/>
          <w:color w:val="000000" w:themeColor="text1"/>
        </w:rPr>
        <w:t xml:space="preserve">We have undertaken sensitivity tests on the </w:t>
      </w:r>
      <w:r w:rsidR="00AE4BF3">
        <w:rPr>
          <w:rFonts w:asciiTheme="majorHAnsi" w:hAnsiTheme="majorHAnsi" w:cstheme="majorHAnsi"/>
          <w:color w:val="000000" w:themeColor="text1"/>
        </w:rPr>
        <w:t>best</w:t>
      </w:r>
      <w:r w:rsidR="005D5114" w:rsidRPr="00CF39C8">
        <w:rPr>
          <w:rFonts w:asciiTheme="majorHAnsi" w:hAnsiTheme="majorHAnsi" w:cstheme="majorHAnsi"/>
          <w:color w:val="000000" w:themeColor="text1"/>
        </w:rPr>
        <w:t xml:space="preserve"> </w:t>
      </w:r>
      <w:r w:rsidR="00762BA5">
        <w:rPr>
          <w:rFonts w:asciiTheme="majorHAnsi" w:hAnsiTheme="majorHAnsi" w:cstheme="majorHAnsi"/>
          <w:color w:val="000000" w:themeColor="text1"/>
        </w:rPr>
        <w:t>option</w:t>
      </w:r>
      <w:r w:rsidR="00283517" w:rsidRPr="00CF39C8">
        <w:rPr>
          <w:rFonts w:asciiTheme="majorHAnsi" w:hAnsiTheme="majorHAnsi" w:cstheme="majorHAnsi"/>
          <w:color w:val="000000" w:themeColor="text1"/>
        </w:rPr>
        <w:t xml:space="preserve"> in this case</w:t>
      </w:r>
      <w:r w:rsidR="005D5114"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 </w:t>
      </w:r>
    </w:p>
    <w:p w14:paraId="20C36CC1" w14:textId="77777777" w:rsidR="00D00FB2" w:rsidRDefault="00D00FB2" w:rsidP="000229CB">
      <w:pPr>
        <w:rPr>
          <w:rFonts w:asciiTheme="majorHAnsi" w:hAnsiTheme="majorHAnsi" w:cstheme="majorHAnsi"/>
          <w:color w:val="000000" w:themeColor="text1"/>
        </w:rPr>
      </w:pPr>
    </w:p>
    <w:tbl>
      <w:tblPr>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tblCellMar>
        <w:tblLook w:val="04A0" w:firstRow="1" w:lastRow="0" w:firstColumn="1" w:lastColumn="0" w:noHBand="0" w:noVBand="1"/>
        <w:tblCaption w:val="Sensitivity analysis"/>
      </w:tblPr>
      <w:tblGrid>
        <w:gridCol w:w="4731"/>
        <w:gridCol w:w="1785"/>
        <w:gridCol w:w="1276"/>
        <w:gridCol w:w="2126"/>
      </w:tblGrid>
      <w:tr w:rsidR="00D00FB2" w:rsidRPr="00CF39C8" w14:paraId="44F2D818" w14:textId="77777777" w:rsidTr="004F7724">
        <w:trPr>
          <w:trHeight w:val="60"/>
          <w:tblHeader/>
        </w:trPr>
        <w:tc>
          <w:tcPr>
            <w:tcW w:w="4731" w:type="dxa"/>
            <w:shd w:val="clear" w:color="auto" w:fill="417A84" w:themeFill="accent5" w:themeFillShade="BF"/>
            <w:vAlign w:val="center"/>
            <w:hideMark/>
          </w:tcPr>
          <w:p w14:paraId="042FDD3E"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Sensitivity test </w:t>
            </w:r>
          </w:p>
        </w:tc>
        <w:tc>
          <w:tcPr>
            <w:tcW w:w="1785" w:type="dxa"/>
            <w:shd w:val="clear" w:color="auto" w:fill="417A84" w:themeFill="accent5" w:themeFillShade="BF"/>
            <w:vAlign w:val="center"/>
            <w:hideMark/>
          </w:tcPr>
          <w:p w14:paraId="3B473EAF"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 xml:space="preserve">Net Benefit </w:t>
            </w:r>
            <w:r w:rsidR="003E1796">
              <w:rPr>
                <w:rFonts w:asciiTheme="majorHAnsi" w:hAnsiTheme="majorHAnsi" w:cstheme="majorHAnsi"/>
                <w:b/>
                <w:bCs/>
                <w:color w:val="FFFFFF" w:themeColor="background1"/>
              </w:rPr>
              <w:t xml:space="preserve"> </w:t>
            </w:r>
            <w:r w:rsidRPr="00CF39C8">
              <w:rPr>
                <w:rFonts w:asciiTheme="majorHAnsi" w:hAnsiTheme="majorHAnsi" w:cstheme="majorHAnsi"/>
                <w:b/>
                <w:bCs/>
                <w:color w:val="FFFFFF" w:themeColor="background1"/>
              </w:rPr>
              <w:t>($</w:t>
            </w:r>
            <w:r w:rsidR="003E1796">
              <w:rPr>
                <w:rFonts w:asciiTheme="majorHAnsi" w:hAnsiTheme="majorHAnsi" w:cstheme="majorHAnsi"/>
                <w:b/>
                <w:bCs/>
                <w:color w:val="FFFFFF" w:themeColor="background1"/>
              </w:rPr>
              <w:t>billion</w:t>
            </w:r>
            <w:r w:rsidRPr="00CF39C8">
              <w:rPr>
                <w:rFonts w:asciiTheme="majorHAnsi" w:hAnsiTheme="majorHAnsi" w:cstheme="majorHAnsi"/>
                <w:b/>
                <w:bCs/>
                <w:color w:val="FFFFFF" w:themeColor="background1"/>
              </w:rPr>
              <w:t>) </w:t>
            </w:r>
          </w:p>
        </w:tc>
        <w:tc>
          <w:tcPr>
            <w:tcW w:w="1276" w:type="dxa"/>
            <w:shd w:val="clear" w:color="auto" w:fill="417A84" w:themeFill="accent5" w:themeFillShade="BF"/>
            <w:vAlign w:val="center"/>
            <w:hideMark/>
          </w:tcPr>
          <w:p w14:paraId="373C8B07"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Benefit Cost Ratio </w:t>
            </w:r>
          </w:p>
        </w:tc>
        <w:tc>
          <w:tcPr>
            <w:tcW w:w="2126" w:type="dxa"/>
            <w:shd w:val="clear" w:color="auto" w:fill="417A84" w:themeFill="accent5" w:themeFillShade="BF"/>
            <w:vAlign w:val="center"/>
          </w:tcPr>
          <w:p w14:paraId="28AE6203"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Directional impact (upwards is an improvement)</w:t>
            </w:r>
          </w:p>
        </w:tc>
      </w:tr>
      <w:tr w:rsidR="00D00FB2" w:rsidRPr="00CF39C8" w14:paraId="7884879B" w14:textId="77777777" w:rsidTr="004F7724">
        <w:trPr>
          <w:trHeight w:val="403"/>
        </w:trPr>
        <w:tc>
          <w:tcPr>
            <w:tcW w:w="4731" w:type="dxa"/>
            <w:shd w:val="clear" w:color="auto" w:fill="C8CAE7" w:themeFill="text2" w:themeFillTint="33"/>
            <w:vAlign w:val="center"/>
          </w:tcPr>
          <w:p w14:paraId="3358E3BE" w14:textId="77777777" w:rsidR="00D00FB2" w:rsidRPr="00CF39C8" w:rsidRDefault="00AE4BF3" w:rsidP="00FA3DAF">
            <w:pPr>
              <w:rPr>
                <w:rFonts w:asciiTheme="majorHAnsi" w:hAnsiTheme="majorHAnsi" w:cstheme="majorHAnsi"/>
                <w:b/>
                <w:bCs/>
                <w:color w:val="000000" w:themeColor="text1"/>
              </w:rPr>
            </w:pPr>
            <w:r>
              <w:rPr>
                <w:rFonts w:asciiTheme="majorHAnsi" w:hAnsiTheme="majorHAnsi" w:cstheme="majorHAnsi"/>
                <w:b/>
                <w:bCs/>
                <w:color w:val="000000" w:themeColor="text1"/>
              </w:rPr>
              <w:t>Best</w:t>
            </w:r>
            <w:r w:rsidR="00D00FB2">
              <w:rPr>
                <w:rFonts w:asciiTheme="majorHAnsi" w:hAnsiTheme="majorHAnsi" w:cstheme="majorHAnsi"/>
                <w:b/>
                <w:bCs/>
                <w:color w:val="000000" w:themeColor="text1"/>
              </w:rPr>
              <w:t xml:space="preserve"> option</w:t>
            </w:r>
          </w:p>
        </w:tc>
        <w:tc>
          <w:tcPr>
            <w:tcW w:w="1785" w:type="dxa"/>
            <w:shd w:val="clear" w:color="auto" w:fill="C8CAE7" w:themeFill="text2" w:themeFillTint="33"/>
            <w:vAlign w:val="center"/>
          </w:tcPr>
          <w:p w14:paraId="7425AD63" w14:textId="77777777" w:rsidR="00D00FB2" w:rsidRPr="009F296D" w:rsidRDefault="003E1796" w:rsidP="00FA3DAF">
            <w:pPr>
              <w:rPr>
                <w:rFonts w:asciiTheme="majorHAnsi" w:hAnsiTheme="majorHAnsi" w:cstheme="majorHAnsi"/>
                <w:color w:val="000000" w:themeColor="text1"/>
              </w:rPr>
            </w:pPr>
            <w:r w:rsidRPr="009F296D">
              <w:rPr>
                <w:rFonts w:asciiTheme="majorHAnsi" w:hAnsiTheme="majorHAnsi" w:cstheme="majorHAnsi"/>
                <w:color w:val="000000" w:themeColor="text1"/>
              </w:rPr>
              <w:t>$8</w:t>
            </w:r>
            <w:r w:rsidR="004F7724">
              <w:rPr>
                <w:rFonts w:asciiTheme="majorHAnsi" w:hAnsiTheme="majorHAnsi" w:cstheme="majorHAnsi"/>
                <w:color w:val="000000" w:themeColor="text1"/>
              </w:rPr>
              <w:t>6</w:t>
            </w:r>
            <w:r w:rsidRPr="009F296D">
              <w:rPr>
                <w:rFonts w:asciiTheme="majorHAnsi" w:hAnsiTheme="majorHAnsi" w:cstheme="majorHAnsi"/>
                <w:color w:val="000000" w:themeColor="text1"/>
              </w:rPr>
              <w:t>.</w:t>
            </w:r>
            <w:r w:rsidR="004F7724">
              <w:rPr>
                <w:rFonts w:asciiTheme="majorHAnsi" w:hAnsiTheme="majorHAnsi" w:cstheme="majorHAnsi"/>
                <w:color w:val="000000" w:themeColor="text1"/>
              </w:rPr>
              <w:t>04</w:t>
            </w:r>
          </w:p>
        </w:tc>
        <w:tc>
          <w:tcPr>
            <w:tcW w:w="1276" w:type="dxa"/>
            <w:shd w:val="clear" w:color="auto" w:fill="C8CAE7" w:themeFill="text2" w:themeFillTint="33"/>
            <w:vAlign w:val="center"/>
          </w:tcPr>
          <w:p w14:paraId="6479A619" w14:textId="77777777" w:rsidR="00D00FB2" w:rsidRPr="009F296D" w:rsidRDefault="003E1796" w:rsidP="00FA3DAF">
            <w:pPr>
              <w:rPr>
                <w:rFonts w:asciiTheme="majorHAnsi" w:hAnsiTheme="majorHAnsi" w:cstheme="majorHAnsi"/>
                <w:color w:val="000000" w:themeColor="text1"/>
              </w:rPr>
            </w:pPr>
            <w:r w:rsidRPr="009F296D">
              <w:rPr>
                <w:rFonts w:asciiTheme="majorHAnsi" w:hAnsiTheme="majorHAnsi" w:cstheme="majorHAnsi"/>
                <w:color w:val="000000" w:themeColor="text1"/>
              </w:rPr>
              <w:t>3.1</w:t>
            </w:r>
            <w:r w:rsidR="004F7724">
              <w:rPr>
                <w:rFonts w:asciiTheme="majorHAnsi" w:hAnsiTheme="majorHAnsi" w:cstheme="majorHAnsi"/>
                <w:color w:val="000000" w:themeColor="text1"/>
              </w:rPr>
              <w:t>2</w:t>
            </w:r>
          </w:p>
        </w:tc>
        <w:tc>
          <w:tcPr>
            <w:tcW w:w="2126" w:type="dxa"/>
            <w:shd w:val="clear" w:color="auto" w:fill="C8CAE7" w:themeFill="text2" w:themeFillTint="33"/>
            <w:vAlign w:val="center"/>
          </w:tcPr>
          <w:p w14:paraId="29E60618" w14:textId="77777777" w:rsidR="00D00FB2" w:rsidRPr="00CF39C8" w:rsidRDefault="00D00FB2" w:rsidP="00FA3DAF">
            <w:pPr>
              <w:rPr>
                <w:rFonts w:asciiTheme="majorHAnsi" w:hAnsiTheme="majorHAnsi" w:cstheme="majorHAnsi"/>
                <w:color w:val="000000" w:themeColor="text1"/>
              </w:rPr>
            </w:pPr>
            <w:r w:rsidRPr="00CF39C8">
              <w:rPr>
                <w:noProof/>
                <w:lang w:eastAsia="en-AU"/>
              </w:rPr>
              <mc:AlternateContent>
                <mc:Choice Requires="wps">
                  <w:drawing>
                    <wp:inline distT="0" distB="0" distL="0" distR="0" wp14:anchorId="112F6CE2" wp14:editId="6370D06C">
                      <wp:extent cx="243840" cy="99060"/>
                      <wp:effectExtent l="0" t="0" r="22860" b="15240"/>
                      <wp:docPr id="2072" name="Rectangle 2072"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2F672C" id="Rectangle 2072"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" fillcolor="black [3213]" strokecolor="black [3213]" strokeweight="1pt">
                      <w10:anchorlock/>
                    </v:rect>
                  </w:pict>
                </mc:Fallback>
              </mc:AlternateContent>
            </w:r>
          </w:p>
        </w:tc>
      </w:tr>
      <w:tr w:rsidR="00D00FB2" w:rsidRPr="00CF39C8" w14:paraId="1C86E5C0" w14:textId="77777777" w:rsidTr="004F7724">
        <w:trPr>
          <w:trHeight w:val="473"/>
        </w:trPr>
        <w:tc>
          <w:tcPr>
            <w:tcW w:w="4731" w:type="dxa"/>
            <w:shd w:val="clear" w:color="auto" w:fill="auto"/>
            <w:vAlign w:val="center"/>
            <w:hideMark/>
          </w:tcPr>
          <w:p w14:paraId="0F532AB1"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Undiscounted (as opposed to 7%)</w:t>
            </w:r>
          </w:p>
        </w:tc>
        <w:tc>
          <w:tcPr>
            <w:tcW w:w="1785" w:type="dxa"/>
            <w:shd w:val="clear" w:color="auto" w:fill="auto"/>
            <w:vAlign w:val="center"/>
          </w:tcPr>
          <w:p w14:paraId="049972A4"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rPr>
              <w:t>$</w:t>
            </w:r>
            <w:r w:rsidR="004F7724" w:rsidRPr="009F296D">
              <w:rPr>
                <w:rFonts w:asciiTheme="majorHAnsi" w:hAnsiTheme="majorHAnsi" w:cstheme="majorHAnsi"/>
                <w:color w:val="000000" w:themeColor="text1"/>
              </w:rPr>
              <w:t>3</w:t>
            </w:r>
            <w:r w:rsidR="004F7724">
              <w:rPr>
                <w:rFonts w:asciiTheme="majorHAnsi" w:hAnsiTheme="majorHAnsi" w:cstheme="majorHAnsi"/>
                <w:color w:val="000000" w:themeColor="text1"/>
              </w:rPr>
              <w:t>41</w:t>
            </w:r>
            <w:r w:rsidRPr="009F296D">
              <w:rPr>
                <w:rFonts w:asciiTheme="majorHAnsi" w:hAnsiTheme="majorHAnsi" w:cstheme="majorHAnsi"/>
                <w:color w:val="000000" w:themeColor="text1"/>
              </w:rPr>
              <w:t>.</w:t>
            </w:r>
            <w:r w:rsidR="004F7724">
              <w:rPr>
                <w:rFonts w:asciiTheme="majorHAnsi" w:hAnsiTheme="majorHAnsi" w:cstheme="majorHAnsi"/>
                <w:color w:val="000000" w:themeColor="text1"/>
              </w:rPr>
              <w:t>92</w:t>
            </w:r>
            <w:r w:rsidR="004F7724" w:rsidRPr="009F296D">
              <w:rPr>
                <w:rFonts w:asciiTheme="majorHAnsi" w:hAnsiTheme="majorHAnsi" w:cstheme="majorHAnsi"/>
                <w:color w:val="000000" w:themeColor="text1"/>
              </w:rPr>
              <w:t xml:space="preserve"> </w:t>
            </w:r>
          </w:p>
        </w:tc>
        <w:tc>
          <w:tcPr>
            <w:tcW w:w="1276" w:type="dxa"/>
            <w:shd w:val="clear" w:color="auto" w:fill="auto"/>
            <w:vAlign w:val="center"/>
          </w:tcPr>
          <w:p w14:paraId="0DCFA2BF"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3.36</w:t>
            </w:r>
          </w:p>
        </w:tc>
        <w:tc>
          <w:tcPr>
            <w:tcW w:w="2126" w:type="dxa"/>
            <w:vAlign w:val="center"/>
          </w:tcPr>
          <w:p w14:paraId="71A33075"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9F8B385" wp14:editId="550BF1EC">
                      <wp:extent cx="187036" cy="147320"/>
                      <wp:effectExtent l="19050" t="19050" r="41910" b="24130"/>
                      <wp:docPr id="2073" name="Arrow: Down 2073"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399D2C" id="Arrow: Down 2073"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" adj="10800" fillcolor="black [3213]" strokecolor="black [3213]" strokeweight="1pt">
                      <w10:anchorlock/>
                    </v:shape>
                  </w:pict>
                </mc:Fallback>
              </mc:AlternateContent>
            </w:r>
          </w:p>
        </w:tc>
      </w:tr>
      <w:tr w:rsidR="00D00FB2" w:rsidRPr="00CF39C8" w14:paraId="41BC63A2" w14:textId="77777777" w:rsidTr="004F7724">
        <w:trPr>
          <w:trHeight w:val="274"/>
        </w:trPr>
        <w:tc>
          <w:tcPr>
            <w:tcW w:w="4731" w:type="dxa"/>
            <w:shd w:val="clear" w:color="auto" w:fill="auto"/>
            <w:vAlign w:val="center"/>
            <w:hideMark/>
          </w:tcPr>
          <w:p w14:paraId="7E28CA4B"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Low Discount Rate (3%) (as opposed to 7%)</w:t>
            </w:r>
          </w:p>
        </w:tc>
        <w:tc>
          <w:tcPr>
            <w:tcW w:w="1785" w:type="dxa"/>
            <w:shd w:val="clear" w:color="auto" w:fill="auto"/>
            <w:vAlign w:val="center"/>
          </w:tcPr>
          <w:p w14:paraId="7DE58D63"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w:t>
            </w:r>
            <w:r w:rsidR="004F7724" w:rsidRPr="009F296D">
              <w:rPr>
                <w:rFonts w:asciiTheme="majorHAnsi" w:hAnsiTheme="majorHAnsi" w:cstheme="majorHAnsi"/>
                <w:color w:val="000000" w:themeColor="text1"/>
                <w:sz w:val="20"/>
                <w:szCs w:val="20"/>
              </w:rPr>
              <w:t>17</w:t>
            </w:r>
            <w:r w:rsidR="004F7724">
              <w:rPr>
                <w:rFonts w:asciiTheme="majorHAnsi" w:hAnsiTheme="majorHAnsi" w:cstheme="majorHAnsi"/>
                <w:color w:val="000000" w:themeColor="text1"/>
                <w:sz w:val="20"/>
                <w:szCs w:val="20"/>
              </w:rPr>
              <w:t>2</w:t>
            </w:r>
            <w:r w:rsidRPr="009F296D">
              <w:rPr>
                <w:rFonts w:asciiTheme="majorHAnsi" w:hAnsiTheme="majorHAnsi" w:cstheme="majorHAnsi"/>
                <w:color w:val="000000" w:themeColor="text1"/>
                <w:sz w:val="20"/>
                <w:szCs w:val="20"/>
              </w:rPr>
              <w:t>.</w:t>
            </w:r>
            <w:r w:rsidR="004F7724">
              <w:rPr>
                <w:rFonts w:asciiTheme="majorHAnsi" w:hAnsiTheme="majorHAnsi" w:cstheme="majorHAnsi"/>
                <w:color w:val="000000" w:themeColor="text1"/>
                <w:sz w:val="20"/>
                <w:szCs w:val="20"/>
              </w:rPr>
              <w:t>90</w:t>
            </w:r>
          </w:p>
        </w:tc>
        <w:tc>
          <w:tcPr>
            <w:tcW w:w="1276" w:type="dxa"/>
            <w:shd w:val="clear" w:color="auto" w:fill="auto"/>
            <w:vAlign w:val="center"/>
          </w:tcPr>
          <w:p w14:paraId="6A6E0FC4"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3.27</w:t>
            </w:r>
          </w:p>
        </w:tc>
        <w:tc>
          <w:tcPr>
            <w:tcW w:w="2126" w:type="dxa"/>
            <w:vAlign w:val="center"/>
          </w:tcPr>
          <w:p w14:paraId="1B5FB556"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464CC745" wp14:editId="0A85886C">
                      <wp:extent cx="187036" cy="147320"/>
                      <wp:effectExtent l="19050" t="19050" r="41910" b="24130"/>
                      <wp:docPr id="2076" name="Arrow: Down 2076"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1346AD" id="Arrow: Down 2076"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" adj="10800" fillcolor="black [3213]" strokecolor="black [3213]" strokeweight="1pt">
                      <w10:anchorlock/>
                    </v:shape>
                  </w:pict>
                </mc:Fallback>
              </mc:AlternateContent>
            </w:r>
          </w:p>
        </w:tc>
      </w:tr>
      <w:tr w:rsidR="00D00FB2" w:rsidRPr="00CF39C8" w14:paraId="57B7D879" w14:textId="77777777" w:rsidTr="004F7724">
        <w:trPr>
          <w:trHeight w:val="60"/>
        </w:trPr>
        <w:tc>
          <w:tcPr>
            <w:tcW w:w="4731" w:type="dxa"/>
            <w:shd w:val="clear" w:color="auto" w:fill="auto"/>
            <w:vAlign w:val="center"/>
            <w:hideMark/>
          </w:tcPr>
          <w:p w14:paraId="73470AF3"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High Discount Rate (10%) (as opposed to 7%)</w:t>
            </w:r>
          </w:p>
        </w:tc>
        <w:tc>
          <w:tcPr>
            <w:tcW w:w="1785" w:type="dxa"/>
            <w:shd w:val="clear" w:color="auto" w:fill="auto"/>
            <w:vAlign w:val="center"/>
          </w:tcPr>
          <w:p w14:paraId="077C08F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4F7724" w:rsidRPr="006564BC">
              <w:rPr>
                <w:rFonts w:asciiTheme="majorHAnsi" w:hAnsiTheme="majorHAnsi" w:cstheme="majorHAnsi"/>
                <w:color w:val="000000" w:themeColor="text1"/>
                <w:sz w:val="20"/>
                <w:szCs w:val="20"/>
              </w:rPr>
              <w:t>5</w:t>
            </w:r>
            <w:r w:rsidR="004F7724">
              <w:rPr>
                <w:rFonts w:asciiTheme="majorHAnsi" w:hAnsiTheme="majorHAnsi" w:cstheme="majorHAnsi"/>
                <w:color w:val="000000" w:themeColor="text1"/>
                <w:sz w:val="20"/>
                <w:szCs w:val="20"/>
              </w:rPr>
              <w:t>4</w:t>
            </w:r>
            <w:r w:rsidRPr="006564BC">
              <w:rPr>
                <w:rFonts w:asciiTheme="majorHAnsi" w:hAnsiTheme="majorHAnsi" w:cstheme="majorHAnsi"/>
                <w:color w:val="000000" w:themeColor="text1"/>
                <w:sz w:val="20"/>
                <w:szCs w:val="20"/>
              </w:rPr>
              <w:t>.</w:t>
            </w:r>
            <w:r w:rsidR="004F7724">
              <w:rPr>
                <w:rFonts w:asciiTheme="majorHAnsi" w:hAnsiTheme="majorHAnsi" w:cstheme="majorHAnsi"/>
                <w:color w:val="000000" w:themeColor="text1"/>
                <w:sz w:val="20"/>
                <w:szCs w:val="20"/>
              </w:rPr>
              <w:t>48</w:t>
            </w:r>
          </w:p>
        </w:tc>
        <w:tc>
          <w:tcPr>
            <w:tcW w:w="1276" w:type="dxa"/>
            <w:shd w:val="clear" w:color="auto" w:fill="auto"/>
            <w:vAlign w:val="center"/>
          </w:tcPr>
          <w:p w14:paraId="3C70826F" w14:textId="77777777" w:rsidR="00D00FB2" w:rsidRPr="006564BC" w:rsidRDefault="004F7724"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w:t>
            </w:r>
            <w:r w:rsidR="003E1796" w:rsidRPr="006564BC">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99</w:t>
            </w:r>
          </w:p>
        </w:tc>
        <w:tc>
          <w:tcPr>
            <w:tcW w:w="2126" w:type="dxa"/>
            <w:vAlign w:val="center"/>
          </w:tcPr>
          <w:p w14:paraId="4348B796"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3FCF4F5B" wp14:editId="0F2431C6">
                      <wp:extent cx="187036" cy="147320"/>
                      <wp:effectExtent l="19050" t="0" r="22860" b="43180"/>
                      <wp:docPr id="2077" name="Arrow: Down 2077"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EB4BA" id="Arrow: Down 2077"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" adj="10800" fillcolor="black [3213]" strokecolor="black [3213]" strokeweight="1pt">
                      <w10:anchorlock/>
                    </v:shape>
                  </w:pict>
                </mc:Fallback>
              </mc:AlternateContent>
            </w:r>
          </w:p>
        </w:tc>
      </w:tr>
      <w:tr w:rsidR="00D00FB2" w:rsidRPr="00CF39C8" w14:paraId="104B3549" w14:textId="77777777" w:rsidTr="004F7724">
        <w:trPr>
          <w:trHeight w:val="457"/>
        </w:trPr>
        <w:tc>
          <w:tcPr>
            <w:tcW w:w="4731" w:type="dxa"/>
            <w:shd w:val="clear" w:color="auto" w:fill="auto"/>
            <w:vAlign w:val="center"/>
          </w:tcPr>
          <w:p w14:paraId="42F871C6"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Price parity between ICE and EVs at 2035 (as opposed to 2030)</w:t>
            </w:r>
          </w:p>
        </w:tc>
        <w:tc>
          <w:tcPr>
            <w:tcW w:w="1785" w:type="dxa"/>
            <w:shd w:val="clear" w:color="auto" w:fill="auto"/>
            <w:vAlign w:val="center"/>
          </w:tcPr>
          <w:p w14:paraId="50318E4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600E80">
              <w:rPr>
                <w:rFonts w:asciiTheme="majorHAnsi" w:hAnsiTheme="majorHAnsi" w:cstheme="majorHAnsi"/>
                <w:color w:val="000000" w:themeColor="text1"/>
                <w:sz w:val="20"/>
                <w:szCs w:val="20"/>
              </w:rPr>
              <w:t>76.28</w:t>
            </w:r>
          </w:p>
        </w:tc>
        <w:tc>
          <w:tcPr>
            <w:tcW w:w="1276" w:type="dxa"/>
            <w:shd w:val="clear" w:color="auto" w:fill="auto"/>
            <w:vAlign w:val="center"/>
          </w:tcPr>
          <w:p w14:paraId="182BE900" w14:textId="77777777" w:rsidR="00D00FB2" w:rsidRPr="006564BC" w:rsidRDefault="00600E80"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2.52</w:t>
            </w:r>
          </w:p>
        </w:tc>
        <w:tc>
          <w:tcPr>
            <w:tcW w:w="2126" w:type="dxa"/>
            <w:vAlign w:val="center"/>
          </w:tcPr>
          <w:p w14:paraId="6796691C"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A9638FD" wp14:editId="70154DB9">
                      <wp:extent cx="187036" cy="147320"/>
                      <wp:effectExtent l="19050" t="0" r="22860" b="43180"/>
                      <wp:docPr id="2078" name="Arrow: Down 2078"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F2D355" id="Arrow: Down 2078"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" adj="10800" fillcolor="black [3213]" strokecolor="black [3213]" strokeweight="1pt">
                      <w10:anchorlock/>
                    </v:shape>
                  </w:pict>
                </mc:Fallback>
              </mc:AlternateContent>
            </w:r>
          </w:p>
        </w:tc>
      </w:tr>
      <w:tr w:rsidR="00D00FB2" w:rsidRPr="00CF39C8" w14:paraId="5CC56E73" w14:textId="77777777" w:rsidTr="004F7724">
        <w:trPr>
          <w:trHeight w:val="60"/>
        </w:trPr>
        <w:tc>
          <w:tcPr>
            <w:tcW w:w="4731" w:type="dxa"/>
            <w:shd w:val="clear" w:color="auto" w:fill="auto"/>
            <w:vAlign w:val="center"/>
            <w:hideMark/>
          </w:tcPr>
          <w:p w14:paraId="3047EA64"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$120-unit cost for CO</w:t>
            </w:r>
            <w:r w:rsidRPr="00CF39C8">
              <w:rPr>
                <w:rFonts w:asciiTheme="majorHAnsi" w:hAnsiTheme="majorHAnsi" w:cstheme="majorHAnsi"/>
                <w:b/>
                <w:bCs/>
                <w:color w:val="000000" w:themeColor="text1"/>
                <w:sz w:val="20"/>
                <w:szCs w:val="20"/>
                <w:vertAlign w:val="subscript"/>
              </w:rPr>
              <w:t>2</w:t>
            </w:r>
            <w:r w:rsidRPr="00CF39C8">
              <w:rPr>
                <w:rFonts w:asciiTheme="majorHAnsi" w:hAnsiTheme="majorHAnsi" w:cstheme="majorHAnsi"/>
                <w:b/>
                <w:bCs/>
                <w:color w:val="000000" w:themeColor="text1"/>
                <w:sz w:val="20"/>
                <w:szCs w:val="20"/>
              </w:rPr>
              <w:t xml:space="preserve"> (as opposed to $60/tonne)</w:t>
            </w:r>
          </w:p>
        </w:tc>
        <w:tc>
          <w:tcPr>
            <w:tcW w:w="1785" w:type="dxa"/>
            <w:shd w:val="clear" w:color="auto" w:fill="auto"/>
            <w:vAlign w:val="center"/>
          </w:tcPr>
          <w:p w14:paraId="51F7D2FF"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F44068">
              <w:rPr>
                <w:rFonts w:asciiTheme="majorHAnsi" w:hAnsiTheme="majorHAnsi" w:cstheme="majorHAnsi"/>
                <w:color w:val="000000" w:themeColor="text1"/>
                <w:sz w:val="20"/>
                <w:szCs w:val="20"/>
              </w:rPr>
              <w:t>98.72</w:t>
            </w:r>
          </w:p>
        </w:tc>
        <w:tc>
          <w:tcPr>
            <w:tcW w:w="1276" w:type="dxa"/>
            <w:shd w:val="clear" w:color="auto" w:fill="auto"/>
            <w:vAlign w:val="center"/>
          </w:tcPr>
          <w:p w14:paraId="2B666438"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3.4</w:t>
            </w:r>
            <w:r w:rsidR="00F44068">
              <w:rPr>
                <w:rFonts w:asciiTheme="majorHAnsi" w:hAnsiTheme="majorHAnsi" w:cstheme="majorHAnsi"/>
                <w:color w:val="000000" w:themeColor="text1"/>
                <w:sz w:val="20"/>
                <w:szCs w:val="20"/>
              </w:rPr>
              <w:t>3</w:t>
            </w:r>
          </w:p>
        </w:tc>
        <w:tc>
          <w:tcPr>
            <w:tcW w:w="2126" w:type="dxa"/>
            <w:vAlign w:val="center"/>
          </w:tcPr>
          <w:p w14:paraId="121F7B2F"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C53B04F" wp14:editId="319FBB83">
                      <wp:extent cx="187036" cy="147320"/>
                      <wp:effectExtent l="19050" t="19050" r="41910" b="24130"/>
                      <wp:docPr id="2079" name="Arrow: Down 207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E61A46" id="Arrow: Down 207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" adj="10800" fillcolor="black [3213]" strokecolor="black [3213]" strokeweight="1pt">
                      <w10:anchorlock/>
                    </v:shape>
                  </w:pict>
                </mc:Fallback>
              </mc:AlternateContent>
            </w:r>
          </w:p>
        </w:tc>
      </w:tr>
      <w:tr w:rsidR="00D00FB2" w:rsidRPr="00CF39C8" w14:paraId="64370F7D" w14:textId="77777777" w:rsidTr="004F7724">
        <w:trPr>
          <w:trHeight w:val="699"/>
        </w:trPr>
        <w:tc>
          <w:tcPr>
            <w:tcW w:w="4731" w:type="dxa"/>
            <w:shd w:val="clear" w:color="auto" w:fill="auto"/>
            <w:vAlign w:val="center"/>
            <w:hideMark/>
          </w:tcPr>
          <w:p w14:paraId="1D2B0A58"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CO</w:t>
            </w:r>
            <w:r w:rsidRPr="00CF39C8">
              <w:rPr>
                <w:rFonts w:asciiTheme="majorHAnsi" w:hAnsiTheme="majorHAnsi" w:cstheme="majorHAnsi"/>
                <w:b/>
                <w:bCs/>
                <w:color w:val="000000" w:themeColor="text1"/>
                <w:sz w:val="20"/>
                <w:szCs w:val="20"/>
                <w:vertAlign w:val="subscript"/>
              </w:rPr>
              <w:t>2</w:t>
            </w:r>
            <w:r w:rsidRPr="00CF39C8">
              <w:rPr>
                <w:rFonts w:asciiTheme="majorHAnsi" w:hAnsiTheme="majorHAnsi" w:cstheme="majorHAnsi"/>
                <w:b/>
                <w:bCs/>
                <w:color w:val="000000" w:themeColor="text1"/>
                <w:sz w:val="20"/>
                <w:szCs w:val="20"/>
              </w:rPr>
              <w:t> reduction benefits excluded (as opposed to $60/tonne)</w:t>
            </w:r>
          </w:p>
        </w:tc>
        <w:tc>
          <w:tcPr>
            <w:tcW w:w="1785" w:type="dxa"/>
            <w:shd w:val="clear" w:color="auto" w:fill="auto"/>
            <w:vAlign w:val="center"/>
          </w:tcPr>
          <w:p w14:paraId="1738A04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F44068">
              <w:rPr>
                <w:rFonts w:asciiTheme="majorHAnsi" w:hAnsiTheme="majorHAnsi" w:cstheme="majorHAnsi"/>
                <w:color w:val="000000" w:themeColor="text1"/>
                <w:sz w:val="20"/>
                <w:szCs w:val="20"/>
              </w:rPr>
              <w:t>73.37</w:t>
            </w:r>
          </w:p>
        </w:tc>
        <w:tc>
          <w:tcPr>
            <w:tcW w:w="1276" w:type="dxa"/>
            <w:shd w:val="clear" w:color="auto" w:fill="auto"/>
            <w:vAlign w:val="center"/>
          </w:tcPr>
          <w:p w14:paraId="726949C9"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2.8</w:t>
            </w:r>
            <w:r w:rsidR="00F44068">
              <w:rPr>
                <w:rFonts w:asciiTheme="majorHAnsi" w:hAnsiTheme="majorHAnsi" w:cstheme="majorHAnsi"/>
                <w:color w:val="000000" w:themeColor="text1"/>
                <w:sz w:val="20"/>
                <w:szCs w:val="20"/>
              </w:rPr>
              <w:t>1</w:t>
            </w:r>
          </w:p>
        </w:tc>
        <w:tc>
          <w:tcPr>
            <w:tcW w:w="2126" w:type="dxa"/>
            <w:vAlign w:val="center"/>
          </w:tcPr>
          <w:p w14:paraId="4C40923D"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57E97152" wp14:editId="31AD43BC">
                      <wp:extent cx="187036" cy="147320"/>
                      <wp:effectExtent l="19050" t="0" r="22860" b="43180"/>
                      <wp:docPr id="709939138" name="Arrow: Down 709939138"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EF66DE" id="Arrow: Down 709939138"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" adj="10800" fillcolor="black [3213]" strokecolor="black [3213]" strokeweight="1pt">
                      <w10:anchorlock/>
                    </v:shape>
                  </w:pict>
                </mc:Fallback>
              </mc:AlternateContent>
            </w:r>
          </w:p>
        </w:tc>
      </w:tr>
      <w:tr w:rsidR="00D00FB2" w:rsidRPr="00CF39C8" w14:paraId="46207FA6" w14:textId="77777777" w:rsidTr="004F7724">
        <w:trPr>
          <w:trHeight w:val="1198"/>
        </w:trPr>
        <w:tc>
          <w:tcPr>
            <w:tcW w:w="4731" w:type="dxa"/>
            <w:shd w:val="clear" w:color="auto" w:fill="auto"/>
            <w:vAlign w:val="center"/>
          </w:tcPr>
          <w:p w14:paraId="2F5A2CBE" w14:textId="77777777" w:rsidR="00D00FB2" w:rsidRPr="00CF39C8" w:rsidRDefault="00D00FB2" w:rsidP="00FA3DAF">
            <w:pPr>
              <w:rPr>
                <w:rFonts w:asciiTheme="majorHAnsi" w:hAnsiTheme="majorHAnsi" w:cstheme="majorHAnsi"/>
                <w:b/>
                <w:bCs/>
                <w:color w:val="000000" w:themeColor="text1"/>
                <w:sz w:val="20"/>
                <w:szCs w:val="20"/>
              </w:rPr>
            </w:pPr>
            <w:r w:rsidRPr="00C04229">
              <w:rPr>
                <w:rFonts w:asciiTheme="majorHAnsi" w:hAnsiTheme="majorHAnsi" w:cstheme="majorHAnsi"/>
                <w:b/>
                <w:bCs/>
                <w:color w:val="000000" w:themeColor="text1"/>
                <w:sz w:val="20"/>
                <w:szCs w:val="20"/>
              </w:rPr>
              <w:t xml:space="preserve">Health cost impacts aligned the with </w:t>
            </w:r>
            <w:r w:rsidRPr="00C04229">
              <w:rPr>
                <w:rFonts w:ascii="Calibri" w:hAnsi="Calibri" w:cs="Calibri"/>
                <w:b/>
              </w:rPr>
              <w:t>“H</w:t>
            </w:r>
            <w:r w:rsidRPr="00C04229">
              <w:rPr>
                <w:rFonts w:ascii="Calibri" w:hAnsi="Calibri" w:cs="Calibri"/>
                <w:b/>
                <w:color w:val="262626"/>
                <w:sz w:val="20"/>
                <w:szCs w:val="20"/>
              </w:rPr>
              <w:t>ealth and air pollution in New Zealand 2016</w:t>
            </w:r>
            <w:r>
              <w:rPr>
                <w:rStyle w:val="FootnoteReference"/>
              </w:rPr>
              <w:footnoteReference w:id="25"/>
            </w:r>
          </w:p>
        </w:tc>
        <w:tc>
          <w:tcPr>
            <w:tcW w:w="1785" w:type="dxa"/>
            <w:shd w:val="clear" w:color="auto" w:fill="auto"/>
            <w:vAlign w:val="center"/>
          </w:tcPr>
          <w:p w14:paraId="317331F1" w14:textId="77777777" w:rsidR="00D00FB2" w:rsidRPr="004E1387" w:rsidRDefault="004E1387" w:rsidP="00FA3DAF">
            <w:pPr>
              <w:rPr>
                <w:rFonts w:asciiTheme="majorHAnsi" w:hAnsiTheme="majorHAnsi" w:cstheme="majorHAnsi"/>
                <w:color w:val="000000" w:themeColor="text1"/>
                <w:sz w:val="20"/>
                <w:szCs w:val="20"/>
              </w:rPr>
            </w:pPr>
            <w:r w:rsidRPr="004E1387">
              <w:rPr>
                <w:rFonts w:asciiTheme="majorHAnsi" w:hAnsiTheme="majorHAnsi" w:cstheme="majorHAnsi"/>
                <w:color w:val="000000" w:themeColor="text1"/>
                <w:sz w:val="20"/>
                <w:szCs w:val="20"/>
              </w:rPr>
              <w:t>$</w:t>
            </w:r>
            <w:r w:rsidR="00052085">
              <w:rPr>
                <w:rFonts w:asciiTheme="majorHAnsi" w:hAnsiTheme="majorHAnsi" w:cstheme="majorHAnsi"/>
                <w:color w:val="000000" w:themeColor="text1"/>
                <w:sz w:val="20"/>
                <w:szCs w:val="20"/>
              </w:rPr>
              <w:t>88.20</w:t>
            </w:r>
          </w:p>
        </w:tc>
        <w:tc>
          <w:tcPr>
            <w:tcW w:w="1276" w:type="dxa"/>
            <w:shd w:val="clear" w:color="auto" w:fill="auto"/>
            <w:vAlign w:val="center"/>
          </w:tcPr>
          <w:p w14:paraId="2B4FB7E1" w14:textId="77777777" w:rsidR="00D00FB2" w:rsidRPr="004E1387" w:rsidRDefault="004E1387" w:rsidP="00FA3DAF">
            <w:pPr>
              <w:rPr>
                <w:rFonts w:asciiTheme="majorHAnsi" w:hAnsiTheme="majorHAnsi" w:cstheme="majorHAnsi"/>
                <w:color w:val="000000" w:themeColor="text1"/>
                <w:sz w:val="20"/>
                <w:szCs w:val="20"/>
              </w:rPr>
            </w:pPr>
            <w:r w:rsidRPr="004E1387">
              <w:rPr>
                <w:rFonts w:asciiTheme="majorHAnsi" w:hAnsiTheme="majorHAnsi" w:cstheme="majorHAnsi"/>
                <w:color w:val="000000" w:themeColor="text1"/>
              </w:rPr>
              <w:t>3.1</w:t>
            </w:r>
            <w:r w:rsidR="00052085">
              <w:rPr>
                <w:rFonts w:asciiTheme="majorHAnsi" w:hAnsiTheme="majorHAnsi" w:cstheme="majorHAnsi"/>
                <w:color w:val="000000" w:themeColor="text1"/>
              </w:rPr>
              <w:t>8</w:t>
            </w:r>
          </w:p>
        </w:tc>
        <w:tc>
          <w:tcPr>
            <w:tcW w:w="2126" w:type="dxa"/>
            <w:vAlign w:val="center"/>
          </w:tcPr>
          <w:p w14:paraId="2C4DF799" w14:textId="77777777" w:rsidR="00D00FB2" w:rsidRPr="00CF39C8" w:rsidRDefault="00D00FB2" w:rsidP="00FA3DAF">
            <w:pPr>
              <w:rPr>
                <w:sz w:val="20"/>
                <w:szCs w:val="20"/>
              </w:rPr>
            </w:pPr>
            <w:r w:rsidRPr="00CF39C8">
              <w:rPr>
                <w:noProof/>
                <w:sz w:val="20"/>
                <w:szCs w:val="20"/>
                <w:lang w:eastAsia="en-AU"/>
              </w:rPr>
              <mc:AlternateContent>
                <mc:Choice Requires="wps">
                  <w:drawing>
                    <wp:inline distT="0" distB="0" distL="0" distR="0" wp14:anchorId="5F0C612E" wp14:editId="78F91266">
                      <wp:extent cx="187036" cy="147320"/>
                      <wp:effectExtent l="19050" t="19050" r="41910" b="24130"/>
                      <wp:docPr id="709939140" name="Arrow: Down 709939140"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DA857" id="Arrow: Down 709939140"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" adj="10800" fillcolor="black [3213]" strokecolor="black [3213]" strokeweight="1pt">
                      <w10:anchorlock/>
                    </v:shape>
                  </w:pict>
                </mc:Fallback>
              </mc:AlternateContent>
            </w:r>
          </w:p>
        </w:tc>
      </w:tr>
      <w:tr w:rsidR="0076034D" w:rsidRPr="00CF39C8" w14:paraId="43DC5773" w14:textId="77777777" w:rsidTr="004F7724">
        <w:trPr>
          <w:trHeight w:val="679"/>
        </w:trPr>
        <w:tc>
          <w:tcPr>
            <w:tcW w:w="4731" w:type="dxa"/>
            <w:shd w:val="clear" w:color="auto" w:fill="auto"/>
            <w:vAlign w:val="center"/>
          </w:tcPr>
          <w:p w14:paraId="67CDDFB0" w14:textId="77777777" w:rsidR="0076034D" w:rsidRPr="00C04229"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Battery replacement at twice projected cost</w:t>
            </w:r>
          </w:p>
        </w:tc>
        <w:tc>
          <w:tcPr>
            <w:tcW w:w="1785" w:type="dxa"/>
            <w:shd w:val="clear" w:color="auto" w:fill="auto"/>
            <w:vAlign w:val="center"/>
          </w:tcPr>
          <w:p w14:paraId="600B61B7"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77.98</w:t>
            </w:r>
          </w:p>
        </w:tc>
        <w:tc>
          <w:tcPr>
            <w:tcW w:w="1276" w:type="dxa"/>
            <w:shd w:val="clear" w:color="auto" w:fill="auto"/>
            <w:vAlign w:val="center"/>
          </w:tcPr>
          <w:p w14:paraId="2FB09035"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2.6</w:t>
            </w:r>
            <w:r w:rsidR="00416C79">
              <w:rPr>
                <w:rFonts w:asciiTheme="majorHAnsi" w:hAnsiTheme="majorHAnsi" w:cstheme="majorHAnsi"/>
                <w:color w:val="000000" w:themeColor="text1"/>
              </w:rPr>
              <w:t>0</w:t>
            </w:r>
          </w:p>
        </w:tc>
        <w:tc>
          <w:tcPr>
            <w:tcW w:w="2126" w:type="dxa"/>
            <w:vAlign w:val="center"/>
          </w:tcPr>
          <w:p w14:paraId="23991C38" w14:textId="77777777" w:rsidR="0076034D" w:rsidRPr="00CF39C8" w:rsidRDefault="009A513D" w:rsidP="00FA3DAF">
            <w:pPr>
              <w:rPr>
                <w:noProof/>
                <w:sz w:val="20"/>
                <w:szCs w:val="20"/>
              </w:rPr>
            </w:pPr>
            <w:r w:rsidRPr="00CF39C8">
              <w:rPr>
                <w:noProof/>
                <w:sz w:val="20"/>
                <w:szCs w:val="20"/>
                <w:lang w:eastAsia="en-AU"/>
              </w:rPr>
              <mc:AlternateContent>
                <mc:Choice Requires="wps">
                  <w:drawing>
                    <wp:inline distT="0" distB="0" distL="0" distR="0" wp14:anchorId="0643DA74" wp14:editId="7420504E">
                      <wp:extent cx="187036" cy="147320"/>
                      <wp:effectExtent l="19050" t="0" r="22860" b="43180"/>
                      <wp:docPr id="23" name="Arrow: Down 23"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8F65EA" id="Arrow: Down 23"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" adj="10800" fillcolor="black [3213]" strokecolor="black [3213]" strokeweight="1pt">
                      <w10:anchorlock/>
                    </v:shape>
                  </w:pict>
                </mc:Fallback>
              </mc:AlternateContent>
            </w:r>
          </w:p>
        </w:tc>
      </w:tr>
      <w:tr w:rsidR="0076034D" w:rsidRPr="00CF39C8" w14:paraId="63BFD9CC" w14:textId="77777777" w:rsidTr="004F7724">
        <w:trPr>
          <w:trHeight w:val="679"/>
        </w:trPr>
        <w:tc>
          <w:tcPr>
            <w:tcW w:w="4731" w:type="dxa"/>
            <w:shd w:val="clear" w:color="auto" w:fill="auto"/>
            <w:vAlign w:val="center"/>
          </w:tcPr>
          <w:p w14:paraId="7713BF13" w14:textId="77777777" w:rsidR="0076034D"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Battery replacement at half projected cost</w:t>
            </w:r>
          </w:p>
        </w:tc>
        <w:tc>
          <w:tcPr>
            <w:tcW w:w="1785" w:type="dxa"/>
            <w:shd w:val="clear" w:color="auto" w:fill="auto"/>
            <w:vAlign w:val="center"/>
          </w:tcPr>
          <w:p w14:paraId="4B96361C" w14:textId="77777777" w:rsidR="0076034D" w:rsidRPr="009A513D" w:rsidRDefault="009A513D"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90.08</w:t>
            </w:r>
          </w:p>
        </w:tc>
        <w:tc>
          <w:tcPr>
            <w:tcW w:w="1276" w:type="dxa"/>
            <w:shd w:val="clear" w:color="auto" w:fill="auto"/>
            <w:vAlign w:val="center"/>
          </w:tcPr>
          <w:p w14:paraId="5CA6B3E6" w14:textId="77777777" w:rsidR="0076034D" w:rsidRPr="009A513D" w:rsidRDefault="009A513D"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3.4</w:t>
            </w:r>
            <w:r w:rsidR="00416C79">
              <w:rPr>
                <w:rFonts w:asciiTheme="majorHAnsi" w:hAnsiTheme="majorHAnsi" w:cstheme="majorHAnsi"/>
                <w:color w:val="000000" w:themeColor="text1"/>
              </w:rPr>
              <w:t>7</w:t>
            </w:r>
          </w:p>
        </w:tc>
        <w:tc>
          <w:tcPr>
            <w:tcW w:w="2126" w:type="dxa"/>
            <w:vAlign w:val="center"/>
          </w:tcPr>
          <w:p w14:paraId="025075B2" w14:textId="77777777" w:rsidR="0076034D" w:rsidRPr="00CF39C8" w:rsidRDefault="009A513D" w:rsidP="00FA3DAF">
            <w:pPr>
              <w:rPr>
                <w:noProof/>
                <w:sz w:val="20"/>
                <w:szCs w:val="20"/>
              </w:rPr>
            </w:pPr>
            <w:r w:rsidRPr="00CF39C8">
              <w:rPr>
                <w:noProof/>
                <w:sz w:val="20"/>
                <w:szCs w:val="20"/>
                <w:lang w:eastAsia="en-AU"/>
              </w:rPr>
              <mc:AlternateContent>
                <mc:Choice Requires="wps">
                  <w:drawing>
                    <wp:inline distT="0" distB="0" distL="0" distR="0" wp14:anchorId="16B5BB12" wp14:editId="54D66965">
                      <wp:extent cx="187036" cy="147320"/>
                      <wp:effectExtent l="19050" t="19050" r="41910" b="24130"/>
                      <wp:docPr id="27" name="Arrow: Down 2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79817" id="Arrow: Down 2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" adj="10800" fillcolor="black [3213]" strokecolor="black [3213]" strokeweight="1pt">
                      <w10:anchorlock/>
                    </v:shape>
                  </w:pict>
                </mc:Fallback>
              </mc:AlternateContent>
            </w:r>
          </w:p>
        </w:tc>
      </w:tr>
      <w:tr w:rsidR="0076034D" w:rsidRPr="00CF39C8" w14:paraId="072C64C1" w14:textId="77777777" w:rsidTr="004F7724">
        <w:trPr>
          <w:trHeight w:val="699"/>
        </w:trPr>
        <w:tc>
          <w:tcPr>
            <w:tcW w:w="4731" w:type="dxa"/>
            <w:shd w:val="clear" w:color="auto" w:fill="auto"/>
            <w:vAlign w:val="center"/>
          </w:tcPr>
          <w:p w14:paraId="5213406D" w14:textId="77777777" w:rsidR="0076034D" w:rsidRPr="00C04229"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Higher insurance cost for EVs</w:t>
            </w:r>
            <w:r w:rsidR="004E1387">
              <w:rPr>
                <w:rStyle w:val="EndnoteReference"/>
                <w:rFonts w:asciiTheme="majorHAnsi" w:hAnsiTheme="majorHAnsi" w:cstheme="majorHAnsi"/>
                <w:b/>
                <w:bCs/>
                <w:color w:val="000000" w:themeColor="text1"/>
                <w:sz w:val="20"/>
                <w:szCs w:val="20"/>
              </w:rPr>
              <w:endnoteReference w:id="47"/>
            </w:r>
          </w:p>
        </w:tc>
        <w:tc>
          <w:tcPr>
            <w:tcW w:w="1785" w:type="dxa"/>
            <w:shd w:val="clear" w:color="auto" w:fill="auto"/>
            <w:vAlign w:val="center"/>
          </w:tcPr>
          <w:p w14:paraId="479B73DB"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72.20</w:t>
            </w:r>
          </w:p>
        </w:tc>
        <w:tc>
          <w:tcPr>
            <w:tcW w:w="1276" w:type="dxa"/>
            <w:shd w:val="clear" w:color="auto" w:fill="auto"/>
            <w:vAlign w:val="center"/>
          </w:tcPr>
          <w:p w14:paraId="31B885BB"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2.7</w:t>
            </w:r>
            <w:r w:rsidR="00416C79">
              <w:rPr>
                <w:rFonts w:asciiTheme="majorHAnsi" w:hAnsiTheme="majorHAnsi" w:cstheme="majorHAnsi"/>
                <w:color w:val="000000" w:themeColor="text1"/>
              </w:rPr>
              <w:t>8</w:t>
            </w:r>
          </w:p>
        </w:tc>
        <w:tc>
          <w:tcPr>
            <w:tcW w:w="2126" w:type="dxa"/>
            <w:vAlign w:val="center"/>
          </w:tcPr>
          <w:p w14:paraId="0EEF235D" w14:textId="77777777" w:rsidR="0076034D" w:rsidRPr="00CF39C8" w:rsidRDefault="004E1387" w:rsidP="00FA3DAF">
            <w:pPr>
              <w:rPr>
                <w:noProof/>
                <w:sz w:val="20"/>
                <w:szCs w:val="20"/>
              </w:rPr>
            </w:pPr>
            <w:r w:rsidRPr="00CF39C8">
              <w:rPr>
                <w:noProof/>
                <w:sz w:val="20"/>
                <w:szCs w:val="20"/>
                <w:lang w:eastAsia="en-AU"/>
              </w:rPr>
              <mc:AlternateContent>
                <mc:Choice Requires="wps">
                  <w:drawing>
                    <wp:inline distT="0" distB="0" distL="0" distR="0" wp14:anchorId="409628F3" wp14:editId="5BADC346">
                      <wp:extent cx="187036" cy="147320"/>
                      <wp:effectExtent l="19050" t="0" r="22860" b="43180"/>
                      <wp:docPr id="6" name="Arrow: Down 6"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F610FD" id="Arrow: Down 6"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" adj="10800" fillcolor="black [3213]" strokecolor="black [3213]" strokeweight="1pt">
                      <w10:anchorlock/>
                    </v:shape>
                  </w:pict>
                </mc:Fallback>
              </mc:AlternateContent>
            </w:r>
          </w:p>
        </w:tc>
      </w:tr>
      <w:tr w:rsidR="00D00FB2" w:rsidRPr="00CF39C8" w14:paraId="2553E4DC" w14:textId="77777777" w:rsidTr="004F7724">
        <w:trPr>
          <w:trHeight w:val="699"/>
        </w:trPr>
        <w:tc>
          <w:tcPr>
            <w:tcW w:w="4731" w:type="dxa"/>
            <w:shd w:val="clear" w:color="auto" w:fill="auto"/>
            <w:vAlign w:val="center"/>
          </w:tcPr>
          <w:p w14:paraId="4D21FBE8" w14:textId="77777777" w:rsidR="00D00FB2" w:rsidRDefault="00D00FB2" w:rsidP="00FA3DAF">
            <w:pPr>
              <w:rPr>
                <w:rFonts w:asciiTheme="majorHAnsi" w:hAnsiTheme="majorHAnsi" w:cstheme="majorHAnsi"/>
                <w:b/>
                <w:bCs/>
                <w:color w:val="000000" w:themeColor="text1"/>
                <w:sz w:val="20"/>
                <w:szCs w:val="20"/>
              </w:rPr>
            </w:pPr>
            <w:r w:rsidRPr="00C04229">
              <w:rPr>
                <w:rFonts w:asciiTheme="majorHAnsi" w:hAnsiTheme="majorHAnsi" w:cstheme="majorHAnsi"/>
                <w:b/>
                <w:bCs/>
                <w:color w:val="000000" w:themeColor="text1"/>
                <w:sz w:val="20"/>
                <w:szCs w:val="20"/>
              </w:rPr>
              <w:t>Fuel and electricity prices kept at 2023 levels (44.8c/kWh for electricity, $2.25/L for diesel and $2.24/L for petrol)</w:t>
            </w:r>
            <w:r w:rsidR="00F67F5F">
              <w:rPr>
                <w:rFonts w:asciiTheme="majorHAnsi" w:hAnsiTheme="majorHAnsi" w:cstheme="majorHAnsi"/>
                <w:b/>
                <w:bCs/>
                <w:color w:val="000000" w:themeColor="text1"/>
                <w:sz w:val="20"/>
                <w:szCs w:val="20"/>
              </w:rPr>
              <w:t>.</w:t>
            </w:r>
          </w:p>
          <w:p w14:paraId="2BC9CB2C" w14:textId="77777777" w:rsidR="00A56245" w:rsidRDefault="00A56245" w:rsidP="00A56245">
            <w:pPr>
              <w:spacing w:before="40" w:after="40"/>
              <w:rPr>
                <w:rFonts w:ascii="Calibri" w:hAnsi="Calibri" w:cs="Calibri"/>
              </w:rPr>
            </w:pPr>
          </w:p>
          <w:p w14:paraId="7784334B" w14:textId="77777777" w:rsidR="00A56245" w:rsidRDefault="00A56245" w:rsidP="00A56245">
            <w:pPr>
              <w:rPr>
                <w:rFonts w:asciiTheme="majorHAnsi" w:hAnsiTheme="majorHAnsi" w:cstheme="majorHAnsi"/>
                <w:bCs/>
                <w:color w:val="000000" w:themeColor="text1"/>
              </w:rPr>
            </w:pPr>
            <w:r w:rsidRPr="005D2A4F">
              <w:rPr>
                <w:rFonts w:asciiTheme="majorHAnsi" w:hAnsiTheme="majorHAnsi" w:cstheme="majorHAnsi"/>
                <w:bCs/>
                <w:color w:val="000000" w:themeColor="text1"/>
              </w:rPr>
              <w:t>A sensitivity test was undertaken</w:t>
            </w:r>
            <w:r>
              <w:rPr>
                <w:rFonts w:asciiTheme="majorHAnsi" w:hAnsiTheme="majorHAnsi" w:cstheme="majorHAnsi"/>
                <w:bCs/>
                <w:color w:val="000000" w:themeColor="text1"/>
              </w:rPr>
              <w:t xml:space="preserve"> in March 2024</w:t>
            </w:r>
            <w:r w:rsidRPr="005D2A4F">
              <w:rPr>
                <w:rFonts w:asciiTheme="majorHAnsi" w:hAnsiTheme="majorHAnsi" w:cstheme="majorHAnsi"/>
                <w:bCs/>
                <w:color w:val="000000" w:themeColor="text1"/>
              </w:rPr>
              <w:t xml:space="preserve"> to estimate the outcome if fuel and electricity prices remain at 2023 levels (44.8c/kWh for electricity, $2.25/L for diesel and $2.24/L for petrol)</w:t>
            </w:r>
            <w:r>
              <w:rPr>
                <w:rFonts w:asciiTheme="majorHAnsi" w:hAnsiTheme="majorHAnsi" w:cstheme="majorHAnsi"/>
                <w:bCs/>
                <w:color w:val="000000" w:themeColor="text1"/>
              </w:rPr>
              <w:t xml:space="preserve">. </w:t>
            </w:r>
          </w:p>
          <w:p w14:paraId="25B0BC0F" w14:textId="77777777" w:rsidR="00A56245" w:rsidRDefault="00A56245" w:rsidP="00A56245">
            <w:pPr>
              <w:rPr>
                <w:rFonts w:asciiTheme="majorHAnsi" w:hAnsiTheme="majorHAnsi" w:cstheme="majorHAnsi"/>
                <w:bCs/>
                <w:color w:val="000000" w:themeColor="text1"/>
              </w:rPr>
            </w:pPr>
            <w:r>
              <w:rPr>
                <w:rFonts w:asciiTheme="majorHAnsi" w:hAnsiTheme="majorHAnsi" w:cstheme="majorHAnsi"/>
                <w:bCs/>
                <w:color w:val="000000" w:themeColor="text1"/>
              </w:rPr>
              <w:t xml:space="preserve">The 2023 fuel and electricity prices used in the sensitivity test are </w:t>
            </w:r>
            <w:r w:rsidR="00D5105F">
              <w:rPr>
                <w:rFonts w:asciiTheme="majorHAnsi" w:hAnsiTheme="majorHAnsi" w:cstheme="majorHAnsi"/>
                <w:bCs/>
                <w:color w:val="000000" w:themeColor="text1"/>
              </w:rPr>
              <w:t xml:space="preserve">deliberately </w:t>
            </w:r>
            <w:r>
              <w:rPr>
                <w:rFonts w:asciiTheme="majorHAnsi" w:hAnsiTheme="majorHAnsi" w:cstheme="majorHAnsi"/>
                <w:bCs/>
                <w:color w:val="000000" w:themeColor="text1"/>
              </w:rPr>
              <w:t xml:space="preserve">higher than </w:t>
            </w:r>
            <w:r w:rsidR="00D5105F">
              <w:rPr>
                <w:rFonts w:asciiTheme="majorHAnsi" w:hAnsiTheme="majorHAnsi" w:cstheme="majorHAnsi"/>
                <w:bCs/>
                <w:color w:val="000000" w:themeColor="text1"/>
              </w:rPr>
              <w:t>what</w:t>
            </w:r>
            <w:r>
              <w:rPr>
                <w:rFonts w:asciiTheme="majorHAnsi" w:hAnsiTheme="majorHAnsi" w:cstheme="majorHAnsi"/>
                <w:bCs/>
                <w:color w:val="000000" w:themeColor="text1"/>
              </w:rPr>
              <w:t xml:space="preserve"> the department anticipates they will be in future years</w:t>
            </w:r>
            <w:r w:rsidR="00D5105F">
              <w:rPr>
                <w:rFonts w:asciiTheme="majorHAnsi" w:hAnsiTheme="majorHAnsi" w:cstheme="majorHAnsi"/>
                <w:bCs/>
                <w:color w:val="000000" w:themeColor="text1"/>
              </w:rPr>
              <w:t>. Further detail is available in Appendix B.</w:t>
            </w:r>
          </w:p>
          <w:p w14:paraId="082B5003" w14:textId="77777777" w:rsidR="00F67F5F" w:rsidRPr="00C04229" w:rsidRDefault="00A56245" w:rsidP="00A56245">
            <w:pPr>
              <w:rPr>
                <w:rFonts w:asciiTheme="majorHAnsi" w:hAnsiTheme="majorHAnsi" w:cstheme="majorHAnsi"/>
                <w:b/>
                <w:bCs/>
                <w:color w:val="000000" w:themeColor="text1"/>
                <w:sz w:val="20"/>
                <w:szCs w:val="20"/>
              </w:rPr>
            </w:pPr>
            <w:r>
              <w:rPr>
                <w:rFonts w:asciiTheme="majorHAnsi" w:hAnsiTheme="majorHAnsi" w:cstheme="majorHAnsi"/>
                <w:bCs/>
                <w:color w:val="000000" w:themeColor="text1"/>
              </w:rPr>
              <w:t>The adjacent figures have been adjusted to account for this.</w:t>
            </w:r>
          </w:p>
        </w:tc>
        <w:tc>
          <w:tcPr>
            <w:tcW w:w="1785" w:type="dxa"/>
            <w:shd w:val="clear" w:color="auto" w:fill="auto"/>
            <w:vAlign w:val="center"/>
          </w:tcPr>
          <w:p w14:paraId="00A93E4A" w14:textId="77777777" w:rsidR="00D00FB2" w:rsidRPr="006564BC" w:rsidRDefault="006564BC"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416C79">
              <w:rPr>
                <w:rFonts w:asciiTheme="majorHAnsi" w:hAnsiTheme="majorHAnsi" w:cstheme="majorHAnsi"/>
                <w:color w:val="000000" w:themeColor="text1"/>
                <w:sz w:val="20"/>
                <w:szCs w:val="20"/>
              </w:rPr>
              <w:t>87.16</w:t>
            </w:r>
          </w:p>
        </w:tc>
        <w:tc>
          <w:tcPr>
            <w:tcW w:w="1276" w:type="dxa"/>
            <w:shd w:val="clear" w:color="auto" w:fill="auto"/>
            <w:vAlign w:val="center"/>
          </w:tcPr>
          <w:p w14:paraId="77C73D06" w14:textId="77777777" w:rsidR="00D00FB2" w:rsidRPr="006564BC" w:rsidRDefault="00416C79"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2.61</w:t>
            </w:r>
          </w:p>
        </w:tc>
        <w:tc>
          <w:tcPr>
            <w:tcW w:w="2126" w:type="dxa"/>
            <w:vAlign w:val="center"/>
          </w:tcPr>
          <w:p w14:paraId="317D0C76" w14:textId="77777777" w:rsidR="00D00FB2" w:rsidRPr="00CF39C8" w:rsidRDefault="00D00FB2" w:rsidP="00FA3DAF">
            <w:pPr>
              <w:rPr>
                <w:sz w:val="20"/>
                <w:szCs w:val="20"/>
              </w:rPr>
            </w:pPr>
            <w:r w:rsidRPr="00CF39C8">
              <w:rPr>
                <w:noProof/>
                <w:sz w:val="20"/>
                <w:szCs w:val="20"/>
                <w:lang w:eastAsia="en-AU"/>
              </w:rPr>
              <mc:AlternateContent>
                <mc:Choice Requires="wps">
                  <w:drawing>
                    <wp:inline distT="0" distB="0" distL="0" distR="0" wp14:anchorId="34293BD5" wp14:editId="2CE92755">
                      <wp:extent cx="187036" cy="147320"/>
                      <wp:effectExtent l="19050" t="0" r="22860" b="43180"/>
                      <wp:docPr id="709939141" name="Arrow: Down 709939141"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039FF" id="Arrow: Down 709939141"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" adj="10800" fillcolor="black [3213]" strokecolor="black [3213]" strokeweight="1pt">
                      <w10:anchorlock/>
                    </v:shape>
                  </w:pict>
                </mc:Fallback>
              </mc:AlternateContent>
            </w:r>
          </w:p>
        </w:tc>
      </w:tr>
    </w:tbl>
    <w:p w14:paraId="1E7F852B" w14:textId="77777777" w:rsidR="00D13650" w:rsidRDefault="00F77D4E" w:rsidP="007B234F">
      <w:pPr>
        <w:pStyle w:val="Caption"/>
        <w:rPr>
          <w:b w:val="0"/>
        </w:rPr>
      </w:pPr>
      <w:bookmarkStart w:id="400" w:name="_Ref153982615"/>
      <w:bookmarkStart w:id="401" w:name="_Toc148362164"/>
      <w:bookmarkStart w:id="402" w:name="_Toc148362637"/>
      <w:bookmarkStart w:id="403" w:name="_Toc148361200"/>
      <w:bookmarkStart w:id="404" w:name="_Toc149907247"/>
      <w:bookmarkStart w:id="405" w:name="_Toc161837782"/>
      <w:bookmarkStart w:id="406" w:name="_Toc161933229"/>
      <w:bookmarkStart w:id="407" w:name="_Toc163221129"/>
      <w:r w:rsidRPr="00CF39C8">
        <w:t xml:space="preserve">Table </w:t>
      </w:r>
      <w:bookmarkEnd w:id="400"/>
      <w:r w:rsidR="007275D2" w:rsidRPr="00CF39C8">
        <w:t>1</w:t>
      </w:r>
      <w:r w:rsidR="00C6227F">
        <w:t>7</w:t>
      </w:r>
      <w:r w:rsidRPr="00CF39C8">
        <w:t xml:space="preserve"> </w:t>
      </w:r>
      <w:r w:rsidRPr="00CF39C8">
        <w:rPr>
          <w:b w:val="0"/>
        </w:rPr>
        <w:t xml:space="preserve">– Sensitivity </w:t>
      </w:r>
      <w:r w:rsidR="00713E25" w:rsidRPr="00CF39C8">
        <w:rPr>
          <w:b w:val="0"/>
        </w:rPr>
        <w:t>analysis</w:t>
      </w:r>
      <w:bookmarkEnd w:id="401"/>
      <w:bookmarkEnd w:id="402"/>
      <w:bookmarkEnd w:id="403"/>
      <w:bookmarkEnd w:id="404"/>
      <w:bookmarkEnd w:id="405"/>
      <w:bookmarkEnd w:id="406"/>
      <w:bookmarkEnd w:id="407"/>
    </w:p>
    <w:p w14:paraId="1D2493C5" w14:textId="77777777" w:rsidR="003D2B37" w:rsidRPr="00CF39C8" w:rsidRDefault="003D2B37" w:rsidP="003D2B37">
      <w:pPr>
        <w:spacing w:before="240"/>
        <w:rPr>
          <w:b/>
          <w:sz w:val="32"/>
        </w:rPr>
      </w:pPr>
      <w:r w:rsidRPr="00CF39C8">
        <w:rPr>
          <w:b/>
          <w:sz w:val="32"/>
        </w:rPr>
        <w:t>Possible consumer welfare loss</w:t>
      </w:r>
    </w:p>
    <w:p w14:paraId="1F45BB8B" w14:textId="77777777" w:rsidR="003D2B37" w:rsidRPr="00CF39C8" w:rsidRDefault="003D2B37" w:rsidP="003D2B37">
      <w:r w:rsidRPr="00CF39C8">
        <w:t xml:space="preserve">We also considered the possibility of consumer welfare loss as a sensitivity in our modelling. Consumer welfare loss occurs if a policy intervention would give rise to consumers making different decisions to what they normally would, that gives rise (from the consumer’s perspective) to a loss in enjoyment or utility (i.e. welfare loss). For example, if the Government were to encourage or incentivise consumers to eat apples rather than oranges, consumers that naturally enjoyed oranges would experience loss in welfare when subjected to that intervention. Consumer welfare loss seeks to capture and quantify the individual preferences of consumers even if we, or the consumer, are not able to precisely identify their preferences. In our analysis we sought to estimate the potential welfare loss in both ways – the welfare loss that consumers experience because they can’t presently buy the EV or more efficient ICE vehicle they want because of lack of supply, and the welfare loss that consumers that prefer less efficient ICE vehicles might experience. </w:t>
      </w:r>
    </w:p>
    <w:p w14:paraId="51388834" w14:textId="77777777" w:rsidR="003D2B37" w:rsidRDefault="003D2B37" w:rsidP="003D2B37">
      <w:r w:rsidRPr="00CF39C8">
        <w:t xml:space="preserve">The concept of consumer welfare losses is most relevant to simple transactions where consumers cannot find an equivalent product or service. In practice, countries like the US that have NVESs in place still have a full range of vehicle offerings that are designed to meet the full range of consumer needs while being more efficient on average. The myriad of choices available means that consumers benefit from improved efficiency, but do not have to forgo their preferred vehicle type or model. In doing so we estimated consumer welfare loss as a counterfactual. Using the adoption rate that we estimate for our option, the consumers that </w:t>
      </w:r>
      <w:r w:rsidRPr="00CF39C8">
        <w:rPr>
          <w:i/>
        </w:rPr>
        <w:t>don’t purchase cost effective EVs or hybrid vehicles</w:t>
      </w:r>
      <w:r w:rsidRPr="00CF39C8">
        <w:t xml:space="preserve"> must be doing so for a reason despite all of the financial benefits (i.e. fuel savings, lower maintenance costs etc) because of some quality in ICE vehicles that they particularly value. For our calculation of consumer welfare loss for EVs, we estimated the wait times and higher prices that consumers are presently paying for EVs, and projected that down as EV availability improves over time. Table 1</w:t>
      </w:r>
      <w:r w:rsidR="00A42CB6">
        <w:t>8</w:t>
      </w:r>
      <w:r w:rsidRPr="00CF39C8">
        <w:t xml:space="preserve"> (below) presents our analysis found for the </w:t>
      </w:r>
      <w:r w:rsidR="00AE4BF3">
        <w:t>best</w:t>
      </w:r>
      <w:r w:rsidRPr="00CF39C8">
        <w:t xml:space="preserve"> option.</w:t>
      </w:r>
    </w:p>
    <w:p w14:paraId="00CE2263" w14:textId="77777777" w:rsidR="00781613" w:rsidRDefault="00781613" w:rsidP="00781613">
      <w:r w:rsidRPr="00CF39C8">
        <w:t>We consider the consumer welfare loss calculation to be subject to a whole range of variables that may not come to pass, and in particular, that the baseline adoption rate might be exceeded, or that consumers underinvest in fuel efficiency (partly due to incomplete information). However, importantly, even if our highest calculation of consumer welfare loss is included, the BCR is greater than 1, and thus is a net positive option.</w:t>
      </w:r>
    </w:p>
    <w:p w14:paraId="7F09EE3A" w14:textId="77777777" w:rsidR="00781613" w:rsidRDefault="00781613" w:rsidP="00781613"/>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Table 14 – Consumer welfare loss analysis"/>
      </w:tblPr>
      <w:tblGrid>
        <w:gridCol w:w="1980"/>
        <w:gridCol w:w="2410"/>
        <w:gridCol w:w="2551"/>
        <w:gridCol w:w="2524"/>
      </w:tblGrid>
      <w:tr w:rsidR="00781613" w:rsidRPr="00CF386D" w14:paraId="39C6625F" w14:textId="77777777" w:rsidTr="004F7724">
        <w:trPr>
          <w:cantSplit/>
          <w:tblHeader/>
        </w:trPr>
        <w:tc>
          <w:tcPr>
            <w:tcW w:w="1980" w:type="dxa"/>
            <w:shd w:val="clear" w:color="auto" w:fill="417A84"/>
          </w:tcPr>
          <w:p w14:paraId="3B05251A" w14:textId="77777777" w:rsidR="00781613" w:rsidRPr="00CF386D" w:rsidRDefault="00781613" w:rsidP="00781613">
            <w:pPr>
              <w:pStyle w:val="Tablerowcolumnheading"/>
              <w:rPr>
                <w:szCs w:val="22"/>
              </w:rPr>
            </w:pPr>
          </w:p>
        </w:tc>
        <w:tc>
          <w:tcPr>
            <w:tcW w:w="2410" w:type="dxa"/>
            <w:shd w:val="clear" w:color="auto" w:fill="417A84"/>
          </w:tcPr>
          <w:p w14:paraId="4F6D2964" w14:textId="77777777" w:rsidR="00781613" w:rsidRPr="00CF386D" w:rsidRDefault="00781613" w:rsidP="00781613">
            <w:pPr>
              <w:pStyle w:val="Tablerowcolumnheadingcentred"/>
              <w:rPr>
                <w:szCs w:val="22"/>
              </w:rPr>
            </w:pPr>
            <w:r w:rsidRPr="00CF386D">
              <w:rPr>
                <w:szCs w:val="22"/>
              </w:rPr>
              <w:t>Full consumer loss ($ bn)</w:t>
            </w:r>
          </w:p>
        </w:tc>
        <w:tc>
          <w:tcPr>
            <w:tcW w:w="2551" w:type="dxa"/>
            <w:shd w:val="clear" w:color="auto" w:fill="417A84"/>
          </w:tcPr>
          <w:p w14:paraId="29D9BE17" w14:textId="77777777" w:rsidR="00781613" w:rsidRPr="00CF386D" w:rsidRDefault="00781613" w:rsidP="00781613">
            <w:pPr>
              <w:pStyle w:val="Tablerowcolumnheadingcentred"/>
              <w:rPr>
                <w:szCs w:val="22"/>
              </w:rPr>
            </w:pPr>
            <w:r w:rsidRPr="00CF386D">
              <w:rPr>
                <w:szCs w:val="22"/>
              </w:rPr>
              <w:t>50% welfare loss ($ bn)</w:t>
            </w:r>
          </w:p>
        </w:tc>
        <w:tc>
          <w:tcPr>
            <w:tcW w:w="2524" w:type="dxa"/>
            <w:shd w:val="clear" w:color="auto" w:fill="417A84"/>
          </w:tcPr>
          <w:p w14:paraId="215E4D40" w14:textId="77777777" w:rsidR="00781613" w:rsidRPr="00CF386D" w:rsidRDefault="00781613" w:rsidP="00781613">
            <w:pPr>
              <w:pStyle w:val="Tablerowcolumnheadingcentred"/>
              <w:rPr>
                <w:szCs w:val="22"/>
              </w:rPr>
            </w:pPr>
            <w:r w:rsidRPr="00CF386D">
              <w:rPr>
                <w:szCs w:val="22"/>
              </w:rPr>
              <w:t>No consumer loss ($ bn)</w:t>
            </w:r>
          </w:p>
        </w:tc>
      </w:tr>
      <w:tr w:rsidR="00781613" w:rsidRPr="00CF386D" w14:paraId="617504CE" w14:textId="77777777" w:rsidTr="004F7724">
        <w:trPr>
          <w:cantSplit/>
        </w:trPr>
        <w:tc>
          <w:tcPr>
            <w:tcW w:w="1980" w:type="dxa"/>
            <w:vAlign w:val="center"/>
          </w:tcPr>
          <w:p w14:paraId="0AB8B35A" w14:textId="77777777" w:rsidR="00781613" w:rsidRPr="00CF386D" w:rsidRDefault="00781613" w:rsidP="00781613">
            <w:pPr>
              <w:rPr>
                <w:b/>
                <w:sz w:val="22"/>
                <w:szCs w:val="22"/>
              </w:rPr>
            </w:pPr>
            <w:r w:rsidRPr="00CF386D">
              <w:rPr>
                <w:b/>
                <w:sz w:val="22"/>
                <w:szCs w:val="22"/>
              </w:rPr>
              <w:t>Total benefits</w:t>
            </w:r>
          </w:p>
        </w:tc>
        <w:tc>
          <w:tcPr>
            <w:tcW w:w="2410" w:type="dxa"/>
            <w:vAlign w:val="center"/>
          </w:tcPr>
          <w:p w14:paraId="6AC53931" w14:textId="77777777" w:rsidR="00781613" w:rsidRPr="00CF386D" w:rsidRDefault="00781613" w:rsidP="00781613">
            <w:pPr>
              <w:jc w:val="center"/>
              <w:rPr>
                <w:sz w:val="22"/>
                <w:szCs w:val="22"/>
              </w:rPr>
            </w:pPr>
            <w:r w:rsidRPr="00CF386D">
              <w:rPr>
                <w:sz w:val="22"/>
                <w:szCs w:val="22"/>
              </w:rPr>
              <w:t>$</w:t>
            </w:r>
            <w:r w:rsidR="00EE40FA">
              <w:rPr>
                <w:sz w:val="22"/>
                <w:szCs w:val="22"/>
              </w:rPr>
              <w:t>126.59</w:t>
            </w:r>
          </w:p>
        </w:tc>
        <w:tc>
          <w:tcPr>
            <w:tcW w:w="2551" w:type="dxa"/>
            <w:vAlign w:val="center"/>
          </w:tcPr>
          <w:p w14:paraId="2B30012B" w14:textId="77777777" w:rsidR="00781613" w:rsidRPr="00CF386D" w:rsidRDefault="00EE40FA" w:rsidP="00781613">
            <w:pPr>
              <w:jc w:val="center"/>
              <w:rPr>
                <w:sz w:val="22"/>
                <w:szCs w:val="22"/>
              </w:rPr>
            </w:pPr>
            <w:r w:rsidRPr="00CF386D">
              <w:rPr>
                <w:sz w:val="22"/>
                <w:szCs w:val="22"/>
              </w:rPr>
              <w:t>$</w:t>
            </w:r>
            <w:r>
              <w:rPr>
                <w:sz w:val="22"/>
                <w:szCs w:val="22"/>
              </w:rPr>
              <w:t>126.59</w:t>
            </w:r>
          </w:p>
        </w:tc>
        <w:tc>
          <w:tcPr>
            <w:tcW w:w="2524" w:type="dxa"/>
            <w:vAlign w:val="center"/>
          </w:tcPr>
          <w:p w14:paraId="6BA9858B" w14:textId="77777777" w:rsidR="00781613" w:rsidRPr="00CF386D" w:rsidRDefault="00EE40FA" w:rsidP="00781613">
            <w:pPr>
              <w:jc w:val="center"/>
              <w:rPr>
                <w:b/>
                <w:sz w:val="22"/>
                <w:szCs w:val="22"/>
              </w:rPr>
            </w:pPr>
            <w:r w:rsidRPr="00CF386D">
              <w:rPr>
                <w:sz w:val="22"/>
                <w:szCs w:val="22"/>
              </w:rPr>
              <w:t>$</w:t>
            </w:r>
            <w:r>
              <w:rPr>
                <w:sz w:val="22"/>
                <w:szCs w:val="22"/>
              </w:rPr>
              <w:t>126.59</w:t>
            </w:r>
          </w:p>
        </w:tc>
      </w:tr>
      <w:tr w:rsidR="00781613" w:rsidRPr="00CF386D" w14:paraId="09CC93CC" w14:textId="77777777" w:rsidTr="004F7724">
        <w:trPr>
          <w:cantSplit/>
        </w:trPr>
        <w:tc>
          <w:tcPr>
            <w:tcW w:w="1980" w:type="dxa"/>
            <w:vAlign w:val="center"/>
          </w:tcPr>
          <w:p w14:paraId="61462E79" w14:textId="77777777" w:rsidR="00781613" w:rsidRPr="00CF386D" w:rsidRDefault="00781613" w:rsidP="00781613">
            <w:pPr>
              <w:rPr>
                <w:b/>
                <w:sz w:val="22"/>
                <w:szCs w:val="22"/>
              </w:rPr>
            </w:pPr>
            <w:r w:rsidRPr="00CF386D">
              <w:rPr>
                <w:b/>
                <w:sz w:val="22"/>
                <w:szCs w:val="22"/>
              </w:rPr>
              <w:t xml:space="preserve">Other costs </w:t>
            </w:r>
          </w:p>
        </w:tc>
        <w:tc>
          <w:tcPr>
            <w:tcW w:w="2410" w:type="dxa"/>
            <w:vAlign w:val="center"/>
          </w:tcPr>
          <w:p w14:paraId="5C71B76A" w14:textId="77777777" w:rsidR="00781613" w:rsidRPr="00CF386D" w:rsidRDefault="00781613" w:rsidP="00781613">
            <w:pPr>
              <w:jc w:val="center"/>
              <w:rPr>
                <w:sz w:val="22"/>
                <w:szCs w:val="22"/>
              </w:rPr>
            </w:pPr>
            <w:r w:rsidRPr="00CF386D">
              <w:rPr>
                <w:sz w:val="22"/>
                <w:szCs w:val="22"/>
              </w:rPr>
              <w:t>$</w:t>
            </w:r>
            <w:r w:rsidR="00EE40FA">
              <w:rPr>
                <w:sz w:val="22"/>
                <w:szCs w:val="22"/>
              </w:rPr>
              <w:t>40.55</w:t>
            </w:r>
          </w:p>
        </w:tc>
        <w:tc>
          <w:tcPr>
            <w:tcW w:w="2551" w:type="dxa"/>
            <w:vAlign w:val="center"/>
          </w:tcPr>
          <w:p w14:paraId="11964716" w14:textId="77777777" w:rsidR="00781613" w:rsidRPr="00CF386D" w:rsidRDefault="00EE40FA" w:rsidP="00781613">
            <w:pPr>
              <w:jc w:val="center"/>
              <w:rPr>
                <w:sz w:val="22"/>
                <w:szCs w:val="22"/>
              </w:rPr>
            </w:pPr>
            <w:r w:rsidRPr="00CF386D">
              <w:rPr>
                <w:sz w:val="22"/>
                <w:szCs w:val="22"/>
              </w:rPr>
              <w:t>$</w:t>
            </w:r>
            <w:r>
              <w:rPr>
                <w:sz w:val="22"/>
                <w:szCs w:val="22"/>
              </w:rPr>
              <w:t>40.55</w:t>
            </w:r>
          </w:p>
        </w:tc>
        <w:tc>
          <w:tcPr>
            <w:tcW w:w="2524" w:type="dxa"/>
            <w:vAlign w:val="center"/>
          </w:tcPr>
          <w:p w14:paraId="4D31C7D8" w14:textId="77777777" w:rsidR="00781613" w:rsidRPr="00CF386D" w:rsidRDefault="00EE40FA" w:rsidP="00781613">
            <w:pPr>
              <w:jc w:val="center"/>
              <w:rPr>
                <w:sz w:val="22"/>
                <w:szCs w:val="22"/>
              </w:rPr>
            </w:pPr>
            <w:r w:rsidRPr="00CF386D">
              <w:rPr>
                <w:sz w:val="22"/>
                <w:szCs w:val="22"/>
              </w:rPr>
              <w:t>$</w:t>
            </w:r>
            <w:r>
              <w:rPr>
                <w:sz w:val="22"/>
                <w:szCs w:val="22"/>
              </w:rPr>
              <w:t>40.55</w:t>
            </w:r>
          </w:p>
        </w:tc>
      </w:tr>
      <w:tr w:rsidR="00781613" w:rsidRPr="00CF386D" w14:paraId="26B3088F" w14:textId="77777777" w:rsidTr="004F7724">
        <w:trPr>
          <w:cantSplit/>
        </w:trPr>
        <w:tc>
          <w:tcPr>
            <w:tcW w:w="1980" w:type="dxa"/>
            <w:vAlign w:val="center"/>
          </w:tcPr>
          <w:p w14:paraId="084EA2EC" w14:textId="77777777" w:rsidR="00781613" w:rsidRPr="00CF386D" w:rsidRDefault="00781613" w:rsidP="00781613">
            <w:pPr>
              <w:rPr>
                <w:b/>
                <w:sz w:val="22"/>
                <w:szCs w:val="22"/>
              </w:rPr>
            </w:pPr>
            <w:r w:rsidRPr="00CF386D">
              <w:rPr>
                <w:b/>
                <w:sz w:val="22"/>
                <w:szCs w:val="22"/>
              </w:rPr>
              <w:t>Consumer welfare loss estimate</w:t>
            </w:r>
          </w:p>
        </w:tc>
        <w:tc>
          <w:tcPr>
            <w:tcW w:w="2410" w:type="dxa"/>
            <w:vAlign w:val="center"/>
          </w:tcPr>
          <w:p w14:paraId="4BCCF8D9" w14:textId="77777777" w:rsidR="00781613" w:rsidRPr="00CF386D" w:rsidRDefault="00781613" w:rsidP="00781613">
            <w:pPr>
              <w:jc w:val="center"/>
              <w:rPr>
                <w:sz w:val="22"/>
                <w:szCs w:val="22"/>
              </w:rPr>
            </w:pPr>
            <w:r w:rsidRPr="00CF386D">
              <w:rPr>
                <w:sz w:val="22"/>
                <w:szCs w:val="22"/>
              </w:rPr>
              <w:t>$</w:t>
            </w:r>
            <w:r w:rsidR="00EE40FA">
              <w:rPr>
                <w:sz w:val="22"/>
                <w:szCs w:val="22"/>
              </w:rPr>
              <w:t>41.87</w:t>
            </w:r>
          </w:p>
        </w:tc>
        <w:tc>
          <w:tcPr>
            <w:tcW w:w="2551" w:type="dxa"/>
            <w:vAlign w:val="center"/>
          </w:tcPr>
          <w:p w14:paraId="117370C1" w14:textId="77777777" w:rsidR="00781613" w:rsidRPr="00CF386D" w:rsidRDefault="00781613" w:rsidP="00781613">
            <w:pPr>
              <w:jc w:val="center"/>
              <w:rPr>
                <w:sz w:val="22"/>
                <w:szCs w:val="22"/>
              </w:rPr>
            </w:pPr>
            <w:r w:rsidRPr="00CF386D">
              <w:rPr>
                <w:sz w:val="22"/>
                <w:szCs w:val="22"/>
              </w:rPr>
              <w:t>$</w:t>
            </w:r>
            <w:r w:rsidR="00EE40FA">
              <w:rPr>
                <w:sz w:val="22"/>
                <w:szCs w:val="22"/>
              </w:rPr>
              <w:t>20.94</w:t>
            </w:r>
          </w:p>
        </w:tc>
        <w:tc>
          <w:tcPr>
            <w:tcW w:w="2524" w:type="dxa"/>
            <w:vAlign w:val="center"/>
          </w:tcPr>
          <w:p w14:paraId="14B96060" w14:textId="77777777" w:rsidR="00781613" w:rsidRPr="00CF386D" w:rsidRDefault="00781613" w:rsidP="00781613">
            <w:pPr>
              <w:jc w:val="center"/>
              <w:rPr>
                <w:sz w:val="22"/>
                <w:szCs w:val="22"/>
              </w:rPr>
            </w:pPr>
            <w:r w:rsidRPr="00CF386D">
              <w:rPr>
                <w:sz w:val="22"/>
                <w:szCs w:val="22"/>
              </w:rPr>
              <w:t>$0</w:t>
            </w:r>
          </w:p>
        </w:tc>
      </w:tr>
      <w:tr w:rsidR="00781613" w:rsidRPr="00CF386D" w14:paraId="2231A098" w14:textId="77777777" w:rsidTr="004F7724">
        <w:trPr>
          <w:cantSplit/>
        </w:trPr>
        <w:tc>
          <w:tcPr>
            <w:tcW w:w="1980" w:type="dxa"/>
            <w:vAlign w:val="center"/>
          </w:tcPr>
          <w:p w14:paraId="3D5C2CF1" w14:textId="77777777" w:rsidR="00781613" w:rsidRPr="00CF386D" w:rsidRDefault="00781613" w:rsidP="00781613">
            <w:pPr>
              <w:rPr>
                <w:b/>
                <w:sz w:val="22"/>
                <w:szCs w:val="22"/>
              </w:rPr>
            </w:pPr>
            <w:r w:rsidRPr="00CF386D">
              <w:rPr>
                <w:b/>
                <w:sz w:val="22"/>
                <w:szCs w:val="22"/>
              </w:rPr>
              <w:t>Total costs</w:t>
            </w:r>
          </w:p>
        </w:tc>
        <w:tc>
          <w:tcPr>
            <w:tcW w:w="2410" w:type="dxa"/>
            <w:vAlign w:val="center"/>
          </w:tcPr>
          <w:p w14:paraId="1434EEF9" w14:textId="77777777" w:rsidR="00781613" w:rsidRPr="00CF386D" w:rsidRDefault="00781613" w:rsidP="00781613">
            <w:pPr>
              <w:jc w:val="center"/>
              <w:rPr>
                <w:sz w:val="22"/>
                <w:szCs w:val="22"/>
              </w:rPr>
            </w:pPr>
            <w:r w:rsidRPr="00CF386D">
              <w:rPr>
                <w:sz w:val="22"/>
                <w:szCs w:val="22"/>
              </w:rPr>
              <w:t>$</w:t>
            </w:r>
            <w:r w:rsidR="00EE40FA">
              <w:rPr>
                <w:sz w:val="22"/>
                <w:szCs w:val="22"/>
              </w:rPr>
              <w:t>82.41</w:t>
            </w:r>
          </w:p>
        </w:tc>
        <w:tc>
          <w:tcPr>
            <w:tcW w:w="2551" w:type="dxa"/>
            <w:vAlign w:val="center"/>
          </w:tcPr>
          <w:p w14:paraId="4DC07CA1" w14:textId="77777777" w:rsidR="00781613" w:rsidRPr="00CF386D" w:rsidRDefault="00781613" w:rsidP="00781613">
            <w:pPr>
              <w:jc w:val="center"/>
              <w:rPr>
                <w:sz w:val="22"/>
                <w:szCs w:val="22"/>
              </w:rPr>
            </w:pPr>
            <w:r w:rsidRPr="00CF386D">
              <w:rPr>
                <w:sz w:val="22"/>
                <w:szCs w:val="22"/>
              </w:rPr>
              <w:t>$</w:t>
            </w:r>
            <w:r w:rsidR="00EE40FA">
              <w:rPr>
                <w:sz w:val="22"/>
                <w:szCs w:val="22"/>
              </w:rPr>
              <w:t>61.48</w:t>
            </w:r>
          </w:p>
        </w:tc>
        <w:tc>
          <w:tcPr>
            <w:tcW w:w="2524" w:type="dxa"/>
            <w:vAlign w:val="center"/>
          </w:tcPr>
          <w:p w14:paraId="6C7A12D7" w14:textId="77777777" w:rsidR="00781613" w:rsidRPr="00CF386D" w:rsidRDefault="00EE40FA" w:rsidP="00781613">
            <w:pPr>
              <w:jc w:val="center"/>
              <w:rPr>
                <w:sz w:val="22"/>
                <w:szCs w:val="22"/>
              </w:rPr>
            </w:pPr>
            <w:r w:rsidRPr="00CF386D">
              <w:rPr>
                <w:sz w:val="22"/>
                <w:szCs w:val="22"/>
              </w:rPr>
              <w:t>$</w:t>
            </w:r>
            <w:r>
              <w:rPr>
                <w:sz w:val="22"/>
                <w:szCs w:val="22"/>
              </w:rPr>
              <w:t>40.55</w:t>
            </w:r>
          </w:p>
        </w:tc>
      </w:tr>
      <w:tr w:rsidR="00781613" w:rsidRPr="00CF386D" w14:paraId="73B0179C" w14:textId="77777777" w:rsidTr="004F7724">
        <w:trPr>
          <w:cantSplit/>
        </w:trPr>
        <w:tc>
          <w:tcPr>
            <w:tcW w:w="1980" w:type="dxa"/>
            <w:vAlign w:val="center"/>
          </w:tcPr>
          <w:p w14:paraId="64EA9CA4" w14:textId="77777777" w:rsidR="00781613" w:rsidRPr="00CF386D" w:rsidRDefault="00781613" w:rsidP="00781613">
            <w:pPr>
              <w:rPr>
                <w:b/>
                <w:sz w:val="22"/>
                <w:szCs w:val="22"/>
              </w:rPr>
            </w:pPr>
            <w:r w:rsidRPr="00CF386D">
              <w:rPr>
                <w:b/>
                <w:sz w:val="22"/>
                <w:szCs w:val="22"/>
              </w:rPr>
              <w:t>Net benefits</w:t>
            </w:r>
          </w:p>
        </w:tc>
        <w:tc>
          <w:tcPr>
            <w:tcW w:w="2410" w:type="dxa"/>
            <w:vAlign w:val="center"/>
          </w:tcPr>
          <w:p w14:paraId="17882CFA" w14:textId="77777777" w:rsidR="00781613" w:rsidRPr="00CF386D" w:rsidRDefault="00781613" w:rsidP="00781613">
            <w:pPr>
              <w:jc w:val="center"/>
              <w:rPr>
                <w:sz w:val="22"/>
                <w:szCs w:val="22"/>
              </w:rPr>
            </w:pPr>
            <w:r w:rsidRPr="00CF386D">
              <w:rPr>
                <w:sz w:val="22"/>
                <w:szCs w:val="22"/>
              </w:rPr>
              <w:t>$</w:t>
            </w:r>
            <w:r w:rsidR="00EE40FA">
              <w:rPr>
                <w:sz w:val="22"/>
                <w:szCs w:val="22"/>
              </w:rPr>
              <w:t>44.17</w:t>
            </w:r>
          </w:p>
        </w:tc>
        <w:tc>
          <w:tcPr>
            <w:tcW w:w="2551" w:type="dxa"/>
            <w:vAlign w:val="center"/>
          </w:tcPr>
          <w:p w14:paraId="5E322DCA" w14:textId="77777777" w:rsidR="00781613" w:rsidRPr="00CF386D" w:rsidRDefault="00781613" w:rsidP="00781613">
            <w:pPr>
              <w:jc w:val="center"/>
              <w:rPr>
                <w:sz w:val="22"/>
                <w:szCs w:val="22"/>
              </w:rPr>
            </w:pPr>
            <w:r w:rsidRPr="00CF386D">
              <w:rPr>
                <w:sz w:val="22"/>
                <w:szCs w:val="22"/>
              </w:rPr>
              <w:t>$</w:t>
            </w:r>
            <w:r w:rsidR="00EE40FA">
              <w:rPr>
                <w:sz w:val="22"/>
                <w:szCs w:val="22"/>
              </w:rPr>
              <w:t>65.11</w:t>
            </w:r>
          </w:p>
        </w:tc>
        <w:tc>
          <w:tcPr>
            <w:tcW w:w="2524" w:type="dxa"/>
            <w:vAlign w:val="center"/>
          </w:tcPr>
          <w:p w14:paraId="46137659" w14:textId="77777777" w:rsidR="00781613" w:rsidRPr="00CF386D" w:rsidRDefault="00781613" w:rsidP="00781613">
            <w:pPr>
              <w:jc w:val="center"/>
              <w:rPr>
                <w:sz w:val="22"/>
                <w:szCs w:val="22"/>
              </w:rPr>
            </w:pPr>
            <w:r w:rsidRPr="00CF386D">
              <w:rPr>
                <w:sz w:val="22"/>
                <w:szCs w:val="22"/>
              </w:rPr>
              <w:t>$</w:t>
            </w:r>
            <w:r w:rsidR="00EE40FA">
              <w:rPr>
                <w:sz w:val="22"/>
                <w:szCs w:val="22"/>
              </w:rPr>
              <w:t>86.04</w:t>
            </w:r>
          </w:p>
        </w:tc>
      </w:tr>
      <w:tr w:rsidR="00781613" w:rsidRPr="00CF386D" w14:paraId="31FE51F4" w14:textId="77777777" w:rsidTr="004F7724">
        <w:trPr>
          <w:cantSplit/>
        </w:trPr>
        <w:tc>
          <w:tcPr>
            <w:tcW w:w="1980" w:type="dxa"/>
            <w:vAlign w:val="center"/>
          </w:tcPr>
          <w:p w14:paraId="4586AF5C" w14:textId="77777777" w:rsidR="00781613" w:rsidRPr="00CF386D" w:rsidRDefault="00781613" w:rsidP="00781613">
            <w:pPr>
              <w:rPr>
                <w:b/>
                <w:sz w:val="22"/>
                <w:szCs w:val="22"/>
              </w:rPr>
            </w:pPr>
            <w:r w:rsidRPr="00CF386D">
              <w:rPr>
                <w:b/>
                <w:sz w:val="22"/>
                <w:szCs w:val="22"/>
              </w:rPr>
              <w:t>BCR</w:t>
            </w:r>
          </w:p>
        </w:tc>
        <w:tc>
          <w:tcPr>
            <w:tcW w:w="2410" w:type="dxa"/>
            <w:vAlign w:val="center"/>
          </w:tcPr>
          <w:p w14:paraId="5B0247A5" w14:textId="77777777" w:rsidR="00781613" w:rsidRPr="00CF386D" w:rsidRDefault="00781613" w:rsidP="00781613">
            <w:pPr>
              <w:jc w:val="center"/>
              <w:rPr>
                <w:sz w:val="22"/>
                <w:szCs w:val="22"/>
              </w:rPr>
            </w:pPr>
            <w:r w:rsidRPr="00CF386D">
              <w:rPr>
                <w:sz w:val="22"/>
                <w:szCs w:val="22"/>
              </w:rPr>
              <w:t>1.5</w:t>
            </w:r>
            <w:r w:rsidR="00EE40FA">
              <w:rPr>
                <w:sz w:val="22"/>
                <w:szCs w:val="22"/>
              </w:rPr>
              <w:t>4</w:t>
            </w:r>
          </w:p>
        </w:tc>
        <w:tc>
          <w:tcPr>
            <w:tcW w:w="2551" w:type="dxa"/>
            <w:vAlign w:val="center"/>
          </w:tcPr>
          <w:p w14:paraId="01835C03" w14:textId="77777777" w:rsidR="00781613" w:rsidRPr="00CF386D" w:rsidRDefault="00781613" w:rsidP="00781613">
            <w:pPr>
              <w:jc w:val="center"/>
              <w:rPr>
                <w:sz w:val="22"/>
                <w:szCs w:val="22"/>
              </w:rPr>
            </w:pPr>
            <w:r w:rsidRPr="00CF386D">
              <w:rPr>
                <w:sz w:val="22"/>
                <w:szCs w:val="22"/>
              </w:rPr>
              <w:t>2.06</w:t>
            </w:r>
          </w:p>
        </w:tc>
        <w:tc>
          <w:tcPr>
            <w:tcW w:w="2524" w:type="dxa"/>
            <w:vAlign w:val="center"/>
          </w:tcPr>
          <w:p w14:paraId="276D951D" w14:textId="77777777" w:rsidR="00781613" w:rsidRPr="00CF386D" w:rsidRDefault="00781613" w:rsidP="00781613">
            <w:pPr>
              <w:jc w:val="center"/>
              <w:rPr>
                <w:sz w:val="22"/>
                <w:szCs w:val="22"/>
              </w:rPr>
            </w:pPr>
            <w:r w:rsidRPr="00CF386D">
              <w:rPr>
                <w:sz w:val="22"/>
                <w:szCs w:val="22"/>
              </w:rPr>
              <w:t>3.</w:t>
            </w:r>
            <w:r w:rsidR="004675FB">
              <w:rPr>
                <w:sz w:val="22"/>
                <w:szCs w:val="22"/>
              </w:rPr>
              <w:t>1</w:t>
            </w:r>
            <w:r w:rsidR="00EE40FA">
              <w:rPr>
                <w:sz w:val="22"/>
                <w:szCs w:val="22"/>
              </w:rPr>
              <w:t>2</w:t>
            </w:r>
          </w:p>
        </w:tc>
      </w:tr>
    </w:tbl>
    <w:p w14:paraId="049AC982" w14:textId="77777777" w:rsidR="00781613" w:rsidRPr="0052587E" w:rsidRDefault="00781613" w:rsidP="0052587E">
      <w:pPr>
        <w:pStyle w:val="Caption"/>
        <w:rPr>
          <w:b w:val="0"/>
        </w:rPr>
      </w:pPr>
      <w:bookmarkStart w:id="408" w:name="_Toc158033977"/>
      <w:bookmarkStart w:id="409" w:name="_Toc161837783"/>
      <w:bookmarkStart w:id="410" w:name="_Toc161933230"/>
      <w:bookmarkStart w:id="411" w:name="_Toc163221130"/>
      <w:r>
        <w:t xml:space="preserve">Table </w:t>
      </w:r>
      <w:r w:rsidRPr="0052587E">
        <w:t>1</w:t>
      </w:r>
      <w:r w:rsidR="00C6227F">
        <w:t>8</w:t>
      </w:r>
      <w:r w:rsidRPr="0052587E">
        <w:rPr>
          <w:b w:val="0"/>
        </w:rPr>
        <w:t xml:space="preserve"> – Consumer welfare loss analysis</w:t>
      </w:r>
      <w:bookmarkEnd w:id="408"/>
      <w:bookmarkEnd w:id="409"/>
      <w:bookmarkEnd w:id="410"/>
      <w:bookmarkEnd w:id="411"/>
    </w:p>
    <w:p w14:paraId="4131437A" w14:textId="77777777" w:rsidR="003E2A1D" w:rsidRDefault="003E2A1D" w:rsidP="003D2B37"/>
    <w:p w14:paraId="19F666D8" w14:textId="77777777" w:rsidR="00AE3241" w:rsidRPr="00CF39C8" w:rsidRDefault="00AE3241" w:rsidP="00430317">
      <w:pPr>
        <w:pStyle w:val="Heading2"/>
        <w:numPr>
          <w:ilvl w:val="1"/>
          <w:numId w:val="63"/>
        </w:numPr>
        <w:ind w:hanging="792"/>
        <w:rPr>
          <w:rFonts w:cstheme="majorHAnsi"/>
        </w:rPr>
      </w:pPr>
      <w:bookmarkStart w:id="412" w:name="_Toc162276350"/>
      <w:bookmarkStart w:id="413" w:name="_Toc162276351"/>
      <w:bookmarkStart w:id="414" w:name="_Toc162276478"/>
      <w:bookmarkStart w:id="415" w:name="_Toc162276479"/>
      <w:bookmarkStart w:id="416" w:name="_Toc161837674"/>
      <w:bookmarkStart w:id="417" w:name="_Toc161933171"/>
      <w:bookmarkStart w:id="418" w:name="_Toc162276480"/>
      <w:bookmarkStart w:id="419" w:name="_Toc163221074"/>
      <w:bookmarkStart w:id="420" w:name="_Hlk161857791"/>
      <w:bookmarkEnd w:id="412"/>
      <w:bookmarkEnd w:id="413"/>
      <w:bookmarkEnd w:id="414"/>
      <w:bookmarkEnd w:id="415"/>
      <w:r w:rsidRPr="00CF39C8">
        <w:rPr>
          <w:rFonts w:cstheme="majorHAnsi"/>
        </w:rPr>
        <w:t>Regulatory burden estimate (RBE) table</w:t>
      </w:r>
      <w:bookmarkEnd w:id="331"/>
      <w:bookmarkEnd w:id="416"/>
      <w:bookmarkEnd w:id="417"/>
      <w:bookmarkEnd w:id="418"/>
      <w:bookmarkEnd w:id="419"/>
    </w:p>
    <w:p w14:paraId="1CD41B3A" w14:textId="77777777" w:rsidR="00AE3241" w:rsidRDefault="00AE3241" w:rsidP="00D25291">
      <w:pPr>
        <w:rPr>
          <w:rStyle w:val="CommentReference"/>
        </w:rPr>
      </w:pPr>
      <w:r w:rsidRPr="00CF39C8">
        <w:rPr>
          <w:rFonts w:asciiTheme="majorHAnsi" w:hAnsiTheme="majorHAnsi" w:cstheme="majorHAnsi"/>
        </w:rPr>
        <w:t xml:space="preserve">The </w:t>
      </w:r>
      <w:r w:rsidRPr="00CF39C8">
        <w:rPr>
          <w:rFonts w:asciiTheme="majorHAnsi" w:hAnsiTheme="majorHAnsi" w:cstheme="majorHAnsi"/>
          <w:i/>
        </w:rPr>
        <w:t>Australian Government Guide to Policy Impact Analysis</w:t>
      </w:r>
      <w:r w:rsidRPr="00CF39C8">
        <w:rPr>
          <w:rFonts w:asciiTheme="majorHAnsi" w:hAnsiTheme="majorHAnsi" w:cstheme="majorHAnsi"/>
        </w:rPr>
        <w:t xml:space="preserve"> requires that all new regulatory options are costed in accordance with the Government’s </w:t>
      </w:r>
      <w:r w:rsidRPr="00CF39C8">
        <w:rPr>
          <w:rFonts w:asciiTheme="majorHAnsi" w:hAnsiTheme="majorHAnsi" w:cstheme="majorHAnsi"/>
          <w:i/>
        </w:rPr>
        <w:t xml:space="preserve">Regulatory </w:t>
      </w:r>
      <w:r w:rsidR="00B40A94">
        <w:rPr>
          <w:rFonts w:asciiTheme="majorHAnsi" w:hAnsiTheme="majorHAnsi" w:cstheme="majorHAnsi"/>
          <w:i/>
        </w:rPr>
        <w:t>B</w:t>
      </w:r>
      <w:r w:rsidRPr="00CF39C8">
        <w:rPr>
          <w:rFonts w:asciiTheme="majorHAnsi" w:hAnsiTheme="majorHAnsi" w:cstheme="majorHAnsi"/>
          <w:i/>
        </w:rPr>
        <w:t xml:space="preserve">urden </w:t>
      </w:r>
      <w:r w:rsidR="00B40A94">
        <w:rPr>
          <w:rFonts w:asciiTheme="majorHAnsi" w:hAnsiTheme="majorHAnsi" w:cstheme="majorHAnsi"/>
          <w:i/>
        </w:rPr>
        <w:t>M</w:t>
      </w:r>
      <w:r w:rsidRPr="00CF39C8">
        <w:rPr>
          <w:rFonts w:asciiTheme="majorHAnsi" w:hAnsiTheme="majorHAnsi" w:cstheme="majorHAnsi"/>
          <w:i/>
        </w:rPr>
        <w:t xml:space="preserve">easurement </w:t>
      </w:r>
      <w:r w:rsidR="00B40A94">
        <w:rPr>
          <w:rFonts w:asciiTheme="majorHAnsi" w:hAnsiTheme="majorHAnsi" w:cstheme="majorHAnsi"/>
          <w:i/>
        </w:rPr>
        <w:t>F</w:t>
      </w:r>
      <w:r w:rsidRPr="00CF39C8">
        <w:rPr>
          <w:rFonts w:asciiTheme="majorHAnsi" w:hAnsiTheme="majorHAnsi" w:cstheme="majorHAnsi"/>
          <w:i/>
        </w:rPr>
        <w:t>ramework: guidance note</w:t>
      </w:r>
      <w:r w:rsidRPr="00CF39C8">
        <w:rPr>
          <w:rFonts w:asciiTheme="majorHAnsi" w:hAnsiTheme="majorHAnsi" w:cstheme="majorHAnsi"/>
        </w:rPr>
        <w:t xml:space="preserve">. The </w:t>
      </w:r>
      <w:r w:rsidR="005D5114" w:rsidRPr="00CF39C8">
        <w:rPr>
          <w:rFonts w:asciiTheme="majorHAnsi" w:hAnsiTheme="majorHAnsi" w:cstheme="majorHAnsi"/>
        </w:rPr>
        <w:t>RB</w:t>
      </w:r>
      <w:r w:rsidR="007B5A30" w:rsidRPr="00CF39C8">
        <w:rPr>
          <w:rFonts w:asciiTheme="majorHAnsi" w:hAnsiTheme="majorHAnsi" w:cstheme="majorHAnsi"/>
        </w:rPr>
        <w:t>E</w:t>
      </w:r>
      <w:r w:rsidRPr="00CF39C8">
        <w:rPr>
          <w:rFonts w:asciiTheme="majorHAnsi" w:hAnsiTheme="majorHAnsi" w:cstheme="majorHAnsi"/>
        </w:rPr>
        <w:t xml:space="preserve"> is a different measure to the full </w:t>
      </w:r>
      <w:r w:rsidR="002B5A65" w:rsidRPr="00CF39C8">
        <w:rPr>
          <w:rFonts w:asciiTheme="majorHAnsi" w:hAnsiTheme="majorHAnsi" w:cstheme="majorHAnsi"/>
        </w:rPr>
        <w:t>BCA</w:t>
      </w:r>
      <w:r w:rsidRPr="00CF39C8">
        <w:rPr>
          <w:rFonts w:asciiTheme="majorHAnsi" w:hAnsiTheme="majorHAnsi" w:cstheme="majorHAnsi"/>
        </w:rPr>
        <w:t xml:space="preserve">, as it </w:t>
      </w:r>
      <w:r w:rsidR="00D25291">
        <w:rPr>
          <w:rFonts w:asciiTheme="majorHAnsi" w:hAnsiTheme="majorHAnsi" w:cstheme="majorHAnsi"/>
        </w:rPr>
        <w:t xml:space="preserve">only captures the compliance costs borne by the affected parties and </w:t>
      </w:r>
      <w:r w:rsidRPr="00CF39C8">
        <w:rPr>
          <w:rFonts w:asciiTheme="majorHAnsi" w:hAnsiTheme="majorHAnsi" w:cstheme="majorHAnsi"/>
        </w:rPr>
        <w:t xml:space="preserve">does not capture the benefits of reduced fuel use </w:t>
      </w:r>
      <w:r w:rsidR="00FD6A51" w:rsidRPr="00CF39C8">
        <w:rPr>
          <w:rFonts w:asciiTheme="majorHAnsi" w:hAnsiTheme="majorHAnsi" w:cstheme="majorHAnsi"/>
        </w:rPr>
        <w:t>or</w:t>
      </w:r>
      <w:r w:rsidRPr="00CF39C8">
        <w:rPr>
          <w:rFonts w:asciiTheme="majorHAnsi" w:hAnsiTheme="majorHAnsi" w:cstheme="majorHAnsi"/>
        </w:rPr>
        <w:t xml:space="preserve"> CO</w:t>
      </w:r>
      <w:r w:rsidRPr="00CF39C8">
        <w:rPr>
          <w:rFonts w:asciiTheme="majorHAnsi" w:hAnsiTheme="majorHAnsi" w:cstheme="majorHAnsi"/>
          <w:vertAlign w:val="subscript"/>
        </w:rPr>
        <w:t>2</w:t>
      </w:r>
      <w:r w:rsidRPr="00CF39C8">
        <w:rPr>
          <w:rFonts w:asciiTheme="majorHAnsi" w:hAnsiTheme="majorHAnsi" w:cstheme="majorHAnsi"/>
        </w:rPr>
        <w:t xml:space="preserve"> emissions</w:t>
      </w:r>
      <w:r w:rsidR="00CB5FD0" w:rsidRPr="00CF39C8">
        <w:rPr>
          <w:rFonts w:asciiTheme="majorHAnsi" w:hAnsiTheme="majorHAnsi" w:cstheme="majorHAnsi"/>
        </w:rPr>
        <w:t>,</w:t>
      </w:r>
      <w:r w:rsidRPr="00CF39C8">
        <w:rPr>
          <w:rFonts w:asciiTheme="majorHAnsi" w:hAnsiTheme="majorHAnsi" w:cstheme="majorHAnsi"/>
        </w:rPr>
        <w:t xml:space="preserve"> for</w:t>
      </w:r>
      <w:r w:rsidR="00FD6A51" w:rsidRPr="00CF39C8">
        <w:rPr>
          <w:rFonts w:asciiTheme="majorHAnsi" w:hAnsiTheme="majorHAnsi" w:cstheme="majorHAnsi"/>
        </w:rPr>
        <w:t xml:space="preserve"> example.</w:t>
      </w:r>
      <w:r w:rsidRPr="00CF39C8">
        <w:rPr>
          <w:rFonts w:asciiTheme="majorHAnsi" w:hAnsiTheme="majorHAnsi" w:cstheme="majorHAnsi"/>
        </w:rPr>
        <w:t xml:space="preserve"> The average annual regulatory costs were </w:t>
      </w:r>
      <w:r w:rsidR="00D25291">
        <w:rPr>
          <w:rFonts w:asciiTheme="majorHAnsi" w:hAnsiTheme="majorHAnsi" w:cstheme="majorHAnsi"/>
        </w:rPr>
        <w:t>estimated</w:t>
      </w:r>
      <w:r w:rsidR="00D25291" w:rsidRPr="00CF39C8">
        <w:rPr>
          <w:rFonts w:asciiTheme="majorHAnsi" w:hAnsiTheme="majorHAnsi" w:cstheme="majorHAnsi"/>
        </w:rPr>
        <w:t xml:space="preserve"> </w:t>
      </w:r>
      <w:r w:rsidRPr="00CF39C8">
        <w:rPr>
          <w:rFonts w:asciiTheme="majorHAnsi" w:hAnsiTheme="majorHAnsi" w:cstheme="majorHAnsi"/>
        </w:rPr>
        <w:t xml:space="preserve">by calculating the average undiscounted </w:t>
      </w:r>
      <w:r w:rsidR="00D25291">
        <w:rPr>
          <w:rFonts w:asciiTheme="majorHAnsi" w:hAnsiTheme="majorHAnsi" w:cstheme="majorHAnsi"/>
        </w:rPr>
        <w:t xml:space="preserve">compliance </w:t>
      </w:r>
      <w:r w:rsidRPr="00CF39C8">
        <w:rPr>
          <w:rFonts w:asciiTheme="majorHAnsi" w:hAnsiTheme="majorHAnsi" w:cstheme="majorHAnsi"/>
        </w:rPr>
        <w:t>costs over the</w:t>
      </w:r>
      <w:r w:rsidR="005C4956" w:rsidRPr="00CF39C8">
        <w:rPr>
          <w:rFonts w:asciiTheme="majorHAnsi" w:hAnsiTheme="majorHAnsi" w:cstheme="majorHAnsi"/>
        </w:rPr>
        <w:t xml:space="preserve"> first </w:t>
      </w:r>
      <w:r w:rsidR="00D25291">
        <w:rPr>
          <w:rFonts w:asciiTheme="majorHAnsi" w:hAnsiTheme="majorHAnsi" w:cstheme="majorHAnsi"/>
        </w:rPr>
        <w:t xml:space="preserve">ten years. </w:t>
      </w:r>
      <w:r w:rsidR="005C4956" w:rsidRPr="00CF39C8">
        <w:rPr>
          <w:rFonts w:asciiTheme="majorHAnsi" w:hAnsiTheme="majorHAnsi" w:cstheme="majorHAnsi"/>
        </w:rPr>
        <w:t xml:space="preserve"> </w:t>
      </w:r>
      <w:r w:rsidR="00D25291">
        <w:rPr>
          <w:rFonts w:asciiTheme="majorHAnsi" w:hAnsiTheme="majorHAnsi" w:cstheme="majorHAnsi"/>
        </w:rPr>
        <w:t xml:space="preserve">The average annual compliance cost was estimated to be $150,000 for each small volume supplier (27 entities supplying less than 5,000 vehicles per year) and $400,000 for each higher volume supplier (26 entities supplying more than 5,000 vehicles per year). </w:t>
      </w:r>
      <w:r w:rsidR="00D25291" w:rsidDel="00D25291">
        <w:rPr>
          <w:rStyle w:val="CommentReference"/>
        </w:rPr>
        <w:t xml:space="preserve"> </w:t>
      </w:r>
    </w:p>
    <w:p w14:paraId="102540BD" w14:textId="77777777" w:rsidR="001C5AA9" w:rsidRPr="00CF39C8" w:rsidRDefault="001C5AA9" w:rsidP="00D25291">
      <w:pPr>
        <w:rPr>
          <w:rFonts w:asciiTheme="majorHAnsi" w:hAnsiTheme="majorHAnsi" w:cstheme="majorHAnsi"/>
        </w:rPr>
      </w:pPr>
    </w:p>
    <w:tbl>
      <w:tblPr>
        <w:tblStyle w:val="PMCTableStyle2"/>
        <w:tblW w:w="10343" w:type="dxa"/>
        <w:tblBorders>
          <w:top w:val="single" w:sz="4" w:space="0" w:color="000000" w:themeColor="text1"/>
          <w:left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660" w:firstRow="1" w:lastRow="1" w:firstColumn="0" w:lastColumn="0" w:noHBand="1" w:noVBand="1"/>
        <w:tblCaption w:val="Regulatory burden estimate"/>
      </w:tblPr>
      <w:tblGrid>
        <w:gridCol w:w="1517"/>
        <w:gridCol w:w="3134"/>
        <w:gridCol w:w="1745"/>
        <w:gridCol w:w="3947"/>
      </w:tblGrid>
      <w:tr w:rsidR="00FD6A51" w:rsidRPr="00CF39C8" w14:paraId="7F456450" w14:textId="77777777" w:rsidTr="00C24682">
        <w:trPr>
          <w:cnfStyle w:val="100000000000" w:firstRow="1" w:lastRow="0" w:firstColumn="0" w:lastColumn="0" w:oddVBand="0" w:evenVBand="0" w:oddHBand="0" w:evenHBand="0" w:firstRowFirstColumn="0" w:firstRowLastColumn="0" w:lastRowFirstColumn="0" w:lastRowLastColumn="0"/>
          <w:trHeight w:val="350"/>
        </w:trPr>
        <w:tc>
          <w:tcPr>
            <w:tcW w:w="1381"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00313CC6" w14:textId="77777777" w:rsidR="00FD6A51" w:rsidRPr="00CF39C8" w:rsidRDefault="00FD6A51" w:rsidP="005742EA">
            <w:pPr>
              <w:pStyle w:val="TableBody"/>
              <w:rPr>
                <w:rFonts w:cstheme="majorHAnsi"/>
                <w:sz w:val="21"/>
                <w:szCs w:val="21"/>
              </w:rPr>
            </w:pPr>
            <w:r w:rsidRPr="00CF39C8">
              <w:rPr>
                <w:rFonts w:cstheme="majorHAnsi"/>
                <w:sz w:val="21"/>
                <w:szCs w:val="21"/>
              </w:rPr>
              <w:t>Individuals</w:t>
            </w:r>
          </w:p>
        </w:tc>
        <w:tc>
          <w:tcPr>
            <w:tcW w:w="3245"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7BF52E8D" w14:textId="77777777" w:rsidR="00FD6A51" w:rsidRPr="00CF39C8" w:rsidRDefault="00FD6A51" w:rsidP="005742EA">
            <w:pPr>
              <w:pStyle w:val="TableBullet"/>
              <w:numPr>
                <w:ilvl w:val="0"/>
                <w:numId w:val="0"/>
              </w:numPr>
              <w:ind w:left="284"/>
              <w:rPr>
                <w:rFonts w:cstheme="majorHAnsi"/>
                <w:color w:val="FFFFFF" w:themeColor="background1"/>
                <w:sz w:val="21"/>
                <w:szCs w:val="21"/>
              </w:rPr>
            </w:pPr>
            <w:r w:rsidRPr="00CF39C8">
              <w:rPr>
                <w:rFonts w:cstheme="majorHAnsi"/>
                <w:color w:val="FFFFFF" w:themeColor="background1"/>
                <w:sz w:val="21"/>
                <w:szCs w:val="21"/>
              </w:rPr>
              <w:t xml:space="preserve">Business </w:t>
            </w:r>
          </w:p>
        </w:tc>
        <w:tc>
          <w:tcPr>
            <w:tcW w:w="1577"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0807C107" w14:textId="77777777" w:rsidR="00FD6A51" w:rsidRPr="00CF39C8" w:rsidRDefault="00FD6A51" w:rsidP="005742EA">
            <w:pPr>
              <w:pStyle w:val="TableBody"/>
              <w:rPr>
                <w:rFonts w:cstheme="majorHAnsi"/>
                <w:sz w:val="21"/>
                <w:szCs w:val="21"/>
              </w:rPr>
            </w:pPr>
            <w:r w:rsidRPr="00CF39C8">
              <w:rPr>
                <w:rFonts w:cstheme="majorHAnsi"/>
                <w:sz w:val="21"/>
                <w:szCs w:val="21"/>
              </w:rPr>
              <w:t>Community organisations</w:t>
            </w:r>
          </w:p>
        </w:tc>
        <w:tc>
          <w:tcPr>
            <w:tcW w:w="4140"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2C84D753" w14:textId="77777777" w:rsidR="00FD6A51" w:rsidRPr="00CF39C8" w:rsidRDefault="00FD6A51" w:rsidP="005742EA">
            <w:pPr>
              <w:pStyle w:val="TableNumbering"/>
              <w:numPr>
                <w:ilvl w:val="0"/>
                <w:numId w:val="0"/>
              </w:numPr>
              <w:rPr>
                <w:rFonts w:cstheme="majorHAnsi"/>
                <w:sz w:val="21"/>
                <w:szCs w:val="21"/>
              </w:rPr>
            </w:pPr>
            <w:r w:rsidRPr="00CF39C8">
              <w:rPr>
                <w:rFonts w:cstheme="majorHAnsi"/>
                <w:sz w:val="21"/>
                <w:szCs w:val="21"/>
              </w:rPr>
              <w:t>Total change in</w:t>
            </w:r>
            <w:r w:rsidR="00C36F2E" w:rsidRPr="00CF39C8">
              <w:rPr>
                <w:rFonts w:cstheme="majorHAnsi"/>
                <w:sz w:val="21"/>
                <w:szCs w:val="21"/>
              </w:rPr>
              <w:t xml:space="preserve"> yearly</w:t>
            </w:r>
            <w:r w:rsidRPr="00CF39C8">
              <w:rPr>
                <w:rFonts w:cstheme="majorHAnsi"/>
                <w:sz w:val="21"/>
                <w:szCs w:val="21"/>
              </w:rPr>
              <w:t xml:space="preserve"> cost</w:t>
            </w:r>
          </w:p>
        </w:tc>
      </w:tr>
      <w:tr w:rsidR="00FD6A51" w:rsidRPr="00CF39C8" w14:paraId="0E845B08" w14:textId="77777777" w:rsidTr="00336E40">
        <w:trPr>
          <w:cnfStyle w:val="010000000000" w:firstRow="0" w:lastRow="1" w:firstColumn="0" w:lastColumn="0" w:oddVBand="0" w:evenVBand="0" w:oddHBand="0" w:evenHBand="0" w:firstRowFirstColumn="0" w:firstRowLastColumn="0" w:lastRowFirstColumn="0" w:lastRowLastColumn="0"/>
          <w:trHeight w:val="350"/>
        </w:trPr>
        <w:tc>
          <w:tcPr>
            <w:tcW w:w="1381"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2426571C" w14:textId="77777777" w:rsidR="00FD6A51" w:rsidRPr="00CF39C8" w:rsidRDefault="00FD6A51" w:rsidP="005742EA">
            <w:pPr>
              <w:pStyle w:val="TableBody"/>
              <w:rPr>
                <w:rFonts w:asciiTheme="majorHAnsi" w:hAnsiTheme="majorHAnsi" w:cstheme="majorHAnsi"/>
                <w:sz w:val="20"/>
              </w:rPr>
            </w:pPr>
            <w:r w:rsidRPr="00CF39C8">
              <w:rPr>
                <w:rFonts w:asciiTheme="majorHAnsi" w:hAnsiTheme="majorHAnsi" w:cstheme="majorHAnsi"/>
                <w:sz w:val="20"/>
              </w:rPr>
              <w:t>Nil</w:t>
            </w:r>
          </w:p>
        </w:tc>
        <w:tc>
          <w:tcPr>
            <w:tcW w:w="3245"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6DE8A55C" w14:textId="77777777" w:rsidR="00FD6A51" w:rsidRPr="00CF39C8" w:rsidRDefault="00FD6A51" w:rsidP="004A1119">
            <w:pPr>
              <w:pStyle w:val="TableBullet"/>
              <w:numPr>
                <w:ilvl w:val="0"/>
                <w:numId w:val="0"/>
              </w:numPr>
              <w:ind w:left="-125" w:right="-234"/>
              <w:rPr>
                <w:rFonts w:asciiTheme="majorHAnsi" w:hAnsiTheme="majorHAnsi" w:cstheme="majorHAnsi"/>
                <w:sz w:val="20"/>
              </w:rPr>
            </w:pPr>
            <w:r w:rsidRPr="00CF39C8">
              <w:rPr>
                <w:rFonts w:asciiTheme="majorHAnsi" w:hAnsiTheme="majorHAnsi" w:cstheme="majorHAnsi"/>
                <w:sz w:val="20"/>
              </w:rPr>
              <w:t>Small brands (27): $4 million</w:t>
            </w:r>
          </w:p>
          <w:p w14:paraId="111CB29C" w14:textId="77777777" w:rsidR="00FD6A51" w:rsidRPr="00CF39C8" w:rsidRDefault="00FD6A51" w:rsidP="004A1119">
            <w:pPr>
              <w:pStyle w:val="TableBullet"/>
              <w:numPr>
                <w:ilvl w:val="0"/>
                <w:numId w:val="0"/>
              </w:numPr>
              <w:ind w:left="-125" w:right="-234"/>
              <w:rPr>
                <w:rFonts w:asciiTheme="majorHAnsi" w:hAnsiTheme="majorHAnsi" w:cstheme="majorHAnsi"/>
                <w:sz w:val="20"/>
              </w:rPr>
            </w:pPr>
            <w:r w:rsidRPr="00CF39C8">
              <w:rPr>
                <w:rFonts w:asciiTheme="majorHAnsi" w:hAnsiTheme="majorHAnsi" w:cstheme="majorHAnsi"/>
                <w:sz w:val="20"/>
              </w:rPr>
              <w:t>Large brands (26): $10.4 million</w:t>
            </w:r>
          </w:p>
        </w:tc>
        <w:tc>
          <w:tcPr>
            <w:tcW w:w="1577"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14FCCBA3" w14:textId="77777777" w:rsidR="00FD6A51" w:rsidRPr="00CF39C8" w:rsidRDefault="00FD6A51" w:rsidP="005742EA">
            <w:pPr>
              <w:pStyle w:val="TableBody"/>
              <w:rPr>
                <w:rFonts w:asciiTheme="majorHAnsi" w:hAnsiTheme="majorHAnsi" w:cstheme="majorHAnsi"/>
                <w:sz w:val="20"/>
              </w:rPr>
            </w:pPr>
            <w:r w:rsidRPr="00CF39C8">
              <w:rPr>
                <w:rFonts w:asciiTheme="majorHAnsi" w:hAnsiTheme="majorHAnsi" w:cstheme="majorHAnsi"/>
                <w:sz w:val="20"/>
              </w:rPr>
              <w:t>Nil</w:t>
            </w:r>
          </w:p>
        </w:tc>
        <w:tc>
          <w:tcPr>
            <w:tcW w:w="4140"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411CF233" w14:textId="77777777" w:rsidR="00FD6A51" w:rsidRPr="00CF39C8" w:rsidRDefault="00FD6A51" w:rsidP="000E00FA">
            <w:pPr>
              <w:pStyle w:val="TableNumbering"/>
              <w:keepNext/>
              <w:numPr>
                <w:ilvl w:val="0"/>
                <w:numId w:val="0"/>
              </w:numPr>
              <w:rPr>
                <w:rFonts w:asciiTheme="majorHAnsi" w:hAnsiTheme="majorHAnsi" w:cstheme="majorHAnsi"/>
                <w:sz w:val="20"/>
              </w:rPr>
            </w:pPr>
            <w:r w:rsidRPr="00CF39C8">
              <w:rPr>
                <w:rFonts w:asciiTheme="majorHAnsi" w:hAnsiTheme="majorHAnsi" w:cstheme="majorHAnsi"/>
                <w:sz w:val="20"/>
              </w:rPr>
              <w:t>$14.4 million</w:t>
            </w:r>
            <w:r w:rsidR="009E3A8D" w:rsidRPr="00CF39C8">
              <w:rPr>
                <w:rFonts w:asciiTheme="majorHAnsi" w:hAnsiTheme="majorHAnsi" w:cstheme="majorHAnsi"/>
                <w:sz w:val="20"/>
              </w:rPr>
              <w:t xml:space="preserve"> across all </w:t>
            </w:r>
            <w:r w:rsidR="00D25291">
              <w:rPr>
                <w:rFonts w:asciiTheme="majorHAnsi" w:hAnsiTheme="majorHAnsi" w:cstheme="majorHAnsi"/>
                <w:sz w:val="20"/>
              </w:rPr>
              <w:t xml:space="preserve">vehicle </w:t>
            </w:r>
            <w:r w:rsidR="009E3A8D" w:rsidRPr="00CF39C8">
              <w:rPr>
                <w:rFonts w:asciiTheme="majorHAnsi" w:hAnsiTheme="majorHAnsi" w:cstheme="majorHAnsi"/>
                <w:sz w:val="20"/>
              </w:rPr>
              <w:t xml:space="preserve">suppliers across the whole system. </w:t>
            </w:r>
          </w:p>
        </w:tc>
      </w:tr>
    </w:tbl>
    <w:p w14:paraId="06A506D8" w14:textId="77777777" w:rsidR="000E00FA" w:rsidRDefault="000E00FA" w:rsidP="00D25291">
      <w:pPr>
        <w:pStyle w:val="Caption"/>
        <w:rPr>
          <w:b w:val="0"/>
        </w:rPr>
      </w:pPr>
      <w:bookmarkStart w:id="421" w:name="_Toc149907248"/>
      <w:bookmarkStart w:id="422" w:name="_Toc161837784"/>
      <w:bookmarkStart w:id="423" w:name="_Toc161933231"/>
      <w:bookmarkStart w:id="424" w:name="_Toc163221131"/>
      <w:bookmarkStart w:id="425" w:name="_Toc148362165"/>
      <w:bookmarkStart w:id="426" w:name="_Toc148362638"/>
      <w:bookmarkStart w:id="427" w:name="_Toc148361201"/>
      <w:r w:rsidRPr="00CF39C8">
        <w:t xml:space="preserve">Table </w:t>
      </w:r>
      <w:r w:rsidR="00C6227F">
        <w:t>19</w:t>
      </w:r>
      <w:r w:rsidRPr="00CF39C8">
        <w:t xml:space="preserve"> </w:t>
      </w:r>
      <w:r w:rsidRPr="00CF39C8">
        <w:rPr>
          <w:b w:val="0"/>
        </w:rPr>
        <w:t>– R</w:t>
      </w:r>
      <w:r w:rsidR="00D92AA3" w:rsidRPr="00CF39C8">
        <w:rPr>
          <w:b w:val="0"/>
        </w:rPr>
        <w:t xml:space="preserve">egulatory </w:t>
      </w:r>
      <w:r w:rsidR="002B5A65" w:rsidRPr="00CF39C8">
        <w:rPr>
          <w:b w:val="0"/>
        </w:rPr>
        <w:t>b</w:t>
      </w:r>
      <w:r w:rsidR="00D92AA3" w:rsidRPr="00CF39C8">
        <w:rPr>
          <w:b w:val="0"/>
        </w:rPr>
        <w:t xml:space="preserve">urden </w:t>
      </w:r>
      <w:r w:rsidR="002B5A65" w:rsidRPr="00CF39C8">
        <w:rPr>
          <w:b w:val="0"/>
        </w:rPr>
        <w:t>e</w:t>
      </w:r>
      <w:r w:rsidR="00D92AA3" w:rsidRPr="00CF39C8">
        <w:rPr>
          <w:b w:val="0"/>
        </w:rPr>
        <w:t>stimate</w:t>
      </w:r>
      <w:bookmarkEnd w:id="421"/>
      <w:bookmarkEnd w:id="422"/>
      <w:bookmarkEnd w:id="423"/>
      <w:bookmarkEnd w:id="424"/>
    </w:p>
    <w:bookmarkEnd w:id="420"/>
    <w:p w14:paraId="04044425" w14:textId="77777777" w:rsidR="00FA3DAF" w:rsidRPr="00FA3DAF" w:rsidRDefault="00FA3DAF" w:rsidP="00D25291"/>
    <w:p w14:paraId="32B6F158" w14:textId="77777777" w:rsidR="00FA3DAF" w:rsidRPr="00FA3DAF" w:rsidRDefault="00FA3DAF" w:rsidP="00FA3DAF"/>
    <w:p w14:paraId="2F5595C3" w14:textId="77777777" w:rsidR="00FA3DAF" w:rsidRDefault="00FA3DAF" w:rsidP="00FA3DAF">
      <w:pPr>
        <w:sectPr w:rsidR="00FA3DAF" w:rsidSect="007150AB">
          <w:headerReference w:type="default" r:id="rId46"/>
          <w:pgSz w:w="11906" w:h="16838" w:code="9"/>
          <w:pgMar w:top="1021" w:right="1134" w:bottom="851" w:left="1276" w:header="510" w:footer="567" w:gutter="0"/>
          <w:cols w:space="708"/>
          <w:docGrid w:linePitch="360"/>
        </w:sectPr>
      </w:pPr>
      <w:bookmarkStart w:id="428" w:name="_Toc146622497"/>
      <w:bookmarkEnd w:id="425"/>
      <w:bookmarkEnd w:id="426"/>
      <w:bookmarkEnd w:id="427"/>
    </w:p>
    <w:p w14:paraId="015F16B0" w14:textId="77777777" w:rsidR="00590B75" w:rsidRPr="00CF39C8" w:rsidRDefault="00590B75" w:rsidP="00430317">
      <w:pPr>
        <w:pStyle w:val="Heading1"/>
        <w:numPr>
          <w:ilvl w:val="0"/>
          <w:numId w:val="70"/>
        </w:numPr>
      </w:pPr>
      <w:bookmarkStart w:id="429" w:name="_Toc161837675"/>
      <w:bookmarkStart w:id="430" w:name="_Toc161933172"/>
      <w:bookmarkStart w:id="431" w:name="_Toc162276481"/>
      <w:bookmarkStart w:id="432" w:name="_Toc163221075"/>
      <w:r w:rsidRPr="00CF39C8">
        <w:t>Who did you consult and how did you incorporate their feedback?</w:t>
      </w:r>
      <w:bookmarkEnd w:id="429"/>
      <w:bookmarkEnd w:id="430"/>
      <w:bookmarkEnd w:id="431"/>
      <w:bookmarkEnd w:id="432"/>
    </w:p>
    <w:p w14:paraId="37F5FDEF" w14:textId="77777777" w:rsidR="00590B75" w:rsidRPr="00CF39C8" w:rsidRDefault="00590B75" w:rsidP="00590B75"/>
    <w:p w14:paraId="731B82CE" w14:textId="77777777" w:rsidR="00854F54" w:rsidRPr="00CF39C8" w:rsidRDefault="00012A8B" w:rsidP="00D31C02">
      <w:pPr>
        <w:rPr>
          <w:bCs/>
        </w:rPr>
      </w:pPr>
      <w:r w:rsidRPr="00CF39C8">
        <w:rPr>
          <w:bCs/>
        </w:rPr>
        <w:t xml:space="preserve">In designing the best possible </w:t>
      </w:r>
      <w:r w:rsidR="006D4EF3" w:rsidRPr="00CF39C8">
        <w:rPr>
          <w:rFonts w:asciiTheme="majorHAnsi" w:hAnsiTheme="majorHAnsi" w:cstheme="majorHAnsi"/>
        </w:rPr>
        <w:t>NVES</w:t>
      </w:r>
      <w:r w:rsidRPr="00CF39C8">
        <w:rPr>
          <w:bCs/>
        </w:rPr>
        <w:t xml:space="preserve"> for Australia, it was important to provide the Australian community </w:t>
      </w:r>
      <w:r w:rsidR="00854F54" w:rsidRPr="00CF39C8">
        <w:rPr>
          <w:bCs/>
        </w:rPr>
        <w:t xml:space="preserve">and industry </w:t>
      </w:r>
      <w:r w:rsidRPr="00CF39C8">
        <w:rPr>
          <w:bCs/>
        </w:rPr>
        <w:t xml:space="preserve">with </w:t>
      </w:r>
      <w:r w:rsidR="00EF3435" w:rsidRPr="00CF39C8">
        <w:rPr>
          <w:bCs/>
        </w:rPr>
        <w:t>opportunity</w:t>
      </w:r>
      <w:r w:rsidRPr="00CF39C8">
        <w:rPr>
          <w:bCs/>
        </w:rPr>
        <w:t xml:space="preserve"> to help shape this landmark refor</w:t>
      </w:r>
      <w:r w:rsidR="006E6A99" w:rsidRPr="00CF39C8">
        <w:rPr>
          <w:bCs/>
        </w:rPr>
        <w:t xml:space="preserve">m. </w:t>
      </w:r>
      <w:r w:rsidR="00E95A57" w:rsidRPr="00CF39C8">
        <w:rPr>
          <w:bCs/>
        </w:rPr>
        <w:t>Cars</w:t>
      </w:r>
      <w:r w:rsidR="006E6A99" w:rsidRPr="00CF39C8">
        <w:rPr>
          <w:bCs/>
        </w:rPr>
        <w:t xml:space="preserve"> </w:t>
      </w:r>
      <w:r w:rsidR="00E95A57" w:rsidRPr="00CF39C8">
        <w:rPr>
          <w:bCs/>
        </w:rPr>
        <w:t xml:space="preserve">are important to Australians, we drive them for </w:t>
      </w:r>
      <w:r w:rsidR="006E6A99" w:rsidRPr="00CF39C8">
        <w:rPr>
          <w:bCs/>
        </w:rPr>
        <w:t xml:space="preserve">work, personal use and leisure, and </w:t>
      </w:r>
      <w:r w:rsidR="00090C68" w:rsidRPr="00CF39C8">
        <w:rPr>
          <w:bCs/>
        </w:rPr>
        <w:t>over one million</w:t>
      </w:r>
      <w:r w:rsidR="006E6A99" w:rsidRPr="00CF39C8">
        <w:rPr>
          <w:bCs/>
        </w:rPr>
        <w:t xml:space="preserve"> </w:t>
      </w:r>
      <w:r w:rsidR="00E95A57" w:rsidRPr="00CF39C8">
        <w:rPr>
          <w:bCs/>
        </w:rPr>
        <w:t xml:space="preserve">new </w:t>
      </w:r>
      <w:r w:rsidR="006E6A99" w:rsidRPr="00CF39C8">
        <w:rPr>
          <w:bCs/>
        </w:rPr>
        <w:t>vehicles across a range of different car types and brands are sold in Australia every year.</w:t>
      </w:r>
    </w:p>
    <w:p w14:paraId="0175FAFF" w14:textId="77777777" w:rsidR="009B4D0E" w:rsidRPr="00CF39C8" w:rsidRDefault="00E95A57" w:rsidP="00D31C02">
      <w:pPr>
        <w:spacing w:after="0"/>
        <w:rPr>
          <w:bCs/>
        </w:rPr>
      </w:pPr>
      <w:r w:rsidRPr="00CF39C8">
        <w:rPr>
          <w:bCs/>
        </w:rPr>
        <w:t>The Government has sought feedback from a wide range of community members, including:</w:t>
      </w:r>
    </w:p>
    <w:p w14:paraId="262ABA51" w14:textId="77777777" w:rsidR="00854F54" w:rsidRPr="00CF39C8" w:rsidRDefault="00854F54" w:rsidP="00D31C02">
      <w:pPr>
        <w:spacing w:after="0"/>
        <w:rPr>
          <w:rFonts w:ascii="Calibri" w:eastAsia="Calibri" w:hAnsi="Calibri" w:cs="Calibri"/>
        </w:rPr>
      </w:pPr>
    </w:p>
    <w:p w14:paraId="503A7950" w14:textId="77777777" w:rsidR="00D31C02" w:rsidRPr="00CF39C8" w:rsidRDefault="00E95A57" w:rsidP="00430317">
      <w:pPr>
        <w:pStyle w:val="ListParagraph"/>
        <w:numPr>
          <w:ilvl w:val="0"/>
          <w:numId w:val="43"/>
        </w:numPr>
        <w:spacing w:after="0" w:line="259" w:lineRule="auto"/>
        <w:rPr>
          <w:rFonts w:ascii="Calibri" w:eastAsia="Calibri" w:hAnsi="Calibri" w:cs="Calibri"/>
        </w:rPr>
      </w:pPr>
      <w:r w:rsidRPr="00CF39C8">
        <w:rPr>
          <w:rFonts w:ascii="Calibri" w:eastAsia="Calibri" w:hAnsi="Calibri" w:cs="Calibri"/>
        </w:rPr>
        <w:t>T</w:t>
      </w:r>
      <w:r w:rsidR="00D31C02" w:rsidRPr="00CF39C8">
        <w:rPr>
          <w:rFonts w:ascii="Calibri" w:eastAsia="Calibri" w:hAnsi="Calibri" w:cs="Calibri"/>
        </w:rPr>
        <w:t>he general public</w:t>
      </w:r>
    </w:p>
    <w:p w14:paraId="6E4CC6C4" w14:textId="77777777" w:rsidR="00E95A57" w:rsidRPr="00CF39C8" w:rsidRDefault="00EF3435" w:rsidP="00430317">
      <w:pPr>
        <w:pStyle w:val="ListParagraph"/>
        <w:numPr>
          <w:ilvl w:val="0"/>
          <w:numId w:val="43"/>
        </w:numPr>
        <w:spacing w:after="160" w:line="259" w:lineRule="auto"/>
        <w:rPr>
          <w:rFonts w:ascii="Calibri" w:eastAsia="Calibri" w:hAnsi="Calibri" w:cs="Calibri"/>
        </w:rPr>
      </w:pPr>
      <w:r w:rsidRPr="00CF39C8">
        <w:t>C</w:t>
      </w:r>
      <w:r w:rsidR="00723B83" w:rsidRPr="00CF39C8">
        <w:t>ar</w:t>
      </w:r>
      <w:r w:rsidR="00E95A57" w:rsidRPr="00CF39C8">
        <w:t xml:space="preserve"> manufacturers</w:t>
      </w:r>
    </w:p>
    <w:p w14:paraId="1272477D" w14:textId="77777777" w:rsidR="00E95A57" w:rsidRPr="00CF39C8" w:rsidRDefault="00E95A57" w:rsidP="00430317">
      <w:pPr>
        <w:pStyle w:val="ListParagraph"/>
        <w:numPr>
          <w:ilvl w:val="0"/>
          <w:numId w:val="43"/>
        </w:numPr>
        <w:spacing w:after="160" w:line="259" w:lineRule="auto"/>
        <w:rPr>
          <w:rFonts w:ascii="Calibri" w:eastAsia="Calibri" w:hAnsi="Calibri" w:cs="Calibri"/>
        </w:rPr>
      </w:pPr>
      <w:r w:rsidRPr="00CF39C8">
        <w:t xml:space="preserve">The </w:t>
      </w:r>
      <w:r w:rsidR="00723B83" w:rsidRPr="00CF39C8">
        <w:t>broader</w:t>
      </w:r>
      <w:r w:rsidRPr="00CF39C8">
        <w:t xml:space="preserve"> automotive sector</w:t>
      </w:r>
    </w:p>
    <w:p w14:paraId="452D4AAB" w14:textId="77777777" w:rsidR="00723B83" w:rsidRPr="00CF39C8" w:rsidRDefault="00E95A57" w:rsidP="00430317">
      <w:pPr>
        <w:pStyle w:val="ListParagraph"/>
        <w:numPr>
          <w:ilvl w:val="0"/>
          <w:numId w:val="43"/>
        </w:numPr>
        <w:spacing w:after="160" w:line="259" w:lineRule="auto"/>
        <w:rPr>
          <w:rFonts w:ascii="Calibri" w:eastAsia="Calibri" w:hAnsi="Calibri" w:cs="Calibri"/>
        </w:rPr>
      </w:pPr>
      <w:r w:rsidRPr="00CF39C8">
        <w:t xml:space="preserve">Non-government organisations focused on the environment, </w:t>
      </w:r>
      <w:r w:rsidR="00723B83" w:rsidRPr="00CF39C8">
        <w:t>health</w:t>
      </w:r>
      <w:r w:rsidRPr="00CF39C8">
        <w:t xml:space="preserve"> and social services</w:t>
      </w:r>
    </w:p>
    <w:p w14:paraId="75966E2A" w14:textId="77777777" w:rsidR="00E95A57" w:rsidRPr="00CF39C8" w:rsidRDefault="00723B83" w:rsidP="00430317">
      <w:pPr>
        <w:pStyle w:val="ListParagraph"/>
        <w:numPr>
          <w:ilvl w:val="0"/>
          <w:numId w:val="43"/>
        </w:numPr>
        <w:spacing w:after="160" w:line="259" w:lineRule="auto"/>
        <w:rPr>
          <w:rFonts w:ascii="Calibri" w:eastAsia="Calibri" w:hAnsi="Calibri" w:cs="Calibri"/>
        </w:rPr>
      </w:pPr>
      <w:r w:rsidRPr="00CF39C8">
        <w:t>Research institutes, think tanks and other pro</w:t>
      </w:r>
      <w:r w:rsidR="00AE5D27" w:rsidRPr="00CF39C8">
        <w:t>fes</w:t>
      </w:r>
      <w:r w:rsidRPr="00CF39C8">
        <w:t xml:space="preserve">sional </w:t>
      </w:r>
      <w:r w:rsidR="00EF3435" w:rsidRPr="00CF39C8">
        <w:t xml:space="preserve">membership </w:t>
      </w:r>
      <w:r w:rsidRPr="00CF39C8">
        <w:t>organisations</w:t>
      </w:r>
    </w:p>
    <w:p w14:paraId="270D3E9D" w14:textId="77777777" w:rsidR="00723B83" w:rsidRPr="00CF39C8"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Motoring associations</w:t>
      </w:r>
    </w:p>
    <w:p w14:paraId="4227E287" w14:textId="77777777" w:rsidR="00723B83" w:rsidRPr="00CF39C8"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 xml:space="preserve">Businesses </w:t>
      </w:r>
    </w:p>
    <w:p w14:paraId="0F2A388D" w14:textId="77777777" w:rsidR="00723B83"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The energy sector</w:t>
      </w:r>
    </w:p>
    <w:p w14:paraId="61C83517" w14:textId="77777777" w:rsidR="00204D16" w:rsidRDefault="00204D16" w:rsidP="00204D16">
      <w:pPr>
        <w:pStyle w:val="ListParagraph"/>
        <w:spacing w:after="160" w:line="259" w:lineRule="auto"/>
        <w:rPr>
          <w:rFonts w:ascii="Calibri" w:eastAsia="Calibri" w:hAnsi="Calibri" w:cs="Calibri"/>
        </w:rPr>
      </w:pPr>
    </w:p>
    <w:p w14:paraId="58A99237" w14:textId="77777777" w:rsidR="00B70A84" w:rsidRPr="00CF39C8" w:rsidRDefault="00B70A84" w:rsidP="00430317">
      <w:pPr>
        <w:pStyle w:val="Heading2"/>
        <w:numPr>
          <w:ilvl w:val="1"/>
          <w:numId w:val="64"/>
        </w:numPr>
        <w:ind w:hanging="792"/>
      </w:pPr>
      <w:bookmarkStart w:id="433" w:name="_Toc146622495"/>
      <w:bookmarkStart w:id="434" w:name="_Toc147839721"/>
      <w:bookmarkStart w:id="435" w:name="_Toc161837676"/>
      <w:bookmarkStart w:id="436" w:name="_Toc161933173"/>
      <w:bookmarkStart w:id="437" w:name="_Toc162276482"/>
      <w:bookmarkStart w:id="438" w:name="_Toc163221076"/>
      <w:r w:rsidRPr="00CF39C8">
        <w:t xml:space="preserve">Extensive public consultation has informed the design of an Australian </w:t>
      </w:r>
      <w:r w:rsidRPr="00CF39C8">
        <w:rPr>
          <w:rFonts w:cstheme="majorHAnsi"/>
        </w:rPr>
        <w:t>NVES</w:t>
      </w:r>
      <w:bookmarkEnd w:id="433"/>
      <w:bookmarkEnd w:id="434"/>
      <w:bookmarkEnd w:id="435"/>
      <w:bookmarkEnd w:id="436"/>
      <w:bookmarkEnd w:id="437"/>
      <w:bookmarkEnd w:id="438"/>
    </w:p>
    <w:p w14:paraId="7C5B202B" w14:textId="77777777" w:rsidR="00B70A84" w:rsidRPr="00CF39C8" w:rsidRDefault="00B70A84" w:rsidP="00D31C02"/>
    <w:p w14:paraId="4EEE09CE" w14:textId="77777777" w:rsidR="00B70A84" w:rsidRPr="00CF39C8" w:rsidRDefault="00BB228F" w:rsidP="00B70A84">
      <w:pPr>
        <w:rPr>
          <w:rFonts w:ascii="Calibri" w:eastAsia="Calibri" w:hAnsi="Calibri" w:cs="Calibri"/>
        </w:rPr>
      </w:pPr>
      <w:r>
        <w:t>T</w:t>
      </w:r>
      <w:r w:rsidR="00B70A84" w:rsidRPr="00CF39C8">
        <w:t xml:space="preserve">o ensure that the Government’s consultation on the </w:t>
      </w:r>
      <w:r w:rsidR="00B70A84" w:rsidRPr="00CF39C8">
        <w:rPr>
          <w:rFonts w:asciiTheme="majorHAnsi" w:hAnsiTheme="majorHAnsi" w:cstheme="majorHAnsi"/>
        </w:rPr>
        <w:t>NVES</w:t>
      </w:r>
      <w:r w:rsidR="00B70A84" w:rsidRPr="00CF39C8">
        <w:t xml:space="preserve"> was thorough and effective, three consultation processes were planned, including the consultation for the National Electric Vehicle Strategy. </w:t>
      </w:r>
      <w:r w:rsidR="003D2B37">
        <w:rPr>
          <w:rFonts w:ascii="Calibri" w:eastAsia="Calibri" w:hAnsi="Calibri" w:cs="Calibri"/>
        </w:rPr>
        <w:t>Figure 1</w:t>
      </w:r>
      <w:r w:rsidR="0023600C">
        <w:rPr>
          <w:rFonts w:ascii="Calibri" w:eastAsia="Calibri" w:hAnsi="Calibri" w:cs="Calibri"/>
        </w:rPr>
        <w:t>6</w:t>
      </w:r>
      <w:r w:rsidR="00B70A84" w:rsidRPr="00CF39C8">
        <w:rPr>
          <w:rFonts w:ascii="Calibri" w:eastAsia="Calibri" w:hAnsi="Calibri" w:cs="Calibri"/>
        </w:rPr>
        <w:t xml:space="preserve"> demonstrates the timeline of the three consultation periods. </w:t>
      </w:r>
    </w:p>
    <w:p w14:paraId="1CFB0B2A" w14:textId="77777777" w:rsidR="00B70A84" w:rsidRPr="00CF39C8" w:rsidRDefault="00BC08EC" w:rsidP="00B70A84">
      <w:pPr>
        <w:rPr>
          <w:rFonts w:ascii="Calibri" w:eastAsia="Calibri" w:hAnsi="Calibri" w:cs="Calibri"/>
        </w:rPr>
      </w:pPr>
      <w:r>
        <w:rPr>
          <w:rFonts w:ascii="Calibri" w:eastAsia="Calibri" w:hAnsi="Calibri" w:cs="Calibri"/>
          <w:noProof/>
          <w:lang w:eastAsia="en-AU"/>
        </w:rPr>
        <w:drawing>
          <wp:inline distT="0" distB="0" distL="0" distR="0" wp14:anchorId="0796B043" wp14:editId="3AF4BFA6">
            <wp:extent cx="5886450" cy="1628775"/>
            <wp:effectExtent l="0" t="0" r="0" b="9525"/>
            <wp:docPr id="2053" name="Picture 2053" descr="A diagram highlighting the key consultation stages of the new vehicle efficiency standard.&#10;&#10;Initial Consultation: National Electric Vehicle Strategy. Consultation closed 31 October 2022.&#10;Phase 1: Consultation on the design of a NVES. Consultation closed 31 May 2023.&#10;Phase 2: Consultation on the Government's preferred model. Current. Consultation closes 4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6450" cy="1628775"/>
                    </a:xfrm>
                    <a:prstGeom prst="rect">
                      <a:avLst/>
                    </a:prstGeom>
                    <a:noFill/>
                    <a:ln>
                      <a:noFill/>
                    </a:ln>
                  </pic:spPr>
                </pic:pic>
              </a:graphicData>
            </a:graphic>
          </wp:inline>
        </w:drawing>
      </w:r>
    </w:p>
    <w:p w14:paraId="65E8103D" w14:textId="77777777" w:rsidR="00B70A84" w:rsidRPr="00CF39C8" w:rsidRDefault="00B70A84" w:rsidP="00B70A84">
      <w:pPr>
        <w:pStyle w:val="Caption"/>
        <w:rPr>
          <w:rFonts w:ascii="Calibri" w:eastAsia="Calibri" w:hAnsi="Calibri" w:cs="Calibri"/>
          <w:b w:val="0"/>
        </w:rPr>
      </w:pPr>
      <w:bookmarkStart w:id="439" w:name="_Toc161837785"/>
      <w:bookmarkStart w:id="440" w:name="_Toc161933232"/>
      <w:bookmarkStart w:id="441" w:name="_Toc163221132"/>
      <w:r w:rsidRPr="00CF39C8">
        <w:t>Figure 1</w:t>
      </w:r>
      <w:r w:rsidR="0023600C">
        <w:t>6</w:t>
      </w:r>
      <w:r w:rsidRPr="00CF39C8">
        <w:t xml:space="preserve"> </w:t>
      </w:r>
      <w:r w:rsidRPr="00CF39C8">
        <w:rPr>
          <w:b w:val="0"/>
        </w:rPr>
        <w:t xml:space="preserve">– </w:t>
      </w:r>
      <w:r w:rsidRPr="00CF39C8">
        <w:rPr>
          <w:rFonts w:asciiTheme="majorHAnsi" w:hAnsiTheme="majorHAnsi" w:cstheme="majorHAnsi"/>
          <w:b w:val="0"/>
        </w:rPr>
        <w:t>NVES</w:t>
      </w:r>
      <w:r w:rsidRPr="00CF39C8">
        <w:rPr>
          <w:rFonts w:ascii="Calibri" w:eastAsia="Calibri" w:hAnsi="Calibri" w:cs="Calibri"/>
          <w:b w:val="0"/>
        </w:rPr>
        <w:t xml:space="preserve"> consultation timeline</w:t>
      </w:r>
      <w:bookmarkEnd w:id="439"/>
      <w:bookmarkEnd w:id="440"/>
      <w:bookmarkEnd w:id="441"/>
    </w:p>
    <w:p w14:paraId="12C3E707" w14:textId="77777777" w:rsidR="00B70A84" w:rsidRPr="00CF39C8" w:rsidRDefault="00B70A84" w:rsidP="00B70A84"/>
    <w:p w14:paraId="0082BC7B" w14:textId="77777777" w:rsidR="0060268A" w:rsidRPr="00CF39C8" w:rsidRDefault="0060268A" w:rsidP="00B1360D">
      <w:pPr>
        <w:spacing w:after="0" w:line="259" w:lineRule="auto"/>
        <w:rPr>
          <w:rFonts w:asciiTheme="majorHAnsi" w:hAnsiTheme="majorHAnsi" w:cstheme="majorHAnsi"/>
        </w:rPr>
      </w:pPr>
    </w:p>
    <w:p w14:paraId="3285725B" w14:textId="77777777" w:rsidR="00FA3DAF" w:rsidRDefault="00FA3DAF" w:rsidP="00B1360D">
      <w:pPr>
        <w:spacing w:after="0" w:line="259" w:lineRule="auto"/>
        <w:rPr>
          <w:rFonts w:asciiTheme="majorHAnsi" w:hAnsiTheme="majorHAnsi" w:cstheme="majorHAnsi"/>
        </w:rPr>
      </w:pPr>
    </w:p>
    <w:p w14:paraId="4480E553" w14:textId="77777777" w:rsidR="00FA3DAF" w:rsidRDefault="00FA3DAF" w:rsidP="00B1360D">
      <w:pPr>
        <w:spacing w:after="0" w:line="259" w:lineRule="auto"/>
        <w:rPr>
          <w:rFonts w:asciiTheme="majorHAnsi" w:hAnsiTheme="majorHAnsi" w:cstheme="majorHAnsi"/>
        </w:rPr>
      </w:pPr>
    </w:p>
    <w:p w14:paraId="1FEA8572" w14:textId="77777777" w:rsidR="00FA3DAF" w:rsidRDefault="00FA3DAF" w:rsidP="00B1360D">
      <w:pPr>
        <w:spacing w:after="0" w:line="259" w:lineRule="auto"/>
        <w:rPr>
          <w:rFonts w:asciiTheme="majorHAnsi" w:hAnsiTheme="majorHAnsi" w:cstheme="majorHAnsi"/>
        </w:rPr>
      </w:pPr>
    </w:p>
    <w:p w14:paraId="030E31F2" w14:textId="77777777" w:rsidR="00FA3DAF" w:rsidRPr="00CF39C8" w:rsidRDefault="00FA3DAF" w:rsidP="00B1360D">
      <w:pPr>
        <w:spacing w:after="0" w:line="259" w:lineRule="auto"/>
        <w:rPr>
          <w:rFonts w:asciiTheme="majorHAnsi" w:hAnsiTheme="majorHAnsi" w:cstheme="majorHAnsi"/>
        </w:rPr>
      </w:pPr>
    </w:p>
    <w:p w14:paraId="529EC7FC" w14:textId="77777777" w:rsidR="00EC2FB7" w:rsidRPr="00CF39C8" w:rsidRDefault="00EC2FB7" w:rsidP="00EC2FB7"/>
    <w:p w14:paraId="306AFBCC" w14:textId="77777777" w:rsidR="00EC2FB7" w:rsidRPr="00CF39C8" w:rsidRDefault="00EC2FB7" w:rsidP="00430317">
      <w:pPr>
        <w:pStyle w:val="Heading3"/>
        <w:numPr>
          <w:ilvl w:val="2"/>
          <w:numId w:val="74"/>
        </w:numPr>
        <w:ind w:left="851" w:hanging="851"/>
        <w:rPr>
          <w:b w:val="0"/>
        </w:rPr>
      </w:pPr>
      <w:bookmarkStart w:id="442" w:name="_Toc161933174"/>
      <w:bookmarkStart w:id="443" w:name="_Toc162276483"/>
      <w:bookmarkStart w:id="444" w:name="_Toc163221077"/>
      <w:r w:rsidRPr="00430317">
        <w:rPr>
          <w:sz w:val="24"/>
        </w:rPr>
        <w:t xml:space="preserve">Initial consultation for the National Electric Vehicle Strategy </w:t>
      </w:r>
      <w:r w:rsidR="0075340E">
        <w:rPr>
          <w:sz w:val="24"/>
        </w:rPr>
        <w:t xml:space="preserve"> - Sep to Oct 2022</w:t>
      </w:r>
      <w:bookmarkEnd w:id="442"/>
      <w:bookmarkEnd w:id="443"/>
      <w:bookmarkEnd w:id="444"/>
    </w:p>
    <w:p w14:paraId="134A8526" w14:textId="77777777" w:rsidR="00B70A84" w:rsidRPr="00CF39C8" w:rsidRDefault="006469FB" w:rsidP="00B1360D">
      <w:pPr>
        <w:spacing w:after="0" w:line="259" w:lineRule="auto"/>
        <w:rPr>
          <w:rFonts w:asciiTheme="majorHAnsi" w:hAnsiTheme="majorHAnsi" w:cstheme="majorHAnsi"/>
        </w:rPr>
      </w:pPr>
      <w:r>
        <w:rPr>
          <w:rFonts w:asciiTheme="majorHAnsi" w:hAnsiTheme="majorHAnsi" w:cstheme="majorHAnsi"/>
          <w:noProof/>
          <w:lang w:eastAsia="en-AU"/>
        </w:rPr>
        <w:drawing>
          <wp:inline distT="0" distB="0" distL="0" distR="0" wp14:anchorId="5A691DD1" wp14:editId="0DA9C4F4">
            <wp:extent cx="5667375" cy="7239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723900"/>
                    </a:xfrm>
                    <a:prstGeom prst="rect">
                      <a:avLst/>
                    </a:prstGeom>
                    <a:noFill/>
                    <a:ln>
                      <a:noFill/>
                    </a:ln>
                  </pic:spPr>
                </pic:pic>
              </a:graphicData>
            </a:graphic>
          </wp:inline>
        </w:drawing>
      </w:r>
    </w:p>
    <w:p w14:paraId="2CE2B396" w14:textId="77777777" w:rsidR="006469FB" w:rsidRPr="00CF39C8" w:rsidRDefault="006469FB" w:rsidP="00B1360D">
      <w:pPr>
        <w:spacing w:after="0" w:line="259" w:lineRule="auto"/>
        <w:rPr>
          <w:rFonts w:asciiTheme="majorHAnsi" w:hAnsiTheme="majorHAnsi" w:cstheme="majorHAnsi"/>
        </w:rPr>
      </w:pPr>
    </w:p>
    <w:p w14:paraId="10103E7D" w14:textId="77777777" w:rsidR="00EC14B3" w:rsidRPr="00CF39C8" w:rsidRDefault="00B1360D" w:rsidP="00B1360D">
      <w:pPr>
        <w:spacing w:after="0" w:line="259" w:lineRule="auto"/>
      </w:pPr>
      <w:r w:rsidRPr="00CF39C8">
        <w:rPr>
          <w:rFonts w:asciiTheme="majorHAnsi" w:hAnsiTheme="majorHAnsi" w:cstheme="majorHAnsi"/>
        </w:rPr>
        <w:t xml:space="preserve">In September 2022, the Government consulted the Australian community on the proposed goals, objectives and actions for the National Electric Vehicle Strategy (NEVS), which included questions about the introduction of a New Vehicle Efficiency Standard. </w:t>
      </w:r>
      <w:r w:rsidRPr="00CF39C8">
        <w:t xml:space="preserve">That consultation process received over 500 submissions from more than 200 organisations and over 1,500 individuals. </w:t>
      </w:r>
    </w:p>
    <w:p w14:paraId="5A39EF57" w14:textId="77777777" w:rsidR="00EC14B3" w:rsidRPr="00CF39C8" w:rsidRDefault="00EC14B3" w:rsidP="00B1360D">
      <w:pPr>
        <w:spacing w:after="0" w:line="259" w:lineRule="auto"/>
      </w:pPr>
    </w:p>
    <w:p w14:paraId="7B9FC3B4" w14:textId="77777777" w:rsidR="00B1360D" w:rsidRPr="00CF39C8" w:rsidRDefault="009C2F7F" w:rsidP="00B1360D">
      <w:pPr>
        <w:spacing w:after="0" w:line="259" w:lineRule="auto"/>
      </w:pPr>
      <w:r w:rsidRPr="00CF39C8">
        <w:t xml:space="preserve">Key </w:t>
      </w:r>
      <w:r w:rsidR="00B1360D" w:rsidRPr="00CF39C8">
        <w:t xml:space="preserve">feedback we heard was that an Australian </w:t>
      </w:r>
      <w:r w:rsidR="00397B97" w:rsidRPr="00CF39C8">
        <w:t xml:space="preserve">vehicle emissions </w:t>
      </w:r>
      <w:r w:rsidR="00B1360D" w:rsidRPr="00CF39C8">
        <w:t>standard is critical to making sure that Australians are able to get access to the cleaner and cheaper vehicles we need, without undue barriers and costs.</w:t>
      </w:r>
    </w:p>
    <w:p w14:paraId="3B23CE32" w14:textId="77777777" w:rsidR="00B70A84" w:rsidRPr="00CF39C8" w:rsidRDefault="00B70A84" w:rsidP="00B1360D">
      <w:pPr>
        <w:spacing w:after="0" w:line="259" w:lineRule="auto"/>
        <w:rPr>
          <w:rFonts w:asciiTheme="majorHAnsi" w:hAnsiTheme="majorHAnsi" w:cstheme="majorHAnsi"/>
        </w:rPr>
      </w:pPr>
    </w:p>
    <w:p w14:paraId="67AA2D1A" w14:textId="77777777" w:rsidR="009D5FF4" w:rsidRPr="00CF39C8" w:rsidRDefault="009D5FF4" w:rsidP="00B1360D">
      <w:pPr>
        <w:spacing w:after="0" w:line="259" w:lineRule="auto"/>
        <w:rPr>
          <w:rFonts w:asciiTheme="majorHAnsi" w:hAnsiTheme="majorHAnsi" w:cstheme="majorHAnsi"/>
        </w:rPr>
      </w:pPr>
    </w:p>
    <w:p w14:paraId="06912F97" w14:textId="77777777" w:rsidR="00B70A84" w:rsidRPr="00430317" w:rsidRDefault="00B70A84" w:rsidP="00430317">
      <w:pPr>
        <w:pStyle w:val="Heading3"/>
        <w:numPr>
          <w:ilvl w:val="2"/>
          <w:numId w:val="74"/>
        </w:numPr>
        <w:ind w:left="851" w:hanging="851"/>
        <w:rPr>
          <w:sz w:val="24"/>
        </w:rPr>
      </w:pPr>
      <w:bookmarkStart w:id="445" w:name="_Toc161933175"/>
      <w:bookmarkStart w:id="446" w:name="_Toc162276484"/>
      <w:bookmarkStart w:id="447" w:name="_Toc163221078"/>
      <w:r w:rsidRPr="00430317">
        <w:rPr>
          <w:sz w:val="24"/>
        </w:rPr>
        <w:t xml:space="preserve">Phase 1 consultation on the design of the </w:t>
      </w:r>
      <w:r w:rsidR="00A42CB6" w:rsidRPr="00430317">
        <w:rPr>
          <w:sz w:val="24"/>
        </w:rPr>
        <w:t xml:space="preserve">New Vehicle Efficiency Standard </w:t>
      </w:r>
      <w:r w:rsidR="005F5A8B" w:rsidRPr="0075340E">
        <w:rPr>
          <w:sz w:val="24"/>
        </w:rPr>
        <w:t xml:space="preserve">- </w:t>
      </w:r>
      <w:r w:rsidRPr="0075340E">
        <w:rPr>
          <w:sz w:val="24"/>
        </w:rPr>
        <w:t>Apr to May 2023</w:t>
      </w:r>
      <w:bookmarkEnd w:id="445"/>
      <w:bookmarkEnd w:id="446"/>
      <w:bookmarkEnd w:id="447"/>
    </w:p>
    <w:p w14:paraId="0ADB71F9" w14:textId="77777777" w:rsidR="00EC2FB7" w:rsidRPr="00CF39C8" w:rsidRDefault="006469FB" w:rsidP="00B1360D">
      <w:pPr>
        <w:spacing w:after="0" w:line="259" w:lineRule="auto"/>
        <w:rPr>
          <w:rFonts w:asciiTheme="majorHAnsi" w:hAnsiTheme="majorHAnsi" w:cstheme="majorHAnsi"/>
        </w:rPr>
      </w:pPr>
      <w:r>
        <w:rPr>
          <w:rFonts w:ascii="Calibri" w:eastAsia="Calibri" w:hAnsi="Calibri" w:cs="Calibri"/>
          <w:noProof/>
          <w:lang w:eastAsia="en-AU"/>
        </w:rPr>
        <w:drawing>
          <wp:inline distT="0" distB="0" distL="0" distR="0" wp14:anchorId="44F578F1" wp14:editId="182D8727">
            <wp:extent cx="6048375" cy="79057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790575"/>
                    </a:xfrm>
                    <a:prstGeom prst="rect">
                      <a:avLst/>
                    </a:prstGeom>
                    <a:noFill/>
                    <a:ln>
                      <a:noFill/>
                    </a:ln>
                  </pic:spPr>
                </pic:pic>
              </a:graphicData>
            </a:graphic>
          </wp:inline>
        </w:drawing>
      </w:r>
    </w:p>
    <w:p w14:paraId="1FB02730" w14:textId="77777777" w:rsidR="006469FB" w:rsidRDefault="006469FB" w:rsidP="00B1360D">
      <w:pPr>
        <w:spacing w:after="0" w:line="259" w:lineRule="auto"/>
        <w:rPr>
          <w:rFonts w:asciiTheme="majorHAnsi" w:hAnsiTheme="majorHAnsi" w:cstheme="majorHAnsi"/>
        </w:rPr>
      </w:pPr>
    </w:p>
    <w:p w14:paraId="43DC2C16" w14:textId="77777777" w:rsidR="00B1360D" w:rsidRPr="00CF39C8" w:rsidRDefault="00B1360D" w:rsidP="00B1360D">
      <w:pPr>
        <w:spacing w:after="0" w:line="259" w:lineRule="auto"/>
        <w:rPr>
          <w:rFonts w:asciiTheme="majorHAnsi" w:hAnsiTheme="majorHAnsi" w:cstheme="majorHAnsi"/>
        </w:rPr>
      </w:pPr>
      <w:r w:rsidRPr="00CF39C8">
        <w:rPr>
          <w:rFonts w:asciiTheme="majorHAnsi" w:hAnsiTheme="majorHAnsi" w:cstheme="majorHAnsi"/>
        </w:rPr>
        <w:t xml:space="preserve">In April 2023, the Government committed to implementing a standard. This was the central Commonwealth action of Australia’s first </w:t>
      </w:r>
      <w:r w:rsidR="00A42CB6">
        <w:rPr>
          <w:rFonts w:asciiTheme="majorHAnsi" w:hAnsiTheme="majorHAnsi" w:cstheme="majorHAnsi"/>
        </w:rPr>
        <w:t>National Electric Vehicle Strategy (the National EV Strategy)</w:t>
      </w:r>
      <w:r w:rsidRPr="00CF39C8">
        <w:rPr>
          <w:rFonts w:asciiTheme="majorHAnsi" w:hAnsiTheme="majorHAnsi" w:cstheme="majorHAnsi"/>
        </w:rPr>
        <w:t xml:space="preserve"> and followed the overwhelming feedback from stakeholders that Australia needs a mandatory standard. </w:t>
      </w:r>
      <w:r w:rsidRPr="00CF39C8">
        <w:rPr>
          <w:rFonts w:asciiTheme="majorHAnsi" w:eastAsia="Times New Roman" w:hAnsiTheme="majorHAnsi" w:cstheme="majorHAnsi"/>
        </w:rPr>
        <w:t xml:space="preserve">The </w:t>
      </w:r>
      <w:r w:rsidR="00A42CB6">
        <w:rPr>
          <w:rFonts w:asciiTheme="majorHAnsi" w:eastAsia="Times New Roman" w:hAnsiTheme="majorHAnsi" w:cstheme="majorHAnsi"/>
        </w:rPr>
        <w:t xml:space="preserve">National EV Strategy </w:t>
      </w:r>
      <w:r w:rsidRPr="00CF39C8">
        <w:rPr>
          <w:rFonts w:asciiTheme="majorHAnsi" w:eastAsia="Times New Roman" w:hAnsiTheme="majorHAnsi" w:cstheme="majorHAnsi"/>
        </w:rPr>
        <w:t>seeks to increase the supply of affordable and accessible electric vehicles, and establish the resources, systems and infrastructure to enable rapid EV uptake</w:t>
      </w:r>
      <w:r w:rsidRPr="00CF39C8">
        <w:rPr>
          <w:rFonts w:asciiTheme="majorHAnsi" w:hAnsiTheme="majorHAnsi" w:cstheme="majorHAnsi"/>
        </w:rPr>
        <w:t>.</w:t>
      </w:r>
    </w:p>
    <w:p w14:paraId="7094250D" w14:textId="77777777" w:rsidR="005F6514" w:rsidRPr="00CF39C8" w:rsidRDefault="005F6514" w:rsidP="00B1360D">
      <w:pPr>
        <w:spacing w:after="0" w:line="259" w:lineRule="auto"/>
        <w:rPr>
          <w:rFonts w:asciiTheme="majorHAnsi" w:hAnsiTheme="majorHAnsi" w:cstheme="majorHAnsi"/>
        </w:rPr>
      </w:pPr>
    </w:p>
    <w:p w14:paraId="7E5E547C" w14:textId="77777777" w:rsidR="00B1360D" w:rsidRPr="00CF39C8" w:rsidRDefault="00B1360D" w:rsidP="00B1360D">
      <w:pPr>
        <w:spacing w:after="0" w:line="259" w:lineRule="auto"/>
        <w:rPr>
          <w:rFonts w:asciiTheme="majorHAnsi" w:hAnsiTheme="majorHAnsi" w:cstheme="majorHAnsi"/>
        </w:rPr>
      </w:pPr>
      <w:r w:rsidRPr="00CF39C8">
        <w:rPr>
          <w:rFonts w:asciiTheme="majorHAnsi" w:hAnsiTheme="majorHAnsi" w:cstheme="majorHAnsi"/>
        </w:rPr>
        <w:t xml:space="preserve">At the same time the Government released the </w:t>
      </w:r>
      <w:r w:rsidR="00A42CB6">
        <w:rPr>
          <w:rFonts w:asciiTheme="majorHAnsi" w:hAnsiTheme="majorHAnsi" w:cstheme="majorHAnsi"/>
        </w:rPr>
        <w:t>National EV Strategy</w:t>
      </w:r>
      <w:r w:rsidRPr="00CF39C8">
        <w:rPr>
          <w:rFonts w:asciiTheme="majorHAnsi" w:hAnsiTheme="majorHAnsi" w:cstheme="majorHAnsi"/>
        </w:rPr>
        <w:t>, it also released a consultation paper (</w:t>
      </w:r>
      <w:r w:rsidRPr="00CF39C8">
        <w:rPr>
          <w:rFonts w:asciiTheme="majorHAnsi" w:hAnsiTheme="majorHAnsi" w:cstheme="majorHAnsi"/>
          <w:i/>
        </w:rPr>
        <w:t>Fuel Efficiency Standard – Cleaner, Cheaper to Run Cars for Australia</w:t>
      </w:r>
      <w:r w:rsidRPr="00CF39C8">
        <w:rPr>
          <w:rFonts w:asciiTheme="majorHAnsi" w:hAnsiTheme="majorHAnsi" w:cstheme="majorHAnsi"/>
        </w:rPr>
        <w:t xml:space="preserve">) (the Cleaner Cars consultation paper) asking for input on how the Government should design a </w:t>
      </w:r>
      <w:r w:rsidR="00A42CB6">
        <w:rPr>
          <w:rFonts w:asciiTheme="majorHAnsi" w:hAnsiTheme="majorHAnsi" w:cstheme="majorHAnsi"/>
        </w:rPr>
        <w:t>NVES</w:t>
      </w:r>
      <w:r w:rsidRPr="00CF39C8">
        <w:rPr>
          <w:rFonts w:asciiTheme="majorHAnsi" w:hAnsiTheme="majorHAnsi" w:cstheme="majorHAnsi"/>
        </w:rPr>
        <w:t xml:space="preserve"> suitable for Australia.</w:t>
      </w:r>
      <w:r w:rsidRPr="00CF39C8">
        <w:rPr>
          <w:rStyle w:val="EndnoteReference"/>
          <w:rFonts w:asciiTheme="majorHAnsi" w:hAnsiTheme="majorHAnsi" w:cstheme="majorHAnsi"/>
        </w:rPr>
        <w:endnoteReference w:id="48"/>
      </w:r>
      <w:r w:rsidRPr="00CF39C8">
        <w:rPr>
          <w:rFonts w:asciiTheme="majorHAnsi" w:hAnsiTheme="majorHAnsi" w:cstheme="majorHAnsi"/>
        </w:rPr>
        <w:t xml:space="preserve"> </w:t>
      </w:r>
    </w:p>
    <w:p w14:paraId="03DC277D" w14:textId="77777777" w:rsidR="00B1360D" w:rsidRPr="00CF39C8" w:rsidDel="00F15882" w:rsidRDefault="00B1360D" w:rsidP="00B1360D">
      <w:pPr>
        <w:spacing w:after="0" w:line="259" w:lineRule="auto"/>
        <w:rPr>
          <w:rFonts w:asciiTheme="majorHAnsi" w:eastAsia="Arial" w:hAnsiTheme="majorHAnsi" w:cstheme="majorHAnsi"/>
        </w:rPr>
      </w:pPr>
    </w:p>
    <w:p w14:paraId="2FE3A56D" w14:textId="6531610C" w:rsidR="00D31C02" w:rsidRPr="00CF39C8" w:rsidRDefault="00AE3ABA" w:rsidP="00D31C02">
      <w:pPr>
        <w:rPr>
          <w:rFonts w:ascii="Calibri" w:eastAsia="Calibri" w:hAnsi="Calibri" w:cs="Calibri"/>
        </w:rPr>
      </w:pPr>
      <w:r w:rsidRPr="00CF39C8">
        <w:rPr>
          <w:rFonts w:ascii="Calibri" w:eastAsia="Calibri" w:hAnsi="Calibri" w:cs="Calibri"/>
        </w:rPr>
        <w:t>Around</w:t>
      </w:r>
      <w:r w:rsidR="00D31C02" w:rsidRPr="00CF39C8">
        <w:rPr>
          <w:rFonts w:ascii="Calibri" w:eastAsia="Calibri" w:hAnsi="Calibri" w:cs="Calibri"/>
        </w:rPr>
        <w:t xml:space="preserve"> 2,700 submissions were received, </w:t>
      </w:r>
      <w:r w:rsidR="00AF0238" w:rsidRPr="00CF39C8">
        <w:rPr>
          <w:rFonts w:ascii="Calibri" w:eastAsia="Calibri" w:hAnsi="Calibri" w:cs="Calibri"/>
        </w:rPr>
        <w:t>including submissions from around</w:t>
      </w:r>
      <w:r w:rsidR="00D31C02" w:rsidRPr="00CF39C8">
        <w:rPr>
          <w:rFonts w:ascii="Calibri" w:eastAsia="Calibri" w:hAnsi="Calibri" w:cs="Calibri"/>
        </w:rPr>
        <w:t xml:space="preserve"> 120 organisations</w:t>
      </w:r>
      <w:r w:rsidR="00AF0238" w:rsidRPr="00CF39C8">
        <w:rPr>
          <w:rFonts w:ascii="Calibri" w:eastAsia="Calibri" w:hAnsi="Calibri" w:cs="Calibri"/>
        </w:rPr>
        <w:t xml:space="preserve">. </w:t>
      </w:r>
      <w:r w:rsidR="00D31C02" w:rsidRPr="00CF39C8">
        <w:rPr>
          <w:rFonts w:ascii="Calibri" w:eastAsia="Calibri" w:hAnsi="Calibri" w:cs="Calibri"/>
        </w:rPr>
        <w:t>The organisations included</w:t>
      </w:r>
      <w:r w:rsidR="00AF0238" w:rsidRPr="00CF39C8">
        <w:rPr>
          <w:rFonts w:ascii="Calibri" w:eastAsia="Calibri" w:hAnsi="Calibri" w:cs="Calibri"/>
        </w:rPr>
        <w:t xml:space="preserve"> car manufacturers</w:t>
      </w:r>
      <w:r w:rsidR="00D31C02" w:rsidRPr="00CF39C8">
        <w:rPr>
          <w:rFonts w:ascii="Calibri" w:eastAsia="Calibri" w:hAnsi="Calibri" w:cs="Calibri"/>
        </w:rPr>
        <w:t>, climate</w:t>
      </w:r>
      <w:r w:rsidR="00AF0238" w:rsidRPr="00CF39C8">
        <w:rPr>
          <w:rFonts w:ascii="Calibri" w:eastAsia="Calibri" w:hAnsi="Calibri" w:cs="Calibri"/>
        </w:rPr>
        <w:t xml:space="preserve">, environment, health and social service </w:t>
      </w:r>
      <w:r w:rsidR="00D31C02" w:rsidRPr="00CF39C8">
        <w:rPr>
          <w:rFonts w:ascii="Calibri" w:eastAsia="Calibri" w:hAnsi="Calibri" w:cs="Calibri"/>
        </w:rPr>
        <w:t xml:space="preserve">groups, motoring associations, </w:t>
      </w:r>
      <w:r w:rsidR="00AF0238" w:rsidRPr="00CF39C8">
        <w:rPr>
          <w:rFonts w:ascii="Calibri" w:eastAsia="Calibri" w:hAnsi="Calibri" w:cs="Calibri"/>
        </w:rPr>
        <w:t xml:space="preserve">the </w:t>
      </w:r>
      <w:r w:rsidR="00D31C02" w:rsidRPr="00CF39C8">
        <w:rPr>
          <w:rFonts w:ascii="Calibri" w:eastAsia="Calibri" w:hAnsi="Calibri" w:cs="Calibri"/>
        </w:rPr>
        <w:t xml:space="preserve">energy and petroleum industry, </w:t>
      </w:r>
      <w:r w:rsidR="00AF0238" w:rsidRPr="00CF39C8">
        <w:rPr>
          <w:rFonts w:ascii="Calibri" w:eastAsia="Calibri" w:hAnsi="Calibri" w:cs="Calibri"/>
        </w:rPr>
        <w:t xml:space="preserve">unions, research institutions </w:t>
      </w:r>
      <w:r w:rsidR="00D31C02" w:rsidRPr="00CF39C8">
        <w:rPr>
          <w:rFonts w:ascii="Calibri" w:eastAsia="Calibri" w:hAnsi="Calibri" w:cs="Calibri"/>
        </w:rPr>
        <w:t xml:space="preserve">and </w:t>
      </w:r>
      <w:r w:rsidR="00AF0238" w:rsidRPr="00CF39C8">
        <w:rPr>
          <w:rFonts w:ascii="Calibri" w:eastAsia="Calibri" w:hAnsi="Calibri" w:cs="Calibri"/>
        </w:rPr>
        <w:t>a range of entities across all levels of government</w:t>
      </w:r>
      <w:r w:rsidR="00D31C02" w:rsidRPr="00CF39C8">
        <w:rPr>
          <w:rFonts w:ascii="Calibri" w:eastAsia="Calibri" w:hAnsi="Calibri" w:cs="Calibri"/>
        </w:rPr>
        <w:t xml:space="preserve">. </w:t>
      </w:r>
      <w:r w:rsidR="0021784D" w:rsidRPr="00ED0AB8">
        <w:rPr>
          <w:rFonts w:ascii="Calibri" w:eastAsia="Calibri" w:hAnsi="Calibri" w:cs="Calibri"/>
        </w:rPr>
        <w:fldChar w:fldCharType="begin"/>
      </w:r>
      <w:r w:rsidR="0021784D" w:rsidRPr="00ED0AB8">
        <w:rPr>
          <w:rFonts w:ascii="Calibri" w:eastAsia="Calibri" w:hAnsi="Calibri" w:cs="Calibri"/>
        </w:rPr>
        <w:instrText xml:space="preserve"> REF _Ref153982278 \h </w:instrText>
      </w:r>
      <w:r w:rsidR="00760470" w:rsidRPr="00ED0AB8">
        <w:rPr>
          <w:rFonts w:ascii="Calibri" w:eastAsia="Calibri" w:hAnsi="Calibri" w:cs="Calibri"/>
        </w:rPr>
        <w:instrText xml:space="preserve"> \* MERGEFORMAT </w:instrText>
      </w:r>
      <w:r w:rsidR="0021784D" w:rsidRPr="00ED0AB8">
        <w:rPr>
          <w:rFonts w:ascii="Calibri" w:eastAsia="Calibri" w:hAnsi="Calibri" w:cs="Calibri"/>
        </w:rPr>
      </w:r>
      <w:r w:rsidR="0021784D" w:rsidRPr="00ED0AB8">
        <w:rPr>
          <w:rFonts w:ascii="Calibri" w:eastAsia="Calibri" w:hAnsi="Calibri" w:cs="Calibri"/>
        </w:rPr>
        <w:fldChar w:fldCharType="separate"/>
      </w:r>
      <w:r w:rsidR="00617987" w:rsidRPr="00CF39C8">
        <w:t xml:space="preserve">Figure </w:t>
      </w:r>
      <w:r w:rsidR="0021784D" w:rsidRPr="00ED0AB8">
        <w:rPr>
          <w:rFonts w:ascii="Calibri" w:eastAsia="Calibri" w:hAnsi="Calibri" w:cs="Calibri"/>
        </w:rPr>
        <w:fldChar w:fldCharType="end"/>
      </w:r>
      <w:r w:rsidR="001036FE" w:rsidRPr="00ED0AB8">
        <w:rPr>
          <w:rFonts w:ascii="Calibri" w:eastAsia="Calibri" w:hAnsi="Calibri" w:cs="Calibri"/>
        </w:rPr>
        <w:t>1</w:t>
      </w:r>
      <w:r w:rsidR="0023600C">
        <w:rPr>
          <w:rFonts w:ascii="Calibri" w:eastAsia="Calibri" w:hAnsi="Calibri" w:cs="Calibri"/>
        </w:rPr>
        <w:t>7</w:t>
      </w:r>
      <w:r w:rsidR="00D31C02" w:rsidRPr="00CF39C8">
        <w:rPr>
          <w:rFonts w:ascii="Calibri" w:eastAsia="Calibri" w:hAnsi="Calibri" w:cs="Calibri"/>
        </w:rPr>
        <w:t xml:space="preserve"> provides an overview of the categorical spread of organisation responses. </w:t>
      </w:r>
    </w:p>
    <w:p w14:paraId="4B4E1738" w14:textId="77777777" w:rsidR="003F67A5" w:rsidRDefault="003F67A5" w:rsidP="00D31C02">
      <w:pPr>
        <w:rPr>
          <w:rFonts w:ascii="Calibri" w:eastAsia="Calibri" w:hAnsi="Calibri" w:cs="Calibri"/>
        </w:rPr>
      </w:pPr>
      <w:r w:rsidRPr="00CF39C8">
        <w:rPr>
          <w:rFonts w:ascii="Calibri" w:eastAsia="Calibri" w:hAnsi="Calibri" w:cs="Calibri"/>
        </w:rPr>
        <w:t xml:space="preserve">In addition to the release of the consultation paper, a series of individual consultation meetings were held </w:t>
      </w:r>
      <w:r w:rsidR="00522235" w:rsidRPr="00CF39C8">
        <w:rPr>
          <w:rFonts w:ascii="Calibri" w:eastAsia="Calibri" w:hAnsi="Calibri" w:cs="Calibri"/>
        </w:rPr>
        <w:t>with key</w:t>
      </w:r>
      <w:r w:rsidRPr="00CF39C8">
        <w:rPr>
          <w:rFonts w:ascii="Calibri" w:eastAsia="Calibri" w:hAnsi="Calibri" w:cs="Calibri"/>
        </w:rPr>
        <w:t xml:space="preserve"> stakeholders </w:t>
      </w:r>
      <w:r w:rsidR="0097569D" w:rsidRPr="00CF39C8">
        <w:rPr>
          <w:rFonts w:ascii="Calibri" w:eastAsia="Calibri" w:hAnsi="Calibri" w:cs="Calibri"/>
        </w:rPr>
        <w:t xml:space="preserve">as well as a face-to-face roundtable </w:t>
      </w:r>
      <w:r w:rsidRPr="00CF39C8">
        <w:rPr>
          <w:rFonts w:ascii="Calibri" w:eastAsia="Calibri" w:hAnsi="Calibri" w:cs="Calibri"/>
        </w:rPr>
        <w:t>on 1 June</w:t>
      </w:r>
      <w:r w:rsidR="00EC14B3" w:rsidRPr="00CF39C8">
        <w:rPr>
          <w:rFonts w:ascii="Calibri" w:eastAsia="Calibri" w:hAnsi="Calibri" w:cs="Calibri"/>
        </w:rPr>
        <w:t xml:space="preserve"> 2023</w:t>
      </w:r>
      <w:r w:rsidRPr="00CF39C8">
        <w:rPr>
          <w:rFonts w:ascii="Calibri" w:eastAsia="Calibri" w:hAnsi="Calibri" w:cs="Calibri"/>
        </w:rPr>
        <w:t>.</w:t>
      </w:r>
    </w:p>
    <w:p w14:paraId="0DDDAA45" w14:textId="77777777" w:rsidR="002265C2" w:rsidRDefault="002265C2" w:rsidP="002265C2">
      <w:pPr>
        <w:rPr>
          <w:rFonts w:asciiTheme="majorHAnsi" w:eastAsia="Arial" w:hAnsiTheme="majorHAnsi" w:cstheme="majorHAnsi"/>
        </w:rPr>
      </w:pPr>
      <w:r w:rsidRPr="00CF39C8">
        <w:rPr>
          <w:rFonts w:asciiTheme="majorHAnsi" w:eastAsia="Arial" w:hAnsiTheme="majorHAnsi" w:cstheme="majorHAnsi"/>
        </w:rPr>
        <w:t xml:space="preserve">Many submissions to the </w:t>
      </w:r>
      <w:r w:rsidRPr="00CF39C8">
        <w:rPr>
          <w:rFonts w:asciiTheme="majorHAnsi" w:hAnsiTheme="majorHAnsi" w:cstheme="majorHAnsi"/>
        </w:rPr>
        <w:t xml:space="preserve">NVES </w:t>
      </w:r>
      <w:r w:rsidRPr="00CF39C8">
        <w:rPr>
          <w:rFonts w:asciiTheme="majorHAnsi" w:eastAsia="Arial" w:hAnsiTheme="majorHAnsi" w:cstheme="majorHAnsi"/>
        </w:rPr>
        <w:t xml:space="preserve">consultation paper indicated that they could be published. As a result, around 1,200 submissions were published on the </w:t>
      </w:r>
      <w:r w:rsidRPr="0075340E">
        <w:t>cleanercars.gov.au</w:t>
      </w:r>
      <w:r w:rsidRPr="00CF39C8">
        <w:rPr>
          <w:rFonts w:asciiTheme="majorHAnsi" w:eastAsia="Arial" w:hAnsiTheme="majorHAnsi" w:cstheme="majorHAnsi"/>
        </w:rPr>
        <w:t xml:space="preserve"> website. </w:t>
      </w:r>
    </w:p>
    <w:p w14:paraId="0BD9D443" w14:textId="77777777" w:rsidR="00441E68" w:rsidRDefault="00441E68" w:rsidP="00450A1D">
      <w:pPr>
        <w:rPr>
          <w:rFonts w:ascii="Calibri" w:eastAsia="Calibri" w:hAnsi="Calibri" w:cs="Calibri"/>
        </w:rPr>
      </w:pPr>
    </w:p>
    <w:p w14:paraId="3EB0D4D9" w14:textId="77777777" w:rsidR="00441E68" w:rsidRDefault="00441E68" w:rsidP="00450A1D">
      <w:pPr>
        <w:rPr>
          <w:rFonts w:ascii="Calibri" w:eastAsia="Calibri" w:hAnsi="Calibri" w:cs="Calibri"/>
        </w:rPr>
      </w:pPr>
    </w:p>
    <w:p w14:paraId="20E25FC0" w14:textId="77777777" w:rsidR="00441E68" w:rsidRDefault="00441E68" w:rsidP="00450A1D">
      <w:pPr>
        <w:rPr>
          <w:rFonts w:ascii="Calibri" w:eastAsia="Calibri" w:hAnsi="Calibri" w:cs="Calibri"/>
        </w:rPr>
      </w:pPr>
    </w:p>
    <w:p w14:paraId="27801734" w14:textId="77777777" w:rsidR="00441E68" w:rsidRDefault="00441E68" w:rsidP="00450A1D">
      <w:pPr>
        <w:rPr>
          <w:rFonts w:ascii="Calibri" w:eastAsia="Calibri" w:hAnsi="Calibri" w:cs="Calibri"/>
        </w:rPr>
      </w:pPr>
    </w:p>
    <w:p w14:paraId="7806E02F" w14:textId="77777777" w:rsidR="00441E68" w:rsidRDefault="00441E68" w:rsidP="00450A1D">
      <w:pPr>
        <w:rPr>
          <w:rFonts w:ascii="Calibri" w:eastAsia="Calibri" w:hAnsi="Calibri" w:cs="Calibri"/>
        </w:rPr>
      </w:pPr>
    </w:p>
    <w:p w14:paraId="3AD3510D" w14:textId="77777777" w:rsidR="00450A1D" w:rsidRPr="00CF39C8" w:rsidRDefault="00450A1D" w:rsidP="00450A1D">
      <w:pPr>
        <w:rPr>
          <w:rFonts w:ascii="Calibri" w:eastAsia="Calibri" w:hAnsi="Calibri" w:cs="Calibri"/>
        </w:rPr>
      </w:pPr>
      <w:r w:rsidRPr="00CF39C8">
        <w:rPr>
          <w:rFonts w:ascii="Calibri" w:eastAsia="Calibri" w:hAnsi="Calibri" w:cs="Calibri"/>
        </w:rPr>
        <w:t>It is important to note</w:t>
      </w:r>
      <w:r>
        <w:rPr>
          <w:rFonts w:ascii="Calibri" w:eastAsia="Calibri" w:hAnsi="Calibri" w:cs="Calibri"/>
        </w:rPr>
        <w:t xml:space="preserve"> that not all</w:t>
      </w:r>
      <w:r w:rsidRPr="00CF39C8">
        <w:rPr>
          <w:rFonts w:ascii="Calibri" w:eastAsia="Calibri" w:hAnsi="Calibri" w:cs="Calibri"/>
        </w:rPr>
        <w:t xml:space="preserve"> submissions</w:t>
      </w:r>
      <w:r w:rsidR="00441E68">
        <w:rPr>
          <w:rFonts w:ascii="Calibri" w:eastAsia="Calibri" w:hAnsi="Calibri" w:cs="Calibri"/>
        </w:rPr>
        <w:t xml:space="preserve"> from individuals</w:t>
      </w:r>
      <w:r w:rsidRPr="00CF39C8">
        <w:rPr>
          <w:rFonts w:ascii="Calibri" w:eastAsia="Calibri" w:hAnsi="Calibri" w:cs="Calibri"/>
        </w:rPr>
        <w:t xml:space="preserve"> </w:t>
      </w:r>
      <w:r>
        <w:rPr>
          <w:rFonts w:ascii="Calibri" w:eastAsia="Calibri" w:hAnsi="Calibri" w:cs="Calibri"/>
        </w:rPr>
        <w:t>commented on every</w:t>
      </w:r>
      <w:r w:rsidRPr="00CF39C8">
        <w:rPr>
          <w:rFonts w:ascii="Calibri" w:eastAsia="Calibri" w:hAnsi="Calibri" w:cs="Calibri"/>
        </w:rPr>
        <w:t xml:space="preserve"> element of the </w:t>
      </w:r>
      <w:r w:rsidRPr="00CF39C8">
        <w:rPr>
          <w:rFonts w:asciiTheme="majorHAnsi" w:hAnsiTheme="majorHAnsi" w:cstheme="majorHAnsi"/>
        </w:rPr>
        <w:t xml:space="preserve">NVES </w:t>
      </w:r>
      <w:r w:rsidRPr="00CF39C8">
        <w:rPr>
          <w:rFonts w:ascii="Calibri" w:eastAsia="Calibri" w:hAnsi="Calibri" w:cs="Calibri"/>
        </w:rPr>
        <w:t xml:space="preserve">design. However, as </w:t>
      </w:r>
      <w:r w:rsidRPr="00ED0AB8">
        <w:rPr>
          <w:rFonts w:ascii="Calibri" w:eastAsia="Calibri" w:hAnsi="Calibri" w:cs="Calibri"/>
        </w:rPr>
        <w:t>Figure 1</w:t>
      </w:r>
      <w:r w:rsidR="0023600C">
        <w:rPr>
          <w:rFonts w:ascii="Calibri" w:eastAsia="Calibri" w:hAnsi="Calibri" w:cs="Calibri"/>
        </w:rPr>
        <w:t>7</w:t>
      </w:r>
      <w:r>
        <w:rPr>
          <w:rFonts w:ascii="Calibri" w:eastAsia="Calibri" w:hAnsi="Calibri" w:cs="Calibri"/>
        </w:rPr>
        <w:t xml:space="preserve"> </w:t>
      </w:r>
      <w:r w:rsidRPr="00CF39C8">
        <w:rPr>
          <w:rFonts w:ascii="Calibri" w:eastAsia="Calibri" w:hAnsi="Calibri" w:cs="Calibri"/>
        </w:rPr>
        <w:t xml:space="preserve">shows, </w:t>
      </w:r>
      <w:r w:rsidR="00441E68">
        <w:rPr>
          <w:rFonts w:ascii="Calibri" w:eastAsia="Calibri" w:hAnsi="Calibri" w:cs="Calibri"/>
        </w:rPr>
        <w:t>individuals</w:t>
      </w:r>
      <w:r w:rsidRPr="00CF39C8">
        <w:rPr>
          <w:rFonts w:ascii="Calibri" w:eastAsia="Calibri" w:hAnsi="Calibri" w:cs="Calibri"/>
        </w:rPr>
        <w:t xml:space="preserve"> </w:t>
      </w:r>
      <w:r>
        <w:rPr>
          <w:rFonts w:ascii="Calibri" w:eastAsia="Calibri" w:hAnsi="Calibri" w:cs="Calibri"/>
        </w:rPr>
        <w:t>raised a number of</w:t>
      </w:r>
      <w:r w:rsidRPr="00CF39C8">
        <w:rPr>
          <w:rFonts w:ascii="Calibri" w:eastAsia="Calibri" w:hAnsi="Calibri" w:cs="Calibri"/>
        </w:rPr>
        <w:t xml:space="preserve"> themes which further demonstrate the diverse views of the </w:t>
      </w:r>
      <w:r>
        <w:rPr>
          <w:rFonts w:ascii="Calibri" w:eastAsia="Calibri" w:hAnsi="Calibri" w:cs="Calibri"/>
        </w:rPr>
        <w:t xml:space="preserve">community </w:t>
      </w:r>
      <w:r w:rsidR="00441E68">
        <w:rPr>
          <w:rFonts w:ascii="Calibri" w:eastAsia="Calibri" w:hAnsi="Calibri" w:cs="Calibri"/>
        </w:rPr>
        <w:t>and those who participated in the Phase 1 consultation</w:t>
      </w:r>
      <w:r w:rsidRPr="00CF39C8">
        <w:rPr>
          <w:rFonts w:ascii="Calibri" w:eastAsia="Calibri" w:hAnsi="Calibri" w:cs="Calibri"/>
        </w:rPr>
        <w:t xml:space="preserve">. </w:t>
      </w:r>
    </w:p>
    <w:p w14:paraId="57D941CD" w14:textId="77777777" w:rsidR="00450A1D" w:rsidRPr="00450A1D" w:rsidRDefault="00450A1D" w:rsidP="00450A1D">
      <w:pPr>
        <w:rPr>
          <w:rStyle w:val="Heading5Char"/>
          <w:b/>
          <w:i w:val="0"/>
        </w:rPr>
      </w:pPr>
    </w:p>
    <w:p w14:paraId="44BE4CC2" w14:textId="77777777" w:rsidR="00450A1D" w:rsidRDefault="00450A1D" w:rsidP="00450A1D">
      <w:pPr>
        <w:rPr>
          <w:rStyle w:val="Heading5Char"/>
          <w:b/>
        </w:rPr>
      </w:pPr>
    </w:p>
    <w:p w14:paraId="53938EE9" w14:textId="77777777" w:rsidR="00450A1D" w:rsidRDefault="00450A1D" w:rsidP="00450A1D">
      <w:pPr>
        <w:rPr>
          <w:rStyle w:val="Heading5Char"/>
          <w:b/>
        </w:rPr>
      </w:pPr>
    </w:p>
    <w:p w14:paraId="5EDE51B7" w14:textId="77777777" w:rsidR="00450A1D" w:rsidRDefault="00450A1D" w:rsidP="00450A1D">
      <w:pPr>
        <w:rPr>
          <w:rStyle w:val="Heading5Char"/>
          <w:b/>
        </w:rPr>
      </w:pPr>
      <w:r w:rsidRPr="00CF39C8">
        <w:rPr>
          <w:rStyle w:val="Heading5Char"/>
          <w:b/>
          <w:noProof/>
          <w:lang w:eastAsia="en-AU"/>
        </w:rPr>
        <w:drawing>
          <wp:anchor distT="0" distB="0" distL="114300" distR="114300" simplePos="0" relativeHeight="251658252" behindDoc="1" locked="0" layoutInCell="1" allowOverlap="1" wp14:anchorId="25A68F3A" wp14:editId="01D1766C">
            <wp:simplePos x="0" y="0"/>
            <wp:positionH relativeFrom="margin">
              <wp:posOffset>607060</wp:posOffset>
            </wp:positionH>
            <wp:positionV relativeFrom="paragraph">
              <wp:posOffset>7620</wp:posOffset>
            </wp:positionV>
            <wp:extent cx="4812030" cy="4738370"/>
            <wp:effectExtent l="0" t="0" r="7620" b="5080"/>
            <wp:wrapTight wrapText="bothSides">
              <wp:wrapPolygon edited="0">
                <wp:start x="0" y="0"/>
                <wp:lineTo x="0" y="21536"/>
                <wp:lineTo x="21549" y="21536"/>
                <wp:lineTo x="21549" y="0"/>
                <wp:lineTo x="0" y="0"/>
              </wp:wrapPolygon>
            </wp:wrapTight>
            <wp:docPr id="19" name="Picture 19" descr="A word cloud in a shape of a text bubble. There is a collection of key words and phrases used by respondents during the consultation period in 2023. The words within the text bubble include:&#10;FES needed.&#10;Charging infrastructure.&#10;Noxious emissions.&#10;Ambitious.&#10;Urgent.&#10;Affordability.&#10;Transparency.&#10;Petrol prices.&#10;Penalties.&#10;Safety.&#10;Carbon trading.&#10;Farming.&#10;Regional.&#10;Regular reviews.&#10;Super credits or technology credits.&#10;Adopt NZ/EU/USA FES.&#10;100% EV by 2035.&#10;I want an EV.&#10;Headline limit.&#10;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12030" cy="4738370"/>
                    </a:xfrm>
                    <a:prstGeom prst="rect">
                      <a:avLst/>
                    </a:prstGeom>
                  </pic:spPr>
                </pic:pic>
              </a:graphicData>
            </a:graphic>
            <wp14:sizeRelH relativeFrom="margin">
              <wp14:pctWidth>0</wp14:pctWidth>
            </wp14:sizeRelH>
            <wp14:sizeRelV relativeFrom="margin">
              <wp14:pctHeight>0</wp14:pctHeight>
            </wp14:sizeRelV>
          </wp:anchor>
        </w:drawing>
      </w:r>
    </w:p>
    <w:p w14:paraId="11F1C7DA" w14:textId="77777777" w:rsidR="00450A1D" w:rsidRDefault="00450A1D" w:rsidP="00450A1D">
      <w:pPr>
        <w:rPr>
          <w:rStyle w:val="Heading5Char"/>
          <w:b/>
        </w:rPr>
      </w:pPr>
    </w:p>
    <w:p w14:paraId="038CBF08" w14:textId="77777777" w:rsidR="00450A1D" w:rsidRDefault="00450A1D" w:rsidP="00450A1D">
      <w:pPr>
        <w:rPr>
          <w:rStyle w:val="Heading5Char"/>
          <w:b/>
        </w:rPr>
      </w:pPr>
    </w:p>
    <w:p w14:paraId="4989384C" w14:textId="77777777" w:rsidR="00450A1D" w:rsidRPr="00CF39C8" w:rsidRDefault="00450A1D" w:rsidP="00450A1D">
      <w:pPr>
        <w:rPr>
          <w:rFonts w:asciiTheme="majorHAnsi" w:eastAsiaTheme="majorEastAsia" w:hAnsiTheme="majorHAnsi" w:cstheme="majorBidi"/>
          <w:b/>
          <w:i/>
          <w:iCs/>
          <w:sz w:val="22"/>
          <w:szCs w:val="22"/>
        </w:rPr>
      </w:pPr>
    </w:p>
    <w:p w14:paraId="3041A3C3" w14:textId="77777777" w:rsidR="00450A1D" w:rsidRDefault="00450A1D" w:rsidP="00450A1D">
      <w:pPr>
        <w:pStyle w:val="Caption"/>
        <w:ind w:left="6480" w:hanging="1518"/>
      </w:pPr>
    </w:p>
    <w:p w14:paraId="613435BF" w14:textId="77777777" w:rsidR="00450A1D" w:rsidRDefault="00450A1D" w:rsidP="00450A1D">
      <w:pPr>
        <w:pStyle w:val="Caption"/>
        <w:ind w:left="6480" w:hanging="1518"/>
      </w:pPr>
    </w:p>
    <w:p w14:paraId="2AFECC49" w14:textId="77777777" w:rsidR="00450A1D" w:rsidRDefault="00450A1D" w:rsidP="00450A1D">
      <w:pPr>
        <w:pStyle w:val="Caption"/>
        <w:ind w:left="6480" w:hanging="1518"/>
      </w:pPr>
    </w:p>
    <w:p w14:paraId="0BEFD594" w14:textId="77777777" w:rsidR="00450A1D" w:rsidRDefault="00450A1D" w:rsidP="00450A1D">
      <w:pPr>
        <w:pStyle w:val="Caption"/>
        <w:ind w:left="6480" w:hanging="1518"/>
      </w:pPr>
    </w:p>
    <w:p w14:paraId="0AE14611" w14:textId="77777777" w:rsidR="00450A1D" w:rsidRDefault="00450A1D" w:rsidP="00450A1D">
      <w:pPr>
        <w:pStyle w:val="Caption"/>
        <w:ind w:left="6480" w:hanging="1518"/>
      </w:pPr>
    </w:p>
    <w:p w14:paraId="7F49AF99" w14:textId="77777777" w:rsidR="00450A1D" w:rsidRDefault="00450A1D" w:rsidP="00450A1D">
      <w:pPr>
        <w:pStyle w:val="Caption"/>
        <w:ind w:left="6480" w:hanging="1518"/>
      </w:pPr>
    </w:p>
    <w:p w14:paraId="48E26DFA" w14:textId="77777777" w:rsidR="00450A1D" w:rsidRDefault="00450A1D" w:rsidP="00450A1D">
      <w:pPr>
        <w:pStyle w:val="Caption"/>
        <w:ind w:left="6480" w:hanging="1518"/>
      </w:pPr>
    </w:p>
    <w:p w14:paraId="31A1F127" w14:textId="77777777" w:rsidR="00450A1D" w:rsidRDefault="00450A1D" w:rsidP="00450A1D">
      <w:pPr>
        <w:pStyle w:val="Caption"/>
        <w:ind w:left="6480" w:hanging="1518"/>
      </w:pPr>
    </w:p>
    <w:p w14:paraId="2CAD3D23" w14:textId="77777777" w:rsidR="00450A1D" w:rsidRDefault="00450A1D" w:rsidP="00450A1D">
      <w:pPr>
        <w:pStyle w:val="Caption"/>
        <w:ind w:left="6480" w:hanging="1518"/>
      </w:pPr>
    </w:p>
    <w:p w14:paraId="0D0F24A3" w14:textId="77777777" w:rsidR="00450A1D" w:rsidRDefault="00450A1D" w:rsidP="00450A1D">
      <w:pPr>
        <w:pStyle w:val="Caption"/>
        <w:ind w:left="6480" w:hanging="1518"/>
      </w:pPr>
    </w:p>
    <w:p w14:paraId="18FD282E" w14:textId="77777777" w:rsidR="00450A1D" w:rsidRDefault="00450A1D" w:rsidP="00450A1D">
      <w:pPr>
        <w:pStyle w:val="Caption"/>
        <w:ind w:left="6480" w:hanging="1518"/>
      </w:pPr>
    </w:p>
    <w:p w14:paraId="42FB3192" w14:textId="77777777" w:rsidR="00450A1D" w:rsidRDefault="00450A1D" w:rsidP="00450A1D">
      <w:pPr>
        <w:pStyle w:val="Caption"/>
        <w:ind w:left="6480" w:hanging="1518"/>
      </w:pPr>
    </w:p>
    <w:p w14:paraId="39A9851B" w14:textId="77777777" w:rsidR="00450A1D" w:rsidRDefault="00450A1D" w:rsidP="00450A1D">
      <w:pPr>
        <w:pStyle w:val="Caption"/>
        <w:ind w:left="6480" w:hanging="1518"/>
      </w:pPr>
    </w:p>
    <w:p w14:paraId="37643932" w14:textId="77777777" w:rsidR="00450A1D" w:rsidRDefault="00450A1D" w:rsidP="00450A1D">
      <w:pPr>
        <w:pStyle w:val="Caption"/>
        <w:ind w:left="6480" w:hanging="1518"/>
      </w:pPr>
    </w:p>
    <w:p w14:paraId="1AF30B95" w14:textId="77777777" w:rsidR="00450A1D" w:rsidRDefault="00450A1D" w:rsidP="00450A1D">
      <w:pPr>
        <w:pStyle w:val="Caption"/>
        <w:ind w:left="6480" w:hanging="1518"/>
      </w:pPr>
    </w:p>
    <w:p w14:paraId="7910137D" w14:textId="77777777" w:rsidR="00450A1D" w:rsidRDefault="00450A1D" w:rsidP="00450A1D">
      <w:pPr>
        <w:pStyle w:val="Caption"/>
        <w:ind w:left="6480" w:hanging="1518"/>
      </w:pPr>
    </w:p>
    <w:p w14:paraId="78C8A3BC" w14:textId="77777777" w:rsidR="00450A1D" w:rsidRPr="00CF39C8" w:rsidRDefault="00450A1D" w:rsidP="00450A1D">
      <w:pPr>
        <w:pStyle w:val="Caption"/>
        <w:ind w:left="6480" w:hanging="1518"/>
        <w:rPr>
          <w:rFonts w:asciiTheme="majorHAnsi" w:eastAsia="Arial" w:hAnsiTheme="majorHAnsi" w:cstheme="majorHAnsi"/>
        </w:rPr>
      </w:pPr>
      <w:bookmarkStart w:id="448" w:name="_Toc161933233"/>
      <w:bookmarkStart w:id="449" w:name="_Toc163221133"/>
      <w:r w:rsidRPr="00CF39C8">
        <w:t>Figure 1</w:t>
      </w:r>
      <w:r w:rsidR="0023600C">
        <w:t>7</w:t>
      </w:r>
      <w:r w:rsidRPr="00CF39C8">
        <w:t xml:space="preserve"> –</w:t>
      </w:r>
      <w:r w:rsidRPr="00CF39C8">
        <w:rPr>
          <w:rFonts w:ascii="Calibri" w:eastAsia="Calibri" w:hAnsi="Calibri" w:cs="Calibri"/>
          <w:b w:val="0"/>
        </w:rPr>
        <w:t xml:space="preserve"> Key themes from </w:t>
      </w:r>
      <w:r w:rsidRPr="00CF39C8">
        <w:rPr>
          <w:rFonts w:asciiTheme="majorHAnsi" w:hAnsiTheme="majorHAnsi" w:cstheme="majorHAnsi"/>
          <w:b w:val="0"/>
        </w:rPr>
        <w:t>the</w:t>
      </w:r>
      <w:r w:rsidRPr="00CF39C8">
        <w:rPr>
          <w:rFonts w:ascii="Calibri" w:eastAsia="Calibri" w:hAnsi="Calibri" w:cs="Calibri"/>
          <w:b w:val="0"/>
        </w:rPr>
        <w:t xml:space="preserve"> Phase 1 </w:t>
      </w:r>
      <w:r w:rsidR="007336C5">
        <w:rPr>
          <w:rFonts w:ascii="Calibri" w:eastAsia="Calibri" w:hAnsi="Calibri" w:cs="Calibri"/>
          <w:b w:val="0"/>
        </w:rPr>
        <w:t>c</w:t>
      </w:r>
      <w:r w:rsidRPr="00CF39C8">
        <w:rPr>
          <w:rFonts w:ascii="Calibri" w:eastAsia="Calibri" w:hAnsi="Calibri" w:cs="Calibri"/>
          <w:b w:val="0"/>
        </w:rPr>
        <w:t>onsultation</w:t>
      </w:r>
      <w:bookmarkEnd w:id="448"/>
      <w:bookmarkEnd w:id="449"/>
    </w:p>
    <w:p w14:paraId="443E50EB" w14:textId="77777777" w:rsidR="002265C2" w:rsidRDefault="002265C2" w:rsidP="00D31C02">
      <w:pPr>
        <w:rPr>
          <w:rFonts w:ascii="Calibri" w:eastAsia="Calibri" w:hAnsi="Calibri" w:cs="Calibri"/>
        </w:rPr>
      </w:pPr>
    </w:p>
    <w:p w14:paraId="25B31752" w14:textId="77777777" w:rsidR="00441E68" w:rsidRDefault="00441E68" w:rsidP="00D31C02">
      <w:pPr>
        <w:rPr>
          <w:rFonts w:ascii="Calibri" w:eastAsia="Calibri" w:hAnsi="Calibri" w:cs="Calibri"/>
        </w:rPr>
      </w:pPr>
    </w:p>
    <w:p w14:paraId="6292775C" w14:textId="77777777" w:rsidR="00441E68" w:rsidRDefault="00441E68" w:rsidP="00D31C02">
      <w:pPr>
        <w:rPr>
          <w:rFonts w:ascii="Calibri" w:eastAsia="Calibri" w:hAnsi="Calibri" w:cs="Calibri"/>
        </w:rPr>
      </w:pPr>
    </w:p>
    <w:p w14:paraId="27F9E4B5" w14:textId="77777777" w:rsidR="00441E68" w:rsidRDefault="00441E68" w:rsidP="00D31C02">
      <w:pPr>
        <w:rPr>
          <w:rFonts w:ascii="Calibri" w:eastAsia="Calibri" w:hAnsi="Calibri" w:cs="Calibri"/>
        </w:rPr>
      </w:pPr>
    </w:p>
    <w:p w14:paraId="38C7B6E4" w14:textId="77777777" w:rsidR="00441E68" w:rsidRDefault="00441E68" w:rsidP="00D31C02">
      <w:pPr>
        <w:rPr>
          <w:rFonts w:ascii="Calibri" w:eastAsia="Calibri" w:hAnsi="Calibri" w:cs="Calibri"/>
        </w:rPr>
      </w:pPr>
    </w:p>
    <w:p w14:paraId="60C01913" w14:textId="77777777" w:rsidR="00441E68" w:rsidRDefault="00441E68" w:rsidP="00D31C02">
      <w:pPr>
        <w:rPr>
          <w:rFonts w:ascii="Calibri" w:eastAsia="Calibri" w:hAnsi="Calibri" w:cs="Calibri"/>
        </w:rPr>
      </w:pPr>
    </w:p>
    <w:p w14:paraId="448EDC59" w14:textId="77777777" w:rsidR="00441E68" w:rsidRDefault="00441E68" w:rsidP="00D31C02">
      <w:pPr>
        <w:rPr>
          <w:rFonts w:ascii="Calibri" w:eastAsia="Calibri" w:hAnsi="Calibri" w:cs="Calibri"/>
        </w:rPr>
      </w:pPr>
    </w:p>
    <w:p w14:paraId="37A81222" w14:textId="77777777" w:rsidR="00441E68" w:rsidRDefault="00441E68" w:rsidP="00D31C02">
      <w:pPr>
        <w:rPr>
          <w:rFonts w:ascii="Calibri" w:eastAsia="Calibri" w:hAnsi="Calibri" w:cs="Calibri"/>
        </w:rPr>
      </w:pPr>
    </w:p>
    <w:p w14:paraId="45CC66FC" w14:textId="77777777" w:rsidR="00441E68" w:rsidRDefault="00441E68" w:rsidP="00D31C02">
      <w:pPr>
        <w:rPr>
          <w:rFonts w:ascii="Calibri" w:eastAsia="Calibri" w:hAnsi="Calibri" w:cs="Calibri"/>
        </w:rPr>
      </w:pPr>
    </w:p>
    <w:p w14:paraId="4D97BA12" w14:textId="77777777" w:rsidR="00441E68" w:rsidRDefault="00441E68" w:rsidP="00D31C02">
      <w:pPr>
        <w:rPr>
          <w:rFonts w:ascii="Calibri" w:eastAsia="Calibri" w:hAnsi="Calibri" w:cs="Calibri"/>
        </w:rPr>
      </w:pPr>
    </w:p>
    <w:p w14:paraId="50CA2D4A" w14:textId="77777777" w:rsidR="00441E68" w:rsidRDefault="00441E68" w:rsidP="00D31C02">
      <w:pPr>
        <w:rPr>
          <w:rFonts w:ascii="Calibri" w:eastAsia="Calibri" w:hAnsi="Calibri" w:cs="Calibri"/>
        </w:rPr>
      </w:pPr>
      <w:r>
        <w:rPr>
          <w:rFonts w:ascii="Calibri" w:eastAsia="Calibri" w:hAnsi="Calibri" w:cs="Calibri"/>
        </w:rPr>
        <w:t xml:space="preserve">A wide range of </w:t>
      </w:r>
      <w:r w:rsidR="00610674">
        <w:rPr>
          <w:rFonts w:ascii="Calibri" w:eastAsia="Calibri" w:hAnsi="Calibri" w:cs="Calibri"/>
        </w:rPr>
        <w:t>organisations participated in the Phase 1 consultation, spanning the manufacturing and automotive sectors, to those focused on the environment, health, energy, research, business and consumers.  Figure 1</w:t>
      </w:r>
      <w:r w:rsidR="0023600C">
        <w:rPr>
          <w:rFonts w:ascii="Calibri" w:eastAsia="Calibri" w:hAnsi="Calibri" w:cs="Calibri"/>
        </w:rPr>
        <w:t>8</w:t>
      </w:r>
      <w:r w:rsidR="00610674">
        <w:rPr>
          <w:rFonts w:ascii="Calibri" w:eastAsia="Calibri" w:hAnsi="Calibri" w:cs="Calibri"/>
        </w:rPr>
        <w:t xml:space="preserve"> shows the range of organisations by sector and shows the percentage of all submissions according to sector.</w:t>
      </w:r>
    </w:p>
    <w:p w14:paraId="7738472C" w14:textId="77777777" w:rsidR="00441E68" w:rsidRPr="00CF39C8" w:rsidRDefault="00441E68" w:rsidP="00D31C02">
      <w:pPr>
        <w:rPr>
          <w:rFonts w:ascii="Calibri" w:eastAsia="Calibri" w:hAnsi="Calibri" w:cs="Calibri"/>
        </w:rPr>
      </w:pPr>
    </w:p>
    <w:p w14:paraId="450F5447" w14:textId="77777777" w:rsidR="00D31C02" w:rsidRPr="00CF39C8" w:rsidRDefault="00C23496" w:rsidP="00D31C02">
      <w:pPr>
        <w:rPr>
          <w:rFonts w:ascii="Calibri" w:eastAsia="Calibri" w:hAnsi="Calibri" w:cs="Calibri"/>
        </w:rPr>
      </w:pPr>
      <w:r>
        <w:rPr>
          <w:rFonts w:ascii="Calibri" w:eastAsia="Calibri" w:hAnsi="Calibri" w:cs="Calibri"/>
          <w:noProof/>
          <w:lang w:eastAsia="en-AU"/>
        </w:rPr>
        <w:drawing>
          <wp:inline distT="0" distB="0" distL="0" distR="0" wp14:anchorId="5BB8B23F" wp14:editId="579B10C0">
            <wp:extent cx="5419725" cy="3124200"/>
            <wp:effectExtent l="0" t="0" r="9525" b="0"/>
            <wp:docPr id="30" name="Picture 30" descr="A bar graph summarising the shares of submissions by organisation, as follows:&#10;Government = 19%.&#10;Light vehicle industry = 33%.&#10;Energy and petroleum sector = 14%.&#10;Peak industry body or association = 13%.&#10;Union = 1%.&#10;Business and consumer groups = 6%.&#10;Environment, health and social groups = 27%. &#10;Research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124200"/>
                    </a:xfrm>
                    <a:prstGeom prst="rect">
                      <a:avLst/>
                    </a:prstGeom>
                    <a:noFill/>
                    <a:ln>
                      <a:noFill/>
                    </a:ln>
                  </pic:spPr>
                </pic:pic>
              </a:graphicData>
            </a:graphic>
          </wp:inline>
        </w:drawing>
      </w:r>
    </w:p>
    <w:p w14:paraId="7820F3D8" w14:textId="77777777" w:rsidR="00CC0518" w:rsidRPr="00CF39C8" w:rsidRDefault="006E6856" w:rsidP="000706DD">
      <w:pPr>
        <w:pStyle w:val="Caption"/>
      </w:pPr>
      <w:bookmarkStart w:id="450" w:name="_Ref153982278"/>
      <w:bookmarkStart w:id="451" w:name="_Toc161837786"/>
      <w:bookmarkStart w:id="452" w:name="_Toc161933234"/>
      <w:bookmarkStart w:id="453" w:name="_Toc163221134"/>
      <w:r w:rsidRPr="00CF39C8">
        <w:t xml:space="preserve">Figure </w:t>
      </w:r>
      <w:bookmarkEnd w:id="450"/>
      <w:r w:rsidR="00407E5D" w:rsidRPr="00CF39C8">
        <w:t>1</w:t>
      </w:r>
      <w:r w:rsidR="0023600C">
        <w:t>8</w:t>
      </w:r>
      <w:r w:rsidR="00407E5D" w:rsidRPr="00CF39C8">
        <w:rPr>
          <w:b w:val="0"/>
        </w:rPr>
        <w:t xml:space="preserve"> </w:t>
      </w:r>
      <w:r w:rsidRPr="00CF39C8">
        <w:rPr>
          <w:b w:val="0"/>
        </w:rPr>
        <w:t>– Organisation category for</w:t>
      </w:r>
      <w:r w:rsidR="00EC101A" w:rsidRPr="00CF39C8">
        <w:rPr>
          <w:b w:val="0"/>
        </w:rPr>
        <w:t xml:space="preserve"> Phase 1</w:t>
      </w:r>
      <w:r w:rsidRPr="00CF39C8">
        <w:rPr>
          <w:b w:val="0"/>
        </w:rPr>
        <w:t xml:space="preserve"> consultation</w:t>
      </w:r>
      <w:bookmarkEnd w:id="451"/>
      <w:bookmarkEnd w:id="452"/>
      <w:bookmarkEnd w:id="453"/>
      <w:r w:rsidRPr="00CF39C8">
        <w:rPr>
          <w:b w:val="0"/>
        </w:rPr>
        <w:t xml:space="preserve"> </w:t>
      </w:r>
    </w:p>
    <w:p w14:paraId="23378D52" w14:textId="77777777" w:rsidR="002265C2" w:rsidRDefault="002265C2" w:rsidP="00C91B5C">
      <w:pPr>
        <w:pStyle w:val="Heading4"/>
        <w:rPr>
          <w:i/>
        </w:rPr>
      </w:pPr>
    </w:p>
    <w:p w14:paraId="25355357" w14:textId="77777777" w:rsidR="00450A1D" w:rsidRPr="00450A1D" w:rsidRDefault="00450A1D" w:rsidP="00450A1D"/>
    <w:p w14:paraId="09CAEE33" w14:textId="77777777" w:rsidR="0080262F" w:rsidRPr="00CF39C8" w:rsidRDefault="00FA3DAF" w:rsidP="00C91B5C">
      <w:pPr>
        <w:pStyle w:val="Heading4"/>
        <w:rPr>
          <w:b/>
          <w:color w:val="2B5258" w:themeColor="accent5" w:themeShade="80"/>
        </w:rPr>
      </w:pPr>
      <w:r>
        <w:rPr>
          <w:i/>
        </w:rPr>
        <w:t>T</w:t>
      </w:r>
      <w:r w:rsidR="005F5A8B" w:rsidRPr="00C91B5C">
        <w:rPr>
          <w:i/>
        </w:rPr>
        <w:t>hemes emerged</w:t>
      </w:r>
    </w:p>
    <w:p w14:paraId="4920D9D7" w14:textId="77777777" w:rsidR="0080262F" w:rsidRPr="00CF39C8" w:rsidRDefault="0080262F" w:rsidP="0080262F">
      <w:r w:rsidRPr="00CF39C8">
        <w:t xml:space="preserve">The majority of </w:t>
      </w:r>
      <w:r w:rsidR="00610674">
        <w:t>submissions received from organisations</w:t>
      </w:r>
      <w:r w:rsidRPr="00CF39C8">
        <w:t xml:space="preserve"> were received from the light vehicle industry (including motoring associations) and climate or health groups. Their responses were analysed, and have been summarised in key themes as follows:</w:t>
      </w:r>
    </w:p>
    <w:p w14:paraId="0C51F99B" w14:textId="77777777" w:rsidR="0044693A" w:rsidRPr="00CF39C8" w:rsidRDefault="0044693A" w:rsidP="0080262F"/>
    <w:tbl>
      <w:tblPr>
        <w:tblStyle w:val="TableGrid"/>
        <w:tblW w:w="9493" w:type="dxa"/>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CellMar>
          <w:top w:w="108" w:type="dxa"/>
          <w:bottom w:w="108" w:type="dxa"/>
        </w:tblCellMar>
        <w:tblLook w:val="04A0" w:firstRow="1" w:lastRow="0" w:firstColumn="1" w:lastColumn="0" w:noHBand="0" w:noVBand="1"/>
      </w:tblPr>
      <w:tblGrid>
        <w:gridCol w:w="1838"/>
        <w:gridCol w:w="7655"/>
      </w:tblGrid>
      <w:tr w:rsidR="0044693A" w:rsidRPr="00CF39C8" w14:paraId="76E3D0D0" w14:textId="77777777" w:rsidTr="00AC0556">
        <w:tc>
          <w:tcPr>
            <w:tcW w:w="1838" w:type="dxa"/>
            <w:shd w:val="clear" w:color="auto" w:fill="C8CAE7" w:themeFill="text2" w:themeFillTint="33"/>
          </w:tcPr>
          <w:p w14:paraId="3FE16362" w14:textId="77777777" w:rsidR="0044693A" w:rsidRPr="00CF39C8" w:rsidRDefault="0044693A" w:rsidP="0044693A">
            <w:r w:rsidRPr="00CF39C8">
              <w:rPr>
                <w:b/>
              </w:rPr>
              <w:t>Guiding Principles</w:t>
            </w:r>
          </w:p>
        </w:tc>
        <w:tc>
          <w:tcPr>
            <w:tcW w:w="7655" w:type="dxa"/>
          </w:tcPr>
          <w:p w14:paraId="44AE89A8" w14:textId="77777777" w:rsidR="0044693A" w:rsidRPr="00CF39C8" w:rsidRDefault="002265C2" w:rsidP="0044693A">
            <w:r>
              <w:t>There was broad support for</w:t>
            </w:r>
            <w:r w:rsidR="0044693A" w:rsidRPr="00CF39C8">
              <w:t xml:space="preserve"> the proposed guiding principles. Some environment and health groups suggested the guiding principles should reference emissions reductions and EV uptake targets, as well as health outcomes and vulnerable Australians. We have updated the guiding principles in this document to take account of this input, and have used these as part of the assessment of which is the </w:t>
            </w:r>
            <w:r w:rsidR="00D53072">
              <w:t>best</w:t>
            </w:r>
            <w:r w:rsidR="00D53072" w:rsidRPr="00CF39C8">
              <w:t xml:space="preserve"> </w:t>
            </w:r>
            <w:r w:rsidR="0044693A" w:rsidRPr="00CF39C8">
              <w:t xml:space="preserve">model. </w:t>
            </w:r>
          </w:p>
        </w:tc>
      </w:tr>
      <w:tr w:rsidR="0044693A" w:rsidRPr="00CF39C8" w14:paraId="76601C56" w14:textId="77777777" w:rsidTr="00AC0556">
        <w:tc>
          <w:tcPr>
            <w:tcW w:w="1838" w:type="dxa"/>
            <w:shd w:val="clear" w:color="auto" w:fill="C8CAE7" w:themeFill="text2" w:themeFillTint="33"/>
          </w:tcPr>
          <w:p w14:paraId="1CCEB327" w14:textId="77777777" w:rsidR="0044693A" w:rsidRPr="00CF39C8" w:rsidRDefault="0044693A" w:rsidP="0044693A">
            <w:r w:rsidRPr="00CF39C8">
              <w:rPr>
                <w:b/>
              </w:rPr>
              <w:t>Headline targets</w:t>
            </w:r>
          </w:p>
        </w:tc>
        <w:tc>
          <w:tcPr>
            <w:tcW w:w="7655" w:type="dxa"/>
          </w:tcPr>
          <w:p w14:paraId="40BB8EBF" w14:textId="77777777" w:rsidR="0044693A" w:rsidRPr="00CF39C8" w:rsidRDefault="002265C2" w:rsidP="0044693A">
            <w:r>
              <w:t>V</w:t>
            </w:r>
            <w:r w:rsidR="0044693A" w:rsidRPr="00CF39C8">
              <w:t xml:space="preserve">iews varied significantly on how headline targets should be designed. The light vehicle industry (with some notable exceptions) generally supported a slow start trajectory, and noted that this would allow it to align its product development cycles to the </w:t>
            </w:r>
            <w:r w:rsidR="0044693A" w:rsidRPr="00CF39C8">
              <w:rPr>
                <w:rFonts w:asciiTheme="majorHAnsi" w:hAnsiTheme="majorHAnsi" w:cstheme="majorHAnsi"/>
              </w:rPr>
              <w:t>NVES</w:t>
            </w:r>
            <w:r w:rsidR="0044693A" w:rsidRPr="00CF39C8">
              <w:t xml:space="preserve">. Responses from industry bodies varied, ranging from support for a slower start through to a more ambitious </w:t>
            </w:r>
            <w:r w:rsidR="0044693A" w:rsidRPr="00CF39C8">
              <w:rPr>
                <w:rFonts w:asciiTheme="majorHAnsi" w:hAnsiTheme="majorHAnsi" w:cstheme="majorHAnsi"/>
              </w:rPr>
              <w:t>NVES</w:t>
            </w:r>
            <w:r w:rsidR="0044693A" w:rsidRPr="00CF39C8">
              <w:t xml:space="preserve"> that would see Australia catch up to other countries by 2030. The latter sentiment was echoed by environmental and health groups, who also raised concerns with dual targets (for light passenger and light commercial vehicles) resulting in manufacturers adjusting the weight of vehicles in order to shift to a higher target, which would undermine emissions reduction. </w:t>
            </w:r>
          </w:p>
        </w:tc>
      </w:tr>
      <w:tr w:rsidR="0044693A" w:rsidRPr="00CF39C8" w14:paraId="37EE8B17" w14:textId="77777777" w:rsidTr="00AC0556">
        <w:tc>
          <w:tcPr>
            <w:tcW w:w="1838" w:type="dxa"/>
            <w:shd w:val="clear" w:color="auto" w:fill="C8CAE7" w:themeFill="text2" w:themeFillTint="33"/>
          </w:tcPr>
          <w:p w14:paraId="602BFF1C" w14:textId="77777777" w:rsidR="0044693A" w:rsidRPr="00CF39C8" w:rsidRDefault="0044693A" w:rsidP="0044693A">
            <w:r w:rsidRPr="00CF39C8">
              <w:rPr>
                <w:b/>
              </w:rPr>
              <w:t>Limit curve and break points</w:t>
            </w:r>
          </w:p>
        </w:tc>
        <w:tc>
          <w:tcPr>
            <w:tcW w:w="7655" w:type="dxa"/>
          </w:tcPr>
          <w:p w14:paraId="12E6B65B" w14:textId="77777777" w:rsidR="0044693A" w:rsidRPr="00CF39C8" w:rsidRDefault="002265C2" w:rsidP="0044693A">
            <w:r>
              <w:t>The majority of</w:t>
            </w:r>
            <w:r w:rsidR="0044693A" w:rsidRPr="00CF39C8">
              <w:t xml:space="preserve"> responses broadly support the adoption of limit curves based on average mass rather than vehicle footprint (as per the US). Some environmental and health groups supported vehicle footprint-based limit curve, identifying a risk that vehicle mass may erode emission reduction. </w:t>
            </w:r>
          </w:p>
        </w:tc>
      </w:tr>
      <w:tr w:rsidR="0044693A" w:rsidRPr="00CF39C8" w14:paraId="1285D750" w14:textId="77777777" w:rsidTr="00AC0556">
        <w:tc>
          <w:tcPr>
            <w:tcW w:w="1838" w:type="dxa"/>
            <w:shd w:val="clear" w:color="auto" w:fill="C8CAE7" w:themeFill="text2" w:themeFillTint="33"/>
          </w:tcPr>
          <w:p w14:paraId="555AB683" w14:textId="77777777" w:rsidR="0044693A" w:rsidRPr="00CF39C8" w:rsidRDefault="0044693A" w:rsidP="0044693A">
            <w:r w:rsidRPr="00CF39C8">
              <w:rPr>
                <w:b/>
              </w:rPr>
              <w:t xml:space="preserve">When should the </w:t>
            </w:r>
            <w:r w:rsidRPr="00CF39C8">
              <w:rPr>
                <w:rFonts w:asciiTheme="majorHAnsi" w:hAnsiTheme="majorHAnsi" w:cstheme="majorHAnsi"/>
                <w:b/>
              </w:rPr>
              <w:t>NVES</w:t>
            </w:r>
            <w:r w:rsidRPr="00CF39C8">
              <w:rPr>
                <w:b/>
              </w:rPr>
              <w:t xml:space="preserve"> commence</w:t>
            </w:r>
          </w:p>
        </w:tc>
        <w:tc>
          <w:tcPr>
            <w:tcW w:w="7655" w:type="dxa"/>
          </w:tcPr>
          <w:p w14:paraId="1418B288" w14:textId="77777777" w:rsidR="0044693A" w:rsidRPr="00CF39C8" w:rsidRDefault="002265C2" w:rsidP="0044693A">
            <w:r>
              <w:t>There was broad</w:t>
            </w:r>
            <w:r w:rsidR="0044693A" w:rsidRPr="00CF39C8">
              <w:t xml:space="preserve"> support the </w:t>
            </w:r>
            <w:r w:rsidR="0044693A" w:rsidRPr="00CF39C8">
              <w:rPr>
                <w:rFonts w:asciiTheme="majorHAnsi" w:hAnsiTheme="majorHAnsi" w:cstheme="majorHAnsi"/>
              </w:rPr>
              <w:t>NVES</w:t>
            </w:r>
            <w:r w:rsidR="0044693A" w:rsidRPr="00CF39C8">
              <w:t xml:space="preserve"> commencing quickly, in 2024 or 2025, as soon as the administrative arrangements have been put in place.</w:t>
            </w:r>
          </w:p>
        </w:tc>
      </w:tr>
      <w:tr w:rsidR="0044693A" w:rsidRPr="00CF39C8" w14:paraId="4F5EA81E" w14:textId="77777777" w:rsidTr="00AC0556">
        <w:tc>
          <w:tcPr>
            <w:tcW w:w="1838" w:type="dxa"/>
            <w:shd w:val="clear" w:color="auto" w:fill="C8CAE7" w:themeFill="text2" w:themeFillTint="33"/>
          </w:tcPr>
          <w:p w14:paraId="33A1CB9D" w14:textId="77777777" w:rsidR="0044693A" w:rsidRPr="00CF39C8" w:rsidRDefault="0044693A" w:rsidP="0044693A">
            <w:r w:rsidRPr="00CF39C8">
              <w:rPr>
                <w:b/>
              </w:rPr>
              <w:t xml:space="preserve">When should the </w:t>
            </w:r>
            <w:r w:rsidRPr="00CF39C8">
              <w:rPr>
                <w:rFonts w:asciiTheme="majorHAnsi" w:hAnsiTheme="majorHAnsi" w:cstheme="majorHAnsi"/>
                <w:b/>
              </w:rPr>
              <w:t>NVES</w:t>
            </w:r>
            <w:r w:rsidRPr="00CF39C8">
              <w:rPr>
                <w:b/>
              </w:rPr>
              <w:t xml:space="preserve"> targets start requiring changes to business as usual activities</w:t>
            </w:r>
          </w:p>
        </w:tc>
        <w:tc>
          <w:tcPr>
            <w:tcW w:w="7655" w:type="dxa"/>
          </w:tcPr>
          <w:p w14:paraId="610D1EAC" w14:textId="77777777" w:rsidR="0044693A" w:rsidRPr="00CF39C8" w:rsidRDefault="0044693A" w:rsidP="0044693A">
            <w:r w:rsidRPr="00CF39C8">
              <w:t xml:space="preserve">Views in relation to when the </w:t>
            </w:r>
            <w:r w:rsidRPr="00CF39C8">
              <w:rPr>
                <w:rFonts w:asciiTheme="majorHAnsi" w:hAnsiTheme="majorHAnsi" w:cstheme="majorHAnsi"/>
              </w:rPr>
              <w:t>NVES</w:t>
            </w:r>
            <w:r w:rsidRPr="00CF39C8">
              <w:t xml:space="preserve"> should commence were mixed</w:t>
            </w:r>
            <w:r w:rsidRPr="00CF39C8" w:rsidDel="009C1BB5">
              <w:t xml:space="preserve">.  </w:t>
            </w:r>
            <w:r w:rsidRPr="00CF39C8">
              <w:t xml:space="preserve">The vehicle industry was generally supportive of a long lead time (several years) before substantial changes would be required, to account for normal vehicle design and production timeframes. Climate and environment stakeholders called for a short lead time before requiring emissions reductions, pointing to low and zero emissions technologies and vehicles available today in comparable markets that are not in Australia as a way for regulated entities to quickly reduce emissions and fuel costs. </w:t>
            </w:r>
          </w:p>
        </w:tc>
      </w:tr>
      <w:tr w:rsidR="0044693A" w:rsidRPr="00CF39C8" w14:paraId="25D0FEAC" w14:textId="77777777" w:rsidTr="00AC0556">
        <w:tc>
          <w:tcPr>
            <w:tcW w:w="1838" w:type="dxa"/>
            <w:shd w:val="clear" w:color="auto" w:fill="C8CAE7" w:themeFill="text2" w:themeFillTint="33"/>
          </w:tcPr>
          <w:p w14:paraId="7D64557F" w14:textId="77777777" w:rsidR="0044693A" w:rsidRPr="00CF39C8" w:rsidRDefault="0044693A" w:rsidP="0044693A">
            <w:r w:rsidRPr="00CF39C8">
              <w:rPr>
                <w:b/>
              </w:rPr>
              <w:t>How far into the future should targets be set</w:t>
            </w:r>
          </w:p>
        </w:tc>
        <w:tc>
          <w:tcPr>
            <w:tcW w:w="7655" w:type="dxa"/>
          </w:tcPr>
          <w:p w14:paraId="0D30D7BC" w14:textId="77777777" w:rsidR="0044693A" w:rsidRPr="00CF39C8" w:rsidRDefault="0044693A" w:rsidP="0044693A">
            <w:r w:rsidRPr="00CF39C8">
              <w:t xml:space="preserve">The light vehicle industry suggested targets are set at least five years into the future, with an indication of targets 10 years ahead. Environmental and health groups suggested a three-to-five-year frequency, and greater alignment with national and sectoral emission reduction targets.  Regular reviews of the </w:t>
            </w:r>
            <w:r w:rsidRPr="00CF39C8">
              <w:rPr>
                <w:rFonts w:asciiTheme="majorHAnsi" w:hAnsiTheme="majorHAnsi" w:cstheme="majorHAnsi"/>
              </w:rPr>
              <w:t>NVES</w:t>
            </w:r>
            <w:r w:rsidRPr="00CF39C8">
              <w:t xml:space="preserve"> to monitor the progress and set or adjust future targets had very strong support from all stakeholders.</w:t>
            </w:r>
          </w:p>
        </w:tc>
      </w:tr>
      <w:tr w:rsidR="0044693A" w:rsidRPr="00CF39C8" w14:paraId="7BDF1C02" w14:textId="77777777" w:rsidTr="00AC0556">
        <w:tc>
          <w:tcPr>
            <w:tcW w:w="1838" w:type="dxa"/>
            <w:shd w:val="clear" w:color="auto" w:fill="C8CAE7" w:themeFill="text2" w:themeFillTint="33"/>
          </w:tcPr>
          <w:p w14:paraId="5DC6C8E0" w14:textId="77777777" w:rsidR="0044693A" w:rsidRPr="00CF39C8" w:rsidRDefault="0044693A" w:rsidP="0044693A">
            <w:pPr>
              <w:rPr>
                <w:b/>
              </w:rPr>
            </w:pPr>
            <w:r w:rsidRPr="00CF39C8">
              <w:rPr>
                <w:b/>
              </w:rPr>
              <w:t>Credit banking, pooling and trading</w:t>
            </w:r>
          </w:p>
        </w:tc>
        <w:tc>
          <w:tcPr>
            <w:tcW w:w="7655" w:type="dxa"/>
          </w:tcPr>
          <w:p w14:paraId="2E1522A7" w14:textId="77777777" w:rsidR="0044693A" w:rsidRPr="00CF39C8" w:rsidRDefault="0044693A" w:rsidP="0044693A">
            <w:r w:rsidRPr="00CF39C8">
              <w:t>The inclusion of credit banking, pooling and trading was broadly supported across all stakeholder responses. Responses across the light vehicle industry and environmental and health groups varied in terms of the preferred lifespan of a credit, with the former generally proposing a longer lifespan of 10</w:t>
            </w:r>
            <w:r w:rsidRPr="00CF39C8">
              <w:noBreakHyphen/>
              <w:t xml:space="preserve">years, and the latter preferring a shortened lifespan. </w:t>
            </w:r>
          </w:p>
        </w:tc>
      </w:tr>
      <w:tr w:rsidR="0044693A" w:rsidRPr="00CF39C8" w14:paraId="3A144D7C" w14:textId="77777777" w:rsidTr="00AC0556">
        <w:tc>
          <w:tcPr>
            <w:tcW w:w="1838" w:type="dxa"/>
            <w:shd w:val="clear" w:color="auto" w:fill="C8CAE7" w:themeFill="text2" w:themeFillTint="33"/>
          </w:tcPr>
          <w:p w14:paraId="39427389" w14:textId="77777777" w:rsidR="0044693A" w:rsidRPr="00CF39C8" w:rsidRDefault="0044693A" w:rsidP="0044693A">
            <w:pPr>
              <w:rPr>
                <w:b/>
              </w:rPr>
            </w:pPr>
            <w:r w:rsidRPr="00CF39C8">
              <w:rPr>
                <w:b/>
              </w:rPr>
              <w:t>Supercredits</w:t>
            </w:r>
          </w:p>
        </w:tc>
        <w:tc>
          <w:tcPr>
            <w:tcW w:w="7655" w:type="dxa"/>
          </w:tcPr>
          <w:p w14:paraId="45571D85" w14:textId="77777777" w:rsidR="0044693A" w:rsidRPr="00CF39C8" w:rsidRDefault="0044693A" w:rsidP="0044693A">
            <w:r w:rsidRPr="00CF39C8">
              <w:t>While some responses within the light vehicle industry opposed the inclusion of supercredits, a majority supported the inclusion, and agreed that a gradual withdrawal of supercredits over time would be appropriate. Environmental and health groups generally did not support the inclusion of supercredits, except for some exemptions for targeted, time limited, and capped supercredits for certain segments (e.g. electric utes).</w:t>
            </w:r>
          </w:p>
        </w:tc>
      </w:tr>
      <w:tr w:rsidR="0044693A" w:rsidRPr="00CF39C8" w14:paraId="7A56B771" w14:textId="77777777" w:rsidTr="00AC0556">
        <w:tc>
          <w:tcPr>
            <w:tcW w:w="1838" w:type="dxa"/>
            <w:shd w:val="clear" w:color="auto" w:fill="C8CAE7" w:themeFill="text2" w:themeFillTint="33"/>
          </w:tcPr>
          <w:p w14:paraId="37ED638A" w14:textId="77777777" w:rsidR="0044693A" w:rsidRPr="00CF39C8" w:rsidRDefault="0044693A" w:rsidP="0044693A">
            <w:pPr>
              <w:rPr>
                <w:b/>
              </w:rPr>
            </w:pPr>
            <w:r w:rsidRPr="00CF39C8">
              <w:rPr>
                <w:b/>
              </w:rPr>
              <w:t>Off-cycle and air conditioning credits</w:t>
            </w:r>
          </w:p>
        </w:tc>
        <w:tc>
          <w:tcPr>
            <w:tcW w:w="7655" w:type="dxa"/>
          </w:tcPr>
          <w:p w14:paraId="291088A4" w14:textId="77777777" w:rsidR="0044693A" w:rsidRPr="00CF39C8" w:rsidRDefault="002265C2" w:rsidP="0044693A">
            <w:r>
              <w:t>There was some division</w:t>
            </w:r>
            <w:r w:rsidR="0044693A" w:rsidRPr="00CF39C8">
              <w:t xml:space="preserve"> over the inclusion of off-cycle and air conditioning credits. The majority of the light vehicle industry supported the inclusion of uncapped credits. The majority of environmental and health groups were against the inclusion, noting the current use of low-global warming potential (GWP) refrigerants, and high-GWP refrigerants can be addressed through other legislative measures.</w:t>
            </w:r>
          </w:p>
        </w:tc>
      </w:tr>
      <w:tr w:rsidR="0044693A" w:rsidRPr="00CF39C8" w14:paraId="54946D66" w14:textId="77777777" w:rsidTr="00AC0556">
        <w:tc>
          <w:tcPr>
            <w:tcW w:w="1838" w:type="dxa"/>
            <w:shd w:val="clear" w:color="auto" w:fill="C8CAE7" w:themeFill="text2" w:themeFillTint="33"/>
          </w:tcPr>
          <w:p w14:paraId="6BC86F45" w14:textId="77777777" w:rsidR="0044693A" w:rsidRPr="00CF39C8" w:rsidRDefault="0044693A" w:rsidP="0044693A">
            <w:pPr>
              <w:rPr>
                <w:b/>
              </w:rPr>
            </w:pPr>
            <w:r w:rsidRPr="00CF39C8">
              <w:rPr>
                <w:b/>
              </w:rPr>
              <w:t>Penalty settings</w:t>
            </w:r>
          </w:p>
        </w:tc>
        <w:tc>
          <w:tcPr>
            <w:tcW w:w="7655" w:type="dxa"/>
          </w:tcPr>
          <w:p w14:paraId="0361A8C6" w14:textId="77777777" w:rsidR="0044693A" w:rsidRPr="00CF39C8" w:rsidRDefault="002265C2" w:rsidP="0044693A">
            <w:r>
              <w:t>T</w:t>
            </w:r>
            <w:r w:rsidR="0044693A" w:rsidRPr="00CF39C8">
              <w:t>he need for penalty settings</w:t>
            </w:r>
            <w:r>
              <w:t xml:space="preserve"> was acknowledged</w:t>
            </w:r>
            <w:r w:rsidR="0044693A" w:rsidRPr="00CF39C8">
              <w:t>, with the light vehicle industry preferring New Zealand’s penalty unit value of around $50AUD per g CO</w:t>
            </w:r>
            <w:r w:rsidR="0044693A" w:rsidRPr="00CF39C8">
              <w:rPr>
                <w:vertAlign w:val="subscript"/>
              </w:rPr>
              <w:t>2</w:t>
            </w:r>
            <w:r w:rsidR="0044693A" w:rsidRPr="00CF39C8">
              <w:t>/km over the EU’s penalty unit value of around $200AUD per g CO</w:t>
            </w:r>
            <w:r w:rsidR="0044693A" w:rsidRPr="00CF39C8">
              <w:rPr>
                <w:vertAlign w:val="subscript"/>
              </w:rPr>
              <w:t>2</w:t>
            </w:r>
            <w:r w:rsidR="0044693A" w:rsidRPr="00CF39C8">
              <w:t xml:space="preserve">/km, noting that high penalties could result in some vehicles being withdrawn from the market. In contrast, environmental and health groups called for higher penalty unit values in submissions, suggesting Australia should align its penalties unit values with the EU. </w:t>
            </w:r>
          </w:p>
        </w:tc>
      </w:tr>
      <w:tr w:rsidR="0044693A" w:rsidRPr="00CF39C8" w14:paraId="106D90DB" w14:textId="77777777" w:rsidTr="00AC0556">
        <w:tc>
          <w:tcPr>
            <w:tcW w:w="1838" w:type="dxa"/>
            <w:shd w:val="clear" w:color="auto" w:fill="C8CAE7" w:themeFill="text2" w:themeFillTint="33"/>
          </w:tcPr>
          <w:p w14:paraId="5D35C81B" w14:textId="77777777" w:rsidR="0044693A" w:rsidRPr="00CF39C8" w:rsidRDefault="0044693A" w:rsidP="0044693A">
            <w:pPr>
              <w:rPr>
                <w:b/>
              </w:rPr>
            </w:pPr>
            <w:r w:rsidRPr="00CF39C8">
              <w:rPr>
                <w:b/>
              </w:rPr>
              <w:t>Low volume suppliers</w:t>
            </w:r>
          </w:p>
        </w:tc>
        <w:tc>
          <w:tcPr>
            <w:tcW w:w="7655" w:type="dxa"/>
          </w:tcPr>
          <w:p w14:paraId="734A9CC8" w14:textId="77777777" w:rsidR="0044693A" w:rsidRPr="00CF39C8" w:rsidRDefault="0044693A" w:rsidP="0044693A">
            <w:r w:rsidRPr="00CF39C8">
              <w:t xml:space="preserve">While a majority of responses did not include a response on this element, the light vehicle industry was divided in its responses, with varying preference for whether a low volume supplier threshold should be included in the design. </w:t>
            </w:r>
          </w:p>
        </w:tc>
      </w:tr>
      <w:tr w:rsidR="0044693A" w:rsidRPr="00CF39C8" w14:paraId="11D9ADC3" w14:textId="77777777" w:rsidTr="00AC0556">
        <w:tc>
          <w:tcPr>
            <w:tcW w:w="1838" w:type="dxa"/>
            <w:shd w:val="clear" w:color="auto" w:fill="C8CAE7" w:themeFill="text2" w:themeFillTint="33"/>
          </w:tcPr>
          <w:p w14:paraId="565AE01F" w14:textId="77777777" w:rsidR="0044693A" w:rsidRPr="00CF39C8" w:rsidRDefault="0044693A" w:rsidP="0044693A">
            <w:pPr>
              <w:rPr>
                <w:b/>
              </w:rPr>
            </w:pPr>
            <w:r w:rsidRPr="00CF39C8">
              <w:rPr>
                <w:b/>
              </w:rPr>
              <w:t>Transparency and accountability</w:t>
            </w:r>
          </w:p>
        </w:tc>
        <w:tc>
          <w:tcPr>
            <w:tcW w:w="7655" w:type="dxa"/>
          </w:tcPr>
          <w:p w14:paraId="7754F8CC" w14:textId="77777777" w:rsidR="0044693A" w:rsidRPr="00CF39C8" w:rsidRDefault="0044693A" w:rsidP="0044693A">
            <w:r w:rsidRPr="00CF39C8">
              <w:t xml:space="preserve">While the light vehicle industry and peak industry bodies supported the use of existing industry reporting methods (VFACTS) for the Australian </w:t>
            </w:r>
            <w:r w:rsidRPr="00CF39C8">
              <w:rPr>
                <w:rFonts w:asciiTheme="majorHAnsi" w:hAnsiTheme="majorHAnsi" w:cstheme="majorHAnsi"/>
              </w:rPr>
              <w:t>NVES</w:t>
            </w:r>
            <w:r w:rsidRPr="00CF39C8">
              <w:t>, environmental and health groups, and research bodies expressed concern with using existing industry-supplied data. Instead there was strong support for an independent, robust and transparent approach with Government collecting data.</w:t>
            </w:r>
          </w:p>
        </w:tc>
      </w:tr>
      <w:tr w:rsidR="0044693A" w:rsidRPr="00CF39C8" w14:paraId="6268E261" w14:textId="77777777" w:rsidTr="00AC0556">
        <w:tc>
          <w:tcPr>
            <w:tcW w:w="1838" w:type="dxa"/>
            <w:shd w:val="clear" w:color="auto" w:fill="C8CAE7" w:themeFill="text2" w:themeFillTint="33"/>
          </w:tcPr>
          <w:p w14:paraId="66EBCADC" w14:textId="77777777" w:rsidR="0044693A" w:rsidRPr="00CF39C8" w:rsidRDefault="0044693A" w:rsidP="0044693A">
            <w:pPr>
              <w:rPr>
                <w:b/>
              </w:rPr>
            </w:pPr>
            <w:r w:rsidRPr="00CF39C8">
              <w:rPr>
                <w:b/>
              </w:rPr>
              <w:t>Views on the regulator and regulated entity</w:t>
            </w:r>
          </w:p>
        </w:tc>
        <w:tc>
          <w:tcPr>
            <w:tcW w:w="7655" w:type="dxa"/>
          </w:tcPr>
          <w:p w14:paraId="7ED23C86" w14:textId="77777777" w:rsidR="0044693A" w:rsidRPr="00CF39C8" w:rsidRDefault="0044693A" w:rsidP="0044693A">
            <w:r w:rsidRPr="00CF39C8">
              <w:t xml:space="preserve">Stakeholders generally supported the department as the preferred regulator, with some suggestions to adopt the Clean Energy Regulator or Climate Change Authority as possible alternatives. Submissions did not generally address who the regulated entity should be, with the exception of the light vehicle industry which suggested the vehicle supplier should be the regulated entity. </w:t>
            </w:r>
          </w:p>
        </w:tc>
      </w:tr>
      <w:tr w:rsidR="0044693A" w:rsidRPr="00CF39C8" w14:paraId="546CDE1C" w14:textId="77777777" w:rsidTr="00AC0556">
        <w:tc>
          <w:tcPr>
            <w:tcW w:w="1838" w:type="dxa"/>
            <w:shd w:val="clear" w:color="auto" w:fill="C8CAE7" w:themeFill="text2" w:themeFillTint="33"/>
          </w:tcPr>
          <w:p w14:paraId="6CC18D42" w14:textId="77777777" w:rsidR="0044693A" w:rsidRPr="00CF39C8" w:rsidRDefault="0044693A" w:rsidP="0044693A">
            <w:pPr>
              <w:rPr>
                <w:b/>
              </w:rPr>
            </w:pPr>
            <w:r w:rsidRPr="00CF39C8">
              <w:rPr>
                <w:b/>
              </w:rPr>
              <w:t>Emissions test results</w:t>
            </w:r>
          </w:p>
        </w:tc>
        <w:tc>
          <w:tcPr>
            <w:tcW w:w="7655" w:type="dxa"/>
          </w:tcPr>
          <w:p w14:paraId="58551E00" w14:textId="77777777" w:rsidR="0044693A" w:rsidRPr="00CF39C8" w:rsidRDefault="0044693A" w:rsidP="0044693A">
            <w:r w:rsidRPr="00CF39C8">
              <w:t xml:space="preserve">There was broad preference for transitioning to the </w:t>
            </w:r>
            <w:r w:rsidRPr="00CF39C8">
              <w:rPr>
                <w:rStyle w:val="normaltextrun"/>
                <w:rFonts w:ascii="Calibri" w:hAnsi="Calibri" w:cs="Calibri"/>
                <w:color w:val="000000"/>
                <w:bdr w:val="none" w:sz="0" w:space="0" w:color="auto" w:frame="1"/>
              </w:rPr>
              <w:t>Worldwide Harmonised Light Vehicle Test Procedure (WLTP) test results</w:t>
            </w:r>
            <w:r w:rsidRPr="00CF39C8">
              <w:t xml:space="preserve">. Stakeholders noted that </w:t>
            </w:r>
            <w:r w:rsidRPr="00CF39C8">
              <w:rPr>
                <w:rStyle w:val="normaltextrun"/>
                <w:rFonts w:ascii="Calibri" w:hAnsi="Calibri" w:cs="Calibri"/>
                <w:color w:val="000000"/>
                <w:bdr w:val="none" w:sz="0" w:space="0" w:color="auto" w:frame="1"/>
              </w:rPr>
              <w:t>during transition to WLTP,</w:t>
            </w:r>
            <w:r w:rsidRPr="00CF39C8">
              <w:t xml:space="preserve"> an interim consistent conversion factor from </w:t>
            </w:r>
            <w:r w:rsidRPr="00CF39C8">
              <w:rPr>
                <w:rStyle w:val="normaltextrun"/>
                <w:rFonts w:ascii="Calibri" w:hAnsi="Calibri" w:cs="Calibri"/>
                <w:color w:val="000000"/>
                <w:bdr w:val="none" w:sz="0" w:space="0" w:color="auto" w:frame="1"/>
              </w:rPr>
              <w:t>New European Drive Cycle</w:t>
            </w:r>
            <w:r w:rsidRPr="00CF39C8">
              <w:t xml:space="preserve"> (NEDC) will be required.</w:t>
            </w:r>
          </w:p>
        </w:tc>
      </w:tr>
      <w:tr w:rsidR="0044693A" w:rsidRPr="00CF39C8" w14:paraId="58D084CA" w14:textId="77777777" w:rsidTr="00AC0556">
        <w:tc>
          <w:tcPr>
            <w:tcW w:w="1838" w:type="dxa"/>
            <w:shd w:val="clear" w:color="auto" w:fill="C8CAE7" w:themeFill="text2" w:themeFillTint="33"/>
          </w:tcPr>
          <w:p w14:paraId="6F91B887" w14:textId="77777777" w:rsidR="0044693A" w:rsidRPr="00CF39C8" w:rsidRDefault="0044693A" w:rsidP="0044693A">
            <w:pPr>
              <w:rPr>
                <w:b/>
              </w:rPr>
            </w:pPr>
            <w:r w:rsidRPr="00CF39C8">
              <w:rPr>
                <w:b/>
              </w:rPr>
              <w:t>Affordability and access to LZEVs</w:t>
            </w:r>
          </w:p>
        </w:tc>
        <w:tc>
          <w:tcPr>
            <w:tcW w:w="7655" w:type="dxa"/>
          </w:tcPr>
          <w:p w14:paraId="44610383" w14:textId="77777777" w:rsidR="0044693A" w:rsidRPr="00CF39C8" w:rsidRDefault="0044693A" w:rsidP="0044693A">
            <w:r w:rsidRPr="00CF39C8">
              <w:t xml:space="preserve">The light vehicle industry noted an ambitious </w:t>
            </w:r>
            <w:r w:rsidRPr="00CF39C8">
              <w:rPr>
                <w:rFonts w:asciiTheme="majorHAnsi" w:hAnsiTheme="majorHAnsi" w:cstheme="majorHAnsi"/>
              </w:rPr>
              <w:t>NVES</w:t>
            </w:r>
            <w:r w:rsidRPr="00CF39C8">
              <w:t xml:space="preserve"> may lead to an increase in prices of vehicles for consumers, and high penalty costs could result in a withdrawal of some vehicles from the Australian market. Measures to address these issues were suggested in responses from the environmental and health groups.  </w:t>
            </w:r>
          </w:p>
        </w:tc>
      </w:tr>
    </w:tbl>
    <w:p w14:paraId="52832F2B" w14:textId="77777777" w:rsidR="0060268A" w:rsidRPr="00CF39C8" w:rsidRDefault="0060268A" w:rsidP="00F15882">
      <w:pPr>
        <w:rPr>
          <w:rStyle w:val="Heading5Char"/>
          <w:b/>
        </w:rPr>
      </w:pPr>
    </w:p>
    <w:p w14:paraId="0DB57325" w14:textId="77777777" w:rsidR="0060268A" w:rsidRPr="00CF39C8" w:rsidRDefault="0060268A" w:rsidP="00F15882">
      <w:pPr>
        <w:rPr>
          <w:rStyle w:val="Heading5Char"/>
          <w:b/>
        </w:rPr>
      </w:pPr>
    </w:p>
    <w:p w14:paraId="050F02D9" w14:textId="77777777" w:rsidR="0060268A" w:rsidRPr="00CF39C8" w:rsidRDefault="0060268A" w:rsidP="00F15882">
      <w:pPr>
        <w:rPr>
          <w:rStyle w:val="Heading5Char"/>
          <w:b/>
        </w:rPr>
      </w:pPr>
    </w:p>
    <w:p w14:paraId="2BECFF59" w14:textId="77777777" w:rsidR="0060268A" w:rsidRPr="00CF39C8" w:rsidRDefault="0060268A" w:rsidP="00F15882">
      <w:pPr>
        <w:rPr>
          <w:rStyle w:val="Heading5Char"/>
          <w:b/>
        </w:rPr>
      </w:pPr>
    </w:p>
    <w:p w14:paraId="3E0CBBDE" w14:textId="77777777" w:rsidR="0060268A" w:rsidRPr="00CF39C8" w:rsidRDefault="0060268A" w:rsidP="00F15882">
      <w:pPr>
        <w:rPr>
          <w:rStyle w:val="Heading5Char"/>
          <w:b/>
        </w:rPr>
      </w:pPr>
    </w:p>
    <w:p w14:paraId="099018E1" w14:textId="77777777" w:rsidR="00FA3DAF" w:rsidRDefault="00FA3DAF" w:rsidP="00F15882">
      <w:pPr>
        <w:rPr>
          <w:rStyle w:val="Heading5Char"/>
          <w:b/>
        </w:rPr>
      </w:pPr>
    </w:p>
    <w:p w14:paraId="7817326C" w14:textId="77777777" w:rsidR="00FA3DAF" w:rsidRDefault="00FA3DAF" w:rsidP="00F15882">
      <w:pPr>
        <w:rPr>
          <w:rStyle w:val="Heading5Char"/>
          <w:b/>
        </w:rPr>
      </w:pPr>
    </w:p>
    <w:p w14:paraId="2CF64C67" w14:textId="77777777" w:rsidR="00FA3DAF" w:rsidRDefault="00FA3DAF" w:rsidP="00F15882">
      <w:pPr>
        <w:rPr>
          <w:rStyle w:val="Heading5Char"/>
          <w:b/>
        </w:rPr>
      </w:pPr>
    </w:p>
    <w:p w14:paraId="7FDDC5EF" w14:textId="77777777" w:rsidR="00FA3DAF" w:rsidRDefault="00FA3DAF" w:rsidP="00F15882">
      <w:pPr>
        <w:rPr>
          <w:rStyle w:val="Heading5Char"/>
          <w:b/>
        </w:rPr>
      </w:pPr>
    </w:p>
    <w:p w14:paraId="79FF5CB4" w14:textId="77777777" w:rsidR="00FA3DAF" w:rsidRDefault="00FA3DAF" w:rsidP="00F15882">
      <w:pPr>
        <w:rPr>
          <w:rStyle w:val="Heading5Char"/>
          <w:b/>
        </w:rPr>
      </w:pPr>
    </w:p>
    <w:p w14:paraId="54946165" w14:textId="77777777" w:rsidR="00FA3DAF" w:rsidRDefault="00FA3DAF" w:rsidP="00F15882">
      <w:pPr>
        <w:rPr>
          <w:rStyle w:val="Heading5Char"/>
          <w:b/>
        </w:rPr>
      </w:pPr>
    </w:p>
    <w:p w14:paraId="5B695135" w14:textId="77777777" w:rsidR="00FA3DAF" w:rsidRDefault="00FA3DAF" w:rsidP="00F15882">
      <w:pPr>
        <w:rPr>
          <w:rStyle w:val="Heading5Char"/>
          <w:b/>
        </w:rPr>
      </w:pPr>
    </w:p>
    <w:p w14:paraId="725D3F35" w14:textId="77777777" w:rsidR="00FA3DAF" w:rsidRDefault="00FA3DAF" w:rsidP="00F15882">
      <w:pPr>
        <w:rPr>
          <w:rStyle w:val="Heading5Char"/>
          <w:b/>
        </w:rPr>
      </w:pPr>
    </w:p>
    <w:p w14:paraId="7E4ED61A" w14:textId="77777777" w:rsidR="00FA3DAF" w:rsidRDefault="00FA3DAF" w:rsidP="00F15882">
      <w:pPr>
        <w:rPr>
          <w:rStyle w:val="Heading5Char"/>
          <w:b/>
        </w:rPr>
      </w:pPr>
    </w:p>
    <w:p w14:paraId="31789B68" w14:textId="77777777" w:rsidR="006337FD" w:rsidRDefault="006337FD" w:rsidP="00F15882">
      <w:pPr>
        <w:rPr>
          <w:rStyle w:val="Heading5Char"/>
          <w:b/>
        </w:rPr>
        <w:sectPr w:rsidR="006337FD" w:rsidSect="007150AB">
          <w:pgSz w:w="11906" w:h="16838" w:code="9"/>
          <w:pgMar w:top="1021" w:right="1134" w:bottom="851" w:left="1276" w:header="510" w:footer="567" w:gutter="0"/>
          <w:cols w:space="708"/>
          <w:docGrid w:linePitch="360"/>
        </w:sectPr>
      </w:pPr>
    </w:p>
    <w:p w14:paraId="7AEEB746" w14:textId="77777777" w:rsidR="00E55766" w:rsidRPr="00CF39C8" w:rsidRDefault="00573CD0" w:rsidP="00E55766">
      <w:pPr>
        <w:rPr>
          <w:highlight w:val="yellow"/>
        </w:rPr>
      </w:pPr>
      <w:r w:rsidRPr="00CF39C8">
        <w:t xml:space="preserve">     </w:t>
      </w:r>
    </w:p>
    <w:p w14:paraId="32F9F81C" w14:textId="77777777" w:rsidR="009D5FF4" w:rsidRPr="00420051" w:rsidRDefault="009D5FF4" w:rsidP="00430317">
      <w:pPr>
        <w:pStyle w:val="Heading3"/>
        <w:numPr>
          <w:ilvl w:val="2"/>
          <w:numId w:val="74"/>
        </w:numPr>
        <w:ind w:left="851" w:hanging="851"/>
        <w:rPr>
          <w:sz w:val="24"/>
        </w:rPr>
      </w:pPr>
      <w:bookmarkStart w:id="454" w:name="_Toc161933176"/>
      <w:bookmarkStart w:id="455" w:name="_Toc162276485"/>
      <w:bookmarkStart w:id="456" w:name="_Toc163221079"/>
      <w:r w:rsidRPr="00430317">
        <w:rPr>
          <w:sz w:val="24"/>
        </w:rPr>
        <w:t xml:space="preserve">Phase 2 consultation on the design of the NVES - Feb to Mar </w:t>
      </w:r>
      <w:r w:rsidRPr="00420051">
        <w:rPr>
          <w:sz w:val="24"/>
        </w:rPr>
        <w:t>2024</w:t>
      </w:r>
      <w:bookmarkEnd w:id="454"/>
      <w:bookmarkEnd w:id="455"/>
      <w:bookmarkEnd w:id="456"/>
    </w:p>
    <w:p w14:paraId="3AB0116E" w14:textId="77777777" w:rsidR="00912712" w:rsidRPr="006469FB" w:rsidRDefault="006469FB" w:rsidP="003F251A">
      <w:pPr>
        <w:rPr>
          <w:rFonts w:ascii="Calibri" w:eastAsia="Calibri" w:hAnsi="Calibri" w:cs="Calibri"/>
          <w:highlight w:val="yellow"/>
        </w:rPr>
      </w:pPr>
      <w:r>
        <w:rPr>
          <w:rFonts w:ascii="Calibri" w:eastAsia="Calibri" w:hAnsi="Calibri" w:cs="Calibri"/>
          <w:noProof/>
          <w:lang w:eastAsia="en-AU"/>
        </w:rPr>
        <w:drawing>
          <wp:inline distT="0" distB="0" distL="0" distR="0" wp14:anchorId="72DE7BE0" wp14:editId="5C433051">
            <wp:extent cx="5838825" cy="8667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14:paraId="0F9978D6" w14:textId="77777777" w:rsidR="003F251A" w:rsidRPr="00CF39C8" w:rsidRDefault="003F251A" w:rsidP="003F251A">
      <w:pPr>
        <w:rPr>
          <w:rFonts w:ascii="Calibri" w:eastAsia="Calibri" w:hAnsi="Calibri" w:cs="Calibri"/>
        </w:rPr>
      </w:pPr>
      <w:r w:rsidRPr="00CF39C8">
        <w:rPr>
          <w:rFonts w:ascii="Calibri" w:eastAsia="Calibri" w:hAnsi="Calibri" w:cs="Calibri"/>
        </w:rPr>
        <w:t xml:space="preserve">On 4 February 2024, the Government released the </w:t>
      </w:r>
      <w:r w:rsidRPr="00CF39C8">
        <w:rPr>
          <w:rFonts w:ascii="Calibri" w:eastAsia="Calibri" w:hAnsi="Calibri" w:cs="Calibri"/>
          <w:i/>
        </w:rPr>
        <w:t xml:space="preserve">Cleaner, Cheaper to Run Cars: The Australian New Vehicle Efficiency Standard Consultation Impact Analysis </w:t>
      </w:r>
      <w:r w:rsidRPr="00CF39C8">
        <w:rPr>
          <w:rFonts w:ascii="Calibri" w:eastAsia="Calibri" w:hAnsi="Calibri" w:cs="Calibri"/>
        </w:rPr>
        <w:t xml:space="preserve">(Impact Analysis) which set out the options Government considered </w:t>
      </w:r>
      <w:r w:rsidR="00FA3DAF">
        <w:rPr>
          <w:rFonts w:ascii="Calibri" w:eastAsia="Calibri" w:hAnsi="Calibri" w:cs="Calibri"/>
        </w:rPr>
        <w:t xml:space="preserve">(options A, B and C) </w:t>
      </w:r>
      <w:r w:rsidRPr="00CF39C8">
        <w:rPr>
          <w:rFonts w:ascii="Calibri" w:eastAsia="Calibri" w:hAnsi="Calibri" w:cs="Calibri"/>
        </w:rPr>
        <w:t>for the design of the New Vehicle Efficiency Standard</w:t>
      </w:r>
      <w:r w:rsidR="00FA3DAF">
        <w:rPr>
          <w:rFonts w:ascii="Calibri" w:eastAsia="Calibri" w:hAnsi="Calibri" w:cs="Calibri"/>
        </w:rPr>
        <w:t>.</w:t>
      </w:r>
    </w:p>
    <w:p w14:paraId="0DBD7559" w14:textId="77777777" w:rsidR="003F251A" w:rsidRPr="00CF39C8" w:rsidRDefault="003F251A" w:rsidP="003F251A">
      <w:pPr>
        <w:rPr>
          <w:rFonts w:ascii="Calibri" w:eastAsia="Calibri" w:hAnsi="Calibri" w:cs="Calibri"/>
        </w:rPr>
      </w:pPr>
      <w:r w:rsidRPr="00CF39C8">
        <w:t xml:space="preserve">As part of the public consultation methodology, the department developed a </w:t>
      </w:r>
      <w:r w:rsidR="00E90B39" w:rsidRPr="00CF39C8">
        <w:t>questionnaire</w:t>
      </w:r>
      <w:r w:rsidRPr="00CF39C8">
        <w:t xml:space="preserve"> that was accessible through desktop and mobile </w:t>
      </w:r>
      <w:r w:rsidR="006A69E7" w:rsidRPr="00CF39C8">
        <w:t>devices</w:t>
      </w:r>
      <w:r w:rsidRPr="00CF39C8">
        <w:t xml:space="preserve">. </w:t>
      </w:r>
      <w:r w:rsidRPr="00CF39C8">
        <w:rPr>
          <w:rFonts w:ascii="Calibri" w:eastAsia="Calibri" w:hAnsi="Calibri" w:cs="Calibri"/>
        </w:rPr>
        <w:t xml:space="preserve">The consultation questions </w:t>
      </w:r>
      <w:r w:rsidR="0044693A" w:rsidRPr="00CF39C8">
        <w:rPr>
          <w:rFonts w:ascii="Calibri" w:eastAsia="Calibri" w:hAnsi="Calibri" w:cs="Calibri"/>
        </w:rPr>
        <w:t xml:space="preserve">(below) </w:t>
      </w:r>
      <w:r w:rsidRPr="00CF39C8">
        <w:rPr>
          <w:rFonts w:ascii="Calibri" w:eastAsia="Calibri" w:hAnsi="Calibri" w:cs="Calibri"/>
        </w:rPr>
        <w:t xml:space="preserve">were intended to capture individual and organisations views, aiming to identify themes and recommendations to inform </w:t>
      </w:r>
      <w:r w:rsidR="0044693A" w:rsidRPr="00CF39C8">
        <w:rPr>
          <w:rFonts w:ascii="Calibri" w:eastAsia="Calibri" w:hAnsi="Calibri" w:cs="Calibri"/>
        </w:rPr>
        <w:t>G</w:t>
      </w:r>
      <w:r w:rsidRPr="00CF39C8">
        <w:rPr>
          <w:rFonts w:ascii="Calibri" w:eastAsia="Calibri" w:hAnsi="Calibri" w:cs="Calibri"/>
        </w:rPr>
        <w:t xml:space="preserve">overnment’s final </w:t>
      </w:r>
      <w:r w:rsidR="00AE4BF3">
        <w:rPr>
          <w:rFonts w:ascii="Calibri" w:eastAsia="Calibri" w:hAnsi="Calibri" w:cs="Calibri"/>
        </w:rPr>
        <w:t>best</w:t>
      </w:r>
      <w:r w:rsidRPr="00CF39C8">
        <w:rPr>
          <w:rFonts w:ascii="Calibri" w:eastAsia="Calibri" w:hAnsi="Calibri" w:cs="Calibri"/>
        </w:rPr>
        <w:t xml:space="preserve"> </w:t>
      </w:r>
      <w:r w:rsidR="008A532D">
        <w:rPr>
          <w:rFonts w:ascii="Calibri" w:eastAsia="Calibri" w:hAnsi="Calibri" w:cs="Calibri"/>
        </w:rPr>
        <w:t>o</w:t>
      </w:r>
      <w:r w:rsidR="00DC48C3">
        <w:rPr>
          <w:rFonts w:ascii="Calibri" w:eastAsia="Calibri" w:hAnsi="Calibri" w:cs="Calibri"/>
        </w:rPr>
        <w:t xml:space="preserve">ption </w:t>
      </w:r>
      <w:r w:rsidR="008A532D">
        <w:rPr>
          <w:rFonts w:ascii="Calibri" w:eastAsia="Calibri" w:hAnsi="Calibri" w:cs="Calibri"/>
        </w:rPr>
        <w:t>a</w:t>
      </w:r>
      <w:r w:rsidR="00E55766" w:rsidRPr="00CF39C8">
        <w:rPr>
          <w:rFonts w:ascii="Calibri" w:eastAsia="Calibri" w:hAnsi="Calibri" w:cs="Calibri"/>
        </w:rPr>
        <w:t>nd implementation considerations</w:t>
      </w:r>
      <w:r w:rsidRPr="00CF39C8">
        <w:rPr>
          <w:rFonts w:ascii="Calibri" w:eastAsia="Calibri" w:hAnsi="Calibri" w:cs="Calibri"/>
        </w:rPr>
        <w:t xml:space="preserve">. </w:t>
      </w:r>
    </w:p>
    <w:p w14:paraId="384B9560" w14:textId="77777777" w:rsidR="003F251A" w:rsidRPr="00CF39C8" w:rsidRDefault="00600955" w:rsidP="003F251A">
      <w:pPr>
        <w:rPr>
          <w:rFonts w:ascii="Calibri" w:eastAsia="Calibri" w:hAnsi="Calibri" w:cs="Calibri"/>
        </w:rPr>
      </w:pPr>
      <w:r w:rsidRPr="00CF39C8">
        <w:rPr>
          <w:rFonts w:asciiTheme="majorHAnsi" w:eastAsia="Arial" w:hAnsiTheme="majorHAnsi" w:cstheme="majorHAnsi"/>
          <w:noProof/>
          <w:lang w:eastAsia="en-AU"/>
        </w:rPr>
        <mc:AlternateContent>
          <mc:Choice Requires="wpg">
            <w:drawing>
              <wp:anchor distT="0" distB="0" distL="114300" distR="114300" simplePos="0" relativeHeight="251658244" behindDoc="0" locked="0" layoutInCell="1" allowOverlap="1" wp14:anchorId="18A17BA7" wp14:editId="0611828C">
                <wp:simplePos x="0" y="0"/>
                <wp:positionH relativeFrom="column">
                  <wp:posOffset>-66444</wp:posOffset>
                </wp:positionH>
                <wp:positionV relativeFrom="paragraph">
                  <wp:posOffset>330390</wp:posOffset>
                </wp:positionV>
                <wp:extent cx="5953125" cy="5372100"/>
                <wp:effectExtent l="0" t="0" r="28575" b="19050"/>
                <wp:wrapTopAndBottom/>
                <wp:docPr id="2063" name="Group 2063" descr="Two coloured boxes with a summary of the questions asked specifically to individuals and organisations in the latest questionnaire.&#10;"/>
                <wp:cNvGraphicFramePr/>
                <a:graphic xmlns:a="http://schemas.openxmlformats.org/drawingml/2006/main">
                  <a:graphicData uri="http://schemas.microsoft.com/office/word/2010/wordprocessingGroup">
                    <wpg:wgp>
                      <wpg:cNvGrpSpPr/>
                      <wpg:grpSpPr>
                        <a:xfrm>
                          <a:off x="0" y="0"/>
                          <a:ext cx="5953125" cy="5372100"/>
                          <a:chOff x="0" y="0"/>
                          <a:chExt cx="5953125" cy="5372100"/>
                        </a:xfrm>
                      </wpg:grpSpPr>
                      <wps:wsp>
                        <wps:cNvPr id="2064" name="Rectangle 2064" descr="&#10;Box 2: Questions for organisations&#10;1. What is your name? (required)&#10;2. What organisation do you represent? (required)&#10;3. What is your position at the organisation? (required)&#10;4. Please rank the proposed options in order of preference (optional)&#10;5. Briefly, what are your reasons for your choice? (optional)&#10;6. Do you support the Government’s preferred option (Option B)? (optional)&#10;7. Do you have any feedback on the analysis approach and key assumptions used? (optional)&#10;8. Briefly, describe how the NVES might impact your organisation (optional)&#10;9. Who should the regulated entity be? See section 7.2 (optional)&#10;10. If you wish to provide any further information, you can upload a submission using the button below (optional)."/>
                        <wps:cNvSpPr/>
                        <wps:spPr>
                          <a:xfrm>
                            <a:off x="3000375" y="0"/>
                            <a:ext cx="2952750" cy="5372100"/>
                          </a:xfrm>
                          <a:prstGeom prst="rect">
                            <a:avLst/>
                          </a:prstGeom>
                          <a:solidFill>
                            <a:schemeClr val="accent5">
                              <a:lumMod val="20000"/>
                              <a:lumOff val="8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29944"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organisations</w:t>
                              </w:r>
                            </w:p>
                            <w:p w14:paraId="25BEB9EB"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name?</w:t>
                              </w:r>
                              <w:r w:rsidRPr="00B61EEF">
                                <w:rPr>
                                  <w:color w:val="000000" w:themeColor="text1"/>
                                  <w:sz w:val="20"/>
                                  <w:szCs w:val="20"/>
                                  <w:lang w:val="en-US"/>
                                </w:rPr>
                                <w:t xml:space="preserve"> </w:t>
                              </w:r>
                              <w:r w:rsidRPr="006A1BCD">
                                <w:rPr>
                                  <w:color w:val="000000" w:themeColor="text1"/>
                                  <w:sz w:val="20"/>
                                  <w:szCs w:val="20"/>
                                  <w:lang w:val="en-US"/>
                                </w:rPr>
                                <w:t>(required)</w:t>
                              </w:r>
                            </w:p>
                            <w:p w14:paraId="20EF3BA6" w14:textId="77777777" w:rsidR="00BD7C09" w:rsidRPr="00AE63F6" w:rsidRDefault="00BD7C09" w:rsidP="00430317">
                              <w:pPr>
                                <w:pStyle w:val="ListParagraph"/>
                                <w:numPr>
                                  <w:ilvl w:val="0"/>
                                  <w:numId w:val="34"/>
                                </w:numPr>
                                <w:spacing w:after="160"/>
                                <w:ind w:left="567" w:hanging="425"/>
                                <w:contextualSpacing w:val="0"/>
                                <w:rPr>
                                  <w:color w:val="000000" w:themeColor="text1"/>
                                  <w:sz w:val="20"/>
                                  <w:szCs w:val="20"/>
                                </w:rPr>
                              </w:pPr>
                              <w:r w:rsidRPr="006A1BCD">
                                <w:rPr>
                                  <w:color w:val="000000" w:themeColor="text1"/>
                                  <w:sz w:val="20"/>
                                  <w:szCs w:val="20"/>
                                  <w:lang w:val="en-US"/>
                                </w:rPr>
                                <w:t>What organisation do you represent? (required)</w:t>
                              </w:r>
                            </w:p>
                            <w:p w14:paraId="14D0098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position at the organisation? (required)</w:t>
                              </w:r>
                            </w:p>
                            <w:p w14:paraId="0C0A38B1"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sidRPr="00F04952">
                                <w:rPr>
                                  <w:color w:val="000000" w:themeColor="text1"/>
                                  <w:sz w:val="20"/>
                                  <w:szCs w:val="20"/>
                                  <w:lang w:val="en-US"/>
                                </w:rPr>
                                <w:t>optional</w:t>
                              </w:r>
                              <w:r w:rsidRPr="006A1BCD">
                                <w:rPr>
                                  <w:color w:val="000000" w:themeColor="text1"/>
                                  <w:sz w:val="20"/>
                                  <w:szCs w:val="20"/>
                                  <w:lang w:val="en-US"/>
                                </w:rPr>
                                <w:t>)</w:t>
                              </w:r>
                            </w:p>
                            <w:p w14:paraId="7F2D9E10"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F04952">
                                <w:rPr>
                                  <w:color w:val="000000" w:themeColor="text1"/>
                                  <w:sz w:val="20"/>
                                  <w:szCs w:val="20"/>
                                  <w:lang w:val="en-US"/>
                                </w:rPr>
                                <w:t>(optional)</w:t>
                              </w:r>
                            </w:p>
                            <w:p w14:paraId="1415BBC2" w14:textId="77777777" w:rsidR="00BD7C09" w:rsidRPr="002453E5"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2453E5">
                                <w:rPr>
                                  <w:color w:val="000000" w:themeColor="text1"/>
                                  <w:sz w:val="20"/>
                                  <w:szCs w:val="20"/>
                                  <w:lang w:val="en-US"/>
                                </w:rPr>
                                <w:t>Do you support the Government’s preferred option (</w:t>
                              </w:r>
                              <w:r>
                                <w:rPr>
                                  <w:color w:val="000000" w:themeColor="text1"/>
                                  <w:sz w:val="20"/>
                                  <w:szCs w:val="20"/>
                                  <w:lang w:val="en-US"/>
                                </w:rPr>
                                <w:t>Option B</w:t>
                              </w:r>
                              <w:r w:rsidRPr="002453E5">
                                <w:rPr>
                                  <w:color w:val="000000" w:themeColor="text1"/>
                                  <w:sz w:val="20"/>
                                  <w:szCs w:val="20"/>
                                  <w:lang w:val="en-US"/>
                                </w:rPr>
                                <w:t>)? (optional)</w:t>
                              </w:r>
                            </w:p>
                            <w:p w14:paraId="20D0C35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Do you have any feedback on the analysis approach and key assumptions used? (optional)</w:t>
                              </w:r>
                            </w:p>
                            <w:p w14:paraId="03E2AD7C"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Briefly, describe how the </w:t>
                              </w:r>
                              <w:r w:rsidRPr="006D4EF3">
                                <w:rPr>
                                  <w:rFonts w:asciiTheme="majorHAnsi" w:hAnsiTheme="majorHAnsi" w:cstheme="majorHAnsi"/>
                                  <w:color w:val="000000" w:themeColor="text1"/>
                                </w:rPr>
                                <w:t>NVES</w:t>
                              </w:r>
                              <w:r w:rsidRPr="00F04952">
                                <w:rPr>
                                  <w:color w:val="000000" w:themeColor="text1"/>
                                  <w:sz w:val="20"/>
                                  <w:szCs w:val="20"/>
                                </w:rPr>
                                <w:t xml:space="preserve"> might impact your organisation (optional)</w:t>
                              </w:r>
                            </w:p>
                            <w:p w14:paraId="2A262F76" w14:textId="77777777" w:rsidR="00BD7C09" w:rsidRPr="00F04952"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Who should the regulated entity be? See </w:t>
                              </w:r>
                              <w:r w:rsidRPr="00E96DEB">
                                <w:rPr>
                                  <w:color w:val="000000" w:themeColor="text1"/>
                                  <w:sz w:val="20"/>
                                  <w:szCs w:val="20"/>
                                </w:rPr>
                                <w:t>section 7.2 (optional</w:t>
                              </w:r>
                              <w:r w:rsidRPr="00F04952">
                                <w:rPr>
                                  <w:color w:val="000000" w:themeColor="text1"/>
                                  <w:sz w:val="20"/>
                                  <w:szCs w:val="20"/>
                                </w:rPr>
                                <w:t>)</w:t>
                              </w:r>
                            </w:p>
                            <w:p w14:paraId="15F78B4D" w14:textId="77777777" w:rsidR="00BD7C09" w:rsidRPr="00186CA4"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lang w:val="en-US"/>
                                </w:rPr>
                                <w:t xml:space="preserve">If you wish to provide </w:t>
                              </w:r>
                              <w:r w:rsidRPr="00186CA4">
                                <w:rPr>
                                  <w:color w:val="000000" w:themeColor="text1"/>
                                  <w:sz w:val="20"/>
                                  <w:szCs w:val="20"/>
                                  <w:lang w:val="en-US"/>
                                </w:rPr>
                                <w:t>any further information</w:t>
                              </w:r>
                              <w:r>
                                <w:rPr>
                                  <w:color w:val="000000" w:themeColor="text1"/>
                                  <w:sz w:val="20"/>
                                  <w:szCs w:val="20"/>
                                  <w:lang w:val="en-US"/>
                                </w:rPr>
                                <w:t xml:space="preserve">, </w:t>
                              </w:r>
                              <w:r w:rsidRPr="00186CA4">
                                <w:rPr>
                                  <w:color w:val="000000" w:themeColor="text1"/>
                                  <w:sz w:val="20"/>
                                  <w:szCs w:val="20"/>
                                  <w:lang w:val="en-US"/>
                                </w:rPr>
                                <w:t xml:space="preserve">you can upload a submission </w:t>
                              </w:r>
                              <w:r>
                                <w:rPr>
                                  <w:color w:val="000000" w:themeColor="text1"/>
                                  <w:sz w:val="20"/>
                                  <w:szCs w:val="20"/>
                                  <w:lang w:val="en-US"/>
                                </w:rPr>
                                <w:t>using the button below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5" name="Rectangle 2065" descr="Box 1: Questions for individuals&#10;1.What is your name? (optional)&#10;2. Please rank the proposed options in order of preference (optional)&#10;3. Briefly, what are your reasons for your choice? (optional)&#10;4. Do you support the Government’s preferred option (Option B)? (optional)&#10;5. If you wish to provide any further information, you can upload a submission using the button below (optional)."/>
                        <wps:cNvSpPr/>
                        <wps:spPr>
                          <a:xfrm>
                            <a:off x="0" y="0"/>
                            <a:ext cx="2889250" cy="5372100"/>
                          </a:xfrm>
                          <a:prstGeom prst="rect">
                            <a:avLst/>
                          </a:prstGeom>
                          <a:solidFill>
                            <a:schemeClr val="accent5">
                              <a:lumMod val="20000"/>
                              <a:lumOff val="8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0D8EF"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individuals</w:t>
                              </w:r>
                            </w:p>
                            <w:p w14:paraId="358F11BB"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What is your name? (</w:t>
                              </w:r>
                              <w:r>
                                <w:rPr>
                                  <w:color w:val="000000" w:themeColor="text1"/>
                                  <w:sz w:val="20"/>
                                  <w:szCs w:val="20"/>
                                  <w:lang w:val="en-US"/>
                                </w:rPr>
                                <w:t>optional</w:t>
                              </w:r>
                              <w:r w:rsidRPr="006A1BCD">
                                <w:rPr>
                                  <w:color w:val="000000" w:themeColor="text1"/>
                                  <w:sz w:val="20"/>
                                  <w:szCs w:val="20"/>
                                  <w:lang w:val="en-US"/>
                                </w:rPr>
                                <w:t>)</w:t>
                              </w:r>
                            </w:p>
                            <w:p w14:paraId="4CA802A8"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647ACB0F"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55CCEB18" w14:textId="77777777" w:rsidR="00BD7C09" w:rsidRPr="002453E5"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Do you support the Government’s preferred option (</w:t>
                              </w:r>
                              <w:r>
                                <w:rPr>
                                  <w:color w:val="000000" w:themeColor="text1"/>
                                  <w:sz w:val="20"/>
                                  <w:szCs w:val="20"/>
                                  <w:lang w:val="en-US"/>
                                </w:rPr>
                                <w:t>Option B</w:t>
                              </w:r>
                              <w:r w:rsidRPr="00F04952">
                                <w:rPr>
                                  <w:color w:val="000000" w:themeColor="text1"/>
                                  <w:sz w:val="20"/>
                                  <w:szCs w:val="20"/>
                                  <w:lang w:val="en-US"/>
                                </w:rPr>
                                <w:t>)? (optional)</w:t>
                              </w:r>
                            </w:p>
                            <w:p w14:paraId="3163E018" w14:textId="77777777" w:rsidR="00BD7C09" w:rsidRPr="00F04952"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If you wish to provide any further information, you can upload a submission using the button below (optional)</w:t>
                              </w:r>
                            </w:p>
                            <w:p w14:paraId="5F98D388" w14:textId="77777777" w:rsidR="00BD7C09" w:rsidRPr="006A1BCD" w:rsidRDefault="00BD7C09" w:rsidP="00600955">
                              <w:pPr>
                                <w:pStyle w:val="ListParagraph"/>
                                <w:rPr>
                                  <w:color w:val="000000" w:themeColor="text1"/>
                                  <w:sz w:val="20"/>
                                  <w:szCs w:val="20"/>
                                  <w:lang w:val="en-US"/>
                                </w:rPr>
                              </w:pPr>
                            </w:p>
                            <w:p w14:paraId="04F7E7F2" w14:textId="77777777" w:rsidR="00BD7C09" w:rsidRPr="006A1BCD" w:rsidRDefault="00BD7C09" w:rsidP="00600955">
                              <w:pPr>
                                <w:pStyle w:val="ListParagraph"/>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A17BA7" id="Group 2063" o:spid="_x0000_s1027" alt="Two coloured boxes with a summary of the questions asked specifically to individuals and organisations in the latest questionnaire.&#10;" style="position:absolute;margin-left:-5.25pt;margin-top:26pt;width:468.75pt;height:423pt;z-index:251658244;mso-height-relative:margin" coordsize="59531,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">
                <v:rect id="Rectangle 2064" o:spid="_x0000_s1028" alt="&#10;Box 2: Questions for organisations&#10;1. What is your name? (required)&#10;2. What organisation do you represent? (required)&#10;3. What is your position at the organisation? (required)&#10;4. Please rank the proposed options in order of preference (optional)&#10;5. Briefly, what are your reasons for your choice? (optional)&#10;6. Do you support the Government’s preferred option (Option B)? (optional)&#10;7. Do you have any feedback on the analysis approach and key assumptions used? (optional)&#10;8. Briefly, describe how the NVES might impact your organisation (optional)&#10;9. Who should the regulated entity be? See section 7.2 (optional)&#10;10. If you wish to provide any further information, you can upload a submission using the button below (optional)." style="position:absolute;left:30003;width:29528;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" fillcolor="#ddecee [664]" strokecolor="#417a84 [2408]" strokeweight=".25pt">
                  <v:textbox>
                    <w:txbxContent>
                      <w:p w14:paraId="53029944"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organisations</w:t>
                        </w:r>
                      </w:p>
                      <w:p w14:paraId="25BEB9EB"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name?</w:t>
                        </w:r>
                        <w:r w:rsidRPr="00B61EEF">
                          <w:rPr>
                            <w:color w:val="000000" w:themeColor="text1"/>
                            <w:sz w:val="20"/>
                            <w:szCs w:val="20"/>
                            <w:lang w:val="en-US"/>
                          </w:rPr>
                          <w:t xml:space="preserve"> </w:t>
                        </w:r>
                        <w:r w:rsidRPr="006A1BCD">
                          <w:rPr>
                            <w:color w:val="000000" w:themeColor="text1"/>
                            <w:sz w:val="20"/>
                            <w:szCs w:val="20"/>
                            <w:lang w:val="en-US"/>
                          </w:rPr>
                          <w:t>(required)</w:t>
                        </w:r>
                      </w:p>
                      <w:p w14:paraId="20EF3BA6" w14:textId="77777777" w:rsidR="00BD7C09" w:rsidRPr="00AE63F6" w:rsidRDefault="00BD7C09" w:rsidP="00430317">
                        <w:pPr>
                          <w:pStyle w:val="ListParagraph"/>
                          <w:numPr>
                            <w:ilvl w:val="0"/>
                            <w:numId w:val="34"/>
                          </w:numPr>
                          <w:spacing w:after="160"/>
                          <w:ind w:left="567" w:hanging="425"/>
                          <w:contextualSpacing w:val="0"/>
                          <w:rPr>
                            <w:color w:val="000000" w:themeColor="text1"/>
                            <w:sz w:val="20"/>
                            <w:szCs w:val="20"/>
                          </w:rPr>
                        </w:pPr>
                        <w:r w:rsidRPr="006A1BCD">
                          <w:rPr>
                            <w:color w:val="000000" w:themeColor="text1"/>
                            <w:sz w:val="20"/>
                            <w:szCs w:val="20"/>
                            <w:lang w:val="en-US"/>
                          </w:rPr>
                          <w:t>What organisation do you represent? (required)</w:t>
                        </w:r>
                      </w:p>
                      <w:p w14:paraId="14D0098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position at the organisation? (required)</w:t>
                        </w:r>
                      </w:p>
                      <w:p w14:paraId="0C0A38B1"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sidRPr="00F04952">
                          <w:rPr>
                            <w:color w:val="000000" w:themeColor="text1"/>
                            <w:sz w:val="20"/>
                            <w:szCs w:val="20"/>
                            <w:lang w:val="en-US"/>
                          </w:rPr>
                          <w:t>optional</w:t>
                        </w:r>
                        <w:r w:rsidRPr="006A1BCD">
                          <w:rPr>
                            <w:color w:val="000000" w:themeColor="text1"/>
                            <w:sz w:val="20"/>
                            <w:szCs w:val="20"/>
                            <w:lang w:val="en-US"/>
                          </w:rPr>
                          <w:t>)</w:t>
                        </w:r>
                      </w:p>
                      <w:p w14:paraId="7F2D9E10"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F04952">
                          <w:rPr>
                            <w:color w:val="000000" w:themeColor="text1"/>
                            <w:sz w:val="20"/>
                            <w:szCs w:val="20"/>
                            <w:lang w:val="en-US"/>
                          </w:rPr>
                          <w:t>(optional)</w:t>
                        </w:r>
                      </w:p>
                      <w:p w14:paraId="1415BBC2" w14:textId="77777777" w:rsidR="00BD7C09" w:rsidRPr="002453E5"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2453E5">
                          <w:rPr>
                            <w:color w:val="000000" w:themeColor="text1"/>
                            <w:sz w:val="20"/>
                            <w:szCs w:val="20"/>
                            <w:lang w:val="en-US"/>
                          </w:rPr>
                          <w:t>Do you support the Government’s preferred option (</w:t>
                        </w:r>
                        <w:r>
                          <w:rPr>
                            <w:color w:val="000000" w:themeColor="text1"/>
                            <w:sz w:val="20"/>
                            <w:szCs w:val="20"/>
                            <w:lang w:val="en-US"/>
                          </w:rPr>
                          <w:t>Option B</w:t>
                        </w:r>
                        <w:r w:rsidRPr="002453E5">
                          <w:rPr>
                            <w:color w:val="000000" w:themeColor="text1"/>
                            <w:sz w:val="20"/>
                            <w:szCs w:val="20"/>
                            <w:lang w:val="en-US"/>
                          </w:rPr>
                          <w:t>)? (optional)</w:t>
                        </w:r>
                      </w:p>
                      <w:p w14:paraId="20D0C35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Do you have any feedback on the analysis approach and key assumptions used? (optional)</w:t>
                        </w:r>
                      </w:p>
                      <w:p w14:paraId="03E2AD7C"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Briefly, describe how the </w:t>
                        </w:r>
                        <w:r w:rsidRPr="006D4EF3">
                          <w:rPr>
                            <w:rFonts w:asciiTheme="majorHAnsi" w:hAnsiTheme="majorHAnsi" w:cstheme="majorHAnsi"/>
                            <w:color w:val="000000" w:themeColor="text1"/>
                          </w:rPr>
                          <w:t>NVES</w:t>
                        </w:r>
                        <w:r w:rsidRPr="00F04952">
                          <w:rPr>
                            <w:color w:val="000000" w:themeColor="text1"/>
                            <w:sz w:val="20"/>
                            <w:szCs w:val="20"/>
                          </w:rPr>
                          <w:t xml:space="preserve"> might impact your organisation (optional)</w:t>
                        </w:r>
                      </w:p>
                      <w:p w14:paraId="2A262F76" w14:textId="77777777" w:rsidR="00BD7C09" w:rsidRPr="00F04952"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Who should the regulated entity be? See </w:t>
                        </w:r>
                        <w:r w:rsidRPr="00E96DEB">
                          <w:rPr>
                            <w:color w:val="000000" w:themeColor="text1"/>
                            <w:sz w:val="20"/>
                            <w:szCs w:val="20"/>
                          </w:rPr>
                          <w:t>section 7.2 (optional</w:t>
                        </w:r>
                        <w:r w:rsidRPr="00F04952">
                          <w:rPr>
                            <w:color w:val="000000" w:themeColor="text1"/>
                            <w:sz w:val="20"/>
                            <w:szCs w:val="20"/>
                          </w:rPr>
                          <w:t>)</w:t>
                        </w:r>
                      </w:p>
                      <w:p w14:paraId="15F78B4D" w14:textId="77777777" w:rsidR="00BD7C09" w:rsidRPr="00186CA4"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lang w:val="en-US"/>
                          </w:rPr>
                          <w:t xml:space="preserve">If you wish to provide </w:t>
                        </w:r>
                        <w:r w:rsidRPr="00186CA4">
                          <w:rPr>
                            <w:color w:val="000000" w:themeColor="text1"/>
                            <w:sz w:val="20"/>
                            <w:szCs w:val="20"/>
                            <w:lang w:val="en-US"/>
                          </w:rPr>
                          <w:t>any further information</w:t>
                        </w:r>
                        <w:r>
                          <w:rPr>
                            <w:color w:val="000000" w:themeColor="text1"/>
                            <w:sz w:val="20"/>
                            <w:szCs w:val="20"/>
                            <w:lang w:val="en-US"/>
                          </w:rPr>
                          <w:t xml:space="preserve">, </w:t>
                        </w:r>
                        <w:r w:rsidRPr="00186CA4">
                          <w:rPr>
                            <w:color w:val="000000" w:themeColor="text1"/>
                            <w:sz w:val="20"/>
                            <w:szCs w:val="20"/>
                            <w:lang w:val="en-US"/>
                          </w:rPr>
                          <w:t xml:space="preserve">you can upload a submission </w:t>
                        </w:r>
                        <w:r>
                          <w:rPr>
                            <w:color w:val="000000" w:themeColor="text1"/>
                            <w:sz w:val="20"/>
                            <w:szCs w:val="20"/>
                            <w:lang w:val="en-US"/>
                          </w:rPr>
                          <w:t>using the button below (optional)</w:t>
                        </w:r>
                      </w:p>
                    </w:txbxContent>
                  </v:textbox>
                </v:rect>
                <v:rect id="Rectangle 2065" o:spid="_x0000_s1029" alt="Box 1: Questions for individuals&#10;1.What is your name? (optional)&#10;2. Please rank the proposed options in order of preference (optional)&#10;3. Briefly, what are your reasons for your choice? (optional)&#10;4. Do you support the Government’s preferred option (Option B)? (optional)&#10;5. If you wish to provide any further information, you can upload a submission using the button below (optional)." style="position:absolute;width:28892;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" fillcolor="#ddecee [664]" strokecolor="#417a84 [2408]" strokeweight=".25pt">
                  <v:textbox>
                    <w:txbxContent>
                      <w:p w14:paraId="4200D8EF"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individuals</w:t>
                        </w:r>
                      </w:p>
                      <w:p w14:paraId="358F11BB"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What is your name? (</w:t>
                        </w:r>
                        <w:r>
                          <w:rPr>
                            <w:color w:val="000000" w:themeColor="text1"/>
                            <w:sz w:val="20"/>
                            <w:szCs w:val="20"/>
                            <w:lang w:val="en-US"/>
                          </w:rPr>
                          <w:t>optional</w:t>
                        </w:r>
                        <w:r w:rsidRPr="006A1BCD">
                          <w:rPr>
                            <w:color w:val="000000" w:themeColor="text1"/>
                            <w:sz w:val="20"/>
                            <w:szCs w:val="20"/>
                            <w:lang w:val="en-US"/>
                          </w:rPr>
                          <w:t>)</w:t>
                        </w:r>
                      </w:p>
                      <w:p w14:paraId="4CA802A8"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647ACB0F"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55CCEB18" w14:textId="77777777" w:rsidR="00BD7C09" w:rsidRPr="002453E5"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Do you support the Government’s preferred option (</w:t>
                        </w:r>
                        <w:r>
                          <w:rPr>
                            <w:color w:val="000000" w:themeColor="text1"/>
                            <w:sz w:val="20"/>
                            <w:szCs w:val="20"/>
                            <w:lang w:val="en-US"/>
                          </w:rPr>
                          <w:t>Option B</w:t>
                        </w:r>
                        <w:r w:rsidRPr="00F04952">
                          <w:rPr>
                            <w:color w:val="000000" w:themeColor="text1"/>
                            <w:sz w:val="20"/>
                            <w:szCs w:val="20"/>
                            <w:lang w:val="en-US"/>
                          </w:rPr>
                          <w:t>)? (optional)</w:t>
                        </w:r>
                      </w:p>
                      <w:p w14:paraId="3163E018" w14:textId="77777777" w:rsidR="00BD7C09" w:rsidRPr="00F04952"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If you wish to provide any further information, you can upload a submission using the button below (optional)</w:t>
                        </w:r>
                      </w:p>
                      <w:p w14:paraId="5F98D388" w14:textId="77777777" w:rsidR="00BD7C09" w:rsidRPr="006A1BCD" w:rsidRDefault="00BD7C09" w:rsidP="00600955">
                        <w:pPr>
                          <w:pStyle w:val="ListParagraph"/>
                          <w:rPr>
                            <w:color w:val="000000" w:themeColor="text1"/>
                            <w:sz w:val="20"/>
                            <w:szCs w:val="20"/>
                            <w:lang w:val="en-US"/>
                          </w:rPr>
                        </w:pPr>
                      </w:p>
                      <w:p w14:paraId="04F7E7F2" w14:textId="77777777" w:rsidR="00BD7C09" w:rsidRPr="006A1BCD" w:rsidRDefault="00BD7C09" w:rsidP="00600955">
                        <w:pPr>
                          <w:pStyle w:val="ListParagraph"/>
                          <w:rPr>
                            <w:color w:val="000000" w:themeColor="text1"/>
                            <w:sz w:val="20"/>
                            <w:szCs w:val="20"/>
                          </w:rPr>
                        </w:pPr>
                      </w:p>
                    </w:txbxContent>
                  </v:textbox>
                </v:rect>
                <w10:wrap type="topAndBottom"/>
              </v:group>
            </w:pict>
          </mc:Fallback>
        </mc:AlternateContent>
      </w:r>
      <w:r w:rsidR="003F251A" w:rsidRPr="00CF39C8">
        <w:rPr>
          <w:rFonts w:ascii="Calibri" w:eastAsia="Calibri" w:hAnsi="Calibri" w:cs="Calibri"/>
        </w:rPr>
        <w:t xml:space="preserve"> </w:t>
      </w:r>
    </w:p>
    <w:p w14:paraId="46AE46A3" w14:textId="77777777" w:rsidR="00F52B50" w:rsidRPr="00CF39C8" w:rsidRDefault="00F52B50" w:rsidP="003F251A">
      <w:pPr>
        <w:rPr>
          <w:rFonts w:ascii="Calibri" w:eastAsia="Calibri" w:hAnsi="Calibri" w:cs="Calibri"/>
          <w:highlight w:val="green"/>
        </w:rPr>
      </w:pPr>
    </w:p>
    <w:p w14:paraId="26D8AEFD" w14:textId="77777777" w:rsidR="003F251A" w:rsidRPr="00CF39C8" w:rsidRDefault="0044693A" w:rsidP="003F251A">
      <w:pPr>
        <w:rPr>
          <w:rFonts w:ascii="Calibri" w:eastAsia="Calibri" w:hAnsi="Calibri" w:cs="Calibri"/>
        </w:rPr>
      </w:pPr>
      <w:r w:rsidRPr="00CF39C8">
        <w:rPr>
          <w:rFonts w:ascii="Calibri" w:eastAsia="Calibri" w:hAnsi="Calibri" w:cs="Calibri"/>
        </w:rPr>
        <w:t>The q</w:t>
      </w:r>
      <w:r w:rsidR="00E90B39" w:rsidRPr="00CF39C8">
        <w:t>uestionnaires</w:t>
      </w:r>
      <w:r w:rsidR="003F251A" w:rsidRPr="00CF39C8">
        <w:rPr>
          <w:rFonts w:ascii="Calibri" w:eastAsia="Calibri" w:hAnsi="Calibri" w:cs="Calibri"/>
        </w:rPr>
        <w:t xml:space="preserve"> provided the option to </w:t>
      </w:r>
      <w:r w:rsidR="001A18FE" w:rsidRPr="00CF39C8">
        <w:rPr>
          <w:rFonts w:ascii="Calibri" w:eastAsia="Calibri" w:hAnsi="Calibri" w:cs="Calibri"/>
        </w:rPr>
        <w:t xml:space="preserve">upload </w:t>
      </w:r>
      <w:r w:rsidR="003F251A" w:rsidRPr="00CF39C8">
        <w:rPr>
          <w:rFonts w:ascii="Calibri" w:eastAsia="Calibri" w:hAnsi="Calibri" w:cs="Calibri"/>
        </w:rPr>
        <w:t>a written submission, and free-text responses</w:t>
      </w:r>
      <w:r w:rsidR="001A18FE" w:rsidRPr="00CF39C8">
        <w:rPr>
          <w:rFonts w:ascii="Calibri" w:eastAsia="Calibri" w:hAnsi="Calibri" w:cs="Calibri"/>
        </w:rPr>
        <w:t xml:space="preserve"> were</w:t>
      </w:r>
      <w:r w:rsidR="003F251A" w:rsidRPr="00CF39C8">
        <w:rPr>
          <w:rFonts w:ascii="Calibri" w:eastAsia="Calibri" w:hAnsi="Calibri" w:cs="Calibri"/>
        </w:rPr>
        <w:t xml:space="preserve"> available for some questions</w:t>
      </w:r>
      <w:r w:rsidR="00615B4B" w:rsidRPr="00CF39C8">
        <w:rPr>
          <w:rFonts w:ascii="Calibri" w:eastAsia="Calibri" w:hAnsi="Calibri" w:cs="Calibri"/>
        </w:rPr>
        <w:t>.</w:t>
      </w:r>
      <w:r w:rsidR="003F251A" w:rsidRPr="00CF39C8">
        <w:rPr>
          <w:rFonts w:ascii="Calibri" w:eastAsia="Calibri" w:hAnsi="Calibri" w:cs="Calibri"/>
        </w:rPr>
        <w:t xml:space="preserve"> </w:t>
      </w:r>
    </w:p>
    <w:p w14:paraId="61BDD63B" w14:textId="77777777" w:rsidR="006A0307" w:rsidRPr="00CF39C8" w:rsidRDefault="001A18FE" w:rsidP="006A0307">
      <w:r w:rsidRPr="00CF39C8">
        <w:rPr>
          <w:rFonts w:ascii="Calibri" w:eastAsia="Calibri" w:hAnsi="Calibri" w:cs="Calibri"/>
        </w:rPr>
        <w:t>E</w:t>
      </w:r>
      <w:r w:rsidR="00EA55F6" w:rsidRPr="00CF39C8">
        <w:rPr>
          <w:rFonts w:ascii="Calibri" w:eastAsia="Calibri" w:hAnsi="Calibri" w:cs="Calibri"/>
        </w:rPr>
        <w:t>mbedded</w:t>
      </w:r>
      <w:r w:rsidR="00E55766" w:rsidRPr="00CF39C8">
        <w:rPr>
          <w:rFonts w:ascii="Calibri" w:eastAsia="Calibri" w:hAnsi="Calibri" w:cs="Calibri"/>
        </w:rPr>
        <w:t xml:space="preserve"> in</w:t>
      </w:r>
      <w:r w:rsidR="003F251A" w:rsidRPr="00CF39C8">
        <w:rPr>
          <w:rFonts w:ascii="Calibri" w:eastAsia="Calibri" w:hAnsi="Calibri" w:cs="Calibri"/>
        </w:rPr>
        <w:t xml:space="preserve"> the </w:t>
      </w:r>
      <w:r w:rsidR="00F87281" w:rsidRPr="00CF39C8">
        <w:rPr>
          <w:rFonts w:ascii="Calibri" w:eastAsia="Calibri" w:hAnsi="Calibri" w:cs="Calibri"/>
        </w:rPr>
        <w:t>questionnaire</w:t>
      </w:r>
      <w:r w:rsidR="003F251A" w:rsidRPr="00CF39C8">
        <w:rPr>
          <w:rFonts w:ascii="Calibri" w:eastAsia="Calibri" w:hAnsi="Calibri" w:cs="Calibri"/>
        </w:rPr>
        <w:t xml:space="preserve"> was a </w:t>
      </w:r>
      <w:r w:rsidR="00E55766" w:rsidRPr="00CF39C8">
        <w:rPr>
          <w:rFonts w:ascii="Calibri" w:eastAsia="Calibri" w:hAnsi="Calibri" w:cs="Calibri"/>
        </w:rPr>
        <w:t>summary</w:t>
      </w:r>
      <w:r w:rsidR="003F251A" w:rsidRPr="00CF39C8">
        <w:rPr>
          <w:rFonts w:ascii="Calibri" w:eastAsia="Calibri" w:hAnsi="Calibri" w:cs="Calibri"/>
        </w:rPr>
        <w:t xml:space="preserve"> of each proposed option, and a cost benefit analysis table, taken from the Impact Analysis. This </w:t>
      </w:r>
      <w:r w:rsidR="00D13D0A" w:rsidRPr="00CF39C8">
        <w:rPr>
          <w:rFonts w:ascii="Calibri" w:eastAsia="Calibri" w:hAnsi="Calibri" w:cs="Calibri"/>
        </w:rPr>
        <w:t xml:space="preserve">summary was </w:t>
      </w:r>
      <w:r w:rsidRPr="00CF39C8">
        <w:rPr>
          <w:rFonts w:ascii="Calibri" w:eastAsia="Calibri" w:hAnsi="Calibri" w:cs="Calibri"/>
        </w:rPr>
        <w:t>designed to ensure that the</w:t>
      </w:r>
      <w:r w:rsidR="00E55766" w:rsidRPr="00CF39C8">
        <w:rPr>
          <w:rFonts w:ascii="Calibri" w:eastAsia="Calibri" w:hAnsi="Calibri" w:cs="Calibri"/>
        </w:rPr>
        <w:t xml:space="preserve"> </w:t>
      </w:r>
      <w:r w:rsidR="003F251A" w:rsidRPr="00CF39C8">
        <w:rPr>
          <w:rFonts w:ascii="Calibri" w:eastAsia="Calibri" w:hAnsi="Calibri" w:cs="Calibri"/>
        </w:rPr>
        <w:t>Government</w:t>
      </w:r>
      <w:r w:rsidR="00615B4B" w:rsidRPr="00CF39C8">
        <w:rPr>
          <w:rFonts w:ascii="Calibri" w:eastAsia="Calibri" w:hAnsi="Calibri" w:cs="Calibri"/>
        </w:rPr>
        <w:t>s</w:t>
      </w:r>
      <w:r w:rsidR="003F251A" w:rsidRPr="00CF39C8">
        <w:rPr>
          <w:rFonts w:ascii="Calibri" w:eastAsia="Calibri" w:hAnsi="Calibri" w:cs="Calibri"/>
        </w:rPr>
        <w:t xml:space="preserve"> proposed options </w:t>
      </w:r>
      <w:r w:rsidRPr="00CF39C8">
        <w:rPr>
          <w:rFonts w:ascii="Calibri" w:eastAsia="Calibri" w:hAnsi="Calibri" w:cs="Calibri"/>
        </w:rPr>
        <w:t>were accessible to questionnaire users.</w:t>
      </w:r>
      <w:r w:rsidR="006A0307" w:rsidRPr="00CF39C8">
        <w:rPr>
          <w:rFonts w:ascii="Calibri" w:eastAsia="Calibri" w:hAnsi="Calibri" w:cs="Calibri"/>
        </w:rPr>
        <w:t xml:space="preserve"> </w:t>
      </w:r>
      <w:r w:rsidR="006A0307" w:rsidRPr="00CF39C8">
        <w:t xml:space="preserve">The Impact Analysis Consultation was published via the </w:t>
      </w:r>
      <w:r w:rsidRPr="00CF39C8">
        <w:t>department’s Cleaner Cars consultation hub at cleanercars.gov.au</w:t>
      </w:r>
      <w:r w:rsidR="006A0307" w:rsidRPr="00CF39C8">
        <w:t>.</w:t>
      </w:r>
      <w:r w:rsidR="006A0307" w:rsidRPr="00CF39C8">
        <w:rPr>
          <w:rStyle w:val="FootnoteReference"/>
        </w:rPr>
        <w:footnoteReference w:id="26"/>
      </w:r>
      <w:r w:rsidR="006A0307" w:rsidRPr="00CF39C8">
        <w:t xml:space="preserve"> The </w:t>
      </w:r>
      <w:r w:rsidRPr="00CF39C8">
        <w:t>c</w:t>
      </w:r>
      <w:r w:rsidR="006A0307" w:rsidRPr="00CF39C8">
        <w:t xml:space="preserve">onsultation </w:t>
      </w:r>
      <w:r w:rsidRPr="00CF39C8">
        <w:t>hub</w:t>
      </w:r>
      <w:r w:rsidR="006A0307" w:rsidRPr="00CF39C8">
        <w:t xml:space="preserve"> was open for </w:t>
      </w:r>
      <w:r w:rsidR="00615B4B" w:rsidRPr="00CF39C8">
        <w:t>submissions</w:t>
      </w:r>
      <w:r w:rsidR="006A0307" w:rsidRPr="00CF39C8">
        <w:t xml:space="preserve"> from 4</w:t>
      </w:r>
      <w:r w:rsidR="00E96DEB">
        <w:t> </w:t>
      </w:r>
      <w:r w:rsidR="006A0307" w:rsidRPr="00CF39C8">
        <w:t xml:space="preserve">February until 4 March 2024. </w:t>
      </w:r>
    </w:p>
    <w:p w14:paraId="4AD089B9" w14:textId="77777777" w:rsidR="003F251A" w:rsidRPr="00CF39C8" w:rsidRDefault="003F251A" w:rsidP="00844AE0">
      <w:pPr>
        <w:pStyle w:val="Heading5"/>
        <w:rPr>
          <w:rFonts w:eastAsiaTheme="minorEastAsia"/>
          <w:b/>
        </w:rPr>
      </w:pPr>
      <w:r w:rsidRPr="00CF39C8">
        <w:rPr>
          <w:rFonts w:eastAsiaTheme="minorEastAsia"/>
          <w:b/>
        </w:rPr>
        <w:t>Raising awareness: early outreach</w:t>
      </w:r>
    </w:p>
    <w:p w14:paraId="3D405473" w14:textId="77777777" w:rsidR="003F251A" w:rsidRPr="00CF39C8" w:rsidRDefault="003F251A" w:rsidP="003F251A">
      <w:r w:rsidRPr="00CF39C8">
        <w:t xml:space="preserve">The department </w:t>
      </w:r>
      <w:r w:rsidR="001A18FE" w:rsidRPr="00CF39C8">
        <w:t>undertook digital outreach</w:t>
      </w:r>
      <w:r w:rsidRPr="00CF39C8">
        <w:t xml:space="preserve"> to inform </w:t>
      </w:r>
      <w:r w:rsidR="00C72993" w:rsidRPr="00CF39C8">
        <w:t>the community</w:t>
      </w:r>
      <w:r w:rsidRPr="00CF39C8">
        <w:t xml:space="preserve"> about the</w:t>
      </w:r>
      <w:r w:rsidR="00B62F93" w:rsidRPr="00CF39C8">
        <w:t xml:space="preserve"> </w:t>
      </w:r>
      <w:r w:rsidRPr="00CF39C8">
        <w:t>consultation, including:</w:t>
      </w:r>
    </w:p>
    <w:p w14:paraId="67F49C3D" w14:textId="77777777" w:rsidR="003F251A" w:rsidRPr="00CF39C8" w:rsidRDefault="003F251A" w:rsidP="00430317">
      <w:pPr>
        <w:pStyle w:val="ListParagraph"/>
        <w:numPr>
          <w:ilvl w:val="0"/>
          <w:numId w:val="43"/>
        </w:numPr>
        <w:spacing w:after="160" w:line="259" w:lineRule="auto"/>
      </w:pPr>
      <w:r w:rsidRPr="00CF39C8">
        <w:t xml:space="preserve">A media release to launch the public consultation </w:t>
      </w:r>
    </w:p>
    <w:p w14:paraId="2E1AAF8C" w14:textId="77777777" w:rsidR="003F251A" w:rsidRPr="00CF39C8" w:rsidRDefault="003F251A" w:rsidP="00430317">
      <w:pPr>
        <w:pStyle w:val="ListParagraph"/>
        <w:numPr>
          <w:ilvl w:val="0"/>
          <w:numId w:val="43"/>
        </w:numPr>
        <w:spacing w:after="160" w:line="259" w:lineRule="auto"/>
      </w:pPr>
      <w:r w:rsidRPr="00CF39C8">
        <w:t xml:space="preserve">Social media, posting across existing departmental channels to raise awareness. </w:t>
      </w:r>
    </w:p>
    <w:p w14:paraId="50CD4A1A" w14:textId="77777777" w:rsidR="003F251A" w:rsidRPr="00CF39C8" w:rsidRDefault="003F251A" w:rsidP="00430317">
      <w:pPr>
        <w:pStyle w:val="ListParagraph"/>
        <w:numPr>
          <w:ilvl w:val="0"/>
          <w:numId w:val="43"/>
        </w:numPr>
        <w:spacing w:after="160" w:line="259" w:lineRule="auto"/>
      </w:pPr>
      <w:r w:rsidRPr="00CF39C8">
        <w:t xml:space="preserve">Distribution of a </w:t>
      </w:r>
      <w:r w:rsidR="001A18FE" w:rsidRPr="00CF39C8">
        <w:t>s</w:t>
      </w:r>
      <w:r w:rsidRPr="00CF39C8">
        <w:t xml:space="preserve">takeholder </w:t>
      </w:r>
      <w:r w:rsidR="001A18FE" w:rsidRPr="00CF39C8">
        <w:t>k</w:t>
      </w:r>
      <w:r w:rsidRPr="00CF39C8">
        <w:t xml:space="preserve">it to </w:t>
      </w:r>
      <w:r w:rsidR="001A18FE" w:rsidRPr="00CF39C8">
        <w:t>G</w:t>
      </w:r>
      <w:r w:rsidRPr="00CF39C8">
        <w:t xml:space="preserve">overnment </w:t>
      </w:r>
      <w:r w:rsidR="001A18FE" w:rsidRPr="00CF39C8">
        <w:t xml:space="preserve">agencies </w:t>
      </w:r>
      <w:r w:rsidRPr="00CF39C8">
        <w:t xml:space="preserve">to </w:t>
      </w:r>
      <w:r w:rsidR="001A18FE" w:rsidRPr="00CF39C8">
        <w:t xml:space="preserve">enable </w:t>
      </w:r>
      <w:r w:rsidRPr="00CF39C8">
        <w:t>amplif</w:t>
      </w:r>
      <w:r w:rsidR="001A18FE" w:rsidRPr="00CF39C8">
        <w:t>ication of</w:t>
      </w:r>
      <w:r w:rsidRPr="00CF39C8">
        <w:t xml:space="preserve"> </w:t>
      </w:r>
      <w:r w:rsidR="001A18FE" w:rsidRPr="00CF39C8">
        <w:t xml:space="preserve">messaging about </w:t>
      </w:r>
      <w:r w:rsidRPr="00CF39C8">
        <w:t xml:space="preserve">the public consultation. </w:t>
      </w:r>
    </w:p>
    <w:p w14:paraId="6EA0A2C8" w14:textId="77777777" w:rsidR="003F251A" w:rsidRPr="00CF39C8" w:rsidRDefault="001A18FE" w:rsidP="00430317">
      <w:pPr>
        <w:pStyle w:val="ListParagraph"/>
        <w:numPr>
          <w:ilvl w:val="0"/>
          <w:numId w:val="43"/>
        </w:numPr>
        <w:spacing w:after="160" w:line="259" w:lineRule="auto"/>
      </w:pPr>
      <w:r w:rsidRPr="00CF39C8">
        <w:t>Other material made available at c</w:t>
      </w:r>
      <w:r w:rsidR="003F251A" w:rsidRPr="00CF39C8">
        <w:t>leanercars.gov.au</w:t>
      </w:r>
      <w:r w:rsidRPr="00CF39C8">
        <w:t xml:space="preserve">, </w:t>
      </w:r>
      <w:r w:rsidR="00912712" w:rsidRPr="00CF39C8">
        <w:t>including frequently</w:t>
      </w:r>
      <w:r w:rsidR="003F251A" w:rsidRPr="00CF39C8">
        <w:t xml:space="preserve"> asked questions.</w:t>
      </w:r>
    </w:p>
    <w:p w14:paraId="2391BC9B" w14:textId="77777777" w:rsidR="00F52B50" w:rsidRPr="00CF39C8" w:rsidRDefault="00F52B50" w:rsidP="00132FA8"/>
    <w:p w14:paraId="28FD5A28" w14:textId="77777777" w:rsidR="003A7CF4" w:rsidRPr="00CF39C8" w:rsidRDefault="00EA50E5" w:rsidP="00372616">
      <w:pPr>
        <w:rPr>
          <w:rStyle w:val="BodyTextChar"/>
        </w:rPr>
      </w:pPr>
      <w:bookmarkStart w:id="457" w:name="_Toc161391215"/>
      <w:bookmarkStart w:id="458" w:name="_Toc161408311"/>
      <w:bookmarkStart w:id="459" w:name="_Toc161408401"/>
      <w:bookmarkStart w:id="460" w:name="_Toc161408471"/>
      <w:r w:rsidRPr="00CF39C8">
        <w:rPr>
          <w:noProof/>
          <w:lang w:eastAsia="en-AU"/>
        </w:rPr>
        <w:drawing>
          <wp:inline distT="0" distB="0" distL="0" distR="0" wp14:anchorId="68C9F645" wp14:editId="26F9A4DC">
            <wp:extent cx="5731510" cy="3532505"/>
            <wp:effectExtent l="0" t="0" r="2540" b="0"/>
            <wp:docPr id="2068" name="Picture 2068" descr="Infographic displaying online outreach to community and stakeholders. &#10;&#10;400 people were subscribers to cleanercars.gov.au, with messaging about the consultation reaching 400 stakeholders. &#10;&#10;140 emails were sent to organisations that provided submission to our phase 1 consultation. &#10;&#10;3,100 people were reached through social media channels. &#10;&#10;20,000 visits to cleanercar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532505"/>
                    </a:xfrm>
                    <a:prstGeom prst="rect">
                      <a:avLst/>
                    </a:prstGeom>
                  </pic:spPr>
                </pic:pic>
              </a:graphicData>
            </a:graphic>
          </wp:inline>
        </w:drawing>
      </w:r>
      <w:bookmarkEnd w:id="457"/>
      <w:bookmarkEnd w:id="458"/>
      <w:bookmarkEnd w:id="459"/>
      <w:bookmarkEnd w:id="460"/>
    </w:p>
    <w:p w14:paraId="1A786DD3" w14:textId="77777777" w:rsidR="00372616" w:rsidRPr="00CF39C8" w:rsidRDefault="003F7F9B" w:rsidP="00DB038C">
      <w:pPr>
        <w:pStyle w:val="Caption"/>
      </w:pPr>
      <w:bookmarkStart w:id="461" w:name="_Toc161837789"/>
      <w:bookmarkStart w:id="462" w:name="_Toc161933235"/>
      <w:bookmarkStart w:id="463" w:name="_Toc163221135"/>
      <w:r w:rsidRPr="00DB038C">
        <w:t xml:space="preserve">Figure </w:t>
      </w:r>
      <w:r w:rsidR="0023600C">
        <w:t>19</w:t>
      </w:r>
      <w:r w:rsidRPr="00DB038C">
        <w:t xml:space="preserve"> </w:t>
      </w:r>
      <w:r w:rsidRPr="00DB038C">
        <w:rPr>
          <w:b w:val="0"/>
        </w:rPr>
        <w:t>– Digital outreach</w:t>
      </w:r>
      <w:bookmarkEnd w:id="461"/>
      <w:bookmarkEnd w:id="462"/>
      <w:bookmarkEnd w:id="463"/>
      <w:r w:rsidRPr="00DB038C">
        <w:t xml:space="preserve"> </w:t>
      </w:r>
    </w:p>
    <w:p w14:paraId="191A0176" w14:textId="77777777" w:rsidR="00372616" w:rsidRDefault="00372616" w:rsidP="00372616"/>
    <w:p w14:paraId="15B6BC20" w14:textId="77777777" w:rsidR="001C5AA9" w:rsidRDefault="001C5AA9" w:rsidP="00372616"/>
    <w:p w14:paraId="1E5BCA34" w14:textId="77777777" w:rsidR="001C5AA9" w:rsidRDefault="001C5AA9" w:rsidP="00372616"/>
    <w:p w14:paraId="4268F7AB" w14:textId="77777777" w:rsidR="001C5AA9" w:rsidRPr="00CF39C8" w:rsidRDefault="001C5AA9" w:rsidP="00372616"/>
    <w:p w14:paraId="4FF23F99" w14:textId="77777777" w:rsidR="003F251A" w:rsidRPr="00CF39C8" w:rsidRDefault="003F251A" w:rsidP="009948F5">
      <w:pPr>
        <w:pStyle w:val="Heading3"/>
        <w:rPr>
          <w:rFonts w:eastAsiaTheme="minorEastAsia"/>
          <w:i/>
          <w:iCs/>
          <w:color w:val="auto"/>
          <w:sz w:val="22"/>
          <w:szCs w:val="22"/>
        </w:rPr>
      </w:pPr>
      <w:bookmarkStart w:id="464" w:name="_Toc161837678"/>
      <w:bookmarkStart w:id="465" w:name="_Toc161933177"/>
      <w:bookmarkStart w:id="466" w:name="_Toc162276486"/>
      <w:bookmarkStart w:id="467" w:name="_Toc163221080"/>
      <w:r w:rsidRPr="00CF39C8">
        <w:rPr>
          <w:rFonts w:eastAsiaTheme="minorEastAsia"/>
          <w:i/>
          <w:iCs/>
          <w:color w:val="auto"/>
          <w:sz w:val="22"/>
          <w:szCs w:val="22"/>
        </w:rPr>
        <w:t>Targeted discussions</w:t>
      </w:r>
      <w:bookmarkEnd w:id="464"/>
      <w:bookmarkEnd w:id="465"/>
      <w:bookmarkEnd w:id="466"/>
      <w:bookmarkEnd w:id="467"/>
      <w:r w:rsidRPr="00CF39C8">
        <w:rPr>
          <w:rFonts w:eastAsiaTheme="minorEastAsia"/>
          <w:i/>
          <w:iCs/>
          <w:color w:val="auto"/>
          <w:sz w:val="22"/>
          <w:szCs w:val="22"/>
        </w:rPr>
        <w:t xml:space="preserve"> </w:t>
      </w:r>
    </w:p>
    <w:p w14:paraId="1B7EC0AD" w14:textId="77777777" w:rsidR="003F251A" w:rsidRPr="00CF39C8" w:rsidRDefault="003F251A" w:rsidP="003F251A">
      <w:r w:rsidRPr="00CF39C8">
        <w:t xml:space="preserve">On 20 February 2024, the department </w:t>
      </w:r>
      <w:r w:rsidR="001A18FE" w:rsidRPr="00CF39C8">
        <w:t xml:space="preserve">hosted </w:t>
      </w:r>
      <w:r w:rsidRPr="00CF39C8">
        <w:t xml:space="preserve">a stakeholder roundtable </w:t>
      </w:r>
      <w:r w:rsidR="00E55766" w:rsidRPr="00CF39C8">
        <w:t xml:space="preserve">in Canberra </w:t>
      </w:r>
      <w:r w:rsidRPr="00CF39C8">
        <w:t xml:space="preserve">with </w:t>
      </w:r>
      <w:r w:rsidR="00132FA8" w:rsidRPr="00CF39C8">
        <w:t>26</w:t>
      </w:r>
      <w:r w:rsidRPr="00CF39C8">
        <w:t xml:space="preserve"> </w:t>
      </w:r>
      <w:r w:rsidR="001A18FE" w:rsidRPr="00CF39C8">
        <w:t xml:space="preserve">organisations represented </w:t>
      </w:r>
      <w:r w:rsidRPr="00CF39C8">
        <w:t xml:space="preserve">including </w:t>
      </w:r>
      <w:r w:rsidR="001A18FE" w:rsidRPr="00CF39C8">
        <w:t xml:space="preserve">automotive industry </w:t>
      </w:r>
      <w:r w:rsidRPr="00CF39C8">
        <w:t>peak bodies,</w:t>
      </w:r>
      <w:r w:rsidR="00E55766" w:rsidRPr="00CF39C8">
        <w:t xml:space="preserve"> </w:t>
      </w:r>
      <w:r w:rsidR="001A18FE" w:rsidRPr="00CF39C8">
        <w:t xml:space="preserve">car manufacturers, </w:t>
      </w:r>
      <w:r w:rsidRPr="00CF39C8">
        <w:t xml:space="preserve">consumer </w:t>
      </w:r>
      <w:r w:rsidR="00C066FE">
        <w:t xml:space="preserve">and vulnerable Australian </w:t>
      </w:r>
      <w:r w:rsidR="001A18FE" w:rsidRPr="00CF39C8">
        <w:t>organisations</w:t>
      </w:r>
      <w:r w:rsidRPr="00CF39C8">
        <w:t xml:space="preserve">, </w:t>
      </w:r>
      <w:r w:rsidR="001A18FE" w:rsidRPr="00CF39C8">
        <w:t xml:space="preserve">environment </w:t>
      </w:r>
      <w:r w:rsidRPr="00CF39C8">
        <w:t>groups</w:t>
      </w:r>
      <w:r w:rsidR="001A18FE" w:rsidRPr="00CF39C8">
        <w:t xml:space="preserve"> and agricultural organisations</w:t>
      </w:r>
      <w:r w:rsidRPr="00CF39C8">
        <w:t xml:space="preserve">. </w:t>
      </w:r>
      <w:r w:rsidR="001A18FE" w:rsidRPr="00CF39C8">
        <w:t xml:space="preserve">The roundtable provided </w:t>
      </w:r>
      <w:r w:rsidR="00657BB7" w:rsidRPr="00CF39C8">
        <w:t xml:space="preserve">stakeholders with </w:t>
      </w:r>
      <w:r w:rsidR="001A18FE" w:rsidRPr="00CF39C8">
        <w:t>an opportunity to discuss the Government’s proposed</w:t>
      </w:r>
      <w:r w:rsidRPr="00CF39C8">
        <w:t xml:space="preserve"> policy and implementation settings</w:t>
      </w:r>
      <w:r w:rsidR="00657BB7" w:rsidRPr="00CF39C8">
        <w:t xml:space="preserve"> and share the views of their organisation and community or industry they represented.</w:t>
      </w:r>
      <w:r w:rsidRPr="00CF39C8">
        <w:t xml:space="preserve"> </w:t>
      </w:r>
    </w:p>
    <w:p w14:paraId="68B27C7F" w14:textId="77777777" w:rsidR="00055AB3" w:rsidRPr="0076034D" w:rsidRDefault="00657BB7" w:rsidP="0076034D">
      <w:pPr>
        <w:rPr>
          <w:color w:val="FF0000"/>
          <w:lang w:eastAsia="en-AU"/>
        </w:rPr>
      </w:pPr>
      <w:r w:rsidRPr="00CF39C8">
        <w:rPr>
          <w:rFonts w:ascii="Calibri" w:eastAsia="Calibri" w:hAnsi="Calibri" w:cs="Calibri"/>
        </w:rPr>
        <w:t xml:space="preserve">The department also undertook bilateral discussions with a range of organisations as well as industry.  This approach ensured that the views of the wider community were captured, and the positions of key stakeholders could be explored in depth.  </w:t>
      </w:r>
      <w:r w:rsidR="003F251A" w:rsidRPr="00CF39C8">
        <w:rPr>
          <w:rFonts w:ascii="Calibri" w:eastAsia="Calibri" w:hAnsi="Calibri" w:cs="Calibri"/>
        </w:rPr>
        <w:t xml:space="preserve"> </w:t>
      </w:r>
      <w:bookmarkStart w:id="468" w:name="_Toc161837679"/>
    </w:p>
    <w:p w14:paraId="225EF133" w14:textId="77777777" w:rsidR="003F251A" w:rsidRPr="00CF39C8" w:rsidRDefault="003F251A" w:rsidP="003F251A">
      <w:pPr>
        <w:pStyle w:val="Heading3"/>
        <w:rPr>
          <w:rFonts w:eastAsiaTheme="minorEastAsia"/>
          <w:i/>
          <w:iCs/>
          <w:color w:val="auto"/>
          <w:sz w:val="22"/>
          <w:szCs w:val="22"/>
        </w:rPr>
      </w:pPr>
      <w:bookmarkStart w:id="469" w:name="_Toc161933178"/>
      <w:bookmarkStart w:id="470" w:name="_Toc162276487"/>
      <w:bookmarkStart w:id="471" w:name="_Toc163221081"/>
      <w:r w:rsidRPr="00CF39C8">
        <w:rPr>
          <w:rFonts w:eastAsiaTheme="minorEastAsia"/>
          <w:i/>
          <w:iCs/>
          <w:color w:val="auto"/>
          <w:sz w:val="22"/>
          <w:szCs w:val="22"/>
        </w:rPr>
        <w:t>Who contributed their views to the consultation?</w:t>
      </w:r>
      <w:bookmarkEnd w:id="468"/>
      <w:bookmarkEnd w:id="469"/>
      <w:bookmarkEnd w:id="470"/>
      <w:bookmarkEnd w:id="471"/>
      <w:r w:rsidRPr="00CF39C8">
        <w:rPr>
          <w:rFonts w:eastAsiaTheme="minorEastAsia"/>
          <w:i/>
          <w:iCs/>
          <w:color w:val="auto"/>
          <w:sz w:val="22"/>
          <w:szCs w:val="22"/>
        </w:rPr>
        <w:t xml:space="preserve"> </w:t>
      </w:r>
    </w:p>
    <w:p w14:paraId="2F57FBEF" w14:textId="77777777" w:rsidR="00C066FE" w:rsidRDefault="00752A15" w:rsidP="00981584">
      <w:r w:rsidRPr="00CF39C8">
        <w:t xml:space="preserve">By consultation close, the </w:t>
      </w:r>
      <w:r w:rsidR="003F251A" w:rsidRPr="00CF39C8">
        <w:t xml:space="preserve">department </w:t>
      </w:r>
      <w:r w:rsidRPr="00CF39C8">
        <w:t xml:space="preserve">had </w:t>
      </w:r>
      <w:r w:rsidR="003F251A" w:rsidRPr="00CF39C8">
        <w:t>received</w:t>
      </w:r>
      <w:r w:rsidR="00C066FE">
        <w:t>:</w:t>
      </w:r>
    </w:p>
    <w:p w14:paraId="5D68C176" w14:textId="77777777" w:rsidR="00C066FE" w:rsidRDefault="00C066FE" w:rsidP="00430317">
      <w:pPr>
        <w:pStyle w:val="ListParagraph"/>
        <w:numPr>
          <w:ilvl w:val="0"/>
          <w:numId w:val="84"/>
        </w:numPr>
        <w:rPr>
          <w:rFonts w:ascii="Calibri" w:eastAsia="Calibri" w:hAnsi="Calibri" w:cs="Calibri"/>
        </w:rPr>
      </w:pPr>
      <w:r>
        <w:rPr>
          <w:rFonts w:ascii="Calibri" w:eastAsia="Calibri" w:hAnsi="Calibri" w:cs="Calibri"/>
        </w:rPr>
        <w:t>more than</w:t>
      </w:r>
      <w:r w:rsidR="003F251A" w:rsidRPr="00C066FE">
        <w:rPr>
          <w:rFonts w:ascii="Calibri" w:eastAsia="Calibri" w:hAnsi="Calibri" w:cs="Calibri"/>
        </w:rPr>
        <w:t xml:space="preserve"> 8</w:t>
      </w:r>
      <w:r w:rsidR="00752A15" w:rsidRPr="00C066FE">
        <w:rPr>
          <w:rFonts w:ascii="Calibri" w:eastAsia="Calibri" w:hAnsi="Calibri" w:cs="Calibri"/>
        </w:rPr>
        <w:t>,</w:t>
      </w:r>
      <w:r w:rsidRPr="00C066FE">
        <w:rPr>
          <w:rFonts w:ascii="Calibri" w:eastAsia="Calibri" w:hAnsi="Calibri" w:cs="Calibri"/>
        </w:rPr>
        <w:t>7</w:t>
      </w:r>
      <w:r w:rsidR="00B9370F" w:rsidRPr="00C066FE">
        <w:rPr>
          <w:rFonts w:ascii="Calibri" w:eastAsia="Calibri" w:hAnsi="Calibri" w:cs="Calibri"/>
        </w:rPr>
        <w:t>00</w:t>
      </w:r>
      <w:r w:rsidR="003F251A" w:rsidRPr="00C066FE">
        <w:rPr>
          <w:rFonts w:ascii="Calibri" w:eastAsia="Calibri" w:hAnsi="Calibri" w:cs="Calibri"/>
        </w:rPr>
        <w:t xml:space="preserve"> </w:t>
      </w:r>
      <w:r w:rsidR="00752A15" w:rsidRPr="00C066FE">
        <w:rPr>
          <w:rFonts w:ascii="Calibri" w:eastAsia="Calibri" w:hAnsi="Calibri" w:cs="Calibri"/>
        </w:rPr>
        <w:t xml:space="preserve">submissions </w:t>
      </w:r>
      <w:r>
        <w:rPr>
          <w:rFonts w:ascii="Calibri" w:eastAsia="Calibri" w:hAnsi="Calibri" w:cs="Calibri"/>
        </w:rPr>
        <w:t xml:space="preserve">from individuals, </w:t>
      </w:r>
      <w:r w:rsidR="003F251A" w:rsidRPr="00C066FE">
        <w:rPr>
          <w:rFonts w:ascii="Calibri" w:eastAsia="Calibri" w:hAnsi="Calibri" w:cs="Calibri"/>
        </w:rPr>
        <w:t xml:space="preserve">and </w:t>
      </w:r>
    </w:p>
    <w:p w14:paraId="16D2AA34" w14:textId="77777777" w:rsidR="00C066FE" w:rsidRDefault="00C066FE" w:rsidP="00430317">
      <w:pPr>
        <w:pStyle w:val="ListParagraph"/>
        <w:numPr>
          <w:ilvl w:val="0"/>
          <w:numId w:val="84"/>
        </w:numPr>
        <w:rPr>
          <w:rFonts w:ascii="Calibri" w:eastAsia="Calibri" w:hAnsi="Calibri" w:cs="Calibri"/>
        </w:rPr>
      </w:pPr>
      <w:r>
        <w:rPr>
          <w:rFonts w:ascii="Calibri" w:eastAsia="Calibri" w:hAnsi="Calibri" w:cs="Calibri"/>
        </w:rPr>
        <w:t>198</w:t>
      </w:r>
      <w:r w:rsidR="00C72993" w:rsidRPr="00C066FE">
        <w:rPr>
          <w:rFonts w:ascii="Calibri" w:eastAsia="Calibri" w:hAnsi="Calibri" w:cs="Calibri"/>
        </w:rPr>
        <w:t xml:space="preserve"> </w:t>
      </w:r>
      <w:r w:rsidR="00752A15" w:rsidRPr="00C066FE">
        <w:rPr>
          <w:rFonts w:ascii="Calibri" w:eastAsia="Calibri" w:hAnsi="Calibri" w:cs="Calibri"/>
        </w:rPr>
        <w:t>submissions from organisations</w:t>
      </w:r>
      <w:r w:rsidR="003F251A" w:rsidRPr="00C066FE">
        <w:rPr>
          <w:rFonts w:ascii="Calibri" w:eastAsia="Calibri" w:hAnsi="Calibri" w:cs="Calibri"/>
        </w:rPr>
        <w:t xml:space="preserve">. </w:t>
      </w:r>
    </w:p>
    <w:p w14:paraId="2AD85AAB" w14:textId="77777777" w:rsidR="00981584" w:rsidRPr="00C066FE" w:rsidRDefault="00C066FE" w:rsidP="00C066FE">
      <w:pPr>
        <w:rPr>
          <w:rFonts w:ascii="Calibri" w:eastAsia="Calibri" w:hAnsi="Calibri" w:cs="Calibri"/>
        </w:rPr>
      </w:pPr>
      <w:r w:rsidRPr="00C066FE">
        <w:rPr>
          <w:rFonts w:ascii="Calibri" w:eastAsia="Calibri" w:hAnsi="Calibri" w:cs="Calibri"/>
        </w:rPr>
        <w:t xml:space="preserve">Participants completed the online questionnaire which enabled free text and some </w:t>
      </w:r>
      <w:r w:rsidR="007328E3">
        <w:rPr>
          <w:rFonts w:ascii="Calibri" w:eastAsia="Calibri" w:hAnsi="Calibri" w:cs="Calibri"/>
        </w:rPr>
        <w:t>made</w:t>
      </w:r>
      <w:r w:rsidRPr="00C066FE">
        <w:rPr>
          <w:rFonts w:ascii="Calibri" w:eastAsia="Calibri" w:hAnsi="Calibri" w:cs="Calibri"/>
        </w:rPr>
        <w:t xml:space="preserve"> longer submissions. </w:t>
      </w:r>
      <w:r w:rsidR="00CF1CCE" w:rsidRPr="00C066FE">
        <w:rPr>
          <w:rFonts w:ascii="Calibri" w:eastAsia="Calibri" w:hAnsi="Calibri" w:cs="Calibri"/>
        </w:rPr>
        <w:t xml:space="preserve">In this chapter, we </w:t>
      </w:r>
      <w:r w:rsidR="003F251A" w:rsidRPr="00C066FE">
        <w:rPr>
          <w:rFonts w:ascii="Calibri" w:eastAsia="Calibri" w:hAnsi="Calibri" w:cs="Calibri"/>
        </w:rPr>
        <w:t xml:space="preserve">provide an overview of </w:t>
      </w:r>
      <w:r w:rsidRPr="00C066FE">
        <w:rPr>
          <w:rFonts w:ascii="Calibri" w:eastAsia="Calibri" w:hAnsi="Calibri" w:cs="Calibri"/>
        </w:rPr>
        <w:t>what we heard</w:t>
      </w:r>
      <w:r w:rsidR="00752A15" w:rsidRPr="00C066FE">
        <w:rPr>
          <w:rFonts w:ascii="Calibri" w:eastAsia="Calibri" w:hAnsi="Calibri" w:cs="Calibri"/>
        </w:rPr>
        <w:t>.</w:t>
      </w:r>
      <w:r w:rsidR="003A5E61" w:rsidRPr="00C066FE">
        <w:rPr>
          <w:rFonts w:ascii="Calibri" w:eastAsia="Calibri" w:hAnsi="Calibri" w:cs="Calibri"/>
        </w:rPr>
        <w:t xml:space="preserve"> </w:t>
      </w:r>
    </w:p>
    <w:p w14:paraId="491B1A6D" w14:textId="77777777" w:rsidR="00981584" w:rsidRPr="00CF39C8" w:rsidRDefault="00981584" w:rsidP="00981584">
      <w:pPr>
        <w:rPr>
          <w:i/>
          <w:iCs/>
          <w:sz w:val="22"/>
          <w:szCs w:val="22"/>
        </w:rPr>
      </w:pPr>
    </w:p>
    <w:p w14:paraId="2FD1AC4D" w14:textId="77777777" w:rsidR="003F251A" w:rsidRDefault="00752A15" w:rsidP="003C2E67">
      <w:pPr>
        <w:pStyle w:val="Heading3"/>
        <w:rPr>
          <w:i/>
          <w:color w:val="000000" w:themeColor="text1"/>
          <w:sz w:val="22"/>
          <w:szCs w:val="22"/>
        </w:rPr>
      </w:pPr>
      <w:bookmarkStart w:id="472" w:name="_Toc161837680"/>
      <w:bookmarkStart w:id="473" w:name="_Toc161933179"/>
      <w:bookmarkStart w:id="474" w:name="_Toc162276488"/>
      <w:bookmarkStart w:id="475" w:name="_Toc163221082"/>
      <w:r w:rsidRPr="00CF39C8">
        <w:rPr>
          <w:i/>
          <w:color w:val="000000" w:themeColor="text1"/>
          <w:sz w:val="22"/>
          <w:szCs w:val="22"/>
        </w:rPr>
        <w:t>So which option was preferred</w:t>
      </w:r>
      <w:r w:rsidR="008D4965">
        <w:rPr>
          <w:i/>
          <w:color w:val="000000" w:themeColor="text1"/>
          <w:sz w:val="22"/>
          <w:szCs w:val="22"/>
        </w:rPr>
        <w:t xml:space="preserve"> by consultation participants</w:t>
      </w:r>
      <w:r w:rsidR="00A22496" w:rsidRPr="00CF39C8">
        <w:rPr>
          <w:i/>
          <w:color w:val="000000" w:themeColor="text1"/>
          <w:sz w:val="22"/>
          <w:szCs w:val="22"/>
        </w:rPr>
        <w:t xml:space="preserve"> overall</w:t>
      </w:r>
      <w:r w:rsidRPr="00CF39C8">
        <w:rPr>
          <w:i/>
          <w:color w:val="000000" w:themeColor="text1"/>
          <w:sz w:val="22"/>
          <w:szCs w:val="22"/>
        </w:rPr>
        <w:t>?</w:t>
      </w:r>
      <w:bookmarkEnd w:id="472"/>
      <w:bookmarkEnd w:id="473"/>
      <w:bookmarkEnd w:id="474"/>
      <w:bookmarkEnd w:id="475"/>
    </w:p>
    <w:p w14:paraId="19CBE49C" w14:textId="77777777" w:rsidR="00DA161D" w:rsidRPr="00DA161D" w:rsidRDefault="00DA161D" w:rsidP="00DA161D"/>
    <w:p w14:paraId="3E0DF7F5" w14:textId="77777777" w:rsidR="008B5365" w:rsidRPr="00CF39C8" w:rsidRDefault="003C2E67" w:rsidP="008B5365">
      <w:r w:rsidRPr="00CF39C8">
        <w:rPr>
          <w:noProof/>
          <w:lang w:eastAsia="en-AU"/>
        </w:rPr>
        <w:drawing>
          <wp:inline distT="0" distB="0" distL="0" distR="0" wp14:anchorId="5236660F" wp14:editId="0BF63AFF">
            <wp:extent cx="6431025" cy="1447800"/>
            <wp:effectExtent l="0" t="0" r="8255" b="0"/>
            <wp:docPr id="709939139" name="Picture 709939139" descr="An infographic depicting the ranking of options preferred by individuals and organisations, as well as the support for Option B by individual and organisation. &#10;&#10;Ranking of options&#10;Individuals: &#10;- Option A - 17% &#10;- Option B – 33.8%&#10;- Option C – 49.2% &#10;Organisations &#10;- Option A – 30% &#10;- Option B – 36.9% &#10;- Option C – 42.1% &#10;&#10;Support for option B&#10;Individuals &#10;- Yes – 42% &#10;- No – 58% &#10;Organisations &#10;- Yes – 65% &#10;- No – 3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37443" cy="1449245"/>
                    </a:xfrm>
                    <a:prstGeom prst="rect">
                      <a:avLst/>
                    </a:prstGeom>
                  </pic:spPr>
                </pic:pic>
              </a:graphicData>
            </a:graphic>
          </wp:inline>
        </w:drawing>
      </w:r>
    </w:p>
    <w:p w14:paraId="38EE5031" w14:textId="77777777" w:rsidR="00775CC7" w:rsidRPr="00CF39C8" w:rsidRDefault="00775CC7" w:rsidP="00775CC7">
      <w:pPr>
        <w:pStyle w:val="Caption"/>
        <w:rPr>
          <w:rFonts w:asciiTheme="majorHAnsi" w:hAnsiTheme="majorHAnsi" w:cstheme="majorHAnsi"/>
          <w:highlight w:val="yellow"/>
        </w:rPr>
      </w:pPr>
      <w:bookmarkStart w:id="476" w:name="_Toc161837790"/>
      <w:bookmarkStart w:id="477" w:name="_Toc161933236"/>
      <w:bookmarkStart w:id="478" w:name="_Toc163221136"/>
      <w:r w:rsidRPr="00CF39C8">
        <w:t xml:space="preserve">Figure </w:t>
      </w:r>
      <w:r w:rsidR="0023600C">
        <w:t>20</w:t>
      </w:r>
      <w:r w:rsidRPr="00CF39C8">
        <w:t xml:space="preserve"> </w:t>
      </w:r>
      <w:r w:rsidRPr="00CF39C8">
        <w:rPr>
          <w:b w:val="0"/>
        </w:rPr>
        <w:t xml:space="preserve">– </w:t>
      </w:r>
      <w:r w:rsidR="005C4998" w:rsidRPr="00CF39C8">
        <w:rPr>
          <w:b w:val="0"/>
        </w:rPr>
        <w:t>Phase 2</w:t>
      </w:r>
      <w:r w:rsidR="005320C6" w:rsidRPr="00CF39C8">
        <w:rPr>
          <w:b w:val="0"/>
        </w:rPr>
        <w:t xml:space="preserve"> Consultation</w:t>
      </w:r>
      <w:r w:rsidR="005C4998" w:rsidRPr="00CF39C8">
        <w:rPr>
          <w:b w:val="0"/>
        </w:rPr>
        <w:t xml:space="preserve"> – Questionnaire results</w:t>
      </w:r>
      <w:bookmarkEnd w:id="476"/>
      <w:bookmarkEnd w:id="477"/>
      <w:bookmarkEnd w:id="478"/>
    </w:p>
    <w:p w14:paraId="298727A4" w14:textId="77777777" w:rsidR="00B87FE1" w:rsidRPr="00CF39C8" w:rsidRDefault="00B87FE1" w:rsidP="00B87FE1">
      <w:pPr>
        <w:rPr>
          <w:sz w:val="6"/>
          <w:szCs w:val="6"/>
        </w:rPr>
      </w:pPr>
    </w:p>
    <w:p w14:paraId="41088F20" w14:textId="77777777" w:rsidR="00DA161D" w:rsidRPr="00DA161D" w:rsidRDefault="00DA161D" w:rsidP="00DA161D">
      <w:pPr>
        <w:pStyle w:val="ListParagraph"/>
        <w:spacing w:after="160" w:line="259" w:lineRule="auto"/>
        <w:ind w:left="567"/>
      </w:pPr>
    </w:p>
    <w:p w14:paraId="0067A295" w14:textId="18518C85" w:rsidR="00B87FE1" w:rsidRDefault="00B87FE1" w:rsidP="00430317">
      <w:pPr>
        <w:pStyle w:val="ListParagraph"/>
        <w:numPr>
          <w:ilvl w:val="0"/>
          <w:numId w:val="43"/>
        </w:numPr>
        <w:spacing w:after="160" w:line="259" w:lineRule="auto"/>
        <w:ind w:left="567" w:hanging="425"/>
      </w:pPr>
      <w:r w:rsidRPr="00CF39C8">
        <w:rPr>
          <w:b/>
        </w:rPr>
        <w:t>Ranking of Options</w:t>
      </w:r>
      <w:r w:rsidR="00D50230" w:rsidRPr="00CF39C8">
        <w:rPr>
          <w:vertAlign w:val="superscript"/>
        </w:rPr>
        <w:footnoteReference w:id="27"/>
      </w:r>
      <w:r w:rsidRPr="00CF39C8">
        <w:rPr>
          <w:vertAlign w:val="superscript"/>
        </w:rPr>
        <w:t>:</w:t>
      </w:r>
      <w:r w:rsidRPr="00CF39C8">
        <w:t xml:space="preserve"> Individual </w:t>
      </w:r>
      <w:r w:rsidR="00752A15" w:rsidRPr="00CF39C8">
        <w:t xml:space="preserve">respondents showed </w:t>
      </w:r>
      <w:r w:rsidRPr="00CF39C8">
        <w:t>a strong preference for the implementation of a fast start NVES (</w:t>
      </w:r>
      <w:r w:rsidR="00C12BE2">
        <w:t>Option C</w:t>
      </w:r>
      <w:r w:rsidRPr="00CF39C8">
        <w:t>)</w:t>
      </w:r>
      <w:r w:rsidR="00D50230" w:rsidRPr="00CF39C8">
        <w:t xml:space="preserve">, followed by </w:t>
      </w:r>
      <w:r w:rsidR="00C12BE2">
        <w:t>Option B</w:t>
      </w:r>
      <w:r w:rsidR="00D50230" w:rsidRPr="00CF39C8">
        <w:t xml:space="preserve"> and lastly </w:t>
      </w:r>
      <w:r w:rsidR="00DC48C3">
        <w:t>Option A</w:t>
      </w:r>
      <w:r w:rsidR="00D50230" w:rsidRPr="00CF39C8">
        <w:t>. Organisation</w:t>
      </w:r>
      <w:r w:rsidR="00752A15" w:rsidRPr="00CF39C8">
        <w:t>s</w:t>
      </w:r>
      <w:r w:rsidR="00D50230" w:rsidRPr="00CF39C8">
        <w:t xml:space="preserve"> </w:t>
      </w:r>
      <w:r w:rsidR="00752A15" w:rsidRPr="00CF39C8">
        <w:t xml:space="preserve">expressed a stronger preference for </w:t>
      </w:r>
      <w:r w:rsidR="00DC48C3">
        <w:t xml:space="preserve">Option </w:t>
      </w:r>
      <w:r w:rsidR="005F0E43">
        <w:t>C</w:t>
      </w:r>
      <w:r w:rsidR="00C066FE">
        <w:t xml:space="preserve">, followed by </w:t>
      </w:r>
      <w:r w:rsidR="00C12BE2">
        <w:t>Option B</w:t>
      </w:r>
      <w:r w:rsidR="00C066FE">
        <w:t xml:space="preserve">, then </w:t>
      </w:r>
      <w:r w:rsidR="00C12BE2">
        <w:t xml:space="preserve">Option </w:t>
      </w:r>
      <w:r w:rsidR="005F0E43">
        <w:t>A</w:t>
      </w:r>
      <w:r w:rsidR="00D50230" w:rsidRPr="00CF39C8">
        <w:t xml:space="preserve">. </w:t>
      </w:r>
    </w:p>
    <w:p w14:paraId="22D4ED72" w14:textId="77777777" w:rsidR="00C066FE" w:rsidRPr="00CF39C8" w:rsidRDefault="00C066FE" w:rsidP="00C066FE">
      <w:pPr>
        <w:pStyle w:val="ListParagraph"/>
        <w:spacing w:after="160" w:line="259" w:lineRule="auto"/>
        <w:ind w:left="567"/>
      </w:pPr>
    </w:p>
    <w:p w14:paraId="5DA5F48C" w14:textId="77777777" w:rsidR="00505031" w:rsidRPr="00CF39C8" w:rsidRDefault="00C066FE" w:rsidP="00430317">
      <w:pPr>
        <w:pStyle w:val="ListParagraph"/>
        <w:numPr>
          <w:ilvl w:val="0"/>
          <w:numId w:val="43"/>
        </w:numPr>
        <w:spacing w:after="160" w:line="259" w:lineRule="auto"/>
        <w:ind w:left="567" w:hanging="425"/>
      </w:pPr>
      <w:r>
        <w:rPr>
          <w:b/>
        </w:rPr>
        <w:t>Yes or no? The response to</w:t>
      </w:r>
      <w:r w:rsidR="00440E37" w:rsidRPr="00CF39C8">
        <w:rPr>
          <w:b/>
        </w:rPr>
        <w:t xml:space="preserve"> </w:t>
      </w:r>
      <w:r w:rsidR="00C12BE2">
        <w:rPr>
          <w:b/>
        </w:rPr>
        <w:t>Option B</w:t>
      </w:r>
      <w:r w:rsidR="00440E37" w:rsidRPr="00CF39C8">
        <w:t xml:space="preserve">: The majority of individuals preferred a more ambitious New Vehicle Efficiency Standard than the Government’s preferred </w:t>
      </w:r>
      <w:r w:rsidR="00C12BE2">
        <w:t>Option B</w:t>
      </w:r>
      <w:r w:rsidR="00440E37" w:rsidRPr="00CF39C8">
        <w:t xml:space="preserve">. Only 3% of individual submissions preferred </w:t>
      </w:r>
      <w:r w:rsidR="00DC48C3">
        <w:t>Option A</w:t>
      </w:r>
      <w:r w:rsidR="00440E37" w:rsidRPr="00CF39C8">
        <w:t xml:space="preserve"> as first preference where 65% of organisations preferred </w:t>
      </w:r>
      <w:r w:rsidR="00C12BE2">
        <w:t>Option B</w:t>
      </w:r>
      <w:r>
        <w:t>.</w:t>
      </w:r>
    </w:p>
    <w:p w14:paraId="42A387AF" w14:textId="77777777" w:rsidR="00912712" w:rsidRDefault="00912712" w:rsidP="00912712">
      <w:pPr>
        <w:spacing w:after="160" w:line="259" w:lineRule="auto"/>
        <w:ind w:left="142"/>
      </w:pPr>
    </w:p>
    <w:p w14:paraId="169922D6" w14:textId="77777777" w:rsidR="00C066FE" w:rsidRDefault="00C066FE" w:rsidP="00912712">
      <w:pPr>
        <w:spacing w:after="160" w:line="259" w:lineRule="auto"/>
        <w:ind w:left="142"/>
      </w:pPr>
    </w:p>
    <w:p w14:paraId="0BDA328E" w14:textId="77777777" w:rsidR="00C066FE" w:rsidRDefault="00C066FE" w:rsidP="00912712">
      <w:pPr>
        <w:spacing w:after="160" w:line="259" w:lineRule="auto"/>
        <w:ind w:left="142"/>
      </w:pPr>
    </w:p>
    <w:p w14:paraId="4CD217A6" w14:textId="77777777" w:rsidR="00C066FE" w:rsidRDefault="00C066FE" w:rsidP="00912712">
      <w:pPr>
        <w:spacing w:after="160" w:line="259" w:lineRule="auto"/>
        <w:ind w:left="142"/>
      </w:pPr>
    </w:p>
    <w:p w14:paraId="32E21FA3" w14:textId="77777777" w:rsidR="00A22496" w:rsidRPr="00CF39C8" w:rsidRDefault="00A22496" w:rsidP="0008204E">
      <w:pPr>
        <w:rPr>
          <w:i/>
          <w:color w:val="000000" w:themeColor="text1"/>
          <w:sz w:val="22"/>
          <w:szCs w:val="22"/>
        </w:rPr>
      </w:pPr>
      <w:bookmarkStart w:id="479" w:name="_Toc161837681"/>
      <w:r w:rsidRPr="0008204E">
        <w:rPr>
          <w:b/>
          <w:color w:val="417A84" w:themeColor="accent5" w:themeShade="BF"/>
          <w:sz w:val="36"/>
          <w:szCs w:val="36"/>
        </w:rPr>
        <w:t>Submissions from individuals</w:t>
      </w:r>
      <w:bookmarkEnd w:id="479"/>
    </w:p>
    <w:p w14:paraId="27E46C02" w14:textId="77777777" w:rsidR="003F251A" w:rsidRPr="00CF39C8" w:rsidRDefault="00785817" w:rsidP="00132FA8">
      <w:r w:rsidRPr="00CF39C8">
        <w:t xml:space="preserve">During the analysis of individual submissions, </w:t>
      </w:r>
      <w:r w:rsidR="00DA161D">
        <w:t xml:space="preserve">a number of </w:t>
      </w:r>
      <w:r w:rsidRPr="00CF39C8">
        <w:t>themes emerged.</w:t>
      </w:r>
      <w:r w:rsidR="003F251A" w:rsidRPr="00CF39C8">
        <w:t xml:space="preserve"> </w:t>
      </w:r>
      <w:r w:rsidR="00072051" w:rsidRPr="00ED0AB8">
        <w:t>F</w:t>
      </w:r>
      <w:r w:rsidR="003F251A" w:rsidRPr="00ED0AB8">
        <w:t xml:space="preserve">igure </w:t>
      </w:r>
      <w:r w:rsidR="00101C18" w:rsidRPr="00ED0AB8">
        <w:t>2</w:t>
      </w:r>
      <w:r w:rsidR="0023600C">
        <w:t>1</w:t>
      </w:r>
      <w:r w:rsidR="003F251A" w:rsidRPr="00CF39C8">
        <w:t xml:space="preserve"> below illustrates the frequency of these themes. </w:t>
      </w:r>
    </w:p>
    <w:p w14:paraId="0110609F" w14:textId="77777777" w:rsidR="00132FA8" w:rsidRPr="00CF39C8" w:rsidRDefault="00132FA8" w:rsidP="00132FA8"/>
    <w:p w14:paraId="6C5769B5" w14:textId="77777777" w:rsidR="001D41C8" w:rsidRDefault="00EA3ED1" w:rsidP="00A22496">
      <w:pPr>
        <w:rPr>
          <w:b/>
          <w:sz w:val="20"/>
          <w:szCs w:val="20"/>
        </w:rPr>
      </w:pPr>
      <w:r>
        <w:rPr>
          <w:noProof/>
          <w:lang w:eastAsia="en-AU"/>
        </w:rPr>
        <w:drawing>
          <wp:inline distT="0" distB="0" distL="0" distR="0" wp14:anchorId="0042118C" wp14:editId="01A7D139">
            <wp:extent cx="6029325" cy="3009900"/>
            <wp:effectExtent l="0" t="0" r="9525" b="0"/>
            <wp:docPr id="2050" name="Picture 2050" descr="Bar graph depicting the number of responses that aligned with a theme. &#10;&#10;Themes &#10;Need for strong fuel efficiency standards – 2584&#10;Climate change action is urgent – 2350 &#10;Transport emissions must reduce – 1224 &#10;The NVES should align with international standards – 826 &#10;Achieve a balance between cost and benefit – 573 &#10;Increase vehicle choice – 394 &#10;Health benefits of NVES – 363 &#10;Economic benefits for consumers – 255&#10;Adjusted start period – 191 &#10;Technology benefits – 106&#10;Transport equity – 51 &#10;Fuel security – 44&#10;Access to/readiness of charging infrastructure – 36&#10;Transport safety and mode shift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325" cy="3009900"/>
                    </a:xfrm>
                    <a:prstGeom prst="rect">
                      <a:avLst/>
                    </a:prstGeom>
                    <a:noFill/>
                    <a:ln>
                      <a:noFill/>
                    </a:ln>
                  </pic:spPr>
                </pic:pic>
              </a:graphicData>
            </a:graphic>
          </wp:inline>
        </w:drawing>
      </w:r>
      <w:r w:rsidR="00DB038C" w:rsidRPr="00DB038C">
        <w:t xml:space="preserve"> </w:t>
      </w:r>
    </w:p>
    <w:p w14:paraId="707F3C90" w14:textId="77777777" w:rsidR="00EA3ED1" w:rsidRPr="00CF39C8" w:rsidRDefault="00EA3ED1" w:rsidP="00EA3ED1">
      <w:pPr>
        <w:pStyle w:val="Caption"/>
        <w:rPr>
          <w:rFonts w:asciiTheme="majorHAnsi" w:hAnsiTheme="majorHAnsi" w:cstheme="majorHAnsi"/>
          <w:highlight w:val="yellow"/>
        </w:rPr>
      </w:pPr>
      <w:bookmarkStart w:id="480" w:name="_Toc161837791"/>
      <w:bookmarkStart w:id="481" w:name="_Toc161933237"/>
      <w:bookmarkStart w:id="482" w:name="_Toc163221137"/>
      <w:r w:rsidRPr="00CF39C8">
        <w:t xml:space="preserve">Figure </w:t>
      </w:r>
      <w:r w:rsidR="0023600C">
        <w:t>21</w:t>
      </w:r>
      <w:r w:rsidRPr="00CF39C8">
        <w:t xml:space="preserve"> </w:t>
      </w:r>
      <w:r w:rsidRPr="00CF39C8">
        <w:rPr>
          <w:b w:val="0"/>
        </w:rPr>
        <w:t xml:space="preserve">– </w:t>
      </w:r>
      <w:r>
        <w:rPr>
          <w:b w:val="0"/>
        </w:rPr>
        <w:t>Individual responses themes</w:t>
      </w:r>
      <w:bookmarkEnd w:id="480"/>
      <w:bookmarkEnd w:id="481"/>
      <w:bookmarkEnd w:id="482"/>
    </w:p>
    <w:p w14:paraId="5C4356C6" w14:textId="77777777" w:rsidR="00EA3ED1" w:rsidRPr="00BD2C93" w:rsidRDefault="00EA3ED1" w:rsidP="00EA3ED1">
      <w:pPr>
        <w:rPr>
          <w:rFonts w:asciiTheme="majorHAnsi" w:hAnsiTheme="majorHAnsi" w:cstheme="majorHAnsi"/>
          <w:sz w:val="20"/>
          <w:szCs w:val="20"/>
          <w:highlight w:val="yellow"/>
        </w:rPr>
      </w:pPr>
    </w:p>
    <w:p w14:paraId="1E64CA84" w14:textId="77777777" w:rsidR="003F251A" w:rsidRPr="00CF39C8" w:rsidRDefault="00CF1CCE" w:rsidP="003F251A">
      <w:r w:rsidRPr="00CF39C8">
        <w:rPr>
          <w:rFonts w:asciiTheme="majorHAnsi" w:hAnsiTheme="majorHAnsi" w:cstheme="majorHAnsi"/>
          <w:b/>
        </w:rPr>
        <w:t>Summary of</w:t>
      </w:r>
      <w:r w:rsidR="00DA161D">
        <w:rPr>
          <w:rFonts w:asciiTheme="majorHAnsi" w:hAnsiTheme="majorHAnsi" w:cstheme="majorHAnsi"/>
          <w:b/>
        </w:rPr>
        <w:t xml:space="preserve"> individual</w:t>
      </w:r>
      <w:r w:rsidRPr="00CF39C8">
        <w:rPr>
          <w:rFonts w:asciiTheme="majorHAnsi" w:hAnsiTheme="majorHAnsi" w:cstheme="majorHAnsi"/>
          <w:b/>
        </w:rPr>
        <w:t xml:space="preserve"> responses</w:t>
      </w:r>
    </w:p>
    <w:tbl>
      <w:tblPr>
        <w:tblStyle w:val="TableGrid"/>
        <w:tblW w:w="0" w:type="auto"/>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CellMar>
          <w:top w:w="57" w:type="dxa"/>
          <w:bottom w:w="57" w:type="dxa"/>
        </w:tblCellMar>
        <w:tblLook w:val="04A0" w:firstRow="1" w:lastRow="0" w:firstColumn="1" w:lastColumn="0" w:noHBand="0" w:noVBand="1"/>
      </w:tblPr>
      <w:tblGrid>
        <w:gridCol w:w="1837"/>
        <w:gridCol w:w="7649"/>
      </w:tblGrid>
      <w:tr w:rsidR="007328E3" w:rsidRPr="00CF39C8" w14:paraId="674A28B2" w14:textId="77777777" w:rsidTr="007328E3">
        <w:tc>
          <w:tcPr>
            <w:tcW w:w="1838" w:type="dxa"/>
            <w:shd w:val="clear" w:color="auto" w:fill="417A84" w:themeFill="accent5" w:themeFillShade="BF"/>
          </w:tcPr>
          <w:p w14:paraId="1BB9E29A" w14:textId="77777777" w:rsidR="007328E3" w:rsidRPr="007328E3" w:rsidRDefault="007328E3" w:rsidP="001D57A5">
            <w:pPr>
              <w:spacing w:line="240" w:lineRule="auto"/>
              <w:rPr>
                <w:rFonts w:eastAsia="Times New Roman"/>
                <w:bCs/>
                <w:color w:val="FFFFFF" w:themeColor="background1"/>
              </w:rPr>
            </w:pPr>
            <w:r w:rsidRPr="007328E3">
              <w:rPr>
                <w:rFonts w:eastAsia="Times New Roman"/>
                <w:bCs/>
                <w:color w:val="FFFFFF" w:themeColor="background1"/>
              </w:rPr>
              <w:t>Theme</w:t>
            </w:r>
          </w:p>
        </w:tc>
        <w:tc>
          <w:tcPr>
            <w:tcW w:w="7655" w:type="dxa"/>
            <w:shd w:val="clear" w:color="auto" w:fill="417A84" w:themeFill="accent5" w:themeFillShade="BF"/>
          </w:tcPr>
          <w:p w14:paraId="4536EDB6" w14:textId="77777777" w:rsidR="007328E3" w:rsidRPr="007328E3" w:rsidRDefault="007328E3" w:rsidP="00440E37">
            <w:pPr>
              <w:spacing w:line="240" w:lineRule="auto"/>
              <w:rPr>
                <w:color w:val="FFFFFF" w:themeColor="background1"/>
              </w:rPr>
            </w:pPr>
            <w:r w:rsidRPr="007328E3">
              <w:rPr>
                <w:color w:val="FFFFFF" w:themeColor="background1"/>
              </w:rPr>
              <w:t>Summary</w:t>
            </w:r>
          </w:p>
        </w:tc>
      </w:tr>
      <w:tr w:rsidR="003F251A" w:rsidRPr="00CF39C8" w14:paraId="43A0D2A5" w14:textId="77777777" w:rsidTr="00DD57D8">
        <w:tc>
          <w:tcPr>
            <w:tcW w:w="1838" w:type="dxa"/>
            <w:shd w:val="clear" w:color="auto" w:fill="9BC7CE" w:themeFill="accent5" w:themeFillTint="99"/>
          </w:tcPr>
          <w:p w14:paraId="23081CBE" w14:textId="77777777" w:rsidR="003F251A" w:rsidRPr="00CF39C8" w:rsidRDefault="003F251A" w:rsidP="001D57A5">
            <w:pPr>
              <w:spacing w:line="240" w:lineRule="auto"/>
              <w:rPr>
                <w:rFonts w:eastAsia="Times New Roman"/>
                <w:b/>
                <w:bCs/>
              </w:rPr>
            </w:pPr>
            <w:r w:rsidRPr="00CF39C8">
              <w:rPr>
                <w:rFonts w:eastAsia="Times New Roman"/>
                <w:b/>
                <w:bCs/>
              </w:rPr>
              <w:t>Climate change action is urgent</w:t>
            </w:r>
          </w:p>
          <w:p w14:paraId="094363F8" w14:textId="77777777" w:rsidR="003F251A" w:rsidRPr="00CF39C8" w:rsidRDefault="003F251A" w:rsidP="001D57A5">
            <w:pPr>
              <w:spacing w:line="240" w:lineRule="auto"/>
              <w:rPr>
                <w:rFonts w:eastAsia="Times New Roman"/>
              </w:rPr>
            </w:pPr>
          </w:p>
        </w:tc>
        <w:tc>
          <w:tcPr>
            <w:tcW w:w="7655" w:type="dxa"/>
          </w:tcPr>
          <w:p w14:paraId="795EC462" w14:textId="77777777" w:rsidR="003F251A" w:rsidRPr="00CF39C8" w:rsidRDefault="003F251A" w:rsidP="00440E37">
            <w:pPr>
              <w:spacing w:line="240" w:lineRule="auto"/>
              <w:rPr>
                <w:rFonts w:eastAsia="Times New Roman"/>
              </w:rPr>
            </w:pPr>
            <w:r w:rsidRPr="00CF39C8">
              <w:t>The need to address climate change through a strict New Vehicle Efficiency Standard (NVES) was a strong theme, appearing in around 25% of responses. Example phrases include "</w:t>
            </w:r>
            <w:r w:rsidRPr="0008204E">
              <w:t>climate emergency</w:t>
            </w:r>
            <w:r w:rsidRPr="00CF39C8">
              <w:t>"</w:t>
            </w:r>
            <w:r w:rsidR="008A483D" w:rsidRPr="00CF39C8">
              <w:t xml:space="preserve"> and </w:t>
            </w:r>
            <w:r w:rsidRPr="00CF39C8">
              <w:t>"the time for action is now".</w:t>
            </w:r>
          </w:p>
        </w:tc>
      </w:tr>
      <w:tr w:rsidR="003F251A" w:rsidRPr="00CF39C8" w14:paraId="5BCE24C8" w14:textId="77777777" w:rsidTr="008A483D">
        <w:tc>
          <w:tcPr>
            <w:tcW w:w="1838" w:type="dxa"/>
            <w:shd w:val="clear" w:color="auto" w:fill="9BC7CE" w:themeFill="accent5" w:themeFillTint="99"/>
          </w:tcPr>
          <w:p w14:paraId="0BBDE547" w14:textId="77777777" w:rsidR="003F251A" w:rsidRPr="00CF39C8" w:rsidRDefault="003F251A" w:rsidP="001D57A5">
            <w:pPr>
              <w:spacing w:line="240" w:lineRule="auto"/>
              <w:rPr>
                <w:rFonts w:eastAsia="Times New Roman"/>
                <w:b/>
                <w:bCs/>
              </w:rPr>
            </w:pPr>
            <w:r w:rsidRPr="00CF39C8">
              <w:rPr>
                <w:rFonts w:eastAsia="Times New Roman"/>
                <w:b/>
                <w:bCs/>
              </w:rPr>
              <w:t>Transport emissions must reduce</w:t>
            </w:r>
          </w:p>
          <w:p w14:paraId="0F118666" w14:textId="77777777" w:rsidR="003F251A" w:rsidRPr="00CF39C8" w:rsidRDefault="003F251A" w:rsidP="001D57A5">
            <w:pPr>
              <w:spacing w:line="240" w:lineRule="auto"/>
              <w:rPr>
                <w:rFonts w:eastAsia="Times New Roman"/>
              </w:rPr>
            </w:pPr>
          </w:p>
        </w:tc>
        <w:tc>
          <w:tcPr>
            <w:tcW w:w="7655" w:type="dxa"/>
          </w:tcPr>
          <w:p w14:paraId="2E5DB3F9" w14:textId="77777777" w:rsidR="003F251A" w:rsidRPr="00CF39C8" w:rsidRDefault="003F251A" w:rsidP="00440E37">
            <w:pPr>
              <w:spacing w:line="240" w:lineRule="auto"/>
              <w:rPr>
                <w:rFonts w:eastAsia="Times New Roman"/>
              </w:rPr>
            </w:pPr>
            <w:r w:rsidRPr="00CF39C8">
              <w:t xml:space="preserve">Reducing greenhouse gas emissions, particularly from the transport sector, was one of the more </w:t>
            </w:r>
            <w:r w:rsidR="008A483D" w:rsidRPr="00CF39C8">
              <w:t xml:space="preserve">frequent </w:t>
            </w:r>
            <w:r w:rsidRPr="00CF39C8">
              <w:t>themes. </w:t>
            </w:r>
            <w:r w:rsidR="00C12BE2">
              <w:t>Option C</w:t>
            </w:r>
            <w:r w:rsidRPr="00CF39C8">
              <w:t>, with its faster and stricter approach, was generally favoured for its potential to achieve greater emission reductions.</w:t>
            </w:r>
          </w:p>
        </w:tc>
      </w:tr>
      <w:tr w:rsidR="003F251A" w:rsidRPr="00CF39C8" w14:paraId="2613A333" w14:textId="77777777" w:rsidTr="008A483D">
        <w:tc>
          <w:tcPr>
            <w:tcW w:w="1838" w:type="dxa"/>
            <w:shd w:val="clear" w:color="auto" w:fill="9BC7CE" w:themeFill="accent5" w:themeFillTint="99"/>
          </w:tcPr>
          <w:p w14:paraId="0E65F7E2" w14:textId="77777777" w:rsidR="003F251A" w:rsidRPr="00CF39C8" w:rsidRDefault="003F251A" w:rsidP="001D57A5">
            <w:pPr>
              <w:spacing w:line="240" w:lineRule="auto"/>
              <w:rPr>
                <w:rFonts w:eastAsiaTheme="minorHAnsi"/>
              </w:rPr>
            </w:pPr>
            <w:r w:rsidRPr="00CF39C8">
              <w:rPr>
                <w:rFonts w:eastAsia="Times New Roman"/>
                <w:b/>
                <w:bCs/>
              </w:rPr>
              <w:t>Achieve balance between cost and benefits</w:t>
            </w:r>
          </w:p>
          <w:p w14:paraId="78E349CD" w14:textId="77777777" w:rsidR="003F251A" w:rsidRPr="00CF39C8" w:rsidRDefault="003F251A" w:rsidP="001D57A5">
            <w:pPr>
              <w:spacing w:line="240" w:lineRule="auto"/>
              <w:rPr>
                <w:rFonts w:eastAsia="Times New Roman"/>
              </w:rPr>
            </w:pPr>
          </w:p>
        </w:tc>
        <w:tc>
          <w:tcPr>
            <w:tcW w:w="7655" w:type="dxa"/>
          </w:tcPr>
          <w:p w14:paraId="42934039" w14:textId="77777777" w:rsidR="003F251A" w:rsidRPr="00CF39C8" w:rsidRDefault="003F251A" w:rsidP="00440E37">
            <w:pPr>
              <w:spacing w:line="240" w:lineRule="auto"/>
              <w:rPr>
                <w:rFonts w:eastAsia="Times New Roman"/>
              </w:rPr>
            </w:pPr>
            <w:r w:rsidRPr="00CF39C8">
              <w:t>While acknowledging the potential economic benefits of an NVES (fuel savings, health improvements), concerns about upfront costs for consumers and businesses were raised. Finding the right balance between environmental and economic considerations is a recurring theme.</w:t>
            </w:r>
          </w:p>
        </w:tc>
      </w:tr>
      <w:tr w:rsidR="003F251A" w:rsidRPr="00CF39C8" w14:paraId="61232EAF" w14:textId="77777777" w:rsidTr="008A483D">
        <w:tc>
          <w:tcPr>
            <w:tcW w:w="1838" w:type="dxa"/>
            <w:shd w:val="clear" w:color="auto" w:fill="9BC7CE" w:themeFill="accent5" w:themeFillTint="99"/>
          </w:tcPr>
          <w:p w14:paraId="5A68A2DC" w14:textId="77777777" w:rsidR="003F251A" w:rsidRPr="00CF39C8" w:rsidRDefault="003F251A" w:rsidP="00440E37">
            <w:pPr>
              <w:spacing w:line="240" w:lineRule="auto"/>
              <w:rPr>
                <w:rFonts w:eastAsia="Times New Roman"/>
                <w:b/>
                <w:bCs/>
              </w:rPr>
            </w:pPr>
            <w:r w:rsidRPr="00CF39C8">
              <w:rPr>
                <w:rFonts w:eastAsia="Times New Roman"/>
                <w:b/>
                <w:bCs/>
              </w:rPr>
              <w:t>The NVES should align with international standards</w:t>
            </w:r>
          </w:p>
        </w:tc>
        <w:tc>
          <w:tcPr>
            <w:tcW w:w="7655" w:type="dxa"/>
          </w:tcPr>
          <w:p w14:paraId="7B3CA8C3" w14:textId="77777777" w:rsidR="003F251A" w:rsidRPr="00CF39C8" w:rsidRDefault="003F251A" w:rsidP="00440E37">
            <w:pPr>
              <w:spacing w:line="240" w:lineRule="auto"/>
            </w:pPr>
            <w:r w:rsidRPr="00CF39C8">
              <w:t>Many responses note that Australia is lagging behind other advanced economies in terms of introducing a fuel efficiency standard. Aligning with/catching up to international fuel efficiency standards and abatement targets was seen as important.</w:t>
            </w:r>
          </w:p>
        </w:tc>
      </w:tr>
      <w:tr w:rsidR="003F251A" w:rsidRPr="00CF39C8" w14:paraId="1B432AEC" w14:textId="77777777" w:rsidTr="008A483D">
        <w:tc>
          <w:tcPr>
            <w:tcW w:w="1838" w:type="dxa"/>
            <w:shd w:val="clear" w:color="auto" w:fill="9BC7CE" w:themeFill="accent5" w:themeFillTint="99"/>
          </w:tcPr>
          <w:p w14:paraId="1DC2D481" w14:textId="77777777" w:rsidR="003F251A" w:rsidRPr="00CF39C8" w:rsidRDefault="003F251A" w:rsidP="00440E37">
            <w:pPr>
              <w:spacing w:line="240" w:lineRule="auto"/>
              <w:rPr>
                <w:rFonts w:eastAsia="Times New Roman"/>
              </w:rPr>
            </w:pPr>
            <w:r w:rsidRPr="00CF39C8">
              <w:rPr>
                <w:rFonts w:eastAsia="Times New Roman"/>
                <w:b/>
                <w:bCs/>
              </w:rPr>
              <w:t>Health benefits of an NVES</w:t>
            </w:r>
          </w:p>
        </w:tc>
        <w:tc>
          <w:tcPr>
            <w:tcW w:w="7655" w:type="dxa"/>
            <w:hideMark/>
          </w:tcPr>
          <w:p w14:paraId="565F260A" w14:textId="77777777" w:rsidR="001D41C8" w:rsidRPr="00CF39C8" w:rsidRDefault="003F251A" w:rsidP="001D57A5">
            <w:pPr>
              <w:spacing w:line="240" w:lineRule="auto"/>
            </w:pPr>
            <w:r w:rsidRPr="00CF39C8">
              <w:t>The potential positive impact on public health due to cleaner air from reduced emissions emerged as something of interest to some respondents</w:t>
            </w:r>
            <w:r w:rsidR="001D41C8" w:rsidRPr="00CF39C8">
              <w:t>.</w:t>
            </w:r>
          </w:p>
        </w:tc>
      </w:tr>
      <w:tr w:rsidR="003F251A" w:rsidRPr="00CF39C8" w14:paraId="1B92CA68" w14:textId="77777777" w:rsidTr="008A483D">
        <w:tc>
          <w:tcPr>
            <w:tcW w:w="1838" w:type="dxa"/>
            <w:shd w:val="clear" w:color="auto" w:fill="9BC7CE" w:themeFill="accent5" w:themeFillTint="99"/>
          </w:tcPr>
          <w:p w14:paraId="7AD258AD" w14:textId="77777777" w:rsidR="003F251A" w:rsidRPr="00CF39C8" w:rsidRDefault="003F251A" w:rsidP="001D57A5">
            <w:pPr>
              <w:spacing w:line="240" w:lineRule="auto"/>
              <w:rPr>
                <w:rFonts w:eastAsia="Times New Roman"/>
                <w:b/>
                <w:bCs/>
              </w:rPr>
            </w:pPr>
            <w:r w:rsidRPr="00CF39C8">
              <w:rPr>
                <w:rFonts w:eastAsia="Times New Roman"/>
                <w:b/>
                <w:bCs/>
              </w:rPr>
              <w:t>Transport equity</w:t>
            </w:r>
          </w:p>
          <w:p w14:paraId="72A0E6D8" w14:textId="77777777" w:rsidR="003F251A" w:rsidRPr="00CF39C8" w:rsidRDefault="003F251A" w:rsidP="001D57A5">
            <w:pPr>
              <w:spacing w:line="240" w:lineRule="auto"/>
              <w:rPr>
                <w:rFonts w:eastAsia="Times New Roman"/>
              </w:rPr>
            </w:pPr>
          </w:p>
        </w:tc>
        <w:tc>
          <w:tcPr>
            <w:tcW w:w="7655" w:type="dxa"/>
          </w:tcPr>
          <w:p w14:paraId="21C4F25E" w14:textId="77777777" w:rsidR="003F251A" w:rsidRPr="00CF39C8" w:rsidRDefault="003F251A" w:rsidP="001D57A5">
            <w:pPr>
              <w:spacing w:line="240" w:lineRule="auto"/>
              <w:rPr>
                <w:rFonts w:eastAsia="Times New Roman"/>
              </w:rPr>
            </w:pPr>
            <w:r w:rsidRPr="00CF39C8">
              <w:t xml:space="preserve">Some </w:t>
            </w:r>
            <w:r w:rsidR="0008204E">
              <w:t>felt that the types of</w:t>
            </w:r>
            <w:r w:rsidRPr="00CF39C8">
              <w:t xml:space="preserve"> cars </w:t>
            </w:r>
            <w:r w:rsidR="0008204E">
              <w:t xml:space="preserve">incentivised through the NVES </w:t>
            </w:r>
            <w:r w:rsidRPr="00CF39C8">
              <w:t>could disproportionately impact low-income households</w:t>
            </w:r>
            <w:r w:rsidR="0008204E">
              <w:t xml:space="preserve"> who won’t be able to afford this new technology and may hold on to their higher emitting cars for longer</w:t>
            </w:r>
            <w:r w:rsidRPr="00CF39C8">
              <w:t>. </w:t>
            </w:r>
          </w:p>
        </w:tc>
      </w:tr>
      <w:tr w:rsidR="003F251A" w:rsidRPr="00CF39C8" w14:paraId="73DEFB5D" w14:textId="77777777" w:rsidTr="008A483D">
        <w:tc>
          <w:tcPr>
            <w:tcW w:w="1838" w:type="dxa"/>
            <w:shd w:val="clear" w:color="auto" w:fill="9BC7CE" w:themeFill="accent5" w:themeFillTint="99"/>
          </w:tcPr>
          <w:p w14:paraId="696BAB7B" w14:textId="77777777" w:rsidR="003F251A" w:rsidRPr="00CF39C8" w:rsidRDefault="003F251A" w:rsidP="00440E37">
            <w:pPr>
              <w:spacing w:line="240" w:lineRule="auto"/>
              <w:rPr>
                <w:rFonts w:eastAsia="Times New Roman"/>
              </w:rPr>
            </w:pPr>
            <w:r w:rsidRPr="00CF39C8">
              <w:rPr>
                <w:rFonts w:eastAsia="Times New Roman"/>
                <w:b/>
                <w:bCs/>
              </w:rPr>
              <w:t>Need for strong fuel efficiency standards</w:t>
            </w:r>
          </w:p>
        </w:tc>
        <w:tc>
          <w:tcPr>
            <w:tcW w:w="7655" w:type="dxa"/>
          </w:tcPr>
          <w:p w14:paraId="629E7442" w14:textId="77777777" w:rsidR="003F251A" w:rsidRPr="00CF39C8" w:rsidRDefault="003F251A" w:rsidP="00440E37">
            <w:pPr>
              <w:spacing w:line="240" w:lineRule="auto"/>
              <w:rPr>
                <w:rFonts w:eastAsia="Times New Roman"/>
              </w:rPr>
            </w:pPr>
            <w:r w:rsidRPr="00CF39C8">
              <w:t>Many responses advocate</w:t>
            </w:r>
            <w:r w:rsidR="0008204E">
              <w:t>d</w:t>
            </w:r>
            <w:r w:rsidRPr="00CF39C8">
              <w:t xml:space="preserve"> for </w:t>
            </w:r>
            <w:r w:rsidR="00C12BE2">
              <w:t>Option C</w:t>
            </w:r>
            <w:r w:rsidRPr="00CF39C8">
              <w:t>, the fastest and strictest option, highlighting its potential for greater emissions reduction and faster progress towards emissions reduction and a better climate future. </w:t>
            </w:r>
            <w:r w:rsidR="00DC48C3">
              <w:t>Option A</w:t>
            </w:r>
            <w:r w:rsidRPr="00CF39C8">
              <w:t>, with no change, was generally rejected for its lack of effectiveness.</w:t>
            </w:r>
          </w:p>
        </w:tc>
      </w:tr>
      <w:tr w:rsidR="003F251A" w:rsidRPr="00CF39C8" w14:paraId="09DFA1B3" w14:textId="77777777" w:rsidTr="008A483D">
        <w:tc>
          <w:tcPr>
            <w:tcW w:w="1838" w:type="dxa"/>
            <w:shd w:val="clear" w:color="auto" w:fill="9BC7CE" w:themeFill="accent5" w:themeFillTint="99"/>
          </w:tcPr>
          <w:p w14:paraId="4C5E147F" w14:textId="77777777" w:rsidR="003F251A" w:rsidRPr="00CF39C8" w:rsidRDefault="003F251A" w:rsidP="00440E37">
            <w:pPr>
              <w:spacing w:line="240" w:lineRule="auto"/>
              <w:rPr>
                <w:rFonts w:eastAsia="Times New Roman"/>
              </w:rPr>
            </w:pPr>
            <w:r w:rsidRPr="00CF39C8">
              <w:rPr>
                <w:rFonts w:eastAsia="Times New Roman"/>
                <w:b/>
                <w:bCs/>
              </w:rPr>
              <w:t>Economic benefits for consumers</w:t>
            </w:r>
          </w:p>
        </w:tc>
        <w:tc>
          <w:tcPr>
            <w:tcW w:w="7655" w:type="dxa"/>
          </w:tcPr>
          <w:p w14:paraId="504533C3" w14:textId="77777777" w:rsidR="003F251A" w:rsidRPr="00CF39C8" w:rsidRDefault="003F251A" w:rsidP="00440E37">
            <w:pPr>
              <w:spacing w:line="240" w:lineRule="auto"/>
              <w:rPr>
                <w:rFonts w:eastAsia="Times New Roman"/>
              </w:rPr>
            </w:pPr>
            <w:r w:rsidRPr="00CF39C8">
              <w:t>The potential for fuel savings and long-term economic benefits from the introduction of the NVES is mentioned by some, although concerns about upfront transaction/transition costs remain.</w:t>
            </w:r>
          </w:p>
        </w:tc>
      </w:tr>
      <w:tr w:rsidR="003F251A" w:rsidRPr="00CF39C8" w14:paraId="48AFCC3C" w14:textId="77777777" w:rsidTr="008A483D">
        <w:tc>
          <w:tcPr>
            <w:tcW w:w="1838" w:type="dxa"/>
            <w:shd w:val="clear" w:color="auto" w:fill="9BC7CE" w:themeFill="accent5" w:themeFillTint="99"/>
          </w:tcPr>
          <w:p w14:paraId="634B0C0B" w14:textId="77777777" w:rsidR="003F251A" w:rsidRPr="00CF39C8" w:rsidRDefault="003F251A" w:rsidP="00440E37">
            <w:pPr>
              <w:spacing w:line="240" w:lineRule="auto"/>
              <w:rPr>
                <w:rFonts w:eastAsia="Times New Roman"/>
              </w:rPr>
            </w:pPr>
            <w:r w:rsidRPr="00CF39C8">
              <w:rPr>
                <w:rFonts w:eastAsia="Times New Roman"/>
                <w:b/>
                <w:bCs/>
              </w:rPr>
              <w:t>Increase vehicle choice</w:t>
            </w:r>
          </w:p>
        </w:tc>
        <w:tc>
          <w:tcPr>
            <w:tcW w:w="7655" w:type="dxa"/>
          </w:tcPr>
          <w:p w14:paraId="5119EECB" w14:textId="77777777" w:rsidR="003F251A" w:rsidRPr="00CF39C8" w:rsidRDefault="003F251A" w:rsidP="001D57A5">
            <w:pPr>
              <w:spacing w:line="240" w:lineRule="auto"/>
              <w:rPr>
                <w:rFonts w:eastAsia="Times New Roman"/>
                <w:bCs/>
              </w:rPr>
            </w:pPr>
            <w:r w:rsidRPr="00CF39C8">
              <w:rPr>
                <w:rFonts w:eastAsia="Times New Roman"/>
                <w:bCs/>
              </w:rPr>
              <w:t xml:space="preserve">Respondents were welcoming of greater vehicle choice for consumers. </w:t>
            </w:r>
          </w:p>
          <w:p w14:paraId="6AEAB1B1" w14:textId="77777777" w:rsidR="003F251A" w:rsidRPr="00CF39C8" w:rsidRDefault="003F251A" w:rsidP="001D57A5">
            <w:pPr>
              <w:spacing w:line="240" w:lineRule="auto"/>
              <w:rPr>
                <w:rFonts w:eastAsia="Times New Roman"/>
              </w:rPr>
            </w:pPr>
          </w:p>
        </w:tc>
      </w:tr>
      <w:tr w:rsidR="003F251A" w:rsidRPr="00CF39C8" w14:paraId="1ACE953C" w14:textId="77777777" w:rsidTr="008A483D">
        <w:tc>
          <w:tcPr>
            <w:tcW w:w="1838" w:type="dxa"/>
            <w:shd w:val="clear" w:color="auto" w:fill="9BC7CE" w:themeFill="accent5" w:themeFillTint="99"/>
          </w:tcPr>
          <w:p w14:paraId="1B3AFA3B" w14:textId="77777777" w:rsidR="003F251A" w:rsidRPr="00CF39C8" w:rsidRDefault="003F251A" w:rsidP="00440E37">
            <w:pPr>
              <w:spacing w:line="240" w:lineRule="auto"/>
              <w:rPr>
                <w:rFonts w:eastAsia="Times New Roman"/>
              </w:rPr>
            </w:pPr>
            <w:r w:rsidRPr="00CF39C8">
              <w:rPr>
                <w:rFonts w:eastAsia="Times New Roman"/>
                <w:b/>
                <w:bCs/>
              </w:rPr>
              <w:t>Access to/readiness of charging infrastructure</w:t>
            </w:r>
          </w:p>
        </w:tc>
        <w:tc>
          <w:tcPr>
            <w:tcW w:w="7655" w:type="dxa"/>
          </w:tcPr>
          <w:p w14:paraId="409E7A82" w14:textId="77777777" w:rsidR="003F251A" w:rsidRPr="00CF39C8" w:rsidRDefault="003F251A" w:rsidP="00440E37">
            <w:pPr>
              <w:spacing w:line="240" w:lineRule="auto"/>
              <w:rPr>
                <w:rFonts w:eastAsia="Times New Roman"/>
              </w:rPr>
            </w:pPr>
            <w:r w:rsidRPr="00CF39C8">
              <w:rPr>
                <w:rFonts w:eastAsia="Times New Roman"/>
                <w:bCs/>
              </w:rPr>
              <w:t>Some respondents felt that the introduction of an NVES that incentivises the supply and take up of EVs will lead to an increased demand for charging infrastructure.  There was some concern that the initial rollout of charging infrastructure might not keep pace with increasing EV take up, potentially causing inconvenience for early adopters.</w:t>
            </w:r>
          </w:p>
        </w:tc>
      </w:tr>
      <w:tr w:rsidR="003F251A" w:rsidRPr="00CF39C8" w14:paraId="3CCC36AD" w14:textId="77777777" w:rsidTr="008A483D">
        <w:tc>
          <w:tcPr>
            <w:tcW w:w="1838" w:type="dxa"/>
            <w:shd w:val="clear" w:color="auto" w:fill="9BC7CE" w:themeFill="accent5" w:themeFillTint="99"/>
          </w:tcPr>
          <w:p w14:paraId="023FE7A2" w14:textId="77777777" w:rsidR="003F251A" w:rsidRPr="00CF39C8" w:rsidRDefault="003F251A" w:rsidP="00440E37">
            <w:pPr>
              <w:spacing w:line="240" w:lineRule="auto"/>
              <w:rPr>
                <w:rFonts w:eastAsia="Times New Roman"/>
              </w:rPr>
            </w:pPr>
            <w:r w:rsidRPr="00CF39C8">
              <w:rPr>
                <w:rFonts w:eastAsia="Times New Roman"/>
                <w:b/>
                <w:bCs/>
              </w:rPr>
              <w:t>Technology benefits</w:t>
            </w:r>
          </w:p>
        </w:tc>
        <w:tc>
          <w:tcPr>
            <w:tcW w:w="7655" w:type="dxa"/>
          </w:tcPr>
          <w:p w14:paraId="68A5D43E" w14:textId="77777777" w:rsidR="003F251A" w:rsidRPr="00CF39C8" w:rsidRDefault="003F251A" w:rsidP="00440E37">
            <w:pPr>
              <w:spacing w:line="240" w:lineRule="auto"/>
              <w:rPr>
                <w:rFonts w:eastAsia="Times New Roman"/>
              </w:rPr>
            </w:pPr>
            <w:r w:rsidRPr="00CF39C8">
              <w:rPr>
                <w:rFonts w:eastAsia="Times New Roman"/>
                <w:bCs/>
              </w:rPr>
              <w:t>An NVES will push car manufacturers to invest in developing more efficient engines and cleaner technologies, potentially leading to advancements in technology (such as batteries, electric motors, and lightweight materials for vehicles.)</w:t>
            </w:r>
          </w:p>
        </w:tc>
      </w:tr>
      <w:tr w:rsidR="003F251A" w:rsidRPr="00CF39C8" w14:paraId="5ABA8094" w14:textId="77777777" w:rsidTr="008A483D">
        <w:tc>
          <w:tcPr>
            <w:tcW w:w="1838" w:type="dxa"/>
            <w:shd w:val="clear" w:color="auto" w:fill="9BC7CE" w:themeFill="accent5" w:themeFillTint="99"/>
          </w:tcPr>
          <w:p w14:paraId="015A67C3" w14:textId="77777777" w:rsidR="003F251A" w:rsidRPr="00CF39C8" w:rsidRDefault="003F251A" w:rsidP="00440E37">
            <w:pPr>
              <w:spacing w:line="240" w:lineRule="auto"/>
              <w:rPr>
                <w:rFonts w:eastAsia="Times New Roman"/>
              </w:rPr>
            </w:pPr>
            <w:r w:rsidRPr="00CF39C8">
              <w:rPr>
                <w:rFonts w:eastAsia="Times New Roman"/>
                <w:b/>
                <w:bCs/>
              </w:rPr>
              <w:t xml:space="preserve">Fuel </w:t>
            </w:r>
            <w:r w:rsidR="008A483D" w:rsidRPr="00CF39C8">
              <w:rPr>
                <w:rFonts w:eastAsia="Times New Roman"/>
                <w:b/>
                <w:bCs/>
              </w:rPr>
              <w:t>s</w:t>
            </w:r>
            <w:r w:rsidRPr="00CF39C8">
              <w:rPr>
                <w:rFonts w:eastAsia="Times New Roman"/>
                <w:b/>
                <w:bCs/>
              </w:rPr>
              <w:t>ecurity</w:t>
            </w:r>
          </w:p>
        </w:tc>
        <w:tc>
          <w:tcPr>
            <w:tcW w:w="7655" w:type="dxa"/>
          </w:tcPr>
          <w:p w14:paraId="044B6050" w14:textId="77777777" w:rsidR="003F251A" w:rsidRPr="00CF39C8" w:rsidRDefault="003F251A" w:rsidP="00440E37">
            <w:pPr>
              <w:spacing w:line="240" w:lineRule="auto"/>
              <w:rPr>
                <w:rFonts w:eastAsia="Times New Roman"/>
              </w:rPr>
            </w:pPr>
            <w:r w:rsidRPr="00CF39C8">
              <w:rPr>
                <w:rFonts w:eastAsia="Times New Roman"/>
                <w:bCs/>
              </w:rPr>
              <w:t>An NVES could reduce Australia's reliance on imported oil, potentially improving national fuel security.</w:t>
            </w:r>
          </w:p>
        </w:tc>
      </w:tr>
      <w:tr w:rsidR="003F251A" w:rsidRPr="00CF39C8" w14:paraId="79BBF6F7" w14:textId="77777777" w:rsidTr="008A483D">
        <w:tc>
          <w:tcPr>
            <w:tcW w:w="1838" w:type="dxa"/>
            <w:shd w:val="clear" w:color="auto" w:fill="9BC7CE" w:themeFill="accent5" w:themeFillTint="99"/>
          </w:tcPr>
          <w:p w14:paraId="3FE396D9" w14:textId="77777777" w:rsidR="003F251A" w:rsidRPr="00CF39C8" w:rsidRDefault="003F251A" w:rsidP="00440E37">
            <w:pPr>
              <w:spacing w:line="240" w:lineRule="auto"/>
              <w:rPr>
                <w:rFonts w:eastAsia="Times New Roman"/>
              </w:rPr>
            </w:pPr>
            <w:r w:rsidRPr="00CF39C8">
              <w:rPr>
                <w:rFonts w:eastAsia="Times New Roman"/>
                <w:b/>
                <w:bCs/>
              </w:rPr>
              <w:t>Adjusted start period</w:t>
            </w:r>
          </w:p>
        </w:tc>
        <w:tc>
          <w:tcPr>
            <w:tcW w:w="7655" w:type="dxa"/>
          </w:tcPr>
          <w:p w14:paraId="191EDEB2" w14:textId="77777777" w:rsidR="003F251A" w:rsidRPr="00CF39C8" w:rsidRDefault="003F251A" w:rsidP="001D57A5">
            <w:pPr>
              <w:spacing w:line="240" w:lineRule="auto"/>
              <w:rPr>
                <w:rFonts w:eastAsia="Times New Roman"/>
                <w:bCs/>
              </w:rPr>
            </w:pPr>
            <w:r w:rsidRPr="00CF39C8">
              <w:rPr>
                <w:rFonts w:eastAsia="Times New Roman"/>
                <w:bCs/>
              </w:rPr>
              <w:t>Automakers and dealerships may need time to adjust their production lines and supply chains to meet the NVES. The abrupt introduction of the NVES could cause disruptions in the industry.</w:t>
            </w:r>
          </w:p>
          <w:p w14:paraId="505220AA" w14:textId="77777777" w:rsidR="003F251A" w:rsidRPr="00CF39C8" w:rsidRDefault="003F251A" w:rsidP="00440E37">
            <w:pPr>
              <w:spacing w:line="240" w:lineRule="auto"/>
              <w:rPr>
                <w:rFonts w:eastAsia="Times New Roman"/>
              </w:rPr>
            </w:pPr>
            <w:r w:rsidRPr="00CF39C8">
              <w:rPr>
                <w:rFonts w:eastAsia="Times New Roman"/>
                <w:bCs/>
              </w:rPr>
              <w:t>Manufacturers need time to plan and invest in the necessary changes. Allowing sufficient time would minimise disruptions and ensure a smoother transition.</w:t>
            </w:r>
          </w:p>
        </w:tc>
      </w:tr>
      <w:tr w:rsidR="003F251A" w:rsidRPr="00CF39C8" w14:paraId="14B07E96" w14:textId="77777777" w:rsidTr="008A483D">
        <w:tc>
          <w:tcPr>
            <w:tcW w:w="1838" w:type="dxa"/>
            <w:shd w:val="clear" w:color="auto" w:fill="9BC7CE" w:themeFill="accent5" w:themeFillTint="99"/>
          </w:tcPr>
          <w:p w14:paraId="3AFE606F" w14:textId="77777777" w:rsidR="003F251A" w:rsidRPr="00CF39C8" w:rsidRDefault="003F251A" w:rsidP="00440E37">
            <w:pPr>
              <w:spacing w:line="240" w:lineRule="auto"/>
              <w:rPr>
                <w:rFonts w:eastAsia="Times New Roman"/>
                <w:b/>
                <w:bCs/>
              </w:rPr>
            </w:pPr>
            <w:r w:rsidRPr="00CF39C8">
              <w:rPr>
                <w:b/>
              </w:rPr>
              <w:t>Transport safety &amp; mode shift</w:t>
            </w:r>
          </w:p>
        </w:tc>
        <w:tc>
          <w:tcPr>
            <w:tcW w:w="7655" w:type="dxa"/>
          </w:tcPr>
          <w:p w14:paraId="4BC66228" w14:textId="77777777" w:rsidR="003F251A" w:rsidRPr="00CF39C8" w:rsidRDefault="003F251A" w:rsidP="00440E37">
            <w:pPr>
              <w:spacing w:line="240" w:lineRule="auto"/>
              <w:rPr>
                <w:rFonts w:eastAsia="Times New Roman"/>
                <w:bCs/>
              </w:rPr>
            </w:pPr>
            <w:r w:rsidRPr="00CF39C8">
              <w:rPr>
                <w:rFonts w:eastAsia="Times New Roman"/>
              </w:rPr>
              <w:t xml:space="preserve">Some respondents discussed the increasing size of vehicles and safety impacts they could have on other road users, including pedestrians and cyclists.  It was suggested that Government should act to promote active transport as a mechanism for decarbonisation. </w:t>
            </w:r>
          </w:p>
        </w:tc>
      </w:tr>
    </w:tbl>
    <w:p w14:paraId="51F5031A" w14:textId="77777777" w:rsidR="003F251A" w:rsidRPr="00CF39C8" w:rsidRDefault="003F251A" w:rsidP="003F251A"/>
    <w:p w14:paraId="3F84E8A4" w14:textId="77777777" w:rsidR="0008204E" w:rsidRDefault="0008204E" w:rsidP="003F251A">
      <w:pPr>
        <w:sectPr w:rsidR="0008204E" w:rsidSect="007150AB">
          <w:pgSz w:w="11906" w:h="16838" w:code="9"/>
          <w:pgMar w:top="1021" w:right="1134" w:bottom="851" w:left="1276" w:header="510" w:footer="567" w:gutter="0"/>
          <w:cols w:space="708"/>
          <w:docGrid w:linePitch="360"/>
        </w:sectPr>
      </w:pPr>
    </w:p>
    <w:p w14:paraId="68DDC081" w14:textId="77777777" w:rsidR="003F251A" w:rsidRPr="00CF39C8" w:rsidRDefault="00A22496" w:rsidP="0008204E">
      <w:pPr>
        <w:rPr>
          <w:i/>
          <w:sz w:val="22"/>
          <w:szCs w:val="22"/>
        </w:rPr>
      </w:pPr>
      <w:bookmarkStart w:id="483" w:name="_Toc161837682"/>
      <w:bookmarkStart w:id="484" w:name="_Hlk160804120"/>
      <w:r w:rsidRPr="0008204E">
        <w:rPr>
          <w:b/>
          <w:color w:val="417A84" w:themeColor="accent5" w:themeShade="BF"/>
          <w:sz w:val="36"/>
          <w:szCs w:val="36"/>
        </w:rPr>
        <w:t>Submissions from organisations</w:t>
      </w:r>
      <w:bookmarkEnd w:id="483"/>
    </w:p>
    <w:p w14:paraId="1E2F0868" w14:textId="77777777" w:rsidR="008A483D" w:rsidRPr="00CF39C8" w:rsidRDefault="008A483D" w:rsidP="00D00CC3"/>
    <w:p w14:paraId="0D6234B5" w14:textId="77777777" w:rsidR="00C72993" w:rsidRPr="00CF39C8" w:rsidRDefault="00927B6A" w:rsidP="00C72993">
      <w:pPr>
        <w:rPr>
          <w:rFonts w:ascii="Calibri" w:eastAsia="Calibri" w:hAnsi="Calibri" w:cs="Calibri"/>
        </w:rPr>
      </w:pPr>
      <w:r>
        <w:rPr>
          <w:rFonts w:ascii="Calibri" w:eastAsia="Calibri" w:hAnsi="Calibri" w:cs="Calibri"/>
          <w:noProof/>
          <w:lang w:eastAsia="en-AU"/>
        </w:rPr>
        <w:drawing>
          <wp:inline distT="0" distB="0" distL="0" distR="0" wp14:anchorId="1E123560" wp14:editId="3B967888">
            <wp:extent cx="5210175" cy="4038600"/>
            <wp:effectExtent l="0" t="0" r="9525" b="0"/>
            <wp:docPr id="2062" name="Picture 2062" descr="Bar graph that identifies organisation type, and how many submitted to the consultation. &#10;&#10;Climate group – 41&#10;Car manufacturer – 25&#10;Other – 19 &#10;Automotive -- 15&#10;Government – 12 &#10;Industry – 12 &#10;Consulting/Advisory -- 11&#10;Energy – 10 &#10;Professional Association – 9 &#10;Research – 7 &#10;Community – 6  &#10;Health – 5 &#10;Motoring Association – 4 &#10;International – 4 &#10;EV Related Association -- 4&#10;Hire car/Taxi/ride share – 3 &#10;Farming and regional – 3 &#10;Think Tank – 2  &#10;Retail – 2 &#10;Road &amp; Vehicle safety – 1  &#10;Financial services –1 &#10;Consumer and vulnerable Australians -- 1&#10;Carbon trading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0175" cy="4038600"/>
                    </a:xfrm>
                    <a:prstGeom prst="rect">
                      <a:avLst/>
                    </a:prstGeom>
                    <a:noFill/>
                    <a:ln>
                      <a:noFill/>
                    </a:ln>
                  </pic:spPr>
                </pic:pic>
              </a:graphicData>
            </a:graphic>
          </wp:inline>
        </w:drawing>
      </w:r>
    </w:p>
    <w:p w14:paraId="0B8CBCB4" w14:textId="77777777" w:rsidR="00C72993" w:rsidRPr="00CF39C8" w:rsidRDefault="00C72993" w:rsidP="00C72993">
      <w:pPr>
        <w:pStyle w:val="Caption"/>
        <w:rPr>
          <w:rFonts w:asciiTheme="majorHAnsi" w:hAnsiTheme="majorHAnsi" w:cstheme="majorHAnsi"/>
          <w:b w:val="0"/>
        </w:rPr>
      </w:pPr>
      <w:bookmarkStart w:id="485" w:name="_Toc161837792"/>
      <w:bookmarkStart w:id="486" w:name="_Toc161933238"/>
      <w:bookmarkStart w:id="487" w:name="_Toc163221138"/>
      <w:r w:rsidRPr="00CF39C8">
        <w:rPr>
          <w:rFonts w:asciiTheme="majorHAnsi" w:hAnsiTheme="majorHAnsi" w:cstheme="majorHAnsi"/>
        </w:rPr>
        <w:t>Figure 2</w:t>
      </w:r>
      <w:r w:rsidR="0023600C">
        <w:rPr>
          <w:rFonts w:asciiTheme="majorHAnsi" w:hAnsiTheme="majorHAnsi" w:cstheme="majorHAnsi"/>
        </w:rPr>
        <w:t>2</w:t>
      </w:r>
      <w:r w:rsidRPr="00CF39C8">
        <w:rPr>
          <w:rFonts w:asciiTheme="majorHAnsi" w:hAnsiTheme="majorHAnsi" w:cstheme="majorHAnsi"/>
        </w:rPr>
        <w:t xml:space="preserve"> –</w:t>
      </w:r>
      <w:r w:rsidRPr="00CF39C8">
        <w:rPr>
          <w:rFonts w:asciiTheme="majorHAnsi" w:hAnsiTheme="majorHAnsi" w:cstheme="majorHAnsi"/>
          <w:b w:val="0"/>
        </w:rPr>
        <w:t xml:space="preserve"> Organisation types for Phase 2</w:t>
      </w:r>
      <w:bookmarkEnd w:id="485"/>
      <w:bookmarkEnd w:id="486"/>
      <w:bookmarkEnd w:id="487"/>
    </w:p>
    <w:p w14:paraId="312FFAAA" w14:textId="77777777" w:rsidR="00C72993" w:rsidRDefault="00C72993" w:rsidP="00D00CC3"/>
    <w:p w14:paraId="18B02B38" w14:textId="77777777" w:rsidR="00DD57D8" w:rsidRDefault="00DD57D8" w:rsidP="00DD57D8">
      <w:pPr>
        <w:pStyle w:val="Heading4"/>
        <w:rPr>
          <w:b/>
        </w:rPr>
      </w:pPr>
      <w:r w:rsidRPr="00DD57D8">
        <w:rPr>
          <w:b/>
        </w:rPr>
        <w:t xml:space="preserve">Submission </w:t>
      </w:r>
      <w:r>
        <w:rPr>
          <w:b/>
        </w:rPr>
        <w:t xml:space="preserve">overview </w:t>
      </w:r>
      <w:r w:rsidRPr="00DD57D8">
        <w:rPr>
          <w:b/>
        </w:rPr>
        <w:t>by sector</w:t>
      </w:r>
    </w:p>
    <w:p w14:paraId="3976C68E" w14:textId="77777777" w:rsidR="00DD57D8" w:rsidRPr="00DD57D8" w:rsidRDefault="00DD57D8" w:rsidP="00DD57D8"/>
    <w:tbl>
      <w:tblPr>
        <w:tblStyle w:val="TableGrid"/>
        <w:tblW w:w="10060" w:type="dxa"/>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6" w:space="0" w:color="417A84" w:themeColor="accent5" w:themeShade="BF"/>
          <w:insideV w:val="single" w:sz="6" w:space="0" w:color="417A84" w:themeColor="accent5" w:themeShade="BF"/>
        </w:tblBorders>
        <w:tblCellMar>
          <w:top w:w="57" w:type="dxa"/>
          <w:bottom w:w="57" w:type="dxa"/>
        </w:tblCellMar>
        <w:tblLook w:val="04A0" w:firstRow="1" w:lastRow="0" w:firstColumn="1" w:lastColumn="0" w:noHBand="0" w:noVBand="1"/>
      </w:tblPr>
      <w:tblGrid>
        <w:gridCol w:w="1980"/>
        <w:gridCol w:w="8080"/>
      </w:tblGrid>
      <w:tr w:rsidR="007328E3" w:rsidRPr="00CF39C8" w14:paraId="7002A848" w14:textId="77777777" w:rsidTr="007328E3">
        <w:tc>
          <w:tcPr>
            <w:tcW w:w="1980" w:type="dxa"/>
            <w:shd w:val="clear" w:color="auto" w:fill="417A84" w:themeFill="accent5" w:themeFillShade="BF"/>
          </w:tcPr>
          <w:p w14:paraId="1CAC0CCE" w14:textId="77777777" w:rsidR="007328E3" w:rsidRPr="007328E3" w:rsidRDefault="007328E3" w:rsidP="008A483D">
            <w:pPr>
              <w:spacing w:line="240" w:lineRule="auto"/>
              <w:rPr>
                <w:b/>
                <w:color w:val="FFFFFF" w:themeColor="background1"/>
              </w:rPr>
            </w:pPr>
            <w:r w:rsidRPr="007328E3">
              <w:rPr>
                <w:b/>
                <w:color w:val="FFFFFF" w:themeColor="background1"/>
              </w:rPr>
              <w:t>Sector</w:t>
            </w:r>
          </w:p>
        </w:tc>
        <w:tc>
          <w:tcPr>
            <w:tcW w:w="8080" w:type="dxa"/>
            <w:shd w:val="clear" w:color="auto" w:fill="417A84" w:themeFill="accent5" w:themeFillShade="BF"/>
          </w:tcPr>
          <w:p w14:paraId="0F73FECD" w14:textId="77777777" w:rsidR="007328E3" w:rsidRPr="007328E3" w:rsidRDefault="007328E3" w:rsidP="001D57A5">
            <w:pPr>
              <w:spacing w:line="240" w:lineRule="auto"/>
              <w:rPr>
                <w:rFonts w:eastAsia="Times New Roman"/>
                <w:b/>
                <w:color w:val="FFFFFF" w:themeColor="background1"/>
              </w:rPr>
            </w:pPr>
            <w:r w:rsidRPr="007328E3">
              <w:rPr>
                <w:rFonts w:eastAsia="Times New Roman"/>
                <w:b/>
                <w:color w:val="FFFFFF" w:themeColor="background1"/>
              </w:rPr>
              <w:t>Overview</w:t>
            </w:r>
          </w:p>
        </w:tc>
      </w:tr>
      <w:tr w:rsidR="003F251A" w:rsidRPr="00CF39C8" w14:paraId="1D1FF706" w14:textId="77777777" w:rsidTr="00075BA1">
        <w:tc>
          <w:tcPr>
            <w:tcW w:w="1980" w:type="dxa"/>
            <w:shd w:val="clear" w:color="auto" w:fill="9BC7CE" w:themeFill="accent5" w:themeFillTint="99"/>
          </w:tcPr>
          <w:p w14:paraId="30FEB9A2" w14:textId="77777777" w:rsidR="003F251A" w:rsidRPr="00CF39C8" w:rsidRDefault="003F251A" w:rsidP="008A483D">
            <w:pPr>
              <w:spacing w:line="240" w:lineRule="auto"/>
              <w:rPr>
                <w:b/>
              </w:rPr>
            </w:pPr>
            <w:r w:rsidRPr="00CF39C8">
              <w:rPr>
                <w:b/>
              </w:rPr>
              <w:t xml:space="preserve">Car </w:t>
            </w:r>
            <w:r w:rsidRPr="00CF39C8">
              <w:rPr>
                <w:rFonts w:eastAsia="Times New Roman"/>
                <w:b/>
                <w:bCs/>
              </w:rPr>
              <w:t>Manufacturers</w:t>
            </w:r>
          </w:p>
        </w:tc>
        <w:tc>
          <w:tcPr>
            <w:tcW w:w="8080" w:type="dxa"/>
          </w:tcPr>
          <w:p w14:paraId="37244FD9" w14:textId="77777777" w:rsidR="003F251A" w:rsidRPr="00CF39C8" w:rsidRDefault="003F251A" w:rsidP="001D57A5">
            <w:pPr>
              <w:spacing w:line="240" w:lineRule="auto"/>
              <w:rPr>
                <w:rFonts w:eastAsia="Times New Roman"/>
              </w:rPr>
            </w:pPr>
            <w:r w:rsidRPr="00CF39C8">
              <w:rPr>
                <w:rFonts w:eastAsia="Times New Roman"/>
              </w:rPr>
              <w:t xml:space="preserve">The majority of car manufacturers </w:t>
            </w:r>
            <w:r w:rsidR="00964872" w:rsidRPr="00CF39C8">
              <w:rPr>
                <w:rFonts w:eastAsia="Times New Roman"/>
              </w:rPr>
              <w:t>acknowledge</w:t>
            </w:r>
            <w:r w:rsidRPr="00CF39C8">
              <w:rPr>
                <w:rFonts w:eastAsia="Times New Roman"/>
              </w:rPr>
              <w:t xml:space="preserve"> that a New Vehicle Efficiency Standard is </w:t>
            </w:r>
            <w:r w:rsidR="00964872" w:rsidRPr="00CF39C8">
              <w:rPr>
                <w:rFonts w:eastAsia="Times New Roman"/>
              </w:rPr>
              <w:t>needed</w:t>
            </w:r>
            <w:r w:rsidRPr="00CF39C8">
              <w:rPr>
                <w:rFonts w:eastAsia="Times New Roman"/>
              </w:rPr>
              <w:t xml:space="preserve"> to reduce </w:t>
            </w:r>
            <w:r w:rsidR="00964872" w:rsidRPr="00CF39C8">
              <w:rPr>
                <w:rFonts w:eastAsia="Times New Roman"/>
              </w:rPr>
              <w:t>CO</w:t>
            </w:r>
            <w:r w:rsidR="00964872" w:rsidRPr="00CF39C8">
              <w:rPr>
                <w:rFonts w:eastAsia="Times New Roman"/>
                <w:vertAlign w:val="subscript"/>
              </w:rPr>
              <w:t>2</w:t>
            </w:r>
            <w:r w:rsidRPr="00CF39C8">
              <w:rPr>
                <w:rFonts w:eastAsia="Times New Roman"/>
              </w:rPr>
              <w:t xml:space="preserve"> emissions in Australia, but </w:t>
            </w:r>
            <w:r w:rsidR="00964872" w:rsidRPr="00CF39C8">
              <w:rPr>
                <w:rFonts w:eastAsia="Times New Roman"/>
              </w:rPr>
              <w:t>were</w:t>
            </w:r>
            <w:r w:rsidR="00072051" w:rsidRPr="00CF39C8">
              <w:rPr>
                <w:rFonts w:eastAsia="Times New Roman"/>
              </w:rPr>
              <w:t xml:space="preserve"> </w:t>
            </w:r>
            <w:r w:rsidRPr="00CF39C8">
              <w:rPr>
                <w:rFonts w:eastAsia="Times New Roman"/>
              </w:rPr>
              <w:t xml:space="preserve">divided </w:t>
            </w:r>
            <w:r w:rsidR="00964872" w:rsidRPr="00CF39C8">
              <w:rPr>
                <w:rFonts w:eastAsia="Times New Roman"/>
              </w:rPr>
              <w:t>around the stringency of the scheme and commencement timeframes</w:t>
            </w:r>
            <w:r w:rsidRPr="00CF39C8">
              <w:rPr>
                <w:rFonts w:eastAsia="Times New Roman"/>
              </w:rPr>
              <w:t xml:space="preserve">. </w:t>
            </w:r>
            <w:r w:rsidR="00503510" w:rsidRPr="00CF39C8">
              <w:rPr>
                <w:rFonts w:eastAsia="Times New Roman"/>
              </w:rPr>
              <w:t>Some were clear about their preferred option, where others didn’t explicitly state a preferred option.</w:t>
            </w:r>
          </w:p>
          <w:p w14:paraId="07180310" w14:textId="77777777" w:rsidR="003F251A" w:rsidRPr="00CF39C8" w:rsidRDefault="003F251A" w:rsidP="001D57A5">
            <w:pPr>
              <w:spacing w:line="240" w:lineRule="auto"/>
              <w:rPr>
                <w:rFonts w:eastAsia="Times New Roman"/>
              </w:rPr>
            </w:pPr>
          </w:p>
          <w:p w14:paraId="3F3A3E60" w14:textId="77777777" w:rsidR="00503510" w:rsidRPr="00CF39C8" w:rsidRDefault="00DC48C3" w:rsidP="00503510">
            <w:pPr>
              <w:spacing w:line="240" w:lineRule="auto"/>
              <w:rPr>
                <w:rFonts w:eastAsia="Times New Roman"/>
              </w:rPr>
            </w:pPr>
            <w:r>
              <w:rPr>
                <w:rFonts w:eastAsia="Times New Roman"/>
              </w:rPr>
              <w:t>Option A</w:t>
            </w:r>
            <w:r w:rsidR="00503510" w:rsidRPr="00DD57D8">
              <w:rPr>
                <w:rFonts w:eastAsia="Times New Roman"/>
              </w:rPr>
              <w:t xml:space="preserve"> –</w:t>
            </w:r>
            <w:r w:rsidR="00503510" w:rsidRPr="00CF39C8">
              <w:rPr>
                <w:rFonts w:eastAsia="Times New Roman"/>
              </w:rPr>
              <w:t xml:space="preserve"> Those that preferred </w:t>
            </w:r>
            <w:r>
              <w:rPr>
                <w:rFonts w:eastAsia="Times New Roman"/>
              </w:rPr>
              <w:t>Option A</w:t>
            </w:r>
            <w:r w:rsidR="00503510" w:rsidRPr="00CF39C8">
              <w:rPr>
                <w:rFonts w:eastAsia="Times New Roman"/>
              </w:rPr>
              <w:t xml:space="preserve"> felt that they needed more time to be ready to supply Australia with more fuel efficient, low and zero vehicles. Manufacturing lead times was a common theme, and some felt that changes to the Australian Design Rules would enable a greater supply of vehicles to the Australian market. </w:t>
            </w:r>
            <w:r w:rsidR="00085B04" w:rsidRPr="00CF39C8">
              <w:rPr>
                <w:rFonts w:eastAsia="Times New Roman"/>
              </w:rPr>
              <w:t>Views were divided on who the regulator should be.</w:t>
            </w:r>
          </w:p>
          <w:p w14:paraId="3877C03E" w14:textId="77777777" w:rsidR="00503510" w:rsidRPr="00CF39C8" w:rsidRDefault="00503510" w:rsidP="00503510">
            <w:pPr>
              <w:spacing w:line="240" w:lineRule="auto"/>
              <w:rPr>
                <w:rFonts w:eastAsia="Times New Roman"/>
              </w:rPr>
            </w:pPr>
          </w:p>
          <w:p w14:paraId="6516DC6B" w14:textId="77777777" w:rsidR="00503510" w:rsidRPr="00CF39C8" w:rsidRDefault="00C12BE2" w:rsidP="00503510">
            <w:pPr>
              <w:spacing w:line="240" w:lineRule="auto"/>
              <w:rPr>
                <w:rFonts w:eastAsia="Times New Roman"/>
              </w:rPr>
            </w:pPr>
            <w:r>
              <w:rPr>
                <w:rFonts w:eastAsia="Times New Roman"/>
              </w:rPr>
              <w:t>Option B</w:t>
            </w:r>
            <w:r w:rsidR="00503510" w:rsidRPr="00CF39C8">
              <w:rPr>
                <w:rFonts w:eastAsia="Times New Roman"/>
              </w:rPr>
              <w:t xml:space="preserve"> – There was moderate support for </w:t>
            </w:r>
            <w:r>
              <w:rPr>
                <w:rFonts w:eastAsia="Times New Roman"/>
              </w:rPr>
              <w:t>Option B</w:t>
            </w:r>
            <w:r w:rsidR="00503510" w:rsidRPr="00CF39C8">
              <w:rPr>
                <w:rFonts w:eastAsia="Times New Roman"/>
              </w:rPr>
              <w:t>, with some adjustments such as reduced stringency, the inclusion of technology credits, supercredits, modifications to break points, vehicle recategorization and delayed implementation.</w:t>
            </w:r>
          </w:p>
          <w:p w14:paraId="3912E32B" w14:textId="77777777" w:rsidR="00503510" w:rsidRPr="00CF39C8" w:rsidRDefault="00503510" w:rsidP="00503510">
            <w:pPr>
              <w:spacing w:line="240" w:lineRule="auto"/>
              <w:rPr>
                <w:rFonts w:eastAsia="Times New Roman"/>
              </w:rPr>
            </w:pPr>
          </w:p>
          <w:p w14:paraId="24A1AA7C" w14:textId="77777777" w:rsidR="003F251A" w:rsidRPr="00CF39C8" w:rsidRDefault="00C12BE2" w:rsidP="001D57A5">
            <w:pPr>
              <w:spacing w:line="240" w:lineRule="auto"/>
              <w:rPr>
                <w:rFonts w:eastAsia="Times New Roman"/>
              </w:rPr>
            </w:pPr>
            <w:r>
              <w:rPr>
                <w:rFonts w:eastAsia="Times New Roman"/>
              </w:rPr>
              <w:t>Option C</w:t>
            </w:r>
            <w:r w:rsidR="00085B04" w:rsidRPr="00CF39C8">
              <w:rPr>
                <w:rFonts w:eastAsia="Times New Roman"/>
              </w:rPr>
              <w:t xml:space="preserve"> – Amongst manufacturers, there was low</w:t>
            </w:r>
            <w:r w:rsidR="003F251A" w:rsidRPr="00CF39C8">
              <w:rPr>
                <w:rFonts w:eastAsia="Times New Roman"/>
              </w:rPr>
              <w:t xml:space="preserve"> support </w:t>
            </w:r>
            <w:r w:rsidR="00126F43" w:rsidRPr="00CF39C8">
              <w:rPr>
                <w:rFonts w:eastAsia="Times New Roman"/>
              </w:rPr>
              <w:t>for</w:t>
            </w:r>
            <w:r w:rsidR="003F251A" w:rsidRPr="00CF39C8">
              <w:rPr>
                <w:rFonts w:eastAsia="Times New Roman"/>
              </w:rPr>
              <w:t xml:space="preserve"> </w:t>
            </w:r>
            <w:r>
              <w:rPr>
                <w:rFonts w:eastAsia="Times New Roman"/>
              </w:rPr>
              <w:t>Option C</w:t>
            </w:r>
            <w:r w:rsidR="00126F43" w:rsidRPr="00CF39C8">
              <w:rPr>
                <w:rFonts w:eastAsia="Times New Roman"/>
              </w:rPr>
              <w:t>. Those that support</w:t>
            </w:r>
            <w:r w:rsidR="00085B04" w:rsidRPr="00CF39C8">
              <w:rPr>
                <w:rFonts w:eastAsia="Times New Roman"/>
              </w:rPr>
              <w:t>ed this option were clear that an ambitious NVES was critical and should feature high levels of stringency</w:t>
            </w:r>
            <w:r w:rsidR="0029337C" w:rsidRPr="00CF39C8">
              <w:rPr>
                <w:rFonts w:eastAsia="Times New Roman"/>
              </w:rPr>
              <w:t>.</w:t>
            </w:r>
            <w:r w:rsidR="003F251A" w:rsidRPr="00CF39C8">
              <w:rPr>
                <w:rFonts w:eastAsia="Times New Roman"/>
              </w:rPr>
              <w:t xml:space="preserve"> Generally, </w:t>
            </w:r>
            <w:r w:rsidR="00085B04" w:rsidRPr="00CF39C8">
              <w:rPr>
                <w:rFonts w:eastAsia="Times New Roman"/>
              </w:rPr>
              <w:t>there was no</w:t>
            </w:r>
            <w:r w:rsidR="003F251A" w:rsidRPr="00CF39C8">
              <w:rPr>
                <w:rFonts w:eastAsia="Times New Roman"/>
              </w:rPr>
              <w:t xml:space="preserve"> support </w:t>
            </w:r>
            <w:r w:rsidR="00085B04" w:rsidRPr="00CF39C8">
              <w:rPr>
                <w:rFonts w:eastAsia="Times New Roman"/>
              </w:rPr>
              <w:t xml:space="preserve">for </w:t>
            </w:r>
            <w:r w:rsidR="003F251A" w:rsidRPr="00CF39C8">
              <w:rPr>
                <w:rFonts w:eastAsia="Times New Roman"/>
              </w:rPr>
              <w:t xml:space="preserve">supercredits or technology credits. </w:t>
            </w:r>
            <w:r w:rsidR="0029337C" w:rsidRPr="00CF39C8">
              <w:rPr>
                <w:rFonts w:eastAsia="Times New Roman"/>
              </w:rPr>
              <w:t>The</w:t>
            </w:r>
            <w:r w:rsidR="00085B04" w:rsidRPr="00CF39C8">
              <w:rPr>
                <w:rFonts w:eastAsia="Times New Roman"/>
              </w:rPr>
              <w:t xml:space="preserve">re was </w:t>
            </w:r>
            <w:r w:rsidR="003F251A" w:rsidRPr="00CF39C8">
              <w:rPr>
                <w:rFonts w:eastAsia="Times New Roman"/>
              </w:rPr>
              <w:t xml:space="preserve">support </w:t>
            </w:r>
            <w:r w:rsidR="00085B04" w:rsidRPr="00CF39C8">
              <w:rPr>
                <w:rFonts w:eastAsia="Times New Roman"/>
              </w:rPr>
              <w:t>for the department performing the role of regulator</w:t>
            </w:r>
            <w:r w:rsidR="003F251A" w:rsidRPr="00CF39C8">
              <w:rPr>
                <w:rFonts w:eastAsia="Times New Roman"/>
              </w:rPr>
              <w:t>.</w:t>
            </w:r>
          </w:p>
          <w:p w14:paraId="691623EC" w14:textId="77777777" w:rsidR="003F251A" w:rsidRPr="00CF39C8" w:rsidRDefault="003F251A" w:rsidP="001D57A5">
            <w:pPr>
              <w:spacing w:line="240" w:lineRule="auto"/>
              <w:rPr>
                <w:rFonts w:eastAsia="Times New Roman"/>
              </w:rPr>
            </w:pPr>
          </w:p>
          <w:p w14:paraId="116CFC83" w14:textId="77777777" w:rsidR="003F251A" w:rsidRPr="00CF39C8" w:rsidRDefault="00FB3468" w:rsidP="001D57A5">
            <w:pPr>
              <w:spacing w:line="240" w:lineRule="auto"/>
            </w:pPr>
            <w:r w:rsidRPr="00CF39C8">
              <w:rPr>
                <w:rFonts w:eastAsia="Times New Roman"/>
              </w:rPr>
              <w:t>Manufacturers made a</w:t>
            </w:r>
            <w:r w:rsidR="003F251A" w:rsidRPr="00CF39C8">
              <w:rPr>
                <w:rFonts w:eastAsia="Times New Roman"/>
              </w:rPr>
              <w:t xml:space="preserve">dditional suggestions include revising vehicle categories, </w:t>
            </w:r>
            <w:r w:rsidRPr="00CF39C8">
              <w:rPr>
                <w:rFonts w:eastAsia="Times New Roman"/>
              </w:rPr>
              <w:t>introducing additional</w:t>
            </w:r>
            <w:r w:rsidR="003F251A" w:rsidRPr="00CF39C8">
              <w:rPr>
                <w:rFonts w:eastAsia="Times New Roman"/>
              </w:rPr>
              <w:t xml:space="preserve"> technology incentives, credit </w:t>
            </w:r>
            <w:r w:rsidR="00585FB4" w:rsidRPr="00CF39C8">
              <w:rPr>
                <w:rFonts w:eastAsia="Times New Roman"/>
              </w:rPr>
              <w:t xml:space="preserve">settings and volume, as well as </w:t>
            </w:r>
            <w:r w:rsidRPr="00CF39C8">
              <w:rPr>
                <w:rFonts w:eastAsia="Times New Roman"/>
              </w:rPr>
              <w:t>greater G</w:t>
            </w:r>
            <w:r w:rsidR="003F251A" w:rsidRPr="00CF39C8">
              <w:rPr>
                <w:rFonts w:eastAsia="Times New Roman"/>
              </w:rPr>
              <w:t>overnment support for charging infrastructur</w:t>
            </w:r>
            <w:r w:rsidRPr="00CF39C8">
              <w:rPr>
                <w:rFonts w:eastAsia="Times New Roman"/>
              </w:rPr>
              <w:t>e and subsidies for consumers</w:t>
            </w:r>
            <w:r w:rsidR="003F251A" w:rsidRPr="00CF39C8">
              <w:rPr>
                <w:rFonts w:eastAsia="Times New Roman"/>
              </w:rPr>
              <w:t xml:space="preserve">. </w:t>
            </w:r>
          </w:p>
        </w:tc>
      </w:tr>
      <w:tr w:rsidR="003F251A" w:rsidRPr="00CF39C8" w14:paraId="68758B9E" w14:textId="77777777" w:rsidTr="00075BA1">
        <w:tc>
          <w:tcPr>
            <w:tcW w:w="1980" w:type="dxa"/>
            <w:shd w:val="clear" w:color="auto" w:fill="9BC7CE" w:themeFill="accent5" w:themeFillTint="99"/>
          </w:tcPr>
          <w:p w14:paraId="6E5454F4" w14:textId="77777777" w:rsidR="003F251A" w:rsidRPr="00CF39C8" w:rsidRDefault="003F251A" w:rsidP="001D57A5">
            <w:pPr>
              <w:rPr>
                <w:b/>
              </w:rPr>
            </w:pPr>
            <w:r w:rsidRPr="00CF39C8">
              <w:rPr>
                <w:b/>
              </w:rPr>
              <w:t>Automotive &amp; Dealers</w:t>
            </w:r>
          </w:p>
        </w:tc>
        <w:tc>
          <w:tcPr>
            <w:tcW w:w="8080" w:type="dxa"/>
          </w:tcPr>
          <w:p w14:paraId="344C0230" w14:textId="77777777" w:rsidR="003F251A" w:rsidRPr="00CF39C8" w:rsidRDefault="003F251A" w:rsidP="001D57A5">
            <w:pPr>
              <w:spacing w:line="240" w:lineRule="auto"/>
              <w:rPr>
                <w:rFonts w:eastAsia="Times New Roman"/>
              </w:rPr>
            </w:pPr>
            <w:r w:rsidRPr="00DD57D8">
              <w:rPr>
                <w:rFonts w:eastAsia="Times New Roman"/>
              </w:rPr>
              <w:t xml:space="preserve">Dealerships and </w:t>
            </w:r>
            <w:r w:rsidR="00072051" w:rsidRPr="00DD57D8">
              <w:rPr>
                <w:rFonts w:eastAsia="Times New Roman"/>
              </w:rPr>
              <w:t>representative organisations</w:t>
            </w:r>
            <w:r w:rsidRPr="00CF39C8">
              <w:rPr>
                <w:rFonts w:eastAsia="Times New Roman"/>
              </w:rPr>
              <w:t xml:space="preserve"> </w:t>
            </w:r>
            <w:r w:rsidR="00FB3468" w:rsidRPr="00CF39C8">
              <w:rPr>
                <w:rFonts w:eastAsia="Times New Roman"/>
              </w:rPr>
              <w:t>regarded</w:t>
            </w:r>
            <w:r w:rsidRPr="00CF39C8" w:rsidDel="0078419B">
              <w:rPr>
                <w:rFonts w:eastAsia="Times New Roman"/>
              </w:rPr>
              <w:t xml:space="preserve"> </w:t>
            </w:r>
            <w:r w:rsidRPr="00CF39C8">
              <w:rPr>
                <w:rFonts w:eastAsia="Times New Roman"/>
              </w:rPr>
              <w:t xml:space="preserve">options B and C as significantly detrimental to </w:t>
            </w:r>
            <w:r w:rsidR="00DD57D8">
              <w:rPr>
                <w:rFonts w:eastAsia="Times New Roman"/>
              </w:rPr>
              <w:t xml:space="preserve">dealerships, </w:t>
            </w:r>
            <w:r w:rsidR="00FB3468" w:rsidRPr="00CF39C8">
              <w:rPr>
                <w:rFonts w:eastAsia="Times New Roman"/>
              </w:rPr>
              <w:t>particularly</w:t>
            </w:r>
            <w:r w:rsidRPr="00CF39C8">
              <w:rPr>
                <w:rFonts w:eastAsia="Times New Roman"/>
              </w:rPr>
              <w:t xml:space="preserve"> </w:t>
            </w:r>
            <w:r w:rsidR="00DD57D8">
              <w:rPr>
                <w:rFonts w:eastAsia="Times New Roman"/>
              </w:rPr>
              <w:t xml:space="preserve">those who primarily sell </w:t>
            </w:r>
            <w:r w:rsidRPr="00CF39C8">
              <w:rPr>
                <w:rFonts w:eastAsia="Times New Roman"/>
              </w:rPr>
              <w:t xml:space="preserve">light commercial vehicles (LCVs). </w:t>
            </w:r>
            <w:r w:rsidR="00DD57D8">
              <w:rPr>
                <w:rFonts w:eastAsia="Times New Roman"/>
              </w:rPr>
              <w:t>Their feedback in summary was:</w:t>
            </w:r>
          </w:p>
          <w:p w14:paraId="62FCB47E" w14:textId="77777777" w:rsidR="00D43CA0" w:rsidRPr="00CF39C8" w:rsidRDefault="00D43CA0" w:rsidP="009C0186">
            <w:pPr>
              <w:spacing w:line="240" w:lineRule="auto"/>
              <w:rPr>
                <w:rFonts w:eastAsia="Times New Roman"/>
              </w:rPr>
            </w:pPr>
          </w:p>
          <w:p w14:paraId="13A52370" w14:textId="77777777" w:rsidR="003F251A" w:rsidRPr="00CF39C8" w:rsidRDefault="00D43CA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C</w:t>
            </w:r>
            <w:r w:rsidR="003F251A" w:rsidRPr="00CF39C8">
              <w:rPr>
                <w:rFonts w:eastAsia="Times New Roman"/>
              </w:rPr>
              <w:t>hanges to vehicle categories</w:t>
            </w:r>
            <w:r w:rsidR="00FB3468" w:rsidRPr="00CF39C8">
              <w:rPr>
                <w:rFonts w:eastAsia="Times New Roman"/>
              </w:rPr>
              <w:t xml:space="preserve">: </w:t>
            </w:r>
            <w:r w:rsidR="003F251A" w:rsidRPr="00CF39C8">
              <w:rPr>
                <w:rFonts w:eastAsia="Times New Roman"/>
              </w:rPr>
              <w:t xml:space="preserve">MA category vehicles </w:t>
            </w:r>
            <w:r w:rsidR="00FB3468" w:rsidRPr="00CF39C8">
              <w:rPr>
                <w:rFonts w:eastAsia="Times New Roman"/>
              </w:rPr>
              <w:t>(</w:t>
            </w:r>
            <w:r w:rsidR="00A71CE0" w:rsidRPr="00CF39C8">
              <w:rPr>
                <w:rFonts w:eastAsia="Times New Roman"/>
              </w:rPr>
              <w:t>passenger vehicles</w:t>
            </w:r>
            <w:r w:rsidR="00FB3468" w:rsidRPr="00CF39C8">
              <w:rPr>
                <w:rFonts w:eastAsia="Times New Roman"/>
              </w:rPr>
              <w:t>) should be treated as passenger vehicles (PV)</w:t>
            </w:r>
            <w:r w:rsidR="003F251A" w:rsidRPr="00CF39C8">
              <w:rPr>
                <w:rFonts w:eastAsia="Times New Roman"/>
              </w:rPr>
              <w:t xml:space="preserve"> and MC </w:t>
            </w:r>
            <w:r w:rsidR="00FB3468" w:rsidRPr="00CF39C8">
              <w:rPr>
                <w:rFonts w:eastAsia="Times New Roman"/>
              </w:rPr>
              <w:t>(</w:t>
            </w:r>
            <w:r w:rsidR="00A71CE0" w:rsidRPr="00CF39C8">
              <w:rPr>
                <w:rFonts w:eastAsia="Times New Roman"/>
              </w:rPr>
              <w:t>o</w:t>
            </w:r>
            <w:r w:rsidR="00A71CE0" w:rsidRPr="00CF39C8">
              <w:rPr>
                <w:color w:val="000000" w:themeColor="text1"/>
              </w:rPr>
              <w:t>ff-road passenger vehicles</w:t>
            </w:r>
            <w:r w:rsidR="00FB3468" w:rsidRPr="00CF39C8">
              <w:rPr>
                <w:rFonts w:eastAsia="Times New Roman"/>
              </w:rPr>
              <w:t xml:space="preserve">) </w:t>
            </w:r>
            <w:r w:rsidR="003F251A" w:rsidRPr="00CF39C8">
              <w:rPr>
                <w:rFonts w:eastAsia="Times New Roman"/>
              </w:rPr>
              <w:t>and NA</w:t>
            </w:r>
            <w:r w:rsidR="00FB3468" w:rsidRPr="00CF39C8">
              <w:rPr>
                <w:rFonts w:eastAsia="Times New Roman"/>
              </w:rPr>
              <w:t xml:space="preserve"> (</w:t>
            </w:r>
            <w:r w:rsidR="00A71CE0" w:rsidRPr="00CF39C8">
              <w:rPr>
                <w:color w:val="000000" w:themeColor="text1"/>
              </w:rPr>
              <w:t>light goods vehicles</w:t>
            </w:r>
            <w:r w:rsidR="00FB3468" w:rsidRPr="00CF39C8">
              <w:rPr>
                <w:rFonts w:eastAsia="Times New Roman"/>
              </w:rPr>
              <w:t>)</w:t>
            </w:r>
            <w:r w:rsidR="003F251A" w:rsidRPr="00CF39C8">
              <w:rPr>
                <w:rFonts w:eastAsia="Times New Roman"/>
              </w:rPr>
              <w:t xml:space="preserve"> </w:t>
            </w:r>
            <w:r w:rsidR="00FB3468" w:rsidRPr="00CF39C8">
              <w:rPr>
                <w:rFonts w:eastAsia="Times New Roman"/>
              </w:rPr>
              <w:t>category</w:t>
            </w:r>
            <w:r w:rsidR="003F251A" w:rsidRPr="00CF39C8">
              <w:rPr>
                <w:rFonts w:eastAsia="Times New Roman"/>
              </w:rPr>
              <w:t xml:space="preserve"> vehicles </w:t>
            </w:r>
            <w:r w:rsidR="00FB3468" w:rsidRPr="00CF39C8">
              <w:rPr>
                <w:rFonts w:eastAsia="Times New Roman"/>
              </w:rPr>
              <w:t xml:space="preserve">should be treated as </w:t>
            </w:r>
            <w:r w:rsidR="003F251A" w:rsidRPr="00CF39C8">
              <w:rPr>
                <w:rFonts w:eastAsia="Times New Roman"/>
              </w:rPr>
              <w:t>LCV</w:t>
            </w:r>
            <w:r w:rsidR="00FB3468" w:rsidRPr="00CF39C8">
              <w:rPr>
                <w:rFonts w:eastAsia="Times New Roman"/>
              </w:rPr>
              <w:t>s</w:t>
            </w:r>
            <w:r w:rsidR="003F251A" w:rsidRPr="00CF39C8">
              <w:rPr>
                <w:rFonts w:eastAsia="Times New Roman"/>
              </w:rPr>
              <w:t xml:space="preserve">.  </w:t>
            </w:r>
          </w:p>
          <w:p w14:paraId="414D351D"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Early credit boosters: </w:t>
            </w:r>
            <w:r w:rsidR="00FB3468" w:rsidRPr="00CF39C8">
              <w:rPr>
                <w:rFonts w:eastAsia="Times New Roman"/>
              </w:rPr>
              <w:t>C</w:t>
            </w:r>
            <w:r w:rsidRPr="00CF39C8">
              <w:rPr>
                <w:rFonts w:eastAsia="Times New Roman"/>
              </w:rPr>
              <w:t>redit multipliers</w:t>
            </w:r>
            <w:r w:rsidR="00FB3468" w:rsidRPr="00CF39C8">
              <w:rPr>
                <w:rFonts w:eastAsia="Times New Roman"/>
              </w:rPr>
              <w:t xml:space="preserve"> should be introduced</w:t>
            </w:r>
            <w:r w:rsidRPr="00CF39C8">
              <w:rPr>
                <w:rFonts w:eastAsia="Times New Roman"/>
              </w:rPr>
              <w:t xml:space="preserve"> to incentivi</w:t>
            </w:r>
            <w:r w:rsidR="00FB3468" w:rsidRPr="00CF39C8">
              <w:rPr>
                <w:rFonts w:eastAsia="Times New Roman"/>
              </w:rPr>
              <w:t>s</w:t>
            </w:r>
            <w:r w:rsidRPr="00CF39C8">
              <w:rPr>
                <w:rFonts w:eastAsia="Times New Roman"/>
              </w:rPr>
              <w:t>e early compliance in 2025, 2026, and 202</w:t>
            </w:r>
            <w:r w:rsidR="00912242" w:rsidRPr="00CF39C8">
              <w:rPr>
                <w:rFonts w:eastAsia="Times New Roman"/>
              </w:rPr>
              <w:t>7.</w:t>
            </w:r>
          </w:p>
          <w:p w14:paraId="49FB6091"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Target adjustments: Align PV and LCV targets with the </w:t>
            </w:r>
            <w:r w:rsidR="00314CFF" w:rsidRPr="00CF39C8">
              <w:rPr>
                <w:rFonts w:eastAsia="Times New Roman"/>
              </w:rPr>
              <w:t>current US targets.</w:t>
            </w:r>
          </w:p>
          <w:p w14:paraId="4BB47C02"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LCV manufacturers </w:t>
            </w:r>
            <w:r w:rsidR="003307F0" w:rsidRPr="00CF39C8">
              <w:rPr>
                <w:rFonts w:eastAsia="Times New Roman"/>
              </w:rPr>
              <w:t>should have more lenient</w:t>
            </w:r>
            <w:r w:rsidRPr="00CF39C8">
              <w:rPr>
                <w:rFonts w:eastAsia="Times New Roman"/>
              </w:rPr>
              <w:t xml:space="preserve"> targets.</w:t>
            </w:r>
          </w:p>
          <w:p w14:paraId="660630B1"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Regular reviews: Conduct target reviews every two years.</w:t>
            </w:r>
          </w:p>
          <w:p w14:paraId="1686D995"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Credit pooling: Allow manufacturers to pool credits for up to five years, similar to the US system.</w:t>
            </w:r>
          </w:p>
          <w:p w14:paraId="4E55F674"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Exemptions</w:t>
            </w:r>
            <w:r w:rsidR="00D43CA0" w:rsidRPr="00CF39C8">
              <w:rPr>
                <w:rFonts w:eastAsia="Times New Roman"/>
              </w:rPr>
              <w:t>:</w:t>
            </w:r>
            <w:r w:rsidRPr="00CF39C8">
              <w:rPr>
                <w:rFonts w:eastAsia="Times New Roman"/>
              </w:rPr>
              <w:t xml:space="preserve"> Provide exemptions for rural and regional dealerships</w:t>
            </w:r>
            <w:r w:rsidR="00D43CA0" w:rsidRPr="00CF39C8">
              <w:rPr>
                <w:rFonts w:eastAsia="Times New Roman"/>
              </w:rPr>
              <w:t>, e</w:t>
            </w:r>
            <w:r w:rsidRPr="00CF39C8">
              <w:rPr>
                <w:rFonts w:eastAsia="Times New Roman"/>
              </w:rPr>
              <w:t>xempt vehicles supplied to essential services</w:t>
            </w:r>
            <w:r w:rsidR="00D43CA0" w:rsidRPr="00CF39C8">
              <w:rPr>
                <w:rFonts w:eastAsia="Times New Roman"/>
              </w:rPr>
              <w:t xml:space="preserve"> and e</w:t>
            </w:r>
            <w:r w:rsidRPr="00CF39C8">
              <w:rPr>
                <w:rFonts w:eastAsia="Times New Roman"/>
              </w:rPr>
              <w:t xml:space="preserve">xempt low-volume manufacturers selling less than 2,000 </w:t>
            </w:r>
            <w:r w:rsidR="003307F0" w:rsidRPr="00CF39C8">
              <w:rPr>
                <w:rFonts w:eastAsia="Times New Roman"/>
              </w:rPr>
              <w:t>light vehicles</w:t>
            </w:r>
            <w:r w:rsidRPr="00CF39C8">
              <w:rPr>
                <w:rFonts w:eastAsia="Times New Roman"/>
              </w:rPr>
              <w:t xml:space="preserve"> annually.</w:t>
            </w:r>
          </w:p>
          <w:p w14:paraId="52DCAB5D" w14:textId="77777777" w:rsidR="003F251A"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Financial support</w:t>
            </w:r>
            <w:r w:rsidR="003F251A" w:rsidRPr="00CF39C8">
              <w:rPr>
                <w:rFonts w:eastAsia="Times New Roman"/>
              </w:rPr>
              <w:t xml:space="preserve"> for impacted businesses: Develop a mechanism to compensate organi</w:t>
            </w:r>
            <w:r w:rsidRPr="00CF39C8">
              <w:rPr>
                <w:rFonts w:eastAsia="Times New Roman"/>
              </w:rPr>
              <w:t>s</w:t>
            </w:r>
            <w:r w:rsidR="003F251A" w:rsidRPr="00CF39C8">
              <w:rPr>
                <w:rFonts w:eastAsia="Times New Roman"/>
              </w:rPr>
              <w:t>ations significantly affected by the NVES.</w:t>
            </w:r>
          </w:p>
          <w:p w14:paraId="76A6E5D9" w14:textId="77777777" w:rsidR="003307F0"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The timeline for introduction is not realistic.</w:t>
            </w:r>
          </w:p>
          <w:p w14:paraId="7BCCB894" w14:textId="77777777" w:rsidR="003307F0"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The introduction of a NVES could lead to older, less safe cars on the road.</w:t>
            </w:r>
          </w:p>
          <w:p w14:paraId="77D2049E" w14:textId="77777777" w:rsidR="003F251A" w:rsidRPr="00CF39C8" w:rsidRDefault="003F251A" w:rsidP="001D57A5">
            <w:pPr>
              <w:spacing w:line="240" w:lineRule="auto"/>
              <w:rPr>
                <w:rFonts w:eastAsia="Times New Roman"/>
              </w:rPr>
            </w:pPr>
          </w:p>
          <w:p w14:paraId="4F080F2B" w14:textId="77777777" w:rsidR="003F251A" w:rsidRPr="00CF39C8" w:rsidRDefault="003307F0" w:rsidP="001D57A5">
            <w:pPr>
              <w:spacing w:line="240" w:lineRule="auto"/>
              <w:rPr>
                <w:rFonts w:eastAsia="Times New Roman"/>
              </w:rPr>
            </w:pPr>
            <w:r w:rsidRPr="00CF39C8">
              <w:rPr>
                <w:rFonts w:eastAsia="Times New Roman"/>
              </w:rPr>
              <w:t>The</w:t>
            </w:r>
            <w:r w:rsidR="00D43CA0" w:rsidRPr="00CF39C8">
              <w:rPr>
                <w:rFonts w:eastAsia="Times New Roman"/>
              </w:rPr>
              <w:t xml:space="preserve"> </w:t>
            </w:r>
            <w:r w:rsidR="00D43CA0" w:rsidRPr="00DD57D8">
              <w:rPr>
                <w:rFonts w:eastAsia="Times New Roman"/>
              </w:rPr>
              <w:t>f</w:t>
            </w:r>
            <w:r w:rsidR="003F251A" w:rsidRPr="00DD57D8">
              <w:rPr>
                <w:rFonts w:eastAsia="Times New Roman"/>
              </w:rPr>
              <w:t>leet management sector</w:t>
            </w:r>
            <w:r w:rsidR="00D43CA0" w:rsidRPr="00CF39C8">
              <w:rPr>
                <w:rFonts w:eastAsia="Times New Roman"/>
              </w:rPr>
              <w:t xml:space="preserve"> s</w:t>
            </w:r>
            <w:r w:rsidR="003F251A" w:rsidRPr="00CF39C8">
              <w:rPr>
                <w:rFonts w:eastAsia="Times New Roman"/>
              </w:rPr>
              <w:t>upport</w:t>
            </w:r>
            <w:r w:rsidRPr="00CF39C8">
              <w:rPr>
                <w:rFonts w:eastAsia="Times New Roman"/>
              </w:rPr>
              <w:t>ed</w:t>
            </w:r>
            <w:r w:rsidR="003F251A" w:rsidRPr="00CF39C8">
              <w:rPr>
                <w:rFonts w:eastAsia="Times New Roman"/>
              </w:rPr>
              <w:t xml:space="preserve"> </w:t>
            </w:r>
            <w:r w:rsidR="00C12BE2">
              <w:rPr>
                <w:rFonts w:eastAsia="Times New Roman"/>
              </w:rPr>
              <w:t>Option B</w:t>
            </w:r>
            <w:r w:rsidRPr="00CF39C8">
              <w:rPr>
                <w:rFonts w:eastAsia="Times New Roman"/>
              </w:rPr>
              <w:t xml:space="preserve">, noting that it </w:t>
            </w:r>
            <w:r w:rsidR="003F251A" w:rsidRPr="00CF39C8">
              <w:rPr>
                <w:rFonts w:eastAsia="Times New Roman"/>
              </w:rPr>
              <w:t xml:space="preserve">aligns with international </w:t>
            </w:r>
            <w:r w:rsidRPr="00CF39C8">
              <w:rPr>
                <w:rFonts w:eastAsia="Times New Roman"/>
              </w:rPr>
              <w:t>fuel efficiency approaches</w:t>
            </w:r>
            <w:r w:rsidR="003F251A" w:rsidRPr="00CF39C8">
              <w:rPr>
                <w:rFonts w:eastAsia="Times New Roman"/>
              </w:rPr>
              <w:t xml:space="preserve"> and reduces </w:t>
            </w:r>
            <w:r w:rsidRPr="00CF39C8">
              <w:rPr>
                <w:rFonts w:eastAsia="Times New Roman"/>
              </w:rPr>
              <w:t>CO</w:t>
            </w:r>
            <w:r w:rsidRPr="00CF39C8">
              <w:rPr>
                <w:rFonts w:eastAsia="Times New Roman"/>
                <w:vertAlign w:val="subscript"/>
              </w:rPr>
              <w:t>2</w:t>
            </w:r>
            <w:r w:rsidRPr="00CF39C8">
              <w:rPr>
                <w:rFonts w:eastAsia="Times New Roman"/>
              </w:rPr>
              <w:t xml:space="preserve"> </w:t>
            </w:r>
            <w:r w:rsidR="003F251A" w:rsidRPr="00CF39C8">
              <w:rPr>
                <w:rFonts w:eastAsia="Times New Roman"/>
              </w:rPr>
              <w:t xml:space="preserve">emissions. They </w:t>
            </w:r>
            <w:r w:rsidRPr="00CF39C8">
              <w:rPr>
                <w:rFonts w:eastAsia="Times New Roman"/>
              </w:rPr>
              <w:t xml:space="preserve">noted that </w:t>
            </w:r>
            <w:r w:rsidR="00DC48C3">
              <w:rPr>
                <w:rFonts w:eastAsia="Times New Roman"/>
              </w:rPr>
              <w:t>Option A</w:t>
            </w:r>
            <w:r w:rsidR="003F251A" w:rsidRPr="00CF39C8">
              <w:rPr>
                <w:rFonts w:eastAsia="Times New Roman"/>
              </w:rPr>
              <w:t xml:space="preserve"> </w:t>
            </w:r>
            <w:r w:rsidRPr="00CF39C8">
              <w:rPr>
                <w:rFonts w:eastAsia="Times New Roman"/>
              </w:rPr>
              <w:t xml:space="preserve">would offer </w:t>
            </w:r>
            <w:r w:rsidR="003F251A" w:rsidRPr="00CF39C8">
              <w:rPr>
                <w:rFonts w:eastAsia="Times New Roman"/>
              </w:rPr>
              <w:t>minimal progress.</w:t>
            </w:r>
          </w:p>
          <w:p w14:paraId="033AC283" w14:textId="77777777" w:rsidR="003F251A" w:rsidRPr="00CF39C8" w:rsidRDefault="003F251A" w:rsidP="001D57A5">
            <w:pPr>
              <w:spacing w:line="240" w:lineRule="auto"/>
              <w:rPr>
                <w:rFonts w:eastAsia="Times New Roman"/>
              </w:rPr>
            </w:pPr>
          </w:p>
          <w:p w14:paraId="0044BF8F" w14:textId="77777777" w:rsidR="003F251A" w:rsidRPr="00CF39C8" w:rsidRDefault="003307F0" w:rsidP="003307F0">
            <w:pPr>
              <w:spacing w:line="240" w:lineRule="auto"/>
              <w:rPr>
                <w:rFonts w:eastAsia="Times New Roman"/>
              </w:rPr>
            </w:pPr>
            <w:r w:rsidRPr="00CF39C8">
              <w:rPr>
                <w:rFonts w:eastAsia="Times New Roman"/>
              </w:rPr>
              <w:t xml:space="preserve">The </w:t>
            </w:r>
            <w:r w:rsidRPr="00DD57D8">
              <w:rPr>
                <w:rFonts w:eastAsia="Times New Roman"/>
              </w:rPr>
              <w:t>h</w:t>
            </w:r>
            <w:r w:rsidR="003F251A" w:rsidRPr="00DD57D8">
              <w:rPr>
                <w:rFonts w:eastAsia="Times New Roman"/>
              </w:rPr>
              <w:t>eavy vehicle industry</w:t>
            </w:r>
            <w:r w:rsidR="003F251A" w:rsidRPr="00CF39C8">
              <w:rPr>
                <w:rFonts w:eastAsia="Times New Roman"/>
              </w:rPr>
              <w:t> </w:t>
            </w:r>
            <w:r w:rsidRPr="00CF39C8">
              <w:rPr>
                <w:rFonts w:eastAsia="Times New Roman"/>
              </w:rPr>
              <w:t>s</w:t>
            </w:r>
            <w:r w:rsidR="003F251A" w:rsidRPr="00CF39C8">
              <w:rPr>
                <w:rFonts w:eastAsia="Times New Roman"/>
              </w:rPr>
              <w:t>upport</w:t>
            </w:r>
            <w:r w:rsidRPr="00CF39C8">
              <w:rPr>
                <w:rFonts w:eastAsia="Times New Roman"/>
              </w:rPr>
              <w:t>ed</w:t>
            </w:r>
            <w:r w:rsidR="003F251A" w:rsidRPr="00CF39C8">
              <w:rPr>
                <w:rFonts w:eastAsia="Times New Roman"/>
              </w:rPr>
              <w:t xml:space="preserve"> the exemption for heavy vehicles</w:t>
            </w:r>
            <w:r w:rsidRPr="00CF39C8">
              <w:rPr>
                <w:rFonts w:eastAsia="Times New Roman"/>
              </w:rPr>
              <w:t xml:space="preserve"> over 4.5 tonnes,</w:t>
            </w:r>
            <w:r w:rsidR="003F251A" w:rsidRPr="00CF39C8">
              <w:rPr>
                <w:rFonts w:eastAsia="Times New Roman"/>
              </w:rPr>
              <w:t xml:space="preserve"> </w:t>
            </w:r>
            <w:r w:rsidRPr="00CF39C8">
              <w:rPr>
                <w:rFonts w:eastAsia="Times New Roman"/>
              </w:rPr>
              <w:t>and expressed a view that some vehicles (such as light rigid trucks) between 3.5 and 4.5 tonnes should not be in scope</w:t>
            </w:r>
            <w:r w:rsidR="003F251A" w:rsidRPr="00CF39C8">
              <w:rPr>
                <w:rFonts w:eastAsia="Times New Roman"/>
              </w:rPr>
              <w:t>.</w:t>
            </w:r>
            <w:r w:rsidR="00D453A6" w:rsidRPr="00CF39C8">
              <w:rPr>
                <w:rFonts w:eastAsia="Times New Roman"/>
              </w:rPr>
              <w:t xml:space="preserve">  </w:t>
            </w:r>
          </w:p>
        </w:tc>
      </w:tr>
      <w:tr w:rsidR="003F251A" w:rsidRPr="00CF39C8" w14:paraId="0FED8C1D" w14:textId="77777777" w:rsidTr="00075BA1">
        <w:tc>
          <w:tcPr>
            <w:tcW w:w="1980" w:type="dxa"/>
            <w:shd w:val="clear" w:color="auto" w:fill="9BC7CE" w:themeFill="accent5" w:themeFillTint="99"/>
          </w:tcPr>
          <w:p w14:paraId="007A25DB" w14:textId="77777777" w:rsidR="003F251A" w:rsidRPr="00CF39C8" w:rsidRDefault="007F1E72" w:rsidP="001D57A5">
            <w:pPr>
              <w:rPr>
                <w:b/>
              </w:rPr>
            </w:pPr>
            <w:r w:rsidRPr="00CF39C8">
              <w:rPr>
                <w:b/>
              </w:rPr>
              <w:t>Environment</w:t>
            </w:r>
            <w:r w:rsidR="003F251A" w:rsidRPr="00CF39C8">
              <w:rPr>
                <w:b/>
              </w:rPr>
              <w:t xml:space="preserve"> Groups</w:t>
            </w:r>
          </w:p>
        </w:tc>
        <w:tc>
          <w:tcPr>
            <w:tcW w:w="8080" w:type="dxa"/>
          </w:tcPr>
          <w:p w14:paraId="690AF6A2" w14:textId="77777777" w:rsidR="00D43CA0" w:rsidRPr="00CF39C8" w:rsidRDefault="007F1E72" w:rsidP="00D43CA0">
            <w:pPr>
              <w:spacing w:line="240" w:lineRule="auto"/>
              <w:rPr>
                <w:rFonts w:eastAsia="Times New Roman"/>
              </w:rPr>
            </w:pPr>
            <w:r w:rsidRPr="00CF39C8">
              <w:rPr>
                <w:rFonts w:eastAsia="Times New Roman"/>
              </w:rPr>
              <w:t xml:space="preserve">This group expressed strong views that </w:t>
            </w:r>
            <w:r w:rsidR="00C12BE2">
              <w:rPr>
                <w:rFonts w:eastAsia="Times New Roman"/>
              </w:rPr>
              <w:t>Option C</w:t>
            </w:r>
            <w:r w:rsidR="003F251A" w:rsidRPr="00CF39C8">
              <w:rPr>
                <w:rFonts w:eastAsia="Times New Roman"/>
              </w:rPr>
              <w:t xml:space="preserve"> is the best choice for the NVES in Australia</w:t>
            </w:r>
            <w:r w:rsidR="00D43CA0" w:rsidRPr="00CF39C8">
              <w:rPr>
                <w:rFonts w:eastAsia="Times New Roman"/>
              </w:rPr>
              <w:t xml:space="preserve">. These groups viewed </w:t>
            </w:r>
            <w:r w:rsidR="00C12BE2">
              <w:rPr>
                <w:rFonts w:eastAsia="Times New Roman"/>
              </w:rPr>
              <w:t>Option B</w:t>
            </w:r>
            <w:r w:rsidR="00D43CA0" w:rsidRPr="00CF39C8">
              <w:rPr>
                <w:rFonts w:eastAsia="Times New Roman"/>
              </w:rPr>
              <w:t xml:space="preserve"> as a second preference to </w:t>
            </w:r>
            <w:r w:rsidR="00C12BE2">
              <w:rPr>
                <w:rFonts w:eastAsia="Times New Roman"/>
              </w:rPr>
              <w:t>Option C</w:t>
            </w:r>
            <w:r w:rsidR="00D43CA0" w:rsidRPr="00CF39C8">
              <w:rPr>
                <w:rFonts w:eastAsia="Times New Roman"/>
              </w:rPr>
              <w:t xml:space="preserve">. </w:t>
            </w:r>
          </w:p>
          <w:p w14:paraId="64A487E8" w14:textId="77777777" w:rsidR="003F251A" w:rsidRPr="00CF39C8" w:rsidRDefault="003F251A" w:rsidP="001D57A5">
            <w:pPr>
              <w:spacing w:line="240" w:lineRule="auto"/>
              <w:rPr>
                <w:rFonts w:eastAsia="Times New Roman"/>
              </w:rPr>
            </w:pPr>
          </w:p>
          <w:p w14:paraId="16FEB988" w14:textId="77777777" w:rsidR="003F251A" w:rsidRPr="00CF39C8" w:rsidRDefault="00C12BE2" w:rsidP="001D57A5">
            <w:pPr>
              <w:spacing w:line="240" w:lineRule="auto"/>
              <w:rPr>
                <w:rFonts w:eastAsia="Times New Roman"/>
              </w:rPr>
            </w:pPr>
            <w:r>
              <w:rPr>
                <w:rFonts w:eastAsia="Times New Roman"/>
              </w:rPr>
              <w:t>Option C</w:t>
            </w:r>
            <w:r w:rsidR="00D43CA0" w:rsidRPr="00CF39C8">
              <w:rPr>
                <w:rFonts w:eastAsia="Times New Roman"/>
              </w:rPr>
              <w:t xml:space="preserve"> was favoured among these groups for the following reasons: </w:t>
            </w:r>
          </w:p>
          <w:p w14:paraId="45205F9C" w14:textId="77777777" w:rsidR="00004356" w:rsidRPr="00CF39C8" w:rsidRDefault="00004356" w:rsidP="001D57A5">
            <w:pPr>
              <w:spacing w:line="240" w:lineRule="auto"/>
              <w:rPr>
                <w:rFonts w:eastAsia="Times New Roman"/>
              </w:rPr>
            </w:pPr>
          </w:p>
          <w:p w14:paraId="0600CF46"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 xml:space="preserve">Environmental </w:t>
            </w:r>
            <w:r w:rsidR="007F1E72" w:rsidRPr="00DD57D8">
              <w:rPr>
                <w:rFonts w:eastAsia="Times New Roman"/>
              </w:rPr>
              <w:t>b</w:t>
            </w:r>
            <w:r w:rsidRPr="00DD57D8">
              <w:rPr>
                <w:rFonts w:eastAsia="Times New Roman"/>
              </w:rPr>
              <w:t>enefits: </w:t>
            </w:r>
            <w:r w:rsidR="00C12BE2">
              <w:rPr>
                <w:rFonts w:eastAsia="Times New Roman"/>
              </w:rPr>
              <w:t>Option C</w:t>
            </w:r>
            <w:r w:rsidRPr="00DD57D8">
              <w:rPr>
                <w:rFonts w:eastAsia="Times New Roman"/>
              </w:rPr>
              <w:t xml:space="preserve"> has the strongest targets and delivers the most emissions reduction, which is </w:t>
            </w:r>
            <w:r w:rsidR="007F1E72" w:rsidRPr="00DD57D8">
              <w:rPr>
                <w:rFonts w:eastAsia="Times New Roman"/>
              </w:rPr>
              <w:t>critical to addressing</w:t>
            </w:r>
            <w:r w:rsidRPr="00DD57D8">
              <w:rPr>
                <w:rFonts w:eastAsia="Times New Roman"/>
              </w:rPr>
              <w:t xml:space="preserve"> climate change.</w:t>
            </w:r>
          </w:p>
          <w:p w14:paraId="681C5D9C"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Health Benefits: </w:t>
            </w:r>
            <w:r w:rsidR="00C12BE2">
              <w:rPr>
                <w:rFonts w:eastAsia="Times New Roman"/>
              </w:rPr>
              <w:t>Option C</w:t>
            </w:r>
            <w:r w:rsidRPr="00DD57D8">
              <w:rPr>
                <w:rFonts w:eastAsia="Times New Roman"/>
              </w:rPr>
              <w:t xml:space="preserve"> </w:t>
            </w:r>
            <w:r w:rsidR="007F1E72" w:rsidRPr="00DD57D8">
              <w:rPr>
                <w:rFonts w:eastAsia="Times New Roman"/>
              </w:rPr>
              <w:t xml:space="preserve">would result in </w:t>
            </w:r>
            <w:r w:rsidRPr="00DD57D8">
              <w:rPr>
                <w:rFonts w:eastAsia="Times New Roman"/>
              </w:rPr>
              <w:t>cleaner air</w:t>
            </w:r>
            <w:r w:rsidR="007F1E72" w:rsidRPr="00DD57D8">
              <w:rPr>
                <w:rFonts w:eastAsia="Times New Roman"/>
              </w:rPr>
              <w:t xml:space="preserve"> and </w:t>
            </w:r>
            <w:r w:rsidRPr="00DD57D8">
              <w:rPr>
                <w:rFonts w:eastAsia="Times New Roman"/>
              </w:rPr>
              <w:t>significant health benefits for Australians, especially for vulnerable groups like children and older adults.</w:t>
            </w:r>
          </w:p>
          <w:p w14:paraId="234017D2"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Cost Savings: </w:t>
            </w:r>
            <w:r w:rsidR="00C12BE2">
              <w:rPr>
                <w:rFonts w:eastAsia="Times New Roman"/>
              </w:rPr>
              <w:t>Option C</w:t>
            </w:r>
            <w:r w:rsidRPr="00DD57D8">
              <w:rPr>
                <w:rFonts w:eastAsia="Times New Roman"/>
              </w:rPr>
              <w:t xml:space="preserve"> </w:t>
            </w:r>
            <w:r w:rsidR="008F345B" w:rsidRPr="00DD57D8">
              <w:rPr>
                <w:rFonts w:eastAsia="Times New Roman"/>
              </w:rPr>
              <w:t>would offer</w:t>
            </w:r>
            <w:r w:rsidRPr="00DD57D8">
              <w:rPr>
                <w:rFonts w:eastAsia="Times New Roman"/>
              </w:rPr>
              <w:t xml:space="preserve"> the greatest cost savings for consumers in the long </w:t>
            </w:r>
            <w:r w:rsidR="008F345B" w:rsidRPr="00DD57D8">
              <w:rPr>
                <w:rFonts w:eastAsia="Times New Roman"/>
              </w:rPr>
              <w:t>term</w:t>
            </w:r>
            <w:r w:rsidRPr="00DD57D8">
              <w:rPr>
                <w:rFonts w:eastAsia="Times New Roman"/>
              </w:rPr>
              <w:t xml:space="preserve"> due to lower fuel consumption.</w:t>
            </w:r>
          </w:p>
          <w:p w14:paraId="6CDE8736"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Technological Innovation: </w:t>
            </w:r>
            <w:r w:rsidR="00C12BE2">
              <w:rPr>
                <w:rFonts w:eastAsia="Times New Roman"/>
              </w:rPr>
              <w:t>Option C</w:t>
            </w:r>
            <w:r w:rsidRPr="00DD57D8">
              <w:rPr>
                <w:rFonts w:eastAsia="Times New Roman"/>
              </w:rPr>
              <w:t>’s strong targets will make Australia a more attractive market for a wider range of low-emission vehicles.</w:t>
            </w:r>
          </w:p>
          <w:p w14:paraId="2FF61E1A" w14:textId="77777777" w:rsidR="003F251A" w:rsidRPr="00CF39C8" w:rsidRDefault="003F251A" w:rsidP="00DD57D8">
            <w:pPr>
              <w:pStyle w:val="ListParagraph"/>
              <w:numPr>
                <w:ilvl w:val="0"/>
                <w:numId w:val="56"/>
              </w:numPr>
              <w:spacing w:after="120" w:line="240" w:lineRule="auto"/>
              <w:ind w:left="714" w:hanging="357"/>
              <w:contextualSpacing w:val="0"/>
            </w:pPr>
            <w:r w:rsidRPr="00DD57D8">
              <w:rPr>
                <w:rFonts w:eastAsia="Times New Roman"/>
              </w:rPr>
              <w:t xml:space="preserve">Urgency: The climate crisis demands rapid action, and </w:t>
            </w:r>
            <w:r w:rsidR="00C12BE2">
              <w:rPr>
                <w:rFonts w:eastAsia="Times New Roman"/>
              </w:rPr>
              <w:t>Option C</w:t>
            </w:r>
            <w:r w:rsidRPr="00DD57D8">
              <w:rPr>
                <w:rFonts w:eastAsia="Times New Roman"/>
              </w:rPr>
              <w:t xml:space="preserve"> offers the fastest transition to a zero-emission fleet.</w:t>
            </w:r>
          </w:p>
        </w:tc>
      </w:tr>
      <w:tr w:rsidR="003F251A" w:rsidRPr="00CF39C8" w14:paraId="3EF86B79" w14:textId="77777777" w:rsidTr="00075BA1">
        <w:tc>
          <w:tcPr>
            <w:tcW w:w="1980" w:type="dxa"/>
            <w:shd w:val="clear" w:color="auto" w:fill="9BC7CE" w:themeFill="accent5" w:themeFillTint="99"/>
          </w:tcPr>
          <w:p w14:paraId="2724DEA6" w14:textId="77777777" w:rsidR="003F251A" w:rsidRPr="00CF39C8" w:rsidRDefault="003F251A" w:rsidP="001D57A5">
            <w:pPr>
              <w:rPr>
                <w:b/>
              </w:rPr>
            </w:pPr>
            <w:r w:rsidRPr="00CF39C8">
              <w:rPr>
                <w:b/>
              </w:rPr>
              <w:t>Carbon Trading</w:t>
            </w:r>
          </w:p>
        </w:tc>
        <w:tc>
          <w:tcPr>
            <w:tcW w:w="8080" w:type="dxa"/>
          </w:tcPr>
          <w:p w14:paraId="4C7E3CED" w14:textId="77777777" w:rsidR="008F345B" w:rsidRPr="00CF39C8" w:rsidRDefault="003F251A" w:rsidP="001D57A5">
            <w:pPr>
              <w:spacing w:line="240" w:lineRule="auto"/>
              <w:rPr>
                <w:rFonts w:eastAsia="Times New Roman"/>
              </w:rPr>
            </w:pPr>
            <w:r w:rsidRPr="00CF39C8">
              <w:rPr>
                <w:rFonts w:eastAsia="Times New Roman"/>
              </w:rPr>
              <w:t xml:space="preserve">Stakeholders in this sector support the </w:t>
            </w:r>
            <w:r w:rsidR="008F345B" w:rsidRPr="00CF39C8">
              <w:rPr>
                <w:rFonts w:eastAsia="Times New Roman"/>
              </w:rPr>
              <w:t>introduction of</w:t>
            </w:r>
            <w:r w:rsidRPr="00CF39C8">
              <w:rPr>
                <w:rFonts w:eastAsia="Times New Roman"/>
              </w:rPr>
              <w:t xml:space="preserve"> a NVES to reduce transport emissions.</w:t>
            </w:r>
            <w:r w:rsidR="008F345B" w:rsidRPr="00CF39C8">
              <w:rPr>
                <w:rFonts w:eastAsia="Times New Roman"/>
              </w:rPr>
              <w:t xml:space="preserve"> </w:t>
            </w:r>
            <w:r w:rsidR="000F1BDF" w:rsidRPr="00CF39C8">
              <w:rPr>
                <w:rFonts w:eastAsia="Times New Roman"/>
              </w:rPr>
              <w:t>T</w:t>
            </w:r>
            <w:r w:rsidRPr="00CF39C8">
              <w:rPr>
                <w:rFonts w:eastAsia="Times New Roman"/>
              </w:rPr>
              <w:t>hey recommend</w:t>
            </w:r>
            <w:r w:rsidR="008F345B" w:rsidRPr="00CF39C8">
              <w:rPr>
                <w:rFonts w:eastAsia="Times New Roman"/>
              </w:rPr>
              <w:t>ed:</w:t>
            </w:r>
          </w:p>
          <w:p w14:paraId="21F439E6" w14:textId="77777777" w:rsidR="008F345B" w:rsidRPr="00CF39C8" w:rsidRDefault="008F345B" w:rsidP="001D57A5">
            <w:pPr>
              <w:spacing w:line="240" w:lineRule="auto"/>
              <w:rPr>
                <w:rFonts w:eastAsia="Times New Roman"/>
              </w:rPr>
            </w:pPr>
          </w:p>
          <w:p w14:paraId="315DF250"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dopting </w:t>
            </w:r>
            <w:r w:rsidR="00C12BE2">
              <w:rPr>
                <w:rFonts w:eastAsia="Times New Roman"/>
              </w:rPr>
              <w:t>Option C</w:t>
            </w:r>
            <w:r w:rsidRPr="00CF39C8">
              <w:rPr>
                <w:rFonts w:eastAsia="Times New Roman"/>
              </w:rPr>
              <w:t xml:space="preserve"> in order to </w:t>
            </w:r>
            <w:r w:rsidR="003F251A" w:rsidRPr="00CF39C8">
              <w:rPr>
                <w:rFonts w:eastAsia="Times New Roman"/>
              </w:rPr>
              <w:t>achieve the fastest emissions reduction and align with international standards.</w:t>
            </w:r>
          </w:p>
          <w:p w14:paraId="7C25C505"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An </w:t>
            </w:r>
            <w:r w:rsidR="008F345B" w:rsidRPr="00CF39C8">
              <w:rPr>
                <w:rFonts w:eastAsia="Times New Roman"/>
              </w:rPr>
              <w:t>emissions standard</w:t>
            </w:r>
            <w:r w:rsidRPr="00CF39C8">
              <w:rPr>
                <w:rFonts w:eastAsia="Times New Roman"/>
              </w:rPr>
              <w:t xml:space="preserve"> for used cars </w:t>
            </w:r>
            <w:r w:rsidR="008F345B" w:rsidRPr="00CF39C8">
              <w:rPr>
                <w:rFonts w:eastAsia="Times New Roman"/>
              </w:rPr>
              <w:t xml:space="preserve">was </w:t>
            </w:r>
            <w:r w:rsidRPr="00CF39C8">
              <w:rPr>
                <w:rFonts w:eastAsia="Times New Roman"/>
              </w:rPr>
              <w:t xml:space="preserve">suggested for </w:t>
            </w:r>
            <w:r w:rsidR="008F345B" w:rsidRPr="00CF39C8">
              <w:rPr>
                <w:rFonts w:eastAsia="Times New Roman"/>
              </w:rPr>
              <w:t>greater transport equality</w:t>
            </w:r>
            <w:r w:rsidRPr="00CF39C8">
              <w:rPr>
                <w:rFonts w:eastAsia="Times New Roman"/>
              </w:rPr>
              <w:t>.</w:t>
            </w:r>
            <w:r w:rsidR="00D43CA0" w:rsidRPr="00CF39C8">
              <w:rPr>
                <w:rFonts w:eastAsia="Times New Roman"/>
              </w:rPr>
              <w:t xml:space="preserve"> </w:t>
            </w:r>
          </w:p>
          <w:p w14:paraId="5004487A"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dditional policies </w:t>
            </w:r>
            <w:r w:rsidRPr="00CF39C8">
              <w:rPr>
                <w:rFonts w:eastAsia="Times New Roman"/>
              </w:rPr>
              <w:t xml:space="preserve">should be introduced </w:t>
            </w:r>
            <w:r w:rsidR="003F251A" w:rsidRPr="00CF39C8">
              <w:rPr>
                <w:rFonts w:eastAsia="Times New Roman"/>
              </w:rPr>
              <w:t>to address emissions from other transport sectors like aviation and heavy vehicles.</w:t>
            </w:r>
          </w:p>
          <w:p w14:paraId="4F5D4D4E"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 coordinated approach</w:t>
            </w:r>
            <w:r w:rsidRPr="00CF39C8">
              <w:rPr>
                <w:rFonts w:eastAsia="Times New Roman"/>
              </w:rPr>
              <w:t xml:space="preserve"> </w:t>
            </w:r>
            <w:r w:rsidR="003F251A" w:rsidRPr="00CF39C8">
              <w:rPr>
                <w:rFonts w:eastAsia="Times New Roman"/>
              </w:rPr>
              <w:t>that considers the electricity sector and encourages emissions avoidance behaviours</w:t>
            </w:r>
            <w:r w:rsidRPr="00CF39C8">
              <w:rPr>
                <w:rFonts w:eastAsia="Times New Roman"/>
              </w:rPr>
              <w:t xml:space="preserve"> should be considered</w:t>
            </w:r>
            <w:r w:rsidR="003F251A" w:rsidRPr="00CF39C8">
              <w:rPr>
                <w:rFonts w:eastAsia="Times New Roman"/>
              </w:rPr>
              <w:t>.</w:t>
            </w:r>
            <w:r w:rsidR="00D43CA0" w:rsidRPr="00CF39C8">
              <w:rPr>
                <w:rFonts w:eastAsia="Times New Roman"/>
              </w:rPr>
              <w:t xml:space="preserve"> </w:t>
            </w:r>
          </w:p>
          <w:p w14:paraId="496B9322" w14:textId="77777777" w:rsidR="003F251A" w:rsidRPr="00CF39C8" w:rsidRDefault="003F251A" w:rsidP="00291C48">
            <w:pPr>
              <w:pStyle w:val="ListParagraph"/>
              <w:numPr>
                <w:ilvl w:val="0"/>
                <w:numId w:val="56"/>
              </w:numPr>
              <w:spacing w:after="120" w:line="240" w:lineRule="auto"/>
              <w:ind w:left="714" w:hanging="357"/>
              <w:contextualSpacing w:val="0"/>
            </w:pPr>
            <w:r w:rsidRPr="00CF39C8">
              <w:rPr>
                <w:rFonts w:eastAsia="Times New Roman"/>
              </w:rPr>
              <w:t>A long-term plan for distance-based road user pricing.</w:t>
            </w:r>
          </w:p>
        </w:tc>
      </w:tr>
      <w:tr w:rsidR="003F251A" w:rsidRPr="00CF39C8" w14:paraId="0AD4B309" w14:textId="77777777" w:rsidTr="00075BA1">
        <w:tc>
          <w:tcPr>
            <w:tcW w:w="1980" w:type="dxa"/>
            <w:shd w:val="clear" w:color="auto" w:fill="9BC7CE" w:themeFill="accent5" w:themeFillTint="99"/>
          </w:tcPr>
          <w:p w14:paraId="5B3FDEEA" w14:textId="77777777" w:rsidR="003F251A" w:rsidRPr="00CF39C8" w:rsidRDefault="003F251A" w:rsidP="001D57A5">
            <w:pPr>
              <w:rPr>
                <w:b/>
              </w:rPr>
            </w:pPr>
            <w:r w:rsidRPr="00CF39C8">
              <w:rPr>
                <w:b/>
              </w:rPr>
              <w:t>Industry</w:t>
            </w:r>
          </w:p>
        </w:tc>
        <w:tc>
          <w:tcPr>
            <w:tcW w:w="8080" w:type="dxa"/>
          </w:tcPr>
          <w:p w14:paraId="3C57AEAB" w14:textId="77777777" w:rsidR="003F251A" w:rsidRPr="00CF39C8" w:rsidRDefault="003F251A" w:rsidP="008F345B">
            <w:pPr>
              <w:spacing w:line="240" w:lineRule="auto"/>
              <w:rPr>
                <w:rFonts w:eastAsia="Times New Roman"/>
              </w:rPr>
            </w:pPr>
            <w:r w:rsidRPr="00CF39C8">
              <w:rPr>
                <w:rFonts w:eastAsia="Times New Roman"/>
              </w:rPr>
              <w:t xml:space="preserve">This </w:t>
            </w:r>
            <w:r w:rsidR="00D453A6" w:rsidRPr="00CF39C8">
              <w:rPr>
                <w:rFonts w:eastAsia="Times New Roman"/>
              </w:rPr>
              <w:t xml:space="preserve">varied </w:t>
            </w:r>
            <w:r w:rsidRPr="00CF39C8">
              <w:rPr>
                <w:rFonts w:eastAsia="Times New Roman"/>
              </w:rPr>
              <w:t xml:space="preserve">group </w:t>
            </w:r>
            <w:r w:rsidR="008F345B" w:rsidRPr="00CF39C8">
              <w:rPr>
                <w:rFonts w:eastAsia="Times New Roman"/>
              </w:rPr>
              <w:t xml:space="preserve">includes </w:t>
            </w:r>
            <w:r w:rsidRPr="00CF39C8">
              <w:rPr>
                <w:rFonts w:eastAsia="Times New Roman"/>
              </w:rPr>
              <w:t xml:space="preserve">organisations </w:t>
            </w:r>
            <w:r w:rsidR="008F345B" w:rsidRPr="00CF39C8">
              <w:rPr>
                <w:rFonts w:eastAsia="Times New Roman"/>
              </w:rPr>
              <w:t>that interact with the</w:t>
            </w:r>
            <w:r w:rsidRPr="00CF39C8">
              <w:rPr>
                <w:rFonts w:eastAsia="Times New Roman"/>
              </w:rPr>
              <w:t xml:space="preserve"> automotive</w:t>
            </w:r>
            <w:r w:rsidR="00956076" w:rsidRPr="00CF39C8">
              <w:rPr>
                <w:rFonts w:eastAsia="Times New Roman"/>
              </w:rPr>
              <w:t xml:space="preserve"> or</w:t>
            </w:r>
            <w:r w:rsidR="00D453A6" w:rsidRPr="00CF39C8">
              <w:rPr>
                <w:rFonts w:eastAsia="Times New Roman"/>
              </w:rPr>
              <w:t xml:space="preserve"> road </w:t>
            </w:r>
            <w:r w:rsidR="00912712" w:rsidRPr="00CF39C8">
              <w:rPr>
                <w:rFonts w:eastAsia="Times New Roman"/>
              </w:rPr>
              <w:t>using sectors</w:t>
            </w:r>
            <w:r w:rsidR="008F345B" w:rsidRPr="00CF39C8">
              <w:rPr>
                <w:rFonts w:eastAsia="Times New Roman"/>
              </w:rPr>
              <w:t xml:space="preserve"> in some way</w:t>
            </w:r>
            <w:r w:rsidRPr="00CF39C8">
              <w:rPr>
                <w:rFonts w:eastAsia="Times New Roman"/>
              </w:rPr>
              <w:t xml:space="preserve">. </w:t>
            </w:r>
            <w:r w:rsidR="00D453A6" w:rsidRPr="00CF39C8">
              <w:rPr>
                <w:rFonts w:eastAsia="Times New Roman"/>
              </w:rPr>
              <w:t>Some respondents</w:t>
            </w:r>
            <w:r w:rsidR="008F345B" w:rsidRPr="00CF39C8">
              <w:rPr>
                <w:rFonts w:eastAsia="Times New Roman"/>
              </w:rPr>
              <w:t xml:space="preserve"> advocated for the </w:t>
            </w:r>
            <w:r w:rsidRPr="00CF39C8">
              <w:rPr>
                <w:rFonts w:eastAsia="Times New Roman"/>
              </w:rPr>
              <w:t>stronge</w:t>
            </w:r>
            <w:r w:rsidR="00DD57D8">
              <w:rPr>
                <w:rFonts w:eastAsia="Times New Roman"/>
              </w:rPr>
              <w:t>r</w:t>
            </w:r>
            <w:r w:rsidRPr="00CF39C8">
              <w:rPr>
                <w:rFonts w:eastAsia="Times New Roman"/>
              </w:rPr>
              <w:t xml:space="preserve"> option</w:t>
            </w:r>
            <w:r w:rsidR="00DD57D8">
              <w:rPr>
                <w:rFonts w:eastAsia="Times New Roman"/>
              </w:rPr>
              <w:t>s</w:t>
            </w:r>
            <w:r w:rsidRPr="00CF39C8">
              <w:rPr>
                <w:rFonts w:eastAsia="Times New Roman"/>
              </w:rPr>
              <w:t xml:space="preserve"> (</w:t>
            </w:r>
            <w:r w:rsidR="00E0438A">
              <w:rPr>
                <w:rFonts w:eastAsia="Times New Roman"/>
              </w:rPr>
              <w:t>o</w:t>
            </w:r>
            <w:r w:rsidRPr="00CF39C8">
              <w:rPr>
                <w:rFonts w:eastAsia="Times New Roman"/>
              </w:rPr>
              <w:t>ption</w:t>
            </w:r>
            <w:r w:rsidR="008F345B" w:rsidRPr="00CF39C8">
              <w:rPr>
                <w:rFonts w:eastAsia="Times New Roman"/>
              </w:rPr>
              <w:t>s</w:t>
            </w:r>
            <w:r w:rsidRPr="00CF39C8">
              <w:rPr>
                <w:rFonts w:eastAsia="Times New Roman"/>
              </w:rPr>
              <w:t xml:space="preserve"> C or</w:t>
            </w:r>
            <w:r w:rsidR="008F345B" w:rsidRPr="00CF39C8">
              <w:rPr>
                <w:rFonts w:eastAsia="Times New Roman"/>
              </w:rPr>
              <w:t xml:space="preserve"> </w:t>
            </w:r>
            <w:r w:rsidRPr="00CF39C8">
              <w:rPr>
                <w:rFonts w:eastAsia="Times New Roman"/>
              </w:rPr>
              <w:t>B)</w:t>
            </w:r>
            <w:r w:rsidR="008F345B" w:rsidRPr="00CF39C8">
              <w:rPr>
                <w:rFonts w:eastAsia="Times New Roman"/>
              </w:rPr>
              <w:t>, citing faster</w:t>
            </w:r>
            <w:r w:rsidRPr="00CF39C8">
              <w:rPr>
                <w:rFonts w:eastAsia="Times New Roman"/>
              </w:rPr>
              <w:t xml:space="preserve"> carbon emissions</w:t>
            </w:r>
            <w:r w:rsidR="008F345B" w:rsidRPr="00CF39C8">
              <w:rPr>
                <w:rFonts w:eastAsia="Times New Roman"/>
              </w:rPr>
              <w:t xml:space="preserve"> reduction</w:t>
            </w:r>
            <w:r w:rsidR="00D453A6" w:rsidRPr="00CF39C8">
              <w:rPr>
                <w:rFonts w:eastAsia="Times New Roman"/>
              </w:rPr>
              <w:t>, the</w:t>
            </w:r>
            <w:r w:rsidR="008F345B" w:rsidRPr="00CF39C8">
              <w:rPr>
                <w:rFonts w:eastAsia="Times New Roman"/>
              </w:rPr>
              <w:t xml:space="preserve"> potential for con</w:t>
            </w:r>
            <w:r w:rsidR="00DD57D8">
              <w:rPr>
                <w:rFonts w:eastAsia="Times New Roman"/>
              </w:rPr>
              <w:t>su</w:t>
            </w:r>
            <w:r w:rsidR="008F345B" w:rsidRPr="00CF39C8">
              <w:rPr>
                <w:rFonts w:eastAsia="Times New Roman"/>
              </w:rPr>
              <w:t>mer fuel savings</w:t>
            </w:r>
            <w:r w:rsidR="00D453A6" w:rsidRPr="00CF39C8">
              <w:rPr>
                <w:rFonts w:eastAsia="Times New Roman"/>
              </w:rPr>
              <w:t xml:space="preserve"> and felt that </w:t>
            </w:r>
            <w:r w:rsidRPr="00CF39C8">
              <w:rPr>
                <w:rFonts w:eastAsia="Times New Roman"/>
              </w:rPr>
              <w:t xml:space="preserve">delaying action will </w:t>
            </w:r>
            <w:r w:rsidR="008F345B" w:rsidRPr="00CF39C8">
              <w:rPr>
                <w:rFonts w:eastAsia="Times New Roman"/>
              </w:rPr>
              <w:t>see Australians driving less efficient cars for longer than necessary</w:t>
            </w:r>
            <w:r w:rsidRPr="00CF39C8">
              <w:rPr>
                <w:rFonts w:eastAsia="Times New Roman"/>
              </w:rPr>
              <w:t>.</w:t>
            </w:r>
            <w:r w:rsidR="00D453A6" w:rsidRPr="00CF39C8">
              <w:rPr>
                <w:rFonts w:eastAsia="Times New Roman"/>
              </w:rPr>
              <w:t xml:space="preserve"> Others were concerned about increased cost to consumers if the NVES caused vehicle prices to increase. </w:t>
            </w:r>
          </w:p>
        </w:tc>
      </w:tr>
      <w:tr w:rsidR="003F251A" w:rsidRPr="00CF39C8" w14:paraId="4C2F39FD" w14:textId="77777777" w:rsidTr="00075BA1">
        <w:tc>
          <w:tcPr>
            <w:tcW w:w="1980" w:type="dxa"/>
            <w:shd w:val="clear" w:color="auto" w:fill="9BC7CE" w:themeFill="accent5" w:themeFillTint="99"/>
          </w:tcPr>
          <w:p w14:paraId="1CE51CBD" w14:textId="77777777" w:rsidR="003F251A" w:rsidRPr="00CF39C8" w:rsidRDefault="003F251A" w:rsidP="001D57A5">
            <w:pPr>
              <w:rPr>
                <w:b/>
              </w:rPr>
            </w:pPr>
            <w:r w:rsidRPr="00CF39C8">
              <w:rPr>
                <w:b/>
              </w:rPr>
              <w:t xml:space="preserve">International </w:t>
            </w:r>
          </w:p>
        </w:tc>
        <w:tc>
          <w:tcPr>
            <w:tcW w:w="8080" w:type="dxa"/>
          </w:tcPr>
          <w:p w14:paraId="1C8C488B" w14:textId="77777777" w:rsidR="003F251A" w:rsidRPr="00CF39C8" w:rsidRDefault="0085348C" w:rsidP="001D57A5">
            <w:pPr>
              <w:spacing w:line="240" w:lineRule="auto"/>
              <w:rPr>
                <w:rFonts w:eastAsia="Times New Roman"/>
              </w:rPr>
            </w:pPr>
            <w:r w:rsidRPr="00CF39C8">
              <w:rPr>
                <w:rFonts w:eastAsia="Times New Roman"/>
              </w:rPr>
              <w:t xml:space="preserve">International </w:t>
            </w:r>
            <w:r w:rsidR="00011BD0" w:rsidRPr="00CF39C8">
              <w:rPr>
                <w:rFonts w:eastAsia="Times New Roman"/>
              </w:rPr>
              <w:t>car manufacturing peak bodies</w:t>
            </w:r>
            <w:r w:rsidR="003F251A" w:rsidRPr="00CF39C8">
              <w:rPr>
                <w:rFonts w:eastAsia="Times New Roman"/>
              </w:rPr>
              <w:t xml:space="preserve"> </w:t>
            </w:r>
            <w:r w:rsidR="00196FC8">
              <w:rPr>
                <w:rFonts w:eastAsia="Times New Roman"/>
              </w:rPr>
              <w:t xml:space="preserve">did not explicitly provide a preferred option, however, they </w:t>
            </w:r>
            <w:r w:rsidR="00011BD0" w:rsidRPr="00CF39C8">
              <w:rPr>
                <w:rFonts w:eastAsia="Times New Roman"/>
              </w:rPr>
              <w:t xml:space="preserve">made a number of </w:t>
            </w:r>
            <w:r w:rsidR="003F251A" w:rsidRPr="00CF39C8">
              <w:rPr>
                <w:rFonts w:eastAsia="Times New Roman"/>
              </w:rPr>
              <w:t>recommendations</w:t>
            </w:r>
            <w:r w:rsidR="00DD57D8">
              <w:rPr>
                <w:rFonts w:eastAsia="Times New Roman"/>
              </w:rPr>
              <w:t xml:space="preserve">. </w:t>
            </w:r>
            <w:r w:rsidR="00291C48">
              <w:rPr>
                <w:rFonts w:eastAsia="Times New Roman"/>
              </w:rPr>
              <w:t>Th</w:t>
            </w:r>
            <w:r w:rsidR="00196FC8">
              <w:rPr>
                <w:rFonts w:eastAsia="Times New Roman"/>
              </w:rPr>
              <w:t xml:space="preserve">is </w:t>
            </w:r>
            <w:r w:rsidR="00291C48">
              <w:rPr>
                <w:rFonts w:eastAsia="Times New Roman"/>
              </w:rPr>
              <w:t>included</w:t>
            </w:r>
            <w:r w:rsidR="00011BD0" w:rsidRPr="00CF39C8">
              <w:rPr>
                <w:rFonts w:eastAsia="Times New Roman"/>
              </w:rPr>
              <w:t>:</w:t>
            </w:r>
            <w:r w:rsidRPr="00CF39C8">
              <w:rPr>
                <w:rFonts w:eastAsia="Times New Roman"/>
              </w:rPr>
              <w:t xml:space="preserve"> </w:t>
            </w:r>
            <w:r w:rsidR="003F251A" w:rsidRPr="00CF39C8">
              <w:rPr>
                <w:rFonts w:eastAsia="Times New Roman"/>
              </w:rPr>
              <w:t xml:space="preserve"> </w:t>
            </w:r>
          </w:p>
          <w:p w14:paraId="4CC7B3B8" w14:textId="77777777" w:rsidR="00004356" w:rsidRPr="00CF39C8" w:rsidRDefault="00004356" w:rsidP="001D57A5">
            <w:pPr>
              <w:spacing w:line="240" w:lineRule="auto"/>
              <w:rPr>
                <w:rFonts w:eastAsia="Times New Roman"/>
              </w:rPr>
            </w:pPr>
          </w:p>
          <w:p w14:paraId="24466EAA"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Timing and</w:t>
            </w:r>
            <w:r w:rsidR="00E2705A" w:rsidRPr="00986733">
              <w:rPr>
                <w:rFonts w:eastAsia="Times New Roman"/>
              </w:rPr>
              <w:t xml:space="preserve"> </w:t>
            </w:r>
            <w:r w:rsidRPr="00986733">
              <w:rPr>
                <w:rFonts w:eastAsia="Times New Roman"/>
              </w:rPr>
              <w:t>Consultation</w:t>
            </w:r>
            <w:r w:rsidRPr="00CF39C8">
              <w:rPr>
                <w:rFonts w:eastAsia="Times New Roman"/>
                <w:b/>
              </w:rPr>
              <w:t>:</w:t>
            </w:r>
            <w:r w:rsidRPr="00CF39C8">
              <w:rPr>
                <w:rFonts w:eastAsia="Times New Roman"/>
              </w:rPr>
              <w:t> </w:t>
            </w:r>
            <w:r w:rsidR="00011BD0" w:rsidRPr="00CF39C8">
              <w:rPr>
                <w:rFonts w:eastAsia="Times New Roman"/>
              </w:rPr>
              <w:t>C</w:t>
            </w:r>
            <w:r w:rsidR="0085348C" w:rsidRPr="00CF39C8">
              <w:rPr>
                <w:rFonts w:eastAsia="Times New Roman"/>
              </w:rPr>
              <w:t>oncern</w:t>
            </w:r>
            <w:r w:rsidR="00011BD0" w:rsidRPr="00CF39C8">
              <w:rPr>
                <w:rFonts w:eastAsia="Times New Roman"/>
              </w:rPr>
              <w:t>ed</w:t>
            </w:r>
            <w:r w:rsidR="0085348C" w:rsidRPr="00CF39C8">
              <w:rPr>
                <w:rFonts w:eastAsia="Times New Roman"/>
              </w:rPr>
              <w:t xml:space="preserve"> that the </w:t>
            </w:r>
            <w:r w:rsidRPr="00CF39C8">
              <w:rPr>
                <w:rFonts w:eastAsia="Times New Roman"/>
              </w:rPr>
              <w:t>consultation period</w:t>
            </w:r>
            <w:r w:rsidR="00011BD0" w:rsidRPr="00CF39C8">
              <w:rPr>
                <w:rFonts w:eastAsia="Times New Roman"/>
              </w:rPr>
              <w:t xml:space="preserve"> was too short</w:t>
            </w:r>
            <w:r w:rsidRPr="00CF39C8">
              <w:rPr>
                <w:rFonts w:eastAsia="Times New Roman"/>
              </w:rPr>
              <w:t xml:space="preserve"> and the implementation timeline is </w:t>
            </w:r>
            <w:r w:rsidR="00011BD0" w:rsidRPr="00CF39C8">
              <w:rPr>
                <w:rFonts w:eastAsia="Times New Roman"/>
              </w:rPr>
              <w:t>too soon</w:t>
            </w:r>
            <w:r w:rsidRPr="00CF39C8">
              <w:rPr>
                <w:rFonts w:eastAsia="Times New Roman"/>
              </w:rPr>
              <w:t xml:space="preserve">. </w:t>
            </w:r>
            <w:r w:rsidR="0088414C" w:rsidRPr="00CF39C8">
              <w:rPr>
                <w:rFonts w:eastAsia="Times New Roman"/>
              </w:rPr>
              <w:t>M</w:t>
            </w:r>
            <w:r w:rsidRPr="00CF39C8">
              <w:rPr>
                <w:rFonts w:eastAsia="Times New Roman"/>
              </w:rPr>
              <w:t xml:space="preserve">ore time </w:t>
            </w:r>
            <w:r w:rsidR="0088414C" w:rsidRPr="00CF39C8">
              <w:rPr>
                <w:rFonts w:eastAsia="Times New Roman"/>
              </w:rPr>
              <w:t xml:space="preserve">should be provided </w:t>
            </w:r>
            <w:r w:rsidRPr="00CF39C8">
              <w:rPr>
                <w:rFonts w:eastAsia="Times New Roman"/>
              </w:rPr>
              <w:t>to adjust and align with potential changes in US regulations</w:t>
            </w:r>
            <w:r w:rsidR="00004356" w:rsidRPr="00CF39C8">
              <w:rPr>
                <w:rFonts w:eastAsia="Times New Roman"/>
              </w:rPr>
              <w:t>.</w:t>
            </w:r>
          </w:p>
          <w:p w14:paraId="3D103AE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Testing </w:t>
            </w:r>
            <w:r w:rsidR="0086369D" w:rsidRPr="00986733">
              <w:rPr>
                <w:rFonts w:eastAsia="Times New Roman"/>
              </w:rPr>
              <w:t>s</w:t>
            </w:r>
            <w:r w:rsidRPr="00986733">
              <w:rPr>
                <w:rFonts w:eastAsia="Times New Roman"/>
              </w:rPr>
              <w:t>tandards</w:t>
            </w:r>
            <w:r w:rsidRPr="00CF39C8">
              <w:rPr>
                <w:rFonts w:eastAsia="Times New Roman"/>
              </w:rPr>
              <w:t>: </w:t>
            </w:r>
            <w:r w:rsidR="0088414C" w:rsidRPr="00CF39C8">
              <w:rPr>
                <w:rFonts w:eastAsia="Times New Roman"/>
              </w:rPr>
              <w:t xml:space="preserve">Concerned </w:t>
            </w:r>
            <w:r w:rsidR="0086369D" w:rsidRPr="00CF39C8">
              <w:rPr>
                <w:rFonts w:eastAsia="Times New Roman"/>
              </w:rPr>
              <w:t>that</w:t>
            </w:r>
            <w:r w:rsidRPr="00CF39C8">
              <w:rPr>
                <w:rFonts w:eastAsia="Times New Roman"/>
              </w:rPr>
              <w:t xml:space="preserve"> switching from NEDC to WLTP testing will lead to a misleading increase in CO</w:t>
            </w:r>
            <w:r w:rsidRPr="00CF39C8">
              <w:rPr>
                <w:rFonts w:eastAsia="Times New Roman"/>
                <w:vertAlign w:val="subscript"/>
              </w:rPr>
              <w:t>2</w:t>
            </w:r>
            <w:r w:rsidRPr="00CF39C8">
              <w:rPr>
                <w:rFonts w:eastAsia="Times New Roman"/>
              </w:rPr>
              <w:t xml:space="preserve"> values</w:t>
            </w:r>
            <w:r w:rsidR="0085348C" w:rsidRPr="00CF39C8">
              <w:rPr>
                <w:rFonts w:eastAsia="Times New Roman"/>
              </w:rPr>
              <w:t xml:space="preserve">. </w:t>
            </w:r>
            <w:r w:rsidRPr="00CF39C8">
              <w:rPr>
                <w:rFonts w:eastAsia="Times New Roman"/>
              </w:rPr>
              <w:t>They recommend</w:t>
            </w:r>
            <w:r w:rsidR="0085348C" w:rsidRPr="00CF39C8">
              <w:rPr>
                <w:rFonts w:eastAsia="Times New Roman"/>
              </w:rPr>
              <w:t>ed</w:t>
            </w:r>
            <w:r w:rsidRPr="00CF39C8">
              <w:rPr>
                <w:rFonts w:eastAsia="Times New Roman"/>
              </w:rPr>
              <w:t xml:space="preserve"> a flexible system like New Zealand's that allows multiple testing cycles.</w:t>
            </w:r>
          </w:p>
          <w:p w14:paraId="32B0DD9A"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Manufacturer </w:t>
            </w:r>
            <w:r w:rsidR="0086369D" w:rsidRPr="00986733">
              <w:rPr>
                <w:rFonts w:eastAsia="Times New Roman"/>
              </w:rPr>
              <w:t>i</w:t>
            </w:r>
            <w:r w:rsidRPr="00986733">
              <w:rPr>
                <w:rFonts w:eastAsia="Times New Roman"/>
              </w:rPr>
              <w:t>mpact</w:t>
            </w:r>
            <w:r w:rsidRPr="00CF39C8">
              <w:rPr>
                <w:rFonts w:eastAsia="Times New Roman"/>
              </w:rPr>
              <w:t>: </w:t>
            </w:r>
            <w:r w:rsidR="0086369D" w:rsidRPr="00CF39C8">
              <w:rPr>
                <w:rFonts w:eastAsia="Times New Roman"/>
              </w:rPr>
              <w:t>Concerned about</w:t>
            </w:r>
            <w:r w:rsidRPr="00CF39C8">
              <w:rPr>
                <w:rFonts w:eastAsia="Times New Roman"/>
              </w:rPr>
              <w:t xml:space="preserve"> the impact on carmakers, market dynamics, and exports. They request</w:t>
            </w:r>
            <w:r w:rsidR="0085348C" w:rsidRPr="00CF39C8">
              <w:rPr>
                <w:rFonts w:eastAsia="Times New Roman"/>
              </w:rPr>
              <w:t>ed</w:t>
            </w:r>
            <w:r w:rsidRPr="00CF39C8">
              <w:rPr>
                <w:rFonts w:eastAsia="Times New Roman"/>
              </w:rPr>
              <w:t xml:space="preserve"> policy flexibility and </w:t>
            </w:r>
            <w:r w:rsidR="0085348C" w:rsidRPr="00CF39C8">
              <w:rPr>
                <w:rFonts w:eastAsia="Times New Roman"/>
              </w:rPr>
              <w:t xml:space="preserve">the implementation of </w:t>
            </w:r>
            <w:r w:rsidRPr="00CF39C8">
              <w:rPr>
                <w:rFonts w:eastAsia="Times New Roman"/>
              </w:rPr>
              <w:t>potential relief measures</w:t>
            </w:r>
            <w:r w:rsidR="0085348C" w:rsidRPr="00CF39C8">
              <w:rPr>
                <w:rFonts w:eastAsia="Times New Roman"/>
              </w:rPr>
              <w:t xml:space="preserve">. </w:t>
            </w:r>
          </w:p>
          <w:p w14:paraId="4632386F"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Target Adjustments</w:t>
            </w:r>
            <w:r w:rsidRPr="00CF39C8">
              <w:rPr>
                <w:rFonts w:eastAsia="Times New Roman"/>
              </w:rPr>
              <w:t>: </w:t>
            </w:r>
            <w:r w:rsidR="0086369D" w:rsidRPr="00CF39C8">
              <w:rPr>
                <w:rFonts w:eastAsia="Times New Roman"/>
              </w:rPr>
              <w:t>Current</w:t>
            </w:r>
            <w:r w:rsidRPr="00CF39C8">
              <w:rPr>
                <w:rFonts w:eastAsia="Times New Roman"/>
              </w:rPr>
              <w:t xml:space="preserve"> targets are too ambitious and </w:t>
            </w:r>
            <w:r w:rsidR="0086369D" w:rsidRPr="00CF39C8">
              <w:rPr>
                <w:rFonts w:eastAsia="Times New Roman"/>
              </w:rPr>
              <w:t>should be modified</w:t>
            </w:r>
            <w:r w:rsidRPr="00CF39C8">
              <w:rPr>
                <w:rFonts w:eastAsia="Times New Roman"/>
              </w:rPr>
              <w:t xml:space="preserve"> to provide more time for adaptation.</w:t>
            </w:r>
          </w:p>
          <w:p w14:paraId="0FABCBD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Incentives and </w:t>
            </w:r>
            <w:r w:rsidR="0086369D" w:rsidRPr="00986733">
              <w:rPr>
                <w:rFonts w:eastAsia="Times New Roman"/>
              </w:rPr>
              <w:t>c</w:t>
            </w:r>
            <w:r w:rsidRPr="00986733">
              <w:rPr>
                <w:rFonts w:eastAsia="Times New Roman"/>
              </w:rPr>
              <w:t>redits</w:t>
            </w:r>
            <w:r w:rsidRPr="00CF39C8">
              <w:rPr>
                <w:rFonts w:eastAsia="Times New Roman"/>
              </w:rPr>
              <w:t>: </w:t>
            </w:r>
            <w:r w:rsidR="0086369D" w:rsidRPr="00CF39C8">
              <w:rPr>
                <w:rFonts w:eastAsia="Times New Roman"/>
              </w:rPr>
              <w:t>R</w:t>
            </w:r>
            <w:r w:rsidR="00E37250" w:rsidRPr="00CF39C8">
              <w:rPr>
                <w:rFonts w:eastAsia="Times New Roman"/>
              </w:rPr>
              <w:t>ecommend</w:t>
            </w:r>
            <w:r w:rsidRPr="00CF39C8">
              <w:rPr>
                <w:rFonts w:eastAsia="Times New Roman"/>
              </w:rPr>
              <w:t xml:space="preserve"> supercredits, multipliers and </w:t>
            </w:r>
            <w:r w:rsidR="0086369D" w:rsidRPr="00CF39C8">
              <w:rPr>
                <w:rFonts w:eastAsia="Times New Roman"/>
              </w:rPr>
              <w:t>adjustments to</w:t>
            </w:r>
            <w:r w:rsidRPr="00CF39C8">
              <w:rPr>
                <w:rFonts w:eastAsia="Times New Roman"/>
              </w:rPr>
              <w:t xml:space="preserve"> penalty levels. </w:t>
            </w:r>
            <w:r w:rsidR="0086369D" w:rsidRPr="00CF39C8">
              <w:rPr>
                <w:rFonts w:eastAsia="Times New Roman"/>
              </w:rPr>
              <w:t>S</w:t>
            </w:r>
            <w:r w:rsidRPr="00CF39C8">
              <w:rPr>
                <w:rFonts w:eastAsia="Times New Roman"/>
              </w:rPr>
              <w:t>ubsidies</w:t>
            </w:r>
            <w:r w:rsidR="0086369D" w:rsidRPr="00CF39C8">
              <w:rPr>
                <w:rFonts w:eastAsia="Times New Roman"/>
              </w:rPr>
              <w:t xml:space="preserve"> or investment should be directed towards </w:t>
            </w:r>
            <w:r w:rsidRPr="00CF39C8">
              <w:rPr>
                <w:rFonts w:eastAsia="Times New Roman"/>
              </w:rPr>
              <w:t>public charging infrastructure.</w:t>
            </w:r>
          </w:p>
          <w:p w14:paraId="4CB80F4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Vehicle </w:t>
            </w:r>
            <w:r w:rsidR="0086369D" w:rsidRPr="00986733">
              <w:rPr>
                <w:rFonts w:eastAsia="Times New Roman"/>
              </w:rPr>
              <w:t>c</w:t>
            </w:r>
            <w:r w:rsidRPr="00986733">
              <w:rPr>
                <w:rFonts w:eastAsia="Times New Roman"/>
              </w:rPr>
              <w:t>ategories</w:t>
            </w:r>
            <w:r w:rsidRPr="00CF39C8">
              <w:rPr>
                <w:rFonts w:eastAsia="Times New Roman"/>
              </w:rPr>
              <w:t>: </w:t>
            </w:r>
            <w:r w:rsidR="0086369D" w:rsidRPr="00CF39C8">
              <w:rPr>
                <w:rFonts w:eastAsia="Times New Roman"/>
              </w:rPr>
              <w:t>C</w:t>
            </w:r>
            <w:r w:rsidRPr="00CF39C8">
              <w:rPr>
                <w:rFonts w:eastAsia="Times New Roman"/>
              </w:rPr>
              <w:t>ategori</w:t>
            </w:r>
            <w:r w:rsidR="0086369D" w:rsidRPr="00CF39C8">
              <w:rPr>
                <w:rFonts w:eastAsia="Times New Roman"/>
              </w:rPr>
              <w:t>se</w:t>
            </w:r>
            <w:r w:rsidRPr="00CF39C8">
              <w:rPr>
                <w:rFonts w:eastAsia="Times New Roman"/>
              </w:rPr>
              <w:t xml:space="preserve"> </w:t>
            </w:r>
            <w:r w:rsidR="0086369D" w:rsidRPr="00CF39C8">
              <w:rPr>
                <w:rFonts w:eastAsia="Times New Roman"/>
              </w:rPr>
              <w:t>4WD</w:t>
            </w:r>
            <w:r w:rsidRPr="00CF39C8">
              <w:rPr>
                <w:rFonts w:eastAsia="Times New Roman"/>
              </w:rPr>
              <w:t xml:space="preserve"> SUVs as Light Commercial Vehicles (LCV</w:t>
            </w:r>
            <w:r w:rsidR="0086369D" w:rsidRPr="00CF39C8">
              <w:rPr>
                <w:rFonts w:eastAsia="Times New Roman"/>
              </w:rPr>
              <w:t>s</w:t>
            </w:r>
            <w:r w:rsidRPr="00CF39C8">
              <w:rPr>
                <w:rFonts w:eastAsia="Times New Roman"/>
              </w:rPr>
              <w:t>) instead of Passenger Vehicles (PV)</w:t>
            </w:r>
            <w:r w:rsidR="0086369D" w:rsidRPr="00CF39C8">
              <w:rPr>
                <w:rFonts w:eastAsia="Times New Roman"/>
              </w:rPr>
              <w:t>,</w:t>
            </w:r>
            <w:r w:rsidRPr="00CF39C8">
              <w:rPr>
                <w:rFonts w:eastAsia="Times New Roman"/>
              </w:rPr>
              <w:t xml:space="preserve"> and remov</w:t>
            </w:r>
            <w:r w:rsidR="0086369D" w:rsidRPr="00CF39C8">
              <w:rPr>
                <w:rFonts w:eastAsia="Times New Roman"/>
              </w:rPr>
              <w:t>e</w:t>
            </w:r>
            <w:r w:rsidRPr="00CF39C8">
              <w:rPr>
                <w:rFonts w:eastAsia="Times New Roman"/>
              </w:rPr>
              <w:t xml:space="preserve"> weight-based breakpoints in the targets.</w:t>
            </w:r>
          </w:p>
        </w:tc>
      </w:tr>
      <w:tr w:rsidR="003F251A" w:rsidRPr="00CF39C8" w14:paraId="642D9661" w14:textId="77777777" w:rsidTr="00075BA1">
        <w:tc>
          <w:tcPr>
            <w:tcW w:w="1980" w:type="dxa"/>
            <w:shd w:val="clear" w:color="auto" w:fill="9BC7CE" w:themeFill="accent5" w:themeFillTint="99"/>
          </w:tcPr>
          <w:p w14:paraId="4AD069EA" w14:textId="77777777" w:rsidR="003F251A" w:rsidRPr="00CF39C8" w:rsidRDefault="003F251A" w:rsidP="001D57A5">
            <w:pPr>
              <w:rPr>
                <w:b/>
              </w:rPr>
            </w:pPr>
            <w:r w:rsidRPr="00CF39C8">
              <w:rPr>
                <w:b/>
              </w:rPr>
              <w:t>Farming &amp; Regional</w:t>
            </w:r>
          </w:p>
        </w:tc>
        <w:tc>
          <w:tcPr>
            <w:tcW w:w="8080" w:type="dxa"/>
          </w:tcPr>
          <w:p w14:paraId="387C0907" w14:textId="77777777" w:rsidR="003F251A" w:rsidRPr="00CF39C8" w:rsidRDefault="003F251A" w:rsidP="001D57A5">
            <w:pPr>
              <w:spacing w:line="240" w:lineRule="auto"/>
              <w:rPr>
                <w:rFonts w:eastAsia="Times New Roman"/>
              </w:rPr>
            </w:pPr>
            <w:r w:rsidRPr="00CF39C8">
              <w:rPr>
                <w:rFonts w:eastAsia="Times New Roman"/>
              </w:rPr>
              <w:t xml:space="preserve">The sector </w:t>
            </w:r>
            <w:r w:rsidR="0086369D" w:rsidRPr="00CF39C8">
              <w:rPr>
                <w:rFonts w:eastAsia="Times New Roman"/>
              </w:rPr>
              <w:t>acknowledges the importance of reducing CO</w:t>
            </w:r>
            <w:r w:rsidR="0086369D" w:rsidRPr="00CF39C8">
              <w:rPr>
                <w:rFonts w:eastAsia="Times New Roman"/>
                <w:vertAlign w:val="subscript"/>
              </w:rPr>
              <w:t>2</w:t>
            </w:r>
            <w:r w:rsidR="0086369D" w:rsidRPr="00CF39C8">
              <w:rPr>
                <w:rFonts w:eastAsia="Times New Roman"/>
              </w:rPr>
              <w:t xml:space="preserve"> emissions and supports the NVES so long as it doesn’t disadvantage people who live and work in rural and regional Australia, particularly, those involved in primary production. They suggested exemptions for primary producers, and suggested that some state government exemptions </w:t>
            </w:r>
            <w:r w:rsidR="006A6FDE" w:rsidRPr="00CF39C8">
              <w:rPr>
                <w:rFonts w:eastAsia="Times New Roman"/>
              </w:rPr>
              <w:t>for primary producers could be used to inform primary production exemptions within the NVES</w:t>
            </w:r>
            <w:r w:rsidR="0086369D" w:rsidRPr="00CF39C8">
              <w:rPr>
                <w:rFonts w:eastAsia="Times New Roman"/>
              </w:rPr>
              <w:t xml:space="preserve">. </w:t>
            </w:r>
            <w:r w:rsidRPr="00CF39C8">
              <w:rPr>
                <w:rFonts w:eastAsia="Times New Roman"/>
              </w:rPr>
              <w:t xml:space="preserve"> </w:t>
            </w:r>
          </w:p>
          <w:p w14:paraId="09733547" w14:textId="77777777" w:rsidR="003F251A" w:rsidRPr="00CF39C8" w:rsidRDefault="003F251A" w:rsidP="001D57A5">
            <w:pPr>
              <w:spacing w:line="240" w:lineRule="auto"/>
              <w:rPr>
                <w:rFonts w:eastAsia="Times New Roman"/>
              </w:rPr>
            </w:pPr>
          </w:p>
          <w:p w14:paraId="23CF8F34" w14:textId="77777777" w:rsidR="009C0186" w:rsidRPr="00CF39C8" w:rsidRDefault="0086369D" w:rsidP="009C2F7F">
            <w:pPr>
              <w:spacing w:line="240" w:lineRule="auto"/>
              <w:rPr>
                <w:rFonts w:eastAsia="Times New Roman"/>
              </w:rPr>
            </w:pPr>
            <w:r w:rsidRPr="00CF39C8">
              <w:rPr>
                <w:rFonts w:eastAsia="Times New Roman"/>
              </w:rPr>
              <w:t>The</w:t>
            </w:r>
            <w:r w:rsidR="003F251A" w:rsidRPr="00CF39C8">
              <w:rPr>
                <w:rFonts w:eastAsia="Times New Roman"/>
              </w:rPr>
              <w:t xml:space="preserve"> limited availability of low</w:t>
            </w:r>
            <w:r w:rsidRPr="00CF39C8">
              <w:rPr>
                <w:rFonts w:eastAsia="Times New Roman"/>
              </w:rPr>
              <w:t xml:space="preserve"> and zero </w:t>
            </w:r>
            <w:r w:rsidR="003F251A" w:rsidRPr="00CF39C8">
              <w:rPr>
                <w:rFonts w:eastAsia="Times New Roman"/>
              </w:rPr>
              <w:t xml:space="preserve">emission vehicles </w:t>
            </w:r>
            <w:r w:rsidRPr="00CF39C8">
              <w:rPr>
                <w:rFonts w:eastAsia="Times New Roman"/>
              </w:rPr>
              <w:t xml:space="preserve">(LZEVs) which would </w:t>
            </w:r>
            <w:r w:rsidR="003F251A" w:rsidRPr="00CF39C8">
              <w:rPr>
                <w:rFonts w:eastAsia="Times New Roman"/>
              </w:rPr>
              <w:t>meet the specific needs of agricultur</w:t>
            </w:r>
            <w:r w:rsidRPr="00CF39C8">
              <w:rPr>
                <w:rFonts w:eastAsia="Times New Roman"/>
              </w:rPr>
              <w:t xml:space="preserve">e sector was acknowledged, as well as other types of LZEVs that would suit the </w:t>
            </w:r>
            <w:r w:rsidR="009C0186" w:rsidRPr="00CF39C8">
              <w:rPr>
                <w:rFonts w:eastAsia="Times New Roman"/>
              </w:rPr>
              <w:t>needs of rural and regional communities</w:t>
            </w:r>
            <w:r w:rsidRPr="00CF39C8">
              <w:rPr>
                <w:rFonts w:eastAsia="Times New Roman"/>
              </w:rPr>
              <w:t xml:space="preserve">. They were concerned that the </w:t>
            </w:r>
            <w:r w:rsidR="009C0186" w:rsidRPr="00CF39C8">
              <w:rPr>
                <w:rFonts w:eastAsia="Times New Roman"/>
              </w:rPr>
              <w:t>increased cost of non-compliant vehicles may be passed on</w:t>
            </w:r>
            <w:r w:rsidRPr="00CF39C8">
              <w:rPr>
                <w:rFonts w:eastAsia="Times New Roman"/>
              </w:rPr>
              <w:t xml:space="preserve"> to</w:t>
            </w:r>
            <w:r w:rsidR="009C0186" w:rsidRPr="00CF39C8">
              <w:rPr>
                <w:rFonts w:eastAsia="Times New Roman"/>
              </w:rPr>
              <w:t xml:space="preserve"> consumers. </w:t>
            </w:r>
          </w:p>
          <w:p w14:paraId="6CB59062" w14:textId="77777777" w:rsidR="003F251A" w:rsidRPr="00CF39C8" w:rsidRDefault="003F251A" w:rsidP="001D57A5">
            <w:pPr>
              <w:spacing w:line="240" w:lineRule="auto"/>
              <w:rPr>
                <w:rFonts w:eastAsia="Times New Roman"/>
              </w:rPr>
            </w:pPr>
            <w:r w:rsidRPr="00CF39C8">
              <w:rPr>
                <w:rFonts w:eastAsia="Times New Roman"/>
              </w:rPr>
              <w:t xml:space="preserve">  </w:t>
            </w:r>
          </w:p>
          <w:p w14:paraId="0C70FF48" w14:textId="77777777" w:rsidR="003F251A" w:rsidRPr="00CF39C8" w:rsidRDefault="006A6FDE" w:rsidP="001D57A5">
            <w:pPr>
              <w:spacing w:line="240" w:lineRule="auto"/>
              <w:rPr>
                <w:rFonts w:eastAsia="Times New Roman"/>
              </w:rPr>
            </w:pPr>
            <w:r w:rsidRPr="00CF39C8">
              <w:rPr>
                <w:rFonts w:eastAsia="Times New Roman"/>
              </w:rPr>
              <w:t>This group noted that there are</w:t>
            </w:r>
            <w:r w:rsidR="003F251A" w:rsidRPr="00CF39C8">
              <w:rPr>
                <w:rFonts w:eastAsia="Times New Roman"/>
              </w:rPr>
              <w:t xml:space="preserve"> unique </w:t>
            </w:r>
            <w:r w:rsidRPr="00CF39C8">
              <w:rPr>
                <w:rFonts w:eastAsia="Times New Roman"/>
              </w:rPr>
              <w:t xml:space="preserve">transport </w:t>
            </w:r>
            <w:r w:rsidR="003F251A" w:rsidRPr="00CF39C8">
              <w:rPr>
                <w:rFonts w:eastAsia="Times New Roman"/>
              </w:rPr>
              <w:t>challenges faced by the agricultural</w:t>
            </w:r>
            <w:r w:rsidR="009C0186" w:rsidRPr="00CF39C8">
              <w:rPr>
                <w:rFonts w:eastAsia="Times New Roman"/>
              </w:rPr>
              <w:t>, rural and regional communities</w:t>
            </w:r>
            <w:r w:rsidRPr="00CF39C8">
              <w:rPr>
                <w:rFonts w:eastAsia="Times New Roman"/>
              </w:rPr>
              <w:t xml:space="preserve"> and that this should be considered by Government</w:t>
            </w:r>
            <w:r w:rsidR="003F251A" w:rsidRPr="00CF39C8">
              <w:rPr>
                <w:rFonts w:eastAsia="Times New Roman"/>
              </w:rPr>
              <w:t xml:space="preserve"> when implementing the NVES. </w:t>
            </w:r>
          </w:p>
          <w:p w14:paraId="65FE3469" w14:textId="77777777" w:rsidR="003F251A" w:rsidRPr="00CF39C8" w:rsidRDefault="003F251A" w:rsidP="001D57A5">
            <w:pPr>
              <w:spacing w:line="240" w:lineRule="auto"/>
              <w:rPr>
                <w:rFonts w:eastAsia="Times New Roman"/>
              </w:rPr>
            </w:pPr>
          </w:p>
        </w:tc>
      </w:tr>
      <w:tr w:rsidR="003F251A" w:rsidRPr="00CF39C8" w14:paraId="4BB55149" w14:textId="77777777" w:rsidTr="00075BA1">
        <w:tc>
          <w:tcPr>
            <w:tcW w:w="1980" w:type="dxa"/>
            <w:shd w:val="clear" w:color="auto" w:fill="9BC7CE" w:themeFill="accent5" w:themeFillTint="99"/>
          </w:tcPr>
          <w:p w14:paraId="43EEF934" w14:textId="77777777" w:rsidR="003F251A" w:rsidRPr="00CF39C8" w:rsidRDefault="003F251A" w:rsidP="001D57A5">
            <w:pPr>
              <w:rPr>
                <w:b/>
              </w:rPr>
            </w:pPr>
            <w:r w:rsidRPr="00CF39C8">
              <w:rPr>
                <w:b/>
              </w:rPr>
              <w:t>Government</w:t>
            </w:r>
          </w:p>
        </w:tc>
        <w:tc>
          <w:tcPr>
            <w:tcW w:w="8080" w:type="dxa"/>
          </w:tcPr>
          <w:p w14:paraId="41DB244B" w14:textId="77777777" w:rsidR="003F251A" w:rsidRPr="00CF39C8" w:rsidRDefault="005B527B" w:rsidP="001D57A5">
            <w:pPr>
              <w:spacing w:line="240" w:lineRule="auto"/>
              <w:rPr>
                <w:rFonts w:eastAsia="Times New Roman"/>
              </w:rPr>
            </w:pPr>
            <w:r w:rsidRPr="00CF39C8">
              <w:rPr>
                <w:rFonts w:eastAsia="Times New Roman"/>
              </w:rPr>
              <w:t xml:space="preserve">This category summarises the recommendations made by </w:t>
            </w:r>
            <w:r w:rsidR="00B0763D" w:rsidRPr="00CF39C8">
              <w:rPr>
                <w:rFonts w:eastAsia="Times New Roman"/>
              </w:rPr>
              <w:t>Federal parliamentarians</w:t>
            </w:r>
            <w:r w:rsidRPr="00CF39C8">
              <w:rPr>
                <w:rFonts w:eastAsia="Times New Roman"/>
              </w:rPr>
              <w:t xml:space="preserve">, </w:t>
            </w:r>
            <w:r w:rsidR="00DD7A77">
              <w:rPr>
                <w:rFonts w:eastAsia="Times New Roman"/>
              </w:rPr>
              <w:t>G</w:t>
            </w:r>
            <w:r w:rsidR="00B0763D" w:rsidRPr="00CF39C8">
              <w:rPr>
                <w:rFonts w:eastAsia="Times New Roman"/>
              </w:rPr>
              <w:t xml:space="preserve">overnment agencies </w:t>
            </w:r>
            <w:r w:rsidR="003D0E4B" w:rsidRPr="00CF39C8">
              <w:rPr>
                <w:rFonts w:eastAsia="Times New Roman"/>
              </w:rPr>
              <w:t>and some</w:t>
            </w:r>
            <w:r w:rsidR="00B0763D" w:rsidRPr="00CF39C8">
              <w:rPr>
                <w:rFonts w:eastAsia="Times New Roman"/>
              </w:rPr>
              <w:t xml:space="preserve"> </w:t>
            </w:r>
            <w:r w:rsidR="003F251A" w:rsidRPr="00CF39C8">
              <w:rPr>
                <w:rFonts w:eastAsia="Times New Roman"/>
              </w:rPr>
              <w:t>state</w:t>
            </w:r>
            <w:r w:rsidR="003D0E4B" w:rsidRPr="00CF39C8">
              <w:rPr>
                <w:rFonts w:eastAsia="Times New Roman"/>
              </w:rPr>
              <w:t>, territory</w:t>
            </w:r>
            <w:r w:rsidR="00BF3648" w:rsidRPr="00CF39C8">
              <w:rPr>
                <w:rFonts w:eastAsia="Times New Roman"/>
              </w:rPr>
              <w:t xml:space="preserve"> and </w:t>
            </w:r>
            <w:r w:rsidR="003F251A" w:rsidRPr="00CF39C8">
              <w:rPr>
                <w:rFonts w:eastAsia="Times New Roman"/>
              </w:rPr>
              <w:t>local government</w:t>
            </w:r>
            <w:r w:rsidRPr="00CF39C8">
              <w:rPr>
                <w:rFonts w:eastAsia="Times New Roman"/>
              </w:rPr>
              <w:t xml:space="preserve">s. </w:t>
            </w:r>
          </w:p>
          <w:p w14:paraId="0F0C3A60" w14:textId="77777777" w:rsidR="003F251A" w:rsidRPr="00CF39C8" w:rsidRDefault="003F251A" w:rsidP="001D57A5">
            <w:pPr>
              <w:spacing w:line="240" w:lineRule="auto"/>
              <w:rPr>
                <w:rFonts w:eastAsia="Times New Roman"/>
              </w:rPr>
            </w:pPr>
          </w:p>
          <w:p w14:paraId="63282248" w14:textId="77777777" w:rsidR="003F251A" w:rsidRPr="00CF39C8" w:rsidRDefault="003D0E4B" w:rsidP="001D57A5">
            <w:pPr>
              <w:spacing w:line="240" w:lineRule="auto"/>
              <w:rPr>
                <w:rFonts w:eastAsia="Times New Roman"/>
              </w:rPr>
            </w:pPr>
            <w:r w:rsidRPr="00CF39C8">
              <w:rPr>
                <w:rFonts w:eastAsia="Times New Roman"/>
              </w:rPr>
              <w:t>This group</w:t>
            </w:r>
            <w:r w:rsidR="00E37250" w:rsidRPr="00CF39C8">
              <w:rPr>
                <w:rFonts w:eastAsia="Times New Roman"/>
              </w:rPr>
              <w:t xml:space="preserve"> supported</w:t>
            </w:r>
            <w:r w:rsidR="003F251A" w:rsidRPr="00CF39C8">
              <w:rPr>
                <w:rFonts w:eastAsia="Times New Roman"/>
              </w:rPr>
              <w:t xml:space="preserve"> the two most ambitious options (B and C) and urge</w:t>
            </w:r>
            <w:r w:rsidR="005B527B" w:rsidRPr="00CF39C8">
              <w:rPr>
                <w:rFonts w:eastAsia="Times New Roman"/>
              </w:rPr>
              <w:t>d</w:t>
            </w:r>
            <w:r w:rsidR="003F251A" w:rsidRPr="00CF39C8">
              <w:rPr>
                <w:rFonts w:eastAsia="Times New Roman"/>
              </w:rPr>
              <w:t xml:space="preserve"> </w:t>
            </w:r>
            <w:r w:rsidR="00FF75BC" w:rsidRPr="00CF39C8">
              <w:rPr>
                <w:rFonts w:eastAsia="Times New Roman"/>
              </w:rPr>
              <w:t>their adoption</w:t>
            </w:r>
            <w:r w:rsidR="003F251A" w:rsidRPr="00CF39C8">
              <w:rPr>
                <w:rFonts w:eastAsia="Times New Roman"/>
              </w:rPr>
              <w:t xml:space="preserve">. </w:t>
            </w:r>
            <w:r w:rsidR="00FF75BC" w:rsidRPr="00CF39C8">
              <w:rPr>
                <w:rFonts w:eastAsia="Times New Roman"/>
              </w:rPr>
              <w:t>They noted that</w:t>
            </w:r>
            <w:r w:rsidR="003F251A" w:rsidRPr="00CF39C8">
              <w:rPr>
                <w:rFonts w:eastAsia="Times New Roman"/>
              </w:rPr>
              <w:t xml:space="preserve"> a strong NVES is essential to cut transport emissions, improve air quality, </w:t>
            </w:r>
            <w:r w:rsidR="00FF75BC" w:rsidRPr="00CF39C8">
              <w:rPr>
                <w:rFonts w:eastAsia="Times New Roman"/>
              </w:rPr>
              <w:t xml:space="preserve">achieve better health outcomes </w:t>
            </w:r>
            <w:r w:rsidR="003F251A" w:rsidRPr="00CF39C8">
              <w:rPr>
                <w:rFonts w:eastAsia="Times New Roman"/>
              </w:rPr>
              <w:t xml:space="preserve">and </w:t>
            </w:r>
            <w:r w:rsidR="005B527B" w:rsidRPr="00CF39C8">
              <w:rPr>
                <w:rFonts w:eastAsia="Times New Roman"/>
              </w:rPr>
              <w:t>combat</w:t>
            </w:r>
            <w:r w:rsidR="003F251A" w:rsidRPr="00CF39C8">
              <w:rPr>
                <w:rFonts w:eastAsia="Times New Roman"/>
              </w:rPr>
              <w:t xml:space="preserve"> climate change. They propose</w:t>
            </w:r>
            <w:r w:rsidR="00FF75BC" w:rsidRPr="00CF39C8">
              <w:rPr>
                <w:rFonts w:eastAsia="Times New Roman"/>
              </w:rPr>
              <w:t>d</w:t>
            </w:r>
            <w:r w:rsidR="003F251A" w:rsidRPr="00CF39C8">
              <w:rPr>
                <w:rFonts w:eastAsia="Times New Roman"/>
              </w:rPr>
              <w:t xml:space="preserve"> additional features to strengthen the NVES, such as a target of 100% zero-emission new vehicles by 2030 or 2035, ensuring clear data is available, and including </w:t>
            </w:r>
            <w:r w:rsidR="00FF75BC" w:rsidRPr="00CF39C8">
              <w:rPr>
                <w:rFonts w:eastAsia="Times New Roman"/>
              </w:rPr>
              <w:t xml:space="preserve">assurance </w:t>
            </w:r>
            <w:r w:rsidR="003F251A" w:rsidRPr="00CF39C8">
              <w:rPr>
                <w:rFonts w:eastAsia="Times New Roman"/>
              </w:rPr>
              <w:t>measures to prevent loopholes.</w:t>
            </w:r>
          </w:p>
          <w:p w14:paraId="15B800D8" w14:textId="77777777" w:rsidR="003F251A" w:rsidRPr="00CF39C8" w:rsidRDefault="003F251A" w:rsidP="001D57A5">
            <w:pPr>
              <w:spacing w:line="240" w:lineRule="auto"/>
              <w:rPr>
                <w:rFonts w:eastAsia="Times New Roman"/>
              </w:rPr>
            </w:pPr>
          </w:p>
          <w:p w14:paraId="4F052C65" w14:textId="77777777" w:rsidR="003F251A" w:rsidRPr="00CF39C8" w:rsidRDefault="00FC6427" w:rsidP="001D57A5">
            <w:pPr>
              <w:spacing w:line="240" w:lineRule="auto"/>
              <w:rPr>
                <w:rFonts w:eastAsia="Times New Roman"/>
              </w:rPr>
            </w:pPr>
            <w:r w:rsidRPr="00CF39C8">
              <w:rPr>
                <w:rFonts w:eastAsia="Times New Roman"/>
              </w:rPr>
              <w:t xml:space="preserve">Stakeholders </w:t>
            </w:r>
            <w:r w:rsidR="003F251A" w:rsidRPr="00CF39C8">
              <w:rPr>
                <w:rFonts w:eastAsia="Times New Roman"/>
              </w:rPr>
              <w:t>recogni</w:t>
            </w:r>
            <w:r w:rsidRPr="00CF39C8">
              <w:rPr>
                <w:rFonts w:eastAsia="Times New Roman"/>
              </w:rPr>
              <w:t>s</w:t>
            </w:r>
            <w:r w:rsidR="003F251A" w:rsidRPr="00CF39C8">
              <w:rPr>
                <w:rFonts w:eastAsia="Times New Roman"/>
              </w:rPr>
              <w:t>e limitations of the NVES, as it only applies to new light vehicles. Stakeholders recommend additional policies to promote electric vehicle charging and prioriti</w:t>
            </w:r>
            <w:r w:rsidRPr="00CF39C8">
              <w:rPr>
                <w:rFonts w:eastAsia="Times New Roman"/>
              </w:rPr>
              <w:t>s</w:t>
            </w:r>
            <w:r w:rsidR="003F251A" w:rsidRPr="00CF39C8">
              <w:rPr>
                <w:rFonts w:eastAsia="Times New Roman"/>
              </w:rPr>
              <w:t xml:space="preserve">e walking and cycling. </w:t>
            </w:r>
          </w:p>
          <w:p w14:paraId="1484F4F0" w14:textId="77777777" w:rsidR="003F251A" w:rsidRPr="00CF39C8" w:rsidRDefault="003F251A" w:rsidP="001D57A5">
            <w:pPr>
              <w:spacing w:line="240" w:lineRule="auto"/>
              <w:rPr>
                <w:rFonts w:eastAsia="Times New Roman"/>
              </w:rPr>
            </w:pPr>
          </w:p>
        </w:tc>
      </w:tr>
      <w:tr w:rsidR="003F251A" w:rsidRPr="00CF39C8" w14:paraId="0A9A1C42" w14:textId="77777777" w:rsidTr="00075BA1">
        <w:tc>
          <w:tcPr>
            <w:tcW w:w="1980" w:type="dxa"/>
            <w:shd w:val="clear" w:color="auto" w:fill="9BC7CE" w:themeFill="accent5" w:themeFillTint="99"/>
          </w:tcPr>
          <w:p w14:paraId="05FC3CE8" w14:textId="77777777" w:rsidR="003F251A" w:rsidRPr="00CF39C8" w:rsidRDefault="003F251A" w:rsidP="001D57A5">
            <w:pPr>
              <w:rPr>
                <w:b/>
              </w:rPr>
            </w:pPr>
            <w:r w:rsidRPr="00CF39C8">
              <w:rPr>
                <w:b/>
              </w:rPr>
              <w:t>Energy</w:t>
            </w:r>
          </w:p>
        </w:tc>
        <w:tc>
          <w:tcPr>
            <w:tcW w:w="8080" w:type="dxa"/>
          </w:tcPr>
          <w:p w14:paraId="38B94C86" w14:textId="77777777" w:rsidR="003F251A" w:rsidRPr="00CF39C8" w:rsidRDefault="00F30A1F" w:rsidP="001D57A5">
            <w:pPr>
              <w:spacing w:line="240" w:lineRule="auto"/>
              <w:rPr>
                <w:rFonts w:eastAsia="Times New Roman"/>
              </w:rPr>
            </w:pPr>
            <w:r w:rsidRPr="00CF39C8">
              <w:rPr>
                <w:rFonts w:eastAsia="Times New Roman"/>
              </w:rPr>
              <w:t>Energy</w:t>
            </w:r>
            <w:r w:rsidR="003F251A" w:rsidRPr="00CF39C8">
              <w:rPr>
                <w:rFonts w:eastAsia="Times New Roman"/>
              </w:rPr>
              <w:t xml:space="preserve"> sector</w:t>
            </w:r>
            <w:r w:rsidRPr="00CF39C8">
              <w:rPr>
                <w:rFonts w:eastAsia="Times New Roman"/>
              </w:rPr>
              <w:t xml:space="preserve"> stakeholders</w:t>
            </w:r>
            <w:r w:rsidR="003F251A" w:rsidRPr="00CF39C8">
              <w:rPr>
                <w:rFonts w:eastAsia="Times New Roman"/>
              </w:rPr>
              <w:t xml:space="preserve"> support the introduction of a </w:t>
            </w:r>
            <w:r w:rsidR="0074277C" w:rsidRPr="00CF39C8">
              <w:rPr>
                <w:rFonts w:eastAsia="Times New Roman"/>
              </w:rPr>
              <w:t xml:space="preserve">NVES, and </w:t>
            </w:r>
            <w:r w:rsidR="000F1BDF" w:rsidRPr="00CF39C8">
              <w:rPr>
                <w:rFonts w:eastAsia="Times New Roman"/>
              </w:rPr>
              <w:t>recommend</w:t>
            </w:r>
            <w:r w:rsidR="0074277C" w:rsidRPr="00CF39C8">
              <w:rPr>
                <w:rFonts w:eastAsia="Times New Roman"/>
              </w:rPr>
              <w:t>ed</w:t>
            </w:r>
            <w:r w:rsidR="003F251A" w:rsidRPr="00CF39C8">
              <w:rPr>
                <w:rFonts w:eastAsia="Times New Roman"/>
              </w:rPr>
              <w:t xml:space="preserve"> </w:t>
            </w:r>
            <w:r w:rsidR="0074277C" w:rsidRPr="00CF39C8">
              <w:rPr>
                <w:rFonts w:eastAsia="Times New Roman"/>
              </w:rPr>
              <w:t>o</w:t>
            </w:r>
            <w:r w:rsidR="003F251A" w:rsidRPr="00CF39C8">
              <w:rPr>
                <w:rFonts w:eastAsia="Times New Roman"/>
              </w:rPr>
              <w:t>ption</w:t>
            </w:r>
            <w:r w:rsidR="0074277C" w:rsidRPr="00CF39C8">
              <w:rPr>
                <w:rFonts w:eastAsia="Times New Roman"/>
              </w:rPr>
              <w:t>s</w:t>
            </w:r>
            <w:r w:rsidR="003F251A" w:rsidRPr="00CF39C8">
              <w:rPr>
                <w:rFonts w:eastAsia="Times New Roman"/>
              </w:rPr>
              <w:t xml:space="preserve"> B and </w:t>
            </w:r>
            <w:r w:rsidR="0074277C" w:rsidRPr="00CF39C8">
              <w:rPr>
                <w:rFonts w:eastAsia="Times New Roman"/>
              </w:rPr>
              <w:t>C for their potential</w:t>
            </w:r>
            <w:r w:rsidR="003F251A" w:rsidRPr="00CF39C8">
              <w:rPr>
                <w:rFonts w:eastAsia="Times New Roman"/>
              </w:rPr>
              <w:t xml:space="preserve"> fuel savings and alignment with their </w:t>
            </w:r>
            <w:r w:rsidR="0074277C" w:rsidRPr="00CF39C8">
              <w:rPr>
                <w:rFonts w:eastAsia="Times New Roman"/>
              </w:rPr>
              <w:t xml:space="preserve">own </w:t>
            </w:r>
            <w:r w:rsidR="003F251A" w:rsidRPr="00CF39C8">
              <w:rPr>
                <w:rFonts w:eastAsia="Times New Roman"/>
              </w:rPr>
              <w:t xml:space="preserve">clean vehicle goals. They </w:t>
            </w:r>
            <w:r w:rsidR="0074277C" w:rsidRPr="00CF39C8">
              <w:rPr>
                <w:rFonts w:eastAsia="Times New Roman"/>
              </w:rPr>
              <w:t>suggested consideration be given to</w:t>
            </w:r>
            <w:r w:rsidR="003F251A" w:rsidRPr="00CF39C8">
              <w:rPr>
                <w:rFonts w:eastAsia="Times New Roman"/>
              </w:rPr>
              <w:t xml:space="preserve"> additional incentives for zero-emission light commercial vehicles to boost availability and consumer uptake</w:t>
            </w:r>
            <w:r w:rsidR="0074277C" w:rsidRPr="00CF39C8">
              <w:rPr>
                <w:rFonts w:eastAsia="Times New Roman"/>
              </w:rPr>
              <w:t xml:space="preserve"> and that </w:t>
            </w:r>
            <w:r w:rsidR="003F251A" w:rsidRPr="00CF39C8">
              <w:rPr>
                <w:rFonts w:eastAsia="Times New Roman"/>
              </w:rPr>
              <w:t>ways to make zero and low-emission heavy trucks more affordable and widely available</w:t>
            </w:r>
            <w:r w:rsidR="0074277C" w:rsidRPr="00CF39C8">
              <w:rPr>
                <w:rFonts w:eastAsia="Times New Roman"/>
              </w:rPr>
              <w:t xml:space="preserve"> should be explored</w:t>
            </w:r>
            <w:r w:rsidR="003F251A" w:rsidRPr="00CF39C8">
              <w:rPr>
                <w:rFonts w:eastAsia="Times New Roman"/>
              </w:rPr>
              <w:t>.</w:t>
            </w:r>
            <w:r w:rsidR="00FC6427" w:rsidRPr="00CF39C8">
              <w:rPr>
                <w:rFonts w:eastAsia="Times New Roman"/>
              </w:rPr>
              <w:t xml:space="preserve"> </w:t>
            </w:r>
          </w:p>
          <w:p w14:paraId="37B98C05" w14:textId="77777777" w:rsidR="00004356" w:rsidRPr="00CF39C8" w:rsidRDefault="00004356" w:rsidP="001D57A5">
            <w:pPr>
              <w:spacing w:line="240" w:lineRule="auto"/>
              <w:rPr>
                <w:rFonts w:eastAsia="Times New Roman"/>
              </w:rPr>
            </w:pPr>
          </w:p>
          <w:p w14:paraId="643D5F66" w14:textId="77777777" w:rsidR="003F251A" w:rsidRPr="00CF39C8" w:rsidRDefault="003F251A" w:rsidP="001D57A5">
            <w:pPr>
              <w:spacing w:line="240" w:lineRule="auto"/>
              <w:rPr>
                <w:rFonts w:eastAsia="Times New Roman"/>
              </w:rPr>
            </w:pPr>
            <w:r w:rsidRPr="00CF39C8">
              <w:rPr>
                <w:rFonts w:eastAsia="Times New Roman"/>
              </w:rPr>
              <w:t xml:space="preserve">They </w:t>
            </w:r>
            <w:r w:rsidR="0074277C" w:rsidRPr="00CF39C8">
              <w:rPr>
                <w:rFonts w:eastAsia="Times New Roman"/>
              </w:rPr>
              <w:t>consider that</w:t>
            </w:r>
            <w:r w:rsidRPr="00CF39C8">
              <w:rPr>
                <w:rFonts w:eastAsia="Times New Roman"/>
              </w:rPr>
              <w:t xml:space="preserve"> a well-designed standard won't </w:t>
            </w:r>
            <w:r w:rsidR="0065086F" w:rsidRPr="00CF39C8">
              <w:rPr>
                <w:rFonts w:eastAsia="Times New Roman"/>
              </w:rPr>
              <w:t xml:space="preserve">lead to a statistically </w:t>
            </w:r>
            <w:r w:rsidRPr="00CF39C8">
              <w:rPr>
                <w:rFonts w:eastAsia="Times New Roman"/>
              </w:rPr>
              <w:t>significant increase</w:t>
            </w:r>
            <w:r w:rsidR="0065086F" w:rsidRPr="00CF39C8">
              <w:rPr>
                <w:rFonts w:eastAsia="Times New Roman"/>
              </w:rPr>
              <w:t xml:space="preserve"> in</w:t>
            </w:r>
            <w:r w:rsidRPr="00CF39C8">
              <w:rPr>
                <w:rFonts w:eastAsia="Times New Roman"/>
              </w:rPr>
              <w:t xml:space="preserve"> vehicle price</w:t>
            </w:r>
            <w:r w:rsidR="0065086F" w:rsidRPr="00CF39C8">
              <w:rPr>
                <w:rFonts w:eastAsia="Times New Roman"/>
              </w:rPr>
              <w:t>s</w:t>
            </w:r>
            <w:r w:rsidRPr="00CF39C8">
              <w:rPr>
                <w:rFonts w:eastAsia="Times New Roman"/>
              </w:rPr>
              <w:t>. To further encourage electric vehicle adoption, they recommend a complementary strategy that includes establishing public charging infrastructure and developing national standards for smart charging technology.</w:t>
            </w:r>
          </w:p>
          <w:p w14:paraId="2181C61D" w14:textId="77777777" w:rsidR="003F251A" w:rsidRPr="00CF39C8" w:rsidRDefault="003F251A" w:rsidP="001D57A5">
            <w:pPr>
              <w:spacing w:line="240" w:lineRule="auto"/>
              <w:rPr>
                <w:rFonts w:eastAsia="Times New Roman"/>
              </w:rPr>
            </w:pPr>
          </w:p>
        </w:tc>
      </w:tr>
      <w:tr w:rsidR="003F251A" w:rsidRPr="00CF39C8" w14:paraId="311A0E07" w14:textId="77777777" w:rsidTr="00075BA1">
        <w:tc>
          <w:tcPr>
            <w:tcW w:w="1980" w:type="dxa"/>
            <w:shd w:val="clear" w:color="auto" w:fill="9BC7CE" w:themeFill="accent5" w:themeFillTint="99"/>
          </w:tcPr>
          <w:p w14:paraId="553ABBA9" w14:textId="77777777" w:rsidR="003F251A" w:rsidRPr="00CF39C8" w:rsidRDefault="003F251A" w:rsidP="001D57A5">
            <w:pPr>
              <w:rPr>
                <w:b/>
              </w:rPr>
            </w:pPr>
            <w:r w:rsidRPr="00CF39C8">
              <w:rPr>
                <w:b/>
              </w:rPr>
              <w:t>Health</w:t>
            </w:r>
          </w:p>
        </w:tc>
        <w:tc>
          <w:tcPr>
            <w:tcW w:w="8080" w:type="dxa"/>
          </w:tcPr>
          <w:p w14:paraId="493E1843" w14:textId="77777777" w:rsidR="00291C48" w:rsidRDefault="00F30A1F" w:rsidP="00F30A1F">
            <w:pPr>
              <w:spacing w:line="240" w:lineRule="auto"/>
              <w:rPr>
                <w:rFonts w:eastAsia="Times New Roman"/>
              </w:rPr>
            </w:pPr>
            <w:r w:rsidRPr="00CF39C8">
              <w:rPr>
                <w:rFonts w:eastAsia="Times New Roman"/>
              </w:rPr>
              <w:t>This group expressed strong support for</w:t>
            </w:r>
            <w:r w:rsidR="003F251A" w:rsidRPr="00CF39C8">
              <w:rPr>
                <w:rFonts w:eastAsia="Times New Roman"/>
              </w:rPr>
              <w:t xml:space="preserve"> </w:t>
            </w:r>
            <w:r w:rsidR="00C12BE2">
              <w:rPr>
                <w:rFonts w:eastAsia="Times New Roman"/>
              </w:rPr>
              <w:t>Option C</w:t>
            </w:r>
            <w:r w:rsidRPr="00CF39C8">
              <w:rPr>
                <w:rFonts w:eastAsia="Times New Roman"/>
              </w:rPr>
              <w:t xml:space="preserve">, stating that </w:t>
            </w:r>
            <w:r w:rsidR="003F251A" w:rsidRPr="00CF39C8">
              <w:rPr>
                <w:rFonts w:eastAsia="Times New Roman"/>
              </w:rPr>
              <w:t>rapid reductions in emissions</w:t>
            </w:r>
            <w:r w:rsidRPr="00CF39C8">
              <w:rPr>
                <w:rFonts w:eastAsia="Times New Roman"/>
              </w:rPr>
              <w:t xml:space="preserve"> would have a </w:t>
            </w:r>
            <w:r w:rsidR="003F251A" w:rsidRPr="00CF39C8">
              <w:rPr>
                <w:rFonts w:eastAsia="Times New Roman"/>
              </w:rPr>
              <w:t>positive impact on public health and the environment.</w:t>
            </w:r>
            <w:r w:rsidRPr="00CF39C8">
              <w:rPr>
                <w:rFonts w:eastAsia="Times New Roman"/>
              </w:rPr>
              <w:t xml:space="preserve"> Some </w:t>
            </w:r>
            <w:r w:rsidR="00E37250" w:rsidRPr="00CF39C8">
              <w:rPr>
                <w:rFonts w:eastAsia="Times New Roman"/>
              </w:rPr>
              <w:t>emphasise</w:t>
            </w:r>
            <w:r w:rsidRPr="00CF39C8">
              <w:rPr>
                <w:rFonts w:eastAsia="Times New Roman"/>
              </w:rPr>
              <w:t>d</w:t>
            </w:r>
            <w:r w:rsidR="003F251A" w:rsidRPr="00CF39C8">
              <w:rPr>
                <w:rFonts w:eastAsia="Times New Roman"/>
              </w:rPr>
              <w:t xml:space="preserve"> the economic benefits of </w:t>
            </w:r>
            <w:r w:rsidR="00C12BE2">
              <w:rPr>
                <w:rFonts w:eastAsia="Times New Roman"/>
              </w:rPr>
              <w:t>Option C</w:t>
            </w:r>
            <w:r w:rsidR="003F251A" w:rsidRPr="00CF39C8">
              <w:rPr>
                <w:rFonts w:eastAsia="Times New Roman"/>
              </w:rPr>
              <w:t xml:space="preserve">, particularly for regional areas </w:t>
            </w:r>
            <w:r w:rsidR="004D7462" w:rsidRPr="00CF39C8">
              <w:rPr>
                <w:rFonts w:eastAsia="Times New Roman"/>
              </w:rPr>
              <w:t>which often face</w:t>
            </w:r>
            <w:r w:rsidR="003F251A" w:rsidRPr="00CF39C8">
              <w:rPr>
                <w:rFonts w:eastAsia="Times New Roman"/>
              </w:rPr>
              <w:t xml:space="preserve"> high transport costs due to limited public transport and reliance on private vehicles. </w:t>
            </w:r>
          </w:p>
          <w:p w14:paraId="6E35A252" w14:textId="77777777" w:rsidR="00291C48" w:rsidRDefault="00291C48" w:rsidP="00F30A1F">
            <w:pPr>
              <w:spacing w:line="240" w:lineRule="auto"/>
              <w:rPr>
                <w:rFonts w:eastAsia="Times New Roman"/>
              </w:rPr>
            </w:pPr>
          </w:p>
          <w:p w14:paraId="1AA117C8" w14:textId="77777777" w:rsidR="003F251A" w:rsidRPr="00CF39C8" w:rsidRDefault="003F251A" w:rsidP="00291C48">
            <w:pPr>
              <w:spacing w:line="240" w:lineRule="auto"/>
              <w:rPr>
                <w:rFonts w:eastAsia="Times New Roman"/>
              </w:rPr>
            </w:pPr>
            <w:r w:rsidRPr="00CF39C8">
              <w:rPr>
                <w:rFonts w:eastAsia="Times New Roman"/>
              </w:rPr>
              <w:t>Some highlight</w:t>
            </w:r>
            <w:r w:rsidR="004D7462" w:rsidRPr="00CF39C8">
              <w:rPr>
                <w:rFonts w:eastAsia="Times New Roman"/>
              </w:rPr>
              <w:t>ed</w:t>
            </w:r>
            <w:r w:rsidRPr="00CF39C8">
              <w:rPr>
                <w:rFonts w:eastAsia="Times New Roman"/>
              </w:rPr>
              <w:t xml:space="preserve"> the </w:t>
            </w:r>
            <w:r w:rsidR="004D7462" w:rsidRPr="00CF39C8">
              <w:rPr>
                <w:rFonts w:eastAsia="Times New Roman"/>
              </w:rPr>
              <w:t>urgent need to address</w:t>
            </w:r>
            <w:r w:rsidR="00FC6427" w:rsidRPr="00CF39C8">
              <w:rPr>
                <w:rFonts w:eastAsia="Times New Roman"/>
              </w:rPr>
              <w:t xml:space="preserve"> air pollution</w:t>
            </w:r>
            <w:r w:rsidRPr="00CF39C8">
              <w:rPr>
                <w:rFonts w:eastAsia="Times New Roman"/>
              </w:rPr>
              <w:t xml:space="preserve"> </w:t>
            </w:r>
            <w:r w:rsidR="004D7462" w:rsidRPr="00CF39C8">
              <w:rPr>
                <w:rFonts w:eastAsia="Times New Roman"/>
              </w:rPr>
              <w:t xml:space="preserve">because of its impact </w:t>
            </w:r>
            <w:r w:rsidRPr="00CF39C8">
              <w:rPr>
                <w:rFonts w:eastAsia="Times New Roman"/>
              </w:rPr>
              <w:t xml:space="preserve">on respiratory health. </w:t>
            </w:r>
            <w:r w:rsidR="004D7462" w:rsidRPr="00CF39C8">
              <w:rPr>
                <w:rFonts w:eastAsia="Times New Roman"/>
              </w:rPr>
              <w:t>Respondents</w:t>
            </w:r>
            <w:r w:rsidRPr="00CF39C8">
              <w:rPr>
                <w:rFonts w:eastAsia="Times New Roman"/>
              </w:rPr>
              <w:t xml:space="preserve"> acknowledge</w:t>
            </w:r>
            <w:r w:rsidR="004D7462" w:rsidRPr="00CF39C8">
              <w:rPr>
                <w:rFonts w:eastAsia="Times New Roman"/>
              </w:rPr>
              <w:t>d</w:t>
            </w:r>
            <w:r w:rsidRPr="00CF39C8">
              <w:rPr>
                <w:rFonts w:eastAsia="Times New Roman"/>
              </w:rPr>
              <w:t xml:space="preserve"> </w:t>
            </w:r>
            <w:r w:rsidR="00291C48">
              <w:rPr>
                <w:rFonts w:eastAsia="Times New Roman"/>
              </w:rPr>
              <w:t xml:space="preserve">that </w:t>
            </w:r>
            <w:r w:rsidR="00C12BE2">
              <w:rPr>
                <w:rFonts w:eastAsia="Times New Roman"/>
              </w:rPr>
              <w:t>Option B</w:t>
            </w:r>
            <w:r w:rsidR="00291C48">
              <w:rPr>
                <w:rFonts w:eastAsia="Times New Roman"/>
              </w:rPr>
              <w:t xml:space="preserve"> was more achievable and noted that it would still deliver significant </w:t>
            </w:r>
            <w:r w:rsidRPr="00CF39C8">
              <w:rPr>
                <w:rFonts w:eastAsia="Times New Roman"/>
              </w:rPr>
              <w:t xml:space="preserve">health and environmental </w:t>
            </w:r>
            <w:r w:rsidR="00291C48">
              <w:rPr>
                <w:rFonts w:eastAsia="Times New Roman"/>
              </w:rPr>
              <w:t>benefits</w:t>
            </w:r>
            <w:r w:rsidRPr="00CF39C8">
              <w:rPr>
                <w:rFonts w:eastAsia="Times New Roman"/>
              </w:rPr>
              <w:t xml:space="preserve">. </w:t>
            </w:r>
          </w:p>
        </w:tc>
      </w:tr>
      <w:tr w:rsidR="003F251A" w:rsidRPr="00CF39C8" w14:paraId="7E7862D5" w14:textId="77777777" w:rsidTr="00075BA1">
        <w:trPr>
          <w:trHeight w:val="5196"/>
        </w:trPr>
        <w:tc>
          <w:tcPr>
            <w:tcW w:w="1980" w:type="dxa"/>
            <w:shd w:val="clear" w:color="auto" w:fill="9BC7CE" w:themeFill="accent5" w:themeFillTint="99"/>
          </w:tcPr>
          <w:p w14:paraId="4F98E920" w14:textId="77777777" w:rsidR="003F251A" w:rsidRPr="00CF39C8" w:rsidRDefault="00B21795" w:rsidP="001D57A5">
            <w:pPr>
              <w:rPr>
                <w:b/>
              </w:rPr>
            </w:pPr>
            <w:r>
              <w:rPr>
                <w:b/>
              </w:rPr>
              <w:t xml:space="preserve">Membership-based </w:t>
            </w:r>
            <w:r w:rsidR="003F251A" w:rsidRPr="00CF39C8">
              <w:rPr>
                <w:b/>
              </w:rPr>
              <w:t>Professional Associations</w:t>
            </w:r>
          </w:p>
        </w:tc>
        <w:tc>
          <w:tcPr>
            <w:tcW w:w="8080" w:type="dxa"/>
          </w:tcPr>
          <w:p w14:paraId="38344E83" w14:textId="77777777" w:rsidR="003F251A" w:rsidRPr="00CF39C8" w:rsidRDefault="00C12BE2" w:rsidP="001D57A5">
            <w:pPr>
              <w:spacing w:line="240" w:lineRule="auto"/>
              <w:rPr>
                <w:rFonts w:eastAsia="Times New Roman"/>
              </w:rPr>
            </w:pPr>
            <w:r>
              <w:rPr>
                <w:rFonts w:eastAsia="Times New Roman"/>
              </w:rPr>
              <w:t>Option B</w:t>
            </w:r>
            <w:r w:rsidR="00FC6427" w:rsidRPr="00CF39C8">
              <w:rPr>
                <w:rFonts w:eastAsia="Times New Roman"/>
              </w:rPr>
              <w:t xml:space="preserve"> </w:t>
            </w:r>
            <w:r w:rsidR="008A3255" w:rsidRPr="00CF39C8">
              <w:rPr>
                <w:rFonts w:eastAsia="Times New Roman"/>
              </w:rPr>
              <w:t>was</w:t>
            </w:r>
            <w:r w:rsidR="003F251A" w:rsidRPr="00CF39C8">
              <w:rPr>
                <w:rFonts w:eastAsia="Times New Roman"/>
              </w:rPr>
              <w:t xml:space="preserve"> favoured by </w:t>
            </w:r>
            <w:r w:rsidR="00801A1A" w:rsidRPr="00CF39C8">
              <w:rPr>
                <w:rFonts w:eastAsia="Times New Roman"/>
              </w:rPr>
              <w:t xml:space="preserve">professional </w:t>
            </w:r>
            <w:r w:rsidR="007328E3" w:rsidRPr="00CF39C8">
              <w:rPr>
                <w:rFonts w:eastAsia="Times New Roman"/>
              </w:rPr>
              <w:t>associations;</w:t>
            </w:r>
            <w:r w:rsidR="002B1C83" w:rsidRPr="00CF39C8">
              <w:rPr>
                <w:rFonts w:eastAsia="Times New Roman"/>
              </w:rPr>
              <w:t xml:space="preserve"> </w:t>
            </w:r>
            <w:r w:rsidR="007328E3" w:rsidRPr="00CF39C8">
              <w:rPr>
                <w:rFonts w:eastAsia="Times New Roman"/>
              </w:rPr>
              <w:t>however,</w:t>
            </w:r>
            <w:r w:rsidR="002B1C83" w:rsidRPr="00CF39C8">
              <w:rPr>
                <w:rFonts w:eastAsia="Times New Roman"/>
              </w:rPr>
              <w:t xml:space="preserve"> it was noted that </w:t>
            </w:r>
            <w:r w:rsidR="003F251A" w:rsidRPr="00CF39C8">
              <w:rPr>
                <w:rFonts w:eastAsia="Times New Roman"/>
              </w:rPr>
              <w:t>the potential for limited vehicle supply</w:t>
            </w:r>
            <w:r w:rsidR="0080777E" w:rsidRPr="00CF39C8">
              <w:rPr>
                <w:rFonts w:eastAsia="Times New Roman"/>
              </w:rPr>
              <w:t>.</w:t>
            </w:r>
          </w:p>
          <w:p w14:paraId="49B4C1EB" w14:textId="77777777" w:rsidR="003F251A" w:rsidRPr="00CF39C8" w:rsidRDefault="003F251A" w:rsidP="001D57A5">
            <w:pPr>
              <w:spacing w:line="240" w:lineRule="auto"/>
              <w:rPr>
                <w:rFonts w:eastAsia="Times New Roman"/>
              </w:rPr>
            </w:pPr>
          </w:p>
          <w:p w14:paraId="36803567" w14:textId="77777777" w:rsidR="00FC6427" w:rsidRPr="00CF39C8" w:rsidRDefault="00FC6427" w:rsidP="009C2F7F">
            <w:pPr>
              <w:spacing w:line="240" w:lineRule="auto"/>
              <w:rPr>
                <w:rFonts w:eastAsia="Times New Roman"/>
              </w:rPr>
            </w:pPr>
            <w:r w:rsidRPr="00CF39C8">
              <w:rPr>
                <w:rFonts w:eastAsia="Times New Roman"/>
              </w:rPr>
              <w:t xml:space="preserve">Submissions </w:t>
            </w:r>
            <w:r w:rsidR="003F251A" w:rsidRPr="00CF39C8">
              <w:rPr>
                <w:rFonts w:eastAsia="Times New Roman"/>
              </w:rPr>
              <w:t>recommend</w:t>
            </w:r>
            <w:r w:rsidRPr="00CF39C8">
              <w:rPr>
                <w:rFonts w:eastAsia="Times New Roman"/>
              </w:rPr>
              <w:t xml:space="preserve">ed </w:t>
            </w:r>
          </w:p>
          <w:p w14:paraId="6F8D92DF" w14:textId="77777777" w:rsidR="00004356" w:rsidRPr="00CF39C8" w:rsidRDefault="00004356" w:rsidP="009C2F7F">
            <w:pPr>
              <w:spacing w:line="240" w:lineRule="auto"/>
              <w:rPr>
                <w:rFonts w:eastAsia="Times New Roman"/>
              </w:rPr>
            </w:pPr>
          </w:p>
          <w:p w14:paraId="254868C7" w14:textId="77777777" w:rsidR="00FC6427" w:rsidRPr="00CF39C8" w:rsidRDefault="00B96E6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w:t>
            </w:r>
            <w:r w:rsidR="00FC6427" w:rsidRPr="00CF39C8">
              <w:rPr>
                <w:rFonts w:eastAsia="Times New Roman"/>
              </w:rPr>
              <w:t>he</w:t>
            </w:r>
            <w:r w:rsidR="003F251A" w:rsidRPr="00CF39C8">
              <w:rPr>
                <w:rFonts w:eastAsia="Times New Roman"/>
              </w:rPr>
              <w:t xml:space="preserve"> develop</w:t>
            </w:r>
            <w:r w:rsidR="00FC6427" w:rsidRPr="00CF39C8">
              <w:rPr>
                <w:rFonts w:eastAsia="Times New Roman"/>
              </w:rPr>
              <w:t>ment of</w:t>
            </w:r>
            <w:r w:rsidR="003F251A" w:rsidRPr="00CF39C8">
              <w:rPr>
                <w:rFonts w:eastAsia="Times New Roman"/>
              </w:rPr>
              <w:t xml:space="preserve"> a strong supply chain for fuel-efficient vehicles in Australia, including upskilling technicians and building infrastructure for parts manufacturing, maintenance, and repair. </w:t>
            </w:r>
          </w:p>
          <w:p w14:paraId="65E86631"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Invest</w:t>
            </w:r>
            <w:r w:rsidR="00FC6427" w:rsidRPr="00CF39C8">
              <w:rPr>
                <w:rFonts w:eastAsia="Times New Roman"/>
              </w:rPr>
              <w:t>ment</w:t>
            </w:r>
            <w:r w:rsidRPr="00CF39C8">
              <w:rPr>
                <w:rFonts w:eastAsia="Times New Roman"/>
              </w:rPr>
              <w:t xml:space="preserve"> in research and training for fire authorities and first responders to handle electric vehicles safely. </w:t>
            </w:r>
          </w:p>
          <w:p w14:paraId="1FA56615" w14:textId="77777777" w:rsidR="00FC6427" w:rsidRPr="00CF39C8" w:rsidRDefault="00FC6427"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Further</w:t>
            </w:r>
            <w:r w:rsidR="003F251A" w:rsidRPr="00CF39C8">
              <w:rPr>
                <w:rFonts w:eastAsia="Times New Roman"/>
              </w:rPr>
              <w:t xml:space="preserve"> incentives for purchase of fuel-efficient light and heavy commercial vehicles. </w:t>
            </w:r>
          </w:p>
          <w:p w14:paraId="2749E5E8" w14:textId="77777777" w:rsidR="00FC6427" w:rsidRPr="00CF39C8" w:rsidRDefault="00FC6427"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Increased </w:t>
            </w:r>
            <w:r w:rsidR="003F251A" w:rsidRPr="00CF39C8">
              <w:rPr>
                <w:rFonts w:eastAsia="Times New Roman"/>
              </w:rPr>
              <w:t>EV charging infrastructure, including prioriti</w:t>
            </w:r>
            <w:r w:rsidRPr="00CF39C8">
              <w:rPr>
                <w:rFonts w:eastAsia="Times New Roman"/>
              </w:rPr>
              <w:t>s</w:t>
            </w:r>
            <w:r w:rsidR="003F251A" w:rsidRPr="00CF39C8">
              <w:rPr>
                <w:rFonts w:eastAsia="Times New Roman"/>
              </w:rPr>
              <w:t xml:space="preserve">ing regional areas and ensuring compatibility with future technologies. </w:t>
            </w:r>
          </w:p>
          <w:p w14:paraId="5905CA8C"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Provide ongoing consultation with stakeholders like industry groups to ensure the NVES is effective and well-designed. </w:t>
            </w:r>
          </w:p>
          <w:p w14:paraId="4E3851D2"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Consider tax concessions for consumers purchasing light commercial vehicles that meet or exceed the standards. </w:t>
            </w:r>
          </w:p>
          <w:p w14:paraId="61A7D3E2"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Implement a 2-year opt-in period to allow for market adjustments and infrastructure development.  </w:t>
            </w:r>
          </w:p>
        </w:tc>
      </w:tr>
      <w:tr w:rsidR="003F251A" w:rsidRPr="00CF39C8" w14:paraId="5044693D" w14:textId="77777777" w:rsidTr="00075BA1">
        <w:tc>
          <w:tcPr>
            <w:tcW w:w="1980" w:type="dxa"/>
            <w:shd w:val="clear" w:color="auto" w:fill="9BC7CE" w:themeFill="accent5" w:themeFillTint="99"/>
          </w:tcPr>
          <w:p w14:paraId="6B748E7F" w14:textId="77777777" w:rsidR="003F251A" w:rsidRPr="00CF39C8" w:rsidRDefault="003F251A" w:rsidP="001D57A5">
            <w:pPr>
              <w:rPr>
                <w:b/>
              </w:rPr>
            </w:pPr>
            <w:r w:rsidRPr="00CF39C8">
              <w:rPr>
                <w:b/>
              </w:rPr>
              <w:t>Motoring Associations</w:t>
            </w:r>
          </w:p>
        </w:tc>
        <w:tc>
          <w:tcPr>
            <w:tcW w:w="8080" w:type="dxa"/>
          </w:tcPr>
          <w:p w14:paraId="718B878F" w14:textId="77777777" w:rsidR="00B96E6A" w:rsidRPr="00CF39C8" w:rsidRDefault="00127640" w:rsidP="001D57A5">
            <w:pPr>
              <w:spacing w:line="240" w:lineRule="auto"/>
              <w:rPr>
                <w:rFonts w:eastAsia="Times New Roman"/>
              </w:rPr>
            </w:pPr>
            <w:r w:rsidRPr="00CF39C8">
              <w:rPr>
                <w:rFonts w:eastAsia="Times New Roman"/>
              </w:rPr>
              <w:t xml:space="preserve">Submissions from </w:t>
            </w:r>
            <w:r w:rsidR="003F251A" w:rsidRPr="00CF39C8">
              <w:rPr>
                <w:rFonts w:eastAsia="Times New Roman"/>
              </w:rPr>
              <w:t xml:space="preserve">Australian motoring associations </w:t>
            </w:r>
            <w:r w:rsidR="000F662F" w:rsidRPr="00CF39C8">
              <w:rPr>
                <w:rFonts w:eastAsia="Times New Roman"/>
              </w:rPr>
              <w:t>generally suppo</w:t>
            </w:r>
            <w:r w:rsidR="00BA4818" w:rsidRPr="00CF39C8">
              <w:rPr>
                <w:rFonts w:eastAsia="Times New Roman"/>
              </w:rPr>
              <w:t>rted a</w:t>
            </w:r>
            <w:r w:rsidR="00E37250" w:rsidRPr="00CF39C8">
              <w:rPr>
                <w:rFonts w:eastAsia="Times New Roman"/>
              </w:rPr>
              <w:t xml:space="preserve"> NVES</w:t>
            </w:r>
            <w:r w:rsidR="003F251A" w:rsidRPr="00CF39C8">
              <w:rPr>
                <w:rFonts w:eastAsia="Times New Roman"/>
              </w:rPr>
              <w:t xml:space="preserve">, </w:t>
            </w:r>
            <w:r w:rsidR="00E2705A" w:rsidRPr="00CF39C8">
              <w:rPr>
                <w:rFonts w:eastAsia="Times New Roman"/>
              </w:rPr>
              <w:t>but views differed in terms of stringency and timing</w:t>
            </w:r>
            <w:r w:rsidR="00BA4818" w:rsidRPr="00CF39C8">
              <w:rPr>
                <w:rFonts w:eastAsia="Times New Roman"/>
              </w:rPr>
              <w:t xml:space="preserve">, and support varied between options A and B. </w:t>
            </w:r>
          </w:p>
          <w:p w14:paraId="10DC68AC" w14:textId="77777777" w:rsidR="00B96E6A" w:rsidRPr="00CF39C8" w:rsidRDefault="00B96E6A" w:rsidP="001D57A5">
            <w:pPr>
              <w:spacing w:line="240" w:lineRule="auto"/>
              <w:rPr>
                <w:rFonts w:eastAsia="Times New Roman"/>
              </w:rPr>
            </w:pPr>
          </w:p>
          <w:p w14:paraId="72A83B5D" w14:textId="77777777" w:rsidR="003F251A" w:rsidRPr="00CF39C8" w:rsidRDefault="00127640" w:rsidP="001D57A5">
            <w:pPr>
              <w:spacing w:line="240" w:lineRule="auto"/>
              <w:rPr>
                <w:rFonts w:eastAsia="Times New Roman"/>
              </w:rPr>
            </w:pPr>
            <w:r w:rsidRPr="00CF39C8">
              <w:rPr>
                <w:rFonts w:eastAsia="Times New Roman"/>
              </w:rPr>
              <w:t>Recommendations included</w:t>
            </w:r>
            <w:r w:rsidR="00B96E6A" w:rsidRPr="00CF39C8">
              <w:rPr>
                <w:rFonts w:eastAsia="Times New Roman"/>
              </w:rPr>
              <w:t>:</w:t>
            </w:r>
          </w:p>
          <w:p w14:paraId="3AFA576C" w14:textId="77777777" w:rsidR="003F251A" w:rsidRPr="00CF39C8" w:rsidRDefault="003F251A" w:rsidP="001D57A5">
            <w:pPr>
              <w:spacing w:line="240" w:lineRule="auto"/>
              <w:rPr>
                <w:rFonts w:eastAsia="Times New Roman"/>
              </w:rPr>
            </w:pPr>
          </w:p>
          <w:p w14:paraId="30F88ECC" w14:textId="77777777" w:rsidR="00127640"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S</w:t>
            </w:r>
            <w:r w:rsidR="003F251A" w:rsidRPr="00CF39C8">
              <w:rPr>
                <w:rFonts w:eastAsia="Times New Roman"/>
              </w:rPr>
              <w:t xml:space="preserve">eparate phased targets for </w:t>
            </w:r>
            <w:r w:rsidR="00291C48">
              <w:rPr>
                <w:rFonts w:eastAsia="Times New Roman"/>
              </w:rPr>
              <w:t>PVs and LCVs</w:t>
            </w:r>
            <w:r w:rsidR="003F251A" w:rsidRPr="00CF39C8">
              <w:rPr>
                <w:rFonts w:eastAsia="Times New Roman"/>
              </w:rPr>
              <w:t xml:space="preserve">. </w:t>
            </w:r>
          </w:p>
          <w:p w14:paraId="4A8AE34D" w14:textId="77777777" w:rsidR="003F251A"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Increasing</w:t>
            </w:r>
            <w:r w:rsidR="003F251A" w:rsidRPr="00CF39C8">
              <w:rPr>
                <w:rFonts w:eastAsia="Times New Roman"/>
              </w:rPr>
              <w:t xml:space="preserve"> credits in the system through the adoption of supercredits or technology credits. </w:t>
            </w:r>
          </w:p>
          <w:p w14:paraId="4D3EEDD8" w14:textId="77777777" w:rsidR="00D05C21" w:rsidRPr="00CF39C8" w:rsidRDefault="00D05C21"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w:t>
            </w:r>
            <w:r w:rsidR="003F251A" w:rsidRPr="00CF39C8">
              <w:rPr>
                <w:rFonts w:eastAsia="Times New Roman"/>
              </w:rPr>
              <w:t>lexibility for</w:t>
            </w:r>
            <w:r w:rsidRPr="00CF39C8">
              <w:rPr>
                <w:rFonts w:eastAsia="Times New Roman"/>
              </w:rPr>
              <w:t xml:space="preserve"> manufacturers of</w:t>
            </w:r>
            <w:r w:rsidR="003F251A" w:rsidRPr="00CF39C8">
              <w:rPr>
                <w:rFonts w:eastAsia="Times New Roman"/>
              </w:rPr>
              <w:t xml:space="preserve"> LCVs</w:t>
            </w:r>
            <w:r w:rsidRPr="00CF39C8">
              <w:rPr>
                <w:rFonts w:eastAsia="Times New Roman"/>
              </w:rPr>
              <w:t>.</w:t>
            </w:r>
          </w:p>
          <w:p w14:paraId="02374E64" w14:textId="77777777" w:rsidR="00127640" w:rsidRPr="00CF39C8" w:rsidRDefault="00D05C21"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G</w:t>
            </w:r>
            <w:r w:rsidR="003F251A" w:rsidRPr="00CF39C8">
              <w:rPr>
                <w:rFonts w:eastAsia="Times New Roman"/>
              </w:rPr>
              <w:t xml:space="preserve">overnment support </w:t>
            </w:r>
            <w:r w:rsidRPr="00CF39C8">
              <w:rPr>
                <w:rFonts w:eastAsia="Times New Roman"/>
              </w:rPr>
              <w:t>to encourage</w:t>
            </w:r>
            <w:r w:rsidR="003F251A" w:rsidRPr="00CF39C8">
              <w:rPr>
                <w:rFonts w:eastAsia="Times New Roman"/>
              </w:rPr>
              <w:t xml:space="preserve"> innovation in the LCV segment and biofuels development. </w:t>
            </w:r>
          </w:p>
          <w:p w14:paraId="1EC6FA6B" w14:textId="77777777" w:rsidR="00127640"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ffordability of low-emission vehicles is </w:t>
            </w:r>
            <w:r w:rsidRPr="00CF39C8">
              <w:rPr>
                <w:rFonts w:eastAsia="Times New Roman"/>
              </w:rPr>
              <w:t>critical to uptake</w:t>
            </w:r>
            <w:r w:rsidR="003F251A" w:rsidRPr="00CF39C8">
              <w:rPr>
                <w:rFonts w:eastAsia="Times New Roman"/>
              </w:rPr>
              <w:t xml:space="preserve"> </w:t>
            </w:r>
            <w:r w:rsidR="00127640" w:rsidRPr="00CF39C8">
              <w:rPr>
                <w:rFonts w:eastAsia="Times New Roman"/>
              </w:rPr>
              <w:t xml:space="preserve"> </w:t>
            </w:r>
          </w:p>
          <w:p w14:paraId="5281952B" w14:textId="77777777" w:rsidR="003F251A"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O</w:t>
            </w:r>
            <w:r w:rsidR="003F251A" w:rsidRPr="00CF39C8">
              <w:rPr>
                <w:rFonts w:eastAsia="Times New Roman"/>
              </w:rPr>
              <w:t xml:space="preserve">ngoing review of the NVES </w:t>
            </w:r>
            <w:r w:rsidRPr="00CF39C8">
              <w:rPr>
                <w:rFonts w:eastAsia="Times New Roman"/>
              </w:rPr>
              <w:t xml:space="preserve">is critical </w:t>
            </w:r>
            <w:r w:rsidR="003F251A" w:rsidRPr="00CF39C8">
              <w:rPr>
                <w:rFonts w:eastAsia="Times New Roman"/>
              </w:rPr>
              <w:t>to ensure its effectiveness.</w:t>
            </w:r>
          </w:p>
        </w:tc>
      </w:tr>
      <w:tr w:rsidR="003F251A" w:rsidRPr="00CF39C8" w14:paraId="4DEE9D0D" w14:textId="77777777" w:rsidTr="00075BA1">
        <w:tc>
          <w:tcPr>
            <w:tcW w:w="1980" w:type="dxa"/>
            <w:shd w:val="clear" w:color="auto" w:fill="9BC7CE" w:themeFill="accent5" w:themeFillTint="99"/>
          </w:tcPr>
          <w:p w14:paraId="6B862219" w14:textId="77777777" w:rsidR="003F251A" w:rsidRPr="00CF39C8" w:rsidRDefault="003F251A" w:rsidP="001D57A5">
            <w:pPr>
              <w:rPr>
                <w:b/>
              </w:rPr>
            </w:pPr>
            <w:r w:rsidRPr="00CF39C8">
              <w:rPr>
                <w:b/>
              </w:rPr>
              <w:t xml:space="preserve">EV Related </w:t>
            </w:r>
            <w:r w:rsidR="002B1C83" w:rsidRPr="00CF39C8">
              <w:rPr>
                <w:b/>
              </w:rPr>
              <w:t>Entities</w:t>
            </w:r>
          </w:p>
        </w:tc>
        <w:tc>
          <w:tcPr>
            <w:tcW w:w="8080" w:type="dxa"/>
          </w:tcPr>
          <w:p w14:paraId="13D70A3A" w14:textId="77777777" w:rsidR="00E97F33" w:rsidRPr="00CF39C8" w:rsidRDefault="00E97F33" w:rsidP="001D57A5">
            <w:pPr>
              <w:spacing w:line="240" w:lineRule="auto"/>
              <w:rPr>
                <w:rFonts w:eastAsia="Times New Roman"/>
              </w:rPr>
            </w:pPr>
            <w:r w:rsidRPr="00CF39C8">
              <w:rPr>
                <w:rFonts w:eastAsia="Times New Roman"/>
              </w:rPr>
              <w:t>This group</w:t>
            </w:r>
            <w:r w:rsidR="003F251A" w:rsidRPr="00CF39C8">
              <w:rPr>
                <w:rFonts w:eastAsia="Times New Roman"/>
              </w:rPr>
              <w:t xml:space="preserve"> agree</w:t>
            </w:r>
            <w:r w:rsidRPr="00CF39C8">
              <w:rPr>
                <w:rFonts w:eastAsia="Times New Roman"/>
              </w:rPr>
              <w:t>d</w:t>
            </w:r>
            <w:r w:rsidR="003F251A" w:rsidRPr="00CF39C8">
              <w:rPr>
                <w:rFonts w:eastAsia="Times New Roman"/>
              </w:rPr>
              <w:t xml:space="preserve"> on the need for stricter vehicle emission standards</w:t>
            </w:r>
            <w:r w:rsidR="00BA4818" w:rsidRPr="00CF39C8">
              <w:rPr>
                <w:rFonts w:eastAsia="Times New Roman"/>
              </w:rPr>
              <w:t xml:space="preserve">, with most </w:t>
            </w:r>
            <w:r w:rsidR="003F251A" w:rsidRPr="00CF39C8">
              <w:rPr>
                <w:rFonts w:eastAsia="Times New Roman"/>
              </w:rPr>
              <w:t>support</w:t>
            </w:r>
            <w:r w:rsidR="00BA4818" w:rsidRPr="00CF39C8">
              <w:rPr>
                <w:rFonts w:eastAsia="Times New Roman"/>
              </w:rPr>
              <w:t>ing</w:t>
            </w:r>
            <w:r w:rsidR="003F251A" w:rsidRPr="00CF39C8">
              <w:rPr>
                <w:rFonts w:eastAsia="Times New Roman"/>
              </w:rPr>
              <w:t xml:space="preserve"> </w:t>
            </w:r>
            <w:r w:rsidR="00E0438A">
              <w:rPr>
                <w:rFonts w:eastAsia="Times New Roman"/>
              </w:rPr>
              <w:t>o</w:t>
            </w:r>
            <w:r w:rsidR="003F251A" w:rsidRPr="00CF39C8">
              <w:rPr>
                <w:rFonts w:eastAsia="Times New Roman"/>
              </w:rPr>
              <w:t>ption</w:t>
            </w:r>
            <w:r w:rsidR="00291C48">
              <w:rPr>
                <w:rFonts w:eastAsia="Times New Roman"/>
              </w:rPr>
              <w:t>s</w:t>
            </w:r>
            <w:r w:rsidR="003F251A" w:rsidRPr="00CF39C8">
              <w:rPr>
                <w:rFonts w:eastAsia="Times New Roman"/>
              </w:rPr>
              <w:t xml:space="preserve"> </w:t>
            </w:r>
            <w:r w:rsidR="00B96E6A" w:rsidRPr="00CF39C8">
              <w:rPr>
                <w:rFonts w:eastAsia="Times New Roman"/>
              </w:rPr>
              <w:t xml:space="preserve">B </w:t>
            </w:r>
            <w:r w:rsidR="003F251A" w:rsidRPr="00CF39C8">
              <w:rPr>
                <w:rFonts w:eastAsia="Times New Roman"/>
              </w:rPr>
              <w:t xml:space="preserve">or C. </w:t>
            </w:r>
            <w:r w:rsidR="00BA4818" w:rsidRPr="00CF39C8">
              <w:rPr>
                <w:rFonts w:eastAsia="Times New Roman"/>
              </w:rPr>
              <w:t xml:space="preserve"> They consider that the </w:t>
            </w:r>
            <w:r w:rsidR="003F251A" w:rsidRPr="00CF39C8">
              <w:rPr>
                <w:rFonts w:eastAsia="Times New Roman"/>
              </w:rPr>
              <w:t>targets</w:t>
            </w:r>
            <w:r w:rsidR="00BA4818" w:rsidRPr="00CF39C8">
              <w:rPr>
                <w:rFonts w:eastAsia="Times New Roman"/>
              </w:rPr>
              <w:t xml:space="preserve"> should be</w:t>
            </w:r>
            <w:r w:rsidR="003F251A" w:rsidRPr="00CF39C8">
              <w:rPr>
                <w:rFonts w:eastAsia="Times New Roman"/>
              </w:rPr>
              <w:t xml:space="preserve"> set beyond 2029 and </w:t>
            </w:r>
            <w:r w:rsidRPr="00CF39C8">
              <w:rPr>
                <w:rFonts w:eastAsia="Times New Roman"/>
              </w:rPr>
              <w:t xml:space="preserve">should start earlier than 1 January 2025. </w:t>
            </w:r>
          </w:p>
          <w:p w14:paraId="3BB01156" w14:textId="77777777" w:rsidR="00E97F33" w:rsidRPr="00CF39C8" w:rsidRDefault="00E97F33" w:rsidP="001D57A5">
            <w:pPr>
              <w:spacing w:line="240" w:lineRule="auto"/>
              <w:rPr>
                <w:rFonts w:eastAsia="Times New Roman"/>
              </w:rPr>
            </w:pPr>
          </w:p>
          <w:p w14:paraId="6C95E7E8" w14:textId="77777777" w:rsidR="003F251A" w:rsidRPr="00CF39C8" w:rsidRDefault="003F251A" w:rsidP="00E97F33">
            <w:pPr>
              <w:spacing w:line="240" w:lineRule="auto"/>
              <w:rPr>
                <w:rFonts w:eastAsia="Times New Roman"/>
              </w:rPr>
            </w:pPr>
            <w:r w:rsidRPr="00CF39C8">
              <w:rPr>
                <w:rFonts w:eastAsia="Times New Roman"/>
              </w:rPr>
              <w:t>Some groups oppose</w:t>
            </w:r>
            <w:r w:rsidR="00E97F33" w:rsidRPr="00CF39C8">
              <w:rPr>
                <w:rFonts w:eastAsia="Times New Roman"/>
              </w:rPr>
              <w:t>d</w:t>
            </w:r>
            <w:r w:rsidRPr="00CF39C8">
              <w:rPr>
                <w:rFonts w:eastAsia="Times New Roman"/>
              </w:rPr>
              <w:t xml:space="preserve"> credits for features already built into most vehicles, while others suggest </w:t>
            </w:r>
            <w:r w:rsidR="00E97F33" w:rsidRPr="00CF39C8">
              <w:rPr>
                <w:rFonts w:eastAsia="Times New Roman"/>
              </w:rPr>
              <w:t xml:space="preserve">credits be </w:t>
            </w:r>
            <w:r w:rsidRPr="00CF39C8">
              <w:rPr>
                <w:rFonts w:eastAsia="Times New Roman"/>
              </w:rPr>
              <w:t>temporary allow</w:t>
            </w:r>
            <w:r w:rsidR="00E97F33" w:rsidRPr="00CF39C8">
              <w:rPr>
                <w:rFonts w:eastAsia="Times New Roman"/>
              </w:rPr>
              <w:t>ed</w:t>
            </w:r>
            <w:r w:rsidRPr="00CF39C8">
              <w:rPr>
                <w:rFonts w:eastAsia="Times New Roman"/>
              </w:rPr>
              <w:t xml:space="preserve"> for specific vehicle types. All acknowledge</w:t>
            </w:r>
            <w:r w:rsidR="00E97F33" w:rsidRPr="00CF39C8">
              <w:rPr>
                <w:rFonts w:eastAsia="Times New Roman"/>
              </w:rPr>
              <w:t>d</w:t>
            </w:r>
            <w:r w:rsidRPr="00CF39C8">
              <w:rPr>
                <w:rFonts w:eastAsia="Times New Roman"/>
              </w:rPr>
              <w:t xml:space="preserve"> the need for public education to help Australians understand electric vehicles and charging options. Funding a public information campaign </w:t>
            </w:r>
            <w:r w:rsidR="002B1C83" w:rsidRPr="00CF39C8">
              <w:rPr>
                <w:rFonts w:eastAsia="Times New Roman"/>
              </w:rPr>
              <w:t xml:space="preserve">about EV technology </w:t>
            </w:r>
            <w:r w:rsidR="00E97F33" w:rsidRPr="00CF39C8">
              <w:rPr>
                <w:rFonts w:eastAsia="Times New Roman"/>
              </w:rPr>
              <w:t>was</w:t>
            </w:r>
            <w:r w:rsidRPr="00CF39C8">
              <w:rPr>
                <w:rFonts w:eastAsia="Times New Roman"/>
              </w:rPr>
              <w:t xml:space="preserve"> a key recommendation.</w:t>
            </w:r>
          </w:p>
        </w:tc>
      </w:tr>
      <w:tr w:rsidR="003F251A" w:rsidRPr="00CF39C8" w14:paraId="3B09D25D" w14:textId="77777777" w:rsidTr="00075BA1">
        <w:tc>
          <w:tcPr>
            <w:tcW w:w="1980" w:type="dxa"/>
            <w:shd w:val="clear" w:color="auto" w:fill="9BC7CE" w:themeFill="accent5" w:themeFillTint="99"/>
          </w:tcPr>
          <w:p w14:paraId="560BD99B" w14:textId="77777777" w:rsidR="003F251A" w:rsidRPr="00CF39C8" w:rsidRDefault="003F251A" w:rsidP="001D57A5">
            <w:pPr>
              <w:rPr>
                <w:b/>
              </w:rPr>
            </w:pPr>
            <w:r w:rsidRPr="00CF39C8">
              <w:rPr>
                <w:b/>
              </w:rPr>
              <w:t>Road &amp; Safety</w:t>
            </w:r>
          </w:p>
        </w:tc>
        <w:tc>
          <w:tcPr>
            <w:tcW w:w="8080" w:type="dxa"/>
          </w:tcPr>
          <w:p w14:paraId="1FA80001" w14:textId="77777777" w:rsidR="00291C48" w:rsidRDefault="00372616" w:rsidP="00372616">
            <w:pPr>
              <w:spacing w:line="240" w:lineRule="auto"/>
              <w:rPr>
                <w:rFonts w:eastAsia="Times New Roman"/>
              </w:rPr>
            </w:pPr>
            <w:r w:rsidRPr="00CF39C8">
              <w:rPr>
                <w:rFonts w:eastAsia="Times New Roman"/>
              </w:rPr>
              <w:t xml:space="preserve">ANCAP, the Australasian New Car Assessment Programme, supported the NVES, but also emphasised that vehicle safety should not be compromised. It highlights that measures to modernise our national vehicle fleet will also improve the overall safety performance of that fleet, though this will only occur if it involves new vehicles with high ANCAP ratings. </w:t>
            </w:r>
          </w:p>
          <w:p w14:paraId="0B14E109" w14:textId="77777777" w:rsidR="003F251A" w:rsidRPr="00CF39C8" w:rsidRDefault="00372616" w:rsidP="00372616">
            <w:pPr>
              <w:spacing w:line="240" w:lineRule="auto"/>
              <w:rPr>
                <w:rFonts w:eastAsia="Times New Roman"/>
              </w:rPr>
            </w:pPr>
            <w:r w:rsidRPr="00CF39C8">
              <w:rPr>
                <w:rFonts w:eastAsia="Times New Roman"/>
              </w:rPr>
              <w:t xml:space="preserve">They recommend adding another performance measure to assess the performance of the NVES, namely, the proportion of vehicles sold in Australia with a current five-star safety rating from ANCAP, rather than simply considering vehicle age. </w:t>
            </w:r>
          </w:p>
        </w:tc>
      </w:tr>
      <w:tr w:rsidR="003F251A" w:rsidRPr="00CF39C8" w14:paraId="430F963B" w14:textId="77777777" w:rsidTr="00075BA1">
        <w:tc>
          <w:tcPr>
            <w:tcW w:w="1980" w:type="dxa"/>
            <w:shd w:val="clear" w:color="auto" w:fill="9BC7CE" w:themeFill="accent5" w:themeFillTint="99"/>
          </w:tcPr>
          <w:p w14:paraId="02D80731" w14:textId="77777777" w:rsidR="003F251A" w:rsidRPr="00CF39C8" w:rsidRDefault="003F251A" w:rsidP="001D57A5">
            <w:pPr>
              <w:rPr>
                <w:b/>
              </w:rPr>
            </w:pPr>
            <w:r w:rsidRPr="00CF39C8">
              <w:rPr>
                <w:b/>
              </w:rPr>
              <w:t xml:space="preserve">Research, </w:t>
            </w:r>
            <w:r w:rsidR="0065086F" w:rsidRPr="00CF39C8">
              <w:rPr>
                <w:b/>
              </w:rPr>
              <w:t>t</w:t>
            </w:r>
            <w:r w:rsidRPr="00CF39C8">
              <w:rPr>
                <w:b/>
              </w:rPr>
              <w:t xml:space="preserve">hink tanks &amp; </w:t>
            </w:r>
            <w:r w:rsidR="0065086F" w:rsidRPr="00CF39C8">
              <w:rPr>
                <w:b/>
              </w:rPr>
              <w:t xml:space="preserve">management advisory </w:t>
            </w:r>
          </w:p>
        </w:tc>
        <w:tc>
          <w:tcPr>
            <w:tcW w:w="8080" w:type="dxa"/>
          </w:tcPr>
          <w:p w14:paraId="34988844" w14:textId="77777777" w:rsidR="00291C48" w:rsidRDefault="003F251A" w:rsidP="00430317">
            <w:pPr>
              <w:numPr>
                <w:ilvl w:val="1"/>
                <w:numId w:val="55"/>
              </w:numPr>
              <w:spacing w:line="240" w:lineRule="auto"/>
              <w:ind w:left="0"/>
              <w:rPr>
                <w:rFonts w:eastAsia="Times New Roman"/>
              </w:rPr>
            </w:pPr>
            <w:r w:rsidRPr="00CF39C8">
              <w:rPr>
                <w:rFonts w:eastAsia="Times New Roman"/>
              </w:rPr>
              <w:t xml:space="preserve">Stakeholders broadly support the introduction of a NVES. </w:t>
            </w:r>
            <w:r w:rsidR="00127640" w:rsidRPr="00CF39C8">
              <w:rPr>
                <w:rFonts w:eastAsia="Times New Roman"/>
              </w:rPr>
              <w:t xml:space="preserve">The dominant view from these organisations is </w:t>
            </w:r>
            <w:r w:rsidR="00E37250" w:rsidRPr="00CF39C8">
              <w:rPr>
                <w:rFonts w:eastAsia="Times New Roman"/>
              </w:rPr>
              <w:t xml:space="preserve">that </w:t>
            </w:r>
            <w:r w:rsidRPr="00CF39C8">
              <w:rPr>
                <w:rFonts w:eastAsia="Times New Roman"/>
              </w:rPr>
              <w:t xml:space="preserve">options B and C would be </w:t>
            </w:r>
            <w:r w:rsidR="00127640" w:rsidRPr="00CF39C8">
              <w:rPr>
                <w:rFonts w:eastAsia="Times New Roman"/>
              </w:rPr>
              <w:t>most</w:t>
            </w:r>
            <w:r w:rsidRPr="00CF39C8">
              <w:rPr>
                <w:rFonts w:eastAsia="Times New Roman"/>
              </w:rPr>
              <w:t xml:space="preserve"> beneficial</w:t>
            </w:r>
            <w:r w:rsidR="00291C48">
              <w:rPr>
                <w:rFonts w:eastAsia="Times New Roman"/>
              </w:rPr>
              <w:t>. Specific recommendations included:</w:t>
            </w:r>
          </w:p>
          <w:p w14:paraId="5AB06BA6" w14:textId="77777777" w:rsidR="00B21795" w:rsidRDefault="00B21795" w:rsidP="00430317">
            <w:pPr>
              <w:numPr>
                <w:ilvl w:val="1"/>
                <w:numId w:val="55"/>
              </w:numPr>
              <w:spacing w:line="240" w:lineRule="auto"/>
              <w:ind w:left="0"/>
              <w:rPr>
                <w:rFonts w:eastAsia="Times New Roman"/>
              </w:rPr>
            </w:pPr>
          </w:p>
          <w:p w14:paraId="3D1EB312" w14:textId="77777777" w:rsidR="00291C48" w:rsidRPr="00CF39C8" w:rsidRDefault="00291C48" w:rsidP="00291C48">
            <w:pPr>
              <w:pStyle w:val="ListParagraph"/>
              <w:numPr>
                <w:ilvl w:val="0"/>
                <w:numId w:val="55"/>
              </w:numPr>
              <w:shd w:val="clear" w:color="auto" w:fill="FFFFFF"/>
              <w:spacing w:after="120" w:line="240" w:lineRule="auto"/>
              <w:ind w:left="714" w:hanging="357"/>
              <w:contextualSpacing w:val="0"/>
            </w:pPr>
            <w:r w:rsidRPr="00CF39C8">
              <w:t>Eliminating supercredits</w:t>
            </w:r>
          </w:p>
          <w:p w14:paraId="5DC8855D" w14:textId="77777777" w:rsidR="00B21795" w:rsidRDefault="00291C48" w:rsidP="00B21795">
            <w:pPr>
              <w:pStyle w:val="ListParagraph"/>
              <w:numPr>
                <w:ilvl w:val="0"/>
                <w:numId w:val="55"/>
              </w:numPr>
              <w:shd w:val="clear" w:color="auto" w:fill="FFFFFF"/>
              <w:spacing w:after="120" w:line="240" w:lineRule="auto"/>
              <w:ind w:left="714" w:hanging="357"/>
              <w:contextualSpacing w:val="0"/>
            </w:pPr>
            <w:r w:rsidRPr="00CF39C8">
              <w:t xml:space="preserve">Including SUVs in the </w:t>
            </w:r>
            <w:r w:rsidR="00B21795">
              <w:t>PV category</w:t>
            </w:r>
            <w:r w:rsidRPr="00CF39C8">
              <w:t>.</w:t>
            </w:r>
            <w:r w:rsidR="00B21795">
              <w:t xml:space="preserve"> </w:t>
            </w:r>
          </w:p>
          <w:p w14:paraId="70B13A17" w14:textId="77777777" w:rsidR="00B21795" w:rsidRPr="00CF39C8" w:rsidRDefault="00B21795" w:rsidP="00B21795">
            <w:pPr>
              <w:pStyle w:val="ListParagraph"/>
              <w:numPr>
                <w:ilvl w:val="0"/>
                <w:numId w:val="55"/>
              </w:numPr>
              <w:shd w:val="clear" w:color="auto" w:fill="FFFFFF"/>
              <w:spacing w:after="120" w:line="240" w:lineRule="auto"/>
              <w:ind w:left="714" w:hanging="357"/>
              <w:contextualSpacing w:val="0"/>
            </w:pPr>
            <w:r>
              <w:t>W</w:t>
            </w:r>
            <w:r w:rsidRPr="00CF39C8">
              <w:t xml:space="preserve">LTP </w:t>
            </w:r>
            <w:r>
              <w:t>should</w:t>
            </w:r>
            <w:r w:rsidRPr="00CF39C8">
              <w:t xml:space="preserve"> replace the outdated NEDC for emission tracking. </w:t>
            </w:r>
          </w:p>
          <w:p w14:paraId="5A0E877B" w14:textId="77777777" w:rsidR="00291C48" w:rsidRDefault="00291C48" w:rsidP="00430317">
            <w:pPr>
              <w:numPr>
                <w:ilvl w:val="1"/>
                <w:numId w:val="55"/>
              </w:numPr>
              <w:spacing w:line="240" w:lineRule="auto"/>
              <w:ind w:left="0"/>
              <w:rPr>
                <w:rFonts w:eastAsia="Times New Roman"/>
              </w:rPr>
            </w:pPr>
          </w:p>
          <w:p w14:paraId="7A704EB9" w14:textId="77777777" w:rsidR="003F251A" w:rsidRPr="00CF39C8" w:rsidRDefault="00291C48" w:rsidP="00B21795">
            <w:pPr>
              <w:shd w:val="clear" w:color="auto" w:fill="FFFFFF"/>
              <w:spacing w:line="240" w:lineRule="auto"/>
            </w:pPr>
            <w:r w:rsidRPr="00B21795">
              <w:rPr>
                <w:rFonts w:eastAsia="Times New Roman"/>
              </w:rPr>
              <w:t>They also</w:t>
            </w:r>
            <w:r w:rsidR="00B21795">
              <w:rPr>
                <w:rFonts w:eastAsia="Times New Roman"/>
              </w:rPr>
              <w:t xml:space="preserve"> noted the benefits of using e</w:t>
            </w:r>
            <w:r w:rsidR="003F251A" w:rsidRPr="00CF39C8">
              <w:t xml:space="preserve">lectric vehicles </w:t>
            </w:r>
            <w:r w:rsidR="00B21795">
              <w:t xml:space="preserve">used </w:t>
            </w:r>
            <w:r w:rsidR="003F251A" w:rsidRPr="00CF39C8">
              <w:t xml:space="preserve">as mobile battery storage for the electricity grid. This vehicle-to-grid (V2X) technology can provide flexibility and cost savings for </w:t>
            </w:r>
            <w:r w:rsidR="0065086F" w:rsidRPr="00CF39C8">
              <w:t>consumers</w:t>
            </w:r>
            <w:r w:rsidR="003F251A" w:rsidRPr="00CF39C8">
              <w:t>.</w:t>
            </w:r>
          </w:p>
          <w:p w14:paraId="418915A1" w14:textId="77777777" w:rsidR="003F251A" w:rsidRPr="00CF39C8" w:rsidRDefault="003F251A" w:rsidP="00B21795">
            <w:pPr>
              <w:pStyle w:val="ListParagraph"/>
              <w:shd w:val="clear" w:color="auto" w:fill="FFFFFF"/>
              <w:spacing w:after="120" w:line="240" w:lineRule="auto"/>
              <w:ind w:left="714"/>
              <w:contextualSpacing w:val="0"/>
            </w:pPr>
          </w:p>
        </w:tc>
      </w:tr>
      <w:tr w:rsidR="003F251A" w:rsidRPr="00CF39C8" w14:paraId="14CEAC36" w14:textId="77777777" w:rsidTr="00075BA1">
        <w:tc>
          <w:tcPr>
            <w:tcW w:w="1980" w:type="dxa"/>
            <w:shd w:val="clear" w:color="auto" w:fill="9BC7CE" w:themeFill="accent5" w:themeFillTint="99"/>
          </w:tcPr>
          <w:p w14:paraId="48033FFB" w14:textId="77777777" w:rsidR="003F251A" w:rsidRPr="00CF39C8" w:rsidRDefault="00B21795" w:rsidP="001D57A5">
            <w:pPr>
              <w:rPr>
                <w:b/>
              </w:rPr>
            </w:pPr>
            <w:r>
              <w:rPr>
                <w:b/>
              </w:rPr>
              <w:t>Organisations representing c</w:t>
            </w:r>
            <w:r w:rsidR="003F251A" w:rsidRPr="00CF39C8">
              <w:rPr>
                <w:b/>
              </w:rPr>
              <w:t>onsumers</w:t>
            </w:r>
            <w:r>
              <w:rPr>
                <w:b/>
              </w:rPr>
              <w:t>, vulnerable Australians</w:t>
            </w:r>
            <w:r w:rsidR="003F251A" w:rsidRPr="00CF39C8">
              <w:rPr>
                <w:b/>
              </w:rPr>
              <w:t xml:space="preserve"> &amp; </w:t>
            </w:r>
            <w:r>
              <w:rPr>
                <w:b/>
              </w:rPr>
              <w:t>o</w:t>
            </w:r>
            <w:r w:rsidR="003F251A" w:rsidRPr="00CF39C8">
              <w:rPr>
                <w:b/>
              </w:rPr>
              <w:t>thers</w:t>
            </w:r>
          </w:p>
        </w:tc>
        <w:tc>
          <w:tcPr>
            <w:tcW w:w="8080" w:type="dxa"/>
          </w:tcPr>
          <w:p w14:paraId="3FBA6543" w14:textId="77777777" w:rsidR="003F251A" w:rsidRPr="00CF39C8" w:rsidRDefault="001B00A2" w:rsidP="00430317">
            <w:pPr>
              <w:pStyle w:val="NormalWeb"/>
              <w:numPr>
                <w:ilvl w:val="1"/>
                <w:numId w:val="55"/>
              </w:numPr>
              <w:shd w:val="clear" w:color="auto" w:fill="FFFFFF"/>
              <w:spacing w:line="240" w:lineRule="auto"/>
              <w:ind w:left="0"/>
              <w:rPr>
                <w:rFonts w:asciiTheme="minorHAnsi" w:hAnsiTheme="minorHAnsi" w:cstheme="minorBidi"/>
                <w:sz w:val="21"/>
                <w:szCs w:val="21"/>
                <w:lang w:eastAsia="en-US"/>
              </w:rPr>
            </w:pPr>
            <w:r w:rsidRPr="00CF39C8">
              <w:rPr>
                <w:rFonts w:asciiTheme="minorHAnsi" w:hAnsiTheme="minorHAnsi" w:cstheme="minorBidi"/>
                <w:sz w:val="21"/>
                <w:szCs w:val="21"/>
                <w:lang w:eastAsia="en-US"/>
              </w:rPr>
              <w:t xml:space="preserve">Views in this group varied. </w:t>
            </w:r>
            <w:r w:rsidR="003F251A" w:rsidRPr="00CF39C8">
              <w:rPr>
                <w:rFonts w:asciiTheme="minorHAnsi" w:hAnsiTheme="minorHAnsi" w:cstheme="minorBidi"/>
                <w:sz w:val="21"/>
                <w:szCs w:val="21"/>
                <w:lang w:eastAsia="en-US"/>
              </w:rPr>
              <w:t>Some prioriti</w:t>
            </w:r>
            <w:r w:rsidRPr="00CF39C8">
              <w:rPr>
                <w:rFonts w:asciiTheme="minorHAnsi" w:hAnsiTheme="minorHAnsi" w:cstheme="minorBidi"/>
                <w:sz w:val="21"/>
                <w:szCs w:val="21"/>
                <w:lang w:eastAsia="en-US"/>
              </w:rPr>
              <w:t>s</w:t>
            </w:r>
            <w:r w:rsidR="003F251A" w:rsidRPr="00CF39C8">
              <w:rPr>
                <w:rFonts w:asciiTheme="minorHAnsi" w:hAnsiTheme="minorHAnsi" w:cstheme="minorBidi"/>
                <w:sz w:val="21"/>
                <w:szCs w:val="21"/>
                <w:lang w:eastAsia="en-US"/>
              </w:rPr>
              <w:t>ed strong emission reduction</w:t>
            </w:r>
            <w:r w:rsidRPr="00CF39C8">
              <w:rPr>
                <w:rFonts w:asciiTheme="minorHAnsi" w:hAnsiTheme="minorHAnsi" w:cstheme="minorBidi"/>
                <w:sz w:val="21"/>
                <w:szCs w:val="21"/>
                <w:lang w:eastAsia="en-US"/>
              </w:rPr>
              <w:t xml:space="preserve"> action</w:t>
            </w:r>
            <w:r w:rsidR="003F251A" w:rsidRPr="00CF39C8">
              <w:rPr>
                <w:rFonts w:asciiTheme="minorHAnsi" w:hAnsiTheme="minorHAnsi" w:cstheme="minorBidi"/>
                <w:sz w:val="21"/>
                <w:szCs w:val="21"/>
                <w:lang w:eastAsia="en-US"/>
              </w:rPr>
              <w:t>, advocating for the most ambitious standard proposed (</w:t>
            </w:r>
            <w:r w:rsidR="00C12BE2">
              <w:rPr>
                <w:rFonts w:asciiTheme="minorHAnsi" w:hAnsiTheme="minorHAnsi" w:cstheme="minorBidi"/>
                <w:sz w:val="21"/>
                <w:szCs w:val="21"/>
                <w:lang w:eastAsia="en-US"/>
              </w:rPr>
              <w:t>Option C</w:t>
            </w:r>
            <w:r w:rsidR="003F251A" w:rsidRPr="00CF39C8">
              <w:rPr>
                <w:rFonts w:asciiTheme="minorHAnsi" w:hAnsiTheme="minorHAnsi" w:cstheme="minorBidi"/>
                <w:sz w:val="21"/>
                <w:szCs w:val="21"/>
                <w:lang w:eastAsia="en-US"/>
              </w:rPr>
              <w:t xml:space="preserve">). Consumer advocates argued that a strong NVES benefits people on low incomes in the long run and that car manufacturers have had sufficient notice to adjust. </w:t>
            </w:r>
          </w:p>
          <w:p w14:paraId="6CCB9673" w14:textId="77777777" w:rsidR="003F251A" w:rsidRPr="00CF39C8" w:rsidRDefault="003F251A" w:rsidP="00430317">
            <w:pPr>
              <w:pStyle w:val="NormalWeb"/>
              <w:numPr>
                <w:ilvl w:val="1"/>
                <w:numId w:val="55"/>
              </w:numPr>
              <w:shd w:val="clear" w:color="auto" w:fill="FFFFFF"/>
              <w:spacing w:line="240" w:lineRule="auto"/>
              <w:ind w:left="0"/>
              <w:rPr>
                <w:rFonts w:asciiTheme="minorHAnsi" w:hAnsiTheme="minorHAnsi" w:cstheme="minorBidi"/>
                <w:sz w:val="21"/>
                <w:szCs w:val="21"/>
                <w:lang w:eastAsia="en-US"/>
              </w:rPr>
            </w:pPr>
          </w:p>
          <w:p w14:paraId="5957B52F" w14:textId="77777777" w:rsidR="003F251A" w:rsidRPr="00CF39C8" w:rsidRDefault="00FE7303" w:rsidP="00430317">
            <w:pPr>
              <w:pStyle w:val="NormalWeb"/>
              <w:numPr>
                <w:ilvl w:val="1"/>
                <w:numId w:val="55"/>
              </w:numPr>
              <w:shd w:val="clear" w:color="auto" w:fill="FFFFFF"/>
              <w:spacing w:line="240" w:lineRule="auto"/>
              <w:ind w:left="0"/>
            </w:pPr>
            <w:r w:rsidRPr="00CF39C8">
              <w:rPr>
                <w:rFonts w:asciiTheme="minorHAnsi" w:hAnsiTheme="minorHAnsi" w:cstheme="minorBidi"/>
                <w:sz w:val="21"/>
                <w:szCs w:val="21"/>
                <w:lang w:eastAsia="en-US"/>
              </w:rPr>
              <w:t>O</w:t>
            </w:r>
            <w:r w:rsidR="003F251A" w:rsidRPr="00CF39C8">
              <w:rPr>
                <w:rFonts w:asciiTheme="minorHAnsi" w:hAnsiTheme="minorHAnsi" w:cstheme="minorBidi"/>
                <w:sz w:val="21"/>
                <w:szCs w:val="21"/>
                <w:lang w:eastAsia="en-US"/>
              </w:rPr>
              <w:t>ther views favour</w:t>
            </w:r>
            <w:r w:rsidRPr="00CF39C8">
              <w:rPr>
                <w:rFonts w:asciiTheme="minorHAnsi" w:hAnsiTheme="minorHAnsi" w:cstheme="minorBidi"/>
                <w:sz w:val="21"/>
                <w:szCs w:val="21"/>
                <w:lang w:eastAsia="en-US"/>
              </w:rPr>
              <w:t xml:space="preserve">ed </w:t>
            </w:r>
            <w:r w:rsidR="00C12BE2">
              <w:rPr>
                <w:rFonts w:asciiTheme="minorHAnsi" w:hAnsiTheme="minorHAnsi" w:cstheme="minorBidi"/>
                <w:sz w:val="21"/>
                <w:szCs w:val="21"/>
                <w:lang w:eastAsia="en-US"/>
              </w:rPr>
              <w:t>Option B</w:t>
            </w:r>
            <w:r w:rsidR="003F251A" w:rsidRPr="00CF39C8">
              <w:rPr>
                <w:rFonts w:asciiTheme="minorHAnsi" w:hAnsiTheme="minorHAnsi" w:cstheme="minorBidi"/>
                <w:sz w:val="21"/>
                <w:szCs w:val="21"/>
                <w:lang w:eastAsia="en-US"/>
              </w:rPr>
              <w:t xml:space="preserve"> as achievable while aligning with international standards and Australia's climate goals. </w:t>
            </w:r>
            <w:r w:rsidRPr="00CF39C8">
              <w:rPr>
                <w:rFonts w:asciiTheme="minorHAnsi" w:hAnsiTheme="minorHAnsi" w:cstheme="minorBidi"/>
                <w:sz w:val="21"/>
                <w:szCs w:val="21"/>
                <w:lang w:eastAsia="en-US"/>
              </w:rPr>
              <w:t>Submissions</w:t>
            </w:r>
            <w:r w:rsidR="003F251A" w:rsidRPr="00CF39C8">
              <w:rPr>
                <w:rFonts w:asciiTheme="minorHAnsi" w:hAnsiTheme="minorHAnsi" w:cstheme="minorBidi"/>
                <w:sz w:val="21"/>
                <w:szCs w:val="21"/>
                <w:lang w:eastAsia="en-US"/>
              </w:rPr>
              <w:t xml:space="preserve"> acknowledged the challenge of </w:t>
            </w:r>
            <w:r w:rsidRPr="00CF39C8">
              <w:rPr>
                <w:rFonts w:asciiTheme="minorHAnsi" w:hAnsiTheme="minorHAnsi" w:cstheme="minorBidi"/>
                <w:sz w:val="21"/>
                <w:szCs w:val="21"/>
                <w:lang w:eastAsia="en-US"/>
              </w:rPr>
              <w:t xml:space="preserve">supply, </w:t>
            </w:r>
            <w:r w:rsidR="003F251A" w:rsidRPr="00CF39C8">
              <w:rPr>
                <w:rFonts w:asciiTheme="minorHAnsi" w:hAnsiTheme="minorHAnsi" w:cstheme="minorBidi"/>
                <w:sz w:val="21"/>
                <w:szCs w:val="21"/>
                <w:lang w:eastAsia="en-US"/>
              </w:rPr>
              <w:t xml:space="preserve">but believed an adjustment period </w:t>
            </w:r>
            <w:r w:rsidRPr="00CF39C8">
              <w:rPr>
                <w:rFonts w:asciiTheme="minorHAnsi" w:hAnsiTheme="minorHAnsi" w:cstheme="minorBidi"/>
                <w:sz w:val="21"/>
                <w:szCs w:val="21"/>
                <w:lang w:eastAsia="en-US"/>
              </w:rPr>
              <w:t xml:space="preserve">for manufacturers </w:t>
            </w:r>
            <w:r w:rsidR="003F251A" w:rsidRPr="00CF39C8">
              <w:rPr>
                <w:rFonts w:asciiTheme="minorHAnsi" w:hAnsiTheme="minorHAnsi" w:cstheme="minorBidi"/>
                <w:sz w:val="21"/>
                <w:szCs w:val="21"/>
                <w:lang w:eastAsia="en-US"/>
              </w:rPr>
              <w:t>would be adequate.</w:t>
            </w:r>
          </w:p>
        </w:tc>
      </w:tr>
    </w:tbl>
    <w:p w14:paraId="57B148D1" w14:textId="77777777" w:rsidR="00F52B50" w:rsidRPr="00CF39C8" w:rsidRDefault="00F52B50" w:rsidP="009625A1"/>
    <w:p w14:paraId="4743526A" w14:textId="77777777" w:rsidR="009D158B" w:rsidRDefault="009D158B" w:rsidP="009625A1">
      <w:pPr>
        <w:sectPr w:rsidR="009D158B" w:rsidSect="007150AB">
          <w:pgSz w:w="11906" w:h="16838" w:code="9"/>
          <w:pgMar w:top="1021" w:right="1134" w:bottom="851" w:left="1276" w:header="510" w:footer="567" w:gutter="0"/>
          <w:cols w:space="708"/>
          <w:docGrid w:linePitch="360"/>
        </w:sectPr>
      </w:pPr>
    </w:p>
    <w:p w14:paraId="7CBD9A33" w14:textId="77777777" w:rsidR="00775CC7" w:rsidRPr="00CF39C8" w:rsidRDefault="00775CC7" w:rsidP="009625A1"/>
    <w:p w14:paraId="10D193BC" w14:textId="77777777" w:rsidR="003F251A" w:rsidRPr="00196FC8" w:rsidRDefault="00A5794E" w:rsidP="00196FC8">
      <w:pPr>
        <w:pStyle w:val="Heading3"/>
        <w:numPr>
          <w:ilvl w:val="2"/>
          <w:numId w:val="74"/>
        </w:numPr>
        <w:ind w:left="851" w:hanging="851"/>
        <w:rPr>
          <w:sz w:val="24"/>
        </w:rPr>
      </w:pPr>
      <w:bookmarkStart w:id="488" w:name="_Toc161837683"/>
      <w:bookmarkStart w:id="489" w:name="_Toc161933180"/>
      <w:bookmarkStart w:id="490" w:name="_Toc162276489"/>
      <w:bookmarkStart w:id="491" w:name="_Toc163221083"/>
      <w:r w:rsidRPr="00196FC8">
        <w:rPr>
          <w:sz w:val="24"/>
        </w:rPr>
        <w:t xml:space="preserve">Consultation outcome by </w:t>
      </w:r>
      <w:r w:rsidR="00B82512" w:rsidRPr="00196FC8">
        <w:rPr>
          <w:sz w:val="24"/>
        </w:rPr>
        <w:t>option -</w:t>
      </w:r>
      <w:r w:rsidRPr="00196FC8">
        <w:rPr>
          <w:sz w:val="24"/>
        </w:rPr>
        <w:t xml:space="preserve"> what we heard</w:t>
      </w:r>
      <w:bookmarkEnd w:id="488"/>
      <w:bookmarkEnd w:id="489"/>
      <w:bookmarkEnd w:id="490"/>
      <w:bookmarkEnd w:id="491"/>
    </w:p>
    <w:p w14:paraId="531D5ADA" w14:textId="77777777" w:rsidR="00891AFE" w:rsidRDefault="00891AFE" w:rsidP="00752D31">
      <w:pPr>
        <w:shd w:val="clear" w:color="auto" w:fill="FFFFFF"/>
        <w:spacing w:after="0" w:line="240" w:lineRule="auto"/>
        <w:rPr>
          <w:rFonts w:eastAsia="Times New Roman" w:cstheme="minorHAnsi"/>
          <w:b/>
          <w:bCs/>
          <w:color w:val="1F1F1F"/>
          <w:lang w:eastAsia="en-AU"/>
        </w:rPr>
      </w:pPr>
    </w:p>
    <w:p w14:paraId="283348F2"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Those in</w:t>
      </w:r>
      <w:r w:rsidR="003F251A" w:rsidRPr="00A5794E">
        <w:rPr>
          <w:rFonts w:eastAsia="Times New Roman" w:cstheme="minorHAnsi"/>
          <w:b/>
          <w:bCs/>
          <w:color w:val="1F1F1F"/>
          <w:lang w:eastAsia="en-AU"/>
        </w:rPr>
        <w:t xml:space="preserve"> favour of a fast </w:t>
      </w:r>
      <w:r w:rsidR="00501C26" w:rsidRPr="00A5794E">
        <w:rPr>
          <w:rFonts w:eastAsia="Times New Roman" w:cstheme="minorHAnsi"/>
          <w:b/>
          <w:bCs/>
          <w:color w:val="1F1F1F"/>
          <w:lang w:eastAsia="en-AU"/>
        </w:rPr>
        <w:t>start</w:t>
      </w:r>
      <w:r w:rsidR="003F251A" w:rsidRPr="00A5794E">
        <w:rPr>
          <w:rFonts w:eastAsia="Times New Roman" w:cstheme="minorHAnsi"/>
          <w:b/>
          <w:bCs/>
          <w:color w:val="1F1F1F"/>
          <w:lang w:eastAsia="en-AU"/>
        </w:rPr>
        <w:t xml:space="preserve"> NVES</w:t>
      </w:r>
      <w:r w:rsidR="00501C26" w:rsidRPr="00A5794E">
        <w:rPr>
          <w:rFonts w:eastAsia="Times New Roman" w:cstheme="minorHAnsi"/>
          <w:b/>
          <w:bCs/>
          <w:color w:val="1F1F1F"/>
          <w:lang w:eastAsia="en-AU"/>
        </w:rPr>
        <w:t xml:space="preserve"> (</w:t>
      </w:r>
      <w:r w:rsidR="00C12BE2">
        <w:rPr>
          <w:rFonts w:eastAsia="Times New Roman" w:cstheme="minorHAnsi"/>
          <w:b/>
          <w:bCs/>
          <w:color w:val="1F1F1F"/>
          <w:lang w:eastAsia="en-AU"/>
        </w:rPr>
        <w:t>Option C</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52822708" w14:textId="77777777" w:rsidR="003A115C"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Set a</w:t>
      </w:r>
      <w:r w:rsidR="003A115C" w:rsidRPr="00CF39C8">
        <w:rPr>
          <w:rFonts w:eastAsia="Times New Roman"/>
        </w:rPr>
        <w:t>mbitious and achievable</w:t>
      </w:r>
      <w:r>
        <w:rPr>
          <w:rFonts w:eastAsia="Times New Roman"/>
        </w:rPr>
        <w:t xml:space="preserve"> CO</w:t>
      </w:r>
      <w:r w:rsidRPr="00A5794E">
        <w:rPr>
          <w:rFonts w:eastAsia="Times New Roman"/>
          <w:vertAlign w:val="subscript"/>
        </w:rPr>
        <w:t>2</w:t>
      </w:r>
      <w:r w:rsidR="003A115C" w:rsidRPr="00CF39C8">
        <w:rPr>
          <w:rFonts w:eastAsia="Times New Roman"/>
        </w:rPr>
        <w:t xml:space="preserve"> emissions reduction targets.</w:t>
      </w:r>
    </w:p>
    <w:p w14:paraId="662043CF"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Standard should be</w:t>
      </w:r>
      <w:r w:rsidR="003F251A" w:rsidRPr="00CF39C8">
        <w:rPr>
          <w:rFonts w:eastAsia="Times New Roman"/>
        </w:rPr>
        <w:t xml:space="preserve"> technology</w:t>
      </w:r>
      <w:r>
        <w:rPr>
          <w:rFonts w:eastAsia="Times New Roman"/>
        </w:rPr>
        <w:t>-agnostic</w:t>
      </w:r>
      <w:r w:rsidR="003F251A" w:rsidRPr="00CF39C8">
        <w:rPr>
          <w:rFonts w:eastAsia="Times New Roman"/>
        </w:rPr>
        <w:t>.</w:t>
      </w:r>
    </w:p>
    <w:p w14:paraId="7ED6373C"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Utili</w:t>
      </w:r>
      <w:r w:rsidR="00A5794E">
        <w:rPr>
          <w:rFonts w:eastAsia="Times New Roman"/>
        </w:rPr>
        <w:t>s</w:t>
      </w:r>
      <w:r w:rsidRPr="00CF39C8">
        <w:rPr>
          <w:rFonts w:eastAsia="Times New Roman"/>
        </w:rPr>
        <w:t>e a market-based system with credit trading to encourage competition and lower costs.</w:t>
      </w:r>
    </w:p>
    <w:p w14:paraId="7B11ED3B"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Greater investment</w:t>
      </w:r>
      <w:r w:rsidR="003F251A" w:rsidRPr="00CF39C8">
        <w:rPr>
          <w:rFonts w:eastAsia="Times New Roman"/>
        </w:rPr>
        <w:t xml:space="preserve"> in charging infrastructure </w:t>
      </w:r>
    </w:p>
    <w:p w14:paraId="79C6FB1F"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Introduce c</w:t>
      </w:r>
      <w:r w:rsidR="003F251A" w:rsidRPr="00CF39C8">
        <w:rPr>
          <w:rFonts w:eastAsia="Times New Roman"/>
        </w:rPr>
        <w:t>omplementary policies to support EV adoption, including incentives for low-income households.</w:t>
      </w:r>
    </w:p>
    <w:p w14:paraId="619CDCDB" w14:textId="77777777" w:rsidR="003F251A" w:rsidRPr="00CF39C8" w:rsidRDefault="003F251A" w:rsidP="00196FC8">
      <w:pPr>
        <w:pStyle w:val="ListParagraph"/>
        <w:numPr>
          <w:ilvl w:val="0"/>
          <w:numId w:val="56"/>
        </w:numPr>
        <w:spacing w:after="60" w:line="240" w:lineRule="auto"/>
        <w:contextualSpacing w:val="0"/>
        <w:rPr>
          <w:rFonts w:eastAsia="Times New Roman" w:cstheme="minorHAnsi"/>
          <w:color w:val="1F1F1F"/>
          <w:lang w:eastAsia="en-AU"/>
        </w:rPr>
      </w:pPr>
      <w:r w:rsidRPr="00CF39C8">
        <w:rPr>
          <w:rFonts w:eastAsia="Times New Roman" w:cstheme="minorHAnsi"/>
          <w:color w:val="1F1F1F"/>
          <w:lang w:eastAsia="en-AU"/>
        </w:rPr>
        <w:t>Use a</w:t>
      </w:r>
      <w:r w:rsidR="00A5794E">
        <w:rPr>
          <w:rFonts w:eastAsia="Times New Roman" w:cstheme="minorHAnsi"/>
          <w:color w:val="1F1F1F"/>
          <w:lang w:eastAsia="en-AU"/>
        </w:rPr>
        <w:t xml:space="preserve"> more accurate</w:t>
      </w:r>
      <w:r w:rsidRPr="00CF39C8">
        <w:rPr>
          <w:rFonts w:eastAsia="Times New Roman" w:cstheme="minorHAnsi"/>
          <w:color w:val="1F1F1F"/>
          <w:lang w:eastAsia="en-AU"/>
        </w:rPr>
        <w:t xml:space="preserve"> real-world emissions testing standard like WLTP</w:t>
      </w:r>
      <w:r w:rsidR="00A5794E">
        <w:rPr>
          <w:rFonts w:eastAsia="Times New Roman" w:cstheme="minorHAnsi"/>
          <w:color w:val="1F1F1F"/>
          <w:lang w:eastAsia="en-AU"/>
        </w:rPr>
        <w:t>.</w:t>
      </w:r>
    </w:p>
    <w:p w14:paraId="59D19C7E" w14:textId="77777777" w:rsidR="00891AFE" w:rsidRDefault="00891AFE" w:rsidP="00891AFE">
      <w:pPr>
        <w:shd w:val="clear" w:color="auto" w:fill="FFFFFF"/>
        <w:spacing w:after="0" w:line="240" w:lineRule="auto"/>
        <w:rPr>
          <w:rFonts w:eastAsia="Times New Roman" w:cstheme="minorHAnsi"/>
          <w:b/>
          <w:bCs/>
          <w:color w:val="1F1F1F"/>
          <w:lang w:eastAsia="en-AU"/>
        </w:rPr>
      </w:pPr>
    </w:p>
    <w:p w14:paraId="596D6CEE"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Those in</w:t>
      </w:r>
      <w:r w:rsidR="003F251A" w:rsidRPr="00A5794E">
        <w:rPr>
          <w:rFonts w:eastAsia="Times New Roman" w:cstheme="minorHAnsi"/>
          <w:b/>
          <w:bCs/>
          <w:color w:val="1F1F1F"/>
          <w:lang w:eastAsia="en-AU"/>
        </w:rPr>
        <w:t xml:space="preserve"> favour of a fast but flexible NVES</w:t>
      </w:r>
      <w:r w:rsidR="00501C26" w:rsidRPr="00A5794E">
        <w:rPr>
          <w:rFonts w:eastAsia="Times New Roman" w:cstheme="minorHAnsi"/>
          <w:b/>
          <w:bCs/>
          <w:color w:val="1F1F1F"/>
          <w:lang w:eastAsia="en-AU"/>
        </w:rPr>
        <w:t xml:space="preserve"> (</w:t>
      </w:r>
      <w:r w:rsidR="00C12BE2">
        <w:rPr>
          <w:rFonts w:eastAsia="Times New Roman" w:cstheme="minorHAnsi"/>
          <w:b/>
          <w:bCs/>
          <w:color w:val="1F1F1F"/>
          <w:lang w:eastAsia="en-AU"/>
        </w:rPr>
        <w:t>Option B</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55F8DA86"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Provide a longer lead time for manufacturers to comply with the NVES</w:t>
      </w:r>
      <w:r w:rsidR="005D26ED">
        <w:rPr>
          <w:rFonts w:eastAsia="Times New Roman"/>
        </w:rPr>
        <w:t xml:space="preserve">, including the potential for </w:t>
      </w:r>
      <w:r w:rsidR="00F904FE">
        <w:rPr>
          <w:rFonts w:eastAsia="Times New Roman"/>
        </w:rPr>
        <w:t>changing the timing of the scheme</w:t>
      </w:r>
      <w:r w:rsidRPr="00CF39C8">
        <w:rPr>
          <w:rFonts w:eastAsia="Times New Roman"/>
        </w:rPr>
        <w:t>.</w:t>
      </w:r>
    </w:p>
    <w:p w14:paraId="46E42E61"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Ensure </w:t>
      </w:r>
      <w:r w:rsidR="00A5794E">
        <w:rPr>
          <w:rFonts w:eastAsia="Times New Roman"/>
        </w:rPr>
        <w:t xml:space="preserve">that the </w:t>
      </w:r>
      <w:r w:rsidRPr="00CF39C8">
        <w:rPr>
          <w:rFonts w:eastAsia="Times New Roman"/>
        </w:rPr>
        <w:t xml:space="preserve">NVES </w:t>
      </w:r>
      <w:r w:rsidR="00A5794E">
        <w:rPr>
          <w:rFonts w:eastAsia="Times New Roman"/>
        </w:rPr>
        <w:t>takes different vehicle types into consideration</w:t>
      </w:r>
      <w:r w:rsidRPr="00CF39C8">
        <w:rPr>
          <w:rFonts w:eastAsia="Times New Roman"/>
        </w:rPr>
        <w:t>.</w:t>
      </w:r>
    </w:p>
    <w:p w14:paraId="3AD42810"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 xml:space="preserve">Be realistic when setting targets and consider </w:t>
      </w:r>
      <w:r w:rsidR="003F251A" w:rsidRPr="00CF39C8">
        <w:rPr>
          <w:rFonts w:eastAsia="Times New Roman"/>
        </w:rPr>
        <w:t xml:space="preserve">technological advancements </w:t>
      </w:r>
      <w:r>
        <w:rPr>
          <w:rFonts w:eastAsia="Times New Roman"/>
        </w:rPr>
        <w:t>as well as</w:t>
      </w:r>
      <w:r w:rsidR="003F251A" w:rsidRPr="00CF39C8">
        <w:rPr>
          <w:rFonts w:eastAsia="Times New Roman"/>
        </w:rPr>
        <w:t xml:space="preserve"> market responsiveness.</w:t>
      </w:r>
    </w:p>
    <w:p w14:paraId="7811CC12" w14:textId="77777777" w:rsidR="002A1FE2" w:rsidRPr="00CF39C8" w:rsidRDefault="000570E5" w:rsidP="00196FC8">
      <w:pPr>
        <w:pStyle w:val="ListParagraph"/>
        <w:numPr>
          <w:ilvl w:val="0"/>
          <w:numId w:val="56"/>
        </w:numPr>
        <w:spacing w:after="60" w:line="240" w:lineRule="auto"/>
        <w:contextualSpacing w:val="0"/>
        <w:rPr>
          <w:rFonts w:eastAsia="Times New Roman"/>
        </w:rPr>
      </w:pPr>
      <w:r w:rsidRPr="00CF39C8">
        <w:rPr>
          <w:rFonts w:eastAsia="Times New Roman"/>
        </w:rPr>
        <w:t>Consider recategorization of vehicles (4x4 to LCV).</w:t>
      </w:r>
    </w:p>
    <w:p w14:paraId="5DCEBBB5" w14:textId="77777777" w:rsidR="00B5178A" w:rsidRPr="00CF39C8" w:rsidRDefault="00B5178A" w:rsidP="00196FC8">
      <w:pPr>
        <w:pStyle w:val="ListParagraph"/>
        <w:numPr>
          <w:ilvl w:val="0"/>
          <w:numId w:val="56"/>
        </w:numPr>
        <w:spacing w:after="60" w:line="240" w:lineRule="auto"/>
        <w:contextualSpacing w:val="0"/>
        <w:rPr>
          <w:rFonts w:eastAsia="Times New Roman"/>
        </w:rPr>
      </w:pPr>
      <w:r w:rsidRPr="00CF39C8">
        <w:rPr>
          <w:rFonts w:eastAsia="Times New Roman"/>
        </w:rPr>
        <w:t>Focus on the total cost of ownership for consumers, including fuel savings over a vehicle's lifetime.</w:t>
      </w:r>
    </w:p>
    <w:p w14:paraId="5F04019E"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 xml:space="preserve">the addition of </w:t>
      </w:r>
      <w:r w:rsidRPr="00CF39C8">
        <w:rPr>
          <w:rFonts w:eastAsia="Times New Roman"/>
        </w:rPr>
        <w:t>supercredits, off-cycle credits, and air conditioning credits.</w:t>
      </w:r>
    </w:p>
    <w:p w14:paraId="37BEF5B2"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Allow pooling</w:t>
      </w:r>
      <w:r w:rsidR="005D26ED">
        <w:rPr>
          <w:rFonts w:eastAsia="Times New Roman"/>
        </w:rPr>
        <w:t>.</w:t>
      </w:r>
    </w:p>
    <w:p w14:paraId="33E48BB3"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Review the Australian Design Rules</w:t>
      </w:r>
      <w:r w:rsidR="005D26ED">
        <w:rPr>
          <w:rFonts w:eastAsia="Times New Roman"/>
        </w:rPr>
        <w:t xml:space="preserve"> to introduce greater supply flexibility for manufacturers</w:t>
      </w:r>
    </w:p>
    <w:p w14:paraId="61D02A4B"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 xml:space="preserve">additional measures, such as </w:t>
      </w:r>
      <w:r w:rsidRPr="00CF39C8">
        <w:rPr>
          <w:rFonts w:eastAsia="Times New Roman"/>
        </w:rPr>
        <w:t>training opportunities for electric vehicle mechanics</w:t>
      </w:r>
    </w:p>
    <w:p w14:paraId="09F3580A" w14:textId="77777777" w:rsidR="00891AFE" w:rsidRDefault="00891AFE" w:rsidP="00196FC8">
      <w:pPr>
        <w:shd w:val="clear" w:color="auto" w:fill="FFFFFF"/>
        <w:spacing w:after="60" w:line="240" w:lineRule="auto"/>
        <w:rPr>
          <w:rFonts w:eastAsia="Times New Roman" w:cstheme="minorHAnsi"/>
          <w:b/>
          <w:bCs/>
          <w:color w:val="1F1F1F"/>
          <w:lang w:eastAsia="en-AU"/>
        </w:rPr>
      </w:pPr>
    </w:p>
    <w:p w14:paraId="57853479"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 xml:space="preserve">Those in </w:t>
      </w:r>
      <w:r w:rsidR="003F251A" w:rsidRPr="00A5794E">
        <w:rPr>
          <w:rFonts w:eastAsia="Times New Roman" w:cstheme="minorHAnsi"/>
          <w:b/>
          <w:bCs/>
          <w:color w:val="1F1F1F"/>
          <w:lang w:eastAsia="en-AU"/>
        </w:rPr>
        <w:t xml:space="preserve">favour of a slow </w:t>
      </w:r>
      <w:r w:rsidR="00501C26" w:rsidRPr="00A5794E">
        <w:rPr>
          <w:rFonts w:eastAsia="Times New Roman" w:cstheme="minorHAnsi"/>
          <w:b/>
          <w:bCs/>
          <w:color w:val="1F1F1F"/>
          <w:lang w:eastAsia="en-AU"/>
        </w:rPr>
        <w:t xml:space="preserve">start </w:t>
      </w:r>
      <w:r w:rsidR="003F251A" w:rsidRPr="00A5794E">
        <w:rPr>
          <w:rFonts w:eastAsia="Times New Roman" w:cstheme="minorHAnsi"/>
          <w:b/>
          <w:bCs/>
          <w:color w:val="1F1F1F"/>
          <w:lang w:eastAsia="en-AU"/>
        </w:rPr>
        <w:t>NVES</w:t>
      </w:r>
      <w:r w:rsidR="00501C26" w:rsidRPr="00A5794E">
        <w:rPr>
          <w:rFonts w:eastAsia="Times New Roman" w:cstheme="minorHAnsi"/>
          <w:b/>
          <w:bCs/>
          <w:color w:val="1F1F1F"/>
          <w:lang w:eastAsia="en-AU"/>
        </w:rPr>
        <w:t xml:space="preserve"> (</w:t>
      </w:r>
      <w:r w:rsidR="00DC48C3">
        <w:rPr>
          <w:rFonts w:eastAsia="Times New Roman" w:cstheme="minorHAnsi"/>
          <w:b/>
          <w:bCs/>
          <w:color w:val="1F1F1F"/>
          <w:lang w:eastAsia="en-AU"/>
        </w:rPr>
        <w:t>Option A</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2C3AF2AE"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The targets </w:t>
      </w:r>
      <w:r w:rsidR="005D26ED">
        <w:rPr>
          <w:rFonts w:eastAsia="Times New Roman"/>
        </w:rPr>
        <w:t xml:space="preserve">in options B and C </w:t>
      </w:r>
      <w:r w:rsidRPr="00CF39C8">
        <w:rPr>
          <w:rFonts w:eastAsia="Times New Roman"/>
        </w:rPr>
        <w:t>are unrealistic and will lead to higher vehicle prices.</w:t>
      </w:r>
    </w:p>
    <w:p w14:paraId="6C7CC630"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the ability for industry to respond</w:t>
      </w:r>
      <w:r w:rsidRPr="00CF39C8">
        <w:rPr>
          <w:rFonts w:eastAsia="Times New Roman"/>
        </w:rPr>
        <w:t>.</w:t>
      </w:r>
    </w:p>
    <w:p w14:paraId="09CC1C7F"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Consider a less stringent headline limit (slow start / fast finish).</w:t>
      </w:r>
    </w:p>
    <w:p w14:paraId="766DEDC1" w14:textId="77777777" w:rsidR="003F251A" w:rsidRPr="00CF39C8" w:rsidRDefault="005D26ED" w:rsidP="00196FC8">
      <w:pPr>
        <w:pStyle w:val="ListParagraph"/>
        <w:numPr>
          <w:ilvl w:val="0"/>
          <w:numId w:val="56"/>
        </w:numPr>
        <w:spacing w:after="60" w:line="240" w:lineRule="auto"/>
        <w:contextualSpacing w:val="0"/>
        <w:rPr>
          <w:rFonts w:eastAsia="Times New Roman"/>
        </w:rPr>
      </w:pPr>
      <w:r>
        <w:rPr>
          <w:rFonts w:eastAsia="Times New Roman"/>
        </w:rPr>
        <w:t>Greater focus should be given to c</w:t>
      </w:r>
      <w:r w:rsidR="003F251A" w:rsidRPr="00CF39C8">
        <w:rPr>
          <w:rFonts w:eastAsia="Times New Roman"/>
        </w:rPr>
        <w:t>onsumer demand.</w:t>
      </w:r>
    </w:p>
    <w:p w14:paraId="7246F919"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The benefits are overestimated and the social costs are underestimated.</w:t>
      </w:r>
    </w:p>
    <w:bookmarkEnd w:id="484"/>
    <w:p w14:paraId="27CF3B2E" w14:textId="77777777" w:rsidR="009625A1" w:rsidRDefault="009625A1" w:rsidP="009625A1">
      <w:pPr>
        <w:pStyle w:val="ListParagraph"/>
        <w:spacing w:after="0" w:line="240" w:lineRule="auto"/>
        <w:rPr>
          <w:rFonts w:eastAsia="Times New Roman"/>
        </w:rPr>
        <w:sectPr w:rsidR="009625A1" w:rsidSect="007150AB">
          <w:pgSz w:w="11906" w:h="16838" w:code="9"/>
          <w:pgMar w:top="1021" w:right="1134" w:bottom="851" w:left="1276" w:header="510" w:footer="567" w:gutter="0"/>
          <w:cols w:space="708"/>
          <w:docGrid w:linePitch="360"/>
        </w:sectPr>
      </w:pPr>
    </w:p>
    <w:p w14:paraId="541E1A5E" w14:textId="77777777" w:rsidR="001F7463" w:rsidRPr="00CF39C8" w:rsidRDefault="001F7463" w:rsidP="00430317">
      <w:pPr>
        <w:pStyle w:val="Heading1"/>
        <w:numPr>
          <w:ilvl w:val="0"/>
          <w:numId w:val="60"/>
        </w:numPr>
      </w:pPr>
      <w:bookmarkStart w:id="492" w:name="_Toc161837684"/>
      <w:bookmarkStart w:id="493" w:name="_Toc161933181"/>
      <w:bookmarkStart w:id="494" w:name="_Toc162276490"/>
      <w:bookmarkStart w:id="495" w:name="_Toc163221084"/>
      <w:r w:rsidRPr="00CF39C8">
        <w:t>What is the best option from those you have considered and how will it be implemented?</w:t>
      </w:r>
      <w:bookmarkEnd w:id="492"/>
      <w:bookmarkEnd w:id="493"/>
      <w:bookmarkEnd w:id="494"/>
      <w:bookmarkEnd w:id="495"/>
    </w:p>
    <w:p w14:paraId="21E66D01" w14:textId="77777777" w:rsidR="00196FC8" w:rsidRDefault="00196FC8" w:rsidP="00DD3D78"/>
    <w:p w14:paraId="1FF08593" w14:textId="77777777" w:rsidR="00DA6166" w:rsidRPr="00CF39C8" w:rsidRDefault="00704DF2" w:rsidP="00DD3D78">
      <w:r w:rsidRPr="00CF39C8">
        <w:t xml:space="preserve">Following more than 12 months of </w:t>
      </w:r>
      <w:r w:rsidR="00DA6166" w:rsidRPr="00CF39C8">
        <w:t xml:space="preserve">extensive </w:t>
      </w:r>
      <w:r w:rsidRPr="00CF39C8">
        <w:t xml:space="preserve">public and industry consultation, </w:t>
      </w:r>
      <w:r w:rsidR="00DA6166" w:rsidRPr="00CF39C8">
        <w:t>ongoing</w:t>
      </w:r>
      <w:r w:rsidRPr="00CF39C8">
        <w:t xml:space="preserve"> economic analysis</w:t>
      </w:r>
      <w:r w:rsidR="00DA6166" w:rsidRPr="00CF39C8">
        <w:t xml:space="preserve"> and adjustment of the option</w:t>
      </w:r>
      <w:r w:rsidR="00186D56" w:rsidRPr="00CF39C8">
        <w:t>s</w:t>
      </w:r>
      <w:r w:rsidR="00DA6166" w:rsidRPr="00CF39C8">
        <w:t xml:space="preserve"> presented within the Consultation Impact Analysis</w:t>
      </w:r>
      <w:r w:rsidRPr="00CF39C8">
        <w:t>,</w:t>
      </w:r>
      <w:r w:rsidR="00DA6166" w:rsidRPr="00CF39C8">
        <w:t xml:space="preserve"> the Government has developed </w:t>
      </w:r>
      <w:r w:rsidR="00196FC8">
        <w:t xml:space="preserve">its </w:t>
      </w:r>
      <w:r w:rsidR="00AE4BF3">
        <w:t>best</w:t>
      </w:r>
      <w:r w:rsidR="00196FC8">
        <w:t xml:space="preserve"> option</w:t>
      </w:r>
      <w:r w:rsidR="005D26ED">
        <w:t xml:space="preserve"> </w:t>
      </w:r>
      <w:r w:rsidR="00DA6166" w:rsidRPr="00CF39C8">
        <w:t>for the NVES.</w:t>
      </w:r>
    </w:p>
    <w:p w14:paraId="69411372" w14:textId="77777777" w:rsidR="00DD3D78" w:rsidRPr="00CF39C8" w:rsidRDefault="00DD3D78" w:rsidP="00DD3D78">
      <w:r w:rsidRPr="00CF39C8">
        <w:t xml:space="preserve">In this chapter we set out </w:t>
      </w:r>
      <w:r w:rsidR="005D26ED">
        <w:t>our</w:t>
      </w:r>
      <w:r w:rsidRPr="00CF39C8">
        <w:t xml:space="preserve"> rationale </w:t>
      </w:r>
      <w:r w:rsidR="005D26ED">
        <w:t>as well as</w:t>
      </w:r>
      <w:r w:rsidRPr="00CF39C8">
        <w:t xml:space="preserve"> a range of implementations details: </w:t>
      </w:r>
    </w:p>
    <w:p w14:paraId="0093DB5A" w14:textId="77777777" w:rsidR="00DD3D78" w:rsidRPr="00CF39C8" w:rsidRDefault="005E471D" w:rsidP="00430317">
      <w:pPr>
        <w:pStyle w:val="ListParagraph"/>
        <w:numPr>
          <w:ilvl w:val="0"/>
          <w:numId w:val="29"/>
        </w:numPr>
        <w:spacing w:after="160" w:line="256" w:lineRule="auto"/>
        <w:rPr>
          <w:rFonts w:asciiTheme="majorHAnsi" w:hAnsiTheme="majorHAnsi" w:cstheme="majorHAnsi"/>
        </w:rPr>
      </w:pPr>
      <w:r>
        <w:rPr>
          <w:rFonts w:asciiTheme="majorHAnsi" w:hAnsiTheme="majorHAnsi" w:cstheme="majorHAnsi"/>
        </w:rPr>
        <w:t>The best option for a NVES</w:t>
      </w:r>
      <w:r w:rsidR="00844336" w:rsidRPr="00CF39C8">
        <w:rPr>
          <w:rFonts w:asciiTheme="majorHAnsi" w:hAnsiTheme="majorHAnsi" w:cstheme="majorHAnsi"/>
        </w:rPr>
        <w:t>;</w:t>
      </w:r>
    </w:p>
    <w:p w14:paraId="4352C47E" w14:textId="77777777" w:rsidR="00DD3D78" w:rsidRPr="00CF39C8" w:rsidRDefault="00C960E6"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 xml:space="preserve">What entities should be </w:t>
      </w:r>
      <w:r w:rsidR="001C5AA9" w:rsidRPr="00CF39C8">
        <w:rPr>
          <w:rFonts w:asciiTheme="majorHAnsi" w:hAnsiTheme="majorHAnsi" w:cstheme="majorHAnsi"/>
        </w:rPr>
        <w:t>regulated;</w:t>
      </w:r>
    </w:p>
    <w:p w14:paraId="5948E379"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 xml:space="preserve">The regulatory apparatus needed to implement a successful </w:t>
      </w:r>
      <w:r w:rsidR="006D4EF3" w:rsidRPr="00CF39C8">
        <w:rPr>
          <w:rFonts w:asciiTheme="majorHAnsi" w:hAnsiTheme="majorHAnsi" w:cstheme="majorHAnsi"/>
        </w:rPr>
        <w:t>NVES</w:t>
      </w:r>
      <w:r w:rsidRPr="00CF39C8">
        <w:rPr>
          <w:rFonts w:asciiTheme="majorHAnsi" w:hAnsiTheme="majorHAnsi" w:cstheme="majorHAnsi"/>
        </w:rPr>
        <w:t xml:space="preserve">; </w:t>
      </w:r>
    </w:p>
    <w:p w14:paraId="5C4B8C1F"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Roles and responsibilities in the system;</w:t>
      </w:r>
    </w:p>
    <w:p w14:paraId="594B6211"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A proposed implementation timeline and transitional arrangements; and</w:t>
      </w:r>
    </w:p>
    <w:p w14:paraId="3BFE1A17"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Implementation challenges.</w:t>
      </w:r>
    </w:p>
    <w:p w14:paraId="1E3BBE1F" w14:textId="77777777" w:rsidR="00B703D8" w:rsidRPr="00CF39C8" w:rsidRDefault="005E471D" w:rsidP="00430317">
      <w:pPr>
        <w:pStyle w:val="Heading2"/>
        <w:numPr>
          <w:ilvl w:val="1"/>
          <w:numId w:val="65"/>
        </w:numPr>
        <w:ind w:hanging="792"/>
      </w:pPr>
      <w:bookmarkStart w:id="496" w:name="_Toc161837685"/>
      <w:bookmarkStart w:id="497" w:name="_Toc161933182"/>
      <w:bookmarkStart w:id="498" w:name="_Toc162276491"/>
      <w:bookmarkStart w:id="499" w:name="_Toc163221085"/>
      <w:r>
        <w:t>The best option for a N</w:t>
      </w:r>
      <w:r w:rsidR="00891AFE">
        <w:t xml:space="preserve">ew </w:t>
      </w:r>
      <w:r>
        <w:t>V</w:t>
      </w:r>
      <w:r w:rsidR="00891AFE">
        <w:t xml:space="preserve">ehicle </w:t>
      </w:r>
      <w:r>
        <w:t>E</w:t>
      </w:r>
      <w:r w:rsidR="00891AFE">
        <w:t xml:space="preserve">fficiency </w:t>
      </w:r>
      <w:r>
        <w:t>S</w:t>
      </w:r>
      <w:r w:rsidR="00891AFE">
        <w:t>tandard</w:t>
      </w:r>
      <w:bookmarkEnd w:id="496"/>
      <w:bookmarkEnd w:id="497"/>
      <w:bookmarkEnd w:id="498"/>
      <w:bookmarkEnd w:id="499"/>
    </w:p>
    <w:p w14:paraId="74F975F6" w14:textId="77777777" w:rsidR="00525B34" w:rsidRDefault="00525B34" w:rsidP="00B703D8"/>
    <w:p w14:paraId="212F623E" w14:textId="77777777" w:rsidR="00A83303" w:rsidRPr="00891AFE" w:rsidRDefault="001F7499" w:rsidP="00A83303">
      <w:pPr>
        <w:rPr>
          <w:color w:val="000000" w:themeColor="text1"/>
        </w:rPr>
      </w:pPr>
      <w:r w:rsidRPr="00752D31">
        <w:rPr>
          <w:noProof/>
          <w:color w:val="FF0000"/>
          <w:lang w:eastAsia="en-AU"/>
        </w:rPr>
        <mc:AlternateContent>
          <mc:Choice Requires="wpg">
            <w:drawing>
              <wp:anchor distT="0" distB="0" distL="228600" distR="228600" simplePos="0" relativeHeight="251658253" behindDoc="1" locked="0" layoutInCell="1" allowOverlap="1" wp14:anchorId="169AD19A" wp14:editId="4C67AC67">
                <wp:simplePos x="0" y="0"/>
                <wp:positionH relativeFrom="margin">
                  <wp:posOffset>3704590</wp:posOffset>
                </wp:positionH>
                <wp:positionV relativeFrom="margin">
                  <wp:posOffset>4361815</wp:posOffset>
                </wp:positionV>
                <wp:extent cx="2390140" cy="46577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390140" cy="4657725"/>
                          <a:chOff x="-273" y="0"/>
                          <a:chExt cx="1829073" cy="5758222"/>
                        </a:xfrm>
                      </wpg:grpSpPr>
                      <wps:wsp>
                        <wps:cNvPr id="202" name="Rectangle 202"/>
                        <wps:cNvSpPr/>
                        <wps:spPr>
                          <a:xfrm>
                            <a:off x="0" y="0"/>
                            <a:ext cx="1828800" cy="2286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73" y="661730"/>
                            <a:ext cx="1828800" cy="509649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6230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 xml:space="preserve">Around </w:t>
                              </w:r>
                              <w:r>
                                <w:rPr>
                                  <w:rFonts w:eastAsia="Times New Roman"/>
                                  <w:color w:val="FFFFFF" w:themeColor="background1"/>
                                  <w:sz w:val="25"/>
                                  <w:szCs w:val="25"/>
                                </w:rPr>
                                <w:t>321</w:t>
                              </w:r>
                              <w:r w:rsidRPr="00196FC8">
                                <w:rPr>
                                  <w:rFonts w:eastAsia="Times New Roman"/>
                                  <w:color w:val="FFFFFF" w:themeColor="background1"/>
                                  <w:sz w:val="25"/>
                                  <w:szCs w:val="25"/>
                                </w:rPr>
                                <w:t xml:space="preserve"> million tonnes of abatement</w:t>
                              </w:r>
                              <w:r>
                                <w:rPr>
                                  <w:rFonts w:eastAsia="Times New Roman"/>
                                  <w:color w:val="FFFFFF" w:themeColor="background1"/>
                                  <w:sz w:val="25"/>
                                  <w:szCs w:val="25"/>
                                </w:rPr>
                                <w:t xml:space="preserve"> by 2050.</w:t>
                              </w:r>
                            </w:p>
                            <w:p w14:paraId="005AAE3F"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Pr>
                                  <w:rFonts w:eastAsia="Times New Roman"/>
                                  <w:color w:val="FFFFFF" w:themeColor="background1"/>
                                  <w:sz w:val="25"/>
                                  <w:szCs w:val="25"/>
                                </w:rPr>
                                <w:t>95</w:t>
                              </w:r>
                              <w:r w:rsidRPr="00196FC8">
                                <w:rPr>
                                  <w:rFonts w:eastAsia="Times New Roman"/>
                                  <w:color w:val="FFFFFF" w:themeColor="background1"/>
                                  <w:sz w:val="25"/>
                                  <w:szCs w:val="25"/>
                                </w:rPr>
                                <w:t xml:space="preserve"> billion in fuel savings to Australians</w:t>
                              </w:r>
                              <w:r>
                                <w:rPr>
                                  <w:rFonts w:eastAsia="Times New Roman"/>
                                  <w:color w:val="FFFFFF" w:themeColor="background1"/>
                                  <w:sz w:val="25"/>
                                  <w:szCs w:val="25"/>
                                </w:rPr>
                                <w:t xml:space="preserve"> by 2050.</w:t>
                              </w:r>
                            </w:p>
                            <w:p w14:paraId="31DB4D2D"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EV drivers also save around $</w:t>
                              </w:r>
                              <w:r w:rsidRPr="000B0149">
                                <w:rPr>
                                  <w:rFonts w:eastAsia="Times New Roman"/>
                                  <w:color w:val="FFFFFF" w:themeColor="background1"/>
                                  <w:sz w:val="25"/>
                                  <w:szCs w:val="25"/>
                                </w:rPr>
                                <w:t>350</w:t>
                              </w:r>
                              <w:r w:rsidRPr="00196FC8">
                                <w:rPr>
                                  <w:rFonts w:eastAsia="Times New Roman"/>
                                  <w:color w:val="FFFFFF" w:themeColor="background1"/>
                                  <w:sz w:val="25"/>
                                  <w:szCs w:val="25"/>
                                </w:rPr>
                                <w:t xml:space="preserve"> per year in maintenance.</w:t>
                              </w:r>
                            </w:p>
                            <w:p w14:paraId="452C8A3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sidRPr="000B0149">
                                <w:rPr>
                                  <w:rFonts w:eastAsia="Times New Roman"/>
                                  <w:color w:val="FFFFFF" w:themeColor="background1"/>
                                  <w:sz w:val="25"/>
                                  <w:szCs w:val="25"/>
                                </w:rPr>
                                <w:t>5</w:t>
                              </w:r>
                              <w:r w:rsidRPr="00196FC8">
                                <w:rPr>
                                  <w:rFonts w:eastAsia="Times New Roman"/>
                                  <w:color w:val="FFFFFF" w:themeColor="background1"/>
                                  <w:sz w:val="25"/>
                                  <w:szCs w:val="25"/>
                                </w:rPr>
                                <w:t xml:space="preserve"> billion in health savings</w:t>
                              </w:r>
                              <w:r>
                                <w:rPr>
                                  <w:rFonts w:eastAsia="Times New Roman"/>
                                  <w:color w:val="FFFFFF" w:themeColor="background1"/>
                                  <w:sz w:val="25"/>
                                  <w:szCs w:val="25"/>
                                </w:rPr>
                                <w:t xml:space="preserve"> by 2050.</w:t>
                              </w:r>
                            </w:p>
                            <w:p w14:paraId="58BF6A86"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Improve Australia's fuel security.</w:t>
                              </w:r>
                            </w:p>
                            <w:p w14:paraId="42666AE6" w14:textId="77777777" w:rsidR="00BD7C09" w:rsidRPr="00196FC8" w:rsidRDefault="00BD7C09" w:rsidP="00306B5F">
                              <w:pPr>
                                <w:pStyle w:val="ListParagraph"/>
                                <w:numPr>
                                  <w:ilvl w:val="0"/>
                                  <w:numId w:val="81"/>
                                </w:numPr>
                                <w:spacing w:line="240" w:lineRule="auto"/>
                                <w:ind w:left="567" w:hanging="425"/>
                                <w:rPr>
                                  <w:rFonts w:eastAsia="Times New Roman"/>
                                  <w:color w:val="FFFFFF" w:themeColor="background1"/>
                                  <w:sz w:val="25"/>
                                  <w:szCs w:val="25"/>
                                </w:rPr>
                              </w:pPr>
                              <w:r w:rsidRPr="00196FC8">
                                <w:rPr>
                                  <w:rFonts w:eastAsia="Times New Roman"/>
                                  <w:color w:val="FFFFFF" w:themeColor="background1"/>
                                  <w:sz w:val="25"/>
                                  <w:szCs w:val="25"/>
                                </w:rPr>
                                <w:t>The types of vehicles Australians like to drive, such as utes and SUVs.</w:t>
                              </w:r>
                            </w:p>
                            <w:p w14:paraId="6E1FD9AF" w14:textId="77777777" w:rsidR="00BD7C09" w:rsidRDefault="00BD7C09" w:rsidP="00306B5F">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527" cy="5123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8D724" w14:textId="77777777" w:rsidR="00BD7C09" w:rsidRPr="00752D31" w:rsidRDefault="00BD7C09" w:rsidP="00306B5F">
                              <w:pPr>
                                <w:pStyle w:val="NoSpacing"/>
                                <w:jc w:val="center"/>
                                <w:rPr>
                                  <w:rFonts w:asciiTheme="majorHAnsi" w:eastAsiaTheme="majorEastAsia" w:hAnsiTheme="majorHAnsi" w:cstheme="majorBidi"/>
                                  <w:b/>
                                  <w:caps/>
                                  <w:color w:val="4A66AC" w:themeColor="accent1"/>
                                  <w:sz w:val="28"/>
                                  <w:szCs w:val="28"/>
                                </w:rPr>
                              </w:pPr>
                              <w:r w:rsidRPr="00752D31">
                                <w:rPr>
                                  <w:rFonts w:asciiTheme="majorHAnsi" w:eastAsiaTheme="majorEastAsia" w:hAnsiTheme="majorHAnsi" w:cstheme="majorBidi"/>
                                  <w:b/>
                                  <w:caps/>
                                  <w:color w:val="4A66AC" w:themeColor="accent1"/>
                                  <w:sz w:val="28"/>
                                  <w:szCs w:val="28"/>
                                </w:rPr>
                                <w:t>this will deliver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9AD19A" id="Group 201" o:spid="_x0000_s1030" style="position:absolute;margin-left:291.7pt;margin-top:343.45pt;width:188.2pt;height:366.75pt;z-index:-251658227;mso-wrap-distance-left:18pt;mso-wrap-distance-right:18pt;mso-position-horizontal-relative:margin;mso-position-vertical-relative:margin;mso-width-relative:margin;mso-height-relative:margin" coordorigin="-2" coordsize="18290,5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" fillcolor="#417a84 [2408]" stroked="f" strokeweight="1pt"/>
                <v:rect id="Rectangle 203" o:spid="_x0000_s1032" style="position:absolute;left:-2;top:6617;width:18287;height:5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" fillcolor="#417a84 [2408]" stroked="f" strokeweight="1pt">
                  <v:textbox inset=",14.4pt,8.64pt,18pt">
                    <w:txbxContent>
                      <w:p w14:paraId="0366230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 xml:space="preserve">Around </w:t>
                        </w:r>
                        <w:r>
                          <w:rPr>
                            <w:rFonts w:eastAsia="Times New Roman"/>
                            <w:color w:val="FFFFFF" w:themeColor="background1"/>
                            <w:sz w:val="25"/>
                            <w:szCs w:val="25"/>
                          </w:rPr>
                          <w:t>321</w:t>
                        </w:r>
                        <w:r w:rsidRPr="00196FC8">
                          <w:rPr>
                            <w:rFonts w:eastAsia="Times New Roman"/>
                            <w:color w:val="FFFFFF" w:themeColor="background1"/>
                            <w:sz w:val="25"/>
                            <w:szCs w:val="25"/>
                          </w:rPr>
                          <w:t xml:space="preserve"> million tonnes of abatement</w:t>
                        </w:r>
                        <w:r>
                          <w:rPr>
                            <w:rFonts w:eastAsia="Times New Roman"/>
                            <w:color w:val="FFFFFF" w:themeColor="background1"/>
                            <w:sz w:val="25"/>
                            <w:szCs w:val="25"/>
                          </w:rPr>
                          <w:t xml:space="preserve"> by 2050.</w:t>
                        </w:r>
                      </w:p>
                      <w:p w14:paraId="005AAE3F"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Pr>
                            <w:rFonts w:eastAsia="Times New Roman"/>
                            <w:color w:val="FFFFFF" w:themeColor="background1"/>
                            <w:sz w:val="25"/>
                            <w:szCs w:val="25"/>
                          </w:rPr>
                          <w:t>95</w:t>
                        </w:r>
                        <w:r w:rsidRPr="00196FC8">
                          <w:rPr>
                            <w:rFonts w:eastAsia="Times New Roman"/>
                            <w:color w:val="FFFFFF" w:themeColor="background1"/>
                            <w:sz w:val="25"/>
                            <w:szCs w:val="25"/>
                          </w:rPr>
                          <w:t xml:space="preserve"> billion in fuel savings to Australians</w:t>
                        </w:r>
                        <w:r>
                          <w:rPr>
                            <w:rFonts w:eastAsia="Times New Roman"/>
                            <w:color w:val="FFFFFF" w:themeColor="background1"/>
                            <w:sz w:val="25"/>
                            <w:szCs w:val="25"/>
                          </w:rPr>
                          <w:t xml:space="preserve"> by 2050.</w:t>
                        </w:r>
                      </w:p>
                      <w:p w14:paraId="31DB4D2D"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EV drivers also save around $</w:t>
                        </w:r>
                        <w:r w:rsidRPr="000B0149">
                          <w:rPr>
                            <w:rFonts w:eastAsia="Times New Roman"/>
                            <w:color w:val="FFFFFF" w:themeColor="background1"/>
                            <w:sz w:val="25"/>
                            <w:szCs w:val="25"/>
                          </w:rPr>
                          <w:t>350</w:t>
                        </w:r>
                        <w:r w:rsidRPr="00196FC8">
                          <w:rPr>
                            <w:rFonts w:eastAsia="Times New Roman"/>
                            <w:color w:val="FFFFFF" w:themeColor="background1"/>
                            <w:sz w:val="25"/>
                            <w:szCs w:val="25"/>
                          </w:rPr>
                          <w:t xml:space="preserve"> per year in maintenance.</w:t>
                        </w:r>
                      </w:p>
                      <w:p w14:paraId="452C8A3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sidRPr="000B0149">
                          <w:rPr>
                            <w:rFonts w:eastAsia="Times New Roman"/>
                            <w:color w:val="FFFFFF" w:themeColor="background1"/>
                            <w:sz w:val="25"/>
                            <w:szCs w:val="25"/>
                          </w:rPr>
                          <w:t>5</w:t>
                        </w:r>
                        <w:r w:rsidRPr="00196FC8">
                          <w:rPr>
                            <w:rFonts w:eastAsia="Times New Roman"/>
                            <w:color w:val="FFFFFF" w:themeColor="background1"/>
                            <w:sz w:val="25"/>
                            <w:szCs w:val="25"/>
                          </w:rPr>
                          <w:t xml:space="preserve"> billion in health savings</w:t>
                        </w:r>
                        <w:r>
                          <w:rPr>
                            <w:rFonts w:eastAsia="Times New Roman"/>
                            <w:color w:val="FFFFFF" w:themeColor="background1"/>
                            <w:sz w:val="25"/>
                            <w:szCs w:val="25"/>
                          </w:rPr>
                          <w:t xml:space="preserve"> by 2050.</w:t>
                        </w:r>
                      </w:p>
                      <w:p w14:paraId="58BF6A86"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Improve Australia's fuel security.</w:t>
                        </w:r>
                      </w:p>
                      <w:p w14:paraId="42666AE6" w14:textId="77777777" w:rsidR="00BD7C09" w:rsidRPr="00196FC8" w:rsidRDefault="00BD7C09" w:rsidP="00306B5F">
                        <w:pPr>
                          <w:pStyle w:val="ListParagraph"/>
                          <w:numPr>
                            <w:ilvl w:val="0"/>
                            <w:numId w:val="81"/>
                          </w:numPr>
                          <w:spacing w:line="240" w:lineRule="auto"/>
                          <w:ind w:left="567" w:hanging="425"/>
                          <w:rPr>
                            <w:rFonts w:eastAsia="Times New Roman"/>
                            <w:color w:val="FFFFFF" w:themeColor="background1"/>
                            <w:sz w:val="25"/>
                            <w:szCs w:val="25"/>
                          </w:rPr>
                        </w:pPr>
                        <w:r w:rsidRPr="00196FC8">
                          <w:rPr>
                            <w:rFonts w:eastAsia="Times New Roman"/>
                            <w:color w:val="FFFFFF" w:themeColor="background1"/>
                            <w:sz w:val="25"/>
                            <w:szCs w:val="25"/>
                          </w:rPr>
                          <w:t>The types of vehicles Australians like to drive, such as utes and SUVs.</w:t>
                        </w:r>
                      </w:p>
                      <w:p w14:paraId="6E1FD9AF" w14:textId="77777777" w:rsidR="00BD7C09" w:rsidRDefault="00BD7C09" w:rsidP="00306B5F">
                        <w:pPr>
                          <w:rPr>
                            <w:color w:val="FFFFFF" w:themeColor="background1"/>
                          </w:rPr>
                        </w:pPr>
                      </w:p>
                    </w:txbxContent>
                  </v:textbox>
                </v:rect>
                <v:shape id="Text Box 204" o:spid="_x0000_s1033" type="#_x0000_t202" style="position:absolute;top:2318;width:18285;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C58D724" w14:textId="77777777" w:rsidR="00BD7C09" w:rsidRPr="00752D31" w:rsidRDefault="00BD7C09" w:rsidP="00306B5F">
                        <w:pPr>
                          <w:pStyle w:val="NoSpacing"/>
                          <w:jc w:val="center"/>
                          <w:rPr>
                            <w:rFonts w:asciiTheme="majorHAnsi" w:eastAsiaTheme="majorEastAsia" w:hAnsiTheme="majorHAnsi" w:cstheme="majorBidi"/>
                            <w:b/>
                            <w:caps/>
                            <w:color w:val="4A66AC" w:themeColor="accent1"/>
                            <w:sz w:val="28"/>
                            <w:szCs w:val="28"/>
                          </w:rPr>
                        </w:pPr>
                        <w:r w:rsidRPr="00752D31">
                          <w:rPr>
                            <w:rFonts w:asciiTheme="majorHAnsi" w:eastAsiaTheme="majorEastAsia" w:hAnsiTheme="majorHAnsi" w:cstheme="majorBidi"/>
                            <w:b/>
                            <w:caps/>
                            <w:color w:val="4A66AC" w:themeColor="accent1"/>
                            <w:sz w:val="28"/>
                            <w:szCs w:val="28"/>
                          </w:rPr>
                          <w:t>this will deliver</w:t>
                        </w:r>
                      </w:p>
                    </w:txbxContent>
                  </v:textbox>
                </v:shape>
                <w10:wrap type="square" anchorx="margin" anchory="margin"/>
              </v:group>
            </w:pict>
          </mc:Fallback>
        </mc:AlternateContent>
      </w:r>
      <w:r w:rsidR="00A83303" w:rsidRPr="00891AFE">
        <w:rPr>
          <w:color w:val="000000" w:themeColor="text1"/>
        </w:rPr>
        <w:t xml:space="preserve">The decision rule for this analysis is that the </w:t>
      </w:r>
      <w:r w:rsidR="00AE4BF3">
        <w:rPr>
          <w:color w:val="000000" w:themeColor="text1"/>
        </w:rPr>
        <w:t>best</w:t>
      </w:r>
      <w:r w:rsidR="00A83303" w:rsidRPr="00891AFE">
        <w:rPr>
          <w:color w:val="000000" w:themeColor="text1"/>
        </w:rPr>
        <w:t xml:space="preserve"> option should align to the </w:t>
      </w:r>
      <w:r w:rsidR="00A83303" w:rsidRPr="00891AFE">
        <w:rPr>
          <w:rFonts w:asciiTheme="majorHAnsi" w:hAnsiTheme="majorHAnsi" w:cstheme="majorHAnsi"/>
          <w:color w:val="000000" w:themeColor="text1"/>
        </w:rPr>
        <w:t>NVES</w:t>
      </w:r>
      <w:r w:rsidR="00A83303" w:rsidRPr="00891AFE">
        <w:rPr>
          <w:color w:val="000000" w:themeColor="text1"/>
        </w:rPr>
        <w:t xml:space="preserve"> guiding principles described in this Impact Analysis </w:t>
      </w:r>
      <w:r w:rsidR="00A83303" w:rsidRPr="00891AFE">
        <w:rPr>
          <w:i/>
          <w:color w:val="000000" w:themeColor="text1"/>
        </w:rPr>
        <w:t>and</w:t>
      </w:r>
      <w:r w:rsidR="00A83303" w:rsidRPr="00891AFE">
        <w:rPr>
          <w:color w:val="000000" w:themeColor="text1"/>
        </w:rPr>
        <w:t xml:space="preserve"> consider the results of the cost-benefit analysis.</w:t>
      </w:r>
    </w:p>
    <w:p w14:paraId="31D8B260" w14:textId="77777777" w:rsidR="00A83303" w:rsidRPr="00891AFE" w:rsidRDefault="00A83303" w:rsidP="00A83303">
      <w:pPr>
        <w:rPr>
          <w:color w:val="000000" w:themeColor="text1"/>
        </w:rPr>
      </w:pPr>
      <w:r w:rsidRPr="00891AFE">
        <w:rPr>
          <w:color w:val="000000" w:themeColor="text1"/>
        </w:rPr>
        <w:t>We considered all options against the quantitative cost-benefit analysis and the qualitative assessment of the options against the guiding principles, to determine the</w:t>
      </w:r>
      <w:r w:rsidR="00A940F5">
        <w:rPr>
          <w:color w:val="000000" w:themeColor="text1"/>
        </w:rPr>
        <w:t xml:space="preserve"> </w:t>
      </w:r>
      <w:r w:rsidR="00A940F5" w:rsidRPr="00891AFE">
        <w:rPr>
          <w:color w:val="000000" w:themeColor="text1"/>
        </w:rPr>
        <w:t>final</w:t>
      </w:r>
      <w:r w:rsidRPr="00891AFE">
        <w:rPr>
          <w:color w:val="000000" w:themeColor="text1"/>
        </w:rPr>
        <w:t xml:space="preserve"> best option. This is consistent with the recommendations of the Australian Government Guide to Policy Impact Analysis (the Guide).</w:t>
      </w:r>
      <w:r w:rsidRPr="00891AFE">
        <w:rPr>
          <w:rStyle w:val="EndnoteReference"/>
          <w:rFonts w:asciiTheme="majorHAnsi" w:hAnsiTheme="majorHAnsi" w:cstheme="majorHAnsi"/>
          <w:color w:val="000000" w:themeColor="text1"/>
        </w:rPr>
        <w:endnoteReference w:id="49"/>
      </w:r>
      <w:r w:rsidRPr="00891AFE">
        <w:rPr>
          <w:color w:val="000000" w:themeColor="text1"/>
        </w:rPr>
        <w:t xml:space="preserve"> The Guide indicates that all else being equal the option with the highest net benefit will be the </w:t>
      </w:r>
      <w:r w:rsidR="00AE4BF3">
        <w:rPr>
          <w:color w:val="000000" w:themeColor="text1"/>
        </w:rPr>
        <w:t>best</w:t>
      </w:r>
      <w:r w:rsidRPr="00891AFE">
        <w:rPr>
          <w:color w:val="000000" w:themeColor="text1"/>
        </w:rPr>
        <w:t xml:space="preserve"> option, however the Guide notes that it is rare for all other things to be equal and the recommendation should consider which option is more effective, appropriate, efficient, least costly and has the greatest net benefit for Australia. The Guide also notes that some costs or benefits may not be able to be monetised.</w:t>
      </w:r>
    </w:p>
    <w:p w14:paraId="613FDC26" w14:textId="77777777" w:rsidR="00042FA2" w:rsidRDefault="00042FA2" w:rsidP="00042FA2">
      <w:pPr>
        <w:rPr>
          <w:color w:val="000000" w:themeColor="text1"/>
        </w:rPr>
      </w:pPr>
      <w:r>
        <w:rPr>
          <w:color w:val="000000" w:themeColor="text1"/>
        </w:rPr>
        <w:t xml:space="preserve">Following consultation and additional economic analysis, we have made a number of small but critical changes to </w:t>
      </w:r>
      <w:r w:rsidR="00C12BE2">
        <w:rPr>
          <w:color w:val="000000" w:themeColor="text1"/>
        </w:rPr>
        <w:t>Option B</w:t>
      </w:r>
      <w:r>
        <w:rPr>
          <w:color w:val="000000" w:themeColor="text1"/>
        </w:rPr>
        <w:t>. The primary focus of the changes is to</w:t>
      </w:r>
      <w:r w:rsidR="00306B5F">
        <w:rPr>
          <w:color w:val="000000" w:themeColor="text1"/>
        </w:rPr>
        <w:t xml:space="preserve"> achieve a balance between </w:t>
      </w:r>
      <w:r>
        <w:rPr>
          <w:color w:val="000000" w:themeColor="text1"/>
        </w:rPr>
        <w:t>maximis</w:t>
      </w:r>
      <w:r w:rsidR="00306B5F">
        <w:rPr>
          <w:color w:val="000000" w:themeColor="text1"/>
        </w:rPr>
        <w:t>ing</w:t>
      </w:r>
      <w:r>
        <w:rPr>
          <w:color w:val="000000" w:themeColor="text1"/>
        </w:rPr>
        <w:t xml:space="preserve"> abatement and consumer benefit, while ensuring the Australian car industry is vibrant and provides consumers with even greater choice of fuel-efficient, low and zero emissions vehicles. The </w:t>
      </w:r>
      <w:r w:rsidR="00AE4BF3">
        <w:rPr>
          <w:color w:val="000000" w:themeColor="text1"/>
        </w:rPr>
        <w:t>best</w:t>
      </w:r>
      <w:r>
        <w:rPr>
          <w:color w:val="000000" w:themeColor="text1"/>
        </w:rPr>
        <w:t xml:space="preserve"> option</w:t>
      </w:r>
      <w:r w:rsidRPr="00891AFE">
        <w:rPr>
          <w:color w:val="000000" w:themeColor="text1"/>
        </w:rPr>
        <w:t xml:space="preserve"> supports achievement of the </w:t>
      </w:r>
      <w:r>
        <w:rPr>
          <w:color w:val="000000" w:themeColor="text1"/>
        </w:rPr>
        <w:t>G</w:t>
      </w:r>
      <w:r w:rsidRPr="00891AFE">
        <w:rPr>
          <w:color w:val="000000" w:themeColor="text1"/>
        </w:rPr>
        <w:t xml:space="preserve">uiding </w:t>
      </w:r>
      <w:r>
        <w:rPr>
          <w:color w:val="000000" w:themeColor="text1"/>
        </w:rPr>
        <w:t>P</w:t>
      </w:r>
      <w:r w:rsidRPr="00891AFE">
        <w:rPr>
          <w:color w:val="000000" w:themeColor="text1"/>
        </w:rPr>
        <w:t>rinciples</w:t>
      </w:r>
      <w:r>
        <w:rPr>
          <w:color w:val="000000" w:themeColor="text1"/>
        </w:rPr>
        <w:t>.</w:t>
      </w:r>
    </w:p>
    <w:p w14:paraId="69ED7E63" w14:textId="77777777" w:rsidR="00525B34" w:rsidRDefault="00042FA2" w:rsidP="00525B34">
      <w:pPr>
        <w:rPr>
          <w:color w:val="000000" w:themeColor="text1"/>
        </w:rPr>
      </w:pPr>
      <w:r>
        <w:rPr>
          <w:color w:val="000000" w:themeColor="text1"/>
        </w:rPr>
        <w:t xml:space="preserve">The </w:t>
      </w:r>
      <w:r w:rsidR="00AE4BF3">
        <w:rPr>
          <w:color w:val="000000" w:themeColor="text1"/>
        </w:rPr>
        <w:t>best</w:t>
      </w:r>
      <w:r>
        <w:rPr>
          <w:color w:val="000000" w:themeColor="text1"/>
        </w:rPr>
        <w:t xml:space="preserve"> option</w:t>
      </w:r>
      <w:r w:rsidR="00C93276">
        <w:rPr>
          <w:color w:val="000000" w:themeColor="text1"/>
        </w:rPr>
        <w:t xml:space="preserve"> represents </w:t>
      </w:r>
      <w:r w:rsidR="00525B34" w:rsidRPr="00891AFE">
        <w:rPr>
          <w:color w:val="000000" w:themeColor="text1"/>
        </w:rPr>
        <w:t xml:space="preserve">an ambitious standard that returns a high net benefit, a strong positive BCR and very large abatement to support achievement of Australia’s commitments under the Paris Agreement and </w:t>
      </w:r>
      <w:r w:rsidR="00525B34" w:rsidRPr="00891AFE">
        <w:rPr>
          <w:i/>
          <w:color w:val="000000" w:themeColor="text1"/>
        </w:rPr>
        <w:t>Climate Change Act 2022</w:t>
      </w:r>
      <w:r w:rsidR="00525B34" w:rsidRPr="00891AFE">
        <w:rPr>
          <w:color w:val="000000" w:themeColor="text1"/>
        </w:rPr>
        <w:t xml:space="preserve">. The strong abatement generated by this option meets the guiding principle that the </w:t>
      </w:r>
      <w:r w:rsidR="00525B34" w:rsidRPr="00891AFE">
        <w:rPr>
          <w:rFonts w:asciiTheme="majorHAnsi" w:hAnsiTheme="majorHAnsi" w:cstheme="majorHAnsi"/>
          <w:color w:val="000000" w:themeColor="text1"/>
        </w:rPr>
        <w:t>NVES</w:t>
      </w:r>
      <w:r w:rsidR="00525B34" w:rsidRPr="00891AFE">
        <w:rPr>
          <w:color w:val="000000" w:themeColor="text1"/>
        </w:rPr>
        <w:t xml:space="preserve"> should be </w:t>
      </w:r>
      <w:r w:rsidR="00525B34" w:rsidRPr="00891AFE">
        <w:rPr>
          <w:i/>
          <w:color w:val="000000" w:themeColor="text1"/>
        </w:rPr>
        <w:t>effective</w:t>
      </w:r>
      <w:r w:rsidR="00525B34" w:rsidRPr="00891AFE">
        <w:rPr>
          <w:color w:val="000000" w:themeColor="text1"/>
        </w:rPr>
        <w:t xml:space="preserve">, with </w:t>
      </w:r>
      <w:r w:rsidR="00525B34" w:rsidRPr="000B0149">
        <w:rPr>
          <w:color w:val="000000" w:themeColor="text1"/>
        </w:rPr>
        <w:t>a</w:t>
      </w:r>
      <w:r w:rsidR="000B0149" w:rsidRPr="000B0149">
        <w:rPr>
          <w:color w:val="000000" w:themeColor="text1"/>
        </w:rPr>
        <w:t xml:space="preserve"> 61</w:t>
      </w:r>
      <w:r w:rsidR="00525B34" w:rsidRPr="000B0149">
        <w:rPr>
          <w:color w:val="000000" w:themeColor="text1"/>
        </w:rPr>
        <w:t xml:space="preserve">% reduction in average new </w:t>
      </w:r>
      <w:r w:rsidR="000B0149" w:rsidRPr="000B0149">
        <w:rPr>
          <w:color w:val="000000" w:themeColor="text1"/>
        </w:rPr>
        <w:t>passenger vehicle</w:t>
      </w:r>
      <w:r w:rsidR="00525B34" w:rsidRPr="000B0149">
        <w:rPr>
          <w:color w:val="000000" w:themeColor="text1"/>
        </w:rPr>
        <w:t xml:space="preserve"> emissions </w:t>
      </w:r>
      <w:r w:rsidR="000B0149" w:rsidRPr="000B0149">
        <w:rPr>
          <w:color w:val="000000" w:themeColor="text1"/>
        </w:rPr>
        <w:t xml:space="preserve">intensity, and a </w:t>
      </w:r>
      <w:r w:rsidR="00236810">
        <w:rPr>
          <w:color w:val="000000" w:themeColor="text1"/>
        </w:rPr>
        <w:t>49</w:t>
      </w:r>
      <w:r w:rsidR="00525B34" w:rsidRPr="000B0149">
        <w:rPr>
          <w:color w:val="000000" w:themeColor="text1"/>
        </w:rPr>
        <w:t xml:space="preserve">% reduction in average new </w:t>
      </w:r>
      <w:r w:rsidR="000B0149" w:rsidRPr="000B0149">
        <w:rPr>
          <w:color w:val="000000" w:themeColor="text1"/>
        </w:rPr>
        <w:t>light commercial vehicle</w:t>
      </w:r>
      <w:r w:rsidR="00525B34" w:rsidRPr="000B0149">
        <w:rPr>
          <w:color w:val="000000" w:themeColor="text1"/>
        </w:rPr>
        <w:t xml:space="preserve"> emissions</w:t>
      </w:r>
      <w:r w:rsidR="000B0149" w:rsidRPr="000B0149">
        <w:rPr>
          <w:color w:val="000000" w:themeColor="text1"/>
        </w:rPr>
        <w:t xml:space="preserve"> intensity</w:t>
      </w:r>
      <w:r w:rsidR="00525B34" w:rsidRPr="000B0149">
        <w:rPr>
          <w:color w:val="000000" w:themeColor="text1"/>
        </w:rPr>
        <w:t xml:space="preserve"> from 2024 to 2029</w:t>
      </w:r>
      <w:r w:rsidR="003C2A25">
        <w:rPr>
          <w:color w:val="000000" w:themeColor="text1"/>
        </w:rPr>
        <w:t xml:space="preserve">. </w:t>
      </w:r>
      <w:r w:rsidR="00525B34" w:rsidRPr="00891AFE">
        <w:rPr>
          <w:color w:val="000000" w:themeColor="text1"/>
        </w:rPr>
        <w:t xml:space="preserve">The effectiveness of this option is further supported by excluding supercredits and off-cycle credits which erode the real emissions reduction and fuel cost savings provided by the </w:t>
      </w:r>
      <w:r w:rsidR="00525B34" w:rsidRPr="00891AFE">
        <w:rPr>
          <w:rFonts w:asciiTheme="majorHAnsi" w:hAnsiTheme="majorHAnsi" w:cstheme="majorHAnsi"/>
          <w:color w:val="000000" w:themeColor="text1"/>
        </w:rPr>
        <w:t>NVES</w:t>
      </w:r>
      <w:r w:rsidR="00525B34" w:rsidRPr="00891AFE">
        <w:rPr>
          <w:color w:val="000000" w:themeColor="text1"/>
        </w:rPr>
        <w:t>.</w:t>
      </w:r>
    </w:p>
    <w:p w14:paraId="57167AF9" w14:textId="77777777" w:rsidR="00EB49FC" w:rsidRDefault="00EB49FC" w:rsidP="00525B34">
      <w:pPr>
        <w:rPr>
          <w:color w:val="000000" w:themeColor="text1"/>
        </w:rPr>
      </w:pPr>
      <w:r>
        <w:rPr>
          <w:color w:val="000000" w:themeColor="text1"/>
        </w:rPr>
        <w:t>One of the key features of an NVES is the headline limit, which has the strongest influence over how ambitious, or stringent, a NVES is. After consi</w:t>
      </w:r>
      <w:r w:rsidR="009031CC">
        <w:rPr>
          <w:color w:val="000000" w:themeColor="text1"/>
        </w:rPr>
        <w:t xml:space="preserve">dering the feedback we received, as well as the types of vehicles many Australians need for work, the headline limit has been adjusted </w:t>
      </w:r>
      <w:r w:rsidR="00325996">
        <w:rPr>
          <w:color w:val="000000" w:themeColor="text1"/>
        </w:rPr>
        <w:t xml:space="preserve">for light commercial vehicles, which will enable manufacturers </w:t>
      </w:r>
      <w:r w:rsidR="00E25ED9">
        <w:rPr>
          <w:color w:val="000000" w:themeColor="text1"/>
        </w:rPr>
        <w:t xml:space="preserve">of light commercial vehicles </w:t>
      </w:r>
      <w:r w:rsidR="00325996">
        <w:rPr>
          <w:color w:val="000000" w:themeColor="text1"/>
        </w:rPr>
        <w:t xml:space="preserve">to better meet the NVES while developing new technology for supply in subsequent years.  </w:t>
      </w:r>
    </w:p>
    <w:p w14:paraId="14788896" w14:textId="77777777" w:rsidR="00C169E5" w:rsidRPr="00891AFE" w:rsidRDefault="00C169E5" w:rsidP="00525B34">
      <w:pPr>
        <w:rPr>
          <w:color w:val="000000" w:themeColor="text1"/>
        </w:rPr>
      </w:pPr>
      <w:r w:rsidRPr="00891AFE">
        <w:rPr>
          <w:color w:val="000000" w:themeColor="text1"/>
        </w:rPr>
        <w:t xml:space="preserve">To further protect small cars that are typically the most affordable vehicles, </w:t>
      </w:r>
      <w:r>
        <w:rPr>
          <w:color w:val="000000" w:themeColor="text1"/>
        </w:rPr>
        <w:t xml:space="preserve">the best option, </w:t>
      </w:r>
      <w:r w:rsidR="000B0149">
        <w:rPr>
          <w:color w:val="000000" w:themeColor="text1"/>
        </w:rPr>
        <w:t>consistent with</w:t>
      </w:r>
      <w:r>
        <w:rPr>
          <w:color w:val="000000" w:themeColor="text1"/>
        </w:rPr>
        <w:t xml:space="preserve"> </w:t>
      </w:r>
      <w:r w:rsidR="00FC0134">
        <w:rPr>
          <w:color w:val="000000" w:themeColor="text1"/>
        </w:rPr>
        <w:t xml:space="preserve">the Consultation Impact Analysis’ </w:t>
      </w:r>
      <w:r w:rsidR="00C12BE2">
        <w:rPr>
          <w:color w:val="000000" w:themeColor="text1"/>
        </w:rPr>
        <w:t>Option B</w:t>
      </w:r>
      <w:r>
        <w:rPr>
          <w:color w:val="000000" w:themeColor="text1"/>
        </w:rPr>
        <w:t xml:space="preserve">, </w:t>
      </w:r>
      <w:r w:rsidRPr="00891AFE">
        <w:rPr>
          <w:color w:val="000000" w:themeColor="text1"/>
        </w:rPr>
        <w:t>provides a more lenient CO</w:t>
      </w:r>
      <w:r w:rsidRPr="00891AFE">
        <w:rPr>
          <w:color w:val="000000" w:themeColor="text1"/>
          <w:vertAlign w:val="subscript"/>
        </w:rPr>
        <w:t>2</w:t>
      </w:r>
      <w:r w:rsidRPr="00891AFE">
        <w:rPr>
          <w:color w:val="000000" w:themeColor="text1"/>
        </w:rPr>
        <w:t xml:space="preserve"> target for vehicles with a mass in running order</w:t>
      </w:r>
      <w:r>
        <w:rPr>
          <w:color w:val="000000" w:themeColor="text1"/>
        </w:rPr>
        <w:t xml:space="preserve"> (MIRO) </w:t>
      </w:r>
      <w:r w:rsidR="000B0149">
        <w:rPr>
          <w:color w:val="000000" w:themeColor="text1"/>
        </w:rPr>
        <w:t>under 1,500kg.</w:t>
      </w:r>
      <w:r w:rsidR="009F3928">
        <w:rPr>
          <w:color w:val="000000" w:themeColor="text1"/>
        </w:rPr>
        <w:t xml:space="preserve"> The </w:t>
      </w:r>
      <w:r w:rsidR="00A940F5">
        <w:rPr>
          <w:color w:val="000000" w:themeColor="text1"/>
        </w:rPr>
        <w:t xml:space="preserve">best </w:t>
      </w:r>
      <w:r w:rsidR="008A532D">
        <w:rPr>
          <w:color w:val="000000" w:themeColor="text1"/>
        </w:rPr>
        <w:t>o</w:t>
      </w:r>
      <w:r w:rsidR="00DC48C3">
        <w:rPr>
          <w:color w:val="000000" w:themeColor="text1"/>
        </w:rPr>
        <w:t xml:space="preserve">ption </w:t>
      </w:r>
      <w:r w:rsidR="008A532D">
        <w:rPr>
          <w:color w:val="000000" w:themeColor="text1"/>
        </w:rPr>
        <w:t>a</w:t>
      </w:r>
      <w:r w:rsidR="009F3928">
        <w:rPr>
          <w:color w:val="000000" w:themeColor="text1"/>
        </w:rPr>
        <w:t>lso adjusts the upper break point t</w:t>
      </w:r>
      <w:r w:rsidR="000B0149">
        <w:rPr>
          <w:color w:val="000000" w:themeColor="text1"/>
        </w:rPr>
        <w:t>o better statistically match the distribution of vehicles</w:t>
      </w:r>
      <w:r w:rsidR="009F3928">
        <w:rPr>
          <w:color w:val="000000" w:themeColor="text1"/>
        </w:rPr>
        <w:t>. T</w:t>
      </w:r>
      <w:r w:rsidR="000B0149">
        <w:rPr>
          <w:color w:val="000000" w:themeColor="text1"/>
        </w:rPr>
        <w:t>he upper break point is lifted to</w:t>
      </w:r>
      <w:r>
        <w:rPr>
          <w:color w:val="000000" w:themeColor="text1"/>
        </w:rPr>
        <w:t xml:space="preserve"> 2,200kg (PVs) and 2,400 (LCVs)</w:t>
      </w:r>
      <w:r w:rsidRPr="00891AFE">
        <w:rPr>
          <w:color w:val="000000" w:themeColor="text1"/>
        </w:rPr>
        <w:t>.</w:t>
      </w:r>
      <w:r>
        <w:rPr>
          <w:color w:val="000000" w:themeColor="text1"/>
        </w:rPr>
        <w:t xml:space="preserve"> </w:t>
      </w:r>
      <w:r w:rsidRPr="000B7DE4">
        <w:rPr>
          <w:color w:val="000000" w:themeColor="text1"/>
        </w:rPr>
        <w:t xml:space="preserve">This change intends to </w:t>
      </w:r>
      <w:r>
        <w:rPr>
          <w:color w:val="000000" w:themeColor="text1"/>
        </w:rPr>
        <w:t>adjust</w:t>
      </w:r>
      <w:r w:rsidRPr="000B7DE4">
        <w:rPr>
          <w:color w:val="000000" w:themeColor="text1"/>
        </w:rPr>
        <w:t xml:space="preserve"> the impact of the NVES on heavier vehicles which are more difficult to decarbonise and ensure they remain available in the Australian market.</w:t>
      </w:r>
      <w:r w:rsidRPr="00891AFE">
        <w:rPr>
          <w:color w:val="000000" w:themeColor="text1"/>
        </w:rPr>
        <w:t xml:space="preserve"> Taken together, this supports achievement of the </w:t>
      </w:r>
      <w:r w:rsidRPr="00891AFE">
        <w:rPr>
          <w:i/>
          <w:color w:val="000000" w:themeColor="text1"/>
        </w:rPr>
        <w:t>equitable</w:t>
      </w:r>
      <w:r w:rsidRPr="00891AFE">
        <w:rPr>
          <w:color w:val="000000" w:themeColor="text1"/>
        </w:rPr>
        <w:t xml:space="preserve"> and </w:t>
      </w:r>
      <w:r w:rsidRPr="00891AFE">
        <w:rPr>
          <w:i/>
          <w:color w:val="000000" w:themeColor="text1"/>
        </w:rPr>
        <w:t>enabling</w:t>
      </w:r>
      <w:r w:rsidRPr="00891AFE">
        <w:rPr>
          <w:color w:val="000000" w:themeColor="text1"/>
        </w:rPr>
        <w:t xml:space="preserve"> guiding principles.</w:t>
      </w:r>
    </w:p>
    <w:p w14:paraId="6F1CAC12" w14:textId="77777777" w:rsidR="000B7DE4" w:rsidRDefault="00525B34" w:rsidP="00525B34">
      <w:pPr>
        <w:rPr>
          <w:color w:val="000000" w:themeColor="text1"/>
        </w:rPr>
      </w:pPr>
      <w:r w:rsidRPr="00891AFE">
        <w:rPr>
          <w:color w:val="000000" w:themeColor="text1"/>
        </w:rPr>
        <w:t xml:space="preserve">A key risk from an ambitious standard is the availability of technology and a vehicle mix to comply with the targets. </w:t>
      </w:r>
      <w:r w:rsidR="000B7DE4">
        <w:rPr>
          <w:color w:val="000000" w:themeColor="text1"/>
        </w:rPr>
        <w:t xml:space="preserve">Given this, and feedback received during the consultation process, </w:t>
      </w:r>
      <w:r w:rsidR="00F64344">
        <w:rPr>
          <w:color w:val="000000" w:themeColor="text1"/>
        </w:rPr>
        <w:t>a</w:t>
      </w:r>
      <w:r w:rsidR="00042FA2">
        <w:rPr>
          <w:color w:val="000000" w:themeColor="text1"/>
        </w:rPr>
        <w:t xml:space="preserve"> </w:t>
      </w:r>
      <w:r w:rsidR="00203231">
        <w:rPr>
          <w:color w:val="000000" w:themeColor="text1"/>
        </w:rPr>
        <w:t>modest number of larger 4WDs will be moved from the passenger vehicle category to the light commercial vehicle category</w:t>
      </w:r>
      <w:r w:rsidR="00F64344">
        <w:rPr>
          <w:color w:val="000000" w:themeColor="text1"/>
        </w:rPr>
        <w:t>. T</w:t>
      </w:r>
      <w:r w:rsidR="00203231">
        <w:rPr>
          <w:color w:val="000000" w:themeColor="text1"/>
        </w:rPr>
        <w:t xml:space="preserve">his will ensure that manufacturers have more flexibility in terms of supplying the types of heavier vehicles that Australians need for work. </w:t>
      </w:r>
    </w:p>
    <w:p w14:paraId="3A02169D" w14:textId="77777777" w:rsidR="00C169E5" w:rsidRDefault="00C169E5" w:rsidP="00525B34">
      <w:pPr>
        <w:rPr>
          <w:color w:val="000000" w:themeColor="text1"/>
        </w:rPr>
      </w:pPr>
      <w:r>
        <w:rPr>
          <w:color w:val="000000" w:themeColor="text1"/>
        </w:rPr>
        <w:t xml:space="preserve">Finally, NVES implementation will be </w:t>
      </w:r>
      <w:r w:rsidR="00F904FE">
        <w:rPr>
          <w:color w:val="000000" w:themeColor="text1"/>
        </w:rPr>
        <w:t>timed</w:t>
      </w:r>
      <w:r w:rsidR="00236810">
        <w:rPr>
          <w:color w:val="000000" w:themeColor="text1"/>
        </w:rPr>
        <w:t xml:space="preserve"> </w:t>
      </w:r>
      <w:r>
        <w:rPr>
          <w:color w:val="000000" w:themeColor="text1"/>
        </w:rPr>
        <w:t xml:space="preserve">so that </w:t>
      </w:r>
      <w:r w:rsidR="00236810">
        <w:rPr>
          <w:color w:val="000000" w:themeColor="text1"/>
        </w:rPr>
        <w:t xml:space="preserve">the legislation commences on 1 January 2025, and </w:t>
      </w:r>
      <w:r>
        <w:rPr>
          <w:color w:val="000000" w:themeColor="text1"/>
        </w:rPr>
        <w:t>suppliers can generate credits</w:t>
      </w:r>
      <w:r w:rsidR="00236810">
        <w:rPr>
          <w:color w:val="000000" w:themeColor="text1"/>
        </w:rPr>
        <w:t xml:space="preserve"> and penalties from</w:t>
      </w:r>
      <w:r>
        <w:rPr>
          <w:color w:val="000000" w:themeColor="text1"/>
        </w:rPr>
        <w:t xml:space="preserve"> 1</w:t>
      </w:r>
      <w:r w:rsidR="00236810">
        <w:rPr>
          <w:color w:val="000000" w:themeColor="text1"/>
        </w:rPr>
        <w:t> July </w:t>
      </w:r>
      <w:r>
        <w:rPr>
          <w:color w:val="000000" w:themeColor="text1"/>
        </w:rPr>
        <w:t>2026.</w:t>
      </w:r>
    </w:p>
    <w:p w14:paraId="7D2A6A69" w14:textId="77777777" w:rsidR="007D3E1A" w:rsidRPr="007D3E1A" w:rsidRDefault="007D3E1A" w:rsidP="007D3E1A">
      <w:pPr>
        <w:rPr>
          <w:color w:val="000000" w:themeColor="text1"/>
        </w:rPr>
      </w:pPr>
      <w:r>
        <w:rPr>
          <w:color w:val="000000" w:themeColor="text1"/>
        </w:rPr>
        <w:t xml:space="preserve">The best option progressively reaches alignment with the </w:t>
      </w:r>
      <w:r w:rsidR="00851193">
        <w:rPr>
          <w:color w:val="000000" w:themeColor="text1"/>
        </w:rPr>
        <w:t>headline limit</w:t>
      </w:r>
      <w:r>
        <w:rPr>
          <w:color w:val="000000" w:themeColor="text1"/>
        </w:rPr>
        <w:t xml:space="preserve"> of the standards in the US in t</w:t>
      </w:r>
      <w:r w:rsidRPr="007D3E1A">
        <w:rPr>
          <w:color w:val="000000" w:themeColor="text1"/>
        </w:rPr>
        <w:t xml:space="preserve">he passenger vehicle </w:t>
      </w:r>
      <w:r w:rsidR="00851193">
        <w:rPr>
          <w:color w:val="000000" w:themeColor="text1"/>
        </w:rPr>
        <w:t>category</w:t>
      </w:r>
      <w:r w:rsidRPr="007D3E1A">
        <w:rPr>
          <w:color w:val="000000" w:themeColor="text1"/>
        </w:rPr>
        <w:t xml:space="preserve"> around 2028, while the light commercial vehicle </w:t>
      </w:r>
      <w:r w:rsidR="00851193">
        <w:rPr>
          <w:color w:val="000000" w:themeColor="text1"/>
        </w:rPr>
        <w:t>category</w:t>
      </w:r>
      <w:r w:rsidRPr="007D3E1A">
        <w:rPr>
          <w:color w:val="000000" w:themeColor="text1"/>
        </w:rPr>
        <w:t xml:space="preserve"> is on a trajectory towards alignment with the US around 2030. </w:t>
      </w:r>
    </w:p>
    <w:p w14:paraId="5F413521" w14:textId="77777777" w:rsidR="00373650" w:rsidRPr="00CF39C8" w:rsidRDefault="00C960E6" w:rsidP="00430317">
      <w:pPr>
        <w:pStyle w:val="Heading2"/>
        <w:numPr>
          <w:ilvl w:val="1"/>
          <w:numId w:val="65"/>
        </w:numPr>
        <w:ind w:hanging="792"/>
      </w:pPr>
      <w:bookmarkStart w:id="500" w:name="_Toc161408252"/>
      <w:bookmarkStart w:id="501" w:name="_Toc161408321"/>
      <w:bookmarkStart w:id="502" w:name="_Toc161408411"/>
      <w:bookmarkStart w:id="503" w:name="_Toc161408480"/>
      <w:bookmarkStart w:id="504" w:name="_Toc161408667"/>
      <w:bookmarkStart w:id="505" w:name="_Toc161408253"/>
      <w:bookmarkStart w:id="506" w:name="_Toc161408322"/>
      <w:bookmarkStart w:id="507" w:name="_Toc161408412"/>
      <w:bookmarkStart w:id="508" w:name="_Toc161408481"/>
      <w:bookmarkStart w:id="509" w:name="_Toc161408668"/>
      <w:bookmarkStart w:id="510" w:name="_Toc161408254"/>
      <w:bookmarkStart w:id="511" w:name="_Toc161408323"/>
      <w:bookmarkStart w:id="512" w:name="_Toc161408413"/>
      <w:bookmarkStart w:id="513" w:name="_Toc161408482"/>
      <w:bookmarkStart w:id="514" w:name="_Toc161408669"/>
      <w:bookmarkStart w:id="515" w:name="_Toc161408256"/>
      <w:bookmarkStart w:id="516" w:name="_Toc161408325"/>
      <w:bookmarkStart w:id="517" w:name="_Toc161408415"/>
      <w:bookmarkStart w:id="518" w:name="_Toc161408484"/>
      <w:bookmarkStart w:id="519" w:name="_Toc161408671"/>
      <w:bookmarkStart w:id="520" w:name="_Toc161239148"/>
      <w:bookmarkStart w:id="521" w:name="_Toc161243942"/>
      <w:bookmarkStart w:id="522" w:name="_Toc161408257"/>
      <w:bookmarkStart w:id="523" w:name="_Toc161408326"/>
      <w:bookmarkStart w:id="524" w:name="_Toc161408416"/>
      <w:bookmarkStart w:id="525" w:name="_Toc161408485"/>
      <w:bookmarkStart w:id="526" w:name="_Toc161408672"/>
      <w:bookmarkStart w:id="527" w:name="_Toc161239149"/>
      <w:bookmarkStart w:id="528" w:name="_Toc161243943"/>
      <w:bookmarkStart w:id="529" w:name="_Toc161408258"/>
      <w:bookmarkStart w:id="530" w:name="_Toc161408327"/>
      <w:bookmarkStart w:id="531" w:name="_Toc161408417"/>
      <w:bookmarkStart w:id="532" w:name="_Toc161408486"/>
      <w:bookmarkStart w:id="533" w:name="_Toc161408673"/>
      <w:bookmarkStart w:id="534" w:name="_Toc161837686"/>
      <w:bookmarkStart w:id="535" w:name="_Toc161933183"/>
      <w:bookmarkStart w:id="536" w:name="_Toc162276492"/>
      <w:bookmarkStart w:id="537" w:name="_Toc16322108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CF39C8">
        <w:t>What entities should be regulated</w:t>
      </w:r>
      <w:bookmarkEnd w:id="534"/>
      <w:bookmarkEnd w:id="535"/>
      <w:bookmarkEnd w:id="536"/>
      <w:bookmarkEnd w:id="537"/>
      <w:r w:rsidRPr="00CF39C8">
        <w:t xml:space="preserve"> </w:t>
      </w:r>
    </w:p>
    <w:p w14:paraId="63A01DE9" w14:textId="77777777" w:rsidR="00D00CE6" w:rsidRPr="00CF39C8" w:rsidRDefault="00D00CE6" w:rsidP="00D00CE6">
      <w:pPr>
        <w:rPr>
          <w:color w:val="000000" w:themeColor="text1"/>
        </w:rPr>
      </w:pPr>
      <w:r w:rsidRPr="00CF39C8">
        <w:rPr>
          <w:color w:val="000000" w:themeColor="text1"/>
        </w:rPr>
        <w:t xml:space="preserve">Following consideration of responses to </w:t>
      </w:r>
      <w:r w:rsidRPr="002F6DCE">
        <w:rPr>
          <w:color w:val="000000" w:themeColor="text1"/>
        </w:rPr>
        <w:t xml:space="preserve">the </w:t>
      </w:r>
      <w:r w:rsidR="00C6524C" w:rsidRPr="002F6DCE">
        <w:rPr>
          <w:color w:val="000000" w:themeColor="text1"/>
        </w:rPr>
        <w:t xml:space="preserve">Phase 1 and Phase 2 consultations, </w:t>
      </w:r>
      <w:r w:rsidRPr="002F6DCE">
        <w:rPr>
          <w:color w:val="000000" w:themeColor="text1"/>
        </w:rPr>
        <w:t xml:space="preserve">the department has </w:t>
      </w:r>
      <w:r w:rsidR="00C6524C" w:rsidRPr="002F6DCE">
        <w:rPr>
          <w:color w:val="000000" w:themeColor="text1"/>
        </w:rPr>
        <w:t>confirmed</w:t>
      </w:r>
      <w:r w:rsidRPr="002F6DCE">
        <w:rPr>
          <w:color w:val="000000" w:themeColor="text1"/>
        </w:rPr>
        <w:t xml:space="preserve"> who would be captured as a regulated entity</w:t>
      </w:r>
      <w:r w:rsidR="00C6524C" w:rsidRPr="00CF39C8">
        <w:rPr>
          <w:color w:val="000000" w:themeColor="text1"/>
        </w:rPr>
        <w:t>.</w:t>
      </w:r>
      <w:r w:rsidRPr="00CF39C8">
        <w:rPr>
          <w:color w:val="000000" w:themeColor="text1"/>
        </w:rPr>
        <w:t xml:space="preserve"> </w:t>
      </w:r>
      <w:r w:rsidR="00C6524C" w:rsidRPr="00CF39C8">
        <w:rPr>
          <w:color w:val="000000" w:themeColor="text1"/>
        </w:rPr>
        <w:t>As before</w:t>
      </w:r>
      <w:r w:rsidRPr="00CF39C8">
        <w:rPr>
          <w:color w:val="000000" w:themeColor="text1"/>
        </w:rPr>
        <w:t xml:space="preserve">, we have been guided by two principles: </w:t>
      </w:r>
    </w:p>
    <w:p w14:paraId="10A85534" w14:textId="77777777" w:rsidR="00D00CE6" w:rsidRPr="00CF39C8" w:rsidRDefault="00D00CE6" w:rsidP="00430317">
      <w:pPr>
        <w:pStyle w:val="ListParagraph"/>
        <w:numPr>
          <w:ilvl w:val="0"/>
          <w:numId w:val="54"/>
        </w:numPr>
        <w:spacing w:after="160" w:line="252" w:lineRule="auto"/>
        <w:rPr>
          <w:color w:val="000000" w:themeColor="text1"/>
        </w:rPr>
      </w:pPr>
      <w:r w:rsidRPr="00CF39C8">
        <w:rPr>
          <w:color w:val="000000" w:themeColor="text1"/>
        </w:rPr>
        <w:t xml:space="preserve">The desirability of being integrated into the existing regulatory system, especially the RVSA. </w:t>
      </w:r>
    </w:p>
    <w:p w14:paraId="24D97266" w14:textId="77777777" w:rsidR="00D00CE6" w:rsidRPr="00CF39C8" w:rsidRDefault="00D00CE6" w:rsidP="00430317">
      <w:pPr>
        <w:pStyle w:val="ListParagraph"/>
        <w:numPr>
          <w:ilvl w:val="0"/>
          <w:numId w:val="54"/>
        </w:numPr>
        <w:spacing w:after="160" w:line="252" w:lineRule="auto"/>
        <w:rPr>
          <w:color w:val="000000" w:themeColor="text1"/>
        </w:rPr>
      </w:pPr>
      <w:r w:rsidRPr="00CF39C8">
        <w:rPr>
          <w:color w:val="000000" w:themeColor="text1"/>
        </w:rPr>
        <w:t xml:space="preserve">The desirability of ensuring very good regulatory coverage, and reducing the possibility of avoidance. </w:t>
      </w:r>
    </w:p>
    <w:p w14:paraId="450689F9" w14:textId="77777777" w:rsidR="0076281A" w:rsidRDefault="00E55D93" w:rsidP="00D00CE6">
      <w:pPr>
        <w:rPr>
          <w:color w:val="000000" w:themeColor="text1"/>
        </w:rPr>
      </w:pPr>
      <w:r w:rsidRPr="00CF39C8">
        <w:rPr>
          <w:color w:val="000000" w:themeColor="text1"/>
        </w:rPr>
        <w:t xml:space="preserve">The regulated entity that will </w:t>
      </w:r>
      <w:r w:rsidR="00DD2A43">
        <w:rPr>
          <w:color w:val="000000" w:themeColor="text1"/>
        </w:rPr>
        <w:t>gain</w:t>
      </w:r>
      <w:r w:rsidR="00DD2A43" w:rsidRPr="00CF39C8">
        <w:rPr>
          <w:color w:val="000000" w:themeColor="text1"/>
        </w:rPr>
        <w:t xml:space="preserve"> </w:t>
      </w:r>
      <w:r w:rsidRPr="00CF39C8">
        <w:rPr>
          <w:color w:val="000000" w:themeColor="text1"/>
        </w:rPr>
        <w:t xml:space="preserve">credits </w:t>
      </w:r>
      <w:r w:rsidR="00604A87">
        <w:rPr>
          <w:color w:val="000000" w:themeColor="text1"/>
        </w:rPr>
        <w:t>or be liable for penalties</w:t>
      </w:r>
      <w:r w:rsidRPr="00CF39C8">
        <w:rPr>
          <w:color w:val="000000" w:themeColor="text1"/>
        </w:rPr>
        <w:t xml:space="preserve"> under the NVES legislation is the type approval holder who first enters a particular vehicle onto the Register of Approved Vehicles (RAV). This leverages the current requirement that a type approval holder must either enter vehicle information on the RAV or authorise another person to do so under section 15 of the RVSA and section 9 of the </w:t>
      </w:r>
      <w:r w:rsidRPr="00CF39C8">
        <w:rPr>
          <w:i/>
          <w:color w:val="000000" w:themeColor="text1"/>
        </w:rPr>
        <w:t>R</w:t>
      </w:r>
      <w:r w:rsidR="00BD5021" w:rsidRPr="00CF39C8">
        <w:rPr>
          <w:i/>
          <w:color w:val="000000" w:themeColor="text1"/>
        </w:rPr>
        <w:t>oad Vehicle Standards Rules 2019</w:t>
      </w:r>
      <w:r w:rsidR="00715D4F" w:rsidRPr="00CF39C8">
        <w:rPr>
          <w:color w:val="000000" w:themeColor="text1"/>
        </w:rPr>
        <w:t>,</w:t>
      </w:r>
      <w:r w:rsidRPr="00CF39C8">
        <w:rPr>
          <w:color w:val="000000" w:themeColor="text1"/>
        </w:rPr>
        <w:t xml:space="preserve"> and ensures that all vehicles are captured at entry. </w:t>
      </w:r>
    </w:p>
    <w:p w14:paraId="26E7E3E9" w14:textId="77777777" w:rsidR="00FC0134" w:rsidRDefault="00FC0134" w:rsidP="00D00CE6">
      <w:pPr>
        <w:rPr>
          <w:color w:val="000000" w:themeColor="text1"/>
        </w:rPr>
      </w:pPr>
    </w:p>
    <w:p w14:paraId="291F1BF1" w14:textId="77777777" w:rsidR="00FC0134" w:rsidRDefault="00FC0134" w:rsidP="00D00CE6">
      <w:pPr>
        <w:rPr>
          <w:color w:val="000000" w:themeColor="text1"/>
        </w:rPr>
      </w:pPr>
    </w:p>
    <w:p w14:paraId="297FAC2B" w14:textId="77777777" w:rsidR="00FC0134" w:rsidRDefault="00FC0134" w:rsidP="00D00CE6">
      <w:pPr>
        <w:rPr>
          <w:color w:val="000000" w:themeColor="text1"/>
        </w:rPr>
      </w:pPr>
    </w:p>
    <w:p w14:paraId="21FCA944" w14:textId="77777777" w:rsidR="00FC0134" w:rsidRDefault="00FC0134" w:rsidP="00D00CE6">
      <w:pPr>
        <w:rPr>
          <w:color w:val="000000" w:themeColor="text1"/>
        </w:rPr>
      </w:pPr>
    </w:p>
    <w:p w14:paraId="74F65FA8" w14:textId="77777777" w:rsidR="00373650" w:rsidRPr="00CF39C8" w:rsidRDefault="00373650" w:rsidP="00430317">
      <w:pPr>
        <w:pStyle w:val="Heading2"/>
        <w:numPr>
          <w:ilvl w:val="1"/>
          <w:numId w:val="65"/>
        </w:numPr>
        <w:ind w:hanging="792"/>
        <w:rPr>
          <w:rFonts w:cstheme="majorHAnsi"/>
        </w:rPr>
      </w:pPr>
      <w:bookmarkStart w:id="538" w:name="_Toc161837687"/>
      <w:bookmarkStart w:id="539" w:name="_Toc161933184"/>
      <w:bookmarkStart w:id="540" w:name="_Toc162276493"/>
      <w:bookmarkStart w:id="541" w:name="_Toc163221087"/>
      <w:r w:rsidRPr="00CF39C8">
        <w:rPr>
          <w:rFonts w:cstheme="majorHAnsi"/>
        </w:rPr>
        <w:t>Regulatory apparatus</w:t>
      </w:r>
      <w:bookmarkEnd w:id="538"/>
      <w:bookmarkEnd w:id="539"/>
      <w:bookmarkEnd w:id="540"/>
      <w:bookmarkEnd w:id="541"/>
    </w:p>
    <w:p w14:paraId="2AC09496"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To achieve implementation of a </w:t>
      </w:r>
      <w:r w:rsidR="006D4EF3" w:rsidRPr="00382ED8">
        <w:rPr>
          <w:rFonts w:cstheme="minorHAnsi"/>
          <w:color w:val="auto"/>
          <w:sz w:val="21"/>
          <w:szCs w:val="21"/>
        </w:rPr>
        <w:t>NVES</w:t>
      </w:r>
      <w:r w:rsidRPr="00CF39C8">
        <w:rPr>
          <w:rFonts w:cstheme="minorHAnsi"/>
          <w:color w:val="auto"/>
          <w:sz w:val="21"/>
          <w:szCs w:val="21"/>
        </w:rPr>
        <w:t xml:space="preserve">, two basic elements need to be established: </w:t>
      </w:r>
    </w:p>
    <w:p w14:paraId="39110F57" w14:textId="77777777" w:rsidR="00373650" w:rsidRPr="00CF39C8" w:rsidRDefault="00373650" w:rsidP="00236810">
      <w:pPr>
        <w:pStyle w:val="ListParagraph"/>
        <w:numPr>
          <w:ilvl w:val="0"/>
          <w:numId w:val="86"/>
        </w:numPr>
        <w:spacing w:after="160" w:line="256" w:lineRule="auto"/>
        <w:rPr>
          <w:rFonts w:cstheme="minorHAnsi"/>
        </w:rPr>
      </w:pPr>
      <w:r w:rsidRPr="00CF39C8">
        <w:rPr>
          <w:rFonts w:cstheme="minorHAnsi"/>
        </w:rPr>
        <w:t>The enabling legislation</w:t>
      </w:r>
      <w:r w:rsidR="0067703E" w:rsidRPr="00CF39C8">
        <w:rPr>
          <w:rFonts w:cstheme="minorHAnsi"/>
        </w:rPr>
        <w:t>.</w:t>
      </w:r>
      <w:r w:rsidRPr="00CF39C8">
        <w:rPr>
          <w:rFonts w:cstheme="minorHAnsi"/>
        </w:rPr>
        <w:t xml:space="preserve"> </w:t>
      </w:r>
    </w:p>
    <w:p w14:paraId="5E865611" w14:textId="77777777" w:rsidR="00373650" w:rsidRPr="00CF39C8" w:rsidRDefault="00373650" w:rsidP="00236810">
      <w:pPr>
        <w:pStyle w:val="ListParagraph"/>
        <w:numPr>
          <w:ilvl w:val="0"/>
          <w:numId w:val="86"/>
        </w:numPr>
        <w:spacing w:after="160" w:line="256" w:lineRule="auto"/>
        <w:rPr>
          <w:rFonts w:cstheme="minorHAnsi"/>
        </w:rPr>
      </w:pPr>
      <w:r w:rsidRPr="00CF39C8">
        <w:rPr>
          <w:rFonts w:cstheme="minorHAnsi"/>
        </w:rPr>
        <w:t xml:space="preserve">The </w:t>
      </w:r>
      <w:r w:rsidR="002B5A65" w:rsidRPr="00CF39C8">
        <w:rPr>
          <w:rFonts w:cstheme="minorHAnsi"/>
        </w:rPr>
        <w:t>r</w:t>
      </w:r>
      <w:r w:rsidRPr="00CF39C8">
        <w:rPr>
          <w:rFonts w:cstheme="minorHAnsi"/>
        </w:rPr>
        <w:t xml:space="preserve">egulator, along with the systems and processes to: </w:t>
      </w:r>
    </w:p>
    <w:p w14:paraId="62A0C5BB"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Encourage compliance and undertake enforcement;</w:t>
      </w:r>
    </w:p>
    <w:p w14:paraId="4CCE84EE"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Undertake awareness-raising in the community and industry;</w:t>
      </w:r>
    </w:p>
    <w:p w14:paraId="29CE6AD1"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Accept information from industry, and publish information for industry/the public; and</w:t>
      </w:r>
    </w:p>
    <w:p w14:paraId="6EE48AEC" w14:textId="77777777" w:rsidR="00373650" w:rsidRPr="00CF39C8" w:rsidRDefault="00604A87" w:rsidP="00430317">
      <w:pPr>
        <w:pStyle w:val="ListParagraph"/>
        <w:numPr>
          <w:ilvl w:val="1"/>
          <w:numId w:val="29"/>
        </w:numPr>
        <w:spacing w:after="160" w:line="256" w:lineRule="auto"/>
        <w:rPr>
          <w:rFonts w:cstheme="minorHAnsi"/>
        </w:rPr>
      </w:pPr>
      <w:r>
        <w:rPr>
          <w:rFonts w:cstheme="minorHAnsi"/>
        </w:rPr>
        <w:t xml:space="preserve">Administer </w:t>
      </w:r>
      <w:r w:rsidR="00373650" w:rsidRPr="00CF39C8">
        <w:rPr>
          <w:rFonts w:cstheme="minorHAnsi"/>
        </w:rPr>
        <w:t xml:space="preserve">the trading platform, where credits </w:t>
      </w:r>
      <w:r>
        <w:rPr>
          <w:rFonts w:cstheme="minorHAnsi"/>
        </w:rPr>
        <w:t xml:space="preserve">units </w:t>
      </w:r>
      <w:r w:rsidR="00373650" w:rsidRPr="00CF39C8">
        <w:rPr>
          <w:rFonts w:cstheme="minorHAnsi"/>
        </w:rPr>
        <w:t xml:space="preserve">can be transferred. </w:t>
      </w:r>
    </w:p>
    <w:p w14:paraId="50B26603"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Implementation will be strongly guided by the outcomes, overall benefits of the </w:t>
      </w:r>
      <w:r w:rsidR="006D4EF3" w:rsidRPr="00CF39C8">
        <w:rPr>
          <w:rFonts w:asciiTheme="majorHAnsi" w:hAnsiTheme="majorHAnsi" w:cstheme="majorHAnsi"/>
        </w:rPr>
        <w:t>NVES</w:t>
      </w:r>
      <w:r w:rsidRPr="00CF39C8">
        <w:rPr>
          <w:rFonts w:cstheme="minorHAnsi"/>
          <w:color w:val="auto"/>
          <w:sz w:val="21"/>
          <w:szCs w:val="21"/>
        </w:rPr>
        <w:t xml:space="preserve"> and the Government’s objectives. </w:t>
      </w:r>
    </w:p>
    <w:p w14:paraId="670058AE" w14:textId="77777777" w:rsidR="00373650" w:rsidRPr="00CF39C8" w:rsidRDefault="00373650" w:rsidP="002744CC">
      <w:pPr>
        <w:pStyle w:val="BodyText"/>
        <w:rPr>
          <w:rFonts w:cstheme="minorHAnsi"/>
          <w:b/>
          <w:i/>
          <w:color w:val="auto"/>
          <w:sz w:val="21"/>
          <w:szCs w:val="21"/>
        </w:rPr>
      </w:pPr>
      <w:r w:rsidRPr="00CF39C8">
        <w:rPr>
          <w:rFonts w:cstheme="minorHAnsi"/>
          <w:b/>
          <w:i/>
          <w:color w:val="auto"/>
          <w:sz w:val="21"/>
          <w:szCs w:val="21"/>
        </w:rPr>
        <w:t>Enabling Legislation</w:t>
      </w:r>
    </w:p>
    <w:p w14:paraId="1356F204" w14:textId="77777777" w:rsidR="00042FA2" w:rsidRPr="00CF39C8" w:rsidRDefault="00042FA2" w:rsidP="00042FA2">
      <w:pPr>
        <w:pStyle w:val="BodyText"/>
        <w:rPr>
          <w:rFonts w:cstheme="minorHAnsi"/>
          <w:color w:val="auto"/>
          <w:sz w:val="21"/>
          <w:szCs w:val="21"/>
        </w:rPr>
      </w:pPr>
      <w:r w:rsidRPr="00CF39C8">
        <w:rPr>
          <w:rFonts w:cstheme="minorHAnsi"/>
          <w:color w:val="auto"/>
          <w:sz w:val="21"/>
          <w:szCs w:val="21"/>
        </w:rPr>
        <w:t xml:space="preserve">Implementation of the </w:t>
      </w:r>
      <w:r w:rsidRPr="00382ED8">
        <w:rPr>
          <w:rFonts w:cstheme="minorHAnsi"/>
          <w:color w:val="auto"/>
          <w:sz w:val="21"/>
          <w:szCs w:val="21"/>
        </w:rPr>
        <w:t>NVES</w:t>
      </w:r>
      <w:r w:rsidRPr="00CF39C8">
        <w:rPr>
          <w:rFonts w:cstheme="minorHAnsi"/>
          <w:color w:val="auto"/>
          <w:sz w:val="21"/>
          <w:szCs w:val="21"/>
        </w:rPr>
        <w:t xml:space="preserve"> will require a new, enabling legislation to set out the operational principles, technical aspects for setting </w:t>
      </w:r>
      <w:r w:rsidRPr="00382ED8">
        <w:rPr>
          <w:rFonts w:cstheme="minorHAnsi"/>
          <w:color w:val="auto"/>
          <w:sz w:val="21"/>
          <w:szCs w:val="21"/>
        </w:rPr>
        <w:t>NVES</w:t>
      </w:r>
      <w:r w:rsidRPr="00CF39C8">
        <w:rPr>
          <w:rFonts w:cstheme="minorHAnsi"/>
          <w:color w:val="auto"/>
          <w:sz w:val="21"/>
          <w:szCs w:val="21"/>
        </w:rPr>
        <w:t xml:space="preserve"> standards, and oversight mechanisms, with supporting regulations or legislative instruments as required. We expect that the legislation will be a new Act and will work alongside the RVSA. The enabling legislation will create a regulator, envisaged to be called the New Vehicle Efficiency Standard Regulator (the Regulator), responsible for the day to day management and oversight of the </w:t>
      </w:r>
      <w:r w:rsidRPr="00CF39C8">
        <w:rPr>
          <w:rFonts w:asciiTheme="majorHAnsi" w:hAnsiTheme="majorHAnsi" w:cstheme="majorHAnsi"/>
        </w:rPr>
        <w:t>NVES</w:t>
      </w:r>
      <w:r w:rsidRPr="00CF39C8">
        <w:rPr>
          <w:rFonts w:cstheme="minorHAnsi"/>
          <w:color w:val="auto"/>
          <w:sz w:val="21"/>
          <w:szCs w:val="21"/>
        </w:rPr>
        <w:t xml:space="preserve"> operations. </w:t>
      </w:r>
    </w:p>
    <w:p w14:paraId="098F3F06" w14:textId="77777777" w:rsidR="00373650" w:rsidRPr="00CF39C8" w:rsidRDefault="00373650" w:rsidP="002744CC">
      <w:pPr>
        <w:pStyle w:val="CommentText"/>
        <w:rPr>
          <w:rFonts w:cstheme="minorHAnsi"/>
          <w:b/>
          <w:i/>
          <w:sz w:val="21"/>
          <w:szCs w:val="21"/>
        </w:rPr>
      </w:pPr>
      <w:r w:rsidRPr="00CF39C8">
        <w:rPr>
          <w:rFonts w:cstheme="minorHAnsi"/>
          <w:b/>
          <w:i/>
          <w:sz w:val="21"/>
          <w:szCs w:val="21"/>
        </w:rPr>
        <w:t>Regulator</w:t>
      </w:r>
    </w:p>
    <w:p w14:paraId="57718C2A" w14:textId="77777777" w:rsidR="00373650" w:rsidRPr="00CF39C8" w:rsidRDefault="00B519A3" w:rsidP="00373650">
      <w:pPr>
        <w:pStyle w:val="CommentText"/>
        <w:rPr>
          <w:rFonts w:cstheme="minorHAnsi"/>
          <w:sz w:val="21"/>
          <w:szCs w:val="21"/>
        </w:rPr>
      </w:pPr>
      <w:r w:rsidRPr="00CF39C8">
        <w:rPr>
          <w:rFonts w:cstheme="minorHAnsi"/>
          <w:sz w:val="21"/>
          <w:szCs w:val="21"/>
        </w:rPr>
        <w:t>The</w:t>
      </w:r>
      <w:r w:rsidR="00373650" w:rsidRPr="00CF39C8">
        <w:rPr>
          <w:rFonts w:cstheme="minorHAnsi"/>
          <w:sz w:val="21"/>
          <w:szCs w:val="21"/>
        </w:rPr>
        <w:t xml:space="preserve"> </w:t>
      </w:r>
      <w:r w:rsidR="00D92AA3" w:rsidRPr="00CF39C8">
        <w:rPr>
          <w:rFonts w:cstheme="minorHAnsi"/>
          <w:sz w:val="21"/>
          <w:szCs w:val="21"/>
        </w:rPr>
        <w:t>r</w:t>
      </w:r>
      <w:r w:rsidR="00373650" w:rsidRPr="00CF39C8">
        <w:rPr>
          <w:rFonts w:cstheme="minorHAnsi"/>
          <w:sz w:val="21"/>
          <w:szCs w:val="21"/>
        </w:rPr>
        <w:t>egulator will be a body operating</w:t>
      </w:r>
      <w:r w:rsidR="001E1301" w:rsidRPr="00CF39C8">
        <w:rPr>
          <w:rStyle w:val="CommentReference"/>
          <w:sz w:val="21"/>
          <w:szCs w:val="21"/>
        </w:rPr>
        <w:t>, at least initially, w</w:t>
      </w:r>
      <w:r w:rsidR="00373650" w:rsidRPr="00CF39C8">
        <w:rPr>
          <w:rFonts w:cstheme="minorHAnsi"/>
          <w:sz w:val="21"/>
          <w:szCs w:val="21"/>
        </w:rPr>
        <w:t xml:space="preserve">ithin the department. As with the any </w:t>
      </w:r>
      <w:r w:rsidR="00DD7A77">
        <w:rPr>
          <w:rFonts w:cstheme="minorHAnsi"/>
          <w:sz w:val="21"/>
          <w:szCs w:val="21"/>
        </w:rPr>
        <w:t>G</w:t>
      </w:r>
      <w:r w:rsidR="00373650" w:rsidRPr="00CF39C8">
        <w:rPr>
          <w:rFonts w:cstheme="minorHAnsi"/>
          <w:sz w:val="21"/>
          <w:szCs w:val="21"/>
        </w:rPr>
        <w:t xml:space="preserve">overnment regulator, the principles of the </w:t>
      </w:r>
      <w:r w:rsidR="00373650" w:rsidRPr="00CF39C8">
        <w:rPr>
          <w:rFonts w:cstheme="minorHAnsi"/>
          <w:i/>
          <w:sz w:val="21"/>
          <w:szCs w:val="21"/>
        </w:rPr>
        <w:t xml:space="preserve">Public Governance, Performance and Accountability Act 2013 </w:t>
      </w:r>
      <w:r w:rsidR="00373650" w:rsidRPr="00CF39C8">
        <w:rPr>
          <w:rFonts w:cstheme="minorHAnsi"/>
          <w:sz w:val="21"/>
          <w:szCs w:val="21"/>
        </w:rPr>
        <w:t>(PGPA Act)</w:t>
      </w:r>
      <w:r w:rsidR="00373650" w:rsidRPr="00CF39C8">
        <w:rPr>
          <w:rStyle w:val="EndnoteReference"/>
          <w:rFonts w:cstheme="minorHAnsi"/>
          <w:sz w:val="21"/>
          <w:szCs w:val="21"/>
        </w:rPr>
        <w:endnoteReference w:id="50"/>
      </w:r>
      <w:r w:rsidR="00373650" w:rsidRPr="00CF39C8">
        <w:rPr>
          <w:rFonts w:cstheme="minorHAnsi"/>
          <w:sz w:val="21"/>
          <w:szCs w:val="21"/>
        </w:rPr>
        <w:t xml:space="preserve"> and the </w:t>
      </w:r>
      <w:r w:rsidR="00373650" w:rsidRPr="00CF39C8">
        <w:rPr>
          <w:rFonts w:cstheme="minorHAnsi"/>
          <w:i/>
          <w:sz w:val="21"/>
          <w:szCs w:val="21"/>
        </w:rPr>
        <w:t>Public Governance, Performance and Accountability Rule 2014</w:t>
      </w:r>
      <w:r w:rsidR="00373650" w:rsidRPr="00CF39C8">
        <w:rPr>
          <w:rFonts w:cstheme="minorHAnsi"/>
          <w:sz w:val="21"/>
          <w:szCs w:val="21"/>
        </w:rPr>
        <w:t xml:space="preserve"> (PGPA Rule)</w:t>
      </w:r>
      <w:r w:rsidR="00373650" w:rsidRPr="00CF39C8">
        <w:rPr>
          <w:rStyle w:val="EndnoteReference"/>
          <w:rFonts w:cstheme="minorHAnsi"/>
          <w:sz w:val="21"/>
          <w:szCs w:val="21"/>
        </w:rPr>
        <w:endnoteReference w:id="51"/>
      </w:r>
      <w:r w:rsidR="00373650" w:rsidRPr="00CF39C8">
        <w:rPr>
          <w:rFonts w:cstheme="minorHAnsi"/>
          <w:sz w:val="21"/>
          <w:szCs w:val="21"/>
        </w:rPr>
        <w:t xml:space="preserve"> will apply. </w:t>
      </w:r>
    </w:p>
    <w:p w14:paraId="3A1B0FEF" w14:textId="77777777" w:rsidR="00373650" w:rsidRPr="00CF39C8" w:rsidRDefault="00373650" w:rsidP="00373650">
      <w:pPr>
        <w:pStyle w:val="CommentText"/>
        <w:rPr>
          <w:rFonts w:cstheme="minorHAnsi"/>
          <w:sz w:val="21"/>
          <w:szCs w:val="21"/>
        </w:rPr>
      </w:pPr>
      <w:r w:rsidRPr="00CF39C8">
        <w:rPr>
          <w:rFonts w:cstheme="minorHAnsi"/>
          <w:sz w:val="21"/>
          <w:szCs w:val="21"/>
        </w:rPr>
        <w:t xml:space="preserve">The </w:t>
      </w:r>
      <w:r w:rsidR="00B519A3" w:rsidRPr="00CF39C8">
        <w:rPr>
          <w:rFonts w:cstheme="minorHAnsi"/>
          <w:sz w:val="21"/>
          <w:szCs w:val="21"/>
        </w:rPr>
        <w:t>R</w:t>
      </w:r>
      <w:r w:rsidRPr="00CF39C8">
        <w:rPr>
          <w:rFonts w:cstheme="minorHAnsi"/>
          <w:sz w:val="21"/>
          <w:szCs w:val="21"/>
        </w:rPr>
        <w:t xml:space="preserve">egulator will perform its functions using Australian Government best practice principles, as set out in the Department of Finance’s </w:t>
      </w:r>
      <w:r w:rsidRPr="00CF39C8">
        <w:rPr>
          <w:rFonts w:cstheme="minorHAnsi"/>
          <w:i/>
          <w:sz w:val="21"/>
          <w:szCs w:val="21"/>
        </w:rPr>
        <w:t xml:space="preserve">Resource Management Guide for Regulator Performance 128 </w:t>
      </w:r>
      <w:r w:rsidRPr="00CF39C8">
        <w:rPr>
          <w:rFonts w:cstheme="minorHAnsi"/>
          <w:sz w:val="21"/>
          <w:szCs w:val="21"/>
        </w:rPr>
        <w:t>(RMG 128)</w:t>
      </w:r>
      <w:r w:rsidRPr="00CF39C8">
        <w:rPr>
          <w:rStyle w:val="EndnoteReference"/>
          <w:rFonts w:cstheme="minorHAnsi"/>
          <w:sz w:val="21"/>
          <w:szCs w:val="21"/>
        </w:rPr>
        <w:endnoteReference w:id="52"/>
      </w:r>
      <w:r w:rsidRPr="00CF39C8">
        <w:rPr>
          <w:rFonts w:cstheme="minorHAnsi"/>
          <w:sz w:val="21"/>
          <w:szCs w:val="21"/>
        </w:rPr>
        <w:t xml:space="preserve">. The </w:t>
      </w:r>
      <w:r w:rsidR="00B519A3" w:rsidRPr="00CF39C8">
        <w:rPr>
          <w:rFonts w:cstheme="minorHAnsi"/>
          <w:sz w:val="21"/>
          <w:szCs w:val="21"/>
        </w:rPr>
        <w:t>R</w:t>
      </w:r>
      <w:r w:rsidRPr="00CF39C8">
        <w:rPr>
          <w:rFonts w:cstheme="minorHAnsi"/>
          <w:sz w:val="21"/>
          <w:szCs w:val="21"/>
        </w:rPr>
        <w:t xml:space="preserve">egulator will also adopt the </w:t>
      </w:r>
      <w:r w:rsidR="006D4EF3" w:rsidRPr="00CF39C8">
        <w:rPr>
          <w:rFonts w:asciiTheme="majorHAnsi" w:hAnsiTheme="majorHAnsi" w:cstheme="majorHAnsi"/>
        </w:rPr>
        <w:t>NVES</w:t>
      </w:r>
      <w:r w:rsidRPr="00CF39C8">
        <w:rPr>
          <w:rFonts w:cstheme="minorHAnsi"/>
          <w:sz w:val="21"/>
          <w:szCs w:val="21"/>
        </w:rPr>
        <w:t xml:space="preserve"> guiding principles and meet the objectives to: </w:t>
      </w:r>
    </w:p>
    <w:p w14:paraId="3B3F1426"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 xml:space="preserve">nsure and promote the integrity of the Australian </w:t>
      </w:r>
      <w:r w:rsidR="006D4EF3" w:rsidRPr="00382ED8">
        <w:rPr>
          <w:rFonts w:cstheme="minorHAnsi"/>
          <w:color w:val="auto"/>
          <w:sz w:val="21"/>
          <w:szCs w:val="21"/>
        </w:rPr>
        <w:t>NVES</w:t>
      </w:r>
      <w:r w:rsidR="00373650" w:rsidRPr="00CF39C8">
        <w:rPr>
          <w:rFonts w:cstheme="minorHAnsi"/>
          <w:color w:val="auto"/>
          <w:sz w:val="21"/>
          <w:szCs w:val="21"/>
        </w:rPr>
        <w:t xml:space="preserve">; </w:t>
      </w:r>
    </w:p>
    <w:p w14:paraId="7DF4C4DA"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 xml:space="preserve">nsure a reasonable compliance burden for the </w:t>
      </w:r>
      <w:r w:rsidR="006D4EF3" w:rsidRPr="00382ED8">
        <w:rPr>
          <w:rFonts w:cstheme="minorHAnsi"/>
          <w:color w:val="auto"/>
          <w:sz w:val="21"/>
          <w:szCs w:val="21"/>
        </w:rPr>
        <w:t>NVES</w:t>
      </w:r>
      <w:r w:rsidR="00373650" w:rsidRPr="00CF39C8">
        <w:rPr>
          <w:rFonts w:cstheme="minorHAnsi"/>
          <w:color w:val="auto"/>
          <w:sz w:val="21"/>
          <w:szCs w:val="21"/>
        </w:rPr>
        <w:t>;</w:t>
      </w:r>
    </w:p>
    <w:p w14:paraId="3230D13D"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M</w:t>
      </w:r>
      <w:r w:rsidR="00373650" w:rsidRPr="00CF39C8">
        <w:rPr>
          <w:rFonts w:cstheme="minorHAnsi"/>
          <w:color w:val="auto"/>
          <w:sz w:val="21"/>
          <w:szCs w:val="21"/>
        </w:rPr>
        <w:t xml:space="preserve">aximise the abatement achieved under a </w:t>
      </w:r>
      <w:r w:rsidR="006D4EF3" w:rsidRPr="00CF39C8">
        <w:rPr>
          <w:rFonts w:asciiTheme="majorHAnsi" w:hAnsiTheme="majorHAnsi" w:cstheme="majorHAnsi"/>
        </w:rPr>
        <w:t>NVES</w:t>
      </w:r>
      <w:r w:rsidR="00373650" w:rsidRPr="00CF39C8">
        <w:rPr>
          <w:rFonts w:cstheme="minorHAnsi"/>
          <w:color w:val="auto"/>
          <w:sz w:val="21"/>
          <w:szCs w:val="21"/>
        </w:rPr>
        <w:t>, whil</w:t>
      </w:r>
      <w:r w:rsidR="00D92AA3" w:rsidRPr="00CF39C8">
        <w:rPr>
          <w:rFonts w:cstheme="minorHAnsi"/>
          <w:color w:val="auto"/>
          <w:sz w:val="21"/>
          <w:szCs w:val="21"/>
        </w:rPr>
        <w:t>e</w:t>
      </w:r>
      <w:r w:rsidR="00373650" w:rsidRPr="00CF39C8">
        <w:rPr>
          <w:rFonts w:cstheme="minorHAnsi"/>
          <w:color w:val="auto"/>
          <w:sz w:val="21"/>
          <w:szCs w:val="21"/>
        </w:rPr>
        <w:t xml:space="preserve"> maximising the selection of useful vehicles for Australians; and</w:t>
      </w:r>
    </w:p>
    <w:p w14:paraId="15D7D652" w14:textId="77777777" w:rsidR="00373650" w:rsidRPr="00CF39C8" w:rsidRDefault="001C5AA9" w:rsidP="001B7DB4">
      <w:pPr>
        <w:pStyle w:val="BodyText"/>
        <w:numPr>
          <w:ilvl w:val="0"/>
          <w:numId w:val="20"/>
        </w:numPr>
        <w:spacing w:after="0"/>
        <w:rPr>
          <w:rFonts w:cstheme="minorHAnsi"/>
          <w:color w:val="auto"/>
          <w:sz w:val="21"/>
          <w:szCs w:val="21"/>
        </w:rPr>
      </w:pPr>
      <w:r>
        <w:rPr>
          <w:rFonts w:cstheme="minorHAnsi"/>
          <w:color w:val="auto"/>
          <w:sz w:val="21"/>
          <w:szCs w:val="21"/>
        </w:rPr>
        <w:t>Uphold</w:t>
      </w:r>
      <w:r w:rsidR="00373650" w:rsidRPr="00CF39C8">
        <w:rPr>
          <w:rFonts w:cstheme="minorHAnsi"/>
          <w:color w:val="auto"/>
          <w:sz w:val="21"/>
          <w:szCs w:val="21"/>
        </w:rPr>
        <w:t xml:space="preserve"> the objectives of the </w:t>
      </w:r>
      <w:r w:rsidR="006D4EF3" w:rsidRPr="00382ED8">
        <w:rPr>
          <w:rFonts w:cstheme="minorHAnsi"/>
          <w:color w:val="auto"/>
          <w:sz w:val="21"/>
          <w:szCs w:val="21"/>
        </w:rPr>
        <w:t>NVES</w:t>
      </w:r>
      <w:r w:rsidR="00373650" w:rsidRPr="00CF39C8">
        <w:rPr>
          <w:rFonts w:cstheme="minorHAnsi"/>
          <w:color w:val="auto"/>
          <w:sz w:val="21"/>
          <w:szCs w:val="21"/>
        </w:rPr>
        <w:t xml:space="preserve"> legislation.</w:t>
      </w:r>
      <w:r w:rsidR="001B7DB4" w:rsidRPr="00CF39C8">
        <w:rPr>
          <w:rFonts w:cstheme="minorHAnsi"/>
          <w:color w:val="auto"/>
          <w:sz w:val="21"/>
          <w:szCs w:val="21"/>
        </w:rPr>
        <w:br/>
      </w:r>
    </w:p>
    <w:p w14:paraId="1445D45E"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The operations of the </w:t>
      </w:r>
      <w:r w:rsidR="00B519A3" w:rsidRPr="00CF39C8">
        <w:rPr>
          <w:rFonts w:cstheme="minorHAnsi"/>
          <w:color w:val="auto"/>
          <w:sz w:val="21"/>
          <w:szCs w:val="21"/>
        </w:rPr>
        <w:t>R</w:t>
      </w:r>
      <w:r w:rsidRPr="00CF39C8">
        <w:rPr>
          <w:rFonts w:cstheme="minorHAnsi"/>
          <w:color w:val="auto"/>
          <w:sz w:val="21"/>
          <w:szCs w:val="21"/>
        </w:rPr>
        <w:t xml:space="preserve">egulator are further examined below. </w:t>
      </w:r>
    </w:p>
    <w:p w14:paraId="55F0E60D" w14:textId="77777777" w:rsidR="00373650" w:rsidRPr="002F6DCE" w:rsidRDefault="00373650" w:rsidP="00042FA2">
      <w:pPr>
        <w:pStyle w:val="BodyText"/>
        <w:rPr>
          <w:rFonts w:cstheme="minorHAnsi"/>
          <w:color w:val="auto"/>
          <w:sz w:val="21"/>
          <w:szCs w:val="21"/>
        </w:rPr>
      </w:pPr>
      <w:r w:rsidRPr="00CF39C8">
        <w:rPr>
          <w:rFonts w:cstheme="minorHAnsi"/>
          <w:color w:val="auto"/>
          <w:sz w:val="21"/>
          <w:szCs w:val="21"/>
        </w:rPr>
        <w:t xml:space="preserve">On balance, the </w:t>
      </w:r>
      <w:r w:rsidR="00AE4BF3">
        <w:rPr>
          <w:rFonts w:cstheme="minorHAnsi"/>
          <w:color w:val="auto"/>
          <w:sz w:val="21"/>
          <w:szCs w:val="21"/>
        </w:rPr>
        <w:t>preferred</w:t>
      </w:r>
      <w:r w:rsidRPr="00CF39C8">
        <w:rPr>
          <w:rFonts w:cstheme="minorHAnsi"/>
          <w:color w:val="auto"/>
          <w:sz w:val="21"/>
          <w:szCs w:val="21"/>
        </w:rPr>
        <w:t xml:space="preserve"> approach is to house the </w:t>
      </w:r>
      <w:r w:rsidR="00B519A3" w:rsidRPr="00CF39C8">
        <w:rPr>
          <w:rFonts w:cstheme="minorHAnsi"/>
          <w:color w:val="auto"/>
          <w:sz w:val="21"/>
          <w:szCs w:val="21"/>
        </w:rPr>
        <w:t>R</w:t>
      </w:r>
      <w:r w:rsidRPr="00CF39C8">
        <w:rPr>
          <w:rFonts w:cstheme="minorHAnsi"/>
          <w:color w:val="auto"/>
          <w:sz w:val="21"/>
          <w:szCs w:val="21"/>
        </w:rPr>
        <w:t>egulator within the department. However</w:t>
      </w:r>
      <w:r w:rsidR="00042FA2">
        <w:rPr>
          <w:rFonts w:cstheme="minorHAnsi"/>
          <w:color w:val="auto"/>
          <w:sz w:val="21"/>
          <w:szCs w:val="21"/>
        </w:rPr>
        <w:t>,</w:t>
      </w:r>
      <w:r w:rsidRPr="002F6DCE">
        <w:rPr>
          <w:rFonts w:cstheme="minorHAnsi"/>
          <w:color w:val="auto"/>
          <w:sz w:val="21"/>
          <w:szCs w:val="21"/>
        </w:rPr>
        <w:t xml:space="preserve"> the department’s policy and regulatory functions </w:t>
      </w:r>
      <w:r w:rsidR="00B519A3" w:rsidRPr="002F6DCE">
        <w:rPr>
          <w:rFonts w:cstheme="minorHAnsi"/>
          <w:color w:val="auto"/>
          <w:sz w:val="21"/>
          <w:szCs w:val="21"/>
        </w:rPr>
        <w:t>will</w:t>
      </w:r>
      <w:r w:rsidRPr="002F6DCE">
        <w:rPr>
          <w:rFonts w:cstheme="minorHAnsi"/>
          <w:color w:val="auto"/>
          <w:sz w:val="21"/>
          <w:szCs w:val="21"/>
        </w:rPr>
        <w:t xml:space="preserve"> be clearly delineated. </w:t>
      </w:r>
    </w:p>
    <w:p w14:paraId="15B65AA4"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Locating the </w:t>
      </w:r>
      <w:r w:rsidR="00D92AA3" w:rsidRPr="00CF39C8">
        <w:rPr>
          <w:rFonts w:cstheme="minorHAnsi"/>
          <w:color w:val="auto"/>
          <w:sz w:val="21"/>
          <w:szCs w:val="21"/>
        </w:rPr>
        <w:t>r</w:t>
      </w:r>
      <w:r w:rsidRPr="00CF39C8">
        <w:rPr>
          <w:rFonts w:cstheme="minorHAnsi"/>
          <w:color w:val="auto"/>
          <w:sz w:val="21"/>
          <w:szCs w:val="21"/>
        </w:rPr>
        <w:t xml:space="preserve">egulator within the department </w:t>
      </w:r>
      <w:r w:rsidR="00B519A3" w:rsidRPr="00CF39C8">
        <w:rPr>
          <w:rFonts w:cstheme="minorHAnsi"/>
          <w:color w:val="auto"/>
          <w:sz w:val="21"/>
          <w:szCs w:val="21"/>
        </w:rPr>
        <w:t>will support</w:t>
      </w:r>
      <w:r w:rsidRPr="00CF39C8">
        <w:rPr>
          <w:rFonts w:cstheme="minorHAnsi"/>
          <w:color w:val="auto"/>
          <w:sz w:val="21"/>
          <w:szCs w:val="21"/>
        </w:rPr>
        <w:t>:</w:t>
      </w:r>
    </w:p>
    <w:p w14:paraId="0FBFF7DC" w14:textId="77777777" w:rsidR="00373650" w:rsidRPr="00CF39C8" w:rsidRDefault="00B05F04" w:rsidP="00430317">
      <w:pPr>
        <w:pStyle w:val="BodyText"/>
        <w:numPr>
          <w:ilvl w:val="0"/>
          <w:numId w:val="21"/>
        </w:numPr>
        <w:rPr>
          <w:rFonts w:cstheme="minorHAnsi"/>
          <w:color w:val="auto"/>
          <w:sz w:val="21"/>
          <w:szCs w:val="21"/>
        </w:rPr>
      </w:pPr>
      <w:r w:rsidRPr="00CF39C8">
        <w:rPr>
          <w:rFonts w:cstheme="minorHAnsi"/>
          <w:color w:val="auto"/>
          <w:sz w:val="21"/>
          <w:szCs w:val="21"/>
        </w:rPr>
        <w:t>R</w:t>
      </w:r>
      <w:r w:rsidR="00373650" w:rsidRPr="00CF39C8">
        <w:rPr>
          <w:rFonts w:cstheme="minorHAnsi"/>
          <w:color w:val="auto"/>
          <w:sz w:val="21"/>
          <w:szCs w:val="21"/>
        </w:rPr>
        <w:t xml:space="preserve">apid establishment </w:t>
      </w:r>
      <w:r w:rsidR="00410957" w:rsidRPr="00CF39C8">
        <w:rPr>
          <w:rFonts w:cstheme="minorHAnsi"/>
          <w:color w:val="auto"/>
          <w:sz w:val="21"/>
          <w:szCs w:val="21"/>
        </w:rPr>
        <w:t>–</w:t>
      </w:r>
      <w:r w:rsidR="00373650" w:rsidRPr="00CF39C8">
        <w:rPr>
          <w:rFonts w:cstheme="minorHAnsi"/>
          <w:color w:val="auto"/>
          <w:sz w:val="21"/>
          <w:szCs w:val="21"/>
        </w:rPr>
        <w:t xml:space="preserve"> the </w:t>
      </w:r>
      <w:r w:rsidR="00B519A3" w:rsidRPr="00CF39C8">
        <w:rPr>
          <w:rFonts w:cstheme="minorHAnsi"/>
          <w:color w:val="auto"/>
          <w:sz w:val="21"/>
          <w:szCs w:val="21"/>
        </w:rPr>
        <w:t>R</w:t>
      </w:r>
      <w:r w:rsidR="00373650" w:rsidRPr="00CF39C8">
        <w:rPr>
          <w:rFonts w:cstheme="minorHAnsi"/>
          <w:color w:val="auto"/>
          <w:sz w:val="21"/>
          <w:szCs w:val="21"/>
        </w:rPr>
        <w:t xml:space="preserve">egulator </w:t>
      </w:r>
      <w:r w:rsidR="00B519A3" w:rsidRPr="00CF39C8">
        <w:rPr>
          <w:rFonts w:cstheme="minorHAnsi"/>
          <w:color w:val="auto"/>
          <w:sz w:val="21"/>
          <w:szCs w:val="21"/>
        </w:rPr>
        <w:t xml:space="preserve">can be established more </w:t>
      </w:r>
      <w:r w:rsidR="00373650" w:rsidRPr="00CF39C8">
        <w:rPr>
          <w:rFonts w:cstheme="minorHAnsi"/>
          <w:color w:val="auto"/>
          <w:sz w:val="21"/>
          <w:szCs w:val="21"/>
        </w:rPr>
        <w:t>quickly and cost effectively than stand-alone entities within the Commonwealth, and harness common corporate support;</w:t>
      </w:r>
    </w:p>
    <w:p w14:paraId="529461D4" w14:textId="77777777" w:rsidR="00373650" w:rsidRPr="00CF39C8" w:rsidRDefault="00604A87" w:rsidP="00430317">
      <w:pPr>
        <w:pStyle w:val="BodyText"/>
        <w:numPr>
          <w:ilvl w:val="0"/>
          <w:numId w:val="21"/>
        </w:numPr>
        <w:rPr>
          <w:rFonts w:cstheme="minorHAnsi"/>
          <w:color w:val="auto"/>
          <w:sz w:val="21"/>
          <w:szCs w:val="21"/>
        </w:rPr>
      </w:pPr>
      <w:r>
        <w:rPr>
          <w:rFonts w:cstheme="minorHAnsi"/>
          <w:color w:val="auto"/>
          <w:sz w:val="21"/>
          <w:szCs w:val="21"/>
        </w:rPr>
        <w:t>Reduced regulatory burden</w:t>
      </w:r>
      <w:r w:rsidR="00373650" w:rsidRPr="00CF39C8">
        <w:rPr>
          <w:rFonts w:cstheme="minorHAnsi"/>
          <w:color w:val="auto"/>
          <w:sz w:val="21"/>
          <w:szCs w:val="21"/>
        </w:rPr>
        <w:t xml:space="preserve"> – the department has significant experience and capability in regulating the safety of light vehicles, and administering the RVSA, which it would bring to undertaking the </w:t>
      </w:r>
      <w:r w:rsidR="006D4EF3" w:rsidRPr="00382ED8">
        <w:rPr>
          <w:rFonts w:cstheme="minorHAnsi"/>
          <w:color w:val="auto"/>
          <w:sz w:val="21"/>
          <w:szCs w:val="21"/>
        </w:rPr>
        <w:t>NVES</w:t>
      </w:r>
      <w:r w:rsidRPr="00382ED8">
        <w:rPr>
          <w:rFonts w:cstheme="minorHAnsi"/>
          <w:color w:val="auto"/>
          <w:sz w:val="21"/>
          <w:szCs w:val="21"/>
        </w:rPr>
        <w:t xml:space="preserve"> and reduce the regulatory burden on industry</w:t>
      </w:r>
      <w:r w:rsidR="00373650" w:rsidRPr="00CF39C8">
        <w:rPr>
          <w:rFonts w:cstheme="minorHAnsi"/>
          <w:color w:val="auto"/>
          <w:sz w:val="21"/>
          <w:szCs w:val="21"/>
        </w:rPr>
        <w:t xml:space="preserve">. </w:t>
      </w:r>
    </w:p>
    <w:p w14:paraId="2179D09E" w14:textId="77777777" w:rsidR="00042FA2" w:rsidRDefault="00042FA2" w:rsidP="00042FA2">
      <w:pPr>
        <w:pStyle w:val="BodyText"/>
        <w:rPr>
          <w:rFonts w:cstheme="minorHAnsi"/>
          <w:color w:val="auto"/>
          <w:sz w:val="21"/>
          <w:szCs w:val="21"/>
        </w:rPr>
      </w:pPr>
      <w:r w:rsidRPr="0076281A">
        <w:rPr>
          <w:rFonts w:cstheme="minorHAnsi"/>
          <w:color w:val="auto"/>
          <w:sz w:val="21"/>
          <w:szCs w:val="21"/>
        </w:rPr>
        <w:t xml:space="preserve">While the Regulator will </w:t>
      </w:r>
      <w:r w:rsidR="0076281A">
        <w:rPr>
          <w:rFonts w:cstheme="minorHAnsi"/>
          <w:color w:val="auto"/>
          <w:sz w:val="21"/>
          <w:szCs w:val="21"/>
        </w:rPr>
        <w:t>initially be located in the department</w:t>
      </w:r>
      <w:r w:rsidRPr="0076281A">
        <w:rPr>
          <w:rFonts w:cstheme="minorHAnsi"/>
          <w:color w:val="auto"/>
          <w:sz w:val="21"/>
          <w:szCs w:val="21"/>
        </w:rPr>
        <w:t>,</w:t>
      </w:r>
      <w:r w:rsidR="0076281A" w:rsidRPr="0076281A">
        <w:rPr>
          <w:rFonts w:cstheme="minorHAnsi"/>
          <w:color w:val="auto"/>
          <w:sz w:val="21"/>
          <w:szCs w:val="21"/>
        </w:rPr>
        <w:t xml:space="preserve"> </w:t>
      </w:r>
      <w:r w:rsidRPr="0076281A">
        <w:rPr>
          <w:rFonts w:cstheme="minorHAnsi"/>
          <w:color w:val="auto"/>
          <w:sz w:val="21"/>
          <w:szCs w:val="21"/>
        </w:rPr>
        <w:t xml:space="preserve">consideration will be given to this arrangement during the first review of the </w:t>
      </w:r>
      <w:r w:rsidRPr="0076281A">
        <w:rPr>
          <w:rFonts w:asciiTheme="majorHAnsi" w:hAnsiTheme="majorHAnsi" w:cstheme="majorHAnsi"/>
        </w:rPr>
        <w:t>NVES</w:t>
      </w:r>
      <w:r w:rsidRPr="0076281A">
        <w:rPr>
          <w:rFonts w:cstheme="minorHAnsi"/>
          <w:color w:val="auto"/>
          <w:sz w:val="21"/>
          <w:szCs w:val="21"/>
        </w:rPr>
        <w:t>, to be commenced under law in 2026.</w:t>
      </w:r>
    </w:p>
    <w:p w14:paraId="594505A1" w14:textId="77777777" w:rsidR="00236810" w:rsidRDefault="00236810" w:rsidP="00042FA2">
      <w:pPr>
        <w:pStyle w:val="BodyText"/>
        <w:rPr>
          <w:rFonts w:cstheme="minorHAnsi"/>
        </w:rPr>
      </w:pPr>
    </w:p>
    <w:p w14:paraId="47F5CF39" w14:textId="77777777" w:rsidR="00236810" w:rsidRDefault="00236810" w:rsidP="00042FA2">
      <w:pPr>
        <w:pStyle w:val="BodyText"/>
        <w:rPr>
          <w:rFonts w:cstheme="minorHAnsi"/>
        </w:rPr>
      </w:pPr>
    </w:p>
    <w:p w14:paraId="3C1BA077" w14:textId="77777777" w:rsidR="00236810" w:rsidRDefault="00236810" w:rsidP="00042FA2">
      <w:pPr>
        <w:pStyle w:val="BodyText"/>
        <w:rPr>
          <w:rFonts w:cstheme="minorHAnsi"/>
        </w:rPr>
      </w:pPr>
    </w:p>
    <w:p w14:paraId="0AE7B825" w14:textId="77777777" w:rsidR="00236810" w:rsidRDefault="00236810" w:rsidP="00042FA2">
      <w:pPr>
        <w:pStyle w:val="BodyText"/>
        <w:rPr>
          <w:rFonts w:cstheme="minorHAnsi"/>
        </w:rPr>
      </w:pPr>
    </w:p>
    <w:p w14:paraId="76901EC8" w14:textId="77777777" w:rsidR="00373650" w:rsidRPr="00CF39C8" w:rsidRDefault="0076281A" w:rsidP="00373650">
      <w:pPr>
        <w:pStyle w:val="BodyText"/>
        <w:rPr>
          <w:rFonts w:cstheme="minorHAnsi"/>
        </w:rPr>
      </w:pPr>
      <w:r>
        <w:rPr>
          <w:rFonts w:cstheme="minorHAnsi"/>
          <w:color w:val="auto"/>
          <w:sz w:val="21"/>
          <w:szCs w:val="21"/>
        </w:rPr>
        <w:t>Figure 2</w:t>
      </w:r>
      <w:r w:rsidR="0023600C">
        <w:rPr>
          <w:rFonts w:cstheme="minorHAnsi"/>
          <w:color w:val="auto"/>
          <w:sz w:val="21"/>
          <w:szCs w:val="21"/>
        </w:rPr>
        <w:t>3</w:t>
      </w:r>
      <w:r>
        <w:rPr>
          <w:rFonts w:cstheme="minorHAnsi"/>
          <w:color w:val="auto"/>
          <w:sz w:val="21"/>
          <w:szCs w:val="21"/>
        </w:rPr>
        <w:t xml:space="preserve"> </w:t>
      </w:r>
      <w:r w:rsidR="001C5AA9">
        <w:rPr>
          <w:rFonts w:cstheme="minorHAnsi"/>
          <w:color w:val="auto"/>
          <w:sz w:val="21"/>
          <w:szCs w:val="21"/>
        </w:rPr>
        <w:t>(</w:t>
      </w:r>
      <w:r w:rsidR="0023600C">
        <w:rPr>
          <w:rFonts w:cstheme="minorHAnsi"/>
          <w:color w:val="auto"/>
          <w:sz w:val="21"/>
          <w:szCs w:val="21"/>
        </w:rPr>
        <w:t>below</w:t>
      </w:r>
      <w:r w:rsidR="001C5AA9">
        <w:rPr>
          <w:rFonts w:cstheme="minorHAnsi"/>
          <w:color w:val="auto"/>
          <w:sz w:val="21"/>
          <w:szCs w:val="21"/>
        </w:rPr>
        <w:t xml:space="preserve">) </w:t>
      </w:r>
      <w:r>
        <w:rPr>
          <w:rFonts w:cstheme="minorHAnsi"/>
          <w:color w:val="auto"/>
          <w:sz w:val="21"/>
          <w:szCs w:val="21"/>
        </w:rPr>
        <w:t>provides</w:t>
      </w:r>
      <w:r w:rsidR="00373650" w:rsidRPr="00CF39C8">
        <w:rPr>
          <w:rFonts w:cstheme="minorHAnsi"/>
          <w:color w:val="auto"/>
          <w:sz w:val="21"/>
          <w:szCs w:val="21"/>
        </w:rPr>
        <w:t xml:space="preserve"> an overview of the roles and relationships within the </w:t>
      </w:r>
      <w:r w:rsidR="006D4EF3" w:rsidRPr="00382ED8">
        <w:rPr>
          <w:rFonts w:cstheme="minorHAnsi"/>
          <w:color w:val="auto"/>
          <w:sz w:val="21"/>
          <w:szCs w:val="21"/>
        </w:rPr>
        <w:t>NVES</w:t>
      </w:r>
      <w:r w:rsidR="00373650" w:rsidRPr="00CF39C8">
        <w:rPr>
          <w:rFonts w:cstheme="minorHAnsi"/>
          <w:color w:val="auto"/>
          <w:sz w:val="21"/>
          <w:szCs w:val="21"/>
        </w:rPr>
        <w:t xml:space="preserve"> regulatory system. </w:t>
      </w:r>
    </w:p>
    <w:p w14:paraId="11F9D978" w14:textId="77777777" w:rsidR="00373650" w:rsidRPr="00CF39C8" w:rsidRDefault="00373650" w:rsidP="003130BA">
      <w:pPr>
        <w:pStyle w:val="BodyText"/>
        <w:rPr>
          <w:rFonts w:asciiTheme="majorHAnsi" w:hAnsiTheme="majorHAnsi" w:cstheme="majorHAnsi"/>
          <w:highlight w:val="yellow"/>
        </w:rPr>
      </w:pPr>
      <w:r w:rsidRPr="00CF39C8">
        <w:rPr>
          <w:noProof/>
          <w:lang w:eastAsia="en-AU"/>
        </w:rPr>
        <w:drawing>
          <wp:inline distT="0" distB="0" distL="0" distR="0" wp14:anchorId="404DD2BF" wp14:editId="049AAF60">
            <wp:extent cx="6263640" cy="4173220"/>
            <wp:effectExtent l="19050" t="19050" r="22860" b="17780"/>
            <wp:docPr id="15" name="Picture 15" descr="Diagram outlining the roles and responsibilities within the regulatory system. The diagram displays links between relating roles of the transport minister, Department, regulator, regulated entities and trading system.&#10;&#10;Clockwise:&#10;Transport Minister, responsible for legislation and setting headline limits.&#10;&#10;Links to Regulator within the Department, responsible for monitoring, compliance and enforcement, penalties, data collection and reporting.&#10;&#10;Links to two areas. First area is the trading system, responsible for recording credits/debits and enabling credit trading. The second area is regulated entities, responsible for the supply of new vehicles to market, reporting data to the Regulator and the trade of credits. The regulated entities and trading system are also shown as interlinked to highlight how regulated entities will interact with the trading system. &#10;&#10;The final role in the diagram is Department of Infrastructure, Transport, Regional Development, Communications and the Arts, which links to Regulated Entities, the Regulator and the Transport Minister. The Department is responsible for policy advice, stakeholder management, regulatory reviews and emissions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4173220"/>
                    </a:xfrm>
                    <a:prstGeom prst="rect">
                      <a:avLst/>
                    </a:prstGeom>
                    <a:ln w="3175">
                      <a:solidFill>
                        <a:schemeClr val="accent5">
                          <a:lumMod val="75000"/>
                        </a:schemeClr>
                      </a:solidFill>
                    </a:ln>
                  </pic:spPr>
                </pic:pic>
              </a:graphicData>
            </a:graphic>
          </wp:inline>
        </w:drawing>
      </w:r>
      <w:bookmarkStart w:id="542" w:name="_Ref153982297"/>
      <w:bookmarkStart w:id="543" w:name="_Toc148362166"/>
      <w:bookmarkStart w:id="544" w:name="_Toc148362639"/>
      <w:bookmarkStart w:id="545" w:name="_Toc148361202"/>
      <w:bookmarkStart w:id="546" w:name="_Toc149907249"/>
      <w:bookmarkStart w:id="547" w:name="_Toc161837793"/>
      <w:bookmarkStart w:id="548" w:name="_Toc161933239"/>
      <w:r w:rsidRPr="00382ED8">
        <w:rPr>
          <w:b/>
        </w:rPr>
        <w:t xml:space="preserve">Figure </w:t>
      </w:r>
      <w:bookmarkEnd w:id="542"/>
      <w:r w:rsidR="00E364DD" w:rsidRPr="00382ED8">
        <w:rPr>
          <w:b/>
        </w:rPr>
        <w:t>2</w:t>
      </w:r>
      <w:r w:rsidR="0023600C" w:rsidRPr="00382ED8">
        <w:rPr>
          <w:b/>
        </w:rPr>
        <w:t>3</w:t>
      </w:r>
      <w:r w:rsidR="00407E5D" w:rsidRPr="00CF39C8">
        <w:t xml:space="preserve"> </w:t>
      </w:r>
      <w:r w:rsidRPr="00CF39C8">
        <w:t>– Roles and relationships of the regulatory system</w:t>
      </w:r>
      <w:bookmarkEnd w:id="543"/>
      <w:bookmarkEnd w:id="544"/>
      <w:bookmarkEnd w:id="545"/>
      <w:bookmarkEnd w:id="546"/>
      <w:bookmarkEnd w:id="547"/>
      <w:bookmarkEnd w:id="548"/>
    </w:p>
    <w:p w14:paraId="391878FB" w14:textId="77777777" w:rsidR="00373650" w:rsidRPr="00CF39C8" w:rsidRDefault="006D4EF3" w:rsidP="00373650">
      <w:pPr>
        <w:pStyle w:val="BodyText"/>
        <w:rPr>
          <w:rFonts w:cstheme="minorHAnsi"/>
          <w:color w:val="auto"/>
          <w:sz w:val="21"/>
          <w:szCs w:val="21"/>
        </w:rPr>
      </w:pPr>
      <w:r w:rsidRPr="006E116E">
        <w:rPr>
          <w:rFonts w:cstheme="minorHAnsi"/>
          <w:color w:val="auto"/>
          <w:sz w:val="21"/>
          <w:szCs w:val="21"/>
        </w:rPr>
        <w:t>NVES</w:t>
      </w:r>
      <w:r w:rsidR="00373650" w:rsidRPr="00CF39C8">
        <w:rPr>
          <w:rFonts w:cstheme="minorHAnsi"/>
          <w:color w:val="auto"/>
          <w:sz w:val="21"/>
          <w:szCs w:val="21"/>
        </w:rPr>
        <w:t xml:space="preserve"> </w:t>
      </w:r>
      <w:r w:rsidR="00E46B41" w:rsidRPr="00CF39C8">
        <w:rPr>
          <w:rFonts w:cstheme="minorHAnsi"/>
          <w:color w:val="auto"/>
          <w:sz w:val="21"/>
          <w:szCs w:val="21"/>
        </w:rPr>
        <w:t>targets</w:t>
      </w:r>
      <w:r w:rsidR="00373650" w:rsidRPr="00CF39C8">
        <w:rPr>
          <w:rFonts w:cstheme="minorHAnsi"/>
          <w:color w:val="auto"/>
          <w:sz w:val="21"/>
          <w:szCs w:val="21"/>
        </w:rPr>
        <w:t xml:space="preserve"> would be set by the </w:t>
      </w:r>
      <w:r w:rsidR="00713E25" w:rsidRPr="00CF39C8">
        <w:rPr>
          <w:rFonts w:cstheme="minorHAnsi"/>
          <w:color w:val="auto"/>
          <w:sz w:val="21"/>
          <w:szCs w:val="21"/>
        </w:rPr>
        <w:t>Minister</w:t>
      </w:r>
      <w:r w:rsidR="00CB5FD0" w:rsidRPr="00CF39C8">
        <w:rPr>
          <w:rStyle w:val="FootnoteReference"/>
          <w:rFonts w:cstheme="minorHAnsi"/>
          <w:color w:val="auto"/>
          <w:sz w:val="21"/>
          <w:szCs w:val="21"/>
        </w:rPr>
        <w:footnoteReference w:id="28"/>
      </w:r>
      <w:r w:rsidR="00713E25" w:rsidRPr="00CF39C8">
        <w:rPr>
          <w:rFonts w:cstheme="minorHAnsi"/>
          <w:color w:val="auto"/>
          <w:sz w:val="21"/>
          <w:szCs w:val="21"/>
        </w:rPr>
        <w:t xml:space="preserve"> </w:t>
      </w:r>
      <w:r w:rsidR="00373650" w:rsidRPr="00CF39C8">
        <w:rPr>
          <w:rFonts w:cstheme="minorHAnsi"/>
          <w:color w:val="auto"/>
          <w:sz w:val="21"/>
          <w:szCs w:val="21"/>
        </w:rPr>
        <w:t xml:space="preserve">on a </w:t>
      </w:r>
      <w:r w:rsidR="00BF52E5" w:rsidRPr="00CF39C8">
        <w:rPr>
          <w:rFonts w:cstheme="minorHAnsi"/>
          <w:color w:val="auto"/>
          <w:sz w:val="21"/>
          <w:szCs w:val="21"/>
        </w:rPr>
        <w:t>five</w:t>
      </w:r>
      <w:r w:rsidR="00373650" w:rsidRPr="00CF39C8">
        <w:rPr>
          <w:rFonts w:cstheme="minorHAnsi"/>
          <w:color w:val="auto"/>
          <w:sz w:val="21"/>
          <w:szCs w:val="21"/>
        </w:rPr>
        <w:t>-yearly basis, with policy advice provided by the department</w:t>
      </w:r>
      <w:r w:rsidR="000D3152">
        <w:rPr>
          <w:rFonts w:cstheme="minorHAnsi"/>
          <w:color w:val="auto"/>
          <w:sz w:val="21"/>
          <w:szCs w:val="21"/>
        </w:rPr>
        <w:t>.</w:t>
      </w:r>
      <w:r w:rsidR="00373650" w:rsidRPr="00CF39C8">
        <w:rPr>
          <w:rFonts w:cstheme="minorHAnsi"/>
          <w:color w:val="auto"/>
          <w:sz w:val="21"/>
          <w:szCs w:val="21"/>
        </w:rPr>
        <w:t xml:space="preserve"> The key functions of the </w:t>
      </w:r>
      <w:r w:rsidR="00B519A3" w:rsidRPr="00CF39C8">
        <w:rPr>
          <w:rFonts w:cstheme="minorHAnsi"/>
          <w:color w:val="auto"/>
          <w:sz w:val="21"/>
          <w:szCs w:val="21"/>
        </w:rPr>
        <w:t>R</w:t>
      </w:r>
      <w:r w:rsidR="00373650" w:rsidRPr="00CF39C8">
        <w:rPr>
          <w:rFonts w:cstheme="minorHAnsi"/>
          <w:color w:val="auto"/>
          <w:sz w:val="21"/>
          <w:szCs w:val="21"/>
        </w:rPr>
        <w:t xml:space="preserve">egulator would be to assess supplier performance against the </w:t>
      </w:r>
      <w:r w:rsidRPr="00CF39C8">
        <w:rPr>
          <w:rFonts w:asciiTheme="majorHAnsi" w:hAnsiTheme="majorHAnsi" w:cstheme="majorHAnsi"/>
        </w:rPr>
        <w:t xml:space="preserve">NVES </w:t>
      </w:r>
      <w:r w:rsidR="00E46B41" w:rsidRPr="00CF39C8">
        <w:rPr>
          <w:rFonts w:cstheme="minorHAnsi"/>
          <w:color w:val="auto"/>
          <w:sz w:val="21"/>
          <w:szCs w:val="21"/>
        </w:rPr>
        <w:t>targets</w:t>
      </w:r>
      <w:r w:rsidR="00373650" w:rsidRPr="00CF39C8">
        <w:rPr>
          <w:rFonts w:cstheme="minorHAnsi"/>
          <w:color w:val="auto"/>
          <w:sz w:val="21"/>
          <w:szCs w:val="21"/>
        </w:rPr>
        <w:t xml:space="preserve">, and ensure compliance. The </w:t>
      </w:r>
      <w:r w:rsidR="00B519A3" w:rsidRPr="00CF39C8">
        <w:rPr>
          <w:rFonts w:cstheme="minorHAnsi"/>
          <w:color w:val="auto"/>
          <w:sz w:val="21"/>
          <w:szCs w:val="21"/>
        </w:rPr>
        <w:t>R</w:t>
      </w:r>
      <w:r w:rsidR="00373650" w:rsidRPr="00CF39C8">
        <w:rPr>
          <w:rFonts w:cstheme="minorHAnsi"/>
          <w:color w:val="auto"/>
          <w:sz w:val="21"/>
          <w:szCs w:val="21"/>
        </w:rPr>
        <w:t>egulator</w:t>
      </w:r>
      <w:r w:rsidR="00B519A3" w:rsidRPr="00CF39C8">
        <w:rPr>
          <w:rFonts w:cstheme="minorHAnsi"/>
          <w:color w:val="auto"/>
          <w:sz w:val="21"/>
          <w:szCs w:val="21"/>
        </w:rPr>
        <w:t>’s</w:t>
      </w:r>
      <w:r w:rsidR="00373650" w:rsidRPr="00CF39C8">
        <w:rPr>
          <w:rFonts w:cstheme="minorHAnsi"/>
          <w:color w:val="auto"/>
          <w:sz w:val="21"/>
          <w:szCs w:val="21"/>
        </w:rPr>
        <w:t xml:space="preserve"> activities will be supported by:</w:t>
      </w:r>
    </w:p>
    <w:p w14:paraId="7AE60B59"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R</w:t>
      </w:r>
      <w:r w:rsidR="00373650" w:rsidRPr="00CF39C8">
        <w:rPr>
          <w:rFonts w:cstheme="minorHAnsi"/>
          <w:color w:val="auto"/>
          <w:sz w:val="21"/>
          <w:szCs w:val="21"/>
        </w:rPr>
        <w:t>egulatory data and projections;</w:t>
      </w:r>
    </w:p>
    <w:p w14:paraId="664E5130"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ngagement with industry, the Minister and the department’s policy officials;</w:t>
      </w:r>
    </w:p>
    <w:p w14:paraId="658D8204"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G</w:t>
      </w:r>
      <w:r w:rsidR="00373650" w:rsidRPr="00CF39C8">
        <w:rPr>
          <w:rFonts w:cstheme="minorHAnsi"/>
          <w:color w:val="auto"/>
          <w:sz w:val="21"/>
          <w:szCs w:val="21"/>
        </w:rPr>
        <w:t xml:space="preserve">overnance; and </w:t>
      </w:r>
    </w:p>
    <w:p w14:paraId="00C1BCA8" w14:textId="77777777" w:rsidR="00373650" w:rsidRPr="00CF39C8" w:rsidRDefault="00B05F04" w:rsidP="00373650">
      <w:pPr>
        <w:pStyle w:val="BodyText"/>
        <w:numPr>
          <w:ilvl w:val="0"/>
          <w:numId w:val="20"/>
        </w:numPr>
        <w:rPr>
          <w:rFonts w:cstheme="minorHAnsi"/>
          <w:color w:val="auto"/>
          <w:sz w:val="21"/>
          <w:szCs w:val="21"/>
        </w:rPr>
      </w:pPr>
      <w:r w:rsidRPr="00CF39C8">
        <w:rPr>
          <w:rFonts w:cstheme="minorHAnsi"/>
          <w:color w:val="auto"/>
          <w:sz w:val="21"/>
          <w:szCs w:val="21"/>
        </w:rPr>
        <w:t>O</w:t>
      </w:r>
      <w:r w:rsidR="00373650" w:rsidRPr="00CF39C8">
        <w:rPr>
          <w:rFonts w:cstheme="minorHAnsi"/>
          <w:color w:val="auto"/>
          <w:sz w:val="21"/>
          <w:szCs w:val="21"/>
        </w:rPr>
        <w:t>perational systems.</w:t>
      </w:r>
    </w:p>
    <w:p w14:paraId="236F2D68" w14:textId="77777777" w:rsidR="00373650" w:rsidRPr="00CF39C8" w:rsidRDefault="00373650" w:rsidP="00213291">
      <w:pPr>
        <w:pStyle w:val="BodyText"/>
        <w:rPr>
          <w:rFonts w:cstheme="minorHAnsi"/>
          <w:color w:val="auto"/>
          <w:sz w:val="21"/>
          <w:szCs w:val="21"/>
        </w:rPr>
      </w:pPr>
      <w:r w:rsidRPr="00CF39C8">
        <w:rPr>
          <w:rFonts w:cstheme="minorHAnsi"/>
          <w:color w:val="auto"/>
          <w:sz w:val="21"/>
          <w:szCs w:val="21"/>
        </w:rPr>
        <w:t xml:space="preserve">The </w:t>
      </w:r>
      <w:r w:rsidR="002B5A65" w:rsidRPr="00CF39C8">
        <w:rPr>
          <w:rFonts w:cstheme="minorHAnsi"/>
          <w:color w:val="auto"/>
          <w:sz w:val="21"/>
          <w:szCs w:val="21"/>
        </w:rPr>
        <w:t>r</w:t>
      </w:r>
      <w:r w:rsidRPr="00CF39C8">
        <w:rPr>
          <w:rFonts w:cstheme="minorHAnsi"/>
          <w:color w:val="auto"/>
          <w:sz w:val="21"/>
          <w:szCs w:val="21"/>
        </w:rPr>
        <w:t>egulator would calculate compliance for each identified regulated entity by:</w:t>
      </w:r>
    </w:p>
    <w:p w14:paraId="7B2DC758"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Calculating the sales weighted average mass of all vehicles sold by that entity.</w:t>
      </w:r>
    </w:p>
    <w:p w14:paraId="26457B23"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Calculating the sales weighted average CO</w:t>
      </w:r>
      <w:r w:rsidRPr="00CF39C8">
        <w:rPr>
          <w:rFonts w:cstheme="minorHAnsi"/>
          <w:color w:val="auto"/>
          <w:sz w:val="21"/>
          <w:szCs w:val="21"/>
          <w:vertAlign w:val="subscript"/>
        </w:rPr>
        <w:t>2</w:t>
      </w:r>
      <w:r w:rsidRPr="00CF39C8">
        <w:rPr>
          <w:rFonts w:cstheme="minorHAnsi"/>
          <w:color w:val="auto"/>
          <w:sz w:val="21"/>
          <w:szCs w:val="21"/>
        </w:rPr>
        <w:t xml:space="preserve"> emissions of all vehicles sold by that entity.</w:t>
      </w:r>
    </w:p>
    <w:p w14:paraId="5291A8D5"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Comparing the mass and CO</w:t>
      </w:r>
      <w:r w:rsidRPr="00CF39C8">
        <w:rPr>
          <w:rFonts w:cstheme="minorHAnsi"/>
          <w:color w:val="auto"/>
          <w:sz w:val="21"/>
          <w:szCs w:val="21"/>
          <w:vertAlign w:val="subscript"/>
        </w:rPr>
        <w:t>2</w:t>
      </w:r>
      <w:r w:rsidRPr="00CF39C8">
        <w:rPr>
          <w:rFonts w:cstheme="minorHAnsi"/>
          <w:color w:val="auto"/>
          <w:sz w:val="21"/>
          <w:szCs w:val="21"/>
        </w:rPr>
        <w:t xml:space="preserve"> level to the limit curve.</w:t>
      </w:r>
    </w:p>
    <w:p w14:paraId="3906D948"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If the regulated entity results are above the limit curve, the entity has not met the target for that year</w:t>
      </w:r>
      <w:r w:rsidR="00410957" w:rsidRPr="00CF39C8">
        <w:rPr>
          <w:rFonts w:cstheme="minorHAnsi"/>
          <w:color w:val="auto"/>
          <w:sz w:val="21"/>
          <w:szCs w:val="21"/>
        </w:rPr>
        <w:t>.</w:t>
      </w:r>
      <w:r w:rsidRPr="00CF39C8">
        <w:rPr>
          <w:rFonts w:cstheme="minorHAnsi"/>
          <w:color w:val="auto"/>
          <w:sz w:val="21"/>
          <w:szCs w:val="21"/>
        </w:rPr>
        <w:t xml:space="preserve"> </w:t>
      </w:r>
      <w:r w:rsidR="00410957" w:rsidRPr="00CF39C8">
        <w:rPr>
          <w:rFonts w:cstheme="minorHAnsi"/>
          <w:color w:val="auto"/>
          <w:sz w:val="21"/>
          <w:szCs w:val="21"/>
        </w:rPr>
        <w:t>I</w:t>
      </w:r>
      <w:r w:rsidRPr="00CF39C8">
        <w:rPr>
          <w:rFonts w:cstheme="minorHAnsi"/>
          <w:color w:val="auto"/>
          <w:sz w:val="21"/>
          <w:szCs w:val="21"/>
        </w:rPr>
        <w:t xml:space="preserve">f the results are below the curve, the entity has met the target for that year. The </w:t>
      </w:r>
      <w:r w:rsidR="008777E5" w:rsidRPr="00CF39C8">
        <w:rPr>
          <w:rFonts w:cstheme="minorHAnsi"/>
          <w:color w:val="auto"/>
          <w:sz w:val="21"/>
          <w:szCs w:val="21"/>
        </w:rPr>
        <w:t>r</w:t>
      </w:r>
      <w:r w:rsidRPr="00CF39C8">
        <w:rPr>
          <w:rFonts w:cstheme="minorHAnsi"/>
          <w:color w:val="auto"/>
          <w:sz w:val="21"/>
          <w:szCs w:val="21"/>
        </w:rPr>
        <w:t xml:space="preserve">egulator would alert the relevant supplier (and would make publicly available) the </w:t>
      </w:r>
      <w:r w:rsidR="00604A87" w:rsidRPr="006E116E">
        <w:rPr>
          <w:rFonts w:cstheme="minorHAnsi"/>
          <w:color w:val="auto"/>
          <w:sz w:val="21"/>
          <w:szCs w:val="21"/>
        </w:rPr>
        <w:t xml:space="preserve">results for the </w:t>
      </w:r>
      <w:r w:rsidR="006E116E" w:rsidRPr="006E116E">
        <w:rPr>
          <w:rFonts w:cstheme="minorHAnsi"/>
          <w:color w:val="auto"/>
          <w:sz w:val="21"/>
          <w:szCs w:val="21"/>
        </w:rPr>
        <w:t>year</w:t>
      </w:r>
      <w:r w:rsidR="006E116E">
        <w:rPr>
          <w:rFonts w:cstheme="minorHAnsi"/>
        </w:rPr>
        <w:t>.</w:t>
      </w:r>
      <w:r w:rsidRPr="00CF39C8">
        <w:rPr>
          <w:rFonts w:cstheme="minorHAnsi"/>
          <w:color w:val="auto"/>
          <w:sz w:val="21"/>
          <w:szCs w:val="21"/>
        </w:rPr>
        <w:t xml:space="preserve"> </w:t>
      </w:r>
    </w:p>
    <w:p w14:paraId="56CA7A31" w14:textId="77777777" w:rsidR="00236810" w:rsidRDefault="00236810" w:rsidP="000112FC">
      <w:pPr>
        <w:pStyle w:val="BodyText"/>
        <w:rPr>
          <w:rFonts w:cstheme="minorHAnsi"/>
          <w:color w:val="auto"/>
          <w:sz w:val="21"/>
          <w:szCs w:val="21"/>
        </w:rPr>
      </w:pPr>
    </w:p>
    <w:p w14:paraId="30BE9E3E" w14:textId="77777777" w:rsidR="000112FC" w:rsidRPr="00CF39C8" w:rsidRDefault="000112FC" w:rsidP="000112FC">
      <w:pPr>
        <w:pStyle w:val="BodyText"/>
        <w:rPr>
          <w:rFonts w:cstheme="minorHAnsi"/>
          <w:color w:val="auto"/>
          <w:sz w:val="21"/>
          <w:szCs w:val="21"/>
        </w:rPr>
      </w:pPr>
      <w:r w:rsidRPr="00CF39C8">
        <w:rPr>
          <w:rFonts w:cstheme="minorHAnsi"/>
          <w:color w:val="auto"/>
          <w:sz w:val="21"/>
          <w:szCs w:val="21"/>
        </w:rPr>
        <w:t xml:space="preserve">The regulator would have the standard regulatory abilities as specified in the </w:t>
      </w:r>
      <w:r w:rsidRPr="00CF39C8">
        <w:rPr>
          <w:rFonts w:cstheme="minorHAnsi"/>
          <w:i/>
          <w:color w:val="auto"/>
          <w:sz w:val="21"/>
          <w:szCs w:val="21"/>
        </w:rPr>
        <w:t>Regulatory Powers (Standard Provisions) Act 2014</w:t>
      </w:r>
      <w:r>
        <w:rPr>
          <w:rFonts w:cstheme="minorHAnsi"/>
          <w:i/>
          <w:color w:val="auto"/>
          <w:sz w:val="21"/>
          <w:szCs w:val="21"/>
        </w:rPr>
        <w:t xml:space="preserve"> </w:t>
      </w:r>
      <w:r>
        <w:rPr>
          <w:rFonts w:cstheme="minorHAnsi"/>
          <w:color w:val="auto"/>
          <w:sz w:val="21"/>
          <w:szCs w:val="21"/>
        </w:rPr>
        <w:t>modified somewhat</w:t>
      </w:r>
      <w:r w:rsidRPr="00CF39C8">
        <w:rPr>
          <w:rFonts w:cstheme="minorHAnsi"/>
          <w:color w:val="auto"/>
          <w:sz w:val="21"/>
          <w:szCs w:val="21"/>
        </w:rPr>
        <w:t>.</w:t>
      </w:r>
      <w:r w:rsidRPr="00CF39C8">
        <w:rPr>
          <w:rStyle w:val="EndnoteReference"/>
          <w:rFonts w:cstheme="minorHAnsi"/>
          <w:color w:val="auto"/>
          <w:sz w:val="21"/>
          <w:szCs w:val="21"/>
        </w:rPr>
        <w:endnoteReference w:id="53"/>
      </w:r>
      <w:r w:rsidRPr="00CF39C8">
        <w:rPr>
          <w:rFonts w:cstheme="minorHAnsi"/>
          <w:color w:val="auto"/>
          <w:sz w:val="21"/>
          <w:szCs w:val="21"/>
        </w:rPr>
        <w:t xml:space="preserve"> The functions and powers of the Regulator would include:</w:t>
      </w:r>
    </w:p>
    <w:p w14:paraId="1BC96E58"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 xml:space="preserve">Monitoring </w:t>
      </w:r>
      <w:r w:rsidR="006D3C32" w:rsidRPr="00CF39C8">
        <w:rPr>
          <w:rFonts w:cstheme="minorHAnsi"/>
          <w:color w:val="auto"/>
          <w:sz w:val="21"/>
          <w:szCs w:val="21"/>
        </w:rPr>
        <w:t>powers;</w:t>
      </w:r>
    </w:p>
    <w:p w14:paraId="199AD3D4"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 xml:space="preserve">Investigation </w:t>
      </w:r>
      <w:r w:rsidR="006D3C32" w:rsidRPr="00CF39C8">
        <w:rPr>
          <w:rFonts w:cstheme="minorHAnsi"/>
          <w:color w:val="auto"/>
          <w:sz w:val="21"/>
          <w:szCs w:val="21"/>
        </w:rPr>
        <w:t>powers;</w:t>
      </w:r>
    </w:p>
    <w:p w14:paraId="63BD25C9"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T</w:t>
      </w:r>
      <w:r w:rsidR="006D3C32" w:rsidRPr="00CF39C8">
        <w:rPr>
          <w:rFonts w:cstheme="minorHAnsi"/>
          <w:color w:val="auto"/>
          <w:sz w:val="21"/>
          <w:szCs w:val="21"/>
        </w:rPr>
        <w:t>he power to issue written notice to entities requiring them to produce information;</w:t>
      </w:r>
    </w:p>
    <w:p w14:paraId="6A5F6B94"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T</w:t>
      </w:r>
      <w:r w:rsidR="00E10327" w:rsidRPr="00CF39C8">
        <w:rPr>
          <w:rFonts w:cstheme="minorHAnsi"/>
          <w:color w:val="auto"/>
          <w:sz w:val="21"/>
          <w:szCs w:val="21"/>
        </w:rPr>
        <w:t xml:space="preserve">he </w:t>
      </w:r>
      <w:r w:rsidR="006D3C32" w:rsidRPr="00CF39C8">
        <w:rPr>
          <w:rFonts w:cstheme="minorHAnsi"/>
          <w:color w:val="auto"/>
          <w:sz w:val="21"/>
          <w:szCs w:val="21"/>
        </w:rPr>
        <w:t>power to apply to the court for an order that a person who has contravened any relevant civil penalty provisions pay a pecuniary penalty;</w:t>
      </w:r>
    </w:p>
    <w:p w14:paraId="69AF0B9E"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I</w:t>
      </w:r>
      <w:r w:rsidR="006D3C32" w:rsidRPr="00CF39C8">
        <w:rPr>
          <w:rFonts w:cstheme="minorHAnsi"/>
          <w:color w:val="auto"/>
          <w:sz w:val="21"/>
          <w:szCs w:val="21"/>
        </w:rPr>
        <w:t>ssuing infringement notices to entities</w:t>
      </w:r>
      <w:r w:rsidR="00E10327" w:rsidRPr="00CF39C8">
        <w:rPr>
          <w:rFonts w:cstheme="minorHAnsi"/>
          <w:color w:val="auto"/>
          <w:sz w:val="21"/>
          <w:szCs w:val="21"/>
        </w:rPr>
        <w:t>;</w:t>
      </w:r>
      <w:r w:rsidR="006D3C32" w:rsidRPr="00CF39C8">
        <w:rPr>
          <w:rFonts w:cstheme="minorHAnsi"/>
          <w:color w:val="auto"/>
          <w:sz w:val="21"/>
          <w:szCs w:val="21"/>
        </w:rPr>
        <w:t xml:space="preserve"> </w:t>
      </w:r>
      <w:r w:rsidR="000112FC">
        <w:rPr>
          <w:rFonts w:cstheme="minorHAnsi"/>
          <w:color w:val="auto"/>
          <w:sz w:val="21"/>
          <w:szCs w:val="21"/>
        </w:rPr>
        <w:t>and</w:t>
      </w:r>
      <w:r w:rsidR="000112FC" w:rsidRPr="00CF39C8">
        <w:rPr>
          <w:rFonts w:cstheme="minorHAnsi"/>
          <w:color w:val="auto"/>
          <w:sz w:val="21"/>
          <w:szCs w:val="21"/>
        </w:rPr>
        <w:t xml:space="preserve"> </w:t>
      </w:r>
    </w:p>
    <w:p w14:paraId="7B5D9A17" w14:textId="77777777" w:rsidR="000112FC" w:rsidRPr="00CF39C8" w:rsidRDefault="000112FC" w:rsidP="000112FC">
      <w:pPr>
        <w:pStyle w:val="BodyText"/>
        <w:numPr>
          <w:ilvl w:val="0"/>
          <w:numId w:val="20"/>
        </w:numPr>
        <w:spacing w:after="0"/>
        <w:rPr>
          <w:rFonts w:cstheme="minorHAnsi"/>
          <w:color w:val="auto"/>
          <w:sz w:val="21"/>
          <w:szCs w:val="21"/>
        </w:rPr>
      </w:pPr>
      <w:r w:rsidRPr="00CF39C8">
        <w:rPr>
          <w:rFonts w:cstheme="minorHAnsi"/>
          <w:color w:val="auto"/>
          <w:sz w:val="21"/>
          <w:szCs w:val="21"/>
        </w:rPr>
        <w:t>Accepting enforceable undertakings</w:t>
      </w:r>
      <w:r>
        <w:rPr>
          <w:rFonts w:cstheme="minorHAnsi"/>
          <w:color w:val="auto"/>
          <w:sz w:val="21"/>
          <w:szCs w:val="21"/>
        </w:rPr>
        <w:t>.</w:t>
      </w:r>
    </w:p>
    <w:p w14:paraId="50ED618F" w14:textId="77777777" w:rsidR="000112FC" w:rsidRPr="00CF39C8" w:rsidRDefault="000112FC" w:rsidP="000112FC">
      <w:pPr>
        <w:pStyle w:val="BodyText"/>
        <w:spacing w:after="0"/>
        <w:rPr>
          <w:rFonts w:cstheme="minorHAnsi"/>
          <w:color w:val="auto"/>
          <w:sz w:val="21"/>
          <w:szCs w:val="21"/>
        </w:rPr>
      </w:pPr>
    </w:p>
    <w:p w14:paraId="3DC498DF" w14:textId="77777777" w:rsidR="000112FC" w:rsidRPr="00CF39C8" w:rsidRDefault="000112FC" w:rsidP="000112FC">
      <w:pPr>
        <w:pStyle w:val="BodyText"/>
        <w:spacing w:after="0"/>
        <w:rPr>
          <w:rFonts w:cstheme="minorHAnsi"/>
          <w:color w:val="auto"/>
          <w:sz w:val="21"/>
          <w:szCs w:val="21"/>
        </w:rPr>
      </w:pPr>
      <w:r w:rsidRPr="000D3152">
        <w:rPr>
          <w:rFonts w:cstheme="minorHAnsi"/>
          <w:color w:val="auto"/>
          <w:sz w:val="21"/>
          <w:szCs w:val="21"/>
        </w:rPr>
        <w:t xml:space="preserve">The Regulator will have obligations to publish information on its website regarding performance against the </w:t>
      </w:r>
      <w:r w:rsidRPr="000D3152">
        <w:rPr>
          <w:rFonts w:asciiTheme="majorHAnsi" w:hAnsiTheme="majorHAnsi" w:cstheme="majorHAnsi"/>
        </w:rPr>
        <w:t>NVES</w:t>
      </w:r>
      <w:r w:rsidRPr="000D3152">
        <w:rPr>
          <w:rFonts w:cstheme="minorHAnsi"/>
          <w:color w:val="auto"/>
          <w:sz w:val="21"/>
          <w:szCs w:val="21"/>
        </w:rPr>
        <w:t xml:space="preserve"> and the performance of the overall standard. The </w:t>
      </w:r>
      <w:r w:rsidR="000D3152">
        <w:rPr>
          <w:rFonts w:cstheme="minorHAnsi"/>
          <w:color w:val="auto"/>
          <w:sz w:val="21"/>
          <w:szCs w:val="21"/>
        </w:rPr>
        <w:t>R</w:t>
      </w:r>
      <w:r w:rsidRPr="000D3152">
        <w:rPr>
          <w:rFonts w:cstheme="minorHAnsi"/>
          <w:color w:val="auto"/>
          <w:sz w:val="21"/>
          <w:szCs w:val="21"/>
        </w:rPr>
        <w:t>egulator</w:t>
      </w:r>
      <w:r w:rsidRPr="00CF39C8">
        <w:rPr>
          <w:rFonts w:cstheme="minorHAnsi"/>
          <w:color w:val="auto"/>
          <w:sz w:val="21"/>
          <w:szCs w:val="21"/>
        </w:rPr>
        <w:t xml:space="preserve"> will also have obligations to maintain the integrity and security of the credit trading platform.</w:t>
      </w:r>
      <w:r>
        <w:rPr>
          <w:rFonts w:cstheme="minorHAnsi"/>
          <w:color w:val="auto"/>
          <w:sz w:val="21"/>
          <w:szCs w:val="21"/>
        </w:rPr>
        <w:t xml:space="preserve"> In addition, the penalty amount will be $100 g/CO</w:t>
      </w:r>
      <w:r w:rsidRPr="00D53B6A">
        <w:rPr>
          <w:rFonts w:cstheme="minorHAnsi"/>
          <w:color w:val="auto"/>
          <w:sz w:val="21"/>
          <w:szCs w:val="21"/>
          <w:vertAlign w:val="subscript"/>
        </w:rPr>
        <w:t>2</w:t>
      </w:r>
      <w:r>
        <w:rPr>
          <w:rFonts w:cstheme="minorHAnsi"/>
          <w:color w:val="auto"/>
          <w:sz w:val="21"/>
          <w:szCs w:val="21"/>
          <w:vertAlign w:val="subscript"/>
        </w:rPr>
        <w:t xml:space="preserve">. </w:t>
      </w:r>
      <w:r>
        <w:rPr>
          <w:rFonts w:cstheme="minorHAnsi"/>
          <w:color w:val="auto"/>
          <w:sz w:val="21"/>
          <w:szCs w:val="21"/>
        </w:rPr>
        <w:t>As a matter of course, the Department would issue infringement notices at 50 per cent of the maximum allowed penalty. If paid, no further action would be taken. If the infringement notice was not paid, the department would initiate proceedings in a relevant court. The maximum amount of penalty that the Court could award is $100 g/CO</w:t>
      </w:r>
      <w:r w:rsidRPr="00D53B6A">
        <w:rPr>
          <w:rFonts w:cstheme="minorHAnsi"/>
          <w:color w:val="auto"/>
          <w:sz w:val="21"/>
          <w:szCs w:val="21"/>
          <w:vertAlign w:val="subscript"/>
        </w:rPr>
        <w:t>2</w:t>
      </w:r>
      <w:r>
        <w:rPr>
          <w:rFonts w:cstheme="minorHAnsi"/>
          <w:color w:val="auto"/>
          <w:sz w:val="21"/>
          <w:szCs w:val="21"/>
          <w:vertAlign w:val="subscript"/>
        </w:rPr>
        <w:t xml:space="preserve">. </w:t>
      </w:r>
      <w:r>
        <w:rPr>
          <w:rFonts w:cstheme="minorHAnsi"/>
          <w:color w:val="auto"/>
          <w:sz w:val="21"/>
          <w:szCs w:val="21"/>
        </w:rPr>
        <w:t xml:space="preserve"> </w:t>
      </w:r>
    </w:p>
    <w:p w14:paraId="3A296865" w14:textId="77777777" w:rsidR="000112FC" w:rsidRPr="00CF39C8" w:rsidRDefault="000112FC" w:rsidP="000112FC">
      <w:pPr>
        <w:pStyle w:val="BodyText"/>
        <w:spacing w:after="0"/>
        <w:rPr>
          <w:rFonts w:cstheme="minorHAnsi"/>
          <w:color w:val="auto"/>
          <w:sz w:val="21"/>
          <w:szCs w:val="21"/>
        </w:rPr>
      </w:pPr>
    </w:p>
    <w:p w14:paraId="6196CC2C" w14:textId="77777777" w:rsidR="000112FC" w:rsidRPr="00CF39C8" w:rsidRDefault="000112FC" w:rsidP="000112FC">
      <w:pPr>
        <w:pStyle w:val="BodyText"/>
        <w:spacing w:after="0"/>
        <w:rPr>
          <w:rFonts w:cstheme="minorHAnsi"/>
          <w:color w:val="auto"/>
          <w:sz w:val="21"/>
          <w:szCs w:val="21"/>
        </w:rPr>
      </w:pPr>
      <w:r w:rsidRPr="00ED0AB8">
        <w:rPr>
          <w:rFonts w:cstheme="minorHAnsi"/>
          <w:color w:val="auto"/>
          <w:sz w:val="21"/>
          <w:szCs w:val="21"/>
        </w:rPr>
        <w:t>Figure 2</w:t>
      </w:r>
      <w:r w:rsidR="0023600C">
        <w:rPr>
          <w:rFonts w:cstheme="minorHAnsi"/>
          <w:color w:val="auto"/>
          <w:sz w:val="21"/>
          <w:szCs w:val="21"/>
        </w:rPr>
        <w:t>4</w:t>
      </w:r>
      <w:r w:rsidRPr="00CF39C8">
        <w:rPr>
          <w:rFonts w:cstheme="minorHAnsi"/>
          <w:color w:val="auto"/>
          <w:sz w:val="21"/>
          <w:szCs w:val="21"/>
        </w:rPr>
        <w:t xml:space="preserve"> </w:t>
      </w:r>
      <w:r w:rsidR="001C5AA9">
        <w:rPr>
          <w:rFonts w:cstheme="minorHAnsi"/>
          <w:color w:val="auto"/>
          <w:sz w:val="21"/>
          <w:szCs w:val="21"/>
        </w:rPr>
        <w:t xml:space="preserve">(over) </w:t>
      </w:r>
      <w:r w:rsidRPr="00CF39C8">
        <w:rPr>
          <w:rFonts w:cstheme="minorHAnsi"/>
          <w:color w:val="auto"/>
          <w:sz w:val="21"/>
          <w:szCs w:val="21"/>
        </w:rPr>
        <w:t xml:space="preserve">explains the proposed regulatory timeframes, based on the </w:t>
      </w:r>
      <w:r w:rsidR="00AE4BF3">
        <w:rPr>
          <w:rFonts w:cstheme="minorHAnsi"/>
          <w:color w:val="auto"/>
          <w:sz w:val="21"/>
          <w:szCs w:val="21"/>
        </w:rPr>
        <w:t>best</w:t>
      </w:r>
      <w:r>
        <w:rPr>
          <w:rFonts w:cstheme="minorHAnsi"/>
          <w:color w:val="auto"/>
          <w:sz w:val="21"/>
          <w:szCs w:val="21"/>
        </w:rPr>
        <w:t xml:space="preserve"> option</w:t>
      </w:r>
      <w:r w:rsidRPr="00CF39C8">
        <w:rPr>
          <w:rFonts w:cstheme="minorHAnsi"/>
          <w:color w:val="auto"/>
          <w:sz w:val="21"/>
          <w:szCs w:val="21"/>
        </w:rPr>
        <w:t xml:space="preserve">. </w:t>
      </w:r>
    </w:p>
    <w:p w14:paraId="712399E2" w14:textId="77777777" w:rsidR="00BC5B98" w:rsidRDefault="00BC5B98" w:rsidP="00373650">
      <w:pPr>
        <w:pStyle w:val="BodyText"/>
        <w:spacing w:after="0"/>
        <w:rPr>
          <w:rFonts w:cstheme="minorHAnsi"/>
          <w:color w:val="auto"/>
          <w:sz w:val="21"/>
          <w:szCs w:val="21"/>
        </w:rPr>
      </w:pPr>
    </w:p>
    <w:p w14:paraId="7DD37480" w14:textId="77777777" w:rsidR="00A83303" w:rsidRDefault="00A83303">
      <w:pPr>
        <w:rPr>
          <w:rFonts w:cstheme="minorHAnsi"/>
        </w:rPr>
      </w:pPr>
    </w:p>
    <w:p w14:paraId="34294704" w14:textId="77777777" w:rsidR="00A83303" w:rsidRDefault="00A83303" w:rsidP="00373650">
      <w:pPr>
        <w:pStyle w:val="BodyText"/>
        <w:spacing w:after="0"/>
        <w:rPr>
          <w:rFonts w:cstheme="minorHAnsi"/>
          <w:color w:val="auto"/>
          <w:sz w:val="21"/>
          <w:szCs w:val="21"/>
        </w:rPr>
      </w:pPr>
      <w:r>
        <w:rPr>
          <w:rFonts w:cstheme="minorHAnsi"/>
          <w:color w:val="auto"/>
          <w:sz w:val="21"/>
          <w:szCs w:val="21"/>
        </w:rPr>
        <w:br w:type="page"/>
      </w:r>
    </w:p>
    <w:p w14:paraId="2E962950" w14:textId="77777777" w:rsidR="00A83303" w:rsidRPr="00CF39C8" w:rsidRDefault="00A83303" w:rsidP="00373650">
      <w:pPr>
        <w:pStyle w:val="BodyText"/>
        <w:spacing w:after="0"/>
        <w:rPr>
          <w:rFonts w:cstheme="minorHAnsi"/>
          <w:color w:val="auto"/>
          <w:sz w:val="21"/>
          <w:szCs w:val="21"/>
        </w:rPr>
        <w:sectPr w:rsidR="00A83303" w:rsidRPr="00CF39C8" w:rsidSect="007150AB">
          <w:pgSz w:w="11906" w:h="16838" w:code="9"/>
          <w:pgMar w:top="1021" w:right="1134" w:bottom="851" w:left="1276" w:header="510" w:footer="567" w:gutter="0"/>
          <w:cols w:space="708"/>
          <w:docGrid w:linePitch="360"/>
        </w:sectPr>
      </w:pPr>
    </w:p>
    <w:p w14:paraId="51BBB921" w14:textId="77777777" w:rsidR="00A53662" w:rsidRPr="00CF39C8" w:rsidRDefault="00E93B87" w:rsidP="00231D9D">
      <w:pPr>
        <w:pStyle w:val="BodyText"/>
        <w:spacing w:after="0"/>
        <w:rPr>
          <w:rStyle w:val="CommentReference"/>
          <w:color w:val="auto"/>
        </w:rPr>
      </w:pPr>
      <w:r w:rsidRPr="00CF39C8">
        <w:rPr>
          <w:rStyle w:val="CommentReference"/>
          <w:color w:val="auto"/>
          <w:sz w:val="21"/>
          <w:szCs w:val="21"/>
        </w:rPr>
        <w:t>The diagram below explains what a typical regulatory year would involve in general (top portion) and what the first f</w:t>
      </w:r>
      <w:r w:rsidR="00604A87">
        <w:rPr>
          <w:rStyle w:val="CommentReference"/>
          <w:color w:val="auto"/>
          <w:sz w:val="21"/>
          <w:szCs w:val="21"/>
        </w:rPr>
        <w:t>ive</w:t>
      </w:r>
      <w:r w:rsidRPr="00CF39C8">
        <w:rPr>
          <w:rStyle w:val="CommentReference"/>
          <w:color w:val="auto"/>
          <w:sz w:val="21"/>
          <w:szCs w:val="21"/>
        </w:rPr>
        <w:t xml:space="preserve"> years of operation would entail at a more detailed level (bottom portion).</w:t>
      </w:r>
      <w:r w:rsidRPr="00CF39C8">
        <w:rPr>
          <w:rStyle w:val="CommentReference"/>
          <w:color w:val="auto"/>
        </w:rPr>
        <w:t xml:space="preserve"> </w:t>
      </w:r>
      <w:bookmarkStart w:id="549" w:name="_Ref153982304"/>
      <w:bookmarkStart w:id="550" w:name="_Toc148362167"/>
      <w:bookmarkStart w:id="551" w:name="_Toc148362640"/>
      <w:bookmarkStart w:id="552" w:name="_Toc148361203"/>
      <w:bookmarkStart w:id="553" w:name="_Toc149907250"/>
      <w:r w:rsidR="005313DC" w:rsidRPr="005313DC">
        <w:rPr>
          <w:noProof/>
        </w:rPr>
        <w:t xml:space="preserve"> </w:t>
      </w:r>
      <w:r w:rsidR="00F215CC">
        <w:rPr>
          <w:noProof/>
          <w:lang w:eastAsia="en-AU"/>
        </w:rPr>
        <w:drawing>
          <wp:inline distT="0" distB="0" distL="0" distR="0" wp14:anchorId="3D469C04" wp14:editId="58DC0A63">
            <wp:extent cx="9503410" cy="4860925"/>
            <wp:effectExtent l="0" t="0" r="2540" b="0"/>
            <wp:docPr id="2071" name="Picture 2071" descr="First image in the figure presents a calendar year to represent the proposed regulatory timeframe.  &#10;January is marked as the start of the regulatory year, with December the end. During the regulatory year the following occurs:&#10;&#10;Credits and debits are accumulated. &#10;On maturity, credit/debit positions are netted, and the result is entered onto the trading register.&#10;After maturity, credits and debits (all types) are publicly reported.&#10;Suppliers may seek to use mature credits to extinguish mature debits at any time.&#10;Mature debits not extinguished after 2 years will result in liability for a penalty. &#10;Unless extinguished prior, mature credits expire after 3 years.&#10;&#10;&#10;The second image in the figure presents 4 calendar years from 2025 (Year 0) to 2029 (Year 4) and associated milestones:&#10;&#10;2025 (Year 0).&#10;January: Data reporting commences&#10;&#10;July: binding limits commence &#10;&#10;2026 (Year 1).&#10;February: Date of maturity for credits generated in 2025. No debits will be generated for 2025. Annual public reporting. &#10;&#10;2027 (Year 2).&#10;February: Date of maturity for credits and debits generated in 2026. Annual public reporting.&#10;&#10;2028 (Year 3).&#10;February: Date of maturity for credits and debits generated in 2027. Annual public reporting.&#10;&#10;2029 (Year 4).&#10;February: Date of maturity for credits and debits generated in 2028. Credits generated in 2025 expire. Debits that were generated in 2026 that are not extinguished will result in liability for penalty. Annual public repor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503410" cy="4860925"/>
                    </a:xfrm>
                    <a:prstGeom prst="rect">
                      <a:avLst/>
                    </a:prstGeom>
                  </pic:spPr>
                </pic:pic>
              </a:graphicData>
            </a:graphic>
          </wp:inline>
        </w:drawing>
      </w:r>
    </w:p>
    <w:p w14:paraId="29BA0360" w14:textId="77777777" w:rsidR="00373650" w:rsidRPr="00CF39C8" w:rsidRDefault="00373650" w:rsidP="00A53662">
      <w:pPr>
        <w:pStyle w:val="Caption"/>
        <w:rPr>
          <w:b w:val="0"/>
        </w:rPr>
      </w:pPr>
      <w:bookmarkStart w:id="554" w:name="_Toc161837794"/>
      <w:bookmarkStart w:id="555" w:name="_Toc161933240"/>
      <w:bookmarkStart w:id="556" w:name="_Toc163221139"/>
      <w:r w:rsidRPr="00CF39C8">
        <w:t xml:space="preserve">Figure </w:t>
      </w:r>
      <w:bookmarkEnd w:id="549"/>
      <w:r w:rsidR="002A6D2B" w:rsidRPr="00CF39C8">
        <w:t>2</w:t>
      </w:r>
      <w:r w:rsidR="0023600C">
        <w:t>4</w:t>
      </w:r>
      <w:r w:rsidRPr="00CF39C8">
        <w:t xml:space="preserve"> –</w:t>
      </w:r>
      <w:r w:rsidRPr="00CF39C8">
        <w:rPr>
          <w:b w:val="0"/>
        </w:rPr>
        <w:t xml:space="preserve"> Proposed regulatory timeframe</w:t>
      </w:r>
      <w:bookmarkStart w:id="557" w:name="_Toc146622500"/>
      <w:bookmarkEnd w:id="550"/>
      <w:bookmarkEnd w:id="551"/>
      <w:bookmarkEnd w:id="552"/>
      <w:bookmarkEnd w:id="553"/>
      <w:bookmarkEnd w:id="554"/>
      <w:bookmarkEnd w:id="555"/>
      <w:bookmarkEnd w:id="556"/>
    </w:p>
    <w:p w14:paraId="6020524A" w14:textId="77777777" w:rsidR="00373650" w:rsidRPr="00CF39C8" w:rsidRDefault="00373650" w:rsidP="00373650">
      <w:pPr>
        <w:rPr>
          <w:highlight w:val="yellow"/>
        </w:rPr>
        <w:sectPr w:rsidR="00373650" w:rsidRPr="00CF39C8" w:rsidSect="00A83303">
          <w:pgSz w:w="16838" w:h="11906" w:orient="landscape" w:code="9"/>
          <w:pgMar w:top="1276" w:right="1021" w:bottom="1134" w:left="851" w:header="510" w:footer="567" w:gutter="0"/>
          <w:cols w:space="708"/>
          <w:docGrid w:linePitch="360"/>
        </w:sectPr>
      </w:pPr>
    </w:p>
    <w:p w14:paraId="5301C79C" w14:textId="77777777" w:rsidR="00373650" w:rsidRPr="00CF39C8" w:rsidRDefault="00373650" w:rsidP="00430317">
      <w:pPr>
        <w:pStyle w:val="Heading2"/>
        <w:numPr>
          <w:ilvl w:val="1"/>
          <w:numId w:val="65"/>
        </w:numPr>
        <w:ind w:hanging="792"/>
      </w:pPr>
      <w:bookmarkStart w:id="558" w:name="_Toc161837688"/>
      <w:bookmarkStart w:id="559" w:name="_Toc161933185"/>
      <w:bookmarkStart w:id="560" w:name="_Toc162276494"/>
      <w:bookmarkStart w:id="561" w:name="_Toc163221088"/>
      <w:bookmarkStart w:id="562" w:name="_Hlk161921840"/>
      <w:r w:rsidRPr="00CF39C8">
        <w:rPr>
          <w:rFonts w:cstheme="majorHAnsi"/>
        </w:rPr>
        <w:t>Timeline and transitional arrangements</w:t>
      </w:r>
      <w:bookmarkEnd w:id="557"/>
      <w:bookmarkEnd w:id="558"/>
      <w:bookmarkEnd w:id="559"/>
      <w:bookmarkEnd w:id="560"/>
      <w:bookmarkEnd w:id="561"/>
      <w:r w:rsidRPr="00CF39C8">
        <w:rPr>
          <w:rFonts w:cstheme="majorHAnsi"/>
        </w:rPr>
        <w:t xml:space="preserve"> </w:t>
      </w:r>
    </w:p>
    <w:p w14:paraId="065386A3" w14:textId="77777777" w:rsidR="00604A87" w:rsidRDefault="00373650" w:rsidP="00604A87">
      <w:pPr>
        <w:rPr>
          <w:rFonts w:cstheme="minorHAnsi"/>
        </w:rPr>
      </w:pPr>
      <w:bookmarkStart w:id="563" w:name="_Hlk161853457"/>
      <w:r w:rsidRPr="00CF39C8">
        <w:rPr>
          <w:rFonts w:cstheme="minorHAnsi"/>
        </w:rPr>
        <w:t xml:space="preserve">The department aims to ensure an orderly transition for </w:t>
      </w:r>
      <w:r w:rsidRPr="00CF39C8">
        <w:rPr>
          <w:rFonts w:eastAsia="Times New Roman"/>
        </w:rPr>
        <w:t xml:space="preserve">regulated entities </w:t>
      </w:r>
      <w:r w:rsidRPr="00CF39C8">
        <w:rPr>
          <w:rFonts w:cstheme="minorHAnsi"/>
        </w:rPr>
        <w:t xml:space="preserve">to be regulated against the new standards. The </w:t>
      </w:r>
      <w:r w:rsidR="00AE4BF3">
        <w:rPr>
          <w:rFonts w:cstheme="minorHAnsi"/>
        </w:rPr>
        <w:t xml:space="preserve">best </w:t>
      </w:r>
      <w:r w:rsidRPr="00CF39C8">
        <w:rPr>
          <w:rFonts w:cstheme="minorHAnsi"/>
        </w:rPr>
        <w:t xml:space="preserve">option proposes commencing on 1 January 2025, along with </w:t>
      </w:r>
      <w:r w:rsidR="006D4EF3" w:rsidRPr="00CF39C8">
        <w:rPr>
          <w:rFonts w:asciiTheme="majorHAnsi" w:hAnsiTheme="majorHAnsi" w:cstheme="majorHAnsi"/>
        </w:rPr>
        <w:t>NVES</w:t>
      </w:r>
      <w:r w:rsidRPr="00CF39C8">
        <w:rPr>
          <w:rFonts w:cstheme="minorHAnsi"/>
        </w:rPr>
        <w:t xml:space="preserve"> reporting requirements. The regulatory year would </w:t>
      </w:r>
      <w:r w:rsidR="00B05F04" w:rsidRPr="00CF39C8">
        <w:rPr>
          <w:rFonts w:cstheme="minorHAnsi"/>
        </w:rPr>
        <w:t>continue o</w:t>
      </w:r>
      <w:r w:rsidRPr="00CF39C8">
        <w:rPr>
          <w:rFonts w:cstheme="minorHAnsi"/>
        </w:rPr>
        <w:t xml:space="preserve">n a calendar year basis. </w:t>
      </w:r>
    </w:p>
    <w:p w14:paraId="4D60E252" w14:textId="77777777" w:rsidR="00604A87" w:rsidRDefault="00604A87" w:rsidP="00604A87">
      <w:pPr>
        <w:rPr>
          <w:rFonts w:cstheme="minorHAnsi"/>
        </w:rPr>
      </w:pPr>
      <w:r>
        <w:rPr>
          <w:rFonts w:cstheme="minorHAnsi"/>
        </w:rPr>
        <w:t xml:space="preserve">The arrangements are: </w:t>
      </w:r>
    </w:p>
    <w:p w14:paraId="18D74C18" w14:textId="77777777" w:rsidR="00604A87" w:rsidRDefault="00604A87" w:rsidP="00144C30">
      <w:pPr>
        <w:pStyle w:val="ListParagraph"/>
        <w:numPr>
          <w:ilvl w:val="0"/>
          <w:numId w:val="85"/>
        </w:numPr>
        <w:rPr>
          <w:rFonts w:cstheme="minorHAnsi"/>
        </w:rPr>
      </w:pPr>
      <w:r>
        <w:rPr>
          <w:rFonts w:cstheme="minorHAnsi"/>
        </w:rPr>
        <w:t xml:space="preserve">Regulated entities will need to register an account on the designated trading platform. </w:t>
      </w:r>
    </w:p>
    <w:p w14:paraId="168EE234" w14:textId="77777777" w:rsidR="00604A87" w:rsidRDefault="00604A87" w:rsidP="00144C30">
      <w:pPr>
        <w:pStyle w:val="ListParagraph"/>
        <w:numPr>
          <w:ilvl w:val="0"/>
          <w:numId w:val="85"/>
        </w:numPr>
        <w:rPr>
          <w:rFonts w:cstheme="minorHAnsi"/>
        </w:rPr>
      </w:pPr>
      <w:r>
        <w:rPr>
          <w:rFonts w:cstheme="minorHAnsi"/>
        </w:rPr>
        <w:t xml:space="preserve">The IEV will be generated at the end of any given regulatory year, once a vehicle is entered into the Register of Approved Vehicles (RAV). </w:t>
      </w:r>
    </w:p>
    <w:p w14:paraId="0288A230" w14:textId="77777777" w:rsidR="00604A87" w:rsidRDefault="00604A87" w:rsidP="00144C30">
      <w:pPr>
        <w:pStyle w:val="ListParagraph"/>
        <w:numPr>
          <w:ilvl w:val="0"/>
          <w:numId w:val="85"/>
        </w:numPr>
        <w:rPr>
          <w:rFonts w:cstheme="minorHAnsi"/>
        </w:rPr>
      </w:pPr>
      <w:r>
        <w:rPr>
          <w:rFonts w:cstheme="minorHAnsi"/>
        </w:rPr>
        <w:t xml:space="preserve">The date of reconciliation is 1 February in the next year. </w:t>
      </w:r>
    </w:p>
    <w:p w14:paraId="4EC2AEE1" w14:textId="77777777" w:rsidR="00604A87" w:rsidRDefault="00604A87" w:rsidP="00144C30">
      <w:pPr>
        <w:pStyle w:val="ListParagraph"/>
        <w:numPr>
          <w:ilvl w:val="0"/>
          <w:numId w:val="85"/>
        </w:numPr>
        <w:rPr>
          <w:rFonts w:cstheme="minorHAnsi"/>
        </w:rPr>
      </w:pPr>
      <w:r>
        <w:rPr>
          <w:rFonts w:cstheme="minorHAnsi"/>
        </w:rPr>
        <w:t>The IEV will be publicly reported for each regulated entity in the next year</w:t>
      </w:r>
    </w:p>
    <w:p w14:paraId="1DBBC45C" w14:textId="77777777" w:rsidR="00604A87" w:rsidRDefault="00604A87" w:rsidP="00144C30">
      <w:pPr>
        <w:pStyle w:val="ListParagraph"/>
        <w:numPr>
          <w:ilvl w:val="0"/>
          <w:numId w:val="85"/>
        </w:numPr>
        <w:rPr>
          <w:rFonts w:cstheme="minorHAnsi"/>
        </w:rPr>
      </w:pPr>
      <w:r>
        <w:rPr>
          <w:rFonts w:cstheme="minorHAnsi"/>
        </w:rPr>
        <w:t xml:space="preserve">Once generated:  </w:t>
      </w:r>
    </w:p>
    <w:bookmarkEnd w:id="563"/>
    <w:p w14:paraId="4768C700" w14:textId="77777777" w:rsidR="005375D2" w:rsidRPr="00CF39C8" w:rsidRDefault="005375D2" w:rsidP="005375D2">
      <w:pPr>
        <w:pStyle w:val="ListParagraph"/>
        <w:numPr>
          <w:ilvl w:val="1"/>
          <w:numId w:val="52"/>
        </w:numPr>
        <w:rPr>
          <w:rFonts w:cstheme="minorHAnsi"/>
        </w:rPr>
      </w:pPr>
      <w:r w:rsidRPr="00CF39C8">
        <w:rPr>
          <w:rFonts w:cstheme="minorHAnsi"/>
        </w:rPr>
        <w:t xml:space="preserve">Credits can be traded (transferred) to another registered regulated entity. Terms </w:t>
      </w:r>
      <w:r>
        <w:rPr>
          <w:rFonts w:cstheme="minorHAnsi"/>
        </w:rPr>
        <w:t xml:space="preserve">and conditions </w:t>
      </w:r>
      <w:r w:rsidRPr="00CF39C8">
        <w:rPr>
          <w:rFonts w:cstheme="minorHAnsi"/>
        </w:rPr>
        <w:t>of transfer</w:t>
      </w:r>
      <w:r>
        <w:rPr>
          <w:rFonts w:cstheme="minorHAnsi"/>
        </w:rPr>
        <w:t>s</w:t>
      </w:r>
      <w:r w:rsidRPr="00CF39C8">
        <w:rPr>
          <w:rFonts w:cstheme="minorHAnsi"/>
        </w:rPr>
        <w:t xml:space="preserve"> will be a matter for regulated entities</w:t>
      </w:r>
      <w:r>
        <w:rPr>
          <w:rFonts w:cstheme="minorHAnsi"/>
        </w:rPr>
        <w:t xml:space="preserve">. These </w:t>
      </w:r>
      <w:r w:rsidRPr="00CF39C8">
        <w:rPr>
          <w:rFonts w:cstheme="minorHAnsi"/>
        </w:rPr>
        <w:t xml:space="preserve">will not be regulated by the Government under the </w:t>
      </w:r>
      <w:r w:rsidRPr="00CF39C8">
        <w:rPr>
          <w:rFonts w:asciiTheme="majorHAnsi" w:hAnsiTheme="majorHAnsi" w:cstheme="majorHAnsi"/>
        </w:rPr>
        <w:t>NVES</w:t>
      </w:r>
      <w:r>
        <w:rPr>
          <w:rFonts w:asciiTheme="majorHAnsi" w:hAnsiTheme="majorHAnsi" w:cstheme="majorHAnsi"/>
        </w:rPr>
        <w:t>, though it will have powers to address any transfer issues that may arise</w:t>
      </w:r>
      <w:r w:rsidRPr="00CF39C8">
        <w:rPr>
          <w:rFonts w:cstheme="minorHAnsi"/>
        </w:rPr>
        <w:t xml:space="preserve">. </w:t>
      </w:r>
    </w:p>
    <w:p w14:paraId="19A73314" w14:textId="77777777" w:rsidR="005375D2" w:rsidRPr="00CF39C8" w:rsidRDefault="005375D2" w:rsidP="005375D2">
      <w:pPr>
        <w:pStyle w:val="ListParagraph"/>
        <w:numPr>
          <w:ilvl w:val="1"/>
          <w:numId w:val="52"/>
        </w:numPr>
        <w:rPr>
          <w:rFonts w:cstheme="minorHAnsi"/>
        </w:rPr>
      </w:pPr>
      <w:r w:rsidRPr="00CF39C8">
        <w:rPr>
          <w:rFonts w:cstheme="minorHAnsi"/>
        </w:rPr>
        <w:t xml:space="preserve">Credits can be used </w:t>
      </w:r>
      <w:r>
        <w:rPr>
          <w:rFonts w:cstheme="minorHAnsi"/>
        </w:rPr>
        <w:t>lower a suppliers’ IEV</w:t>
      </w:r>
      <w:r w:rsidRPr="00CF39C8">
        <w:rPr>
          <w:rFonts w:cstheme="minorHAnsi"/>
        </w:rPr>
        <w:t xml:space="preserve"> at any time (subject to operational constraints). </w:t>
      </w:r>
    </w:p>
    <w:p w14:paraId="3E5F4535" w14:textId="77777777" w:rsidR="005375D2" w:rsidRPr="00CF39C8" w:rsidRDefault="005375D2" w:rsidP="005375D2">
      <w:pPr>
        <w:pStyle w:val="ListParagraph"/>
        <w:numPr>
          <w:ilvl w:val="1"/>
          <w:numId w:val="52"/>
        </w:numPr>
        <w:rPr>
          <w:rFonts w:cstheme="minorHAnsi"/>
        </w:rPr>
      </w:pPr>
      <w:r>
        <w:rPr>
          <w:rFonts w:cstheme="minorHAnsi"/>
        </w:rPr>
        <w:t xml:space="preserve">A positive IEV does not become payable until 2 years after it is generated, which allows time for credits to be acquired and applied to reduce this. </w:t>
      </w:r>
    </w:p>
    <w:p w14:paraId="67EECBE8" w14:textId="77777777" w:rsidR="00A81F4B" w:rsidRPr="00CF39C8" w:rsidRDefault="00A81F4B" w:rsidP="00127FCE">
      <w:pPr>
        <w:pStyle w:val="ListParagraph"/>
        <w:rPr>
          <w:rFonts w:cstheme="minorHAnsi"/>
        </w:rPr>
      </w:pPr>
    </w:p>
    <w:p w14:paraId="4F117253" w14:textId="77777777" w:rsidR="00373650" w:rsidRPr="00CF39C8" w:rsidRDefault="00A81F4B" w:rsidP="00373650">
      <w:pPr>
        <w:rPr>
          <w:rFonts w:cstheme="minorHAnsi"/>
        </w:rPr>
      </w:pPr>
      <w:r w:rsidRPr="00CF39C8">
        <w:rPr>
          <w:rFonts w:cstheme="minorHAnsi"/>
        </w:rPr>
        <w:t xml:space="preserve">The table below </w:t>
      </w:r>
      <w:r w:rsidR="00373650" w:rsidRPr="00CF39C8">
        <w:rPr>
          <w:rFonts w:cstheme="minorHAnsi"/>
        </w:rPr>
        <w:t>sets out the proposed timetable</w:t>
      </w:r>
      <w:r w:rsidR="004242AC" w:rsidRPr="00CF39C8">
        <w:rPr>
          <w:rFonts w:cstheme="minorHAnsi"/>
        </w:rPr>
        <w:t xml:space="preserve"> for implementation of </w:t>
      </w:r>
      <w:r w:rsidR="00E93B87" w:rsidRPr="00CF39C8">
        <w:rPr>
          <w:rFonts w:cstheme="minorHAnsi"/>
        </w:rPr>
        <w:t xml:space="preserve">the </w:t>
      </w:r>
      <w:r w:rsidR="00AE4BF3">
        <w:rPr>
          <w:rFonts w:cstheme="minorHAnsi"/>
        </w:rPr>
        <w:t>best</w:t>
      </w:r>
      <w:r w:rsidR="00E93B87" w:rsidRPr="00CF39C8">
        <w:rPr>
          <w:rFonts w:cstheme="minorHAnsi"/>
        </w:rPr>
        <w:t xml:space="preserve"> option</w:t>
      </w:r>
      <w:r w:rsidR="00373650" w:rsidRPr="00CF39C8">
        <w:rPr>
          <w:rFonts w:cstheme="minorHAnsi"/>
        </w:rPr>
        <w:t xml:space="preserve">. </w:t>
      </w:r>
    </w:p>
    <w:tbl>
      <w:tblPr>
        <w:tblStyle w:val="ListTable1Light-Accent4"/>
        <w:tblW w:w="979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oposed timetable for implementation"/>
      </w:tblPr>
      <w:tblGrid>
        <w:gridCol w:w="2263"/>
        <w:gridCol w:w="7527"/>
      </w:tblGrid>
      <w:tr w:rsidR="00373650" w:rsidRPr="00CF39C8" w14:paraId="4C2DEE97" w14:textId="77777777" w:rsidTr="001955DC">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417A84" w:themeFill="accent5" w:themeFillShade="BF"/>
            <w:vAlign w:val="center"/>
          </w:tcPr>
          <w:p w14:paraId="6B5BBB55" w14:textId="77777777" w:rsidR="00373650" w:rsidRPr="00CF39C8" w:rsidRDefault="00373650" w:rsidP="001273DC">
            <w:pPr>
              <w:rPr>
                <w:rFonts w:cstheme="minorHAnsi"/>
                <w:color w:val="FFFFFF" w:themeColor="background1"/>
              </w:rPr>
            </w:pPr>
            <w:r w:rsidRPr="00CF39C8">
              <w:rPr>
                <w:rFonts w:cstheme="minorHAnsi"/>
                <w:color w:val="FFFFFF" w:themeColor="background1"/>
              </w:rPr>
              <w:t>Date</w:t>
            </w:r>
          </w:p>
        </w:tc>
        <w:tc>
          <w:tcPr>
            <w:tcW w:w="7527" w:type="dxa"/>
            <w:tcBorders>
              <w:bottom w:val="none" w:sz="0" w:space="0" w:color="auto"/>
            </w:tcBorders>
            <w:shd w:val="clear" w:color="auto" w:fill="417A84" w:themeFill="accent5" w:themeFillShade="BF"/>
            <w:vAlign w:val="center"/>
          </w:tcPr>
          <w:p w14:paraId="392E9C46" w14:textId="77777777" w:rsidR="00373650" w:rsidRPr="00CF39C8" w:rsidRDefault="00373650" w:rsidP="001273DC">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CF39C8">
              <w:rPr>
                <w:rFonts w:cstheme="minorHAnsi"/>
                <w:color w:val="FFFFFF" w:themeColor="background1"/>
              </w:rPr>
              <w:t>Milestone</w:t>
            </w:r>
          </w:p>
        </w:tc>
      </w:tr>
      <w:tr w:rsidR="00604A87" w:rsidRPr="00CF39C8" w14:paraId="2539BBFC"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926E36F" w14:textId="77777777" w:rsidR="00604A87" w:rsidRPr="00CF39C8" w:rsidRDefault="00604A87" w:rsidP="00604A87">
            <w:pPr>
              <w:rPr>
                <w:rFonts w:cstheme="minorHAnsi"/>
              </w:rPr>
            </w:pPr>
            <w:r w:rsidRPr="00CF39C8">
              <w:rPr>
                <w:rFonts w:cstheme="minorHAnsi"/>
              </w:rPr>
              <w:t>June 2024</w:t>
            </w:r>
          </w:p>
        </w:tc>
        <w:tc>
          <w:tcPr>
            <w:tcW w:w="7527" w:type="dxa"/>
            <w:shd w:val="clear" w:color="auto" w:fill="auto"/>
            <w:vAlign w:val="center"/>
          </w:tcPr>
          <w:p w14:paraId="03EFE53B" w14:textId="77777777" w:rsidR="00604A87" w:rsidRPr="00CF39C8"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Setting up the Regulator and the supporting IT systems commences.</w:t>
            </w:r>
          </w:p>
        </w:tc>
      </w:tr>
      <w:tr w:rsidR="00604A87" w:rsidRPr="00CF39C8" w14:paraId="7B733F5A"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2ED8B30" w14:textId="77777777" w:rsidR="00604A87" w:rsidRPr="00CF39C8" w:rsidRDefault="00604A87" w:rsidP="00604A87">
            <w:pPr>
              <w:rPr>
                <w:rFonts w:cstheme="minorHAnsi"/>
              </w:rPr>
            </w:pPr>
            <w:r w:rsidRPr="00CF39C8">
              <w:rPr>
                <w:rFonts w:cstheme="minorHAnsi"/>
              </w:rPr>
              <w:t>~October 2024</w:t>
            </w:r>
          </w:p>
        </w:tc>
        <w:tc>
          <w:tcPr>
            <w:tcW w:w="7527" w:type="dxa"/>
            <w:shd w:val="clear" w:color="auto" w:fill="auto"/>
            <w:vAlign w:val="center"/>
          </w:tcPr>
          <w:p w14:paraId="5E0185B4" w14:textId="77777777" w:rsidR="00604A87" w:rsidRPr="00CF39C8"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Voluntary regulatory IT testing trial begins.</w:t>
            </w:r>
          </w:p>
        </w:tc>
      </w:tr>
      <w:tr w:rsidR="00604A87" w:rsidRPr="00CF39C8" w14:paraId="7E457227"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F524E4B" w14:textId="77777777" w:rsidR="00604A87" w:rsidRPr="00CF39C8" w:rsidRDefault="00604A87" w:rsidP="00604A87">
            <w:pPr>
              <w:rPr>
                <w:rFonts w:cstheme="minorHAnsi"/>
              </w:rPr>
            </w:pPr>
            <w:r w:rsidRPr="00CF39C8">
              <w:rPr>
                <w:rFonts w:cstheme="minorHAnsi"/>
              </w:rPr>
              <w:t>January 2025</w:t>
            </w:r>
          </w:p>
        </w:tc>
        <w:tc>
          <w:tcPr>
            <w:tcW w:w="7527" w:type="dxa"/>
            <w:shd w:val="clear" w:color="auto" w:fill="auto"/>
          </w:tcPr>
          <w:p w14:paraId="63924A9E" w14:textId="77777777" w:rsidR="00604A87" w:rsidRPr="00CF39C8"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w:t>
            </w:r>
            <w:r>
              <w:rPr>
                <w:rFonts w:asciiTheme="majorHAnsi" w:hAnsiTheme="majorHAnsi" w:cstheme="majorHAnsi"/>
              </w:rPr>
              <w:t>NVES</w:t>
            </w:r>
            <w:r>
              <w:rPr>
                <w:rFonts w:cstheme="minorHAnsi"/>
                <w:color w:val="000000"/>
              </w:rPr>
              <w:t xml:space="preserve">-enabling legislation and headline targets commence from 1 January 2025. </w:t>
            </w:r>
          </w:p>
        </w:tc>
      </w:tr>
      <w:tr w:rsidR="00604A87" w:rsidRPr="00CF39C8" w14:paraId="298319CB"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9392B71" w14:textId="77777777" w:rsidR="00604A87" w:rsidRPr="00CF39C8" w:rsidRDefault="00604A87" w:rsidP="00604A87">
            <w:pPr>
              <w:rPr>
                <w:rFonts w:cstheme="minorHAnsi"/>
              </w:rPr>
            </w:pPr>
            <w:r w:rsidRPr="001955DC">
              <w:rPr>
                <w:rFonts w:cstheme="minorHAnsi"/>
              </w:rPr>
              <w:t>July 2025</w:t>
            </w:r>
          </w:p>
        </w:tc>
        <w:tc>
          <w:tcPr>
            <w:tcW w:w="7527" w:type="dxa"/>
            <w:shd w:val="clear" w:color="auto" w:fill="auto"/>
          </w:tcPr>
          <w:p w14:paraId="31446FD5" w14:textId="77777777" w:rsidR="00604A87" w:rsidRPr="00556FBD"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Performance against targets assessed for 6-month period only. Regulatory data is collected on an ongoing and continuous basis, subject to IT implementation.</w:t>
            </w:r>
          </w:p>
        </w:tc>
      </w:tr>
      <w:tr w:rsidR="00604A87" w:rsidRPr="00CF39C8" w14:paraId="6C1308F3"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5814B4D" w14:textId="77777777" w:rsidR="00604A87" w:rsidRPr="00CF39C8" w:rsidRDefault="00604A87" w:rsidP="00604A87">
            <w:pPr>
              <w:rPr>
                <w:rFonts w:cstheme="minorHAnsi"/>
              </w:rPr>
            </w:pPr>
            <w:r w:rsidRPr="00CF39C8">
              <w:rPr>
                <w:rFonts w:cstheme="minorHAnsi"/>
                <w:color w:val="000000"/>
              </w:rPr>
              <w:t xml:space="preserve">End December 2025 </w:t>
            </w:r>
          </w:p>
        </w:tc>
        <w:tc>
          <w:tcPr>
            <w:tcW w:w="7527" w:type="dxa"/>
            <w:shd w:val="clear" w:color="auto" w:fill="auto"/>
          </w:tcPr>
          <w:p w14:paraId="6C32988B" w14:textId="77777777" w:rsidR="00604A87" w:rsidRPr="00556FBD"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first regulatory period ends. </w:t>
            </w:r>
          </w:p>
        </w:tc>
      </w:tr>
      <w:tr w:rsidR="00604A87" w:rsidRPr="00CF39C8" w14:paraId="7962F2B7"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14B473E" w14:textId="77777777" w:rsidR="00604A87" w:rsidRPr="00CF39C8" w:rsidRDefault="00604A87" w:rsidP="00604A87">
            <w:pPr>
              <w:rPr>
                <w:rFonts w:cstheme="minorHAnsi"/>
              </w:rPr>
            </w:pPr>
            <w:r w:rsidRPr="00CF39C8">
              <w:rPr>
                <w:rFonts w:cstheme="minorHAnsi"/>
              </w:rPr>
              <w:t>1 January 2026</w:t>
            </w:r>
          </w:p>
        </w:tc>
        <w:tc>
          <w:tcPr>
            <w:tcW w:w="7527" w:type="dxa"/>
            <w:shd w:val="clear" w:color="auto" w:fill="auto"/>
          </w:tcPr>
          <w:p w14:paraId="2FF8DDD5" w14:textId="77777777" w:rsidR="00604A87" w:rsidRPr="00556FBD"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The second regulatory period commences on 1 January 2026 and performance against targets assessed for each 12-month calendar period after.</w:t>
            </w:r>
          </w:p>
        </w:tc>
      </w:tr>
      <w:tr w:rsidR="00604A87" w:rsidRPr="00CF39C8" w14:paraId="259D1BE3"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4065B7A" w14:textId="77777777" w:rsidR="00604A87" w:rsidRPr="00CF39C8" w:rsidRDefault="00604A87" w:rsidP="00604A87">
            <w:pPr>
              <w:rPr>
                <w:rFonts w:cstheme="minorHAnsi"/>
              </w:rPr>
            </w:pPr>
            <w:r w:rsidRPr="00CF39C8">
              <w:rPr>
                <w:rFonts w:cstheme="minorHAnsi"/>
              </w:rPr>
              <w:t>1 February 2026</w:t>
            </w:r>
          </w:p>
        </w:tc>
        <w:tc>
          <w:tcPr>
            <w:tcW w:w="7527" w:type="dxa"/>
            <w:shd w:val="clear" w:color="auto" w:fill="auto"/>
          </w:tcPr>
          <w:p w14:paraId="62F0410B" w14:textId="77777777" w:rsidR="00604A87"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First date of reconciliation. </w:t>
            </w:r>
          </w:p>
          <w:p w14:paraId="35FC2826" w14:textId="0AB0EE63" w:rsidR="00604A87" w:rsidRPr="00CF39C8" w:rsidRDefault="00604A87" w:rsidP="00DD227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During this month the Department will publish a report showing each supplier’s position for 2025. The Department will issue credits to each entity that has a negative IEV for 2025. Trading and exchange of credits from 2025 commences.</w:t>
            </w:r>
          </w:p>
        </w:tc>
      </w:tr>
      <w:tr w:rsidR="00604A87" w:rsidRPr="00CF39C8" w14:paraId="2160FC21"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743A464" w14:textId="77777777" w:rsidR="00604A87" w:rsidRPr="00CF39C8" w:rsidRDefault="00604A87" w:rsidP="00604A87">
            <w:pPr>
              <w:rPr>
                <w:rFonts w:cstheme="minorHAnsi"/>
              </w:rPr>
            </w:pPr>
            <w:r w:rsidRPr="00CF39C8">
              <w:rPr>
                <w:rFonts w:cstheme="minorHAnsi"/>
              </w:rPr>
              <w:t>End December 2026</w:t>
            </w:r>
          </w:p>
        </w:tc>
        <w:tc>
          <w:tcPr>
            <w:tcW w:w="7527" w:type="dxa"/>
            <w:shd w:val="clear" w:color="auto" w:fill="auto"/>
          </w:tcPr>
          <w:p w14:paraId="19064A66"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Second regulatory period ends. </w:t>
            </w:r>
          </w:p>
        </w:tc>
      </w:tr>
      <w:tr w:rsidR="00604A87" w:rsidRPr="00CF39C8" w14:paraId="0BC3945A"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0B545FF" w14:textId="77777777" w:rsidR="00604A87" w:rsidRPr="00CF39C8" w:rsidDel="004242AC" w:rsidRDefault="00604A87" w:rsidP="00604A87">
            <w:pPr>
              <w:rPr>
                <w:rFonts w:cstheme="minorHAnsi"/>
              </w:rPr>
            </w:pPr>
            <w:r w:rsidRPr="00CF39C8">
              <w:rPr>
                <w:rFonts w:cstheme="minorHAnsi"/>
              </w:rPr>
              <w:t>1 January 2027</w:t>
            </w:r>
          </w:p>
        </w:tc>
        <w:tc>
          <w:tcPr>
            <w:tcW w:w="7527" w:type="dxa"/>
            <w:shd w:val="clear" w:color="auto" w:fill="auto"/>
          </w:tcPr>
          <w:p w14:paraId="654B1077"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Third regulatory period commences 1 January 2027 and performance against targets assessed for the previous 12 months.</w:t>
            </w:r>
          </w:p>
        </w:tc>
      </w:tr>
      <w:tr w:rsidR="00604A87" w:rsidRPr="00CF39C8" w14:paraId="58BE3730"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91F027B" w14:textId="77777777" w:rsidR="00604A87" w:rsidRPr="00CF39C8" w:rsidRDefault="00604A87" w:rsidP="00604A87">
            <w:pPr>
              <w:rPr>
                <w:rFonts w:cstheme="minorHAnsi"/>
              </w:rPr>
            </w:pPr>
            <w:r w:rsidRPr="00CF39C8">
              <w:rPr>
                <w:rFonts w:cstheme="minorHAnsi"/>
              </w:rPr>
              <w:t>1 February 2027</w:t>
            </w:r>
          </w:p>
        </w:tc>
        <w:tc>
          <w:tcPr>
            <w:tcW w:w="7527" w:type="dxa"/>
            <w:shd w:val="clear" w:color="auto" w:fill="auto"/>
          </w:tcPr>
          <w:p w14:paraId="65AF14F4" w14:textId="77777777" w:rsidR="00604A87"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Second date of reconciliation.</w:t>
            </w:r>
          </w:p>
          <w:p w14:paraId="08C3C08B"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During this month the Department will publish a report showing each supplier’s position for 2026. The Department will issue credits to each entity that has a negative IEV for 2026. Trading and exchange of credits from 2026 commences.</w:t>
            </w:r>
          </w:p>
        </w:tc>
      </w:tr>
      <w:tr w:rsidR="00604A87" w:rsidRPr="00CF39C8" w14:paraId="5593FE0B"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4580A1A" w14:textId="77777777" w:rsidR="00604A87" w:rsidRPr="00CF39C8" w:rsidRDefault="00604A87" w:rsidP="00604A87">
            <w:pPr>
              <w:rPr>
                <w:rFonts w:cstheme="minorHAnsi"/>
              </w:rPr>
            </w:pPr>
            <w:r w:rsidRPr="00CF39C8">
              <w:rPr>
                <w:rFonts w:cstheme="minorHAnsi"/>
              </w:rPr>
              <w:t>End December 2027</w:t>
            </w:r>
          </w:p>
        </w:tc>
        <w:tc>
          <w:tcPr>
            <w:tcW w:w="7527" w:type="dxa"/>
            <w:shd w:val="clear" w:color="auto" w:fill="auto"/>
          </w:tcPr>
          <w:p w14:paraId="10883CDF"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Third regulatory period ends. </w:t>
            </w:r>
          </w:p>
        </w:tc>
      </w:tr>
      <w:tr w:rsidR="00604A87" w:rsidRPr="00CF39C8" w14:paraId="0F173CF8"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985CD54" w14:textId="77777777" w:rsidR="00604A87" w:rsidRPr="00CF39C8" w:rsidRDefault="00604A87" w:rsidP="00604A87">
            <w:pPr>
              <w:rPr>
                <w:rFonts w:cstheme="minorHAnsi"/>
              </w:rPr>
            </w:pPr>
            <w:r w:rsidRPr="00CF39C8">
              <w:rPr>
                <w:rFonts w:cstheme="minorHAnsi"/>
              </w:rPr>
              <w:t>1 January 2028</w:t>
            </w:r>
          </w:p>
        </w:tc>
        <w:tc>
          <w:tcPr>
            <w:tcW w:w="7527" w:type="dxa"/>
            <w:shd w:val="clear" w:color="auto" w:fill="auto"/>
          </w:tcPr>
          <w:p w14:paraId="0D22E77C"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Fourth regulatory period commences 1 January 2028 and performance against targets assessed for the previous 12 months.</w:t>
            </w:r>
          </w:p>
        </w:tc>
      </w:tr>
      <w:tr w:rsidR="00604A87" w:rsidRPr="00CF39C8" w14:paraId="0D15FE46"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98A9D0F" w14:textId="77777777" w:rsidR="00604A87" w:rsidRPr="00CF39C8" w:rsidRDefault="00604A87" w:rsidP="00604A87">
            <w:pPr>
              <w:rPr>
                <w:rFonts w:cstheme="minorHAnsi"/>
              </w:rPr>
            </w:pPr>
            <w:r w:rsidRPr="00CF39C8">
              <w:rPr>
                <w:rFonts w:cstheme="minorHAnsi"/>
              </w:rPr>
              <w:t>1 February 2028</w:t>
            </w:r>
          </w:p>
        </w:tc>
        <w:tc>
          <w:tcPr>
            <w:tcW w:w="7527" w:type="dxa"/>
            <w:shd w:val="clear" w:color="auto" w:fill="auto"/>
          </w:tcPr>
          <w:p w14:paraId="25B80D4F" w14:textId="77777777" w:rsidR="00604A87"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Third date of maturity. During this month the Department will publish a report showing each supplier’s position for 2026. The Department will issue credits to each entity that has a negative IEV for 2027. </w:t>
            </w:r>
          </w:p>
          <w:p w14:paraId="20E366C5" w14:textId="77777777" w:rsidR="00604A87"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Trading and exchange of credits from 2027 commences.</w:t>
            </w:r>
          </w:p>
          <w:p w14:paraId="4EEA4997"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IEVs from 1 Feb 2026 that remain positive after trading come to fruition (as a Final Emissions Value) and a penalty is determined. </w:t>
            </w:r>
          </w:p>
        </w:tc>
      </w:tr>
      <w:tr w:rsidR="00604A87" w:rsidRPr="00CF39C8" w14:paraId="206A563A"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FC883CC" w14:textId="77777777" w:rsidR="00604A87" w:rsidRPr="00CF39C8" w:rsidRDefault="00604A87" w:rsidP="00604A87">
            <w:pPr>
              <w:rPr>
                <w:rFonts w:cstheme="minorHAnsi"/>
              </w:rPr>
            </w:pPr>
            <w:r w:rsidRPr="00CF39C8">
              <w:rPr>
                <w:rFonts w:cstheme="minorHAnsi"/>
              </w:rPr>
              <w:t>1 February 2029</w:t>
            </w:r>
          </w:p>
        </w:tc>
        <w:tc>
          <w:tcPr>
            <w:tcW w:w="7527" w:type="dxa"/>
            <w:shd w:val="clear" w:color="auto" w:fill="auto"/>
          </w:tcPr>
          <w:p w14:paraId="6A74DDB5"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Unless extinguished prior, credits that were issued on 1 February 2026, expire. </w:t>
            </w:r>
          </w:p>
        </w:tc>
      </w:tr>
    </w:tbl>
    <w:p w14:paraId="2A7AB102" w14:textId="77777777" w:rsidR="00373650" w:rsidRPr="00CF39C8" w:rsidRDefault="00373650" w:rsidP="00373650">
      <w:pPr>
        <w:pStyle w:val="Caption"/>
      </w:pPr>
      <w:bookmarkStart w:id="564" w:name="_Ref153982646"/>
      <w:bookmarkStart w:id="565" w:name="_Toc149907252"/>
      <w:bookmarkStart w:id="566" w:name="_Toc161837795"/>
      <w:bookmarkStart w:id="567" w:name="_Toc161933241"/>
      <w:bookmarkStart w:id="568" w:name="_Toc163221140"/>
      <w:bookmarkStart w:id="569" w:name="_Toc148362169"/>
      <w:bookmarkStart w:id="570" w:name="_Toc148362642"/>
      <w:bookmarkStart w:id="571" w:name="_Toc148361205"/>
      <w:bookmarkStart w:id="572" w:name="_Toc146622501"/>
      <w:bookmarkEnd w:id="562"/>
      <w:r w:rsidRPr="00CF39C8">
        <w:t xml:space="preserve">Table </w:t>
      </w:r>
      <w:bookmarkEnd w:id="564"/>
      <w:r w:rsidR="006C6B3E">
        <w:t>2</w:t>
      </w:r>
      <w:r w:rsidR="00C6227F">
        <w:t>0</w:t>
      </w:r>
      <w:r w:rsidRPr="00CF39C8">
        <w:t xml:space="preserve"> </w:t>
      </w:r>
      <w:r w:rsidRPr="00CF39C8">
        <w:rPr>
          <w:b w:val="0"/>
        </w:rPr>
        <w:t>– Proposed timetable</w:t>
      </w:r>
      <w:bookmarkEnd w:id="565"/>
      <w:r w:rsidR="001D1FBD" w:rsidRPr="00CF39C8">
        <w:rPr>
          <w:b w:val="0"/>
        </w:rPr>
        <w:t xml:space="preserve"> for implementation</w:t>
      </w:r>
      <w:bookmarkEnd w:id="566"/>
      <w:bookmarkEnd w:id="567"/>
      <w:bookmarkEnd w:id="568"/>
    </w:p>
    <w:bookmarkEnd w:id="569"/>
    <w:bookmarkEnd w:id="570"/>
    <w:bookmarkEnd w:id="571"/>
    <w:p w14:paraId="3FE56D92" w14:textId="77777777" w:rsidR="00373650" w:rsidRPr="00CF39C8" w:rsidRDefault="00373650" w:rsidP="00373650">
      <w:pPr>
        <w:rPr>
          <w:rFonts w:cstheme="minorHAnsi"/>
        </w:rPr>
      </w:pPr>
    </w:p>
    <w:p w14:paraId="5FA95DB1" w14:textId="77777777" w:rsidR="00373650" w:rsidRPr="00CF39C8" w:rsidRDefault="00373650" w:rsidP="00430317">
      <w:pPr>
        <w:pStyle w:val="Heading2"/>
        <w:numPr>
          <w:ilvl w:val="1"/>
          <w:numId w:val="65"/>
        </w:numPr>
        <w:ind w:hanging="792"/>
      </w:pPr>
      <w:bookmarkStart w:id="573" w:name="_Toc161837689"/>
      <w:bookmarkStart w:id="574" w:name="_Toc161933186"/>
      <w:bookmarkStart w:id="575" w:name="_Toc162276495"/>
      <w:bookmarkStart w:id="576" w:name="_Toc163221089"/>
      <w:r w:rsidRPr="00CF39C8">
        <w:t>Implementation challenges and impacts</w:t>
      </w:r>
      <w:bookmarkEnd w:id="573"/>
      <w:bookmarkEnd w:id="574"/>
      <w:bookmarkEnd w:id="575"/>
      <w:bookmarkEnd w:id="576"/>
      <w:r w:rsidRPr="00CF39C8">
        <w:t xml:space="preserve"> </w:t>
      </w:r>
      <w:bookmarkEnd w:id="572"/>
    </w:p>
    <w:p w14:paraId="7F7C3F77" w14:textId="77777777" w:rsidR="00373650" w:rsidRPr="00CF39C8" w:rsidRDefault="00373650" w:rsidP="00373650">
      <w:pPr>
        <w:rPr>
          <w:rFonts w:cstheme="minorHAnsi"/>
        </w:rPr>
      </w:pPr>
      <w:r w:rsidRPr="00CF39C8">
        <w:rPr>
          <w:rFonts w:cstheme="minorHAnsi"/>
        </w:rPr>
        <w:t xml:space="preserve">The implementation of a </w:t>
      </w:r>
      <w:r w:rsidR="006D4EF3" w:rsidRPr="00CF39C8">
        <w:rPr>
          <w:rFonts w:asciiTheme="majorHAnsi" w:hAnsiTheme="majorHAnsi" w:cstheme="majorHAnsi"/>
        </w:rPr>
        <w:t>NVES</w:t>
      </w:r>
      <w:r w:rsidRPr="00CF39C8">
        <w:rPr>
          <w:rFonts w:cstheme="minorHAnsi"/>
        </w:rPr>
        <w:t xml:space="preserve"> has a number of associated challenges and impacts</w:t>
      </w:r>
      <w:r w:rsidR="00DA1707" w:rsidRPr="00CF39C8">
        <w:rPr>
          <w:rFonts w:cstheme="minorHAnsi"/>
        </w:rPr>
        <w:t>. These</w:t>
      </w:r>
      <w:r w:rsidRPr="00CF39C8">
        <w:rPr>
          <w:rFonts w:cstheme="minorHAnsi"/>
        </w:rPr>
        <w:t xml:space="preserve"> relate to obtaining regulatory data from a diverse range of stakeholders, design of the regulator, and supporting systems.</w:t>
      </w:r>
      <w:r w:rsidR="00215907" w:rsidRPr="00CF39C8">
        <w:rPr>
          <w:rFonts w:cstheme="minorHAnsi"/>
        </w:rPr>
        <w:t xml:space="preserve"> </w:t>
      </w:r>
      <w:r w:rsidRPr="00CF39C8">
        <w:rPr>
          <w:rFonts w:cstheme="minorHAnsi"/>
        </w:rPr>
        <w:t>Implementation timing to achieve a 1 January 2025 commencement is a key constraint</w:t>
      </w:r>
      <w:r w:rsidR="004F1433" w:rsidRPr="00CF39C8">
        <w:rPr>
          <w:rFonts w:cstheme="minorHAnsi"/>
        </w:rPr>
        <w:t>.</w:t>
      </w:r>
      <w:r w:rsidR="00215907" w:rsidRPr="00CF39C8">
        <w:rPr>
          <w:rFonts w:cstheme="minorHAnsi"/>
        </w:rPr>
        <w:t xml:space="preserve"> There </w:t>
      </w:r>
      <w:r w:rsidR="00DA1707" w:rsidRPr="00CF39C8">
        <w:rPr>
          <w:rFonts w:cstheme="minorHAnsi"/>
        </w:rPr>
        <w:t>are</w:t>
      </w:r>
      <w:r w:rsidR="00215907" w:rsidRPr="00CF39C8">
        <w:rPr>
          <w:rFonts w:cstheme="minorHAnsi"/>
        </w:rPr>
        <w:t xml:space="preserve"> also a number of </w:t>
      </w:r>
      <w:r w:rsidR="00215907" w:rsidRPr="00CF39C8">
        <w:rPr>
          <w:rFonts w:asciiTheme="majorHAnsi" w:eastAsia="Times New Roman" w:hAnsiTheme="majorHAnsi" w:cstheme="majorHAnsi"/>
        </w:rPr>
        <w:t xml:space="preserve">barriers, raised </w:t>
      </w:r>
      <w:r w:rsidR="00DA1707" w:rsidRPr="00CF39C8">
        <w:rPr>
          <w:rFonts w:asciiTheme="majorHAnsi" w:eastAsia="Times New Roman" w:hAnsiTheme="majorHAnsi" w:cstheme="majorHAnsi"/>
        </w:rPr>
        <w:t xml:space="preserve">in </w:t>
      </w:r>
      <w:r w:rsidR="00DA1707" w:rsidRPr="00337833">
        <w:rPr>
          <w:rFonts w:asciiTheme="majorHAnsi" w:eastAsia="Times New Roman" w:hAnsiTheme="majorHAnsi" w:cstheme="majorHAnsi"/>
        </w:rPr>
        <w:t xml:space="preserve">section </w:t>
      </w:r>
      <w:r w:rsidR="00215907" w:rsidRPr="00337833">
        <w:rPr>
          <w:rFonts w:asciiTheme="majorHAnsi" w:eastAsia="Times New Roman" w:hAnsiTheme="majorHAnsi" w:cstheme="majorHAnsi"/>
        </w:rPr>
        <w:t>3.1.4</w:t>
      </w:r>
      <w:r w:rsidR="00DA1707" w:rsidRPr="00337833">
        <w:rPr>
          <w:rFonts w:asciiTheme="majorHAnsi" w:eastAsia="Times New Roman" w:hAnsiTheme="majorHAnsi" w:cstheme="majorHAnsi"/>
        </w:rPr>
        <w:t>,</w:t>
      </w:r>
      <w:r w:rsidR="00215907" w:rsidRPr="00CF39C8">
        <w:rPr>
          <w:rFonts w:asciiTheme="majorHAnsi" w:eastAsia="Times New Roman" w:hAnsiTheme="majorHAnsi" w:cstheme="majorHAnsi"/>
        </w:rPr>
        <w:t xml:space="preserve"> that could give rise to challenges in achieving the Government’s policy objectives.</w:t>
      </w:r>
      <w:r w:rsidR="001E25FA" w:rsidRPr="00CF39C8">
        <w:rPr>
          <w:rFonts w:cstheme="minorHAnsi"/>
        </w:rPr>
        <w:t xml:space="preserve"> </w:t>
      </w:r>
      <w:r w:rsidRPr="00CF39C8">
        <w:rPr>
          <w:rFonts w:cstheme="minorHAnsi"/>
        </w:rPr>
        <w:t>The identified transitional</w:t>
      </w:r>
      <w:r w:rsidR="002749CA" w:rsidRPr="00CF39C8">
        <w:rPr>
          <w:rFonts w:cstheme="minorHAnsi"/>
        </w:rPr>
        <w:t xml:space="preserve">, intermediate and </w:t>
      </w:r>
      <w:r w:rsidRPr="00CF39C8">
        <w:rPr>
          <w:rFonts w:cstheme="minorHAnsi"/>
        </w:rPr>
        <w:t>ongoing implementation challenges include:</w:t>
      </w:r>
    </w:p>
    <w:p w14:paraId="5C9BB536" w14:textId="77777777" w:rsidR="00373650" w:rsidRPr="00CF39C8" w:rsidRDefault="00373650" w:rsidP="00C80EEF">
      <w:pPr>
        <w:pStyle w:val="ListParagraph"/>
        <w:spacing w:before="240"/>
        <w:ind w:left="0"/>
        <w:rPr>
          <w:rFonts w:cstheme="minorHAnsi"/>
          <w:b/>
          <w:i/>
        </w:rPr>
      </w:pPr>
      <w:r w:rsidRPr="00CF39C8">
        <w:rPr>
          <w:rFonts w:cstheme="minorHAnsi"/>
          <w:b/>
          <w:i/>
        </w:rPr>
        <w:t>Immediate transitional challenges</w:t>
      </w:r>
    </w:p>
    <w:p w14:paraId="5C83B18E" w14:textId="77777777" w:rsidR="00604A87" w:rsidRDefault="00604A87" w:rsidP="00604A87">
      <w:pPr>
        <w:pStyle w:val="ListParagraph"/>
        <w:numPr>
          <w:ilvl w:val="0"/>
          <w:numId w:val="23"/>
        </w:numPr>
        <w:rPr>
          <w:rFonts w:cstheme="minorHAnsi"/>
        </w:rPr>
      </w:pPr>
      <w:r>
        <w:rPr>
          <w:rFonts w:cstheme="minorHAnsi"/>
        </w:rPr>
        <w:t>Implementation will be phased so that IEVs for 2025 only apply from 1 July to 31 December 2025;</w:t>
      </w:r>
    </w:p>
    <w:p w14:paraId="433F85BA" w14:textId="77777777" w:rsidR="00557179" w:rsidRDefault="004841D9" w:rsidP="00430317">
      <w:pPr>
        <w:pStyle w:val="ListParagraph"/>
        <w:numPr>
          <w:ilvl w:val="0"/>
          <w:numId w:val="23"/>
        </w:numPr>
        <w:rPr>
          <w:rFonts w:cstheme="minorHAnsi"/>
        </w:rPr>
      </w:pPr>
      <w:r>
        <w:rPr>
          <w:rFonts w:cstheme="minorHAnsi"/>
        </w:rPr>
        <w:t>.</w:t>
      </w:r>
    </w:p>
    <w:p w14:paraId="76FA150C" w14:textId="77777777" w:rsidR="00373650" w:rsidRPr="00CF39C8" w:rsidRDefault="00373650" w:rsidP="00430317">
      <w:pPr>
        <w:pStyle w:val="ListParagraph"/>
        <w:numPr>
          <w:ilvl w:val="0"/>
          <w:numId w:val="23"/>
        </w:numPr>
        <w:rPr>
          <w:rFonts w:cstheme="minorHAnsi"/>
        </w:rPr>
      </w:pPr>
      <w:r w:rsidRPr="00CF39C8">
        <w:rPr>
          <w:rFonts w:cstheme="minorHAnsi"/>
        </w:rPr>
        <w:t xml:space="preserve">Establishing data needs, appropriate ongoing data collection, storage and access, while minimising burden as much as possible </w:t>
      </w:r>
      <w:r w:rsidR="00DA1707" w:rsidRPr="00CF39C8">
        <w:rPr>
          <w:rFonts w:asciiTheme="majorHAnsi" w:eastAsia="Times New Roman" w:hAnsiTheme="majorHAnsi" w:cstheme="majorHAnsi"/>
        </w:rPr>
        <w:t>and</w:t>
      </w:r>
      <w:r w:rsidRPr="00CF39C8">
        <w:rPr>
          <w:rFonts w:cstheme="minorHAnsi"/>
        </w:rPr>
        <w:t xml:space="preserve"> still meeting </w:t>
      </w:r>
      <w:r w:rsidR="006D4EF3" w:rsidRPr="00CF39C8">
        <w:rPr>
          <w:rFonts w:asciiTheme="majorHAnsi" w:hAnsiTheme="majorHAnsi" w:cstheme="majorHAnsi"/>
        </w:rPr>
        <w:t>NVES</w:t>
      </w:r>
      <w:r w:rsidRPr="00CF39C8">
        <w:rPr>
          <w:rFonts w:cstheme="minorHAnsi"/>
        </w:rPr>
        <w:t xml:space="preserve"> requirements;</w:t>
      </w:r>
    </w:p>
    <w:p w14:paraId="73065D73" w14:textId="77777777" w:rsidR="00373650" w:rsidRPr="00CF39C8" w:rsidRDefault="00373650" w:rsidP="00430317">
      <w:pPr>
        <w:pStyle w:val="ListParagraph"/>
        <w:numPr>
          <w:ilvl w:val="0"/>
          <w:numId w:val="23"/>
        </w:numPr>
        <w:rPr>
          <w:rFonts w:cstheme="minorHAnsi"/>
        </w:rPr>
      </w:pPr>
      <w:r w:rsidRPr="00CF39C8">
        <w:rPr>
          <w:rFonts w:cstheme="minorHAnsi"/>
        </w:rPr>
        <w:t xml:space="preserve">Developing new </w:t>
      </w:r>
      <w:r w:rsidR="00DA1707" w:rsidRPr="00CF39C8">
        <w:rPr>
          <w:rFonts w:asciiTheme="majorHAnsi" w:eastAsia="Times New Roman" w:hAnsiTheme="majorHAnsi" w:cstheme="majorHAnsi"/>
        </w:rPr>
        <w:t>IT systems</w:t>
      </w:r>
      <w:r w:rsidR="00DA1707" w:rsidRPr="00CF39C8">
        <w:rPr>
          <w:rFonts w:cstheme="minorHAnsi"/>
        </w:rPr>
        <w:t xml:space="preserve"> </w:t>
      </w:r>
      <w:r w:rsidRPr="00CF39C8">
        <w:rPr>
          <w:rFonts w:cstheme="minorHAnsi"/>
        </w:rPr>
        <w:t xml:space="preserve">and redeveloping existing </w:t>
      </w:r>
      <w:r w:rsidR="00DA1707" w:rsidRPr="00CF39C8">
        <w:rPr>
          <w:rFonts w:asciiTheme="majorHAnsi" w:eastAsia="Times New Roman" w:hAnsiTheme="majorHAnsi" w:cstheme="majorHAnsi"/>
        </w:rPr>
        <w:t>ones</w:t>
      </w:r>
      <w:r w:rsidRPr="00CF39C8">
        <w:rPr>
          <w:rFonts w:cstheme="minorHAnsi"/>
        </w:rPr>
        <w:t>,</w:t>
      </w:r>
      <w:r w:rsidR="00DA1707" w:rsidRPr="00CF39C8">
        <w:rPr>
          <w:rFonts w:cstheme="minorHAnsi"/>
        </w:rPr>
        <w:t xml:space="preserve"> including</w:t>
      </w:r>
      <w:r w:rsidR="00761F7B" w:rsidRPr="00CF39C8">
        <w:rPr>
          <w:rFonts w:cstheme="minorHAnsi"/>
        </w:rPr>
        <w:t>:</w:t>
      </w:r>
      <w:r w:rsidRPr="00CF39C8">
        <w:rPr>
          <w:rFonts w:cstheme="minorHAnsi"/>
        </w:rPr>
        <w:t xml:space="preserve"> integration and testing, integrating them with industry systems</w:t>
      </w:r>
      <w:r w:rsidR="00DA1707" w:rsidRPr="00CF39C8">
        <w:rPr>
          <w:rFonts w:cstheme="minorHAnsi"/>
        </w:rPr>
        <w:t xml:space="preserve">, and </w:t>
      </w:r>
      <w:r w:rsidRPr="00CF39C8">
        <w:rPr>
          <w:rFonts w:cstheme="minorHAnsi"/>
        </w:rPr>
        <w:t>ensur</w:t>
      </w:r>
      <w:r w:rsidR="00DA1707" w:rsidRPr="00CF39C8">
        <w:rPr>
          <w:rFonts w:cstheme="minorHAnsi"/>
        </w:rPr>
        <w:t>ing</w:t>
      </w:r>
      <w:r w:rsidRPr="00CF39C8">
        <w:rPr>
          <w:rFonts w:cstheme="minorHAnsi"/>
        </w:rPr>
        <w:t xml:space="preserve"> their useability – all within a tight timeframe following the passage of legislation;</w:t>
      </w:r>
    </w:p>
    <w:p w14:paraId="563BFACA" w14:textId="77777777" w:rsidR="00373650" w:rsidRPr="00CF39C8" w:rsidRDefault="00373650" w:rsidP="00430317">
      <w:pPr>
        <w:pStyle w:val="ListParagraph"/>
        <w:numPr>
          <w:ilvl w:val="0"/>
          <w:numId w:val="23"/>
        </w:numPr>
        <w:rPr>
          <w:rFonts w:cstheme="minorHAnsi"/>
        </w:rPr>
      </w:pPr>
      <w:r w:rsidRPr="00CF39C8">
        <w:rPr>
          <w:rFonts w:cstheme="minorHAnsi"/>
        </w:rPr>
        <w:t xml:space="preserve">Establishing the </w:t>
      </w:r>
      <w:r w:rsidR="00BA4CF7" w:rsidRPr="00CF39C8">
        <w:rPr>
          <w:rFonts w:cstheme="minorHAnsi"/>
        </w:rPr>
        <w:t>R</w:t>
      </w:r>
      <w:r w:rsidR="001E25FA" w:rsidRPr="00CF39C8">
        <w:rPr>
          <w:rFonts w:cstheme="minorHAnsi"/>
        </w:rPr>
        <w:t>egulator</w:t>
      </w:r>
      <w:r w:rsidRPr="00CF39C8">
        <w:rPr>
          <w:rFonts w:cstheme="minorHAnsi"/>
        </w:rPr>
        <w:t xml:space="preserve"> with the right settings and functions in a short timeframe after passage of the enabling legislation;</w:t>
      </w:r>
      <w:r w:rsidR="001F6F71" w:rsidRPr="00CF39C8">
        <w:rPr>
          <w:rFonts w:cstheme="minorHAnsi"/>
        </w:rPr>
        <w:t xml:space="preserve"> and</w:t>
      </w:r>
    </w:p>
    <w:p w14:paraId="5610F485" w14:textId="77777777" w:rsidR="007D23E9" w:rsidRPr="00CF39C8" w:rsidRDefault="00215907" w:rsidP="00430317">
      <w:pPr>
        <w:pStyle w:val="ListParagraph"/>
        <w:numPr>
          <w:ilvl w:val="0"/>
          <w:numId w:val="23"/>
        </w:numPr>
        <w:rPr>
          <w:rFonts w:asciiTheme="majorHAnsi" w:eastAsia="Times New Roman" w:hAnsiTheme="majorHAnsi" w:cstheme="majorHAnsi"/>
          <w:b/>
        </w:rPr>
      </w:pPr>
      <w:r w:rsidRPr="00CF39C8">
        <w:rPr>
          <w:rFonts w:asciiTheme="majorHAnsi" w:eastAsia="Times New Roman" w:hAnsiTheme="majorHAnsi" w:cstheme="majorHAnsi"/>
        </w:rPr>
        <w:t xml:space="preserve">Developing solutions to overcome infrastructure limitations </w:t>
      </w:r>
      <w:r w:rsidR="00DA1707" w:rsidRPr="00CF39C8">
        <w:rPr>
          <w:rFonts w:asciiTheme="majorHAnsi" w:eastAsia="Times New Roman" w:hAnsiTheme="majorHAnsi" w:cstheme="majorHAnsi"/>
        </w:rPr>
        <w:t>that could result</w:t>
      </w:r>
      <w:r w:rsidRPr="00CF39C8">
        <w:rPr>
          <w:rFonts w:asciiTheme="majorHAnsi" w:eastAsia="Times New Roman" w:hAnsiTheme="majorHAnsi" w:cstheme="majorHAnsi"/>
        </w:rPr>
        <w:t xml:space="preserve"> in barrier</w:t>
      </w:r>
      <w:r w:rsidR="00DA1707" w:rsidRPr="00CF39C8">
        <w:rPr>
          <w:rFonts w:asciiTheme="majorHAnsi" w:eastAsia="Times New Roman" w:hAnsiTheme="majorHAnsi" w:cstheme="majorHAnsi"/>
        </w:rPr>
        <w:t>s</w:t>
      </w:r>
      <w:r w:rsidRPr="00CF39C8">
        <w:rPr>
          <w:rFonts w:asciiTheme="majorHAnsi" w:eastAsia="Times New Roman" w:hAnsiTheme="majorHAnsi" w:cstheme="majorHAnsi"/>
        </w:rPr>
        <w:t xml:space="preserve"> for consumer uptake, including the lack of charging infrastructure for electric vehicles and the limited availability of alternative fuels</w:t>
      </w:r>
      <w:r w:rsidR="007D23E9" w:rsidRPr="00CF39C8">
        <w:rPr>
          <w:rFonts w:asciiTheme="majorHAnsi" w:eastAsia="Times New Roman" w:hAnsiTheme="majorHAnsi" w:cstheme="majorHAnsi"/>
        </w:rPr>
        <w:t>.</w:t>
      </w:r>
    </w:p>
    <w:p w14:paraId="638163B0" w14:textId="77777777" w:rsidR="00373650" w:rsidRPr="00CF39C8" w:rsidRDefault="00373650" w:rsidP="00373650">
      <w:pPr>
        <w:pStyle w:val="ListParagraph"/>
        <w:ind w:left="0"/>
        <w:rPr>
          <w:rFonts w:cstheme="minorHAnsi"/>
          <w:b/>
          <w:i/>
        </w:rPr>
      </w:pPr>
    </w:p>
    <w:p w14:paraId="75DA3AD0" w14:textId="77777777" w:rsidR="00C80EEF" w:rsidRPr="00CF39C8" w:rsidRDefault="00C80EEF" w:rsidP="00C80EEF">
      <w:pPr>
        <w:pStyle w:val="ListParagraph"/>
        <w:spacing w:before="240"/>
        <w:ind w:left="0"/>
        <w:rPr>
          <w:rFonts w:cstheme="minorHAnsi"/>
          <w:b/>
          <w:i/>
        </w:rPr>
      </w:pPr>
      <w:r w:rsidRPr="00CF39C8">
        <w:rPr>
          <w:rFonts w:cstheme="minorHAnsi"/>
          <w:b/>
          <w:i/>
        </w:rPr>
        <w:t>Intermediate and ongoing higher-level challenges</w:t>
      </w:r>
    </w:p>
    <w:p w14:paraId="500F42A2" w14:textId="77777777" w:rsidR="00373650" w:rsidRPr="00CF39C8" w:rsidRDefault="00373650" w:rsidP="00430317">
      <w:pPr>
        <w:pStyle w:val="ListParagraph"/>
        <w:numPr>
          <w:ilvl w:val="0"/>
          <w:numId w:val="22"/>
        </w:numPr>
        <w:spacing w:before="240"/>
        <w:rPr>
          <w:rFonts w:cstheme="minorHAnsi"/>
        </w:rPr>
      </w:pPr>
      <w:r w:rsidRPr="00CF39C8">
        <w:rPr>
          <w:rFonts w:cstheme="minorHAnsi"/>
        </w:rPr>
        <w:t xml:space="preserve">Achieving positive compliance from regulated entities resulting in improved emissions outcomes; </w:t>
      </w:r>
    </w:p>
    <w:p w14:paraId="747C3177" w14:textId="77777777" w:rsidR="00373650" w:rsidRPr="00CF39C8" w:rsidRDefault="00373650" w:rsidP="00430317">
      <w:pPr>
        <w:pStyle w:val="ListParagraph"/>
        <w:numPr>
          <w:ilvl w:val="0"/>
          <w:numId w:val="22"/>
        </w:numPr>
        <w:spacing w:before="240"/>
        <w:rPr>
          <w:rFonts w:cstheme="minorHAnsi"/>
        </w:rPr>
      </w:pPr>
      <w:r w:rsidRPr="00CF39C8">
        <w:rPr>
          <w:rFonts w:cstheme="minorHAnsi"/>
        </w:rPr>
        <w:t>Stakeholders trust</w:t>
      </w:r>
      <w:r w:rsidR="004A7292" w:rsidRPr="00CF39C8">
        <w:rPr>
          <w:rFonts w:cstheme="minorHAnsi"/>
        </w:rPr>
        <w:t>ing</w:t>
      </w:r>
      <w:r w:rsidRPr="00CF39C8">
        <w:rPr>
          <w:rFonts w:cstheme="minorHAnsi"/>
        </w:rPr>
        <w:t xml:space="preserve"> the results;</w:t>
      </w:r>
    </w:p>
    <w:p w14:paraId="5B82A2A8" w14:textId="77777777" w:rsidR="00475B75" w:rsidRPr="00CF39C8" w:rsidRDefault="00373650" w:rsidP="00430317">
      <w:pPr>
        <w:pStyle w:val="ListParagraph"/>
        <w:numPr>
          <w:ilvl w:val="0"/>
          <w:numId w:val="22"/>
        </w:numPr>
        <w:rPr>
          <w:rFonts w:cstheme="minorHAnsi"/>
        </w:rPr>
      </w:pPr>
      <w:r w:rsidRPr="00CF39C8">
        <w:rPr>
          <w:rFonts w:cstheme="minorHAnsi"/>
        </w:rPr>
        <w:t>Regulated entities trust</w:t>
      </w:r>
      <w:r w:rsidR="007E64A2" w:rsidRPr="00CF39C8">
        <w:rPr>
          <w:rFonts w:cstheme="minorHAnsi"/>
        </w:rPr>
        <w:t>ing</w:t>
      </w:r>
      <w:r w:rsidRPr="00CF39C8">
        <w:rPr>
          <w:rFonts w:cstheme="minorHAnsi"/>
        </w:rPr>
        <w:t xml:space="preserve"> the fleet limit </w:t>
      </w:r>
      <w:r w:rsidR="0094056A" w:rsidRPr="00CF39C8">
        <w:rPr>
          <w:rFonts w:cstheme="minorHAnsi"/>
        </w:rPr>
        <w:t xml:space="preserve">curve </w:t>
      </w:r>
      <w:r w:rsidRPr="00CF39C8">
        <w:rPr>
          <w:rFonts w:cstheme="minorHAnsi"/>
        </w:rPr>
        <w:t xml:space="preserve">calculations set for them and the </w:t>
      </w:r>
      <w:r w:rsidR="00BA4CF7" w:rsidRPr="00CF39C8">
        <w:rPr>
          <w:rFonts w:cstheme="minorHAnsi"/>
        </w:rPr>
        <w:t>R</w:t>
      </w:r>
      <w:r w:rsidRPr="00CF39C8">
        <w:rPr>
          <w:rFonts w:cstheme="minorHAnsi"/>
        </w:rPr>
        <w:t>egulator</w:t>
      </w:r>
      <w:r w:rsidR="00BA4CF7" w:rsidRPr="00CF39C8">
        <w:rPr>
          <w:rFonts w:cstheme="minorHAnsi"/>
        </w:rPr>
        <w:t>’s</w:t>
      </w:r>
      <w:r w:rsidRPr="00CF39C8">
        <w:rPr>
          <w:rFonts w:cstheme="minorHAnsi"/>
        </w:rPr>
        <w:t xml:space="preserve"> capabilities; </w:t>
      </w:r>
    </w:p>
    <w:p w14:paraId="3DA6EDC2" w14:textId="77777777" w:rsidR="00475B75" w:rsidRPr="00CF39C8" w:rsidRDefault="00475B75" w:rsidP="00430317">
      <w:pPr>
        <w:pStyle w:val="ListParagraph"/>
        <w:numPr>
          <w:ilvl w:val="0"/>
          <w:numId w:val="22"/>
        </w:numPr>
        <w:rPr>
          <w:rFonts w:cstheme="minorHAnsi"/>
        </w:rPr>
      </w:pPr>
      <w:r w:rsidRPr="00CF39C8">
        <w:rPr>
          <w:rFonts w:cstheme="minorHAnsi"/>
        </w:rPr>
        <w:t xml:space="preserve">Technology advancements and new innovations provide opportunities for fuel efficiency, and have limited hinderance on progress or existing technologies; </w:t>
      </w:r>
    </w:p>
    <w:p w14:paraId="47FC0670" w14:textId="77777777" w:rsidR="001F6F71" w:rsidRPr="00CF39C8" w:rsidRDefault="001F6F71" w:rsidP="00430317">
      <w:pPr>
        <w:pStyle w:val="ListParagraph"/>
        <w:numPr>
          <w:ilvl w:val="0"/>
          <w:numId w:val="22"/>
        </w:numPr>
        <w:rPr>
          <w:rFonts w:cstheme="minorHAnsi"/>
        </w:rPr>
      </w:pPr>
      <w:r w:rsidRPr="00CF39C8">
        <w:rPr>
          <w:rFonts w:asciiTheme="majorHAnsi" w:eastAsia="Times New Roman" w:hAnsiTheme="majorHAnsi" w:cstheme="majorHAnsi"/>
        </w:rPr>
        <w:t>Managing supply chain complexities for manufacturers</w:t>
      </w:r>
      <w:r w:rsidRPr="00CF39C8">
        <w:rPr>
          <w:rFonts w:asciiTheme="majorHAnsi" w:eastAsia="Times New Roman" w:hAnsiTheme="majorHAnsi" w:cstheme="majorHAnsi"/>
          <w:b/>
        </w:rPr>
        <w:t xml:space="preserve"> </w:t>
      </w:r>
      <w:r w:rsidRPr="00CF39C8">
        <w:rPr>
          <w:rFonts w:asciiTheme="majorHAnsi" w:eastAsia="Times New Roman" w:hAnsiTheme="majorHAnsi" w:cstheme="majorHAnsi"/>
        </w:rPr>
        <w:t>in relation to the critical minerals and other resources needed for the production of zero emissions vehicles. Contingency planning for any global instability that may have an adverse impact on supply of all vehicle types imported into Australia;</w:t>
      </w:r>
    </w:p>
    <w:p w14:paraId="2A8FE429" w14:textId="77777777" w:rsidR="00373650" w:rsidRPr="00CF39C8" w:rsidRDefault="00373650" w:rsidP="00430317">
      <w:pPr>
        <w:pStyle w:val="ListParagraph"/>
        <w:numPr>
          <w:ilvl w:val="0"/>
          <w:numId w:val="22"/>
        </w:numPr>
        <w:rPr>
          <w:rFonts w:cstheme="minorHAnsi"/>
        </w:rPr>
      </w:pPr>
      <w:r w:rsidRPr="00CF39C8">
        <w:rPr>
          <w:rFonts w:cstheme="minorHAnsi"/>
        </w:rPr>
        <w:t>The general public has confidence that the benefits will be realised</w:t>
      </w:r>
      <w:r w:rsidR="00475B75" w:rsidRPr="00CF39C8">
        <w:rPr>
          <w:rFonts w:cstheme="minorHAnsi"/>
        </w:rPr>
        <w:t>;</w:t>
      </w:r>
    </w:p>
    <w:p w14:paraId="6D30BAD4" w14:textId="77777777" w:rsidR="00475B75" w:rsidRPr="00CF39C8" w:rsidRDefault="00475B75" w:rsidP="00430317">
      <w:pPr>
        <w:pStyle w:val="ListParagraph"/>
        <w:numPr>
          <w:ilvl w:val="0"/>
          <w:numId w:val="22"/>
        </w:numPr>
        <w:rPr>
          <w:rFonts w:asciiTheme="majorHAnsi" w:eastAsia="Times New Roman" w:hAnsiTheme="majorHAnsi" w:cstheme="majorHAnsi"/>
        </w:rPr>
      </w:pPr>
      <w:r w:rsidRPr="00CF39C8">
        <w:rPr>
          <w:rFonts w:asciiTheme="majorHAnsi" w:eastAsia="Times New Roman" w:hAnsiTheme="majorHAnsi" w:cstheme="majorHAnsi"/>
        </w:rPr>
        <w:t>Australian consumers are aware and understand the fuel efficiency of cars as well as new zero emissions technology, without hesitation to take up new technology such as hybrids or electric vehicles; and</w:t>
      </w:r>
    </w:p>
    <w:p w14:paraId="017C513A" w14:textId="77777777" w:rsidR="00373650" w:rsidRPr="00CF39C8" w:rsidRDefault="00475B75" w:rsidP="00430317">
      <w:pPr>
        <w:pStyle w:val="ListParagraph"/>
        <w:numPr>
          <w:ilvl w:val="0"/>
          <w:numId w:val="22"/>
        </w:numPr>
        <w:rPr>
          <w:rFonts w:asciiTheme="majorHAnsi" w:eastAsia="Times New Roman" w:hAnsiTheme="majorHAnsi" w:cstheme="majorHAnsi"/>
        </w:rPr>
      </w:pPr>
      <w:r w:rsidRPr="00CF39C8">
        <w:rPr>
          <w:rFonts w:asciiTheme="majorHAnsi" w:eastAsia="Times New Roman" w:hAnsiTheme="majorHAnsi" w:cstheme="majorHAnsi"/>
        </w:rPr>
        <w:t>Communicating the long-term savings in fuel costs to consumers, despite an upfront and transitional increase in cost to the consumer in adopting fuel</w:t>
      </w:r>
      <w:r w:rsidR="00750F0B" w:rsidRPr="00CF39C8">
        <w:rPr>
          <w:rFonts w:asciiTheme="majorHAnsi" w:eastAsia="Times New Roman" w:hAnsiTheme="majorHAnsi" w:cstheme="majorHAnsi"/>
        </w:rPr>
        <w:t>-</w:t>
      </w:r>
      <w:r w:rsidRPr="00CF39C8">
        <w:rPr>
          <w:rFonts w:asciiTheme="majorHAnsi" w:eastAsia="Times New Roman" w:hAnsiTheme="majorHAnsi" w:cstheme="majorHAnsi"/>
        </w:rPr>
        <w:t>efficient vehicles and technology.</w:t>
      </w:r>
    </w:p>
    <w:p w14:paraId="1944DB70" w14:textId="77777777" w:rsidR="000706DD" w:rsidRPr="00CF39C8" w:rsidRDefault="000706DD" w:rsidP="000706DD">
      <w:pPr>
        <w:pStyle w:val="ListParagraph"/>
        <w:ind w:left="1080"/>
        <w:rPr>
          <w:rFonts w:asciiTheme="majorHAnsi" w:eastAsia="Times New Roman" w:hAnsiTheme="majorHAnsi" w:cstheme="majorHAnsi"/>
        </w:rPr>
      </w:pPr>
    </w:p>
    <w:p w14:paraId="01A32877" w14:textId="77777777" w:rsidR="00373650" w:rsidRPr="00CF39C8" w:rsidRDefault="00373650" w:rsidP="00373650">
      <w:pPr>
        <w:pStyle w:val="ListParagraph"/>
        <w:ind w:left="0"/>
        <w:rPr>
          <w:rFonts w:cstheme="minorHAnsi"/>
          <w:b/>
          <w:i/>
        </w:rPr>
      </w:pPr>
      <w:r w:rsidRPr="00CF39C8">
        <w:rPr>
          <w:rFonts w:cstheme="minorHAnsi"/>
          <w:b/>
          <w:i/>
        </w:rPr>
        <w:t>Support for industry</w:t>
      </w:r>
    </w:p>
    <w:p w14:paraId="6B5414DD" w14:textId="77777777" w:rsidR="00373650" w:rsidRPr="00CF39C8" w:rsidRDefault="00373650" w:rsidP="00475B75">
      <w:r w:rsidRPr="00CF39C8">
        <w:rPr>
          <w:rFonts w:cstheme="minorHAnsi"/>
        </w:rPr>
        <w:t xml:space="preserve">The implementation of a </w:t>
      </w:r>
      <w:r w:rsidR="006D4EF3" w:rsidRPr="00CF39C8">
        <w:rPr>
          <w:rFonts w:asciiTheme="majorHAnsi" w:hAnsiTheme="majorHAnsi" w:cstheme="majorHAnsi"/>
        </w:rPr>
        <w:t>NVES</w:t>
      </w:r>
      <w:r w:rsidRPr="00CF39C8">
        <w:rPr>
          <w:rFonts w:cstheme="minorHAnsi"/>
        </w:rPr>
        <w:t xml:space="preserve"> in Australia will require car manufacturing industries to meet new provisions including data supply to </w:t>
      </w:r>
      <w:r w:rsidR="002A61DA" w:rsidRPr="00CF39C8">
        <w:rPr>
          <w:rFonts w:cstheme="minorHAnsi"/>
        </w:rPr>
        <w:t>G</w:t>
      </w:r>
      <w:r w:rsidRPr="00CF39C8">
        <w:rPr>
          <w:rFonts w:cstheme="minorHAnsi"/>
        </w:rPr>
        <w:t xml:space="preserve">overnment, and compliance with the </w:t>
      </w:r>
      <w:r w:rsidR="001223E9" w:rsidRPr="00CF39C8">
        <w:rPr>
          <w:rFonts w:cstheme="minorHAnsi"/>
        </w:rPr>
        <w:t>NVES</w:t>
      </w:r>
      <w:r w:rsidRPr="00CF39C8">
        <w:rPr>
          <w:rFonts w:cstheme="minorHAnsi"/>
        </w:rPr>
        <w:t>. Ongoing engagement from the Regulator will be undertaken, particularly to support any changes to processes and systems.</w:t>
      </w:r>
      <w:r w:rsidR="00475B75" w:rsidRPr="00CF39C8">
        <w:rPr>
          <w:rFonts w:cstheme="minorHAnsi"/>
        </w:rPr>
        <w:t xml:space="preserve"> </w:t>
      </w:r>
      <w:r w:rsidR="007D23E9" w:rsidRPr="00CF39C8">
        <w:t>The department will engage with industry in co-design of the IT systems, prior to their build and testing</w:t>
      </w:r>
      <w:r w:rsidR="00475B75" w:rsidRPr="00CF39C8">
        <w:t xml:space="preserve"> in </w:t>
      </w:r>
      <w:r w:rsidR="00761F7B" w:rsidRPr="00CF39C8">
        <w:t>late</w:t>
      </w:r>
      <w:r w:rsidR="00475B75" w:rsidRPr="00CF39C8">
        <w:t xml:space="preserve"> 2024.</w:t>
      </w:r>
    </w:p>
    <w:p w14:paraId="13B14A41" w14:textId="77777777" w:rsidR="00373650" w:rsidRPr="00CF39C8" w:rsidRDefault="00373650" w:rsidP="00373650">
      <w:pPr>
        <w:pStyle w:val="ListParagraph"/>
        <w:ind w:left="0"/>
        <w:rPr>
          <w:rFonts w:cstheme="minorHAnsi"/>
          <w:b/>
          <w:i/>
        </w:rPr>
      </w:pPr>
      <w:r w:rsidRPr="00CF39C8">
        <w:rPr>
          <w:rFonts w:cstheme="minorHAnsi"/>
          <w:b/>
          <w:i/>
        </w:rPr>
        <w:t>Support for consumers</w:t>
      </w:r>
    </w:p>
    <w:p w14:paraId="137A4C80" w14:textId="77777777" w:rsidR="00C80EEF" w:rsidRPr="00CF39C8" w:rsidRDefault="00373650" w:rsidP="00373650">
      <w:pPr>
        <w:rPr>
          <w:rFonts w:cstheme="minorHAnsi"/>
        </w:rPr>
      </w:pPr>
      <w:r w:rsidRPr="00CF39C8">
        <w:rPr>
          <w:rFonts w:cstheme="minorHAnsi"/>
        </w:rPr>
        <w:t xml:space="preserve">The implementation of </w:t>
      </w:r>
      <w:r w:rsidR="006D4EF3" w:rsidRPr="00CF39C8">
        <w:rPr>
          <w:rFonts w:asciiTheme="majorHAnsi" w:hAnsiTheme="majorHAnsi" w:cstheme="majorHAnsi"/>
        </w:rPr>
        <w:t>NVES</w:t>
      </w:r>
      <w:r w:rsidRPr="00CF39C8">
        <w:rPr>
          <w:rFonts w:cstheme="minorHAnsi"/>
        </w:rPr>
        <w:t xml:space="preserve"> in Australia will create greater choice in new </w:t>
      </w:r>
      <w:r w:rsidR="00851193">
        <w:rPr>
          <w:rFonts w:cstheme="minorHAnsi"/>
        </w:rPr>
        <w:t>fuel-efficient</w:t>
      </w:r>
      <w:r w:rsidR="00184F10">
        <w:rPr>
          <w:rFonts w:cstheme="minorHAnsi"/>
        </w:rPr>
        <w:t xml:space="preserve"> </w:t>
      </w:r>
      <w:r w:rsidRPr="00CF39C8">
        <w:rPr>
          <w:rFonts w:cstheme="minorHAnsi"/>
        </w:rPr>
        <w:t xml:space="preserve">vehicles for consumers. During the implementation of the </w:t>
      </w:r>
      <w:r w:rsidR="001223E9" w:rsidRPr="00CF39C8">
        <w:rPr>
          <w:rFonts w:cstheme="minorHAnsi"/>
        </w:rPr>
        <w:t>NVES</w:t>
      </w:r>
      <w:r w:rsidRPr="00CF39C8">
        <w:rPr>
          <w:rFonts w:cstheme="minorHAnsi"/>
        </w:rPr>
        <w:t xml:space="preserve">, the Regulator will work with industry to educate consumers on the changes being introduced. Information on the standards and what they mean for consumers will be made available on the Regulator’s website. </w:t>
      </w:r>
      <w:r w:rsidR="00C80EEF" w:rsidRPr="00CF39C8">
        <w:rPr>
          <w:rFonts w:cstheme="minorHAnsi"/>
        </w:rPr>
        <w:t xml:space="preserve">The department is </w:t>
      </w:r>
      <w:r w:rsidR="00E95464" w:rsidRPr="00CF39C8">
        <w:rPr>
          <w:rFonts w:cstheme="minorHAnsi"/>
        </w:rPr>
        <w:t>exploring</w:t>
      </w:r>
      <w:r w:rsidR="00C80EEF" w:rsidRPr="00CF39C8">
        <w:rPr>
          <w:rFonts w:cstheme="minorHAnsi"/>
        </w:rPr>
        <w:t xml:space="preserve"> </w:t>
      </w:r>
      <w:r w:rsidR="000B7CAB" w:rsidRPr="00CF39C8">
        <w:rPr>
          <w:rFonts w:cstheme="minorHAnsi"/>
        </w:rPr>
        <w:t>how other economies</w:t>
      </w:r>
      <w:r w:rsidR="00C80EEF" w:rsidRPr="00CF39C8">
        <w:rPr>
          <w:rFonts w:cstheme="minorHAnsi"/>
        </w:rPr>
        <w:t xml:space="preserve"> assist</w:t>
      </w:r>
      <w:r w:rsidR="00BA4CF7" w:rsidRPr="00CF39C8">
        <w:rPr>
          <w:rFonts w:cstheme="minorHAnsi"/>
        </w:rPr>
        <w:t>ed</w:t>
      </w:r>
      <w:r w:rsidR="00C80EEF" w:rsidRPr="00CF39C8">
        <w:rPr>
          <w:rFonts w:cstheme="minorHAnsi"/>
        </w:rPr>
        <w:t xml:space="preserve"> consumers in the transition and adoption of low to zero emissions vehicles and technology. </w:t>
      </w:r>
    </w:p>
    <w:p w14:paraId="55D57668" w14:textId="77777777" w:rsidR="00C80EEF" w:rsidRPr="00CF39C8" w:rsidRDefault="00373650" w:rsidP="00BA4CF7">
      <w:pPr>
        <w:rPr>
          <w:rFonts w:cstheme="minorHAnsi"/>
        </w:rPr>
      </w:pPr>
      <w:r w:rsidRPr="00CF39C8">
        <w:rPr>
          <w:rFonts w:cstheme="minorHAnsi"/>
        </w:rPr>
        <w:t>The key risk is that there could be insufficient integration and testing of regulatory and industry systems. A 2025 IT delivery is ambitious, dependent on delivery partners to validate the delivery schedule, and will require contingency options.</w:t>
      </w:r>
    </w:p>
    <w:p w14:paraId="792C5E8D" w14:textId="77777777" w:rsidR="00C80EEF" w:rsidRPr="00CF39C8" w:rsidRDefault="00C80EEF">
      <w:pPr>
        <w:rPr>
          <w:rFonts w:cstheme="minorHAnsi"/>
        </w:rPr>
      </w:pPr>
      <w:r w:rsidRPr="00CF39C8">
        <w:rPr>
          <w:rFonts w:cstheme="minorHAnsi"/>
        </w:rPr>
        <w:br w:type="page"/>
      </w:r>
    </w:p>
    <w:p w14:paraId="36344135" w14:textId="77777777" w:rsidR="00435E59" w:rsidRPr="00CF39C8" w:rsidRDefault="00435E59" w:rsidP="00430317">
      <w:pPr>
        <w:pStyle w:val="Heading1"/>
        <w:numPr>
          <w:ilvl w:val="0"/>
          <w:numId w:val="71"/>
        </w:numPr>
      </w:pPr>
      <w:bookmarkStart w:id="577" w:name="_Toc161837690"/>
      <w:bookmarkStart w:id="578" w:name="_Toc161933187"/>
      <w:bookmarkStart w:id="579" w:name="_Toc162276496"/>
      <w:bookmarkStart w:id="580" w:name="_Toc163221090"/>
      <w:r w:rsidRPr="00CF39C8">
        <w:t xml:space="preserve">How will you evaluate your chosen </w:t>
      </w:r>
      <w:r w:rsidR="008A532D">
        <w:t>o</w:t>
      </w:r>
      <w:r w:rsidR="00DC48C3">
        <w:t xml:space="preserve">ption </w:t>
      </w:r>
      <w:r w:rsidR="008A532D">
        <w:t>a</w:t>
      </w:r>
      <w:r w:rsidRPr="00CF39C8">
        <w:t>gainst the success metrics?</w:t>
      </w:r>
      <w:bookmarkEnd w:id="577"/>
      <w:bookmarkEnd w:id="578"/>
      <w:bookmarkEnd w:id="579"/>
      <w:bookmarkEnd w:id="580"/>
    </w:p>
    <w:bookmarkEnd w:id="428"/>
    <w:p w14:paraId="0DB65D02" w14:textId="77777777" w:rsidR="00FD6369" w:rsidRPr="00CF39C8" w:rsidRDefault="00FD6369" w:rsidP="00373650"/>
    <w:p w14:paraId="281AC588" w14:textId="77777777" w:rsidR="00EC454E" w:rsidRPr="00CF39C8" w:rsidRDefault="00373650" w:rsidP="00373650">
      <w:pPr>
        <w:rPr>
          <w:rFonts w:asciiTheme="majorHAnsi" w:hAnsiTheme="majorHAnsi" w:cstheme="majorHAnsi"/>
        </w:rPr>
      </w:pPr>
      <w:r w:rsidRPr="00CF39C8">
        <w:t>In this chapter we set out our proposed plans for p</w:t>
      </w:r>
      <w:r w:rsidR="00EF7D01" w:rsidRPr="00CF39C8">
        <w:rPr>
          <w:rFonts w:asciiTheme="majorHAnsi" w:hAnsiTheme="majorHAnsi" w:cstheme="majorHAnsi"/>
        </w:rPr>
        <w:t xml:space="preserve">rogram evaluation. </w:t>
      </w:r>
      <w:r w:rsidR="001A182A" w:rsidRPr="00CF39C8">
        <w:rPr>
          <w:rFonts w:asciiTheme="majorHAnsi" w:hAnsiTheme="majorHAnsi" w:cstheme="majorHAnsi"/>
        </w:rPr>
        <w:t xml:space="preserve">To align evaluation metrics against the objectives of the program, these are based on the </w:t>
      </w:r>
      <w:r w:rsidR="00EB6369">
        <w:rPr>
          <w:rFonts w:asciiTheme="majorHAnsi" w:hAnsiTheme="majorHAnsi" w:cstheme="majorHAnsi"/>
        </w:rPr>
        <w:t>s</w:t>
      </w:r>
      <w:r w:rsidR="001A182A" w:rsidRPr="00CF39C8">
        <w:rPr>
          <w:rFonts w:asciiTheme="majorHAnsi" w:hAnsiTheme="majorHAnsi" w:cstheme="majorHAnsi"/>
        </w:rPr>
        <w:t xml:space="preserve">uccess measures outlined in </w:t>
      </w:r>
      <w:r w:rsidR="00685C65" w:rsidRPr="00CF39C8">
        <w:rPr>
          <w:rFonts w:asciiTheme="majorHAnsi" w:hAnsiTheme="majorHAnsi" w:cstheme="majorHAnsi"/>
        </w:rPr>
        <w:t xml:space="preserve">Table </w:t>
      </w:r>
      <w:r w:rsidR="00A30E17">
        <w:rPr>
          <w:rFonts w:asciiTheme="majorHAnsi" w:hAnsiTheme="majorHAnsi" w:cstheme="majorHAnsi"/>
        </w:rPr>
        <w:t>1</w:t>
      </w:r>
      <w:r w:rsidR="001A182A" w:rsidRPr="00CF39C8">
        <w:rPr>
          <w:rFonts w:asciiTheme="majorHAnsi" w:hAnsiTheme="majorHAnsi" w:cstheme="majorHAnsi"/>
        </w:rPr>
        <w:t xml:space="preserve">. A broad overview of the evaluation metrics can be found in </w:t>
      </w:r>
      <w:r w:rsidR="00BA4CF7" w:rsidRPr="00CF39C8">
        <w:rPr>
          <w:rFonts w:asciiTheme="majorHAnsi" w:hAnsiTheme="majorHAnsi" w:cstheme="majorHAnsi"/>
        </w:rPr>
        <w:t xml:space="preserve">the table </w:t>
      </w:r>
      <w:r w:rsidR="001A182A" w:rsidRPr="00CF39C8">
        <w:rPr>
          <w:rFonts w:asciiTheme="majorHAnsi" w:hAnsiTheme="majorHAnsi" w:cstheme="majorHAnsi"/>
        </w:rPr>
        <w:t>below.</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Success Measures and Associated Evaluation Metrics"/>
      </w:tblPr>
      <w:tblGrid>
        <w:gridCol w:w="4096"/>
        <w:gridCol w:w="5390"/>
      </w:tblGrid>
      <w:tr w:rsidR="00915033" w:rsidRPr="00CF39C8" w14:paraId="30246FAE" w14:textId="77777777" w:rsidTr="00E41544">
        <w:tc>
          <w:tcPr>
            <w:tcW w:w="0" w:type="auto"/>
            <w:tcBorders>
              <w:top w:val="single" w:sz="4" w:space="0" w:color="9BC7CE"/>
              <w:left w:val="single" w:sz="4" w:space="0" w:color="9BC7CE"/>
              <w:bottom w:val="single" w:sz="4" w:space="0" w:color="9BC7CE"/>
              <w:right w:val="single" w:sz="4" w:space="0" w:color="9BC7CE"/>
            </w:tcBorders>
            <w:shd w:val="clear" w:color="auto" w:fill="417A84" w:themeFill="accent5" w:themeFillShade="BF"/>
          </w:tcPr>
          <w:p w14:paraId="2618C7E7" w14:textId="77777777" w:rsidR="00915033" w:rsidRPr="00CF39C8" w:rsidRDefault="00915033" w:rsidP="001A182A">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Success </w:t>
            </w:r>
            <w:r w:rsidR="00EB6369">
              <w:rPr>
                <w:rFonts w:asciiTheme="majorHAnsi" w:hAnsiTheme="majorHAnsi" w:cstheme="majorHAnsi"/>
                <w:b/>
                <w:color w:val="FFFFFF" w:themeColor="background1"/>
              </w:rPr>
              <w:t>m</w:t>
            </w:r>
            <w:r w:rsidRPr="00CF39C8">
              <w:rPr>
                <w:rFonts w:asciiTheme="majorHAnsi" w:hAnsiTheme="majorHAnsi" w:cstheme="majorHAnsi"/>
                <w:b/>
                <w:color w:val="FFFFFF" w:themeColor="background1"/>
              </w:rPr>
              <w:t>easures</w:t>
            </w:r>
          </w:p>
        </w:tc>
        <w:tc>
          <w:tcPr>
            <w:tcW w:w="0" w:type="auto"/>
            <w:tcBorders>
              <w:top w:val="single" w:sz="4" w:space="0" w:color="9BC7CE"/>
              <w:left w:val="single" w:sz="4" w:space="0" w:color="9BC7CE"/>
              <w:bottom w:val="single" w:sz="4" w:space="0" w:color="9BC7CE"/>
              <w:right w:val="single" w:sz="4" w:space="0" w:color="9BC7CE"/>
            </w:tcBorders>
            <w:shd w:val="clear" w:color="auto" w:fill="417A84" w:themeFill="accent5" w:themeFillShade="BF"/>
          </w:tcPr>
          <w:p w14:paraId="1FB9A610" w14:textId="77777777" w:rsidR="00915033" w:rsidRPr="00CF39C8" w:rsidRDefault="00915033" w:rsidP="001A182A">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Evaluation </w:t>
            </w:r>
            <w:r w:rsidR="00EB6369">
              <w:rPr>
                <w:rFonts w:asciiTheme="majorHAnsi" w:hAnsiTheme="majorHAnsi" w:cstheme="majorHAnsi"/>
                <w:b/>
                <w:color w:val="FFFFFF" w:themeColor="background1"/>
              </w:rPr>
              <w:t>m</w:t>
            </w:r>
            <w:r w:rsidRPr="00CF39C8">
              <w:rPr>
                <w:rFonts w:asciiTheme="majorHAnsi" w:hAnsiTheme="majorHAnsi" w:cstheme="majorHAnsi"/>
                <w:b/>
                <w:color w:val="FFFFFF" w:themeColor="background1"/>
              </w:rPr>
              <w:t>etric</w:t>
            </w:r>
            <w:r w:rsidR="00532B22" w:rsidRPr="00CF39C8">
              <w:rPr>
                <w:rFonts w:asciiTheme="majorHAnsi" w:hAnsiTheme="majorHAnsi" w:cstheme="majorHAnsi"/>
                <w:b/>
                <w:color w:val="FFFFFF" w:themeColor="background1"/>
              </w:rPr>
              <w:t>s</w:t>
            </w:r>
          </w:p>
        </w:tc>
      </w:tr>
      <w:tr w:rsidR="00915033" w:rsidRPr="00CF39C8" w14:paraId="55E8991E" w14:textId="77777777" w:rsidTr="00E41544">
        <w:tc>
          <w:tcPr>
            <w:tcW w:w="0" w:type="auto"/>
            <w:tcBorders>
              <w:top w:val="single" w:sz="4" w:space="0" w:color="9BC7CE"/>
              <w:left w:val="single" w:sz="4" w:space="0" w:color="9BC7CE"/>
              <w:bottom w:val="single" w:sz="4" w:space="0" w:color="9BC7CE"/>
              <w:right w:val="single" w:sz="4" w:space="0" w:color="9BC7CE"/>
            </w:tcBorders>
          </w:tcPr>
          <w:p w14:paraId="00DD4513"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The percentage reduction in average CO</w:t>
            </w:r>
            <w:r w:rsidRPr="00CF39C8">
              <w:rPr>
                <w:rFonts w:eastAsia="Times New Roman" w:cstheme="minorHAnsi"/>
                <w:vertAlign w:val="subscript"/>
                <w:lang w:eastAsia="en-AU"/>
              </w:rPr>
              <w:t>2</w:t>
            </w:r>
            <w:r w:rsidRPr="00CF39C8">
              <w:rPr>
                <w:rFonts w:eastAsia="Times New Roman" w:cstheme="minorHAnsi"/>
                <w:lang w:eastAsia="en-AU"/>
              </w:rPr>
              <w:t xml:space="preserve"> emissions from Australia's new cars, out to 2050.</w:t>
            </w:r>
          </w:p>
        </w:tc>
        <w:tc>
          <w:tcPr>
            <w:tcW w:w="0" w:type="auto"/>
            <w:tcBorders>
              <w:top w:val="single" w:sz="4" w:space="0" w:color="9BC7CE"/>
              <w:left w:val="single" w:sz="4" w:space="0" w:color="9BC7CE"/>
              <w:bottom w:val="single" w:sz="4" w:space="0" w:color="9BC7CE"/>
              <w:right w:val="single" w:sz="4" w:space="0" w:color="9BC7CE"/>
            </w:tcBorders>
          </w:tcPr>
          <w:p w14:paraId="43AF9BBB" w14:textId="77777777" w:rsidR="00915033" w:rsidRPr="00CF39C8" w:rsidRDefault="00915033" w:rsidP="00E8777B">
            <w:pPr>
              <w:spacing w:after="120" w:line="240" w:lineRule="auto"/>
              <w:textAlignment w:val="baseline"/>
              <w:rPr>
                <w:rFonts w:eastAsia="Times New Roman" w:cstheme="minorHAnsi"/>
                <w:lang w:eastAsia="en-AU"/>
              </w:rPr>
            </w:pPr>
            <w:r w:rsidRPr="00CF39C8">
              <w:rPr>
                <w:rFonts w:eastAsia="Times New Roman" w:cstheme="minorHAnsi"/>
                <w:lang w:eastAsia="en-AU"/>
              </w:rPr>
              <w:t>This is</w:t>
            </w:r>
            <w:r w:rsidR="00F64DD5" w:rsidRPr="00CF39C8">
              <w:rPr>
                <w:rFonts w:eastAsia="Times New Roman" w:cstheme="minorHAnsi"/>
                <w:lang w:eastAsia="en-AU"/>
              </w:rPr>
              <w:t xml:space="preserve"> currently</w:t>
            </w:r>
            <w:r w:rsidRPr="00CF39C8">
              <w:rPr>
                <w:rFonts w:eastAsia="Times New Roman" w:cstheme="minorHAnsi"/>
                <w:lang w:eastAsia="en-AU"/>
              </w:rPr>
              <w:t xml:space="preserve"> difficult to accurately assess based purely on the data </w:t>
            </w:r>
            <w:r w:rsidR="00E8777B" w:rsidRPr="00CF39C8">
              <w:rPr>
                <w:rFonts w:eastAsia="Times New Roman" w:cstheme="minorHAnsi"/>
                <w:lang w:eastAsia="en-AU"/>
              </w:rPr>
              <w:t xml:space="preserve">made </w:t>
            </w:r>
            <w:r w:rsidRPr="00CF39C8">
              <w:rPr>
                <w:rFonts w:eastAsia="Times New Roman" w:cstheme="minorHAnsi"/>
                <w:lang w:eastAsia="en-AU"/>
              </w:rPr>
              <w:t xml:space="preserve">available by a </w:t>
            </w:r>
            <w:r w:rsidR="006D4EF3" w:rsidRPr="00CF39C8">
              <w:rPr>
                <w:rFonts w:cstheme="minorHAnsi"/>
              </w:rPr>
              <w:t>NVES</w:t>
            </w:r>
            <w:r w:rsidRPr="00CF39C8">
              <w:rPr>
                <w:rFonts w:eastAsia="Times New Roman" w:cstheme="minorHAnsi"/>
                <w:lang w:eastAsia="en-AU"/>
              </w:rPr>
              <w:t xml:space="preserve"> (g</w:t>
            </w:r>
            <w:r w:rsidR="008A0AA9" w:rsidRPr="00CF39C8">
              <w:rPr>
                <w:rFonts w:eastAsia="Times New Roman" w:cstheme="minorHAnsi"/>
                <w:lang w:eastAsia="en-AU"/>
              </w:rPr>
              <w:t xml:space="preserve"> </w:t>
            </w:r>
            <w:r w:rsidRPr="00CF39C8">
              <w:rPr>
                <w:rFonts w:eastAsia="Times New Roman" w:cstheme="minorHAnsi"/>
                <w:lang w:eastAsia="en-AU"/>
              </w:rPr>
              <w:t>CO</w:t>
            </w:r>
            <w:r w:rsidRPr="00CF39C8">
              <w:rPr>
                <w:rFonts w:eastAsia="Times New Roman" w:cstheme="minorHAnsi"/>
                <w:vertAlign w:val="subscript"/>
                <w:lang w:eastAsia="en-AU"/>
              </w:rPr>
              <w:t>2</w:t>
            </w:r>
            <w:r w:rsidRPr="00CF39C8">
              <w:rPr>
                <w:rFonts w:eastAsia="Times New Roman" w:cstheme="minorHAnsi"/>
                <w:lang w:eastAsia="en-AU"/>
              </w:rPr>
              <w:t xml:space="preserve">/km </w:t>
            </w:r>
            <w:r w:rsidR="00E8777B" w:rsidRPr="00CF39C8">
              <w:rPr>
                <w:rFonts w:eastAsia="Times New Roman" w:cstheme="minorHAnsi"/>
                <w:lang w:eastAsia="en-AU"/>
              </w:rPr>
              <w:t>for</w:t>
            </w:r>
            <w:r w:rsidRPr="00CF39C8">
              <w:rPr>
                <w:rFonts w:eastAsia="Times New Roman" w:cstheme="minorHAnsi"/>
                <w:lang w:eastAsia="en-AU"/>
              </w:rPr>
              <w:t xml:space="preserve"> new vehicles). This is because this data is not currently captured</w:t>
            </w:r>
            <w:r w:rsidR="007829D2" w:rsidRPr="00CF39C8">
              <w:rPr>
                <w:rFonts w:eastAsia="Times New Roman" w:cstheme="minorHAnsi"/>
                <w:lang w:eastAsia="en-AU"/>
              </w:rPr>
              <w:t xml:space="preserve"> (and therefore no data exists to calculate an exact baseline)</w:t>
            </w:r>
            <w:r w:rsidRPr="00CF39C8">
              <w:rPr>
                <w:rFonts w:eastAsia="Times New Roman" w:cstheme="minorHAnsi"/>
                <w:lang w:eastAsia="en-AU"/>
              </w:rPr>
              <w:t>, and accurately calculating a reduction would require data on real</w:t>
            </w:r>
            <w:r w:rsidR="00E8777B" w:rsidRPr="00CF39C8">
              <w:rPr>
                <w:rFonts w:eastAsia="Times New Roman" w:cstheme="minorHAnsi"/>
                <w:lang w:eastAsia="en-AU"/>
              </w:rPr>
              <w:t>-</w:t>
            </w:r>
            <w:r w:rsidRPr="00CF39C8">
              <w:rPr>
                <w:rFonts w:eastAsia="Times New Roman" w:cstheme="minorHAnsi"/>
                <w:lang w:eastAsia="en-AU"/>
              </w:rPr>
              <w:t xml:space="preserve">world fuel usage. </w:t>
            </w:r>
            <w:r w:rsidR="00E8777B" w:rsidRPr="00CF39C8">
              <w:rPr>
                <w:rFonts w:eastAsia="Times New Roman" w:cstheme="minorHAnsi"/>
                <w:lang w:eastAsia="en-AU"/>
              </w:rPr>
              <w:t>As such, a</w:t>
            </w:r>
            <w:r w:rsidRPr="00CF39C8">
              <w:rPr>
                <w:rFonts w:eastAsia="Times New Roman" w:cstheme="minorHAnsi"/>
                <w:lang w:eastAsia="en-AU"/>
              </w:rPr>
              <w:t xml:space="preserve">ssessing the impact of a </w:t>
            </w:r>
            <w:r w:rsidR="006D4EF3" w:rsidRPr="00CF39C8">
              <w:rPr>
                <w:rFonts w:cstheme="minorHAnsi"/>
              </w:rPr>
              <w:t>NVES</w:t>
            </w:r>
            <w:r w:rsidRPr="00CF39C8">
              <w:rPr>
                <w:rFonts w:eastAsia="Times New Roman" w:cstheme="minorHAnsi"/>
                <w:lang w:eastAsia="en-AU"/>
              </w:rPr>
              <w:t xml:space="preserve"> on this measure may require:</w:t>
            </w:r>
          </w:p>
          <w:p w14:paraId="42F626C2" w14:textId="77777777" w:rsidR="007829D2" w:rsidRPr="00CF39C8" w:rsidRDefault="007829D2" w:rsidP="00430317">
            <w:pPr>
              <w:pStyle w:val="ListParagraph"/>
              <w:numPr>
                <w:ilvl w:val="0"/>
                <w:numId w:val="44"/>
              </w:numPr>
              <w:rPr>
                <w:rFonts w:cstheme="minorHAnsi"/>
              </w:rPr>
            </w:pPr>
            <w:r w:rsidRPr="00CF39C8">
              <w:rPr>
                <w:rFonts w:cstheme="minorHAnsi"/>
              </w:rPr>
              <w:t>Undertaking a survey of distances travelled/fuel usage of both new and older vehicles.</w:t>
            </w:r>
          </w:p>
          <w:p w14:paraId="7839ACE6" w14:textId="77777777" w:rsidR="00915033" w:rsidRPr="00CF39C8" w:rsidRDefault="00915033" w:rsidP="00430317">
            <w:pPr>
              <w:pStyle w:val="ListParagraph"/>
              <w:numPr>
                <w:ilvl w:val="0"/>
                <w:numId w:val="44"/>
              </w:numPr>
              <w:rPr>
                <w:rFonts w:cstheme="minorHAnsi"/>
              </w:rPr>
            </w:pPr>
            <w:r w:rsidRPr="00CF39C8">
              <w:rPr>
                <w:rFonts w:cstheme="minorHAnsi"/>
              </w:rPr>
              <w:t xml:space="preserve">Comparing the average </w:t>
            </w:r>
            <w:r w:rsidR="00E8777B" w:rsidRPr="00CF39C8">
              <w:rPr>
                <w:rFonts w:eastAsia="Times New Roman" w:cstheme="minorHAnsi"/>
                <w:lang w:eastAsia="en-AU"/>
              </w:rPr>
              <w:t>g</w:t>
            </w:r>
            <w:r w:rsidR="00501C4A" w:rsidRPr="00CF39C8">
              <w:rPr>
                <w:rFonts w:eastAsia="Times New Roman" w:cstheme="minorHAnsi"/>
                <w:lang w:eastAsia="en-AU"/>
              </w:rPr>
              <w:t xml:space="preserve"> </w:t>
            </w:r>
            <w:r w:rsidR="00E8777B" w:rsidRPr="00CF39C8">
              <w:rPr>
                <w:rFonts w:eastAsia="Times New Roman" w:cstheme="minorHAnsi"/>
                <w:lang w:eastAsia="en-AU"/>
              </w:rPr>
              <w:t>CO</w:t>
            </w:r>
            <w:r w:rsidR="00E8777B" w:rsidRPr="00CF39C8">
              <w:rPr>
                <w:rFonts w:eastAsia="Times New Roman" w:cstheme="minorHAnsi"/>
                <w:vertAlign w:val="subscript"/>
                <w:lang w:eastAsia="en-AU"/>
              </w:rPr>
              <w:t>2</w:t>
            </w:r>
            <w:r w:rsidR="00E8777B" w:rsidRPr="00CF39C8">
              <w:rPr>
                <w:rFonts w:eastAsia="Times New Roman" w:cstheme="minorHAnsi"/>
                <w:lang w:eastAsia="en-AU"/>
              </w:rPr>
              <w:t xml:space="preserve">/km </w:t>
            </w:r>
            <w:r w:rsidRPr="00CF39C8">
              <w:rPr>
                <w:rFonts w:cstheme="minorHAnsi"/>
              </w:rPr>
              <w:t xml:space="preserve">of new vehicles in the years before and after </w:t>
            </w:r>
            <w:r w:rsidR="006D4EF3" w:rsidRPr="00CF39C8">
              <w:rPr>
                <w:rFonts w:cstheme="minorHAnsi"/>
              </w:rPr>
              <w:t>NVES</w:t>
            </w:r>
            <w:r w:rsidRPr="00CF39C8">
              <w:rPr>
                <w:rFonts w:cstheme="minorHAnsi"/>
              </w:rPr>
              <w:t xml:space="preserve"> implementation, and using average distance </w:t>
            </w:r>
            <w:r w:rsidR="007829D2" w:rsidRPr="00CF39C8">
              <w:rPr>
                <w:rFonts w:cstheme="minorHAnsi"/>
              </w:rPr>
              <w:t xml:space="preserve">travelled </w:t>
            </w:r>
            <w:r w:rsidRPr="00CF39C8">
              <w:rPr>
                <w:rFonts w:cstheme="minorHAnsi"/>
              </w:rPr>
              <w:t>figures to calculate an approximate reduction in CO</w:t>
            </w:r>
            <w:r w:rsidRPr="00CF39C8">
              <w:rPr>
                <w:rFonts w:cstheme="minorHAnsi"/>
                <w:vertAlign w:val="subscript"/>
              </w:rPr>
              <w:t>2</w:t>
            </w:r>
            <w:r w:rsidRPr="00CF39C8">
              <w:rPr>
                <w:rFonts w:cstheme="minorHAnsi"/>
              </w:rPr>
              <w:t>.</w:t>
            </w:r>
          </w:p>
          <w:p w14:paraId="57AAFE3F" w14:textId="77777777" w:rsidR="00915033" w:rsidRPr="00CF39C8" w:rsidRDefault="00915033" w:rsidP="00430317">
            <w:pPr>
              <w:pStyle w:val="ListParagraph"/>
              <w:numPr>
                <w:ilvl w:val="0"/>
                <w:numId w:val="44"/>
              </w:numPr>
              <w:rPr>
                <w:rFonts w:cstheme="minorHAnsi"/>
              </w:rPr>
            </w:pPr>
            <w:r w:rsidRPr="00CF39C8">
              <w:rPr>
                <w:rFonts w:cstheme="minorHAnsi"/>
              </w:rPr>
              <w:t>Undertaking trend analysis over a longer period of time.</w:t>
            </w:r>
          </w:p>
        </w:tc>
      </w:tr>
      <w:tr w:rsidR="00915033" w:rsidRPr="00CF39C8" w14:paraId="46D65BB5" w14:textId="77777777" w:rsidTr="00E41544">
        <w:tc>
          <w:tcPr>
            <w:tcW w:w="0" w:type="auto"/>
            <w:tcBorders>
              <w:top w:val="single" w:sz="4" w:space="0" w:color="9BC7CE"/>
              <w:left w:val="single" w:sz="4" w:space="0" w:color="9BC7CE"/>
              <w:bottom w:val="single" w:sz="4" w:space="0" w:color="9BC7CE"/>
              <w:right w:val="single" w:sz="4" w:space="0" w:color="9BC7CE"/>
            </w:tcBorders>
          </w:tcPr>
          <w:p w14:paraId="5746F2C2"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A design which does not disadvantage small or affordable vehicles to protect the continued supply of these vehicles to the Australian market. Ensure that people have access to fuel-efficient vehicles. </w:t>
            </w:r>
          </w:p>
        </w:tc>
        <w:tc>
          <w:tcPr>
            <w:tcW w:w="0" w:type="auto"/>
            <w:tcBorders>
              <w:top w:val="single" w:sz="4" w:space="0" w:color="9BC7CE"/>
              <w:left w:val="single" w:sz="4" w:space="0" w:color="9BC7CE"/>
              <w:bottom w:val="single" w:sz="4" w:space="0" w:color="9BC7CE"/>
              <w:right w:val="single" w:sz="4" w:space="0" w:color="9BC7CE"/>
            </w:tcBorders>
          </w:tcPr>
          <w:p w14:paraId="57DBD4AB" w14:textId="77777777" w:rsidR="003C1100" w:rsidRPr="00CF39C8" w:rsidRDefault="003C1100" w:rsidP="001A182A">
            <w:pPr>
              <w:spacing w:line="240" w:lineRule="auto"/>
              <w:textAlignment w:val="baseline"/>
              <w:rPr>
                <w:rFonts w:eastAsia="Times New Roman" w:cstheme="minorHAnsi"/>
                <w:lang w:eastAsia="en-AU"/>
              </w:rPr>
            </w:pPr>
            <w:r w:rsidRPr="00CF39C8">
              <w:rPr>
                <w:rFonts w:eastAsia="Times New Roman" w:cstheme="minorHAnsi"/>
                <w:lang w:eastAsia="en-AU"/>
              </w:rPr>
              <w:t xml:space="preserve">This measure </w:t>
            </w:r>
            <w:r w:rsidR="005815ED" w:rsidRPr="00CF39C8">
              <w:rPr>
                <w:rFonts w:eastAsia="Times New Roman" w:cstheme="minorHAnsi"/>
                <w:lang w:eastAsia="en-AU"/>
              </w:rPr>
              <w:t>may require a number of pieces of evaluation to examine success:</w:t>
            </w:r>
          </w:p>
          <w:p w14:paraId="277A75F2" w14:textId="77777777" w:rsidR="005815ED"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 xml:space="preserve">Analysis of the average vehicle weight before and after the implementation of a </w:t>
            </w:r>
            <w:r w:rsidR="006D4EF3" w:rsidRPr="00CF39C8">
              <w:rPr>
                <w:rFonts w:cstheme="minorHAnsi"/>
              </w:rPr>
              <w:t>NVES</w:t>
            </w:r>
            <w:r w:rsidR="00DA1C4C" w:rsidRPr="00CF39C8">
              <w:rPr>
                <w:rFonts w:cstheme="minorHAnsi"/>
              </w:rPr>
              <w:t>.</w:t>
            </w:r>
          </w:p>
          <w:p w14:paraId="200B85E1" w14:textId="77777777" w:rsidR="006F255B"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 xml:space="preserve">Analysis of the number of new vehicles added to the RAV </w:t>
            </w:r>
            <w:r w:rsidR="00E41544" w:rsidRPr="00CF39C8">
              <w:rPr>
                <w:rFonts w:eastAsia="Times New Roman" w:cstheme="minorHAnsi"/>
                <w:lang w:eastAsia="en-AU"/>
              </w:rPr>
              <w:t xml:space="preserve">in the years </w:t>
            </w:r>
            <w:r w:rsidRPr="00CF39C8">
              <w:rPr>
                <w:rFonts w:eastAsia="Times New Roman" w:cstheme="minorHAnsi"/>
                <w:lang w:eastAsia="en-AU"/>
              </w:rPr>
              <w:t xml:space="preserve">before and after implementation of a </w:t>
            </w:r>
            <w:r w:rsidR="006D4EF3" w:rsidRPr="00CF39C8">
              <w:rPr>
                <w:rFonts w:cstheme="minorHAnsi"/>
              </w:rPr>
              <w:t>NVES</w:t>
            </w:r>
            <w:r w:rsidRPr="00CF39C8">
              <w:rPr>
                <w:rFonts w:eastAsia="Times New Roman" w:cstheme="minorHAnsi"/>
                <w:lang w:eastAsia="en-AU"/>
              </w:rPr>
              <w:t>.</w:t>
            </w:r>
          </w:p>
          <w:p w14:paraId="751BCEB8" w14:textId="77777777" w:rsidR="003C1100"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Cross-sectional analysis of the above three metrics against the proportion of new vehicles that are LZEV.</w:t>
            </w:r>
          </w:p>
        </w:tc>
      </w:tr>
      <w:tr w:rsidR="00915033" w:rsidRPr="00CF39C8" w14:paraId="255971CB" w14:textId="77777777" w:rsidTr="00E41544">
        <w:tc>
          <w:tcPr>
            <w:tcW w:w="0" w:type="auto"/>
            <w:tcBorders>
              <w:top w:val="single" w:sz="4" w:space="0" w:color="9BC7CE"/>
              <w:left w:val="single" w:sz="4" w:space="0" w:color="9BC7CE"/>
              <w:bottom w:val="single" w:sz="4" w:space="0" w:color="9BC7CE"/>
              <w:right w:val="single" w:sz="4" w:space="0" w:color="9BC7CE"/>
            </w:tcBorders>
          </w:tcPr>
          <w:p w14:paraId="28891A21"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 xml:space="preserve">Design and implement a process which leverages existing regulatory frameworks and touch points with Government, while providing accessible information to both consumers and industry stakeholders. A streamlined </w:t>
            </w:r>
            <w:r w:rsidR="006D4EF3" w:rsidRPr="00CF39C8">
              <w:rPr>
                <w:rFonts w:cstheme="minorHAnsi"/>
              </w:rPr>
              <w:t>NVES</w:t>
            </w:r>
            <w:r w:rsidRPr="00CF39C8">
              <w:rPr>
                <w:rFonts w:eastAsia="Times New Roman" w:cstheme="minorHAnsi"/>
                <w:lang w:eastAsia="en-AU"/>
              </w:rPr>
              <w:t xml:space="preserve"> design which avoids design features which add complexity, increase administrative complexity, and reduce</w:t>
            </w:r>
            <w:r w:rsidR="00E41544" w:rsidRPr="00CF39C8">
              <w:rPr>
                <w:rFonts w:eastAsia="Times New Roman" w:cstheme="minorHAnsi"/>
                <w:lang w:eastAsia="en-AU"/>
              </w:rPr>
              <w:t>d</w:t>
            </w:r>
            <w:r w:rsidRPr="00CF39C8">
              <w:rPr>
                <w:rFonts w:eastAsia="Times New Roman" w:cstheme="minorHAnsi"/>
                <w:lang w:eastAsia="en-AU"/>
              </w:rPr>
              <w:t xml:space="preserve"> transparency.</w:t>
            </w:r>
          </w:p>
        </w:tc>
        <w:tc>
          <w:tcPr>
            <w:tcW w:w="0" w:type="auto"/>
            <w:tcBorders>
              <w:top w:val="single" w:sz="4" w:space="0" w:color="9BC7CE"/>
              <w:left w:val="single" w:sz="4" w:space="0" w:color="9BC7CE"/>
              <w:bottom w:val="single" w:sz="4" w:space="0" w:color="9BC7CE"/>
              <w:right w:val="single" w:sz="4" w:space="0" w:color="9BC7CE"/>
            </w:tcBorders>
          </w:tcPr>
          <w:p w14:paraId="2EBC22A1" w14:textId="77777777" w:rsidR="00E41544" w:rsidRPr="00CF39C8" w:rsidRDefault="00E41544" w:rsidP="00E41544">
            <w:pPr>
              <w:spacing w:line="240" w:lineRule="auto"/>
              <w:textAlignment w:val="baseline"/>
              <w:rPr>
                <w:rFonts w:eastAsia="Times New Roman" w:cstheme="minorHAnsi"/>
                <w:lang w:eastAsia="en-AU"/>
              </w:rPr>
            </w:pPr>
            <w:r w:rsidRPr="00CF39C8">
              <w:rPr>
                <w:rFonts w:eastAsia="Times New Roman" w:cstheme="minorHAnsi"/>
                <w:lang w:eastAsia="en-AU"/>
              </w:rPr>
              <w:t>This measure may require a number of distinct evaluation metrics to assess</w:t>
            </w:r>
            <w:r w:rsidR="007F20D7" w:rsidRPr="00CF39C8">
              <w:rPr>
                <w:rFonts w:eastAsia="Times New Roman" w:cstheme="minorHAnsi"/>
                <w:lang w:eastAsia="en-AU"/>
              </w:rPr>
              <w:t xml:space="preserve"> data</w:t>
            </w:r>
            <w:r w:rsidRPr="00CF39C8">
              <w:rPr>
                <w:rFonts w:eastAsia="Times New Roman" w:cstheme="minorHAnsi"/>
                <w:lang w:eastAsia="en-AU"/>
              </w:rPr>
              <w:t xml:space="preserve"> success</w:t>
            </w:r>
            <w:r w:rsidR="00917933" w:rsidRPr="00CF39C8">
              <w:rPr>
                <w:rFonts w:eastAsia="Times New Roman" w:cstheme="minorHAnsi"/>
                <w:lang w:eastAsia="en-AU"/>
              </w:rPr>
              <w:t>, including</w:t>
            </w:r>
            <w:r w:rsidRPr="00CF39C8">
              <w:rPr>
                <w:rFonts w:eastAsia="Times New Roman" w:cstheme="minorHAnsi"/>
                <w:lang w:eastAsia="en-AU"/>
              </w:rPr>
              <w:t>:</w:t>
            </w:r>
          </w:p>
          <w:p w14:paraId="02894EA3" w14:textId="77777777" w:rsidR="00E41544" w:rsidRPr="00CF39C8" w:rsidRDefault="00E41544" w:rsidP="00430317">
            <w:pPr>
              <w:pStyle w:val="ListParagraph"/>
              <w:numPr>
                <w:ilvl w:val="0"/>
                <w:numId w:val="46"/>
              </w:numPr>
              <w:spacing w:line="240" w:lineRule="auto"/>
              <w:textAlignment w:val="baseline"/>
              <w:rPr>
                <w:rFonts w:eastAsia="Times New Roman" w:cstheme="minorHAnsi"/>
                <w:lang w:eastAsia="en-AU"/>
              </w:rPr>
            </w:pPr>
            <w:r w:rsidRPr="00CF39C8">
              <w:rPr>
                <w:rFonts w:eastAsia="Times New Roman" w:cstheme="minorHAnsi"/>
                <w:lang w:eastAsia="en-AU"/>
              </w:rPr>
              <w:t>Comparison of data sharing capacity/volume against pre-implementation baseline</w:t>
            </w:r>
            <w:r w:rsidR="00DA1C4C" w:rsidRPr="00CF39C8">
              <w:rPr>
                <w:rFonts w:eastAsia="Times New Roman" w:cstheme="minorHAnsi"/>
                <w:lang w:eastAsia="en-AU"/>
              </w:rPr>
              <w:t>.</w:t>
            </w:r>
          </w:p>
          <w:p w14:paraId="689A7604"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Evaluation of non-confidential data made public: volumes, percentages, readability, accessibility</w:t>
            </w:r>
            <w:r w:rsidR="00DA1C4C" w:rsidRPr="00CF39C8">
              <w:rPr>
                <w:rFonts w:eastAsia="Times New Roman" w:cstheme="minorHAnsi"/>
                <w:lang w:eastAsia="en-AU"/>
              </w:rPr>
              <w:t>.</w:t>
            </w:r>
          </w:p>
          <w:p w14:paraId="08AE5725"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System uptime as compared to pre-implementation</w:t>
            </w:r>
            <w:r w:rsidR="00DA1C4C" w:rsidRPr="00CF39C8">
              <w:rPr>
                <w:rFonts w:eastAsia="Times New Roman" w:cstheme="minorHAnsi"/>
                <w:lang w:eastAsia="en-AU"/>
              </w:rPr>
              <w:t>.</w:t>
            </w:r>
          </w:p>
          <w:p w14:paraId="2351C8D6"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Success rate of data ingress as compared to pre-implementation</w:t>
            </w:r>
            <w:r w:rsidR="00773CF6" w:rsidRPr="00CF39C8">
              <w:rPr>
                <w:rFonts w:eastAsia="Times New Roman" w:cstheme="minorHAnsi"/>
                <w:lang w:eastAsia="en-AU"/>
              </w:rPr>
              <w:t>.</w:t>
            </w:r>
          </w:p>
          <w:p w14:paraId="13927B88"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Success rate of regularly scheduled activities as compared to pre-implementation, e.g. data backups</w:t>
            </w:r>
            <w:r w:rsidR="00773CF6" w:rsidRPr="00CF39C8">
              <w:rPr>
                <w:rFonts w:eastAsia="Times New Roman" w:cstheme="minorHAnsi"/>
                <w:lang w:eastAsia="en-AU"/>
              </w:rPr>
              <w:t>.</w:t>
            </w:r>
          </w:p>
          <w:p w14:paraId="7599D650" w14:textId="77777777" w:rsidR="00917933"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 xml:space="preserve">Whether processing time meets or exceeds existing </w:t>
            </w:r>
            <w:r w:rsidR="00BA4CF7" w:rsidRPr="00CF39C8">
              <w:rPr>
                <w:rFonts w:eastAsia="Times New Roman" w:cstheme="minorHAnsi"/>
                <w:lang w:eastAsia="en-AU"/>
              </w:rPr>
              <w:t>departmental (</w:t>
            </w:r>
            <w:r w:rsidRPr="00CF39C8">
              <w:rPr>
                <w:rFonts w:eastAsia="Times New Roman" w:cstheme="minorHAnsi"/>
                <w:lang w:eastAsia="en-AU"/>
              </w:rPr>
              <w:t>DITRDCA</w:t>
            </w:r>
            <w:r w:rsidR="00BA4CF7" w:rsidRPr="00CF39C8">
              <w:rPr>
                <w:rFonts w:eastAsia="Times New Roman" w:cstheme="minorHAnsi"/>
                <w:lang w:eastAsia="en-AU"/>
              </w:rPr>
              <w:t>)</w:t>
            </w:r>
            <w:r w:rsidRPr="00CF39C8">
              <w:rPr>
                <w:rFonts w:eastAsia="Times New Roman" w:cstheme="minorHAnsi"/>
                <w:lang w:eastAsia="en-AU"/>
              </w:rPr>
              <w:t>, CER and DCCEEW service level agreements.</w:t>
            </w:r>
          </w:p>
          <w:p w14:paraId="29BFA6F6" w14:textId="77777777" w:rsidR="007F20D7" w:rsidRPr="00CF39C8" w:rsidRDefault="007F20D7" w:rsidP="00430317">
            <w:pPr>
              <w:pStyle w:val="ListParagraph"/>
              <w:numPr>
                <w:ilvl w:val="0"/>
                <w:numId w:val="46"/>
              </w:numPr>
              <w:rPr>
                <w:rFonts w:eastAsia="Times New Roman" w:cstheme="minorHAnsi"/>
                <w:lang w:eastAsia="en-AU"/>
              </w:rPr>
            </w:pPr>
            <w:r w:rsidRPr="00CF39C8">
              <w:rPr>
                <w:rFonts w:eastAsia="Times New Roman" w:cstheme="minorHAnsi"/>
                <w:lang w:eastAsia="en-AU"/>
              </w:rPr>
              <w:t>Improved data access for state and territory jurisdictions to monitor vehicle information.</w:t>
            </w:r>
          </w:p>
          <w:p w14:paraId="3874F46C" w14:textId="77777777" w:rsidR="007F20D7" w:rsidRPr="00CF39C8" w:rsidRDefault="007F20D7" w:rsidP="007F20D7">
            <w:pPr>
              <w:rPr>
                <w:rFonts w:eastAsia="Times New Roman" w:cstheme="minorHAnsi"/>
                <w:lang w:eastAsia="en-AU"/>
              </w:rPr>
            </w:pPr>
            <w:r w:rsidRPr="00CF39C8">
              <w:rPr>
                <w:rFonts w:eastAsia="Times New Roman" w:cstheme="minorHAnsi"/>
                <w:lang w:eastAsia="en-AU"/>
              </w:rPr>
              <w:t>Data collection before implementation will be required to establish a baseline for IT system performance. IT system performance may change over the course of implementation, as the various phases are progressed through. Tracking this may require a phased approach to data analysis.</w:t>
            </w:r>
          </w:p>
          <w:p w14:paraId="79D1B0E4" w14:textId="77777777" w:rsidR="00532B22" w:rsidRPr="00CF39C8" w:rsidRDefault="00532B22" w:rsidP="007F20D7">
            <w:pPr>
              <w:rPr>
                <w:rFonts w:eastAsia="Times New Roman" w:cstheme="minorHAnsi"/>
                <w:lang w:eastAsia="en-AU"/>
              </w:rPr>
            </w:pPr>
          </w:p>
          <w:p w14:paraId="7C7C1CFA" w14:textId="77777777" w:rsidR="007F20D7" w:rsidRPr="00CF39C8" w:rsidRDefault="007F20D7" w:rsidP="007F20D7">
            <w:pPr>
              <w:rPr>
                <w:rFonts w:eastAsia="Times New Roman" w:cstheme="minorHAnsi"/>
                <w:lang w:eastAsia="en-AU"/>
              </w:rPr>
            </w:pPr>
            <w:r w:rsidRPr="00CF39C8">
              <w:rPr>
                <w:rFonts w:eastAsia="Times New Roman" w:cstheme="minorHAnsi"/>
                <w:lang w:eastAsia="en-AU"/>
              </w:rPr>
              <w:t xml:space="preserve">Additionally, some evaluation will also be used to ensure the </w:t>
            </w:r>
            <w:r w:rsidR="006D4EF3" w:rsidRPr="00CF39C8">
              <w:rPr>
                <w:rFonts w:cstheme="minorHAnsi"/>
              </w:rPr>
              <w:t>NVES</w:t>
            </w:r>
            <w:r w:rsidRPr="00CF39C8">
              <w:rPr>
                <w:rFonts w:eastAsia="Times New Roman" w:cstheme="minorHAnsi"/>
                <w:lang w:eastAsia="en-AU"/>
              </w:rPr>
              <w:t xml:space="preserve"> design features are </w:t>
            </w:r>
            <w:r w:rsidR="00532B22" w:rsidRPr="00CF39C8">
              <w:rPr>
                <w:rFonts w:eastAsia="Times New Roman" w:cstheme="minorHAnsi"/>
                <w:lang w:eastAsia="en-AU"/>
              </w:rPr>
              <w:t>effectively meeting administrative requirements:</w:t>
            </w:r>
          </w:p>
          <w:p w14:paraId="4070904A" w14:textId="77777777" w:rsidR="007F20D7" w:rsidRPr="00CF39C8" w:rsidRDefault="00532B22" w:rsidP="00430317">
            <w:pPr>
              <w:pStyle w:val="ListParagraph"/>
              <w:numPr>
                <w:ilvl w:val="0"/>
                <w:numId w:val="46"/>
              </w:numPr>
              <w:rPr>
                <w:rFonts w:eastAsia="Times New Roman" w:cstheme="minorHAnsi"/>
                <w:lang w:eastAsia="en-AU"/>
              </w:rPr>
            </w:pPr>
            <w:r w:rsidRPr="00CF39C8">
              <w:rPr>
                <w:rFonts w:eastAsia="Times New Roman" w:cstheme="minorHAnsi"/>
                <w:lang w:eastAsia="en-AU"/>
              </w:rPr>
              <w:t>Review of the costs of implementation and ongoing policy cost recovery options.</w:t>
            </w:r>
          </w:p>
          <w:p w14:paraId="395C4F42" w14:textId="77777777" w:rsidR="00915033" w:rsidRPr="00CF39C8" w:rsidRDefault="00915033" w:rsidP="00184F10">
            <w:pPr>
              <w:pStyle w:val="ListParagraph"/>
              <w:ind w:left="360"/>
              <w:rPr>
                <w:rFonts w:eastAsia="Times New Roman" w:cstheme="minorHAnsi"/>
                <w:lang w:eastAsia="en-AU"/>
              </w:rPr>
            </w:pPr>
          </w:p>
        </w:tc>
      </w:tr>
      <w:tr w:rsidR="00915033" w:rsidRPr="00CF39C8" w14:paraId="37A84120" w14:textId="77777777" w:rsidTr="00E41544">
        <w:tc>
          <w:tcPr>
            <w:tcW w:w="0" w:type="auto"/>
            <w:tcBorders>
              <w:top w:val="single" w:sz="4" w:space="0" w:color="9BC7CE"/>
              <w:left w:val="single" w:sz="4" w:space="0" w:color="9BC7CE"/>
              <w:bottom w:val="single" w:sz="4" w:space="0" w:color="9BC7CE"/>
              <w:right w:val="single" w:sz="4" w:space="0" w:color="9BC7CE"/>
            </w:tcBorders>
          </w:tcPr>
          <w:p w14:paraId="736F31EA" w14:textId="77777777" w:rsidR="00915033" w:rsidRPr="00CF39C8" w:rsidRDefault="001E1301" w:rsidP="001A182A">
            <w:pPr>
              <w:spacing w:line="240" w:lineRule="auto"/>
              <w:textAlignment w:val="baseline"/>
              <w:rPr>
                <w:rFonts w:cstheme="minorHAnsi"/>
              </w:rPr>
            </w:pPr>
            <w:r w:rsidRPr="00CF39C8">
              <w:rPr>
                <w:rFonts w:eastAsia="Times New Roman" w:cstheme="minorHAnsi"/>
                <w:lang w:eastAsia="en-AU"/>
              </w:rPr>
              <w:t xml:space="preserve">Advice on setting </w:t>
            </w:r>
            <w:r w:rsidR="006D4EF3" w:rsidRPr="00CF39C8">
              <w:rPr>
                <w:rFonts w:cstheme="minorHAnsi"/>
              </w:rPr>
              <w:t>NVES</w:t>
            </w:r>
            <w:r w:rsidRPr="00CF39C8">
              <w:rPr>
                <w:rFonts w:eastAsia="Times New Roman" w:cstheme="minorHAnsi"/>
                <w:lang w:eastAsia="en-AU"/>
              </w:rPr>
              <w:t xml:space="preserve"> limits </w:t>
            </w:r>
            <w:r w:rsidR="00915033" w:rsidRPr="00CF39C8">
              <w:rPr>
                <w:rFonts w:eastAsia="Times New Roman" w:cstheme="minorHAnsi"/>
                <w:lang w:eastAsia="en-AU"/>
              </w:rPr>
              <w:t>is of a high quality, and is accepted by the Office of Impact Analysis</w:t>
            </w:r>
            <w:r w:rsidRPr="00CF39C8">
              <w:rPr>
                <w:rFonts w:eastAsia="Times New Roman" w:cstheme="minorHAnsi"/>
                <w:lang w:eastAsia="en-AU"/>
              </w:rPr>
              <w:t xml:space="preserve"> as relevant</w:t>
            </w:r>
            <w:r w:rsidR="00915033" w:rsidRPr="00CF39C8">
              <w:rPr>
                <w:rFonts w:eastAsia="Times New Roman" w:cstheme="minorHAnsi"/>
                <w:lang w:eastAsia="en-AU"/>
              </w:rPr>
              <w:t>. Consultation is broad and includes all key stakeholders. Ongoing opportunity for stakeholders to provide feedback on operational matters, and ability to influence policy settings through reviews.  </w:t>
            </w:r>
          </w:p>
        </w:tc>
        <w:tc>
          <w:tcPr>
            <w:tcW w:w="0" w:type="auto"/>
            <w:tcBorders>
              <w:top w:val="single" w:sz="4" w:space="0" w:color="9BC7CE"/>
              <w:left w:val="single" w:sz="4" w:space="0" w:color="9BC7CE"/>
              <w:bottom w:val="single" w:sz="4" w:space="0" w:color="9BC7CE"/>
              <w:right w:val="single" w:sz="4" w:space="0" w:color="9BC7CE"/>
            </w:tcBorders>
          </w:tcPr>
          <w:p w14:paraId="0BDACE8E" w14:textId="77777777" w:rsidR="008344A3" w:rsidRPr="00CF39C8" w:rsidRDefault="008344A3" w:rsidP="00430317">
            <w:pPr>
              <w:pStyle w:val="ListParagraph"/>
              <w:numPr>
                <w:ilvl w:val="0"/>
                <w:numId w:val="49"/>
              </w:numPr>
              <w:spacing w:line="240" w:lineRule="auto"/>
              <w:textAlignment w:val="baseline"/>
              <w:rPr>
                <w:rFonts w:eastAsia="Times New Roman" w:cstheme="minorHAnsi"/>
                <w:lang w:eastAsia="en-AU"/>
              </w:rPr>
            </w:pPr>
            <w:r w:rsidRPr="00CF39C8">
              <w:rPr>
                <w:rFonts w:eastAsia="Times New Roman" w:cstheme="minorHAnsi"/>
                <w:lang w:eastAsia="en-AU"/>
              </w:rPr>
              <w:t>Analysis quality will be assessed based on:</w:t>
            </w:r>
          </w:p>
          <w:p w14:paraId="6432CA77"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OIA feedback.</w:t>
            </w:r>
          </w:p>
          <w:p w14:paraId="0B8E2FDE"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Survey of agency satisfaction with provided data</w:t>
            </w:r>
            <w:r w:rsidR="00DA1C4C" w:rsidRPr="00CF39C8">
              <w:rPr>
                <w:rFonts w:eastAsia="Times New Roman" w:cstheme="minorHAnsi"/>
                <w:lang w:eastAsia="en-AU"/>
              </w:rPr>
              <w:t>.</w:t>
            </w:r>
          </w:p>
          <w:p w14:paraId="68CF1C0E"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 xml:space="preserve">Assessment of data </w:t>
            </w:r>
            <w:r w:rsidR="00472A7C" w:rsidRPr="00CF39C8">
              <w:rPr>
                <w:rFonts w:eastAsia="Times New Roman" w:cstheme="minorHAnsi"/>
                <w:lang w:eastAsia="en-AU"/>
              </w:rPr>
              <w:t>accuracy</w:t>
            </w:r>
            <w:r w:rsidRPr="00CF39C8">
              <w:rPr>
                <w:rFonts w:eastAsia="Times New Roman" w:cstheme="minorHAnsi"/>
                <w:lang w:eastAsia="en-AU"/>
              </w:rPr>
              <w:t xml:space="preserve"> against pre-implementation baseline.</w:t>
            </w:r>
          </w:p>
          <w:p w14:paraId="6C743F11" w14:textId="77777777" w:rsidR="008344A3" w:rsidRPr="00CF39C8" w:rsidRDefault="008344A3" w:rsidP="00430317">
            <w:pPr>
              <w:pStyle w:val="ListParagraph"/>
              <w:numPr>
                <w:ilvl w:val="0"/>
                <w:numId w:val="48"/>
              </w:numPr>
              <w:spacing w:line="240" w:lineRule="auto"/>
              <w:textAlignment w:val="baseline"/>
              <w:rPr>
                <w:rFonts w:eastAsia="Times New Roman" w:cstheme="minorHAnsi"/>
                <w:lang w:eastAsia="en-AU"/>
              </w:rPr>
            </w:pPr>
            <w:r w:rsidRPr="00CF39C8">
              <w:rPr>
                <w:rFonts w:eastAsia="Times New Roman" w:cstheme="minorHAnsi"/>
                <w:lang w:eastAsia="en-AU"/>
              </w:rPr>
              <w:t xml:space="preserve">Consultation quality will likely be evaluated based on number of responses, and a comparison of responses to </w:t>
            </w:r>
            <w:r w:rsidR="001223E9" w:rsidRPr="00CF39C8">
              <w:rPr>
                <w:rFonts w:eastAsia="Times New Roman" w:cstheme="minorHAnsi"/>
                <w:lang w:eastAsia="en-AU"/>
              </w:rPr>
              <w:t xml:space="preserve">those </w:t>
            </w:r>
            <w:r w:rsidRPr="00CF39C8">
              <w:rPr>
                <w:rFonts w:eastAsia="Times New Roman" w:cstheme="minorHAnsi"/>
                <w:lang w:eastAsia="en-AU"/>
              </w:rPr>
              <w:t xml:space="preserve">received </w:t>
            </w:r>
            <w:r w:rsidR="007F20D7" w:rsidRPr="00CF39C8">
              <w:rPr>
                <w:rFonts w:eastAsia="Times New Roman" w:cstheme="minorHAnsi"/>
                <w:lang w:eastAsia="en-AU"/>
              </w:rPr>
              <w:t>during previous consultation phases</w:t>
            </w:r>
            <w:r w:rsidRPr="00CF39C8">
              <w:rPr>
                <w:rFonts w:eastAsia="Times New Roman" w:cstheme="minorHAnsi"/>
                <w:lang w:eastAsia="en-AU"/>
              </w:rPr>
              <w:t>.</w:t>
            </w:r>
          </w:p>
          <w:p w14:paraId="42A4644A" w14:textId="77777777" w:rsidR="00915033" w:rsidRPr="00CF39C8" w:rsidRDefault="008344A3" w:rsidP="00430317">
            <w:pPr>
              <w:pStyle w:val="ListParagraph"/>
              <w:numPr>
                <w:ilvl w:val="0"/>
                <w:numId w:val="48"/>
              </w:numPr>
              <w:spacing w:line="240" w:lineRule="auto"/>
              <w:textAlignment w:val="baseline"/>
              <w:rPr>
                <w:rFonts w:eastAsia="Times New Roman" w:cstheme="minorHAnsi"/>
                <w:lang w:eastAsia="en-AU"/>
              </w:rPr>
            </w:pPr>
            <w:r w:rsidRPr="00CF39C8">
              <w:rPr>
                <w:rFonts w:eastAsia="Times New Roman" w:cstheme="minorHAnsi"/>
                <w:lang w:eastAsia="en-AU"/>
              </w:rPr>
              <w:t xml:space="preserve">Ongoing opportunity for feedback is difficult to </w:t>
            </w:r>
            <w:r w:rsidR="007F20D7" w:rsidRPr="00CF39C8">
              <w:rPr>
                <w:rFonts w:eastAsia="Times New Roman" w:cstheme="minorHAnsi"/>
                <w:lang w:eastAsia="en-AU"/>
              </w:rPr>
              <w:t>estimate</w:t>
            </w:r>
            <w:r w:rsidRPr="00CF39C8">
              <w:rPr>
                <w:rFonts w:eastAsia="Times New Roman" w:cstheme="minorHAnsi"/>
                <w:lang w:eastAsia="en-AU"/>
              </w:rPr>
              <w:t xml:space="preserve">, but will likely be evaluated based on correspondence received regarding a </w:t>
            </w:r>
            <w:r w:rsidR="006D4EF3" w:rsidRPr="00CF39C8">
              <w:rPr>
                <w:rFonts w:cstheme="minorHAnsi"/>
              </w:rPr>
              <w:t>NVES</w:t>
            </w:r>
            <w:r w:rsidRPr="00CF39C8">
              <w:rPr>
                <w:rFonts w:eastAsia="Times New Roman" w:cstheme="minorHAnsi"/>
                <w:lang w:eastAsia="en-AU"/>
              </w:rPr>
              <w:t xml:space="preserve"> post-implementation.</w:t>
            </w:r>
          </w:p>
        </w:tc>
      </w:tr>
      <w:tr w:rsidR="00915033" w:rsidRPr="00CF39C8" w14:paraId="122CE4C5" w14:textId="77777777" w:rsidTr="00E41544">
        <w:tc>
          <w:tcPr>
            <w:tcW w:w="0" w:type="auto"/>
            <w:tcBorders>
              <w:top w:val="single" w:sz="4" w:space="0" w:color="9BC7CE"/>
              <w:left w:val="single" w:sz="4" w:space="0" w:color="9BC7CE"/>
              <w:bottom w:val="single" w:sz="4" w:space="0" w:color="9BC7CE"/>
              <w:right w:val="single" w:sz="4" w:space="0" w:color="9BC7CE"/>
            </w:tcBorders>
          </w:tcPr>
          <w:p w14:paraId="4CD74516" w14:textId="77777777" w:rsidR="00915033" w:rsidRPr="00CF39C8" w:rsidRDefault="00915033" w:rsidP="001A182A">
            <w:pPr>
              <w:keepNext/>
              <w:spacing w:line="240" w:lineRule="auto"/>
              <w:textAlignment w:val="baseline"/>
              <w:rPr>
                <w:rFonts w:eastAsia="Times New Roman" w:cstheme="minorHAnsi"/>
                <w:lang w:eastAsia="en-AU"/>
              </w:rPr>
            </w:pPr>
            <w:r w:rsidRPr="00CF39C8">
              <w:rPr>
                <w:rFonts w:eastAsia="Times New Roman" w:cstheme="minorHAnsi"/>
                <w:lang w:eastAsia="en-AU"/>
              </w:rPr>
              <w:t xml:space="preserve">Consider scrappage rates, and whether the average age of the car parc will increase. </w:t>
            </w:r>
          </w:p>
        </w:tc>
        <w:tc>
          <w:tcPr>
            <w:tcW w:w="0" w:type="auto"/>
            <w:tcBorders>
              <w:top w:val="single" w:sz="4" w:space="0" w:color="9BC7CE"/>
              <w:left w:val="single" w:sz="4" w:space="0" w:color="9BC7CE"/>
              <w:bottom w:val="single" w:sz="4" w:space="0" w:color="9BC7CE"/>
              <w:right w:val="single" w:sz="4" w:space="0" w:color="9BC7CE"/>
            </w:tcBorders>
          </w:tcPr>
          <w:p w14:paraId="79823C5F" w14:textId="77777777" w:rsidR="00917933" w:rsidRPr="00CF39C8" w:rsidRDefault="00917933" w:rsidP="00915033">
            <w:pPr>
              <w:keepNext/>
              <w:spacing w:line="240" w:lineRule="auto"/>
              <w:textAlignment w:val="baseline"/>
              <w:rPr>
                <w:rFonts w:eastAsia="Times New Roman" w:cstheme="minorHAnsi"/>
                <w:lang w:eastAsia="en-AU"/>
              </w:rPr>
            </w:pPr>
            <w:r w:rsidRPr="00CF39C8">
              <w:rPr>
                <w:rFonts w:eastAsia="Times New Roman" w:cstheme="minorHAnsi"/>
                <w:lang w:eastAsia="en-AU"/>
              </w:rPr>
              <w:t>This measure can be evaluated in two key ways:</w:t>
            </w:r>
          </w:p>
          <w:p w14:paraId="1453117C" w14:textId="77777777" w:rsidR="00915033" w:rsidRPr="00CF39C8" w:rsidRDefault="007829D2" w:rsidP="00430317">
            <w:pPr>
              <w:pStyle w:val="ListParagraph"/>
              <w:keepNext/>
              <w:numPr>
                <w:ilvl w:val="0"/>
                <w:numId w:val="47"/>
              </w:numPr>
              <w:spacing w:line="240" w:lineRule="auto"/>
              <w:textAlignment w:val="baseline"/>
              <w:rPr>
                <w:rFonts w:eastAsia="Times New Roman" w:cstheme="minorHAnsi"/>
                <w:lang w:eastAsia="en-AU"/>
              </w:rPr>
            </w:pPr>
            <w:r w:rsidRPr="00CF39C8">
              <w:rPr>
                <w:rFonts w:eastAsia="Times New Roman" w:cstheme="minorHAnsi"/>
                <w:lang w:eastAsia="en-AU"/>
              </w:rPr>
              <w:t>Use vehicle registration</w:t>
            </w:r>
            <w:r w:rsidR="00917933" w:rsidRPr="00CF39C8">
              <w:rPr>
                <w:rFonts w:eastAsia="Times New Roman" w:cstheme="minorHAnsi"/>
                <w:lang w:eastAsia="en-AU"/>
              </w:rPr>
              <w:t xml:space="preserve"> data</w:t>
            </w:r>
            <w:r w:rsidRPr="00CF39C8">
              <w:rPr>
                <w:rFonts w:eastAsia="Times New Roman" w:cstheme="minorHAnsi"/>
                <w:lang w:eastAsia="en-AU"/>
              </w:rPr>
              <w:t xml:space="preserve"> </w:t>
            </w:r>
            <w:r w:rsidR="00917933" w:rsidRPr="00CF39C8">
              <w:rPr>
                <w:rFonts w:eastAsia="Times New Roman" w:cstheme="minorHAnsi"/>
                <w:lang w:eastAsia="en-AU"/>
              </w:rPr>
              <w:t xml:space="preserve">to determine the number of cars that have left the road over the course of a year, compared to the number of new vehicles. </w:t>
            </w:r>
            <w:r w:rsidR="005D5114" w:rsidRPr="00CF39C8">
              <w:rPr>
                <w:rFonts w:eastAsia="Times New Roman" w:cstheme="minorHAnsi"/>
                <w:lang w:eastAsia="en-AU"/>
              </w:rPr>
              <w:t xml:space="preserve">(This may require </w:t>
            </w:r>
            <w:r w:rsidR="00EE3DE5" w:rsidRPr="00CF39C8">
              <w:rPr>
                <w:rFonts w:eastAsia="Times New Roman" w:cstheme="minorHAnsi"/>
                <w:lang w:eastAsia="en-AU"/>
              </w:rPr>
              <w:t xml:space="preserve">factoring into </w:t>
            </w:r>
            <w:r w:rsidR="005D5114" w:rsidRPr="00CF39C8">
              <w:rPr>
                <w:rFonts w:eastAsia="Times New Roman" w:cstheme="minorHAnsi"/>
                <w:lang w:eastAsia="en-AU"/>
              </w:rPr>
              <w:t xml:space="preserve">new data sharing agreements </w:t>
            </w:r>
            <w:r w:rsidR="00EE3DE5" w:rsidRPr="00CF39C8">
              <w:rPr>
                <w:rFonts w:eastAsia="Times New Roman" w:cstheme="minorHAnsi"/>
                <w:lang w:eastAsia="en-AU"/>
              </w:rPr>
              <w:t xml:space="preserve">being put in place </w:t>
            </w:r>
            <w:r w:rsidR="005D5114" w:rsidRPr="00CF39C8">
              <w:rPr>
                <w:rFonts w:eastAsia="Times New Roman" w:cstheme="minorHAnsi"/>
                <w:lang w:eastAsia="en-AU"/>
              </w:rPr>
              <w:t>with jurisdictions).</w:t>
            </w:r>
          </w:p>
          <w:p w14:paraId="51D27705" w14:textId="77777777" w:rsidR="00915033" w:rsidRPr="00CF39C8" w:rsidRDefault="00917933" w:rsidP="00430317">
            <w:pPr>
              <w:pStyle w:val="ListParagraph"/>
              <w:keepNext/>
              <w:numPr>
                <w:ilvl w:val="0"/>
                <w:numId w:val="47"/>
              </w:numPr>
              <w:spacing w:line="240" w:lineRule="auto"/>
              <w:textAlignment w:val="baseline"/>
              <w:rPr>
                <w:rFonts w:eastAsia="Times New Roman" w:cstheme="minorHAnsi"/>
                <w:lang w:eastAsia="en-AU"/>
              </w:rPr>
            </w:pPr>
            <w:r w:rsidRPr="00CF39C8">
              <w:rPr>
                <w:rFonts w:eastAsia="Times New Roman" w:cstheme="minorHAnsi"/>
                <w:lang w:eastAsia="en-AU"/>
              </w:rPr>
              <w:t xml:space="preserve">Use the same data to calculate </w:t>
            </w:r>
            <w:r w:rsidR="007F20D7" w:rsidRPr="00CF39C8">
              <w:rPr>
                <w:rFonts w:eastAsia="Times New Roman" w:cstheme="minorHAnsi"/>
                <w:lang w:eastAsia="en-AU"/>
              </w:rPr>
              <w:t>the</w:t>
            </w:r>
            <w:r w:rsidRPr="00CF39C8">
              <w:rPr>
                <w:rFonts w:eastAsia="Times New Roman" w:cstheme="minorHAnsi"/>
                <w:lang w:eastAsia="en-AU"/>
              </w:rPr>
              <w:t xml:space="preserve"> average </w:t>
            </w:r>
            <w:r w:rsidR="007F20D7" w:rsidRPr="00CF39C8">
              <w:rPr>
                <w:rFonts w:eastAsia="Times New Roman" w:cstheme="minorHAnsi"/>
                <w:lang w:eastAsia="en-AU"/>
              </w:rPr>
              <w:t>age</w:t>
            </w:r>
            <w:r w:rsidRPr="00CF39C8">
              <w:rPr>
                <w:rFonts w:eastAsia="Times New Roman" w:cstheme="minorHAnsi"/>
                <w:lang w:eastAsia="en-AU"/>
              </w:rPr>
              <w:t xml:space="preserve"> of the national fleet. </w:t>
            </w:r>
          </w:p>
        </w:tc>
      </w:tr>
    </w:tbl>
    <w:p w14:paraId="5F5106E5" w14:textId="77777777" w:rsidR="00EC454E" w:rsidRPr="00CF39C8" w:rsidRDefault="00915033" w:rsidP="00915033">
      <w:pPr>
        <w:pStyle w:val="Caption"/>
        <w:rPr>
          <w:rFonts w:asciiTheme="majorHAnsi" w:hAnsiTheme="majorHAnsi" w:cstheme="majorHAnsi"/>
        </w:rPr>
      </w:pPr>
      <w:bookmarkStart w:id="581" w:name="_Ref153281932"/>
      <w:bookmarkStart w:id="582" w:name="_Toc161837796"/>
      <w:bookmarkStart w:id="583" w:name="_Toc161933242"/>
      <w:bookmarkStart w:id="584" w:name="_Toc163221141"/>
      <w:r w:rsidRPr="00CF39C8">
        <w:t xml:space="preserve">Table </w:t>
      </w:r>
      <w:bookmarkEnd w:id="581"/>
      <w:r w:rsidR="006C6B3E">
        <w:t>2</w:t>
      </w:r>
      <w:r w:rsidR="00C6227F">
        <w:t>1</w:t>
      </w:r>
      <w:r w:rsidRPr="00CF39C8">
        <w:t xml:space="preserve"> </w:t>
      </w:r>
      <w:r w:rsidR="000A6EF8" w:rsidRPr="00CF39C8">
        <w:rPr>
          <w:b w:val="0"/>
        </w:rPr>
        <w:t xml:space="preserve">– </w:t>
      </w:r>
      <w:r w:rsidRPr="00CF39C8">
        <w:rPr>
          <w:b w:val="0"/>
        </w:rPr>
        <w:t>Success Measures and Associated Evaluation Metrics</w:t>
      </w:r>
      <w:bookmarkEnd w:id="582"/>
      <w:bookmarkEnd w:id="583"/>
      <w:bookmarkEnd w:id="584"/>
    </w:p>
    <w:p w14:paraId="42827B46" w14:textId="77777777" w:rsidR="00AE3241" w:rsidRPr="00CF39C8" w:rsidRDefault="00AE3241" w:rsidP="00430317">
      <w:pPr>
        <w:pStyle w:val="Heading2"/>
        <w:numPr>
          <w:ilvl w:val="1"/>
          <w:numId w:val="66"/>
        </w:numPr>
        <w:ind w:hanging="792"/>
      </w:pPr>
      <w:bookmarkStart w:id="585" w:name="_Toc161837691"/>
      <w:bookmarkStart w:id="586" w:name="_Toc161933188"/>
      <w:bookmarkStart w:id="587" w:name="_Toc162276497"/>
      <w:bookmarkStart w:id="588" w:name="_Toc163221091"/>
      <w:r w:rsidRPr="00CF39C8">
        <w:t>Program monitoring and evaluation</w:t>
      </w:r>
      <w:bookmarkEnd w:id="585"/>
      <w:bookmarkEnd w:id="586"/>
      <w:bookmarkEnd w:id="587"/>
      <w:bookmarkEnd w:id="588"/>
      <w:r w:rsidRPr="00CF39C8">
        <w:t xml:space="preserve"> </w:t>
      </w:r>
    </w:p>
    <w:p w14:paraId="22BFFE7A" w14:textId="77777777" w:rsidR="00AE3241" w:rsidRPr="00CF39C8" w:rsidRDefault="00AE3241" w:rsidP="00046950">
      <w:pPr>
        <w:rPr>
          <w:rFonts w:cstheme="minorHAnsi"/>
        </w:rPr>
      </w:pPr>
      <w:r w:rsidRPr="00CF39C8">
        <w:rPr>
          <w:rFonts w:cstheme="minorHAnsi"/>
        </w:rPr>
        <w:t xml:space="preserve">A robust monitoring and evaluation framework will be a core component of the ongoing success of the </w:t>
      </w:r>
      <w:r w:rsidR="006D4EF3" w:rsidRPr="00CF39C8">
        <w:rPr>
          <w:rFonts w:asciiTheme="majorHAnsi" w:hAnsiTheme="majorHAnsi" w:cstheme="majorHAnsi"/>
        </w:rPr>
        <w:t>NVES</w:t>
      </w:r>
      <w:r w:rsidRPr="00CF39C8">
        <w:rPr>
          <w:rFonts w:cstheme="minorHAnsi"/>
        </w:rPr>
        <w:t xml:space="preserve">. The framework will support continuous improvement and accountability, and ensure that the policy and legislative requirements are being met. Evaluation will need to consider the overarching policy efficiency, as well as looking at aspects of the policy implementation and whether any adjustments to the </w:t>
      </w:r>
      <w:r w:rsidR="006D4EF3" w:rsidRPr="00CF39C8">
        <w:rPr>
          <w:rFonts w:asciiTheme="majorHAnsi" w:hAnsiTheme="majorHAnsi" w:cstheme="majorHAnsi"/>
        </w:rPr>
        <w:t>NVES</w:t>
      </w:r>
      <w:r w:rsidRPr="00CF39C8">
        <w:rPr>
          <w:rFonts w:cstheme="minorHAnsi"/>
        </w:rPr>
        <w:t xml:space="preserve"> regulatory framework may be warranted. </w:t>
      </w:r>
    </w:p>
    <w:p w14:paraId="3A926430" w14:textId="77777777" w:rsidR="00AE3241" w:rsidRPr="00CF39C8" w:rsidRDefault="00AE3241" w:rsidP="00A273FB">
      <w:pPr>
        <w:rPr>
          <w:rFonts w:cstheme="minorHAnsi"/>
        </w:rPr>
      </w:pPr>
      <w:r w:rsidRPr="00CF39C8">
        <w:rPr>
          <w:rFonts w:cstheme="minorHAnsi"/>
        </w:rPr>
        <w:t xml:space="preserve">The </w:t>
      </w:r>
      <w:r w:rsidR="00D26581" w:rsidRPr="00CF39C8">
        <w:rPr>
          <w:rFonts w:cstheme="minorHAnsi"/>
        </w:rPr>
        <w:t>d</w:t>
      </w:r>
      <w:r w:rsidR="00D15D0C" w:rsidRPr="00CF39C8">
        <w:rPr>
          <w:rFonts w:cstheme="minorHAnsi"/>
        </w:rPr>
        <w:t xml:space="preserve">epartment </w:t>
      </w:r>
      <w:r w:rsidR="00337833">
        <w:rPr>
          <w:rFonts w:cstheme="minorHAnsi"/>
        </w:rPr>
        <w:t xml:space="preserve">will undertake </w:t>
      </w:r>
      <w:r w:rsidRPr="00CF39C8">
        <w:rPr>
          <w:rFonts w:cstheme="minorHAnsi"/>
        </w:rPr>
        <w:t>periodic review</w:t>
      </w:r>
      <w:r w:rsidR="000B11F9" w:rsidRPr="00CF39C8">
        <w:rPr>
          <w:rFonts w:cstheme="minorHAnsi"/>
        </w:rPr>
        <w:t>s</w:t>
      </w:r>
      <w:r w:rsidR="005D5114" w:rsidRPr="00CF39C8">
        <w:rPr>
          <w:rFonts w:cstheme="minorHAnsi"/>
        </w:rPr>
        <w:t xml:space="preserve"> of the </w:t>
      </w:r>
      <w:r w:rsidR="006D4EF3" w:rsidRPr="00CF39C8">
        <w:rPr>
          <w:rFonts w:asciiTheme="majorHAnsi" w:hAnsiTheme="majorHAnsi" w:cstheme="majorHAnsi"/>
        </w:rPr>
        <w:t>NVES</w:t>
      </w:r>
      <w:r w:rsidR="005D5114" w:rsidRPr="00CF39C8">
        <w:rPr>
          <w:rFonts w:cstheme="minorHAnsi"/>
        </w:rPr>
        <w:t xml:space="preserve">, </w:t>
      </w:r>
      <w:r w:rsidR="000B11F9" w:rsidRPr="00CF39C8">
        <w:rPr>
          <w:rFonts w:cstheme="minorHAnsi"/>
        </w:rPr>
        <w:t xml:space="preserve">starting </w:t>
      </w:r>
      <w:r w:rsidR="00AF6A72" w:rsidRPr="00CF39C8">
        <w:rPr>
          <w:rFonts w:cstheme="minorHAnsi"/>
        </w:rPr>
        <w:t xml:space="preserve">in </w:t>
      </w:r>
      <w:r w:rsidR="000B11F9" w:rsidRPr="00CF39C8">
        <w:rPr>
          <w:rFonts w:cstheme="minorHAnsi"/>
        </w:rPr>
        <w:t xml:space="preserve">2026, </w:t>
      </w:r>
      <w:r w:rsidRPr="00CF39C8">
        <w:rPr>
          <w:rFonts w:cstheme="minorHAnsi"/>
        </w:rPr>
        <w:t xml:space="preserve">in its implementation plans. There will be a necessary bedding-in period for the new requirements of the </w:t>
      </w:r>
      <w:r w:rsidR="006D4EF3" w:rsidRPr="00CF39C8">
        <w:rPr>
          <w:rFonts w:asciiTheme="majorHAnsi" w:hAnsiTheme="majorHAnsi" w:cstheme="majorHAnsi"/>
        </w:rPr>
        <w:t>NVES</w:t>
      </w:r>
      <w:r w:rsidRPr="00CF39C8">
        <w:rPr>
          <w:rFonts w:cstheme="minorHAnsi"/>
        </w:rPr>
        <w:t xml:space="preserve">, during which time the regulated entities, and the </w:t>
      </w:r>
      <w:r w:rsidR="00501C4A" w:rsidRPr="00CF39C8">
        <w:rPr>
          <w:rFonts w:cstheme="minorHAnsi"/>
        </w:rPr>
        <w:t>r</w:t>
      </w:r>
      <w:r w:rsidRPr="00CF39C8">
        <w:rPr>
          <w:rFonts w:cstheme="minorHAnsi"/>
        </w:rPr>
        <w:t xml:space="preserve">egulator, will be implementing new systems and processes. It is only natural that during this time more effective ways of operating may be identified by the </w:t>
      </w:r>
      <w:r w:rsidR="00501C4A" w:rsidRPr="00CF39C8">
        <w:rPr>
          <w:rFonts w:cstheme="minorHAnsi"/>
        </w:rPr>
        <w:t>r</w:t>
      </w:r>
      <w:r w:rsidRPr="00CF39C8">
        <w:rPr>
          <w:rFonts w:cstheme="minorHAnsi"/>
        </w:rPr>
        <w:t xml:space="preserve">egulator, or by the </w:t>
      </w:r>
      <w:r w:rsidR="00FE52A7" w:rsidRPr="00CF39C8">
        <w:rPr>
          <w:rFonts w:cstheme="minorHAnsi"/>
        </w:rPr>
        <w:t>r</w:t>
      </w:r>
      <w:r w:rsidRPr="00CF39C8">
        <w:rPr>
          <w:rFonts w:cstheme="minorHAnsi"/>
        </w:rPr>
        <w:t xml:space="preserve">egulated entities. Reviews offer the opportunity to not only take stock of the policy effectiveness, but also refine the regulatory systems and mechanisms in place to support continuous improvement of the new </w:t>
      </w:r>
      <w:r w:rsidR="006D4EF3" w:rsidRPr="00CF39C8">
        <w:rPr>
          <w:rFonts w:asciiTheme="majorHAnsi" w:hAnsiTheme="majorHAnsi" w:cstheme="majorHAnsi"/>
        </w:rPr>
        <w:t>NVES</w:t>
      </w:r>
      <w:r w:rsidRPr="00CF39C8">
        <w:rPr>
          <w:rFonts w:cstheme="minorHAnsi"/>
        </w:rPr>
        <w:t xml:space="preserve"> policy. </w:t>
      </w:r>
    </w:p>
    <w:p w14:paraId="1D1A656C" w14:textId="77777777" w:rsidR="00AE3241" w:rsidRPr="00CF39C8" w:rsidRDefault="00F35639" w:rsidP="006B6B9C">
      <w:pPr>
        <w:pStyle w:val="Heading3"/>
      </w:pPr>
      <w:bookmarkStart w:id="589" w:name="_Toc161837692"/>
      <w:bookmarkStart w:id="590" w:name="_Toc161933189"/>
      <w:bookmarkStart w:id="591" w:name="_Toc162276498"/>
      <w:bookmarkStart w:id="592" w:name="_Toc163221092"/>
      <w:r w:rsidRPr="00CF39C8">
        <w:t>8.1</w:t>
      </w:r>
      <w:r w:rsidR="007278FE" w:rsidRPr="00CF39C8">
        <w:t xml:space="preserve">.1 </w:t>
      </w:r>
      <w:r w:rsidR="00AE3241" w:rsidRPr="00CF39C8">
        <w:t xml:space="preserve">Monitoring of ongoing </w:t>
      </w:r>
      <w:r w:rsidR="006D4EF3" w:rsidRPr="00CF39C8">
        <w:rPr>
          <w:rFonts w:cstheme="majorHAnsi"/>
        </w:rPr>
        <w:t>NVES</w:t>
      </w:r>
      <w:r w:rsidR="00AE3241" w:rsidRPr="00CF39C8">
        <w:t xml:space="preserve"> operations</w:t>
      </w:r>
      <w:bookmarkEnd w:id="589"/>
      <w:bookmarkEnd w:id="590"/>
      <w:bookmarkEnd w:id="591"/>
      <w:bookmarkEnd w:id="592"/>
    </w:p>
    <w:p w14:paraId="18B1ADDD" w14:textId="77777777" w:rsidR="00AE3241" w:rsidRPr="00CF39C8" w:rsidRDefault="00AE3241" w:rsidP="00E52F67">
      <w:pPr>
        <w:rPr>
          <w:rFonts w:cstheme="minorHAnsi"/>
        </w:rPr>
      </w:pPr>
      <w:r w:rsidRPr="00CF39C8">
        <w:rPr>
          <w:rFonts w:cstheme="minorHAnsi"/>
        </w:rPr>
        <w:t xml:space="preserve">The Regulator will be responsible for undertaking an ongoing regime of quality assurance, monitoring and enforcement for the </w:t>
      </w:r>
      <w:r w:rsidR="006D4EF3" w:rsidRPr="00CF39C8">
        <w:rPr>
          <w:rFonts w:asciiTheme="majorHAnsi" w:hAnsiTheme="majorHAnsi" w:cstheme="majorHAnsi"/>
        </w:rPr>
        <w:t>NVES</w:t>
      </w:r>
      <w:r w:rsidRPr="00CF39C8">
        <w:rPr>
          <w:rFonts w:cstheme="minorHAnsi"/>
        </w:rPr>
        <w:t xml:space="preserve">. </w:t>
      </w:r>
      <w:r w:rsidR="00EB5FA0" w:rsidRPr="00CF39C8">
        <w:t xml:space="preserve">See </w:t>
      </w:r>
      <w:r w:rsidR="00B60149" w:rsidRPr="00337833">
        <w:t xml:space="preserve">Chapter </w:t>
      </w:r>
      <w:r w:rsidR="004B4609" w:rsidRPr="00337833">
        <w:t>7</w:t>
      </w:r>
      <w:r w:rsidR="00EB5FA0" w:rsidRPr="00CF39C8">
        <w:t xml:space="preserve"> for the intended powers to underpin these responsibilities.</w:t>
      </w:r>
    </w:p>
    <w:p w14:paraId="7367B1A7" w14:textId="77777777" w:rsidR="00AE3241" w:rsidRPr="00CF39C8" w:rsidRDefault="00AE3241" w:rsidP="00E52F67">
      <w:pPr>
        <w:rPr>
          <w:rFonts w:cstheme="minorHAnsi"/>
        </w:rPr>
      </w:pPr>
      <w:r w:rsidRPr="00CF39C8">
        <w:rPr>
          <w:rFonts w:cstheme="minorHAnsi"/>
        </w:rPr>
        <w:t xml:space="preserve">Key to an effective monitoring regime will </w:t>
      </w:r>
      <w:r w:rsidR="00EB5FA0" w:rsidRPr="00CF39C8">
        <w:rPr>
          <w:rFonts w:cstheme="minorHAnsi"/>
        </w:rPr>
        <w:t xml:space="preserve">also </w:t>
      </w:r>
      <w:r w:rsidRPr="00CF39C8">
        <w:rPr>
          <w:rFonts w:cstheme="minorHAnsi"/>
        </w:rPr>
        <w:t xml:space="preserve">be robust data and reporting and effective use of enabling ICT systems. We anticipate that there will be opportunities to make use of existing technology already in use for reporting for other vehicle compliance purposes, and the </w:t>
      </w:r>
      <w:r w:rsidR="00D26581" w:rsidRPr="00CF39C8">
        <w:rPr>
          <w:rFonts w:cstheme="minorHAnsi"/>
        </w:rPr>
        <w:t>d</w:t>
      </w:r>
      <w:r w:rsidR="00D15D0C" w:rsidRPr="00CF39C8">
        <w:rPr>
          <w:rFonts w:cstheme="minorHAnsi"/>
        </w:rPr>
        <w:t>epartment</w:t>
      </w:r>
      <w:r w:rsidRPr="00CF39C8">
        <w:rPr>
          <w:rFonts w:cstheme="minorHAnsi"/>
        </w:rPr>
        <w:t>/</w:t>
      </w:r>
      <w:r w:rsidR="00501C4A" w:rsidRPr="00CF39C8">
        <w:rPr>
          <w:rFonts w:cstheme="minorHAnsi"/>
        </w:rPr>
        <w:t>r</w:t>
      </w:r>
      <w:r w:rsidRPr="00CF39C8">
        <w:rPr>
          <w:rFonts w:cstheme="minorHAnsi"/>
        </w:rPr>
        <w:t xml:space="preserve">egulator will aim to create a system with minimal user burden while still ensuring robust data collection. </w:t>
      </w:r>
      <w:r w:rsidR="000769D1" w:rsidRPr="00CF39C8">
        <w:rPr>
          <w:rFonts w:cstheme="minorHAnsi"/>
        </w:rPr>
        <w:t xml:space="preserve">Additionally, the regulator should maintain authority over the key data relevant to assess the implementation and operation of a </w:t>
      </w:r>
      <w:r w:rsidR="006D4EF3" w:rsidRPr="00CF39C8">
        <w:rPr>
          <w:rFonts w:asciiTheme="majorHAnsi" w:hAnsiTheme="majorHAnsi" w:cstheme="majorHAnsi"/>
        </w:rPr>
        <w:t>NVES</w:t>
      </w:r>
      <w:r w:rsidR="000769D1" w:rsidRPr="00CF39C8">
        <w:rPr>
          <w:rFonts w:cstheme="minorHAnsi"/>
        </w:rPr>
        <w:t xml:space="preserve">, rather than requiring other sections or departments to be the primary data holders. </w:t>
      </w:r>
    </w:p>
    <w:p w14:paraId="6C17409D" w14:textId="77777777" w:rsidR="00AE3241" w:rsidRPr="00CF39C8" w:rsidRDefault="00F35639" w:rsidP="00831A1F">
      <w:pPr>
        <w:pStyle w:val="Heading3"/>
      </w:pPr>
      <w:bookmarkStart w:id="593" w:name="_Toc161837693"/>
      <w:bookmarkStart w:id="594" w:name="_Toc161933190"/>
      <w:bookmarkStart w:id="595" w:name="_Toc162276499"/>
      <w:bookmarkStart w:id="596" w:name="_Toc163221093"/>
      <w:r w:rsidRPr="00CF39C8">
        <w:t>8.1</w:t>
      </w:r>
      <w:r w:rsidR="007278FE" w:rsidRPr="00CF39C8">
        <w:t xml:space="preserve">.2 </w:t>
      </w:r>
      <w:r w:rsidR="00AE3241" w:rsidRPr="00CF39C8">
        <w:t>Program evaluation</w:t>
      </w:r>
      <w:bookmarkEnd w:id="593"/>
      <w:bookmarkEnd w:id="594"/>
      <w:bookmarkEnd w:id="595"/>
      <w:bookmarkEnd w:id="596"/>
    </w:p>
    <w:p w14:paraId="5316A512" w14:textId="77777777" w:rsidR="00AE3241" w:rsidRPr="00CF39C8" w:rsidRDefault="00AE3241" w:rsidP="00A273FB">
      <w:pPr>
        <w:rPr>
          <w:rFonts w:cstheme="minorHAnsi"/>
        </w:rPr>
      </w:pPr>
      <w:r w:rsidRPr="00CF39C8">
        <w:rPr>
          <w:rFonts w:cstheme="minorHAnsi"/>
        </w:rPr>
        <w:t xml:space="preserve">There are three areas for a review/evaluation to consider: processes, efficiency and impact. </w:t>
      </w:r>
    </w:p>
    <w:p w14:paraId="26C77BE2"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Process evaluation</w:t>
      </w:r>
    </w:p>
    <w:p w14:paraId="4DE8467F" w14:textId="77777777" w:rsidR="00AE3241" w:rsidRPr="00CF39C8" w:rsidRDefault="00EB6369" w:rsidP="00C26AC8">
      <w:pPr>
        <w:rPr>
          <w:rFonts w:cstheme="minorHAnsi"/>
        </w:rPr>
      </w:pPr>
      <w:r>
        <w:rPr>
          <w:rFonts w:cstheme="minorHAnsi"/>
        </w:rPr>
        <w:t xml:space="preserve">A policy and process </w:t>
      </w:r>
      <w:r w:rsidR="0073608A">
        <w:rPr>
          <w:rFonts w:cstheme="minorHAnsi"/>
        </w:rPr>
        <w:t xml:space="preserve">performance </w:t>
      </w:r>
      <w:r>
        <w:rPr>
          <w:rFonts w:cstheme="minorHAnsi"/>
        </w:rPr>
        <w:t xml:space="preserve">review will be undertaken to </w:t>
      </w:r>
      <w:r w:rsidR="0073608A">
        <w:rPr>
          <w:rFonts w:cstheme="minorHAnsi"/>
        </w:rPr>
        <w:t xml:space="preserve">identify what worked well from an operations perspective, and where there is opportunity to improve. </w:t>
      </w:r>
      <w:r w:rsidR="00AE3241" w:rsidRPr="00CF39C8">
        <w:rPr>
          <w:rFonts w:cstheme="minorHAnsi"/>
        </w:rPr>
        <w:t xml:space="preserve"> This will likely involve </w:t>
      </w:r>
      <w:r w:rsidR="0073608A">
        <w:rPr>
          <w:rFonts w:cstheme="minorHAnsi"/>
        </w:rPr>
        <w:t>engagement with stakeholders</w:t>
      </w:r>
      <w:r w:rsidR="00AE3241" w:rsidRPr="00CF39C8">
        <w:rPr>
          <w:rFonts w:cstheme="minorHAnsi"/>
        </w:rPr>
        <w:t xml:space="preserve">.  </w:t>
      </w:r>
    </w:p>
    <w:p w14:paraId="62E55538"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Efficiency evaluation  </w:t>
      </w:r>
    </w:p>
    <w:p w14:paraId="13033271" w14:textId="77777777" w:rsidR="00AE3241" w:rsidRPr="00CF39C8" w:rsidRDefault="0073608A" w:rsidP="00C26AC8">
      <w:pPr>
        <w:rPr>
          <w:rFonts w:cstheme="minorHAnsi"/>
        </w:rPr>
      </w:pPr>
      <w:r>
        <w:rPr>
          <w:rFonts w:cstheme="minorHAnsi"/>
        </w:rPr>
        <w:t xml:space="preserve">The efficiency evaluation </w:t>
      </w:r>
      <w:r w:rsidR="00AE3241" w:rsidRPr="00CF39C8">
        <w:rPr>
          <w:rFonts w:cstheme="minorHAnsi"/>
        </w:rPr>
        <w:t xml:space="preserve">will consider the investment level versus policy outcomes (value for money). This can include comparing the cost of the policy to alternatives or similar initiatives and determining cost-benefit ratios or costs per unit (outcome, participant, group etc.). It can also review whether value for money assumptions made during the policy design process have been borne out. </w:t>
      </w:r>
    </w:p>
    <w:p w14:paraId="7CB2DE82" w14:textId="77777777" w:rsidR="00AE3241" w:rsidRPr="00CF39C8" w:rsidRDefault="00AE3241" w:rsidP="00C26AC8">
      <w:pPr>
        <w:rPr>
          <w:rFonts w:cstheme="minorHAnsi"/>
        </w:rPr>
      </w:pPr>
      <w:r w:rsidRPr="00CF39C8">
        <w:rPr>
          <w:rFonts w:cstheme="minorHAnsi"/>
        </w:rPr>
        <w:t>Methods for efficiency evaluation include social cost effectiveness and ex-post cost-benefit analyses. Social cost effectiveness analysis compares the costs of two or more policies that achieve the same outcome. This method tends to be used where it is difficult to estimate the monetary value of benefits. In contrast, a social cost-benefit analysis values the various costs and benefits of proposed policies to provide a comparison of policies on a cost per unit of change basis. This method is particularly useful for comparing policies that achieve different levels of change.</w:t>
      </w:r>
    </w:p>
    <w:p w14:paraId="750F09AC"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Impact (effectiveness) evaluation</w:t>
      </w:r>
    </w:p>
    <w:p w14:paraId="5CF313C7" w14:textId="77777777" w:rsidR="00AE3241" w:rsidRPr="00CF39C8" w:rsidRDefault="0073608A" w:rsidP="00C26AC8">
      <w:pPr>
        <w:rPr>
          <w:rFonts w:cstheme="minorHAnsi"/>
        </w:rPr>
      </w:pPr>
      <w:r>
        <w:rPr>
          <w:rFonts w:cstheme="minorHAnsi"/>
        </w:rPr>
        <w:t>An impact evaluation</w:t>
      </w:r>
      <w:r w:rsidR="00AE3241" w:rsidRPr="00CF39C8">
        <w:rPr>
          <w:rFonts w:cstheme="minorHAnsi"/>
        </w:rPr>
        <w:t xml:space="preserve"> will assess the impact of the </w:t>
      </w:r>
      <w:r w:rsidR="00FE52A7" w:rsidRPr="00CF39C8">
        <w:rPr>
          <w:rFonts w:cstheme="minorHAnsi"/>
        </w:rPr>
        <w:t xml:space="preserve">implemented </w:t>
      </w:r>
      <w:r w:rsidR="006D4EF3" w:rsidRPr="00CF39C8">
        <w:rPr>
          <w:rFonts w:asciiTheme="majorHAnsi" w:hAnsiTheme="majorHAnsi" w:cstheme="majorHAnsi"/>
        </w:rPr>
        <w:t>NVES</w:t>
      </w:r>
      <w:r w:rsidR="00AE3241" w:rsidRPr="00CF39C8">
        <w:rPr>
          <w:rFonts w:cstheme="minorHAnsi"/>
        </w:rPr>
        <w:t xml:space="preserve"> policy, including the extent of the impact, </w:t>
      </w:r>
      <w:r w:rsidR="004C0B1D" w:rsidRPr="00CF39C8">
        <w:rPr>
          <w:rFonts w:cstheme="minorHAnsi"/>
        </w:rPr>
        <w:t xml:space="preserve">the achievement of the </w:t>
      </w:r>
      <w:r w:rsidR="006D4EF3" w:rsidRPr="00CF39C8">
        <w:rPr>
          <w:rFonts w:asciiTheme="majorHAnsi" w:hAnsiTheme="majorHAnsi" w:cstheme="majorHAnsi"/>
        </w:rPr>
        <w:t>NVES</w:t>
      </w:r>
      <w:r w:rsidR="004C0B1D" w:rsidRPr="00CF39C8">
        <w:rPr>
          <w:rFonts w:cstheme="minorHAnsi"/>
        </w:rPr>
        <w:t xml:space="preserve"> principles, </w:t>
      </w:r>
      <w:r w:rsidR="00AE3241" w:rsidRPr="00CF39C8">
        <w:rPr>
          <w:rFonts w:cstheme="minorHAnsi"/>
        </w:rPr>
        <w:t xml:space="preserve">overall </w:t>
      </w:r>
      <w:r w:rsidR="004C0B1D" w:rsidRPr="00CF39C8">
        <w:rPr>
          <w:rFonts w:cstheme="minorHAnsi"/>
        </w:rPr>
        <w:t xml:space="preserve">program benefits and outcomes are achieved, </w:t>
      </w:r>
      <w:r w:rsidR="00AE3241" w:rsidRPr="00CF39C8">
        <w:rPr>
          <w:rFonts w:cstheme="minorHAnsi"/>
        </w:rPr>
        <w:t xml:space="preserve">and identify any positive or negative unintended consequences. This will be drawn primarily from data gathered through </w:t>
      </w:r>
      <w:r w:rsidR="006D4EF3" w:rsidRPr="00CF39C8">
        <w:rPr>
          <w:rFonts w:asciiTheme="majorHAnsi" w:hAnsiTheme="majorHAnsi" w:cstheme="majorHAnsi"/>
        </w:rPr>
        <w:t>NVES</w:t>
      </w:r>
      <w:r w:rsidR="00AE3241" w:rsidRPr="00CF39C8">
        <w:rPr>
          <w:rFonts w:cstheme="minorHAnsi"/>
        </w:rPr>
        <w:t xml:space="preserve"> regulatory reporting systems, observing levels of compliance and non-compliance with the </w:t>
      </w:r>
      <w:r w:rsidR="006D4EF3" w:rsidRPr="00CF39C8">
        <w:rPr>
          <w:rFonts w:asciiTheme="majorHAnsi" w:hAnsiTheme="majorHAnsi" w:cstheme="majorHAnsi"/>
        </w:rPr>
        <w:t>NVES</w:t>
      </w:r>
      <w:r w:rsidR="00AE3241" w:rsidRPr="00CF39C8">
        <w:rPr>
          <w:rFonts w:cstheme="minorHAnsi"/>
        </w:rPr>
        <w:t xml:space="preserve"> </w:t>
      </w:r>
      <w:r w:rsidR="00E46B41" w:rsidRPr="00CF39C8">
        <w:rPr>
          <w:rFonts w:cstheme="minorHAnsi"/>
        </w:rPr>
        <w:t>targets</w:t>
      </w:r>
      <w:r w:rsidR="00AE3241" w:rsidRPr="00CF39C8">
        <w:rPr>
          <w:rFonts w:cstheme="minorHAnsi"/>
        </w:rPr>
        <w:t xml:space="preserve"> and assessing the resulting impacts on CO</w:t>
      </w:r>
      <w:r w:rsidR="00AE3241" w:rsidRPr="00CF39C8">
        <w:rPr>
          <w:rFonts w:cstheme="minorHAnsi"/>
          <w:vertAlign w:val="subscript"/>
        </w:rPr>
        <w:t xml:space="preserve">2 </w:t>
      </w:r>
      <w:r w:rsidR="00AE3241" w:rsidRPr="00CF39C8">
        <w:rPr>
          <w:rFonts w:cstheme="minorHAnsi"/>
        </w:rPr>
        <w:t xml:space="preserve">emissions. </w:t>
      </w:r>
    </w:p>
    <w:p w14:paraId="744AA2B7" w14:textId="77777777" w:rsidR="00AE3241" w:rsidRPr="00CF39C8" w:rsidRDefault="00AE3241" w:rsidP="00A273FB">
      <w:pPr>
        <w:rPr>
          <w:rFonts w:cstheme="minorHAnsi"/>
        </w:rPr>
      </w:pPr>
      <w:r w:rsidRPr="00CF39C8">
        <w:rPr>
          <w:rFonts w:cstheme="minorHAnsi"/>
        </w:rPr>
        <w:t xml:space="preserve">The </w:t>
      </w:r>
      <w:r w:rsidR="00D26581" w:rsidRPr="00CF39C8">
        <w:rPr>
          <w:rFonts w:cstheme="minorHAnsi"/>
        </w:rPr>
        <w:t>d</w:t>
      </w:r>
      <w:r w:rsidR="00D15D0C" w:rsidRPr="00CF39C8">
        <w:rPr>
          <w:rFonts w:cstheme="minorHAnsi"/>
        </w:rPr>
        <w:t xml:space="preserve">epartment </w:t>
      </w:r>
      <w:r w:rsidRPr="00CF39C8">
        <w:rPr>
          <w:rFonts w:cstheme="minorHAnsi"/>
        </w:rPr>
        <w:t xml:space="preserve">is proposing </w:t>
      </w:r>
      <w:r w:rsidR="003A6EC1" w:rsidRPr="00CF39C8">
        <w:rPr>
          <w:rFonts w:cstheme="minorHAnsi"/>
        </w:rPr>
        <w:t xml:space="preserve">a </w:t>
      </w:r>
      <w:r w:rsidRPr="00CF39C8">
        <w:rPr>
          <w:rFonts w:cstheme="minorHAnsi"/>
        </w:rPr>
        <w:t xml:space="preserve">review of the </w:t>
      </w:r>
      <w:r w:rsidR="006D4EF3" w:rsidRPr="00CF39C8">
        <w:rPr>
          <w:rFonts w:asciiTheme="majorHAnsi" w:hAnsiTheme="majorHAnsi" w:cstheme="majorHAnsi"/>
        </w:rPr>
        <w:t>NVES</w:t>
      </w:r>
      <w:r w:rsidRPr="00CF39C8">
        <w:rPr>
          <w:rFonts w:cstheme="minorHAnsi"/>
        </w:rPr>
        <w:t xml:space="preserve"> in year </w:t>
      </w:r>
      <w:r w:rsidR="00095571" w:rsidRPr="00CF39C8">
        <w:rPr>
          <w:rFonts w:cstheme="minorHAnsi"/>
        </w:rPr>
        <w:t>two</w:t>
      </w:r>
      <w:r w:rsidRPr="00CF39C8">
        <w:rPr>
          <w:rFonts w:cstheme="minorHAnsi"/>
        </w:rPr>
        <w:t xml:space="preserve"> (2026)</w:t>
      </w:r>
      <w:r w:rsidR="008B688D" w:rsidRPr="00CF39C8">
        <w:rPr>
          <w:rFonts w:cstheme="minorHAnsi"/>
        </w:rPr>
        <w:t xml:space="preserve"> a</w:t>
      </w:r>
      <w:r w:rsidR="003A6EC1" w:rsidRPr="00CF39C8">
        <w:rPr>
          <w:rFonts w:cstheme="minorHAnsi"/>
        </w:rPr>
        <w:t>nd</w:t>
      </w:r>
      <w:r w:rsidR="008B688D" w:rsidRPr="00CF39C8">
        <w:rPr>
          <w:rFonts w:cstheme="minorHAnsi"/>
        </w:rPr>
        <w:t xml:space="preserve"> regularly thereafter</w:t>
      </w:r>
      <w:r w:rsidRPr="00CF39C8">
        <w:rPr>
          <w:rFonts w:cstheme="minorHAnsi"/>
        </w:rPr>
        <w:t xml:space="preserve"> of the policy being in place. Reviews will be conducted by the </w:t>
      </w:r>
      <w:r w:rsidR="00D26581" w:rsidRPr="00CF39C8">
        <w:rPr>
          <w:rFonts w:cstheme="minorHAnsi"/>
        </w:rPr>
        <w:t>de</w:t>
      </w:r>
      <w:r w:rsidR="00D15D0C" w:rsidRPr="00CF39C8">
        <w:rPr>
          <w:rFonts w:cstheme="minorHAnsi"/>
        </w:rPr>
        <w:t>partment</w:t>
      </w:r>
      <w:r w:rsidRPr="00CF39C8">
        <w:rPr>
          <w:rFonts w:cstheme="minorHAnsi"/>
        </w:rPr>
        <w:t xml:space="preserve">, and to the extent possible, final reports will be made publicly available. </w:t>
      </w:r>
    </w:p>
    <w:p w14:paraId="6E51361F" w14:textId="77777777" w:rsidR="00AE3241" w:rsidRPr="00CF39C8" w:rsidRDefault="00AE3241" w:rsidP="00506BEB">
      <w:pPr>
        <w:pStyle w:val="Heading5ES"/>
        <w:numPr>
          <w:ilvl w:val="0"/>
          <w:numId w:val="0"/>
        </w:numPr>
        <w:rPr>
          <w:rFonts w:asciiTheme="minorHAnsi" w:hAnsiTheme="minorHAnsi" w:cstheme="minorHAnsi"/>
        </w:rPr>
      </w:pPr>
      <w:r w:rsidRPr="00CF39C8">
        <w:rPr>
          <w:rFonts w:asciiTheme="minorHAnsi" w:hAnsiTheme="minorHAnsi" w:cstheme="minorHAnsi"/>
        </w:rPr>
        <w:t>Overarching policy objectives and program benefits</w:t>
      </w:r>
    </w:p>
    <w:p w14:paraId="3C9635FA" w14:textId="77777777" w:rsidR="00AE3241" w:rsidRPr="00CF39C8" w:rsidRDefault="00AE3241" w:rsidP="00A96EC9">
      <w:pPr>
        <w:spacing w:after="0"/>
        <w:rPr>
          <w:rFonts w:cstheme="minorHAnsi"/>
        </w:rPr>
      </w:pPr>
      <w:r w:rsidRPr="00CF39C8">
        <w:rPr>
          <w:rFonts w:cstheme="minorHAnsi"/>
        </w:rPr>
        <w:t xml:space="preserve">A number of key performance indicators (KPIs) will also help measure and track progress against overarching program benefits, as defined under the program logic. Future evaluations will also consider to what extent the operation of the </w:t>
      </w:r>
      <w:r w:rsidR="006D4EF3" w:rsidRPr="00CF39C8">
        <w:rPr>
          <w:rFonts w:asciiTheme="majorHAnsi" w:hAnsiTheme="majorHAnsi" w:cstheme="majorHAnsi"/>
        </w:rPr>
        <w:t>NVES</w:t>
      </w:r>
      <w:r w:rsidRPr="00CF39C8">
        <w:rPr>
          <w:rFonts w:cstheme="minorHAnsi"/>
        </w:rPr>
        <w:t xml:space="preserve"> is achieving its intended benefits of:</w:t>
      </w:r>
    </w:p>
    <w:p w14:paraId="69A19541" w14:textId="77777777" w:rsidR="00501C4A" w:rsidRPr="00CF39C8" w:rsidRDefault="00501C4A" w:rsidP="00A96EC9">
      <w:pPr>
        <w:spacing w:after="0"/>
        <w:rPr>
          <w:rFonts w:cstheme="minorHAnsi"/>
        </w:rPr>
      </w:pPr>
    </w:p>
    <w:p w14:paraId="76E7CBDB" w14:textId="77777777" w:rsidR="00AE3241" w:rsidRPr="00CF39C8" w:rsidRDefault="00AE3241" w:rsidP="00430317">
      <w:pPr>
        <w:pStyle w:val="ListParagraph"/>
        <w:numPr>
          <w:ilvl w:val="0"/>
          <w:numId w:val="24"/>
        </w:numPr>
        <w:rPr>
          <w:rFonts w:cstheme="minorHAnsi"/>
        </w:rPr>
      </w:pPr>
      <w:r w:rsidRPr="00CF39C8">
        <w:rPr>
          <w:rFonts w:cstheme="minorHAnsi"/>
        </w:rPr>
        <w:t>CO</w:t>
      </w:r>
      <w:r w:rsidRPr="00CF39C8">
        <w:rPr>
          <w:rFonts w:cstheme="minorHAnsi"/>
          <w:vertAlign w:val="subscript"/>
        </w:rPr>
        <w:t>2</w:t>
      </w:r>
      <w:r w:rsidRPr="00CF39C8">
        <w:rPr>
          <w:rFonts w:cstheme="minorHAnsi"/>
        </w:rPr>
        <w:t xml:space="preserve"> emissions reduction</w:t>
      </w:r>
      <w:r w:rsidR="00E27AA2" w:rsidRPr="00CF39C8">
        <w:rPr>
          <w:rFonts w:cstheme="minorHAnsi"/>
        </w:rPr>
        <w:t>;</w:t>
      </w:r>
    </w:p>
    <w:p w14:paraId="35848A51" w14:textId="77777777" w:rsidR="00AE3241" w:rsidRPr="00CF39C8" w:rsidRDefault="00E27AA2" w:rsidP="00430317">
      <w:pPr>
        <w:pStyle w:val="ListParagraph"/>
        <w:numPr>
          <w:ilvl w:val="0"/>
          <w:numId w:val="24"/>
        </w:numPr>
        <w:rPr>
          <w:rFonts w:cstheme="minorHAnsi"/>
        </w:rPr>
      </w:pPr>
      <w:r w:rsidRPr="00CF39C8">
        <w:rPr>
          <w:rFonts w:cstheme="minorHAnsi"/>
        </w:rPr>
        <w:t>R</w:t>
      </w:r>
      <w:r w:rsidR="00AE3241" w:rsidRPr="00CF39C8">
        <w:rPr>
          <w:rFonts w:cstheme="minorHAnsi"/>
        </w:rPr>
        <w:t>educed fuel consumption</w:t>
      </w:r>
      <w:r w:rsidRPr="00CF39C8">
        <w:rPr>
          <w:rFonts w:cstheme="minorHAnsi"/>
        </w:rPr>
        <w:t>;</w:t>
      </w:r>
    </w:p>
    <w:p w14:paraId="38BB25B6" w14:textId="77777777" w:rsidR="00AE3241" w:rsidRPr="00CF39C8" w:rsidRDefault="00E27AA2" w:rsidP="00430317">
      <w:pPr>
        <w:pStyle w:val="ListParagraph"/>
        <w:numPr>
          <w:ilvl w:val="0"/>
          <w:numId w:val="24"/>
        </w:numPr>
        <w:rPr>
          <w:rFonts w:cstheme="minorHAnsi"/>
        </w:rPr>
      </w:pPr>
      <w:r w:rsidRPr="00CF39C8">
        <w:rPr>
          <w:rFonts w:cstheme="minorHAnsi"/>
        </w:rPr>
        <w:t>A</w:t>
      </w:r>
      <w:r w:rsidR="00AE3241" w:rsidRPr="00CF39C8">
        <w:rPr>
          <w:rFonts w:cstheme="minorHAnsi"/>
        </w:rPr>
        <w:t>vailability and affordability of LZEVs</w:t>
      </w:r>
      <w:r w:rsidRPr="00CF39C8">
        <w:rPr>
          <w:rFonts w:cstheme="minorHAnsi"/>
        </w:rPr>
        <w:t>;</w:t>
      </w:r>
      <w:r w:rsidR="00AE3241" w:rsidRPr="00CF39C8">
        <w:rPr>
          <w:rFonts w:cstheme="minorHAnsi"/>
        </w:rPr>
        <w:t xml:space="preserve"> and</w:t>
      </w:r>
    </w:p>
    <w:p w14:paraId="7EA27A40" w14:textId="77777777" w:rsidR="00AE3241" w:rsidRPr="00CF39C8" w:rsidRDefault="00E27AA2" w:rsidP="00430317">
      <w:pPr>
        <w:pStyle w:val="ListParagraph"/>
        <w:numPr>
          <w:ilvl w:val="0"/>
          <w:numId w:val="24"/>
        </w:numPr>
        <w:rPr>
          <w:rFonts w:cstheme="minorHAnsi"/>
        </w:rPr>
      </w:pPr>
      <w:r w:rsidRPr="00CF39C8">
        <w:rPr>
          <w:rFonts w:cstheme="minorHAnsi"/>
        </w:rPr>
        <w:t>I</w:t>
      </w:r>
      <w:r w:rsidR="00AE3241" w:rsidRPr="00CF39C8">
        <w:rPr>
          <w:rFonts w:cstheme="minorHAnsi"/>
        </w:rPr>
        <w:t>mproved health outcomes for Australians.</w:t>
      </w:r>
    </w:p>
    <w:p w14:paraId="3A38DFDD" w14:textId="77777777" w:rsidR="00AE3241" w:rsidRPr="00CF39C8" w:rsidRDefault="00AE3241">
      <w:pPr>
        <w:rPr>
          <w:rFonts w:cstheme="minorHAnsi"/>
        </w:rPr>
      </w:pPr>
      <w:r w:rsidRPr="00CF39C8">
        <w:rPr>
          <w:rFonts w:cstheme="minorHAnsi"/>
        </w:rPr>
        <w:t xml:space="preserve">Specific KPIs around these program benefits and other program evaluation measures will be developed further refined during program implementation. </w:t>
      </w:r>
    </w:p>
    <w:p w14:paraId="32F0E971" w14:textId="77777777" w:rsidR="00577EAD" w:rsidRPr="00CF39C8" w:rsidRDefault="00577EAD">
      <w:pPr>
        <w:rPr>
          <w:rFonts w:asciiTheme="majorHAnsi" w:hAnsiTheme="majorHAnsi" w:cstheme="majorHAnsi"/>
        </w:rPr>
      </w:pPr>
      <w:r w:rsidRPr="00CF39C8">
        <w:rPr>
          <w:rFonts w:asciiTheme="majorHAnsi" w:hAnsiTheme="majorHAnsi" w:cstheme="majorHAnsi"/>
        </w:rPr>
        <w:br w:type="page"/>
      </w:r>
    </w:p>
    <w:p w14:paraId="5F386AD1" w14:textId="77777777" w:rsidR="00577EAD" w:rsidRPr="00CF39C8" w:rsidRDefault="00577EAD" w:rsidP="00831A1F">
      <w:pPr>
        <w:pStyle w:val="Heading1"/>
      </w:pPr>
      <w:bookmarkStart w:id="597" w:name="_Toc161837694"/>
      <w:bookmarkStart w:id="598" w:name="_Toc161933191"/>
      <w:bookmarkStart w:id="599" w:name="_Toc162276500"/>
      <w:bookmarkStart w:id="600" w:name="_Toc163221094"/>
      <w:r w:rsidRPr="00CF39C8">
        <w:t xml:space="preserve">Appendix A: The Australian Car </w:t>
      </w:r>
      <w:r w:rsidR="00952D4D" w:rsidRPr="00CF39C8">
        <w:t>M</w:t>
      </w:r>
      <w:r w:rsidRPr="00CF39C8">
        <w:t>arket</w:t>
      </w:r>
      <w:bookmarkEnd w:id="597"/>
      <w:bookmarkEnd w:id="598"/>
      <w:bookmarkEnd w:id="599"/>
      <w:bookmarkEnd w:id="600"/>
    </w:p>
    <w:p w14:paraId="1266BACE" w14:textId="77777777" w:rsidR="00AE4779" w:rsidRPr="00CF39C8" w:rsidRDefault="00AE4779" w:rsidP="00AE4779">
      <w:pPr>
        <w:pStyle w:val="Introduction"/>
        <w:suppressAutoHyphens/>
        <w:spacing w:before="0" w:after="60" w:line="240" w:lineRule="auto"/>
        <w:rPr>
          <w:lang w:val="en-AU"/>
        </w:rPr>
      </w:pPr>
      <w:r w:rsidRPr="00CF39C8">
        <w:rPr>
          <w:lang w:val="en-AU"/>
        </w:rPr>
        <w:t>New vs used cars in Australia</w:t>
      </w:r>
      <w:r w:rsidRPr="00CF39C8">
        <w:rPr>
          <w:rStyle w:val="EndnoteReference"/>
          <w:lang w:val="en-AU"/>
        </w:rPr>
        <w:endnoteReference w:id="54"/>
      </w:r>
    </w:p>
    <w:p w14:paraId="0A193360" w14:textId="77777777" w:rsidR="00AE4779" w:rsidRPr="00CF39C8" w:rsidRDefault="00AE4779" w:rsidP="00AE4779">
      <w:pPr>
        <w:spacing w:after="60"/>
        <w:ind w:left="284"/>
      </w:pPr>
      <w:r w:rsidRPr="00CF39C8">
        <w:t>70</w:t>
      </w:r>
      <w:r w:rsidR="009242A6" w:rsidRPr="00CF39C8">
        <w:t>%</w:t>
      </w:r>
      <w:r w:rsidRPr="00CF39C8">
        <w:t xml:space="preserve"> of Australians buy their car second hand.</w:t>
      </w:r>
    </w:p>
    <w:p w14:paraId="03D4A8BE" w14:textId="77777777" w:rsidR="00AE4779" w:rsidRPr="00CF39C8" w:rsidRDefault="00AE4779" w:rsidP="00AE4779">
      <w:pPr>
        <w:pStyle w:val="Introduction"/>
        <w:suppressAutoHyphens/>
        <w:spacing w:line="240" w:lineRule="auto"/>
        <w:rPr>
          <w:lang w:val="en-AU"/>
        </w:rPr>
      </w:pPr>
      <w:r w:rsidRPr="00CF39C8">
        <w:rPr>
          <w:lang w:val="en-AU"/>
        </w:rPr>
        <w:t>Total cars sold in 2023</w:t>
      </w:r>
      <w:r w:rsidR="005D5114" w:rsidRPr="00CF39C8" w:rsidDel="005D5114">
        <w:rPr>
          <w:lang w:val="en-AU"/>
        </w:rPr>
        <w:t xml:space="preserve"> </w:t>
      </w:r>
    </w:p>
    <w:tbl>
      <w:tblPr>
        <w:tblStyle w:val="GridTable4-Accent1"/>
        <w:tblW w:w="9277"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Total cars sold in 2023 "/>
      </w:tblPr>
      <w:tblGrid>
        <w:gridCol w:w="6271"/>
        <w:gridCol w:w="1599"/>
        <w:gridCol w:w="1407"/>
      </w:tblGrid>
      <w:tr w:rsidR="00AE4779" w:rsidRPr="00CF39C8" w14:paraId="03F7DB44" w14:textId="77777777" w:rsidTr="0023681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71"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105A43B6"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t>2023</w:t>
            </w:r>
          </w:p>
        </w:tc>
        <w:tc>
          <w:tcPr>
            <w:tcW w:w="1599" w:type="dxa"/>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71E469EA" w14:textId="77777777" w:rsidR="00AE4779" w:rsidRPr="00CF39C8" w:rsidRDefault="00AE4779" w:rsidP="00AE477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Number</w:t>
            </w:r>
          </w:p>
        </w:tc>
        <w:tc>
          <w:tcPr>
            <w:tcW w:w="1407" w:type="dxa"/>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62C03D2D" w14:textId="77777777" w:rsidR="00AE4779" w:rsidRPr="00CF39C8" w:rsidRDefault="00AE4779" w:rsidP="00AE477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w:t>
            </w:r>
          </w:p>
        </w:tc>
      </w:tr>
      <w:tr w:rsidR="00AE4779" w:rsidRPr="00CF39C8" w14:paraId="4CF81B4C" w14:textId="77777777" w:rsidTr="00236810">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56A3731A" w14:textId="77777777" w:rsidR="00AE4779" w:rsidRPr="00CF39C8" w:rsidRDefault="00AE4779" w:rsidP="00AE4779">
            <w:pPr>
              <w:rPr>
                <w:rFonts w:asciiTheme="majorHAnsi" w:hAnsiTheme="majorHAnsi" w:cstheme="majorHAnsi"/>
                <w:b w:val="0"/>
              </w:rPr>
            </w:pPr>
            <w:r w:rsidRPr="00CF39C8">
              <w:rPr>
                <w:rFonts w:asciiTheme="majorHAnsi" w:hAnsiTheme="majorHAnsi" w:cstheme="majorHAnsi"/>
                <w:color w:val="000000"/>
              </w:rPr>
              <w:t>Passenger vehicles (including most SUVs)</w:t>
            </w:r>
          </w:p>
        </w:tc>
        <w:tc>
          <w:tcPr>
            <w:tcW w:w="1599" w:type="dxa"/>
            <w:shd w:val="clear" w:color="auto" w:fill="auto"/>
            <w:vAlign w:val="center"/>
          </w:tcPr>
          <w:p w14:paraId="57839D83" w14:textId="77777777" w:rsidR="00AE4779" w:rsidRPr="00CF39C8" w:rsidRDefault="00810D3D"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890</w:t>
            </w:r>
            <w:r w:rsidR="00305F78" w:rsidRPr="00CF39C8">
              <w:rPr>
                <w:rFonts w:asciiTheme="majorHAnsi" w:hAnsiTheme="majorHAnsi" w:cstheme="majorHAnsi"/>
              </w:rPr>
              <w:t>,823</w:t>
            </w:r>
          </w:p>
        </w:tc>
        <w:tc>
          <w:tcPr>
            <w:tcW w:w="1407" w:type="dxa"/>
            <w:shd w:val="clear" w:color="auto" w:fill="auto"/>
            <w:vAlign w:val="center"/>
          </w:tcPr>
          <w:p w14:paraId="6F3E8819" w14:textId="77777777" w:rsidR="00AE4779" w:rsidRPr="00CF39C8" w:rsidRDefault="00305F78"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76.46%</w:t>
            </w:r>
          </w:p>
        </w:tc>
      </w:tr>
      <w:tr w:rsidR="00AE4779" w:rsidRPr="00CF39C8" w14:paraId="13207576" w14:textId="77777777" w:rsidTr="00236810">
        <w:trPr>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653C01F5" w14:textId="77777777" w:rsidR="00AE4779" w:rsidRPr="00CF39C8" w:rsidRDefault="00AE4779" w:rsidP="00AE4779">
            <w:pPr>
              <w:rPr>
                <w:rFonts w:asciiTheme="majorHAnsi" w:hAnsiTheme="majorHAnsi" w:cstheme="majorHAnsi"/>
                <w:color w:val="000000"/>
              </w:rPr>
            </w:pPr>
            <w:r w:rsidRPr="00CF39C8">
              <w:rPr>
                <w:rFonts w:asciiTheme="majorHAnsi" w:hAnsiTheme="majorHAnsi" w:cstheme="majorHAnsi"/>
                <w:color w:val="000000"/>
              </w:rPr>
              <w:t>Light commercial vehicles (utes and vans)</w:t>
            </w:r>
          </w:p>
        </w:tc>
        <w:tc>
          <w:tcPr>
            <w:tcW w:w="1599" w:type="dxa"/>
            <w:shd w:val="clear" w:color="auto" w:fill="auto"/>
            <w:vAlign w:val="center"/>
          </w:tcPr>
          <w:p w14:paraId="4A23FB8E" w14:textId="77777777" w:rsidR="00AE4779" w:rsidRPr="00CF39C8" w:rsidRDefault="00305F78" w:rsidP="00AE47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274,185</w:t>
            </w:r>
          </w:p>
        </w:tc>
        <w:tc>
          <w:tcPr>
            <w:tcW w:w="1407" w:type="dxa"/>
            <w:shd w:val="clear" w:color="auto" w:fill="auto"/>
            <w:vAlign w:val="center"/>
          </w:tcPr>
          <w:p w14:paraId="61765179" w14:textId="77777777" w:rsidR="00AE4779" w:rsidRPr="00CF39C8" w:rsidRDefault="00305F78" w:rsidP="00AE47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23.54%</w:t>
            </w:r>
          </w:p>
        </w:tc>
      </w:tr>
      <w:tr w:rsidR="00AE4779" w:rsidRPr="00CF39C8" w14:paraId="47A21E9B" w14:textId="77777777" w:rsidTr="00236810">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5F46F5EC" w14:textId="77777777" w:rsidR="00AE4779" w:rsidRPr="00CF39C8" w:rsidRDefault="00AE4779" w:rsidP="00AE4779">
            <w:pPr>
              <w:rPr>
                <w:rFonts w:asciiTheme="majorHAnsi" w:hAnsiTheme="majorHAnsi" w:cstheme="majorHAnsi"/>
                <w:i/>
                <w:iCs/>
                <w:color w:val="000000"/>
              </w:rPr>
            </w:pPr>
            <w:r w:rsidRPr="00CF39C8">
              <w:rPr>
                <w:rFonts w:asciiTheme="majorHAnsi" w:hAnsiTheme="majorHAnsi" w:cstheme="majorHAnsi"/>
                <w:b w:val="0"/>
                <w:bCs w:val="0"/>
                <w:i/>
                <w:iCs/>
                <w:color w:val="000000"/>
              </w:rPr>
              <w:t>Total</w:t>
            </w:r>
          </w:p>
        </w:tc>
        <w:tc>
          <w:tcPr>
            <w:tcW w:w="1599" w:type="dxa"/>
            <w:shd w:val="clear" w:color="auto" w:fill="auto"/>
            <w:vAlign w:val="bottom"/>
          </w:tcPr>
          <w:p w14:paraId="40555891" w14:textId="77777777" w:rsidR="00AE4779" w:rsidRPr="00CF39C8" w:rsidRDefault="00305F78"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1,165,008</w:t>
            </w:r>
          </w:p>
        </w:tc>
        <w:tc>
          <w:tcPr>
            <w:tcW w:w="1407" w:type="dxa"/>
            <w:shd w:val="clear" w:color="auto" w:fill="auto"/>
            <w:vAlign w:val="center"/>
          </w:tcPr>
          <w:p w14:paraId="253399DB" w14:textId="77777777" w:rsidR="00AE4779" w:rsidRPr="00CF39C8" w:rsidRDefault="00AE4779"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100.00%</w:t>
            </w:r>
          </w:p>
        </w:tc>
      </w:tr>
    </w:tbl>
    <w:p w14:paraId="317CF50E" w14:textId="77777777" w:rsidR="00AE4779" w:rsidRPr="00CF39C8" w:rsidRDefault="00AE4779" w:rsidP="00B875F4">
      <w:pPr>
        <w:pStyle w:val="Introduction"/>
        <w:suppressAutoHyphens/>
        <w:spacing w:before="0" w:after="60" w:line="240" w:lineRule="auto"/>
        <w:rPr>
          <w:lang w:val="en-AU"/>
        </w:rPr>
      </w:pPr>
    </w:p>
    <w:p w14:paraId="21D1DE46" w14:textId="77777777" w:rsidR="00AE4779" w:rsidRPr="00CF39C8" w:rsidRDefault="00AE4779" w:rsidP="00B875F4">
      <w:pPr>
        <w:pStyle w:val="Introduction"/>
        <w:suppressAutoHyphens/>
        <w:spacing w:before="0" w:after="60" w:line="240" w:lineRule="auto"/>
        <w:rPr>
          <w:lang w:val="en-AU"/>
        </w:rPr>
      </w:pPr>
      <w:r w:rsidRPr="00CF39C8">
        <w:rPr>
          <w:lang w:val="en-AU"/>
        </w:rPr>
        <w:t xml:space="preserve">Size of Australia’s vehicle fleet </w:t>
      </w:r>
    </w:p>
    <w:p w14:paraId="0B48E226" w14:textId="77777777" w:rsidR="00AE4779" w:rsidRPr="00CF39C8" w:rsidRDefault="00AE4779" w:rsidP="00B875F4">
      <w:pPr>
        <w:spacing w:after="60"/>
        <w:ind w:left="284"/>
      </w:pPr>
      <w:r w:rsidRPr="00CF39C8">
        <w:t>In 2022, there were 19.9 million light vehicles and 20.7 million vehicles including heavy vehicles and motorcycles</w:t>
      </w:r>
      <w:r w:rsidRPr="00CF39C8">
        <w:rPr>
          <w:rStyle w:val="EndnoteReference"/>
        </w:rPr>
        <w:endnoteReference w:id="55"/>
      </w:r>
      <w:r w:rsidRPr="00CF39C8">
        <w:t xml:space="preserve"> in Australia. Australia’s fleet is sometimes referred to as the ‘car</w:t>
      </w:r>
      <w:r w:rsidR="00004F6A" w:rsidRPr="00CF39C8">
        <w:t xml:space="preserve"> </w:t>
      </w:r>
      <w:r w:rsidRPr="00CF39C8">
        <w:t>parc</w:t>
      </w:r>
      <w:r w:rsidR="009242A6" w:rsidRPr="00CF39C8">
        <w:t>.</w:t>
      </w:r>
      <w:r w:rsidRPr="00CF39C8">
        <w:t xml:space="preserve">’ </w:t>
      </w:r>
    </w:p>
    <w:p w14:paraId="0618808F" w14:textId="77777777" w:rsidR="00AE4779" w:rsidRPr="00CF39C8" w:rsidRDefault="00AE4779" w:rsidP="00AE4779">
      <w:pPr>
        <w:pStyle w:val="Introduction"/>
        <w:suppressAutoHyphens/>
        <w:spacing w:before="0" w:after="60" w:line="240" w:lineRule="auto"/>
        <w:rPr>
          <w:lang w:val="en-AU"/>
        </w:rPr>
      </w:pPr>
      <w:r w:rsidRPr="00CF39C8">
        <w:rPr>
          <w:lang w:val="en-AU"/>
        </w:rPr>
        <w:t>Average vehicle age</w:t>
      </w:r>
    </w:p>
    <w:p w14:paraId="75089CA0" w14:textId="77777777" w:rsidR="00AE4779" w:rsidRPr="00CF39C8" w:rsidRDefault="00AE4779" w:rsidP="00430317">
      <w:pPr>
        <w:pStyle w:val="ListParagraph"/>
        <w:numPr>
          <w:ilvl w:val="0"/>
          <w:numId w:val="35"/>
        </w:numPr>
        <w:suppressAutoHyphens/>
        <w:spacing w:after="60" w:line="240" w:lineRule="auto"/>
      </w:pPr>
      <w:r w:rsidRPr="00CF39C8">
        <w:t>10.7 years for passenger vehicles</w:t>
      </w:r>
    </w:p>
    <w:p w14:paraId="666DAC8B" w14:textId="77777777" w:rsidR="00AE4779" w:rsidRPr="00CF39C8" w:rsidRDefault="00AE4779" w:rsidP="00430317">
      <w:pPr>
        <w:pStyle w:val="ListParagraph"/>
        <w:numPr>
          <w:ilvl w:val="0"/>
          <w:numId w:val="35"/>
        </w:numPr>
        <w:suppressAutoHyphens/>
        <w:spacing w:after="60" w:line="240" w:lineRule="auto"/>
      </w:pPr>
      <w:r w:rsidRPr="00CF39C8">
        <w:t xml:space="preserve">11.1 years for light commercial vehicles </w:t>
      </w:r>
      <w:r w:rsidRPr="00CF39C8">
        <w:rPr>
          <w:rStyle w:val="EndnoteReference"/>
        </w:rPr>
        <w:endnoteReference w:id="56"/>
      </w:r>
    </w:p>
    <w:p w14:paraId="18814B9B" w14:textId="77777777" w:rsidR="00AE4779" w:rsidRPr="00CF39C8" w:rsidRDefault="00AE4779" w:rsidP="00AE4779">
      <w:pPr>
        <w:pStyle w:val="Introduction"/>
        <w:suppressAutoHyphens/>
        <w:spacing w:before="0" w:after="60" w:line="240" w:lineRule="auto"/>
        <w:rPr>
          <w:color w:val="auto"/>
          <w:sz w:val="21"/>
          <w:lang w:val="en-AU"/>
        </w:rPr>
      </w:pPr>
    </w:p>
    <w:p w14:paraId="333E3D7F" w14:textId="77777777" w:rsidR="00AE4779" w:rsidRPr="00CF39C8" w:rsidRDefault="00AE4779" w:rsidP="00AE4779">
      <w:pPr>
        <w:pStyle w:val="Introduction"/>
        <w:suppressAutoHyphens/>
        <w:spacing w:before="0" w:after="60" w:line="240" w:lineRule="auto"/>
        <w:rPr>
          <w:lang w:val="en-AU"/>
        </w:rPr>
      </w:pPr>
      <w:r w:rsidRPr="00CF39C8">
        <w:rPr>
          <w:lang w:val="en-AU"/>
        </w:rPr>
        <w:t xml:space="preserve">Average price of a car </w:t>
      </w:r>
    </w:p>
    <w:p w14:paraId="75C9EFD9" w14:textId="77777777" w:rsidR="00AE4779" w:rsidRPr="00CF39C8" w:rsidRDefault="00AE4779" w:rsidP="00430317">
      <w:pPr>
        <w:pStyle w:val="ListParagraph"/>
        <w:numPr>
          <w:ilvl w:val="0"/>
          <w:numId w:val="36"/>
        </w:numPr>
        <w:suppressAutoHyphens/>
        <w:spacing w:after="60" w:line="240" w:lineRule="auto"/>
      </w:pPr>
      <w:r w:rsidRPr="00CF39C8">
        <w:t>$40,916 (purchase price), source: Canstar</w:t>
      </w:r>
    </w:p>
    <w:p w14:paraId="5F03594E" w14:textId="77777777" w:rsidR="00AE4779" w:rsidRPr="00CF39C8" w:rsidRDefault="00AE4779" w:rsidP="00430317">
      <w:pPr>
        <w:pStyle w:val="ListParagraph"/>
        <w:numPr>
          <w:ilvl w:val="0"/>
          <w:numId w:val="36"/>
        </w:numPr>
        <w:suppressAutoHyphens/>
        <w:spacing w:after="60" w:line="240" w:lineRule="auto"/>
      </w:pPr>
      <w:r w:rsidRPr="00CF39C8">
        <w:t xml:space="preserve">$50,161 (transaction cost - includes dealer-delivery fees, factory-fitted options and dealer-fitted accessories) source: Drive.com.au </w:t>
      </w:r>
      <w:r w:rsidRPr="00CF39C8">
        <w:rPr>
          <w:rStyle w:val="EndnoteReference"/>
        </w:rPr>
        <w:endnoteReference w:id="57"/>
      </w:r>
    </w:p>
    <w:p w14:paraId="1E8600BF" w14:textId="77777777" w:rsidR="00A85A56" w:rsidRPr="00CF39C8" w:rsidRDefault="00A85A56" w:rsidP="00A85A56">
      <w:pPr>
        <w:pStyle w:val="ListParagraph"/>
        <w:suppressAutoHyphens/>
        <w:spacing w:after="60" w:line="240" w:lineRule="auto"/>
        <w:ind w:left="1429"/>
      </w:pPr>
    </w:p>
    <w:p w14:paraId="15D75916" w14:textId="77777777" w:rsidR="005D5114" w:rsidRPr="00CF39C8" w:rsidRDefault="005D5114" w:rsidP="005D5114">
      <w:pPr>
        <w:pStyle w:val="Introduction"/>
        <w:suppressAutoHyphens/>
        <w:spacing w:before="0" w:after="60" w:line="240" w:lineRule="auto"/>
        <w:rPr>
          <w:lang w:val="en-AU"/>
        </w:rPr>
      </w:pPr>
      <w:r w:rsidRPr="00CF39C8">
        <w:rPr>
          <w:lang w:val="en-AU"/>
        </w:rPr>
        <w:t>Number of cars sold by type</w:t>
      </w:r>
    </w:p>
    <w:tbl>
      <w:tblPr>
        <w:tblStyle w:val="GridTable4-Accent1"/>
        <w:tblW w:w="9854"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30" w:type="dxa"/>
        </w:tblCellMar>
        <w:tblLook w:val="04A0" w:firstRow="1" w:lastRow="0" w:firstColumn="1" w:lastColumn="0" w:noHBand="0" w:noVBand="1"/>
        <w:tblCaption w:val="Number of cars sold by type"/>
      </w:tblPr>
      <w:tblGrid>
        <w:gridCol w:w="1590"/>
        <w:gridCol w:w="1202"/>
        <w:gridCol w:w="1202"/>
        <w:gridCol w:w="1202"/>
        <w:gridCol w:w="1202"/>
        <w:gridCol w:w="1202"/>
        <w:gridCol w:w="1202"/>
        <w:gridCol w:w="1052"/>
      </w:tblGrid>
      <w:tr w:rsidR="00305F78" w:rsidRPr="00CF39C8" w14:paraId="01154ABC" w14:textId="77777777" w:rsidTr="00236810">
        <w:trPr>
          <w:cnfStyle w:val="100000000000" w:firstRow="1" w:lastRow="0" w:firstColumn="0" w:lastColumn="0" w:oddVBand="0" w:evenVBand="0" w:oddHBand="0" w:evenHBand="0" w:firstRowFirstColumn="0" w:firstRowLastColumn="0" w:lastRowFirstColumn="0" w:lastRowLastColumn="0"/>
          <w:cantSplit/>
          <w:trHeight w:val="46"/>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01814F3A" w14:textId="77777777" w:rsidR="00305F78" w:rsidRPr="00CF39C8" w:rsidRDefault="00305F78" w:rsidP="00AE4779">
            <w:pPr>
              <w:rPr>
                <w:sz w:val="20"/>
              </w:rPr>
            </w:pP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58C91A51"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2017</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60382C0"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2018</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FBBBF37"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2019</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20A3750D"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2020</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9CE45EB"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2021</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95D2C2D"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2022</w:t>
            </w:r>
          </w:p>
        </w:tc>
        <w:tc>
          <w:tcPr>
            <w:tcW w:w="105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46749217"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2023</w:t>
            </w:r>
          </w:p>
        </w:tc>
      </w:tr>
      <w:tr w:rsidR="00305F78" w:rsidRPr="00CF39C8" w14:paraId="6C65EE40" w14:textId="77777777" w:rsidTr="00236810">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28E0C1A0" w14:textId="77777777" w:rsidR="00305F78" w:rsidRPr="00CF39C8" w:rsidRDefault="00305F78" w:rsidP="00AE4779">
            <w:pPr>
              <w:rPr>
                <w:sz w:val="20"/>
              </w:rPr>
            </w:pPr>
            <w:r w:rsidRPr="00CF39C8">
              <w:rPr>
                <w:sz w:val="20"/>
              </w:rPr>
              <w:t>Passenger cars</w:t>
            </w:r>
          </w:p>
        </w:tc>
        <w:tc>
          <w:tcPr>
            <w:tcW w:w="1202" w:type="dxa"/>
            <w:shd w:val="clear" w:color="auto" w:fill="auto"/>
          </w:tcPr>
          <w:p w14:paraId="5170DADC"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449,987</w:t>
            </w:r>
          </w:p>
        </w:tc>
        <w:tc>
          <w:tcPr>
            <w:tcW w:w="1202" w:type="dxa"/>
            <w:shd w:val="clear" w:color="auto" w:fill="auto"/>
          </w:tcPr>
          <w:p w14:paraId="7189170D"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378,470</w:t>
            </w:r>
          </w:p>
        </w:tc>
        <w:tc>
          <w:tcPr>
            <w:tcW w:w="1202" w:type="dxa"/>
            <w:shd w:val="clear" w:color="auto" w:fill="auto"/>
          </w:tcPr>
          <w:p w14:paraId="33465040"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315,932</w:t>
            </w:r>
          </w:p>
        </w:tc>
        <w:tc>
          <w:tcPr>
            <w:tcW w:w="1202" w:type="dxa"/>
            <w:shd w:val="clear" w:color="auto" w:fill="auto"/>
          </w:tcPr>
          <w:p w14:paraId="2B816AE9"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221,103</w:t>
            </w:r>
          </w:p>
        </w:tc>
        <w:tc>
          <w:tcPr>
            <w:tcW w:w="1202" w:type="dxa"/>
            <w:shd w:val="clear" w:color="auto" w:fill="auto"/>
          </w:tcPr>
          <w:p w14:paraId="1EEF474F"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221,556</w:t>
            </w:r>
          </w:p>
        </w:tc>
        <w:tc>
          <w:tcPr>
            <w:tcW w:w="1202" w:type="dxa"/>
            <w:shd w:val="clear" w:color="auto" w:fill="auto"/>
          </w:tcPr>
          <w:p w14:paraId="5C8F734B"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203,056</w:t>
            </w:r>
          </w:p>
        </w:tc>
        <w:tc>
          <w:tcPr>
            <w:tcW w:w="1052" w:type="dxa"/>
            <w:shd w:val="clear" w:color="auto" w:fill="DFEBF5" w:themeFill="accent2" w:themeFillTint="33"/>
          </w:tcPr>
          <w:p w14:paraId="0646FD09"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211,361</w:t>
            </w:r>
          </w:p>
        </w:tc>
      </w:tr>
      <w:tr w:rsidR="00305F78" w:rsidRPr="00CF39C8" w14:paraId="1F8EF4FD" w14:textId="77777777" w:rsidTr="00236810">
        <w:trPr>
          <w:cantSplit/>
          <w:trHeight w:val="47"/>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1D71FEFE" w14:textId="77777777" w:rsidR="00305F78" w:rsidRPr="00CF39C8" w:rsidRDefault="00305F78" w:rsidP="00AE4779">
            <w:pPr>
              <w:rPr>
                <w:sz w:val="20"/>
              </w:rPr>
            </w:pPr>
            <w:r w:rsidRPr="00CF39C8">
              <w:rPr>
                <w:sz w:val="20"/>
              </w:rPr>
              <w:t>SUVs</w:t>
            </w:r>
          </w:p>
        </w:tc>
        <w:tc>
          <w:tcPr>
            <w:tcW w:w="1202" w:type="dxa"/>
            <w:shd w:val="clear" w:color="auto" w:fill="auto"/>
          </w:tcPr>
          <w:p w14:paraId="395025EC"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465,672</w:t>
            </w:r>
          </w:p>
        </w:tc>
        <w:tc>
          <w:tcPr>
            <w:tcW w:w="1202" w:type="dxa"/>
            <w:shd w:val="clear" w:color="auto" w:fill="auto"/>
          </w:tcPr>
          <w:p w14:paraId="52CBABCB"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495,243</w:t>
            </w:r>
          </w:p>
        </w:tc>
        <w:tc>
          <w:tcPr>
            <w:tcW w:w="1202" w:type="dxa"/>
            <w:shd w:val="clear" w:color="auto" w:fill="auto"/>
          </w:tcPr>
          <w:p w14:paraId="6A8A7B83"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483,331</w:t>
            </w:r>
          </w:p>
        </w:tc>
        <w:tc>
          <w:tcPr>
            <w:tcW w:w="1202" w:type="dxa"/>
            <w:shd w:val="clear" w:color="auto" w:fill="auto"/>
          </w:tcPr>
          <w:p w14:paraId="5DB13897"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454,701</w:t>
            </w:r>
          </w:p>
        </w:tc>
        <w:tc>
          <w:tcPr>
            <w:tcW w:w="1202" w:type="dxa"/>
            <w:shd w:val="clear" w:color="auto" w:fill="auto"/>
          </w:tcPr>
          <w:p w14:paraId="72D4D730"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531,700</w:t>
            </w:r>
          </w:p>
        </w:tc>
        <w:tc>
          <w:tcPr>
            <w:tcW w:w="1202" w:type="dxa"/>
            <w:shd w:val="clear" w:color="auto" w:fill="auto"/>
          </w:tcPr>
          <w:p w14:paraId="6A504093"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576,632</w:t>
            </w:r>
          </w:p>
        </w:tc>
        <w:tc>
          <w:tcPr>
            <w:tcW w:w="1052" w:type="dxa"/>
            <w:shd w:val="clear" w:color="auto" w:fill="DFEBF5" w:themeFill="accent2" w:themeFillTint="33"/>
          </w:tcPr>
          <w:p w14:paraId="23CA3639"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679,462</w:t>
            </w:r>
          </w:p>
        </w:tc>
      </w:tr>
      <w:tr w:rsidR="00305F78" w:rsidRPr="00CF39C8" w14:paraId="4B964F3C" w14:textId="77777777" w:rsidTr="00236810">
        <w:trPr>
          <w:cnfStyle w:val="000000100000" w:firstRow="0" w:lastRow="0" w:firstColumn="0" w:lastColumn="0" w:oddVBand="0" w:evenVBand="0" w:oddHBand="1" w:evenHBand="0" w:firstRowFirstColumn="0" w:firstRowLastColumn="0" w:lastRowFirstColumn="0" w:lastRowLastColumn="0"/>
          <w:cantSplit/>
          <w:trHeight w:val="103"/>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4A593DF0" w14:textId="77777777" w:rsidR="00305F78" w:rsidRPr="00CF39C8" w:rsidRDefault="00305F78" w:rsidP="00AE4779">
            <w:pPr>
              <w:rPr>
                <w:sz w:val="20"/>
              </w:rPr>
            </w:pPr>
            <w:r w:rsidRPr="00CF39C8">
              <w:rPr>
                <w:sz w:val="20"/>
              </w:rPr>
              <w:t>Light commercial vehicles (LCV)</w:t>
            </w:r>
          </w:p>
        </w:tc>
        <w:tc>
          <w:tcPr>
            <w:tcW w:w="1202" w:type="dxa"/>
            <w:shd w:val="clear" w:color="auto" w:fill="auto"/>
          </w:tcPr>
          <w:p w14:paraId="5CAA0A96"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236,608</w:t>
            </w:r>
          </w:p>
        </w:tc>
        <w:tc>
          <w:tcPr>
            <w:tcW w:w="1202" w:type="dxa"/>
            <w:shd w:val="clear" w:color="auto" w:fill="auto"/>
          </w:tcPr>
          <w:p w14:paraId="0264F3A3"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237,972</w:t>
            </w:r>
          </w:p>
        </w:tc>
        <w:tc>
          <w:tcPr>
            <w:tcW w:w="1202" w:type="dxa"/>
            <w:shd w:val="clear" w:color="auto" w:fill="auto"/>
          </w:tcPr>
          <w:p w14:paraId="75E37134"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225,635</w:t>
            </w:r>
          </w:p>
        </w:tc>
        <w:tc>
          <w:tcPr>
            <w:tcW w:w="1202" w:type="dxa"/>
            <w:shd w:val="clear" w:color="auto" w:fill="auto"/>
          </w:tcPr>
          <w:p w14:paraId="317AD28D"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205,597</w:t>
            </w:r>
          </w:p>
        </w:tc>
        <w:tc>
          <w:tcPr>
            <w:tcW w:w="1202" w:type="dxa"/>
            <w:shd w:val="clear" w:color="auto" w:fill="auto"/>
          </w:tcPr>
          <w:p w14:paraId="4FEC42F7"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253,254</w:t>
            </w:r>
          </w:p>
        </w:tc>
        <w:tc>
          <w:tcPr>
            <w:tcW w:w="1202" w:type="dxa"/>
            <w:shd w:val="clear" w:color="auto" w:fill="auto"/>
          </w:tcPr>
          <w:p w14:paraId="35D1CC1B"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256,382</w:t>
            </w:r>
          </w:p>
        </w:tc>
        <w:tc>
          <w:tcPr>
            <w:tcW w:w="1052" w:type="dxa"/>
            <w:shd w:val="clear" w:color="auto" w:fill="DFEBF5" w:themeFill="accent2" w:themeFillTint="33"/>
          </w:tcPr>
          <w:p w14:paraId="4C90017F"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274,185</w:t>
            </w:r>
          </w:p>
        </w:tc>
      </w:tr>
    </w:tbl>
    <w:p w14:paraId="606A926D" w14:textId="77777777" w:rsidR="00AE4779" w:rsidRPr="00CF39C8" w:rsidRDefault="00AE4779">
      <w:pPr>
        <w:rPr>
          <w:rFonts w:eastAsiaTheme="minorHAnsi"/>
          <w:color w:val="629DD1" w:themeColor="accent2"/>
          <w:sz w:val="26"/>
          <w:szCs w:val="22"/>
        </w:rPr>
      </w:pPr>
      <w:r w:rsidRPr="00CF39C8">
        <w:rPr>
          <w:rFonts w:eastAsiaTheme="minorHAnsi"/>
          <w:color w:val="629DD1" w:themeColor="accent2"/>
          <w:sz w:val="26"/>
          <w:szCs w:val="22"/>
        </w:rPr>
        <w:br w:type="page"/>
      </w:r>
    </w:p>
    <w:p w14:paraId="7380536F" w14:textId="77777777" w:rsidR="00AE4779" w:rsidRPr="00CF39C8" w:rsidRDefault="00AE4779" w:rsidP="00AE4779">
      <w:pPr>
        <w:pStyle w:val="Introduction"/>
        <w:suppressAutoHyphens/>
        <w:spacing w:before="0" w:after="60" w:line="240" w:lineRule="auto"/>
        <w:rPr>
          <w:lang w:val="en-AU"/>
        </w:rPr>
      </w:pPr>
      <w:r w:rsidRPr="00CF39C8">
        <w:rPr>
          <w:lang w:val="en-AU"/>
        </w:rPr>
        <w:t>Top six sellers by brand volume in 202</w:t>
      </w:r>
      <w:r w:rsidR="00305F78" w:rsidRPr="00CF39C8">
        <w:rPr>
          <w:lang w:val="en-AU"/>
        </w:rPr>
        <w:t>3</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ix sellers by brand volume in 2023"/>
      </w:tblPr>
      <w:tblGrid>
        <w:gridCol w:w="4747"/>
        <w:gridCol w:w="4739"/>
      </w:tblGrid>
      <w:tr w:rsidR="00AE4779" w:rsidRPr="00CF39C8" w14:paraId="54517104"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8" w:type="dxa"/>
            <w:tcBorders>
              <w:bottom w:val="none" w:sz="0" w:space="0" w:color="auto"/>
              <w:right w:val="none" w:sz="0" w:space="0" w:color="auto"/>
            </w:tcBorders>
            <w:shd w:val="clear" w:color="auto" w:fill="417A84" w:themeFill="accent5" w:themeFillShade="BF"/>
            <w:vAlign w:val="center"/>
          </w:tcPr>
          <w:p w14:paraId="1D0DC27C" w14:textId="77777777" w:rsidR="00AE4779" w:rsidRPr="00CF39C8" w:rsidRDefault="00AE4779" w:rsidP="00501C4A">
            <w:pPr>
              <w:spacing w:before="0"/>
            </w:pPr>
            <w:r w:rsidRPr="00CF39C8">
              <w:t>Brand</w:t>
            </w:r>
          </w:p>
        </w:tc>
        <w:tc>
          <w:tcPr>
            <w:tcW w:w="4868" w:type="dxa"/>
            <w:shd w:val="clear" w:color="auto" w:fill="417A84" w:themeFill="accent5" w:themeFillShade="BF"/>
            <w:vAlign w:val="center"/>
          </w:tcPr>
          <w:p w14:paraId="33EADDF3"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707A26" w:rsidRPr="00CF39C8" w14:paraId="14F4F127"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53699A11" w14:textId="77777777" w:rsidR="00707A26" w:rsidRPr="00CF39C8" w:rsidRDefault="00707A26" w:rsidP="00501C4A">
            <w:pPr>
              <w:spacing w:before="0"/>
            </w:pPr>
            <w:r w:rsidRPr="00CF39C8">
              <w:rPr>
                <w:rFonts w:ascii="Calibri" w:hAnsi="Calibri" w:cs="Calibri"/>
                <w:bCs w:val="0"/>
                <w:color w:val="000000"/>
              </w:rPr>
              <w:t>Toyota</w:t>
            </w:r>
          </w:p>
        </w:tc>
        <w:tc>
          <w:tcPr>
            <w:tcW w:w="0" w:type="dxa"/>
            <w:tcBorders>
              <w:top w:val="none" w:sz="0" w:space="0" w:color="auto"/>
              <w:bottom w:val="none" w:sz="0" w:space="0" w:color="auto"/>
            </w:tcBorders>
            <w:vAlign w:val="center"/>
          </w:tcPr>
          <w:p w14:paraId="1548626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215,240</w:t>
            </w:r>
          </w:p>
        </w:tc>
      </w:tr>
      <w:tr w:rsidR="00707A26" w:rsidRPr="00CF39C8" w14:paraId="17A2B642"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13D41AD2" w14:textId="77777777" w:rsidR="00707A26" w:rsidRPr="00CF39C8" w:rsidRDefault="00707A26" w:rsidP="00501C4A">
            <w:pPr>
              <w:spacing w:before="0"/>
            </w:pPr>
            <w:r w:rsidRPr="00CF39C8">
              <w:rPr>
                <w:rFonts w:ascii="Calibri" w:hAnsi="Calibri" w:cs="Calibri"/>
                <w:bCs w:val="0"/>
                <w:color w:val="000000"/>
              </w:rPr>
              <w:t>Mazda</w:t>
            </w:r>
          </w:p>
        </w:tc>
        <w:tc>
          <w:tcPr>
            <w:tcW w:w="0" w:type="dxa"/>
            <w:vAlign w:val="center"/>
          </w:tcPr>
          <w:p w14:paraId="4B159FD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100,008</w:t>
            </w:r>
          </w:p>
        </w:tc>
      </w:tr>
      <w:tr w:rsidR="00707A26" w:rsidRPr="00CF39C8" w14:paraId="538B860B"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5836B4B4" w14:textId="77777777" w:rsidR="00707A26" w:rsidRPr="00CF39C8" w:rsidRDefault="00707A26" w:rsidP="00501C4A">
            <w:pPr>
              <w:spacing w:before="0"/>
            </w:pPr>
            <w:r w:rsidRPr="00CF39C8">
              <w:rPr>
                <w:rFonts w:ascii="Calibri" w:hAnsi="Calibri" w:cs="Calibri"/>
                <w:bCs w:val="0"/>
                <w:color w:val="000000"/>
              </w:rPr>
              <w:t>Ford</w:t>
            </w:r>
          </w:p>
        </w:tc>
        <w:tc>
          <w:tcPr>
            <w:tcW w:w="0" w:type="dxa"/>
            <w:tcBorders>
              <w:top w:val="none" w:sz="0" w:space="0" w:color="auto"/>
              <w:bottom w:val="none" w:sz="0" w:space="0" w:color="auto"/>
            </w:tcBorders>
            <w:vAlign w:val="center"/>
          </w:tcPr>
          <w:p w14:paraId="45BF361B"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87,800</w:t>
            </w:r>
          </w:p>
        </w:tc>
      </w:tr>
      <w:tr w:rsidR="00707A26" w:rsidRPr="00CF39C8" w14:paraId="2A1C8455"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AA244D7" w14:textId="77777777" w:rsidR="00707A26" w:rsidRPr="00CF39C8" w:rsidRDefault="00707A26" w:rsidP="00501C4A">
            <w:pPr>
              <w:spacing w:before="0"/>
            </w:pPr>
            <w:r w:rsidRPr="00CF39C8">
              <w:rPr>
                <w:rFonts w:ascii="Calibri" w:hAnsi="Calibri" w:cs="Calibri"/>
                <w:bCs w:val="0"/>
                <w:color w:val="000000"/>
              </w:rPr>
              <w:t>Kia</w:t>
            </w:r>
          </w:p>
        </w:tc>
        <w:tc>
          <w:tcPr>
            <w:tcW w:w="0" w:type="dxa"/>
            <w:vAlign w:val="center"/>
          </w:tcPr>
          <w:p w14:paraId="2E37B4B6"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76,120</w:t>
            </w:r>
          </w:p>
        </w:tc>
      </w:tr>
      <w:tr w:rsidR="00707A26" w:rsidRPr="00CF39C8" w14:paraId="3F3FC866"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230D7F08" w14:textId="77777777" w:rsidR="00707A26" w:rsidRPr="00CF39C8" w:rsidRDefault="00707A26" w:rsidP="00501C4A">
            <w:pPr>
              <w:spacing w:before="0"/>
            </w:pPr>
            <w:r w:rsidRPr="00CF39C8">
              <w:rPr>
                <w:rFonts w:ascii="Calibri" w:hAnsi="Calibri" w:cs="Calibri"/>
                <w:bCs w:val="0"/>
                <w:color w:val="000000"/>
              </w:rPr>
              <w:t>Hyundai</w:t>
            </w:r>
          </w:p>
        </w:tc>
        <w:tc>
          <w:tcPr>
            <w:tcW w:w="0" w:type="dxa"/>
            <w:tcBorders>
              <w:top w:val="none" w:sz="0" w:space="0" w:color="auto"/>
              <w:bottom w:val="none" w:sz="0" w:space="0" w:color="auto"/>
            </w:tcBorders>
            <w:vAlign w:val="center"/>
          </w:tcPr>
          <w:p w14:paraId="57CF1AB0"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75,183</w:t>
            </w:r>
          </w:p>
        </w:tc>
      </w:tr>
      <w:tr w:rsidR="00707A26" w:rsidRPr="00CF39C8" w14:paraId="2583BBF2"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0CF7D191" w14:textId="77777777" w:rsidR="00707A26" w:rsidRPr="00CF39C8" w:rsidRDefault="00707A26" w:rsidP="00501C4A">
            <w:pPr>
              <w:spacing w:before="0"/>
              <w:rPr>
                <w:color w:val="auto"/>
              </w:rPr>
            </w:pPr>
            <w:r w:rsidRPr="00CF39C8">
              <w:rPr>
                <w:rFonts w:ascii="Calibri" w:hAnsi="Calibri" w:cs="Calibri"/>
                <w:bCs w:val="0"/>
                <w:color w:val="000000"/>
              </w:rPr>
              <w:t>Mitsubishi</w:t>
            </w:r>
          </w:p>
        </w:tc>
        <w:tc>
          <w:tcPr>
            <w:tcW w:w="0" w:type="dxa"/>
            <w:vAlign w:val="center"/>
          </w:tcPr>
          <w:p w14:paraId="1A2F595B"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rPr>
                <w:color w:val="auto"/>
              </w:rPr>
            </w:pPr>
            <w:r w:rsidRPr="00CF39C8">
              <w:rPr>
                <w:rFonts w:ascii="Calibri" w:hAnsi="Calibri" w:cs="Calibri"/>
                <w:color w:val="000000"/>
              </w:rPr>
              <w:t>63,511</w:t>
            </w:r>
          </w:p>
        </w:tc>
      </w:tr>
    </w:tbl>
    <w:p w14:paraId="49CDFC1E" w14:textId="77777777" w:rsidR="00AE4779" w:rsidRPr="00CF39C8" w:rsidRDefault="00AE4779" w:rsidP="004A48B3">
      <w:pPr>
        <w:spacing w:after="0" w:line="240" w:lineRule="auto"/>
      </w:pPr>
    </w:p>
    <w:p w14:paraId="7E4DF67E" w14:textId="77777777" w:rsidR="00AE4779" w:rsidRPr="00CF39C8" w:rsidRDefault="00AE4779" w:rsidP="00831A1F">
      <w:pPr>
        <w:pStyle w:val="Introduction"/>
        <w:suppressAutoHyphens/>
        <w:spacing w:before="0" w:after="60" w:line="240" w:lineRule="auto"/>
        <w:rPr>
          <w:rFonts w:eastAsiaTheme="minorHAnsi"/>
          <w:color w:val="417A84" w:themeColor="accent5" w:themeShade="BF"/>
          <w:szCs w:val="22"/>
          <w:lang w:val="en-AU"/>
        </w:rPr>
      </w:pPr>
      <w:r w:rsidRPr="00CF39C8">
        <w:rPr>
          <w:color w:val="417A84" w:themeColor="accent5" w:themeShade="BF"/>
          <w:lang w:val="en-AU"/>
        </w:rPr>
        <w:t>Top sellers by car and by brand</w:t>
      </w:r>
      <w:r w:rsidR="00707A26" w:rsidRPr="00CF39C8">
        <w:rPr>
          <w:color w:val="417A84" w:themeColor="accent5" w:themeShade="BF"/>
          <w:lang w:val="en-AU"/>
        </w:rPr>
        <w:t xml:space="preserve"> in 2023</w:t>
      </w:r>
      <w:r w:rsidRPr="00CF39C8">
        <w:rPr>
          <w:color w:val="417A84" w:themeColor="accent5" w:themeShade="BF"/>
          <w:lang w:val="en-AU"/>
        </w:rPr>
        <w:t xml:space="preserve"> (total across all variants</w:t>
      </w:r>
      <w:r w:rsidRPr="00CF39C8">
        <w:rPr>
          <w:rFonts w:eastAsiaTheme="minorHAnsi"/>
          <w:color w:val="417A84" w:themeColor="accent5" w:themeShade="BF"/>
          <w:szCs w:val="22"/>
          <w:lang w:val="en-AU"/>
        </w:rPr>
        <w:t>)</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ellers by car and by brand in 2023 (total across all variants)"/>
      </w:tblPr>
      <w:tblGrid>
        <w:gridCol w:w="3317"/>
        <w:gridCol w:w="3080"/>
        <w:gridCol w:w="3089"/>
      </w:tblGrid>
      <w:tr w:rsidR="00AE4779" w:rsidRPr="00CF39C8" w14:paraId="5441E47D"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themeFill="accent5" w:themeFillShade="BF"/>
          </w:tcPr>
          <w:p w14:paraId="0FF639AF" w14:textId="77777777" w:rsidR="00AE4779" w:rsidRPr="00CF39C8" w:rsidRDefault="00AE4779" w:rsidP="00501C4A">
            <w:pPr>
              <w:spacing w:before="0"/>
            </w:pPr>
            <w:r w:rsidRPr="00CF39C8">
              <w:t>Brand</w:t>
            </w:r>
          </w:p>
        </w:tc>
        <w:tc>
          <w:tcPr>
            <w:tcW w:w="3171" w:type="dxa"/>
            <w:shd w:val="clear" w:color="auto" w:fill="417A84" w:themeFill="accent5" w:themeFillShade="BF"/>
          </w:tcPr>
          <w:p w14:paraId="740FB66D"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Type</w:t>
            </w:r>
          </w:p>
        </w:tc>
        <w:tc>
          <w:tcPr>
            <w:tcW w:w="3171" w:type="dxa"/>
            <w:shd w:val="clear" w:color="auto" w:fill="417A84" w:themeFill="accent5" w:themeFillShade="BF"/>
          </w:tcPr>
          <w:p w14:paraId="19D67B38"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707A26" w:rsidRPr="00CF39C8" w14:paraId="15162424"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7EE784BF" w14:textId="77777777" w:rsidR="00707A26" w:rsidRPr="00CF39C8" w:rsidRDefault="00707A26" w:rsidP="00501C4A">
            <w:pPr>
              <w:spacing w:before="0"/>
            </w:pPr>
            <w:r w:rsidRPr="00CF39C8">
              <w:rPr>
                <w:rFonts w:ascii="Calibri" w:hAnsi="Calibri" w:cs="Calibri"/>
                <w:bCs w:val="0"/>
                <w:color w:val="000000"/>
              </w:rPr>
              <w:t>Ford Ranger</w:t>
            </w:r>
          </w:p>
        </w:tc>
        <w:tc>
          <w:tcPr>
            <w:tcW w:w="0" w:type="dxa"/>
            <w:tcBorders>
              <w:top w:val="none" w:sz="0" w:space="0" w:color="auto"/>
              <w:bottom w:val="none" w:sz="0" w:space="0" w:color="auto"/>
            </w:tcBorders>
            <w:vAlign w:val="center"/>
          </w:tcPr>
          <w:p w14:paraId="12DC7E76"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Ute</w:t>
            </w:r>
          </w:p>
        </w:tc>
        <w:tc>
          <w:tcPr>
            <w:tcW w:w="0" w:type="dxa"/>
            <w:tcBorders>
              <w:top w:val="none" w:sz="0" w:space="0" w:color="auto"/>
              <w:bottom w:val="none" w:sz="0" w:space="0" w:color="auto"/>
            </w:tcBorders>
            <w:vAlign w:val="center"/>
          </w:tcPr>
          <w:p w14:paraId="2FEC3E13"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63,356</w:t>
            </w:r>
          </w:p>
        </w:tc>
      </w:tr>
      <w:tr w:rsidR="00707A26" w:rsidRPr="00CF39C8" w14:paraId="7045B957"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0D752643" w14:textId="77777777" w:rsidR="00707A26" w:rsidRPr="00CF39C8" w:rsidRDefault="00707A26" w:rsidP="00501C4A">
            <w:pPr>
              <w:spacing w:before="0"/>
            </w:pPr>
            <w:r w:rsidRPr="00CF39C8">
              <w:rPr>
                <w:rFonts w:ascii="Calibri" w:hAnsi="Calibri" w:cs="Calibri"/>
                <w:bCs w:val="0"/>
                <w:color w:val="000000"/>
              </w:rPr>
              <w:t>Toyota Hilux</w:t>
            </w:r>
          </w:p>
        </w:tc>
        <w:tc>
          <w:tcPr>
            <w:tcW w:w="0" w:type="dxa"/>
            <w:vAlign w:val="center"/>
          </w:tcPr>
          <w:p w14:paraId="6249A01F"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Ute</w:t>
            </w:r>
          </w:p>
        </w:tc>
        <w:tc>
          <w:tcPr>
            <w:tcW w:w="0" w:type="dxa"/>
            <w:vAlign w:val="center"/>
          </w:tcPr>
          <w:p w14:paraId="3D909F8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61,111</w:t>
            </w:r>
          </w:p>
        </w:tc>
      </w:tr>
      <w:tr w:rsidR="00707A26" w:rsidRPr="00CF39C8" w14:paraId="6F6E538D"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3DE425A2" w14:textId="77777777" w:rsidR="00707A26" w:rsidRPr="00CF39C8" w:rsidRDefault="00707A26" w:rsidP="00501C4A">
            <w:pPr>
              <w:spacing w:before="0"/>
            </w:pPr>
            <w:r w:rsidRPr="00CF39C8">
              <w:rPr>
                <w:rFonts w:ascii="Calibri" w:hAnsi="Calibri" w:cs="Calibri"/>
                <w:bCs w:val="0"/>
                <w:color w:val="000000"/>
              </w:rPr>
              <w:t>Isuzu D-Max</w:t>
            </w:r>
          </w:p>
        </w:tc>
        <w:tc>
          <w:tcPr>
            <w:tcW w:w="0" w:type="dxa"/>
            <w:tcBorders>
              <w:top w:val="none" w:sz="0" w:space="0" w:color="auto"/>
              <w:bottom w:val="none" w:sz="0" w:space="0" w:color="auto"/>
            </w:tcBorders>
            <w:vAlign w:val="center"/>
          </w:tcPr>
          <w:p w14:paraId="74848866"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Ute</w:t>
            </w:r>
          </w:p>
        </w:tc>
        <w:tc>
          <w:tcPr>
            <w:tcW w:w="0" w:type="dxa"/>
            <w:tcBorders>
              <w:top w:val="none" w:sz="0" w:space="0" w:color="auto"/>
              <w:bottom w:val="none" w:sz="0" w:space="0" w:color="auto"/>
            </w:tcBorders>
            <w:vAlign w:val="center"/>
          </w:tcPr>
          <w:p w14:paraId="1B719503"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31,202</w:t>
            </w:r>
          </w:p>
        </w:tc>
      </w:tr>
      <w:tr w:rsidR="00707A26" w:rsidRPr="00CF39C8" w14:paraId="4BDE61C5"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768842A7" w14:textId="77777777" w:rsidR="00707A26" w:rsidRPr="00CF39C8" w:rsidRDefault="00707A26" w:rsidP="00501C4A">
            <w:pPr>
              <w:spacing w:before="0"/>
            </w:pPr>
            <w:r w:rsidRPr="00CF39C8">
              <w:rPr>
                <w:rFonts w:ascii="Calibri" w:hAnsi="Calibri" w:cs="Calibri"/>
                <w:bCs w:val="0"/>
                <w:color w:val="000000"/>
              </w:rPr>
              <w:t xml:space="preserve">Toyota RAV4 </w:t>
            </w:r>
          </w:p>
        </w:tc>
        <w:tc>
          <w:tcPr>
            <w:tcW w:w="0" w:type="dxa"/>
            <w:vAlign w:val="center"/>
          </w:tcPr>
          <w:p w14:paraId="6471F960"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0378C9B2"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29,627</w:t>
            </w:r>
          </w:p>
        </w:tc>
      </w:tr>
      <w:tr w:rsidR="00707A26" w:rsidRPr="00CF39C8" w14:paraId="77D0817B"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2D598D92" w14:textId="77777777" w:rsidR="00707A26" w:rsidRPr="00CF39C8" w:rsidRDefault="00707A26" w:rsidP="00501C4A">
            <w:pPr>
              <w:spacing w:before="0"/>
            </w:pPr>
            <w:r w:rsidRPr="00CF39C8">
              <w:rPr>
                <w:rFonts w:ascii="Calibri" w:hAnsi="Calibri" w:cs="Calibri"/>
                <w:bCs w:val="0"/>
                <w:color w:val="000000"/>
              </w:rPr>
              <w:t>MG ZS</w:t>
            </w:r>
          </w:p>
        </w:tc>
        <w:tc>
          <w:tcPr>
            <w:tcW w:w="0" w:type="dxa"/>
            <w:tcBorders>
              <w:top w:val="none" w:sz="0" w:space="0" w:color="auto"/>
              <w:bottom w:val="none" w:sz="0" w:space="0" w:color="auto"/>
            </w:tcBorders>
            <w:vAlign w:val="center"/>
          </w:tcPr>
          <w:p w14:paraId="5F98ED0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SUV</w:t>
            </w:r>
          </w:p>
        </w:tc>
        <w:tc>
          <w:tcPr>
            <w:tcW w:w="0" w:type="dxa"/>
            <w:tcBorders>
              <w:top w:val="none" w:sz="0" w:space="0" w:color="auto"/>
              <w:bottom w:val="none" w:sz="0" w:space="0" w:color="auto"/>
            </w:tcBorders>
            <w:vAlign w:val="center"/>
          </w:tcPr>
          <w:p w14:paraId="08CB3C2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29,258</w:t>
            </w:r>
          </w:p>
        </w:tc>
      </w:tr>
      <w:tr w:rsidR="00707A26" w:rsidRPr="00CF39C8" w14:paraId="75B4C50D"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1504448C" w14:textId="77777777" w:rsidR="00707A26" w:rsidRPr="00CF39C8" w:rsidRDefault="00707A26" w:rsidP="00501C4A">
            <w:pPr>
              <w:spacing w:before="0"/>
            </w:pPr>
            <w:r w:rsidRPr="00CF39C8">
              <w:rPr>
                <w:rFonts w:ascii="Calibri" w:hAnsi="Calibri" w:cs="Calibri"/>
                <w:bCs w:val="0"/>
                <w:color w:val="000000"/>
              </w:rPr>
              <w:t>Tesla Model Y</w:t>
            </w:r>
          </w:p>
        </w:tc>
        <w:tc>
          <w:tcPr>
            <w:tcW w:w="0" w:type="dxa"/>
            <w:vAlign w:val="center"/>
          </w:tcPr>
          <w:p w14:paraId="5FC661E2" w14:textId="77777777" w:rsidR="00707A26"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58A60FB0"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28,769</w:t>
            </w:r>
          </w:p>
        </w:tc>
      </w:tr>
      <w:tr w:rsidR="00707A26" w:rsidRPr="00CF39C8" w14:paraId="4ED6D580" w14:textId="77777777" w:rsidTr="0023681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32F87610" w14:textId="77777777" w:rsidR="00707A26" w:rsidRPr="00CF39C8" w:rsidRDefault="00707A26" w:rsidP="00501C4A">
            <w:pPr>
              <w:spacing w:before="0"/>
            </w:pPr>
            <w:r w:rsidRPr="00CF39C8">
              <w:rPr>
                <w:rFonts w:ascii="Calibri" w:hAnsi="Calibri" w:cs="Calibri"/>
                <w:bCs w:val="0"/>
                <w:color w:val="000000"/>
              </w:rPr>
              <w:t>Toyota Landcruiser</w:t>
            </w:r>
          </w:p>
        </w:tc>
        <w:tc>
          <w:tcPr>
            <w:tcW w:w="0" w:type="dxa"/>
            <w:tcBorders>
              <w:top w:val="none" w:sz="0" w:space="0" w:color="auto"/>
              <w:bottom w:val="none" w:sz="0" w:space="0" w:color="auto"/>
            </w:tcBorders>
            <w:vAlign w:val="center"/>
          </w:tcPr>
          <w:p w14:paraId="00D624D9"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4WD</w:t>
            </w:r>
          </w:p>
        </w:tc>
        <w:tc>
          <w:tcPr>
            <w:tcW w:w="0" w:type="dxa"/>
            <w:tcBorders>
              <w:top w:val="none" w:sz="0" w:space="0" w:color="auto"/>
              <w:bottom w:val="none" w:sz="0" w:space="0" w:color="auto"/>
            </w:tcBorders>
            <w:vAlign w:val="center"/>
          </w:tcPr>
          <w:p w14:paraId="325054ED"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26,449</w:t>
            </w:r>
          </w:p>
        </w:tc>
      </w:tr>
      <w:tr w:rsidR="00707A26" w:rsidRPr="00CF39C8" w14:paraId="5F7D8E8F"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2C966D5" w14:textId="77777777" w:rsidR="00707A26" w:rsidRPr="00CF39C8" w:rsidRDefault="00707A26" w:rsidP="00501C4A">
            <w:pPr>
              <w:spacing w:before="0"/>
            </w:pPr>
            <w:r w:rsidRPr="00CF39C8">
              <w:rPr>
                <w:rFonts w:ascii="Calibri" w:hAnsi="Calibri" w:cs="Calibri"/>
                <w:bCs w:val="0"/>
                <w:color w:val="000000"/>
              </w:rPr>
              <w:t>Mitsubishi Outlander</w:t>
            </w:r>
          </w:p>
        </w:tc>
        <w:tc>
          <w:tcPr>
            <w:tcW w:w="0" w:type="dxa"/>
            <w:vAlign w:val="center"/>
          </w:tcPr>
          <w:p w14:paraId="237AB493"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356E31E9"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24,263</w:t>
            </w:r>
          </w:p>
        </w:tc>
      </w:tr>
      <w:tr w:rsidR="00707A26" w:rsidRPr="00CF39C8" w14:paraId="2665E949"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6ED2F8C3" w14:textId="77777777" w:rsidR="00707A26" w:rsidRPr="00CF39C8" w:rsidRDefault="00707A26" w:rsidP="00501C4A">
            <w:pPr>
              <w:spacing w:before="0"/>
            </w:pPr>
            <w:r w:rsidRPr="00CF39C8">
              <w:rPr>
                <w:rFonts w:ascii="Calibri" w:hAnsi="Calibri" w:cs="Calibri"/>
                <w:bCs w:val="0"/>
                <w:color w:val="000000"/>
              </w:rPr>
              <w:t>Mazda CX-5</w:t>
            </w:r>
          </w:p>
        </w:tc>
        <w:tc>
          <w:tcPr>
            <w:tcW w:w="0" w:type="dxa"/>
            <w:tcBorders>
              <w:top w:val="none" w:sz="0" w:space="0" w:color="auto"/>
              <w:bottom w:val="none" w:sz="0" w:space="0" w:color="auto"/>
            </w:tcBorders>
            <w:vAlign w:val="center"/>
          </w:tcPr>
          <w:p w14:paraId="2E9E3180"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SUV</w:t>
            </w:r>
          </w:p>
        </w:tc>
        <w:tc>
          <w:tcPr>
            <w:tcW w:w="0" w:type="dxa"/>
            <w:tcBorders>
              <w:top w:val="none" w:sz="0" w:space="0" w:color="auto"/>
              <w:bottom w:val="none" w:sz="0" w:space="0" w:color="auto"/>
            </w:tcBorders>
            <w:vAlign w:val="center"/>
          </w:tcPr>
          <w:p w14:paraId="05DDBB45"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23,083</w:t>
            </w:r>
          </w:p>
        </w:tc>
      </w:tr>
      <w:tr w:rsidR="00707A26" w:rsidRPr="00CF39C8" w14:paraId="6185671B"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EB3573C" w14:textId="77777777" w:rsidR="00707A26" w:rsidRPr="00CF39C8" w:rsidRDefault="00707A26" w:rsidP="00501C4A">
            <w:pPr>
              <w:spacing w:before="0"/>
            </w:pPr>
            <w:r w:rsidRPr="00CF39C8">
              <w:rPr>
                <w:rFonts w:ascii="Calibri" w:hAnsi="Calibri" w:cs="Calibri"/>
                <w:bCs w:val="0"/>
                <w:color w:val="000000"/>
              </w:rPr>
              <w:t>Hyundai Tucson</w:t>
            </w:r>
          </w:p>
        </w:tc>
        <w:tc>
          <w:tcPr>
            <w:tcW w:w="0" w:type="dxa"/>
            <w:vAlign w:val="center"/>
          </w:tcPr>
          <w:p w14:paraId="312657B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2700B751"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21,224</w:t>
            </w:r>
          </w:p>
        </w:tc>
      </w:tr>
    </w:tbl>
    <w:p w14:paraId="55D157FD" w14:textId="77777777" w:rsidR="00AE4779" w:rsidRPr="00CF39C8" w:rsidRDefault="00AE4779" w:rsidP="00831A1F">
      <w:pPr>
        <w:pStyle w:val="Introduction"/>
        <w:suppressAutoHyphens/>
        <w:spacing w:before="0" w:after="60" w:line="240" w:lineRule="auto"/>
        <w:rPr>
          <w:lang w:val="en-AU"/>
        </w:rPr>
      </w:pPr>
    </w:p>
    <w:p w14:paraId="5B29754D" w14:textId="77777777" w:rsidR="00AE4779" w:rsidRPr="00CF39C8" w:rsidRDefault="00AE4779" w:rsidP="00831A1F">
      <w:pPr>
        <w:pStyle w:val="Introduction"/>
        <w:suppressAutoHyphens/>
        <w:spacing w:before="0" w:after="60" w:line="240" w:lineRule="auto"/>
        <w:rPr>
          <w:lang w:val="en-AU"/>
        </w:rPr>
      </w:pPr>
      <w:r w:rsidRPr="00CF39C8">
        <w:rPr>
          <w:lang w:val="en-AU"/>
        </w:rPr>
        <w:t>Top selling models by car body type</w:t>
      </w:r>
      <w:r w:rsidR="00831A1F" w:rsidRPr="00CF39C8">
        <w:rPr>
          <w:lang w:val="en-AU"/>
        </w:rPr>
        <w:t xml:space="preserve"> </w:t>
      </w:r>
      <w:r w:rsidR="00D70D5E" w:rsidRPr="00CF39C8">
        <w:rPr>
          <w:lang w:val="en-AU"/>
        </w:rPr>
        <w:t>in 2023</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elling models by car body type in 2023"/>
      </w:tblPr>
      <w:tblGrid>
        <w:gridCol w:w="3316"/>
        <w:gridCol w:w="3082"/>
        <w:gridCol w:w="3088"/>
      </w:tblGrid>
      <w:tr w:rsidR="00AE4779" w:rsidRPr="00CF39C8" w14:paraId="35572384"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themeFill="accent5" w:themeFillShade="BF"/>
            <w:vAlign w:val="center"/>
          </w:tcPr>
          <w:p w14:paraId="6085F67E" w14:textId="77777777" w:rsidR="00AE4779" w:rsidRPr="00CF39C8" w:rsidRDefault="00AE4779" w:rsidP="00501C4A">
            <w:pPr>
              <w:spacing w:before="0"/>
            </w:pPr>
            <w:r w:rsidRPr="00CF39C8">
              <w:t>Brand</w:t>
            </w:r>
          </w:p>
        </w:tc>
        <w:tc>
          <w:tcPr>
            <w:tcW w:w="3171" w:type="dxa"/>
            <w:shd w:val="clear" w:color="auto" w:fill="417A84" w:themeFill="accent5" w:themeFillShade="BF"/>
            <w:vAlign w:val="center"/>
          </w:tcPr>
          <w:p w14:paraId="0E4E32B7"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Type</w:t>
            </w:r>
          </w:p>
        </w:tc>
        <w:tc>
          <w:tcPr>
            <w:tcW w:w="3171" w:type="dxa"/>
            <w:shd w:val="clear" w:color="auto" w:fill="417A84" w:themeFill="accent5" w:themeFillShade="BF"/>
            <w:vAlign w:val="center"/>
          </w:tcPr>
          <w:p w14:paraId="68FC6261"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AE4779" w:rsidRPr="00CF39C8" w14:paraId="01014C11"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14:paraId="6AFA5797" w14:textId="77777777" w:rsidR="00AE4779" w:rsidRPr="00CF39C8" w:rsidRDefault="00CC1DFB" w:rsidP="00501C4A">
            <w:pPr>
              <w:spacing w:before="0"/>
            </w:pPr>
            <w:r w:rsidRPr="00CF39C8">
              <w:t>Ford Ranger</w:t>
            </w:r>
          </w:p>
        </w:tc>
        <w:tc>
          <w:tcPr>
            <w:tcW w:w="3171" w:type="dxa"/>
            <w:tcBorders>
              <w:top w:val="none" w:sz="0" w:space="0" w:color="auto"/>
              <w:bottom w:val="none" w:sz="0" w:space="0" w:color="auto"/>
            </w:tcBorders>
            <w:vAlign w:val="center"/>
          </w:tcPr>
          <w:p w14:paraId="20FF377D" w14:textId="77777777" w:rsidR="00AE4779" w:rsidRPr="00CF39C8" w:rsidRDefault="00AE4779" w:rsidP="00501C4A">
            <w:pPr>
              <w:spacing w:before="0"/>
              <w:cnfStyle w:val="000000100000" w:firstRow="0" w:lastRow="0" w:firstColumn="0" w:lastColumn="0" w:oddVBand="0" w:evenVBand="0" w:oddHBand="1" w:evenHBand="0" w:firstRowFirstColumn="0" w:firstRowLastColumn="0" w:lastRowFirstColumn="0" w:lastRowLastColumn="0"/>
            </w:pPr>
            <w:r w:rsidRPr="00CF39C8">
              <w:t>Ute</w:t>
            </w:r>
          </w:p>
        </w:tc>
        <w:tc>
          <w:tcPr>
            <w:tcW w:w="3171" w:type="dxa"/>
            <w:tcBorders>
              <w:top w:val="none" w:sz="0" w:space="0" w:color="auto"/>
              <w:bottom w:val="none" w:sz="0" w:space="0" w:color="auto"/>
            </w:tcBorders>
            <w:vAlign w:val="center"/>
          </w:tcPr>
          <w:p w14:paraId="7A008528" w14:textId="77777777" w:rsidR="00AE4779"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63,356</w:t>
            </w:r>
          </w:p>
        </w:tc>
      </w:tr>
      <w:tr w:rsidR="00AE4779" w:rsidRPr="00CF39C8" w14:paraId="3283AEA8"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9CFD775" w14:textId="77777777" w:rsidR="00AE4779" w:rsidRPr="00CF39C8" w:rsidRDefault="00AE4779" w:rsidP="00501C4A">
            <w:pPr>
              <w:spacing w:before="0"/>
            </w:pPr>
            <w:r w:rsidRPr="00CF39C8">
              <w:t>Toyota RAV4</w:t>
            </w:r>
          </w:p>
        </w:tc>
        <w:tc>
          <w:tcPr>
            <w:tcW w:w="3171" w:type="dxa"/>
            <w:vAlign w:val="center"/>
          </w:tcPr>
          <w:p w14:paraId="25896E96" w14:textId="77777777" w:rsidR="00AE4779" w:rsidRPr="00CF39C8" w:rsidRDefault="00AE4779" w:rsidP="00501C4A">
            <w:pPr>
              <w:spacing w:before="0"/>
              <w:cnfStyle w:val="000000000000" w:firstRow="0" w:lastRow="0" w:firstColumn="0" w:lastColumn="0" w:oddVBand="0" w:evenVBand="0" w:oddHBand="0" w:evenHBand="0" w:firstRowFirstColumn="0" w:firstRowLastColumn="0" w:lastRowFirstColumn="0" w:lastRowLastColumn="0"/>
            </w:pPr>
            <w:r w:rsidRPr="00CF39C8">
              <w:t>SUV</w:t>
            </w:r>
          </w:p>
        </w:tc>
        <w:tc>
          <w:tcPr>
            <w:tcW w:w="3171" w:type="dxa"/>
            <w:vAlign w:val="center"/>
          </w:tcPr>
          <w:p w14:paraId="24642F9F" w14:textId="77777777" w:rsidR="00AE4779"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29,627</w:t>
            </w:r>
          </w:p>
        </w:tc>
      </w:tr>
      <w:tr w:rsidR="006B3D62" w:rsidRPr="00CF39C8" w14:paraId="7D29110C"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00D03498" w14:textId="77777777" w:rsidR="006B3D62" w:rsidRPr="00CF39C8" w:rsidRDefault="006B3D62" w:rsidP="00501C4A">
            <w:pPr>
              <w:spacing w:before="0"/>
            </w:pPr>
            <w:r w:rsidRPr="00CF39C8">
              <w:rPr>
                <w:rFonts w:ascii="Calibri" w:hAnsi="Calibri" w:cs="Calibri"/>
                <w:bCs w:val="0"/>
                <w:color w:val="000000"/>
              </w:rPr>
              <w:t>Toyota Landcruiser</w:t>
            </w:r>
          </w:p>
        </w:tc>
        <w:tc>
          <w:tcPr>
            <w:tcW w:w="0" w:type="dxa"/>
            <w:tcBorders>
              <w:top w:val="none" w:sz="0" w:space="0" w:color="auto"/>
              <w:bottom w:val="none" w:sz="0" w:space="0" w:color="auto"/>
            </w:tcBorders>
            <w:vAlign w:val="center"/>
          </w:tcPr>
          <w:p w14:paraId="4E7E66F9"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4WD</w:t>
            </w:r>
          </w:p>
        </w:tc>
        <w:tc>
          <w:tcPr>
            <w:tcW w:w="0" w:type="dxa"/>
            <w:tcBorders>
              <w:top w:val="none" w:sz="0" w:space="0" w:color="auto"/>
              <w:bottom w:val="none" w:sz="0" w:space="0" w:color="auto"/>
            </w:tcBorders>
            <w:vAlign w:val="center"/>
          </w:tcPr>
          <w:p w14:paraId="6241460B" w14:textId="77777777" w:rsidR="006B3D62" w:rsidRPr="00CF39C8" w:rsidDel="006B3D62"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26,449</w:t>
            </w:r>
          </w:p>
        </w:tc>
      </w:tr>
      <w:tr w:rsidR="006B3D62" w:rsidRPr="00CF39C8" w14:paraId="277AFBD7"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B7FFFA2" w14:textId="77777777" w:rsidR="006B3D62" w:rsidRPr="00CF39C8" w:rsidRDefault="006B3D62" w:rsidP="00501C4A">
            <w:pPr>
              <w:spacing w:before="0"/>
            </w:pPr>
            <w:r w:rsidRPr="00CF39C8">
              <w:t>Hyundai I30</w:t>
            </w:r>
          </w:p>
        </w:tc>
        <w:tc>
          <w:tcPr>
            <w:tcW w:w="3171" w:type="dxa"/>
            <w:vAlign w:val="center"/>
          </w:tcPr>
          <w:p w14:paraId="687EB082" w14:textId="77777777" w:rsidR="006B3D62"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Small car</w:t>
            </w:r>
          </w:p>
        </w:tc>
        <w:tc>
          <w:tcPr>
            <w:tcW w:w="3171" w:type="dxa"/>
            <w:vAlign w:val="center"/>
          </w:tcPr>
          <w:p w14:paraId="5F465014" w14:textId="77777777" w:rsidR="006B3D62"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20,626</w:t>
            </w:r>
          </w:p>
        </w:tc>
      </w:tr>
      <w:tr w:rsidR="006B3D62" w:rsidRPr="00CF39C8" w14:paraId="0168CCFE"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14:paraId="341C2226" w14:textId="77777777" w:rsidR="006B3D62" w:rsidRPr="00CF39C8" w:rsidRDefault="006B3D62" w:rsidP="00501C4A">
            <w:pPr>
              <w:spacing w:before="0"/>
            </w:pPr>
            <w:r w:rsidRPr="00CF39C8">
              <w:t>Tesla Model 3</w:t>
            </w:r>
          </w:p>
        </w:tc>
        <w:tc>
          <w:tcPr>
            <w:tcW w:w="3171" w:type="dxa"/>
            <w:tcBorders>
              <w:top w:val="none" w:sz="0" w:space="0" w:color="auto"/>
              <w:bottom w:val="none" w:sz="0" w:space="0" w:color="auto"/>
            </w:tcBorders>
            <w:vAlign w:val="center"/>
          </w:tcPr>
          <w:p w14:paraId="3656EABD"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Sedan</w:t>
            </w:r>
          </w:p>
        </w:tc>
        <w:tc>
          <w:tcPr>
            <w:tcW w:w="3171" w:type="dxa"/>
            <w:tcBorders>
              <w:top w:val="none" w:sz="0" w:space="0" w:color="auto"/>
              <w:bottom w:val="none" w:sz="0" w:space="0" w:color="auto"/>
            </w:tcBorders>
            <w:vAlign w:val="center"/>
          </w:tcPr>
          <w:p w14:paraId="3F7833D2"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17,347</w:t>
            </w:r>
          </w:p>
        </w:tc>
      </w:tr>
      <w:tr w:rsidR="00A85A56" w:rsidRPr="00CF39C8" w14:paraId="12DACBFA"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C8CED9D" w14:textId="77777777" w:rsidR="00A85A56" w:rsidRPr="00CF39C8" w:rsidRDefault="00A85A56" w:rsidP="00501C4A">
            <w:pPr>
              <w:spacing w:before="0"/>
            </w:pPr>
            <w:r w:rsidRPr="00CF39C8">
              <w:t xml:space="preserve">Toyota Hiace </w:t>
            </w:r>
          </w:p>
        </w:tc>
        <w:tc>
          <w:tcPr>
            <w:tcW w:w="3171" w:type="dxa"/>
            <w:vAlign w:val="center"/>
          </w:tcPr>
          <w:p w14:paraId="35846280" w14:textId="77777777" w:rsidR="00A85A56" w:rsidRPr="00CF39C8" w:rsidRDefault="00A85A56" w:rsidP="00501C4A">
            <w:pPr>
              <w:spacing w:before="0"/>
              <w:cnfStyle w:val="000000000000" w:firstRow="0" w:lastRow="0" w:firstColumn="0" w:lastColumn="0" w:oddVBand="0" w:evenVBand="0" w:oddHBand="0" w:evenHBand="0" w:firstRowFirstColumn="0" w:firstRowLastColumn="0" w:lastRowFirstColumn="0" w:lastRowLastColumn="0"/>
            </w:pPr>
            <w:r w:rsidRPr="00CF39C8">
              <w:t>Van</w:t>
            </w:r>
          </w:p>
        </w:tc>
        <w:tc>
          <w:tcPr>
            <w:tcW w:w="3171" w:type="dxa"/>
            <w:vAlign w:val="center"/>
          </w:tcPr>
          <w:p w14:paraId="32C38BE6" w14:textId="77777777" w:rsidR="00A85A56" w:rsidRPr="00CF39C8" w:rsidDel="006B3D62" w:rsidRDefault="00A85A56" w:rsidP="00501C4A">
            <w:pPr>
              <w:spacing w:before="0"/>
              <w:cnfStyle w:val="000000000000" w:firstRow="0" w:lastRow="0" w:firstColumn="0" w:lastColumn="0" w:oddVBand="0" w:evenVBand="0" w:oddHBand="0" w:evenHBand="0" w:firstRowFirstColumn="0" w:firstRowLastColumn="0" w:lastRowFirstColumn="0" w:lastRowLastColumn="0"/>
            </w:pPr>
            <w:r w:rsidRPr="00CF39C8">
              <w:t>7,133</w:t>
            </w:r>
          </w:p>
        </w:tc>
      </w:tr>
    </w:tbl>
    <w:p w14:paraId="6ECFEBFE" w14:textId="77777777" w:rsidR="000706DD" w:rsidRPr="00CF39C8" w:rsidRDefault="000706DD" w:rsidP="00AE4779">
      <w:pPr>
        <w:rPr>
          <w:rFonts w:asciiTheme="majorHAnsi" w:hAnsiTheme="majorHAnsi" w:cstheme="majorHAnsi"/>
        </w:rPr>
        <w:sectPr w:rsidR="000706DD" w:rsidRPr="00CF39C8" w:rsidSect="007150AB">
          <w:headerReference w:type="default" r:id="rId59"/>
          <w:pgSz w:w="11906" w:h="16838" w:code="9"/>
          <w:pgMar w:top="1021" w:right="1134" w:bottom="851" w:left="1276" w:header="510" w:footer="567" w:gutter="0"/>
          <w:cols w:space="708"/>
          <w:docGrid w:linePitch="360"/>
        </w:sectPr>
      </w:pPr>
    </w:p>
    <w:p w14:paraId="399D55A0"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t>The table below outlines the fuel systems that the top 35 brands operating in Australia offer, as of December 2022. Since the release of this market summary, further announcements from suppliers have indicated a range of new models are expected to be released in the future.</w:t>
      </w:r>
      <w:r w:rsidR="009B6460" w:rsidRPr="00CF39C8">
        <w:rPr>
          <w:rFonts w:asciiTheme="majorHAnsi" w:hAnsiTheme="majorHAnsi" w:cstheme="majorHAnsi"/>
        </w:rPr>
        <w:t xml:space="preserve"> For example, </w:t>
      </w:r>
      <w:r w:rsidR="009130C7" w:rsidRPr="00CF39C8">
        <w:rPr>
          <w:rFonts w:asciiTheme="majorHAnsi" w:hAnsiTheme="majorHAnsi" w:cstheme="majorHAnsi"/>
        </w:rPr>
        <w:t>EV Jeep Wrangler</w:t>
      </w:r>
      <w:r w:rsidR="009130C7" w:rsidRPr="00CF39C8">
        <w:rPr>
          <w:rStyle w:val="EndnoteReference"/>
          <w:rFonts w:asciiTheme="majorHAnsi" w:hAnsiTheme="majorHAnsi" w:cstheme="majorHAnsi"/>
        </w:rPr>
        <w:endnoteReference w:id="58"/>
      </w:r>
      <w:r w:rsidR="009130C7" w:rsidRPr="00CF39C8">
        <w:rPr>
          <w:rFonts w:asciiTheme="majorHAnsi" w:hAnsiTheme="majorHAnsi" w:cstheme="majorHAnsi"/>
        </w:rPr>
        <w:t>, Volkswagen ID 3</w:t>
      </w:r>
      <w:r w:rsidR="009130C7" w:rsidRPr="00CF39C8">
        <w:rPr>
          <w:rStyle w:val="EndnoteReference"/>
          <w:rFonts w:asciiTheme="majorHAnsi" w:hAnsiTheme="majorHAnsi" w:cstheme="majorHAnsi"/>
        </w:rPr>
        <w:endnoteReference w:id="59"/>
      </w:r>
      <w:r w:rsidR="009130C7" w:rsidRPr="00CF39C8">
        <w:rPr>
          <w:rFonts w:asciiTheme="majorHAnsi" w:hAnsiTheme="majorHAnsi" w:cstheme="majorHAnsi"/>
        </w:rPr>
        <w:t xml:space="preserve">. </w:t>
      </w:r>
    </w:p>
    <w:tbl>
      <w:tblPr>
        <w:tblW w:w="1035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bottom w:w="40" w:type="dxa"/>
        </w:tblCellMar>
        <w:tblLook w:val="04A0" w:firstRow="1" w:lastRow="0" w:firstColumn="1" w:lastColumn="0" w:noHBand="0" w:noVBand="1"/>
        <w:tblCaption w:val="Fuel systems that the top 35 brands operating in Australia offer"/>
      </w:tblPr>
      <w:tblGrid>
        <w:gridCol w:w="3415"/>
        <w:gridCol w:w="1984"/>
        <w:gridCol w:w="991"/>
        <w:gridCol w:w="992"/>
        <w:gridCol w:w="991"/>
        <w:gridCol w:w="992"/>
        <w:gridCol w:w="992"/>
      </w:tblGrid>
      <w:tr w:rsidR="00AE4779" w:rsidRPr="00CF39C8" w14:paraId="487479BF" w14:textId="77777777" w:rsidTr="00236810">
        <w:trPr>
          <w:tblHeader/>
        </w:trPr>
        <w:tc>
          <w:tcPr>
            <w:tcW w:w="3415" w:type="dxa"/>
            <w:shd w:val="clear" w:color="auto" w:fill="417A84" w:themeFill="accent5" w:themeFillShade="BF"/>
            <w:tcMar>
              <w:left w:w="454" w:type="dxa"/>
            </w:tcMar>
            <w:vAlign w:val="center"/>
          </w:tcPr>
          <w:p w14:paraId="63EAB9C2"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Original Equipment Manufacturer</w:t>
            </w:r>
          </w:p>
        </w:tc>
        <w:tc>
          <w:tcPr>
            <w:tcW w:w="1984" w:type="dxa"/>
            <w:shd w:val="clear" w:color="auto" w:fill="417A84" w:themeFill="accent5" w:themeFillShade="BF"/>
            <w:vAlign w:val="center"/>
          </w:tcPr>
          <w:p w14:paraId="3EE53120"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Company/brand</w:t>
            </w:r>
          </w:p>
        </w:tc>
        <w:tc>
          <w:tcPr>
            <w:tcW w:w="991" w:type="dxa"/>
            <w:shd w:val="clear" w:color="auto" w:fill="417A84" w:themeFill="accent5" w:themeFillShade="BF"/>
            <w:vAlign w:val="center"/>
          </w:tcPr>
          <w:p w14:paraId="799A76CF"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ICE</w:t>
            </w:r>
          </w:p>
        </w:tc>
        <w:tc>
          <w:tcPr>
            <w:tcW w:w="992" w:type="dxa"/>
            <w:shd w:val="clear" w:color="auto" w:fill="417A84" w:themeFill="accent5" w:themeFillShade="BF"/>
            <w:vAlign w:val="center"/>
          </w:tcPr>
          <w:p w14:paraId="35CCC967"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BEV</w:t>
            </w:r>
          </w:p>
        </w:tc>
        <w:tc>
          <w:tcPr>
            <w:tcW w:w="991" w:type="dxa"/>
            <w:shd w:val="clear" w:color="auto" w:fill="417A84" w:themeFill="accent5" w:themeFillShade="BF"/>
            <w:vAlign w:val="center"/>
          </w:tcPr>
          <w:p w14:paraId="0C5744F8"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FCEV</w:t>
            </w:r>
          </w:p>
        </w:tc>
        <w:tc>
          <w:tcPr>
            <w:tcW w:w="992" w:type="dxa"/>
            <w:shd w:val="clear" w:color="auto" w:fill="417A84" w:themeFill="accent5" w:themeFillShade="BF"/>
            <w:vAlign w:val="center"/>
          </w:tcPr>
          <w:p w14:paraId="0AFD9BB0"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HEV</w:t>
            </w:r>
          </w:p>
        </w:tc>
        <w:tc>
          <w:tcPr>
            <w:tcW w:w="992" w:type="dxa"/>
            <w:shd w:val="clear" w:color="auto" w:fill="417A84" w:themeFill="accent5" w:themeFillShade="BF"/>
            <w:vAlign w:val="center"/>
          </w:tcPr>
          <w:p w14:paraId="3E4A6E41"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PHEV</w:t>
            </w:r>
          </w:p>
        </w:tc>
      </w:tr>
      <w:tr w:rsidR="00AE4779" w:rsidRPr="00CF39C8" w14:paraId="089585A1" w14:textId="77777777" w:rsidTr="00236810">
        <w:tc>
          <w:tcPr>
            <w:tcW w:w="3415" w:type="dxa"/>
            <w:vMerge w:val="restart"/>
            <w:shd w:val="clear" w:color="auto" w:fill="auto"/>
            <w:vAlign w:val="center"/>
          </w:tcPr>
          <w:p w14:paraId="376F6ED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BMW Group</w:t>
            </w:r>
          </w:p>
        </w:tc>
        <w:tc>
          <w:tcPr>
            <w:tcW w:w="1984" w:type="dxa"/>
            <w:shd w:val="clear" w:color="auto" w:fill="auto"/>
            <w:vAlign w:val="center"/>
          </w:tcPr>
          <w:p w14:paraId="48FB77B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BMW</w:t>
            </w:r>
          </w:p>
        </w:tc>
        <w:tc>
          <w:tcPr>
            <w:tcW w:w="991" w:type="dxa"/>
            <w:shd w:val="clear" w:color="auto" w:fill="auto"/>
            <w:vAlign w:val="center"/>
          </w:tcPr>
          <w:p w14:paraId="722C398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5A8345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0ED5D0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D15AFF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40BED2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3E518D64" w14:textId="77777777" w:rsidTr="00236810">
        <w:tc>
          <w:tcPr>
            <w:tcW w:w="3415" w:type="dxa"/>
            <w:vMerge/>
            <w:shd w:val="clear" w:color="auto" w:fill="auto"/>
            <w:vAlign w:val="center"/>
          </w:tcPr>
          <w:p w14:paraId="6B34153A"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81F449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MINI</w:t>
            </w:r>
          </w:p>
        </w:tc>
        <w:tc>
          <w:tcPr>
            <w:tcW w:w="991" w:type="dxa"/>
            <w:shd w:val="clear" w:color="auto" w:fill="auto"/>
            <w:vAlign w:val="center"/>
          </w:tcPr>
          <w:p w14:paraId="729610C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20E21D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335320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ACC6F1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FCD9EC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F167D3B" w14:textId="77777777" w:rsidTr="00236810">
        <w:tc>
          <w:tcPr>
            <w:tcW w:w="3415" w:type="dxa"/>
            <w:shd w:val="clear" w:color="auto" w:fill="auto"/>
            <w:vAlign w:val="center"/>
          </w:tcPr>
          <w:p w14:paraId="59A9FF4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BYD</w:t>
            </w:r>
          </w:p>
        </w:tc>
        <w:tc>
          <w:tcPr>
            <w:tcW w:w="1984" w:type="dxa"/>
            <w:shd w:val="clear" w:color="auto" w:fill="auto"/>
            <w:vAlign w:val="center"/>
          </w:tcPr>
          <w:p w14:paraId="69B351B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BYD</w:t>
            </w:r>
          </w:p>
        </w:tc>
        <w:tc>
          <w:tcPr>
            <w:tcW w:w="991" w:type="dxa"/>
            <w:shd w:val="clear" w:color="auto" w:fill="auto"/>
            <w:vAlign w:val="center"/>
          </w:tcPr>
          <w:p w14:paraId="1F5283D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B97B47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5F2A39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87A2BA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1E952B3" w14:textId="77777777" w:rsidR="00AE4779" w:rsidRPr="00CF39C8" w:rsidRDefault="00AE4779" w:rsidP="00501C4A">
            <w:pPr>
              <w:spacing w:after="0"/>
              <w:rPr>
                <w:rFonts w:asciiTheme="majorHAnsi" w:hAnsiTheme="majorHAnsi" w:cstheme="majorHAnsi"/>
              </w:rPr>
            </w:pPr>
          </w:p>
        </w:tc>
      </w:tr>
      <w:tr w:rsidR="00AE4779" w:rsidRPr="00CF39C8" w14:paraId="1691E304" w14:textId="77777777" w:rsidTr="00236810">
        <w:tc>
          <w:tcPr>
            <w:tcW w:w="3415" w:type="dxa"/>
            <w:shd w:val="clear" w:color="auto" w:fill="auto"/>
            <w:vAlign w:val="center"/>
          </w:tcPr>
          <w:p w14:paraId="1CCF4954"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Daimler</w:t>
            </w:r>
          </w:p>
        </w:tc>
        <w:tc>
          <w:tcPr>
            <w:tcW w:w="1984" w:type="dxa"/>
            <w:shd w:val="clear" w:color="auto" w:fill="auto"/>
            <w:vAlign w:val="center"/>
          </w:tcPr>
          <w:p w14:paraId="573CEFF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Mercedes-Benz</w:t>
            </w:r>
          </w:p>
        </w:tc>
        <w:tc>
          <w:tcPr>
            <w:tcW w:w="991" w:type="dxa"/>
            <w:shd w:val="clear" w:color="auto" w:fill="auto"/>
            <w:vAlign w:val="center"/>
          </w:tcPr>
          <w:p w14:paraId="57CE7F0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7EC9832"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A978FC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373A86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7111CF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6923572" w14:textId="77777777" w:rsidTr="00236810">
        <w:tc>
          <w:tcPr>
            <w:tcW w:w="3415" w:type="dxa"/>
            <w:shd w:val="clear" w:color="auto" w:fill="auto"/>
            <w:vAlign w:val="center"/>
          </w:tcPr>
          <w:p w14:paraId="75BEC06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Ford</w:t>
            </w:r>
          </w:p>
        </w:tc>
        <w:tc>
          <w:tcPr>
            <w:tcW w:w="1984" w:type="dxa"/>
            <w:shd w:val="clear" w:color="auto" w:fill="auto"/>
            <w:vAlign w:val="center"/>
          </w:tcPr>
          <w:p w14:paraId="31E8393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Ford</w:t>
            </w:r>
          </w:p>
        </w:tc>
        <w:tc>
          <w:tcPr>
            <w:tcW w:w="991" w:type="dxa"/>
            <w:shd w:val="clear" w:color="auto" w:fill="auto"/>
            <w:vAlign w:val="center"/>
          </w:tcPr>
          <w:p w14:paraId="34E7A7F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623259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65E58C"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92427F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B1D1A9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4F5D5C77" w14:textId="77777777" w:rsidTr="00236810">
        <w:tc>
          <w:tcPr>
            <w:tcW w:w="3415" w:type="dxa"/>
            <w:vMerge w:val="restart"/>
            <w:shd w:val="clear" w:color="auto" w:fill="auto"/>
            <w:vAlign w:val="center"/>
          </w:tcPr>
          <w:p w14:paraId="62195CC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Geely </w:t>
            </w:r>
          </w:p>
        </w:tc>
        <w:tc>
          <w:tcPr>
            <w:tcW w:w="1984" w:type="dxa"/>
            <w:shd w:val="clear" w:color="auto" w:fill="auto"/>
            <w:vAlign w:val="center"/>
          </w:tcPr>
          <w:p w14:paraId="0208728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Volvo</w:t>
            </w:r>
          </w:p>
        </w:tc>
        <w:tc>
          <w:tcPr>
            <w:tcW w:w="991" w:type="dxa"/>
            <w:shd w:val="clear" w:color="auto" w:fill="auto"/>
            <w:vAlign w:val="center"/>
          </w:tcPr>
          <w:p w14:paraId="191EFFD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549773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E6EFB26"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2A5EB4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23FA9AF"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6CB87BE3" w14:textId="77777777" w:rsidTr="00236810">
        <w:tc>
          <w:tcPr>
            <w:tcW w:w="3415" w:type="dxa"/>
            <w:vMerge/>
            <w:shd w:val="clear" w:color="auto" w:fill="auto"/>
            <w:vAlign w:val="center"/>
          </w:tcPr>
          <w:p w14:paraId="4BB1336C"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680E892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Polestar</w:t>
            </w:r>
          </w:p>
        </w:tc>
        <w:tc>
          <w:tcPr>
            <w:tcW w:w="991" w:type="dxa"/>
            <w:shd w:val="clear" w:color="auto" w:fill="auto"/>
            <w:vAlign w:val="center"/>
          </w:tcPr>
          <w:p w14:paraId="10B1867A"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580A4D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341115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2422D4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FCF3F34" w14:textId="77777777" w:rsidR="00AE4779" w:rsidRPr="00CF39C8" w:rsidRDefault="00AE4779" w:rsidP="00501C4A">
            <w:pPr>
              <w:spacing w:after="0"/>
              <w:rPr>
                <w:rFonts w:asciiTheme="majorHAnsi" w:hAnsiTheme="majorHAnsi" w:cstheme="majorHAnsi"/>
              </w:rPr>
            </w:pPr>
          </w:p>
        </w:tc>
      </w:tr>
      <w:tr w:rsidR="00AE4779" w:rsidRPr="00CF39C8" w14:paraId="14B16EE3" w14:textId="77777777" w:rsidTr="00236810">
        <w:tc>
          <w:tcPr>
            <w:tcW w:w="3415" w:type="dxa"/>
            <w:shd w:val="clear" w:color="auto" w:fill="auto"/>
            <w:vAlign w:val="center"/>
          </w:tcPr>
          <w:p w14:paraId="7C75B709"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GWM</w:t>
            </w:r>
          </w:p>
        </w:tc>
        <w:tc>
          <w:tcPr>
            <w:tcW w:w="1984" w:type="dxa"/>
            <w:shd w:val="clear" w:color="auto" w:fill="auto"/>
            <w:vAlign w:val="center"/>
          </w:tcPr>
          <w:p w14:paraId="4AFBD2F9"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GWM</w:t>
            </w:r>
          </w:p>
        </w:tc>
        <w:tc>
          <w:tcPr>
            <w:tcW w:w="991" w:type="dxa"/>
            <w:shd w:val="clear" w:color="auto" w:fill="auto"/>
            <w:vAlign w:val="center"/>
          </w:tcPr>
          <w:p w14:paraId="39D97A4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7354EEF"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03220FC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CC4F14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A6A2244" w14:textId="77777777" w:rsidR="00AE4779" w:rsidRPr="00CF39C8" w:rsidRDefault="00AE4779" w:rsidP="00501C4A">
            <w:pPr>
              <w:spacing w:after="0"/>
              <w:rPr>
                <w:rFonts w:asciiTheme="majorHAnsi" w:hAnsiTheme="majorHAnsi" w:cstheme="majorHAnsi"/>
              </w:rPr>
            </w:pPr>
          </w:p>
        </w:tc>
      </w:tr>
      <w:tr w:rsidR="00AE4779" w:rsidRPr="00CF39C8" w14:paraId="58D60B41" w14:textId="77777777" w:rsidTr="00236810">
        <w:tc>
          <w:tcPr>
            <w:tcW w:w="3415" w:type="dxa"/>
            <w:shd w:val="clear" w:color="auto" w:fill="auto"/>
            <w:vAlign w:val="center"/>
          </w:tcPr>
          <w:p w14:paraId="75F7A85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Honda</w:t>
            </w:r>
          </w:p>
        </w:tc>
        <w:tc>
          <w:tcPr>
            <w:tcW w:w="1984" w:type="dxa"/>
            <w:shd w:val="clear" w:color="auto" w:fill="auto"/>
            <w:vAlign w:val="center"/>
          </w:tcPr>
          <w:p w14:paraId="390131E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Honda</w:t>
            </w:r>
          </w:p>
        </w:tc>
        <w:tc>
          <w:tcPr>
            <w:tcW w:w="991" w:type="dxa"/>
            <w:shd w:val="clear" w:color="auto" w:fill="auto"/>
            <w:vAlign w:val="center"/>
          </w:tcPr>
          <w:p w14:paraId="7DE5065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63249F8"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624C98D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F8F6F1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CA53459" w14:textId="77777777" w:rsidR="00AE4779" w:rsidRPr="00CF39C8" w:rsidRDefault="00AE4779" w:rsidP="00501C4A">
            <w:pPr>
              <w:spacing w:after="0"/>
              <w:rPr>
                <w:rFonts w:asciiTheme="majorHAnsi" w:hAnsiTheme="majorHAnsi" w:cstheme="majorHAnsi"/>
              </w:rPr>
            </w:pPr>
          </w:p>
        </w:tc>
      </w:tr>
      <w:tr w:rsidR="00AE4779" w:rsidRPr="00CF39C8" w14:paraId="60162C0B" w14:textId="77777777" w:rsidTr="00236810">
        <w:tc>
          <w:tcPr>
            <w:tcW w:w="3415" w:type="dxa"/>
            <w:vMerge w:val="restart"/>
            <w:shd w:val="clear" w:color="auto" w:fill="auto"/>
            <w:vAlign w:val="center"/>
          </w:tcPr>
          <w:p w14:paraId="267A9D0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Hyundai Motor Group</w:t>
            </w:r>
          </w:p>
        </w:tc>
        <w:tc>
          <w:tcPr>
            <w:tcW w:w="1984" w:type="dxa"/>
            <w:shd w:val="clear" w:color="auto" w:fill="auto"/>
            <w:vAlign w:val="center"/>
          </w:tcPr>
          <w:p w14:paraId="48E7A66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Kia</w:t>
            </w:r>
          </w:p>
        </w:tc>
        <w:tc>
          <w:tcPr>
            <w:tcW w:w="991" w:type="dxa"/>
            <w:shd w:val="clear" w:color="auto" w:fill="auto"/>
            <w:vAlign w:val="center"/>
          </w:tcPr>
          <w:p w14:paraId="79E8B85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FF45DB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0CBBD7E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D556E3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172E70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663E97C2" w14:textId="77777777" w:rsidTr="00236810">
        <w:tc>
          <w:tcPr>
            <w:tcW w:w="3415" w:type="dxa"/>
            <w:vMerge/>
            <w:shd w:val="clear" w:color="auto" w:fill="auto"/>
            <w:vAlign w:val="center"/>
          </w:tcPr>
          <w:p w14:paraId="4DA491DD"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D7CAC6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Hyundai</w:t>
            </w:r>
          </w:p>
        </w:tc>
        <w:tc>
          <w:tcPr>
            <w:tcW w:w="991" w:type="dxa"/>
            <w:shd w:val="clear" w:color="auto" w:fill="auto"/>
            <w:vAlign w:val="center"/>
          </w:tcPr>
          <w:p w14:paraId="72EE61C0"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E28F26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3E7D90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07E585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A10815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36788FE6" w14:textId="77777777" w:rsidTr="00236810">
        <w:tc>
          <w:tcPr>
            <w:tcW w:w="3415" w:type="dxa"/>
            <w:vMerge/>
            <w:shd w:val="clear" w:color="auto" w:fill="auto"/>
            <w:vAlign w:val="center"/>
          </w:tcPr>
          <w:p w14:paraId="0A50CD50"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58E135C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Genesis</w:t>
            </w:r>
          </w:p>
        </w:tc>
        <w:tc>
          <w:tcPr>
            <w:tcW w:w="991" w:type="dxa"/>
            <w:shd w:val="clear" w:color="auto" w:fill="auto"/>
            <w:vAlign w:val="center"/>
          </w:tcPr>
          <w:p w14:paraId="52D7EFB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114786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95BEC5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686DF8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F395B83" w14:textId="77777777" w:rsidR="00AE4779" w:rsidRPr="00CF39C8" w:rsidRDefault="00AE4779" w:rsidP="00501C4A">
            <w:pPr>
              <w:spacing w:after="0"/>
              <w:rPr>
                <w:rFonts w:asciiTheme="majorHAnsi" w:hAnsiTheme="majorHAnsi" w:cstheme="majorHAnsi"/>
              </w:rPr>
            </w:pPr>
          </w:p>
        </w:tc>
      </w:tr>
      <w:tr w:rsidR="00AE4779" w:rsidRPr="00CF39C8" w14:paraId="5005E216" w14:textId="77777777" w:rsidTr="00236810">
        <w:tc>
          <w:tcPr>
            <w:tcW w:w="3415" w:type="dxa"/>
            <w:shd w:val="clear" w:color="auto" w:fill="auto"/>
            <w:vAlign w:val="center"/>
          </w:tcPr>
          <w:p w14:paraId="4A35463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Isuzu</w:t>
            </w:r>
          </w:p>
        </w:tc>
        <w:tc>
          <w:tcPr>
            <w:tcW w:w="1984" w:type="dxa"/>
            <w:shd w:val="clear" w:color="auto" w:fill="auto"/>
            <w:vAlign w:val="center"/>
          </w:tcPr>
          <w:p w14:paraId="78D2A54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Isuzu</w:t>
            </w:r>
          </w:p>
        </w:tc>
        <w:tc>
          <w:tcPr>
            <w:tcW w:w="991" w:type="dxa"/>
            <w:shd w:val="clear" w:color="auto" w:fill="auto"/>
            <w:vAlign w:val="center"/>
          </w:tcPr>
          <w:p w14:paraId="441ABE8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10CFE83"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7A8CD8E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869222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4501A18" w14:textId="77777777" w:rsidR="00AE4779" w:rsidRPr="00CF39C8" w:rsidRDefault="00AE4779" w:rsidP="00501C4A">
            <w:pPr>
              <w:spacing w:after="0"/>
              <w:rPr>
                <w:rFonts w:asciiTheme="majorHAnsi" w:hAnsiTheme="majorHAnsi" w:cstheme="majorHAnsi"/>
              </w:rPr>
            </w:pPr>
          </w:p>
        </w:tc>
      </w:tr>
      <w:tr w:rsidR="00AE4779" w:rsidRPr="00CF39C8" w14:paraId="5D558B07" w14:textId="77777777" w:rsidTr="00236810">
        <w:tc>
          <w:tcPr>
            <w:tcW w:w="3415" w:type="dxa"/>
            <w:shd w:val="clear" w:color="auto" w:fill="auto"/>
            <w:vAlign w:val="center"/>
          </w:tcPr>
          <w:p w14:paraId="0CBF37E4"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Mazda</w:t>
            </w:r>
          </w:p>
        </w:tc>
        <w:tc>
          <w:tcPr>
            <w:tcW w:w="1984" w:type="dxa"/>
            <w:shd w:val="clear" w:color="auto" w:fill="auto"/>
            <w:vAlign w:val="center"/>
          </w:tcPr>
          <w:p w14:paraId="1ECFEDC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Mazda</w:t>
            </w:r>
          </w:p>
        </w:tc>
        <w:tc>
          <w:tcPr>
            <w:tcW w:w="991" w:type="dxa"/>
            <w:shd w:val="clear" w:color="auto" w:fill="auto"/>
            <w:vAlign w:val="center"/>
          </w:tcPr>
          <w:p w14:paraId="29E113B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ABDAD4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9ACF17B"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AB8C51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D6EC3AD" w14:textId="77777777" w:rsidR="00AE4779" w:rsidRPr="00CF39C8" w:rsidRDefault="00AE4779" w:rsidP="00501C4A">
            <w:pPr>
              <w:spacing w:after="0"/>
              <w:rPr>
                <w:rFonts w:asciiTheme="majorHAnsi" w:hAnsiTheme="majorHAnsi" w:cstheme="majorHAnsi"/>
              </w:rPr>
            </w:pPr>
          </w:p>
        </w:tc>
      </w:tr>
      <w:tr w:rsidR="00AE4779" w:rsidRPr="00CF39C8" w14:paraId="7052F162" w14:textId="77777777" w:rsidTr="00236810">
        <w:tc>
          <w:tcPr>
            <w:tcW w:w="3415" w:type="dxa"/>
            <w:vMerge w:val="restart"/>
            <w:shd w:val="clear" w:color="auto" w:fill="auto"/>
            <w:vAlign w:val="center"/>
          </w:tcPr>
          <w:p w14:paraId="35C37AD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Renault Nissan Mitsubishi Alliance</w:t>
            </w:r>
          </w:p>
          <w:p w14:paraId="274B4D4A"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0EE0CD8D"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Mitsubishi</w:t>
            </w:r>
          </w:p>
        </w:tc>
        <w:tc>
          <w:tcPr>
            <w:tcW w:w="991" w:type="dxa"/>
            <w:shd w:val="clear" w:color="auto" w:fill="auto"/>
            <w:vAlign w:val="center"/>
          </w:tcPr>
          <w:p w14:paraId="613A608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17951D3E"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4E8F87F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3603AF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DC3EC7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44F20361" w14:textId="77777777" w:rsidTr="00236810">
        <w:tc>
          <w:tcPr>
            <w:tcW w:w="3415" w:type="dxa"/>
            <w:vMerge/>
            <w:shd w:val="clear" w:color="auto" w:fill="auto"/>
            <w:vAlign w:val="center"/>
          </w:tcPr>
          <w:p w14:paraId="3903353D"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B1E29B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Nissan</w:t>
            </w:r>
          </w:p>
        </w:tc>
        <w:tc>
          <w:tcPr>
            <w:tcW w:w="991" w:type="dxa"/>
            <w:shd w:val="clear" w:color="auto" w:fill="auto"/>
            <w:vAlign w:val="center"/>
          </w:tcPr>
          <w:p w14:paraId="5F33596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FF98A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3537D04"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4EFD0E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F2E0E94" w14:textId="77777777" w:rsidR="00AE4779" w:rsidRPr="00CF39C8" w:rsidRDefault="00AE4779" w:rsidP="00501C4A">
            <w:pPr>
              <w:spacing w:after="0"/>
              <w:rPr>
                <w:rFonts w:asciiTheme="majorHAnsi" w:hAnsiTheme="majorHAnsi" w:cstheme="majorHAnsi"/>
              </w:rPr>
            </w:pPr>
          </w:p>
        </w:tc>
      </w:tr>
      <w:tr w:rsidR="00AE4779" w:rsidRPr="00CF39C8" w14:paraId="57774DDE" w14:textId="77777777" w:rsidTr="00236810">
        <w:tc>
          <w:tcPr>
            <w:tcW w:w="3415" w:type="dxa"/>
            <w:vMerge/>
            <w:shd w:val="clear" w:color="auto" w:fill="auto"/>
            <w:vAlign w:val="center"/>
          </w:tcPr>
          <w:p w14:paraId="1378823F"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112974D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Renault</w:t>
            </w:r>
          </w:p>
        </w:tc>
        <w:tc>
          <w:tcPr>
            <w:tcW w:w="991" w:type="dxa"/>
            <w:shd w:val="clear" w:color="auto" w:fill="auto"/>
            <w:vAlign w:val="center"/>
          </w:tcPr>
          <w:p w14:paraId="7E7440A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CE1641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C9B85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EB1063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8476EED" w14:textId="77777777" w:rsidR="00AE4779" w:rsidRPr="00CF39C8" w:rsidRDefault="00AE4779" w:rsidP="00501C4A">
            <w:pPr>
              <w:spacing w:after="0"/>
              <w:rPr>
                <w:rFonts w:asciiTheme="majorHAnsi" w:hAnsiTheme="majorHAnsi" w:cstheme="majorHAnsi"/>
              </w:rPr>
            </w:pPr>
          </w:p>
        </w:tc>
      </w:tr>
      <w:tr w:rsidR="00AE4779" w:rsidRPr="00CF39C8" w14:paraId="63FD1E5B" w14:textId="77777777" w:rsidTr="00236810">
        <w:tc>
          <w:tcPr>
            <w:tcW w:w="3415" w:type="dxa"/>
            <w:vMerge w:val="restart"/>
            <w:shd w:val="clear" w:color="auto" w:fill="auto"/>
            <w:vAlign w:val="center"/>
          </w:tcPr>
          <w:p w14:paraId="16F31A5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SAIC</w:t>
            </w:r>
          </w:p>
          <w:p w14:paraId="0746232C"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8BFFED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MG</w:t>
            </w:r>
          </w:p>
        </w:tc>
        <w:tc>
          <w:tcPr>
            <w:tcW w:w="991" w:type="dxa"/>
            <w:shd w:val="clear" w:color="auto" w:fill="auto"/>
            <w:vAlign w:val="center"/>
          </w:tcPr>
          <w:p w14:paraId="68A140BF"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D3DBEC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4CC6E2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1AB695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7F458B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056077F0" w14:textId="77777777" w:rsidTr="00236810">
        <w:tc>
          <w:tcPr>
            <w:tcW w:w="3415" w:type="dxa"/>
            <w:vMerge/>
            <w:shd w:val="clear" w:color="auto" w:fill="auto"/>
            <w:vAlign w:val="center"/>
          </w:tcPr>
          <w:p w14:paraId="008275C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7ED42A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LDV</w:t>
            </w:r>
          </w:p>
        </w:tc>
        <w:tc>
          <w:tcPr>
            <w:tcW w:w="991" w:type="dxa"/>
            <w:shd w:val="clear" w:color="auto" w:fill="auto"/>
            <w:vAlign w:val="center"/>
          </w:tcPr>
          <w:p w14:paraId="54223DE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0ADD8B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685ED39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8E756A4"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DF399CE" w14:textId="77777777" w:rsidR="00AE4779" w:rsidRPr="00CF39C8" w:rsidRDefault="00AE4779" w:rsidP="00501C4A">
            <w:pPr>
              <w:spacing w:after="0"/>
              <w:rPr>
                <w:rFonts w:asciiTheme="majorHAnsi" w:hAnsiTheme="majorHAnsi" w:cstheme="majorHAnsi"/>
              </w:rPr>
            </w:pPr>
          </w:p>
        </w:tc>
      </w:tr>
      <w:tr w:rsidR="00AE4779" w:rsidRPr="00CF39C8" w14:paraId="42165CED" w14:textId="77777777" w:rsidTr="00236810">
        <w:tc>
          <w:tcPr>
            <w:tcW w:w="3415" w:type="dxa"/>
            <w:vMerge w:val="restart"/>
            <w:shd w:val="clear" w:color="auto" w:fill="auto"/>
            <w:vAlign w:val="center"/>
          </w:tcPr>
          <w:p w14:paraId="60E5EEA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Stellantis</w:t>
            </w:r>
          </w:p>
        </w:tc>
        <w:tc>
          <w:tcPr>
            <w:tcW w:w="1984" w:type="dxa"/>
            <w:shd w:val="clear" w:color="auto" w:fill="auto"/>
            <w:vAlign w:val="center"/>
          </w:tcPr>
          <w:p w14:paraId="70016CE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Fiat</w:t>
            </w:r>
          </w:p>
        </w:tc>
        <w:tc>
          <w:tcPr>
            <w:tcW w:w="991" w:type="dxa"/>
            <w:shd w:val="clear" w:color="auto" w:fill="auto"/>
            <w:vAlign w:val="center"/>
          </w:tcPr>
          <w:p w14:paraId="01BC043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4FB205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511408A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089C490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6EAB70E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4B130C86" w14:textId="77777777" w:rsidTr="00236810">
        <w:tc>
          <w:tcPr>
            <w:tcW w:w="3415" w:type="dxa"/>
            <w:vMerge/>
            <w:shd w:val="clear" w:color="auto" w:fill="auto"/>
            <w:vAlign w:val="center"/>
          </w:tcPr>
          <w:p w14:paraId="6EF7CD3B"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389482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Alfa Romeo</w:t>
            </w:r>
          </w:p>
        </w:tc>
        <w:tc>
          <w:tcPr>
            <w:tcW w:w="991" w:type="dxa"/>
            <w:shd w:val="clear" w:color="auto" w:fill="auto"/>
            <w:vAlign w:val="center"/>
          </w:tcPr>
          <w:p w14:paraId="34A27DA7"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8BB35F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211193A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3A5A487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349B763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64EF2AA4" w14:textId="77777777" w:rsidTr="00236810">
        <w:tc>
          <w:tcPr>
            <w:tcW w:w="3415" w:type="dxa"/>
            <w:vMerge/>
            <w:shd w:val="clear" w:color="auto" w:fill="auto"/>
            <w:vAlign w:val="center"/>
          </w:tcPr>
          <w:p w14:paraId="34D443C7"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E38EDA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Peugeot</w:t>
            </w:r>
          </w:p>
        </w:tc>
        <w:tc>
          <w:tcPr>
            <w:tcW w:w="991" w:type="dxa"/>
            <w:shd w:val="clear" w:color="auto" w:fill="auto"/>
            <w:vAlign w:val="center"/>
          </w:tcPr>
          <w:p w14:paraId="79010623"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375565F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6234F13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2416D84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1B74A51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5DC1630" w14:textId="77777777" w:rsidTr="00236810">
        <w:tc>
          <w:tcPr>
            <w:tcW w:w="3415" w:type="dxa"/>
            <w:vMerge/>
            <w:shd w:val="clear" w:color="auto" w:fill="auto"/>
            <w:vAlign w:val="center"/>
          </w:tcPr>
          <w:p w14:paraId="4643BF01"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00352A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Citroen</w:t>
            </w:r>
          </w:p>
        </w:tc>
        <w:tc>
          <w:tcPr>
            <w:tcW w:w="991" w:type="dxa"/>
            <w:shd w:val="clear" w:color="auto" w:fill="auto"/>
            <w:vAlign w:val="center"/>
          </w:tcPr>
          <w:p w14:paraId="0A865026"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DBD6ADD"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46B98EC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57A84B9A"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6E6939D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46F57820" w14:textId="77777777" w:rsidTr="00236810">
        <w:tc>
          <w:tcPr>
            <w:tcW w:w="3415" w:type="dxa"/>
            <w:shd w:val="clear" w:color="auto" w:fill="auto"/>
            <w:vAlign w:val="center"/>
          </w:tcPr>
          <w:p w14:paraId="774C14AA"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Subaru</w:t>
            </w:r>
          </w:p>
        </w:tc>
        <w:tc>
          <w:tcPr>
            <w:tcW w:w="1984" w:type="dxa"/>
            <w:shd w:val="clear" w:color="auto" w:fill="auto"/>
            <w:vAlign w:val="center"/>
          </w:tcPr>
          <w:p w14:paraId="3CC1A6C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Subaru</w:t>
            </w:r>
          </w:p>
        </w:tc>
        <w:tc>
          <w:tcPr>
            <w:tcW w:w="991" w:type="dxa"/>
            <w:shd w:val="clear" w:color="auto" w:fill="auto"/>
            <w:vAlign w:val="center"/>
          </w:tcPr>
          <w:p w14:paraId="6C29202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0C3408E"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5D9026A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E28C9A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DCD45A3" w14:textId="77777777" w:rsidR="00AE4779" w:rsidRPr="00CF39C8" w:rsidRDefault="00AE4779" w:rsidP="00501C4A">
            <w:pPr>
              <w:spacing w:after="0"/>
              <w:rPr>
                <w:rFonts w:asciiTheme="majorHAnsi" w:hAnsiTheme="majorHAnsi" w:cstheme="majorHAnsi"/>
              </w:rPr>
            </w:pPr>
          </w:p>
        </w:tc>
      </w:tr>
      <w:tr w:rsidR="00AE4779" w:rsidRPr="00CF39C8" w14:paraId="65E0D39F" w14:textId="77777777" w:rsidTr="00236810">
        <w:tc>
          <w:tcPr>
            <w:tcW w:w="3415" w:type="dxa"/>
            <w:shd w:val="clear" w:color="auto" w:fill="auto"/>
            <w:vAlign w:val="center"/>
          </w:tcPr>
          <w:p w14:paraId="520E2B7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Suzuki</w:t>
            </w:r>
          </w:p>
        </w:tc>
        <w:tc>
          <w:tcPr>
            <w:tcW w:w="1984" w:type="dxa"/>
            <w:shd w:val="clear" w:color="auto" w:fill="auto"/>
            <w:vAlign w:val="center"/>
          </w:tcPr>
          <w:p w14:paraId="04A6EEF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Suzuki</w:t>
            </w:r>
          </w:p>
        </w:tc>
        <w:tc>
          <w:tcPr>
            <w:tcW w:w="991" w:type="dxa"/>
            <w:shd w:val="clear" w:color="auto" w:fill="auto"/>
            <w:vAlign w:val="center"/>
          </w:tcPr>
          <w:p w14:paraId="1329648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6033643"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3445754B"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7B186A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08693CD" w14:textId="77777777" w:rsidR="00AE4779" w:rsidRPr="00CF39C8" w:rsidRDefault="00AE4779" w:rsidP="00501C4A">
            <w:pPr>
              <w:spacing w:after="0"/>
              <w:rPr>
                <w:rFonts w:asciiTheme="majorHAnsi" w:hAnsiTheme="majorHAnsi" w:cstheme="majorHAnsi"/>
              </w:rPr>
            </w:pPr>
          </w:p>
        </w:tc>
      </w:tr>
      <w:tr w:rsidR="00AE4779" w:rsidRPr="00CF39C8" w14:paraId="61F8113D" w14:textId="77777777" w:rsidTr="00236810">
        <w:tc>
          <w:tcPr>
            <w:tcW w:w="3415" w:type="dxa"/>
            <w:vMerge w:val="restart"/>
            <w:shd w:val="clear" w:color="auto" w:fill="auto"/>
            <w:vAlign w:val="center"/>
          </w:tcPr>
          <w:p w14:paraId="7D2364C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Tata Motors</w:t>
            </w:r>
          </w:p>
        </w:tc>
        <w:tc>
          <w:tcPr>
            <w:tcW w:w="1984" w:type="dxa"/>
            <w:shd w:val="clear" w:color="auto" w:fill="auto"/>
            <w:vAlign w:val="center"/>
          </w:tcPr>
          <w:p w14:paraId="51DE4DA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Jaguar</w:t>
            </w:r>
          </w:p>
        </w:tc>
        <w:tc>
          <w:tcPr>
            <w:tcW w:w="991" w:type="dxa"/>
            <w:shd w:val="clear" w:color="auto" w:fill="auto"/>
            <w:vAlign w:val="center"/>
          </w:tcPr>
          <w:p w14:paraId="58570452"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1D4D9E2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5B8E1E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0BF73C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BC93B63" w14:textId="77777777" w:rsidR="00AE4779" w:rsidRPr="00CF39C8" w:rsidRDefault="00AE4779" w:rsidP="00501C4A">
            <w:pPr>
              <w:spacing w:after="0"/>
              <w:rPr>
                <w:rFonts w:asciiTheme="majorHAnsi" w:hAnsiTheme="majorHAnsi" w:cstheme="majorHAnsi"/>
              </w:rPr>
            </w:pPr>
          </w:p>
        </w:tc>
      </w:tr>
      <w:tr w:rsidR="00AE4779" w:rsidRPr="00CF39C8" w14:paraId="59A451F1" w14:textId="77777777" w:rsidTr="00236810">
        <w:tc>
          <w:tcPr>
            <w:tcW w:w="3415" w:type="dxa"/>
            <w:vMerge/>
            <w:shd w:val="clear" w:color="auto" w:fill="auto"/>
            <w:vAlign w:val="center"/>
          </w:tcPr>
          <w:p w14:paraId="04BA4DEB"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7A4BF46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Land Rover</w:t>
            </w:r>
          </w:p>
        </w:tc>
        <w:tc>
          <w:tcPr>
            <w:tcW w:w="991" w:type="dxa"/>
            <w:shd w:val="clear" w:color="auto" w:fill="auto"/>
            <w:vAlign w:val="center"/>
          </w:tcPr>
          <w:p w14:paraId="4EEC10EC"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152112A" w14:textId="77777777" w:rsidR="00AE4779" w:rsidRPr="00CF39C8" w:rsidRDefault="00AE4779" w:rsidP="00501C4A">
            <w:pPr>
              <w:spacing w:after="0"/>
              <w:rPr>
                <w:rFonts w:asciiTheme="majorHAnsi" w:hAnsiTheme="majorHAnsi" w:cstheme="majorHAnsi"/>
                <w:bCs/>
              </w:rPr>
            </w:pPr>
          </w:p>
        </w:tc>
        <w:tc>
          <w:tcPr>
            <w:tcW w:w="991" w:type="dxa"/>
            <w:shd w:val="clear" w:color="auto" w:fill="auto"/>
            <w:vAlign w:val="center"/>
          </w:tcPr>
          <w:p w14:paraId="54695385"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7B5F84B"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4B03536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E7DC4FE" w14:textId="77777777" w:rsidTr="00236810">
        <w:tc>
          <w:tcPr>
            <w:tcW w:w="3415" w:type="dxa"/>
            <w:shd w:val="clear" w:color="auto" w:fill="auto"/>
            <w:vAlign w:val="center"/>
          </w:tcPr>
          <w:p w14:paraId="0FE8601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Tesla</w:t>
            </w:r>
          </w:p>
        </w:tc>
        <w:tc>
          <w:tcPr>
            <w:tcW w:w="1984" w:type="dxa"/>
            <w:shd w:val="clear" w:color="auto" w:fill="auto"/>
            <w:vAlign w:val="center"/>
          </w:tcPr>
          <w:p w14:paraId="60BC495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Tesla</w:t>
            </w:r>
          </w:p>
        </w:tc>
        <w:tc>
          <w:tcPr>
            <w:tcW w:w="991" w:type="dxa"/>
            <w:shd w:val="clear" w:color="auto" w:fill="auto"/>
            <w:vAlign w:val="center"/>
          </w:tcPr>
          <w:p w14:paraId="32579F9F"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69375F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2228C4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26D6FEA"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B6B4D34" w14:textId="77777777" w:rsidR="00AE4779" w:rsidRPr="00CF39C8" w:rsidRDefault="00AE4779" w:rsidP="00501C4A">
            <w:pPr>
              <w:spacing w:after="0"/>
              <w:rPr>
                <w:rFonts w:asciiTheme="majorHAnsi" w:hAnsiTheme="majorHAnsi" w:cstheme="majorHAnsi"/>
              </w:rPr>
            </w:pPr>
          </w:p>
        </w:tc>
      </w:tr>
      <w:tr w:rsidR="00AE4779" w:rsidRPr="00CF39C8" w14:paraId="7203830F" w14:textId="77777777" w:rsidTr="00236810">
        <w:tc>
          <w:tcPr>
            <w:tcW w:w="3415" w:type="dxa"/>
            <w:vMerge w:val="restart"/>
            <w:shd w:val="clear" w:color="auto" w:fill="auto"/>
            <w:vAlign w:val="center"/>
          </w:tcPr>
          <w:p w14:paraId="19FB1CE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Toyota</w:t>
            </w:r>
          </w:p>
          <w:p w14:paraId="51911247"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576FC6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Toyota</w:t>
            </w:r>
          </w:p>
        </w:tc>
        <w:tc>
          <w:tcPr>
            <w:tcW w:w="991" w:type="dxa"/>
            <w:shd w:val="clear" w:color="auto" w:fill="auto"/>
            <w:vAlign w:val="center"/>
          </w:tcPr>
          <w:p w14:paraId="00BD76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F881977"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2345F35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D95922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E147618" w14:textId="77777777" w:rsidR="00AE4779" w:rsidRPr="00CF39C8" w:rsidRDefault="00AE4779" w:rsidP="00501C4A">
            <w:pPr>
              <w:spacing w:after="0"/>
              <w:rPr>
                <w:rFonts w:asciiTheme="majorHAnsi" w:hAnsiTheme="majorHAnsi" w:cstheme="majorHAnsi"/>
              </w:rPr>
            </w:pPr>
          </w:p>
        </w:tc>
      </w:tr>
      <w:tr w:rsidR="00AE4779" w:rsidRPr="00CF39C8" w14:paraId="2B89872C" w14:textId="77777777" w:rsidTr="00236810">
        <w:tc>
          <w:tcPr>
            <w:tcW w:w="3415" w:type="dxa"/>
            <w:vMerge/>
            <w:shd w:val="clear" w:color="auto" w:fill="auto"/>
            <w:vAlign w:val="center"/>
          </w:tcPr>
          <w:p w14:paraId="0BC7B88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07FF0A6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Lexus</w:t>
            </w:r>
          </w:p>
        </w:tc>
        <w:tc>
          <w:tcPr>
            <w:tcW w:w="991" w:type="dxa"/>
            <w:shd w:val="clear" w:color="auto" w:fill="auto"/>
            <w:vAlign w:val="center"/>
          </w:tcPr>
          <w:p w14:paraId="5E3EF8D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0DC5D3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0F1DBE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98E189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B52335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B3AF5DE" w14:textId="77777777" w:rsidTr="00236810">
        <w:tc>
          <w:tcPr>
            <w:tcW w:w="3415" w:type="dxa"/>
            <w:vMerge w:val="restart"/>
            <w:shd w:val="clear" w:color="auto" w:fill="auto"/>
            <w:vAlign w:val="center"/>
          </w:tcPr>
          <w:p w14:paraId="56137DA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Volkswagen</w:t>
            </w:r>
          </w:p>
        </w:tc>
        <w:tc>
          <w:tcPr>
            <w:tcW w:w="1984" w:type="dxa"/>
            <w:shd w:val="clear" w:color="auto" w:fill="auto"/>
            <w:vAlign w:val="center"/>
          </w:tcPr>
          <w:p w14:paraId="44C81AE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Volkswagen</w:t>
            </w:r>
          </w:p>
        </w:tc>
        <w:tc>
          <w:tcPr>
            <w:tcW w:w="991" w:type="dxa"/>
            <w:shd w:val="clear" w:color="auto" w:fill="auto"/>
            <w:vAlign w:val="center"/>
          </w:tcPr>
          <w:p w14:paraId="4BBCE25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843F5F4"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523F5D05"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3E0585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0A8EA8D" w14:textId="77777777" w:rsidR="00AE4779" w:rsidRPr="00CF39C8" w:rsidRDefault="00AE4779" w:rsidP="00501C4A">
            <w:pPr>
              <w:spacing w:after="0"/>
              <w:rPr>
                <w:rFonts w:asciiTheme="majorHAnsi" w:hAnsiTheme="majorHAnsi" w:cstheme="majorHAnsi"/>
              </w:rPr>
            </w:pPr>
          </w:p>
        </w:tc>
      </w:tr>
      <w:tr w:rsidR="00AE4779" w:rsidRPr="00CF39C8" w14:paraId="23CF418C" w14:textId="77777777" w:rsidTr="00236810">
        <w:tc>
          <w:tcPr>
            <w:tcW w:w="3415" w:type="dxa"/>
            <w:vMerge/>
            <w:shd w:val="clear" w:color="auto" w:fill="auto"/>
            <w:vAlign w:val="center"/>
          </w:tcPr>
          <w:p w14:paraId="7FF72CE5"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88258E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Audi</w:t>
            </w:r>
          </w:p>
        </w:tc>
        <w:tc>
          <w:tcPr>
            <w:tcW w:w="991" w:type="dxa"/>
            <w:shd w:val="clear" w:color="auto" w:fill="auto"/>
            <w:vAlign w:val="center"/>
          </w:tcPr>
          <w:p w14:paraId="4B9A998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500753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9D4FB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7070030"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29EDEA0" w14:textId="77777777" w:rsidR="00AE4779" w:rsidRPr="00CF39C8" w:rsidRDefault="00AE4779" w:rsidP="00501C4A">
            <w:pPr>
              <w:spacing w:after="0"/>
              <w:rPr>
                <w:rFonts w:asciiTheme="majorHAnsi" w:hAnsiTheme="majorHAnsi" w:cstheme="majorHAnsi"/>
              </w:rPr>
            </w:pPr>
          </w:p>
        </w:tc>
      </w:tr>
      <w:tr w:rsidR="00AE4779" w:rsidRPr="00CF39C8" w14:paraId="42F3424A" w14:textId="77777777" w:rsidTr="00236810">
        <w:tc>
          <w:tcPr>
            <w:tcW w:w="3415" w:type="dxa"/>
            <w:vMerge/>
            <w:shd w:val="clear" w:color="auto" w:fill="auto"/>
            <w:vAlign w:val="center"/>
          </w:tcPr>
          <w:p w14:paraId="61124BC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15F24A2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Porsche</w:t>
            </w:r>
          </w:p>
        </w:tc>
        <w:tc>
          <w:tcPr>
            <w:tcW w:w="991" w:type="dxa"/>
            <w:shd w:val="clear" w:color="auto" w:fill="auto"/>
            <w:vAlign w:val="center"/>
          </w:tcPr>
          <w:p w14:paraId="0B13250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880C1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E9CA45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A5AB35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49F00E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AE41CF6" w14:textId="77777777" w:rsidTr="00236810">
        <w:tc>
          <w:tcPr>
            <w:tcW w:w="3415" w:type="dxa"/>
            <w:vMerge/>
            <w:shd w:val="clear" w:color="auto" w:fill="auto"/>
            <w:vAlign w:val="center"/>
          </w:tcPr>
          <w:p w14:paraId="0942E196"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65D4DCA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CUPRA</w:t>
            </w:r>
          </w:p>
        </w:tc>
        <w:tc>
          <w:tcPr>
            <w:tcW w:w="991" w:type="dxa"/>
            <w:shd w:val="clear" w:color="auto" w:fill="auto"/>
            <w:vAlign w:val="center"/>
          </w:tcPr>
          <w:p w14:paraId="3221F67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BF9207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F5FBBB6"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6B13BB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84BB17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26C04D26" w14:textId="77777777" w:rsidTr="00236810">
        <w:tc>
          <w:tcPr>
            <w:tcW w:w="3415" w:type="dxa"/>
            <w:vMerge/>
            <w:shd w:val="clear" w:color="auto" w:fill="auto"/>
            <w:vAlign w:val="center"/>
          </w:tcPr>
          <w:p w14:paraId="1C37F770"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A1C571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Skoda</w:t>
            </w:r>
          </w:p>
        </w:tc>
        <w:tc>
          <w:tcPr>
            <w:tcW w:w="991" w:type="dxa"/>
            <w:shd w:val="clear" w:color="auto" w:fill="auto"/>
            <w:vAlign w:val="center"/>
          </w:tcPr>
          <w:p w14:paraId="1C45A0D7"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36381446" w14:textId="77777777" w:rsidR="00AE4779" w:rsidRPr="00CF39C8" w:rsidRDefault="00AE4779" w:rsidP="00501C4A">
            <w:pPr>
              <w:spacing w:after="0"/>
              <w:rPr>
                <w:rFonts w:asciiTheme="majorHAnsi" w:hAnsiTheme="majorHAnsi" w:cstheme="majorHAnsi"/>
                <w:bCs/>
              </w:rPr>
            </w:pPr>
          </w:p>
        </w:tc>
        <w:tc>
          <w:tcPr>
            <w:tcW w:w="991" w:type="dxa"/>
            <w:shd w:val="clear" w:color="auto" w:fill="auto"/>
            <w:vAlign w:val="center"/>
          </w:tcPr>
          <w:p w14:paraId="206E95C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D75A12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4B53508" w14:textId="77777777" w:rsidR="00AE4779" w:rsidRPr="00CF39C8" w:rsidRDefault="00AE4779" w:rsidP="00501C4A">
            <w:pPr>
              <w:spacing w:after="0"/>
              <w:rPr>
                <w:rFonts w:asciiTheme="majorHAnsi" w:hAnsiTheme="majorHAnsi" w:cstheme="majorHAnsi"/>
                <w:bCs/>
              </w:rPr>
            </w:pPr>
          </w:p>
        </w:tc>
      </w:tr>
      <w:tr w:rsidR="00AE4779" w:rsidRPr="00CF39C8" w14:paraId="06854BB8" w14:textId="77777777" w:rsidTr="00236810">
        <w:tc>
          <w:tcPr>
            <w:tcW w:w="10357" w:type="dxa"/>
            <w:gridSpan w:val="7"/>
            <w:shd w:val="clear" w:color="auto" w:fill="auto"/>
            <w:vAlign w:val="center"/>
          </w:tcPr>
          <w:p w14:paraId="3A5C6B18" w14:textId="77777777" w:rsidR="00AE4779" w:rsidRPr="00CF39C8" w:rsidRDefault="00AE4779" w:rsidP="00501C4A">
            <w:pPr>
              <w:spacing w:after="0"/>
              <w:rPr>
                <w:rFonts w:asciiTheme="majorHAnsi" w:hAnsiTheme="majorHAnsi" w:cstheme="majorHAnsi"/>
                <w:i/>
              </w:rPr>
            </w:pPr>
            <w:r w:rsidRPr="00CF39C8">
              <w:rPr>
                <w:rFonts w:asciiTheme="majorHAnsi" w:hAnsiTheme="majorHAnsi" w:cstheme="majorHAnsi"/>
                <w:i/>
              </w:rPr>
              <w:t xml:space="preserve">Source: </w:t>
            </w:r>
            <w:r w:rsidR="00D26581" w:rsidRPr="00CF39C8">
              <w:rPr>
                <w:rFonts w:asciiTheme="majorHAnsi" w:hAnsiTheme="majorHAnsi" w:cstheme="majorHAnsi"/>
                <w:i/>
              </w:rPr>
              <w:t>d</w:t>
            </w:r>
            <w:r w:rsidRPr="00CF39C8">
              <w:rPr>
                <w:rFonts w:asciiTheme="majorHAnsi" w:hAnsiTheme="majorHAnsi" w:cstheme="majorHAnsi"/>
                <w:i/>
                <w:iCs/>
              </w:rPr>
              <w:t>epartmental analysis</w:t>
            </w:r>
            <w:r w:rsidRPr="00CF39C8">
              <w:rPr>
                <w:rFonts w:asciiTheme="majorHAnsi" w:hAnsiTheme="majorHAnsi" w:cstheme="majorHAnsi"/>
                <w:i/>
              </w:rPr>
              <w:t xml:space="preserve">, OEM – Brand relationship derived primarily from </w:t>
            </w:r>
            <w:r w:rsidRPr="00A4761A">
              <w:rPr>
                <w:rFonts w:asciiTheme="majorHAnsi" w:hAnsiTheme="majorHAnsi" w:cstheme="majorHAnsi"/>
                <w:i/>
              </w:rPr>
              <w:t>Whichcar.com</w:t>
            </w:r>
          </w:p>
        </w:tc>
      </w:tr>
    </w:tbl>
    <w:p w14:paraId="42B676B5" w14:textId="77777777" w:rsidR="00AE4779" w:rsidRPr="00CF39C8" w:rsidRDefault="00AE4779" w:rsidP="00AE4779"/>
    <w:p w14:paraId="6CF4E5AD" w14:textId="77777777" w:rsidR="00674027" w:rsidRPr="00CF39C8" w:rsidRDefault="00674027" w:rsidP="00AE4779"/>
    <w:p w14:paraId="0A1C1B95"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t xml:space="preserve">Selection of </w:t>
      </w:r>
      <w:r w:rsidR="00EB5FA0" w:rsidRPr="00CF39C8">
        <w:rPr>
          <w:rFonts w:asciiTheme="majorHAnsi" w:hAnsiTheme="majorHAnsi" w:cstheme="majorHAnsi"/>
        </w:rPr>
        <w:t xml:space="preserve">regulated entity </w:t>
      </w:r>
      <w:r w:rsidRPr="00CF39C8">
        <w:rPr>
          <w:rFonts w:asciiTheme="majorHAnsi" w:hAnsiTheme="majorHAnsi" w:cstheme="majorHAnsi"/>
        </w:rPr>
        <w:t>commitments:</w:t>
      </w:r>
    </w:p>
    <w:tbl>
      <w:tblPr>
        <w:tblW w:w="103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Caption w:val="Selection of regulated entity commitments"/>
      </w:tblPr>
      <w:tblGrid>
        <w:gridCol w:w="1683"/>
        <w:gridCol w:w="1702"/>
        <w:gridCol w:w="850"/>
        <w:gridCol w:w="6108"/>
      </w:tblGrid>
      <w:tr w:rsidR="00AE4779" w:rsidRPr="00CF39C8" w14:paraId="2DEE1585" w14:textId="77777777" w:rsidTr="00236810">
        <w:trPr>
          <w:trHeight w:val="661"/>
          <w:tblHeader/>
        </w:trPr>
        <w:tc>
          <w:tcPr>
            <w:tcW w:w="1683" w:type="dxa"/>
            <w:shd w:val="clear" w:color="auto" w:fill="417A84" w:themeFill="accent5" w:themeFillShade="BF"/>
            <w:tcMar>
              <w:left w:w="454" w:type="dxa"/>
            </w:tcMar>
            <w:vAlign w:val="center"/>
          </w:tcPr>
          <w:p w14:paraId="735ACECF" w14:textId="77777777" w:rsidR="00AE4779" w:rsidRPr="00CF39C8" w:rsidRDefault="00AE4779" w:rsidP="00576425">
            <w:pPr>
              <w:spacing w:after="0"/>
              <w:ind w:left="-314"/>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Vehicle brand</w:t>
            </w:r>
          </w:p>
        </w:tc>
        <w:tc>
          <w:tcPr>
            <w:tcW w:w="1702" w:type="dxa"/>
            <w:shd w:val="clear" w:color="auto" w:fill="417A84" w:themeFill="accent5" w:themeFillShade="BF"/>
          </w:tcPr>
          <w:p w14:paraId="7DBCD76D"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 xml:space="preserve">Commitment </w:t>
            </w:r>
            <w:r w:rsidRPr="00CF39C8">
              <w:rPr>
                <w:rFonts w:asciiTheme="majorHAnsi" w:hAnsiTheme="majorHAnsi" w:cstheme="majorHAnsi"/>
                <w:b/>
                <w:color w:val="FFFFFF" w:themeColor="background1"/>
                <w:sz w:val="22"/>
              </w:rPr>
              <w:br/>
              <w:t xml:space="preserve">type </w:t>
            </w:r>
          </w:p>
        </w:tc>
        <w:tc>
          <w:tcPr>
            <w:tcW w:w="850" w:type="dxa"/>
            <w:shd w:val="clear" w:color="auto" w:fill="417A84" w:themeFill="accent5" w:themeFillShade="BF"/>
          </w:tcPr>
          <w:p w14:paraId="50A17718"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Target year</w:t>
            </w:r>
          </w:p>
        </w:tc>
        <w:tc>
          <w:tcPr>
            <w:tcW w:w="6108" w:type="dxa"/>
            <w:shd w:val="clear" w:color="auto" w:fill="417A84" w:themeFill="accent5" w:themeFillShade="BF"/>
            <w:noWrap/>
          </w:tcPr>
          <w:p w14:paraId="5D62AF5B"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Details/notes</w:t>
            </w:r>
          </w:p>
        </w:tc>
      </w:tr>
      <w:tr w:rsidR="00AE4779" w:rsidRPr="00CF39C8" w14:paraId="50B6DC42" w14:textId="77777777" w:rsidTr="00236810">
        <w:tc>
          <w:tcPr>
            <w:tcW w:w="10343" w:type="dxa"/>
            <w:gridSpan w:val="4"/>
            <w:shd w:val="clear" w:color="auto" w:fill="BCD9DE" w:themeFill="accent5" w:themeFillTint="66"/>
            <w:hideMark/>
          </w:tcPr>
          <w:p w14:paraId="21BC5287" w14:textId="77777777" w:rsidR="00AE4779" w:rsidRPr="00CF39C8" w:rsidRDefault="00AE4779" w:rsidP="00AE4779">
            <w:pPr>
              <w:spacing w:after="0"/>
              <w:rPr>
                <w:rFonts w:asciiTheme="majorHAnsi" w:hAnsiTheme="majorHAnsi" w:cstheme="majorHAnsi"/>
                <w:b/>
                <w:bCs/>
              </w:rPr>
            </w:pPr>
            <w:r w:rsidRPr="00CF39C8">
              <w:rPr>
                <w:rFonts w:asciiTheme="majorHAnsi" w:hAnsiTheme="majorHAnsi" w:cstheme="majorHAnsi"/>
                <w:b/>
                <w:bCs/>
              </w:rPr>
              <w:t>Full Commitment</w:t>
            </w:r>
          </w:p>
        </w:tc>
      </w:tr>
      <w:tr w:rsidR="00AE4779" w:rsidRPr="00CF39C8" w14:paraId="5BF71E81" w14:textId="77777777" w:rsidTr="00236810">
        <w:tc>
          <w:tcPr>
            <w:tcW w:w="1683" w:type="dxa"/>
            <w:shd w:val="clear" w:color="auto" w:fill="auto"/>
            <w:noWrap/>
            <w:hideMark/>
          </w:tcPr>
          <w:p w14:paraId="122CBA4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Volvo</w:t>
            </w:r>
          </w:p>
        </w:tc>
        <w:tc>
          <w:tcPr>
            <w:tcW w:w="1702" w:type="dxa"/>
            <w:shd w:val="clear" w:color="auto" w:fill="auto"/>
            <w:noWrap/>
            <w:hideMark/>
          </w:tcPr>
          <w:p w14:paraId="58F3EC25"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20B72EE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E8FC14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Volvo has announced plans to become a fully electric car company by 2030.</w:t>
            </w:r>
          </w:p>
        </w:tc>
      </w:tr>
      <w:tr w:rsidR="00AE4779" w:rsidRPr="00CF39C8" w14:paraId="15601052" w14:textId="77777777" w:rsidTr="00236810">
        <w:tc>
          <w:tcPr>
            <w:tcW w:w="1683" w:type="dxa"/>
            <w:shd w:val="clear" w:color="auto" w:fill="auto"/>
            <w:noWrap/>
            <w:hideMark/>
          </w:tcPr>
          <w:p w14:paraId="325A26E9"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MINI</w:t>
            </w:r>
          </w:p>
        </w:tc>
        <w:tc>
          <w:tcPr>
            <w:tcW w:w="1702" w:type="dxa"/>
            <w:shd w:val="clear" w:color="auto" w:fill="auto"/>
            <w:noWrap/>
            <w:hideMark/>
          </w:tcPr>
          <w:p w14:paraId="47938FA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02FA35A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53E8646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MINI's head company, BMW, has announced intentions to make MINI the first all-electric group brand by 2030.</w:t>
            </w:r>
          </w:p>
        </w:tc>
      </w:tr>
      <w:tr w:rsidR="00AE4779" w:rsidRPr="00CF39C8" w14:paraId="3BA6AE73" w14:textId="77777777" w:rsidTr="00236810">
        <w:tc>
          <w:tcPr>
            <w:tcW w:w="1683" w:type="dxa"/>
            <w:shd w:val="clear" w:color="auto" w:fill="auto"/>
            <w:noWrap/>
            <w:hideMark/>
          </w:tcPr>
          <w:p w14:paraId="215EE8E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Fiat</w:t>
            </w:r>
          </w:p>
        </w:tc>
        <w:tc>
          <w:tcPr>
            <w:tcW w:w="1702" w:type="dxa"/>
            <w:shd w:val="clear" w:color="auto" w:fill="auto"/>
            <w:noWrap/>
            <w:hideMark/>
          </w:tcPr>
          <w:p w14:paraId="511A2BA7"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74098CE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D6FF8C0"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Fiat has announced that between 2025 and 2030, their product line-up will gradually become electric only.</w:t>
            </w:r>
          </w:p>
        </w:tc>
      </w:tr>
      <w:tr w:rsidR="00AE4779" w:rsidRPr="00CF39C8" w14:paraId="246CED37" w14:textId="77777777" w:rsidTr="00236810">
        <w:tc>
          <w:tcPr>
            <w:tcW w:w="1683" w:type="dxa"/>
            <w:shd w:val="clear" w:color="auto" w:fill="auto"/>
            <w:noWrap/>
            <w:hideMark/>
          </w:tcPr>
          <w:p w14:paraId="047F3D4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Mercedes Benz</w:t>
            </w:r>
          </w:p>
        </w:tc>
        <w:tc>
          <w:tcPr>
            <w:tcW w:w="1702" w:type="dxa"/>
            <w:shd w:val="clear" w:color="auto" w:fill="auto"/>
            <w:hideMark/>
          </w:tcPr>
          <w:p w14:paraId="205FB6C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12F390D1"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5074EF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Mercedes-Benz is targeting to become all electric by 2030, where market conditions allow.</w:t>
            </w:r>
          </w:p>
        </w:tc>
      </w:tr>
      <w:tr w:rsidR="00AE4779" w:rsidRPr="00CF39C8" w14:paraId="664C6D2C" w14:textId="77777777" w:rsidTr="00236810">
        <w:tc>
          <w:tcPr>
            <w:tcW w:w="10343" w:type="dxa"/>
            <w:gridSpan w:val="4"/>
            <w:shd w:val="clear" w:color="auto" w:fill="BCD9DE" w:themeFill="accent5" w:themeFillTint="66"/>
            <w:noWrap/>
            <w:hideMark/>
          </w:tcPr>
          <w:p w14:paraId="01D51327" w14:textId="77777777" w:rsidR="00AE4779" w:rsidRPr="00CF39C8" w:rsidRDefault="00AE4779" w:rsidP="00AE4779">
            <w:pPr>
              <w:spacing w:after="0"/>
              <w:rPr>
                <w:rFonts w:asciiTheme="majorHAnsi" w:hAnsiTheme="majorHAnsi" w:cstheme="majorHAnsi"/>
                <w:b/>
                <w:bCs/>
              </w:rPr>
            </w:pPr>
            <w:r w:rsidRPr="00CF39C8">
              <w:rPr>
                <w:rFonts w:asciiTheme="majorHAnsi" w:hAnsiTheme="majorHAnsi" w:cstheme="majorHAnsi"/>
                <w:b/>
                <w:bCs/>
              </w:rPr>
              <w:t>Partial Commitment</w:t>
            </w:r>
          </w:p>
        </w:tc>
      </w:tr>
      <w:tr w:rsidR="00AE4779" w:rsidRPr="00CF39C8" w14:paraId="56D45DD6" w14:textId="77777777" w:rsidTr="00236810">
        <w:tc>
          <w:tcPr>
            <w:tcW w:w="1683" w:type="dxa"/>
            <w:shd w:val="clear" w:color="auto" w:fill="auto"/>
            <w:noWrap/>
            <w:hideMark/>
          </w:tcPr>
          <w:p w14:paraId="1D051F0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Mazda</w:t>
            </w:r>
          </w:p>
        </w:tc>
        <w:tc>
          <w:tcPr>
            <w:tcW w:w="1702" w:type="dxa"/>
            <w:shd w:val="clear" w:color="auto" w:fill="auto"/>
            <w:hideMark/>
          </w:tcPr>
          <w:p w14:paraId="6885466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Partially electric</w:t>
            </w:r>
          </w:p>
        </w:tc>
        <w:tc>
          <w:tcPr>
            <w:tcW w:w="850" w:type="dxa"/>
            <w:shd w:val="clear" w:color="auto" w:fill="auto"/>
            <w:noWrap/>
            <w:hideMark/>
          </w:tcPr>
          <w:p w14:paraId="5BEAFA51"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6091DCE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Mazda has announced that by 2030, 100</w:t>
            </w:r>
            <w:r w:rsidR="009242A6" w:rsidRPr="00CF39C8">
              <w:rPr>
                <w:rFonts w:asciiTheme="majorHAnsi" w:hAnsiTheme="majorHAnsi" w:cstheme="majorHAnsi"/>
              </w:rPr>
              <w:t>%</w:t>
            </w:r>
            <w:r w:rsidRPr="00CF39C8">
              <w:rPr>
                <w:rFonts w:asciiTheme="majorHAnsi" w:hAnsiTheme="majorHAnsi" w:cstheme="majorHAnsi"/>
              </w:rPr>
              <w:t xml:space="preserve"> of Mazda products will be electrified and pure-electric vehicles will account for 25 to 40</w:t>
            </w:r>
            <w:r w:rsidR="009242A6" w:rsidRPr="00CF39C8">
              <w:rPr>
                <w:rFonts w:asciiTheme="majorHAnsi" w:hAnsiTheme="majorHAnsi" w:cstheme="majorHAnsi"/>
              </w:rPr>
              <w:t>%</w:t>
            </w:r>
            <w:r w:rsidRPr="00CF39C8">
              <w:rPr>
                <w:rFonts w:asciiTheme="majorHAnsi" w:hAnsiTheme="majorHAnsi" w:cstheme="majorHAnsi"/>
              </w:rPr>
              <w:t xml:space="preserve"> of those.</w:t>
            </w:r>
          </w:p>
        </w:tc>
      </w:tr>
      <w:tr w:rsidR="00AE4779" w:rsidRPr="00CF39C8" w14:paraId="718C3062" w14:textId="77777777" w:rsidTr="00236810">
        <w:tc>
          <w:tcPr>
            <w:tcW w:w="1683" w:type="dxa"/>
            <w:shd w:val="clear" w:color="auto" w:fill="auto"/>
            <w:noWrap/>
            <w:hideMark/>
          </w:tcPr>
          <w:p w14:paraId="2C20C55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Toyota</w:t>
            </w:r>
          </w:p>
        </w:tc>
        <w:tc>
          <w:tcPr>
            <w:tcW w:w="1702" w:type="dxa"/>
            <w:shd w:val="clear" w:color="auto" w:fill="auto"/>
            <w:hideMark/>
          </w:tcPr>
          <w:p w14:paraId="00406CD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429BFE5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757A57E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Toyota globally plans to release 30 new EVs and lift EV sales to 3.5 million a year by 2030, investing $87 billion in the shift to zero-carbon vehicles over that period</w:t>
            </w:r>
          </w:p>
        </w:tc>
      </w:tr>
      <w:tr w:rsidR="00AE4779" w:rsidRPr="00CF39C8" w14:paraId="3B685089" w14:textId="77777777" w:rsidTr="00236810">
        <w:tc>
          <w:tcPr>
            <w:tcW w:w="1683" w:type="dxa"/>
            <w:shd w:val="clear" w:color="auto" w:fill="auto"/>
            <w:noWrap/>
            <w:hideMark/>
          </w:tcPr>
          <w:p w14:paraId="2A29013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Kia</w:t>
            </w:r>
          </w:p>
        </w:tc>
        <w:tc>
          <w:tcPr>
            <w:tcW w:w="1702" w:type="dxa"/>
            <w:shd w:val="clear" w:color="auto" w:fill="auto"/>
            <w:hideMark/>
          </w:tcPr>
          <w:p w14:paraId="0221285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4D15B81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554461C9"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Kia announced that as part of the EV transition, the company aims to sell 1.2 million BEVs in 2030. Further, Kia is targeting 100</w:t>
            </w:r>
            <w:r w:rsidR="009242A6" w:rsidRPr="00CF39C8">
              <w:rPr>
                <w:rFonts w:asciiTheme="majorHAnsi" w:hAnsiTheme="majorHAnsi" w:cstheme="majorHAnsi"/>
              </w:rPr>
              <w:t>%</w:t>
            </w:r>
            <w:r w:rsidR="00152D14" w:rsidRPr="00CF39C8">
              <w:rPr>
                <w:rFonts w:asciiTheme="majorHAnsi" w:hAnsiTheme="majorHAnsi" w:cstheme="majorHAnsi"/>
              </w:rPr>
              <w:t xml:space="preserve"> </w:t>
            </w:r>
            <w:r w:rsidRPr="00CF39C8">
              <w:rPr>
                <w:rFonts w:asciiTheme="majorHAnsi" w:hAnsiTheme="majorHAnsi" w:cstheme="majorHAnsi"/>
              </w:rPr>
              <w:t>EV line-up in Europe by 2030 and globally by 2035.</w:t>
            </w:r>
          </w:p>
        </w:tc>
      </w:tr>
      <w:tr w:rsidR="00AE4779" w:rsidRPr="00CF39C8" w14:paraId="0A206C5F" w14:textId="77777777" w:rsidTr="00236810">
        <w:tc>
          <w:tcPr>
            <w:tcW w:w="1683" w:type="dxa"/>
            <w:shd w:val="clear" w:color="auto" w:fill="auto"/>
            <w:noWrap/>
            <w:hideMark/>
          </w:tcPr>
          <w:p w14:paraId="2BE65C8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Hyundai</w:t>
            </w:r>
          </w:p>
        </w:tc>
        <w:tc>
          <w:tcPr>
            <w:tcW w:w="1702" w:type="dxa"/>
            <w:shd w:val="clear" w:color="auto" w:fill="auto"/>
            <w:hideMark/>
          </w:tcPr>
          <w:p w14:paraId="3F7983A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33BDB115"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0F3F4AA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Hyundai Motors announced that annual BEV sales target is 1.87 million units by 2030, with 560,000 EV units targeted by 2025.</w:t>
            </w:r>
          </w:p>
        </w:tc>
      </w:tr>
      <w:tr w:rsidR="00AE4779" w:rsidRPr="00CF39C8" w14:paraId="678BDC33" w14:textId="77777777" w:rsidTr="00236810">
        <w:tc>
          <w:tcPr>
            <w:tcW w:w="1683" w:type="dxa"/>
            <w:shd w:val="clear" w:color="auto" w:fill="auto"/>
            <w:noWrap/>
            <w:hideMark/>
          </w:tcPr>
          <w:p w14:paraId="18EA41B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Honda</w:t>
            </w:r>
          </w:p>
        </w:tc>
        <w:tc>
          <w:tcPr>
            <w:tcW w:w="1702" w:type="dxa"/>
            <w:shd w:val="clear" w:color="auto" w:fill="auto"/>
            <w:hideMark/>
          </w:tcPr>
          <w:p w14:paraId="6DE7F51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76B1D3C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1F179A6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Honda announced that the company is targeting to electrify two-thirds of global automobile unit sales in 2030.</w:t>
            </w:r>
          </w:p>
        </w:tc>
      </w:tr>
      <w:tr w:rsidR="00AE4779" w:rsidRPr="00CF39C8" w14:paraId="69F21608" w14:textId="77777777" w:rsidTr="00236810">
        <w:tc>
          <w:tcPr>
            <w:tcW w:w="1683" w:type="dxa"/>
            <w:shd w:val="clear" w:color="auto" w:fill="auto"/>
            <w:noWrap/>
            <w:hideMark/>
          </w:tcPr>
          <w:p w14:paraId="7B8B8ED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Lexus</w:t>
            </w:r>
          </w:p>
        </w:tc>
        <w:tc>
          <w:tcPr>
            <w:tcW w:w="1702" w:type="dxa"/>
            <w:shd w:val="clear" w:color="auto" w:fill="auto"/>
            <w:hideMark/>
          </w:tcPr>
          <w:p w14:paraId="33F44AD7"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3DE7E782"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04A9320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Lexus will anticipate 1 million units of BEV sales by 2030 and has committed to 100</w:t>
            </w:r>
            <w:r w:rsidR="009242A6" w:rsidRPr="00CF39C8">
              <w:rPr>
                <w:rFonts w:asciiTheme="majorHAnsi" w:hAnsiTheme="majorHAnsi" w:cstheme="majorHAnsi"/>
              </w:rPr>
              <w:t>%</w:t>
            </w:r>
            <w:r w:rsidRPr="00CF39C8">
              <w:rPr>
                <w:rFonts w:asciiTheme="majorHAnsi" w:hAnsiTheme="majorHAnsi" w:cstheme="majorHAnsi"/>
              </w:rPr>
              <w:t xml:space="preserve"> EV by 2035.</w:t>
            </w:r>
          </w:p>
        </w:tc>
      </w:tr>
      <w:tr w:rsidR="00AE4779" w:rsidRPr="00CF39C8" w14:paraId="1114BD07" w14:textId="77777777" w:rsidTr="00236810">
        <w:tc>
          <w:tcPr>
            <w:tcW w:w="1683" w:type="dxa"/>
            <w:shd w:val="clear" w:color="auto" w:fill="auto"/>
            <w:noWrap/>
            <w:hideMark/>
          </w:tcPr>
          <w:p w14:paraId="07440DA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Mitsubishi</w:t>
            </w:r>
          </w:p>
        </w:tc>
        <w:tc>
          <w:tcPr>
            <w:tcW w:w="1702" w:type="dxa"/>
            <w:shd w:val="clear" w:color="auto" w:fill="auto"/>
            <w:hideMark/>
          </w:tcPr>
          <w:p w14:paraId="58CD2E0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526B219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2035</w:t>
            </w:r>
          </w:p>
        </w:tc>
        <w:tc>
          <w:tcPr>
            <w:tcW w:w="6108" w:type="dxa"/>
            <w:shd w:val="clear" w:color="auto" w:fill="auto"/>
            <w:hideMark/>
          </w:tcPr>
          <w:p w14:paraId="72F3E13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Mitsubishi is targeting hybrid, plug-in hybrids, and electric vehicles to account for 50</w:t>
            </w:r>
            <w:r w:rsidR="009242A6" w:rsidRPr="00CF39C8">
              <w:rPr>
                <w:rFonts w:asciiTheme="majorHAnsi" w:hAnsiTheme="majorHAnsi" w:cstheme="majorHAnsi"/>
              </w:rPr>
              <w:t>%</w:t>
            </w:r>
            <w:r w:rsidRPr="00CF39C8">
              <w:rPr>
                <w:rFonts w:asciiTheme="majorHAnsi" w:hAnsiTheme="majorHAnsi" w:cstheme="majorHAnsi"/>
              </w:rPr>
              <w:t xml:space="preserve"> of its sales by 2030, and all its sales by 2035.</w:t>
            </w:r>
          </w:p>
        </w:tc>
      </w:tr>
      <w:tr w:rsidR="00AE4779" w:rsidRPr="00CF39C8" w14:paraId="30EBD138" w14:textId="77777777" w:rsidTr="00236810">
        <w:tc>
          <w:tcPr>
            <w:tcW w:w="1683" w:type="dxa"/>
            <w:shd w:val="clear" w:color="auto" w:fill="auto"/>
            <w:noWrap/>
          </w:tcPr>
          <w:p w14:paraId="63A45D54"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Volkswagen</w:t>
            </w:r>
          </w:p>
        </w:tc>
        <w:tc>
          <w:tcPr>
            <w:tcW w:w="1702" w:type="dxa"/>
            <w:shd w:val="clear" w:color="auto" w:fill="auto"/>
          </w:tcPr>
          <w:p w14:paraId="339D4AA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tcPr>
          <w:p w14:paraId="34462BD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tcPr>
          <w:p w14:paraId="030D5112"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Volkswagen informally announced intention to reduce the carbon footprint of its passenger cars and light commercial vehicles by 30</w:t>
            </w:r>
            <w:r w:rsidR="00AC5DF8" w:rsidRPr="00CF39C8">
              <w:rPr>
                <w:rFonts w:asciiTheme="majorHAnsi" w:hAnsiTheme="majorHAnsi" w:cstheme="majorHAnsi"/>
              </w:rPr>
              <w:t>%</w:t>
            </w:r>
            <w:r w:rsidRPr="00CF39C8">
              <w:rPr>
                <w:rFonts w:asciiTheme="majorHAnsi" w:hAnsiTheme="majorHAnsi" w:cstheme="majorHAnsi"/>
              </w:rPr>
              <w:t xml:space="preserve"> per vehicle (compared with 2018) by 2030. Further, all-electric vehicles are expected to exceed 70</w:t>
            </w:r>
            <w:r w:rsidR="009242A6" w:rsidRPr="00CF39C8">
              <w:rPr>
                <w:rFonts w:asciiTheme="majorHAnsi" w:hAnsiTheme="majorHAnsi" w:cstheme="majorHAnsi"/>
              </w:rPr>
              <w:t>%</w:t>
            </w:r>
            <w:r w:rsidRPr="00CF39C8">
              <w:rPr>
                <w:rFonts w:asciiTheme="majorHAnsi" w:hAnsiTheme="majorHAnsi" w:cstheme="majorHAnsi"/>
              </w:rPr>
              <w:t xml:space="preserve"> of European and 50</w:t>
            </w:r>
            <w:r w:rsidR="009242A6" w:rsidRPr="00CF39C8">
              <w:rPr>
                <w:rFonts w:asciiTheme="majorHAnsi" w:hAnsiTheme="majorHAnsi" w:cstheme="majorHAnsi"/>
              </w:rPr>
              <w:t>%</w:t>
            </w:r>
            <w:r w:rsidRPr="00CF39C8">
              <w:rPr>
                <w:rFonts w:asciiTheme="majorHAnsi" w:hAnsiTheme="majorHAnsi" w:cstheme="majorHAnsi"/>
              </w:rPr>
              <w:t xml:space="preserve"> of Chinese and US sales volumes by 2030.</w:t>
            </w:r>
          </w:p>
        </w:tc>
      </w:tr>
      <w:tr w:rsidR="00AE4779" w:rsidRPr="00CF39C8" w14:paraId="072958A5" w14:textId="77777777" w:rsidTr="00236810">
        <w:tc>
          <w:tcPr>
            <w:tcW w:w="10343" w:type="dxa"/>
            <w:gridSpan w:val="4"/>
            <w:shd w:val="clear" w:color="auto" w:fill="auto"/>
            <w:noWrap/>
          </w:tcPr>
          <w:p w14:paraId="61C6153B" w14:textId="77777777" w:rsidR="00AE4779" w:rsidRPr="00CF39C8" w:rsidRDefault="00AE4779" w:rsidP="00AE4779">
            <w:pPr>
              <w:spacing w:after="0"/>
              <w:rPr>
                <w:rFonts w:asciiTheme="majorHAnsi" w:hAnsiTheme="majorHAnsi" w:cstheme="majorHAnsi"/>
                <w:i/>
              </w:rPr>
            </w:pPr>
            <w:r w:rsidRPr="00CF39C8">
              <w:rPr>
                <w:rFonts w:asciiTheme="majorHAnsi" w:hAnsiTheme="majorHAnsi" w:cstheme="majorHAnsi"/>
                <w:i/>
              </w:rPr>
              <w:t xml:space="preserve">Source: IEA, Global EV Outlook 2022: Securing supplies for an electric future, accessed 1 June 2023, </w:t>
            </w:r>
            <w:r w:rsidRPr="00A4761A">
              <w:rPr>
                <w:rFonts w:asciiTheme="majorHAnsi" w:hAnsiTheme="majorHAnsi" w:cstheme="majorHAnsi"/>
                <w:i/>
              </w:rPr>
              <w:t>https://www.iea.org/reports/global-ev-outlook-2022</w:t>
            </w:r>
            <w:r w:rsidRPr="00CF39C8">
              <w:rPr>
                <w:rFonts w:asciiTheme="majorHAnsi" w:hAnsiTheme="majorHAnsi" w:cstheme="majorHAnsi"/>
                <w:i/>
              </w:rPr>
              <w:t xml:space="preserve"> ; S&amp;P Global, 2023, Electric Vehicle Trends, accessed 1 June 2023. </w:t>
            </w:r>
            <w:r w:rsidRPr="00A4761A">
              <w:rPr>
                <w:rFonts w:asciiTheme="majorHAnsi" w:hAnsiTheme="majorHAnsi" w:cstheme="majorHAnsi"/>
                <w:i/>
              </w:rPr>
              <w:t>https://www.spglobal.com/mobility/en/topic/electric-vehicle-trends.html</w:t>
            </w:r>
            <w:r w:rsidRPr="00CF39C8">
              <w:rPr>
                <w:rFonts w:asciiTheme="majorHAnsi" w:hAnsiTheme="majorHAnsi" w:cstheme="majorHAnsi"/>
                <w:i/>
              </w:rPr>
              <w:t xml:space="preserve">; GHD desktop review </w:t>
            </w:r>
          </w:p>
        </w:tc>
      </w:tr>
    </w:tbl>
    <w:p w14:paraId="583A6E1C" w14:textId="77777777" w:rsidR="00AE4779" w:rsidRPr="00CF39C8" w:rsidRDefault="00AE4779" w:rsidP="00AE4779">
      <w:pPr>
        <w:rPr>
          <w:rFonts w:asciiTheme="majorHAnsi" w:hAnsiTheme="majorHAnsi" w:cstheme="majorHAnsi"/>
        </w:rPr>
      </w:pPr>
    </w:p>
    <w:p w14:paraId="549EFC8A" w14:textId="77777777" w:rsidR="00577EAD" w:rsidRPr="00CF39C8" w:rsidRDefault="00577EAD">
      <w:pPr>
        <w:rPr>
          <w:rFonts w:asciiTheme="majorHAnsi" w:eastAsiaTheme="majorEastAsia" w:hAnsiTheme="majorHAnsi" w:cstheme="majorHAnsi"/>
          <w:color w:val="417A84" w:themeColor="accent5" w:themeShade="BF"/>
          <w:sz w:val="36"/>
          <w:szCs w:val="28"/>
        </w:rPr>
      </w:pPr>
      <w:r w:rsidRPr="00CF39C8">
        <w:rPr>
          <w:rFonts w:cstheme="majorHAnsi"/>
        </w:rPr>
        <w:br w:type="page"/>
      </w:r>
    </w:p>
    <w:p w14:paraId="724B2833" w14:textId="77777777" w:rsidR="00A169F2" w:rsidRPr="00CF39C8" w:rsidRDefault="00A169F2" w:rsidP="00831A1F">
      <w:pPr>
        <w:pStyle w:val="Heading1"/>
        <w:rPr>
          <w:highlight w:val="yellow"/>
        </w:rPr>
      </w:pPr>
      <w:bookmarkStart w:id="601" w:name="_Toc161933192"/>
      <w:bookmarkStart w:id="602" w:name="_Toc162276501"/>
      <w:bookmarkStart w:id="603" w:name="_Toc163221095"/>
      <w:bookmarkStart w:id="604" w:name="_Toc161837695"/>
      <w:r w:rsidRPr="00CF39C8">
        <w:t xml:space="preserve">Appendix </w:t>
      </w:r>
      <w:r w:rsidR="00577EAD" w:rsidRPr="00CF39C8">
        <w:t>B</w:t>
      </w:r>
      <w:r w:rsidRPr="00CF39C8">
        <w:t>: Key assumptions in CBA</w:t>
      </w:r>
      <w:bookmarkEnd w:id="601"/>
      <w:bookmarkEnd w:id="602"/>
      <w:bookmarkEnd w:id="603"/>
      <w:r w:rsidRPr="00CF39C8">
        <w:t xml:space="preserve"> </w:t>
      </w:r>
      <w:r w:rsidRPr="00A86737">
        <w:t xml:space="preserve"> </w:t>
      </w:r>
      <w:bookmarkEnd w:id="604"/>
    </w:p>
    <w:p w14:paraId="48522636" w14:textId="77777777" w:rsidR="00935FF3" w:rsidRPr="00CF39C8" w:rsidRDefault="00E93B87" w:rsidP="00CA464C">
      <w:r w:rsidRPr="00CF39C8">
        <w:t>The assumptions and data sources below were used to generate the forecasts used in this analysis. In general, these assumptions were</w:t>
      </w:r>
      <w:r w:rsidR="005B03BC" w:rsidRPr="00CF39C8">
        <w:t xml:space="preserve"> held steady for each of the options, with variations noted below. </w:t>
      </w:r>
      <w:r w:rsidRPr="00CF39C8">
        <w:t xml:space="preserve"> </w:t>
      </w:r>
    </w:p>
    <w:tbl>
      <w:tblPr>
        <w:tblStyle w:val="PMCTableStyle21"/>
        <w:tblW w:w="510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bottom w:w="113" w:type="dxa"/>
        </w:tblCellMar>
        <w:tblLook w:val="0660" w:firstRow="1" w:lastRow="1" w:firstColumn="0" w:lastColumn="0" w:noHBand="1" w:noVBand="1"/>
        <w:tblCaption w:val="Key assumptions in CBA"/>
      </w:tblPr>
      <w:tblGrid>
        <w:gridCol w:w="682"/>
        <w:gridCol w:w="2184"/>
        <w:gridCol w:w="2521"/>
        <w:gridCol w:w="4302"/>
      </w:tblGrid>
      <w:tr w:rsidR="004D6A91" w:rsidRPr="00CF39C8" w14:paraId="71A1F543" w14:textId="77777777" w:rsidTr="00236810">
        <w:trPr>
          <w:cnfStyle w:val="100000000000" w:firstRow="1" w:lastRow="0" w:firstColumn="0" w:lastColumn="0" w:oddVBand="0" w:evenVBand="0" w:oddHBand="0" w:evenHBand="0" w:firstRowFirstColumn="0" w:firstRowLastColumn="0" w:lastRowFirstColumn="0" w:lastRowLastColumn="0"/>
          <w:trHeight w:val="350"/>
          <w:tblHeader/>
        </w:trPr>
        <w:tc>
          <w:tcPr>
            <w:tcW w:w="352" w:type="pct"/>
            <w:shd w:val="clear" w:color="auto" w:fill="417A84" w:themeFill="accent5" w:themeFillShade="BF"/>
          </w:tcPr>
          <w:p w14:paraId="1290BEDC" w14:textId="77777777" w:rsidR="004D6A91" w:rsidRPr="00CF39C8" w:rsidRDefault="004D6A91" w:rsidP="004D6A91">
            <w:pPr>
              <w:spacing w:before="40" w:after="40"/>
              <w:ind w:left="-165"/>
              <w:rPr>
                <w:rFonts w:cs="Calibri"/>
                <w:sz w:val="22"/>
                <w:szCs w:val="21"/>
              </w:rPr>
            </w:pPr>
            <w:r w:rsidRPr="00CF39C8">
              <w:rPr>
                <w:rFonts w:cs="Calibri"/>
                <w:sz w:val="22"/>
                <w:szCs w:val="21"/>
              </w:rPr>
              <w:t>#</w:t>
            </w:r>
          </w:p>
        </w:tc>
        <w:tc>
          <w:tcPr>
            <w:tcW w:w="1127" w:type="pct"/>
            <w:shd w:val="clear" w:color="auto" w:fill="417A84" w:themeFill="accent5" w:themeFillShade="BF"/>
          </w:tcPr>
          <w:p w14:paraId="55F6BE36" w14:textId="77777777" w:rsidR="004D6A91" w:rsidRPr="00CF39C8" w:rsidRDefault="004D6A91" w:rsidP="004D6A91">
            <w:pPr>
              <w:spacing w:before="40" w:after="40"/>
              <w:rPr>
                <w:rFonts w:cs="Calibri"/>
                <w:sz w:val="22"/>
                <w:szCs w:val="21"/>
              </w:rPr>
            </w:pPr>
            <w:r w:rsidRPr="00CF39C8">
              <w:rPr>
                <w:rFonts w:cs="Calibri"/>
                <w:sz w:val="22"/>
                <w:szCs w:val="21"/>
              </w:rPr>
              <w:t>Assumption</w:t>
            </w:r>
          </w:p>
        </w:tc>
        <w:tc>
          <w:tcPr>
            <w:tcW w:w="1301" w:type="pct"/>
            <w:shd w:val="clear" w:color="auto" w:fill="417A84" w:themeFill="accent5" w:themeFillShade="BF"/>
          </w:tcPr>
          <w:p w14:paraId="75EBF19C" w14:textId="77777777" w:rsidR="004D6A91" w:rsidRPr="00CF39C8" w:rsidRDefault="004D6A91" w:rsidP="004D6A91">
            <w:pPr>
              <w:spacing w:before="40" w:after="40"/>
              <w:rPr>
                <w:rFonts w:cs="Calibri"/>
                <w:sz w:val="22"/>
                <w:szCs w:val="21"/>
              </w:rPr>
            </w:pPr>
            <w:r w:rsidRPr="00CF39C8">
              <w:rPr>
                <w:rFonts w:cs="Calibri"/>
                <w:sz w:val="22"/>
                <w:szCs w:val="21"/>
              </w:rPr>
              <w:t>Basis for assumption</w:t>
            </w:r>
          </w:p>
        </w:tc>
        <w:tc>
          <w:tcPr>
            <w:tcW w:w="2220" w:type="pct"/>
            <w:shd w:val="clear" w:color="auto" w:fill="417A84" w:themeFill="accent5" w:themeFillShade="BF"/>
          </w:tcPr>
          <w:p w14:paraId="77A0DF43" w14:textId="77777777" w:rsidR="004D6A91" w:rsidRPr="00CF39C8" w:rsidRDefault="004D6A91" w:rsidP="004D6A91">
            <w:pPr>
              <w:spacing w:before="40" w:after="40"/>
              <w:rPr>
                <w:rFonts w:cs="Calibri"/>
                <w:sz w:val="22"/>
                <w:szCs w:val="21"/>
              </w:rPr>
            </w:pPr>
            <w:r w:rsidRPr="00CF39C8">
              <w:rPr>
                <w:rFonts w:cs="Calibri"/>
                <w:sz w:val="22"/>
                <w:szCs w:val="21"/>
              </w:rPr>
              <w:t>Value, where possible</w:t>
            </w:r>
          </w:p>
        </w:tc>
      </w:tr>
      <w:tr w:rsidR="004D6A91" w:rsidRPr="00CF39C8" w14:paraId="68985655" w14:textId="77777777" w:rsidTr="00236810">
        <w:trPr>
          <w:trHeight w:val="62"/>
        </w:trPr>
        <w:tc>
          <w:tcPr>
            <w:tcW w:w="352" w:type="pct"/>
          </w:tcPr>
          <w:p w14:paraId="6D4B0924" w14:textId="77777777" w:rsidR="004D6A91" w:rsidRPr="00CF39C8" w:rsidRDefault="004D6A91" w:rsidP="004D6A91">
            <w:pPr>
              <w:spacing w:before="40" w:after="40"/>
              <w:ind w:left="-165"/>
              <w:rPr>
                <w:rFonts w:ascii="Calibri" w:hAnsi="Calibri" w:cs="Calibri"/>
              </w:rPr>
            </w:pPr>
            <w:r w:rsidRPr="00CF39C8">
              <w:rPr>
                <w:rFonts w:ascii="Calibri" w:hAnsi="Calibri" w:cs="Calibri"/>
              </w:rPr>
              <w:t>1</w:t>
            </w:r>
          </w:p>
        </w:tc>
        <w:tc>
          <w:tcPr>
            <w:tcW w:w="1127" w:type="pct"/>
            <w:shd w:val="clear" w:color="auto" w:fill="auto"/>
          </w:tcPr>
          <w:p w14:paraId="72AAA961" w14:textId="77777777" w:rsidR="004D6A91" w:rsidRPr="00CF39C8" w:rsidRDefault="004D6A91" w:rsidP="004D6A91">
            <w:pPr>
              <w:spacing w:before="40" w:after="40"/>
              <w:rPr>
                <w:rFonts w:ascii="Calibri" w:hAnsi="Calibri" w:cs="Calibri"/>
              </w:rPr>
            </w:pPr>
            <w:r w:rsidRPr="00CF39C8">
              <w:t>Population growth to 2050</w:t>
            </w:r>
          </w:p>
        </w:tc>
        <w:tc>
          <w:tcPr>
            <w:tcW w:w="1301" w:type="pct"/>
            <w:shd w:val="clear" w:color="auto" w:fill="auto"/>
          </w:tcPr>
          <w:p w14:paraId="1830DF75" w14:textId="77777777" w:rsidR="004D6A91" w:rsidRPr="00CF39C8" w:rsidRDefault="004D6A91" w:rsidP="004D6A91">
            <w:pPr>
              <w:spacing w:before="40" w:after="40"/>
              <w:rPr>
                <w:rFonts w:ascii="Calibri" w:hAnsi="Calibri" w:cs="Calibri"/>
                <w:color w:val="FF0000"/>
              </w:rPr>
            </w:pPr>
            <w:r w:rsidRPr="00CF39C8">
              <w:t xml:space="preserve">ABS and Treasury forecasts </w:t>
            </w:r>
            <w:r w:rsidR="00E216FE" w:rsidRPr="00CF39C8">
              <w:t>(see next cell)</w:t>
            </w:r>
          </w:p>
        </w:tc>
        <w:tc>
          <w:tcPr>
            <w:tcW w:w="2220" w:type="pct"/>
            <w:shd w:val="clear" w:color="auto" w:fill="auto"/>
          </w:tcPr>
          <w:p w14:paraId="25F950AA" w14:textId="77777777" w:rsidR="004D6A91" w:rsidRPr="00CF39C8" w:rsidRDefault="00E216FE" w:rsidP="004D6A91">
            <w:pPr>
              <w:spacing w:before="40" w:after="40"/>
              <w:rPr>
                <w:rFonts w:ascii="Calibri" w:hAnsi="Calibri" w:cs="Calibri"/>
              </w:rPr>
            </w:pPr>
            <w:r w:rsidRPr="00CF39C8">
              <w:t>Detailed historical population by gender by age by remoteness region estimates based on ABS 2021 Census and ABS Estimated Resident Population catalogue numbers 3101 (15 June 2023) and 3235 (30 August 2022). Forecasts from Australian Government Centre for Population (Budget 2023-24: State and Territory Population Projections, 2022-23 to 2026-27, and Budget 2023-24: National Population Projections, 2022-23 to 2033-34) and forecasts thereafter.</w:t>
            </w:r>
          </w:p>
        </w:tc>
      </w:tr>
      <w:tr w:rsidR="004D6A91" w:rsidRPr="00CF39C8" w14:paraId="17DE4336" w14:textId="77777777" w:rsidTr="00236810">
        <w:trPr>
          <w:trHeight w:val="350"/>
        </w:trPr>
        <w:tc>
          <w:tcPr>
            <w:tcW w:w="352" w:type="pct"/>
          </w:tcPr>
          <w:p w14:paraId="3734ED25" w14:textId="77777777" w:rsidR="004D6A91" w:rsidRPr="00CF39C8" w:rsidRDefault="004D6A91" w:rsidP="004D6A91">
            <w:pPr>
              <w:spacing w:before="40" w:after="40"/>
              <w:ind w:left="-165"/>
              <w:rPr>
                <w:rFonts w:ascii="Calibri" w:hAnsi="Calibri" w:cs="Calibri"/>
              </w:rPr>
            </w:pPr>
            <w:r w:rsidRPr="00CF39C8">
              <w:rPr>
                <w:rFonts w:ascii="Calibri" w:hAnsi="Calibri" w:cs="Calibri"/>
              </w:rPr>
              <w:t>2</w:t>
            </w:r>
          </w:p>
        </w:tc>
        <w:tc>
          <w:tcPr>
            <w:tcW w:w="1127" w:type="pct"/>
            <w:shd w:val="clear" w:color="auto" w:fill="auto"/>
          </w:tcPr>
          <w:p w14:paraId="047A7E5C" w14:textId="77777777" w:rsidR="004D6A91" w:rsidRPr="00CF39C8" w:rsidRDefault="004D6A91" w:rsidP="004D6A91">
            <w:pPr>
              <w:spacing w:before="40" w:after="40"/>
              <w:rPr>
                <w:rFonts w:ascii="Calibri" w:hAnsi="Calibri" w:cs="Calibri"/>
              </w:rPr>
            </w:pPr>
            <w:r w:rsidRPr="00CF39C8">
              <w:rPr>
                <w:rFonts w:ascii="Calibri" w:hAnsi="Calibri" w:cs="Calibri"/>
              </w:rPr>
              <w:t>Inflation rate</w:t>
            </w:r>
          </w:p>
        </w:tc>
        <w:tc>
          <w:tcPr>
            <w:tcW w:w="1301" w:type="pct"/>
            <w:shd w:val="clear" w:color="auto" w:fill="auto"/>
          </w:tcPr>
          <w:p w14:paraId="6A4E41B2" w14:textId="77777777" w:rsidR="004D6A91" w:rsidRPr="00CF39C8" w:rsidRDefault="00E216FE" w:rsidP="004D6A91">
            <w:pPr>
              <w:spacing w:before="40" w:after="40"/>
              <w:rPr>
                <w:rFonts w:ascii="Calibri" w:hAnsi="Calibri" w:cs="Calibri"/>
              </w:rPr>
            </w:pPr>
            <w:r w:rsidRPr="00CF39C8">
              <w:rPr>
                <w:rFonts w:ascii="Calibri" w:hAnsi="Calibri" w:cs="Calibri"/>
              </w:rPr>
              <w:t xml:space="preserve">Did not use explicitly, considered as part of other forecasts. </w:t>
            </w:r>
          </w:p>
        </w:tc>
        <w:tc>
          <w:tcPr>
            <w:tcW w:w="2220" w:type="pct"/>
            <w:shd w:val="clear" w:color="auto" w:fill="auto"/>
          </w:tcPr>
          <w:p w14:paraId="573B454B" w14:textId="77777777" w:rsidR="004D6A91" w:rsidRPr="00CF39C8" w:rsidRDefault="004D6A91" w:rsidP="004D6A91">
            <w:pPr>
              <w:spacing w:before="40" w:after="40"/>
              <w:rPr>
                <w:rFonts w:ascii="Calibri" w:hAnsi="Calibri" w:cs="Calibri"/>
              </w:rPr>
            </w:pPr>
          </w:p>
        </w:tc>
      </w:tr>
      <w:tr w:rsidR="004D6A91" w:rsidRPr="00CF39C8" w14:paraId="5105D581" w14:textId="77777777" w:rsidTr="00236810">
        <w:trPr>
          <w:trHeight w:val="350"/>
        </w:trPr>
        <w:tc>
          <w:tcPr>
            <w:tcW w:w="352" w:type="pct"/>
          </w:tcPr>
          <w:p w14:paraId="44C536D9" w14:textId="77777777" w:rsidR="004D6A91" w:rsidRPr="00CF39C8" w:rsidRDefault="004D6A91" w:rsidP="004D6A91">
            <w:pPr>
              <w:spacing w:before="40" w:after="40"/>
              <w:ind w:left="-165"/>
              <w:rPr>
                <w:rFonts w:ascii="Calibri" w:hAnsi="Calibri" w:cs="Calibri"/>
              </w:rPr>
            </w:pPr>
            <w:r w:rsidRPr="00CF39C8">
              <w:rPr>
                <w:rFonts w:ascii="Calibri" w:hAnsi="Calibri" w:cs="Calibri"/>
              </w:rPr>
              <w:t>3</w:t>
            </w:r>
          </w:p>
        </w:tc>
        <w:tc>
          <w:tcPr>
            <w:tcW w:w="1127" w:type="pct"/>
            <w:shd w:val="clear" w:color="auto" w:fill="auto"/>
          </w:tcPr>
          <w:p w14:paraId="5CD6009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Scrappage rates </w:t>
            </w:r>
          </w:p>
        </w:tc>
        <w:tc>
          <w:tcPr>
            <w:tcW w:w="1301" w:type="pct"/>
            <w:shd w:val="clear" w:color="auto" w:fill="auto"/>
          </w:tcPr>
          <w:p w14:paraId="18E09D6F" w14:textId="77777777" w:rsidR="004D6A91" w:rsidRPr="00CF39C8" w:rsidRDefault="004D6A91" w:rsidP="004D6A91">
            <w:pPr>
              <w:spacing w:before="40" w:after="40"/>
              <w:rPr>
                <w:rFonts w:ascii="Calibri" w:hAnsi="Calibri" w:cs="Calibri"/>
              </w:rPr>
            </w:pPr>
            <w:r w:rsidRPr="00CF39C8">
              <w:t>Non-linear function, with survival rate of vehicles declining on an ‘s curve’</w:t>
            </w:r>
            <w:r w:rsidR="00E216FE" w:rsidRPr="00CF39C8">
              <w:t xml:space="preserve"> (see next cell)</w:t>
            </w:r>
          </w:p>
        </w:tc>
        <w:tc>
          <w:tcPr>
            <w:tcW w:w="2220" w:type="pct"/>
            <w:shd w:val="clear" w:color="auto" w:fill="auto"/>
          </w:tcPr>
          <w:p w14:paraId="7C046E3B" w14:textId="77777777" w:rsidR="004D6A91" w:rsidRPr="00CF39C8" w:rsidRDefault="00E216FE" w:rsidP="004D6A91">
            <w:pPr>
              <w:spacing w:before="40" w:after="40"/>
              <w:rPr>
                <w:rFonts w:ascii="Calibri" w:hAnsi="Calibri" w:cs="Calibri"/>
              </w:rPr>
            </w:pPr>
            <w:r w:rsidRPr="00CF39C8">
              <w:t>Survival rates based on the static scrappage model in the US CAFÉ Model (Shaulov, M., Baskin, D., Clinton, B., Eilbert, A., Garcia-Israel, K., Green, K., Pickrell, D., Saenz, G., &amp; Vargas, A. (2022, April). CAFE model documentation (Report No. DOT HS 813 281). National Highway Traffic Safety Administration) calibrated to match 2022 new vehicle sales.</w:t>
            </w:r>
          </w:p>
        </w:tc>
      </w:tr>
      <w:tr w:rsidR="004D6A91" w:rsidRPr="00CF39C8" w14:paraId="7C7A7A14" w14:textId="77777777" w:rsidTr="00236810">
        <w:trPr>
          <w:trHeight w:val="350"/>
        </w:trPr>
        <w:tc>
          <w:tcPr>
            <w:tcW w:w="352" w:type="pct"/>
            <w:shd w:val="clear" w:color="auto" w:fill="auto"/>
          </w:tcPr>
          <w:p w14:paraId="67DC8A4E" w14:textId="77777777" w:rsidR="004D6A91" w:rsidRPr="00CF39C8" w:rsidRDefault="004D6A91" w:rsidP="004D6A91">
            <w:pPr>
              <w:spacing w:before="40" w:after="40"/>
              <w:ind w:left="-165"/>
              <w:rPr>
                <w:rFonts w:ascii="Calibri" w:hAnsi="Calibri" w:cs="Calibri"/>
              </w:rPr>
            </w:pPr>
            <w:r w:rsidRPr="00CF39C8">
              <w:rPr>
                <w:rFonts w:ascii="Calibri" w:hAnsi="Calibri" w:cs="Calibri"/>
              </w:rPr>
              <w:t>4</w:t>
            </w:r>
          </w:p>
        </w:tc>
        <w:tc>
          <w:tcPr>
            <w:tcW w:w="1127" w:type="pct"/>
            <w:shd w:val="clear" w:color="auto" w:fill="auto"/>
          </w:tcPr>
          <w:p w14:paraId="12B2C761" w14:textId="77777777" w:rsidR="004D6A91" w:rsidRPr="00CF39C8" w:rsidRDefault="004D6A91" w:rsidP="004D6A91">
            <w:pPr>
              <w:spacing w:before="40" w:after="40"/>
              <w:rPr>
                <w:rFonts w:ascii="Calibri" w:hAnsi="Calibri" w:cs="Calibri"/>
              </w:rPr>
            </w:pPr>
            <w:r w:rsidRPr="00CF39C8">
              <w:rPr>
                <w:rFonts w:ascii="Calibri" w:hAnsi="Calibri" w:cs="Calibri"/>
              </w:rPr>
              <w:t>Battery replacement costs</w:t>
            </w:r>
          </w:p>
        </w:tc>
        <w:tc>
          <w:tcPr>
            <w:tcW w:w="1301" w:type="pct"/>
            <w:shd w:val="clear" w:color="auto" w:fill="auto"/>
          </w:tcPr>
          <w:p w14:paraId="6F977D12" w14:textId="77777777" w:rsidR="004D6A91" w:rsidRPr="00CF39C8" w:rsidRDefault="004D6A91" w:rsidP="004D6A91">
            <w:pPr>
              <w:spacing w:before="40" w:after="40"/>
              <w:rPr>
                <w:rFonts w:ascii="Calibri" w:hAnsi="Calibri" w:cs="Calibri"/>
                <w:highlight w:val="yellow"/>
              </w:rPr>
            </w:pPr>
            <w:r w:rsidRPr="00CF39C8">
              <w:rPr>
                <w:rFonts w:ascii="Calibri" w:hAnsi="Calibri" w:cs="Calibri"/>
              </w:rPr>
              <w:t xml:space="preserve">Assumed to be required at 12 years of use. </w:t>
            </w:r>
          </w:p>
        </w:tc>
        <w:tc>
          <w:tcPr>
            <w:tcW w:w="2220" w:type="pct"/>
            <w:shd w:val="clear" w:color="auto" w:fill="auto"/>
          </w:tcPr>
          <w:p w14:paraId="21A61B85" w14:textId="77777777" w:rsidR="004D6A91" w:rsidRPr="00CF39C8" w:rsidRDefault="004D6A91" w:rsidP="004D6A91">
            <w:pPr>
              <w:spacing w:before="40" w:after="40"/>
              <w:rPr>
                <w:rFonts w:ascii="Calibri" w:hAnsi="Calibri" w:cs="Calibri"/>
              </w:rPr>
            </w:pPr>
            <w:r w:rsidRPr="00CF39C8">
              <w:rPr>
                <w:rFonts w:ascii="Calibri" w:hAnsi="Calibri" w:cs="Calibri"/>
              </w:rPr>
              <w:t>Cost of $5,000 for PVs, $8,000 for LCVs and then reducing at 0.9% per annum in line with technology improvements.</w:t>
            </w:r>
          </w:p>
        </w:tc>
      </w:tr>
      <w:tr w:rsidR="004D6A91" w:rsidRPr="00CF39C8" w14:paraId="546129D4" w14:textId="77777777" w:rsidTr="00236810">
        <w:trPr>
          <w:trHeight w:val="350"/>
        </w:trPr>
        <w:tc>
          <w:tcPr>
            <w:tcW w:w="352" w:type="pct"/>
            <w:shd w:val="clear" w:color="auto" w:fill="auto"/>
          </w:tcPr>
          <w:p w14:paraId="01AA5D63" w14:textId="77777777" w:rsidR="004D6A91" w:rsidRPr="00CF39C8" w:rsidRDefault="004D6A91" w:rsidP="004D6A91">
            <w:pPr>
              <w:spacing w:before="40" w:after="40"/>
              <w:ind w:left="-165"/>
              <w:rPr>
                <w:rFonts w:ascii="Calibri" w:hAnsi="Calibri" w:cs="Calibri"/>
              </w:rPr>
            </w:pPr>
            <w:r w:rsidRPr="00CF39C8">
              <w:rPr>
                <w:rFonts w:ascii="Calibri" w:hAnsi="Calibri" w:cs="Calibri"/>
              </w:rPr>
              <w:t>5</w:t>
            </w:r>
          </w:p>
        </w:tc>
        <w:tc>
          <w:tcPr>
            <w:tcW w:w="1127" w:type="pct"/>
            <w:shd w:val="clear" w:color="auto" w:fill="auto"/>
          </w:tcPr>
          <w:p w14:paraId="7FCD45D9" w14:textId="77777777" w:rsidR="004D6A91" w:rsidRPr="00CF39C8" w:rsidRDefault="004D6A91" w:rsidP="004D6A91">
            <w:pPr>
              <w:spacing w:before="40" w:after="40"/>
              <w:rPr>
                <w:rFonts w:ascii="Calibri" w:hAnsi="Calibri" w:cs="Calibri"/>
              </w:rPr>
            </w:pPr>
            <w:r w:rsidRPr="00CF39C8">
              <w:rPr>
                <w:rFonts w:ascii="Calibri" w:hAnsi="Calibri" w:cs="Calibri"/>
              </w:rPr>
              <w:t>Vehicle maintenance costs</w:t>
            </w:r>
          </w:p>
        </w:tc>
        <w:tc>
          <w:tcPr>
            <w:tcW w:w="1301" w:type="pct"/>
            <w:shd w:val="clear" w:color="auto" w:fill="auto"/>
          </w:tcPr>
          <w:p w14:paraId="00FDA074" w14:textId="77777777" w:rsidR="004D6A91" w:rsidRPr="00CF39C8" w:rsidRDefault="004D6A91" w:rsidP="004D6A91">
            <w:pPr>
              <w:spacing w:before="40" w:after="40"/>
              <w:rPr>
                <w:rFonts w:ascii="Calibri" w:hAnsi="Calibri" w:cs="Calibri"/>
              </w:rPr>
            </w:pPr>
            <w:r w:rsidRPr="00CF39C8">
              <w:rPr>
                <w:rFonts w:ascii="Calibri" w:hAnsi="Calibri" w:cs="Calibri"/>
              </w:rPr>
              <w:t>Lower maintenance cost of EVs, saving may be up 40% compared to an ICE vehicle, due to fewer moving parts and less brake wear, but this varies considerably between suppliers and models. Sources such as WhichCar</w:t>
            </w:r>
            <w:r w:rsidRPr="00CF39C8">
              <w:rPr>
                <w:rFonts w:ascii="Calibri" w:hAnsi="Calibri" w:cs="Calibri"/>
                <w:vertAlign w:val="superscript"/>
              </w:rPr>
              <w:endnoteReference w:id="60"/>
            </w:r>
            <w:r w:rsidRPr="00CF39C8">
              <w:rPr>
                <w:rFonts w:ascii="Calibri" w:hAnsi="Calibri" w:cs="Calibri"/>
              </w:rPr>
              <w:t>.</w:t>
            </w:r>
          </w:p>
        </w:tc>
        <w:tc>
          <w:tcPr>
            <w:tcW w:w="2220" w:type="pct"/>
            <w:shd w:val="clear" w:color="auto" w:fill="auto"/>
          </w:tcPr>
          <w:p w14:paraId="1D014282" w14:textId="77777777" w:rsidR="004D6A91" w:rsidRPr="00CF39C8" w:rsidRDefault="004D6A91" w:rsidP="004D6A91">
            <w:pPr>
              <w:spacing w:before="40" w:after="40"/>
              <w:rPr>
                <w:rFonts w:ascii="Calibri" w:hAnsi="Calibri" w:cs="Calibri"/>
              </w:rPr>
            </w:pPr>
            <w:r w:rsidRPr="00CF39C8">
              <w:rPr>
                <w:rFonts w:ascii="Calibri" w:hAnsi="Calibri" w:cs="Calibri"/>
              </w:rPr>
              <w:t>$350 per annum maintenance saving for an EV compared to an ICE vehicle</w:t>
            </w:r>
            <w:r w:rsidR="00F60006" w:rsidRPr="00CF39C8">
              <w:rPr>
                <w:rFonts w:ascii="Calibri" w:hAnsi="Calibri" w:cs="Calibri"/>
              </w:rPr>
              <w:t>.</w:t>
            </w:r>
          </w:p>
        </w:tc>
      </w:tr>
      <w:tr w:rsidR="004D6A91" w:rsidRPr="00CF39C8" w14:paraId="0792B021" w14:textId="77777777" w:rsidTr="00236810">
        <w:trPr>
          <w:trHeight w:val="350"/>
        </w:trPr>
        <w:tc>
          <w:tcPr>
            <w:tcW w:w="352" w:type="pct"/>
          </w:tcPr>
          <w:p w14:paraId="2E8E7CA0" w14:textId="77777777" w:rsidR="004D6A91" w:rsidRPr="00CF39C8" w:rsidRDefault="004D6A91" w:rsidP="004D6A91">
            <w:pPr>
              <w:spacing w:before="40" w:after="40"/>
              <w:ind w:left="-165"/>
              <w:rPr>
                <w:rFonts w:ascii="Calibri" w:hAnsi="Calibri" w:cs="Calibri"/>
              </w:rPr>
            </w:pPr>
            <w:r w:rsidRPr="00CF39C8">
              <w:rPr>
                <w:rFonts w:ascii="Calibri" w:hAnsi="Calibri" w:cs="Calibri"/>
              </w:rPr>
              <w:t>6</w:t>
            </w:r>
          </w:p>
        </w:tc>
        <w:tc>
          <w:tcPr>
            <w:tcW w:w="1127" w:type="pct"/>
            <w:shd w:val="clear" w:color="auto" w:fill="auto"/>
          </w:tcPr>
          <w:p w14:paraId="2B4FD6C0" w14:textId="77777777" w:rsidR="004D6A91" w:rsidRPr="00CF39C8" w:rsidRDefault="004D6A91" w:rsidP="004D6A91">
            <w:pPr>
              <w:spacing w:before="40" w:after="40"/>
              <w:rPr>
                <w:rFonts w:ascii="Calibri" w:hAnsi="Calibri" w:cs="Calibri"/>
              </w:rPr>
            </w:pPr>
            <w:r w:rsidRPr="00CF39C8">
              <w:rPr>
                <w:rFonts w:ascii="Calibri" w:hAnsi="Calibri" w:cs="Calibri"/>
              </w:rPr>
              <w:t>Health benefits</w:t>
            </w:r>
          </w:p>
        </w:tc>
        <w:tc>
          <w:tcPr>
            <w:tcW w:w="1301" w:type="pct"/>
            <w:shd w:val="clear" w:color="auto" w:fill="auto"/>
          </w:tcPr>
          <w:p w14:paraId="30EE4850" w14:textId="77777777" w:rsidR="004D6A91" w:rsidRPr="00CF39C8" w:rsidRDefault="00E216FE" w:rsidP="004D6A91">
            <w:pPr>
              <w:spacing w:before="40" w:after="40"/>
              <w:rPr>
                <w:rFonts w:ascii="Calibri" w:hAnsi="Calibri" w:cs="Calibri"/>
                <w:i/>
              </w:rPr>
            </w:pPr>
            <w:r w:rsidRPr="00CF39C8">
              <w:rPr>
                <w:rFonts w:ascii="Calibri" w:hAnsi="Calibri" w:cs="Calibri"/>
              </w:rPr>
              <w:t>Source:</w:t>
            </w:r>
            <w:r w:rsidRPr="00CF39C8">
              <w:t xml:space="preserve"> </w:t>
            </w:r>
            <w:r w:rsidR="00BE1545">
              <w:t>Analysis by ACIL Allen</w:t>
            </w:r>
            <w:r w:rsidR="00CE645A">
              <w:rPr>
                <w:rFonts w:ascii="Calibri" w:hAnsi="Calibri" w:cs="Calibri"/>
              </w:rPr>
              <w:t>.</w:t>
            </w:r>
          </w:p>
        </w:tc>
        <w:tc>
          <w:tcPr>
            <w:tcW w:w="2220" w:type="pct"/>
            <w:shd w:val="clear" w:color="auto" w:fill="auto"/>
          </w:tcPr>
          <w:p w14:paraId="4058E042" w14:textId="77777777" w:rsidR="00E216FE" w:rsidRPr="00CF39C8" w:rsidRDefault="00E216FE" w:rsidP="00E216FE">
            <w:pPr>
              <w:spacing w:before="40" w:after="40"/>
              <w:rPr>
                <w:rFonts w:ascii="Calibri" w:hAnsi="Calibri" w:cs="Calibri"/>
              </w:rPr>
            </w:pPr>
            <w:r w:rsidRPr="00CF39C8">
              <w:rPr>
                <w:rFonts w:ascii="Calibri" w:hAnsi="Calibri" w:cs="Calibri"/>
              </w:rPr>
              <w:t xml:space="preserve">Arithmetic average of RON91, RON95, and RON98 was used for petrol health cost. </w:t>
            </w:r>
          </w:p>
          <w:p w14:paraId="2CA00A7C" w14:textId="77777777" w:rsidR="00E216FE" w:rsidRPr="00CF39C8" w:rsidRDefault="00E216FE" w:rsidP="00E216FE">
            <w:pPr>
              <w:spacing w:before="40" w:after="40"/>
              <w:rPr>
                <w:rFonts w:ascii="Calibri" w:hAnsi="Calibri" w:cs="Calibri"/>
              </w:rPr>
            </w:pPr>
            <w:r w:rsidRPr="00CF39C8">
              <w:rPr>
                <w:rFonts w:ascii="Calibri" w:hAnsi="Calibri" w:cs="Calibri"/>
              </w:rPr>
              <w:t>2025 starting point of $0.1210/km for average petrol and $0.0684/km for diesel.</w:t>
            </w:r>
          </w:p>
          <w:p w14:paraId="12BF0DF7" w14:textId="77777777" w:rsidR="004D6A91" w:rsidRPr="00CF39C8" w:rsidRDefault="00E216FE" w:rsidP="004D6A91">
            <w:pPr>
              <w:spacing w:before="40" w:after="40"/>
              <w:rPr>
                <w:rFonts w:ascii="Calibri" w:hAnsi="Calibri" w:cs="Calibri"/>
              </w:rPr>
            </w:pPr>
            <w:r w:rsidRPr="00CF39C8">
              <w:rPr>
                <w:rFonts w:ascii="Calibri" w:hAnsi="Calibri" w:cs="Calibri"/>
              </w:rPr>
              <w:t>Projections from 2041 to 2080 is derived using linear trend from estimates between 2025 and 2040 (rate of increase of 0.05% per year).</w:t>
            </w:r>
          </w:p>
          <w:p w14:paraId="46878B2E" w14:textId="77777777" w:rsidR="005A183C" w:rsidRDefault="005A183C" w:rsidP="004D6A91">
            <w:pPr>
              <w:spacing w:before="40" w:after="40"/>
              <w:rPr>
                <w:rFonts w:ascii="Calibri" w:hAnsi="Calibri" w:cs="Calibri"/>
                <w:i/>
              </w:rPr>
            </w:pPr>
          </w:p>
          <w:p w14:paraId="58F3445E" w14:textId="77777777" w:rsidR="00983C75" w:rsidRPr="00CF39C8" w:rsidRDefault="005A183C" w:rsidP="004D6A91">
            <w:pPr>
              <w:spacing w:before="40" w:after="40"/>
              <w:rPr>
                <w:rFonts w:ascii="Calibri" w:hAnsi="Calibri" w:cs="Calibri"/>
              </w:rPr>
            </w:pPr>
            <w:r w:rsidRPr="000D1295">
              <w:rPr>
                <w:rFonts w:ascii="Calibri" w:hAnsi="Calibri" w:cs="Calibri"/>
                <w:b/>
              </w:rPr>
              <w:t>Update in response to consultation feedback:</w:t>
            </w:r>
            <w:r w:rsidRPr="000D1295">
              <w:rPr>
                <w:rFonts w:ascii="Calibri" w:hAnsi="Calibri" w:cs="Calibri"/>
              </w:rPr>
              <w:t xml:space="preserve"> </w:t>
            </w:r>
            <w:r w:rsidR="0051129F" w:rsidRPr="000D1295">
              <w:rPr>
                <w:rFonts w:ascii="Calibri" w:hAnsi="Calibri" w:cs="Calibri"/>
              </w:rPr>
              <w:t xml:space="preserve">A sensitivity test was conducted to align </w:t>
            </w:r>
            <w:r w:rsidR="00983C75" w:rsidRPr="000D1295">
              <w:rPr>
                <w:rFonts w:ascii="Calibri" w:hAnsi="Calibri" w:cs="Calibri"/>
              </w:rPr>
              <w:t xml:space="preserve">the health cost impacts estimated in the </w:t>
            </w:r>
            <w:r w:rsidR="00E92BAD" w:rsidRPr="000D1295">
              <w:rPr>
                <w:rFonts w:ascii="Calibri" w:hAnsi="Calibri" w:cs="Calibri"/>
              </w:rPr>
              <w:t>“</w:t>
            </w:r>
            <w:r w:rsidR="0051129F" w:rsidRPr="000D1295">
              <w:rPr>
                <w:rFonts w:ascii="Calibri" w:hAnsi="Calibri" w:cs="Calibri"/>
              </w:rPr>
              <w:t>Health and air pollution in New Zealand 2016</w:t>
            </w:r>
            <w:r w:rsidR="00E92BAD" w:rsidRPr="000D1295">
              <w:rPr>
                <w:rFonts w:ascii="Calibri" w:hAnsi="Calibri" w:cs="Calibri"/>
              </w:rPr>
              <w:t>”</w:t>
            </w:r>
            <w:r w:rsidR="0051129F" w:rsidRPr="000D1295">
              <w:rPr>
                <w:rFonts w:ascii="Calibri" w:hAnsi="Calibri" w:cs="Calibri"/>
              </w:rPr>
              <w:t xml:space="preserve"> (HAPINZ 3.0) study</w:t>
            </w:r>
            <w:r w:rsidR="00E92BAD" w:rsidRPr="000D1295">
              <w:rPr>
                <w:rFonts w:ascii="Calibri" w:hAnsi="Calibri" w:cs="Calibri"/>
              </w:rPr>
              <w:t xml:space="preserve"> (</w:t>
            </w:r>
            <w:r w:rsidR="00E92BAD" w:rsidRPr="000D1295">
              <w:t xml:space="preserve">Kuschel, G., et al. (2022)). This study </w:t>
            </w:r>
            <w:r w:rsidR="00E92BAD" w:rsidRPr="000D1295">
              <w:rPr>
                <w:rFonts w:ascii="Calibri" w:hAnsi="Calibri" w:cs="Calibri"/>
              </w:rPr>
              <w:t>extrapolated for Australian context in the “</w:t>
            </w:r>
            <w:r w:rsidR="00E92BAD" w:rsidRPr="000D1295">
              <w:t>Health impacts associated with vehicle emissions in Australia: Melbourne Climate Futures Expert Position Statement.” (Walter C., Say K., Irving L., et al. 2023).</w:t>
            </w:r>
          </w:p>
        </w:tc>
      </w:tr>
      <w:tr w:rsidR="004D6A91" w:rsidRPr="00CF39C8" w14:paraId="1437E913" w14:textId="77777777" w:rsidTr="00236810">
        <w:trPr>
          <w:trHeight w:val="350"/>
        </w:trPr>
        <w:tc>
          <w:tcPr>
            <w:tcW w:w="352" w:type="pct"/>
            <w:shd w:val="clear" w:color="auto" w:fill="auto"/>
          </w:tcPr>
          <w:p w14:paraId="217B9DA2" w14:textId="77777777" w:rsidR="004D6A91" w:rsidRPr="00CF39C8" w:rsidRDefault="004D6A91" w:rsidP="004D6A91">
            <w:pPr>
              <w:spacing w:before="40" w:after="40"/>
              <w:ind w:left="-165"/>
              <w:rPr>
                <w:rFonts w:ascii="Calibri" w:hAnsi="Calibri" w:cs="Calibri"/>
              </w:rPr>
            </w:pPr>
            <w:r w:rsidRPr="00CF39C8">
              <w:rPr>
                <w:rFonts w:ascii="Calibri" w:hAnsi="Calibri" w:cs="Calibri"/>
              </w:rPr>
              <w:t>7</w:t>
            </w:r>
          </w:p>
        </w:tc>
        <w:tc>
          <w:tcPr>
            <w:tcW w:w="1127" w:type="pct"/>
            <w:shd w:val="clear" w:color="auto" w:fill="auto"/>
          </w:tcPr>
          <w:p w14:paraId="1E5B19CF" w14:textId="77777777" w:rsidR="004D6A91" w:rsidRPr="00CF39C8" w:rsidRDefault="004D6A91" w:rsidP="004D6A91">
            <w:pPr>
              <w:spacing w:before="40" w:after="40"/>
              <w:rPr>
                <w:rFonts w:ascii="Calibri" w:hAnsi="Calibri" w:cs="Calibri"/>
              </w:rPr>
            </w:pPr>
            <w:r w:rsidRPr="00CF39C8">
              <w:rPr>
                <w:rFonts w:ascii="Calibri" w:hAnsi="Calibri" w:cs="Calibri"/>
              </w:rPr>
              <w:t>NPV discount rate</w:t>
            </w:r>
          </w:p>
        </w:tc>
        <w:tc>
          <w:tcPr>
            <w:tcW w:w="1301" w:type="pct"/>
            <w:shd w:val="clear" w:color="auto" w:fill="auto"/>
          </w:tcPr>
          <w:p w14:paraId="27F9D864" w14:textId="77777777" w:rsidR="004D6A91" w:rsidRPr="00CF39C8" w:rsidRDefault="004D6A91" w:rsidP="004D6A91">
            <w:pPr>
              <w:spacing w:before="40" w:after="40"/>
              <w:rPr>
                <w:rFonts w:ascii="Calibri" w:hAnsi="Calibri" w:cs="Calibri"/>
              </w:rPr>
            </w:pPr>
            <w:r w:rsidRPr="00CF39C8">
              <w:rPr>
                <w:rFonts w:ascii="Calibri" w:hAnsi="Calibri" w:cs="Calibri"/>
              </w:rPr>
              <w:t>In line with Government guidelines</w:t>
            </w:r>
          </w:p>
        </w:tc>
        <w:tc>
          <w:tcPr>
            <w:tcW w:w="2220" w:type="pct"/>
            <w:shd w:val="clear" w:color="auto" w:fill="auto"/>
          </w:tcPr>
          <w:p w14:paraId="36EF4507" w14:textId="77777777" w:rsidR="004D6A91" w:rsidRPr="00CF39C8" w:rsidRDefault="004D6A91" w:rsidP="004D6A91">
            <w:pPr>
              <w:spacing w:before="40" w:after="40"/>
              <w:rPr>
                <w:rFonts w:ascii="Calibri" w:hAnsi="Calibri" w:cs="Calibri"/>
              </w:rPr>
            </w:pPr>
            <w:r w:rsidRPr="00CF39C8">
              <w:rPr>
                <w:rFonts w:ascii="Calibri" w:hAnsi="Calibri" w:cs="Calibri"/>
              </w:rPr>
              <w:t>7% for central case; sensitivities at 3% and 10%</w:t>
            </w:r>
            <w:r w:rsidR="009515F0" w:rsidRPr="00CF39C8">
              <w:rPr>
                <w:rFonts w:ascii="Calibri" w:hAnsi="Calibri" w:cs="Calibri"/>
              </w:rPr>
              <w:t>.</w:t>
            </w:r>
            <w:r w:rsidRPr="00CF39C8">
              <w:rPr>
                <w:rFonts w:ascii="Calibri" w:hAnsi="Calibri" w:cs="Calibri"/>
              </w:rPr>
              <w:t xml:space="preserve"> </w:t>
            </w:r>
          </w:p>
        </w:tc>
      </w:tr>
      <w:tr w:rsidR="004D6A91" w:rsidRPr="00CF39C8" w14:paraId="3128079A" w14:textId="77777777" w:rsidTr="00236810">
        <w:trPr>
          <w:trHeight w:val="350"/>
        </w:trPr>
        <w:tc>
          <w:tcPr>
            <w:tcW w:w="352" w:type="pct"/>
            <w:shd w:val="clear" w:color="auto" w:fill="auto"/>
          </w:tcPr>
          <w:p w14:paraId="3FF534FA" w14:textId="77777777" w:rsidR="004D6A91" w:rsidRPr="00CF39C8" w:rsidRDefault="004D6A91" w:rsidP="004D6A91">
            <w:pPr>
              <w:tabs>
                <w:tab w:val="right" w:pos="2551"/>
              </w:tabs>
              <w:spacing w:before="40" w:after="40"/>
              <w:ind w:left="-165"/>
              <w:rPr>
                <w:rFonts w:ascii="Calibri" w:hAnsi="Calibri" w:cs="Calibri"/>
              </w:rPr>
            </w:pPr>
            <w:r w:rsidRPr="00CF39C8">
              <w:rPr>
                <w:rFonts w:ascii="Calibri" w:hAnsi="Calibri" w:cs="Calibri"/>
              </w:rPr>
              <w:t>8</w:t>
            </w:r>
          </w:p>
        </w:tc>
        <w:tc>
          <w:tcPr>
            <w:tcW w:w="1127" w:type="pct"/>
            <w:shd w:val="clear" w:color="auto" w:fill="auto"/>
          </w:tcPr>
          <w:p w14:paraId="3CFE21B4" w14:textId="77777777" w:rsidR="004D6A91" w:rsidRPr="00CF39C8" w:rsidRDefault="004D6A91" w:rsidP="004D6A91">
            <w:pPr>
              <w:tabs>
                <w:tab w:val="right" w:pos="2551"/>
              </w:tabs>
              <w:spacing w:before="40" w:after="40"/>
              <w:rPr>
                <w:rFonts w:ascii="Calibri" w:hAnsi="Calibri" w:cs="Calibri"/>
              </w:rPr>
            </w:pPr>
            <w:r w:rsidRPr="00CF39C8">
              <w:rPr>
                <w:rFonts w:ascii="Calibri" w:hAnsi="Calibri" w:cs="Calibri"/>
              </w:rPr>
              <w:t>Inferred headline limit</w:t>
            </w:r>
          </w:p>
        </w:tc>
        <w:tc>
          <w:tcPr>
            <w:tcW w:w="1301" w:type="pct"/>
            <w:shd w:val="clear" w:color="auto" w:fill="auto"/>
          </w:tcPr>
          <w:p w14:paraId="7C5FC9C8" w14:textId="77777777" w:rsidR="004D6A91" w:rsidRPr="00CF39C8" w:rsidRDefault="004D6A91" w:rsidP="004D6A91">
            <w:pPr>
              <w:spacing w:before="40" w:after="40"/>
              <w:rPr>
                <w:rFonts w:ascii="Calibri" w:hAnsi="Calibri" w:cs="Calibri"/>
              </w:rPr>
            </w:pPr>
            <w:r w:rsidRPr="00CF39C8">
              <w:rPr>
                <w:rFonts w:ascii="Calibri" w:hAnsi="Calibri" w:cs="Calibri"/>
              </w:rPr>
              <w:t xml:space="preserve">Headline limits </w:t>
            </w:r>
            <w:r w:rsidR="00476DAD" w:rsidRPr="00CF39C8">
              <w:rPr>
                <w:rFonts w:ascii="Calibri" w:hAnsi="Calibri" w:cs="Calibri"/>
              </w:rPr>
              <w:t xml:space="preserve">after </w:t>
            </w:r>
            <w:r w:rsidRPr="00CF39C8">
              <w:rPr>
                <w:rFonts w:ascii="Calibri" w:hAnsi="Calibri" w:cs="Calibri"/>
              </w:rPr>
              <w:t>the initial period (2025-29) are not set, instead an inferred headline limit was created to track parallel to the BAU (to a floor of 20g CO</w:t>
            </w:r>
            <w:r w:rsidRPr="00CF39C8">
              <w:rPr>
                <w:rFonts w:ascii="Calibri" w:hAnsi="Calibri" w:cs="Calibri"/>
                <w:vertAlign w:val="subscript"/>
              </w:rPr>
              <w:t>2</w:t>
            </w:r>
            <w:r w:rsidRPr="00CF39C8">
              <w:rPr>
                <w:rFonts w:ascii="Calibri" w:hAnsi="Calibri" w:cs="Calibri"/>
              </w:rPr>
              <w:t>/km)</w:t>
            </w:r>
            <w:r w:rsidR="005B03BC" w:rsidRPr="00CF39C8">
              <w:rPr>
                <w:rFonts w:ascii="Calibri" w:hAnsi="Calibri" w:cs="Calibri"/>
              </w:rPr>
              <w:t>.</w:t>
            </w:r>
          </w:p>
        </w:tc>
        <w:tc>
          <w:tcPr>
            <w:tcW w:w="2220" w:type="pct"/>
            <w:shd w:val="clear" w:color="auto" w:fill="auto"/>
          </w:tcPr>
          <w:p w14:paraId="01CD043B"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for 25 years, with a floor of 20g CO</w:t>
            </w:r>
            <w:r w:rsidRPr="00CF39C8">
              <w:rPr>
                <w:rFonts w:ascii="Calibri" w:hAnsi="Calibri" w:cs="Calibri"/>
                <w:vertAlign w:val="subscript"/>
              </w:rPr>
              <w:t>2</w:t>
            </w:r>
            <w:r w:rsidRPr="00CF39C8">
              <w:rPr>
                <w:rFonts w:ascii="Calibri" w:hAnsi="Calibri" w:cs="Calibri"/>
              </w:rPr>
              <w:t>/km.</w:t>
            </w:r>
          </w:p>
        </w:tc>
      </w:tr>
      <w:tr w:rsidR="004D6A91" w:rsidRPr="00CF39C8" w14:paraId="39371567" w14:textId="77777777" w:rsidTr="00236810">
        <w:trPr>
          <w:trHeight w:val="350"/>
        </w:trPr>
        <w:tc>
          <w:tcPr>
            <w:tcW w:w="352" w:type="pct"/>
          </w:tcPr>
          <w:p w14:paraId="67B87351" w14:textId="77777777" w:rsidR="004D6A91" w:rsidRPr="00CF39C8" w:rsidRDefault="004D6A91" w:rsidP="004D6A91">
            <w:pPr>
              <w:spacing w:before="40" w:after="40"/>
              <w:ind w:left="-165"/>
              <w:rPr>
                <w:rFonts w:ascii="Calibri" w:hAnsi="Calibri" w:cs="Calibri"/>
              </w:rPr>
            </w:pPr>
            <w:r w:rsidRPr="00CF39C8">
              <w:rPr>
                <w:rFonts w:ascii="Calibri" w:hAnsi="Calibri" w:cs="Calibri"/>
              </w:rPr>
              <w:t>9</w:t>
            </w:r>
          </w:p>
        </w:tc>
        <w:tc>
          <w:tcPr>
            <w:tcW w:w="1127" w:type="pct"/>
            <w:shd w:val="clear" w:color="auto" w:fill="auto"/>
          </w:tcPr>
          <w:p w14:paraId="2A2CC923" w14:textId="77777777" w:rsidR="004D6A91" w:rsidRPr="00CF39C8" w:rsidRDefault="004D6A91" w:rsidP="004D6A91">
            <w:pPr>
              <w:spacing w:before="40" w:after="40"/>
              <w:rPr>
                <w:rFonts w:ascii="Calibri" w:hAnsi="Calibri" w:cs="Calibri"/>
              </w:rPr>
            </w:pPr>
            <w:r w:rsidRPr="00CF39C8">
              <w:rPr>
                <w:rFonts w:ascii="Calibri" w:hAnsi="Calibri" w:cs="Calibri"/>
              </w:rPr>
              <w:t>Oil and fuel prices</w:t>
            </w:r>
          </w:p>
        </w:tc>
        <w:tc>
          <w:tcPr>
            <w:tcW w:w="1301" w:type="pct"/>
            <w:shd w:val="clear" w:color="auto" w:fill="auto"/>
          </w:tcPr>
          <w:p w14:paraId="132D0DF9" w14:textId="3264F1E3" w:rsidR="00E216FE" w:rsidRPr="00CF39C8" w:rsidRDefault="00E216FE" w:rsidP="00E216FE">
            <w:pPr>
              <w:spacing w:before="40" w:after="40"/>
              <w:rPr>
                <w:rFonts w:ascii="Calibri" w:hAnsi="Calibri" w:cs="Calibri"/>
              </w:rPr>
            </w:pPr>
            <w:r w:rsidRPr="00CF39C8">
              <w:rPr>
                <w:rFonts w:ascii="Calibri" w:hAnsi="Calibri" w:cs="Calibri"/>
              </w:rPr>
              <w:t>IEA World Energy Outlook data 2022 (</w:t>
            </w:r>
            <w:hyperlink r:id="rId60" w:history="1">
              <w:r w:rsidRPr="00CF39C8">
                <w:rPr>
                  <w:rStyle w:val="Hyperlink"/>
                  <w:rFonts w:ascii="Calibri" w:hAnsi="Calibri" w:cs="Calibri"/>
                  <w:color w:val="auto"/>
                </w:rPr>
                <w:t>https://iea.blob.core.windows.net/assets/830fe099-5530-48f2-a7c1-11f35d510983/WorldEnergyOutlook2022.pdf</w:t>
              </w:r>
            </w:hyperlink>
            <w:r w:rsidRPr="00CF39C8">
              <w:rPr>
                <w:rFonts w:ascii="Calibri" w:hAnsi="Calibri" w:cs="Calibri"/>
              </w:rPr>
              <w:t xml:space="preserve">), Accessed July 2023; Australian Petroleum Statistics, March 2023, Provided by DISR; </w:t>
            </w:r>
          </w:p>
          <w:p w14:paraId="427DBD28" w14:textId="77777777" w:rsidR="004D6A91" w:rsidRPr="00CF39C8" w:rsidRDefault="00E216FE" w:rsidP="004D6A91">
            <w:pPr>
              <w:spacing w:before="40" w:after="40"/>
              <w:rPr>
                <w:rFonts w:ascii="Calibri" w:hAnsi="Calibri" w:cs="Calibri"/>
              </w:rPr>
            </w:pPr>
            <w:r w:rsidRPr="00CF39C8">
              <w:rPr>
                <w:rFonts w:ascii="Calibri" w:hAnsi="Calibri" w:cs="Calibri"/>
              </w:rPr>
              <w:t>Fuel Quality Standards Implementation, Cost Benefit Analysis, 2022. Accessed 12 October 2023.</w:t>
            </w:r>
          </w:p>
        </w:tc>
        <w:tc>
          <w:tcPr>
            <w:tcW w:w="2220" w:type="pct"/>
            <w:shd w:val="clear" w:color="auto" w:fill="auto"/>
          </w:tcPr>
          <w:p w14:paraId="6CCE8E1B"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to 2050</w:t>
            </w:r>
          </w:p>
          <w:p w14:paraId="4B2E9533" w14:textId="77777777" w:rsidR="00E216FE" w:rsidRPr="00CF39C8" w:rsidRDefault="00E216FE" w:rsidP="00E216FE">
            <w:pPr>
              <w:spacing w:before="40" w:after="40"/>
              <w:rPr>
                <w:rStyle w:val="ui-provider"/>
                <w:rFonts w:eastAsiaTheme="minorEastAsia"/>
              </w:rPr>
            </w:pPr>
            <w:r w:rsidRPr="00CF39C8">
              <w:rPr>
                <w:rStyle w:val="ui-provider"/>
              </w:rPr>
              <w:t>2025 petrol $1.76/l</w:t>
            </w:r>
          </w:p>
          <w:p w14:paraId="551E94E0" w14:textId="77777777" w:rsidR="00E216FE" w:rsidRPr="00CF39C8" w:rsidRDefault="00E216FE" w:rsidP="00E216FE">
            <w:pPr>
              <w:spacing w:before="40" w:after="40"/>
              <w:rPr>
                <w:rStyle w:val="ui-provider"/>
              </w:rPr>
            </w:pPr>
            <w:r w:rsidRPr="00CF39C8">
              <w:rPr>
                <w:rStyle w:val="ui-provider"/>
              </w:rPr>
              <w:t>2025 diesel $1.75/l</w:t>
            </w:r>
          </w:p>
          <w:p w14:paraId="11423CEE" w14:textId="77777777" w:rsidR="00E216FE" w:rsidRPr="00CF39C8" w:rsidRDefault="00E216FE" w:rsidP="00E216FE">
            <w:pPr>
              <w:spacing w:before="40" w:after="40"/>
              <w:rPr>
                <w:rStyle w:val="ui-provider"/>
              </w:rPr>
            </w:pPr>
          </w:p>
          <w:p w14:paraId="35282AFD" w14:textId="77777777" w:rsidR="00E216FE" w:rsidRPr="00CF39C8" w:rsidRDefault="00E216FE" w:rsidP="00E216FE">
            <w:pPr>
              <w:spacing w:before="40" w:after="40"/>
              <w:rPr>
                <w:rStyle w:val="ui-provider"/>
              </w:rPr>
            </w:pPr>
            <w:r w:rsidRPr="00CF39C8">
              <w:rPr>
                <w:rStyle w:val="ui-provider"/>
              </w:rPr>
              <w:t>2050 petrol $3.93/l</w:t>
            </w:r>
          </w:p>
          <w:p w14:paraId="6105EC0C" w14:textId="77777777" w:rsidR="00E216FE" w:rsidRPr="00CF39C8" w:rsidRDefault="00E216FE" w:rsidP="00E216FE">
            <w:pPr>
              <w:spacing w:before="40" w:after="40"/>
              <w:rPr>
                <w:rStyle w:val="ui-provider"/>
              </w:rPr>
            </w:pPr>
            <w:r w:rsidRPr="00CF39C8">
              <w:rPr>
                <w:rStyle w:val="ui-provider"/>
              </w:rPr>
              <w:t>2050 diesel $3.99/l</w:t>
            </w:r>
          </w:p>
          <w:p w14:paraId="3B3D74C8" w14:textId="77777777" w:rsidR="00E216FE" w:rsidRPr="00CF39C8" w:rsidRDefault="00E216FE" w:rsidP="00E216FE">
            <w:pPr>
              <w:spacing w:before="40" w:after="40"/>
            </w:pPr>
          </w:p>
          <w:p w14:paraId="3FB5F020" w14:textId="77777777" w:rsidR="00E216FE" w:rsidRPr="00CF39C8" w:rsidRDefault="00E216FE" w:rsidP="00E216FE">
            <w:pPr>
              <w:spacing w:before="40" w:after="40"/>
              <w:rPr>
                <w:rFonts w:ascii="Calibri" w:hAnsi="Calibri" w:cs="Calibri"/>
              </w:rPr>
            </w:pPr>
            <w:r w:rsidRPr="00CF39C8">
              <w:rPr>
                <w:rFonts w:ascii="Calibri" w:hAnsi="Calibri" w:cs="Calibri"/>
              </w:rPr>
              <w:t>Average rate of change for petrol: 1.59%</w:t>
            </w:r>
          </w:p>
          <w:p w14:paraId="41C9E2CD" w14:textId="77777777" w:rsidR="00E216FE" w:rsidRPr="00CF39C8" w:rsidRDefault="00E216FE" w:rsidP="00E216FE">
            <w:pPr>
              <w:spacing w:before="40" w:after="40"/>
              <w:rPr>
                <w:rFonts w:ascii="Calibri" w:hAnsi="Calibri" w:cs="Calibri"/>
              </w:rPr>
            </w:pPr>
          </w:p>
          <w:p w14:paraId="790EB0E1" w14:textId="77777777" w:rsidR="004D6A91" w:rsidRDefault="00E216FE" w:rsidP="004D6A91">
            <w:pPr>
              <w:spacing w:before="40" w:after="40"/>
              <w:rPr>
                <w:rFonts w:ascii="Calibri" w:hAnsi="Calibri" w:cs="Calibri"/>
              </w:rPr>
            </w:pPr>
            <w:r w:rsidRPr="00CF39C8">
              <w:rPr>
                <w:rFonts w:ascii="Calibri" w:hAnsi="Calibri" w:cs="Calibri"/>
              </w:rPr>
              <w:t>Average rate of change for diesel 1.62%</w:t>
            </w:r>
          </w:p>
          <w:p w14:paraId="43A4A2D8" w14:textId="77777777" w:rsidR="005D2A4F" w:rsidRDefault="005D2A4F" w:rsidP="004D6A91">
            <w:pPr>
              <w:spacing w:before="40" w:after="40"/>
              <w:rPr>
                <w:rFonts w:ascii="Calibri" w:hAnsi="Calibri" w:cs="Calibri"/>
              </w:rPr>
            </w:pPr>
          </w:p>
          <w:p w14:paraId="1E082318" w14:textId="77777777" w:rsidR="005D2A4F" w:rsidRPr="00CF39C8" w:rsidRDefault="005D2A4F" w:rsidP="004D6A91">
            <w:pPr>
              <w:spacing w:before="40" w:after="40"/>
              <w:rPr>
                <w:rFonts w:ascii="Calibri" w:hAnsi="Calibri" w:cs="Calibri"/>
              </w:rPr>
            </w:pPr>
            <w:r>
              <w:rPr>
                <w:rFonts w:asciiTheme="majorHAnsi" w:hAnsiTheme="majorHAnsi" w:cstheme="majorHAnsi"/>
                <w:b/>
                <w:bCs/>
                <w:color w:val="000000" w:themeColor="text1"/>
              </w:rPr>
              <w:t xml:space="preserve">Update following consultation: </w:t>
            </w:r>
            <w:r w:rsidRPr="005D2A4F">
              <w:rPr>
                <w:rFonts w:asciiTheme="majorHAnsi" w:hAnsiTheme="majorHAnsi" w:cstheme="majorHAnsi"/>
                <w:bCs/>
                <w:color w:val="000000" w:themeColor="text1"/>
              </w:rPr>
              <w:t>A sensitivity test was undertaken to estimate the outcome if fuel and electricity prices remain at 2023 levels (44.8c/kWh for electricity, $2.25/L for diesel and $2.24/L for petrol)</w:t>
            </w:r>
            <w:r w:rsidR="000111D8">
              <w:rPr>
                <w:rFonts w:asciiTheme="majorHAnsi" w:hAnsiTheme="majorHAnsi" w:cstheme="majorHAnsi"/>
                <w:bCs/>
                <w:color w:val="000000" w:themeColor="text1"/>
              </w:rPr>
              <w:t>.</w:t>
            </w:r>
          </w:p>
        </w:tc>
      </w:tr>
      <w:tr w:rsidR="004D6A91" w:rsidRPr="00CF39C8" w14:paraId="42CCDF2C" w14:textId="77777777" w:rsidTr="00236810">
        <w:trPr>
          <w:trHeight w:val="350"/>
        </w:trPr>
        <w:tc>
          <w:tcPr>
            <w:tcW w:w="352" w:type="pct"/>
          </w:tcPr>
          <w:p w14:paraId="113CE76A" w14:textId="77777777" w:rsidR="004D6A91" w:rsidRPr="00CF39C8" w:rsidRDefault="004D6A91" w:rsidP="004D6A91">
            <w:pPr>
              <w:spacing w:before="40" w:after="40"/>
              <w:ind w:left="-165"/>
              <w:rPr>
                <w:rFonts w:ascii="Calibri" w:hAnsi="Calibri" w:cs="Calibri"/>
              </w:rPr>
            </w:pPr>
            <w:r w:rsidRPr="00CF39C8">
              <w:rPr>
                <w:rFonts w:ascii="Calibri" w:hAnsi="Calibri" w:cs="Calibri"/>
              </w:rPr>
              <w:t>10</w:t>
            </w:r>
          </w:p>
        </w:tc>
        <w:tc>
          <w:tcPr>
            <w:tcW w:w="1127" w:type="pct"/>
            <w:shd w:val="clear" w:color="auto" w:fill="auto"/>
          </w:tcPr>
          <w:p w14:paraId="68867C90" w14:textId="77777777" w:rsidR="004D6A91" w:rsidRPr="00CF39C8" w:rsidRDefault="004D6A91" w:rsidP="004D6A91">
            <w:pPr>
              <w:spacing w:before="40" w:after="40"/>
              <w:rPr>
                <w:rFonts w:ascii="Calibri" w:hAnsi="Calibri" w:cs="Calibri"/>
              </w:rPr>
            </w:pPr>
            <w:r w:rsidRPr="00CF39C8">
              <w:rPr>
                <w:rFonts w:ascii="Calibri" w:hAnsi="Calibri" w:cs="Calibri"/>
              </w:rPr>
              <w:t>Carbon intensity of fuel (petrol and diesel) and forecast changes</w:t>
            </w:r>
          </w:p>
        </w:tc>
        <w:tc>
          <w:tcPr>
            <w:tcW w:w="1301" w:type="pct"/>
            <w:shd w:val="clear" w:color="auto" w:fill="auto"/>
          </w:tcPr>
          <w:p w14:paraId="0A657CDA" w14:textId="77777777" w:rsidR="00E216FE" w:rsidRPr="00CF39C8" w:rsidRDefault="00E216FE" w:rsidP="00E216FE">
            <w:pPr>
              <w:spacing w:before="40" w:after="40"/>
              <w:rPr>
                <w:rFonts w:ascii="Calibri" w:hAnsi="Calibri" w:cs="Calibri"/>
              </w:rPr>
            </w:pPr>
            <w:r w:rsidRPr="00CF39C8">
              <w:rPr>
                <w:rFonts w:ascii="Calibri" w:hAnsi="Calibri" w:cs="Calibri"/>
              </w:rPr>
              <w:t xml:space="preserve">DCCEEW, Australia emissions projections and methodology, 2022. </w:t>
            </w:r>
          </w:p>
          <w:p w14:paraId="7273772E" w14:textId="77777777" w:rsidR="00E216FE" w:rsidRPr="00CF39C8" w:rsidRDefault="00E216FE" w:rsidP="00E216FE">
            <w:pPr>
              <w:spacing w:before="40" w:after="40"/>
              <w:rPr>
                <w:rFonts w:ascii="Calibri" w:hAnsi="Calibri" w:cs="Calibri"/>
              </w:rPr>
            </w:pPr>
          </w:p>
          <w:p w14:paraId="52B0248F" w14:textId="77777777" w:rsidR="004D6A91" w:rsidRPr="00CF39C8" w:rsidRDefault="00E216FE" w:rsidP="004D6A91">
            <w:pPr>
              <w:spacing w:before="40" w:after="40"/>
              <w:rPr>
                <w:rFonts w:ascii="Calibri" w:hAnsi="Calibri" w:cs="Calibri"/>
              </w:rPr>
            </w:pPr>
            <w:r w:rsidRPr="00CF39C8">
              <w:rPr>
                <w:rFonts w:ascii="Calibri" w:hAnsi="Calibri" w:cs="Calibri"/>
                <w:bCs/>
              </w:rPr>
              <w:t>Accessed July 2023</w:t>
            </w:r>
          </w:p>
        </w:tc>
        <w:tc>
          <w:tcPr>
            <w:tcW w:w="2220" w:type="pct"/>
            <w:shd w:val="clear" w:color="auto" w:fill="auto"/>
          </w:tcPr>
          <w:p w14:paraId="4A775DBC" w14:textId="77777777" w:rsidR="00E216FE" w:rsidRPr="00CF39C8" w:rsidRDefault="00E216FE" w:rsidP="00E216FE">
            <w:pPr>
              <w:autoSpaceDE w:val="0"/>
              <w:autoSpaceDN w:val="0"/>
              <w:adjustRightInd w:val="0"/>
              <w:spacing w:after="0" w:line="240" w:lineRule="auto"/>
              <w:rPr>
                <w:rFonts w:ascii="CIDFont+F1" w:eastAsiaTheme="minorHAnsi" w:hAnsi="CIDFont+F1" w:cs="CIDFont+F1"/>
                <w:sz w:val="19"/>
                <w:szCs w:val="19"/>
              </w:rPr>
            </w:pPr>
            <w:r w:rsidRPr="00CF39C8">
              <w:rPr>
                <w:rFonts w:ascii="Calibri" w:hAnsi="Calibri" w:cs="Calibri"/>
              </w:rPr>
              <w:t xml:space="preserve">Data for Figures 2.31 and 2.32 are from </w:t>
            </w:r>
            <w:r w:rsidRPr="00CF39C8">
              <w:rPr>
                <w:rFonts w:ascii="CIDFont+F1" w:eastAsiaTheme="minorHAnsi" w:hAnsi="CIDFont+F1" w:cs="CIDFont+F1"/>
                <w:sz w:val="19"/>
                <w:szCs w:val="19"/>
              </w:rPr>
              <w:t>Methodology for the 2022 projections, DCCEEW, 2022, Available at:</w:t>
            </w:r>
          </w:p>
          <w:p w14:paraId="6053E2B1" w14:textId="77777777" w:rsidR="00E216FE" w:rsidRPr="00CF39C8" w:rsidRDefault="00E216FE" w:rsidP="00E216FE">
            <w:pPr>
              <w:spacing w:before="40" w:after="40"/>
              <w:rPr>
                <w:rFonts w:ascii="Calibri" w:hAnsi="Calibri" w:cs="Calibri"/>
                <w:sz w:val="21"/>
                <w:szCs w:val="21"/>
              </w:rPr>
            </w:pPr>
            <w:r w:rsidRPr="00A4761A">
              <w:rPr>
                <w:rFonts w:ascii="CIDFont+F1" w:eastAsiaTheme="minorHAnsi" w:hAnsi="CIDFont+F1" w:cs="CIDFont+F1"/>
                <w:sz w:val="19"/>
                <w:szCs w:val="19"/>
              </w:rPr>
              <w:t>https://www.dcceew.gov.au/sites/default/files/documents/methodology-for-the-2022-projections.pdf</w:t>
            </w:r>
            <w:r w:rsidRPr="00CF39C8">
              <w:rPr>
                <w:rFonts w:ascii="CIDFont+F1" w:eastAsiaTheme="minorHAnsi" w:hAnsi="CIDFont+F1" w:cs="CIDFont+F1"/>
                <w:sz w:val="19"/>
                <w:szCs w:val="19"/>
              </w:rPr>
              <w:t xml:space="preserve"> </w:t>
            </w:r>
          </w:p>
          <w:p w14:paraId="0D2C81A3" w14:textId="77777777" w:rsidR="00E216FE" w:rsidRPr="00CF39C8" w:rsidRDefault="00E216FE" w:rsidP="00E216FE">
            <w:pPr>
              <w:spacing w:before="40" w:after="40"/>
              <w:rPr>
                <w:rFonts w:ascii="Calibri" w:hAnsi="Calibri" w:cs="Calibri"/>
              </w:rPr>
            </w:pPr>
            <w:r w:rsidRPr="00CF39C8">
              <w:rPr>
                <w:rFonts w:ascii="Calibri" w:hAnsi="Calibri" w:cs="Calibri"/>
              </w:rPr>
              <w:t>See Appendix, Table 13 and 14</w:t>
            </w:r>
          </w:p>
          <w:p w14:paraId="7F75FBD0" w14:textId="77777777" w:rsidR="00E216FE" w:rsidRPr="00CF39C8" w:rsidRDefault="00E216FE" w:rsidP="00E216FE">
            <w:pPr>
              <w:spacing w:before="40" w:after="40"/>
              <w:rPr>
                <w:rFonts w:ascii="Calibri" w:hAnsi="Calibri" w:cs="Calibri"/>
              </w:rPr>
            </w:pPr>
          </w:p>
          <w:p w14:paraId="6C4A6434" w14:textId="77777777" w:rsidR="00E216FE" w:rsidRPr="00CF39C8" w:rsidRDefault="00E216FE" w:rsidP="00E216FE">
            <w:pPr>
              <w:spacing w:before="40" w:after="40"/>
              <w:rPr>
                <w:rFonts w:ascii="Calibri" w:hAnsi="Calibri" w:cs="Calibri"/>
              </w:rPr>
            </w:pPr>
            <w:r w:rsidRPr="00CF39C8">
              <w:rPr>
                <w:rFonts w:ascii="Calibri" w:hAnsi="Calibri" w:cs="Calibri"/>
              </w:rPr>
              <w:t xml:space="preserve">Data for Figure 2.34 is from Australia’s emissions projections 2022, DCCEEW, 2022, Available at: </w:t>
            </w:r>
            <w:r w:rsidRPr="00A4761A">
              <w:rPr>
                <w:rFonts w:ascii="Calibri" w:hAnsi="Calibri" w:cs="Calibri"/>
              </w:rPr>
              <w:t>https://www.dcceew.gov.au/sites/default/files/documents/ageis-projections-chart-data.xlsx</w:t>
            </w:r>
            <w:r w:rsidRPr="00CF39C8">
              <w:rPr>
                <w:rFonts w:ascii="Calibri" w:hAnsi="Calibri" w:cs="Calibri"/>
              </w:rPr>
              <w:t xml:space="preserve"> </w:t>
            </w:r>
          </w:p>
          <w:p w14:paraId="7CF312A7" w14:textId="77777777" w:rsidR="00E216FE" w:rsidRPr="00CF39C8" w:rsidRDefault="00E216FE" w:rsidP="00E216FE">
            <w:pPr>
              <w:spacing w:before="40" w:after="40"/>
              <w:rPr>
                <w:rFonts w:ascii="Calibri" w:hAnsi="Calibri" w:cs="Calibri"/>
              </w:rPr>
            </w:pPr>
            <w:r w:rsidRPr="00CF39C8">
              <w:rPr>
                <w:rFonts w:ascii="Calibri" w:hAnsi="Calibri" w:cs="Calibri"/>
              </w:rPr>
              <w:t>See Tab 15</w:t>
            </w:r>
          </w:p>
          <w:p w14:paraId="141F82F0" w14:textId="77777777" w:rsidR="00E216FE" w:rsidRPr="00CF39C8" w:rsidRDefault="00E216FE" w:rsidP="00E216FE">
            <w:pPr>
              <w:spacing w:before="40" w:after="40"/>
              <w:rPr>
                <w:rFonts w:ascii="Calibri" w:hAnsi="Calibri" w:cs="Calibri"/>
              </w:rPr>
            </w:pPr>
          </w:p>
          <w:p w14:paraId="17EEE4D1" w14:textId="77777777" w:rsidR="004D6A91" w:rsidRPr="00CF39C8" w:rsidRDefault="00E216FE" w:rsidP="004D6A91">
            <w:pPr>
              <w:spacing w:before="40" w:after="40"/>
              <w:rPr>
                <w:rFonts w:ascii="Calibri" w:hAnsi="Calibri" w:cs="Calibri"/>
                <w:color w:val="FF0000"/>
              </w:rPr>
            </w:pPr>
            <w:r w:rsidRPr="00CF39C8">
              <w:rPr>
                <w:rFonts w:ascii="Calibri" w:hAnsi="Calibri" w:cs="Calibri"/>
              </w:rPr>
              <w:t>All data accessed in July 2023</w:t>
            </w:r>
          </w:p>
        </w:tc>
      </w:tr>
      <w:tr w:rsidR="004D6A91" w:rsidRPr="00CF39C8" w14:paraId="0A032494" w14:textId="77777777" w:rsidTr="00236810">
        <w:trPr>
          <w:trHeight w:val="350"/>
        </w:trPr>
        <w:tc>
          <w:tcPr>
            <w:tcW w:w="352" w:type="pct"/>
          </w:tcPr>
          <w:p w14:paraId="489A6C22" w14:textId="77777777" w:rsidR="004D6A91" w:rsidRPr="00CF39C8" w:rsidRDefault="004D6A91" w:rsidP="004D6A91">
            <w:pPr>
              <w:spacing w:before="40" w:after="40"/>
              <w:ind w:left="-165"/>
              <w:rPr>
                <w:rFonts w:ascii="Calibri" w:hAnsi="Calibri" w:cs="Calibri"/>
              </w:rPr>
            </w:pPr>
            <w:r w:rsidRPr="00CF39C8">
              <w:rPr>
                <w:rFonts w:ascii="Calibri" w:hAnsi="Calibri" w:cs="Calibri"/>
              </w:rPr>
              <w:t>11</w:t>
            </w:r>
          </w:p>
        </w:tc>
        <w:tc>
          <w:tcPr>
            <w:tcW w:w="1127" w:type="pct"/>
            <w:shd w:val="clear" w:color="auto" w:fill="auto"/>
          </w:tcPr>
          <w:p w14:paraId="67332353" w14:textId="77777777" w:rsidR="004D6A91" w:rsidRPr="00CF39C8" w:rsidRDefault="004D6A91" w:rsidP="004D6A91">
            <w:pPr>
              <w:spacing w:before="40" w:after="40"/>
              <w:rPr>
                <w:rFonts w:ascii="Calibri" w:hAnsi="Calibri" w:cs="Calibri"/>
              </w:rPr>
            </w:pPr>
            <w:r w:rsidRPr="00CF39C8">
              <w:rPr>
                <w:rFonts w:ascii="Calibri" w:hAnsi="Calibri" w:cs="Calibri"/>
              </w:rPr>
              <w:t>Electricity prices</w:t>
            </w:r>
          </w:p>
        </w:tc>
        <w:tc>
          <w:tcPr>
            <w:tcW w:w="1301" w:type="pct"/>
            <w:shd w:val="clear" w:color="auto" w:fill="auto"/>
          </w:tcPr>
          <w:p w14:paraId="2FDF123A" w14:textId="77777777" w:rsidR="00E216FE" w:rsidRPr="00CF39C8" w:rsidRDefault="004D6A91" w:rsidP="00E216FE">
            <w:pPr>
              <w:spacing w:before="40" w:after="40"/>
              <w:rPr>
                <w:rFonts w:eastAsiaTheme="minorEastAsia"/>
              </w:rPr>
            </w:pPr>
            <w:r w:rsidRPr="00CF39C8">
              <w:t>There is additional electricity demand and consumption, impacting prices, assuming a rapid uptake of EVs</w:t>
            </w:r>
            <w:r w:rsidRPr="00CF39C8">
              <w:rPr>
                <w:rStyle w:val="EndnoteReference"/>
                <w:rFonts w:ascii="Calibri" w:hAnsi="Calibri" w:cs="Calibri"/>
              </w:rPr>
              <w:endnoteReference w:id="61"/>
            </w:r>
          </w:p>
          <w:p w14:paraId="1BCB0434" w14:textId="77777777" w:rsidR="004D6A91" w:rsidRPr="00CF39C8" w:rsidRDefault="00E216FE" w:rsidP="004D6A91">
            <w:pPr>
              <w:spacing w:before="40" w:after="40"/>
              <w:rPr>
                <w:rFonts w:ascii="Calibri" w:hAnsi="Calibri" w:cs="Calibri"/>
              </w:rPr>
            </w:pPr>
            <w:r w:rsidRPr="00CF39C8">
              <w:rPr>
                <w:rFonts w:ascii="Calibri" w:hAnsi="Calibri" w:cs="Calibri"/>
              </w:rPr>
              <w:t>Source: GHD Advisory and ACIL Allen, Economic and Technical Modelling of the ACT Electricity Network Strategic Report; 26 April 2022. Accessed 12 October 2023.</w:t>
            </w:r>
          </w:p>
        </w:tc>
        <w:tc>
          <w:tcPr>
            <w:tcW w:w="2220" w:type="pct"/>
            <w:shd w:val="clear" w:color="auto" w:fill="auto"/>
          </w:tcPr>
          <w:p w14:paraId="566CFD28" w14:textId="77777777" w:rsidR="00E216FE" w:rsidRPr="00CF39C8" w:rsidRDefault="00E216FE" w:rsidP="00E216FE">
            <w:pPr>
              <w:spacing w:before="40" w:after="40"/>
              <w:rPr>
                <w:rFonts w:ascii="Calibri" w:hAnsi="Calibri" w:cs="Calibri"/>
              </w:rPr>
            </w:pPr>
            <w:r w:rsidRPr="00CF39C8">
              <w:rPr>
                <w:rFonts w:ascii="Calibri" w:hAnsi="Calibri" w:cs="Calibri"/>
              </w:rPr>
              <w:t xml:space="preserve">The Economic and Technical Modelling of the ACT Electricity Network Strategic Report includes estimated residential electricity prices from 2023 to 2045. </w:t>
            </w:r>
          </w:p>
          <w:p w14:paraId="2E38BF33" w14:textId="77777777" w:rsidR="000111D8" w:rsidRDefault="00E216FE" w:rsidP="004D6A91">
            <w:pPr>
              <w:spacing w:before="40" w:after="40"/>
              <w:rPr>
                <w:rFonts w:ascii="Calibri" w:hAnsi="Calibri" w:cs="Calibri"/>
              </w:rPr>
            </w:pPr>
            <w:r w:rsidRPr="00CF39C8">
              <w:rPr>
                <w:rFonts w:ascii="Calibri" w:hAnsi="Calibri" w:cs="Calibri"/>
              </w:rPr>
              <w:t xml:space="preserve">The 2025 estimate of 27.2 c/kWh is used as the starting value. Estimates for between 2046 and 2080 </w:t>
            </w:r>
            <w:r w:rsidR="00CB5FD0" w:rsidRPr="00CF39C8">
              <w:rPr>
                <w:rFonts w:ascii="Calibri" w:hAnsi="Calibri" w:cs="Calibri"/>
              </w:rPr>
              <w:t xml:space="preserve">are </w:t>
            </w:r>
            <w:r w:rsidRPr="00CF39C8">
              <w:rPr>
                <w:rFonts w:ascii="Calibri" w:hAnsi="Calibri" w:cs="Calibri"/>
              </w:rPr>
              <w:t xml:space="preserve">derived </w:t>
            </w:r>
            <w:r w:rsidR="00CB5FD0" w:rsidRPr="00CF39C8">
              <w:rPr>
                <w:rFonts w:ascii="Calibri" w:hAnsi="Calibri" w:cs="Calibri"/>
              </w:rPr>
              <w:t>using exponential</w:t>
            </w:r>
            <w:r w:rsidRPr="00CF39C8">
              <w:rPr>
                <w:rFonts w:ascii="Calibri" w:hAnsi="Calibri" w:cs="Calibri"/>
              </w:rPr>
              <w:t xml:space="preserve"> smoothing forecasts based on values from 2023 to 2045. The rate of change is estimated to be -0.16% per year.</w:t>
            </w:r>
          </w:p>
          <w:p w14:paraId="520BCEEF" w14:textId="77777777" w:rsidR="000111D8" w:rsidRDefault="000111D8" w:rsidP="004D6A91">
            <w:pPr>
              <w:spacing w:before="40" w:after="40"/>
              <w:rPr>
                <w:rFonts w:ascii="Calibri" w:hAnsi="Calibri" w:cs="Calibri"/>
              </w:rPr>
            </w:pPr>
          </w:p>
          <w:p w14:paraId="2A0E84A3" w14:textId="77777777" w:rsidR="004D6A91" w:rsidRPr="00CF39C8" w:rsidRDefault="000111D8" w:rsidP="004D6A91">
            <w:pPr>
              <w:spacing w:before="40" w:after="40"/>
              <w:rPr>
                <w:rFonts w:ascii="Calibri" w:hAnsi="Calibri" w:cs="Calibri"/>
                <w:color w:val="FF0000"/>
              </w:rPr>
            </w:pPr>
            <w:r>
              <w:rPr>
                <w:rFonts w:asciiTheme="majorHAnsi" w:hAnsiTheme="majorHAnsi" w:cstheme="majorHAnsi"/>
                <w:b/>
                <w:bCs/>
                <w:color w:val="000000" w:themeColor="text1"/>
              </w:rPr>
              <w:t xml:space="preserve">Update following consultation: </w:t>
            </w:r>
            <w:r w:rsidRPr="005D2A4F">
              <w:rPr>
                <w:rFonts w:asciiTheme="majorHAnsi" w:hAnsiTheme="majorHAnsi" w:cstheme="majorHAnsi"/>
                <w:bCs/>
                <w:color w:val="000000" w:themeColor="text1"/>
              </w:rPr>
              <w:t>A sensitivity test was undertaken to estimate the outcome if fuel and electricity prices remain at 2023 levels (44.8c/kWh for electricity, $2.25/L for diesel and $2.24/L for petrol)</w:t>
            </w:r>
            <w:r>
              <w:rPr>
                <w:rFonts w:asciiTheme="majorHAnsi" w:hAnsiTheme="majorHAnsi" w:cstheme="majorHAnsi"/>
                <w:bCs/>
                <w:color w:val="000000" w:themeColor="text1"/>
              </w:rPr>
              <w:t>.</w:t>
            </w:r>
          </w:p>
        </w:tc>
      </w:tr>
      <w:tr w:rsidR="004D6A91" w:rsidRPr="00CF39C8" w14:paraId="5B658108" w14:textId="77777777" w:rsidTr="00236810">
        <w:trPr>
          <w:trHeight w:val="350"/>
        </w:trPr>
        <w:tc>
          <w:tcPr>
            <w:tcW w:w="352" w:type="pct"/>
          </w:tcPr>
          <w:p w14:paraId="359F008E" w14:textId="77777777" w:rsidR="004D6A91" w:rsidRPr="00CF39C8" w:rsidRDefault="004D6A91" w:rsidP="004D6A91">
            <w:pPr>
              <w:spacing w:before="40" w:after="40"/>
              <w:ind w:left="-165"/>
              <w:rPr>
                <w:rFonts w:ascii="Calibri" w:hAnsi="Calibri" w:cs="Calibri"/>
              </w:rPr>
            </w:pPr>
            <w:r w:rsidRPr="00CF39C8">
              <w:rPr>
                <w:rFonts w:ascii="Calibri" w:hAnsi="Calibri" w:cs="Calibri"/>
              </w:rPr>
              <w:t>12</w:t>
            </w:r>
          </w:p>
        </w:tc>
        <w:tc>
          <w:tcPr>
            <w:tcW w:w="1127" w:type="pct"/>
            <w:shd w:val="clear" w:color="auto" w:fill="auto"/>
          </w:tcPr>
          <w:p w14:paraId="2FE529AB" w14:textId="77777777" w:rsidR="004D6A91" w:rsidRPr="00CF39C8" w:rsidRDefault="004D6A91" w:rsidP="004D6A91">
            <w:pPr>
              <w:spacing w:before="40" w:after="40"/>
              <w:rPr>
                <w:rFonts w:ascii="Calibri" w:hAnsi="Calibri" w:cs="Calibri"/>
              </w:rPr>
            </w:pPr>
            <w:r w:rsidRPr="00CF39C8">
              <w:rPr>
                <w:rFonts w:ascii="Calibri" w:hAnsi="Calibri" w:cs="Calibri"/>
              </w:rPr>
              <w:t>GDP and related macro-economic parameters</w:t>
            </w:r>
          </w:p>
        </w:tc>
        <w:tc>
          <w:tcPr>
            <w:tcW w:w="1301" w:type="pct"/>
            <w:shd w:val="clear" w:color="auto" w:fill="auto"/>
          </w:tcPr>
          <w:p w14:paraId="057C560C" w14:textId="65A053D9" w:rsidR="004D6A91" w:rsidRPr="00CF39C8" w:rsidRDefault="00E216FE" w:rsidP="004D6A91">
            <w:pPr>
              <w:spacing w:before="40" w:after="40"/>
              <w:rPr>
                <w:rFonts w:ascii="Calibri" w:hAnsi="Calibri" w:cs="Calibri"/>
              </w:rPr>
            </w:pPr>
            <w:r w:rsidRPr="00CF39C8">
              <w:rPr>
                <w:rFonts w:ascii="Calibri" w:hAnsi="Calibri" w:cs="Calibri"/>
              </w:rPr>
              <w:t>Treasury forecasts – 2021 Intergenerational Report (</w:t>
            </w:r>
            <w:hyperlink r:id="rId61" w:history="1">
              <w:r w:rsidRPr="00CF39C8">
                <w:rPr>
                  <w:rStyle w:val="Hyperlink"/>
                  <w:rFonts w:ascii="Calibri" w:hAnsi="Calibri" w:cs="Calibri"/>
                  <w:color w:val="auto"/>
                </w:rPr>
                <w:t>https://treasury.gov.au/publication/2021-intergenerational-report</w:t>
              </w:r>
            </w:hyperlink>
            <w:r w:rsidRPr="00CF39C8">
              <w:rPr>
                <w:rFonts w:ascii="Calibri" w:hAnsi="Calibri" w:cs="Calibri"/>
              </w:rPr>
              <w:t xml:space="preserve">) </w:t>
            </w:r>
          </w:p>
        </w:tc>
        <w:tc>
          <w:tcPr>
            <w:tcW w:w="2220" w:type="pct"/>
            <w:shd w:val="clear" w:color="auto" w:fill="auto"/>
          </w:tcPr>
          <w:p w14:paraId="0DFDC46F" w14:textId="77777777" w:rsidR="004D6A91" w:rsidRPr="00CF39C8" w:rsidRDefault="00E216FE" w:rsidP="004D6A91">
            <w:pPr>
              <w:spacing w:before="40" w:after="40"/>
              <w:rPr>
                <w:rFonts w:ascii="Calibri" w:hAnsi="Calibri" w:cs="Calibri"/>
              </w:rPr>
            </w:pPr>
            <w:r w:rsidRPr="00CF39C8">
              <w:rPr>
                <w:rFonts w:ascii="Calibri" w:hAnsi="Calibri" w:cs="Calibri"/>
              </w:rPr>
              <w:t>Real GDP grows from approximately $2 trillion in 2021-22 by 2.5% per annum.</w:t>
            </w:r>
          </w:p>
        </w:tc>
      </w:tr>
      <w:tr w:rsidR="004D6A91" w:rsidRPr="00CF39C8" w14:paraId="2B2B5F9C" w14:textId="77777777" w:rsidTr="00236810">
        <w:trPr>
          <w:trHeight w:val="350"/>
        </w:trPr>
        <w:tc>
          <w:tcPr>
            <w:tcW w:w="352" w:type="pct"/>
            <w:shd w:val="clear" w:color="auto" w:fill="auto"/>
          </w:tcPr>
          <w:p w14:paraId="6013FE46" w14:textId="77777777" w:rsidR="004D6A91" w:rsidRPr="00CF39C8" w:rsidRDefault="004D6A91" w:rsidP="004D6A91">
            <w:pPr>
              <w:spacing w:before="40" w:after="40"/>
              <w:ind w:left="-165"/>
              <w:rPr>
                <w:rFonts w:ascii="Calibri" w:hAnsi="Calibri" w:cs="Calibri"/>
              </w:rPr>
            </w:pPr>
            <w:r w:rsidRPr="00CF39C8">
              <w:rPr>
                <w:rFonts w:ascii="Calibri" w:hAnsi="Calibri" w:cs="Calibri"/>
              </w:rPr>
              <w:t>13</w:t>
            </w:r>
          </w:p>
        </w:tc>
        <w:tc>
          <w:tcPr>
            <w:tcW w:w="1127" w:type="pct"/>
            <w:shd w:val="clear" w:color="auto" w:fill="auto"/>
          </w:tcPr>
          <w:p w14:paraId="7A0EB29F" w14:textId="77777777" w:rsidR="004D6A91" w:rsidRPr="00CF39C8" w:rsidRDefault="004D6A91" w:rsidP="004D6A91">
            <w:pPr>
              <w:spacing w:before="40" w:after="40"/>
              <w:rPr>
                <w:rFonts w:ascii="Calibri" w:hAnsi="Calibri" w:cs="Calibri"/>
              </w:rPr>
            </w:pPr>
            <w:r w:rsidRPr="00CF39C8">
              <w:rPr>
                <w:rFonts w:ascii="Calibri" w:hAnsi="Calibri" w:cs="Calibri"/>
              </w:rPr>
              <w:t>Value of carbon</w:t>
            </w:r>
          </w:p>
        </w:tc>
        <w:tc>
          <w:tcPr>
            <w:tcW w:w="1301" w:type="pct"/>
            <w:shd w:val="clear" w:color="auto" w:fill="auto"/>
          </w:tcPr>
          <w:p w14:paraId="20E76CE2" w14:textId="77777777" w:rsidR="004D6A91" w:rsidRPr="00CF39C8" w:rsidRDefault="004D6A91" w:rsidP="004D6A91">
            <w:pPr>
              <w:spacing w:before="40" w:after="40"/>
              <w:rPr>
                <w:rFonts w:ascii="Calibri" w:hAnsi="Calibri" w:cs="Calibri"/>
              </w:rPr>
            </w:pPr>
            <w:r w:rsidRPr="00CF39C8">
              <w:rPr>
                <w:rFonts w:ascii="Calibri" w:hAnsi="Calibri" w:cs="Calibri"/>
              </w:rPr>
              <w:t>Australian Transport Assessment and Planning Guidelines, 2021</w:t>
            </w:r>
          </w:p>
        </w:tc>
        <w:tc>
          <w:tcPr>
            <w:tcW w:w="2220" w:type="pct"/>
            <w:shd w:val="clear" w:color="auto" w:fill="auto"/>
          </w:tcPr>
          <w:p w14:paraId="6948DBF6" w14:textId="77777777" w:rsidR="004D6A91" w:rsidRPr="00CF39C8" w:rsidRDefault="004D6A91" w:rsidP="004D6A91">
            <w:pPr>
              <w:spacing w:before="40" w:after="40"/>
              <w:rPr>
                <w:rFonts w:ascii="Calibri" w:hAnsi="Calibri" w:cs="Calibri"/>
              </w:rPr>
            </w:pPr>
            <w:r w:rsidRPr="00CF39C8">
              <w:rPr>
                <w:rFonts w:ascii="Calibri" w:hAnsi="Calibri" w:cs="Calibri"/>
              </w:rPr>
              <w:t>$60 / tonne, increasing by 3% annually.</w:t>
            </w:r>
          </w:p>
        </w:tc>
      </w:tr>
      <w:tr w:rsidR="004D6A91" w:rsidRPr="00CF39C8" w14:paraId="3E1B67C8" w14:textId="77777777" w:rsidTr="00236810">
        <w:trPr>
          <w:trHeight w:val="350"/>
        </w:trPr>
        <w:tc>
          <w:tcPr>
            <w:tcW w:w="352" w:type="pct"/>
          </w:tcPr>
          <w:p w14:paraId="39FFA516" w14:textId="77777777" w:rsidR="004D6A91" w:rsidRPr="00CF39C8" w:rsidRDefault="004D6A91" w:rsidP="004D6A91">
            <w:pPr>
              <w:spacing w:before="40" w:after="40"/>
              <w:ind w:left="-165"/>
              <w:rPr>
                <w:rFonts w:ascii="Calibri" w:hAnsi="Calibri" w:cs="Calibri"/>
              </w:rPr>
            </w:pPr>
            <w:r w:rsidRPr="00CF39C8">
              <w:rPr>
                <w:rFonts w:ascii="Calibri" w:hAnsi="Calibri" w:cs="Calibri"/>
              </w:rPr>
              <w:t>14</w:t>
            </w:r>
          </w:p>
        </w:tc>
        <w:tc>
          <w:tcPr>
            <w:tcW w:w="1127" w:type="pct"/>
            <w:shd w:val="clear" w:color="auto" w:fill="auto"/>
          </w:tcPr>
          <w:p w14:paraId="1F6D066D" w14:textId="77777777" w:rsidR="004D6A91" w:rsidRPr="00CF39C8" w:rsidRDefault="004D6A91" w:rsidP="004D6A91">
            <w:pPr>
              <w:spacing w:before="40" w:after="40"/>
              <w:rPr>
                <w:rFonts w:ascii="Calibri" w:hAnsi="Calibri" w:cs="Calibri"/>
              </w:rPr>
            </w:pPr>
            <w:r w:rsidRPr="00CF39C8">
              <w:rPr>
                <w:rFonts w:ascii="Calibri" w:hAnsi="Calibri" w:cs="Calibri"/>
              </w:rPr>
              <w:t>Light vehicle fleet size</w:t>
            </w:r>
          </w:p>
        </w:tc>
        <w:tc>
          <w:tcPr>
            <w:tcW w:w="1301" w:type="pct"/>
            <w:shd w:val="clear" w:color="auto" w:fill="auto"/>
          </w:tcPr>
          <w:p w14:paraId="349C3760" w14:textId="77777777" w:rsidR="00E216FE" w:rsidRPr="00CF39C8" w:rsidRDefault="004D6A91" w:rsidP="00E216FE">
            <w:pPr>
              <w:spacing w:before="40" w:after="40"/>
              <w:rPr>
                <w:rFonts w:ascii="Calibri" w:hAnsi="Calibri" w:cs="Calibri"/>
                <w:color w:val="FF0000"/>
              </w:rPr>
            </w:pPr>
            <w:r w:rsidRPr="00CF39C8">
              <w:rPr>
                <w:rFonts w:ascii="Calibri" w:hAnsi="Calibri" w:cs="Calibri"/>
              </w:rPr>
              <w:t xml:space="preserve">Projections for the number of cars on Australian roads will be driven primarily by population growth, ABS </w:t>
            </w:r>
            <w:r w:rsidRPr="00CF39C8">
              <w:rPr>
                <w:rFonts w:ascii="Calibri" w:hAnsi="Calibri" w:cs="Calibri"/>
                <w:color w:val="000000" w:themeColor="text1"/>
              </w:rPr>
              <w:t xml:space="preserve">population estimates to 2050 </w:t>
            </w:r>
            <w:r w:rsidR="00E216FE" w:rsidRPr="00CF39C8">
              <w:rPr>
                <w:rFonts w:ascii="Calibri" w:hAnsi="Calibri" w:cs="Calibri"/>
                <w:color w:val="000000" w:themeColor="text1"/>
              </w:rPr>
              <w:t>(</w:t>
            </w:r>
            <w:r w:rsidR="00F60006" w:rsidRPr="00CF39C8">
              <w:rPr>
                <w:rFonts w:ascii="Calibri" w:hAnsi="Calibri" w:cs="Calibri"/>
                <w:color w:val="000000" w:themeColor="text1"/>
              </w:rPr>
              <w:t xml:space="preserve">See </w:t>
            </w:r>
            <w:r w:rsidR="00E216FE" w:rsidRPr="00CF39C8">
              <w:rPr>
                <w:rFonts w:ascii="Calibri" w:hAnsi="Calibri" w:cs="Calibri"/>
                <w:color w:val="000000" w:themeColor="text1"/>
              </w:rPr>
              <w:t>#1 for ABS Population</w:t>
            </w:r>
            <w:r w:rsidRPr="00CF39C8">
              <w:rPr>
                <w:rFonts w:ascii="Calibri" w:hAnsi="Calibri" w:cs="Calibri"/>
                <w:color w:val="000000" w:themeColor="text1"/>
              </w:rPr>
              <w:t xml:space="preserve"> reference</w:t>
            </w:r>
            <w:r w:rsidR="00E216FE" w:rsidRPr="00CF39C8">
              <w:rPr>
                <w:rFonts w:ascii="Calibri" w:hAnsi="Calibri" w:cs="Calibri"/>
                <w:color w:val="000000" w:themeColor="text1"/>
              </w:rPr>
              <w:t>).</w:t>
            </w:r>
          </w:p>
          <w:p w14:paraId="6805250E" w14:textId="77777777" w:rsidR="004D6A91" w:rsidRPr="00CF39C8" w:rsidRDefault="00E216FE" w:rsidP="004D6A91">
            <w:pPr>
              <w:spacing w:before="40" w:after="40"/>
              <w:rPr>
                <w:rFonts w:ascii="Calibri" w:hAnsi="Calibri" w:cs="Calibri"/>
              </w:rPr>
            </w:pPr>
            <w:r w:rsidRPr="00CF39C8">
              <w:rPr>
                <w:rFonts w:ascii="Calibri" w:hAnsi="Calibri" w:cs="Calibri"/>
              </w:rPr>
              <w:t>Historical vehicle stock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 xml:space="preserve">) </w:t>
            </w:r>
          </w:p>
        </w:tc>
        <w:tc>
          <w:tcPr>
            <w:tcW w:w="2220" w:type="pct"/>
            <w:shd w:val="clear" w:color="auto" w:fill="auto"/>
          </w:tcPr>
          <w:p w14:paraId="286B795B" w14:textId="77777777" w:rsidR="004D6A91" w:rsidRPr="00CF39C8" w:rsidRDefault="00E216FE" w:rsidP="004D6A91">
            <w:pPr>
              <w:spacing w:before="40" w:after="40"/>
              <w:rPr>
                <w:rFonts w:ascii="Calibri" w:hAnsi="Calibri" w:cs="Calibri"/>
              </w:rPr>
            </w:pPr>
            <w:r w:rsidRPr="00CF39C8">
              <w:rPr>
                <w:rFonts w:ascii="Calibri" w:hAnsi="Calibri" w:cs="Calibri"/>
              </w:rPr>
              <w:t>Total number of light vehicles is 15.064 million in 2022, with dynamic adjustment based on vehicle ownership rate and population growth</w:t>
            </w:r>
            <w:r w:rsidRPr="00CF39C8">
              <w:rPr>
                <w:rFonts w:ascii="Calibri" w:hAnsi="Calibri" w:cs="Calibri"/>
                <w:color w:val="auto"/>
              </w:rPr>
              <w:t>.</w:t>
            </w:r>
          </w:p>
        </w:tc>
      </w:tr>
      <w:tr w:rsidR="004D6A91" w:rsidRPr="00CF39C8" w14:paraId="1598B2DC" w14:textId="77777777" w:rsidTr="00236810">
        <w:trPr>
          <w:trHeight w:val="350"/>
        </w:trPr>
        <w:tc>
          <w:tcPr>
            <w:tcW w:w="352" w:type="pct"/>
          </w:tcPr>
          <w:p w14:paraId="3C6947B0" w14:textId="77777777" w:rsidR="004D6A91" w:rsidRPr="00CF39C8" w:rsidRDefault="004D6A91" w:rsidP="004D6A91">
            <w:pPr>
              <w:spacing w:before="40" w:after="40"/>
              <w:ind w:left="-165"/>
              <w:rPr>
                <w:rFonts w:ascii="Calibri" w:hAnsi="Calibri" w:cs="Calibri"/>
              </w:rPr>
            </w:pPr>
            <w:r w:rsidRPr="00CF39C8">
              <w:rPr>
                <w:rFonts w:ascii="Calibri" w:hAnsi="Calibri" w:cs="Calibri"/>
              </w:rPr>
              <w:t>15</w:t>
            </w:r>
          </w:p>
        </w:tc>
        <w:tc>
          <w:tcPr>
            <w:tcW w:w="1127" w:type="pct"/>
            <w:shd w:val="clear" w:color="auto" w:fill="auto"/>
          </w:tcPr>
          <w:p w14:paraId="2DEFF139" w14:textId="77777777" w:rsidR="004D6A91" w:rsidRPr="00CF39C8" w:rsidRDefault="004D6A91" w:rsidP="004D6A91">
            <w:pPr>
              <w:spacing w:before="40" w:after="40"/>
              <w:rPr>
                <w:rFonts w:ascii="Calibri" w:hAnsi="Calibri" w:cs="Calibri"/>
              </w:rPr>
            </w:pPr>
            <w:r w:rsidRPr="00CF39C8">
              <w:rPr>
                <w:rFonts w:ascii="Calibri" w:hAnsi="Calibri" w:cs="Calibri"/>
              </w:rPr>
              <w:t>Vehicle ownership rate and growth</w:t>
            </w:r>
          </w:p>
        </w:tc>
        <w:tc>
          <w:tcPr>
            <w:tcW w:w="1301" w:type="pct"/>
            <w:shd w:val="clear" w:color="auto" w:fill="auto"/>
          </w:tcPr>
          <w:p w14:paraId="6905D9B7" w14:textId="77777777" w:rsidR="004D6A91" w:rsidRPr="00CF39C8" w:rsidRDefault="00E216FE" w:rsidP="004D6A91">
            <w:pPr>
              <w:spacing w:before="40" w:after="40"/>
              <w:rPr>
                <w:rFonts w:ascii="Calibri" w:hAnsi="Calibri" w:cs="Calibri"/>
              </w:rPr>
            </w:pPr>
            <w:r w:rsidRPr="00CF39C8">
              <w:rPr>
                <w:rFonts w:ascii="Calibri" w:hAnsi="Calibri" w:cs="Calibri"/>
              </w:rPr>
              <w:t>Historical vehicle stock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 The figure will be relatively constant, with slow growth. Projections from 2023 to 2050 were estimated by developing a logarithmic trendline.</w:t>
            </w:r>
          </w:p>
        </w:tc>
        <w:tc>
          <w:tcPr>
            <w:tcW w:w="2220" w:type="pct"/>
            <w:shd w:val="clear" w:color="auto" w:fill="auto"/>
          </w:tcPr>
          <w:p w14:paraId="207E42A9" w14:textId="77777777" w:rsidR="00E216FE" w:rsidRPr="00CF39C8" w:rsidRDefault="00E216FE" w:rsidP="00E216FE">
            <w:pPr>
              <w:spacing w:before="40" w:after="40"/>
              <w:rPr>
                <w:rFonts w:ascii="Calibri" w:hAnsi="Calibri" w:cs="Calibri"/>
              </w:rPr>
            </w:pPr>
            <w:r w:rsidRPr="00CF39C8">
              <w:rPr>
                <w:rFonts w:ascii="Calibri" w:hAnsi="Calibri" w:cs="Calibri"/>
              </w:rPr>
              <w:t>In 2022, passenger motor vehicles per person was 0.58 growing to around 0.59 passenger motor vehicles per person by 2035 and 0.60 in 2050. The rate of adjustment is logarithmic, the shape of which aligns with international research.</w:t>
            </w:r>
          </w:p>
          <w:p w14:paraId="26D00691" w14:textId="77777777" w:rsidR="004D6A91" w:rsidRPr="00CF39C8" w:rsidRDefault="004D6A91" w:rsidP="004D6A91">
            <w:pPr>
              <w:spacing w:before="40" w:after="40"/>
              <w:rPr>
                <w:rFonts w:ascii="Calibri" w:hAnsi="Calibri" w:cs="Calibri"/>
              </w:rPr>
            </w:pPr>
          </w:p>
        </w:tc>
      </w:tr>
      <w:tr w:rsidR="004D6A91" w:rsidRPr="00CF39C8" w14:paraId="28DC59EA" w14:textId="77777777" w:rsidTr="00236810">
        <w:trPr>
          <w:trHeight w:val="350"/>
        </w:trPr>
        <w:tc>
          <w:tcPr>
            <w:tcW w:w="352" w:type="pct"/>
          </w:tcPr>
          <w:p w14:paraId="1E124EA8" w14:textId="77777777" w:rsidR="004D6A91" w:rsidRPr="00CF39C8" w:rsidRDefault="004D6A91" w:rsidP="004D6A91">
            <w:pPr>
              <w:spacing w:before="40" w:after="40"/>
              <w:ind w:left="-165"/>
              <w:rPr>
                <w:rFonts w:ascii="Calibri" w:hAnsi="Calibri" w:cs="Calibri"/>
              </w:rPr>
            </w:pPr>
            <w:r w:rsidRPr="00CF39C8">
              <w:rPr>
                <w:rFonts w:ascii="Calibri" w:hAnsi="Calibri" w:cs="Calibri"/>
              </w:rPr>
              <w:t>16</w:t>
            </w:r>
          </w:p>
        </w:tc>
        <w:tc>
          <w:tcPr>
            <w:tcW w:w="1127" w:type="pct"/>
            <w:shd w:val="clear" w:color="auto" w:fill="auto"/>
          </w:tcPr>
          <w:p w14:paraId="3F60475E" w14:textId="77777777" w:rsidR="004D6A91" w:rsidRPr="00CF39C8" w:rsidRDefault="004D6A91" w:rsidP="004D6A91">
            <w:pPr>
              <w:spacing w:before="40" w:after="40"/>
              <w:rPr>
                <w:rFonts w:ascii="Calibri" w:hAnsi="Calibri" w:cs="Calibri"/>
              </w:rPr>
            </w:pPr>
            <w:r w:rsidRPr="00CF39C8">
              <w:rPr>
                <w:rFonts w:ascii="Calibri" w:hAnsi="Calibri" w:cs="Calibri"/>
              </w:rPr>
              <w:t>Kilometres driven per passenger vehicle per year</w:t>
            </w:r>
          </w:p>
        </w:tc>
        <w:tc>
          <w:tcPr>
            <w:tcW w:w="1301" w:type="pct"/>
            <w:shd w:val="clear" w:color="auto" w:fill="auto"/>
          </w:tcPr>
          <w:p w14:paraId="6B9EADCC" w14:textId="77777777" w:rsidR="004D6A91" w:rsidRPr="00CF39C8" w:rsidRDefault="00E216FE" w:rsidP="004D6A91">
            <w:pPr>
              <w:spacing w:before="40" w:after="40"/>
              <w:rPr>
                <w:rFonts w:ascii="Calibri" w:hAnsi="Calibri" w:cs="Calibri"/>
              </w:rPr>
            </w:pPr>
            <w:r w:rsidRPr="00CF39C8">
              <w:rPr>
                <w:rFonts w:ascii="Calibri" w:hAnsi="Calibri" w:cs="Calibri"/>
              </w:rPr>
              <w:t>Projects total vehicle kilometres travelled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).Trends of decrease in kilometres travelled per vehicle per year to 2030 and 2050.</w:t>
            </w:r>
          </w:p>
        </w:tc>
        <w:tc>
          <w:tcPr>
            <w:tcW w:w="2220" w:type="pct"/>
            <w:shd w:val="clear" w:color="auto" w:fill="auto"/>
          </w:tcPr>
          <w:p w14:paraId="417E6458" w14:textId="77777777" w:rsidR="004D6A91" w:rsidRPr="00CF39C8" w:rsidRDefault="004D6A91" w:rsidP="004D6A91">
            <w:pPr>
              <w:spacing w:before="40" w:after="40"/>
              <w:rPr>
                <w:rFonts w:ascii="Calibri" w:hAnsi="Calibri" w:cs="Calibri"/>
              </w:rPr>
            </w:pPr>
            <w:r w:rsidRPr="00CF39C8">
              <w:rPr>
                <w:rFonts w:ascii="Calibri" w:hAnsi="Calibri" w:cs="Calibri"/>
              </w:rPr>
              <w:t>In 2022, annual kilometres driven per passenger motor vehicles per person was 10.443km</w:t>
            </w:r>
            <w:r w:rsidR="00E216FE" w:rsidRPr="00CF39C8">
              <w:rPr>
                <w:rFonts w:ascii="Calibri" w:hAnsi="Calibri" w:cs="Calibri"/>
              </w:rPr>
              <w:t>. In 2030, this figure is projected to be 11,340 km</w:t>
            </w:r>
            <w:r w:rsidRPr="00CF39C8">
              <w:rPr>
                <w:rFonts w:ascii="Calibri" w:hAnsi="Calibri" w:cs="Calibri"/>
              </w:rPr>
              <w:t xml:space="preserve">, falling to </w:t>
            </w:r>
            <w:r w:rsidR="00E216FE" w:rsidRPr="00CF39C8">
              <w:rPr>
                <w:rFonts w:ascii="Calibri" w:hAnsi="Calibri" w:cs="Calibri"/>
              </w:rPr>
              <w:t>10,027 km</w:t>
            </w:r>
            <w:r w:rsidRPr="00CF39C8">
              <w:rPr>
                <w:rFonts w:ascii="Calibri" w:hAnsi="Calibri" w:cs="Calibri"/>
              </w:rPr>
              <w:t xml:space="preserve"> in 2050.</w:t>
            </w:r>
          </w:p>
        </w:tc>
      </w:tr>
      <w:tr w:rsidR="004D6A91" w:rsidRPr="00CF39C8" w14:paraId="232F3A82" w14:textId="77777777" w:rsidTr="00236810">
        <w:trPr>
          <w:trHeight w:val="350"/>
        </w:trPr>
        <w:tc>
          <w:tcPr>
            <w:tcW w:w="352" w:type="pct"/>
          </w:tcPr>
          <w:p w14:paraId="28722699" w14:textId="77777777" w:rsidR="004D6A91" w:rsidRPr="00CF39C8" w:rsidRDefault="004D6A91" w:rsidP="004D6A91">
            <w:pPr>
              <w:spacing w:before="40" w:after="40"/>
              <w:ind w:left="-165"/>
              <w:rPr>
                <w:rFonts w:ascii="Calibri" w:hAnsi="Calibri" w:cs="Calibri"/>
              </w:rPr>
            </w:pPr>
            <w:r w:rsidRPr="00CF39C8">
              <w:rPr>
                <w:rFonts w:ascii="Calibri" w:hAnsi="Calibri" w:cs="Calibri"/>
              </w:rPr>
              <w:t>17</w:t>
            </w:r>
          </w:p>
        </w:tc>
        <w:tc>
          <w:tcPr>
            <w:tcW w:w="1127" w:type="pct"/>
            <w:shd w:val="clear" w:color="auto" w:fill="auto"/>
          </w:tcPr>
          <w:p w14:paraId="3E3F8516" w14:textId="77777777" w:rsidR="004D6A91" w:rsidRPr="00CF39C8" w:rsidRDefault="004D6A91" w:rsidP="004D6A91">
            <w:pPr>
              <w:spacing w:before="40" w:after="40"/>
              <w:rPr>
                <w:rFonts w:ascii="Calibri" w:hAnsi="Calibri" w:cs="Calibri"/>
              </w:rPr>
            </w:pPr>
            <w:r w:rsidRPr="00CF39C8">
              <w:rPr>
                <w:rFonts w:ascii="Calibri" w:hAnsi="Calibri" w:cs="Calibri"/>
              </w:rPr>
              <w:t>Shift to larger vehicles/SUVs</w:t>
            </w:r>
          </w:p>
        </w:tc>
        <w:tc>
          <w:tcPr>
            <w:tcW w:w="1301" w:type="pct"/>
            <w:shd w:val="clear" w:color="auto" w:fill="auto"/>
          </w:tcPr>
          <w:p w14:paraId="25E17E1A" w14:textId="77777777" w:rsidR="004D6A91" w:rsidRPr="00CF39C8" w:rsidRDefault="004D6A91" w:rsidP="004D6A91">
            <w:pPr>
              <w:spacing w:before="40" w:after="40"/>
              <w:rPr>
                <w:rFonts w:ascii="Calibri" w:hAnsi="Calibri" w:cs="Calibri"/>
              </w:rPr>
            </w:pPr>
            <w:r w:rsidRPr="00CF39C8">
              <w:rPr>
                <w:rFonts w:ascii="Calibri" w:hAnsi="Calibri" w:cs="Calibri"/>
              </w:rPr>
              <w:t xml:space="preserve">Projects </w:t>
            </w:r>
            <w:bookmarkStart w:id="605" w:name="_Hlk153875865"/>
            <w:r w:rsidRPr="00CF39C8">
              <w:rPr>
                <w:rFonts w:ascii="Calibri" w:hAnsi="Calibri" w:cs="Calibri"/>
              </w:rPr>
              <w:t>VFACTS</w:t>
            </w:r>
            <w:r w:rsidR="00E216FE" w:rsidRPr="00CF39C8">
              <w:rPr>
                <w:rFonts w:ascii="Calibri" w:hAnsi="Calibri" w:cs="Calibri"/>
              </w:rPr>
              <w:t xml:space="preserve"> and </w:t>
            </w:r>
            <w:r w:rsidRPr="00CF39C8">
              <w:rPr>
                <w:rFonts w:ascii="Calibri" w:hAnsi="Calibri" w:cs="Calibri"/>
              </w:rPr>
              <w:t>S&amp;P</w:t>
            </w:r>
            <w:bookmarkEnd w:id="605"/>
            <w:r w:rsidRPr="00CF39C8">
              <w:rPr>
                <w:rFonts w:ascii="Calibri" w:hAnsi="Calibri" w:cs="Calibri"/>
              </w:rPr>
              <w:t xml:space="preserve"> </w:t>
            </w:r>
            <w:r w:rsidR="00E216FE" w:rsidRPr="00CF39C8">
              <w:rPr>
                <w:rFonts w:ascii="Calibri" w:hAnsi="Calibri" w:cs="Calibri"/>
              </w:rPr>
              <w:t>sales</w:t>
            </w:r>
            <w:r w:rsidRPr="00CF39C8">
              <w:rPr>
                <w:rFonts w:ascii="Calibri" w:hAnsi="Calibri" w:cs="Calibri"/>
              </w:rPr>
              <w:t xml:space="preserve"> data </w:t>
            </w:r>
            <w:r w:rsidR="00E216FE" w:rsidRPr="00CF39C8">
              <w:rPr>
                <w:rFonts w:ascii="Calibri" w:hAnsi="Calibri" w:cs="Calibri"/>
              </w:rPr>
              <w:t>(2012 to 2022) to 2050.</w:t>
            </w:r>
            <w:r w:rsidRPr="00CF39C8">
              <w:rPr>
                <w:rFonts w:ascii="Calibri" w:hAnsi="Calibri" w:cs="Calibri"/>
              </w:rPr>
              <w:t xml:space="preserve"> Growth in line with current trend to 2028 then plateauing.</w:t>
            </w:r>
          </w:p>
        </w:tc>
        <w:tc>
          <w:tcPr>
            <w:tcW w:w="2220" w:type="pct"/>
            <w:shd w:val="clear" w:color="auto" w:fill="auto"/>
          </w:tcPr>
          <w:p w14:paraId="56AF6E8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In 2022 share of sales of new SUVs was </w:t>
            </w:r>
            <w:r w:rsidR="00E216FE" w:rsidRPr="00CF39C8">
              <w:rPr>
                <w:rFonts w:ascii="Calibri" w:hAnsi="Calibri" w:cs="Calibri"/>
              </w:rPr>
              <w:t>74</w:t>
            </w:r>
            <w:r w:rsidRPr="00CF39C8">
              <w:rPr>
                <w:rFonts w:ascii="Calibri" w:hAnsi="Calibri" w:cs="Calibri"/>
              </w:rPr>
              <w:t xml:space="preserve">%, growing to around </w:t>
            </w:r>
            <w:r w:rsidR="00E216FE" w:rsidRPr="00CF39C8">
              <w:rPr>
                <w:rFonts w:ascii="Calibri" w:hAnsi="Calibri" w:cs="Calibri"/>
              </w:rPr>
              <w:t>80</w:t>
            </w:r>
            <w:r w:rsidRPr="00CF39C8">
              <w:rPr>
                <w:rFonts w:ascii="Calibri" w:hAnsi="Calibri" w:cs="Calibri"/>
              </w:rPr>
              <w:t xml:space="preserve">% by 2028 and continues at this level to 2050. </w:t>
            </w:r>
          </w:p>
        </w:tc>
      </w:tr>
      <w:tr w:rsidR="004D6A91" w:rsidRPr="00CF39C8" w14:paraId="018B2D6C" w14:textId="77777777" w:rsidTr="00236810">
        <w:trPr>
          <w:trHeight w:val="350"/>
        </w:trPr>
        <w:tc>
          <w:tcPr>
            <w:tcW w:w="352" w:type="pct"/>
          </w:tcPr>
          <w:p w14:paraId="65E4596D" w14:textId="77777777" w:rsidR="004D6A91" w:rsidRPr="00CF39C8" w:rsidRDefault="004D6A91" w:rsidP="004D6A91">
            <w:pPr>
              <w:spacing w:before="40" w:after="40"/>
              <w:ind w:left="-165"/>
              <w:rPr>
                <w:rFonts w:ascii="Calibri" w:hAnsi="Calibri" w:cs="Calibri"/>
              </w:rPr>
            </w:pPr>
            <w:r w:rsidRPr="00CF39C8">
              <w:rPr>
                <w:rFonts w:ascii="Calibri" w:hAnsi="Calibri" w:cs="Calibri"/>
              </w:rPr>
              <w:t>18</w:t>
            </w:r>
          </w:p>
        </w:tc>
        <w:tc>
          <w:tcPr>
            <w:tcW w:w="1127" w:type="pct"/>
            <w:shd w:val="clear" w:color="auto" w:fill="auto"/>
          </w:tcPr>
          <w:p w14:paraId="0447A064" w14:textId="77777777" w:rsidR="004D6A91" w:rsidRPr="00CF39C8" w:rsidRDefault="004D6A91" w:rsidP="004D6A91">
            <w:pPr>
              <w:spacing w:before="40" w:after="40"/>
              <w:rPr>
                <w:rFonts w:ascii="Calibri" w:hAnsi="Calibri" w:cs="Calibri"/>
              </w:rPr>
            </w:pPr>
            <w:r w:rsidRPr="00CF39C8">
              <w:rPr>
                <w:rFonts w:ascii="Calibri" w:hAnsi="Calibri" w:cs="Calibri"/>
              </w:rPr>
              <w:t>EV demand/uptake</w:t>
            </w:r>
          </w:p>
        </w:tc>
        <w:tc>
          <w:tcPr>
            <w:tcW w:w="1301" w:type="pct"/>
            <w:shd w:val="clear" w:color="auto" w:fill="auto"/>
          </w:tcPr>
          <w:p w14:paraId="4AE0BE1F" w14:textId="77777777" w:rsidR="004D6A91" w:rsidRPr="00CF39C8" w:rsidRDefault="00E216FE" w:rsidP="004D6A91">
            <w:pPr>
              <w:spacing w:before="40" w:after="40"/>
              <w:rPr>
                <w:rFonts w:ascii="Calibri" w:hAnsi="Calibri" w:cs="Calibri"/>
              </w:rPr>
            </w:pPr>
            <w:bookmarkStart w:id="606" w:name="_Hlk153875906"/>
            <w:r w:rsidRPr="00CF39C8">
              <w:t xml:space="preserve">The approach adopted is based on </w:t>
            </w:r>
            <w:r w:rsidR="004D6A91" w:rsidRPr="00CF39C8">
              <w:t xml:space="preserve">Bloomberg </w:t>
            </w:r>
            <w:r w:rsidRPr="00CF39C8">
              <w:t>2022 data (</w:t>
            </w:r>
            <w:r w:rsidRPr="00A4761A">
              <w:rPr>
                <w:rFonts w:cstheme="minorHAnsi"/>
                <w:bCs/>
              </w:rPr>
              <w:t>https://bnef.turtl.co/story/evo-2022/page/1</w:t>
            </w:r>
            <w:r w:rsidRPr="00CF39C8">
              <w:rPr>
                <w:rStyle w:val="Hyperlink"/>
                <w:rFonts w:cstheme="minorHAnsi"/>
                <w:bCs/>
              </w:rPr>
              <w:t xml:space="preserve">) </w:t>
            </w:r>
            <w:r w:rsidRPr="00CF39C8">
              <w:t xml:space="preserve"> and Department of Climate Change, Energy, the Environment and Water (DCCEEW) 2022 </w:t>
            </w:r>
            <w:r w:rsidR="004D6A91" w:rsidRPr="00CF39C8">
              <w:t>projections</w:t>
            </w:r>
            <w:bookmarkEnd w:id="606"/>
            <w:r w:rsidR="004D6A91" w:rsidRPr="00CF39C8">
              <w:t xml:space="preserve"> </w:t>
            </w:r>
            <w:r w:rsidRPr="00CF39C8">
              <w:t>(</w:t>
            </w:r>
            <w:r w:rsidRPr="00A4761A">
              <w:t>https://www.dcceew</w:t>
            </w:r>
            <w:r w:rsidR="00A4761A">
              <w:t>.</w:t>
            </w:r>
            <w:r w:rsidRPr="00A4761A">
              <w:t>gov.au/sites/default/files/documents/australias-emissions-projections-2022.pdf</w:t>
            </w:r>
            <w:r w:rsidRPr="00CF39C8">
              <w:t>) .</w:t>
            </w:r>
            <w:r w:rsidRPr="00CF39C8">
              <w:rPr>
                <w:rFonts w:ascii="Calibri" w:hAnsi="Calibri" w:cs="Calibri"/>
              </w:rPr>
              <w:t xml:space="preserve"> Bloomberg projections</w:t>
            </w:r>
            <w:r w:rsidR="004D6A91" w:rsidRPr="00CF39C8">
              <w:rPr>
                <w:rFonts w:ascii="Calibri" w:hAnsi="Calibri" w:cs="Calibri"/>
              </w:rPr>
              <w:t xml:space="preserve"> used a conservative option, more benefits could be expected if uptake exceeds these expectations (noting estimates to date have consistently underestimated uptake and the fast transition pace).</w:t>
            </w:r>
          </w:p>
        </w:tc>
        <w:tc>
          <w:tcPr>
            <w:tcW w:w="2220" w:type="pct"/>
            <w:shd w:val="clear" w:color="auto" w:fill="auto"/>
          </w:tcPr>
          <w:p w14:paraId="2AEA8208" w14:textId="77777777" w:rsidR="004D6A91" w:rsidRPr="00CF39C8" w:rsidRDefault="004D6A91" w:rsidP="004D6A91">
            <w:pPr>
              <w:spacing w:before="40" w:after="40"/>
              <w:rPr>
                <w:rFonts w:ascii="Calibri" w:hAnsi="Calibri" w:cs="Calibri"/>
              </w:rPr>
            </w:pPr>
            <w:r w:rsidRPr="00CF39C8">
              <w:rPr>
                <w:rFonts w:ascii="Calibri" w:hAnsi="Calibri" w:cs="Calibri"/>
              </w:rPr>
              <w:t>Demand for EVs will continue to grow with uptake projections developed to 2050.</w:t>
            </w:r>
          </w:p>
        </w:tc>
      </w:tr>
      <w:tr w:rsidR="004D6A91" w:rsidRPr="00CF39C8" w14:paraId="7923AAB8" w14:textId="77777777" w:rsidTr="00236810">
        <w:trPr>
          <w:trHeight w:val="350"/>
        </w:trPr>
        <w:tc>
          <w:tcPr>
            <w:tcW w:w="352" w:type="pct"/>
            <w:shd w:val="clear" w:color="auto" w:fill="auto"/>
          </w:tcPr>
          <w:p w14:paraId="535A4AC5" w14:textId="77777777" w:rsidR="004D6A91" w:rsidRPr="00CF39C8" w:rsidRDefault="004D6A91" w:rsidP="004D6A91">
            <w:pPr>
              <w:spacing w:before="40" w:after="40"/>
              <w:ind w:left="-165"/>
              <w:rPr>
                <w:rFonts w:ascii="Calibri" w:hAnsi="Calibri" w:cs="Calibri"/>
              </w:rPr>
            </w:pPr>
            <w:r w:rsidRPr="00CF39C8">
              <w:rPr>
                <w:rFonts w:ascii="Calibri" w:hAnsi="Calibri" w:cs="Calibri"/>
              </w:rPr>
              <w:t>19</w:t>
            </w:r>
          </w:p>
        </w:tc>
        <w:tc>
          <w:tcPr>
            <w:tcW w:w="1127" w:type="pct"/>
            <w:shd w:val="clear" w:color="auto" w:fill="auto"/>
          </w:tcPr>
          <w:p w14:paraId="49F34CCC" w14:textId="77777777" w:rsidR="004D6A91" w:rsidRPr="00CF39C8" w:rsidRDefault="004D6A91" w:rsidP="004D6A91">
            <w:pPr>
              <w:spacing w:before="40" w:after="40"/>
              <w:rPr>
                <w:rFonts w:ascii="Calibri" w:hAnsi="Calibri" w:cs="Calibri"/>
              </w:rPr>
            </w:pPr>
            <w:r w:rsidRPr="00CF39C8">
              <w:rPr>
                <w:rFonts w:ascii="Calibri" w:hAnsi="Calibri" w:cs="Calibri"/>
              </w:rPr>
              <w:t>EV price parity</w:t>
            </w:r>
          </w:p>
        </w:tc>
        <w:tc>
          <w:tcPr>
            <w:tcW w:w="1301" w:type="pct"/>
            <w:shd w:val="clear" w:color="auto" w:fill="auto"/>
          </w:tcPr>
          <w:p w14:paraId="15D5FC43" w14:textId="77777777" w:rsidR="004D6A91" w:rsidRPr="00CF39C8" w:rsidRDefault="004D6A91" w:rsidP="004D6A91">
            <w:pPr>
              <w:spacing w:before="40" w:after="40"/>
              <w:rPr>
                <w:rFonts w:ascii="Calibri" w:hAnsi="Calibri" w:cs="Calibri"/>
              </w:rPr>
            </w:pPr>
            <w:r w:rsidRPr="00CF39C8">
              <w:t>EVs currently cost between 20 to 50% more than the equivalent ICE model, however prices are reducing and moving towards price parity.</w:t>
            </w:r>
          </w:p>
        </w:tc>
        <w:tc>
          <w:tcPr>
            <w:tcW w:w="2220" w:type="pct"/>
            <w:shd w:val="clear" w:color="auto" w:fill="auto"/>
          </w:tcPr>
          <w:p w14:paraId="4D3B5B20" w14:textId="77777777" w:rsidR="004D6A91" w:rsidRPr="00CF39C8" w:rsidRDefault="004D6A91" w:rsidP="004D6A91">
            <w:pPr>
              <w:spacing w:before="40" w:after="40"/>
              <w:rPr>
                <w:rFonts w:ascii="Calibri" w:hAnsi="Calibri" w:cs="Calibri"/>
              </w:rPr>
            </w:pPr>
            <w:r w:rsidRPr="00CF39C8">
              <w:t>Linear progression towards price parity in 2030.</w:t>
            </w:r>
          </w:p>
        </w:tc>
      </w:tr>
      <w:tr w:rsidR="004D6A91" w:rsidRPr="00CF39C8" w14:paraId="57E57156" w14:textId="77777777" w:rsidTr="00236810">
        <w:trPr>
          <w:trHeight w:val="350"/>
        </w:trPr>
        <w:tc>
          <w:tcPr>
            <w:tcW w:w="352" w:type="pct"/>
          </w:tcPr>
          <w:p w14:paraId="68595BB6" w14:textId="77777777" w:rsidR="004D6A91" w:rsidRPr="00CF39C8" w:rsidRDefault="004D6A91" w:rsidP="004D6A91">
            <w:pPr>
              <w:spacing w:before="40" w:after="40"/>
              <w:ind w:left="-165"/>
              <w:rPr>
                <w:rFonts w:ascii="Calibri" w:hAnsi="Calibri" w:cs="Calibri"/>
              </w:rPr>
            </w:pPr>
            <w:r w:rsidRPr="00CF39C8">
              <w:rPr>
                <w:rFonts w:ascii="Calibri" w:hAnsi="Calibri" w:cs="Calibri"/>
              </w:rPr>
              <w:t>20</w:t>
            </w:r>
          </w:p>
        </w:tc>
        <w:tc>
          <w:tcPr>
            <w:tcW w:w="1127" w:type="pct"/>
            <w:shd w:val="clear" w:color="auto" w:fill="auto"/>
          </w:tcPr>
          <w:p w14:paraId="47205385" w14:textId="77777777" w:rsidR="004D6A91" w:rsidRPr="00CF39C8" w:rsidRDefault="004D6A91" w:rsidP="004D6A91">
            <w:pPr>
              <w:spacing w:before="40" w:after="40"/>
              <w:rPr>
                <w:rFonts w:ascii="Calibri" w:hAnsi="Calibri" w:cs="Calibri"/>
              </w:rPr>
            </w:pPr>
            <w:r w:rsidRPr="00CF39C8">
              <w:rPr>
                <w:rFonts w:ascii="Calibri" w:hAnsi="Calibri" w:cs="Calibri"/>
              </w:rPr>
              <w:t>EV model choice</w:t>
            </w:r>
          </w:p>
        </w:tc>
        <w:tc>
          <w:tcPr>
            <w:tcW w:w="1301" w:type="pct"/>
            <w:shd w:val="clear" w:color="auto" w:fill="auto"/>
          </w:tcPr>
          <w:p w14:paraId="3E30FF91" w14:textId="77777777" w:rsidR="004D6A91" w:rsidRPr="00CF39C8" w:rsidRDefault="004D6A91" w:rsidP="004D6A91">
            <w:pPr>
              <w:spacing w:before="40" w:after="40"/>
              <w:rPr>
                <w:rFonts w:ascii="Calibri" w:hAnsi="Calibri" w:cs="Calibri"/>
              </w:rPr>
            </w:pPr>
            <w:r w:rsidRPr="00CF39C8">
              <w:rPr>
                <w:rFonts w:ascii="Calibri" w:hAnsi="Calibri" w:cs="Calibri"/>
              </w:rPr>
              <w:t>ACIL Allen/GHG market analysis found increased consumer choices</w:t>
            </w:r>
          </w:p>
        </w:tc>
        <w:tc>
          <w:tcPr>
            <w:tcW w:w="2220" w:type="pct"/>
            <w:shd w:val="clear" w:color="auto" w:fill="auto"/>
          </w:tcPr>
          <w:p w14:paraId="78C926E1" w14:textId="77777777" w:rsidR="004D6A91" w:rsidRPr="00CF39C8" w:rsidRDefault="00E216FE" w:rsidP="004D6A91">
            <w:pPr>
              <w:spacing w:before="40" w:after="40"/>
              <w:rPr>
                <w:rFonts w:ascii="Calibri" w:hAnsi="Calibri" w:cs="Calibri"/>
              </w:rPr>
            </w:pPr>
            <w:r w:rsidRPr="00CF39C8">
              <w:rPr>
                <w:rFonts w:ascii="Calibri" w:hAnsi="Calibri" w:cs="Calibri"/>
              </w:rPr>
              <w:t>Based on VFACTS sales data (2012-2022), the number of EV model variations with positive sales in Australia has increased from 15 in 2012 to 598 in 2022. In August 2021, the EV Council reported (</w:t>
            </w:r>
            <w:r w:rsidRPr="00A4761A">
              <w:rPr>
                <w:rFonts w:ascii="Calibri" w:hAnsi="Calibri" w:cs="Calibri"/>
              </w:rPr>
              <w:t>https://electricvehiclecouncil.com.au/wp-content/uploads/2021/08/EVC-State-of-EVs-2021.pdf</w:t>
            </w:r>
            <w:r w:rsidRPr="00CF39C8">
              <w:rPr>
                <w:rFonts w:ascii="Calibri" w:hAnsi="Calibri" w:cs="Calibri"/>
              </w:rPr>
              <w:t>) that Australians had access to 31 passenger EV models, while in July 2023 (</w:t>
            </w:r>
            <w:r w:rsidRPr="00A4761A">
              <w:rPr>
                <w:rFonts w:ascii="Calibri" w:hAnsi="Calibri" w:cs="Calibri"/>
              </w:rPr>
              <w:t>https://electricvehiclecouncil.com.au/wp-content/uploads/2023/07/State-of-EVs_July-2023_.pdf</w:t>
            </w:r>
            <w:r w:rsidRPr="00CF39C8">
              <w:rPr>
                <w:rFonts w:ascii="Calibri" w:hAnsi="Calibri" w:cs="Calibri"/>
              </w:rPr>
              <w:t>) this number had increased to 74.</w:t>
            </w:r>
          </w:p>
        </w:tc>
      </w:tr>
      <w:tr w:rsidR="004D6A91" w:rsidRPr="00CF39C8" w14:paraId="402CF1B8" w14:textId="77777777" w:rsidTr="00236810">
        <w:trPr>
          <w:trHeight w:val="350"/>
        </w:trPr>
        <w:tc>
          <w:tcPr>
            <w:tcW w:w="352" w:type="pct"/>
            <w:shd w:val="clear" w:color="auto" w:fill="auto"/>
          </w:tcPr>
          <w:p w14:paraId="1839C3CA" w14:textId="77777777" w:rsidR="004D6A91" w:rsidRPr="00CF39C8" w:rsidRDefault="004D6A91" w:rsidP="004D6A91">
            <w:pPr>
              <w:spacing w:before="40" w:after="40"/>
              <w:ind w:left="-165"/>
              <w:rPr>
                <w:rFonts w:ascii="Calibri" w:hAnsi="Calibri" w:cs="Calibri"/>
              </w:rPr>
            </w:pPr>
            <w:r w:rsidRPr="00CF39C8">
              <w:rPr>
                <w:rFonts w:ascii="Calibri" w:hAnsi="Calibri" w:cs="Calibri"/>
              </w:rPr>
              <w:t>21</w:t>
            </w:r>
          </w:p>
        </w:tc>
        <w:tc>
          <w:tcPr>
            <w:tcW w:w="1127" w:type="pct"/>
            <w:shd w:val="clear" w:color="auto" w:fill="auto"/>
          </w:tcPr>
          <w:p w14:paraId="7B18E429" w14:textId="77777777" w:rsidR="004D6A91" w:rsidRPr="00CF39C8" w:rsidRDefault="004D6A91" w:rsidP="004D6A91">
            <w:pPr>
              <w:spacing w:before="40" w:after="40"/>
              <w:rPr>
                <w:rFonts w:ascii="Calibri" w:hAnsi="Calibri" w:cs="Calibri"/>
              </w:rPr>
            </w:pPr>
            <w:r w:rsidRPr="00CF39C8">
              <w:rPr>
                <w:rFonts w:ascii="Calibri" w:hAnsi="Calibri" w:cs="Calibri"/>
              </w:rPr>
              <w:t>Vehicle technology costs</w:t>
            </w:r>
          </w:p>
        </w:tc>
        <w:tc>
          <w:tcPr>
            <w:tcW w:w="1301" w:type="pct"/>
            <w:shd w:val="clear" w:color="auto" w:fill="auto"/>
          </w:tcPr>
          <w:p w14:paraId="04F5F98D" w14:textId="77777777" w:rsidR="004D6A91" w:rsidRPr="00CF39C8" w:rsidRDefault="00E216FE" w:rsidP="004D6A91">
            <w:pPr>
              <w:spacing w:before="40" w:after="40"/>
              <w:rPr>
                <w:rFonts w:ascii="Calibri" w:hAnsi="Calibri" w:cs="Calibri"/>
              </w:rPr>
            </w:pPr>
            <w:r w:rsidRPr="00CF39C8">
              <w:t>Suppliers will bring more efficient vehicles to the Australian market, resulting in additional costs compared to the BAU. Based on the current average new vehicle transaction price of $50,161 nationally in 2022, the price differential is in the order of $15,000 to $20,000. EV prices continue to reduce. CSIRO research suggests EV and ICE vehicle parity pricing will be achieved in 2030</w:t>
            </w:r>
            <w:r w:rsidR="00CF399A">
              <w:t>.</w:t>
            </w:r>
            <w:r w:rsidRPr="00CF39C8">
              <w:rPr>
                <w:rStyle w:val="FootnoteReference"/>
              </w:rPr>
              <w:footnoteReference w:id="29"/>
            </w:r>
          </w:p>
        </w:tc>
        <w:tc>
          <w:tcPr>
            <w:tcW w:w="2220" w:type="pct"/>
            <w:shd w:val="clear" w:color="auto" w:fill="auto"/>
          </w:tcPr>
          <w:p w14:paraId="6B73450D" w14:textId="77777777" w:rsidR="004D6A91" w:rsidRPr="00CF39C8" w:rsidRDefault="004D6A91" w:rsidP="004D6A91">
            <w:pPr>
              <w:spacing w:before="40" w:after="40"/>
              <w:rPr>
                <w:rFonts w:ascii="Calibri" w:hAnsi="Calibri" w:cs="Calibri"/>
              </w:rPr>
            </w:pPr>
            <w:r w:rsidRPr="00CF39C8">
              <w:t>The differential cost of deploying EV technology compared to ICE technology narrows from $16,000 in 2022 to parity by 2030 and remains equal thereafter. Suppliers can also deploy more efficient ICE vehicles into the Australian market at an additional cost of $1,625 per vehicle, using current mature technology available in other markets.</w:t>
            </w:r>
          </w:p>
        </w:tc>
      </w:tr>
      <w:tr w:rsidR="004D6A91" w:rsidRPr="00CF39C8" w14:paraId="2D76959D" w14:textId="77777777" w:rsidTr="00236810">
        <w:trPr>
          <w:trHeight w:val="350"/>
        </w:trPr>
        <w:tc>
          <w:tcPr>
            <w:tcW w:w="352" w:type="pct"/>
          </w:tcPr>
          <w:p w14:paraId="1741EC33" w14:textId="77777777" w:rsidR="004D6A91" w:rsidRPr="00CF39C8" w:rsidRDefault="004D6A91" w:rsidP="004D6A91">
            <w:pPr>
              <w:spacing w:before="40" w:after="40"/>
              <w:ind w:left="-165"/>
              <w:rPr>
                <w:rFonts w:ascii="Calibri" w:hAnsi="Calibri" w:cs="Calibri"/>
              </w:rPr>
            </w:pPr>
            <w:r w:rsidRPr="00CF39C8">
              <w:rPr>
                <w:rFonts w:ascii="Calibri" w:hAnsi="Calibri" w:cs="Calibri"/>
              </w:rPr>
              <w:t>22</w:t>
            </w:r>
          </w:p>
        </w:tc>
        <w:tc>
          <w:tcPr>
            <w:tcW w:w="1127" w:type="pct"/>
            <w:shd w:val="clear" w:color="auto" w:fill="auto"/>
          </w:tcPr>
          <w:p w14:paraId="570F1786" w14:textId="77777777" w:rsidR="004D6A91" w:rsidRPr="00CF39C8" w:rsidRDefault="004D6A91" w:rsidP="004D6A91">
            <w:pPr>
              <w:spacing w:before="40" w:after="40"/>
              <w:rPr>
                <w:rFonts w:ascii="Calibri" w:hAnsi="Calibri" w:cs="Calibri"/>
              </w:rPr>
            </w:pPr>
            <w:r w:rsidRPr="00CF39C8">
              <w:rPr>
                <w:rFonts w:ascii="Calibri" w:hAnsi="Calibri" w:cs="Calibri"/>
              </w:rPr>
              <w:t>2022 new vehicle fleet emissions intensity</w:t>
            </w:r>
          </w:p>
        </w:tc>
        <w:tc>
          <w:tcPr>
            <w:tcW w:w="1301" w:type="pct"/>
            <w:shd w:val="clear" w:color="auto" w:fill="auto"/>
          </w:tcPr>
          <w:p w14:paraId="790655F4" w14:textId="77777777" w:rsidR="004D6A91" w:rsidRPr="00CF39C8" w:rsidRDefault="004D6A91" w:rsidP="004D6A91">
            <w:pPr>
              <w:spacing w:before="40" w:after="40"/>
              <w:rPr>
                <w:rFonts w:ascii="Calibri" w:hAnsi="Calibri" w:cs="Calibri"/>
              </w:rPr>
            </w:pPr>
            <w:r w:rsidRPr="00CF39C8">
              <w:rPr>
                <w:rFonts w:ascii="Calibri" w:hAnsi="Calibri" w:cs="Calibri"/>
              </w:rPr>
              <w:t xml:space="preserve">Analysis based on BITRE supplied 2021 figure and VFACTS data sources </w:t>
            </w:r>
            <w:r w:rsidR="00E216FE" w:rsidRPr="00CF39C8">
              <w:rPr>
                <w:rFonts w:ascii="Calibri" w:hAnsi="Calibri" w:cs="Calibri"/>
              </w:rPr>
              <w:t>(2022 VFACTS sales data)</w:t>
            </w:r>
          </w:p>
        </w:tc>
        <w:tc>
          <w:tcPr>
            <w:tcW w:w="2220" w:type="pct"/>
            <w:shd w:val="clear" w:color="auto" w:fill="auto"/>
          </w:tcPr>
          <w:p w14:paraId="031C6F86" w14:textId="77777777" w:rsidR="004D6A91" w:rsidRPr="00CF39C8" w:rsidRDefault="004D6A91" w:rsidP="004D6A91">
            <w:pPr>
              <w:spacing w:before="40" w:after="40"/>
              <w:rPr>
                <w:rFonts w:ascii="Calibri" w:hAnsi="Calibri" w:cs="Calibri"/>
              </w:rPr>
            </w:pPr>
            <w:r w:rsidRPr="00CF39C8">
              <w:rPr>
                <w:rFonts w:ascii="Calibri" w:hAnsi="Calibri" w:cs="Calibri"/>
              </w:rPr>
              <w:t>The fleet emissions intensity for new vehicle sales in the projections/modelling is 179.1 gCO</w:t>
            </w:r>
            <w:r w:rsidRPr="00CF39C8">
              <w:rPr>
                <w:rFonts w:ascii="Calibri" w:hAnsi="Calibri" w:cs="Calibri"/>
                <w:vertAlign w:val="subscript"/>
              </w:rPr>
              <w:t>2</w:t>
            </w:r>
            <w:r w:rsidRPr="00CF39C8">
              <w:rPr>
                <w:rFonts w:ascii="Calibri" w:hAnsi="Calibri" w:cs="Calibri"/>
              </w:rPr>
              <w:t>/km (ADR 81/02, NEDC test) in 2022; equivalent to 248.9 gCO2/km real world:</w:t>
            </w:r>
          </w:p>
          <w:p w14:paraId="74EF2126" w14:textId="77777777" w:rsidR="004D6A91" w:rsidRPr="00CF39C8" w:rsidRDefault="004D6A91" w:rsidP="004D6A91">
            <w:pPr>
              <w:spacing w:before="40" w:after="40"/>
              <w:rPr>
                <w:rFonts w:ascii="Calibri" w:hAnsi="Calibri" w:cs="Calibri"/>
              </w:rPr>
            </w:pPr>
            <w:r w:rsidRPr="00CF39C8">
              <w:rPr>
                <w:rFonts w:ascii="Calibri" w:hAnsi="Calibri" w:cs="Calibri"/>
              </w:rPr>
              <w:t>– Passenger vehicles (MA+MC) 161.9 gCO2/km (ADR 81/02, NEDC test) (225.0 gCO2/km real world equivalent)</w:t>
            </w:r>
          </w:p>
          <w:p w14:paraId="14D794DD" w14:textId="77777777" w:rsidR="004D6A91" w:rsidRPr="00CF39C8" w:rsidRDefault="004D6A91" w:rsidP="004D6A91">
            <w:pPr>
              <w:spacing w:before="40" w:after="40"/>
              <w:rPr>
                <w:rFonts w:ascii="Calibri" w:hAnsi="Calibri" w:cs="Calibri"/>
              </w:rPr>
            </w:pPr>
            <w:r w:rsidRPr="00CF39C8">
              <w:rPr>
                <w:rFonts w:ascii="Calibri" w:hAnsi="Calibri" w:cs="Calibri"/>
              </w:rPr>
              <w:t>– LCVs (NA + part NB1) 230.3 gCO2/km ADR 81/02, NEDC test) (320.1 gCO2/km real world equivalent)</w:t>
            </w:r>
          </w:p>
        </w:tc>
      </w:tr>
      <w:tr w:rsidR="004D6A91" w:rsidRPr="00CF39C8" w14:paraId="357B7B4F" w14:textId="77777777" w:rsidTr="00236810">
        <w:trPr>
          <w:trHeight w:val="350"/>
        </w:trPr>
        <w:tc>
          <w:tcPr>
            <w:tcW w:w="352" w:type="pct"/>
          </w:tcPr>
          <w:p w14:paraId="39566BC5" w14:textId="77777777" w:rsidR="004D6A91" w:rsidRPr="00CF39C8" w:rsidRDefault="004D6A91" w:rsidP="004D6A91">
            <w:pPr>
              <w:spacing w:before="40" w:after="40"/>
              <w:ind w:left="-165"/>
              <w:rPr>
                <w:rFonts w:ascii="Calibri" w:hAnsi="Calibri" w:cs="Calibri"/>
              </w:rPr>
            </w:pPr>
            <w:r w:rsidRPr="00CF39C8">
              <w:rPr>
                <w:rFonts w:ascii="Calibri" w:hAnsi="Calibri" w:cs="Calibri"/>
              </w:rPr>
              <w:t>23</w:t>
            </w:r>
          </w:p>
        </w:tc>
        <w:tc>
          <w:tcPr>
            <w:tcW w:w="1127" w:type="pct"/>
            <w:shd w:val="clear" w:color="auto" w:fill="auto"/>
          </w:tcPr>
          <w:p w14:paraId="43714633" w14:textId="77777777" w:rsidR="004D6A91" w:rsidRPr="00CF39C8" w:rsidRDefault="004D6A91" w:rsidP="004D6A91">
            <w:pPr>
              <w:spacing w:before="40" w:after="40"/>
              <w:rPr>
                <w:rFonts w:ascii="Calibri" w:hAnsi="Calibri" w:cs="Calibri"/>
              </w:rPr>
            </w:pPr>
            <w:r w:rsidRPr="00CF39C8">
              <w:rPr>
                <w:rFonts w:ascii="Calibri" w:hAnsi="Calibri" w:cs="Calibri"/>
              </w:rPr>
              <w:t>Engine efficiency gains</w:t>
            </w:r>
          </w:p>
        </w:tc>
        <w:tc>
          <w:tcPr>
            <w:tcW w:w="1301" w:type="pct"/>
            <w:shd w:val="clear" w:color="auto" w:fill="auto"/>
          </w:tcPr>
          <w:p w14:paraId="6B9EE000" w14:textId="77777777" w:rsidR="00E216FE" w:rsidRPr="00CF39C8" w:rsidRDefault="004D6A91" w:rsidP="00E216FE">
            <w:pPr>
              <w:spacing w:before="40" w:after="40"/>
              <w:rPr>
                <w:rFonts w:eastAsiaTheme="minorEastAsia"/>
              </w:rPr>
            </w:pPr>
            <w:r w:rsidRPr="00CF39C8">
              <w:rPr>
                <w:rFonts w:ascii="Calibri" w:hAnsi="Calibri" w:cs="Calibri"/>
              </w:rPr>
              <w:t>Small gains projected. E</w:t>
            </w:r>
            <w:r w:rsidRPr="00CF39C8">
              <w:t xml:space="preserve">xtrapolation of baseline projection used in the Australian Government’s 2016 Draft Regulation Impact Statement for </w:t>
            </w:r>
            <w:r w:rsidRPr="00CF39C8">
              <w:rPr>
                <w:i/>
              </w:rPr>
              <w:t>Improving the efficiency of new light vehicles</w:t>
            </w:r>
            <w:r w:rsidR="00E216FE" w:rsidRPr="00CF39C8">
              <w:t>.</w:t>
            </w:r>
          </w:p>
          <w:p w14:paraId="49045929" w14:textId="77777777" w:rsidR="00E216FE" w:rsidRPr="00CF39C8" w:rsidRDefault="00E216FE" w:rsidP="00E216FE">
            <w:pPr>
              <w:spacing w:before="40" w:after="40"/>
            </w:pPr>
          </w:p>
          <w:p w14:paraId="46DD48CB" w14:textId="77777777" w:rsidR="00E216FE" w:rsidRPr="000D1295" w:rsidRDefault="00E216FE" w:rsidP="00E216FE">
            <w:pPr>
              <w:pStyle w:val="pf0"/>
              <w:spacing w:line="264" w:lineRule="auto"/>
              <w:rPr>
                <w:rFonts w:ascii="Arial" w:hAnsi="Arial" w:cs="Arial"/>
                <w:color w:val="auto"/>
                <w:sz w:val="20"/>
                <w:szCs w:val="20"/>
                <w:lang w:eastAsia="en-US"/>
              </w:rPr>
            </w:pPr>
            <w:r w:rsidRPr="000D1295">
              <w:rPr>
                <w:rStyle w:val="cf01"/>
                <w:color w:val="auto"/>
                <w:u w:val="single"/>
                <w:lang w:eastAsia="en-US"/>
              </w:rPr>
              <w:t>https://www.infrastructure.gov.au/sites/default/files/migrated/vehicles/environment/forum/files/Vehicle_Fuel_Efficiency_RIS.pdf</w:t>
            </w:r>
          </w:p>
          <w:p w14:paraId="323E77DA" w14:textId="77777777" w:rsidR="00E216FE" w:rsidRPr="00CF39C8" w:rsidRDefault="00E216FE" w:rsidP="00E216FE">
            <w:pPr>
              <w:pStyle w:val="pf0"/>
              <w:spacing w:line="264" w:lineRule="auto"/>
              <w:rPr>
                <w:rFonts w:ascii="Arial" w:hAnsi="Arial" w:cs="Arial"/>
                <w:sz w:val="20"/>
                <w:szCs w:val="20"/>
                <w:lang w:eastAsia="en-US"/>
              </w:rPr>
            </w:pPr>
            <w:r w:rsidRPr="00CF39C8">
              <w:rPr>
                <w:rStyle w:val="cf01"/>
                <w:lang w:eastAsia="en-US"/>
              </w:rPr>
              <w:t>Page 32, Figure 7</w:t>
            </w:r>
          </w:p>
          <w:p w14:paraId="2188B373" w14:textId="77777777" w:rsidR="004D6A91" w:rsidRPr="00CF39C8" w:rsidRDefault="00E216FE" w:rsidP="004D6A91">
            <w:pPr>
              <w:spacing w:before="40" w:after="40"/>
              <w:rPr>
                <w:rFonts w:ascii="Calibri" w:hAnsi="Calibri" w:cs="Calibri"/>
              </w:rPr>
            </w:pPr>
            <w:r w:rsidRPr="00CF39C8">
              <w:rPr>
                <w:rFonts w:ascii="Calibri" w:hAnsi="Calibri" w:cs="Calibri"/>
              </w:rPr>
              <w:t>Accessed in July 2023</w:t>
            </w:r>
            <w:r w:rsidR="004D6A91" w:rsidRPr="00CF39C8">
              <w:rPr>
                <w:rFonts w:ascii="Calibri" w:hAnsi="Calibri" w:cs="Times New Roman"/>
              </w:rPr>
              <w:t>.</w:t>
            </w:r>
          </w:p>
        </w:tc>
        <w:tc>
          <w:tcPr>
            <w:tcW w:w="2220" w:type="pct"/>
            <w:shd w:val="clear" w:color="auto" w:fill="auto"/>
          </w:tcPr>
          <w:p w14:paraId="145900AC" w14:textId="77777777" w:rsidR="004D6A91" w:rsidRPr="00CF39C8" w:rsidRDefault="00E216FE" w:rsidP="004D6A91">
            <w:pPr>
              <w:spacing w:before="40" w:after="40"/>
              <w:rPr>
                <w:rFonts w:ascii="Calibri" w:hAnsi="Calibri" w:cs="Calibri"/>
                <w:color w:val="FF0000"/>
              </w:rPr>
            </w:pPr>
            <w:r w:rsidRPr="00CF39C8">
              <w:rPr>
                <w:rFonts w:ascii="Calibri" w:hAnsi="Calibri" w:cs="Calibri"/>
              </w:rPr>
              <w:t>Passenger vehicle and LCV efficiency gains decrease over time. For passenger vehicles, gains are approximately 2 gCO</w:t>
            </w:r>
            <w:r w:rsidRPr="00CF39C8">
              <w:rPr>
                <w:rFonts w:ascii="Calibri" w:hAnsi="Calibri" w:cs="Calibri"/>
                <w:vertAlign w:val="subscript"/>
              </w:rPr>
              <w:t>2</w:t>
            </w:r>
            <w:r w:rsidRPr="00CF39C8">
              <w:rPr>
                <w:rFonts w:ascii="Calibri" w:hAnsi="Calibri" w:cs="Calibri"/>
              </w:rPr>
              <w:t>/km year-on-year in 2025, falling to reductions of 0.8 gCO</w:t>
            </w:r>
            <w:r w:rsidRPr="00CF39C8">
              <w:rPr>
                <w:rFonts w:ascii="Calibri" w:hAnsi="Calibri" w:cs="Calibri"/>
                <w:vertAlign w:val="subscript"/>
              </w:rPr>
              <w:t>2</w:t>
            </w:r>
            <w:r w:rsidRPr="00CF39C8">
              <w:rPr>
                <w:rFonts w:ascii="Calibri" w:hAnsi="Calibri" w:cs="Calibri"/>
              </w:rPr>
              <w:t>/km year-on-year by 2035 (where it remains constant to 2050). For LCV, reductions are 3</w:t>
            </w:r>
            <w:r w:rsidR="00CB5FD0" w:rsidRPr="00CF39C8">
              <w:rPr>
                <w:rFonts w:ascii="Calibri" w:hAnsi="Calibri" w:cs="Calibri"/>
              </w:rPr>
              <w:t> </w:t>
            </w:r>
            <w:r w:rsidRPr="00CF39C8">
              <w:rPr>
                <w:rFonts w:ascii="Calibri" w:hAnsi="Calibri" w:cs="Calibri"/>
              </w:rPr>
              <w:t>gCO</w:t>
            </w:r>
            <w:r w:rsidRPr="00CF39C8">
              <w:rPr>
                <w:rFonts w:ascii="Calibri" w:hAnsi="Calibri" w:cs="Calibri"/>
                <w:vertAlign w:val="subscript"/>
              </w:rPr>
              <w:t>2</w:t>
            </w:r>
            <w:r w:rsidRPr="00CF39C8">
              <w:rPr>
                <w:rFonts w:ascii="Calibri" w:hAnsi="Calibri" w:cs="Calibri"/>
              </w:rPr>
              <w:t>/km year-on-year in 2025, falling to reductions of 1.6 gCO</w:t>
            </w:r>
            <w:r w:rsidRPr="00CF39C8">
              <w:rPr>
                <w:rFonts w:ascii="Calibri" w:hAnsi="Calibri" w:cs="Calibri"/>
                <w:vertAlign w:val="subscript"/>
              </w:rPr>
              <w:t>2</w:t>
            </w:r>
            <w:r w:rsidRPr="00CF39C8">
              <w:rPr>
                <w:rFonts w:ascii="Calibri" w:hAnsi="Calibri" w:cs="Calibri"/>
              </w:rPr>
              <w:t>/km year-on-year by 2035 (where it remains constant to 2050).</w:t>
            </w:r>
          </w:p>
        </w:tc>
      </w:tr>
      <w:tr w:rsidR="004D6A91" w:rsidRPr="00CF39C8" w14:paraId="00A13A11" w14:textId="77777777" w:rsidTr="00236810">
        <w:trPr>
          <w:trHeight w:val="350"/>
        </w:trPr>
        <w:tc>
          <w:tcPr>
            <w:tcW w:w="352" w:type="pct"/>
            <w:shd w:val="clear" w:color="auto" w:fill="auto"/>
          </w:tcPr>
          <w:p w14:paraId="5D3661B6" w14:textId="77777777" w:rsidR="004D6A91" w:rsidRPr="00CF39C8" w:rsidRDefault="004D6A91" w:rsidP="004D6A91">
            <w:pPr>
              <w:spacing w:before="40" w:after="40"/>
              <w:ind w:left="-165"/>
              <w:rPr>
                <w:rFonts w:ascii="Calibri" w:hAnsi="Calibri" w:cs="Calibri"/>
              </w:rPr>
            </w:pPr>
            <w:r w:rsidRPr="00CF39C8">
              <w:rPr>
                <w:rFonts w:ascii="Calibri" w:hAnsi="Calibri" w:cs="Calibri"/>
              </w:rPr>
              <w:t>24</w:t>
            </w:r>
          </w:p>
        </w:tc>
        <w:tc>
          <w:tcPr>
            <w:tcW w:w="1127" w:type="pct"/>
            <w:shd w:val="clear" w:color="auto" w:fill="auto"/>
          </w:tcPr>
          <w:p w14:paraId="0A4F5F0F" w14:textId="77777777" w:rsidR="004D6A91" w:rsidRPr="00CF39C8" w:rsidRDefault="004D6A91" w:rsidP="004D6A91">
            <w:pPr>
              <w:spacing w:before="40" w:after="40"/>
              <w:rPr>
                <w:rFonts w:ascii="Calibri" w:hAnsi="Calibri" w:cs="Calibri"/>
              </w:rPr>
            </w:pPr>
            <w:r w:rsidRPr="00CF39C8">
              <w:rPr>
                <w:rFonts w:ascii="Calibri" w:hAnsi="Calibri" w:cs="Calibri"/>
              </w:rPr>
              <w:t>Government costs</w:t>
            </w:r>
          </w:p>
        </w:tc>
        <w:tc>
          <w:tcPr>
            <w:tcW w:w="1301" w:type="pct"/>
            <w:shd w:val="clear" w:color="auto" w:fill="auto"/>
          </w:tcPr>
          <w:p w14:paraId="21FE710F" w14:textId="77777777" w:rsidR="004D6A91" w:rsidRPr="00CF39C8" w:rsidRDefault="004D6A91" w:rsidP="004D6A91">
            <w:pPr>
              <w:spacing w:before="40" w:after="40"/>
              <w:rPr>
                <w:rFonts w:ascii="Calibri" w:hAnsi="Calibri" w:cs="Calibri"/>
              </w:rPr>
            </w:pPr>
            <w:r w:rsidRPr="00CF39C8">
              <w:t xml:space="preserve">Establishing, monitoring and enforcing the </w:t>
            </w:r>
            <w:r w:rsidR="006D4EF3" w:rsidRPr="00CF39C8">
              <w:rPr>
                <w:rFonts w:asciiTheme="majorHAnsi" w:hAnsiTheme="majorHAnsi" w:cstheme="majorHAnsi"/>
              </w:rPr>
              <w:t>NVES</w:t>
            </w:r>
            <w:r w:rsidRPr="00CF39C8">
              <w:t xml:space="preserve">, including its ongoing administration incur costs. Assumes </w:t>
            </w:r>
            <w:r w:rsidR="006D4EF3" w:rsidRPr="00CF39C8">
              <w:rPr>
                <w:rFonts w:asciiTheme="majorHAnsi" w:hAnsiTheme="majorHAnsi" w:cstheme="majorHAnsi"/>
              </w:rPr>
              <w:t>NVES</w:t>
            </w:r>
            <w:r w:rsidRPr="00CF39C8">
              <w:t xml:space="preserve"> regulatory office will be established within the </w:t>
            </w:r>
            <w:r w:rsidR="00E216FE" w:rsidRPr="00CF39C8">
              <w:t>Department</w:t>
            </w:r>
            <w:r w:rsidRPr="00CF39C8">
              <w:t xml:space="preserve"> with full-time administrative staffing. Costs will be front end </w:t>
            </w:r>
            <w:r w:rsidRPr="00181F0F">
              <w:t>loaded</w:t>
            </w:r>
            <w:r w:rsidR="00C8398B" w:rsidRPr="00181F0F">
              <w:t xml:space="preserve"> in order to support the establishment of the regulator and associated IT build</w:t>
            </w:r>
            <w:r w:rsidRPr="00181F0F">
              <w:t>.</w:t>
            </w:r>
          </w:p>
        </w:tc>
        <w:tc>
          <w:tcPr>
            <w:tcW w:w="2220" w:type="pct"/>
            <w:shd w:val="clear" w:color="auto" w:fill="auto"/>
          </w:tcPr>
          <w:p w14:paraId="3943FF2D" w14:textId="77777777" w:rsidR="004D6A91" w:rsidRPr="00CF39C8" w:rsidRDefault="00775093" w:rsidP="004D6A91">
            <w:pPr>
              <w:spacing w:before="40" w:after="40"/>
              <w:rPr>
                <w:rFonts w:ascii="Calibri" w:hAnsi="Calibri" w:cs="Calibri"/>
              </w:rPr>
            </w:pPr>
            <w:r w:rsidRPr="00CF39C8">
              <w:t xml:space="preserve">Varies, depending on complexity of option. Generally, </w:t>
            </w:r>
            <w:r w:rsidR="00DC48C3">
              <w:t>Option A</w:t>
            </w:r>
            <w:r w:rsidRPr="00CF39C8">
              <w:t xml:space="preserve"> </w:t>
            </w:r>
            <w:r w:rsidR="00726CA1" w:rsidRPr="00CF39C8">
              <w:t>was</w:t>
            </w:r>
            <w:r w:rsidRPr="00CF39C8">
              <w:t xml:space="preserve"> more complex to </w:t>
            </w:r>
            <w:r w:rsidRPr="00181F0F">
              <w:t xml:space="preserve">administer than </w:t>
            </w:r>
            <w:r w:rsidR="008A532D">
              <w:t>o</w:t>
            </w:r>
            <w:r w:rsidRPr="00181F0F">
              <w:t>ptions B and C</w:t>
            </w:r>
            <w:r w:rsidR="008F4E4A" w:rsidRPr="00181F0F">
              <w:t>.</w:t>
            </w:r>
            <w:r w:rsidR="008A4049" w:rsidRPr="00181F0F">
              <w:t xml:space="preserve">  The </w:t>
            </w:r>
            <w:r w:rsidR="00AE4BF3" w:rsidRPr="00181F0F">
              <w:t>best option</w:t>
            </w:r>
            <w:r w:rsidR="008A4049" w:rsidRPr="00181F0F">
              <w:t xml:space="preserve"> has approximately the same Government costs as </w:t>
            </w:r>
            <w:r w:rsidR="00C12BE2">
              <w:t>Option B</w:t>
            </w:r>
            <w:r w:rsidR="008A4049" w:rsidRPr="00181F0F">
              <w:t>.</w:t>
            </w:r>
            <w:r w:rsidR="00A4761A" w:rsidRPr="00181F0F">
              <w:t xml:space="preserve"> </w:t>
            </w:r>
          </w:p>
        </w:tc>
      </w:tr>
      <w:tr w:rsidR="004D6A91" w:rsidRPr="00CF39C8" w14:paraId="5A8A506B" w14:textId="77777777" w:rsidTr="00236810">
        <w:trPr>
          <w:trHeight w:val="350"/>
        </w:trPr>
        <w:tc>
          <w:tcPr>
            <w:tcW w:w="352" w:type="pct"/>
            <w:shd w:val="clear" w:color="auto" w:fill="auto"/>
          </w:tcPr>
          <w:p w14:paraId="443D540D" w14:textId="77777777" w:rsidR="004D6A91" w:rsidRPr="00CF39C8" w:rsidRDefault="004D6A91" w:rsidP="004D6A91">
            <w:pPr>
              <w:spacing w:before="40" w:after="40"/>
              <w:ind w:left="-165"/>
              <w:rPr>
                <w:rFonts w:ascii="Calibri" w:hAnsi="Calibri" w:cs="Calibri"/>
              </w:rPr>
            </w:pPr>
            <w:r w:rsidRPr="00CF39C8">
              <w:rPr>
                <w:rFonts w:ascii="Calibri" w:hAnsi="Calibri" w:cs="Calibri"/>
              </w:rPr>
              <w:t>25</w:t>
            </w:r>
          </w:p>
        </w:tc>
        <w:tc>
          <w:tcPr>
            <w:tcW w:w="1127" w:type="pct"/>
            <w:shd w:val="clear" w:color="auto" w:fill="auto"/>
          </w:tcPr>
          <w:p w14:paraId="7FCE4133" w14:textId="77777777" w:rsidR="004D6A91" w:rsidRPr="00CF39C8" w:rsidRDefault="004D6A91" w:rsidP="004D6A91">
            <w:pPr>
              <w:spacing w:before="40" w:after="40"/>
              <w:rPr>
                <w:rFonts w:ascii="Calibri" w:hAnsi="Calibri" w:cs="Calibri"/>
              </w:rPr>
            </w:pPr>
            <w:r w:rsidRPr="00CF39C8">
              <w:rPr>
                <w:rFonts w:ascii="Calibri" w:hAnsi="Calibri" w:cs="Calibri"/>
              </w:rPr>
              <w:t>Compliance costs</w:t>
            </w:r>
          </w:p>
        </w:tc>
        <w:tc>
          <w:tcPr>
            <w:tcW w:w="1301" w:type="pct"/>
            <w:shd w:val="clear" w:color="auto" w:fill="auto"/>
          </w:tcPr>
          <w:p w14:paraId="26A83BF6" w14:textId="77777777" w:rsidR="004D6A91" w:rsidRPr="00CF39C8" w:rsidRDefault="004D6A91" w:rsidP="004D6A91">
            <w:pPr>
              <w:spacing w:before="40" w:after="40"/>
              <w:rPr>
                <w:rFonts w:ascii="Calibri" w:hAnsi="Calibri" w:cs="Calibri"/>
              </w:rPr>
            </w:pPr>
            <w:r w:rsidRPr="00CF39C8">
              <w:t>OEMs already have some reporting capabilities in place. Additional costs are assumed for suppliers to monitor their fleet’s average emissions intensity to determine and report compliance with the policy. Cost estimates only capture additional reporting effort required over BAU. The cost for each supplier will differ and is proportional to the number of vehicles each sells.</w:t>
            </w:r>
          </w:p>
        </w:tc>
        <w:tc>
          <w:tcPr>
            <w:tcW w:w="2220" w:type="pct"/>
            <w:shd w:val="clear" w:color="auto" w:fill="auto"/>
          </w:tcPr>
          <w:p w14:paraId="1F111EB7" w14:textId="77777777" w:rsidR="004D6A91" w:rsidRPr="00CF39C8" w:rsidRDefault="004D6A91" w:rsidP="004D6A91">
            <w:pPr>
              <w:spacing w:before="40" w:after="40"/>
              <w:rPr>
                <w:rFonts w:eastAsiaTheme="minorEastAsia"/>
              </w:rPr>
            </w:pPr>
            <w:r w:rsidRPr="00CF39C8">
              <w:t>- Large brands (more than 5,000 new vehicles sold annually, based on 2022 data; 26 brands identified in S&amp;P data) the cost per OEM is $400,000 per year from 2025.</w:t>
            </w:r>
          </w:p>
          <w:p w14:paraId="6ED41DDB" w14:textId="77777777" w:rsidR="004D6A91" w:rsidRPr="00CF39C8" w:rsidRDefault="004D6A91" w:rsidP="004D6A91">
            <w:pPr>
              <w:spacing w:before="40" w:after="40"/>
              <w:rPr>
                <w:rFonts w:ascii="Calibri" w:hAnsi="Calibri" w:cs="Calibri"/>
              </w:rPr>
            </w:pPr>
            <w:r w:rsidRPr="00CF39C8">
              <w:t>- Small brands (equal or less than 5,000 new vehicles sold annually, based on 2022 data; 27 brands identified in S&amp;P data) the cost per OEM is $150,000 per year from 2025.</w:t>
            </w:r>
          </w:p>
        </w:tc>
      </w:tr>
      <w:tr w:rsidR="004D6A91" w:rsidRPr="00CF39C8" w14:paraId="7D23F5CF" w14:textId="77777777" w:rsidTr="00236810">
        <w:trPr>
          <w:trHeight w:val="350"/>
        </w:trPr>
        <w:tc>
          <w:tcPr>
            <w:tcW w:w="352" w:type="pct"/>
            <w:shd w:val="clear" w:color="auto" w:fill="auto"/>
          </w:tcPr>
          <w:p w14:paraId="073C0E70"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26</w:t>
            </w:r>
          </w:p>
        </w:tc>
        <w:tc>
          <w:tcPr>
            <w:tcW w:w="1127" w:type="pct"/>
            <w:shd w:val="clear" w:color="auto" w:fill="auto"/>
          </w:tcPr>
          <w:p w14:paraId="260291F1"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color w:val="000100"/>
              </w:rPr>
              <w:t>Light vehicle fleet categorisation</w:t>
            </w:r>
          </w:p>
        </w:tc>
        <w:tc>
          <w:tcPr>
            <w:tcW w:w="1301" w:type="pct"/>
            <w:shd w:val="clear" w:color="auto" w:fill="auto"/>
          </w:tcPr>
          <w:p w14:paraId="4BA5875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Third Edition Australian Design Rules (ADRs). </w:t>
            </w:r>
            <w:r w:rsidR="00E216FE" w:rsidRPr="00CF39C8">
              <w:rPr>
                <w:rFonts w:ascii="Calibri" w:hAnsi="Calibri" w:cs="Calibri"/>
              </w:rPr>
              <w:t xml:space="preserve">See page 17. </w:t>
            </w:r>
          </w:p>
        </w:tc>
        <w:tc>
          <w:tcPr>
            <w:tcW w:w="2220" w:type="pct"/>
            <w:shd w:val="clear" w:color="auto" w:fill="auto"/>
          </w:tcPr>
          <w:p w14:paraId="2845142E" w14:textId="77777777" w:rsidR="004D6A91" w:rsidRPr="00CF39C8" w:rsidRDefault="004D6A91" w:rsidP="004D6A91">
            <w:pPr>
              <w:spacing w:before="40" w:after="40"/>
              <w:rPr>
                <w:rFonts w:ascii="Calibri" w:hAnsi="Calibri" w:cs="Calibri"/>
              </w:rPr>
            </w:pPr>
            <w:r w:rsidRPr="00CF39C8">
              <w:rPr>
                <w:rFonts w:ascii="Calibri" w:hAnsi="Calibri" w:cs="Calibri"/>
                <w:color w:val="000100"/>
              </w:rPr>
              <w:t xml:space="preserve">Passenger vehicles (PVs) include </w:t>
            </w:r>
            <w:r w:rsidRPr="00CF39C8">
              <w:rPr>
                <w:rFonts w:ascii="Calibri" w:hAnsi="Calibri" w:cs="Calibri"/>
              </w:rPr>
              <w:t>MA vehicle classes; and</w:t>
            </w:r>
            <w:r w:rsidRPr="00CF39C8">
              <w:rPr>
                <w:rFonts w:ascii="Calibri" w:hAnsi="Calibri" w:cs="Calibri"/>
                <w:color w:val="000100"/>
              </w:rPr>
              <w:t xml:space="preserve"> Light commercial vehicles (LCVs)</w:t>
            </w:r>
            <w:r w:rsidRPr="00CF39C8">
              <w:rPr>
                <w:rFonts w:ascii="Calibri" w:hAnsi="Calibri" w:cs="Calibri"/>
              </w:rPr>
              <w:t xml:space="preserve"> include MC, NA, NB1 vehicle classes</w:t>
            </w:r>
            <w:r w:rsidR="00F60006" w:rsidRPr="00CF39C8">
              <w:rPr>
                <w:rFonts w:ascii="Calibri" w:hAnsi="Calibri" w:cs="Calibri"/>
              </w:rPr>
              <w:t xml:space="preserve"> (subject to the </w:t>
            </w:r>
            <w:r w:rsidR="00C12BE2">
              <w:rPr>
                <w:rFonts w:ascii="Calibri" w:hAnsi="Calibri" w:cs="Calibri"/>
              </w:rPr>
              <w:t>option b</w:t>
            </w:r>
            <w:r w:rsidR="00F60006" w:rsidRPr="00CF39C8">
              <w:rPr>
                <w:rFonts w:ascii="Calibri" w:hAnsi="Calibri" w:cs="Calibri"/>
              </w:rPr>
              <w:t>eing considered)</w:t>
            </w:r>
          </w:p>
        </w:tc>
      </w:tr>
      <w:tr w:rsidR="004D6A91" w:rsidRPr="00CF39C8" w14:paraId="1E7F6F86" w14:textId="77777777" w:rsidTr="00236810">
        <w:trPr>
          <w:trHeight w:val="350"/>
        </w:trPr>
        <w:tc>
          <w:tcPr>
            <w:tcW w:w="352" w:type="pct"/>
          </w:tcPr>
          <w:p w14:paraId="679A02E1"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27</w:t>
            </w:r>
          </w:p>
        </w:tc>
        <w:tc>
          <w:tcPr>
            <w:tcW w:w="1127" w:type="pct"/>
            <w:shd w:val="clear" w:color="auto" w:fill="auto"/>
          </w:tcPr>
          <w:p w14:paraId="1A6D552C"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color w:val="000100"/>
              </w:rPr>
              <w:t>Fuel quality standards and Euro 6d</w:t>
            </w:r>
          </w:p>
        </w:tc>
        <w:tc>
          <w:tcPr>
            <w:tcW w:w="1301" w:type="pct"/>
            <w:shd w:val="clear" w:color="auto" w:fill="auto"/>
          </w:tcPr>
          <w:p w14:paraId="6F692DE2" w14:textId="77777777" w:rsidR="004D6A91" w:rsidRPr="00CF39C8" w:rsidRDefault="0015781C" w:rsidP="004D6A91">
            <w:pPr>
              <w:spacing w:before="40" w:after="40"/>
              <w:rPr>
                <w:rFonts w:ascii="Calibri" w:hAnsi="Calibri" w:cs="Calibri"/>
                <w:color w:val="FF0000"/>
              </w:rPr>
            </w:pPr>
            <w:r w:rsidRPr="00CF39C8">
              <w:rPr>
                <w:rFonts w:ascii="Calibri" w:hAnsi="Calibri" w:cs="Calibri"/>
              </w:rPr>
              <w:t>Euro 6 RIS.</w:t>
            </w:r>
            <w:r w:rsidR="00E216FE" w:rsidRPr="00CF39C8">
              <w:rPr>
                <w:rFonts w:ascii="Calibri" w:hAnsi="Calibri" w:cs="Calibri"/>
              </w:rPr>
              <w:t xml:space="preserve"> Any assumed emissions changes based on improvements in fuel quality are a result of assumptions in DCCEEW RIS.</w:t>
            </w:r>
          </w:p>
        </w:tc>
        <w:tc>
          <w:tcPr>
            <w:tcW w:w="2220" w:type="pct"/>
            <w:shd w:val="clear" w:color="auto" w:fill="auto"/>
          </w:tcPr>
          <w:p w14:paraId="31121A15"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of fuel efficiency gains with adoption of fuel quality standards and Euro 6d.</w:t>
            </w:r>
          </w:p>
        </w:tc>
      </w:tr>
      <w:tr w:rsidR="004D6A91" w:rsidRPr="00CF39C8" w14:paraId="2539EA06" w14:textId="77777777" w:rsidTr="00236810">
        <w:trPr>
          <w:cnfStyle w:val="010000000000" w:firstRow="0" w:lastRow="1" w:firstColumn="0" w:lastColumn="0" w:oddVBand="0" w:evenVBand="0" w:oddHBand="0" w:evenHBand="0" w:firstRowFirstColumn="0" w:firstRowLastColumn="0" w:lastRowFirstColumn="0" w:lastRowLastColumn="0"/>
          <w:trHeight w:val="350"/>
        </w:trPr>
        <w:tc>
          <w:tcPr>
            <w:tcW w:w="352" w:type="pct"/>
            <w:shd w:val="clear" w:color="auto" w:fill="FFFFFF" w:themeFill="background1"/>
          </w:tcPr>
          <w:p w14:paraId="19E61DA1"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28</w:t>
            </w:r>
          </w:p>
        </w:tc>
        <w:tc>
          <w:tcPr>
            <w:tcW w:w="1127" w:type="pct"/>
            <w:shd w:val="clear" w:color="auto" w:fill="auto"/>
          </w:tcPr>
          <w:p w14:paraId="2C0B7AF0" w14:textId="77777777" w:rsidR="004D6A91" w:rsidRPr="00CF39C8" w:rsidRDefault="004D6A91" w:rsidP="00E216FE">
            <w:pPr>
              <w:spacing w:after="0" w:line="240" w:lineRule="atLeast"/>
              <w:ind w:right="119"/>
              <w:rPr>
                <w:rFonts w:ascii="Calibri" w:hAnsi="Calibri" w:cs="Calibri"/>
              </w:rPr>
            </w:pPr>
            <w:r w:rsidRPr="00CF39C8">
              <w:rPr>
                <w:rFonts w:ascii="Calibri" w:hAnsi="Calibri" w:cs="Calibri"/>
              </w:rPr>
              <w:t>Testing requirements</w:t>
            </w:r>
          </w:p>
          <w:p w14:paraId="4F780DAC"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rPr>
              <w:t xml:space="preserve"> </w:t>
            </w:r>
          </w:p>
        </w:tc>
        <w:tc>
          <w:tcPr>
            <w:tcW w:w="1301" w:type="pct"/>
            <w:shd w:val="clear" w:color="auto" w:fill="auto"/>
          </w:tcPr>
          <w:p w14:paraId="4BB15A13"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rPr>
              <w:t xml:space="preserve">Analysis based on </w:t>
            </w:r>
            <w:r w:rsidR="007B3B1C">
              <w:rPr>
                <w:rFonts w:ascii="Calibri" w:hAnsi="Calibri" w:cs="Calibri"/>
              </w:rPr>
              <w:t xml:space="preserve">announced </w:t>
            </w:r>
            <w:r w:rsidRPr="00CF39C8">
              <w:rPr>
                <w:rFonts w:ascii="Calibri" w:hAnsi="Calibri" w:cs="Calibri"/>
              </w:rPr>
              <w:t xml:space="preserve">changes to fuel quality </w:t>
            </w:r>
            <w:r w:rsidR="007B3B1C">
              <w:rPr>
                <w:rFonts w:ascii="Calibri" w:hAnsi="Calibri" w:cs="Calibri"/>
              </w:rPr>
              <w:t xml:space="preserve">and (Euro 6d) noxious emission </w:t>
            </w:r>
            <w:r w:rsidRPr="00CF39C8">
              <w:rPr>
                <w:rFonts w:ascii="Calibri" w:hAnsi="Calibri" w:cs="Calibri"/>
              </w:rPr>
              <w:t>standards.</w:t>
            </w:r>
            <w:r w:rsidR="00A4761A">
              <w:rPr>
                <w:rFonts w:ascii="Calibri" w:hAnsi="Calibri" w:cs="Calibri"/>
              </w:rPr>
              <w:t xml:space="preserve"> </w:t>
            </w:r>
            <w:r w:rsidRPr="00CF39C8">
              <w:rPr>
                <w:rFonts w:ascii="Calibri" w:hAnsi="Calibri" w:cs="Calibri"/>
              </w:rPr>
              <w:t>Conversion (by vehicle class) between NEDC and WLTP in interim based on EU factors</w:t>
            </w:r>
            <w:r w:rsidRPr="00CF39C8">
              <w:rPr>
                <w:rStyle w:val="EndnoteReference"/>
                <w:rFonts w:ascii="Calibri" w:hAnsi="Calibri" w:cs="Calibri"/>
              </w:rPr>
              <w:endnoteReference w:id="62"/>
            </w:r>
            <w:r w:rsidRPr="00CF39C8">
              <w:rPr>
                <w:rFonts w:ascii="Calibri" w:hAnsi="Calibri" w:cs="Calibri"/>
              </w:rPr>
              <w:t>.</w:t>
            </w:r>
          </w:p>
        </w:tc>
        <w:tc>
          <w:tcPr>
            <w:tcW w:w="2220" w:type="pct"/>
            <w:shd w:val="clear" w:color="auto" w:fill="auto"/>
          </w:tcPr>
          <w:p w14:paraId="6DD95587" w14:textId="77777777" w:rsidR="004D6A91" w:rsidRPr="00CF39C8" w:rsidRDefault="004D6A91" w:rsidP="00E216FE">
            <w:pPr>
              <w:spacing w:after="0" w:line="240" w:lineRule="atLeast"/>
              <w:ind w:right="119"/>
              <w:rPr>
                <w:rFonts w:ascii="Calibri" w:hAnsi="Calibri" w:cs="Calibri"/>
              </w:rPr>
            </w:pPr>
            <w:r w:rsidRPr="00CF39C8">
              <w:rPr>
                <w:rFonts w:ascii="Calibri" w:hAnsi="Calibri" w:cs="Calibri"/>
              </w:rPr>
              <w:t xml:space="preserve">Where conversions are required to determine real world emissions outcomes, the following headline adjustment factors are used: </w:t>
            </w:r>
          </w:p>
          <w:p w14:paraId="45B318F3" w14:textId="77777777" w:rsidR="004D6A91" w:rsidRPr="00CF39C8" w:rsidRDefault="004D6A91" w:rsidP="00430317">
            <w:pPr>
              <w:numPr>
                <w:ilvl w:val="0"/>
                <w:numId w:val="37"/>
              </w:numPr>
              <w:tabs>
                <w:tab w:val="left" w:pos="720"/>
              </w:tabs>
              <w:spacing w:before="40" w:after="40" w:line="240" w:lineRule="atLeast"/>
              <w:ind w:right="119"/>
              <w:rPr>
                <w:rFonts w:ascii="Calibri" w:hAnsi="Calibri" w:cs="Calibri"/>
              </w:rPr>
            </w:pPr>
            <w:r w:rsidRPr="00CF39C8">
              <w:rPr>
                <w:rFonts w:ascii="Calibri" w:hAnsi="Calibri" w:cs="Calibri"/>
              </w:rPr>
              <w:t xml:space="preserve">NEDC to WLTP: </w:t>
            </w:r>
            <w:r w:rsidRPr="00CF39C8">
              <w:t>1.2421</w:t>
            </w:r>
          </w:p>
          <w:p w14:paraId="02D0F454" w14:textId="77777777" w:rsidR="004D6A91" w:rsidRPr="00CF39C8" w:rsidRDefault="004D6A91" w:rsidP="00430317">
            <w:pPr>
              <w:numPr>
                <w:ilvl w:val="0"/>
                <w:numId w:val="37"/>
              </w:numPr>
              <w:tabs>
                <w:tab w:val="left" w:pos="720"/>
              </w:tabs>
              <w:spacing w:before="40" w:after="40" w:line="240" w:lineRule="atLeast"/>
              <w:ind w:right="119"/>
              <w:rPr>
                <w:rFonts w:ascii="Calibri" w:hAnsi="Calibri" w:cs="Calibri"/>
                <w:color w:val="000100"/>
              </w:rPr>
            </w:pPr>
            <w:r w:rsidRPr="00CF39C8">
              <w:rPr>
                <w:rFonts w:ascii="Calibri" w:hAnsi="Calibri" w:cs="Calibri"/>
              </w:rPr>
              <w:t>NEDC to real world:</w:t>
            </w:r>
            <w:r w:rsidR="00E216FE" w:rsidRPr="00CF39C8">
              <w:rPr>
                <w:rFonts w:ascii="Calibri" w:hAnsi="Calibri" w:cs="Calibri"/>
              </w:rPr>
              <w:t xml:space="preserve"> 1.389</w:t>
            </w:r>
          </w:p>
        </w:tc>
      </w:tr>
    </w:tbl>
    <w:p w14:paraId="39D3A1CD" w14:textId="77777777" w:rsidR="004D6A91" w:rsidRPr="00CF39C8" w:rsidRDefault="004D6A91" w:rsidP="00CA464C"/>
    <w:p w14:paraId="06F31A1B" w14:textId="77777777" w:rsidR="004D6A91" w:rsidRPr="00CF39C8" w:rsidRDefault="004D6A91" w:rsidP="00CA464C"/>
    <w:p w14:paraId="373D2F1D" w14:textId="77777777" w:rsidR="005B03BC" w:rsidRPr="00CF39C8" w:rsidRDefault="005B03BC">
      <w:pPr>
        <w:rPr>
          <w:rFonts w:asciiTheme="majorHAnsi" w:hAnsiTheme="majorHAnsi" w:cstheme="majorHAnsi"/>
        </w:rPr>
      </w:pPr>
      <w:r w:rsidRPr="00CF39C8">
        <w:rPr>
          <w:rFonts w:asciiTheme="majorHAnsi" w:hAnsiTheme="majorHAnsi" w:cstheme="majorHAnsi"/>
        </w:rPr>
        <w:br w:type="page"/>
      </w:r>
    </w:p>
    <w:p w14:paraId="414532F1" w14:textId="77777777" w:rsidR="00665F28" w:rsidRPr="00CF39C8" w:rsidRDefault="00665F28">
      <w:pPr>
        <w:rPr>
          <w:rFonts w:asciiTheme="majorHAnsi" w:hAnsiTheme="majorHAnsi" w:cstheme="majorHAnsi"/>
        </w:rPr>
      </w:pPr>
    </w:p>
    <w:p w14:paraId="16C0255D" w14:textId="77777777" w:rsidR="00D81A37" w:rsidRPr="00CF39C8" w:rsidRDefault="005B03BC" w:rsidP="00D81A37">
      <w:pPr>
        <w:pStyle w:val="Heading1"/>
      </w:pPr>
      <w:bookmarkStart w:id="607" w:name="_Toc161837696"/>
      <w:bookmarkStart w:id="608" w:name="_Toc161933193"/>
      <w:bookmarkStart w:id="609" w:name="_Toc162276502"/>
      <w:bookmarkStart w:id="610" w:name="_Toc163221096"/>
      <w:r w:rsidRPr="00CF39C8">
        <w:t>A</w:t>
      </w:r>
      <w:r w:rsidR="00D81A37" w:rsidRPr="00CF39C8">
        <w:t xml:space="preserve">ppendix </w:t>
      </w:r>
      <w:r w:rsidRPr="00CF39C8">
        <w:t>C</w:t>
      </w:r>
      <w:r w:rsidR="00D81A37" w:rsidRPr="00CF39C8">
        <w:t>: Outcome calculation methodology and examples</w:t>
      </w:r>
      <w:bookmarkEnd w:id="607"/>
      <w:bookmarkEnd w:id="608"/>
      <w:bookmarkEnd w:id="609"/>
      <w:bookmarkEnd w:id="610"/>
    </w:p>
    <w:p w14:paraId="64662425" w14:textId="77777777" w:rsidR="00D81A37" w:rsidRPr="00CF39C8" w:rsidRDefault="00D81A37" w:rsidP="00D81A37"/>
    <w:p w14:paraId="3D858498" w14:textId="77777777" w:rsidR="00D81A37" w:rsidRPr="007C46D5" w:rsidRDefault="00D81A37" w:rsidP="007C46D5">
      <w:pPr>
        <w:rPr>
          <w:b/>
          <w:color w:val="417A84" w:themeColor="accent5" w:themeShade="BF"/>
          <w:sz w:val="32"/>
          <w:szCs w:val="32"/>
        </w:rPr>
      </w:pPr>
      <w:bookmarkStart w:id="611" w:name="_Toc153972344"/>
      <w:bookmarkStart w:id="612" w:name="_Toc161837697"/>
      <w:bookmarkStart w:id="613" w:name="_Toc161933194"/>
      <w:r w:rsidRPr="007C46D5">
        <w:rPr>
          <w:b/>
          <w:color w:val="417A84" w:themeColor="accent5" w:themeShade="BF"/>
          <w:sz w:val="32"/>
          <w:szCs w:val="32"/>
        </w:rPr>
        <w:t>Rolling balance</w:t>
      </w:r>
      <w:bookmarkEnd w:id="611"/>
      <w:bookmarkEnd w:id="612"/>
      <w:bookmarkEnd w:id="613"/>
    </w:p>
    <w:p w14:paraId="463C9D4D" w14:textId="77777777" w:rsidR="00D81A37" w:rsidRPr="00CF39C8" w:rsidRDefault="00D81A37" w:rsidP="00D81A37">
      <w:r w:rsidRPr="00CF39C8">
        <w:t xml:space="preserve">A rolling balance is a </w:t>
      </w:r>
      <w:r w:rsidR="00230D8E" w:rsidRPr="00CF39C8">
        <w:t xml:space="preserve">way of operating a </w:t>
      </w:r>
      <w:r w:rsidR="006D4EF3" w:rsidRPr="00CF39C8">
        <w:rPr>
          <w:rFonts w:asciiTheme="majorHAnsi" w:hAnsiTheme="majorHAnsi" w:cstheme="majorHAnsi"/>
        </w:rPr>
        <w:t>NVES</w:t>
      </w:r>
      <w:r w:rsidRPr="00CF39C8">
        <w:t xml:space="preserve"> where each vehicle has its CO</w:t>
      </w:r>
      <w:r w:rsidRPr="00CF39C8">
        <w:rPr>
          <w:vertAlign w:val="subscript"/>
        </w:rPr>
        <w:t>2</w:t>
      </w:r>
      <w:r w:rsidRPr="00CF39C8">
        <w:t xml:space="preserve"> performance calculated against the </w:t>
      </w:r>
      <w:r w:rsidR="006D4EF3" w:rsidRPr="00CF39C8">
        <w:rPr>
          <w:rFonts w:asciiTheme="majorHAnsi" w:hAnsiTheme="majorHAnsi" w:cstheme="majorHAnsi"/>
        </w:rPr>
        <w:t>NVES</w:t>
      </w:r>
      <w:r w:rsidRPr="00CF39C8">
        <w:t xml:space="preserve"> ‘target value’ for that vehicle mass, and the difference (in g/km)</w:t>
      </w:r>
      <w:r w:rsidR="00230D8E" w:rsidRPr="00CF39C8">
        <w:t xml:space="preserve"> between the vehicle actual CO</w:t>
      </w:r>
      <w:r w:rsidR="00230D8E" w:rsidRPr="00CF39C8">
        <w:rPr>
          <w:vertAlign w:val="subscript"/>
        </w:rPr>
        <w:t>2</w:t>
      </w:r>
      <w:r w:rsidR="00230D8E" w:rsidRPr="00CF39C8">
        <w:t xml:space="preserve"> emissions and target value</w:t>
      </w:r>
      <w:r w:rsidRPr="00CF39C8">
        <w:t xml:space="preserve"> is added as a credit to the account of the regulated entity</w:t>
      </w:r>
      <w:r w:rsidR="00A65014" w:rsidRPr="00CF39C8">
        <w:t xml:space="preserve"> on a continuous basis</w:t>
      </w:r>
      <w:r w:rsidR="00693975">
        <w:t>, or if the vehicle does not meet the target, sets in motion the generation of penalties</w:t>
      </w:r>
      <w:r w:rsidRPr="00CF39C8">
        <w:t>. Sales of vehicles with CO</w:t>
      </w:r>
      <w:r w:rsidRPr="00CF39C8">
        <w:rPr>
          <w:vertAlign w:val="subscript"/>
        </w:rPr>
        <w:t>2</w:t>
      </w:r>
      <w:r w:rsidRPr="00CF39C8">
        <w:t xml:space="preserve"> levels over the applicable ‘target value’, accrue a </w:t>
      </w:r>
      <w:r w:rsidR="00693975">
        <w:t>penalty</w:t>
      </w:r>
      <w:r w:rsidRPr="00CF39C8">
        <w:t xml:space="preserve"> per vehicle for each g/km over the target value, and sales of vehicles with CO</w:t>
      </w:r>
      <w:r w:rsidRPr="00CF39C8">
        <w:rPr>
          <w:vertAlign w:val="subscript"/>
        </w:rPr>
        <w:t>2</w:t>
      </w:r>
      <w:r w:rsidRPr="00CF39C8">
        <w:t xml:space="preserve"> levels below the target value accrue a credit.</w:t>
      </w:r>
      <w:r w:rsidR="00230D8E" w:rsidRPr="00CF39C8">
        <w:t xml:space="preserve"> This means the operation of the </w:t>
      </w:r>
      <w:r w:rsidR="006D4EF3" w:rsidRPr="00CF39C8">
        <w:rPr>
          <w:rFonts w:asciiTheme="majorHAnsi" w:hAnsiTheme="majorHAnsi" w:cstheme="majorHAnsi"/>
        </w:rPr>
        <w:t xml:space="preserve">NVES </w:t>
      </w:r>
      <w:r w:rsidR="00A65014" w:rsidRPr="00CF39C8">
        <w:t>credit system is inverted – a negative number shows overachievement, and a positive number shows underachievement.</w:t>
      </w:r>
    </w:p>
    <w:p w14:paraId="1E6B63E6" w14:textId="77777777" w:rsidR="00D81A37" w:rsidRPr="00CF39C8" w:rsidRDefault="00D81A37" w:rsidP="00D81A37">
      <w:r w:rsidRPr="00CF39C8">
        <w:t>For example, if a regulated entity sells;</w:t>
      </w:r>
    </w:p>
    <w:p w14:paraId="18E428A0" w14:textId="77777777" w:rsidR="00D81A37" w:rsidRPr="00CF39C8" w:rsidRDefault="00D81A37" w:rsidP="00430317">
      <w:pPr>
        <w:pStyle w:val="ListParagraph"/>
        <w:numPr>
          <w:ilvl w:val="0"/>
          <w:numId w:val="50"/>
        </w:numPr>
        <w:spacing w:after="160" w:line="256" w:lineRule="auto"/>
      </w:pPr>
      <w:r w:rsidRPr="00CF39C8">
        <w:t>100 vehicles with a CO</w:t>
      </w:r>
      <w:r w:rsidRPr="00CF39C8">
        <w:rPr>
          <w:vertAlign w:val="subscript"/>
        </w:rPr>
        <w:t>2</w:t>
      </w:r>
      <w:r w:rsidRPr="00CF39C8">
        <w:t xml:space="preserve"> value of 3g/km under the target value</w:t>
      </w:r>
      <w:r w:rsidR="00FF5459" w:rsidRPr="00CF39C8">
        <w:t>,</w:t>
      </w:r>
      <w:r w:rsidRPr="00CF39C8">
        <w:t xml:space="preserve"> these would accrue 300g/km of credits; and</w:t>
      </w:r>
    </w:p>
    <w:p w14:paraId="03F75334" w14:textId="77777777" w:rsidR="00D81A37" w:rsidRPr="00CF39C8" w:rsidRDefault="00D81A37" w:rsidP="00430317">
      <w:pPr>
        <w:pStyle w:val="ListParagraph"/>
        <w:numPr>
          <w:ilvl w:val="0"/>
          <w:numId w:val="50"/>
        </w:numPr>
        <w:spacing w:after="160" w:line="256" w:lineRule="auto"/>
      </w:pPr>
      <w:r w:rsidRPr="00CF39C8">
        <w:t>200 vehicles with a CO</w:t>
      </w:r>
      <w:r w:rsidRPr="00CF39C8">
        <w:rPr>
          <w:vertAlign w:val="subscript"/>
        </w:rPr>
        <w:t>2</w:t>
      </w:r>
      <w:r w:rsidRPr="00CF39C8">
        <w:t xml:space="preserve"> value 2g/km above the target value</w:t>
      </w:r>
      <w:r w:rsidR="00FF5459" w:rsidRPr="00CF39C8">
        <w:t xml:space="preserve">, </w:t>
      </w:r>
      <w:r w:rsidRPr="00CF39C8">
        <w:t xml:space="preserve">these would accrue 400g/km of </w:t>
      </w:r>
      <w:r w:rsidR="0039046F">
        <w:t>penalties</w:t>
      </w:r>
      <w:r w:rsidR="00FF5459" w:rsidRPr="00CF39C8">
        <w:t>.</w:t>
      </w:r>
    </w:p>
    <w:p w14:paraId="423F9389" w14:textId="77777777" w:rsidR="00D81A37" w:rsidRPr="00CF39C8" w:rsidRDefault="00D81A37" w:rsidP="00D81A37">
      <w:r w:rsidRPr="00CF39C8">
        <w:t xml:space="preserve">It would have a net position of a 100g/km </w:t>
      </w:r>
      <w:r w:rsidR="00693975">
        <w:t>penalty</w:t>
      </w:r>
      <w:r w:rsidRPr="00CF39C8">
        <w:t>. This regulated entity would need to purchase credits</w:t>
      </w:r>
      <w:r w:rsidR="00693975">
        <w:t xml:space="preserve">, or generate credits in future years, </w:t>
      </w:r>
      <w:r w:rsidRPr="00CF39C8">
        <w:t>or pay the penalty. If the penalty rate is $100 per g/km, the penalty would be $10,000</w:t>
      </w:r>
      <w:r w:rsidR="0039046F">
        <w:t>.</w:t>
      </w:r>
    </w:p>
    <w:p w14:paraId="1C0BB79A" w14:textId="77777777" w:rsidR="00A65014" w:rsidRPr="00CF39C8" w:rsidRDefault="00A65014" w:rsidP="00D81A37">
      <w:r w:rsidRPr="00CF39C8">
        <w:t xml:space="preserve">Calculating individual vehicle targets is </w:t>
      </w:r>
      <w:r w:rsidR="00EF187D" w:rsidRPr="00CF39C8">
        <w:t xml:space="preserve">broadly </w:t>
      </w:r>
      <w:r w:rsidRPr="00CF39C8">
        <w:t xml:space="preserve">consistent with the approach used in New Zealand, which also captures a stream of data about vehicles entering the market and consequently being covered by the </w:t>
      </w:r>
      <w:r w:rsidR="006D4EF3" w:rsidRPr="00CF39C8">
        <w:rPr>
          <w:rFonts w:asciiTheme="majorHAnsi" w:hAnsiTheme="majorHAnsi" w:cstheme="majorHAnsi"/>
        </w:rPr>
        <w:t>NVES</w:t>
      </w:r>
      <w:r w:rsidR="00EF187D" w:rsidRPr="00CF39C8">
        <w:t>, with a proposed streamlined final result calculation process in Australia.</w:t>
      </w:r>
    </w:p>
    <w:p w14:paraId="088F57B4" w14:textId="77777777" w:rsidR="00D81A37" w:rsidRPr="007C46D5" w:rsidRDefault="00D81A37" w:rsidP="007C46D5">
      <w:pPr>
        <w:rPr>
          <w:b/>
          <w:color w:val="417A84" w:themeColor="accent5" w:themeShade="BF"/>
          <w:sz w:val="32"/>
          <w:szCs w:val="32"/>
        </w:rPr>
      </w:pPr>
      <w:bookmarkStart w:id="614" w:name="_Toc153972345"/>
      <w:bookmarkStart w:id="615" w:name="_Toc161837698"/>
      <w:bookmarkStart w:id="616" w:name="_Toc161933195"/>
      <w:r w:rsidRPr="007C46D5">
        <w:rPr>
          <w:b/>
          <w:color w:val="417A84" w:themeColor="accent5" w:themeShade="BF"/>
          <w:sz w:val="32"/>
          <w:szCs w:val="32"/>
        </w:rPr>
        <w:t>Formula</w:t>
      </w:r>
      <w:bookmarkEnd w:id="614"/>
      <w:bookmarkEnd w:id="615"/>
      <w:bookmarkEnd w:id="616"/>
    </w:p>
    <w:p w14:paraId="7E24562D" w14:textId="77777777" w:rsidR="00D81A37" w:rsidRPr="003C610D" w:rsidRDefault="00D81A37" w:rsidP="003C610D">
      <w:r w:rsidRPr="003C610D">
        <w:t>The relationship between the headline limits and the mass-based limits curves is defined by the following formula, where each vehicle’s emission limit is defined as:</w:t>
      </w:r>
    </w:p>
    <w:p w14:paraId="530AE89E" w14:textId="77777777" w:rsidR="00D81A37" w:rsidRPr="00CF39C8" w:rsidRDefault="00055B41" w:rsidP="00D81A37">
      <w:pPr>
        <w:pStyle w:val="BodyText"/>
        <w:rPr>
          <w:rFonts w:ascii="Calibri" w:hAnsi="Calibri" w:cs="Calibri"/>
          <w:sz w:val="24"/>
        </w:rPr>
      </w:pPr>
      <m:oMathPara>
        <m:oMath>
          <m:r>
            <w:rPr>
              <w:rFonts w:ascii="Cambria Math" w:hAnsi="Cambria Math" w:cs="Calibri"/>
              <w:sz w:val="24"/>
            </w:rPr>
            <m:t>Emissions targe</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i,t</m:t>
              </m:r>
            </m:sub>
          </m:sSub>
          <m:r>
            <w:rPr>
              <w:rFonts w:ascii="Cambria Math" w:hAnsi="Cambria Math" w:cs="Calibri"/>
              <w:sz w:val="24"/>
            </w:rPr>
            <m:t>=Headline limi</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c,t</m:t>
              </m:r>
            </m:sub>
          </m:sSub>
          <m:r>
            <w:rPr>
              <w:rFonts w:ascii="Cambria Math" w:hAnsi="Cambria Math" w:cs="Calibri"/>
              <w:sz w:val="24"/>
            </w:rPr>
            <m:t>+Slop</m:t>
          </m:r>
          <m:sSub>
            <m:sSubPr>
              <m:ctrlPr>
                <w:rPr>
                  <w:rFonts w:ascii="Cambria Math" w:hAnsi="Cambria Math" w:cs="Calibri"/>
                  <w:i/>
                  <w:sz w:val="24"/>
                  <w:szCs w:val="24"/>
                </w:rPr>
              </m:ctrlPr>
            </m:sSubPr>
            <m:e>
              <m:r>
                <w:rPr>
                  <w:rFonts w:ascii="Cambria Math" w:hAnsi="Cambria Math" w:cs="Calibri"/>
                  <w:sz w:val="24"/>
                </w:rPr>
                <m:t>e</m:t>
              </m:r>
            </m:e>
            <m:sub>
              <m:r>
                <w:rPr>
                  <w:rFonts w:ascii="Cambria Math" w:hAnsi="Cambria Math" w:cs="Calibri"/>
                  <w:sz w:val="24"/>
                </w:rPr>
                <m:t>c</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w:rPr>
              <w:rFonts w:ascii="Cambria Math" w:hAnsi="Cambria Math" w:cs="Calibri"/>
              <w:sz w:val="24"/>
            </w:rPr>
            <m:t>)</m:t>
          </m:r>
        </m:oMath>
      </m:oMathPara>
    </w:p>
    <w:p w14:paraId="648AE15E" w14:textId="77777777" w:rsidR="00D81A37" w:rsidRPr="00CF39C8" w:rsidRDefault="00D81A37" w:rsidP="00D81A37">
      <w:pPr>
        <w:pStyle w:val="BodyText"/>
        <w:rPr>
          <w:rFonts w:ascii="Calibri" w:hAnsi="Calibri" w:cs="Calibri"/>
          <w:sz w:val="22"/>
        </w:rPr>
      </w:pPr>
      <w:r w:rsidRPr="00CF39C8">
        <w:rPr>
          <w:rFonts w:ascii="Calibri" w:hAnsi="Calibri" w:cs="Calibri"/>
        </w:rPr>
        <w:t>Where:</w:t>
      </w:r>
    </w:p>
    <w:p w14:paraId="3EF4C989" w14:textId="77777777" w:rsidR="00D81A37" w:rsidRPr="00CF39C8" w:rsidRDefault="00055B41" w:rsidP="00D81A37">
      <w:pPr>
        <w:pStyle w:val="BodyText"/>
        <w:rPr>
          <w:rFonts w:ascii="Calibri" w:hAnsi="Calibri" w:cs="Calibri"/>
          <w:sz w:val="24"/>
        </w:rPr>
      </w:pPr>
      <m:oMathPara>
        <m:oMath>
          <m:r>
            <w:rPr>
              <w:rFonts w:ascii="Cambria Math" w:hAnsi="Cambria Math" w:cs="Calibri"/>
              <w:sz w:val="24"/>
            </w:rPr>
            <m:t>i</m:t>
          </m:r>
          <m:r>
            <m:rPr>
              <m:aln/>
            </m:rPr>
            <w:rPr>
              <w:rFonts w:ascii="Cambria Math" w:hAnsi="Cambria Math" w:cs="Calibri"/>
              <w:sz w:val="24"/>
            </w:rPr>
            <m:t>=Vehicle</m:t>
          </m:r>
          <m:r>
            <m:rPr>
              <m:sty m:val="p"/>
            </m:rPr>
            <w:rPr>
              <w:rFonts w:ascii="Cambria Math" w:hAnsi="Cambria Math" w:cs="Calibri"/>
              <w:sz w:val="24"/>
            </w:rPr>
            <w:br/>
          </m:r>
        </m:oMath>
        <m:oMath>
          <m:r>
            <w:rPr>
              <w:rFonts w:ascii="Cambria Math" w:hAnsi="Cambria Math" w:cs="Calibri"/>
              <w:sz w:val="24"/>
            </w:rPr>
            <m:t>c</m:t>
          </m:r>
          <m:r>
            <m:rPr>
              <m:aln/>
            </m:rPr>
            <w:rPr>
              <w:rFonts w:ascii="Cambria Math" w:hAnsi="Cambria Math" w:cs="Calibri"/>
              <w:sz w:val="24"/>
            </w:rPr>
            <m:t xml:space="preserve">=NVES Class </m:t>
          </m:r>
          <m:d>
            <m:dPr>
              <m:ctrlPr>
                <w:rPr>
                  <w:rFonts w:ascii="Cambria Math" w:hAnsi="Cambria Math" w:cs="Calibri"/>
                  <w:i/>
                  <w:sz w:val="24"/>
                  <w:szCs w:val="24"/>
                </w:rPr>
              </m:ctrlPr>
            </m:dPr>
            <m:e>
              <m:r>
                <w:rPr>
                  <w:rFonts w:ascii="Cambria Math" w:hAnsi="Cambria Math" w:cs="Calibri"/>
                  <w:sz w:val="24"/>
                </w:rPr>
                <m:t>Passenger or LCV</m:t>
              </m:r>
            </m:e>
          </m:d>
          <m:r>
            <m:rPr>
              <m:sty m:val="p"/>
            </m:rPr>
            <w:rPr>
              <w:rFonts w:ascii="Cambria Math" w:hAnsi="Cambria Math" w:cs="Calibri"/>
              <w:sz w:val="24"/>
            </w:rPr>
            <w:br/>
          </m:r>
        </m:oMath>
        <m:oMath>
          <m:r>
            <w:rPr>
              <w:rFonts w:ascii="Cambria Math" w:hAnsi="Cambria Math" w:cs="Calibri"/>
              <w:sz w:val="24"/>
            </w:rPr>
            <m:t>t</m:t>
          </m:r>
          <m:r>
            <m:rPr>
              <m:aln/>
            </m:rPr>
            <w:rPr>
              <w:rFonts w:ascii="Cambria Math" w:hAnsi="Cambria Math" w:cs="Calibri"/>
              <w:sz w:val="24"/>
            </w:rPr>
            <m:t>=Year</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m:rPr>
              <m:aln/>
            </m:rPr>
            <w:rPr>
              <w:rFonts w:ascii="Cambria Math" w:hAnsi="Cambria Math" w:cs="Calibri"/>
              <w:sz w:val="24"/>
            </w:rPr>
            <m:t>=MIRO for vehicle i</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m:rPr>
              <m:aln/>
            </m:rPr>
            <w:rPr>
              <w:rFonts w:ascii="Cambria Math" w:hAnsi="Cambria Math" w:cs="Calibri"/>
              <w:sz w:val="24"/>
            </w:rPr>
            <m:t>=Reference MIRO</m:t>
          </m:r>
        </m:oMath>
      </m:oMathPara>
    </w:p>
    <w:p w14:paraId="4FE4664F" w14:textId="77777777" w:rsidR="00D81A37" w:rsidRPr="003C610D" w:rsidRDefault="00D81A37" w:rsidP="00D81A37">
      <w:pPr>
        <w:pStyle w:val="BodyText"/>
        <w:rPr>
          <w:rFonts w:ascii="Calibri" w:hAnsi="Calibri" w:cs="Calibri"/>
          <w:sz w:val="21"/>
          <w:szCs w:val="21"/>
        </w:rPr>
      </w:pPr>
      <w:r w:rsidRPr="003C610D">
        <w:rPr>
          <w:rFonts w:ascii="Calibri" w:hAnsi="Calibri" w:cs="Calibri"/>
          <w:sz w:val="21"/>
          <w:szCs w:val="21"/>
        </w:rPr>
        <w:t xml:space="preserve">For </w:t>
      </w:r>
      <w:r w:rsidR="006D4EF3" w:rsidRPr="003C610D">
        <w:rPr>
          <w:rFonts w:asciiTheme="majorHAnsi" w:hAnsiTheme="majorHAnsi" w:cstheme="majorHAnsi"/>
          <w:sz w:val="21"/>
          <w:szCs w:val="21"/>
        </w:rPr>
        <w:t>NVES</w:t>
      </w:r>
      <w:r w:rsidRPr="003C610D">
        <w:rPr>
          <w:rFonts w:ascii="Calibri" w:hAnsi="Calibri" w:cs="Calibri"/>
          <w:sz w:val="21"/>
          <w:szCs w:val="21"/>
        </w:rPr>
        <w:t xml:space="preserve"> options with breakpoints, and where a vehicle’s MIRO is above or below these breakpoints, the emissions limit is simply calculated using the breakpoint MIRO instead of the vehicle’s MIRO. This means that vehicles with MIRO under 1500kg, their </w:t>
      </w:r>
      <w:r w:rsidRPr="003C610D">
        <w:rPr>
          <w:rFonts w:ascii="Calibri" w:hAnsi="Calibri" w:cs="Calibri"/>
          <w:i/>
          <w:sz w:val="21"/>
          <w:szCs w:val="21"/>
        </w:rPr>
        <w:t>MIRO</w:t>
      </w:r>
      <w:r w:rsidRPr="003C610D">
        <w:rPr>
          <w:rFonts w:ascii="Calibri" w:hAnsi="Calibri" w:cs="Calibri"/>
          <w:i/>
          <w:sz w:val="21"/>
          <w:szCs w:val="21"/>
          <w:vertAlign w:val="subscript"/>
        </w:rPr>
        <w:t>i</w:t>
      </w:r>
      <w:r w:rsidRPr="003C610D">
        <w:rPr>
          <w:rFonts w:ascii="Calibri" w:hAnsi="Calibri" w:cs="Calibri"/>
          <w:sz w:val="21"/>
          <w:szCs w:val="21"/>
        </w:rPr>
        <w:t xml:space="preserve"> in this calculation is 1500kg, and for passenger vehicles over 2,</w:t>
      </w:r>
      <w:r w:rsidR="00AD0142" w:rsidRPr="003C610D">
        <w:rPr>
          <w:rFonts w:ascii="Calibri" w:hAnsi="Calibri" w:cs="Calibri"/>
          <w:sz w:val="21"/>
          <w:szCs w:val="21"/>
        </w:rPr>
        <w:t>2</w:t>
      </w:r>
      <w:r w:rsidRPr="003C610D">
        <w:rPr>
          <w:rFonts w:ascii="Calibri" w:hAnsi="Calibri" w:cs="Calibri"/>
          <w:sz w:val="21"/>
          <w:szCs w:val="21"/>
        </w:rPr>
        <w:t xml:space="preserve">00kg MIRO, their </w:t>
      </w:r>
      <w:r w:rsidRPr="003C610D">
        <w:rPr>
          <w:rFonts w:ascii="Calibri" w:hAnsi="Calibri" w:cs="Calibri"/>
          <w:i/>
          <w:sz w:val="21"/>
          <w:szCs w:val="21"/>
        </w:rPr>
        <w:t>MIRO</w:t>
      </w:r>
      <w:r w:rsidRPr="003C610D">
        <w:rPr>
          <w:rFonts w:ascii="Calibri" w:hAnsi="Calibri" w:cs="Calibri"/>
          <w:i/>
          <w:sz w:val="21"/>
          <w:szCs w:val="21"/>
          <w:vertAlign w:val="subscript"/>
        </w:rPr>
        <w:t>i</w:t>
      </w:r>
      <w:r w:rsidRPr="003C610D">
        <w:rPr>
          <w:rFonts w:ascii="Calibri" w:hAnsi="Calibri" w:cs="Calibri"/>
          <w:sz w:val="21"/>
          <w:szCs w:val="21"/>
          <w:vertAlign w:val="subscript"/>
        </w:rPr>
        <w:t xml:space="preserve"> </w:t>
      </w:r>
      <w:r w:rsidRPr="003C610D">
        <w:rPr>
          <w:rFonts w:ascii="Calibri" w:hAnsi="Calibri" w:cs="Calibri"/>
          <w:sz w:val="21"/>
          <w:szCs w:val="21"/>
        </w:rPr>
        <w:t>is 2,</w:t>
      </w:r>
      <w:r w:rsidR="00AD0142" w:rsidRPr="003C610D">
        <w:rPr>
          <w:rFonts w:ascii="Calibri" w:hAnsi="Calibri" w:cs="Calibri"/>
          <w:sz w:val="21"/>
          <w:szCs w:val="21"/>
        </w:rPr>
        <w:t>2</w:t>
      </w:r>
      <w:r w:rsidRPr="003C610D">
        <w:rPr>
          <w:rFonts w:ascii="Calibri" w:hAnsi="Calibri" w:cs="Calibri"/>
          <w:sz w:val="21"/>
          <w:szCs w:val="21"/>
        </w:rPr>
        <w:t>00. For the light commercial vehicle category, all vehicles over 2,</w:t>
      </w:r>
      <w:r w:rsidR="00AD0142" w:rsidRPr="003C610D">
        <w:rPr>
          <w:rFonts w:ascii="Calibri" w:hAnsi="Calibri" w:cs="Calibri"/>
          <w:sz w:val="21"/>
          <w:szCs w:val="21"/>
        </w:rPr>
        <w:t>4</w:t>
      </w:r>
      <w:r w:rsidRPr="003C610D">
        <w:rPr>
          <w:rFonts w:ascii="Calibri" w:hAnsi="Calibri" w:cs="Calibri"/>
          <w:sz w:val="21"/>
          <w:szCs w:val="21"/>
        </w:rPr>
        <w:t xml:space="preserve">00 MIRO, their </w:t>
      </w:r>
      <w:r w:rsidRPr="003C610D">
        <w:rPr>
          <w:rFonts w:ascii="Calibri" w:hAnsi="Calibri" w:cs="Calibri"/>
          <w:i/>
          <w:sz w:val="21"/>
          <w:szCs w:val="21"/>
        </w:rPr>
        <w:t>MIRO</w:t>
      </w:r>
      <w:r w:rsidRPr="003C610D">
        <w:rPr>
          <w:rFonts w:ascii="Calibri" w:hAnsi="Calibri" w:cs="Calibri"/>
          <w:i/>
          <w:sz w:val="21"/>
          <w:szCs w:val="21"/>
          <w:vertAlign w:val="subscript"/>
        </w:rPr>
        <w:t xml:space="preserve">i </w:t>
      </w:r>
      <w:r w:rsidRPr="003C610D">
        <w:rPr>
          <w:rFonts w:ascii="Calibri" w:hAnsi="Calibri" w:cs="Calibri"/>
          <w:sz w:val="21"/>
          <w:szCs w:val="21"/>
        </w:rPr>
        <w:t>is 2,</w:t>
      </w:r>
      <w:r w:rsidR="00AD0142" w:rsidRPr="003C610D">
        <w:rPr>
          <w:rFonts w:ascii="Calibri" w:hAnsi="Calibri" w:cs="Calibri"/>
          <w:sz w:val="21"/>
          <w:szCs w:val="21"/>
        </w:rPr>
        <w:t>4</w:t>
      </w:r>
      <w:r w:rsidRPr="003C610D">
        <w:rPr>
          <w:rFonts w:ascii="Calibri" w:hAnsi="Calibri" w:cs="Calibri"/>
          <w:sz w:val="21"/>
          <w:szCs w:val="21"/>
        </w:rPr>
        <w:t>00kg.</w:t>
      </w:r>
    </w:p>
    <w:p w14:paraId="0835C0DD" w14:textId="77777777" w:rsidR="00F019AF" w:rsidRDefault="00F019AF" w:rsidP="00D81A37">
      <w:pPr>
        <w:pStyle w:val="BodyText"/>
        <w:rPr>
          <w:rFonts w:ascii="Calibri" w:hAnsi="Calibri" w:cs="Calibri"/>
          <w:sz w:val="21"/>
          <w:szCs w:val="21"/>
        </w:rPr>
      </w:pPr>
    </w:p>
    <w:p w14:paraId="1134A1CC" w14:textId="77777777" w:rsidR="00D81A37" w:rsidRPr="003C610D" w:rsidRDefault="00D81A37" w:rsidP="00D81A37">
      <w:pPr>
        <w:pStyle w:val="BodyText"/>
        <w:rPr>
          <w:rFonts w:ascii="Calibri" w:hAnsi="Calibri" w:cs="Calibri"/>
          <w:sz w:val="21"/>
          <w:szCs w:val="21"/>
        </w:rPr>
      </w:pPr>
      <w:r w:rsidRPr="003C610D">
        <w:rPr>
          <w:rFonts w:ascii="Calibri" w:hAnsi="Calibri" w:cs="Calibri"/>
          <w:sz w:val="21"/>
          <w:szCs w:val="21"/>
        </w:rPr>
        <w:t>In practice this means that in 2025;</w:t>
      </w:r>
    </w:p>
    <w:p w14:paraId="2B2FDBD6"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1 vehicles with a MIRO below 1,500kg,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126g CO</w:t>
      </w:r>
      <w:r w:rsidRPr="003C610D">
        <w:rPr>
          <w:rFonts w:ascii="Calibri" w:hAnsi="Calibri" w:cs="Calibri"/>
          <w:sz w:val="21"/>
          <w:szCs w:val="21"/>
          <w:vertAlign w:val="subscript"/>
        </w:rPr>
        <w:t>2</w:t>
      </w:r>
      <w:r w:rsidRPr="003C610D">
        <w:rPr>
          <w:rFonts w:ascii="Calibri" w:hAnsi="Calibri" w:cs="Calibri"/>
          <w:sz w:val="21"/>
          <w:szCs w:val="21"/>
        </w:rPr>
        <w:t xml:space="preserve">/km </w:t>
      </w:r>
    </w:p>
    <w:p w14:paraId="66117A94"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1 vehicles with a MIRO above 2,</w:t>
      </w:r>
      <w:r w:rsidR="008F16F2" w:rsidRPr="003C610D">
        <w:rPr>
          <w:rFonts w:ascii="Calibri" w:hAnsi="Calibri" w:cs="Calibri"/>
          <w:sz w:val="21"/>
          <w:szCs w:val="21"/>
        </w:rPr>
        <w:t>2</w:t>
      </w:r>
      <w:r w:rsidRPr="003C610D">
        <w:rPr>
          <w:rFonts w:ascii="Calibri" w:hAnsi="Calibri" w:cs="Calibri"/>
          <w:sz w:val="21"/>
          <w:szCs w:val="21"/>
        </w:rPr>
        <w:t>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w:t>
      </w:r>
      <w:r w:rsidR="00AD0142" w:rsidRPr="003C610D">
        <w:rPr>
          <w:rFonts w:ascii="Calibri" w:hAnsi="Calibri" w:cs="Calibri"/>
          <w:sz w:val="21"/>
          <w:szCs w:val="21"/>
        </w:rPr>
        <w:t>173</w:t>
      </w:r>
      <w:r w:rsidRPr="003C610D">
        <w:rPr>
          <w:rFonts w:ascii="Calibri" w:hAnsi="Calibri" w:cs="Calibri"/>
          <w:sz w:val="21"/>
          <w:szCs w:val="21"/>
        </w:rPr>
        <w:t>g CO</w:t>
      </w:r>
      <w:r w:rsidRPr="003C610D">
        <w:rPr>
          <w:rFonts w:ascii="Calibri" w:hAnsi="Calibri" w:cs="Calibri"/>
          <w:sz w:val="21"/>
          <w:szCs w:val="21"/>
          <w:vertAlign w:val="subscript"/>
        </w:rPr>
        <w:t>2</w:t>
      </w:r>
      <w:r w:rsidRPr="003C610D">
        <w:rPr>
          <w:rFonts w:ascii="Calibri" w:hAnsi="Calibri" w:cs="Calibri"/>
          <w:sz w:val="21"/>
          <w:szCs w:val="21"/>
        </w:rPr>
        <w:t>/km</w:t>
      </w:r>
    </w:p>
    <w:p w14:paraId="479877CD"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2 vehicles with a MIRO below 1,500kg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w:t>
      </w:r>
      <w:r w:rsidR="00AD0142" w:rsidRPr="003C610D">
        <w:rPr>
          <w:rFonts w:ascii="Calibri" w:hAnsi="Calibri" w:cs="Calibri"/>
          <w:sz w:val="21"/>
          <w:szCs w:val="21"/>
        </w:rPr>
        <w:t>189</w:t>
      </w:r>
      <w:r w:rsidRPr="003C610D">
        <w:rPr>
          <w:rFonts w:ascii="Calibri" w:hAnsi="Calibri" w:cs="Calibri"/>
          <w:sz w:val="21"/>
          <w:szCs w:val="21"/>
        </w:rPr>
        <w:t>g CO</w:t>
      </w:r>
      <w:r w:rsidRPr="003C610D">
        <w:rPr>
          <w:rFonts w:ascii="Calibri" w:hAnsi="Calibri" w:cs="Calibri"/>
          <w:sz w:val="21"/>
          <w:szCs w:val="21"/>
          <w:vertAlign w:val="subscript"/>
        </w:rPr>
        <w:t>2</w:t>
      </w:r>
      <w:r w:rsidRPr="003C610D">
        <w:rPr>
          <w:rFonts w:ascii="Calibri" w:hAnsi="Calibri" w:cs="Calibri"/>
          <w:sz w:val="21"/>
          <w:szCs w:val="21"/>
        </w:rPr>
        <w:t>/km</w:t>
      </w:r>
      <w:r w:rsidRPr="003C610D">
        <w:rPr>
          <w:rStyle w:val="FootnoteReference"/>
          <w:rFonts w:ascii="Calibri" w:hAnsi="Calibri" w:cs="Calibri"/>
          <w:sz w:val="21"/>
          <w:szCs w:val="21"/>
        </w:rPr>
        <w:footnoteReference w:id="30"/>
      </w:r>
    </w:p>
    <w:p w14:paraId="3F38CCDD"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2 vehicles with a MIRO above 2,</w:t>
      </w:r>
      <w:r w:rsidR="00AD0142" w:rsidRPr="003C610D">
        <w:rPr>
          <w:rFonts w:ascii="Calibri" w:hAnsi="Calibri" w:cs="Calibri"/>
          <w:sz w:val="21"/>
          <w:szCs w:val="21"/>
        </w:rPr>
        <w:t>4</w:t>
      </w:r>
      <w:r w:rsidRPr="003C610D">
        <w:rPr>
          <w:rFonts w:ascii="Calibri" w:hAnsi="Calibri" w:cs="Calibri"/>
          <w:sz w:val="21"/>
          <w:szCs w:val="21"/>
        </w:rPr>
        <w:t>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2</w:t>
      </w:r>
      <w:r w:rsidR="00AD0142" w:rsidRPr="003C610D">
        <w:rPr>
          <w:rFonts w:ascii="Calibri" w:hAnsi="Calibri" w:cs="Calibri"/>
          <w:sz w:val="21"/>
          <w:szCs w:val="21"/>
        </w:rPr>
        <w:t>18</w:t>
      </w:r>
      <w:r w:rsidRPr="003C610D">
        <w:rPr>
          <w:rFonts w:ascii="Calibri" w:hAnsi="Calibri" w:cs="Calibri"/>
          <w:sz w:val="21"/>
          <w:szCs w:val="21"/>
        </w:rPr>
        <w:t xml:space="preserve"> g CO</w:t>
      </w:r>
      <w:r w:rsidRPr="003C610D">
        <w:rPr>
          <w:rFonts w:ascii="Calibri" w:hAnsi="Calibri" w:cs="Calibri"/>
          <w:sz w:val="21"/>
          <w:szCs w:val="21"/>
          <w:vertAlign w:val="subscript"/>
        </w:rPr>
        <w:t>2</w:t>
      </w:r>
      <w:r w:rsidRPr="003C610D">
        <w:rPr>
          <w:rFonts w:ascii="Calibri" w:hAnsi="Calibri" w:cs="Calibri"/>
          <w:sz w:val="21"/>
          <w:szCs w:val="21"/>
        </w:rPr>
        <w:t>/km</w:t>
      </w:r>
      <w:r w:rsidR="00AD0142" w:rsidRPr="003C610D">
        <w:rPr>
          <w:rFonts w:ascii="Calibri" w:hAnsi="Calibri" w:cs="Calibri"/>
          <w:sz w:val="21"/>
          <w:szCs w:val="21"/>
        </w:rPr>
        <w:t>.</w:t>
      </w:r>
      <w:r w:rsidRPr="003C610D">
        <w:rPr>
          <w:rFonts w:ascii="Calibri" w:hAnsi="Calibri" w:cs="Calibri"/>
          <w:sz w:val="21"/>
          <w:szCs w:val="21"/>
        </w:rPr>
        <w:t xml:space="preserve"> </w:t>
      </w:r>
    </w:p>
    <w:p w14:paraId="01180884" w14:textId="77777777" w:rsidR="008A105E" w:rsidRPr="00CF39C8" w:rsidRDefault="00D81A37" w:rsidP="00D81A37">
      <w:pPr>
        <w:pStyle w:val="BodyText"/>
        <w:rPr>
          <w:rFonts w:ascii="Calibri" w:hAnsi="Calibri" w:cs="Calibri"/>
        </w:rPr>
      </w:pPr>
      <w:r w:rsidRPr="003C610D">
        <w:rPr>
          <w:rFonts w:ascii="Calibri" w:hAnsi="Calibri" w:cs="Calibri"/>
          <w:sz w:val="21"/>
          <w:szCs w:val="21"/>
        </w:rPr>
        <w:t>The reference MIRO is a sales weighted average MIRO for each class using 2022 sales data provided by S&amp;P Global. The slope term was calculated by a linear regression of the sales weighted average gCO</w:t>
      </w:r>
      <w:r w:rsidRPr="003C610D">
        <w:rPr>
          <w:rFonts w:ascii="Calibri" w:hAnsi="Calibri" w:cs="Calibri"/>
          <w:sz w:val="21"/>
          <w:szCs w:val="21"/>
          <w:vertAlign w:val="subscript"/>
        </w:rPr>
        <w:t>2</w:t>
      </w:r>
      <w:r w:rsidRPr="003C610D">
        <w:rPr>
          <w:rFonts w:ascii="Calibri" w:hAnsi="Calibri" w:cs="Calibri"/>
          <w:sz w:val="21"/>
          <w:szCs w:val="21"/>
        </w:rPr>
        <w:t xml:space="preserve">/km at each mass category (50kg intervals) for each class of vehicle. </w:t>
      </w:r>
    </w:p>
    <w:tbl>
      <w:tblPr>
        <w:tblStyle w:val="TableGrid"/>
        <w:tblpPr w:leftFromText="180" w:rightFromText="180" w:vertAnchor="text" w:horzAnchor="margin" w:tblpY="90"/>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Slope and reference mass"/>
      </w:tblPr>
      <w:tblGrid>
        <w:gridCol w:w="3172"/>
        <w:gridCol w:w="3157"/>
        <w:gridCol w:w="3157"/>
      </w:tblGrid>
      <w:tr w:rsidR="008A105E" w:rsidRPr="00CF39C8" w14:paraId="476C72D0" w14:textId="77777777" w:rsidTr="00336E40">
        <w:tc>
          <w:tcPr>
            <w:tcW w:w="3284" w:type="dxa"/>
            <w:shd w:val="clear" w:color="auto" w:fill="417A84" w:themeFill="accent5" w:themeFillShade="BF"/>
          </w:tcPr>
          <w:p w14:paraId="120B5558" w14:textId="77777777" w:rsidR="008A105E" w:rsidRPr="00CF39C8" w:rsidRDefault="008A105E" w:rsidP="008A105E">
            <w:pPr>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Element</w:t>
            </w:r>
          </w:p>
        </w:tc>
        <w:tc>
          <w:tcPr>
            <w:tcW w:w="3285" w:type="dxa"/>
            <w:shd w:val="clear" w:color="auto" w:fill="417A84" w:themeFill="accent5" w:themeFillShade="BF"/>
          </w:tcPr>
          <w:p w14:paraId="57D5DCF2" w14:textId="77777777" w:rsidR="008A105E" w:rsidRPr="00CF39C8" w:rsidRDefault="008A105E" w:rsidP="008A105E">
            <w:pPr>
              <w:rPr>
                <w:rFonts w:asciiTheme="majorHAnsi" w:hAnsiTheme="majorHAnsi" w:cstheme="majorHAnsi"/>
                <w:b/>
                <w:color w:val="FFFFFF" w:themeColor="background1"/>
                <w:sz w:val="22"/>
              </w:rPr>
            </w:pPr>
            <w:r w:rsidRPr="00CF39C8">
              <w:rPr>
                <w:rFonts w:ascii="Calibri" w:hAnsi="Calibri" w:cs="Calibri"/>
                <w:b/>
                <w:color w:val="FFFFFF" w:themeColor="background1"/>
                <w:sz w:val="22"/>
              </w:rPr>
              <w:t>PV</w:t>
            </w:r>
          </w:p>
        </w:tc>
        <w:tc>
          <w:tcPr>
            <w:tcW w:w="3285" w:type="dxa"/>
            <w:shd w:val="clear" w:color="auto" w:fill="417A84" w:themeFill="accent5" w:themeFillShade="BF"/>
          </w:tcPr>
          <w:p w14:paraId="428A1C4C" w14:textId="77777777" w:rsidR="008A105E" w:rsidRPr="00CF39C8" w:rsidRDefault="008A105E" w:rsidP="008A105E">
            <w:pPr>
              <w:rPr>
                <w:rFonts w:asciiTheme="majorHAnsi" w:hAnsiTheme="majorHAnsi" w:cstheme="majorHAnsi"/>
                <w:b/>
                <w:color w:val="FFFFFF" w:themeColor="background1"/>
                <w:sz w:val="22"/>
              </w:rPr>
            </w:pPr>
            <w:r w:rsidRPr="00CF39C8">
              <w:rPr>
                <w:rFonts w:ascii="Calibri" w:hAnsi="Calibri" w:cs="Calibri"/>
                <w:b/>
                <w:color w:val="FFFFFF" w:themeColor="background1"/>
                <w:sz w:val="22"/>
              </w:rPr>
              <w:t>LCV</w:t>
            </w:r>
          </w:p>
        </w:tc>
      </w:tr>
      <w:tr w:rsidR="008A105E" w:rsidRPr="00CF39C8" w14:paraId="7AACD3B5" w14:textId="77777777" w:rsidTr="000706DD">
        <w:trPr>
          <w:trHeight w:val="121"/>
        </w:trPr>
        <w:tc>
          <w:tcPr>
            <w:tcW w:w="3284" w:type="dxa"/>
          </w:tcPr>
          <w:p w14:paraId="267D8249" w14:textId="77777777" w:rsidR="008A105E" w:rsidRPr="00CF39C8" w:rsidRDefault="008A105E" w:rsidP="008A105E">
            <w:pPr>
              <w:rPr>
                <w:rFonts w:asciiTheme="majorHAnsi" w:hAnsiTheme="majorHAnsi" w:cstheme="majorHAnsi"/>
              </w:rPr>
            </w:pPr>
            <w:r w:rsidRPr="00CF39C8">
              <w:rPr>
                <w:rFonts w:ascii="Calibri" w:hAnsi="Calibri" w:cs="Calibri"/>
              </w:rPr>
              <w:t>Slope</w:t>
            </w:r>
          </w:p>
        </w:tc>
        <w:tc>
          <w:tcPr>
            <w:tcW w:w="3285" w:type="dxa"/>
          </w:tcPr>
          <w:p w14:paraId="37FBF380" w14:textId="77777777" w:rsidR="008A105E" w:rsidRPr="00CF39C8" w:rsidRDefault="008A105E" w:rsidP="008A105E">
            <w:pPr>
              <w:rPr>
                <w:rFonts w:asciiTheme="majorHAnsi" w:hAnsiTheme="majorHAnsi" w:cstheme="majorHAnsi"/>
              </w:rPr>
            </w:pPr>
            <w:r w:rsidRPr="00CF39C8">
              <w:rPr>
                <w:rFonts w:ascii="Calibri" w:hAnsi="Calibri" w:cs="Calibri"/>
              </w:rPr>
              <w:t>0.0663</w:t>
            </w:r>
          </w:p>
        </w:tc>
        <w:tc>
          <w:tcPr>
            <w:tcW w:w="3285" w:type="dxa"/>
          </w:tcPr>
          <w:p w14:paraId="57B94C31" w14:textId="77777777" w:rsidR="008A105E" w:rsidRPr="00CF39C8" w:rsidRDefault="008A105E" w:rsidP="008A105E">
            <w:pPr>
              <w:rPr>
                <w:rFonts w:asciiTheme="majorHAnsi" w:hAnsiTheme="majorHAnsi" w:cstheme="majorHAnsi"/>
              </w:rPr>
            </w:pPr>
            <w:r w:rsidRPr="00CF39C8">
              <w:rPr>
                <w:rFonts w:ascii="Calibri" w:hAnsi="Calibri" w:cs="Calibri"/>
              </w:rPr>
              <w:t>0.0324</w:t>
            </w:r>
          </w:p>
        </w:tc>
      </w:tr>
      <w:tr w:rsidR="008A105E" w:rsidRPr="00CF39C8" w14:paraId="3BCFBC5E" w14:textId="77777777" w:rsidTr="00336E40">
        <w:tc>
          <w:tcPr>
            <w:tcW w:w="3284" w:type="dxa"/>
          </w:tcPr>
          <w:p w14:paraId="5342B3C6" w14:textId="77777777" w:rsidR="008A105E" w:rsidRPr="00CF39C8" w:rsidRDefault="008A105E" w:rsidP="008A105E">
            <w:pPr>
              <w:rPr>
                <w:rFonts w:asciiTheme="majorHAnsi" w:hAnsiTheme="majorHAnsi" w:cstheme="majorHAnsi"/>
              </w:rPr>
            </w:pPr>
            <w:r w:rsidRPr="00CF39C8">
              <w:rPr>
                <w:rFonts w:ascii="Calibri" w:hAnsi="Calibri" w:cs="Calibri"/>
              </w:rPr>
              <w:t>Reference MIRO (kg)</w:t>
            </w:r>
          </w:p>
        </w:tc>
        <w:tc>
          <w:tcPr>
            <w:tcW w:w="3285" w:type="dxa"/>
          </w:tcPr>
          <w:p w14:paraId="40F797DC" w14:textId="77777777" w:rsidR="008A105E" w:rsidRPr="00CF39C8" w:rsidRDefault="008A105E" w:rsidP="008A105E">
            <w:pPr>
              <w:rPr>
                <w:rFonts w:asciiTheme="majorHAnsi" w:hAnsiTheme="majorHAnsi" w:cstheme="majorHAnsi"/>
              </w:rPr>
            </w:pPr>
            <w:r w:rsidRPr="00CF39C8">
              <w:rPr>
                <w:rFonts w:ascii="Calibri" w:hAnsi="Calibri" w:cs="Calibri"/>
              </w:rPr>
              <w:t>1,723</w:t>
            </w:r>
          </w:p>
        </w:tc>
        <w:tc>
          <w:tcPr>
            <w:tcW w:w="3285" w:type="dxa"/>
          </w:tcPr>
          <w:p w14:paraId="7589A018" w14:textId="77777777" w:rsidR="008A105E" w:rsidRPr="00CF39C8" w:rsidRDefault="008A105E" w:rsidP="008A105E">
            <w:pPr>
              <w:rPr>
                <w:rFonts w:asciiTheme="majorHAnsi" w:hAnsiTheme="majorHAnsi" w:cstheme="majorHAnsi"/>
              </w:rPr>
            </w:pPr>
            <w:r w:rsidRPr="00CF39C8">
              <w:rPr>
                <w:rFonts w:ascii="Calibri" w:hAnsi="Calibri" w:cs="Calibri"/>
              </w:rPr>
              <w:t>2,155</w:t>
            </w:r>
          </w:p>
        </w:tc>
      </w:tr>
    </w:tbl>
    <w:p w14:paraId="2B7A4189" w14:textId="77777777" w:rsidR="001531E2" w:rsidRPr="00CF39C8" w:rsidRDefault="001531E2" w:rsidP="001531E2">
      <w:pPr>
        <w:pStyle w:val="Caption"/>
        <w:keepNext/>
        <w:rPr>
          <w:b w:val="0"/>
        </w:rPr>
      </w:pPr>
      <w:bookmarkStart w:id="617" w:name="_Toc161837797"/>
      <w:bookmarkStart w:id="618" w:name="_Toc161933243"/>
      <w:bookmarkStart w:id="619" w:name="_Toc163221142"/>
      <w:r w:rsidRPr="00CF39C8">
        <w:t xml:space="preserve">Table </w:t>
      </w:r>
      <w:r w:rsidR="001E7863">
        <w:t>2</w:t>
      </w:r>
      <w:r w:rsidR="00C6227F">
        <w:t>2</w:t>
      </w:r>
      <w:r w:rsidRPr="00CF39C8">
        <w:t xml:space="preserve"> </w:t>
      </w:r>
      <w:r w:rsidRPr="00CF39C8">
        <w:rPr>
          <w:b w:val="0"/>
        </w:rPr>
        <w:t xml:space="preserve">– Slope </w:t>
      </w:r>
      <w:r w:rsidR="002E1F12" w:rsidRPr="00CF39C8">
        <w:rPr>
          <w:b w:val="0"/>
        </w:rPr>
        <w:t>and</w:t>
      </w:r>
      <w:r w:rsidRPr="00CF39C8">
        <w:rPr>
          <w:b w:val="0"/>
        </w:rPr>
        <w:t xml:space="preserve"> </w:t>
      </w:r>
      <w:r w:rsidR="00D67B03" w:rsidRPr="00CF39C8">
        <w:rPr>
          <w:b w:val="0"/>
        </w:rPr>
        <w:t>r</w:t>
      </w:r>
      <w:r w:rsidRPr="00CF39C8">
        <w:rPr>
          <w:b w:val="0"/>
        </w:rPr>
        <w:t xml:space="preserve">eference </w:t>
      </w:r>
      <w:r w:rsidR="00D67B03" w:rsidRPr="00CF39C8">
        <w:rPr>
          <w:b w:val="0"/>
        </w:rPr>
        <w:t>m</w:t>
      </w:r>
      <w:r w:rsidRPr="00CF39C8">
        <w:rPr>
          <w:b w:val="0"/>
        </w:rPr>
        <w:t>ass</w:t>
      </w:r>
      <w:bookmarkEnd w:id="617"/>
      <w:bookmarkEnd w:id="618"/>
      <w:bookmarkEnd w:id="619"/>
    </w:p>
    <w:p w14:paraId="0C30E104" w14:textId="77777777" w:rsidR="005533D4" w:rsidRPr="00CF39C8" w:rsidRDefault="005533D4" w:rsidP="00BD0BFA">
      <w:pPr>
        <w:rPr>
          <w:rFonts w:asciiTheme="majorHAnsi" w:hAnsiTheme="majorHAnsi" w:cstheme="majorHAnsi"/>
        </w:rPr>
        <w:sectPr w:rsidR="005533D4" w:rsidRPr="00CF39C8" w:rsidSect="007150AB">
          <w:pgSz w:w="11906" w:h="16838" w:code="9"/>
          <w:pgMar w:top="1021" w:right="1134" w:bottom="851" w:left="1276" w:header="510" w:footer="567" w:gutter="0"/>
          <w:cols w:space="708"/>
          <w:docGrid w:linePitch="360"/>
        </w:sectPr>
      </w:pPr>
    </w:p>
    <w:p w14:paraId="4A350B6D" w14:textId="77777777" w:rsidR="005533D4" w:rsidRPr="00CF39C8" w:rsidRDefault="005533D4" w:rsidP="005533D4">
      <w:pPr>
        <w:pStyle w:val="Heading1"/>
      </w:pPr>
      <w:bookmarkStart w:id="620" w:name="_Toc149050165"/>
      <w:bookmarkStart w:id="621" w:name="_Toc155086090"/>
      <w:bookmarkStart w:id="622" w:name="_Toc161837699"/>
      <w:bookmarkStart w:id="623" w:name="_Toc161933196"/>
      <w:bookmarkStart w:id="624" w:name="_Toc162276503"/>
      <w:bookmarkStart w:id="625" w:name="_Toc163221097"/>
      <w:r w:rsidRPr="00CF39C8">
        <w:t>Appendix D: Implementation Program Risk Matrix</w:t>
      </w:r>
      <w:bookmarkEnd w:id="620"/>
      <w:bookmarkEnd w:id="621"/>
      <w:bookmarkEnd w:id="622"/>
      <w:bookmarkEnd w:id="623"/>
      <w:bookmarkEnd w:id="624"/>
      <w:bookmarkEnd w:id="625"/>
    </w:p>
    <w:p w14:paraId="70043E8B" w14:textId="77777777" w:rsidR="005533D4" w:rsidRPr="00CF39C8" w:rsidRDefault="005533D4" w:rsidP="005533D4">
      <w:pPr>
        <w:rPr>
          <w:rFonts w:asciiTheme="majorHAnsi" w:hAnsiTheme="majorHAnsi" w:cstheme="majorHAnsi"/>
        </w:rPr>
      </w:pPr>
    </w:p>
    <w:tbl>
      <w:tblPr>
        <w:tblStyle w:val="ListTable6Colorful-Accent4"/>
        <w:tblW w:w="149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731"/>
        <w:gridCol w:w="1592"/>
        <w:gridCol w:w="2397"/>
        <w:gridCol w:w="1014"/>
        <w:gridCol w:w="1390"/>
        <w:gridCol w:w="1436"/>
        <w:gridCol w:w="998"/>
        <w:gridCol w:w="1013"/>
        <w:gridCol w:w="2686"/>
        <w:gridCol w:w="1657"/>
      </w:tblGrid>
      <w:tr w:rsidR="005533D4" w:rsidRPr="00CF39C8" w14:paraId="60CE9706" w14:textId="77777777" w:rsidTr="00951A05">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731" w:type="dxa"/>
            <w:shd w:val="clear" w:color="auto" w:fill="417A84" w:themeFill="accent5" w:themeFillShade="BF"/>
            <w:vAlign w:val="center"/>
          </w:tcPr>
          <w:p w14:paraId="6DE0548D" w14:textId="77777777" w:rsidR="005533D4" w:rsidRPr="00CF39C8" w:rsidRDefault="005533D4" w:rsidP="00951A05">
            <w:pPr>
              <w:jc w:val="center"/>
              <w:rPr>
                <w:rFonts w:asciiTheme="majorHAnsi" w:hAnsiTheme="majorHAnsi" w:cstheme="majorHAnsi"/>
                <w:color w:val="FFFFFF" w:themeColor="background1"/>
              </w:rPr>
            </w:pPr>
            <w:r w:rsidRPr="00CF39C8">
              <w:rPr>
                <w:rFonts w:asciiTheme="majorHAnsi" w:hAnsiTheme="majorHAnsi" w:cstheme="majorHAnsi"/>
                <w:color w:val="FFFFFF" w:themeColor="background1"/>
              </w:rPr>
              <w:t>ID</w:t>
            </w:r>
          </w:p>
        </w:tc>
        <w:tc>
          <w:tcPr>
            <w:tcW w:w="1592" w:type="dxa"/>
            <w:shd w:val="clear" w:color="auto" w:fill="417A84" w:themeFill="accent5" w:themeFillShade="BF"/>
            <w:vAlign w:val="center"/>
          </w:tcPr>
          <w:p w14:paraId="5218A161"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Description</w:t>
            </w:r>
          </w:p>
        </w:tc>
        <w:tc>
          <w:tcPr>
            <w:tcW w:w="2397" w:type="dxa"/>
            <w:shd w:val="clear" w:color="auto" w:fill="417A84" w:themeFill="accent5" w:themeFillShade="BF"/>
            <w:vAlign w:val="center"/>
          </w:tcPr>
          <w:p w14:paraId="15F3DF55"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Business impact</w:t>
            </w:r>
          </w:p>
        </w:tc>
        <w:tc>
          <w:tcPr>
            <w:tcW w:w="1014" w:type="dxa"/>
            <w:shd w:val="clear" w:color="auto" w:fill="417A84" w:themeFill="accent5" w:themeFillShade="BF"/>
            <w:vAlign w:val="center"/>
          </w:tcPr>
          <w:p w14:paraId="47CB723B"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Owner</w:t>
            </w:r>
          </w:p>
        </w:tc>
        <w:tc>
          <w:tcPr>
            <w:tcW w:w="1390" w:type="dxa"/>
            <w:shd w:val="clear" w:color="auto" w:fill="417A84" w:themeFill="accent5" w:themeFillShade="BF"/>
            <w:vAlign w:val="center"/>
          </w:tcPr>
          <w:p w14:paraId="62EA1DAB"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Likelihood</w:t>
            </w:r>
          </w:p>
        </w:tc>
        <w:tc>
          <w:tcPr>
            <w:tcW w:w="1436" w:type="dxa"/>
            <w:shd w:val="clear" w:color="auto" w:fill="417A84" w:themeFill="accent5" w:themeFillShade="BF"/>
            <w:vAlign w:val="center"/>
          </w:tcPr>
          <w:p w14:paraId="4A8119F6"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Consequence</w:t>
            </w:r>
          </w:p>
        </w:tc>
        <w:tc>
          <w:tcPr>
            <w:tcW w:w="998" w:type="dxa"/>
            <w:shd w:val="clear" w:color="auto" w:fill="417A84" w:themeFill="accent5" w:themeFillShade="BF"/>
            <w:vAlign w:val="center"/>
          </w:tcPr>
          <w:p w14:paraId="55CDE156"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Rating</w:t>
            </w:r>
          </w:p>
        </w:tc>
        <w:tc>
          <w:tcPr>
            <w:tcW w:w="1013" w:type="dxa"/>
            <w:shd w:val="clear" w:color="auto" w:fill="417A84" w:themeFill="accent5" w:themeFillShade="BF"/>
            <w:vAlign w:val="center"/>
          </w:tcPr>
          <w:p w14:paraId="564A7A74"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Within appetite</w:t>
            </w:r>
          </w:p>
        </w:tc>
        <w:tc>
          <w:tcPr>
            <w:tcW w:w="2686" w:type="dxa"/>
            <w:shd w:val="clear" w:color="auto" w:fill="417A84" w:themeFill="accent5" w:themeFillShade="BF"/>
            <w:vAlign w:val="center"/>
          </w:tcPr>
          <w:p w14:paraId="0248A8A9"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Controls</w:t>
            </w:r>
          </w:p>
        </w:tc>
        <w:tc>
          <w:tcPr>
            <w:tcW w:w="1657" w:type="dxa"/>
            <w:shd w:val="clear" w:color="auto" w:fill="417A84" w:themeFill="accent5" w:themeFillShade="BF"/>
            <w:vAlign w:val="center"/>
          </w:tcPr>
          <w:p w14:paraId="387AF9D1"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Control effectiveness</w:t>
            </w:r>
          </w:p>
        </w:tc>
      </w:tr>
      <w:tr w:rsidR="005533D4" w:rsidRPr="00CF39C8" w14:paraId="565DB596" w14:textId="77777777" w:rsidTr="00951A0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7084B8B0"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1</w:t>
            </w:r>
          </w:p>
        </w:tc>
        <w:tc>
          <w:tcPr>
            <w:tcW w:w="1592" w:type="dxa"/>
            <w:shd w:val="clear" w:color="auto" w:fill="auto"/>
          </w:tcPr>
          <w:p w14:paraId="2EAE2D47"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Insufficient integration and testing of regulatory and industry systems</w:t>
            </w:r>
          </w:p>
        </w:tc>
        <w:tc>
          <w:tcPr>
            <w:tcW w:w="2397" w:type="dxa"/>
            <w:shd w:val="clear" w:color="auto" w:fill="auto"/>
          </w:tcPr>
          <w:p w14:paraId="6B0BC1A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Further delays in actual benefits realised and delivery of project outcomes as well as increased costs. </w:t>
            </w:r>
          </w:p>
        </w:tc>
        <w:tc>
          <w:tcPr>
            <w:tcW w:w="1014" w:type="dxa"/>
            <w:shd w:val="clear" w:color="auto" w:fill="auto"/>
          </w:tcPr>
          <w:p w14:paraId="3D10FA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4F6FDAD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112B03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3A3AFB6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03CC139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No </w:t>
            </w:r>
          </w:p>
        </w:tc>
        <w:tc>
          <w:tcPr>
            <w:tcW w:w="2686" w:type="dxa"/>
            <w:shd w:val="clear" w:color="auto" w:fill="auto"/>
          </w:tcPr>
          <w:p w14:paraId="4718218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Supporting systems build with detailed planning, with early (pre-June 2024) engagement of partners/advisers.</w:t>
            </w:r>
          </w:p>
          <w:p w14:paraId="03CC2A0B" w14:textId="77777777" w:rsidR="001B3939" w:rsidRDefault="001B3939"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4A759939" w14:textId="77777777" w:rsidR="00CA263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Period of user (beta) testing with a range of companies and end users prior to the regulator’s commencement, to ensure Regulator and industry systems are compatible, ready and secure. </w:t>
            </w:r>
          </w:p>
          <w:p w14:paraId="1C840683" w14:textId="77777777" w:rsidR="00E55465" w:rsidRPr="00CF39C8" w:rsidRDefault="00E55465"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0FFA8B29" w14:textId="77777777" w:rsidR="00181F0F" w:rsidRPr="00CF39C8" w:rsidRDefault="00181F0F" w:rsidP="00181F0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BD4573">
              <w:rPr>
                <w:rFonts w:asciiTheme="majorHAnsi" w:hAnsiTheme="majorHAnsi" w:cstheme="majorHAnsi"/>
                <w:color w:val="auto"/>
              </w:rPr>
              <w:t>Explore a staged roll out if possible during the design phase, and ensure appropriate budget for ongoing systems maintenance and further development.</w:t>
            </w:r>
            <w:r w:rsidRPr="00CF39C8">
              <w:rPr>
                <w:rFonts w:asciiTheme="majorHAnsi" w:hAnsiTheme="majorHAnsi" w:cstheme="majorHAnsi"/>
                <w:color w:val="auto"/>
              </w:rPr>
              <w:t xml:space="preserve"> </w:t>
            </w:r>
          </w:p>
          <w:p w14:paraId="19B966E2" w14:textId="77777777" w:rsidR="00181F0F" w:rsidRDefault="00181F0F"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78ACAE69" w14:textId="77777777" w:rsidR="005533D4" w:rsidRPr="00CF39C8" w:rsidRDefault="00531F7F"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181F0F">
              <w:rPr>
                <w:rFonts w:asciiTheme="majorHAnsi" w:hAnsiTheme="majorHAnsi" w:cstheme="majorHAnsi"/>
                <w:color w:val="auto"/>
              </w:rPr>
              <w:t xml:space="preserve">In addition, the consideration of </w:t>
            </w:r>
            <w:r w:rsidR="00CB36EE" w:rsidRPr="00181F0F">
              <w:rPr>
                <w:rFonts w:asciiTheme="majorHAnsi" w:hAnsiTheme="majorHAnsi" w:cstheme="majorHAnsi"/>
                <w:color w:val="auto"/>
              </w:rPr>
              <w:t>delayed commencement for credit generation</w:t>
            </w:r>
            <w:r w:rsidR="00181F0F" w:rsidRPr="00181F0F">
              <w:rPr>
                <w:rFonts w:asciiTheme="majorHAnsi" w:hAnsiTheme="majorHAnsi" w:cstheme="majorHAnsi"/>
                <w:color w:val="auto"/>
              </w:rPr>
              <w:t xml:space="preserve"> </w:t>
            </w:r>
            <w:r w:rsidR="00CB36EE" w:rsidRPr="00181F0F">
              <w:rPr>
                <w:rFonts w:asciiTheme="majorHAnsi" w:hAnsiTheme="majorHAnsi" w:cstheme="majorHAnsi"/>
                <w:color w:val="auto"/>
              </w:rPr>
              <w:t xml:space="preserve">(1 July 2025) and </w:t>
            </w:r>
            <w:r w:rsidR="0039046F">
              <w:rPr>
                <w:rFonts w:asciiTheme="majorHAnsi" w:hAnsiTheme="majorHAnsi" w:cstheme="majorHAnsi"/>
                <w:color w:val="auto"/>
              </w:rPr>
              <w:t>penalty</w:t>
            </w:r>
            <w:r w:rsidR="00CB36EE" w:rsidRPr="00181F0F">
              <w:rPr>
                <w:rFonts w:asciiTheme="majorHAnsi" w:hAnsiTheme="majorHAnsi" w:cstheme="majorHAnsi"/>
                <w:color w:val="auto"/>
              </w:rPr>
              <w:t xml:space="preserve"> generation (1 January 2026)</w:t>
            </w:r>
            <w:r w:rsidRPr="00181F0F">
              <w:rPr>
                <w:rFonts w:asciiTheme="majorHAnsi" w:hAnsiTheme="majorHAnsi" w:cstheme="majorHAnsi"/>
                <w:color w:val="auto"/>
              </w:rPr>
              <w:t xml:space="preserve"> in </w:t>
            </w:r>
            <w:r w:rsidR="000D5DF9" w:rsidRPr="00181F0F">
              <w:rPr>
                <w:rFonts w:asciiTheme="majorHAnsi" w:hAnsiTheme="majorHAnsi" w:cstheme="majorHAnsi"/>
                <w:color w:val="auto"/>
              </w:rPr>
              <w:t>the</w:t>
            </w:r>
            <w:r w:rsidRPr="00181F0F">
              <w:rPr>
                <w:rFonts w:asciiTheme="majorHAnsi" w:hAnsiTheme="majorHAnsi" w:cstheme="majorHAnsi"/>
                <w:color w:val="auto"/>
              </w:rPr>
              <w:t xml:space="preserve"> </w:t>
            </w:r>
            <w:r w:rsidR="00AE4BF3" w:rsidRPr="00181F0F">
              <w:rPr>
                <w:rFonts w:asciiTheme="majorHAnsi" w:hAnsiTheme="majorHAnsi" w:cstheme="majorHAnsi"/>
                <w:color w:val="auto"/>
              </w:rPr>
              <w:t>best</w:t>
            </w:r>
            <w:r w:rsidRPr="00181F0F">
              <w:rPr>
                <w:rFonts w:asciiTheme="majorHAnsi" w:hAnsiTheme="majorHAnsi" w:cstheme="majorHAnsi"/>
                <w:color w:val="auto"/>
              </w:rPr>
              <w:t xml:space="preserve"> </w:t>
            </w:r>
            <w:r w:rsidR="008A532D">
              <w:rPr>
                <w:rFonts w:asciiTheme="majorHAnsi" w:hAnsiTheme="majorHAnsi" w:cstheme="majorHAnsi"/>
                <w:color w:val="auto"/>
              </w:rPr>
              <w:t>o</w:t>
            </w:r>
            <w:r w:rsidR="00DC48C3">
              <w:rPr>
                <w:rFonts w:asciiTheme="majorHAnsi" w:hAnsiTheme="majorHAnsi" w:cstheme="majorHAnsi"/>
                <w:color w:val="auto"/>
              </w:rPr>
              <w:t xml:space="preserve">ption </w:t>
            </w:r>
            <w:r w:rsidR="008A532D">
              <w:rPr>
                <w:rFonts w:asciiTheme="majorHAnsi" w:hAnsiTheme="majorHAnsi" w:cstheme="majorHAnsi"/>
                <w:color w:val="auto"/>
              </w:rPr>
              <w:t>a</w:t>
            </w:r>
            <w:r w:rsidR="006426C6" w:rsidRPr="00181F0F">
              <w:rPr>
                <w:rFonts w:asciiTheme="majorHAnsi" w:hAnsiTheme="majorHAnsi" w:cstheme="majorHAnsi"/>
                <w:color w:val="auto"/>
              </w:rPr>
              <w:t xml:space="preserve">llows </w:t>
            </w:r>
            <w:r w:rsidR="008009A9" w:rsidRPr="00181F0F">
              <w:rPr>
                <w:rFonts w:asciiTheme="majorHAnsi" w:hAnsiTheme="majorHAnsi" w:cstheme="majorHAnsi"/>
                <w:color w:val="auto"/>
              </w:rPr>
              <w:t>sufficient</w:t>
            </w:r>
            <w:r w:rsidR="006426C6" w:rsidRPr="00181F0F">
              <w:rPr>
                <w:rFonts w:asciiTheme="majorHAnsi" w:hAnsiTheme="majorHAnsi" w:cstheme="majorHAnsi"/>
                <w:color w:val="auto"/>
              </w:rPr>
              <w:t xml:space="preserve"> time for testing of regulatory and industry systems.</w:t>
            </w:r>
            <w:r w:rsidR="008009A9" w:rsidRPr="00CF39C8">
              <w:rPr>
                <w:rFonts w:asciiTheme="majorHAnsi" w:hAnsiTheme="majorHAnsi" w:cstheme="majorHAnsi"/>
                <w:color w:val="auto"/>
              </w:rPr>
              <w:t xml:space="preserve"> This measure could control the </w:t>
            </w:r>
            <w:r w:rsidR="009C7D02" w:rsidRPr="00CF39C8">
              <w:rPr>
                <w:rFonts w:asciiTheme="majorHAnsi" w:hAnsiTheme="majorHAnsi" w:cstheme="majorHAnsi"/>
                <w:color w:val="auto"/>
              </w:rPr>
              <w:t>implementation business impact</w:t>
            </w:r>
            <w:r w:rsidR="008009A9" w:rsidRPr="00CF39C8">
              <w:rPr>
                <w:rFonts w:asciiTheme="majorHAnsi" w:hAnsiTheme="majorHAnsi" w:cstheme="majorHAnsi"/>
                <w:color w:val="auto"/>
              </w:rPr>
              <w:t xml:space="preserve">. </w:t>
            </w:r>
          </w:p>
        </w:tc>
        <w:tc>
          <w:tcPr>
            <w:tcW w:w="1657" w:type="dxa"/>
            <w:shd w:val="clear" w:color="auto" w:fill="auto"/>
          </w:tcPr>
          <w:p w14:paraId="13ABE8D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3 – Mostly effective</w:t>
            </w:r>
          </w:p>
          <w:p w14:paraId="4510026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123A01A4"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Risk is likely to be reduced through mitigation however controls will require significant and continuous priority.  </w:t>
            </w:r>
          </w:p>
        </w:tc>
      </w:tr>
      <w:tr w:rsidR="005533D4" w:rsidRPr="00CF39C8" w14:paraId="13EDDE72"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640C207E"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2</w:t>
            </w:r>
          </w:p>
        </w:tc>
        <w:tc>
          <w:tcPr>
            <w:tcW w:w="1592" w:type="dxa"/>
            <w:shd w:val="clear" w:color="auto" w:fill="auto"/>
          </w:tcPr>
          <w:p w14:paraId="40477C48"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Lack of data availability, quality and assurance</w:t>
            </w:r>
          </w:p>
        </w:tc>
        <w:tc>
          <w:tcPr>
            <w:tcW w:w="2397" w:type="dxa"/>
            <w:shd w:val="clear" w:color="auto" w:fill="auto"/>
          </w:tcPr>
          <w:p w14:paraId="1177AF5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Missing or low-quality data will constrict and delay project performance measurement, and the Regulator’s ability to meet its obligations. A lack of data assurance will lower confidence in the program’s overall benefits.</w:t>
            </w:r>
          </w:p>
        </w:tc>
        <w:tc>
          <w:tcPr>
            <w:tcW w:w="1014" w:type="dxa"/>
            <w:shd w:val="clear" w:color="auto" w:fill="auto"/>
          </w:tcPr>
          <w:p w14:paraId="378DBC79"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5384461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Likely (especially in the early years of the NVES program)</w:t>
            </w:r>
          </w:p>
        </w:tc>
        <w:tc>
          <w:tcPr>
            <w:tcW w:w="1436" w:type="dxa"/>
            <w:shd w:val="clear" w:color="auto" w:fill="auto"/>
          </w:tcPr>
          <w:p w14:paraId="148111C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Moderate</w:t>
            </w:r>
          </w:p>
        </w:tc>
        <w:tc>
          <w:tcPr>
            <w:tcW w:w="998" w:type="dxa"/>
            <w:shd w:val="clear" w:color="auto" w:fill="auto"/>
          </w:tcPr>
          <w:p w14:paraId="3693049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4122CDEC"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6F42A6C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hAnsiTheme="majorHAnsi" w:cstheme="majorHAnsi"/>
                <w:color w:val="auto"/>
              </w:rPr>
              <w:t>Early</w:t>
            </w:r>
            <w:r w:rsidRPr="00CF39C8">
              <w:rPr>
                <w:rFonts w:asciiTheme="majorHAnsi" w:eastAsia="Times New Roman" w:hAnsiTheme="majorHAnsi" w:cstheme="majorHAnsi"/>
                <w:color w:val="auto"/>
                <w:lang w:eastAsia="en-AU"/>
              </w:rPr>
              <w:t xml:space="preserve"> scoping and developing of relationships, data availability, needs and testing. </w:t>
            </w:r>
          </w:p>
          <w:p w14:paraId="6B043A03" w14:textId="77777777" w:rsidR="005533D4" w:rsidRPr="00CF39C8" w:rsidDel="00255FAA"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eastAsia="Times New Roman" w:hAnsiTheme="majorHAnsi" w:cstheme="majorHAnsi"/>
                <w:color w:val="auto"/>
                <w:lang w:eastAsia="en-AU"/>
              </w:rPr>
              <w:t>Timely data sharing agreements.</w:t>
            </w:r>
          </w:p>
          <w:p w14:paraId="1C3287B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eastAsia="Times New Roman" w:hAnsiTheme="majorHAnsi" w:cstheme="majorHAnsi"/>
                <w:color w:val="auto"/>
                <w:lang w:eastAsia="en-AU"/>
              </w:rPr>
              <w:t>Privacy risk</w:t>
            </w:r>
            <w:r w:rsidRPr="00CF39C8" w:rsidDel="00255FAA">
              <w:rPr>
                <w:rFonts w:asciiTheme="majorHAnsi" w:eastAsia="Times New Roman" w:hAnsiTheme="majorHAnsi" w:cstheme="majorHAnsi"/>
                <w:color w:val="auto"/>
                <w:lang w:eastAsia="en-AU"/>
              </w:rPr>
              <w:t>s</w:t>
            </w:r>
            <w:r w:rsidRPr="00CF39C8">
              <w:rPr>
                <w:rFonts w:asciiTheme="majorHAnsi" w:eastAsia="Times New Roman" w:hAnsiTheme="majorHAnsi" w:cstheme="majorHAnsi"/>
                <w:color w:val="auto"/>
                <w:lang w:eastAsia="en-AU"/>
              </w:rPr>
              <w:t xml:space="preserve"> </w:t>
            </w:r>
            <w:r w:rsidRPr="00CF39C8" w:rsidDel="00255FAA">
              <w:rPr>
                <w:rFonts w:asciiTheme="majorHAnsi" w:eastAsia="Times New Roman" w:hAnsiTheme="majorHAnsi" w:cstheme="majorHAnsi"/>
                <w:color w:val="auto"/>
                <w:lang w:eastAsia="en-AU"/>
              </w:rPr>
              <w:t xml:space="preserve">will be </w:t>
            </w:r>
            <w:r w:rsidRPr="00CF39C8">
              <w:rPr>
                <w:rFonts w:asciiTheme="majorHAnsi" w:eastAsia="Times New Roman" w:hAnsiTheme="majorHAnsi" w:cstheme="majorHAnsi"/>
                <w:color w:val="auto"/>
                <w:lang w:eastAsia="en-AU"/>
              </w:rPr>
              <w:t>mitig</w:t>
            </w:r>
            <w:r w:rsidRPr="00CF39C8" w:rsidDel="00255FAA">
              <w:rPr>
                <w:rFonts w:asciiTheme="majorHAnsi" w:eastAsia="Times New Roman" w:hAnsiTheme="majorHAnsi" w:cstheme="majorHAnsi"/>
                <w:color w:val="auto"/>
                <w:lang w:eastAsia="en-AU"/>
              </w:rPr>
              <w:t>ated</w:t>
            </w:r>
            <w:r w:rsidRPr="00CF39C8">
              <w:rPr>
                <w:rFonts w:asciiTheme="majorHAnsi" w:eastAsia="Times New Roman" w:hAnsiTheme="majorHAnsi" w:cstheme="majorHAnsi"/>
                <w:color w:val="auto"/>
                <w:lang w:eastAsia="en-AU"/>
              </w:rPr>
              <w:t xml:space="preserve"> and best practice ensured </w:t>
            </w:r>
            <w:r w:rsidRPr="00CF39C8" w:rsidDel="00255FAA">
              <w:rPr>
                <w:rFonts w:asciiTheme="majorHAnsi" w:eastAsia="Times New Roman" w:hAnsiTheme="majorHAnsi" w:cstheme="majorHAnsi"/>
                <w:color w:val="auto"/>
                <w:lang w:eastAsia="en-AU"/>
              </w:rPr>
              <w:t xml:space="preserve">through </w:t>
            </w:r>
            <w:r w:rsidRPr="00CF39C8">
              <w:rPr>
                <w:rFonts w:asciiTheme="majorHAnsi" w:eastAsia="Times New Roman" w:hAnsiTheme="majorHAnsi" w:cstheme="majorHAnsi"/>
                <w:color w:val="auto"/>
                <w:lang w:eastAsia="en-AU"/>
              </w:rPr>
              <w:t xml:space="preserve">strong data release agreements. </w:t>
            </w:r>
          </w:p>
          <w:p w14:paraId="598C5BDA"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eastAsia="Times New Roman" w:hAnsiTheme="majorHAnsi" w:cstheme="majorHAnsi"/>
                <w:color w:val="auto"/>
                <w:lang w:eastAsia="en-AU"/>
              </w:rPr>
              <w:t>Layered assurance through the department’s existing mechanisms, including manufacturer testing site inspections and certified audit obligations.</w:t>
            </w:r>
          </w:p>
        </w:tc>
        <w:tc>
          <w:tcPr>
            <w:tcW w:w="1657" w:type="dxa"/>
            <w:shd w:val="clear" w:color="auto" w:fill="auto"/>
          </w:tcPr>
          <w:p w14:paraId="78ACB02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4 – Very effective</w:t>
            </w:r>
          </w:p>
        </w:tc>
      </w:tr>
      <w:tr w:rsidR="005533D4" w:rsidRPr="00CF39C8" w14:paraId="6A760327" w14:textId="77777777" w:rsidTr="00951A05">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277B8A04"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3</w:t>
            </w:r>
          </w:p>
        </w:tc>
        <w:tc>
          <w:tcPr>
            <w:tcW w:w="1592" w:type="dxa"/>
            <w:shd w:val="clear" w:color="auto" w:fill="auto"/>
          </w:tcPr>
          <w:p w14:paraId="496A83AF"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Lack of stakeholder understanding of the Regulatory system</w:t>
            </w:r>
          </w:p>
        </w:tc>
        <w:tc>
          <w:tcPr>
            <w:tcW w:w="2397" w:type="dxa"/>
            <w:shd w:val="clear" w:color="auto" w:fill="auto"/>
          </w:tcPr>
          <w:p w14:paraId="164AAE50"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Stakeholder consultation identified the importance of transparent, credible and robust standards. </w:t>
            </w:r>
          </w:p>
        </w:tc>
        <w:tc>
          <w:tcPr>
            <w:tcW w:w="1014" w:type="dxa"/>
            <w:shd w:val="clear" w:color="auto" w:fill="auto"/>
          </w:tcPr>
          <w:p w14:paraId="4A0DEF74"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13A81E6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33A3AA37"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Moderate</w:t>
            </w:r>
          </w:p>
        </w:tc>
        <w:tc>
          <w:tcPr>
            <w:tcW w:w="998" w:type="dxa"/>
            <w:shd w:val="clear" w:color="auto" w:fill="auto"/>
          </w:tcPr>
          <w:p w14:paraId="28C5D46D"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p w14:paraId="4873284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1013" w:type="dxa"/>
            <w:shd w:val="clear" w:color="auto" w:fill="auto"/>
          </w:tcPr>
          <w:p w14:paraId="04DCD4A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26D5FE1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Frequent, ongoing and transparent engagement and development of stakeholder relationships. Targeted industry communication strategies.  </w:t>
            </w:r>
          </w:p>
        </w:tc>
        <w:tc>
          <w:tcPr>
            <w:tcW w:w="1657" w:type="dxa"/>
            <w:shd w:val="clear" w:color="auto" w:fill="auto"/>
          </w:tcPr>
          <w:p w14:paraId="7A820E9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5 – Strong </w:t>
            </w:r>
          </w:p>
        </w:tc>
      </w:tr>
      <w:tr w:rsidR="005533D4" w:rsidRPr="00CF39C8" w14:paraId="25F37FAE"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C63E2C8"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4</w:t>
            </w:r>
          </w:p>
        </w:tc>
        <w:tc>
          <w:tcPr>
            <w:tcW w:w="1592" w:type="dxa"/>
            <w:shd w:val="clear" w:color="auto" w:fill="auto"/>
          </w:tcPr>
          <w:p w14:paraId="2EFFF6E9"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Lack of solutions to overcome </w:t>
            </w:r>
            <w:r w:rsidRPr="00CF39C8">
              <w:rPr>
                <w:rFonts w:asciiTheme="majorHAnsi" w:eastAsia="Times New Roman" w:hAnsiTheme="majorHAnsi" w:cstheme="majorHAnsi"/>
                <w:color w:val="auto"/>
              </w:rPr>
              <w:t>infrastructure limitations resulting in a barrier for consumer uptake</w:t>
            </w:r>
          </w:p>
        </w:tc>
        <w:tc>
          <w:tcPr>
            <w:tcW w:w="2397" w:type="dxa"/>
            <w:shd w:val="clear" w:color="auto" w:fill="auto"/>
          </w:tcPr>
          <w:p w14:paraId="2CB023D5"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in particular, emissions abatement. Lack of infrastructure solutions will impact political reputation and relationships with stakeholders, including local governments and the public. </w:t>
            </w:r>
          </w:p>
        </w:tc>
        <w:tc>
          <w:tcPr>
            <w:tcW w:w="1014" w:type="dxa"/>
            <w:shd w:val="clear" w:color="auto" w:fill="auto"/>
          </w:tcPr>
          <w:p w14:paraId="7C5B7E6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5D0C9E4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48206BBF"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Minor</w:t>
            </w:r>
          </w:p>
        </w:tc>
        <w:tc>
          <w:tcPr>
            <w:tcW w:w="998" w:type="dxa"/>
            <w:shd w:val="clear" w:color="auto" w:fill="auto"/>
          </w:tcPr>
          <w:p w14:paraId="1ED25E7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Low</w:t>
            </w:r>
          </w:p>
        </w:tc>
        <w:tc>
          <w:tcPr>
            <w:tcW w:w="1013" w:type="dxa"/>
            <w:shd w:val="clear" w:color="auto" w:fill="auto"/>
          </w:tcPr>
          <w:p w14:paraId="077E100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0A38F957"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cstheme="minorHAnsi"/>
                <w:color w:val="auto"/>
              </w:rPr>
              <w:t xml:space="preserve">Consultation and policy development in collaboration with states and </w:t>
            </w:r>
            <w:r w:rsidR="005A655D" w:rsidRPr="00CF39C8">
              <w:rPr>
                <w:rFonts w:cstheme="minorHAnsi"/>
                <w:color w:val="auto"/>
              </w:rPr>
              <w:t>terr</w:t>
            </w:r>
            <w:r w:rsidR="005A655D">
              <w:rPr>
                <w:rFonts w:cstheme="minorHAnsi"/>
                <w:color w:val="auto"/>
              </w:rPr>
              <w:t>itories</w:t>
            </w:r>
            <w:r w:rsidR="005A655D" w:rsidRPr="00CF39C8">
              <w:rPr>
                <w:rFonts w:cstheme="minorHAnsi"/>
                <w:color w:val="auto"/>
              </w:rPr>
              <w:t xml:space="preserve"> </w:t>
            </w:r>
            <w:r w:rsidRPr="00CF39C8">
              <w:rPr>
                <w:rFonts w:cstheme="minorHAnsi"/>
                <w:color w:val="auto"/>
              </w:rPr>
              <w:t xml:space="preserve">to combat infrastructure limitations. </w:t>
            </w:r>
          </w:p>
        </w:tc>
        <w:tc>
          <w:tcPr>
            <w:tcW w:w="1657" w:type="dxa"/>
            <w:shd w:val="clear" w:color="auto" w:fill="auto"/>
          </w:tcPr>
          <w:p w14:paraId="46C2459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3 – Mostly effective</w:t>
            </w:r>
          </w:p>
        </w:tc>
      </w:tr>
      <w:tr w:rsidR="005533D4" w:rsidRPr="00CF39C8" w14:paraId="2FE375FE" w14:textId="77777777" w:rsidTr="00951A05">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0975EBF0"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5</w:t>
            </w:r>
          </w:p>
        </w:tc>
        <w:tc>
          <w:tcPr>
            <w:tcW w:w="1592" w:type="dxa"/>
            <w:shd w:val="clear" w:color="auto" w:fill="auto"/>
          </w:tcPr>
          <w:p w14:paraId="0BE912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eastAsia="Times New Roman" w:hAnsiTheme="majorHAnsi" w:cstheme="majorHAnsi"/>
                <w:color w:val="auto"/>
              </w:rPr>
              <w:t>Increased supply chain complexities for manufacturers</w:t>
            </w:r>
            <w:r w:rsidRPr="00CF39C8">
              <w:rPr>
                <w:rFonts w:asciiTheme="majorHAnsi" w:eastAsia="Times New Roman" w:hAnsiTheme="majorHAnsi" w:cstheme="majorHAnsi"/>
                <w:b/>
                <w:color w:val="auto"/>
              </w:rPr>
              <w:t xml:space="preserve">, </w:t>
            </w:r>
            <w:r w:rsidRPr="00CF39C8">
              <w:rPr>
                <w:rFonts w:asciiTheme="majorHAnsi" w:eastAsia="Times New Roman" w:hAnsiTheme="majorHAnsi" w:cstheme="majorHAnsi"/>
                <w:color w:val="auto"/>
              </w:rPr>
              <w:t>in relation to the critical minerals and other resources needed for the manufacture of zero emissions vehicles</w:t>
            </w:r>
          </w:p>
        </w:tc>
        <w:tc>
          <w:tcPr>
            <w:tcW w:w="2397" w:type="dxa"/>
            <w:shd w:val="clear" w:color="auto" w:fill="auto"/>
          </w:tcPr>
          <w:p w14:paraId="078060C9"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supply of vehicles to Australian market and relationships with stakeholders including industry and the public. </w:t>
            </w:r>
          </w:p>
        </w:tc>
        <w:tc>
          <w:tcPr>
            <w:tcW w:w="1014" w:type="dxa"/>
            <w:shd w:val="clear" w:color="auto" w:fill="auto"/>
          </w:tcPr>
          <w:p w14:paraId="630DB21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1F77247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Unlikely</w:t>
            </w:r>
          </w:p>
        </w:tc>
        <w:tc>
          <w:tcPr>
            <w:tcW w:w="1436" w:type="dxa"/>
            <w:shd w:val="clear" w:color="auto" w:fill="auto"/>
          </w:tcPr>
          <w:p w14:paraId="38BE6423"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7B145F10"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578FEC89"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47722A3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Frequent, ongoing and transparent engagement and development of industry relationships, in line with NVES objectives.</w:t>
            </w:r>
          </w:p>
        </w:tc>
        <w:tc>
          <w:tcPr>
            <w:tcW w:w="1657" w:type="dxa"/>
            <w:shd w:val="clear" w:color="auto" w:fill="auto"/>
          </w:tcPr>
          <w:p w14:paraId="01C9A59F"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 xml:space="preserve">2 – Gaps exist </w:t>
            </w:r>
          </w:p>
        </w:tc>
      </w:tr>
      <w:tr w:rsidR="005533D4" w:rsidRPr="00CF39C8" w14:paraId="2A0EC857"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43251B7"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6</w:t>
            </w:r>
          </w:p>
        </w:tc>
        <w:tc>
          <w:tcPr>
            <w:tcW w:w="1592" w:type="dxa"/>
            <w:shd w:val="clear" w:color="auto" w:fill="auto"/>
          </w:tcPr>
          <w:p w14:paraId="5975AC0D"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rPr>
            </w:pPr>
            <w:r w:rsidRPr="00CF39C8">
              <w:rPr>
                <w:rFonts w:asciiTheme="majorHAnsi" w:eastAsia="Times New Roman" w:hAnsiTheme="majorHAnsi" w:cstheme="majorHAnsi"/>
                <w:color w:val="auto"/>
              </w:rPr>
              <w:t>Insufficient large-scale consumer awareness and adoption of low to zero emissions vehicles and technology</w:t>
            </w:r>
          </w:p>
        </w:tc>
        <w:tc>
          <w:tcPr>
            <w:tcW w:w="2397" w:type="dxa"/>
            <w:shd w:val="clear" w:color="auto" w:fill="auto"/>
          </w:tcPr>
          <w:p w14:paraId="12564F0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including emissions abatement and international reduction obligations. </w:t>
            </w:r>
          </w:p>
        </w:tc>
        <w:tc>
          <w:tcPr>
            <w:tcW w:w="1014" w:type="dxa"/>
            <w:shd w:val="clear" w:color="auto" w:fill="auto"/>
          </w:tcPr>
          <w:p w14:paraId="1421C2DE"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6E3D6888"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Unlikely</w:t>
            </w:r>
          </w:p>
        </w:tc>
        <w:tc>
          <w:tcPr>
            <w:tcW w:w="1436" w:type="dxa"/>
            <w:shd w:val="clear" w:color="auto" w:fill="auto"/>
          </w:tcPr>
          <w:p w14:paraId="44E017DA"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63FFD62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68C71C0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398A7F6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Undertake public consultation and education campaign to raise consumer awareness and knowledge. </w:t>
            </w:r>
          </w:p>
        </w:tc>
        <w:tc>
          <w:tcPr>
            <w:tcW w:w="1657" w:type="dxa"/>
            <w:shd w:val="clear" w:color="auto" w:fill="auto"/>
          </w:tcPr>
          <w:p w14:paraId="1145490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 xml:space="preserve">5 – Strong </w:t>
            </w:r>
          </w:p>
        </w:tc>
      </w:tr>
    </w:tbl>
    <w:p w14:paraId="142879B1" w14:textId="77777777" w:rsidR="005533D4" w:rsidRPr="00CF39C8" w:rsidRDefault="005533D4" w:rsidP="00BD0BFA">
      <w:pPr>
        <w:rPr>
          <w:rFonts w:asciiTheme="majorHAnsi" w:hAnsiTheme="majorHAnsi" w:cstheme="majorHAnsi"/>
        </w:rPr>
      </w:pPr>
    </w:p>
    <w:p w14:paraId="6FD124BC" w14:textId="77777777" w:rsidR="005533D4" w:rsidRPr="00CF39C8" w:rsidRDefault="005533D4" w:rsidP="00BD0BFA">
      <w:pPr>
        <w:rPr>
          <w:rFonts w:asciiTheme="majorHAnsi" w:hAnsiTheme="majorHAnsi" w:cstheme="majorHAnsi"/>
        </w:rPr>
        <w:sectPr w:rsidR="005533D4" w:rsidRPr="00CF39C8" w:rsidSect="002F1EE2">
          <w:pgSz w:w="16838" w:h="11906" w:orient="landscape" w:code="9"/>
          <w:pgMar w:top="1276" w:right="1021" w:bottom="1134" w:left="851" w:header="510" w:footer="567" w:gutter="0"/>
          <w:cols w:space="708"/>
          <w:docGrid w:linePitch="360"/>
        </w:sectPr>
      </w:pPr>
    </w:p>
    <w:p w14:paraId="457B2B4B" w14:textId="77777777" w:rsidR="00237020" w:rsidRPr="00CF39C8" w:rsidRDefault="00237020" w:rsidP="005533D4">
      <w:pPr>
        <w:rPr>
          <w:rFonts w:asciiTheme="majorHAnsi" w:hAnsiTheme="majorHAnsi" w:cstheme="majorHAnsi"/>
        </w:rPr>
      </w:pPr>
    </w:p>
    <w:sectPr w:rsidR="00237020" w:rsidRPr="00CF39C8" w:rsidSect="007150AB">
      <w:pgSz w:w="11906" w:h="16838" w:code="9"/>
      <w:pgMar w:top="1021" w:right="1134" w:bottom="851" w:left="1276"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E4DE3" w14:textId="77777777" w:rsidR="007C58DB" w:rsidRDefault="007C58DB" w:rsidP="008456D5">
      <w:pPr>
        <w:spacing w:after="0"/>
      </w:pPr>
      <w:r>
        <w:separator/>
      </w:r>
    </w:p>
  </w:endnote>
  <w:endnote w:type="continuationSeparator" w:id="0">
    <w:p w14:paraId="5C4F1303" w14:textId="77777777" w:rsidR="007C58DB" w:rsidRDefault="007C58DB" w:rsidP="008456D5">
      <w:pPr>
        <w:spacing w:after="0"/>
      </w:pPr>
      <w:r>
        <w:continuationSeparator/>
      </w:r>
    </w:p>
  </w:endnote>
  <w:endnote w:type="continuationNotice" w:id="1">
    <w:p w14:paraId="708C8194" w14:textId="77777777" w:rsidR="007C58DB" w:rsidRDefault="007C58DB">
      <w:pPr>
        <w:spacing w:after="0"/>
      </w:pPr>
    </w:p>
  </w:endnote>
  <w:endnote w:id="2">
    <w:p w14:paraId="47880F44" w14:textId="77777777" w:rsidR="00BD7C09" w:rsidRPr="00A44EEE" w:rsidRDefault="00BD7C09" w:rsidP="00912CDC">
      <w:pPr>
        <w:pStyle w:val="EndnoteText"/>
        <w:rPr>
          <w:sz w:val="16"/>
          <w:szCs w:val="16"/>
        </w:rPr>
      </w:pPr>
      <w:r w:rsidRPr="00A44EEE">
        <w:rPr>
          <w:rStyle w:val="EndnoteReference"/>
          <w:sz w:val="16"/>
          <w:szCs w:val="16"/>
        </w:rPr>
        <w:endnoteRef/>
      </w:r>
      <w:r w:rsidRPr="00DF3B59">
        <w:rPr>
          <w:sz w:val="16"/>
          <w:szCs w:val="16"/>
        </w:rPr>
        <w:t xml:space="preserve"> </w:t>
      </w:r>
      <w:r>
        <w:rPr>
          <w:sz w:val="16"/>
          <w:szCs w:val="16"/>
        </w:rPr>
        <w:t>ABS (</w:t>
      </w:r>
      <w:r w:rsidRPr="00DF3B59">
        <w:rPr>
          <w:sz w:val="16"/>
          <w:szCs w:val="16"/>
        </w:rPr>
        <w:t>Australian Bureau of Statistics</w:t>
      </w:r>
      <w:r>
        <w:rPr>
          <w:sz w:val="16"/>
          <w:szCs w:val="16"/>
        </w:rPr>
        <w:t xml:space="preserve">) (2020) </w:t>
      </w:r>
      <w:r w:rsidRPr="00664437">
        <w:rPr>
          <w:sz w:val="16"/>
          <w:szCs w:val="16"/>
          <w:u w:val="single"/>
        </w:rPr>
        <w:t>Survey of Motor Vehicle Use, Australia, 12 Months ended 30 June 2020</w:t>
      </w:r>
      <w:r>
        <w:rPr>
          <w:sz w:val="16"/>
          <w:szCs w:val="16"/>
        </w:rPr>
        <w:t xml:space="preserve">, ABS website accessed 10 November 2023 </w:t>
      </w:r>
    </w:p>
  </w:endnote>
  <w:endnote w:id="3">
    <w:p w14:paraId="49BE7779" w14:textId="77777777" w:rsidR="00BD7C09" w:rsidRPr="00A44EEE" w:rsidRDefault="00BD7C09" w:rsidP="00A04611">
      <w:pPr>
        <w:pStyle w:val="EndnoteText"/>
        <w:rPr>
          <w:sz w:val="16"/>
          <w:szCs w:val="16"/>
        </w:rPr>
      </w:pPr>
      <w:r w:rsidRPr="004826AE">
        <w:rPr>
          <w:rStyle w:val="EndnoteReference"/>
          <w:sz w:val="16"/>
          <w:szCs w:val="16"/>
        </w:rPr>
        <w:endnoteRef/>
      </w:r>
      <w:r w:rsidRPr="004826A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(Department of the Prime Minister and Cabinet) website accessed on 9 October 2023</w:t>
      </w:r>
    </w:p>
  </w:endnote>
  <w:endnote w:id="4">
    <w:p w14:paraId="2AFA39A5" w14:textId="77777777" w:rsidR="00BD7C09" w:rsidRPr="00DA3116" w:rsidRDefault="00BD7C09">
      <w:pPr>
        <w:pStyle w:val="EndnoteText"/>
        <w:rPr>
          <w:lang w:val="en-US"/>
        </w:rPr>
      </w:pPr>
      <w:r w:rsidRPr="00DA3116">
        <w:rPr>
          <w:rStyle w:val="EndnoteReference"/>
          <w:sz w:val="16"/>
        </w:rPr>
        <w:endnoteRef/>
      </w:r>
      <w:r w:rsidRPr="00DA3116">
        <w:rPr>
          <w:sz w:val="16"/>
        </w:rPr>
        <w:t xml:space="preserve"> </w:t>
      </w:r>
      <w:r w:rsidRPr="00DA3116">
        <w:rPr>
          <w:sz w:val="16"/>
          <w:lang w:val="en-US"/>
        </w:rPr>
        <w:t>Electric Vehicle Council; Australian Electric Vehicle Industry Recap 2023, accessed 21 March 2023</w:t>
      </w:r>
    </w:p>
  </w:endnote>
  <w:endnote w:id="5">
    <w:p w14:paraId="5C823CDE" w14:textId="77777777" w:rsidR="00BD7C09" w:rsidRPr="00A44EEE" w:rsidRDefault="00BD7C09" w:rsidP="00281452">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Mr Bartsch’s successor, Mr Paul Sansom has made similar public statements, e.g., the Australian</w:t>
      </w:r>
      <w:r>
        <w:rPr>
          <w:sz w:val="16"/>
          <w:szCs w:val="16"/>
          <w:lang w:val="en-US"/>
        </w:rPr>
        <w:t>,</w:t>
      </w:r>
      <w:r w:rsidRPr="00A44EEE">
        <w:rPr>
          <w:sz w:val="16"/>
          <w:szCs w:val="16"/>
          <w:lang w:val="en-US"/>
        </w:rPr>
        <w:t xml:space="preserve"> </w:t>
      </w:r>
      <w:r w:rsidRPr="00A44EEE">
        <w:rPr>
          <w:i/>
          <w:sz w:val="16"/>
          <w:szCs w:val="16"/>
          <w:lang w:val="en-US"/>
        </w:rPr>
        <w:t>Desire for EVs shifts up a gear, now the law must keep up</w:t>
      </w:r>
      <w:r w:rsidRPr="00A44EEE">
        <w:rPr>
          <w:sz w:val="16"/>
          <w:szCs w:val="16"/>
          <w:lang w:val="en-US"/>
        </w:rPr>
        <w:t>,</w:t>
      </w:r>
      <w:r>
        <w:rPr>
          <w:sz w:val="16"/>
          <w:szCs w:val="16"/>
          <w:lang w:val="en-US"/>
        </w:rPr>
        <w:t xml:space="preserve"> published on 4 June 2022,</w:t>
      </w:r>
      <w:r w:rsidRPr="00A44EEE">
        <w:rPr>
          <w:sz w:val="16"/>
          <w:szCs w:val="16"/>
          <w:lang w:val="en-US"/>
        </w:rPr>
        <w:t xml:space="preserve"> </w:t>
      </w:r>
      <w:r w:rsidRPr="00E97E04">
        <w:rPr>
          <w:sz w:val="16"/>
          <w:szCs w:val="16"/>
          <w:lang w:val="en-US"/>
        </w:rPr>
        <w:t>The</w:t>
      </w:r>
      <w:r w:rsidRPr="00E97E04">
        <w:rPr>
          <w:rStyle w:val="Hyperlink"/>
          <w:color w:val="auto"/>
          <w:sz w:val="16"/>
          <w:szCs w:val="16"/>
          <w:u w:val="none"/>
          <w:lang w:val="en-US"/>
        </w:rPr>
        <w:t xml:space="preserve"> Australian website accessed on 23 November 2023</w:t>
      </w:r>
      <w:r w:rsidRPr="00E97E04">
        <w:rPr>
          <w:sz w:val="16"/>
          <w:szCs w:val="16"/>
          <w:lang w:val="en-US"/>
        </w:rPr>
        <w:t xml:space="preserve"> </w:t>
      </w:r>
    </w:p>
  </w:endnote>
  <w:endnote w:id="6">
    <w:p w14:paraId="0B65E6E5" w14:textId="77777777" w:rsidR="00BD7C09" w:rsidRPr="00A44EEE" w:rsidRDefault="00BD7C09" w:rsidP="00D6545A">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 xml:space="preserve">Car Sales, </w:t>
      </w:r>
      <w:r w:rsidRPr="00A44EEE">
        <w:rPr>
          <w:i/>
          <w:sz w:val="16"/>
          <w:szCs w:val="16"/>
          <w:lang w:val="en-US"/>
        </w:rPr>
        <w:t>Australia a “dumping ground” for old tech, says VW</w:t>
      </w:r>
      <w:r w:rsidRPr="00A44EEE">
        <w:rPr>
          <w:sz w:val="16"/>
          <w:szCs w:val="16"/>
          <w:lang w:val="en-US"/>
        </w:rPr>
        <w:t>,</w:t>
      </w:r>
      <w:r>
        <w:rPr>
          <w:sz w:val="16"/>
          <w:szCs w:val="16"/>
          <w:lang w:val="en-US"/>
        </w:rPr>
        <w:t xml:space="preserve"> published on 9 April 2021, Car Sales website accessed on 23 November 2023</w:t>
      </w:r>
    </w:p>
  </w:endnote>
  <w:endnote w:id="7">
    <w:p w14:paraId="5F57954A" w14:textId="77777777" w:rsidR="00BD7C09" w:rsidRPr="00A44EEE" w:rsidRDefault="00BD7C09" w:rsidP="00D6545A">
      <w:pPr>
        <w:pStyle w:val="EndnoteText"/>
        <w:rPr>
          <w:sz w:val="16"/>
          <w:szCs w:val="16"/>
          <w:lang w:val="en-US"/>
        </w:rPr>
      </w:pPr>
      <w:r w:rsidRPr="00A44EEE">
        <w:rPr>
          <w:rStyle w:val="EndnoteReference"/>
          <w:sz w:val="16"/>
          <w:szCs w:val="16"/>
        </w:rPr>
        <w:endnoteRef/>
      </w:r>
      <w:r w:rsidRPr="00A44EEE">
        <w:rPr>
          <w:sz w:val="16"/>
          <w:szCs w:val="16"/>
        </w:rPr>
        <w:t xml:space="preserve"> ABC News, </w:t>
      </w:r>
      <w:r w:rsidRPr="00A44EEE">
        <w:rPr>
          <w:i/>
          <w:sz w:val="16"/>
          <w:szCs w:val="16"/>
        </w:rPr>
        <w:t>Car makers say lack of emissions regulations putting handbrake on electric vehicles in Australia</w:t>
      </w:r>
      <w:r w:rsidRPr="00A44EEE">
        <w:rPr>
          <w:sz w:val="16"/>
          <w:szCs w:val="16"/>
        </w:rPr>
        <w:t xml:space="preserve">, </w:t>
      </w:r>
      <w:r>
        <w:rPr>
          <w:sz w:val="16"/>
          <w:szCs w:val="16"/>
        </w:rPr>
        <w:t>published on 10 November 2021, ABC website accessed on 23 November 2023</w:t>
      </w:r>
    </w:p>
  </w:endnote>
  <w:endnote w:id="8">
    <w:p w14:paraId="3E071744"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Green</w:t>
      </w:r>
      <w:r>
        <w:rPr>
          <w:sz w:val="16"/>
          <w:szCs w:val="16"/>
        </w:rPr>
        <w:t>, D</w:t>
      </w:r>
      <w:r w:rsidRPr="00DF3B59">
        <w:rPr>
          <w:sz w:val="16"/>
          <w:szCs w:val="16"/>
        </w:rPr>
        <w:t xml:space="preserve"> </w:t>
      </w:r>
      <w:r>
        <w:rPr>
          <w:sz w:val="16"/>
          <w:szCs w:val="16"/>
        </w:rPr>
        <w:t>(</w:t>
      </w:r>
      <w:r w:rsidRPr="00DF3B59">
        <w:rPr>
          <w:sz w:val="16"/>
          <w:szCs w:val="16"/>
        </w:rPr>
        <w:t>2010</w:t>
      </w:r>
      <w:r>
        <w:rPr>
          <w:sz w:val="16"/>
          <w:szCs w:val="16"/>
        </w:rPr>
        <w:t>)</w:t>
      </w:r>
      <w:r w:rsidRPr="00DF3B59">
        <w:rPr>
          <w:sz w:val="16"/>
          <w:szCs w:val="16"/>
        </w:rPr>
        <w:t xml:space="preserve"> </w:t>
      </w:r>
      <w:r w:rsidRPr="001A658A">
        <w:rPr>
          <w:sz w:val="16"/>
          <w:szCs w:val="16"/>
          <w:u w:val="single"/>
        </w:rPr>
        <w:t>Why the Market for New Passenger Cars Generally Undervalues Fuel Economy</w:t>
      </w:r>
      <w:r w:rsidRPr="00DF3B59">
        <w:rPr>
          <w:sz w:val="16"/>
          <w:szCs w:val="16"/>
        </w:rPr>
        <w:t xml:space="preserve">, </w:t>
      </w:r>
      <w:r>
        <w:rPr>
          <w:sz w:val="16"/>
          <w:szCs w:val="16"/>
        </w:rPr>
        <w:t xml:space="preserve">OECD/ITF </w:t>
      </w:r>
      <w:r w:rsidRPr="00DF3B59">
        <w:rPr>
          <w:sz w:val="16"/>
          <w:szCs w:val="16"/>
        </w:rPr>
        <w:t>Joint Transport Research Centre Discussion Paper No.</w:t>
      </w:r>
      <w:r>
        <w:rPr>
          <w:sz w:val="16"/>
          <w:szCs w:val="16"/>
        </w:rPr>
        <w:t xml:space="preserve"> </w:t>
      </w:r>
      <w:r w:rsidRPr="00DF3B59">
        <w:rPr>
          <w:sz w:val="16"/>
          <w:szCs w:val="16"/>
        </w:rPr>
        <w:t xml:space="preserve">2010-6, </w:t>
      </w:r>
      <w:r>
        <w:rPr>
          <w:sz w:val="16"/>
          <w:szCs w:val="16"/>
        </w:rPr>
        <w:t>Paris</w:t>
      </w:r>
    </w:p>
  </w:endnote>
  <w:endnote w:id="9">
    <w:p w14:paraId="31146E4F"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ACCC </w:t>
      </w:r>
      <w:r>
        <w:rPr>
          <w:sz w:val="16"/>
          <w:szCs w:val="16"/>
        </w:rPr>
        <w:t>(</w:t>
      </w:r>
      <w:r w:rsidRPr="00DF3B59">
        <w:rPr>
          <w:sz w:val="16"/>
          <w:szCs w:val="16"/>
        </w:rPr>
        <w:t>Australian Competition and Consumer Commission</w:t>
      </w:r>
      <w:r>
        <w:rPr>
          <w:sz w:val="16"/>
          <w:szCs w:val="16"/>
        </w:rPr>
        <w:t>)</w:t>
      </w:r>
      <w:r w:rsidRPr="00DF3B59">
        <w:rPr>
          <w:sz w:val="16"/>
          <w:szCs w:val="16"/>
        </w:rPr>
        <w:t xml:space="preserve"> (2017), </w:t>
      </w:r>
      <w:r w:rsidRPr="003E624B">
        <w:rPr>
          <w:sz w:val="16"/>
          <w:szCs w:val="16"/>
          <w:u w:val="single"/>
        </w:rPr>
        <w:t xml:space="preserve">New Car Retailing Industry, </w:t>
      </w:r>
      <w:r>
        <w:rPr>
          <w:sz w:val="16"/>
          <w:szCs w:val="16"/>
          <w:u w:val="single"/>
        </w:rPr>
        <w:t>a</w:t>
      </w:r>
      <w:r w:rsidRPr="003E624B">
        <w:rPr>
          <w:sz w:val="16"/>
          <w:szCs w:val="16"/>
          <w:u w:val="single"/>
        </w:rPr>
        <w:t xml:space="preserve"> market study by the ACCC</w:t>
      </w:r>
      <w:r w:rsidRPr="00DF3B59">
        <w:rPr>
          <w:sz w:val="16"/>
          <w:szCs w:val="16"/>
        </w:rPr>
        <w:t>,</w:t>
      </w:r>
      <w:r>
        <w:rPr>
          <w:sz w:val="16"/>
          <w:szCs w:val="16"/>
        </w:rPr>
        <w:t xml:space="preserve"> ACCC website accessed 4</w:t>
      </w:r>
      <w:r w:rsidRPr="00DF3B59">
        <w:rPr>
          <w:sz w:val="16"/>
          <w:szCs w:val="16"/>
        </w:rPr>
        <w:t xml:space="preserve"> December </w:t>
      </w:r>
      <w:r>
        <w:rPr>
          <w:sz w:val="16"/>
          <w:szCs w:val="16"/>
        </w:rPr>
        <w:t>2023</w:t>
      </w:r>
    </w:p>
  </w:endnote>
  <w:endnote w:id="10">
    <w:p w14:paraId="77D8A809" w14:textId="77777777" w:rsidR="00BD7C09" w:rsidRPr="00A44EEE"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Climate Change Authority (2017) </w:t>
      </w:r>
      <w:r w:rsidRPr="005B018D">
        <w:rPr>
          <w:sz w:val="16"/>
          <w:szCs w:val="16"/>
          <w:u w:val="single"/>
        </w:rPr>
        <w:t>Light Vehicle Emissions Standards for Australia: Research Report</w:t>
      </w:r>
      <w:r>
        <w:rPr>
          <w:sz w:val="16"/>
          <w:szCs w:val="16"/>
        </w:rPr>
        <w:t>, Climate Change Authority website accessed on 30 November 2023</w:t>
      </w:r>
    </w:p>
  </w:endnote>
  <w:endnote w:id="11">
    <w:p w14:paraId="4DB34B38" w14:textId="77777777" w:rsidR="00BD7C09" w:rsidRPr="005B018D"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CarExpert, </w:t>
      </w:r>
      <w:r w:rsidRPr="005B018D">
        <w:rPr>
          <w:i/>
          <w:sz w:val="16"/>
          <w:szCs w:val="16"/>
        </w:rPr>
        <w:t>Hyundai 'excited' by chance to shape Australia's national EV plan</w:t>
      </w:r>
      <w:r>
        <w:rPr>
          <w:sz w:val="16"/>
          <w:szCs w:val="16"/>
        </w:rPr>
        <w:t>, published on 7 October 2022, CarExpert website accessed on 23 November 2023</w:t>
      </w:r>
    </w:p>
  </w:endnote>
  <w:endnote w:id="12">
    <w:p w14:paraId="72597730" w14:textId="77777777" w:rsidR="00BD7C09" w:rsidRPr="00A44EEE"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The Driven, </w:t>
      </w:r>
      <w:r w:rsidRPr="00E97E04">
        <w:rPr>
          <w:i/>
          <w:sz w:val="16"/>
          <w:szCs w:val="16"/>
        </w:rPr>
        <w:t>VW: If we had fuel standards today, we could bring in electric cars tomorrow</w:t>
      </w:r>
      <w:r>
        <w:rPr>
          <w:sz w:val="16"/>
          <w:szCs w:val="16"/>
        </w:rPr>
        <w:t>, published 19 August 2022, The Driven website accessed on 24 November</w:t>
      </w:r>
    </w:p>
  </w:endnote>
  <w:endnote w:id="13">
    <w:p w14:paraId="6D3E5017" w14:textId="77777777" w:rsidR="00BD7C09" w:rsidRPr="006371DD" w:rsidRDefault="00BD7C09">
      <w:pPr>
        <w:pStyle w:val="EndnoteText"/>
        <w:rPr>
          <w:sz w:val="16"/>
          <w:szCs w:val="16"/>
          <w:lang w:val="en-US"/>
        </w:rPr>
      </w:pPr>
      <w:r w:rsidRPr="00A44EEE">
        <w:rPr>
          <w:rStyle w:val="EndnoteReference"/>
          <w:sz w:val="16"/>
          <w:szCs w:val="16"/>
        </w:rPr>
        <w:endnoteRef/>
      </w:r>
      <w:r w:rsidRPr="00A44EEE">
        <w:rPr>
          <w:sz w:val="16"/>
          <w:szCs w:val="16"/>
        </w:rPr>
        <w:t xml:space="preserve"> </w:t>
      </w:r>
      <w:r w:rsidRPr="006371DD">
        <w:rPr>
          <w:sz w:val="16"/>
          <w:szCs w:val="16"/>
          <w:lang w:val="en-US"/>
        </w:rPr>
        <w:t xml:space="preserve">See AAA (Australian Automobile Association) (2023) </w:t>
      </w:r>
      <w:r w:rsidRPr="006371DD">
        <w:rPr>
          <w:sz w:val="16"/>
          <w:szCs w:val="16"/>
          <w:u w:val="single"/>
        </w:rPr>
        <w:t>Real-World Testing Program</w:t>
      </w:r>
      <w:r w:rsidRPr="006371DD">
        <w:rPr>
          <w:sz w:val="16"/>
          <w:szCs w:val="16"/>
        </w:rPr>
        <w:t>, AAA website accessed on 12 December 2023</w:t>
      </w:r>
    </w:p>
  </w:endnote>
  <w:endnote w:id="14">
    <w:p w14:paraId="0A9372AD" w14:textId="77777777" w:rsidR="00BD7C09" w:rsidRPr="006371DD" w:rsidRDefault="00BD7C09">
      <w:pPr>
        <w:pStyle w:val="EndnoteText"/>
        <w:rPr>
          <w:sz w:val="16"/>
          <w:szCs w:val="16"/>
          <w:lang w:val="en-US"/>
        </w:rPr>
      </w:pPr>
      <w:r w:rsidRPr="006371DD">
        <w:rPr>
          <w:rStyle w:val="EndnoteReference"/>
          <w:sz w:val="16"/>
          <w:szCs w:val="16"/>
        </w:rPr>
        <w:endnoteRef/>
      </w:r>
      <w:r w:rsidRPr="006371DD">
        <w:rPr>
          <w:sz w:val="16"/>
          <w:szCs w:val="16"/>
        </w:rPr>
        <w:t xml:space="preserve"> </w:t>
      </w:r>
      <w:r w:rsidRPr="006371DD">
        <w:rPr>
          <w:sz w:val="16"/>
          <w:szCs w:val="16"/>
          <w:lang w:val="en-US"/>
        </w:rPr>
        <w:t xml:space="preserve">For passenger and light commercial vehicles. </w:t>
      </w:r>
      <w:r w:rsidRPr="006371DD">
        <w:rPr>
          <w:sz w:val="16"/>
          <w:szCs w:val="16"/>
          <w:u w:val="single"/>
          <w:lang w:val="en-US"/>
        </w:rPr>
        <w:t>Survey of Motor Vehicle Use</w:t>
      </w:r>
      <w:r w:rsidRPr="006371DD">
        <w:rPr>
          <w:sz w:val="16"/>
          <w:szCs w:val="16"/>
          <w:lang w:val="en-US"/>
        </w:rPr>
        <w:t>, see https://www.abs.gov.au/statistics/industry/tourism-and-transport/survey-motor-vehicle-use-australia/latest-release</w:t>
      </w:r>
    </w:p>
  </w:endnote>
  <w:endnote w:id="15">
    <w:p w14:paraId="55A3151D" w14:textId="77777777" w:rsidR="00BD7C09" w:rsidRPr="00DF3B59" w:rsidRDefault="00BD7C09" w:rsidP="004E3357">
      <w:pPr>
        <w:pStyle w:val="EndnoteText"/>
        <w:rPr>
          <w:sz w:val="16"/>
          <w:szCs w:val="16"/>
          <w:lang w:val="en-US"/>
        </w:rPr>
      </w:pPr>
      <w:r w:rsidRPr="006371DD">
        <w:rPr>
          <w:rStyle w:val="EndnoteReference"/>
          <w:sz w:val="16"/>
          <w:szCs w:val="16"/>
        </w:rPr>
        <w:endnoteRef/>
      </w:r>
      <w:r w:rsidRPr="006371DD">
        <w:rPr>
          <w:sz w:val="16"/>
          <w:szCs w:val="16"/>
        </w:rPr>
        <w:t xml:space="preserve"> ACCC (Australian Competition and Consumer Commission) (2023) </w:t>
      </w:r>
      <w:r w:rsidRPr="006371DD">
        <w:rPr>
          <w:iCs/>
          <w:sz w:val="16"/>
          <w:szCs w:val="16"/>
          <w:u w:val="single"/>
        </w:rPr>
        <w:t>Fuel Prices in regional locations</w:t>
      </w:r>
      <w:r w:rsidRPr="006371DD">
        <w:rPr>
          <w:sz w:val="16"/>
          <w:szCs w:val="16"/>
        </w:rPr>
        <w:t>, ACCC website accessed</w:t>
      </w:r>
      <w:r w:rsidRPr="00DF3B59">
        <w:rPr>
          <w:sz w:val="16"/>
          <w:szCs w:val="16"/>
        </w:rPr>
        <w:t xml:space="preserve"> 28 June 2023</w:t>
      </w:r>
    </w:p>
  </w:endnote>
  <w:endnote w:id="16">
    <w:p w14:paraId="6C6DD133" w14:textId="77777777" w:rsidR="00BD7C09" w:rsidRPr="00243E86" w:rsidRDefault="00BD7C09">
      <w:pPr>
        <w:pStyle w:val="EndnoteText"/>
        <w:rPr>
          <w:sz w:val="16"/>
          <w:szCs w:val="16"/>
          <w:lang w:val="en-US"/>
        </w:rPr>
      </w:pPr>
      <w:r w:rsidRPr="00243E86">
        <w:rPr>
          <w:rStyle w:val="EndnoteReference"/>
          <w:sz w:val="16"/>
          <w:szCs w:val="16"/>
        </w:rPr>
        <w:endnoteRef/>
      </w:r>
      <w:r w:rsidRPr="00243E86">
        <w:rPr>
          <w:sz w:val="16"/>
          <w:szCs w:val="16"/>
        </w:rPr>
        <w:t xml:space="preserve"> </w:t>
      </w:r>
      <w:r w:rsidRPr="00243E86">
        <w:rPr>
          <w:sz w:val="16"/>
          <w:szCs w:val="16"/>
          <w:lang w:val="en-US"/>
        </w:rPr>
        <w:t xml:space="preserve">AAA (Australian Automobile Association) </w:t>
      </w:r>
      <w:r w:rsidRPr="00243E86">
        <w:rPr>
          <w:sz w:val="16"/>
          <w:szCs w:val="16"/>
          <w:u w:val="single"/>
          <w:lang w:val="en-US"/>
        </w:rPr>
        <w:t>Transport Affordability index</w:t>
      </w:r>
      <w:r w:rsidRPr="00243E86">
        <w:rPr>
          <w:sz w:val="16"/>
          <w:szCs w:val="16"/>
          <w:lang w:val="en-US"/>
        </w:rPr>
        <w:t xml:space="preserve">, AAA website accessed 10 January 2024 </w:t>
      </w:r>
    </w:p>
  </w:endnote>
  <w:endnote w:id="17">
    <w:p w14:paraId="4BFF7F4C" w14:textId="77777777" w:rsidR="00BD7C09" w:rsidRPr="00DF3B59" w:rsidRDefault="00BD7C09">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DCCEEW (2023)</w:t>
      </w:r>
      <w:r w:rsidRPr="00DF3B59">
        <w:rPr>
          <w:sz w:val="16"/>
          <w:szCs w:val="16"/>
        </w:rPr>
        <w:t xml:space="preserve"> </w:t>
      </w:r>
      <w:r w:rsidRPr="00D2699F">
        <w:rPr>
          <w:sz w:val="16"/>
          <w:szCs w:val="16"/>
          <w:u w:val="single"/>
        </w:rPr>
        <w:t>Australia's fuel security</w:t>
      </w:r>
      <w:r w:rsidRPr="00DF3B59">
        <w:rPr>
          <w:sz w:val="16"/>
          <w:szCs w:val="16"/>
        </w:rPr>
        <w:t>,</w:t>
      </w:r>
      <w:r>
        <w:rPr>
          <w:sz w:val="16"/>
          <w:szCs w:val="16"/>
        </w:rPr>
        <w:t xml:space="preserve"> DCCEEW website</w:t>
      </w:r>
      <w:r w:rsidRPr="00DF3B59">
        <w:rPr>
          <w:sz w:val="16"/>
          <w:szCs w:val="16"/>
        </w:rPr>
        <w:t xml:space="preserve"> accessed 4 December 2023</w:t>
      </w:r>
    </w:p>
  </w:endnote>
  <w:endnote w:id="18">
    <w:p w14:paraId="23C3647F" w14:textId="77777777" w:rsidR="00BD7C09" w:rsidRPr="00DF3B59" w:rsidRDefault="00BD7C09">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ACCC (2022)</w:t>
      </w:r>
      <w:r w:rsidRPr="00DF3B59">
        <w:rPr>
          <w:sz w:val="16"/>
          <w:szCs w:val="16"/>
        </w:rPr>
        <w:t xml:space="preserve"> </w:t>
      </w:r>
      <w:r w:rsidRPr="00DF3B59">
        <w:rPr>
          <w:i/>
          <w:sz w:val="16"/>
          <w:szCs w:val="16"/>
        </w:rPr>
        <w:t>War in Ukraine and OPEC production limits pushed February petrol prices to eight-year highs</w:t>
      </w:r>
      <w:r w:rsidRPr="00DF3B59">
        <w:rPr>
          <w:sz w:val="16"/>
          <w:szCs w:val="16"/>
        </w:rPr>
        <w:t>,</w:t>
      </w:r>
      <w:r>
        <w:rPr>
          <w:sz w:val="16"/>
          <w:szCs w:val="16"/>
        </w:rPr>
        <w:t xml:space="preserve"> ACCC website</w:t>
      </w:r>
      <w:r w:rsidRPr="00DF3B59">
        <w:rPr>
          <w:sz w:val="16"/>
          <w:szCs w:val="16"/>
        </w:rPr>
        <w:t xml:space="preserve"> accessed 4 December 2023</w:t>
      </w:r>
    </w:p>
  </w:endnote>
  <w:endnote w:id="19">
    <w:p w14:paraId="19F32678" w14:textId="77777777" w:rsidR="00BD7C09" w:rsidRPr="00DF3B59" w:rsidRDefault="00BD7C09" w:rsidP="004A2553">
      <w:pPr>
        <w:pStyle w:val="EndnoteText"/>
        <w:rPr>
          <w:sz w:val="16"/>
          <w:szCs w:val="16"/>
        </w:rPr>
      </w:pPr>
      <w:r w:rsidRPr="00DF3B59">
        <w:rPr>
          <w:rStyle w:val="EndnoteReference"/>
          <w:sz w:val="16"/>
          <w:szCs w:val="16"/>
        </w:rPr>
        <w:endnoteRef/>
      </w:r>
      <w:r>
        <w:rPr>
          <w:sz w:val="16"/>
          <w:szCs w:val="16"/>
        </w:rPr>
        <w:t xml:space="preserve"> Consumer Reports (2023) </w:t>
      </w:r>
      <w:r w:rsidRPr="00512400">
        <w:rPr>
          <w:sz w:val="16"/>
          <w:szCs w:val="16"/>
          <w:u w:val="single"/>
        </w:rPr>
        <w:t>Car Safety and Fuel Efficiency Improvements Aren't Driving Up the Cost of Cars</w:t>
      </w:r>
      <w:r>
        <w:rPr>
          <w:sz w:val="16"/>
          <w:szCs w:val="16"/>
        </w:rPr>
        <w:t>, Consumer Reports website accessed 25 November 2023</w:t>
      </w:r>
      <w:r w:rsidRPr="00DF3B59">
        <w:rPr>
          <w:sz w:val="16"/>
          <w:szCs w:val="16"/>
        </w:rPr>
        <w:t xml:space="preserve"> </w:t>
      </w:r>
    </w:p>
  </w:endnote>
  <w:endnote w:id="20">
    <w:p w14:paraId="20178444" w14:textId="77777777" w:rsidR="00BD7C09" w:rsidRPr="00DF3B59" w:rsidRDefault="00BD7C09" w:rsidP="004A2553">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(2017) </w:t>
      </w:r>
      <w:r w:rsidRPr="00512400">
        <w:rPr>
          <w:sz w:val="16"/>
          <w:szCs w:val="16"/>
          <w:u w:val="single"/>
        </w:rPr>
        <w:t>Addressing misconceptions surrounding light-vehicle fuel efficiency standards</w:t>
      </w:r>
      <w:r>
        <w:rPr>
          <w:sz w:val="16"/>
          <w:szCs w:val="16"/>
        </w:rPr>
        <w:t>, ICCT website accessed on 19 November 2023</w:t>
      </w:r>
    </w:p>
  </w:endnote>
  <w:endnote w:id="21">
    <w:p w14:paraId="4139E0CC" w14:textId="77777777" w:rsidR="00BD7C09" w:rsidRPr="00DF3B59" w:rsidRDefault="00BD7C09" w:rsidP="004A2553">
      <w:pPr>
        <w:pStyle w:val="EndnoteText"/>
        <w:rPr>
          <w:sz w:val="16"/>
          <w:szCs w:val="16"/>
        </w:rPr>
      </w:pPr>
      <w:r w:rsidRPr="00DF3B59">
        <w:rPr>
          <w:rStyle w:val="EndnoteReference"/>
          <w:sz w:val="16"/>
          <w:szCs w:val="16"/>
        </w:rPr>
        <w:endnoteRef/>
      </w:r>
      <w:r w:rsidRPr="00DF3B59">
        <w:rPr>
          <w:sz w:val="16"/>
          <w:szCs w:val="16"/>
        </w:rPr>
        <w:t xml:space="preserve"> </w:t>
      </w:r>
      <w:r w:rsidRPr="00512400">
        <w:rPr>
          <w:sz w:val="16"/>
          <w:szCs w:val="16"/>
        </w:rPr>
        <w:t>European Commission, Directorate-General for Climate Action, Kollamthodi, S., Bonifazi, E., Kirsch, F. et al.</w:t>
      </w:r>
      <w:r>
        <w:rPr>
          <w:sz w:val="16"/>
          <w:szCs w:val="16"/>
        </w:rPr>
        <w:t xml:space="preserve"> (2015)</w:t>
      </w:r>
      <w:r w:rsidRPr="00512400">
        <w:rPr>
          <w:sz w:val="16"/>
          <w:szCs w:val="16"/>
        </w:rPr>
        <w:t> </w:t>
      </w:r>
      <w:r w:rsidRPr="00512400">
        <w:rPr>
          <w:iCs/>
          <w:sz w:val="16"/>
          <w:szCs w:val="16"/>
          <w:u w:val="single"/>
        </w:rPr>
        <w:t>Evaluation of Regulation 443/2009 and 510/2011 on the reduction of CO2 emissions from light-duty vehicles – Final report</w:t>
      </w:r>
      <w:r w:rsidRPr="00512400">
        <w:rPr>
          <w:sz w:val="16"/>
          <w:szCs w:val="16"/>
        </w:rPr>
        <w:t>, Publications Office</w:t>
      </w:r>
      <w:r>
        <w:rPr>
          <w:sz w:val="16"/>
          <w:szCs w:val="16"/>
        </w:rPr>
        <w:t xml:space="preserve"> website accessed </w:t>
      </w:r>
      <w:r w:rsidRPr="00512400">
        <w:rPr>
          <w:sz w:val="16"/>
          <w:szCs w:val="16"/>
        </w:rPr>
        <w:t>15</w:t>
      </w:r>
      <w:r>
        <w:rPr>
          <w:sz w:val="16"/>
          <w:szCs w:val="16"/>
        </w:rPr>
        <w:t xml:space="preserve"> November 2023 </w:t>
      </w:r>
    </w:p>
  </w:endnote>
  <w:endnote w:id="22">
    <w:p w14:paraId="6471BF82"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w:t>
      </w:r>
      <w:r w:rsidRPr="00457291">
        <w:rPr>
          <w:sz w:val="16"/>
          <w:szCs w:val="16"/>
        </w:rPr>
        <w:t>DCCEEW (Department of Climate Change, Energy, the Environment and Water)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23">
    <w:p w14:paraId="7ACCD06A" w14:textId="77777777" w:rsidR="00BD7C09" w:rsidRPr="004826AE" w:rsidRDefault="00BD7C09" w:rsidP="009257AE">
      <w:pPr>
        <w:pStyle w:val="EndnoteText"/>
        <w:rPr>
          <w:sz w:val="16"/>
          <w:szCs w:val="16"/>
        </w:rPr>
      </w:pPr>
      <w:r w:rsidRPr="004826AE">
        <w:rPr>
          <w:rStyle w:val="EndnoteReference"/>
          <w:sz w:val="16"/>
          <w:szCs w:val="16"/>
        </w:rPr>
        <w:endnoteRef/>
      </w:r>
      <w:r w:rsidRPr="004826AE">
        <w:rPr>
          <w:sz w:val="16"/>
          <w:szCs w:val="16"/>
        </w:rPr>
        <w:t xml:space="preserve"> ABS (2002) </w:t>
      </w:r>
      <w:r w:rsidRPr="004826AE">
        <w:rPr>
          <w:sz w:val="16"/>
          <w:szCs w:val="16"/>
          <w:u w:val="single"/>
        </w:rPr>
        <w:t>Motor Vehicle Census 2002</w:t>
      </w:r>
      <w:r w:rsidRPr="004826AE">
        <w:rPr>
          <w:sz w:val="16"/>
          <w:szCs w:val="16"/>
        </w:rPr>
        <w:t>, ABS website accessed 10 November 2023</w:t>
      </w:r>
    </w:p>
  </w:endnote>
  <w:endnote w:id="24">
    <w:p w14:paraId="1E646BD2" w14:textId="77777777" w:rsidR="00BD7C09" w:rsidRPr="00A44EEE" w:rsidRDefault="00BD7C09" w:rsidP="009257AE">
      <w:pPr>
        <w:pStyle w:val="EndnoteText"/>
        <w:rPr>
          <w:sz w:val="16"/>
          <w:szCs w:val="16"/>
        </w:rPr>
      </w:pPr>
      <w:r w:rsidRPr="004826AE">
        <w:rPr>
          <w:rStyle w:val="EndnoteReference"/>
          <w:sz w:val="16"/>
          <w:szCs w:val="16"/>
        </w:rPr>
        <w:endnoteRef/>
      </w:r>
      <w:r w:rsidRPr="004826AE">
        <w:rPr>
          <w:sz w:val="16"/>
          <w:szCs w:val="16"/>
        </w:rPr>
        <w:t xml:space="preserve"> ABS (2021) </w:t>
      </w:r>
      <w:r w:rsidRPr="004826AE">
        <w:rPr>
          <w:sz w:val="16"/>
          <w:szCs w:val="16"/>
          <w:u w:val="single"/>
        </w:rPr>
        <w:t>Motor Vehicle Census 2021</w:t>
      </w:r>
      <w:r w:rsidRPr="004826AE">
        <w:rPr>
          <w:sz w:val="16"/>
          <w:szCs w:val="16"/>
        </w:rPr>
        <w:t xml:space="preserve">, </w:t>
      </w:r>
      <w:r>
        <w:rPr>
          <w:sz w:val="16"/>
          <w:szCs w:val="16"/>
        </w:rPr>
        <w:t>ABS website accessed 10 November 2023</w:t>
      </w:r>
    </w:p>
  </w:endnote>
  <w:endnote w:id="25">
    <w:p w14:paraId="0D890DC4"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Vehicle emissions intensity is a measure of vehicle efficiency. In this report, that is the carbon dioxide intensity performance of passenger and light commercial vehicles in Australia. Carbon dioxide emissions intensity for vehicles is calculated using the method required by Vehicle Standard (Australian Design Rule 81/02 – fuel consumption labelling for light vehicles) and expressed in grams of carbon dioxide per kilometre (g CO</w:t>
      </w:r>
      <w:r w:rsidRPr="00A44EEE">
        <w:rPr>
          <w:sz w:val="16"/>
          <w:szCs w:val="16"/>
          <w:vertAlign w:val="subscript"/>
        </w:rPr>
        <w:t>2</w:t>
      </w:r>
      <w:r w:rsidRPr="00A44EEE">
        <w:rPr>
          <w:sz w:val="16"/>
          <w:szCs w:val="16"/>
        </w:rPr>
        <w:t>km). The data in this document reflects tailpipe emissions. It does not reflect all aspects of lifecycle emissions for a vehicle, which also include those involved in manufacturing the vehicle, transporting it to the point of sale, and disposing of it.</w:t>
      </w:r>
    </w:p>
    <w:p w14:paraId="5DE1CDB3" w14:textId="77777777" w:rsidR="00BD7C09" w:rsidRPr="001A658A" w:rsidDel="007F7178" w:rsidRDefault="00BD7C09" w:rsidP="009257AE">
      <w:pPr>
        <w:pStyle w:val="EndnoteText"/>
        <w:rPr>
          <w:sz w:val="16"/>
          <w:szCs w:val="16"/>
        </w:rPr>
      </w:pPr>
      <w:r w:rsidRPr="00A44EEE">
        <w:rPr>
          <w:rStyle w:val="EndnoteReference"/>
          <w:sz w:val="16"/>
          <w:szCs w:val="16"/>
        </w:rPr>
        <w:endnoteRef/>
      </w:r>
      <w:r w:rsidRPr="00A44EEE">
        <w:rPr>
          <w:sz w:val="16"/>
          <w:szCs w:val="16"/>
        </w:rPr>
        <w:t xml:space="preserve">  See </w:t>
      </w:r>
      <w:r>
        <w:rPr>
          <w:rFonts w:asciiTheme="majorHAnsi" w:hAnsiTheme="majorHAnsi" w:cstheme="majorHAnsi"/>
          <w:sz w:val="16"/>
          <w:szCs w:val="16"/>
        </w:rPr>
        <w:t>IC</w:t>
      </w:r>
      <w:r w:rsidRPr="001A658A">
        <w:rPr>
          <w:rFonts w:asciiTheme="majorHAnsi" w:hAnsiTheme="majorHAnsi" w:cstheme="majorHAnsi"/>
          <w:sz w:val="16"/>
          <w:szCs w:val="16"/>
        </w:rPr>
        <w:t>CT</w:t>
      </w:r>
      <w:r>
        <w:rPr>
          <w:rFonts w:asciiTheme="majorHAnsi" w:hAnsiTheme="majorHAnsi" w:cstheme="majorHAnsi"/>
          <w:sz w:val="16"/>
          <w:szCs w:val="16"/>
        </w:rPr>
        <w:t xml:space="preserve"> (International Council on Clean Transportation) (2022)</w:t>
      </w:r>
      <w:r w:rsidRPr="001A658A">
        <w:rPr>
          <w:rFonts w:asciiTheme="majorHAnsi" w:hAnsiTheme="majorHAnsi" w:cstheme="majorHAnsi"/>
          <w:i/>
          <w:sz w:val="16"/>
          <w:szCs w:val="16"/>
        </w:rPr>
        <w:t xml:space="preserve"> </w:t>
      </w:r>
      <w:r w:rsidRPr="001A658A">
        <w:rPr>
          <w:rFonts w:asciiTheme="majorHAnsi" w:hAnsiTheme="majorHAnsi" w:cstheme="majorHAnsi"/>
          <w:sz w:val="16"/>
          <w:szCs w:val="16"/>
          <w:u w:val="single"/>
        </w:rPr>
        <w:t>Working Paper 2022</w:t>
      </w:r>
      <w:r w:rsidRPr="001A658A">
        <w:rPr>
          <w:rStyle w:val="Hyperlink"/>
          <w:rFonts w:asciiTheme="majorHAnsi" w:hAnsiTheme="majorHAnsi" w:cstheme="majorHAnsi"/>
          <w:color w:val="auto"/>
          <w:sz w:val="16"/>
          <w:szCs w:val="16"/>
        </w:rPr>
        <w:t>-31 Fuel efficiency standards to decarbonize Australia’s light-duty vehicles</w:t>
      </w:r>
      <w:r>
        <w:rPr>
          <w:rStyle w:val="Hyperlink"/>
          <w:rFonts w:asciiTheme="majorHAnsi" w:hAnsiTheme="majorHAnsi" w:cstheme="majorHAnsi"/>
          <w:color w:val="auto"/>
          <w:sz w:val="16"/>
          <w:szCs w:val="16"/>
          <w:u w:val="none"/>
        </w:rPr>
        <w:t>, ICCT website accessed on 15 November 2023</w:t>
      </w:r>
    </w:p>
  </w:endnote>
  <w:endnote w:id="26">
    <w:p w14:paraId="3A9D4064"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NTC (</w:t>
      </w:r>
      <w:r w:rsidRPr="00A44EEE">
        <w:rPr>
          <w:sz w:val="16"/>
          <w:szCs w:val="16"/>
        </w:rPr>
        <w:t>National Transport Commission</w:t>
      </w:r>
      <w:r>
        <w:rPr>
          <w:sz w:val="16"/>
          <w:szCs w:val="16"/>
        </w:rPr>
        <w:t>) (2019)</w:t>
      </w:r>
      <w:r w:rsidRPr="00A44EEE">
        <w:rPr>
          <w:sz w:val="16"/>
          <w:szCs w:val="16"/>
        </w:rPr>
        <w:t xml:space="preserve">, </w:t>
      </w:r>
      <w:r w:rsidRPr="001A658A">
        <w:rPr>
          <w:sz w:val="16"/>
          <w:szCs w:val="16"/>
          <w:u w:val="single"/>
        </w:rPr>
        <w:t>Carbon Dioxide Emissions Intensity for New Australian Light Vehicles 2019</w:t>
      </w:r>
      <w:r>
        <w:rPr>
          <w:sz w:val="16"/>
          <w:szCs w:val="16"/>
        </w:rPr>
        <w:t>, NTC website accessed 16 November 2023</w:t>
      </w:r>
    </w:p>
  </w:endnote>
  <w:endnote w:id="27">
    <w:p w14:paraId="3DBC198A" w14:textId="77777777" w:rsidR="00BD7C09" w:rsidRPr="00A44EEE" w:rsidRDefault="00BD7C09" w:rsidP="007A0644">
      <w:pPr>
        <w:pStyle w:val="EndnoteText"/>
        <w:rPr>
          <w:sz w:val="16"/>
          <w:szCs w:val="16"/>
          <w:lang w:val="en-US"/>
        </w:rPr>
      </w:pPr>
      <w:r w:rsidRPr="00A44EEE">
        <w:rPr>
          <w:rStyle w:val="EndnoteReference"/>
          <w:sz w:val="16"/>
          <w:szCs w:val="16"/>
        </w:rPr>
        <w:endnoteRef/>
      </w:r>
      <w:r w:rsidRPr="00A44EEE">
        <w:rPr>
          <w:sz w:val="16"/>
          <w:szCs w:val="16"/>
          <w:lang w:val="en-US"/>
        </w:rPr>
        <w:t xml:space="preserve"> ibid</w:t>
      </w:r>
    </w:p>
  </w:endnote>
  <w:endnote w:id="28">
    <w:p w14:paraId="742C9B78" w14:textId="77777777" w:rsidR="00BD7C09" w:rsidRPr="00134BB1" w:rsidRDefault="00BD7C09" w:rsidP="008F2F20">
      <w:pPr>
        <w:pStyle w:val="EndnoteText"/>
        <w:rPr>
          <w:lang w:val="en-US"/>
        </w:rPr>
      </w:pPr>
      <w:r>
        <w:rPr>
          <w:rStyle w:val="EndnoteReference"/>
        </w:rPr>
        <w:endnoteRef/>
      </w:r>
      <w:r>
        <w:t xml:space="preserve"> </w:t>
      </w:r>
      <w:r w:rsidRPr="00785690">
        <w:rPr>
          <w:sz w:val="16"/>
          <w:lang w:val="en-US"/>
        </w:rPr>
        <w:t>ibid</w:t>
      </w:r>
    </w:p>
  </w:endnote>
  <w:endnote w:id="29">
    <w:p w14:paraId="6E5550B7" w14:textId="77777777" w:rsidR="00BD7C09" w:rsidRPr="00134BB1" w:rsidRDefault="00BD7C09">
      <w:pPr>
        <w:pStyle w:val="EndnoteText"/>
        <w:rPr>
          <w:lang w:val="en-US"/>
        </w:rPr>
      </w:pPr>
      <w:r>
        <w:rPr>
          <w:rStyle w:val="EndnoteReference"/>
        </w:rPr>
        <w:endnoteRef/>
      </w:r>
      <w:r>
        <w:t xml:space="preserve"> </w:t>
      </w:r>
      <w:r w:rsidRPr="00785690">
        <w:rPr>
          <w:sz w:val="16"/>
          <w:lang w:val="en-US"/>
        </w:rPr>
        <w:t>ibid</w:t>
      </w:r>
    </w:p>
  </w:endnote>
  <w:endnote w:id="30">
    <w:p w14:paraId="5A065BB7" w14:textId="77777777" w:rsidR="00BD7C09" w:rsidRPr="00A44EEE" w:rsidRDefault="00BD7C09" w:rsidP="007B64C2">
      <w:pPr>
        <w:pStyle w:val="EndnoteText"/>
        <w:rPr>
          <w:sz w:val="16"/>
          <w:szCs w:val="16"/>
        </w:rPr>
      </w:pPr>
      <w:r w:rsidRPr="00A44EEE">
        <w:rPr>
          <w:rStyle w:val="EndnoteReference"/>
          <w:sz w:val="16"/>
          <w:szCs w:val="16"/>
        </w:rPr>
        <w:endnoteRef/>
      </w:r>
      <w:r>
        <w:rPr>
          <w:sz w:val="16"/>
          <w:szCs w:val="16"/>
        </w:rPr>
        <w:t xml:space="preserve"> Go Auto, </w:t>
      </w:r>
      <w:r w:rsidRPr="00D2699F">
        <w:rPr>
          <w:i/>
          <w:sz w:val="16"/>
          <w:szCs w:val="16"/>
        </w:rPr>
        <w:t>Unsurprisingly, smaller passenger cars in the black, larger vehicles, LCVs in the</w:t>
      </w:r>
      <w:r w:rsidRPr="00D2699F">
        <w:rPr>
          <w:sz w:val="16"/>
          <w:szCs w:val="16"/>
        </w:rPr>
        <w:t xml:space="preserve"> </w:t>
      </w:r>
      <w:r w:rsidRPr="00D2699F">
        <w:rPr>
          <w:i/>
          <w:sz w:val="16"/>
          <w:szCs w:val="16"/>
        </w:rPr>
        <w:t>red</w:t>
      </w:r>
      <w:r>
        <w:rPr>
          <w:sz w:val="16"/>
          <w:szCs w:val="16"/>
        </w:rPr>
        <w:t>, published on 4 April 2023, Go Auto website accessed on 30 November 2023</w:t>
      </w:r>
      <w:r w:rsidRPr="00A44EEE">
        <w:rPr>
          <w:sz w:val="16"/>
          <w:szCs w:val="16"/>
        </w:rPr>
        <w:t xml:space="preserve"> </w:t>
      </w:r>
    </w:p>
  </w:endnote>
  <w:endnote w:id="31">
    <w:p w14:paraId="40F9503A" w14:textId="77777777" w:rsidR="00BD7C09" w:rsidRPr="00D2699F" w:rsidRDefault="00BD7C09" w:rsidP="0049244A">
      <w:pPr>
        <w:pStyle w:val="EndnoteText"/>
        <w:rPr>
          <w:sz w:val="16"/>
          <w:szCs w:val="16"/>
        </w:rPr>
      </w:pPr>
      <w:r w:rsidRPr="00D2699F">
        <w:rPr>
          <w:rStyle w:val="EndnoteReference"/>
          <w:sz w:val="16"/>
          <w:szCs w:val="16"/>
        </w:rPr>
        <w:endnoteRef/>
      </w:r>
      <w:r w:rsidRPr="00D2699F">
        <w:rPr>
          <w:sz w:val="16"/>
          <w:szCs w:val="16"/>
        </w:rPr>
        <w:t xml:space="preserve"> </w:t>
      </w:r>
      <w:r>
        <w:rPr>
          <w:sz w:val="16"/>
          <w:szCs w:val="16"/>
        </w:rPr>
        <w:t xml:space="preserve">FCAI (Federal Chamber of Automotive Industries) (2023) </w:t>
      </w:r>
      <w:r w:rsidRPr="00D2699F">
        <w:rPr>
          <w:sz w:val="16"/>
          <w:szCs w:val="16"/>
          <w:u w:val="single"/>
        </w:rPr>
        <w:t>Results of 2022 voluntary emissions reduction standard released</w:t>
      </w:r>
      <w:r>
        <w:rPr>
          <w:sz w:val="16"/>
          <w:szCs w:val="16"/>
        </w:rPr>
        <w:t>, FCAI website accessed on 21 November 2023</w:t>
      </w:r>
    </w:p>
  </w:endnote>
  <w:endnote w:id="32">
    <w:p w14:paraId="37878542" w14:textId="77777777" w:rsidR="00BD7C09" w:rsidRPr="00A44EEE" w:rsidRDefault="00BD7C09" w:rsidP="007B64C2">
      <w:pPr>
        <w:pStyle w:val="EndnoteText"/>
        <w:rPr>
          <w:sz w:val="16"/>
          <w:szCs w:val="16"/>
          <w:lang w:val="en-US"/>
        </w:rPr>
      </w:pPr>
      <w:r w:rsidRPr="00A44EEE">
        <w:rPr>
          <w:rStyle w:val="EndnoteReference"/>
          <w:sz w:val="16"/>
          <w:szCs w:val="16"/>
        </w:rPr>
        <w:endnoteRef/>
      </w:r>
      <w:r w:rsidRPr="00A44EEE">
        <w:rPr>
          <w:sz w:val="16"/>
          <w:szCs w:val="16"/>
        </w:rPr>
        <w:t xml:space="preserve"> </w:t>
      </w:r>
      <w:r w:rsidRPr="0049244A">
        <w:rPr>
          <w:sz w:val="16"/>
          <w:szCs w:val="16"/>
        </w:rPr>
        <w:t>ib</w:t>
      </w:r>
      <w:r>
        <w:rPr>
          <w:sz w:val="16"/>
          <w:szCs w:val="16"/>
        </w:rPr>
        <w:t>id</w:t>
      </w:r>
    </w:p>
  </w:endnote>
  <w:endnote w:id="33">
    <w:p w14:paraId="650FF3B1"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w:t>
      </w:r>
      <w:r w:rsidRPr="00457291">
        <w:rPr>
          <w:sz w:val="16"/>
          <w:szCs w:val="16"/>
        </w:rPr>
        <w:t>DCCEEW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34">
    <w:p w14:paraId="3004A86A" w14:textId="77777777" w:rsidR="00BD7C09" w:rsidRPr="00A44EEE" w:rsidRDefault="00BD7C09">
      <w:pPr>
        <w:pStyle w:val="EndnoteText"/>
        <w:rPr>
          <w:sz w:val="16"/>
          <w:szCs w:val="16"/>
          <w:lang w:val="en-US"/>
        </w:rPr>
      </w:pPr>
      <w:r w:rsidRPr="00356394">
        <w:rPr>
          <w:rStyle w:val="EndnoteReference"/>
          <w:sz w:val="16"/>
          <w:szCs w:val="16"/>
        </w:rPr>
        <w:endnoteRef/>
      </w:r>
      <w:r w:rsidRPr="00356394">
        <w:rPr>
          <w:sz w:val="16"/>
          <w:szCs w:val="16"/>
        </w:rPr>
        <w:t xml:space="preserve"> </w:t>
      </w:r>
      <w:r w:rsidRPr="00356394">
        <w:rPr>
          <w:sz w:val="16"/>
          <w:szCs w:val="16"/>
          <w:lang w:val="en-US"/>
        </w:rPr>
        <w:t>See section 12 of the Road Vehicle Standards Act (2018).</w:t>
      </w:r>
      <w:r w:rsidRPr="00A44EEE">
        <w:rPr>
          <w:sz w:val="16"/>
          <w:szCs w:val="16"/>
          <w:lang w:val="en-US"/>
        </w:rPr>
        <w:t xml:space="preserve"> </w:t>
      </w:r>
    </w:p>
  </w:endnote>
  <w:endnote w:id="35">
    <w:p w14:paraId="3DBDBF8D"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r w:rsidRPr="00DF3B59">
        <w:rPr>
          <w:sz w:val="16"/>
          <w:szCs w:val="16"/>
        </w:rPr>
        <w:t xml:space="preserve"> </w:t>
      </w:r>
    </w:p>
  </w:endnote>
  <w:endnote w:id="36">
    <w:p w14:paraId="336A6448"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Ricardo </w:t>
      </w:r>
      <w:r>
        <w:rPr>
          <w:sz w:val="16"/>
          <w:szCs w:val="16"/>
        </w:rPr>
        <w:t xml:space="preserve">for </w:t>
      </w:r>
      <w:r w:rsidRPr="0049244A">
        <w:rPr>
          <w:sz w:val="16"/>
          <w:szCs w:val="16"/>
        </w:rPr>
        <w:t xml:space="preserve">UK Department for Transport (2021) </w:t>
      </w:r>
      <w:r w:rsidRPr="0049244A">
        <w:rPr>
          <w:sz w:val="16"/>
          <w:szCs w:val="16"/>
          <w:u w:val="single"/>
        </w:rPr>
        <w:t>Lifecycle Analysis of UK Road Vehicles</w:t>
      </w:r>
      <w:r w:rsidRPr="0049244A">
        <w:rPr>
          <w:sz w:val="16"/>
          <w:szCs w:val="16"/>
        </w:rPr>
        <w:t>, Department of Transport website accessed on 4 December 2023</w:t>
      </w:r>
    </w:p>
  </w:endnote>
  <w:endnote w:id="37">
    <w:p w14:paraId="1395F2C1"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T&amp;E (Transport &amp; Environment (2022) </w:t>
      </w:r>
      <w:r w:rsidRPr="003A01B0">
        <w:rPr>
          <w:sz w:val="16"/>
          <w:szCs w:val="16"/>
          <w:u w:val="single"/>
        </w:rPr>
        <w:t>T</w:t>
      </w:r>
      <w:r w:rsidRPr="0049244A">
        <w:rPr>
          <w:sz w:val="16"/>
          <w:szCs w:val="16"/>
          <w:u w:val="single"/>
        </w:rPr>
        <w:t>&amp;E’s analysis of electric car lifecycle CO₂ emissions</w:t>
      </w:r>
      <w:r w:rsidRPr="0049244A">
        <w:rPr>
          <w:sz w:val="16"/>
          <w:szCs w:val="16"/>
        </w:rPr>
        <w:t>, T&amp;T website</w:t>
      </w:r>
      <w:r>
        <w:rPr>
          <w:sz w:val="16"/>
          <w:szCs w:val="16"/>
        </w:rPr>
        <w:t xml:space="preserve"> accessed</w:t>
      </w:r>
      <w:r w:rsidRPr="0049244A">
        <w:rPr>
          <w:sz w:val="16"/>
          <w:szCs w:val="16"/>
        </w:rPr>
        <w:t xml:space="preserve"> 5 December 2023</w:t>
      </w:r>
    </w:p>
  </w:endnote>
  <w:endnote w:id="38">
    <w:p w14:paraId="7A8E8C5C"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ibid </w:t>
      </w:r>
    </w:p>
  </w:endnote>
  <w:endnote w:id="39">
    <w:p w14:paraId="49AB92BE"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p>
  </w:endnote>
  <w:endnote w:id="40">
    <w:p w14:paraId="56295D76" w14:textId="77777777" w:rsidR="00BD7C09" w:rsidRPr="0049244A" w:rsidRDefault="00BD7C09" w:rsidP="00AC4EBC">
      <w:pPr>
        <w:pStyle w:val="EndnoteText"/>
        <w:rPr>
          <w:sz w:val="16"/>
          <w:szCs w:val="16"/>
        </w:rPr>
      </w:pPr>
      <w:r w:rsidRPr="0049244A">
        <w:rPr>
          <w:rStyle w:val="EndnoteReference"/>
          <w:sz w:val="16"/>
          <w:szCs w:val="16"/>
        </w:rPr>
        <w:endnoteRef/>
      </w:r>
      <w:r w:rsidRPr="0049244A">
        <w:rPr>
          <w:sz w:val="16"/>
          <w:szCs w:val="16"/>
        </w:rPr>
        <w:t xml:space="preserve"> Smit, R and </w:t>
      </w:r>
      <w:r>
        <w:rPr>
          <w:sz w:val="16"/>
          <w:szCs w:val="16"/>
        </w:rPr>
        <w:t xml:space="preserve">Kennedy, DW (2022) </w:t>
      </w:r>
      <w:r w:rsidRPr="0049244A">
        <w:rPr>
          <w:sz w:val="16"/>
          <w:szCs w:val="16"/>
        </w:rPr>
        <w:t>Greenhouse Gas Emissions Performance of Electric and Fossil-Fuelled Passenger Vehicles with Uncertainty Estimates Using a Probabilistic Life-Cycle Assessment</w:t>
      </w:r>
      <w:r>
        <w:rPr>
          <w:sz w:val="16"/>
          <w:szCs w:val="16"/>
        </w:rPr>
        <w:t xml:space="preserve">, </w:t>
      </w:r>
      <w:r w:rsidRPr="000F67C0">
        <w:rPr>
          <w:i/>
          <w:sz w:val="16"/>
          <w:szCs w:val="16"/>
        </w:rPr>
        <w:t>Sustainability</w:t>
      </w:r>
      <w:r w:rsidRPr="000F67C0">
        <w:rPr>
          <w:sz w:val="16"/>
          <w:szCs w:val="16"/>
        </w:rPr>
        <w:t xml:space="preserve"> 14</w:t>
      </w:r>
      <w:r>
        <w:rPr>
          <w:sz w:val="16"/>
          <w:szCs w:val="16"/>
        </w:rPr>
        <w:t>-</w:t>
      </w:r>
      <w:r w:rsidRPr="000F67C0">
        <w:rPr>
          <w:sz w:val="16"/>
          <w:szCs w:val="16"/>
        </w:rPr>
        <w:t>3444</w:t>
      </w:r>
      <w:r>
        <w:rPr>
          <w:sz w:val="16"/>
          <w:szCs w:val="16"/>
        </w:rPr>
        <w:t>,</w:t>
      </w:r>
      <w:r w:rsidRPr="000F67C0">
        <w:rPr>
          <w:sz w:val="16"/>
          <w:szCs w:val="16"/>
        </w:rPr>
        <w:t xml:space="preserve"> Transport Energy/Emission Research website accessed 3 December 2023</w:t>
      </w:r>
    </w:p>
  </w:endnote>
  <w:endnote w:id="41">
    <w:p w14:paraId="0BF35AED"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UNECE (</w:t>
      </w:r>
      <w:r w:rsidRPr="00DD2E25">
        <w:rPr>
          <w:sz w:val="16"/>
          <w:szCs w:val="16"/>
        </w:rPr>
        <w:t>United Nations Economic Commission for Europe</w:t>
      </w:r>
      <w:r>
        <w:rPr>
          <w:sz w:val="16"/>
          <w:szCs w:val="16"/>
        </w:rPr>
        <w:t xml:space="preserve">) (2023) </w:t>
      </w:r>
      <w:r w:rsidRPr="00DD2E25">
        <w:rPr>
          <w:sz w:val="16"/>
          <w:szCs w:val="16"/>
          <w:u w:val="single"/>
        </w:rPr>
        <w:t>UNECE starts regulatory work on automotive life cycle assessment</w:t>
      </w:r>
      <w:r>
        <w:rPr>
          <w:sz w:val="16"/>
          <w:szCs w:val="16"/>
        </w:rPr>
        <w:t>, UNECE website accessed 12 December 2023</w:t>
      </w:r>
      <w:r w:rsidRPr="00DF3B59">
        <w:rPr>
          <w:sz w:val="16"/>
          <w:szCs w:val="16"/>
        </w:rPr>
        <w:t xml:space="preserve"> </w:t>
      </w:r>
    </w:p>
  </w:endnote>
  <w:endnote w:id="42">
    <w:p w14:paraId="11F3EE86"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(2023) </w:t>
      </w:r>
      <w:r w:rsidRPr="00DD2E25">
        <w:rPr>
          <w:sz w:val="16"/>
          <w:szCs w:val="16"/>
          <w:u w:val="single"/>
        </w:rPr>
        <w:t>CO2 emission standards for new passenger cars and vans in the European Union</w:t>
      </w:r>
      <w:r>
        <w:rPr>
          <w:sz w:val="16"/>
          <w:szCs w:val="16"/>
        </w:rPr>
        <w:t>, ICCT website accessed on 12 December 2023</w:t>
      </w:r>
    </w:p>
  </w:endnote>
  <w:endnote w:id="43">
    <w:p w14:paraId="5612358A"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IPCC (Intergovernmental Panel on Climate Change) (2022) </w:t>
      </w:r>
      <w:r w:rsidRPr="00DD2E25">
        <w:rPr>
          <w:sz w:val="16"/>
          <w:szCs w:val="16"/>
          <w:u w:val="single"/>
        </w:rPr>
        <w:t>Climate Change 2022: Mitigation of Climate Change – Summary for Policymakers</w:t>
      </w:r>
      <w:r>
        <w:rPr>
          <w:sz w:val="16"/>
          <w:szCs w:val="16"/>
        </w:rPr>
        <w:t>, IPCC website accessed 13 December 2023</w:t>
      </w:r>
      <w:r w:rsidRPr="00DF3B59">
        <w:rPr>
          <w:sz w:val="16"/>
          <w:szCs w:val="16"/>
        </w:rPr>
        <w:t xml:space="preserve"> </w:t>
      </w:r>
    </w:p>
  </w:endnote>
  <w:endnote w:id="44">
    <w:p w14:paraId="139CC514"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IEA (International Energy Agency) (2023) </w:t>
      </w:r>
      <w:r w:rsidRPr="00DD2E25">
        <w:rPr>
          <w:sz w:val="16"/>
          <w:szCs w:val="16"/>
          <w:u w:val="single"/>
        </w:rPr>
        <w:t>Electric Vehicles</w:t>
      </w:r>
      <w:r>
        <w:rPr>
          <w:sz w:val="16"/>
          <w:szCs w:val="16"/>
        </w:rPr>
        <w:t>, IEA website accessed 13 December 2023</w:t>
      </w:r>
      <w:r w:rsidRPr="00DF3B59">
        <w:rPr>
          <w:sz w:val="16"/>
          <w:szCs w:val="16"/>
        </w:rPr>
        <w:t xml:space="preserve"> </w:t>
      </w:r>
    </w:p>
  </w:endnote>
  <w:endnote w:id="45">
    <w:p w14:paraId="004150DC" w14:textId="77777777" w:rsidR="00BD7C09" w:rsidRPr="00A44EEE" w:rsidRDefault="00BD7C09" w:rsidP="000229CB">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(Office of Impact Analysis) (2023) </w:t>
      </w:r>
      <w:r w:rsidRPr="003A01B0">
        <w:rPr>
          <w:sz w:val="16"/>
          <w:szCs w:val="16"/>
          <w:u w:val="single"/>
        </w:rPr>
        <w:t>Australian Government Guide to Policy Impact Analysis</w:t>
      </w:r>
      <w:r>
        <w:rPr>
          <w:sz w:val="16"/>
          <w:szCs w:val="16"/>
        </w:rPr>
        <w:t>, PMC website accessed on 9 October 2023</w:t>
      </w:r>
    </w:p>
  </w:endnote>
  <w:endnote w:id="46">
    <w:p w14:paraId="64C7AB10" w14:textId="77777777" w:rsidR="00BD7C09" w:rsidRPr="003A01B0" w:rsidRDefault="00BD7C09" w:rsidP="00BC43F6">
      <w:pPr>
        <w:pStyle w:val="EndnoteText"/>
        <w:rPr>
          <w:sz w:val="16"/>
          <w:szCs w:val="16"/>
        </w:rPr>
      </w:pPr>
      <w:r w:rsidRPr="00DF3B59">
        <w:rPr>
          <w:rStyle w:val="EndnoteReference"/>
          <w:sz w:val="16"/>
          <w:szCs w:val="16"/>
        </w:rPr>
        <w:endnoteRef/>
      </w:r>
      <w:r w:rsidRPr="00DF3B59">
        <w:rPr>
          <w:sz w:val="16"/>
          <w:szCs w:val="16"/>
        </w:rPr>
        <w:t xml:space="preserve"> Defined by ABS</w:t>
      </w:r>
      <w:r>
        <w:rPr>
          <w:sz w:val="16"/>
          <w:szCs w:val="16"/>
        </w:rPr>
        <w:t xml:space="preserve"> (2023)</w:t>
      </w:r>
      <w:r w:rsidRPr="00DF3B59">
        <w:rPr>
          <w:sz w:val="16"/>
          <w:szCs w:val="16"/>
        </w:rPr>
        <w:t xml:space="preserve"> </w:t>
      </w:r>
      <w:r w:rsidRPr="003A01B0">
        <w:rPr>
          <w:sz w:val="16"/>
          <w:szCs w:val="16"/>
          <w:u w:val="single"/>
        </w:rPr>
        <w:t>Remoteness Areas: Australian Statistical Geography Standard (ASGS) Edition 3</w:t>
      </w:r>
      <w:r>
        <w:rPr>
          <w:sz w:val="16"/>
          <w:szCs w:val="16"/>
        </w:rPr>
        <w:t>, ABS website accessed 15 December 2023</w:t>
      </w:r>
    </w:p>
  </w:endnote>
  <w:endnote w:id="47">
    <w:p w14:paraId="5AFA65EB" w14:textId="77777777" w:rsidR="00BD7C09" w:rsidRPr="004E1387" w:rsidRDefault="00BD7C09">
      <w:pPr>
        <w:pStyle w:val="EndnoteText"/>
        <w:rPr>
          <w:lang w:val="en-US"/>
        </w:rPr>
      </w:pPr>
      <w:r>
        <w:rPr>
          <w:rStyle w:val="EndnoteReference"/>
        </w:rPr>
        <w:endnoteRef/>
      </w:r>
      <w:r w:rsidRPr="004E1387">
        <w:rPr>
          <w:sz w:val="16"/>
          <w:szCs w:val="16"/>
        </w:rPr>
        <w:t xml:space="preserve"> </w:t>
      </w:r>
      <w:r w:rsidRPr="004E1387">
        <w:rPr>
          <w:sz w:val="16"/>
          <w:szCs w:val="16"/>
          <w:lang w:val="en-US"/>
        </w:rPr>
        <w:t>Estimates for ICE and EV insurance costs in Australia vary</w:t>
      </w:r>
      <w:r>
        <w:rPr>
          <w:sz w:val="16"/>
          <w:szCs w:val="16"/>
          <w:lang w:val="en-US"/>
        </w:rPr>
        <w:t xml:space="preserve"> by provider and vehicle type </w:t>
      </w:r>
      <w:r w:rsidRPr="004E1387">
        <w:rPr>
          <w:sz w:val="16"/>
          <w:szCs w:val="16"/>
          <w:lang w:val="en-US"/>
        </w:rPr>
        <w:t xml:space="preserve">and </w:t>
      </w:r>
      <w:r>
        <w:rPr>
          <w:sz w:val="16"/>
          <w:szCs w:val="16"/>
          <w:lang w:val="en-US"/>
        </w:rPr>
        <w:t>will also be influenced by</w:t>
      </w:r>
      <w:r w:rsidRPr="004E1387">
        <w:rPr>
          <w:sz w:val="16"/>
          <w:szCs w:val="16"/>
          <w:lang w:val="en-US"/>
        </w:rPr>
        <w:t xml:space="preserve"> vehicle performance and cost</w:t>
      </w:r>
      <w:r>
        <w:rPr>
          <w:sz w:val="16"/>
          <w:szCs w:val="16"/>
          <w:lang w:val="en-US"/>
        </w:rPr>
        <w:t xml:space="preserve"> in addition to technology differences</w:t>
      </w:r>
      <w:r w:rsidRPr="004E1387">
        <w:rPr>
          <w:sz w:val="16"/>
          <w:szCs w:val="16"/>
          <w:lang w:val="en-US"/>
        </w:rPr>
        <w:t xml:space="preserve"> which render like-for-like comparisons more complex than a simple average. In this analysis we have used $350 per annum, broadly in line with this survey</w:t>
      </w:r>
      <w:r>
        <w:rPr>
          <w:sz w:val="16"/>
          <w:szCs w:val="16"/>
          <w:lang w:val="en-US"/>
        </w:rPr>
        <w:t xml:space="preserve">; </w:t>
      </w:r>
      <w:r w:rsidRPr="004E1387">
        <w:rPr>
          <w:sz w:val="16"/>
          <w:szCs w:val="16"/>
          <w:lang w:val="en-US"/>
        </w:rPr>
        <w:t xml:space="preserve">Man, H,.2023 </w:t>
      </w:r>
      <w:r w:rsidRPr="004E1387">
        <w:rPr>
          <w:i/>
          <w:sz w:val="16"/>
          <w:szCs w:val="16"/>
          <w:lang w:val="en-US"/>
        </w:rPr>
        <w:t xml:space="preserve">Are electric cars more expensive to insure?’, </w:t>
      </w:r>
      <w:r w:rsidRPr="004E1387">
        <w:rPr>
          <w:sz w:val="16"/>
          <w:szCs w:val="16"/>
          <w:lang w:val="en-US"/>
        </w:rPr>
        <w:t>WhichCar online, accessed 21 March 2024.</w:t>
      </w:r>
      <w:r w:rsidRPr="004E1387">
        <w:rPr>
          <w:lang w:val="en-US"/>
        </w:rPr>
        <w:t xml:space="preserve"> </w:t>
      </w:r>
    </w:p>
  </w:endnote>
  <w:endnote w:id="48">
    <w:p w14:paraId="5324E02E" w14:textId="77777777" w:rsidR="00BD7C09" w:rsidRPr="00A44EEE" w:rsidRDefault="00BD7C09" w:rsidP="00B1360D">
      <w:pPr>
        <w:pStyle w:val="EndnoteText"/>
        <w:rPr>
          <w:sz w:val="16"/>
          <w:szCs w:val="16"/>
          <w:lang w:val="en-US"/>
        </w:rPr>
      </w:pPr>
      <w:r w:rsidRPr="00A44EEE">
        <w:rPr>
          <w:rStyle w:val="EndnoteReference"/>
          <w:sz w:val="16"/>
          <w:szCs w:val="16"/>
        </w:rPr>
        <w:endnoteRef/>
      </w:r>
      <w:r w:rsidRPr="00A44EEE">
        <w:rPr>
          <w:sz w:val="16"/>
          <w:szCs w:val="16"/>
        </w:rPr>
        <w:t xml:space="preserve"> See </w:t>
      </w:r>
      <w:r>
        <w:rPr>
          <w:sz w:val="16"/>
          <w:szCs w:val="16"/>
        </w:rPr>
        <w:t>DITRDCA (</w:t>
      </w:r>
      <w:r w:rsidRPr="00CA3279">
        <w:rPr>
          <w:sz w:val="16"/>
          <w:szCs w:val="16"/>
        </w:rPr>
        <w:t>Department of Infrastructure, Transport, Regional Development, Communications and the Arts</w:t>
      </w:r>
      <w:r>
        <w:rPr>
          <w:sz w:val="16"/>
          <w:szCs w:val="16"/>
        </w:rPr>
        <w:t xml:space="preserve">)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49">
    <w:p w14:paraId="48B92F8F" w14:textId="77777777" w:rsidR="00BD7C09" w:rsidRPr="00A44EEE" w:rsidRDefault="00BD7C09" w:rsidP="00A83303">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website accessed on 9 October 2023</w:t>
      </w:r>
    </w:p>
  </w:endnote>
  <w:endnote w:id="50">
    <w:p w14:paraId="03625B8B"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Act </w:t>
      </w:r>
      <w:r>
        <w:rPr>
          <w:sz w:val="16"/>
          <w:szCs w:val="16"/>
        </w:rPr>
        <w:t>(</w:t>
      </w:r>
      <w:r w:rsidRPr="00356394">
        <w:rPr>
          <w:sz w:val="16"/>
          <w:szCs w:val="16"/>
        </w:rPr>
        <w:t>2013</w:t>
      </w:r>
      <w:r>
        <w:rPr>
          <w:sz w:val="16"/>
          <w:szCs w:val="16"/>
        </w:rPr>
        <w:t>)</w:t>
      </w:r>
    </w:p>
  </w:endnote>
  <w:endnote w:id="51">
    <w:p w14:paraId="6F5E87C2"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Rule </w:t>
      </w:r>
      <w:r>
        <w:rPr>
          <w:sz w:val="16"/>
          <w:szCs w:val="16"/>
        </w:rPr>
        <w:t>(</w:t>
      </w:r>
      <w:r w:rsidRPr="00356394">
        <w:rPr>
          <w:sz w:val="16"/>
          <w:szCs w:val="16"/>
        </w:rPr>
        <w:t>2014</w:t>
      </w:r>
      <w:r>
        <w:rPr>
          <w:sz w:val="16"/>
          <w:szCs w:val="16"/>
        </w:rPr>
        <w:t>)</w:t>
      </w:r>
    </w:p>
  </w:endnote>
  <w:endnote w:id="52">
    <w:p w14:paraId="188B1A62"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Regulator Performance (RMG 128) </w:t>
      </w:r>
    </w:p>
  </w:endnote>
  <w:endnote w:id="53">
    <w:p w14:paraId="2B7FF3A6" w14:textId="77777777" w:rsidR="00BD7C09" w:rsidRPr="00A44EEE" w:rsidRDefault="00BD7C09" w:rsidP="000112FC">
      <w:pPr>
        <w:pStyle w:val="EndnoteText"/>
        <w:rPr>
          <w:sz w:val="16"/>
          <w:szCs w:val="16"/>
        </w:rPr>
      </w:pPr>
      <w:r w:rsidRPr="00356394">
        <w:rPr>
          <w:rStyle w:val="EndnoteReference"/>
          <w:sz w:val="16"/>
          <w:szCs w:val="16"/>
        </w:rPr>
        <w:endnoteRef/>
      </w:r>
      <w:r w:rsidRPr="00356394">
        <w:rPr>
          <w:sz w:val="16"/>
          <w:szCs w:val="16"/>
        </w:rPr>
        <w:t xml:space="preserve"> Regulatory Powers (Standard Provisions) Act </w:t>
      </w:r>
      <w:r>
        <w:rPr>
          <w:sz w:val="16"/>
          <w:szCs w:val="16"/>
        </w:rPr>
        <w:t>(</w:t>
      </w:r>
      <w:r w:rsidRPr="00356394">
        <w:rPr>
          <w:sz w:val="16"/>
          <w:szCs w:val="16"/>
        </w:rPr>
        <w:t>2014</w:t>
      </w:r>
      <w:r>
        <w:rPr>
          <w:sz w:val="16"/>
          <w:szCs w:val="16"/>
        </w:rPr>
        <w:t>)</w:t>
      </w:r>
    </w:p>
  </w:endnote>
  <w:endnote w:id="54">
    <w:p w14:paraId="66B2FD2C" w14:textId="77777777" w:rsidR="00BD7C09" w:rsidRPr="00A44EEE" w:rsidRDefault="00BD7C09" w:rsidP="00AE4779">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 xml:space="preserve">DITRDCA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55">
    <w:p w14:paraId="7BA760F7" w14:textId="77777777" w:rsidR="00BD7C09" w:rsidRPr="006A0296" w:rsidRDefault="00BD7C09" w:rsidP="00AE4779">
      <w:pPr>
        <w:pStyle w:val="EndnoteText"/>
        <w:rPr>
          <w:sz w:val="16"/>
          <w:szCs w:val="16"/>
        </w:rPr>
      </w:pPr>
      <w:r w:rsidRPr="006A0296">
        <w:rPr>
          <w:rStyle w:val="EndnoteReference"/>
          <w:sz w:val="16"/>
          <w:szCs w:val="16"/>
        </w:rPr>
        <w:endnoteRef/>
      </w:r>
      <w:r w:rsidRPr="006A0296">
        <w:rPr>
          <w:sz w:val="16"/>
          <w:szCs w:val="16"/>
        </w:rPr>
        <w:t xml:space="preserve"> BITRE (Bureau of Infrastructure and Transport Research Economics) (2022)</w:t>
      </w:r>
      <w:r w:rsidRPr="006A0296">
        <w:rPr>
          <w:i/>
          <w:sz w:val="16"/>
          <w:szCs w:val="16"/>
        </w:rPr>
        <w:t xml:space="preserve"> Australian Infrastructure and Transport Statistics - Yearbook 2022</w:t>
      </w:r>
      <w:r w:rsidRPr="006A0296">
        <w:rPr>
          <w:sz w:val="16"/>
          <w:szCs w:val="16"/>
        </w:rPr>
        <w:t>, BITRE website accessed on 16 November 2023</w:t>
      </w:r>
    </w:p>
  </w:endnote>
  <w:endnote w:id="56">
    <w:p w14:paraId="5F3FD7B8" w14:textId="77777777" w:rsidR="00BD7C09" w:rsidRPr="006A0296" w:rsidRDefault="00BD7C09" w:rsidP="00AE4779">
      <w:pPr>
        <w:pStyle w:val="EndnoteText"/>
        <w:rPr>
          <w:sz w:val="16"/>
          <w:szCs w:val="16"/>
        </w:rPr>
      </w:pPr>
      <w:r w:rsidRPr="006A0296">
        <w:rPr>
          <w:rStyle w:val="EndnoteReference"/>
          <w:sz w:val="16"/>
          <w:szCs w:val="16"/>
        </w:rPr>
        <w:endnoteRef/>
      </w:r>
      <w:r w:rsidRPr="006A0296">
        <w:rPr>
          <w:sz w:val="16"/>
          <w:szCs w:val="16"/>
        </w:rPr>
        <w:t xml:space="preserve"> BITRE (2022) </w:t>
      </w:r>
      <w:r w:rsidRPr="006A0296">
        <w:rPr>
          <w:i/>
          <w:sz w:val="16"/>
          <w:szCs w:val="16"/>
        </w:rPr>
        <w:t>Road Vehicles Australia, 31 January 2022 (Re-issue),</w:t>
      </w:r>
      <w:r w:rsidRPr="006A0296">
        <w:rPr>
          <w:sz w:val="16"/>
          <w:szCs w:val="16"/>
        </w:rPr>
        <w:t xml:space="preserve"> BITRE website accessed on 16 November 2023</w:t>
      </w:r>
    </w:p>
  </w:endnote>
  <w:endnote w:id="57">
    <w:p w14:paraId="2F438E94" w14:textId="77777777" w:rsidR="00BD7C09" w:rsidRPr="006A0296" w:rsidRDefault="00BD7C09" w:rsidP="00AE4779">
      <w:pPr>
        <w:pStyle w:val="EndnoteText"/>
        <w:rPr>
          <w:i/>
          <w:sz w:val="16"/>
          <w:szCs w:val="16"/>
          <w:lang w:val="en-US"/>
        </w:rPr>
      </w:pPr>
      <w:r w:rsidRPr="006A0296">
        <w:rPr>
          <w:rStyle w:val="EndnoteReference"/>
          <w:sz w:val="16"/>
          <w:szCs w:val="16"/>
        </w:rPr>
        <w:endnoteRef/>
      </w:r>
      <w:r w:rsidRPr="006A0296">
        <w:rPr>
          <w:sz w:val="16"/>
          <w:szCs w:val="16"/>
        </w:rPr>
        <w:t xml:space="preserve"> Drive, </w:t>
      </w:r>
      <w:r w:rsidRPr="006A0296">
        <w:rPr>
          <w:i/>
          <w:sz w:val="16"/>
          <w:szCs w:val="16"/>
          <w:lang w:val="en-US"/>
        </w:rPr>
        <w:t>New-car transaction prices hit record high as discounts disappeared during pandemic</w:t>
      </w:r>
      <w:r w:rsidRPr="006A0296">
        <w:rPr>
          <w:sz w:val="16"/>
          <w:szCs w:val="16"/>
          <w:lang w:val="en-US"/>
        </w:rPr>
        <w:t>, published on 2 February 2023, Drive.com.au website accessed 30 October 2023</w:t>
      </w:r>
    </w:p>
  </w:endnote>
  <w:endnote w:id="58">
    <w:p w14:paraId="4DC18A59" w14:textId="77777777" w:rsidR="00BD7C09" w:rsidRPr="009130C7" w:rsidRDefault="00BD7C09">
      <w:pPr>
        <w:pStyle w:val="EndnoteText"/>
        <w:rPr>
          <w:lang w:val="en-US"/>
        </w:rPr>
      </w:pPr>
      <w:r>
        <w:rPr>
          <w:rStyle w:val="EndnoteReference"/>
        </w:rPr>
        <w:endnoteRef/>
      </w:r>
      <w:r>
        <w:t xml:space="preserve"> </w:t>
      </w:r>
      <w:r>
        <w:rPr>
          <w:sz w:val="16"/>
          <w:szCs w:val="16"/>
        </w:rPr>
        <w:t>Car Expert, h</w:t>
      </w:r>
      <w:r w:rsidRPr="009130C7">
        <w:rPr>
          <w:sz w:val="16"/>
          <w:szCs w:val="16"/>
        </w:rPr>
        <w:t>ttps://www.carexpert.com.au/car-news/jeep-wrangler-ev-coming-will-remain-off-road-king</w:t>
      </w:r>
    </w:p>
  </w:endnote>
  <w:endnote w:id="59">
    <w:p w14:paraId="14E55638" w14:textId="77777777" w:rsidR="00BD7C09" w:rsidRPr="009130C7" w:rsidRDefault="00BD7C09">
      <w:pPr>
        <w:pStyle w:val="EndnoteText"/>
        <w:rPr>
          <w:lang w:val="en-US"/>
        </w:rPr>
      </w:pPr>
      <w:r>
        <w:rPr>
          <w:rStyle w:val="EndnoteReference"/>
        </w:rPr>
        <w:endnoteRef/>
      </w:r>
      <w:r>
        <w:t xml:space="preserve"> </w:t>
      </w:r>
      <w:r>
        <w:rPr>
          <w:sz w:val="16"/>
          <w:szCs w:val="16"/>
        </w:rPr>
        <w:t>Drive h</w:t>
      </w:r>
      <w:r w:rsidRPr="009130C7">
        <w:rPr>
          <w:sz w:val="16"/>
          <w:szCs w:val="16"/>
        </w:rPr>
        <w:t>ttps://www.drive.com.au/reviews/2024-volkswagen-id-3-review-international-first-drive/</w:t>
      </w:r>
    </w:p>
  </w:endnote>
  <w:endnote w:id="60">
    <w:p w14:paraId="3D296CAC" w14:textId="77777777" w:rsidR="00BD7C09" w:rsidRPr="00AD794C" w:rsidRDefault="00BD7C09" w:rsidP="004D6A91">
      <w:pPr>
        <w:pStyle w:val="EndnoteText"/>
        <w:rPr>
          <w:sz w:val="18"/>
          <w:szCs w:val="18"/>
          <w:lang w:val="en-US"/>
        </w:rPr>
      </w:pPr>
      <w:r>
        <w:rPr>
          <w:rStyle w:val="EndnoteReference"/>
          <w:sz w:val="16"/>
          <w:szCs w:val="16"/>
        </w:rPr>
        <w:endnoteRef/>
      </w:r>
      <w:r>
        <w:rPr>
          <w:sz w:val="18"/>
          <w:szCs w:val="18"/>
          <w:lang w:val="en-US"/>
        </w:rPr>
        <w:t xml:space="preserve"> </w:t>
      </w:r>
      <w:r>
        <w:rPr>
          <w:sz w:val="16"/>
          <w:szCs w:val="16"/>
        </w:rPr>
        <w:t>Man, H., and O’Kane, T., 2023, Is it time to buy an electric car? Crunching the numbers! https://www.whichcar.com.au/car-advice/electric-cars-do-they-make-financial-sense#running-costs</w:t>
      </w:r>
    </w:p>
  </w:endnote>
  <w:endnote w:id="61">
    <w:p w14:paraId="793AE383" w14:textId="77777777" w:rsidR="00BD7C09" w:rsidRPr="00300995" w:rsidRDefault="00BD7C09" w:rsidP="004D6A91">
      <w:pPr>
        <w:pStyle w:val="EndnoteText"/>
        <w:rPr>
          <w:sz w:val="16"/>
          <w:szCs w:val="16"/>
        </w:rPr>
      </w:pPr>
      <w:r>
        <w:rPr>
          <w:rStyle w:val="EndnoteReference"/>
          <w:sz w:val="16"/>
          <w:szCs w:val="16"/>
        </w:rPr>
        <w:endnoteRef/>
      </w:r>
      <w:r>
        <w:rPr>
          <w:sz w:val="16"/>
          <w:szCs w:val="16"/>
        </w:rPr>
        <w:t xml:space="preserve"> GHD Advisory and ACIL Allen, Economic and Technical Modelling of the ACT Electricity Network Strategic Report; 26 April 2022. Accessed 12 October 2023. https://acilallen.com.au/projects/energy/economic-andtechnical-modelling-of-the-act-electricity-network-strategic-report-1</w:t>
      </w:r>
    </w:p>
  </w:endnote>
  <w:endnote w:id="62">
    <w:p w14:paraId="63372168" w14:textId="77777777" w:rsidR="00BD7C09" w:rsidRPr="00300995" w:rsidRDefault="00BD7C09" w:rsidP="004D6A91">
      <w:pPr>
        <w:pStyle w:val="EndnoteText"/>
        <w:rPr>
          <w:sz w:val="16"/>
          <w:szCs w:val="16"/>
        </w:rPr>
      </w:pPr>
      <w:r w:rsidRPr="00E672B1">
        <w:rPr>
          <w:rStyle w:val="EndnoteReference"/>
          <w:sz w:val="16"/>
          <w:szCs w:val="16"/>
        </w:rPr>
        <w:endnoteRef/>
      </w:r>
      <w:r>
        <w:rPr>
          <w:sz w:val="16"/>
          <w:szCs w:val="16"/>
        </w:rPr>
        <w:t xml:space="preserve"> https://publications.jrc.ec.europa.eu/repository/bitstream/JRC107662/kjna28724enn.pdf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7210" w14:textId="77777777" w:rsidR="00BD7C09" w:rsidRDefault="00BD7C09" w:rsidP="00E50D64">
    <w:pPr>
      <w:pStyle w:val="Footer"/>
      <w:spacing w:before="720"/>
      <w:jc w:val="right"/>
    </w:pPr>
    <w:r>
      <w:rPr>
        <w:noProof/>
        <w:lang w:eastAsia="en-AU"/>
      </w:rPr>
      <mc:AlternateContent>
        <mc:Choice Requires="wps">
          <w:drawing>
            <wp:anchor distT="0" distB="0" distL="114300" distR="114300" simplePos="0" relativeHeight="251658251" behindDoc="1" locked="1" layoutInCell="1" allowOverlap="1" wp14:anchorId="61F70E09" wp14:editId="5DE25FE3">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4BDD6A0E" w14:textId="77777777" w:rsidR="00BD7C09" w:rsidRPr="007A05BE" w:rsidRDefault="00BD7C0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F70E09" id="_x0000_t202" coordsize="21600,21600" o:spt="202" path="m,l,21600r21600,l21600,xe">
              <v:stroke joinstyle="miter"/>
              <v:path gradientshapeok="t" o:connecttype="rect"/>
            </v:shapetype>
            <v:shape id="Text Box 16" o:spid="_x0000_s1034" type="#_x0000_t202" style="position:absolute;left:0;text-align:left;margin-left:0;margin-top:0;width:79.3pt;height:42.45pt;z-index:-25165822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4BDD6A0E" w14:textId="77777777" w:rsidR="00BD7C09" w:rsidRPr="007A05BE" w:rsidRDefault="00BD7C0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50" behindDoc="1" locked="1" layoutInCell="1" allowOverlap="1" wp14:anchorId="50856187" wp14:editId="27FB5E9F">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4639F30B" w14:textId="109A2CF2" w:rsidR="00BD7C09" w:rsidRDefault="00BD7C09" w:rsidP="00E50D64">
                          <w:pPr>
                            <w:pStyle w:val="Footer"/>
                          </w:pPr>
                          <w:r>
                            <w:t>Cleaner, Cheaper to Run Cars: An Australian New Vehicle Efficiency Standard</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856187" id="Text Box 18" o:spid="_x0000_s1035" type="#_x0000_t202" style="position:absolute;left:0;text-align:left;margin-left:0;margin-top:0;width:340.15pt;height:42.45pt;z-index:-25165823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p w14:paraId="4639F30B" w14:textId="109A2CF2" w:rsidR="00BD7C09" w:rsidRDefault="00BD7C09" w:rsidP="00E50D64">
                    <w:pPr>
                      <w:pStyle w:val="Footer"/>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9" behindDoc="1" locked="1" layoutInCell="1" allowOverlap="1" wp14:anchorId="7169C6C9" wp14:editId="01FC02BC">
          <wp:simplePos x="0" y="0"/>
          <wp:positionH relativeFrom="page">
            <wp:align>right</wp:align>
          </wp:positionH>
          <wp:positionV relativeFrom="page">
            <wp:align>bottom</wp:align>
          </wp:positionV>
          <wp:extent cx="10692000" cy="183240"/>
          <wp:effectExtent l="0" t="0" r="0" b="7620"/>
          <wp:wrapNone/>
          <wp:docPr id="2048" name="Picture 20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6B154" w14:textId="77777777" w:rsidR="00BD7C09" w:rsidRDefault="00BD7C09" w:rsidP="00546218">
    <w:pPr>
      <w:pStyle w:val="Footer"/>
      <w:spacing w:before="720"/>
    </w:pPr>
    <w:r>
      <w:rPr>
        <w:noProof/>
        <w:lang w:eastAsia="en-AU"/>
      </w:rPr>
      <mc:AlternateContent>
        <mc:Choice Requires="wps">
          <w:drawing>
            <wp:anchor distT="0" distB="0" distL="114300" distR="114300" simplePos="0" relativeHeight="251658242" behindDoc="1" locked="1" layoutInCell="1" allowOverlap="1" wp14:anchorId="3C01A78F" wp14:editId="2685FACF">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181F6C6" w14:textId="77777777" w:rsidR="00BD7C09" w:rsidRPr="007A05BE" w:rsidRDefault="00BD7C0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01A78F" id="_x0000_t202" coordsize="21600,21600" o:spt="202" path="m,l,21600r21600,l21600,xe">
              <v:stroke joinstyle="miter"/>
              <v:path gradientshapeok="t" o:connecttype="rect"/>
            </v:shapetype>
            <v:shape id="Text Box 4" o:spid="_x0000_s1036" type="#_x0000_t202" style="position:absolute;margin-left:28.15pt;margin-top:0;width:79.35pt;height:42.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61hw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jCxi4Bp9lDdkZ4GtruNopvC8zhnhn7xDS2M6aN&#10;I2ofcclLwLugkyg5gP7+J73zR47QSkmN45FS8+3ItKCk/CKx/9ws9YL2QhzNwxDVe7+bxLjBnTxW&#10;d+C5IpiXF1GrbdmLuYbqBWd45e5DE5Mcb03pvhfvbDuu+AZwsVp5J5wdxey9fFbYSCNfNVfbXfPC&#10;tOoIsEjdA/QjxJJ3PLS+LROro4W88CRd69kVHufON1f3RrjB/nXvva4v2fIn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t&#10;rS61hwIAABEFAAAOAAAAAAAAAAAAAAAAAC4CAABkcnMvZTJvRG9jLnhtbFBLAQItABQABgAIAAAA&#10;IQBF6fG43AAAAAQBAAAPAAAAAAAAAAAAAAAAAOEEAABkcnMvZG93bnJldi54bWxQSwUGAAAAAAQA&#10;BADzAAAA6gUAAAAA&#10;" filled="f" stroked="f" strokeweight=".5pt">
              <v:textbox inset="0,0,18mm,10mm">
                <w:txbxContent>
                  <w:p w14:paraId="5181F6C6" w14:textId="77777777" w:rsidR="00BD7C09" w:rsidRPr="007A05BE" w:rsidRDefault="00BD7C0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1" behindDoc="1" locked="1" layoutInCell="1" allowOverlap="1" wp14:anchorId="7CF3AA37" wp14:editId="2AD60A13">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433D78D" w14:textId="6F2F3F79" w:rsidR="00BD7C09" w:rsidRDefault="00BD7C09" w:rsidP="007A05BE">
                          <w:pPr>
                            <w:pStyle w:val="Footer"/>
                            <w:jc w:val="right"/>
                          </w:pPr>
                          <w:r>
                            <w:t>Cleaner, Cheaper to Run Cars: An Australian New Vehicle Efficiency Standard</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F3AA37" id="Text Box 3" o:spid="_x0000_s1037" type="#_x0000_t202" style="position:absolute;margin-left:288.95pt;margin-top:0;width:340.15pt;height:42.5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" filled="f" stroked="f" strokeweight=".5pt">
              <v:textbox inset="0,0,28mm,10mm">
                <w:txbxContent>
                  <w:p w14:paraId="4433D78D" w14:textId="6F2F3F79" w:rsidR="00BD7C09" w:rsidRDefault="00BD7C09" w:rsidP="007A05BE">
                    <w:pPr>
                      <w:pStyle w:val="Footer"/>
                      <w:jc w:val="right"/>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0" behindDoc="1" locked="1" layoutInCell="1" allowOverlap="1" wp14:anchorId="704D4BBF" wp14:editId="605FDE36">
          <wp:simplePos x="0" y="0"/>
          <wp:positionH relativeFrom="page">
            <wp:align>right</wp:align>
          </wp:positionH>
          <wp:positionV relativeFrom="page">
            <wp:align>bottom</wp:align>
          </wp:positionV>
          <wp:extent cx="10692000" cy="183240"/>
          <wp:effectExtent l="0" t="0" r="0" b="7620"/>
          <wp:wrapNone/>
          <wp:docPr id="2051" name="Picture 20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6A69" w14:textId="77777777" w:rsidR="00E3762D" w:rsidRDefault="00E37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D9838" w14:textId="77777777" w:rsidR="00BD7C09" w:rsidRPr="005D0B2B" w:rsidRDefault="00BD7C09" w:rsidP="005D0B2B">
    <w:pPr>
      <w:pStyle w:val="Footer"/>
      <w:spacing w:before="720"/>
      <w:rPr>
        <w:color w:val="C00000"/>
      </w:rPr>
    </w:pPr>
    <w:r w:rsidRPr="006B7AE6">
      <w:rPr>
        <w:noProof/>
        <w:color w:val="C00000"/>
        <w:lang w:eastAsia="en-AU"/>
      </w:rPr>
      <mc:AlternateContent>
        <mc:Choice Requires="wps">
          <w:drawing>
            <wp:anchor distT="0" distB="0" distL="114300" distR="114300" simplePos="0" relativeHeight="251658248" behindDoc="1" locked="1" layoutInCell="1" allowOverlap="1" wp14:anchorId="58DCB953" wp14:editId="26BE7AB9">
              <wp:simplePos x="0" y="0"/>
              <wp:positionH relativeFrom="page">
                <wp:align>right</wp:align>
              </wp:positionH>
              <wp:positionV relativeFrom="page">
                <wp:align>bottom</wp:align>
              </wp:positionV>
              <wp:extent cx="1007640" cy="539640"/>
              <wp:effectExtent l="0" t="0" r="0" b="0"/>
              <wp:wrapNone/>
              <wp:docPr id="11" name="Text Box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B801EDA" w14:textId="6B8476CB" w:rsidR="00BD7C09" w:rsidRPr="00950153" w:rsidRDefault="00BD7C09" w:rsidP="00546218">
                          <w:pPr>
                            <w:pStyle w:val="Footer"/>
                            <w:jc w:val="right"/>
                            <w:rPr>
                              <w:rStyle w:val="PageNumber"/>
                              <w:b w:val="0"/>
                            </w:rPr>
                          </w:pPr>
                          <w:r w:rsidRPr="00950153">
                            <w:rPr>
                              <w:rStyle w:val="PageNumber"/>
                              <w:b w:val="0"/>
                            </w:rPr>
                            <w:fldChar w:fldCharType="begin"/>
                          </w:r>
                          <w:r w:rsidRPr="00950153">
                            <w:rPr>
                              <w:rStyle w:val="PageNumber"/>
                              <w:b w:val="0"/>
                            </w:rPr>
                            <w:instrText xml:space="preserve"> PAGE   \* MERGEFORMAT </w:instrText>
                          </w:r>
                          <w:r w:rsidRPr="00950153">
                            <w:rPr>
                              <w:rStyle w:val="PageNumber"/>
                              <w:b w:val="0"/>
                            </w:rPr>
                            <w:fldChar w:fldCharType="separate"/>
                          </w:r>
                          <w:r w:rsidR="00E51D93">
                            <w:rPr>
                              <w:rStyle w:val="PageNumber"/>
                              <w:b w:val="0"/>
                              <w:noProof/>
                            </w:rPr>
                            <w:t>3</w:t>
                          </w:r>
                          <w:r w:rsidRPr="00950153">
                            <w:rPr>
                              <w:rStyle w:val="PageNumber"/>
                              <w:b w:val="0"/>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B953" id="_x0000_t202" coordsize="21600,21600" o:spt="202" path="m,l,21600r21600,l21600,xe">
              <v:stroke joinstyle="miter"/>
              <v:path gradientshapeok="t" o:connecttype="rect"/>
            </v:shapetype>
            <v:shape id="Text Box 11" o:spid="_x0000_s1038" type="#_x0000_t202" style="position:absolute;margin-left:28.15pt;margin-top:0;width:79.35pt;height:42.5pt;z-index:-2516582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" filled="f" stroked="f" strokeweight=".5pt">
              <v:textbox inset="0,0,18mm,10mm">
                <w:txbxContent>
                  <w:p w14:paraId="3B801EDA" w14:textId="6B8476CB" w:rsidR="00BD7C09" w:rsidRPr="00950153" w:rsidRDefault="00BD7C09" w:rsidP="00546218">
                    <w:pPr>
                      <w:pStyle w:val="Footer"/>
                      <w:jc w:val="right"/>
                      <w:rPr>
                        <w:rStyle w:val="PageNumber"/>
                        <w:b w:val="0"/>
                      </w:rPr>
                    </w:pPr>
                    <w:r w:rsidRPr="00950153">
                      <w:rPr>
                        <w:rStyle w:val="PageNumber"/>
                        <w:b w:val="0"/>
                      </w:rPr>
                      <w:fldChar w:fldCharType="begin"/>
                    </w:r>
                    <w:r w:rsidRPr="00950153">
                      <w:rPr>
                        <w:rStyle w:val="PageNumber"/>
                        <w:b w:val="0"/>
                      </w:rPr>
                      <w:instrText xml:space="preserve"> PAGE   \* MERGEFORMAT </w:instrText>
                    </w:r>
                    <w:r w:rsidRPr="00950153">
                      <w:rPr>
                        <w:rStyle w:val="PageNumber"/>
                        <w:b w:val="0"/>
                      </w:rPr>
                      <w:fldChar w:fldCharType="separate"/>
                    </w:r>
                    <w:r w:rsidR="00E51D93">
                      <w:rPr>
                        <w:rStyle w:val="PageNumber"/>
                        <w:b w:val="0"/>
                        <w:noProof/>
                      </w:rPr>
                      <w:t>3</w:t>
                    </w:r>
                    <w:r w:rsidRPr="00950153">
                      <w:rPr>
                        <w:rStyle w:val="PageNumber"/>
                        <w:b w:val="0"/>
                      </w:rPr>
                      <w:fldChar w:fldCharType="end"/>
                    </w:r>
                  </w:p>
                </w:txbxContent>
              </v:textbox>
              <w10:wrap anchorx="page" anchory="page"/>
              <w10:anchorlock/>
            </v:shape>
          </w:pict>
        </mc:Fallback>
      </mc:AlternateContent>
    </w:r>
    <w:r w:rsidRPr="006B7AE6">
      <w:rPr>
        <w:noProof/>
        <w:color w:val="C00000"/>
        <w:lang w:eastAsia="en-AU"/>
      </w:rPr>
      <mc:AlternateContent>
        <mc:Choice Requires="wps">
          <w:drawing>
            <wp:anchor distT="0" distB="0" distL="114300" distR="114300" simplePos="0" relativeHeight="251658247" behindDoc="1" locked="1" layoutInCell="1" allowOverlap="1" wp14:anchorId="7476CF50" wp14:editId="0CFC348A">
              <wp:simplePos x="0" y="0"/>
              <wp:positionH relativeFrom="page">
                <wp:posOffset>1565910</wp:posOffset>
              </wp:positionH>
              <wp:positionV relativeFrom="page">
                <wp:posOffset>10153650</wp:posOffset>
              </wp:positionV>
              <wp:extent cx="5997575" cy="539115"/>
              <wp:effectExtent l="0" t="0" r="0" b="0"/>
              <wp:wrapNone/>
              <wp:docPr id="12" name="Text Box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7575" cy="539115"/>
                      </a:xfrm>
                      <a:prstGeom prst="rect">
                        <a:avLst/>
                      </a:prstGeom>
                      <a:noFill/>
                      <a:ln w="6350">
                        <a:noFill/>
                      </a:ln>
                    </wps:spPr>
                    <wps:txbx>
                      <w:txbxContent>
                        <w:p w14:paraId="6C1BA98D" w14:textId="4140BC21" w:rsidR="00BD7C09" w:rsidRDefault="00BD7C09" w:rsidP="00043F00">
                          <w:pPr>
                            <w:pStyle w:val="Footer"/>
                            <w:jc w:val="right"/>
                          </w:pPr>
                          <w:bookmarkStart w:id="3" w:name="_Hlk146790744"/>
                          <w:bookmarkStart w:id="4" w:name="_Hlk146790745"/>
                          <w:bookmarkStart w:id="5" w:name="_Hlk146790746"/>
                          <w:bookmarkStart w:id="6" w:name="_Hlk146790747"/>
                          <w:bookmarkStart w:id="7" w:name="_Hlk146790748"/>
                          <w:bookmarkStart w:id="8" w:name="_Hlk146790749"/>
                          <w:r w:rsidRPr="00B03FA1">
                            <w:rPr>
                              <w:rFonts w:asciiTheme="majorHAnsi" w:hAnsiTheme="majorHAnsi" w:cstheme="majorHAnsi"/>
                            </w:rPr>
                            <w:t xml:space="preserve">Cleaner, Cheaper to Run Cars: An Australian </w:t>
                          </w:r>
                          <w:r>
                            <w:rPr>
                              <w:rFonts w:asciiTheme="majorHAnsi" w:hAnsiTheme="majorHAnsi" w:cstheme="majorHAnsi"/>
                            </w:rPr>
                            <w:t>N</w:t>
                          </w:r>
                          <w:r w:rsidRPr="00B03FA1">
                            <w:rPr>
                              <w:rFonts w:asciiTheme="majorHAnsi" w:hAnsiTheme="majorHAnsi" w:cstheme="majorHAnsi"/>
                            </w:rPr>
                            <w:t xml:space="preserve">ew </w:t>
                          </w:r>
                          <w:r>
                            <w:rPr>
                              <w:rFonts w:asciiTheme="majorHAnsi" w:hAnsiTheme="majorHAnsi" w:cstheme="majorHAnsi"/>
                            </w:rPr>
                            <w:t>V</w:t>
                          </w:r>
                          <w:r w:rsidRPr="00B03FA1">
                            <w:rPr>
                              <w:rFonts w:asciiTheme="majorHAnsi" w:hAnsiTheme="majorHAnsi" w:cstheme="majorHAnsi"/>
                            </w:rPr>
                            <w:t xml:space="preserve">ehicle </w:t>
                          </w:r>
                          <w:r>
                            <w:rPr>
                              <w:rFonts w:asciiTheme="majorHAnsi" w:hAnsiTheme="majorHAnsi" w:cstheme="majorHAnsi"/>
                            </w:rPr>
                            <w:t>E</w:t>
                          </w:r>
                          <w:r w:rsidRPr="00B03FA1">
                            <w:rPr>
                              <w:rFonts w:asciiTheme="majorHAnsi" w:hAnsiTheme="majorHAnsi" w:cstheme="majorHAnsi"/>
                            </w:rPr>
                            <w:t xml:space="preserve">fficiency </w:t>
                          </w:r>
                          <w:r>
                            <w:rPr>
                              <w:rFonts w:asciiTheme="majorHAnsi" w:hAnsiTheme="majorHAnsi" w:cstheme="majorHAnsi"/>
                            </w:rPr>
                            <w:t>S</w:t>
                          </w:r>
                          <w:r w:rsidRPr="00B03FA1">
                            <w:rPr>
                              <w:rFonts w:asciiTheme="majorHAnsi" w:hAnsiTheme="majorHAnsi" w:cstheme="majorHAnsi"/>
                            </w:rPr>
                            <w:t>tandard</w:t>
                          </w:r>
                          <w:bookmarkEnd w:id="3"/>
                          <w:bookmarkEnd w:id="4"/>
                          <w:bookmarkEnd w:id="5"/>
                          <w:bookmarkEnd w:id="6"/>
                          <w:bookmarkEnd w:id="7"/>
                          <w:bookmarkEnd w:id="8"/>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6CF50" id="Text Box 12" o:spid="_x0000_s1039" type="#_x0000_t202" style="position:absolute;margin-left:123.3pt;margin-top:799.5pt;width:472.25pt;height:42.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" filled="f" stroked="f" strokeweight=".5pt">
              <v:textbox inset="0,0,28mm,10mm">
                <w:txbxContent>
                  <w:p w14:paraId="6C1BA98D" w14:textId="4140BC21" w:rsidR="00BD7C09" w:rsidRDefault="00BD7C09" w:rsidP="00043F00">
                    <w:pPr>
                      <w:pStyle w:val="Footer"/>
                      <w:jc w:val="right"/>
                    </w:pPr>
                    <w:bookmarkStart w:id="8" w:name="_Hlk146790744"/>
                    <w:bookmarkStart w:id="9" w:name="_Hlk146790745"/>
                    <w:bookmarkStart w:id="10" w:name="_Hlk146790746"/>
                    <w:bookmarkStart w:id="11" w:name="_Hlk146790747"/>
                    <w:bookmarkStart w:id="12" w:name="_Hlk146790748"/>
                    <w:bookmarkStart w:id="13" w:name="_Hlk146790749"/>
                    <w:r w:rsidRPr="00B03FA1">
                      <w:rPr>
                        <w:rFonts w:asciiTheme="majorHAnsi" w:hAnsiTheme="majorHAnsi" w:cstheme="majorHAnsi"/>
                      </w:rPr>
                      <w:t xml:space="preserve">Cleaner, Cheaper to Run Cars: An Australian </w:t>
                    </w:r>
                    <w:r>
                      <w:rPr>
                        <w:rFonts w:asciiTheme="majorHAnsi" w:hAnsiTheme="majorHAnsi" w:cstheme="majorHAnsi"/>
                      </w:rPr>
                      <w:t>N</w:t>
                    </w:r>
                    <w:r w:rsidRPr="00B03FA1">
                      <w:rPr>
                        <w:rFonts w:asciiTheme="majorHAnsi" w:hAnsiTheme="majorHAnsi" w:cstheme="majorHAnsi"/>
                      </w:rPr>
                      <w:t xml:space="preserve">ew </w:t>
                    </w:r>
                    <w:r>
                      <w:rPr>
                        <w:rFonts w:asciiTheme="majorHAnsi" w:hAnsiTheme="majorHAnsi" w:cstheme="majorHAnsi"/>
                      </w:rPr>
                      <w:t>V</w:t>
                    </w:r>
                    <w:r w:rsidRPr="00B03FA1">
                      <w:rPr>
                        <w:rFonts w:asciiTheme="majorHAnsi" w:hAnsiTheme="majorHAnsi" w:cstheme="majorHAnsi"/>
                      </w:rPr>
                      <w:t xml:space="preserve">ehicle </w:t>
                    </w:r>
                    <w:r>
                      <w:rPr>
                        <w:rFonts w:asciiTheme="majorHAnsi" w:hAnsiTheme="majorHAnsi" w:cstheme="majorHAnsi"/>
                      </w:rPr>
                      <w:t>E</w:t>
                    </w:r>
                    <w:r w:rsidRPr="00B03FA1">
                      <w:rPr>
                        <w:rFonts w:asciiTheme="majorHAnsi" w:hAnsiTheme="majorHAnsi" w:cstheme="majorHAnsi"/>
                      </w:rPr>
                      <w:t xml:space="preserve">fficiency </w:t>
                    </w:r>
                    <w:r>
                      <w:rPr>
                        <w:rFonts w:asciiTheme="majorHAnsi" w:hAnsiTheme="majorHAnsi" w:cstheme="majorHAnsi"/>
                      </w:rPr>
                      <w:t>S</w:t>
                    </w:r>
                    <w:r w:rsidRPr="00B03FA1">
                      <w:rPr>
                        <w:rFonts w:asciiTheme="majorHAnsi" w:hAnsiTheme="majorHAnsi" w:cstheme="majorHAnsi"/>
                      </w:rPr>
                      <w:t>tandard</w:t>
                    </w:r>
                    <w:bookmarkEnd w:id="8"/>
                    <w:bookmarkEnd w:id="9"/>
                    <w:bookmarkEnd w:id="10"/>
                    <w:bookmarkEnd w:id="11"/>
                    <w:bookmarkEnd w:id="12"/>
                    <w:bookmarkEnd w:id="13"/>
                  </w:p>
                </w:txbxContent>
              </v:textbox>
              <w10:wrap anchorx="page" anchory="page"/>
              <w10:anchorlock/>
            </v:shape>
          </w:pict>
        </mc:Fallback>
      </mc:AlternateContent>
    </w:r>
    <w:r w:rsidRPr="006B7AE6">
      <w:rPr>
        <w:noProof/>
        <w:color w:val="C00000"/>
        <w:lang w:eastAsia="en-AU"/>
      </w:rPr>
      <w:drawing>
        <wp:anchor distT="0" distB="0" distL="114300" distR="114300" simplePos="0" relativeHeight="251658246" behindDoc="1" locked="1" layoutInCell="1" allowOverlap="1" wp14:anchorId="42784B01" wp14:editId="1BE23A09">
          <wp:simplePos x="0" y="0"/>
          <wp:positionH relativeFrom="page">
            <wp:align>right</wp:align>
          </wp:positionH>
          <wp:positionV relativeFrom="page">
            <wp:align>bottom</wp:align>
          </wp:positionV>
          <wp:extent cx="10692000" cy="183240"/>
          <wp:effectExtent l="0" t="0" r="0" b="7620"/>
          <wp:wrapNone/>
          <wp:docPr id="2057" name="Picture 20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rPr>
        <w:color w:val="C00000"/>
      </w:rPr>
      <w:t xml:space="preserve">Impact Analysis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3C1A" w14:textId="77777777" w:rsidR="00BD7C09" w:rsidRDefault="00BD7C09" w:rsidP="00546218">
    <w:pPr>
      <w:pStyle w:val="Footer"/>
      <w:spacing w:before="720"/>
    </w:pPr>
    <w:r>
      <w:rPr>
        <w:noProof/>
        <w:lang w:eastAsia="en-AU"/>
      </w:rPr>
      <mc:AlternateContent>
        <mc:Choice Requires="wps">
          <w:drawing>
            <wp:anchor distT="0" distB="0" distL="114300" distR="114300" simplePos="0" relativeHeight="251658245" behindDoc="1" locked="1" layoutInCell="1" allowOverlap="1" wp14:anchorId="50D9287C" wp14:editId="35F3063F">
              <wp:simplePos x="0" y="0"/>
              <wp:positionH relativeFrom="page">
                <wp:align>right</wp:align>
              </wp:positionH>
              <wp:positionV relativeFrom="page">
                <wp:align>bottom</wp:align>
              </wp:positionV>
              <wp:extent cx="1007640" cy="539640"/>
              <wp:effectExtent l="0" t="0" r="0" b="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9FA4B62" w14:textId="77777777" w:rsidR="00BD7C09" w:rsidRPr="007A05BE" w:rsidRDefault="00BD7C0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D9287C" id="_x0000_t202" coordsize="21600,21600" o:spt="202" path="m,l,21600r21600,l21600,xe">
              <v:stroke joinstyle="miter"/>
              <v:path gradientshapeok="t" o:connecttype="rect"/>
            </v:shapetype>
            <v:shape id="Text Box 8" o:spid="_x0000_s1040" type="#_x0000_t202" style="position:absolute;margin-left:28.15pt;margin-top:0;width:79.35pt;height:42.5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Lg&#10;xZ2GAgAAEQUAAA4AAAAAAAAAAAAAAAAALgIAAGRycy9lMm9Eb2MueG1sUEsBAi0AFAAGAAgAAAAh&#10;AEXp8bjcAAAABAEAAA8AAAAAAAAAAAAAAAAA4AQAAGRycy9kb3ducmV2LnhtbFBLBQYAAAAABAAE&#10;APMAAADpBQAAAAA=&#10;" filled="f" stroked="f" strokeweight=".5pt">
              <v:textbox inset="0,0,18mm,10mm">
                <w:txbxContent>
                  <w:p w14:paraId="69FA4B62" w14:textId="77777777" w:rsidR="00BD7C09" w:rsidRPr="007A05BE" w:rsidRDefault="00BD7C0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4" behindDoc="1" locked="1" layoutInCell="1" allowOverlap="1" wp14:anchorId="474379A0" wp14:editId="029DC7B2">
              <wp:simplePos x="0" y="0"/>
              <wp:positionH relativeFrom="page">
                <wp:align>right</wp:align>
              </wp:positionH>
              <wp:positionV relativeFrom="page">
                <wp:align>bottom</wp:align>
              </wp:positionV>
              <wp:extent cx="4320000" cy="539640"/>
              <wp:effectExtent l="0" t="0" r="0" b="0"/>
              <wp:wrapNone/>
              <wp:docPr id="9" name="Text Box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006950EE" w14:textId="5FC9A42A" w:rsidR="00BD7C09" w:rsidRDefault="00BD7C09" w:rsidP="00546218">
                          <w:pPr>
                            <w:pStyle w:val="Footer"/>
                            <w:jc w:val="right"/>
                          </w:pPr>
                          <w:r>
                            <w:t>Cleaner, Cheaper to Run Cars: An Australian New Vehicle Efficiency Standard</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4379A0" id="Text Box 9" o:spid="_x0000_s1041" type="#_x0000_t202" style="position:absolute;margin-left:288.95pt;margin-top:0;width:340.15pt;height:42.5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DP&#10;Z13viQIAABIFAAAOAAAAAAAAAAAAAAAAAC4CAABkcnMvZTJvRG9jLnhtbFBLAQItABQABgAIAAAA&#10;IQD6tAqD2gAAAAQBAAAPAAAAAAAAAAAAAAAAAOMEAABkcnMvZG93bnJldi54bWxQSwUGAAAAAAQA&#10;BADzAAAA6gUAAAAA&#10;" filled="f" stroked="f" strokeweight=".5pt">
              <v:textbox inset="0,0,28mm,10mm">
                <w:txbxContent>
                  <w:p w14:paraId="006950EE" w14:textId="5FC9A42A" w:rsidR="00BD7C09" w:rsidRDefault="00BD7C09" w:rsidP="00546218">
                    <w:pPr>
                      <w:pStyle w:val="Footer"/>
                      <w:jc w:val="right"/>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3" behindDoc="1" locked="1" layoutInCell="1" allowOverlap="1" wp14:anchorId="7A029F99" wp14:editId="51B1A9AB">
          <wp:simplePos x="0" y="0"/>
          <wp:positionH relativeFrom="page">
            <wp:align>right</wp:align>
          </wp:positionH>
          <wp:positionV relativeFrom="page">
            <wp:align>bottom</wp:align>
          </wp:positionV>
          <wp:extent cx="10692000" cy="183240"/>
          <wp:effectExtent l="0" t="0" r="0" b="7620"/>
          <wp:wrapNone/>
          <wp:docPr id="2058" name="Picture 20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830A9" w14:textId="77777777" w:rsidR="007C58DB" w:rsidRPr="005912BE" w:rsidRDefault="007C58DB" w:rsidP="005912BE">
      <w:pPr>
        <w:spacing w:before="300"/>
        <w:rPr>
          <w:color w:val="629DD1" w:themeColor="accent2"/>
        </w:rPr>
      </w:pPr>
      <w:r w:rsidRPr="004063DE">
        <w:rPr>
          <w:color w:val="234F77" w:themeColor="accent2" w:themeShade="80"/>
        </w:rPr>
        <w:t>----------</w:t>
      </w:r>
    </w:p>
  </w:footnote>
  <w:footnote w:type="continuationSeparator" w:id="0">
    <w:p w14:paraId="5894EC12" w14:textId="77777777" w:rsidR="007C58DB" w:rsidRDefault="007C58DB" w:rsidP="008456D5">
      <w:pPr>
        <w:spacing w:after="0"/>
      </w:pPr>
      <w:r>
        <w:continuationSeparator/>
      </w:r>
    </w:p>
  </w:footnote>
  <w:footnote w:type="continuationNotice" w:id="1">
    <w:p w14:paraId="50D52CDE" w14:textId="77777777" w:rsidR="007C58DB" w:rsidRDefault="007C58DB">
      <w:pPr>
        <w:spacing w:after="0"/>
      </w:pPr>
    </w:p>
  </w:footnote>
  <w:footnote w:id="2">
    <w:p w14:paraId="7F6D9936" w14:textId="77777777" w:rsidR="00BD7C09" w:rsidRPr="00DA0952" w:rsidRDefault="00BD7C09" w:rsidP="00912CDC">
      <w:pPr>
        <w:pStyle w:val="FootnoteText"/>
        <w:rPr>
          <w:szCs w:val="18"/>
        </w:rPr>
      </w:pPr>
      <w:r w:rsidRPr="00DA0952">
        <w:rPr>
          <w:szCs w:val="18"/>
          <w:vertAlign w:val="superscript"/>
        </w:rPr>
        <w:footnoteRef/>
      </w:r>
      <w:r w:rsidRPr="00DA0952">
        <w:rPr>
          <w:szCs w:val="18"/>
        </w:rPr>
        <w:t xml:space="preserve"> Vehicles in use | International Organization of Motor Vehicle Manufacturers, 2020</w:t>
      </w:r>
    </w:p>
  </w:footnote>
  <w:footnote w:id="3">
    <w:p w14:paraId="2A9BA9C0" w14:textId="77777777" w:rsidR="00BD7C09" w:rsidRDefault="00BD7C09" w:rsidP="00912CDC">
      <w:pPr>
        <w:pStyle w:val="FootnoteText"/>
      </w:pPr>
      <w:r>
        <w:rPr>
          <w:rStyle w:val="FootnoteReference"/>
        </w:rPr>
        <w:footnoteRef/>
      </w:r>
      <w:r>
        <w:t xml:space="preserve"> By ‘cars’ we mean the sedans, hatchbacks, vans and utes that Australians drive. These are vehicles, generally that are lighter than 3.5 tonnes. Vehicles that are 4.5 tonnes or more are heavy vehicles – i.e. large trucks etc that are freight carrying.</w:t>
      </w:r>
    </w:p>
  </w:footnote>
  <w:footnote w:id="4">
    <w:p w14:paraId="30CBEB6A" w14:textId="77777777" w:rsidR="00BD7C09" w:rsidRPr="00B03FA1" w:rsidRDefault="00BD7C09" w:rsidP="00912CDC">
      <w:pPr>
        <w:pStyle w:val="FootnoteText"/>
        <w:rPr>
          <w:lang w:val="en-US"/>
        </w:rPr>
      </w:pPr>
      <w:r>
        <w:rPr>
          <w:rStyle w:val="FootnoteReference"/>
        </w:rPr>
        <w:footnoteRef/>
      </w:r>
      <w:r>
        <w:t xml:space="preserve"> </w:t>
      </w:r>
      <w:r>
        <w:rPr>
          <w:lang w:val="en-US"/>
        </w:rPr>
        <w:t xml:space="preserve">We previously referred to this policy as a ‘Fuel Efficiency Standard’, but based on submissions to our first consultation process we have changed the name to ‘New Vehicle Efficiency Standard’ to better reflect that the standard would only apply to new cars, and applies to cars not fuel. </w:t>
      </w:r>
    </w:p>
  </w:footnote>
  <w:footnote w:id="5">
    <w:p w14:paraId="1A1311FC" w14:textId="77777777" w:rsidR="00BD7C09" w:rsidRDefault="00BD7C09" w:rsidP="00912CDC">
      <w:pPr>
        <w:pStyle w:val="FootnoteText"/>
      </w:pPr>
      <w:r>
        <w:rPr>
          <w:rStyle w:val="FootnoteReference"/>
        </w:rPr>
        <w:footnoteRef/>
      </w:r>
      <w:r>
        <w:t xml:space="preserve"> </w:t>
      </w:r>
      <w:r w:rsidRPr="00287177">
        <w:t>Australia's emissions projections 2023 (dcceew.gov.au)</w:t>
      </w:r>
    </w:p>
  </w:footnote>
  <w:footnote w:id="6">
    <w:p w14:paraId="68A5A72B" w14:textId="77777777" w:rsidR="00BD7C09" w:rsidRPr="000F5276" w:rsidRDefault="00BD7C09" w:rsidP="009257AE">
      <w:pPr>
        <w:pStyle w:val="FootnoteText"/>
        <w:rPr>
          <w:lang w:val="en-US"/>
        </w:rPr>
      </w:pPr>
      <w:r>
        <w:rPr>
          <w:rStyle w:val="FootnoteReference"/>
        </w:rPr>
        <w:footnoteRef/>
      </w:r>
      <w:r>
        <w:t xml:space="preserve"> </w:t>
      </w:r>
      <w:r>
        <w:rPr>
          <w:color w:val="000000" w:themeColor="text1"/>
          <w:lang w:val="en-US"/>
        </w:rPr>
        <w:t>MA (passenger cars), MB (forward-control passenger vehicles) and MC (off-road passenger vehicles).</w:t>
      </w:r>
    </w:p>
  </w:footnote>
  <w:footnote w:id="7">
    <w:p w14:paraId="360B066C" w14:textId="77777777" w:rsidR="00BD7C09" w:rsidRPr="000F5276" w:rsidRDefault="00BD7C09" w:rsidP="009257AE">
      <w:pPr>
        <w:pStyle w:val="FootnoteText"/>
        <w:ind w:left="0" w:firstLine="0"/>
        <w:rPr>
          <w:lang w:val="en-US"/>
        </w:rPr>
      </w:pPr>
      <w:r>
        <w:rPr>
          <w:rStyle w:val="FootnoteReference"/>
        </w:rPr>
        <w:footnoteRef/>
      </w:r>
      <w:r>
        <w:t xml:space="preserve"> </w:t>
      </w:r>
      <w:r>
        <w:rPr>
          <w:color w:val="000000" w:themeColor="text1"/>
          <w:lang w:val="en-US"/>
        </w:rPr>
        <w:t>NA (light goods vehicles with a GVM not exceeding 3.5 tonnes) and NB1 (medium goods vehicles with GVM over 3.5 tonnes up to 4.5 tonnes), with exemptions as detailed in this paper</w:t>
      </w:r>
    </w:p>
  </w:footnote>
  <w:footnote w:id="8">
    <w:p w14:paraId="600222FE" w14:textId="77777777" w:rsidR="00BD7C09" w:rsidRDefault="00BD7C09">
      <w:pPr>
        <w:pStyle w:val="FootnoteText"/>
      </w:pPr>
      <w:r>
        <w:rPr>
          <w:rStyle w:val="FootnoteReference"/>
        </w:rPr>
        <w:footnoteRef/>
      </w:r>
      <w:r>
        <w:t xml:space="preserve"> Refer to </w:t>
      </w:r>
      <w:r w:rsidRPr="007D66CF">
        <w:t>Chapter 8 for</w:t>
      </w:r>
      <w:r>
        <w:t xml:space="preserve"> more detail on implementation, including how success will be measured.</w:t>
      </w:r>
    </w:p>
  </w:footnote>
  <w:footnote w:id="9">
    <w:p w14:paraId="4D05483C" w14:textId="77777777" w:rsidR="00BD7C09" w:rsidRPr="00785690" w:rsidRDefault="00BD7C09">
      <w:pPr>
        <w:pStyle w:val="FootnoteText"/>
        <w:rPr>
          <w:lang w:val="en-US"/>
        </w:rPr>
      </w:pPr>
      <w:r>
        <w:rPr>
          <w:rStyle w:val="FootnoteReference"/>
        </w:rPr>
        <w:footnoteRef/>
      </w:r>
      <w:r>
        <w:t xml:space="preserve"> </w:t>
      </w:r>
      <w:r>
        <w:rPr>
          <w:lang w:val="en-US"/>
        </w:rPr>
        <w:t>Calculated here as an arithmetic percentage decrease from 2019 levels to 2022 levels.</w:t>
      </w:r>
    </w:p>
  </w:footnote>
  <w:footnote w:id="10">
    <w:p w14:paraId="5EB0F718" w14:textId="77777777" w:rsidR="00BD7C09" w:rsidRPr="00E370E4" w:rsidRDefault="00BD7C09">
      <w:pPr>
        <w:pStyle w:val="FootnoteText"/>
        <w:rPr>
          <w:lang w:val="en-US"/>
        </w:rPr>
      </w:pPr>
      <w:r>
        <w:rPr>
          <w:rStyle w:val="FootnoteReference"/>
        </w:rPr>
        <w:footnoteRef/>
      </w:r>
      <w:r>
        <w:t xml:space="preserve"> </w:t>
      </w:r>
      <w:r>
        <w:rPr>
          <w:lang w:val="en-US"/>
        </w:rPr>
        <w:t xml:space="preserve">‘Car parc’ is a term used by to all of the vehicles in operation at a given time.  </w:t>
      </w:r>
    </w:p>
  </w:footnote>
  <w:footnote w:id="11">
    <w:p w14:paraId="460430A1" w14:textId="77777777" w:rsidR="00BD7C09" w:rsidRDefault="00BD7C09">
      <w:pPr>
        <w:pStyle w:val="FootnoteText"/>
      </w:pPr>
      <w:r>
        <w:rPr>
          <w:rStyle w:val="FootnoteReference"/>
        </w:rPr>
        <w:footnoteRef/>
      </w:r>
      <w:r>
        <w:t xml:space="preserve"> </w:t>
      </w:r>
      <w:r w:rsidRPr="00A406DE">
        <w:t>Critical Minerals Strategy 2023–2030 | Department of Industry Science and Resources</w:t>
      </w:r>
    </w:p>
  </w:footnote>
  <w:footnote w:id="12">
    <w:p w14:paraId="29CA7352" w14:textId="77777777" w:rsidR="00BD7C09" w:rsidRDefault="00BD7C09">
      <w:pPr>
        <w:pStyle w:val="FootnoteText"/>
      </w:pPr>
      <w:r>
        <w:rPr>
          <w:rStyle w:val="FootnoteReference"/>
        </w:rPr>
        <w:footnoteRef/>
      </w:r>
      <w:r>
        <w:t xml:space="preserve"> </w:t>
      </w:r>
      <w:r w:rsidRPr="00A406DE">
        <w:t>The National Electric Vehicle Strategy - DCCEEW</w:t>
      </w:r>
    </w:p>
  </w:footnote>
  <w:footnote w:id="13">
    <w:p w14:paraId="56B6DAAB" w14:textId="77777777" w:rsidR="00BD7C09" w:rsidRDefault="00BD7C09" w:rsidP="002D4823">
      <w:pPr>
        <w:pStyle w:val="FootnoteText"/>
      </w:pPr>
      <w:r>
        <w:rPr>
          <w:rStyle w:val="FootnoteReference"/>
        </w:rPr>
        <w:footnoteRef/>
      </w:r>
      <w:r>
        <w:t xml:space="preserve"> </w:t>
      </w:r>
      <w:r>
        <w:rPr>
          <w:lang w:val="en-US"/>
        </w:rPr>
        <w:t xml:space="preserve">All of these exemptions would apply at the point of import. If a vehicle’s purpose was determined or changed after import then that vehicle would not be exempt. For example, if a van was imported and it was subsequently determined to that the van should be turned into an ambulance, the van would not be retrospectively exempted.  </w:t>
      </w:r>
    </w:p>
  </w:footnote>
  <w:footnote w:id="14">
    <w:p w14:paraId="3FEFAFB5" w14:textId="77777777" w:rsidR="00BD7C09" w:rsidRDefault="00BD7C09">
      <w:pPr>
        <w:pStyle w:val="FootnoteText"/>
      </w:pPr>
      <w:r>
        <w:rPr>
          <w:rStyle w:val="FootnoteReference"/>
        </w:rPr>
        <w:footnoteRef/>
      </w:r>
      <w:r>
        <w:t xml:space="preserve"> Improving Australia’s fuel and vehicle emissions standards – Final impact analysis, DITRDCA, May 2023</w:t>
      </w:r>
    </w:p>
  </w:footnote>
  <w:footnote w:id="15">
    <w:p w14:paraId="69348792" w14:textId="77777777" w:rsidR="00BD7C09" w:rsidRDefault="00BD7C09">
      <w:pPr>
        <w:pStyle w:val="FootnoteText"/>
      </w:pPr>
      <w:r>
        <w:rPr>
          <w:rStyle w:val="FootnoteReference"/>
        </w:rPr>
        <w:footnoteRef/>
      </w:r>
      <w:r>
        <w:t xml:space="preserve"> Improving Australia’s fuel and vehicle emissions standards – Final impact analysis, DITRDCA, May 2023</w:t>
      </w:r>
    </w:p>
  </w:footnote>
  <w:footnote w:id="16">
    <w:p w14:paraId="1F41DD8F" w14:textId="77777777" w:rsidR="00BD7C09" w:rsidRPr="00E370E4" w:rsidRDefault="00BD7C09" w:rsidP="00046554">
      <w:pPr>
        <w:pStyle w:val="FootnoteText"/>
        <w:rPr>
          <w:lang w:val="en-US"/>
        </w:rPr>
      </w:pPr>
      <w:r>
        <w:rPr>
          <w:rStyle w:val="FootnoteReference"/>
        </w:rPr>
        <w:footnoteRef/>
      </w:r>
      <w:r>
        <w:t xml:space="preserve"> </w:t>
      </w:r>
      <w:r>
        <w:rPr>
          <w:rFonts w:asciiTheme="majorHAnsi" w:hAnsiTheme="majorHAnsi" w:cstheme="majorHAnsi"/>
        </w:rPr>
        <w:t>A mechanism will be available to expand the scheme to vehicles in the concessional RAV entry approval pathway (and other pathways if created) if necessary in the future (see sections 15(2)(b) and (c) of the RVSA).</w:t>
      </w:r>
    </w:p>
  </w:footnote>
  <w:footnote w:id="17">
    <w:p w14:paraId="3CDD718B" w14:textId="77777777" w:rsidR="00BD7C09" w:rsidRPr="00684E0F" w:rsidRDefault="00BD7C09" w:rsidP="00BF4AF7">
      <w:pPr>
        <w:pStyle w:val="FootnoteText"/>
        <w:rPr>
          <w:lang w:val="en-US"/>
        </w:rPr>
      </w:pPr>
      <w:r>
        <w:rPr>
          <w:rStyle w:val="FootnoteReference"/>
        </w:rPr>
        <w:footnoteRef/>
      </w:r>
      <w:r>
        <w:t xml:space="preserve"> </w:t>
      </w:r>
      <w:r>
        <w:rPr>
          <w:lang w:val="en-US"/>
        </w:rPr>
        <w:t xml:space="preserve">The headline numbers here are expressed under the NEDC test cycle. </w:t>
      </w:r>
    </w:p>
  </w:footnote>
  <w:footnote w:id="18">
    <w:p w14:paraId="1659BCFD" w14:textId="77777777" w:rsidR="00BD7C09" w:rsidRPr="001262C2" w:rsidRDefault="00BD7C09">
      <w:pPr>
        <w:pStyle w:val="FootnoteText"/>
        <w:rPr>
          <w:lang w:val="en-US"/>
        </w:rPr>
      </w:pPr>
      <w:r>
        <w:rPr>
          <w:rStyle w:val="FootnoteReference"/>
        </w:rPr>
        <w:footnoteRef/>
      </w:r>
      <w:r>
        <w:t xml:space="preserve"> </w:t>
      </w:r>
      <w:r>
        <w:rPr>
          <w:lang w:val="en-US"/>
        </w:rPr>
        <w:t>The total percentage change is calculated as the percentage reduction from 2024 DCCEEW baseline forecast to 2029 NVES targets. The percentage annual reduction calculated as a simple arithmetic average from the 2024 to 2029 levels, and is designed primarily to support comparisons across the options presented. We agree that there are a range of approaches to calculating percentage change, and that other methods will give different results. Options to bank and trade credits provide flexibility to smooth regulated entities compliance pathway with these emissions trajectories.</w:t>
      </w:r>
    </w:p>
  </w:footnote>
  <w:footnote w:id="19">
    <w:p w14:paraId="0BB3E113" w14:textId="77777777" w:rsidR="00BD7C09" w:rsidRPr="00181058" w:rsidRDefault="00BD7C09">
      <w:pPr>
        <w:pStyle w:val="FootnoteText"/>
        <w:rPr>
          <w:lang w:val="en-US"/>
        </w:rPr>
      </w:pPr>
      <w:r>
        <w:rPr>
          <w:rStyle w:val="FootnoteReference"/>
        </w:rPr>
        <w:footnoteRef/>
      </w:r>
      <w:r>
        <w:rPr>
          <w:lang w:val="en-US"/>
        </w:rPr>
        <w:tab/>
        <w:t xml:space="preserve">See Annex 7 - Appendix 2 of </w:t>
      </w:r>
      <w:r>
        <w:t>UN Regulation No. 101, Revision 3 - Amendment 8, Supplement 9 to the 01 series of amendments (ECE/TRANS/WP.29/2020/64).</w:t>
      </w:r>
    </w:p>
  </w:footnote>
  <w:footnote w:id="20">
    <w:p w14:paraId="0ECE3AFF" w14:textId="77777777" w:rsidR="00BD7C09" w:rsidRDefault="00BD7C09">
      <w:pPr>
        <w:pStyle w:val="FootnoteText"/>
      </w:pPr>
      <w:r>
        <w:rPr>
          <w:rStyle w:val="FootnoteReference"/>
        </w:rPr>
        <w:footnoteRef/>
      </w:r>
      <w:r>
        <w:t xml:space="preserve"> </w:t>
      </w:r>
      <w:r>
        <w:tab/>
        <w:t>Note that in the graph the US has announced new targets recently. The dotted line in the graph represents an approximation of the new US targets on a like for like comparison.</w:t>
      </w:r>
    </w:p>
  </w:footnote>
  <w:footnote w:id="21">
    <w:p w14:paraId="18B9F8BE" w14:textId="77777777" w:rsidR="00BD7C09" w:rsidRDefault="00BD7C09">
      <w:pPr>
        <w:pStyle w:val="FootnoteText"/>
      </w:pPr>
      <w:r>
        <w:rPr>
          <w:rStyle w:val="FootnoteReference"/>
        </w:rPr>
        <w:footnoteRef/>
      </w:r>
      <w:r>
        <w:t xml:space="preserve"> </w:t>
      </w:r>
      <w:r>
        <w:tab/>
        <w:t>Note that in the graph the US has announced new targets recently. The dotted line in the graph represents an approximation of the new US targets on a like for like comparison.</w:t>
      </w:r>
    </w:p>
  </w:footnote>
  <w:footnote w:id="22">
    <w:p w14:paraId="31885C07" w14:textId="77777777" w:rsidR="00BD7C09" w:rsidRPr="002C7AD9" w:rsidRDefault="00BD7C09" w:rsidP="00F0477A">
      <w:pPr>
        <w:pStyle w:val="FootnoteText"/>
        <w:rPr>
          <w:lang w:val="en-US"/>
        </w:rPr>
      </w:pPr>
      <w:r>
        <w:rPr>
          <w:rStyle w:val="FootnoteReference"/>
        </w:rPr>
        <w:footnoteRef/>
      </w:r>
      <w:r>
        <w:t xml:space="preserve"> </w:t>
      </w:r>
      <w:r>
        <w:rPr>
          <w:lang w:val="en-US"/>
        </w:rPr>
        <w:t>Note that the 2050 total fuel cost saving is different to the total NVES forecast fuel cost savings. Fuel cost savings continue to accumulate out to 2080 as cars purchased in the 2040s reduce fuel consumption for the life of the vehicle. Due to the 7% discount rate, and the BAU forecast of very high EV uptake in the 2040s, the magnitude of this saving is a relatively modest.</w:t>
      </w:r>
    </w:p>
  </w:footnote>
  <w:footnote w:id="23">
    <w:p w14:paraId="573F4B90" w14:textId="77777777" w:rsidR="00BD7C09" w:rsidRPr="00030094" w:rsidRDefault="00BD7C09" w:rsidP="00610AA7">
      <w:pPr>
        <w:pStyle w:val="FootnoteText"/>
        <w:rPr>
          <w:lang w:val="en-US"/>
        </w:rPr>
      </w:pPr>
      <w:r>
        <w:rPr>
          <w:rStyle w:val="FootnoteReference"/>
        </w:rPr>
        <w:footnoteRef/>
      </w:r>
      <w:r>
        <w:t xml:space="preserve"> </w:t>
      </w:r>
      <w:r>
        <w:rPr>
          <w:lang w:val="en-US"/>
        </w:rPr>
        <w:t xml:space="preserve">The dominant risk with this option is that the abatement is lower than forecast due to greater than forecast use of technology credits, and the negative abatement (i.e. above BAU emissions) in the passenger vehicle category being used to offset the small amount of positive abatement forecast in the LCV category. </w:t>
      </w:r>
    </w:p>
  </w:footnote>
  <w:footnote w:id="24">
    <w:p w14:paraId="3242B70B" w14:textId="77777777" w:rsidR="00BD7C09" w:rsidRPr="00904773" w:rsidRDefault="00BD7C09">
      <w:pPr>
        <w:pStyle w:val="FootnoteText"/>
        <w:rPr>
          <w:lang w:val="en-US"/>
        </w:rPr>
      </w:pPr>
      <w:r>
        <w:rPr>
          <w:rStyle w:val="FootnoteReference"/>
        </w:rPr>
        <w:footnoteRef/>
      </w:r>
      <w:r>
        <w:t xml:space="preserve"> </w:t>
      </w:r>
      <w:r>
        <w:rPr>
          <w:i/>
        </w:rPr>
        <w:t>Note, totals in tables 7-10 may not sum due to rounding.</w:t>
      </w:r>
    </w:p>
  </w:footnote>
  <w:footnote w:id="25">
    <w:p w14:paraId="4474F1C5" w14:textId="77777777" w:rsidR="00BD7C09" w:rsidRPr="00C04229" w:rsidRDefault="00BD7C09" w:rsidP="00D00FB2">
      <w:pPr>
        <w:pStyle w:val="FootnoteText"/>
        <w:rPr>
          <w:lang w:val="en-US"/>
        </w:rPr>
      </w:pPr>
      <w:r>
        <w:rPr>
          <w:rStyle w:val="FootnoteReference"/>
        </w:rPr>
        <w:footnoteRef/>
      </w:r>
      <w:r>
        <w:t xml:space="preserve"> </w:t>
      </w:r>
      <w:r>
        <w:rPr>
          <w:lang w:val="en-US"/>
        </w:rPr>
        <w:t xml:space="preserve">See </w:t>
      </w:r>
      <w:r w:rsidRPr="00CF39C8">
        <w:rPr>
          <w:rFonts w:ascii="Calibri" w:hAnsi="Calibri" w:cs="Calibri"/>
          <w:color w:val="262626"/>
          <w:sz w:val="20"/>
          <w:szCs w:val="20"/>
        </w:rPr>
        <w:t>(HAPINZ 3.0) study</w:t>
      </w:r>
      <w:r w:rsidRPr="00CF39C8">
        <w:rPr>
          <w:rFonts w:ascii="Calibri" w:hAnsi="Calibri" w:cs="Calibri"/>
        </w:rPr>
        <w:t xml:space="preserve"> (</w:t>
      </w:r>
      <w:r w:rsidRPr="00CF39C8">
        <w:t>Kuschel, G., et al. (2022)), e</w:t>
      </w:r>
      <w:r w:rsidRPr="00CF39C8">
        <w:rPr>
          <w:rFonts w:ascii="Calibri" w:hAnsi="Calibri" w:cs="Calibri"/>
        </w:rPr>
        <w:t>xtrapolated to Australia context in the “</w:t>
      </w:r>
      <w:r w:rsidRPr="00CF39C8">
        <w:t>Health impacts associated with vehicle emissions in Australia: Melbourne Climate Futures Expert Position Statement” (Walter C., Say K., Irving L., et al. 2023).</w:t>
      </w:r>
    </w:p>
  </w:footnote>
  <w:footnote w:id="26">
    <w:p w14:paraId="556BE510" w14:textId="52BDA97C" w:rsidR="00BD7C09" w:rsidRDefault="00BD7C09" w:rsidP="006A0307">
      <w:pPr>
        <w:pStyle w:val="FootnoteText"/>
      </w:pPr>
      <w:r>
        <w:rPr>
          <w:rStyle w:val="FootnoteReference"/>
        </w:rPr>
        <w:footnoteRef/>
      </w:r>
      <w:r>
        <w:t xml:space="preserve"> </w:t>
      </w:r>
      <w:hyperlink r:id="rId1" w:history="1">
        <w:r>
          <w:rPr>
            <w:rStyle w:val="Hyperlink"/>
          </w:rPr>
          <w:t>New Vehicle Efficiency Standard—Cleaner, Cheaper to run Cars for Australia | Department of Infrastructure, Transport, Regional Development, Communications and the Arts</w:t>
        </w:r>
      </w:hyperlink>
    </w:p>
  </w:footnote>
  <w:footnote w:id="27">
    <w:p w14:paraId="273F7021" w14:textId="77777777" w:rsidR="00BD7C09" w:rsidRDefault="00BD7C09" w:rsidP="001D41C8">
      <w:pPr>
        <w:pStyle w:val="FootnoteText"/>
        <w:ind w:left="0" w:firstLine="0"/>
      </w:pPr>
      <w:r>
        <w:rPr>
          <w:rStyle w:val="FootnoteReference"/>
        </w:rPr>
        <w:footnoteRef/>
      </w:r>
      <w:r>
        <w:t xml:space="preserve"> </w:t>
      </w:r>
      <w:r>
        <w:rPr>
          <w:rFonts w:cstheme="minorHAnsi"/>
        </w:rPr>
        <w:t>Ranking was calculated automatically by the questionnaire technology, assigning a weighted score to each option according to their ranked position (1</w:t>
      </w:r>
      <w:r w:rsidRPr="006D26FE">
        <w:rPr>
          <w:rFonts w:cstheme="minorHAnsi"/>
          <w:vertAlign w:val="superscript"/>
        </w:rPr>
        <w:t>st</w:t>
      </w:r>
      <w:r>
        <w:rPr>
          <w:rFonts w:cstheme="minorHAnsi"/>
        </w:rPr>
        <w:t>, 2</w:t>
      </w:r>
      <w:r w:rsidRPr="006D26FE">
        <w:rPr>
          <w:rFonts w:cstheme="minorHAnsi"/>
          <w:vertAlign w:val="superscript"/>
        </w:rPr>
        <w:t>nd</w:t>
      </w:r>
      <w:r>
        <w:rPr>
          <w:rFonts w:cstheme="minorHAnsi"/>
        </w:rPr>
        <w:t xml:space="preserve"> or 3</w:t>
      </w:r>
      <w:r w:rsidRPr="006D26FE">
        <w:rPr>
          <w:rFonts w:cstheme="minorHAnsi"/>
          <w:vertAlign w:val="superscript"/>
        </w:rPr>
        <w:t>rd</w:t>
      </w:r>
      <w:r>
        <w:rPr>
          <w:rFonts w:cstheme="minorHAnsi"/>
        </w:rPr>
        <w:t>). First preference (1</w:t>
      </w:r>
      <w:r w:rsidRPr="006B0D29">
        <w:rPr>
          <w:rFonts w:cstheme="minorHAnsi"/>
          <w:vertAlign w:val="superscript"/>
        </w:rPr>
        <w:t>st</w:t>
      </w:r>
      <w:r>
        <w:rPr>
          <w:rFonts w:cstheme="minorHAnsi"/>
        </w:rPr>
        <w:t>) was allocated a weight of 3, second preference (2</w:t>
      </w:r>
      <w:r w:rsidRPr="006B0D29">
        <w:rPr>
          <w:rFonts w:cstheme="minorHAnsi"/>
          <w:vertAlign w:val="superscript"/>
        </w:rPr>
        <w:t>nd</w:t>
      </w:r>
      <w:r>
        <w:rPr>
          <w:rFonts w:cstheme="minorHAnsi"/>
        </w:rPr>
        <w:t>) a weight of 2 and third preference (3</w:t>
      </w:r>
      <w:r w:rsidRPr="006B0D29">
        <w:rPr>
          <w:rFonts w:cstheme="minorHAnsi"/>
          <w:vertAlign w:val="superscript"/>
        </w:rPr>
        <w:t>rd</w:t>
      </w:r>
      <w:r>
        <w:rPr>
          <w:rFonts w:cstheme="minorHAnsi"/>
        </w:rPr>
        <w:t>) a weight of 1.</w:t>
      </w:r>
    </w:p>
  </w:footnote>
  <w:footnote w:id="28">
    <w:p w14:paraId="47BD693F" w14:textId="77777777" w:rsidR="00BD7C09" w:rsidRPr="00CB5FD0" w:rsidRDefault="00BD7C09">
      <w:pPr>
        <w:pStyle w:val="FootnoteText"/>
        <w:rPr>
          <w:lang w:val="en-US"/>
        </w:rPr>
      </w:pPr>
      <w:r>
        <w:rPr>
          <w:rStyle w:val="FootnoteReference"/>
        </w:rPr>
        <w:footnoteRef/>
      </w:r>
      <w:r>
        <w:t xml:space="preserve"> </w:t>
      </w:r>
      <w:r>
        <w:rPr>
          <w:lang w:val="en-US"/>
        </w:rPr>
        <w:t xml:space="preserve">The Minister responsible for the legislation in the Administrative Arrangement Orders – the Transport Minister. </w:t>
      </w:r>
    </w:p>
  </w:footnote>
  <w:footnote w:id="29">
    <w:p w14:paraId="487B65C3" w14:textId="77777777" w:rsidR="00BD7C09" w:rsidRDefault="00BD7C09">
      <w:pPr>
        <w:pStyle w:val="FootnoteText"/>
        <w:rPr>
          <w:sz w:val="20"/>
          <w:szCs w:val="20"/>
        </w:rPr>
      </w:pPr>
      <w:r>
        <w:rPr>
          <w:rStyle w:val="FootnoteReference"/>
        </w:rPr>
        <w:footnoteRef/>
      </w:r>
      <w:r>
        <w:t xml:space="preserve"> Graham, P. 2022, Electric vehicle projections 2022. CSIRO, Australia. Accessed </w:t>
      </w:r>
      <w:r w:rsidRPr="00A4761A">
        <w:rPr>
          <w:color w:val="000000" w:themeColor="text1"/>
        </w:rPr>
        <w:t xml:space="preserve">21 September 2023. https://aemo.com.au/-/media/files/stakeholder_consultation/consultations/nem-consultations/2022/2023- inputs-assumptions-and-scenarios-consultation/supporting-materials-for-2023/csiro-2022-electric-vehicles-projections-report.pdf </w:t>
      </w:r>
    </w:p>
  </w:footnote>
  <w:footnote w:id="30">
    <w:p w14:paraId="40FBB571" w14:textId="77777777" w:rsidR="00BD7C09" w:rsidRDefault="00BD7C09" w:rsidP="00D81A37">
      <w:pPr>
        <w:pStyle w:val="FootnoteText"/>
        <w:rPr>
          <w:lang w:val="en-US"/>
        </w:rPr>
      </w:pPr>
      <w:r>
        <w:rPr>
          <w:rStyle w:val="FootnoteReference"/>
        </w:rPr>
        <w:footnoteRef/>
      </w:r>
      <w:r>
        <w:t xml:space="preserve"> </w:t>
      </w:r>
      <w:r>
        <w:rPr>
          <w:lang w:val="en-US"/>
        </w:rPr>
        <w:t>We recognize there are no vehicles in this category that meet this criterion, and it is highly unlikely this will occur in future; however, this has been included for completeness.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2EF7" w14:textId="33E93687" w:rsidR="00BD7C09" w:rsidRDefault="00E51D93" w:rsidP="00D87AD8">
    <w:pPr>
      <w:pStyle w:val="Header"/>
      <w:spacing w:after="1320"/>
      <w:jc w:val="left"/>
    </w:pPr>
    <w:r>
      <w:fldChar w:fldCharType="begin"/>
    </w:r>
    <w:r>
      <w:instrText xml:space="preserve"> STYLEREF  "Heading 1"  \* MERGEFORMAT </w:instrText>
    </w:r>
    <w:r>
      <w:fldChar w:fldCharType="separate"/>
    </w:r>
    <w:r w:rsidR="00617987">
      <w:rPr>
        <w:noProof/>
      </w:rPr>
      <w:t>Key Terms</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2E0F2" w14:textId="0CD51ECF" w:rsidR="00BD7C09" w:rsidRDefault="00E51D93">
    <w:pPr>
      <w:pStyle w:val="Header"/>
    </w:pPr>
    <w:r>
      <w:fldChar w:fldCharType="begin"/>
    </w:r>
    <w:r>
      <w:instrText xml:space="preserve"> STYLEREF  "Heading 1"  \* MERGEFORMAT </w:instrText>
    </w:r>
    <w:r>
      <w:fldChar w:fldCharType="separate"/>
    </w:r>
    <w:r>
      <w:rPr>
        <w:noProof/>
      </w:rPr>
      <w:t>What is the best option from those you have considered and how will it be implemented?</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25135" w14:textId="77777777" w:rsidR="00BD7C09" w:rsidRDefault="00BD7C09" w:rsidP="000706D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169C" w14:textId="77777777" w:rsidR="00BD7C09" w:rsidRDefault="00BD7C09"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AE6D4" w14:textId="77777777" w:rsidR="00E3762D" w:rsidRDefault="00E376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125A" w14:textId="77777777" w:rsidR="00BD7C09" w:rsidRPr="00504AA0" w:rsidRDefault="00BD7C09" w:rsidP="00504A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41605" w14:textId="77777777" w:rsidR="00BD7C09" w:rsidRDefault="00BD7C09" w:rsidP="00546218">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1C06" w14:textId="4833F025" w:rsidR="00BD7C09" w:rsidRDefault="00BD7C09" w:rsidP="005912BE">
    <w:pPr>
      <w:pStyle w:val="Header"/>
      <w:spacing w:after="1320"/>
    </w:pPr>
    <w:r>
      <w:rPr>
        <w:b/>
        <w:color w:val="FF0000"/>
        <w:lang w:val="en-US"/>
      </w:rPr>
      <w:tab/>
    </w:r>
    <w:r>
      <w:rPr>
        <w:b/>
        <w:color w:val="FF0000"/>
        <w:lang w:val="en-US"/>
      </w:rPr>
      <w:tab/>
    </w:r>
    <w:r>
      <w:rPr>
        <w:b/>
        <w:color w:val="FF0000"/>
        <w:lang w:val="en-US"/>
      </w:rPr>
      <w:tab/>
    </w:r>
    <w:r w:rsidR="00E51D93">
      <w:fldChar w:fldCharType="begin"/>
    </w:r>
    <w:r w:rsidR="00E51D93">
      <w:instrText xml:space="preserve"> STYLEREF  "Heading 1"  \* MERGEFORMAT </w:instrText>
    </w:r>
    <w:r w:rsidR="00E51D93">
      <w:fldChar w:fldCharType="separate"/>
    </w:r>
    <w:r w:rsidR="00E51D93">
      <w:rPr>
        <w:noProof/>
      </w:rPr>
      <w:t>What is the likely net benefit of each option?</w:t>
    </w:r>
    <w:r w:rsidR="00E51D93">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A051" w14:textId="1CC3DBDC" w:rsidR="00BD7C09" w:rsidRDefault="00E51D93" w:rsidP="005912BE">
    <w:pPr>
      <w:pStyle w:val="Header"/>
      <w:spacing w:after="1320"/>
    </w:pPr>
    <w:r>
      <w:fldChar w:fldCharType="begin"/>
    </w:r>
    <w:r>
      <w:instrText xml:space="preserve"> STYLEREF  "Heading 1"  \* MERGEFORMAT </w:instrText>
    </w:r>
    <w:r>
      <w:fldChar w:fldCharType="separate"/>
    </w:r>
    <w:r w:rsidR="00617987">
      <w:rPr>
        <w:noProof/>
      </w:rPr>
      <w:t>Key Terms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47FE2" w14:textId="4065713B" w:rsidR="00BD7C09" w:rsidRDefault="00E51D93" w:rsidP="005912BE">
    <w:pPr>
      <w:pStyle w:val="Header"/>
      <w:spacing w:after="1320"/>
    </w:pPr>
    <w:r>
      <w:fldChar w:fldCharType="begin"/>
    </w:r>
    <w:r>
      <w:instrText xml:space="preserve"> STYLEREF  "Heading 1"  \* MERGEFORMAT </w:instrText>
    </w:r>
    <w:r>
      <w:fldChar w:fldCharType="separate"/>
    </w:r>
    <w:r>
      <w:rPr>
        <w:noProof/>
      </w:rPr>
      <w:t>What is the likely net benefit of each option?</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BB9B" w14:textId="6AB7092D" w:rsidR="00BD7C09" w:rsidRDefault="00E51D93" w:rsidP="005912BE">
    <w:pPr>
      <w:pStyle w:val="Header"/>
      <w:spacing w:after="1320"/>
    </w:pPr>
    <w:r>
      <w:fldChar w:fldCharType="begin"/>
    </w:r>
    <w:r>
      <w:instrText xml:space="preserve"> STYLEREF  "Heading 1"  \* MERGEFORMAT </w:instrText>
    </w:r>
    <w:r>
      <w:fldChar w:fldCharType="separate"/>
    </w:r>
    <w:r w:rsidR="00617987">
      <w:rPr>
        <w:noProof/>
      </w:rPr>
      <w:t>What is the likely net benefit of each option?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494"/>
    <w:multiLevelType w:val="hybridMultilevel"/>
    <w:tmpl w:val="23B2C002"/>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E13C0"/>
    <w:multiLevelType w:val="hybridMultilevel"/>
    <w:tmpl w:val="88F23486"/>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33E88"/>
    <w:multiLevelType w:val="hybridMultilevel"/>
    <w:tmpl w:val="F5BE0D7E"/>
    <w:lvl w:ilvl="0" w:tplc="57582A26">
      <w:start w:val="1"/>
      <w:numFmt w:val="bullet"/>
      <w:lvlText w:val=""/>
      <w:lvlJc w:val="left"/>
      <w:pPr>
        <w:ind w:left="720" w:hanging="360"/>
      </w:pPr>
      <w:rPr>
        <w:rFonts w:ascii="Wingdings" w:hAnsi="Wingdings" w:hint="default"/>
        <w:color w:val="417A84" w:themeColor="accent5"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4F552B9"/>
    <w:multiLevelType w:val="multilevel"/>
    <w:tmpl w:val="8FCE6D18"/>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5925725"/>
    <w:multiLevelType w:val="multilevel"/>
    <w:tmpl w:val="EA58C1A6"/>
    <w:lvl w:ilvl="0">
      <w:start w:val="1"/>
      <w:numFmt w:val="none"/>
      <w:lvlText w:val="7."/>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9E3D4A"/>
    <w:multiLevelType w:val="multilevel"/>
    <w:tmpl w:val="3D429B3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A52C7C"/>
    <w:multiLevelType w:val="hybridMultilevel"/>
    <w:tmpl w:val="16A07238"/>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020704"/>
    <w:multiLevelType w:val="multilevel"/>
    <w:tmpl w:val="A0BA904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AA2E54"/>
    <w:multiLevelType w:val="hybridMultilevel"/>
    <w:tmpl w:val="F7BA4794"/>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9A82B5A"/>
    <w:multiLevelType w:val="multilevel"/>
    <w:tmpl w:val="A20E9B30"/>
    <w:lvl w:ilvl="0">
      <w:start w:val="1"/>
      <w:numFmt w:val="none"/>
      <w:lvlText w:val="6."/>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6.%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767654"/>
    <w:multiLevelType w:val="multilevel"/>
    <w:tmpl w:val="8334D6F0"/>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5"/>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0AD66E76"/>
    <w:multiLevelType w:val="hybridMultilevel"/>
    <w:tmpl w:val="280EF84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1704E7"/>
    <w:multiLevelType w:val="hybridMultilevel"/>
    <w:tmpl w:val="A9084486"/>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0C4578E"/>
    <w:multiLevelType w:val="hybridMultilevel"/>
    <w:tmpl w:val="BE02EB44"/>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F5367C"/>
    <w:multiLevelType w:val="multilevel"/>
    <w:tmpl w:val="F0D48E3A"/>
    <w:lvl w:ilvl="0">
      <w:start w:val="1"/>
      <w:numFmt w:val="none"/>
      <w:lvlText w:val="5."/>
      <w:lvlJc w:val="center"/>
      <w:pPr>
        <w:ind w:left="720" w:hanging="360"/>
      </w:pPr>
      <w:rPr>
        <w:rFonts w:hint="default"/>
      </w:rPr>
    </w:lvl>
    <w:lvl w:ilvl="1">
      <w:start w:val="1"/>
      <w:numFmt w:val="none"/>
      <w:lvlText w:val="5.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none"/>
      <w:lvlRestart w:val="0"/>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1FA65BD"/>
    <w:multiLevelType w:val="hybridMultilevel"/>
    <w:tmpl w:val="7744E58A"/>
    <w:lvl w:ilvl="0" w:tplc="57582A26">
      <w:start w:val="1"/>
      <w:numFmt w:val="bullet"/>
      <w:lvlText w:val=""/>
      <w:lvlJc w:val="left"/>
      <w:pPr>
        <w:ind w:left="360" w:hanging="360"/>
      </w:pPr>
      <w:rPr>
        <w:rFonts w:ascii="Wingdings" w:hAnsi="Wingdings" w:hint="default"/>
        <w:color w:val="417A84" w:themeColor="accent5" w:themeShade="BF"/>
      </w:rPr>
    </w:lvl>
    <w:lvl w:ilvl="1" w:tplc="57582A26">
      <w:start w:val="1"/>
      <w:numFmt w:val="bullet"/>
      <w:lvlText w:val=""/>
      <w:lvlJc w:val="left"/>
      <w:pPr>
        <w:ind w:left="1080" w:hanging="360"/>
      </w:pPr>
      <w:rPr>
        <w:rFonts w:ascii="Wingdings" w:hAnsi="Wingdings" w:hint="default"/>
        <w:color w:val="417A84" w:themeColor="accent5"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4535A44"/>
    <w:multiLevelType w:val="hybridMultilevel"/>
    <w:tmpl w:val="574C53B8"/>
    <w:lvl w:ilvl="0" w:tplc="0C090011">
      <w:start w:val="1"/>
      <w:numFmt w:val="decimal"/>
      <w:lvlText w:val="%1)"/>
      <w:lvlJc w:val="left"/>
      <w:pPr>
        <w:ind w:left="720" w:hanging="360"/>
      </w:pPr>
      <w:rPr>
        <w:rFonts w:hint="default"/>
        <w:color w:val="417A84" w:themeColor="accent5" w:themeShade="BF"/>
      </w:rPr>
    </w:lvl>
    <w:lvl w:ilvl="1" w:tplc="57582A26">
      <w:start w:val="1"/>
      <w:numFmt w:val="bullet"/>
      <w:lvlText w:val=""/>
      <w:lvlJc w:val="left"/>
      <w:pPr>
        <w:ind w:left="1440"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5DA00E4"/>
    <w:multiLevelType w:val="hybridMultilevel"/>
    <w:tmpl w:val="DFEE2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C647C5"/>
    <w:multiLevelType w:val="multilevel"/>
    <w:tmpl w:val="C5E693C6"/>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1A3C225A"/>
    <w:multiLevelType w:val="hybridMultilevel"/>
    <w:tmpl w:val="0638F4CA"/>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B705642"/>
    <w:multiLevelType w:val="multilevel"/>
    <w:tmpl w:val="5BF6557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5C1B0C"/>
    <w:multiLevelType w:val="multilevel"/>
    <w:tmpl w:val="D27ED2EA"/>
    <w:lvl w:ilvl="0">
      <w:start w:val="1"/>
      <w:numFmt w:val="none"/>
      <w:lvlText w:val="2."/>
      <w:lvlJc w:val="left"/>
      <w:pPr>
        <w:ind w:left="360" w:hanging="360"/>
      </w:pPr>
      <w:rPr>
        <w:rFonts w:hint="default"/>
      </w:rPr>
    </w:lvl>
    <w:lvl w:ilvl="1">
      <w:start w:val="1"/>
      <w:numFmt w:val="none"/>
      <w:lvlRestart w:val="0"/>
      <w:lvlText w:val="2.3."/>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5C3B77"/>
    <w:multiLevelType w:val="multilevel"/>
    <w:tmpl w:val="BD086EB2"/>
    <w:lvl w:ilvl="0">
      <w:start w:val="1"/>
      <w:numFmt w:val="none"/>
      <w:lvlText w:val="4."/>
      <w:lvlJc w:val="center"/>
      <w:pPr>
        <w:ind w:left="720" w:hanging="360"/>
      </w:pPr>
      <w:rPr>
        <w:rFonts w:hint="default"/>
      </w:rPr>
    </w:lvl>
    <w:lvl w:ilvl="1">
      <w:start w:val="1"/>
      <w:numFmt w:val="none"/>
      <w:isLgl/>
      <w:lvlText w:val="4.3."/>
      <w:lvlJc w:val="left"/>
      <w:pPr>
        <w:ind w:left="915" w:hanging="555"/>
      </w:pPr>
      <w:rPr>
        <w:rFonts w:hint="default"/>
      </w:rPr>
    </w:lvl>
    <w:lvl w:ilvl="2">
      <w:start w:val="1"/>
      <w:numFmt w:val="decimal"/>
      <w:lvlRestart w:val="0"/>
      <w:isLgl/>
      <w:lvlText w:val="4.%23.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235084A"/>
    <w:multiLevelType w:val="hybridMultilevel"/>
    <w:tmpl w:val="13CA9058"/>
    <w:lvl w:ilvl="0" w:tplc="57582A26">
      <w:start w:val="1"/>
      <w:numFmt w:val="bullet"/>
      <w:lvlText w:val=""/>
      <w:lvlJc w:val="left"/>
      <w:pPr>
        <w:ind w:left="360" w:hanging="360"/>
      </w:pPr>
      <w:rPr>
        <w:rFonts w:ascii="Wingdings" w:hAnsi="Wingdings" w:hint="default"/>
        <w:color w:val="417A84" w:themeColor="accent5" w:themeShade="BF"/>
      </w:rPr>
    </w:lvl>
    <w:lvl w:ilvl="1" w:tplc="57582A26">
      <w:start w:val="1"/>
      <w:numFmt w:val="bullet"/>
      <w:lvlText w:val=""/>
      <w:lvlJc w:val="left"/>
      <w:pPr>
        <w:ind w:left="785"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7495EFB"/>
    <w:multiLevelType w:val="hybridMultilevel"/>
    <w:tmpl w:val="447CD322"/>
    <w:lvl w:ilvl="0" w:tplc="C1127DDE">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9933C1"/>
    <w:multiLevelType w:val="multilevel"/>
    <w:tmpl w:val="457E779E"/>
    <w:lvl w:ilvl="0">
      <w:start w:val="1"/>
      <w:numFmt w:val="none"/>
      <w:lvlText w:val="4."/>
      <w:lvlJc w:val="center"/>
      <w:pPr>
        <w:ind w:left="720" w:hanging="360"/>
      </w:pPr>
      <w:rPr>
        <w:rFonts w:hint="default"/>
      </w:rPr>
    </w:lvl>
    <w:lvl w:ilvl="1">
      <w:start w:val="1"/>
      <w:numFmt w:val="none"/>
      <w:isLgl/>
      <w:lvlText w:val="4.3."/>
      <w:lvlJc w:val="left"/>
      <w:pPr>
        <w:ind w:left="915" w:hanging="555"/>
      </w:pPr>
      <w:rPr>
        <w:rFonts w:hint="default"/>
      </w:rPr>
    </w:lvl>
    <w:lvl w:ilvl="2">
      <w:start w:val="1"/>
      <w:numFmt w:val="decimal"/>
      <w:lvlRestart w:val="0"/>
      <w:isLgl/>
      <w:lvlText w:val="4.%23.2"/>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9567040"/>
    <w:multiLevelType w:val="hybridMultilevel"/>
    <w:tmpl w:val="1B04CA06"/>
    <w:lvl w:ilvl="0" w:tplc="57582A26">
      <w:start w:val="1"/>
      <w:numFmt w:val="bullet"/>
      <w:lvlText w:val=""/>
      <w:lvlJc w:val="left"/>
      <w:pPr>
        <w:ind w:left="720" w:hanging="360"/>
      </w:pPr>
      <w:rPr>
        <w:rFonts w:ascii="Wingdings" w:hAnsi="Wingdings" w:hint="default"/>
        <w:color w:val="417A84" w:themeColor="accent5" w:themeShade="BF"/>
      </w:rPr>
    </w:lvl>
    <w:lvl w:ilvl="1" w:tplc="DFEA9658">
      <w:numFmt w:val="bullet"/>
      <w:lvlText w:val="-"/>
      <w:lvlJc w:val="left"/>
      <w:pPr>
        <w:ind w:left="1440" w:hanging="360"/>
      </w:pPr>
      <w:rPr>
        <w:rFonts w:ascii="Calibri" w:eastAsia="Times New Roman" w:hAnsi="Calibri" w:cs="Calibri" w:hint="default"/>
        <w:color w:val="417A84" w:themeColor="accent5"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7B149B"/>
    <w:multiLevelType w:val="hybridMultilevel"/>
    <w:tmpl w:val="74EAA42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826E96"/>
    <w:multiLevelType w:val="hybridMultilevel"/>
    <w:tmpl w:val="1550EC5E"/>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9A7A1C"/>
    <w:multiLevelType w:val="hybridMultilevel"/>
    <w:tmpl w:val="9B56DE0A"/>
    <w:lvl w:ilvl="0" w:tplc="DCEE298C">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AE5AC6"/>
    <w:multiLevelType w:val="multilevel"/>
    <w:tmpl w:val="5BA8C676"/>
    <w:styleLink w:val="lstStyleHeadingNumbered"/>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D030112"/>
    <w:multiLevelType w:val="hybridMultilevel"/>
    <w:tmpl w:val="84E25584"/>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2E6D44DD"/>
    <w:multiLevelType w:val="hybridMultilevel"/>
    <w:tmpl w:val="4F7A57FA"/>
    <w:lvl w:ilvl="0" w:tplc="83C24784">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56841"/>
    <w:multiLevelType w:val="hybridMultilevel"/>
    <w:tmpl w:val="94D67E2E"/>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F160C5E"/>
    <w:multiLevelType w:val="multilevel"/>
    <w:tmpl w:val="C2EED61A"/>
    <w:styleLink w:val="AppendixNumber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3CE2D60"/>
    <w:multiLevelType w:val="multilevel"/>
    <w:tmpl w:val="22C0A772"/>
    <w:lvl w:ilvl="0">
      <w:start w:val="1"/>
      <w:numFmt w:val="none"/>
      <w:lvlText w:val="4."/>
      <w:lvlJc w:val="center"/>
      <w:pPr>
        <w:ind w:left="720" w:hanging="360"/>
      </w:pPr>
      <w:rPr>
        <w:rFonts w:hint="default"/>
      </w:rPr>
    </w:lvl>
    <w:lvl w:ilvl="1">
      <w:start w:val="1"/>
      <w:numFmt w:val="none"/>
      <w:isLgl/>
      <w:lvlText w:val="4.2."/>
      <w:lvlJc w:val="left"/>
      <w:pPr>
        <w:ind w:left="915" w:hanging="555"/>
      </w:pPr>
      <w:rPr>
        <w:rFonts w:hint="default"/>
      </w:rPr>
    </w:lvl>
    <w:lvl w:ilvl="2">
      <w:start w:val="1"/>
      <w:numFmt w:val="decimal"/>
      <w:lvlRestart w:val="0"/>
      <w:isLgl/>
      <w:lvlText w:val="4.%22.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41F5552"/>
    <w:multiLevelType w:val="hybridMultilevel"/>
    <w:tmpl w:val="90EC4660"/>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5541D97"/>
    <w:multiLevelType w:val="hybridMultilevel"/>
    <w:tmpl w:val="A444669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0" w15:restartNumberingAfterBreak="0">
    <w:nsid w:val="3A237D47"/>
    <w:multiLevelType w:val="multilevel"/>
    <w:tmpl w:val="3CF631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E779BE"/>
    <w:multiLevelType w:val="hybridMultilevel"/>
    <w:tmpl w:val="62ACF534"/>
    <w:lvl w:ilvl="0" w:tplc="57582A26">
      <w:start w:val="1"/>
      <w:numFmt w:val="bullet"/>
      <w:lvlText w:val=""/>
      <w:lvlJc w:val="left"/>
      <w:pPr>
        <w:ind w:left="1429" w:hanging="360"/>
      </w:pPr>
      <w:rPr>
        <w:rFonts w:ascii="Wingdings" w:hAnsi="Wingdings" w:hint="default"/>
        <w:color w:val="417A84" w:themeColor="accent5" w:themeShade="BF"/>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15:restartNumberingAfterBreak="0">
    <w:nsid w:val="3C5711CB"/>
    <w:multiLevelType w:val="hybridMultilevel"/>
    <w:tmpl w:val="8A36CCF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A37435"/>
    <w:multiLevelType w:val="multilevel"/>
    <w:tmpl w:val="B204BC8A"/>
    <w:lvl w:ilvl="0">
      <w:start w:val="1"/>
      <w:numFmt w:val="decimal"/>
      <w:lvlText w:val="%1."/>
      <w:lvlJc w:val="left"/>
      <w:pPr>
        <w:ind w:left="1080" w:hanging="360"/>
      </w:pPr>
      <w:rPr>
        <w:rFonts w:asciiTheme="majorHAnsi" w:eastAsiaTheme="minorEastAsia" w:hAnsiTheme="majorHAnsi" w:cstheme="majorHAnsi"/>
        <w:color w:val="auto"/>
      </w:rPr>
    </w:lvl>
    <w:lvl w:ilvl="1">
      <w:start w:val="1"/>
      <w:numFmt w:val="decimal"/>
      <w:lvlText w:val="%1.%2"/>
      <w:lvlJc w:val="left"/>
      <w:pPr>
        <w:ind w:left="1080" w:hanging="360"/>
      </w:pPr>
      <w:rPr>
        <w:rFonts w:hint="default"/>
        <w:color w:val="3476B1" w:themeColor="accent2" w:themeShade="BF"/>
        <w:sz w:val="26"/>
        <w:szCs w:val="26"/>
      </w:rPr>
    </w:lvl>
    <w:lvl w:ilvl="2">
      <w:start w:val="1"/>
      <w:numFmt w:val="decimal"/>
      <w:lvlText w:val="%1.%2.%3"/>
      <w:lvlJc w:val="left"/>
      <w:pPr>
        <w:ind w:left="1440" w:hanging="720"/>
      </w:pPr>
      <w:rPr>
        <w:rFonts w:hint="default"/>
        <w:color w:val="3476B1" w:themeColor="accent2" w:themeShade="BF"/>
      </w:rPr>
    </w:lvl>
    <w:lvl w:ilvl="3">
      <w:start w:val="1"/>
      <w:numFmt w:val="decimal"/>
      <w:lvlText w:val="%1.%2.%3.%4"/>
      <w:lvlJc w:val="left"/>
      <w:pPr>
        <w:ind w:left="1800" w:hanging="1080"/>
      </w:pPr>
      <w:rPr>
        <w:rFonts w:hint="default"/>
        <w:color w:val="3476B1" w:themeColor="accent2" w:themeShade="BF"/>
      </w:rPr>
    </w:lvl>
    <w:lvl w:ilvl="4">
      <w:start w:val="1"/>
      <w:numFmt w:val="decimal"/>
      <w:lvlText w:val="%1.%2.%3.%4.%5"/>
      <w:lvlJc w:val="left"/>
      <w:pPr>
        <w:ind w:left="1800" w:hanging="1080"/>
      </w:pPr>
      <w:rPr>
        <w:rFonts w:hint="default"/>
        <w:color w:val="3476B1" w:themeColor="accent2" w:themeShade="BF"/>
      </w:rPr>
    </w:lvl>
    <w:lvl w:ilvl="5">
      <w:start w:val="1"/>
      <w:numFmt w:val="decimal"/>
      <w:lvlText w:val="%1.%2.%3.%4.%5.%6"/>
      <w:lvlJc w:val="left"/>
      <w:pPr>
        <w:ind w:left="2160" w:hanging="1440"/>
      </w:pPr>
      <w:rPr>
        <w:rFonts w:hint="default"/>
        <w:color w:val="3476B1" w:themeColor="accent2" w:themeShade="BF"/>
      </w:rPr>
    </w:lvl>
    <w:lvl w:ilvl="6">
      <w:start w:val="1"/>
      <w:numFmt w:val="decimal"/>
      <w:lvlText w:val="%1.%2.%3.%4.%5.%6.%7"/>
      <w:lvlJc w:val="left"/>
      <w:pPr>
        <w:ind w:left="2160" w:hanging="1440"/>
      </w:pPr>
      <w:rPr>
        <w:rFonts w:hint="default"/>
        <w:color w:val="3476B1" w:themeColor="accent2" w:themeShade="BF"/>
      </w:rPr>
    </w:lvl>
    <w:lvl w:ilvl="7">
      <w:start w:val="1"/>
      <w:numFmt w:val="decimal"/>
      <w:lvlText w:val="%1.%2.%3.%4.%5.%6.%7.%8"/>
      <w:lvlJc w:val="left"/>
      <w:pPr>
        <w:ind w:left="2520" w:hanging="1800"/>
      </w:pPr>
      <w:rPr>
        <w:rFonts w:hint="default"/>
        <w:color w:val="3476B1" w:themeColor="accent2" w:themeShade="BF"/>
      </w:rPr>
    </w:lvl>
    <w:lvl w:ilvl="8">
      <w:start w:val="1"/>
      <w:numFmt w:val="decimal"/>
      <w:lvlText w:val="%1.%2.%3.%4.%5.%6.%7.%8.%9"/>
      <w:lvlJc w:val="left"/>
      <w:pPr>
        <w:ind w:left="2520" w:hanging="1800"/>
      </w:pPr>
      <w:rPr>
        <w:rFonts w:hint="default"/>
        <w:color w:val="3476B1" w:themeColor="accent2" w:themeShade="BF"/>
      </w:rPr>
    </w:lvl>
  </w:abstractNum>
  <w:abstractNum w:abstractNumId="44" w15:restartNumberingAfterBreak="0">
    <w:nsid w:val="3D633DF7"/>
    <w:multiLevelType w:val="hybridMultilevel"/>
    <w:tmpl w:val="E6C4A25A"/>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D726D7E"/>
    <w:multiLevelType w:val="hybridMultilevel"/>
    <w:tmpl w:val="B498DC60"/>
    <w:lvl w:ilvl="0" w:tplc="57582A26">
      <w:start w:val="1"/>
      <w:numFmt w:val="bullet"/>
      <w:lvlText w:val=""/>
      <w:lvlJc w:val="left"/>
      <w:pPr>
        <w:ind w:left="765" w:hanging="360"/>
      </w:pPr>
      <w:rPr>
        <w:rFonts w:ascii="Wingdings" w:hAnsi="Wingdings" w:hint="default"/>
        <w:color w:val="417A84" w:themeColor="accent5" w:themeShade="BF"/>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15:restartNumberingAfterBreak="0">
    <w:nsid w:val="3D844011"/>
    <w:multiLevelType w:val="hybridMultilevel"/>
    <w:tmpl w:val="35AA321A"/>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137896"/>
    <w:multiLevelType w:val="hybridMultilevel"/>
    <w:tmpl w:val="35AC723E"/>
    <w:lvl w:ilvl="0" w:tplc="34E486C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166873"/>
    <w:multiLevelType w:val="multilevel"/>
    <w:tmpl w:val="9E1E9102"/>
    <w:styleLink w:val="NumberedHeadings"/>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73295E"/>
    <w:multiLevelType w:val="hybridMultilevel"/>
    <w:tmpl w:val="452E529A"/>
    <w:lvl w:ilvl="0" w:tplc="31142A1C">
      <w:start w:val="1"/>
      <w:numFmt w:val="bullet"/>
      <w:pStyle w:val="Bullet1"/>
      <w:lvlText w:val=""/>
      <w:lvlJc w:val="left"/>
      <w:pPr>
        <w:ind w:left="720" w:hanging="360"/>
      </w:pPr>
      <w:rPr>
        <w:rFonts w:ascii="Symbol" w:hAnsi="Symbol" w:hint="default"/>
      </w:rPr>
    </w:lvl>
    <w:lvl w:ilvl="1" w:tplc="B75498A0">
      <w:start w:val="1"/>
      <w:numFmt w:val="bullet"/>
      <w:pStyle w:val="Bullet2"/>
      <w:lvlText w:val="o"/>
      <w:lvlJc w:val="left"/>
      <w:pPr>
        <w:ind w:left="1440" w:hanging="360"/>
      </w:pPr>
      <w:rPr>
        <w:rFonts w:ascii="Courier New" w:hAnsi="Courier New" w:hint="default"/>
      </w:rPr>
    </w:lvl>
    <w:lvl w:ilvl="2" w:tplc="9A44B9FA">
      <w:start w:val="1"/>
      <w:numFmt w:val="bullet"/>
      <w:pStyle w:val="Bullet3"/>
      <w:lvlText w:val=""/>
      <w:lvlJc w:val="left"/>
      <w:pPr>
        <w:ind w:left="2160" w:hanging="360"/>
      </w:pPr>
      <w:rPr>
        <w:rFonts w:ascii="Wingdings" w:hAnsi="Wingdings" w:hint="default"/>
      </w:rPr>
    </w:lvl>
    <w:lvl w:ilvl="3" w:tplc="3C341BCA">
      <w:start w:val="1"/>
      <w:numFmt w:val="bullet"/>
      <w:lvlText w:val=""/>
      <w:lvlJc w:val="left"/>
      <w:pPr>
        <w:ind w:left="2880" w:hanging="360"/>
      </w:pPr>
      <w:rPr>
        <w:rFonts w:ascii="Symbol" w:hAnsi="Symbol" w:hint="default"/>
      </w:rPr>
    </w:lvl>
    <w:lvl w:ilvl="4" w:tplc="8320EB2E">
      <w:start w:val="1"/>
      <w:numFmt w:val="bullet"/>
      <w:lvlText w:val="o"/>
      <w:lvlJc w:val="left"/>
      <w:pPr>
        <w:ind w:left="3600" w:hanging="360"/>
      </w:pPr>
      <w:rPr>
        <w:rFonts w:ascii="Courier New" w:hAnsi="Courier New" w:hint="default"/>
      </w:rPr>
    </w:lvl>
    <w:lvl w:ilvl="5" w:tplc="F0187F1E">
      <w:start w:val="1"/>
      <w:numFmt w:val="bullet"/>
      <w:lvlText w:val=""/>
      <w:lvlJc w:val="left"/>
      <w:pPr>
        <w:ind w:left="4320" w:hanging="360"/>
      </w:pPr>
      <w:rPr>
        <w:rFonts w:ascii="Wingdings" w:hAnsi="Wingdings" w:hint="default"/>
      </w:rPr>
    </w:lvl>
    <w:lvl w:ilvl="6" w:tplc="30D4AA00">
      <w:start w:val="1"/>
      <w:numFmt w:val="bullet"/>
      <w:lvlText w:val=""/>
      <w:lvlJc w:val="left"/>
      <w:pPr>
        <w:ind w:left="5040" w:hanging="360"/>
      </w:pPr>
      <w:rPr>
        <w:rFonts w:ascii="Symbol" w:hAnsi="Symbol" w:hint="default"/>
      </w:rPr>
    </w:lvl>
    <w:lvl w:ilvl="7" w:tplc="7542DF0C">
      <w:start w:val="1"/>
      <w:numFmt w:val="bullet"/>
      <w:lvlText w:val="o"/>
      <w:lvlJc w:val="left"/>
      <w:pPr>
        <w:ind w:left="5760" w:hanging="360"/>
      </w:pPr>
      <w:rPr>
        <w:rFonts w:ascii="Courier New" w:hAnsi="Courier New" w:hint="default"/>
      </w:rPr>
    </w:lvl>
    <w:lvl w:ilvl="8" w:tplc="700053F2">
      <w:start w:val="1"/>
      <w:numFmt w:val="bullet"/>
      <w:lvlText w:val=""/>
      <w:lvlJc w:val="left"/>
      <w:pPr>
        <w:ind w:left="6480" w:hanging="360"/>
      </w:pPr>
      <w:rPr>
        <w:rFonts w:ascii="Wingdings" w:hAnsi="Wingdings" w:hint="default"/>
      </w:rPr>
    </w:lvl>
  </w:abstractNum>
  <w:abstractNum w:abstractNumId="50" w15:restartNumberingAfterBreak="0">
    <w:nsid w:val="454B7E81"/>
    <w:multiLevelType w:val="multilevel"/>
    <w:tmpl w:val="446A019E"/>
    <w:lvl w:ilvl="0">
      <w:start w:val="1"/>
      <w:numFmt w:val="none"/>
      <w:lvlText w:val="8."/>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8.%2.%3."/>
      <w:lvlJc w:val="left"/>
      <w:pPr>
        <w:ind w:left="1224" w:hanging="504"/>
      </w:pPr>
      <w:rPr>
        <w:rFonts w:hint="default"/>
      </w:rPr>
    </w:lvl>
    <w:lvl w:ilvl="3">
      <w:start w:val="1"/>
      <w:numFmt w:val="decimal"/>
      <w:lvlText w:val="%18.%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83703B"/>
    <w:multiLevelType w:val="hybridMultilevel"/>
    <w:tmpl w:val="72BCFA34"/>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896A9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74038A"/>
    <w:multiLevelType w:val="multilevel"/>
    <w:tmpl w:val="EC02C1A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6"/>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4884335B"/>
    <w:multiLevelType w:val="multilevel"/>
    <w:tmpl w:val="7F02CE82"/>
    <w:lvl w:ilvl="0">
      <w:start w:val="1"/>
      <w:numFmt w:val="none"/>
      <w:lvlText w:val="5."/>
      <w:lvlJc w:val="left"/>
      <w:pPr>
        <w:ind w:left="360" w:hanging="360"/>
      </w:pPr>
      <w:rPr>
        <w:rFonts w:hint="default"/>
      </w:rPr>
    </w:lvl>
    <w:lvl w:ilvl="1">
      <w:start w:val="1"/>
      <w:numFmt w:val="decimal"/>
      <w:lvlRestart w:val="0"/>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96C7FF6"/>
    <w:multiLevelType w:val="hybridMultilevel"/>
    <w:tmpl w:val="4D4A750C"/>
    <w:styleLink w:val="aacTableListBullets"/>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56" w15:restartNumberingAfterBreak="0">
    <w:nsid w:val="4BB408DB"/>
    <w:multiLevelType w:val="hybridMultilevel"/>
    <w:tmpl w:val="F36C1732"/>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8E3033"/>
    <w:multiLevelType w:val="multilevel"/>
    <w:tmpl w:val="13FE7BBA"/>
    <w:lvl w:ilvl="0">
      <w:start w:val="1"/>
      <w:numFmt w:val="none"/>
      <w:lvlText w:val="6."/>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D296483"/>
    <w:multiLevelType w:val="hybridMultilevel"/>
    <w:tmpl w:val="3B50EBF8"/>
    <w:lvl w:ilvl="0" w:tplc="57582A26">
      <w:start w:val="1"/>
      <w:numFmt w:val="bullet"/>
      <w:lvlText w:val=""/>
      <w:lvlJc w:val="left"/>
      <w:pPr>
        <w:ind w:left="1080" w:hanging="360"/>
      </w:pPr>
      <w:rPr>
        <w:rFonts w:ascii="Wingdings" w:hAnsi="Wingdings" w:hint="default"/>
        <w:color w:val="417A84" w:themeColor="accent5" w:themeShade="BF"/>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64567AC"/>
    <w:multiLevelType w:val="multilevel"/>
    <w:tmpl w:val="A1C234C0"/>
    <w:lvl w:ilvl="0">
      <w:start w:val="1"/>
      <w:numFmt w:val="bullet"/>
      <w:lvlText w:val=""/>
      <w:lvlJc w:val="left"/>
      <w:pPr>
        <w:tabs>
          <w:tab w:val="num" w:pos="720"/>
        </w:tabs>
        <w:ind w:left="720" w:hanging="360"/>
      </w:pPr>
      <w:rPr>
        <w:rFonts w:ascii="Wingdings" w:hAnsi="Wingdings" w:hint="default"/>
        <w:color w:val="417A84" w:themeColor="accent5" w:themeShade="BF"/>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A07355"/>
    <w:multiLevelType w:val="hybridMultilevel"/>
    <w:tmpl w:val="997802CE"/>
    <w:styleLink w:val="Style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591B3841"/>
    <w:multiLevelType w:val="hybridMultilevel"/>
    <w:tmpl w:val="B644EEEC"/>
    <w:lvl w:ilvl="0" w:tplc="57582A26">
      <w:start w:val="1"/>
      <w:numFmt w:val="bullet"/>
      <w:lvlText w:val=""/>
      <w:lvlJc w:val="left"/>
      <w:pPr>
        <w:ind w:left="1429" w:hanging="360"/>
      </w:pPr>
      <w:rPr>
        <w:rFonts w:ascii="Wingdings" w:hAnsi="Wingdings" w:hint="default"/>
        <w:color w:val="417A84" w:themeColor="accent5" w:themeShade="BF"/>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2" w15:restartNumberingAfterBreak="0">
    <w:nsid w:val="5C7F4812"/>
    <w:multiLevelType w:val="multilevel"/>
    <w:tmpl w:val="7DDAB9D0"/>
    <w:lvl w:ilvl="0">
      <w:start w:val="1"/>
      <w:numFmt w:val="decimal"/>
      <w:lvlText w:val="%1."/>
      <w:lvlJc w:val="left"/>
      <w:pPr>
        <w:ind w:left="360" w:hanging="360"/>
      </w:pPr>
      <w:rPr>
        <w:rFonts w:hint="default"/>
      </w:rPr>
    </w:lvl>
    <w:lvl w:ilvl="1">
      <w:start w:val="1"/>
      <w:numFmt w:val="none"/>
      <w:lvlText w:val="1.3."/>
      <w:lvlJc w:val="left"/>
      <w:pPr>
        <w:ind w:left="792" w:hanging="432"/>
      </w:pPr>
      <w:rPr>
        <w:rFonts w:hint="default"/>
      </w:rPr>
    </w:lvl>
    <w:lvl w:ilvl="2">
      <w:start w:val="1"/>
      <w:numFmt w:val="decimal"/>
      <w:lvlText w:val="%1.%2.%3."/>
      <w:lvlJc w:val="left"/>
      <w:pPr>
        <w:ind w:left="1224" w:hanging="504"/>
      </w:pPr>
      <w:rPr>
        <w:rFonts w:hint="default"/>
        <w:b/>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4" w15:restartNumberingAfterBreak="0">
    <w:nsid w:val="5F952578"/>
    <w:multiLevelType w:val="multilevel"/>
    <w:tmpl w:val="25A22102"/>
    <w:lvl w:ilvl="0">
      <w:start w:val="1"/>
      <w:numFmt w:val="none"/>
      <w:lvlText w:val="7."/>
      <w:lvlJc w:val="left"/>
      <w:pPr>
        <w:ind w:left="360" w:hanging="360"/>
      </w:pPr>
      <w:rPr>
        <w:rFonts w:hint="default"/>
      </w:rPr>
    </w:lvl>
    <w:lvl w:ilvl="1">
      <w:start w:val="1"/>
      <w:numFmt w:val="decimal"/>
      <w:lvlRestart w:val="0"/>
      <w:lvlText w:val="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7.%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F976DDD"/>
    <w:multiLevelType w:val="hybridMultilevel"/>
    <w:tmpl w:val="506810DC"/>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09746B5"/>
    <w:multiLevelType w:val="multilevel"/>
    <w:tmpl w:val="C2EED61A"/>
    <w:numStyleLink w:val="AppendixNumbers"/>
  </w:abstractNum>
  <w:abstractNum w:abstractNumId="6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7B756D"/>
    <w:multiLevelType w:val="multilevel"/>
    <w:tmpl w:val="08E0B8BA"/>
    <w:numStyleLink w:val="aaclstStyleHeadingsES"/>
  </w:abstractNum>
  <w:abstractNum w:abstractNumId="69" w15:restartNumberingAfterBreak="0">
    <w:nsid w:val="617E5DB0"/>
    <w:multiLevelType w:val="hybridMultilevel"/>
    <w:tmpl w:val="C972CF40"/>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23A287A"/>
    <w:multiLevelType w:val="multilevel"/>
    <w:tmpl w:val="113A63DC"/>
    <w:lvl w:ilvl="0">
      <w:start w:val="1"/>
      <w:numFmt w:val="decimal"/>
      <w:lvlText w:val="%1."/>
      <w:lvlJc w:val="left"/>
      <w:pPr>
        <w:ind w:left="360" w:hanging="360"/>
      </w:pPr>
      <w:rPr>
        <w:rFonts w:hint="default"/>
      </w:rPr>
    </w:lvl>
    <w:lvl w:ilvl="1">
      <w:start w:val="1"/>
      <w:numFmt w:val="decimal"/>
      <w:lvlRestart w:val="0"/>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5220433"/>
    <w:multiLevelType w:val="multilevel"/>
    <w:tmpl w:val="BAF013B2"/>
    <w:lvl w:ilvl="0">
      <w:start w:val="1"/>
      <w:numFmt w:val="none"/>
      <w:lvlText w:val="6."/>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68B1EB3"/>
    <w:multiLevelType w:val="hybridMultilevel"/>
    <w:tmpl w:val="D95C4658"/>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DA9408C"/>
    <w:multiLevelType w:val="hybridMultilevel"/>
    <w:tmpl w:val="C89A2E5C"/>
    <w:lvl w:ilvl="0" w:tplc="57582A26">
      <w:start w:val="1"/>
      <w:numFmt w:val="bullet"/>
      <w:lvlText w:val=""/>
      <w:lvlJc w:val="left"/>
      <w:pPr>
        <w:ind w:left="720" w:hanging="360"/>
      </w:pPr>
      <w:rPr>
        <w:rFonts w:ascii="Wingdings" w:hAnsi="Wingdings" w:hint="default"/>
        <w:color w:val="417A84" w:themeColor="accent5" w:themeShade="BF"/>
      </w:rPr>
    </w:lvl>
    <w:lvl w:ilvl="1" w:tplc="57582A26">
      <w:start w:val="1"/>
      <w:numFmt w:val="bullet"/>
      <w:lvlText w:val=""/>
      <w:lvlJc w:val="left"/>
      <w:pPr>
        <w:ind w:left="1440"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708A277B"/>
    <w:multiLevelType w:val="multilevel"/>
    <w:tmpl w:val="A8E29534"/>
    <w:lvl w:ilvl="0">
      <w:start w:val="1"/>
      <w:numFmt w:val="bullet"/>
      <w:lvlText w:val=""/>
      <w:lvlJc w:val="left"/>
      <w:pPr>
        <w:tabs>
          <w:tab w:val="num" w:pos="720"/>
        </w:tabs>
        <w:ind w:left="720" w:hanging="360"/>
      </w:pPr>
      <w:rPr>
        <w:rFonts w:ascii="Wingdings" w:hAnsi="Wingdings" w:hint="default"/>
        <w:color w:val="417A84" w:themeColor="accent5" w:themeShade="BF"/>
        <w:sz w:val="20"/>
      </w:rPr>
    </w:lvl>
    <w:lvl w:ilvl="1">
      <w:start w:val="1"/>
      <w:numFmt w:val="bullet"/>
      <w:lvlText w:val=""/>
      <w:lvlJc w:val="left"/>
      <w:pPr>
        <w:tabs>
          <w:tab w:val="num" w:pos="1440"/>
        </w:tabs>
        <w:ind w:left="1440" w:hanging="360"/>
      </w:pPr>
      <w:rPr>
        <w:rFonts w:ascii="Wingdings" w:hAnsi="Wingdings" w:hint="default"/>
        <w:color w:val="417A84" w:themeColor="accent5" w:themeShade="B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8073D5"/>
    <w:multiLevelType w:val="hybridMultilevel"/>
    <w:tmpl w:val="080C2816"/>
    <w:lvl w:ilvl="0" w:tplc="57582A26">
      <w:start w:val="1"/>
      <w:numFmt w:val="bullet"/>
      <w:lvlText w:val=""/>
      <w:lvlJc w:val="left"/>
      <w:pPr>
        <w:ind w:left="1130" w:hanging="360"/>
      </w:pPr>
      <w:rPr>
        <w:rFonts w:ascii="Wingdings" w:hAnsi="Wingdings" w:hint="default"/>
        <w:color w:val="417A84" w:themeColor="accent5" w:themeShade="BF"/>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76" w15:restartNumberingAfterBreak="0">
    <w:nsid w:val="735C5C0F"/>
    <w:multiLevelType w:val="multilevel"/>
    <w:tmpl w:val="4CE2DAFE"/>
    <w:lvl w:ilvl="0">
      <w:start w:val="1"/>
      <w:numFmt w:val="none"/>
      <w:lvlText w:val="2."/>
      <w:lvlJc w:val="left"/>
      <w:pPr>
        <w:ind w:left="360" w:hanging="360"/>
      </w:pPr>
      <w:rPr>
        <w:rFonts w:hint="default"/>
      </w:rPr>
    </w:lvl>
    <w:lvl w:ilvl="1">
      <w:start w:val="1"/>
      <w:numFmt w:val="none"/>
      <w:lvlRestart w:val="0"/>
      <w:lvlText w:val="2.1."/>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78" w15:restartNumberingAfterBreak="0">
    <w:nsid w:val="78C45461"/>
    <w:multiLevelType w:val="multilevel"/>
    <w:tmpl w:val="F46A2EB0"/>
    <w:lvl w:ilvl="0">
      <w:start w:val="1"/>
      <w:numFmt w:val="upperLetter"/>
      <w:pStyle w:val="AttachmentHeading1"/>
      <w:suff w:val="space"/>
      <w:lvlText w:val="Attachment %1 –"/>
      <w:lvlJc w:val="left"/>
      <w:pPr>
        <w:ind w:left="0" w:firstLine="0"/>
      </w:pPr>
      <w:rPr>
        <w:rFonts w:hint="default"/>
      </w:rPr>
    </w:lvl>
    <w:lvl w:ilvl="1">
      <w:start w:val="2"/>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A1C5D8A"/>
    <w:multiLevelType w:val="multilevel"/>
    <w:tmpl w:val="9294A574"/>
    <w:lvl w:ilvl="0">
      <w:start w:val="1"/>
      <w:numFmt w:val="none"/>
      <w:lvlText w:val="4."/>
      <w:lvlJc w:val="center"/>
      <w:pPr>
        <w:ind w:left="720" w:hanging="360"/>
      </w:pPr>
      <w:rPr>
        <w:rFonts w:hint="default"/>
      </w:rPr>
    </w:lvl>
    <w:lvl w:ilvl="1">
      <w:start w:val="1"/>
      <w:numFmt w:val="none"/>
      <w:isLgl/>
      <w:lvlText w:val="4.2."/>
      <w:lvlJc w:val="left"/>
      <w:pPr>
        <w:ind w:left="915" w:hanging="555"/>
      </w:pPr>
      <w:rPr>
        <w:rFonts w:hint="default"/>
      </w:rPr>
    </w:lvl>
    <w:lvl w:ilvl="2">
      <w:start w:val="1"/>
      <w:numFmt w:val="decimal"/>
      <w:lvlRestart w:val="0"/>
      <w:isLgl/>
      <w:lvlText w:val="4.%22.2"/>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D3D6EA9"/>
    <w:multiLevelType w:val="multilevel"/>
    <w:tmpl w:val="08E0B8BA"/>
    <w:styleLink w:val="aaclstStyleHeadingsES"/>
    <w:lvl w:ilvl="0">
      <w:start w:val="1"/>
      <w:numFmt w:val="upperLetter"/>
      <w:suff w:val="space"/>
      <w:lvlText w:val="Attachment %1 –"/>
      <w:lvlJc w:val="left"/>
      <w:pPr>
        <w:ind w:left="0"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Heading5ES"/>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D684406"/>
    <w:multiLevelType w:val="multilevel"/>
    <w:tmpl w:val="7504A2B2"/>
    <w:lvl w:ilvl="0">
      <w:start w:val="1"/>
      <w:numFmt w:val="decimal"/>
      <w:lvlText w:val="%1."/>
      <w:lvlJc w:val="left"/>
      <w:pPr>
        <w:ind w:left="360" w:hanging="360"/>
      </w:pPr>
      <w:rPr>
        <w:rFonts w:hint="default"/>
      </w:rPr>
    </w:lvl>
    <w:lvl w:ilvl="1">
      <w:start w:val="1"/>
      <w:numFmt w:val="decimal"/>
      <w:lvlRestart w:val="0"/>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E1A1183"/>
    <w:multiLevelType w:val="multilevel"/>
    <w:tmpl w:val="63E491B8"/>
    <w:lvl w:ilvl="0">
      <w:start w:val="1"/>
      <w:numFmt w:val="none"/>
      <w:lvlText w:val="4."/>
      <w:lvlJc w:val="center"/>
      <w:pPr>
        <w:ind w:left="720" w:hanging="360"/>
      </w:pPr>
      <w:rPr>
        <w:rFonts w:hint="default"/>
      </w:rPr>
    </w:lvl>
    <w:lvl w:ilvl="1">
      <w:start w:val="1"/>
      <w:numFmt w:val="none"/>
      <w:isLgl/>
      <w:lvlText w:val="4.4."/>
      <w:lvlJc w:val="left"/>
      <w:pPr>
        <w:ind w:left="915" w:hanging="555"/>
      </w:pPr>
      <w:rPr>
        <w:rFonts w:hint="default"/>
      </w:rPr>
    </w:lvl>
    <w:lvl w:ilvl="2">
      <w:start w:val="1"/>
      <w:numFmt w:val="decimal"/>
      <w:lvlRestart w:val="0"/>
      <w:isLgl/>
      <w:lvlText w:val="4.%24.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E263F15"/>
    <w:multiLevelType w:val="multilevel"/>
    <w:tmpl w:val="D82EF79E"/>
    <w:lvl w:ilvl="0">
      <w:start w:val="5"/>
      <w:numFmt w:val="decimal"/>
      <w:lvlText w:val="%1"/>
      <w:lvlJc w:val="left"/>
      <w:pPr>
        <w:ind w:left="480" w:hanging="480"/>
      </w:pPr>
      <w:rPr>
        <w:rFonts w:hint="default"/>
      </w:rPr>
    </w:lvl>
    <w:lvl w:ilvl="1">
      <w:start w:val="2"/>
      <w:numFmt w:val="none"/>
      <w:lvlText w:val="3.1"/>
      <w:lvlJc w:val="left"/>
      <w:pPr>
        <w:ind w:left="660" w:hanging="480"/>
      </w:pPr>
      <w:rPr>
        <w:rFonts w:hint="default"/>
      </w:rPr>
    </w:lvl>
    <w:lvl w:ilvl="2">
      <w:start w:val="1"/>
      <w:numFmt w:val="decimal"/>
      <w:lvlText w:val="3.1.%3"/>
      <w:lvlJc w:val="left"/>
      <w:pPr>
        <w:ind w:left="1080" w:hanging="720"/>
      </w:pPr>
      <w:rPr>
        <w:rFonts w:hint="default"/>
      </w:rPr>
    </w:lvl>
    <w:lvl w:ilvl="3">
      <w:start w:val="1"/>
      <w:numFmt w:val="decimal"/>
      <w:lvlText w:val="3.%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4" w15:restartNumberingAfterBreak="0">
    <w:nsid w:val="7E554E84"/>
    <w:multiLevelType w:val="multilevel"/>
    <w:tmpl w:val="5B2C35CE"/>
    <w:styleLink w:val="ListLegal"/>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5" w15:restartNumberingAfterBreak="0">
    <w:nsid w:val="7FF0616B"/>
    <w:multiLevelType w:val="multilevel"/>
    <w:tmpl w:val="4FCCAD18"/>
    <w:lvl w:ilvl="0">
      <w:start w:val="1"/>
      <w:numFmt w:val="none"/>
      <w:lvlText w:val="2."/>
      <w:lvlJc w:val="left"/>
      <w:pPr>
        <w:ind w:left="360" w:hanging="360"/>
      </w:pPr>
      <w:rPr>
        <w:rFonts w:hint="default"/>
      </w:rPr>
    </w:lvl>
    <w:lvl w:ilvl="1">
      <w:start w:val="1"/>
      <w:numFmt w:val="none"/>
      <w:lvlRestart w:val="0"/>
      <w:lvlText w:val="2.2."/>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4"/>
  </w:num>
  <w:num w:numId="3">
    <w:abstractNumId w:val="3"/>
  </w:num>
  <w:num w:numId="4">
    <w:abstractNumId w:val="48"/>
  </w:num>
  <w:num w:numId="5">
    <w:abstractNumId w:val="35"/>
  </w:num>
  <w:num w:numId="6">
    <w:abstractNumId w:val="67"/>
  </w:num>
  <w:num w:numId="7">
    <w:abstractNumId w:val="67"/>
  </w:num>
  <w:num w:numId="8">
    <w:abstractNumId w:val="3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9">
    <w:abstractNumId w:val="77"/>
  </w:num>
  <w:num w:numId="10">
    <w:abstractNumId w:val="63"/>
  </w:num>
  <w:num w:numId="11">
    <w:abstractNumId w:val="31"/>
  </w:num>
  <w:num w:numId="12">
    <w:abstractNumId w:val="68"/>
  </w:num>
  <w:num w:numId="13">
    <w:abstractNumId w:val="78"/>
  </w:num>
  <w:num w:numId="14">
    <w:abstractNumId w:val="80"/>
  </w:num>
  <w:num w:numId="15">
    <w:abstractNumId w:val="24"/>
  </w:num>
  <w:num w:numId="16">
    <w:abstractNumId w:val="6"/>
  </w:num>
  <w:num w:numId="17">
    <w:abstractNumId w:val="59"/>
  </w:num>
  <w:num w:numId="18">
    <w:abstractNumId w:val="66"/>
  </w:num>
  <w:num w:numId="19">
    <w:abstractNumId w:val="46"/>
  </w:num>
  <w:num w:numId="20">
    <w:abstractNumId w:val="44"/>
  </w:num>
  <w:num w:numId="21">
    <w:abstractNumId w:val="37"/>
  </w:num>
  <w:num w:numId="22">
    <w:abstractNumId w:val="34"/>
  </w:num>
  <w:num w:numId="23">
    <w:abstractNumId w:val="8"/>
  </w:num>
  <w:num w:numId="24">
    <w:abstractNumId w:val="32"/>
  </w:num>
  <w:num w:numId="25">
    <w:abstractNumId w:val="69"/>
  </w:num>
  <w:num w:numId="26">
    <w:abstractNumId w:val="75"/>
  </w:num>
  <w:num w:numId="27">
    <w:abstractNumId w:val="72"/>
  </w:num>
  <w:num w:numId="28">
    <w:abstractNumId w:val="13"/>
  </w:num>
  <w:num w:numId="29">
    <w:abstractNumId w:val="73"/>
  </w:num>
  <w:num w:numId="30">
    <w:abstractNumId w:val="58"/>
  </w:num>
  <w:num w:numId="31">
    <w:abstractNumId w:val="43"/>
  </w:num>
  <w:num w:numId="32">
    <w:abstractNumId w:val="83"/>
  </w:num>
  <w:num w:numId="33">
    <w:abstractNumId w:val="30"/>
  </w:num>
  <w:num w:numId="34">
    <w:abstractNumId w:val="33"/>
  </w:num>
  <w:num w:numId="35">
    <w:abstractNumId w:val="41"/>
  </w:num>
  <w:num w:numId="36">
    <w:abstractNumId w:val="61"/>
  </w:num>
  <w:num w:numId="37">
    <w:abstractNumId w:val="42"/>
  </w:num>
  <w:num w:numId="38">
    <w:abstractNumId w:val="47"/>
  </w:num>
  <w:num w:numId="39">
    <w:abstractNumId w:val="38"/>
  </w:num>
  <w:num w:numId="40">
    <w:abstractNumId w:val="55"/>
  </w:num>
  <w:num w:numId="41">
    <w:abstractNumId w:val="12"/>
  </w:num>
  <w:num w:numId="42">
    <w:abstractNumId w:val="53"/>
  </w:num>
  <w:num w:numId="43">
    <w:abstractNumId w:val="29"/>
  </w:num>
  <w:num w:numId="44">
    <w:abstractNumId w:val="51"/>
  </w:num>
  <w:num w:numId="45">
    <w:abstractNumId w:val="14"/>
  </w:num>
  <w:num w:numId="46">
    <w:abstractNumId w:val="0"/>
  </w:num>
  <w:num w:numId="47">
    <w:abstractNumId w:val="20"/>
  </w:num>
  <w:num w:numId="48">
    <w:abstractNumId w:val="65"/>
  </w:num>
  <w:num w:numId="49">
    <w:abstractNumId w:val="16"/>
  </w:num>
  <w:num w:numId="50">
    <w:abstractNumId w:val="2"/>
  </w:num>
  <w:num w:numId="51">
    <w:abstractNumId w:val="56"/>
  </w:num>
  <w:num w:numId="52">
    <w:abstractNumId w:val="27"/>
  </w:num>
  <w:num w:numId="53">
    <w:abstractNumId w:val="1"/>
  </w:num>
  <w:num w:numId="54">
    <w:abstractNumId w:val="73"/>
  </w:num>
  <w:num w:numId="55">
    <w:abstractNumId w:val="74"/>
  </w:num>
  <w:num w:numId="56">
    <w:abstractNumId w:val="11"/>
  </w:num>
  <w:num w:numId="57">
    <w:abstractNumId w:val="36"/>
  </w:num>
  <w:num w:numId="58">
    <w:abstractNumId w:val="62"/>
  </w:num>
  <w:num w:numId="59">
    <w:abstractNumId w:val="76"/>
  </w:num>
  <w:num w:numId="60">
    <w:abstractNumId w:val="4"/>
  </w:num>
  <w:num w:numId="61">
    <w:abstractNumId w:val="21"/>
  </w:num>
  <w:num w:numId="62">
    <w:abstractNumId w:val="81"/>
  </w:num>
  <w:num w:numId="63">
    <w:abstractNumId w:val="54"/>
  </w:num>
  <w:num w:numId="64">
    <w:abstractNumId w:val="71"/>
  </w:num>
  <w:num w:numId="65">
    <w:abstractNumId w:val="64"/>
  </w:num>
  <w:num w:numId="66">
    <w:abstractNumId w:val="70"/>
  </w:num>
  <w:num w:numId="67">
    <w:abstractNumId w:val="40"/>
  </w:num>
  <w:num w:numId="68">
    <w:abstractNumId w:val="7"/>
  </w:num>
  <w:num w:numId="69">
    <w:abstractNumId w:val="5"/>
  </w:num>
  <w:num w:numId="70">
    <w:abstractNumId w:val="57"/>
  </w:num>
  <w:num w:numId="71">
    <w:abstractNumId w:val="50"/>
  </w:num>
  <w:num w:numId="72">
    <w:abstractNumId w:val="19"/>
  </w:num>
  <w:num w:numId="73">
    <w:abstractNumId w:val="10"/>
  </w:num>
  <w:num w:numId="74">
    <w:abstractNumId w:val="9"/>
  </w:num>
  <w:num w:numId="75">
    <w:abstractNumId w:val="15"/>
  </w:num>
  <w:num w:numId="76">
    <w:abstractNumId w:val="23"/>
  </w:num>
  <w:num w:numId="77">
    <w:abstractNumId w:val="26"/>
  </w:num>
  <w:num w:numId="78">
    <w:abstractNumId w:val="79"/>
  </w:num>
  <w:num w:numId="79">
    <w:abstractNumId w:val="60"/>
  </w:num>
  <w:num w:numId="80">
    <w:abstractNumId w:val="82"/>
  </w:num>
  <w:num w:numId="81">
    <w:abstractNumId w:val="28"/>
  </w:num>
  <w:num w:numId="82">
    <w:abstractNumId w:val="25"/>
  </w:num>
  <w:num w:numId="83">
    <w:abstractNumId w:val="18"/>
  </w:num>
  <w:num w:numId="84">
    <w:abstractNumId w:val="45"/>
  </w:num>
  <w:num w:numId="85">
    <w:abstractNumId w:val="27"/>
  </w:num>
  <w:num w:numId="86">
    <w:abstractNumId w:val="17"/>
  </w:num>
  <w:num w:numId="87">
    <w:abstractNumId w:val="22"/>
  </w:num>
  <w:num w:numId="88">
    <w:abstractNumId w:val="85"/>
  </w:num>
  <w:num w:numId="89">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257"/>
    <w:rsid w:val="00000089"/>
    <w:rsid w:val="000007FA"/>
    <w:rsid w:val="00000813"/>
    <w:rsid w:val="00001112"/>
    <w:rsid w:val="00001193"/>
    <w:rsid w:val="00001240"/>
    <w:rsid w:val="0000138C"/>
    <w:rsid w:val="0000189B"/>
    <w:rsid w:val="000021F8"/>
    <w:rsid w:val="00002C73"/>
    <w:rsid w:val="000030C0"/>
    <w:rsid w:val="0000323D"/>
    <w:rsid w:val="00003E16"/>
    <w:rsid w:val="00003EDC"/>
    <w:rsid w:val="00004356"/>
    <w:rsid w:val="00004724"/>
    <w:rsid w:val="000048D8"/>
    <w:rsid w:val="00004B71"/>
    <w:rsid w:val="00004F6A"/>
    <w:rsid w:val="00005002"/>
    <w:rsid w:val="000050AD"/>
    <w:rsid w:val="000057A3"/>
    <w:rsid w:val="00005A50"/>
    <w:rsid w:val="00005C65"/>
    <w:rsid w:val="00005E98"/>
    <w:rsid w:val="00005F80"/>
    <w:rsid w:val="000064F1"/>
    <w:rsid w:val="0000654E"/>
    <w:rsid w:val="000069FE"/>
    <w:rsid w:val="00007766"/>
    <w:rsid w:val="000078EB"/>
    <w:rsid w:val="0000791A"/>
    <w:rsid w:val="00007BAB"/>
    <w:rsid w:val="00007EB6"/>
    <w:rsid w:val="00010614"/>
    <w:rsid w:val="000107FC"/>
    <w:rsid w:val="00011187"/>
    <w:rsid w:val="000111D8"/>
    <w:rsid w:val="000112FC"/>
    <w:rsid w:val="00011BD0"/>
    <w:rsid w:val="00012489"/>
    <w:rsid w:val="00012506"/>
    <w:rsid w:val="00012A8B"/>
    <w:rsid w:val="00012B20"/>
    <w:rsid w:val="00012C4F"/>
    <w:rsid w:val="00012F91"/>
    <w:rsid w:val="000135A0"/>
    <w:rsid w:val="000135E6"/>
    <w:rsid w:val="00013886"/>
    <w:rsid w:val="00013BDB"/>
    <w:rsid w:val="00014293"/>
    <w:rsid w:val="0001430B"/>
    <w:rsid w:val="000147A5"/>
    <w:rsid w:val="0001488E"/>
    <w:rsid w:val="00014A29"/>
    <w:rsid w:val="00014FD2"/>
    <w:rsid w:val="00015467"/>
    <w:rsid w:val="000156AF"/>
    <w:rsid w:val="00015B26"/>
    <w:rsid w:val="000163F0"/>
    <w:rsid w:val="000165BE"/>
    <w:rsid w:val="00016832"/>
    <w:rsid w:val="00016962"/>
    <w:rsid w:val="00016DA7"/>
    <w:rsid w:val="00017323"/>
    <w:rsid w:val="000176A0"/>
    <w:rsid w:val="0001774F"/>
    <w:rsid w:val="00017834"/>
    <w:rsid w:val="00017B15"/>
    <w:rsid w:val="00017EFF"/>
    <w:rsid w:val="000207B7"/>
    <w:rsid w:val="0002086B"/>
    <w:rsid w:val="00022161"/>
    <w:rsid w:val="0002218D"/>
    <w:rsid w:val="000222D8"/>
    <w:rsid w:val="000223CD"/>
    <w:rsid w:val="000225C6"/>
    <w:rsid w:val="000229CB"/>
    <w:rsid w:val="00022C96"/>
    <w:rsid w:val="000231A3"/>
    <w:rsid w:val="00023525"/>
    <w:rsid w:val="00023682"/>
    <w:rsid w:val="000236CB"/>
    <w:rsid w:val="00023B21"/>
    <w:rsid w:val="00023EB9"/>
    <w:rsid w:val="00024985"/>
    <w:rsid w:val="00024D76"/>
    <w:rsid w:val="00024EBA"/>
    <w:rsid w:val="00025997"/>
    <w:rsid w:val="00025EAD"/>
    <w:rsid w:val="00026C0B"/>
    <w:rsid w:val="00026E40"/>
    <w:rsid w:val="00027439"/>
    <w:rsid w:val="00027ABB"/>
    <w:rsid w:val="00027EB4"/>
    <w:rsid w:val="0003007C"/>
    <w:rsid w:val="00030094"/>
    <w:rsid w:val="000301CF"/>
    <w:rsid w:val="000301E8"/>
    <w:rsid w:val="0003061E"/>
    <w:rsid w:val="00030945"/>
    <w:rsid w:val="000309D8"/>
    <w:rsid w:val="00030A0C"/>
    <w:rsid w:val="00030B5F"/>
    <w:rsid w:val="00030E3D"/>
    <w:rsid w:val="00030FD1"/>
    <w:rsid w:val="00031728"/>
    <w:rsid w:val="0003188D"/>
    <w:rsid w:val="00031C99"/>
    <w:rsid w:val="00032CCC"/>
    <w:rsid w:val="00033892"/>
    <w:rsid w:val="00033948"/>
    <w:rsid w:val="0003395E"/>
    <w:rsid w:val="00033ABA"/>
    <w:rsid w:val="00034B2A"/>
    <w:rsid w:val="00034DBC"/>
    <w:rsid w:val="000351A9"/>
    <w:rsid w:val="0003539C"/>
    <w:rsid w:val="0003543F"/>
    <w:rsid w:val="000354CF"/>
    <w:rsid w:val="00035765"/>
    <w:rsid w:val="00035DED"/>
    <w:rsid w:val="00036210"/>
    <w:rsid w:val="00036D7C"/>
    <w:rsid w:val="00036FC8"/>
    <w:rsid w:val="000371DD"/>
    <w:rsid w:val="000373C9"/>
    <w:rsid w:val="0003740A"/>
    <w:rsid w:val="000377AE"/>
    <w:rsid w:val="00040218"/>
    <w:rsid w:val="0004040A"/>
    <w:rsid w:val="000409EC"/>
    <w:rsid w:val="00041212"/>
    <w:rsid w:val="00041240"/>
    <w:rsid w:val="00041A16"/>
    <w:rsid w:val="00041B63"/>
    <w:rsid w:val="00041DF3"/>
    <w:rsid w:val="00041FA2"/>
    <w:rsid w:val="000425BF"/>
    <w:rsid w:val="00042789"/>
    <w:rsid w:val="00042DEE"/>
    <w:rsid w:val="00042FA2"/>
    <w:rsid w:val="000437C9"/>
    <w:rsid w:val="00043E0D"/>
    <w:rsid w:val="00043F00"/>
    <w:rsid w:val="00044647"/>
    <w:rsid w:val="00044805"/>
    <w:rsid w:val="00044A44"/>
    <w:rsid w:val="00044D10"/>
    <w:rsid w:val="00044DA0"/>
    <w:rsid w:val="000458B1"/>
    <w:rsid w:val="00045F39"/>
    <w:rsid w:val="00046554"/>
    <w:rsid w:val="00046950"/>
    <w:rsid w:val="00046E5E"/>
    <w:rsid w:val="00046FCE"/>
    <w:rsid w:val="000471B1"/>
    <w:rsid w:val="00047F23"/>
    <w:rsid w:val="00047FDB"/>
    <w:rsid w:val="00050071"/>
    <w:rsid w:val="000501B9"/>
    <w:rsid w:val="00050559"/>
    <w:rsid w:val="00050989"/>
    <w:rsid w:val="00050C28"/>
    <w:rsid w:val="00050F51"/>
    <w:rsid w:val="000512CC"/>
    <w:rsid w:val="000516B4"/>
    <w:rsid w:val="00051DB5"/>
    <w:rsid w:val="00052085"/>
    <w:rsid w:val="0005221C"/>
    <w:rsid w:val="0005241A"/>
    <w:rsid w:val="00052502"/>
    <w:rsid w:val="00052B48"/>
    <w:rsid w:val="00052BE4"/>
    <w:rsid w:val="00054425"/>
    <w:rsid w:val="0005449C"/>
    <w:rsid w:val="00054570"/>
    <w:rsid w:val="00054ADC"/>
    <w:rsid w:val="0005532C"/>
    <w:rsid w:val="000554D8"/>
    <w:rsid w:val="00055812"/>
    <w:rsid w:val="000558DF"/>
    <w:rsid w:val="00055AB3"/>
    <w:rsid w:val="00055B41"/>
    <w:rsid w:val="00056558"/>
    <w:rsid w:val="000565D1"/>
    <w:rsid w:val="000569CC"/>
    <w:rsid w:val="00056AA9"/>
    <w:rsid w:val="00057055"/>
    <w:rsid w:val="000570E5"/>
    <w:rsid w:val="000571D0"/>
    <w:rsid w:val="00057524"/>
    <w:rsid w:val="00057573"/>
    <w:rsid w:val="000577E3"/>
    <w:rsid w:val="000578A5"/>
    <w:rsid w:val="00057C37"/>
    <w:rsid w:val="00060887"/>
    <w:rsid w:val="000608D4"/>
    <w:rsid w:val="00060D3F"/>
    <w:rsid w:val="0006111E"/>
    <w:rsid w:val="000616A0"/>
    <w:rsid w:val="000616E2"/>
    <w:rsid w:val="000620DE"/>
    <w:rsid w:val="000621B1"/>
    <w:rsid w:val="0006220B"/>
    <w:rsid w:val="0006224E"/>
    <w:rsid w:val="0006261E"/>
    <w:rsid w:val="00062FC3"/>
    <w:rsid w:val="000632B1"/>
    <w:rsid w:val="0006333A"/>
    <w:rsid w:val="00063AC5"/>
    <w:rsid w:val="00063AD2"/>
    <w:rsid w:val="00063F91"/>
    <w:rsid w:val="00063FEF"/>
    <w:rsid w:val="000641FC"/>
    <w:rsid w:val="0006437E"/>
    <w:rsid w:val="0006441D"/>
    <w:rsid w:val="000644ED"/>
    <w:rsid w:val="00064983"/>
    <w:rsid w:val="00064B2A"/>
    <w:rsid w:val="00064FAD"/>
    <w:rsid w:val="00065AFD"/>
    <w:rsid w:val="00065BF5"/>
    <w:rsid w:val="000661EF"/>
    <w:rsid w:val="00066565"/>
    <w:rsid w:val="000677AF"/>
    <w:rsid w:val="0006790E"/>
    <w:rsid w:val="00067ECB"/>
    <w:rsid w:val="0007002F"/>
    <w:rsid w:val="000703DD"/>
    <w:rsid w:val="000706DD"/>
    <w:rsid w:val="00071451"/>
    <w:rsid w:val="00071676"/>
    <w:rsid w:val="00071916"/>
    <w:rsid w:val="00071D56"/>
    <w:rsid w:val="00072051"/>
    <w:rsid w:val="00072297"/>
    <w:rsid w:val="000722F3"/>
    <w:rsid w:val="00072337"/>
    <w:rsid w:val="000726B7"/>
    <w:rsid w:val="00072775"/>
    <w:rsid w:val="00072852"/>
    <w:rsid w:val="000728B1"/>
    <w:rsid w:val="0007314E"/>
    <w:rsid w:val="0007358C"/>
    <w:rsid w:val="00073745"/>
    <w:rsid w:val="00073FC2"/>
    <w:rsid w:val="000741BE"/>
    <w:rsid w:val="00074204"/>
    <w:rsid w:val="00074A9B"/>
    <w:rsid w:val="00074BFA"/>
    <w:rsid w:val="000755C2"/>
    <w:rsid w:val="0007586E"/>
    <w:rsid w:val="00075BA1"/>
    <w:rsid w:val="00075E6E"/>
    <w:rsid w:val="00075F8F"/>
    <w:rsid w:val="00076125"/>
    <w:rsid w:val="000762BA"/>
    <w:rsid w:val="000769C0"/>
    <w:rsid w:val="000769D1"/>
    <w:rsid w:val="00076BD5"/>
    <w:rsid w:val="00076E79"/>
    <w:rsid w:val="00077786"/>
    <w:rsid w:val="000778BC"/>
    <w:rsid w:val="00077AF4"/>
    <w:rsid w:val="00077BFB"/>
    <w:rsid w:val="00080216"/>
    <w:rsid w:val="00080760"/>
    <w:rsid w:val="00080A20"/>
    <w:rsid w:val="00080E73"/>
    <w:rsid w:val="0008122C"/>
    <w:rsid w:val="000814DA"/>
    <w:rsid w:val="0008204E"/>
    <w:rsid w:val="00082231"/>
    <w:rsid w:val="00082369"/>
    <w:rsid w:val="00082815"/>
    <w:rsid w:val="000829D2"/>
    <w:rsid w:val="00082F9C"/>
    <w:rsid w:val="00082FFA"/>
    <w:rsid w:val="0008314D"/>
    <w:rsid w:val="00083A14"/>
    <w:rsid w:val="00083E72"/>
    <w:rsid w:val="00083FF2"/>
    <w:rsid w:val="0008404A"/>
    <w:rsid w:val="000840DA"/>
    <w:rsid w:val="00084555"/>
    <w:rsid w:val="000845C3"/>
    <w:rsid w:val="000846BB"/>
    <w:rsid w:val="000846C3"/>
    <w:rsid w:val="000848EA"/>
    <w:rsid w:val="00084BBD"/>
    <w:rsid w:val="000851D6"/>
    <w:rsid w:val="00085353"/>
    <w:rsid w:val="0008536D"/>
    <w:rsid w:val="0008557D"/>
    <w:rsid w:val="00085622"/>
    <w:rsid w:val="00085B04"/>
    <w:rsid w:val="00085CAB"/>
    <w:rsid w:val="00085CC6"/>
    <w:rsid w:val="0008620E"/>
    <w:rsid w:val="00086245"/>
    <w:rsid w:val="000862FB"/>
    <w:rsid w:val="0008685D"/>
    <w:rsid w:val="000868B5"/>
    <w:rsid w:val="00086F65"/>
    <w:rsid w:val="00087551"/>
    <w:rsid w:val="0008783B"/>
    <w:rsid w:val="00090021"/>
    <w:rsid w:val="0009029F"/>
    <w:rsid w:val="00090595"/>
    <w:rsid w:val="00090920"/>
    <w:rsid w:val="00090C68"/>
    <w:rsid w:val="00090DF9"/>
    <w:rsid w:val="00091144"/>
    <w:rsid w:val="0009114D"/>
    <w:rsid w:val="000916FD"/>
    <w:rsid w:val="00091A11"/>
    <w:rsid w:val="00091E0A"/>
    <w:rsid w:val="00091EF6"/>
    <w:rsid w:val="00092A7B"/>
    <w:rsid w:val="00093021"/>
    <w:rsid w:val="00093AA0"/>
    <w:rsid w:val="00095148"/>
    <w:rsid w:val="00095571"/>
    <w:rsid w:val="000957DE"/>
    <w:rsid w:val="00095A99"/>
    <w:rsid w:val="00095BE2"/>
    <w:rsid w:val="0009634E"/>
    <w:rsid w:val="000967E0"/>
    <w:rsid w:val="0009686A"/>
    <w:rsid w:val="00096CFD"/>
    <w:rsid w:val="00096EE3"/>
    <w:rsid w:val="000972CF"/>
    <w:rsid w:val="0009734B"/>
    <w:rsid w:val="00097416"/>
    <w:rsid w:val="000A0153"/>
    <w:rsid w:val="000A06C2"/>
    <w:rsid w:val="000A0D3E"/>
    <w:rsid w:val="000A13F6"/>
    <w:rsid w:val="000A1476"/>
    <w:rsid w:val="000A1CA5"/>
    <w:rsid w:val="000A21D6"/>
    <w:rsid w:val="000A22F1"/>
    <w:rsid w:val="000A2695"/>
    <w:rsid w:val="000A2D2B"/>
    <w:rsid w:val="000A34C3"/>
    <w:rsid w:val="000A3645"/>
    <w:rsid w:val="000A3C25"/>
    <w:rsid w:val="000A3CD7"/>
    <w:rsid w:val="000A4087"/>
    <w:rsid w:val="000A464D"/>
    <w:rsid w:val="000A4CE3"/>
    <w:rsid w:val="000A4D00"/>
    <w:rsid w:val="000A4ECC"/>
    <w:rsid w:val="000A55D5"/>
    <w:rsid w:val="000A560A"/>
    <w:rsid w:val="000A56A6"/>
    <w:rsid w:val="000A57E3"/>
    <w:rsid w:val="000A589E"/>
    <w:rsid w:val="000A5C39"/>
    <w:rsid w:val="000A5DCA"/>
    <w:rsid w:val="000A5FC4"/>
    <w:rsid w:val="000A668E"/>
    <w:rsid w:val="000A6695"/>
    <w:rsid w:val="000A6761"/>
    <w:rsid w:val="000A6772"/>
    <w:rsid w:val="000A677D"/>
    <w:rsid w:val="000A6BB1"/>
    <w:rsid w:val="000A6EF8"/>
    <w:rsid w:val="000A7761"/>
    <w:rsid w:val="000B0149"/>
    <w:rsid w:val="000B022F"/>
    <w:rsid w:val="000B0377"/>
    <w:rsid w:val="000B069A"/>
    <w:rsid w:val="000B06A9"/>
    <w:rsid w:val="000B0C66"/>
    <w:rsid w:val="000B10F0"/>
    <w:rsid w:val="000B11F9"/>
    <w:rsid w:val="000B1EC1"/>
    <w:rsid w:val="000B2E68"/>
    <w:rsid w:val="000B3436"/>
    <w:rsid w:val="000B3B17"/>
    <w:rsid w:val="000B3F1A"/>
    <w:rsid w:val="000B4151"/>
    <w:rsid w:val="000B4C23"/>
    <w:rsid w:val="000B515E"/>
    <w:rsid w:val="000B5198"/>
    <w:rsid w:val="000B5815"/>
    <w:rsid w:val="000B5997"/>
    <w:rsid w:val="000B5BAB"/>
    <w:rsid w:val="000B5F59"/>
    <w:rsid w:val="000B6998"/>
    <w:rsid w:val="000B6C7E"/>
    <w:rsid w:val="000B765E"/>
    <w:rsid w:val="000B7807"/>
    <w:rsid w:val="000B7B24"/>
    <w:rsid w:val="000B7CAB"/>
    <w:rsid w:val="000B7DE4"/>
    <w:rsid w:val="000B7E6B"/>
    <w:rsid w:val="000C0437"/>
    <w:rsid w:val="000C059D"/>
    <w:rsid w:val="000C0CCF"/>
    <w:rsid w:val="000C0F4B"/>
    <w:rsid w:val="000C1284"/>
    <w:rsid w:val="000C15F9"/>
    <w:rsid w:val="000C1713"/>
    <w:rsid w:val="000C1724"/>
    <w:rsid w:val="000C19CE"/>
    <w:rsid w:val="000C1BD4"/>
    <w:rsid w:val="000C1EF3"/>
    <w:rsid w:val="000C1F05"/>
    <w:rsid w:val="000C23B5"/>
    <w:rsid w:val="000C2DD2"/>
    <w:rsid w:val="000C2E08"/>
    <w:rsid w:val="000C38DA"/>
    <w:rsid w:val="000C3D9D"/>
    <w:rsid w:val="000C469B"/>
    <w:rsid w:val="000C5120"/>
    <w:rsid w:val="000C5F7F"/>
    <w:rsid w:val="000C629D"/>
    <w:rsid w:val="000C62B5"/>
    <w:rsid w:val="000C65BE"/>
    <w:rsid w:val="000C6FB9"/>
    <w:rsid w:val="000C71D8"/>
    <w:rsid w:val="000D0056"/>
    <w:rsid w:val="000D0583"/>
    <w:rsid w:val="000D099B"/>
    <w:rsid w:val="000D1295"/>
    <w:rsid w:val="000D1403"/>
    <w:rsid w:val="000D1FAC"/>
    <w:rsid w:val="000D20FD"/>
    <w:rsid w:val="000D229E"/>
    <w:rsid w:val="000D22B1"/>
    <w:rsid w:val="000D3152"/>
    <w:rsid w:val="000D397C"/>
    <w:rsid w:val="000D398C"/>
    <w:rsid w:val="000D44CA"/>
    <w:rsid w:val="000D459D"/>
    <w:rsid w:val="000D463B"/>
    <w:rsid w:val="000D4923"/>
    <w:rsid w:val="000D517E"/>
    <w:rsid w:val="000D55F0"/>
    <w:rsid w:val="000D594A"/>
    <w:rsid w:val="000D5DF9"/>
    <w:rsid w:val="000D61AE"/>
    <w:rsid w:val="000D751D"/>
    <w:rsid w:val="000D78AB"/>
    <w:rsid w:val="000D7B5A"/>
    <w:rsid w:val="000E00FA"/>
    <w:rsid w:val="000E07A2"/>
    <w:rsid w:val="000E0888"/>
    <w:rsid w:val="000E09BF"/>
    <w:rsid w:val="000E12F5"/>
    <w:rsid w:val="000E1A24"/>
    <w:rsid w:val="000E1BE8"/>
    <w:rsid w:val="000E2123"/>
    <w:rsid w:val="000E2334"/>
    <w:rsid w:val="000E23EF"/>
    <w:rsid w:val="000E24BA"/>
    <w:rsid w:val="000E2581"/>
    <w:rsid w:val="000E277B"/>
    <w:rsid w:val="000E2B82"/>
    <w:rsid w:val="000E2EA4"/>
    <w:rsid w:val="000E3785"/>
    <w:rsid w:val="000E37A3"/>
    <w:rsid w:val="000E37D3"/>
    <w:rsid w:val="000E3F8F"/>
    <w:rsid w:val="000E41E4"/>
    <w:rsid w:val="000E4489"/>
    <w:rsid w:val="000E4557"/>
    <w:rsid w:val="000E457E"/>
    <w:rsid w:val="000E46DC"/>
    <w:rsid w:val="000E5674"/>
    <w:rsid w:val="000E58E7"/>
    <w:rsid w:val="000E5940"/>
    <w:rsid w:val="000E5C30"/>
    <w:rsid w:val="000E5D0D"/>
    <w:rsid w:val="000E64B8"/>
    <w:rsid w:val="000E6BAD"/>
    <w:rsid w:val="000E6BBE"/>
    <w:rsid w:val="000E72A6"/>
    <w:rsid w:val="000E74A1"/>
    <w:rsid w:val="000E7D89"/>
    <w:rsid w:val="000E7DC3"/>
    <w:rsid w:val="000E7E13"/>
    <w:rsid w:val="000F023B"/>
    <w:rsid w:val="000F0563"/>
    <w:rsid w:val="000F083B"/>
    <w:rsid w:val="000F0BAF"/>
    <w:rsid w:val="000F0F67"/>
    <w:rsid w:val="000F1143"/>
    <w:rsid w:val="000F13DF"/>
    <w:rsid w:val="000F1BDF"/>
    <w:rsid w:val="000F227C"/>
    <w:rsid w:val="000F2537"/>
    <w:rsid w:val="000F2777"/>
    <w:rsid w:val="000F28F0"/>
    <w:rsid w:val="000F2C8F"/>
    <w:rsid w:val="000F2E6E"/>
    <w:rsid w:val="000F3735"/>
    <w:rsid w:val="000F4861"/>
    <w:rsid w:val="000F4C02"/>
    <w:rsid w:val="000F5276"/>
    <w:rsid w:val="000F52A8"/>
    <w:rsid w:val="000F534C"/>
    <w:rsid w:val="000F575B"/>
    <w:rsid w:val="000F5B57"/>
    <w:rsid w:val="000F60DA"/>
    <w:rsid w:val="000F61E1"/>
    <w:rsid w:val="000F6218"/>
    <w:rsid w:val="000F621A"/>
    <w:rsid w:val="000F63B7"/>
    <w:rsid w:val="000F662F"/>
    <w:rsid w:val="000F67C0"/>
    <w:rsid w:val="000F6A3D"/>
    <w:rsid w:val="000F7568"/>
    <w:rsid w:val="000F79A3"/>
    <w:rsid w:val="000F7D0C"/>
    <w:rsid w:val="00100197"/>
    <w:rsid w:val="00100225"/>
    <w:rsid w:val="00100744"/>
    <w:rsid w:val="001009E0"/>
    <w:rsid w:val="00100EE5"/>
    <w:rsid w:val="00101390"/>
    <w:rsid w:val="00101940"/>
    <w:rsid w:val="00101966"/>
    <w:rsid w:val="00101C18"/>
    <w:rsid w:val="00101F63"/>
    <w:rsid w:val="00102556"/>
    <w:rsid w:val="001026CD"/>
    <w:rsid w:val="00102AE2"/>
    <w:rsid w:val="00102E11"/>
    <w:rsid w:val="001030B5"/>
    <w:rsid w:val="0010315C"/>
    <w:rsid w:val="00103527"/>
    <w:rsid w:val="00103628"/>
    <w:rsid w:val="001036FE"/>
    <w:rsid w:val="0010380C"/>
    <w:rsid w:val="00103A23"/>
    <w:rsid w:val="00103B65"/>
    <w:rsid w:val="001041F2"/>
    <w:rsid w:val="001045E3"/>
    <w:rsid w:val="00104A70"/>
    <w:rsid w:val="0010515D"/>
    <w:rsid w:val="001057D5"/>
    <w:rsid w:val="00105888"/>
    <w:rsid w:val="00106235"/>
    <w:rsid w:val="00106D9C"/>
    <w:rsid w:val="00106F74"/>
    <w:rsid w:val="001071CD"/>
    <w:rsid w:val="0010770E"/>
    <w:rsid w:val="00110854"/>
    <w:rsid w:val="001117FC"/>
    <w:rsid w:val="00111BE1"/>
    <w:rsid w:val="00111C15"/>
    <w:rsid w:val="00111E16"/>
    <w:rsid w:val="00111E70"/>
    <w:rsid w:val="0011205D"/>
    <w:rsid w:val="001120A8"/>
    <w:rsid w:val="00112230"/>
    <w:rsid w:val="00112318"/>
    <w:rsid w:val="0011273D"/>
    <w:rsid w:val="00112DDE"/>
    <w:rsid w:val="0011377E"/>
    <w:rsid w:val="00113890"/>
    <w:rsid w:val="00113F19"/>
    <w:rsid w:val="0011419B"/>
    <w:rsid w:val="0011474F"/>
    <w:rsid w:val="00114B33"/>
    <w:rsid w:val="00116408"/>
    <w:rsid w:val="001165E7"/>
    <w:rsid w:val="00116BD0"/>
    <w:rsid w:val="0011711F"/>
    <w:rsid w:val="00117ABC"/>
    <w:rsid w:val="00117B33"/>
    <w:rsid w:val="00117C31"/>
    <w:rsid w:val="001201E2"/>
    <w:rsid w:val="00120304"/>
    <w:rsid w:val="00120B75"/>
    <w:rsid w:val="00121020"/>
    <w:rsid w:val="001210C4"/>
    <w:rsid w:val="0012126E"/>
    <w:rsid w:val="00121B53"/>
    <w:rsid w:val="00121DF2"/>
    <w:rsid w:val="001223E9"/>
    <w:rsid w:val="00122629"/>
    <w:rsid w:val="00122A1C"/>
    <w:rsid w:val="001232A7"/>
    <w:rsid w:val="00123745"/>
    <w:rsid w:val="00123746"/>
    <w:rsid w:val="0012399E"/>
    <w:rsid w:val="001239D6"/>
    <w:rsid w:val="00123A45"/>
    <w:rsid w:val="00123F30"/>
    <w:rsid w:val="001241A1"/>
    <w:rsid w:val="001243FF"/>
    <w:rsid w:val="00124916"/>
    <w:rsid w:val="00124A3D"/>
    <w:rsid w:val="001250CE"/>
    <w:rsid w:val="00125A16"/>
    <w:rsid w:val="00125A89"/>
    <w:rsid w:val="001262C2"/>
    <w:rsid w:val="001269F9"/>
    <w:rsid w:val="00126F43"/>
    <w:rsid w:val="00126F9E"/>
    <w:rsid w:val="001271DD"/>
    <w:rsid w:val="00127207"/>
    <w:rsid w:val="001273DC"/>
    <w:rsid w:val="00127640"/>
    <w:rsid w:val="00127EC0"/>
    <w:rsid w:val="00127EC4"/>
    <w:rsid w:val="00127FCE"/>
    <w:rsid w:val="00130092"/>
    <w:rsid w:val="001303EF"/>
    <w:rsid w:val="00130EB0"/>
    <w:rsid w:val="001318F8"/>
    <w:rsid w:val="00131901"/>
    <w:rsid w:val="00132B2C"/>
    <w:rsid w:val="00132FA8"/>
    <w:rsid w:val="001340D1"/>
    <w:rsid w:val="001349BF"/>
    <w:rsid w:val="001349C6"/>
    <w:rsid w:val="00134BB1"/>
    <w:rsid w:val="001364FC"/>
    <w:rsid w:val="001366F1"/>
    <w:rsid w:val="00136BA7"/>
    <w:rsid w:val="001374A7"/>
    <w:rsid w:val="001375D7"/>
    <w:rsid w:val="00140287"/>
    <w:rsid w:val="001403D9"/>
    <w:rsid w:val="00140C1A"/>
    <w:rsid w:val="00140ED9"/>
    <w:rsid w:val="00141083"/>
    <w:rsid w:val="00141463"/>
    <w:rsid w:val="00142917"/>
    <w:rsid w:val="00142A7C"/>
    <w:rsid w:val="00142AB0"/>
    <w:rsid w:val="00143531"/>
    <w:rsid w:val="00143857"/>
    <w:rsid w:val="00143AD8"/>
    <w:rsid w:val="0014434B"/>
    <w:rsid w:val="001444F5"/>
    <w:rsid w:val="00144C30"/>
    <w:rsid w:val="001454EF"/>
    <w:rsid w:val="0014558A"/>
    <w:rsid w:val="001455D9"/>
    <w:rsid w:val="001459DC"/>
    <w:rsid w:val="00145D0B"/>
    <w:rsid w:val="00145E60"/>
    <w:rsid w:val="00145F85"/>
    <w:rsid w:val="001463A5"/>
    <w:rsid w:val="001464B8"/>
    <w:rsid w:val="00146B17"/>
    <w:rsid w:val="00146B6F"/>
    <w:rsid w:val="001473D3"/>
    <w:rsid w:val="00147446"/>
    <w:rsid w:val="00147802"/>
    <w:rsid w:val="00150472"/>
    <w:rsid w:val="00152625"/>
    <w:rsid w:val="00152D14"/>
    <w:rsid w:val="00152F3B"/>
    <w:rsid w:val="001531E2"/>
    <w:rsid w:val="00153328"/>
    <w:rsid w:val="00153A01"/>
    <w:rsid w:val="00154770"/>
    <w:rsid w:val="00154A55"/>
    <w:rsid w:val="00155075"/>
    <w:rsid w:val="00155720"/>
    <w:rsid w:val="0015593B"/>
    <w:rsid w:val="00155C78"/>
    <w:rsid w:val="001563CE"/>
    <w:rsid w:val="00156B15"/>
    <w:rsid w:val="001570F4"/>
    <w:rsid w:val="001571C5"/>
    <w:rsid w:val="0015781C"/>
    <w:rsid w:val="001604F8"/>
    <w:rsid w:val="0016063F"/>
    <w:rsid w:val="001611D8"/>
    <w:rsid w:val="00161783"/>
    <w:rsid w:val="001617F2"/>
    <w:rsid w:val="00161B48"/>
    <w:rsid w:val="00161BD1"/>
    <w:rsid w:val="00162959"/>
    <w:rsid w:val="00162B29"/>
    <w:rsid w:val="00162DC4"/>
    <w:rsid w:val="00162E41"/>
    <w:rsid w:val="00163505"/>
    <w:rsid w:val="001635A9"/>
    <w:rsid w:val="00163DD0"/>
    <w:rsid w:val="0016442C"/>
    <w:rsid w:val="00164617"/>
    <w:rsid w:val="00164771"/>
    <w:rsid w:val="00164C5D"/>
    <w:rsid w:val="00164CC2"/>
    <w:rsid w:val="0016525D"/>
    <w:rsid w:val="001652F6"/>
    <w:rsid w:val="0016581C"/>
    <w:rsid w:val="00165987"/>
    <w:rsid w:val="00165AAD"/>
    <w:rsid w:val="00165B41"/>
    <w:rsid w:val="00165EA5"/>
    <w:rsid w:val="0016621A"/>
    <w:rsid w:val="001665F0"/>
    <w:rsid w:val="00166C52"/>
    <w:rsid w:val="001671AA"/>
    <w:rsid w:val="0016754A"/>
    <w:rsid w:val="00167736"/>
    <w:rsid w:val="00167AAC"/>
    <w:rsid w:val="00170276"/>
    <w:rsid w:val="001706F6"/>
    <w:rsid w:val="001708A5"/>
    <w:rsid w:val="00170A2D"/>
    <w:rsid w:val="00170AD9"/>
    <w:rsid w:val="001711B7"/>
    <w:rsid w:val="00171C63"/>
    <w:rsid w:val="00171FE1"/>
    <w:rsid w:val="00172308"/>
    <w:rsid w:val="0017244C"/>
    <w:rsid w:val="001725B8"/>
    <w:rsid w:val="00173171"/>
    <w:rsid w:val="00173286"/>
    <w:rsid w:val="001733E1"/>
    <w:rsid w:val="00174191"/>
    <w:rsid w:val="00174AA0"/>
    <w:rsid w:val="00175233"/>
    <w:rsid w:val="001755A9"/>
    <w:rsid w:val="001756E4"/>
    <w:rsid w:val="00175848"/>
    <w:rsid w:val="0017609A"/>
    <w:rsid w:val="00176512"/>
    <w:rsid w:val="00176A74"/>
    <w:rsid w:val="00176E65"/>
    <w:rsid w:val="001801FA"/>
    <w:rsid w:val="0018047E"/>
    <w:rsid w:val="00181058"/>
    <w:rsid w:val="0018139A"/>
    <w:rsid w:val="001819CA"/>
    <w:rsid w:val="00181F0F"/>
    <w:rsid w:val="001828A1"/>
    <w:rsid w:val="00183007"/>
    <w:rsid w:val="00183726"/>
    <w:rsid w:val="00183994"/>
    <w:rsid w:val="00183E14"/>
    <w:rsid w:val="00184212"/>
    <w:rsid w:val="0018433E"/>
    <w:rsid w:val="0018452F"/>
    <w:rsid w:val="00184723"/>
    <w:rsid w:val="00184A2C"/>
    <w:rsid w:val="00184BEB"/>
    <w:rsid w:val="00184E66"/>
    <w:rsid w:val="00184F10"/>
    <w:rsid w:val="00184F76"/>
    <w:rsid w:val="001856A7"/>
    <w:rsid w:val="001856E0"/>
    <w:rsid w:val="00185725"/>
    <w:rsid w:val="00185804"/>
    <w:rsid w:val="00185B58"/>
    <w:rsid w:val="001860F0"/>
    <w:rsid w:val="00186766"/>
    <w:rsid w:val="00186CA4"/>
    <w:rsid w:val="00186D56"/>
    <w:rsid w:val="0018706C"/>
    <w:rsid w:val="00187CA8"/>
    <w:rsid w:val="001903A9"/>
    <w:rsid w:val="00190839"/>
    <w:rsid w:val="0019121F"/>
    <w:rsid w:val="0019126C"/>
    <w:rsid w:val="0019186C"/>
    <w:rsid w:val="00191F56"/>
    <w:rsid w:val="0019218F"/>
    <w:rsid w:val="001927B3"/>
    <w:rsid w:val="00192ABB"/>
    <w:rsid w:val="00193026"/>
    <w:rsid w:val="00193416"/>
    <w:rsid w:val="00193432"/>
    <w:rsid w:val="001939CA"/>
    <w:rsid w:val="00193BB8"/>
    <w:rsid w:val="00193D5C"/>
    <w:rsid w:val="001943F1"/>
    <w:rsid w:val="00194DA6"/>
    <w:rsid w:val="00194F5E"/>
    <w:rsid w:val="0019506E"/>
    <w:rsid w:val="00195517"/>
    <w:rsid w:val="00195551"/>
    <w:rsid w:val="001955DC"/>
    <w:rsid w:val="001955F4"/>
    <w:rsid w:val="00196852"/>
    <w:rsid w:val="0019688C"/>
    <w:rsid w:val="00196E73"/>
    <w:rsid w:val="00196FC8"/>
    <w:rsid w:val="00197228"/>
    <w:rsid w:val="00197441"/>
    <w:rsid w:val="00197660"/>
    <w:rsid w:val="00197668"/>
    <w:rsid w:val="00197776"/>
    <w:rsid w:val="00197B0B"/>
    <w:rsid w:val="00197E36"/>
    <w:rsid w:val="001A03B1"/>
    <w:rsid w:val="001A03DA"/>
    <w:rsid w:val="001A0889"/>
    <w:rsid w:val="001A0C2C"/>
    <w:rsid w:val="001A0E6A"/>
    <w:rsid w:val="001A15E5"/>
    <w:rsid w:val="001A175F"/>
    <w:rsid w:val="001A182A"/>
    <w:rsid w:val="001A18FE"/>
    <w:rsid w:val="001A199C"/>
    <w:rsid w:val="001A2748"/>
    <w:rsid w:val="001A2A5D"/>
    <w:rsid w:val="001A32CD"/>
    <w:rsid w:val="001A3501"/>
    <w:rsid w:val="001A3696"/>
    <w:rsid w:val="001A3A14"/>
    <w:rsid w:val="001A4066"/>
    <w:rsid w:val="001A45F7"/>
    <w:rsid w:val="001A46D8"/>
    <w:rsid w:val="001A4802"/>
    <w:rsid w:val="001A5666"/>
    <w:rsid w:val="001A5A06"/>
    <w:rsid w:val="001A658A"/>
    <w:rsid w:val="001A6902"/>
    <w:rsid w:val="001A6CFF"/>
    <w:rsid w:val="001A6F8C"/>
    <w:rsid w:val="001A7907"/>
    <w:rsid w:val="001B0033"/>
    <w:rsid w:val="001B00A2"/>
    <w:rsid w:val="001B08A4"/>
    <w:rsid w:val="001B146D"/>
    <w:rsid w:val="001B2214"/>
    <w:rsid w:val="001B291C"/>
    <w:rsid w:val="001B3356"/>
    <w:rsid w:val="001B3939"/>
    <w:rsid w:val="001B4035"/>
    <w:rsid w:val="001B64DC"/>
    <w:rsid w:val="001B6AA0"/>
    <w:rsid w:val="001B6CCE"/>
    <w:rsid w:val="001B6EEE"/>
    <w:rsid w:val="001B718E"/>
    <w:rsid w:val="001B744D"/>
    <w:rsid w:val="001B76EE"/>
    <w:rsid w:val="001B77C6"/>
    <w:rsid w:val="001B7B86"/>
    <w:rsid w:val="001B7DB4"/>
    <w:rsid w:val="001C0072"/>
    <w:rsid w:val="001C01C3"/>
    <w:rsid w:val="001C12E5"/>
    <w:rsid w:val="001C13A2"/>
    <w:rsid w:val="001C1466"/>
    <w:rsid w:val="001C181C"/>
    <w:rsid w:val="001C1DF9"/>
    <w:rsid w:val="001C1EF4"/>
    <w:rsid w:val="001C1FA2"/>
    <w:rsid w:val="001C260E"/>
    <w:rsid w:val="001C29AC"/>
    <w:rsid w:val="001C2A48"/>
    <w:rsid w:val="001C2C40"/>
    <w:rsid w:val="001C2D2C"/>
    <w:rsid w:val="001C36CA"/>
    <w:rsid w:val="001C39AC"/>
    <w:rsid w:val="001C3ECB"/>
    <w:rsid w:val="001C4A2F"/>
    <w:rsid w:val="001C4B2D"/>
    <w:rsid w:val="001C5483"/>
    <w:rsid w:val="001C5AA9"/>
    <w:rsid w:val="001C5F9C"/>
    <w:rsid w:val="001C6096"/>
    <w:rsid w:val="001C64B4"/>
    <w:rsid w:val="001C65E1"/>
    <w:rsid w:val="001C680E"/>
    <w:rsid w:val="001C69E0"/>
    <w:rsid w:val="001C6AC9"/>
    <w:rsid w:val="001C6FFA"/>
    <w:rsid w:val="001C722C"/>
    <w:rsid w:val="001C7A4E"/>
    <w:rsid w:val="001D050E"/>
    <w:rsid w:val="001D0533"/>
    <w:rsid w:val="001D06C9"/>
    <w:rsid w:val="001D0CDE"/>
    <w:rsid w:val="001D0D1E"/>
    <w:rsid w:val="001D15B0"/>
    <w:rsid w:val="001D1633"/>
    <w:rsid w:val="001D164B"/>
    <w:rsid w:val="001D166B"/>
    <w:rsid w:val="001D1DDB"/>
    <w:rsid w:val="001D1FBD"/>
    <w:rsid w:val="001D2A25"/>
    <w:rsid w:val="001D2DA7"/>
    <w:rsid w:val="001D3854"/>
    <w:rsid w:val="001D390F"/>
    <w:rsid w:val="001D3B5F"/>
    <w:rsid w:val="001D3C5F"/>
    <w:rsid w:val="001D3EFB"/>
    <w:rsid w:val="001D4125"/>
    <w:rsid w:val="001D41C8"/>
    <w:rsid w:val="001D45EC"/>
    <w:rsid w:val="001D4717"/>
    <w:rsid w:val="001D57A5"/>
    <w:rsid w:val="001D57EC"/>
    <w:rsid w:val="001D5AF1"/>
    <w:rsid w:val="001D5C50"/>
    <w:rsid w:val="001D5D51"/>
    <w:rsid w:val="001D6125"/>
    <w:rsid w:val="001D6320"/>
    <w:rsid w:val="001D67CF"/>
    <w:rsid w:val="001D6884"/>
    <w:rsid w:val="001D6BCE"/>
    <w:rsid w:val="001D6F05"/>
    <w:rsid w:val="001D6F98"/>
    <w:rsid w:val="001D6FCA"/>
    <w:rsid w:val="001D71D1"/>
    <w:rsid w:val="001E0096"/>
    <w:rsid w:val="001E017E"/>
    <w:rsid w:val="001E0616"/>
    <w:rsid w:val="001E0BD4"/>
    <w:rsid w:val="001E0CAF"/>
    <w:rsid w:val="001E103A"/>
    <w:rsid w:val="001E1301"/>
    <w:rsid w:val="001E134C"/>
    <w:rsid w:val="001E1CD6"/>
    <w:rsid w:val="001E2174"/>
    <w:rsid w:val="001E224A"/>
    <w:rsid w:val="001E2413"/>
    <w:rsid w:val="001E25FA"/>
    <w:rsid w:val="001E260F"/>
    <w:rsid w:val="001E2CDB"/>
    <w:rsid w:val="001E3589"/>
    <w:rsid w:val="001E3597"/>
    <w:rsid w:val="001E36A9"/>
    <w:rsid w:val="001E399A"/>
    <w:rsid w:val="001E414B"/>
    <w:rsid w:val="001E41E9"/>
    <w:rsid w:val="001E4570"/>
    <w:rsid w:val="001E4597"/>
    <w:rsid w:val="001E490F"/>
    <w:rsid w:val="001E4AA7"/>
    <w:rsid w:val="001E4C7D"/>
    <w:rsid w:val="001E51D3"/>
    <w:rsid w:val="001E547B"/>
    <w:rsid w:val="001E5538"/>
    <w:rsid w:val="001E6072"/>
    <w:rsid w:val="001E6410"/>
    <w:rsid w:val="001E6F0D"/>
    <w:rsid w:val="001E706E"/>
    <w:rsid w:val="001E71D9"/>
    <w:rsid w:val="001E7642"/>
    <w:rsid w:val="001E7863"/>
    <w:rsid w:val="001E79A4"/>
    <w:rsid w:val="001E7C2C"/>
    <w:rsid w:val="001E7E73"/>
    <w:rsid w:val="001F0067"/>
    <w:rsid w:val="001F0D47"/>
    <w:rsid w:val="001F137A"/>
    <w:rsid w:val="001F155E"/>
    <w:rsid w:val="001F1751"/>
    <w:rsid w:val="001F18F3"/>
    <w:rsid w:val="001F1B02"/>
    <w:rsid w:val="001F1E83"/>
    <w:rsid w:val="001F331E"/>
    <w:rsid w:val="001F3428"/>
    <w:rsid w:val="001F3475"/>
    <w:rsid w:val="001F37B7"/>
    <w:rsid w:val="001F3843"/>
    <w:rsid w:val="001F3D4A"/>
    <w:rsid w:val="001F3E34"/>
    <w:rsid w:val="001F421A"/>
    <w:rsid w:val="001F42F2"/>
    <w:rsid w:val="001F43EC"/>
    <w:rsid w:val="001F47FB"/>
    <w:rsid w:val="001F48E6"/>
    <w:rsid w:val="001F4BA3"/>
    <w:rsid w:val="001F4BF2"/>
    <w:rsid w:val="001F59BE"/>
    <w:rsid w:val="001F59DB"/>
    <w:rsid w:val="001F5AC2"/>
    <w:rsid w:val="001F5BAD"/>
    <w:rsid w:val="001F60E4"/>
    <w:rsid w:val="001F6426"/>
    <w:rsid w:val="001F6739"/>
    <w:rsid w:val="001F6981"/>
    <w:rsid w:val="001F6F71"/>
    <w:rsid w:val="001F7463"/>
    <w:rsid w:val="001F7499"/>
    <w:rsid w:val="001F776C"/>
    <w:rsid w:val="001F7C4B"/>
    <w:rsid w:val="0020049A"/>
    <w:rsid w:val="00200AE5"/>
    <w:rsid w:val="00200BB3"/>
    <w:rsid w:val="00200E62"/>
    <w:rsid w:val="002015EC"/>
    <w:rsid w:val="002018D6"/>
    <w:rsid w:val="002018F4"/>
    <w:rsid w:val="00202146"/>
    <w:rsid w:val="002022CA"/>
    <w:rsid w:val="00202B68"/>
    <w:rsid w:val="00202CDF"/>
    <w:rsid w:val="00202F12"/>
    <w:rsid w:val="00203231"/>
    <w:rsid w:val="002038B1"/>
    <w:rsid w:val="00203D31"/>
    <w:rsid w:val="00203E4D"/>
    <w:rsid w:val="00203FEC"/>
    <w:rsid w:val="002041E3"/>
    <w:rsid w:val="002044D3"/>
    <w:rsid w:val="00204600"/>
    <w:rsid w:val="002049F5"/>
    <w:rsid w:val="00204B1C"/>
    <w:rsid w:val="00204D16"/>
    <w:rsid w:val="00204D90"/>
    <w:rsid w:val="00205052"/>
    <w:rsid w:val="00205DFD"/>
    <w:rsid w:val="00205E90"/>
    <w:rsid w:val="00205F85"/>
    <w:rsid w:val="002061CE"/>
    <w:rsid w:val="002064A0"/>
    <w:rsid w:val="00206C79"/>
    <w:rsid w:val="00206DF0"/>
    <w:rsid w:val="00206F45"/>
    <w:rsid w:val="00206FDC"/>
    <w:rsid w:val="002071D6"/>
    <w:rsid w:val="00210152"/>
    <w:rsid w:val="002104DC"/>
    <w:rsid w:val="0021072B"/>
    <w:rsid w:val="0021112A"/>
    <w:rsid w:val="00211A49"/>
    <w:rsid w:val="00211EA3"/>
    <w:rsid w:val="00212CBB"/>
    <w:rsid w:val="00212EEC"/>
    <w:rsid w:val="00213291"/>
    <w:rsid w:val="002132BF"/>
    <w:rsid w:val="00213481"/>
    <w:rsid w:val="00213A40"/>
    <w:rsid w:val="00213A49"/>
    <w:rsid w:val="00213BB1"/>
    <w:rsid w:val="00213CC6"/>
    <w:rsid w:val="00214C88"/>
    <w:rsid w:val="00214CA3"/>
    <w:rsid w:val="0021517D"/>
    <w:rsid w:val="00215907"/>
    <w:rsid w:val="0021594E"/>
    <w:rsid w:val="00216502"/>
    <w:rsid w:val="002165D5"/>
    <w:rsid w:val="00216EB3"/>
    <w:rsid w:val="0021784D"/>
    <w:rsid w:val="002206DB"/>
    <w:rsid w:val="002211B7"/>
    <w:rsid w:val="00221CB3"/>
    <w:rsid w:val="00221D1D"/>
    <w:rsid w:val="00221E47"/>
    <w:rsid w:val="00221FCA"/>
    <w:rsid w:val="0022200E"/>
    <w:rsid w:val="0022231A"/>
    <w:rsid w:val="00222CFD"/>
    <w:rsid w:val="00223494"/>
    <w:rsid w:val="00223942"/>
    <w:rsid w:val="00223A09"/>
    <w:rsid w:val="00223B5C"/>
    <w:rsid w:val="002243B0"/>
    <w:rsid w:val="00224794"/>
    <w:rsid w:val="00224863"/>
    <w:rsid w:val="002254D5"/>
    <w:rsid w:val="002254EC"/>
    <w:rsid w:val="0022592D"/>
    <w:rsid w:val="00225B9C"/>
    <w:rsid w:val="00225C77"/>
    <w:rsid w:val="00225DD0"/>
    <w:rsid w:val="00225E4E"/>
    <w:rsid w:val="00225F43"/>
    <w:rsid w:val="0022611D"/>
    <w:rsid w:val="002265C2"/>
    <w:rsid w:val="0022666C"/>
    <w:rsid w:val="00226816"/>
    <w:rsid w:val="002269C7"/>
    <w:rsid w:val="00226B62"/>
    <w:rsid w:val="00226EA3"/>
    <w:rsid w:val="002276CF"/>
    <w:rsid w:val="00227E77"/>
    <w:rsid w:val="00227EF5"/>
    <w:rsid w:val="0023028A"/>
    <w:rsid w:val="00230419"/>
    <w:rsid w:val="00230467"/>
    <w:rsid w:val="00230D8E"/>
    <w:rsid w:val="00231371"/>
    <w:rsid w:val="00231627"/>
    <w:rsid w:val="00231CBA"/>
    <w:rsid w:val="00231D9D"/>
    <w:rsid w:val="002320E8"/>
    <w:rsid w:val="002322D6"/>
    <w:rsid w:val="002322EC"/>
    <w:rsid w:val="002326ED"/>
    <w:rsid w:val="00232AA1"/>
    <w:rsid w:val="002337B2"/>
    <w:rsid w:val="00233802"/>
    <w:rsid w:val="00233CC8"/>
    <w:rsid w:val="00234624"/>
    <w:rsid w:val="00234A0F"/>
    <w:rsid w:val="00234E7C"/>
    <w:rsid w:val="00234ECF"/>
    <w:rsid w:val="0023550B"/>
    <w:rsid w:val="00235A21"/>
    <w:rsid w:val="00235CF2"/>
    <w:rsid w:val="00235DF3"/>
    <w:rsid w:val="0023600C"/>
    <w:rsid w:val="0023625C"/>
    <w:rsid w:val="00236309"/>
    <w:rsid w:val="002363BA"/>
    <w:rsid w:val="00236810"/>
    <w:rsid w:val="00236DF0"/>
    <w:rsid w:val="00237020"/>
    <w:rsid w:val="00237315"/>
    <w:rsid w:val="00237709"/>
    <w:rsid w:val="00237FB0"/>
    <w:rsid w:val="0024001C"/>
    <w:rsid w:val="0024010C"/>
    <w:rsid w:val="00240F13"/>
    <w:rsid w:val="00241374"/>
    <w:rsid w:val="002420FB"/>
    <w:rsid w:val="00242306"/>
    <w:rsid w:val="00242B30"/>
    <w:rsid w:val="00243142"/>
    <w:rsid w:val="00243C95"/>
    <w:rsid w:val="00243E86"/>
    <w:rsid w:val="002441AA"/>
    <w:rsid w:val="00244591"/>
    <w:rsid w:val="00244645"/>
    <w:rsid w:val="0024529A"/>
    <w:rsid w:val="002453E5"/>
    <w:rsid w:val="00245443"/>
    <w:rsid w:val="00245620"/>
    <w:rsid w:val="00246057"/>
    <w:rsid w:val="0024607E"/>
    <w:rsid w:val="002467ED"/>
    <w:rsid w:val="00246966"/>
    <w:rsid w:val="002469B4"/>
    <w:rsid w:val="00246E1A"/>
    <w:rsid w:val="00246E50"/>
    <w:rsid w:val="002473C3"/>
    <w:rsid w:val="00247685"/>
    <w:rsid w:val="002477C7"/>
    <w:rsid w:val="00247864"/>
    <w:rsid w:val="00247D39"/>
    <w:rsid w:val="002501A0"/>
    <w:rsid w:val="002502DB"/>
    <w:rsid w:val="00250646"/>
    <w:rsid w:val="00250852"/>
    <w:rsid w:val="00250EDB"/>
    <w:rsid w:val="002512E8"/>
    <w:rsid w:val="002515CB"/>
    <w:rsid w:val="002519D0"/>
    <w:rsid w:val="00251A7E"/>
    <w:rsid w:val="00251C95"/>
    <w:rsid w:val="00251DFF"/>
    <w:rsid w:val="00251F0A"/>
    <w:rsid w:val="00252115"/>
    <w:rsid w:val="002525DC"/>
    <w:rsid w:val="00252644"/>
    <w:rsid w:val="002528D6"/>
    <w:rsid w:val="00253245"/>
    <w:rsid w:val="002536F2"/>
    <w:rsid w:val="00253912"/>
    <w:rsid w:val="00253B9B"/>
    <w:rsid w:val="002549A0"/>
    <w:rsid w:val="00254B70"/>
    <w:rsid w:val="00254D3A"/>
    <w:rsid w:val="00254E0B"/>
    <w:rsid w:val="002552CE"/>
    <w:rsid w:val="002557A2"/>
    <w:rsid w:val="00255953"/>
    <w:rsid w:val="002564D1"/>
    <w:rsid w:val="00256CBC"/>
    <w:rsid w:val="00256EA5"/>
    <w:rsid w:val="002572B8"/>
    <w:rsid w:val="00257C5C"/>
    <w:rsid w:val="00257ED6"/>
    <w:rsid w:val="00260046"/>
    <w:rsid w:val="0026026D"/>
    <w:rsid w:val="002603A3"/>
    <w:rsid w:val="002609B4"/>
    <w:rsid w:val="00260C0D"/>
    <w:rsid w:val="00260ED0"/>
    <w:rsid w:val="0026119E"/>
    <w:rsid w:val="00261239"/>
    <w:rsid w:val="0026154C"/>
    <w:rsid w:val="00262950"/>
    <w:rsid w:val="00262D4C"/>
    <w:rsid w:val="00262EFD"/>
    <w:rsid w:val="0026311B"/>
    <w:rsid w:val="00263249"/>
    <w:rsid w:val="00263354"/>
    <w:rsid w:val="00263393"/>
    <w:rsid w:val="002637CD"/>
    <w:rsid w:val="002640FA"/>
    <w:rsid w:val="00264237"/>
    <w:rsid w:val="002647F0"/>
    <w:rsid w:val="00264A4A"/>
    <w:rsid w:val="00264CA3"/>
    <w:rsid w:val="00264D85"/>
    <w:rsid w:val="00265088"/>
    <w:rsid w:val="00265ACD"/>
    <w:rsid w:val="00265D3A"/>
    <w:rsid w:val="0026625A"/>
    <w:rsid w:val="00266C2C"/>
    <w:rsid w:val="00266CD8"/>
    <w:rsid w:val="00266F26"/>
    <w:rsid w:val="00267287"/>
    <w:rsid w:val="002675D0"/>
    <w:rsid w:val="002676C0"/>
    <w:rsid w:val="00267D5F"/>
    <w:rsid w:val="00267E94"/>
    <w:rsid w:val="00267F12"/>
    <w:rsid w:val="00270222"/>
    <w:rsid w:val="002707C6"/>
    <w:rsid w:val="00270932"/>
    <w:rsid w:val="00270934"/>
    <w:rsid w:val="00270CE1"/>
    <w:rsid w:val="002712A2"/>
    <w:rsid w:val="002715C8"/>
    <w:rsid w:val="00271C85"/>
    <w:rsid w:val="002726BC"/>
    <w:rsid w:val="002726CC"/>
    <w:rsid w:val="00272EF5"/>
    <w:rsid w:val="00272F28"/>
    <w:rsid w:val="00273483"/>
    <w:rsid w:val="00273E19"/>
    <w:rsid w:val="002744CC"/>
    <w:rsid w:val="00274560"/>
    <w:rsid w:val="002749CA"/>
    <w:rsid w:val="00275336"/>
    <w:rsid w:val="0027559F"/>
    <w:rsid w:val="0027566F"/>
    <w:rsid w:val="00275E05"/>
    <w:rsid w:val="00276288"/>
    <w:rsid w:val="0027635A"/>
    <w:rsid w:val="00277D60"/>
    <w:rsid w:val="0028050A"/>
    <w:rsid w:val="00280D91"/>
    <w:rsid w:val="002813FD"/>
    <w:rsid w:val="00281452"/>
    <w:rsid w:val="00281853"/>
    <w:rsid w:val="00282264"/>
    <w:rsid w:val="00282508"/>
    <w:rsid w:val="00282530"/>
    <w:rsid w:val="0028255F"/>
    <w:rsid w:val="00282798"/>
    <w:rsid w:val="0028279F"/>
    <w:rsid w:val="00282E13"/>
    <w:rsid w:val="00283146"/>
    <w:rsid w:val="00283281"/>
    <w:rsid w:val="0028340B"/>
    <w:rsid w:val="00283517"/>
    <w:rsid w:val="00284164"/>
    <w:rsid w:val="00284895"/>
    <w:rsid w:val="00284D04"/>
    <w:rsid w:val="0028531B"/>
    <w:rsid w:val="00285A44"/>
    <w:rsid w:val="00285CFA"/>
    <w:rsid w:val="00287177"/>
    <w:rsid w:val="002873E9"/>
    <w:rsid w:val="002873FA"/>
    <w:rsid w:val="002876B2"/>
    <w:rsid w:val="00287BB7"/>
    <w:rsid w:val="002908CE"/>
    <w:rsid w:val="00290B5C"/>
    <w:rsid w:val="00290E37"/>
    <w:rsid w:val="00290F3D"/>
    <w:rsid w:val="00291050"/>
    <w:rsid w:val="002919C4"/>
    <w:rsid w:val="00291C48"/>
    <w:rsid w:val="00292337"/>
    <w:rsid w:val="002923C2"/>
    <w:rsid w:val="002927FC"/>
    <w:rsid w:val="002929B8"/>
    <w:rsid w:val="00293064"/>
    <w:rsid w:val="002930AD"/>
    <w:rsid w:val="0029337C"/>
    <w:rsid w:val="00293BB1"/>
    <w:rsid w:val="00294572"/>
    <w:rsid w:val="0029479B"/>
    <w:rsid w:val="00294DA6"/>
    <w:rsid w:val="00294DAD"/>
    <w:rsid w:val="002966CD"/>
    <w:rsid w:val="00296E90"/>
    <w:rsid w:val="0029773E"/>
    <w:rsid w:val="00297D0F"/>
    <w:rsid w:val="00297FA5"/>
    <w:rsid w:val="002A0910"/>
    <w:rsid w:val="002A0B01"/>
    <w:rsid w:val="002A0DB7"/>
    <w:rsid w:val="002A0EB8"/>
    <w:rsid w:val="002A10B0"/>
    <w:rsid w:val="002A128D"/>
    <w:rsid w:val="002A1374"/>
    <w:rsid w:val="002A155A"/>
    <w:rsid w:val="002A15EE"/>
    <w:rsid w:val="002A1676"/>
    <w:rsid w:val="002A1792"/>
    <w:rsid w:val="002A195B"/>
    <w:rsid w:val="002A1FE2"/>
    <w:rsid w:val="002A2517"/>
    <w:rsid w:val="002A26D4"/>
    <w:rsid w:val="002A272C"/>
    <w:rsid w:val="002A2923"/>
    <w:rsid w:val="002A2F95"/>
    <w:rsid w:val="002A350F"/>
    <w:rsid w:val="002A38DA"/>
    <w:rsid w:val="002A3C0F"/>
    <w:rsid w:val="002A484C"/>
    <w:rsid w:val="002A503C"/>
    <w:rsid w:val="002A58D7"/>
    <w:rsid w:val="002A5F4B"/>
    <w:rsid w:val="002A61DA"/>
    <w:rsid w:val="002A6748"/>
    <w:rsid w:val="002A6D2B"/>
    <w:rsid w:val="002A6DF4"/>
    <w:rsid w:val="002A6E37"/>
    <w:rsid w:val="002A70F3"/>
    <w:rsid w:val="002A7759"/>
    <w:rsid w:val="002B0081"/>
    <w:rsid w:val="002B022A"/>
    <w:rsid w:val="002B02EC"/>
    <w:rsid w:val="002B1AD6"/>
    <w:rsid w:val="002B1C83"/>
    <w:rsid w:val="002B1E79"/>
    <w:rsid w:val="002B216D"/>
    <w:rsid w:val="002B2264"/>
    <w:rsid w:val="002B2721"/>
    <w:rsid w:val="002B30AB"/>
    <w:rsid w:val="002B3569"/>
    <w:rsid w:val="002B3648"/>
    <w:rsid w:val="002B3A11"/>
    <w:rsid w:val="002B418E"/>
    <w:rsid w:val="002B4243"/>
    <w:rsid w:val="002B45A5"/>
    <w:rsid w:val="002B4F37"/>
    <w:rsid w:val="002B50B9"/>
    <w:rsid w:val="002B5548"/>
    <w:rsid w:val="002B5A65"/>
    <w:rsid w:val="002B64AE"/>
    <w:rsid w:val="002B650C"/>
    <w:rsid w:val="002B654B"/>
    <w:rsid w:val="002B6CC1"/>
    <w:rsid w:val="002B6F71"/>
    <w:rsid w:val="002B7197"/>
    <w:rsid w:val="002B73D8"/>
    <w:rsid w:val="002B771A"/>
    <w:rsid w:val="002B7B02"/>
    <w:rsid w:val="002B7BE9"/>
    <w:rsid w:val="002B7FCD"/>
    <w:rsid w:val="002C014A"/>
    <w:rsid w:val="002C0494"/>
    <w:rsid w:val="002C0739"/>
    <w:rsid w:val="002C080C"/>
    <w:rsid w:val="002C09A2"/>
    <w:rsid w:val="002C247F"/>
    <w:rsid w:val="002C2A87"/>
    <w:rsid w:val="002C2B20"/>
    <w:rsid w:val="002C2E15"/>
    <w:rsid w:val="002C30DF"/>
    <w:rsid w:val="002C3440"/>
    <w:rsid w:val="002C3461"/>
    <w:rsid w:val="002C38EF"/>
    <w:rsid w:val="002C3A12"/>
    <w:rsid w:val="002C4164"/>
    <w:rsid w:val="002C4554"/>
    <w:rsid w:val="002C48E8"/>
    <w:rsid w:val="002C4C06"/>
    <w:rsid w:val="002C5489"/>
    <w:rsid w:val="002C5D3B"/>
    <w:rsid w:val="002C62A0"/>
    <w:rsid w:val="002C736D"/>
    <w:rsid w:val="002C757E"/>
    <w:rsid w:val="002C77EB"/>
    <w:rsid w:val="002C78EA"/>
    <w:rsid w:val="002C7BBE"/>
    <w:rsid w:val="002C7DD3"/>
    <w:rsid w:val="002C7EFE"/>
    <w:rsid w:val="002D0119"/>
    <w:rsid w:val="002D0B21"/>
    <w:rsid w:val="002D0CDA"/>
    <w:rsid w:val="002D0DD9"/>
    <w:rsid w:val="002D0EF6"/>
    <w:rsid w:val="002D17A2"/>
    <w:rsid w:val="002D231B"/>
    <w:rsid w:val="002D298D"/>
    <w:rsid w:val="002D31F4"/>
    <w:rsid w:val="002D352D"/>
    <w:rsid w:val="002D3631"/>
    <w:rsid w:val="002D3A01"/>
    <w:rsid w:val="002D40E5"/>
    <w:rsid w:val="002D414B"/>
    <w:rsid w:val="002D4315"/>
    <w:rsid w:val="002D4823"/>
    <w:rsid w:val="002D4F34"/>
    <w:rsid w:val="002D4F53"/>
    <w:rsid w:val="002D50F0"/>
    <w:rsid w:val="002D51B8"/>
    <w:rsid w:val="002D531C"/>
    <w:rsid w:val="002D5615"/>
    <w:rsid w:val="002D56BF"/>
    <w:rsid w:val="002D5876"/>
    <w:rsid w:val="002D58CA"/>
    <w:rsid w:val="002D5BFD"/>
    <w:rsid w:val="002D5E81"/>
    <w:rsid w:val="002D6F97"/>
    <w:rsid w:val="002D7003"/>
    <w:rsid w:val="002D7E35"/>
    <w:rsid w:val="002E0360"/>
    <w:rsid w:val="002E051C"/>
    <w:rsid w:val="002E07E9"/>
    <w:rsid w:val="002E0998"/>
    <w:rsid w:val="002E0BDF"/>
    <w:rsid w:val="002E0E63"/>
    <w:rsid w:val="002E1526"/>
    <w:rsid w:val="002E1ADA"/>
    <w:rsid w:val="002E1BB7"/>
    <w:rsid w:val="002E1F12"/>
    <w:rsid w:val="002E22D7"/>
    <w:rsid w:val="002E24F9"/>
    <w:rsid w:val="002E255B"/>
    <w:rsid w:val="002E261C"/>
    <w:rsid w:val="002E2F7A"/>
    <w:rsid w:val="002E31EA"/>
    <w:rsid w:val="002E33B9"/>
    <w:rsid w:val="002E3633"/>
    <w:rsid w:val="002E370A"/>
    <w:rsid w:val="002E3F5C"/>
    <w:rsid w:val="002E4381"/>
    <w:rsid w:val="002E4760"/>
    <w:rsid w:val="002E4A68"/>
    <w:rsid w:val="002E500E"/>
    <w:rsid w:val="002E504D"/>
    <w:rsid w:val="002E50ED"/>
    <w:rsid w:val="002E51A2"/>
    <w:rsid w:val="002E52A4"/>
    <w:rsid w:val="002E5762"/>
    <w:rsid w:val="002E5847"/>
    <w:rsid w:val="002E5974"/>
    <w:rsid w:val="002E5A38"/>
    <w:rsid w:val="002E67B4"/>
    <w:rsid w:val="002E6887"/>
    <w:rsid w:val="002E6DB7"/>
    <w:rsid w:val="002E720C"/>
    <w:rsid w:val="002E77F0"/>
    <w:rsid w:val="002E7BAB"/>
    <w:rsid w:val="002E7CBF"/>
    <w:rsid w:val="002E7F65"/>
    <w:rsid w:val="002F0407"/>
    <w:rsid w:val="002F08F0"/>
    <w:rsid w:val="002F1A21"/>
    <w:rsid w:val="002F1E58"/>
    <w:rsid w:val="002F1EE2"/>
    <w:rsid w:val="002F1F23"/>
    <w:rsid w:val="002F2781"/>
    <w:rsid w:val="002F2F3E"/>
    <w:rsid w:val="002F3294"/>
    <w:rsid w:val="002F3AFE"/>
    <w:rsid w:val="002F4067"/>
    <w:rsid w:val="002F42EB"/>
    <w:rsid w:val="002F476B"/>
    <w:rsid w:val="002F56C6"/>
    <w:rsid w:val="002F5733"/>
    <w:rsid w:val="002F5909"/>
    <w:rsid w:val="002F5C76"/>
    <w:rsid w:val="002F6504"/>
    <w:rsid w:val="002F65AB"/>
    <w:rsid w:val="002F6CA1"/>
    <w:rsid w:val="002F6DCE"/>
    <w:rsid w:val="002F77E8"/>
    <w:rsid w:val="002F782E"/>
    <w:rsid w:val="002F7C0D"/>
    <w:rsid w:val="002F7DCA"/>
    <w:rsid w:val="0030047E"/>
    <w:rsid w:val="00300682"/>
    <w:rsid w:val="0030079B"/>
    <w:rsid w:val="003012FF"/>
    <w:rsid w:val="00301807"/>
    <w:rsid w:val="00301C31"/>
    <w:rsid w:val="00302183"/>
    <w:rsid w:val="003022F6"/>
    <w:rsid w:val="00302A3E"/>
    <w:rsid w:val="00302CF2"/>
    <w:rsid w:val="00302DAB"/>
    <w:rsid w:val="00302DFD"/>
    <w:rsid w:val="0030362D"/>
    <w:rsid w:val="00303802"/>
    <w:rsid w:val="00303D58"/>
    <w:rsid w:val="00303E25"/>
    <w:rsid w:val="00303E7F"/>
    <w:rsid w:val="00303EF3"/>
    <w:rsid w:val="003041E2"/>
    <w:rsid w:val="00304D18"/>
    <w:rsid w:val="0030590A"/>
    <w:rsid w:val="00305B89"/>
    <w:rsid w:val="00305CD3"/>
    <w:rsid w:val="00305F78"/>
    <w:rsid w:val="00306122"/>
    <w:rsid w:val="00306211"/>
    <w:rsid w:val="003064A4"/>
    <w:rsid w:val="00306570"/>
    <w:rsid w:val="0030691D"/>
    <w:rsid w:val="00306B5F"/>
    <w:rsid w:val="00306B66"/>
    <w:rsid w:val="00307750"/>
    <w:rsid w:val="003078BA"/>
    <w:rsid w:val="00307BAE"/>
    <w:rsid w:val="00307F66"/>
    <w:rsid w:val="00310F9E"/>
    <w:rsid w:val="003110A8"/>
    <w:rsid w:val="0031159D"/>
    <w:rsid w:val="003115E0"/>
    <w:rsid w:val="003119D6"/>
    <w:rsid w:val="00311CDE"/>
    <w:rsid w:val="003122EF"/>
    <w:rsid w:val="0031251B"/>
    <w:rsid w:val="00312C1F"/>
    <w:rsid w:val="00312E85"/>
    <w:rsid w:val="003130BA"/>
    <w:rsid w:val="003132D3"/>
    <w:rsid w:val="003133C0"/>
    <w:rsid w:val="00313502"/>
    <w:rsid w:val="00313AF3"/>
    <w:rsid w:val="00314429"/>
    <w:rsid w:val="00314591"/>
    <w:rsid w:val="0031464F"/>
    <w:rsid w:val="00314814"/>
    <w:rsid w:val="00314CFF"/>
    <w:rsid w:val="0031528C"/>
    <w:rsid w:val="00315404"/>
    <w:rsid w:val="00315446"/>
    <w:rsid w:val="003159C7"/>
    <w:rsid w:val="00315A5C"/>
    <w:rsid w:val="003176F9"/>
    <w:rsid w:val="00317965"/>
    <w:rsid w:val="00320330"/>
    <w:rsid w:val="0032060F"/>
    <w:rsid w:val="00320789"/>
    <w:rsid w:val="0032102D"/>
    <w:rsid w:val="00321198"/>
    <w:rsid w:val="003212B5"/>
    <w:rsid w:val="00321369"/>
    <w:rsid w:val="00321D3C"/>
    <w:rsid w:val="00321DF2"/>
    <w:rsid w:val="00321E51"/>
    <w:rsid w:val="00321F1C"/>
    <w:rsid w:val="00322B31"/>
    <w:rsid w:val="00323DD0"/>
    <w:rsid w:val="00323FD6"/>
    <w:rsid w:val="00324202"/>
    <w:rsid w:val="003243D4"/>
    <w:rsid w:val="00324917"/>
    <w:rsid w:val="00324F11"/>
    <w:rsid w:val="003253F2"/>
    <w:rsid w:val="003254C9"/>
    <w:rsid w:val="0032552A"/>
    <w:rsid w:val="00325996"/>
    <w:rsid w:val="003261CF"/>
    <w:rsid w:val="0032645E"/>
    <w:rsid w:val="003267E3"/>
    <w:rsid w:val="00326F26"/>
    <w:rsid w:val="003277C8"/>
    <w:rsid w:val="00327B72"/>
    <w:rsid w:val="003307F0"/>
    <w:rsid w:val="003313A4"/>
    <w:rsid w:val="00331B5C"/>
    <w:rsid w:val="00332C88"/>
    <w:rsid w:val="00332F5B"/>
    <w:rsid w:val="00333B15"/>
    <w:rsid w:val="00333BED"/>
    <w:rsid w:val="003345E8"/>
    <w:rsid w:val="00334619"/>
    <w:rsid w:val="003346F9"/>
    <w:rsid w:val="0033478E"/>
    <w:rsid w:val="0033479E"/>
    <w:rsid w:val="00334B14"/>
    <w:rsid w:val="00334C91"/>
    <w:rsid w:val="00334CD0"/>
    <w:rsid w:val="0033504F"/>
    <w:rsid w:val="003359DC"/>
    <w:rsid w:val="00335BC2"/>
    <w:rsid w:val="00335F3C"/>
    <w:rsid w:val="00336A1D"/>
    <w:rsid w:val="00336E40"/>
    <w:rsid w:val="003372E1"/>
    <w:rsid w:val="003375A6"/>
    <w:rsid w:val="003375D6"/>
    <w:rsid w:val="0033776C"/>
    <w:rsid w:val="00337833"/>
    <w:rsid w:val="00337993"/>
    <w:rsid w:val="003379AA"/>
    <w:rsid w:val="00337B46"/>
    <w:rsid w:val="003404E8"/>
    <w:rsid w:val="003406EA"/>
    <w:rsid w:val="00341521"/>
    <w:rsid w:val="003415A9"/>
    <w:rsid w:val="00341A12"/>
    <w:rsid w:val="00341AFD"/>
    <w:rsid w:val="0034263E"/>
    <w:rsid w:val="00342CDD"/>
    <w:rsid w:val="0034306F"/>
    <w:rsid w:val="00343590"/>
    <w:rsid w:val="00343756"/>
    <w:rsid w:val="003438EF"/>
    <w:rsid w:val="00343CE0"/>
    <w:rsid w:val="00343D35"/>
    <w:rsid w:val="003448E6"/>
    <w:rsid w:val="00344C60"/>
    <w:rsid w:val="003450BF"/>
    <w:rsid w:val="00345408"/>
    <w:rsid w:val="0034552C"/>
    <w:rsid w:val="003455E7"/>
    <w:rsid w:val="00345760"/>
    <w:rsid w:val="003462D0"/>
    <w:rsid w:val="00346C07"/>
    <w:rsid w:val="00346CCD"/>
    <w:rsid w:val="003472B8"/>
    <w:rsid w:val="00347320"/>
    <w:rsid w:val="003474D0"/>
    <w:rsid w:val="00347CEC"/>
    <w:rsid w:val="00347D84"/>
    <w:rsid w:val="00347D9F"/>
    <w:rsid w:val="003500CC"/>
    <w:rsid w:val="003503D5"/>
    <w:rsid w:val="0035082B"/>
    <w:rsid w:val="00351785"/>
    <w:rsid w:val="003519D6"/>
    <w:rsid w:val="0035236B"/>
    <w:rsid w:val="0035273B"/>
    <w:rsid w:val="003535CD"/>
    <w:rsid w:val="003535F3"/>
    <w:rsid w:val="00353E6E"/>
    <w:rsid w:val="0035431C"/>
    <w:rsid w:val="00354B4D"/>
    <w:rsid w:val="003558FF"/>
    <w:rsid w:val="00355BE5"/>
    <w:rsid w:val="00356394"/>
    <w:rsid w:val="00356555"/>
    <w:rsid w:val="00356758"/>
    <w:rsid w:val="0035676A"/>
    <w:rsid w:val="00356AC0"/>
    <w:rsid w:val="00356C72"/>
    <w:rsid w:val="0035757E"/>
    <w:rsid w:val="00357606"/>
    <w:rsid w:val="0035779B"/>
    <w:rsid w:val="0035783D"/>
    <w:rsid w:val="00360555"/>
    <w:rsid w:val="00360576"/>
    <w:rsid w:val="00360DBB"/>
    <w:rsid w:val="003612CC"/>
    <w:rsid w:val="00361CFE"/>
    <w:rsid w:val="00362372"/>
    <w:rsid w:val="00362B7D"/>
    <w:rsid w:val="00362CE2"/>
    <w:rsid w:val="00362ED8"/>
    <w:rsid w:val="0036381B"/>
    <w:rsid w:val="0036388D"/>
    <w:rsid w:val="00363FF8"/>
    <w:rsid w:val="0036411F"/>
    <w:rsid w:val="003643FE"/>
    <w:rsid w:val="00364681"/>
    <w:rsid w:val="00364B82"/>
    <w:rsid w:val="00365AB0"/>
    <w:rsid w:val="003669CD"/>
    <w:rsid w:val="003669E8"/>
    <w:rsid w:val="00366D0C"/>
    <w:rsid w:val="00366E76"/>
    <w:rsid w:val="003670E6"/>
    <w:rsid w:val="003674A6"/>
    <w:rsid w:val="00367975"/>
    <w:rsid w:val="00367B98"/>
    <w:rsid w:val="003703BB"/>
    <w:rsid w:val="00370EA0"/>
    <w:rsid w:val="00371384"/>
    <w:rsid w:val="00371B79"/>
    <w:rsid w:val="003720E9"/>
    <w:rsid w:val="00372616"/>
    <w:rsid w:val="0037332E"/>
    <w:rsid w:val="00373650"/>
    <w:rsid w:val="00373C8D"/>
    <w:rsid w:val="00373E85"/>
    <w:rsid w:val="0037426D"/>
    <w:rsid w:val="003745BD"/>
    <w:rsid w:val="00374837"/>
    <w:rsid w:val="003749C8"/>
    <w:rsid w:val="003753D4"/>
    <w:rsid w:val="0037569A"/>
    <w:rsid w:val="00375AE3"/>
    <w:rsid w:val="00375E5C"/>
    <w:rsid w:val="00376196"/>
    <w:rsid w:val="00376420"/>
    <w:rsid w:val="00376BC2"/>
    <w:rsid w:val="00376D92"/>
    <w:rsid w:val="00376E74"/>
    <w:rsid w:val="003771B4"/>
    <w:rsid w:val="00377262"/>
    <w:rsid w:val="00377488"/>
    <w:rsid w:val="00377C12"/>
    <w:rsid w:val="003805FA"/>
    <w:rsid w:val="00381041"/>
    <w:rsid w:val="003811B6"/>
    <w:rsid w:val="003818CC"/>
    <w:rsid w:val="003819C3"/>
    <w:rsid w:val="00381F5A"/>
    <w:rsid w:val="0038286A"/>
    <w:rsid w:val="00382E78"/>
    <w:rsid w:val="00382ED8"/>
    <w:rsid w:val="00383040"/>
    <w:rsid w:val="003830D8"/>
    <w:rsid w:val="003836AB"/>
    <w:rsid w:val="0038423E"/>
    <w:rsid w:val="00384E5A"/>
    <w:rsid w:val="003850E9"/>
    <w:rsid w:val="003852E6"/>
    <w:rsid w:val="003852EF"/>
    <w:rsid w:val="00385A32"/>
    <w:rsid w:val="00385BFE"/>
    <w:rsid w:val="00385E8A"/>
    <w:rsid w:val="00386513"/>
    <w:rsid w:val="003866B4"/>
    <w:rsid w:val="00386AF1"/>
    <w:rsid w:val="00386EA0"/>
    <w:rsid w:val="0038701C"/>
    <w:rsid w:val="003876AC"/>
    <w:rsid w:val="00387A77"/>
    <w:rsid w:val="00387B16"/>
    <w:rsid w:val="00387E94"/>
    <w:rsid w:val="0039046F"/>
    <w:rsid w:val="003906DB"/>
    <w:rsid w:val="0039103D"/>
    <w:rsid w:val="00391475"/>
    <w:rsid w:val="003917D2"/>
    <w:rsid w:val="00391AA3"/>
    <w:rsid w:val="00391F2E"/>
    <w:rsid w:val="00392130"/>
    <w:rsid w:val="00392640"/>
    <w:rsid w:val="0039286A"/>
    <w:rsid w:val="003928AD"/>
    <w:rsid w:val="00392DF0"/>
    <w:rsid w:val="00393337"/>
    <w:rsid w:val="00393C36"/>
    <w:rsid w:val="00393DE9"/>
    <w:rsid w:val="00393FF3"/>
    <w:rsid w:val="0039424A"/>
    <w:rsid w:val="003942D8"/>
    <w:rsid w:val="003950A2"/>
    <w:rsid w:val="003957F5"/>
    <w:rsid w:val="003960DB"/>
    <w:rsid w:val="0039687F"/>
    <w:rsid w:val="00397640"/>
    <w:rsid w:val="0039799A"/>
    <w:rsid w:val="00397A86"/>
    <w:rsid w:val="00397B97"/>
    <w:rsid w:val="003A00C5"/>
    <w:rsid w:val="003A011F"/>
    <w:rsid w:val="003A01B0"/>
    <w:rsid w:val="003A0736"/>
    <w:rsid w:val="003A0792"/>
    <w:rsid w:val="003A096A"/>
    <w:rsid w:val="003A101B"/>
    <w:rsid w:val="003A115C"/>
    <w:rsid w:val="003A11E9"/>
    <w:rsid w:val="003A1CC4"/>
    <w:rsid w:val="003A20BC"/>
    <w:rsid w:val="003A2614"/>
    <w:rsid w:val="003A2656"/>
    <w:rsid w:val="003A2A5D"/>
    <w:rsid w:val="003A2B61"/>
    <w:rsid w:val="003A37CC"/>
    <w:rsid w:val="003A3A7A"/>
    <w:rsid w:val="003A4060"/>
    <w:rsid w:val="003A427E"/>
    <w:rsid w:val="003A45BE"/>
    <w:rsid w:val="003A4854"/>
    <w:rsid w:val="003A4877"/>
    <w:rsid w:val="003A5B0D"/>
    <w:rsid w:val="003A5E61"/>
    <w:rsid w:val="003A6453"/>
    <w:rsid w:val="003A6B98"/>
    <w:rsid w:val="003A6B9F"/>
    <w:rsid w:val="003A6DA8"/>
    <w:rsid w:val="003A6EC1"/>
    <w:rsid w:val="003A7551"/>
    <w:rsid w:val="003A7CF4"/>
    <w:rsid w:val="003A7E7B"/>
    <w:rsid w:val="003B0C5E"/>
    <w:rsid w:val="003B0E5A"/>
    <w:rsid w:val="003B139A"/>
    <w:rsid w:val="003B1B5E"/>
    <w:rsid w:val="003B2347"/>
    <w:rsid w:val="003B24E5"/>
    <w:rsid w:val="003B2611"/>
    <w:rsid w:val="003B28EB"/>
    <w:rsid w:val="003B2D90"/>
    <w:rsid w:val="003B2E80"/>
    <w:rsid w:val="003B3033"/>
    <w:rsid w:val="003B32F1"/>
    <w:rsid w:val="003B3488"/>
    <w:rsid w:val="003B34E8"/>
    <w:rsid w:val="003B3566"/>
    <w:rsid w:val="003B3E80"/>
    <w:rsid w:val="003B3FA3"/>
    <w:rsid w:val="003B48D1"/>
    <w:rsid w:val="003B4CB0"/>
    <w:rsid w:val="003B4CE6"/>
    <w:rsid w:val="003B5DE4"/>
    <w:rsid w:val="003B5F8A"/>
    <w:rsid w:val="003B6095"/>
    <w:rsid w:val="003B6880"/>
    <w:rsid w:val="003B6C27"/>
    <w:rsid w:val="003B6C62"/>
    <w:rsid w:val="003B6D6A"/>
    <w:rsid w:val="003B70AE"/>
    <w:rsid w:val="003B70F0"/>
    <w:rsid w:val="003B7561"/>
    <w:rsid w:val="003B762E"/>
    <w:rsid w:val="003B7A99"/>
    <w:rsid w:val="003B7B99"/>
    <w:rsid w:val="003B7E28"/>
    <w:rsid w:val="003C00CC"/>
    <w:rsid w:val="003C070B"/>
    <w:rsid w:val="003C0AC7"/>
    <w:rsid w:val="003C1100"/>
    <w:rsid w:val="003C1852"/>
    <w:rsid w:val="003C1D00"/>
    <w:rsid w:val="003C2140"/>
    <w:rsid w:val="003C274F"/>
    <w:rsid w:val="003C290F"/>
    <w:rsid w:val="003C2A25"/>
    <w:rsid w:val="003C2D6B"/>
    <w:rsid w:val="003C2DCA"/>
    <w:rsid w:val="003C2E67"/>
    <w:rsid w:val="003C390C"/>
    <w:rsid w:val="003C402E"/>
    <w:rsid w:val="003C4C91"/>
    <w:rsid w:val="003C5298"/>
    <w:rsid w:val="003C57D8"/>
    <w:rsid w:val="003C5880"/>
    <w:rsid w:val="003C5E59"/>
    <w:rsid w:val="003C5F79"/>
    <w:rsid w:val="003C60FD"/>
    <w:rsid w:val="003C610D"/>
    <w:rsid w:val="003C625A"/>
    <w:rsid w:val="003C6A27"/>
    <w:rsid w:val="003C72A3"/>
    <w:rsid w:val="003C74A7"/>
    <w:rsid w:val="003C7E76"/>
    <w:rsid w:val="003C7EBB"/>
    <w:rsid w:val="003D02D1"/>
    <w:rsid w:val="003D043E"/>
    <w:rsid w:val="003D07D5"/>
    <w:rsid w:val="003D0C26"/>
    <w:rsid w:val="003D0CF2"/>
    <w:rsid w:val="003D0E2F"/>
    <w:rsid w:val="003D0E4B"/>
    <w:rsid w:val="003D1068"/>
    <w:rsid w:val="003D1AE5"/>
    <w:rsid w:val="003D2B37"/>
    <w:rsid w:val="003D2F0F"/>
    <w:rsid w:val="003D354A"/>
    <w:rsid w:val="003D3B45"/>
    <w:rsid w:val="003D3F9D"/>
    <w:rsid w:val="003D4458"/>
    <w:rsid w:val="003D44DC"/>
    <w:rsid w:val="003D47A7"/>
    <w:rsid w:val="003D4AC6"/>
    <w:rsid w:val="003D4C2D"/>
    <w:rsid w:val="003D4D50"/>
    <w:rsid w:val="003D4DAD"/>
    <w:rsid w:val="003D4E31"/>
    <w:rsid w:val="003D4EFE"/>
    <w:rsid w:val="003D4F0E"/>
    <w:rsid w:val="003D5249"/>
    <w:rsid w:val="003D55D2"/>
    <w:rsid w:val="003D56F0"/>
    <w:rsid w:val="003D592C"/>
    <w:rsid w:val="003D5FA3"/>
    <w:rsid w:val="003D72C4"/>
    <w:rsid w:val="003E0418"/>
    <w:rsid w:val="003E134A"/>
    <w:rsid w:val="003E1793"/>
    <w:rsid w:val="003E1796"/>
    <w:rsid w:val="003E1EFA"/>
    <w:rsid w:val="003E2A1D"/>
    <w:rsid w:val="003E2E1D"/>
    <w:rsid w:val="003E32CF"/>
    <w:rsid w:val="003E3571"/>
    <w:rsid w:val="003E37A4"/>
    <w:rsid w:val="003E3CDC"/>
    <w:rsid w:val="003E3E08"/>
    <w:rsid w:val="003E4341"/>
    <w:rsid w:val="003E4B50"/>
    <w:rsid w:val="003E4D4D"/>
    <w:rsid w:val="003E5113"/>
    <w:rsid w:val="003E5273"/>
    <w:rsid w:val="003E595C"/>
    <w:rsid w:val="003E5AC1"/>
    <w:rsid w:val="003E5D90"/>
    <w:rsid w:val="003E623E"/>
    <w:rsid w:val="003E624B"/>
    <w:rsid w:val="003E64D2"/>
    <w:rsid w:val="003E64E6"/>
    <w:rsid w:val="003E754D"/>
    <w:rsid w:val="003E7827"/>
    <w:rsid w:val="003E7885"/>
    <w:rsid w:val="003E7959"/>
    <w:rsid w:val="003E7985"/>
    <w:rsid w:val="003F01BF"/>
    <w:rsid w:val="003F043C"/>
    <w:rsid w:val="003F0648"/>
    <w:rsid w:val="003F0A5F"/>
    <w:rsid w:val="003F12C5"/>
    <w:rsid w:val="003F12CE"/>
    <w:rsid w:val="003F13A4"/>
    <w:rsid w:val="003F16F0"/>
    <w:rsid w:val="003F1879"/>
    <w:rsid w:val="003F1C5A"/>
    <w:rsid w:val="003F1D89"/>
    <w:rsid w:val="003F1DD7"/>
    <w:rsid w:val="003F2003"/>
    <w:rsid w:val="003F22A2"/>
    <w:rsid w:val="003F24B2"/>
    <w:rsid w:val="003F251A"/>
    <w:rsid w:val="003F298A"/>
    <w:rsid w:val="003F2D6D"/>
    <w:rsid w:val="003F31C0"/>
    <w:rsid w:val="003F3502"/>
    <w:rsid w:val="003F3651"/>
    <w:rsid w:val="003F3694"/>
    <w:rsid w:val="003F3ACE"/>
    <w:rsid w:val="003F411C"/>
    <w:rsid w:val="003F4652"/>
    <w:rsid w:val="003F49A6"/>
    <w:rsid w:val="003F502A"/>
    <w:rsid w:val="003F51DC"/>
    <w:rsid w:val="003F5E40"/>
    <w:rsid w:val="003F5F56"/>
    <w:rsid w:val="003F608B"/>
    <w:rsid w:val="003F6441"/>
    <w:rsid w:val="003F6670"/>
    <w:rsid w:val="003F67A5"/>
    <w:rsid w:val="003F69CE"/>
    <w:rsid w:val="003F6B53"/>
    <w:rsid w:val="003F7080"/>
    <w:rsid w:val="003F714C"/>
    <w:rsid w:val="003F71BA"/>
    <w:rsid w:val="003F775D"/>
    <w:rsid w:val="003F7F9B"/>
    <w:rsid w:val="003F7FB2"/>
    <w:rsid w:val="004012DC"/>
    <w:rsid w:val="00401461"/>
    <w:rsid w:val="00401C13"/>
    <w:rsid w:val="004022E4"/>
    <w:rsid w:val="00402AEA"/>
    <w:rsid w:val="0040332D"/>
    <w:rsid w:val="0040338A"/>
    <w:rsid w:val="00403555"/>
    <w:rsid w:val="0040358D"/>
    <w:rsid w:val="00404221"/>
    <w:rsid w:val="004044E2"/>
    <w:rsid w:val="0040484A"/>
    <w:rsid w:val="00404927"/>
    <w:rsid w:val="004049D8"/>
    <w:rsid w:val="00404C4B"/>
    <w:rsid w:val="00404E23"/>
    <w:rsid w:val="00404F4F"/>
    <w:rsid w:val="004053CF"/>
    <w:rsid w:val="0040592C"/>
    <w:rsid w:val="00405DF7"/>
    <w:rsid w:val="00405F6F"/>
    <w:rsid w:val="004063DE"/>
    <w:rsid w:val="0040667A"/>
    <w:rsid w:val="00406FBB"/>
    <w:rsid w:val="00407545"/>
    <w:rsid w:val="004077E9"/>
    <w:rsid w:val="00407A8D"/>
    <w:rsid w:val="00407E5D"/>
    <w:rsid w:val="00410957"/>
    <w:rsid w:val="004109CD"/>
    <w:rsid w:val="00411134"/>
    <w:rsid w:val="004111BC"/>
    <w:rsid w:val="00411344"/>
    <w:rsid w:val="0041147F"/>
    <w:rsid w:val="004115F7"/>
    <w:rsid w:val="00411832"/>
    <w:rsid w:val="00411B14"/>
    <w:rsid w:val="00411FE8"/>
    <w:rsid w:val="004121BC"/>
    <w:rsid w:val="004124A5"/>
    <w:rsid w:val="00413035"/>
    <w:rsid w:val="00413380"/>
    <w:rsid w:val="00413E2A"/>
    <w:rsid w:val="00414254"/>
    <w:rsid w:val="00414BE3"/>
    <w:rsid w:val="00415417"/>
    <w:rsid w:val="004161C2"/>
    <w:rsid w:val="004162A3"/>
    <w:rsid w:val="004165CC"/>
    <w:rsid w:val="004167E0"/>
    <w:rsid w:val="004169DB"/>
    <w:rsid w:val="00416C79"/>
    <w:rsid w:val="00416CA1"/>
    <w:rsid w:val="00417238"/>
    <w:rsid w:val="00417D3F"/>
    <w:rsid w:val="00420051"/>
    <w:rsid w:val="00420272"/>
    <w:rsid w:val="004205A6"/>
    <w:rsid w:val="00420924"/>
    <w:rsid w:val="004209BC"/>
    <w:rsid w:val="00420F04"/>
    <w:rsid w:val="00420FA0"/>
    <w:rsid w:val="00421918"/>
    <w:rsid w:val="00421B3E"/>
    <w:rsid w:val="00421DCB"/>
    <w:rsid w:val="00422287"/>
    <w:rsid w:val="0042265C"/>
    <w:rsid w:val="004226EC"/>
    <w:rsid w:val="00422AA1"/>
    <w:rsid w:val="00422EB4"/>
    <w:rsid w:val="00423007"/>
    <w:rsid w:val="00423607"/>
    <w:rsid w:val="0042374C"/>
    <w:rsid w:val="004242AC"/>
    <w:rsid w:val="004245F1"/>
    <w:rsid w:val="00424811"/>
    <w:rsid w:val="00425B21"/>
    <w:rsid w:val="00425BEC"/>
    <w:rsid w:val="00426A11"/>
    <w:rsid w:val="00426E56"/>
    <w:rsid w:val="00426FE2"/>
    <w:rsid w:val="00427137"/>
    <w:rsid w:val="0042772B"/>
    <w:rsid w:val="004300F6"/>
    <w:rsid w:val="00430317"/>
    <w:rsid w:val="00430BB2"/>
    <w:rsid w:val="00431809"/>
    <w:rsid w:val="0043181E"/>
    <w:rsid w:val="00431961"/>
    <w:rsid w:val="00431C16"/>
    <w:rsid w:val="004322FC"/>
    <w:rsid w:val="0043267F"/>
    <w:rsid w:val="00432811"/>
    <w:rsid w:val="00432E14"/>
    <w:rsid w:val="00433084"/>
    <w:rsid w:val="00433B51"/>
    <w:rsid w:val="004348EA"/>
    <w:rsid w:val="00434CFE"/>
    <w:rsid w:val="004350F4"/>
    <w:rsid w:val="00435335"/>
    <w:rsid w:val="004355AE"/>
    <w:rsid w:val="00435CB8"/>
    <w:rsid w:val="00435E59"/>
    <w:rsid w:val="00436315"/>
    <w:rsid w:val="00436ADB"/>
    <w:rsid w:val="00436BB1"/>
    <w:rsid w:val="00436CC0"/>
    <w:rsid w:val="00437F3D"/>
    <w:rsid w:val="00440E37"/>
    <w:rsid w:val="00441392"/>
    <w:rsid w:val="004418A6"/>
    <w:rsid w:val="00441940"/>
    <w:rsid w:val="00441E68"/>
    <w:rsid w:val="00441E84"/>
    <w:rsid w:val="00441F42"/>
    <w:rsid w:val="0044247D"/>
    <w:rsid w:val="00442739"/>
    <w:rsid w:val="00442E26"/>
    <w:rsid w:val="00443C8B"/>
    <w:rsid w:val="0044403D"/>
    <w:rsid w:val="00444259"/>
    <w:rsid w:val="004448A5"/>
    <w:rsid w:val="0044496A"/>
    <w:rsid w:val="00445215"/>
    <w:rsid w:val="00445763"/>
    <w:rsid w:val="00445B71"/>
    <w:rsid w:val="00445E01"/>
    <w:rsid w:val="00445E36"/>
    <w:rsid w:val="00446330"/>
    <w:rsid w:val="0044693A"/>
    <w:rsid w:val="00446C8C"/>
    <w:rsid w:val="00450225"/>
    <w:rsid w:val="0045033B"/>
    <w:rsid w:val="00450743"/>
    <w:rsid w:val="004508F4"/>
    <w:rsid w:val="00450A1D"/>
    <w:rsid w:val="00450BBD"/>
    <w:rsid w:val="00451462"/>
    <w:rsid w:val="00451623"/>
    <w:rsid w:val="00451E6A"/>
    <w:rsid w:val="00451ED4"/>
    <w:rsid w:val="00452341"/>
    <w:rsid w:val="00452990"/>
    <w:rsid w:val="00452A19"/>
    <w:rsid w:val="00452EB5"/>
    <w:rsid w:val="00453346"/>
    <w:rsid w:val="004537B7"/>
    <w:rsid w:val="00454143"/>
    <w:rsid w:val="004545E9"/>
    <w:rsid w:val="00455633"/>
    <w:rsid w:val="00455725"/>
    <w:rsid w:val="00455CFA"/>
    <w:rsid w:val="00455D80"/>
    <w:rsid w:val="0045634B"/>
    <w:rsid w:val="0045637F"/>
    <w:rsid w:val="0045662E"/>
    <w:rsid w:val="00457291"/>
    <w:rsid w:val="00457A79"/>
    <w:rsid w:val="00457DCE"/>
    <w:rsid w:val="00457F86"/>
    <w:rsid w:val="00460962"/>
    <w:rsid w:val="00460D1F"/>
    <w:rsid w:val="00461008"/>
    <w:rsid w:val="004610E3"/>
    <w:rsid w:val="0046129D"/>
    <w:rsid w:val="00461409"/>
    <w:rsid w:val="004617E5"/>
    <w:rsid w:val="00461A07"/>
    <w:rsid w:val="00461E1E"/>
    <w:rsid w:val="004622EB"/>
    <w:rsid w:val="004623B7"/>
    <w:rsid w:val="0046326A"/>
    <w:rsid w:val="0046397F"/>
    <w:rsid w:val="00463B6D"/>
    <w:rsid w:val="0046438F"/>
    <w:rsid w:val="0046461D"/>
    <w:rsid w:val="004653D1"/>
    <w:rsid w:val="00465423"/>
    <w:rsid w:val="004658D8"/>
    <w:rsid w:val="00466500"/>
    <w:rsid w:val="00466662"/>
    <w:rsid w:val="004669B5"/>
    <w:rsid w:val="00466AA2"/>
    <w:rsid w:val="00466DB6"/>
    <w:rsid w:val="004675FB"/>
    <w:rsid w:val="00467602"/>
    <w:rsid w:val="00467628"/>
    <w:rsid w:val="00467FB5"/>
    <w:rsid w:val="0047023A"/>
    <w:rsid w:val="004705DE"/>
    <w:rsid w:val="004705E6"/>
    <w:rsid w:val="004705EE"/>
    <w:rsid w:val="0047074F"/>
    <w:rsid w:val="004707A7"/>
    <w:rsid w:val="00470EB4"/>
    <w:rsid w:val="004711C1"/>
    <w:rsid w:val="00471765"/>
    <w:rsid w:val="00471A17"/>
    <w:rsid w:val="00471BE8"/>
    <w:rsid w:val="00471C27"/>
    <w:rsid w:val="004720C4"/>
    <w:rsid w:val="00472A7C"/>
    <w:rsid w:val="0047311C"/>
    <w:rsid w:val="00473210"/>
    <w:rsid w:val="00473976"/>
    <w:rsid w:val="00473C68"/>
    <w:rsid w:val="00473DF8"/>
    <w:rsid w:val="00474317"/>
    <w:rsid w:val="00474581"/>
    <w:rsid w:val="004746F8"/>
    <w:rsid w:val="00474B5D"/>
    <w:rsid w:val="00474B79"/>
    <w:rsid w:val="00475208"/>
    <w:rsid w:val="004752A1"/>
    <w:rsid w:val="00475817"/>
    <w:rsid w:val="00475B75"/>
    <w:rsid w:val="00475F24"/>
    <w:rsid w:val="00476599"/>
    <w:rsid w:val="00476DAD"/>
    <w:rsid w:val="00477E77"/>
    <w:rsid w:val="004800AB"/>
    <w:rsid w:val="00480350"/>
    <w:rsid w:val="0048097A"/>
    <w:rsid w:val="00480E5E"/>
    <w:rsid w:val="00481D3E"/>
    <w:rsid w:val="00481EFD"/>
    <w:rsid w:val="00482133"/>
    <w:rsid w:val="00482289"/>
    <w:rsid w:val="004823CE"/>
    <w:rsid w:val="004823FE"/>
    <w:rsid w:val="004826AE"/>
    <w:rsid w:val="004826B4"/>
    <w:rsid w:val="004834B2"/>
    <w:rsid w:val="004835A3"/>
    <w:rsid w:val="00483742"/>
    <w:rsid w:val="00483F8D"/>
    <w:rsid w:val="004841D9"/>
    <w:rsid w:val="004841DC"/>
    <w:rsid w:val="00484B0A"/>
    <w:rsid w:val="00485310"/>
    <w:rsid w:val="00485C36"/>
    <w:rsid w:val="00485E7E"/>
    <w:rsid w:val="00486778"/>
    <w:rsid w:val="00486D09"/>
    <w:rsid w:val="00486FB2"/>
    <w:rsid w:val="00487954"/>
    <w:rsid w:val="00487CAF"/>
    <w:rsid w:val="00487D8D"/>
    <w:rsid w:val="00487F68"/>
    <w:rsid w:val="004901DA"/>
    <w:rsid w:val="004905A6"/>
    <w:rsid w:val="004907C7"/>
    <w:rsid w:val="00490DC8"/>
    <w:rsid w:val="004911F9"/>
    <w:rsid w:val="0049137D"/>
    <w:rsid w:val="00491816"/>
    <w:rsid w:val="00491E46"/>
    <w:rsid w:val="004922E9"/>
    <w:rsid w:val="0049232C"/>
    <w:rsid w:val="0049244A"/>
    <w:rsid w:val="004926A9"/>
    <w:rsid w:val="00492881"/>
    <w:rsid w:val="00493424"/>
    <w:rsid w:val="00495131"/>
    <w:rsid w:val="00495ADF"/>
    <w:rsid w:val="00496869"/>
    <w:rsid w:val="0049686C"/>
    <w:rsid w:val="004971FD"/>
    <w:rsid w:val="00497203"/>
    <w:rsid w:val="004976C9"/>
    <w:rsid w:val="00497EDD"/>
    <w:rsid w:val="004A1119"/>
    <w:rsid w:val="004A1362"/>
    <w:rsid w:val="004A15A7"/>
    <w:rsid w:val="004A1843"/>
    <w:rsid w:val="004A2103"/>
    <w:rsid w:val="004A2553"/>
    <w:rsid w:val="004A3726"/>
    <w:rsid w:val="004A3BEF"/>
    <w:rsid w:val="004A3D33"/>
    <w:rsid w:val="004A40C0"/>
    <w:rsid w:val="004A4114"/>
    <w:rsid w:val="004A4671"/>
    <w:rsid w:val="004A4725"/>
    <w:rsid w:val="004A47B6"/>
    <w:rsid w:val="004A48B3"/>
    <w:rsid w:val="004A4EF0"/>
    <w:rsid w:val="004A4F12"/>
    <w:rsid w:val="004A5317"/>
    <w:rsid w:val="004A5331"/>
    <w:rsid w:val="004A537F"/>
    <w:rsid w:val="004A5765"/>
    <w:rsid w:val="004A5BB0"/>
    <w:rsid w:val="004A6003"/>
    <w:rsid w:val="004A675F"/>
    <w:rsid w:val="004A6DF0"/>
    <w:rsid w:val="004A700E"/>
    <w:rsid w:val="004A7168"/>
    <w:rsid w:val="004A7292"/>
    <w:rsid w:val="004A7307"/>
    <w:rsid w:val="004A7EB5"/>
    <w:rsid w:val="004B0FA2"/>
    <w:rsid w:val="004B112E"/>
    <w:rsid w:val="004B153C"/>
    <w:rsid w:val="004B16F2"/>
    <w:rsid w:val="004B196A"/>
    <w:rsid w:val="004B1CD9"/>
    <w:rsid w:val="004B23D0"/>
    <w:rsid w:val="004B2621"/>
    <w:rsid w:val="004B2E9D"/>
    <w:rsid w:val="004B317A"/>
    <w:rsid w:val="004B3BAC"/>
    <w:rsid w:val="004B3C77"/>
    <w:rsid w:val="004B409A"/>
    <w:rsid w:val="004B4609"/>
    <w:rsid w:val="004B50F9"/>
    <w:rsid w:val="004B5706"/>
    <w:rsid w:val="004B5DB6"/>
    <w:rsid w:val="004B5E19"/>
    <w:rsid w:val="004B61E7"/>
    <w:rsid w:val="004B6377"/>
    <w:rsid w:val="004B646E"/>
    <w:rsid w:val="004B6E1D"/>
    <w:rsid w:val="004B7CA5"/>
    <w:rsid w:val="004B7CB5"/>
    <w:rsid w:val="004B7DA8"/>
    <w:rsid w:val="004B7FC0"/>
    <w:rsid w:val="004C0B1D"/>
    <w:rsid w:val="004C10BB"/>
    <w:rsid w:val="004C1978"/>
    <w:rsid w:val="004C1BE0"/>
    <w:rsid w:val="004C1C11"/>
    <w:rsid w:val="004C1C6F"/>
    <w:rsid w:val="004C2122"/>
    <w:rsid w:val="004C271F"/>
    <w:rsid w:val="004C2C41"/>
    <w:rsid w:val="004C371D"/>
    <w:rsid w:val="004C3B53"/>
    <w:rsid w:val="004C3CFD"/>
    <w:rsid w:val="004C403A"/>
    <w:rsid w:val="004C4237"/>
    <w:rsid w:val="004C4AA2"/>
    <w:rsid w:val="004C4FC8"/>
    <w:rsid w:val="004C533A"/>
    <w:rsid w:val="004C5509"/>
    <w:rsid w:val="004C5965"/>
    <w:rsid w:val="004C5C3A"/>
    <w:rsid w:val="004C5FF1"/>
    <w:rsid w:val="004C6438"/>
    <w:rsid w:val="004C643D"/>
    <w:rsid w:val="004C64F3"/>
    <w:rsid w:val="004C656C"/>
    <w:rsid w:val="004C6DFF"/>
    <w:rsid w:val="004C6ED1"/>
    <w:rsid w:val="004C6F43"/>
    <w:rsid w:val="004C7C39"/>
    <w:rsid w:val="004D0292"/>
    <w:rsid w:val="004D0551"/>
    <w:rsid w:val="004D05C5"/>
    <w:rsid w:val="004D0BF5"/>
    <w:rsid w:val="004D0ECC"/>
    <w:rsid w:val="004D108F"/>
    <w:rsid w:val="004D14CF"/>
    <w:rsid w:val="004D1A24"/>
    <w:rsid w:val="004D1C79"/>
    <w:rsid w:val="004D2945"/>
    <w:rsid w:val="004D2CB6"/>
    <w:rsid w:val="004D3011"/>
    <w:rsid w:val="004D3630"/>
    <w:rsid w:val="004D3A5F"/>
    <w:rsid w:val="004D3D5D"/>
    <w:rsid w:val="004D3E38"/>
    <w:rsid w:val="004D4123"/>
    <w:rsid w:val="004D49D9"/>
    <w:rsid w:val="004D4A00"/>
    <w:rsid w:val="004D4AD8"/>
    <w:rsid w:val="004D4D67"/>
    <w:rsid w:val="004D560E"/>
    <w:rsid w:val="004D64F4"/>
    <w:rsid w:val="004D6A91"/>
    <w:rsid w:val="004D7169"/>
    <w:rsid w:val="004D7462"/>
    <w:rsid w:val="004D7BC6"/>
    <w:rsid w:val="004E0014"/>
    <w:rsid w:val="004E0506"/>
    <w:rsid w:val="004E082E"/>
    <w:rsid w:val="004E099B"/>
    <w:rsid w:val="004E108B"/>
    <w:rsid w:val="004E1387"/>
    <w:rsid w:val="004E14B1"/>
    <w:rsid w:val="004E14F9"/>
    <w:rsid w:val="004E1560"/>
    <w:rsid w:val="004E1871"/>
    <w:rsid w:val="004E25AA"/>
    <w:rsid w:val="004E2928"/>
    <w:rsid w:val="004E293F"/>
    <w:rsid w:val="004E2953"/>
    <w:rsid w:val="004E2C05"/>
    <w:rsid w:val="004E30A8"/>
    <w:rsid w:val="004E3357"/>
    <w:rsid w:val="004E34F8"/>
    <w:rsid w:val="004E3965"/>
    <w:rsid w:val="004E3976"/>
    <w:rsid w:val="004E3F0F"/>
    <w:rsid w:val="004E3FCD"/>
    <w:rsid w:val="004E4FBC"/>
    <w:rsid w:val="004E533C"/>
    <w:rsid w:val="004E56BD"/>
    <w:rsid w:val="004E5A16"/>
    <w:rsid w:val="004E5D56"/>
    <w:rsid w:val="004E5E93"/>
    <w:rsid w:val="004E603F"/>
    <w:rsid w:val="004E636D"/>
    <w:rsid w:val="004E6F43"/>
    <w:rsid w:val="004E735F"/>
    <w:rsid w:val="004E77E0"/>
    <w:rsid w:val="004E7C8E"/>
    <w:rsid w:val="004E7E5B"/>
    <w:rsid w:val="004F0273"/>
    <w:rsid w:val="004F0294"/>
    <w:rsid w:val="004F05E3"/>
    <w:rsid w:val="004F0ECA"/>
    <w:rsid w:val="004F0FB8"/>
    <w:rsid w:val="004F0FFB"/>
    <w:rsid w:val="004F11C1"/>
    <w:rsid w:val="004F1433"/>
    <w:rsid w:val="004F1709"/>
    <w:rsid w:val="004F1AD2"/>
    <w:rsid w:val="004F21A9"/>
    <w:rsid w:val="004F2C07"/>
    <w:rsid w:val="004F2DC0"/>
    <w:rsid w:val="004F33DA"/>
    <w:rsid w:val="004F42A5"/>
    <w:rsid w:val="004F4FC5"/>
    <w:rsid w:val="004F5B7E"/>
    <w:rsid w:val="004F5F10"/>
    <w:rsid w:val="004F5FB5"/>
    <w:rsid w:val="004F607B"/>
    <w:rsid w:val="004F6628"/>
    <w:rsid w:val="004F66C8"/>
    <w:rsid w:val="004F6834"/>
    <w:rsid w:val="004F695E"/>
    <w:rsid w:val="004F6ED3"/>
    <w:rsid w:val="004F71B3"/>
    <w:rsid w:val="004F7724"/>
    <w:rsid w:val="004F78A1"/>
    <w:rsid w:val="004F78D2"/>
    <w:rsid w:val="004F7E4B"/>
    <w:rsid w:val="005016C0"/>
    <w:rsid w:val="00501C26"/>
    <w:rsid w:val="00501C4A"/>
    <w:rsid w:val="00502101"/>
    <w:rsid w:val="00502282"/>
    <w:rsid w:val="005032E9"/>
    <w:rsid w:val="00503510"/>
    <w:rsid w:val="0050362E"/>
    <w:rsid w:val="00503873"/>
    <w:rsid w:val="00503E35"/>
    <w:rsid w:val="00504755"/>
    <w:rsid w:val="00504AA0"/>
    <w:rsid w:val="00504AFA"/>
    <w:rsid w:val="00504D9C"/>
    <w:rsid w:val="00505031"/>
    <w:rsid w:val="00505941"/>
    <w:rsid w:val="005059DF"/>
    <w:rsid w:val="00506277"/>
    <w:rsid w:val="00506500"/>
    <w:rsid w:val="00506797"/>
    <w:rsid w:val="00506BDE"/>
    <w:rsid w:val="00506BEB"/>
    <w:rsid w:val="00507050"/>
    <w:rsid w:val="00507099"/>
    <w:rsid w:val="00507140"/>
    <w:rsid w:val="00507E8E"/>
    <w:rsid w:val="0051055D"/>
    <w:rsid w:val="005105FA"/>
    <w:rsid w:val="00510B73"/>
    <w:rsid w:val="0051129F"/>
    <w:rsid w:val="00511574"/>
    <w:rsid w:val="00511841"/>
    <w:rsid w:val="00511BFE"/>
    <w:rsid w:val="00511E52"/>
    <w:rsid w:val="00512400"/>
    <w:rsid w:val="00512CEE"/>
    <w:rsid w:val="00513002"/>
    <w:rsid w:val="00513691"/>
    <w:rsid w:val="00513BD8"/>
    <w:rsid w:val="00513C11"/>
    <w:rsid w:val="00513CBE"/>
    <w:rsid w:val="00513DF2"/>
    <w:rsid w:val="00513FBC"/>
    <w:rsid w:val="00514015"/>
    <w:rsid w:val="00514443"/>
    <w:rsid w:val="005153CB"/>
    <w:rsid w:val="0051546B"/>
    <w:rsid w:val="005154FA"/>
    <w:rsid w:val="00515DCC"/>
    <w:rsid w:val="00515E9D"/>
    <w:rsid w:val="005161E6"/>
    <w:rsid w:val="00516486"/>
    <w:rsid w:val="005178C0"/>
    <w:rsid w:val="00517B1F"/>
    <w:rsid w:val="00517B47"/>
    <w:rsid w:val="00517B48"/>
    <w:rsid w:val="00517C0B"/>
    <w:rsid w:val="00517E04"/>
    <w:rsid w:val="005202BE"/>
    <w:rsid w:val="00520958"/>
    <w:rsid w:val="00520982"/>
    <w:rsid w:val="0052113F"/>
    <w:rsid w:val="005216AB"/>
    <w:rsid w:val="005219C2"/>
    <w:rsid w:val="00521AB2"/>
    <w:rsid w:val="00522235"/>
    <w:rsid w:val="005230C8"/>
    <w:rsid w:val="005230D9"/>
    <w:rsid w:val="0052315F"/>
    <w:rsid w:val="00523797"/>
    <w:rsid w:val="00524429"/>
    <w:rsid w:val="00524834"/>
    <w:rsid w:val="00524922"/>
    <w:rsid w:val="00524D48"/>
    <w:rsid w:val="005250AA"/>
    <w:rsid w:val="005254F5"/>
    <w:rsid w:val="005256B9"/>
    <w:rsid w:val="0052587E"/>
    <w:rsid w:val="00525B34"/>
    <w:rsid w:val="00525C51"/>
    <w:rsid w:val="0052668B"/>
    <w:rsid w:val="005269A9"/>
    <w:rsid w:val="005274D5"/>
    <w:rsid w:val="00527B07"/>
    <w:rsid w:val="00527C9D"/>
    <w:rsid w:val="00530527"/>
    <w:rsid w:val="00530808"/>
    <w:rsid w:val="00530D0C"/>
    <w:rsid w:val="00530E92"/>
    <w:rsid w:val="005313DC"/>
    <w:rsid w:val="0053171B"/>
    <w:rsid w:val="00531B15"/>
    <w:rsid w:val="00531BE8"/>
    <w:rsid w:val="00531F7F"/>
    <w:rsid w:val="00531FAA"/>
    <w:rsid w:val="005320C6"/>
    <w:rsid w:val="0053223F"/>
    <w:rsid w:val="00532308"/>
    <w:rsid w:val="00532798"/>
    <w:rsid w:val="005329C7"/>
    <w:rsid w:val="00532B22"/>
    <w:rsid w:val="00532F24"/>
    <w:rsid w:val="00533805"/>
    <w:rsid w:val="00533909"/>
    <w:rsid w:val="00533E53"/>
    <w:rsid w:val="005342C9"/>
    <w:rsid w:val="005346E6"/>
    <w:rsid w:val="00534B25"/>
    <w:rsid w:val="00534CA7"/>
    <w:rsid w:val="00534D9C"/>
    <w:rsid w:val="00534F0A"/>
    <w:rsid w:val="005350EB"/>
    <w:rsid w:val="0053575D"/>
    <w:rsid w:val="00535761"/>
    <w:rsid w:val="00535F8B"/>
    <w:rsid w:val="0053667E"/>
    <w:rsid w:val="00536809"/>
    <w:rsid w:val="00536A5B"/>
    <w:rsid w:val="005375D2"/>
    <w:rsid w:val="0053790E"/>
    <w:rsid w:val="00537CE1"/>
    <w:rsid w:val="00537D82"/>
    <w:rsid w:val="00537E6B"/>
    <w:rsid w:val="0054008C"/>
    <w:rsid w:val="00540183"/>
    <w:rsid w:val="00540C33"/>
    <w:rsid w:val="00540F58"/>
    <w:rsid w:val="00540FFD"/>
    <w:rsid w:val="00541213"/>
    <w:rsid w:val="00541307"/>
    <w:rsid w:val="00541453"/>
    <w:rsid w:val="00541D6E"/>
    <w:rsid w:val="005421F6"/>
    <w:rsid w:val="00542843"/>
    <w:rsid w:val="005429F4"/>
    <w:rsid w:val="00542CBF"/>
    <w:rsid w:val="00543952"/>
    <w:rsid w:val="00543B56"/>
    <w:rsid w:val="00543F2E"/>
    <w:rsid w:val="0054444F"/>
    <w:rsid w:val="005446C9"/>
    <w:rsid w:val="00544C7F"/>
    <w:rsid w:val="00544CD3"/>
    <w:rsid w:val="00545A7A"/>
    <w:rsid w:val="00545CA7"/>
    <w:rsid w:val="00546071"/>
    <w:rsid w:val="005461EF"/>
    <w:rsid w:val="00546218"/>
    <w:rsid w:val="005465ED"/>
    <w:rsid w:val="00546915"/>
    <w:rsid w:val="005469AD"/>
    <w:rsid w:val="00546A42"/>
    <w:rsid w:val="00546F81"/>
    <w:rsid w:val="00547242"/>
    <w:rsid w:val="005473B0"/>
    <w:rsid w:val="00547782"/>
    <w:rsid w:val="005501BC"/>
    <w:rsid w:val="00550235"/>
    <w:rsid w:val="005502E6"/>
    <w:rsid w:val="0055099F"/>
    <w:rsid w:val="005510CA"/>
    <w:rsid w:val="00551602"/>
    <w:rsid w:val="005518C7"/>
    <w:rsid w:val="00551C78"/>
    <w:rsid w:val="00551D56"/>
    <w:rsid w:val="00551DD9"/>
    <w:rsid w:val="0055238B"/>
    <w:rsid w:val="005533D4"/>
    <w:rsid w:val="00553808"/>
    <w:rsid w:val="005539EC"/>
    <w:rsid w:val="00554C27"/>
    <w:rsid w:val="005551F6"/>
    <w:rsid w:val="005552DB"/>
    <w:rsid w:val="00556145"/>
    <w:rsid w:val="005566F6"/>
    <w:rsid w:val="00556C08"/>
    <w:rsid w:val="00556F84"/>
    <w:rsid w:val="00556FBD"/>
    <w:rsid w:val="005570AA"/>
    <w:rsid w:val="00557179"/>
    <w:rsid w:val="005573E6"/>
    <w:rsid w:val="00557C9E"/>
    <w:rsid w:val="00557F07"/>
    <w:rsid w:val="00557F9A"/>
    <w:rsid w:val="0056025A"/>
    <w:rsid w:val="0056066E"/>
    <w:rsid w:val="005607D8"/>
    <w:rsid w:val="0056097D"/>
    <w:rsid w:val="00560D69"/>
    <w:rsid w:val="00560F77"/>
    <w:rsid w:val="00560FF2"/>
    <w:rsid w:val="00561557"/>
    <w:rsid w:val="00561CCB"/>
    <w:rsid w:val="00561D1B"/>
    <w:rsid w:val="00562035"/>
    <w:rsid w:val="00562183"/>
    <w:rsid w:val="00562324"/>
    <w:rsid w:val="00562A91"/>
    <w:rsid w:val="005631FF"/>
    <w:rsid w:val="005632D1"/>
    <w:rsid w:val="00563812"/>
    <w:rsid w:val="005638A4"/>
    <w:rsid w:val="005638BD"/>
    <w:rsid w:val="00564084"/>
    <w:rsid w:val="0056470D"/>
    <w:rsid w:val="0056477A"/>
    <w:rsid w:val="00564D83"/>
    <w:rsid w:val="00565244"/>
    <w:rsid w:val="005652CC"/>
    <w:rsid w:val="005654AD"/>
    <w:rsid w:val="00565B21"/>
    <w:rsid w:val="00565CB6"/>
    <w:rsid w:val="00566333"/>
    <w:rsid w:val="00566DCE"/>
    <w:rsid w:val="00567993"/>
    <w:rsid w:val="005679E7"/>
    <w:rsid w:val="00567B5F"/>
    <w:rsid w:val="00567C80"/>
    <w:rsid w:val="00567E88"/>
    <w:rsid w:val="0057051B"/>
    <w:rsid w:val="00570999"/>
    <w:rsid w:val="00570BD7"/>
    <w:rsid w:val="00570C57"/>
    <w:rsid w:val="00571126"/>
    <w:rsid w:val="005719F8"/>
    <w:rsid w:val="005724C5"/>
    <w:rsid w:val="00572E29"/>
    <w:rsid w:val="00573C2D"/>
    <w:rsid w:val="00573C49"/>
    <w:rsid w:val="00573C71"/>
    <w:rsid w:val="00573CD0"/>
    <w:rsid w:val="00573F34"/>
    <w:rsid w:val="00573F9C"/>
    <w:rsid w:val="0057406B"/>
    <w:rsid w:val="0057410A"/>
    <w:rsid w:val="005742EA"/>
    <w:rsid w:val="0057433F"/>
    <w:rsid w:val="00574761"/>
    <w:rsid w:val="005747D4"/>
    <w:rsid w:val="0057487E"/>
    <w:rsid w:val="005748A8"/>
    <w:rsid w:val="005748C2"/>
    <w:rsid w:val="00574E57"/>
    <w:rsid w:val="00574FAD"/>
    <w:rsid w:val="005750CB"/>
    <w:rsid w:val="00575739"/>
    <w:rsid w:val="00575B42"/>
    <w:rsid w:val="0057617A"/>
    <w:rsid w:val="00576425"/>
    <w:rsid w:val="005766F1"/>
    <w:rsid w:val="0057678D"/>
    <w:rsid w:val="00576880"/>
    <w:rsid w:val="0057713B"/>
    <w:rsid w:val="00577EAD"/>
    <w:rsid w:val="00580445"/>
    <w:rsid w:val="00580BFF"/>
    <w:rsid w:val="00581463"/>
    <w:rsid w:val="005815ED"/>
    <w:rsid w:val="00581E24"/>
    <w:rsid w:val="005821FD"/>
    <w:rsid w:val="005824CB"/>
    <w:rsid w:val="0058390F"/>
    <w:rsid w:val="00583C87"/>
    <w:rsid w:val="00583E1F"/>
    <w:rsid w:val="00584674"/>
    <w:rsid w:val="00584678"/>
    <w:rsid w:val="00584D27"/>
    <w:rsid w:val="00584DC3"/>
    <w:rsid w:val="00584F78"/>
    <w:rsid w:val="00585588"/>
    <w:rsid w:val="0058578C"/>
    <w:rsid w:val="00585791"/>
    <w:rsid w:val="00585A83"/>
    <w:rsid w:val="00585FB4"/>
    <w:rsid w:val="00587BA4"/>
    <w:rsid w:val="00587C71"/>
    <w:rsid w:val="00587D5F"/>
    <w:rsid w:val="00590593"/>
    <w:rsid w:val="00590B75"/>
    <w:rsid w:val="00590D31"/>
    <w:rsid w:val="005912BE"/>
    <w:rsid w:val="0059170B"/>
    <w:rsid w:val="005917EA"/>
    <w:rsid w:val="00591C66"/>
    <w:rsid w:val="0059267F"/>
    <w:rsid w:val="005929DA"/>
    <w:rsid w:val="00592BBD"/>
    <w:rsid w:val="005931AC"/>
    <w:rsid w:val="005931F9"/>
    <w:rsid w:val="00594625"/>
    <w:rsid w:val="00595F92"/>
    <w:rsid w:val="00596514"/>
    <w:rsid w:val="00596EE1"/>
    <w:rsid w:val="00596F2C"/>
    <w:rsid w:val="00597050"/>
    <w:rsid w:val="005971CD"/>
    <w:rsid w:val="00597625"/>
    <w:rsid w:val="00597979"/>
    <w:rsid w:val="00597A2F"/>
    <w:rsid w:val="00597A52"/>
    <w:rsid w:val="00597B28"/>
    <w:rsid w:val="005A03CD"/>
    <w:rsid w:val="005A03ED"/>
    <w:rsid w:val="005A0451"/>
    <w:rsid w:val="005A04CD"/>
    <w:rsid w:val="005A054A"/>
    <w:rsid w:val="005A0AE7"/>
    <w:rsid w:val="005A0F38"/>
    <w:rsid w:val="005A12D2"/>
    <w:rsid w:val="005A1363"/>
    <w:rsid w:val="005A183C"/>
    <w:rsid w:val="005A1B6C"/>
    <w:rsid w:val="005A253C"/>
    <w:rsid w:val="005A2F60"/>
    <w:rsid w:val="005A3123"/>
    <w:rsid w:val="005A3287"/>
    <w:rsid w:val="005A35C0"/>
    <w:rsid w:val="005A3769"/>
    <w:rsid w:val="005A38DF"/>
    <w:rsid w:val="005A42F8"/>
    <w:rsid w:val="005A4392"/>
    <w:rsid w:val="005A52BD"/>
    <w:rsid w:val="005A5A2D"/>
    <w:rsid w:val="005A5EA9"/>
    <w:rsid w:val="005A5FE2"/>
    <w:rsid w:val="005A60A3"/>
    <w:rsid w:val="005A655D"/>
    <w:rsid w:val="005A6576"/>
    <w:rsid w:val="005A6D3C"/>
    <w:rsid w:val="005A6E69"/>
    <w:rsid w:val="005A7389"/>
    <w:rsid w:val="005A74EA"/>
    <w:rsid w:val="005A74EC"/>
    <w:rsid w:val="005A755A"/>
    <w:rsid w:val="005A76B3"/>
    <w:rsid w:val="005A7AB1"/>
    <w:rsid w:val="005A7CE1"/>
    <w:rsid w:val="005B018D"/>
    <w:rsid w:val="005B03BC"/>
    <w:rsid w:val="005B07ED"/>
    <w:rsid w:val="005B0CE1"/>
    <w:rsid w:val="005B169F"/>
    <w:rsid w:val="005B16B1"/>
    <w:rsid w:val="005B1706"/>
    <w:rsid w:val="005B18C6"/>
    <w:rsid w:val="005B1985"/>
    <w:rsid w:val="005B1FCF"/>
    <w:rsid w:val="005B2858"/>
    <w:rsid w:val="005B2FAC"/>
    <w:rsid w:val="005B311D"/>
    <w:rsid w:val="005B327D"/>
    <w:rsid w:val="005B357B"/>
    <w:rsid w:val="005B3A81"/>
    <w:rsid w:val="005B3AF3"/>
    <w:rsid w:val="005B3B22"/>
    <w:rsid w:val="005B4550"/>
    <w:rsid w:val="005B4895"/>
    <w:rsid w:val="005B48D9"/>
    <w:rsid w:val="005B4E5E"/>
    <w:rsid w:val="005B527B"/>
    <w:rsid w:val="005B5873"/>
    <w:rsid w:val="005B5A12"/>
    <w:rsid w:val="005B5CA9"/>
    <w:rsid w:val="005B5F56"/>
    <w:rsid w:val="005B6188"/>
    <w:rsid w:val="005B61D6"/>
    <w:rsid w:val="005B650B"/>
    <w:rsid w:val="005B6B68"/>
    <w:rsid w:val="005B6F38"/>
    <w:rsid w:val="005B7343"/>
    <w:rsid w:val="005B7691"/>
    <w:rsid w:val="005B771B"/>
    <w:rsid w:val="005B79E5"/>
    <w:rsid w:val="005B7C89"/>
    <w:rsid w:val="005C059A"/>
    <w:rsid w:val="005C095A"/>
    <w:rsid w:val="005C0CD7"/>
    <w:rsid w:val="005C24B7"/>
    <w:rsid w:val="005C2CC2"/>
    <w:rsid w:val="005C359F"/>
    <w:rsid w:val="005C35DC"/>
    <w:rsid w:val="005C3C05"/>
    <w:rsid w:val="005C3C5E"/>
    <w:rsid w:val="005C3CFC"/>
    <w:rsid w:val="005C3F66"/>
    <w:rsid w:val="005C48DC"/>
    <w:rsid w:val="005C4956"/>
    <w:rsid w:val="005C4998"/>
    <w:rsid w:val="005C4ED5"/>
    <w:rsid w:val="005C6458"/>
    <w:rsid w:val="005C6B16"/>
    <w:rsid w:val="005C6F23"/>
    <w:rsid w:val="005C7BDE"/>
    <w:rsid w:val="005C7F67"/>
    <w:rsid w:val="005D016F"/>
    <w:rsid w:val="005D01A8"/>
    <w:rsid w:val="005D03AB"/>
    <w:rsid w:val="005D050A"/>
    <w:rsid w:val="005D06D4"/>
    <w:rsid w:val="005D09B0"/>
    <w:rsid w:val="005D0B2B"/>
    <w:rsid w:val="005D0CB0"/>
    <w:rsid w:val="005D0F6B"/>
    <w:rsid w:val="005D130C"/>
    <w:rsid w:val="005D16BF"/>
    <w:rsid w:val="005D1840"/>
    <w:rsid w:val="005D1BF7"/>
    <w:rsid w:val="005D20C6"/>
    <w:rsid w:val="005D2231"/>
    <w:rsid w:val="005D238E"/>
    <w:rsid w:val="005D2573"/>
    <w:rsid w:val="005D26ED"/>
    <w:rsid w:val="005D297E"/>
    <w:rsid w:val="005D2A4F"/>
    <w:rsid w:val="005D2A73"/>
    <w:rsid w:val="005D2D1F"/>
    <w:rsid w:val="005D2EFF"/>
    <w:rsid w:val="005D32D3"/>
    <w:rsid w:val="005D335D"/>
    <w:rsid w:val="005D39DD"/>
    <w:rsid w:val="005D3CB5"/>
    <w:rsid w:val="005D3F66"/>
    <w:rsid w:val="005D40D6"/>
    <w:rsid w:val="005D5114"/>
    <w:rsid w:val="005D580A"/>
    <w:rsid w:val="005D651E"/>
    <w:rsid w:val="005D6530"/>
    <w:rsid w:val="005D69C2"/>
    <w:rsid w:val="005D69E3"/>
    <w:rsid w:val="005D6C1D"/>
    <w:rsid w:val="005D6FF3"/>
    <w:rsid w:val="005D70FC"/>
    <w:rsid w:val="005D7A05"/>
    <w:rsid w:val="005D7A28"/>
    <w:rsid w:val="005E0142"/>
    <w:rsid w:val="005E0742"/>
    <w:rsid w:val="005E0AF5"/>
    <w:rsid w:val="005E0C42"/>
    <w:rsid w:val="005E121F"/>
    <w:rsid w:val="005E15A5"/>
    <w:rsid w:val="005E1699"/>
    <w:rsid w:val="005E16B0"/>
    <w:rsid w:val="005E1AD9"/>
    <w:rsid w:val="005E2A0B"/>
    <w:rsid w:val="005E2A58"/>
    <w:rsid w:val="005E2BD6"/>
    <w:rsid w:val="005E2F53"/>
    <w:rsid w:val="005E347F"/>
    <w:rsid w:val="005E388F"/>
    <w:rsid w:val="005E467F"/>
    <w:rsid w:val="005E471D"/>
    <w:rsid w:val="005E4BD5"/>
    <w:rsid w:val="005E5023"/>
    <w:rsid w:val="005E5382"/>
    <w:rsid w:val="005E545C"/>
    <w:rsid w:val="005E55CC"/>
    <w:rsid w:val="005E5733"/>
    <w:rsid w:val="005E5A4F"/>
    <w:rsid w:val="005E5C62"/>
    <w:rsid w:val="005E5E25"/>
    <w:rsid w:val="005E6000"/>
    <w:rsid w:val="005E61A4"/>
    <w:rsid w:val="005E6294"/>
    <w:rsid w:val="005E6577"/>
    <w:rsid w:val="005E6F07"/>
    <w:rsid w:val="005E7151"/>
    <w:rsid w:val="005E74AD"/>
    <w:rsid w:val="005E7972"/>
    <w:rsid w:val="005E7BF4"/>
    <w:rsid w:val="005E7D42"/>
    <w:rsid w:val="005E7E34"/>
    <w:rsid w:val="005F0498"/>
    <w:rsid w:val="005F0796"/>
    <w:rsid w:val="005F0E43"/>
    <w:rsid w:val="005F0EBE"/>
    <w:rsid w:val="005F1614"/>
    <w:rsid w:val="005F2A79"/>
    <w:rsid w:val="005F2BAE"/>
    <w:rsid w:val="005F3102"/>
    <w:rsid w:val="005F318B"/>
    <w:rsid w:val="005F32F0"/>
    <w:rsid w:val="005F3499"/>
    <w:rsid w:val="005F3D68"/>
    <w:rsid w:val="005F433E"/>
    <w:rsid w:val="005F4985"/>
    <w:rsid w:val="005F49DC"/>
    <w:rsid w:val="005F5495"/>
    <w:rsid w:val="005F55F1"/>
    <w:rsid w:val="005F5946"/>
    <w:rsid w:val="005F597B"/>
    <w:rsid w:val="005F5A8B"/>
    <w:rsid w:val="005F5C3F"/>
    <w:rsid w:val="005F5D5F"/>
    <w:rsid w:val="005F6514"/>
    <w:rsid w:val="005F685B"/>
    <w:rsid w:val="005F68FD"/>
    <w:rsid w:val="005F6A4C"/>
    <w:rsid w:val="005F753C"/>
    <w:rsid w:val="005F7567"/>
    <w:rsid w:val="005F794B"/>
    <w:rsid w:val="005F7E24"/>
    <w:rsid w:val="005F7F6A"/>
    <w:rsid w:val="00600955"/>
    <w:rsid w:val="00600E80"/>
    <w:rsid w:val="006010C9"/>
    <w:rsid w:val="006015D2"/>
    <w:rsid w:val="0060177B"/>
    <w:rsid w:val="006017BB"/>
    <w:rsid w:val="00601C6B"/>
    <w:rsid w:val="00601D48"/>
    <w:rsid w:val="00601F93"/>
    <w:rsid w:val="0060268A"/>
    <w:rsid w:val="00602E13"/>
    <w:rsid w:val="00602F1E"/>
    <w:rsid w:val="00603677"/>
    <w:rsid w:val="006037C7"/>
    <w:rsid w:val="00603868"/>
    <w:rsid w:val="00604597"/>
    <w:rsid w:val="006049B8"/>
    <w:rsid w:val="00604A87"/>
    <w:rsid w:val="00605AD9"/>
    <w:rsid w:val="00605B0F"/>
    <w:rsid w:val="00605D96"/>
    <w:rsid w:val="00605FBD"/>
    <w:rsid w:val="00606D74"/>
    <w:rsid w:val="006074B1"/>
    <w:rsid w:val="00607537"/>
    <w:rsid w:val="00607C35"/>
    <w:rsid w:val="00607D05"/>
    <w:rsid w:val="00607D83"/>
    <w:rsid w:val="00610186"/>
    <w:rsid w:val="006102F5"/>
    <w:rsid w:val="00610674"/>
    <w:rsid w:val="00610AA7"/>
    <w:rsid w:val="00610D33"/>
    <w:rsid w:val="00610F04"/>
    <w:rsid w:val="0061169D"/>
    <w:rsid w:val="006117C8"/>
    <w:rsid w:val="006118CA"/>
    <w:rsid w:val="00612229"/>
    <w:rsid w:val="00612902"/>
    <w:rsid w:val="00612A7B"/>
    <w:rsid w:val="00613092"/>
    <w:rsid w:val="0061325B"/>
    <w:rsid w:val="00613504"/>
    <w:rsid w:val="00613753"/>
    <w:rsid w:val="00613C51"/>
    <w:rsid w:val="00613DE4"/>
    <w:rsid w:val="006145D6"/>
    <w:rsid w:val="00614AED"/>
    <w:rsid w:val="00614FD0"/>
    <w:rsid w:val="00615291"/>
    <w:rsid w:val="0061560D"/>
    <w:rsid w:val="00615845"/>
    <w:rsid w:val="00615A80"/>
    <w:rsid w:val="00615B4B"/>
    <w:rsid w:val="0061607C"/>
    <w:rsid w:val="006164CC"/>
    <w:rsid w:val="00616527"/>
    <w:rsid w:val="00616CC2"/>
    <w:rsid w:val="00616E76"/>
    <w:rsid w:val="00617130"/>
    <w:rsid w:val="006171DC"/>
    <w:rsid w:val="0061726E"/>
    <w:rsid w:val="006173FB"/>
    <w:rsid w:val="006174DB"/>
    <w:rsid w:val="00617987"/>
    <w:rsid w:val="00617D3E"/>
    <w:rsid w:val="00620BFB"/>
    <w:rsid w:val="006215F2"/>
    <w:rsid w:val="006217ED"/>
    <w:rsid w:val="00621FA5"/>
    <w:rsid w:val="00622CBA"/>
    <w:rsid w:val="00624320"/>
    <w:rsid w:val="00624532"/>
    <w:rsid w:val="006248CB"/>
    <w:rsid w:val="00624AC0"/>
    <w:rsid w:val="00625847"/>
    <w:rsid w:val="00625AAE"/>
    <w:rsid w:val="00625B6C"/>
    <w:rsid w:val="0062638A"/>
    <w:rsid w:val="00626CDE"/>
    <w:rsid w:val="00626CEF"/>
    <w:rsid w:val="006273C9"/>
    <w:rsid w:val="00627752"/>
    <w:rsid w:val="0063006B"/>
    <w:rsid w:val="00630689"/>
    <w:rsid w:val="00630C7E"/>
    <w:rsid w:val="00630CF6"/>
    <w:rsid w:val="00630D1D"/>
    <w:rsid w:val="0063129C"/>
    <w:rsid w:val="00631876"/>
    <w:rsid w:val="0063194A"/>
    <w:rsid w:val="00632D59"/>
    <w:rsid w:val="00632D9F"/>
    <w:rsid w:val="00633063"/>
    <w:rsid w:val="00633539"/>
    <w:rsid w:val="006336FD"/>
    <w:rsid w:val="006337FD"/>
    <w:rsid w:val="0063385F"/>
    <w:rsid w:val="00634C2B"/>
    <w:rsid w:val="006361E5"/>
    <w:rsid w:val="0063627E"/>
    <w:rsid w:val="00636872"/>
    <w:rsid w:val="00636E67"/>
    <w:rsid w:val="00636F02"/>
    <w:rsid w:val="006371DD"/>
    <w:rsid w:val="0063727C"/>
    <w:rsid w:val="00637BBD"/>
    <w:rsid w:val="00637E9F"/>
    <w:rsid w:val="00637FB1"/>
    <w:rsid w:val="00640365"/>
    <w:rsid w:val="0064067D"/>
    <w:rsid w:val="00641428"/>
    <w:rsid w:val="00641B02"/>
    <w:rsid w:val="006423B5"/>
    <w:rsid w:val="006426C6"/>
    <w:rsid w:val="00642D3E"/>
    <w:rsid w:val="00643027"/>
    <w:rsid w:val="006443F4"/>
    <w:rsid w:val="00644B6C"/>
    <w:rsid w:val="00644E33"/>
    <w:rsid w:val="006450DC"/>
    <w:rsid w:val="00645ABD"/>
    <w:rsid w:val="00645DA4"/>
    <w:rsid w:val="00645E02"/>
    <w:rsid w:val="00646140"/>
    <w:rsid w:val="006469FB"/>
    <w:rsid w:val="00646CDB"/>
    <w:rsid w:val="00647619"/>
    <w:rsid w:val="006477AE"/>
    <w:rsid w:val="0065063E"/>
    <w:rsid w:val="0065086F"/>
    <w:rsid w:val="00650E9A"/>
    <w:rsid w:val="0065113A"/>
    <w:rsid w:val="006514AA"/>
    <w:rsid w:val="006516A9"/>
    <w:rsid w:val="0065192D"/>
    <w:rsid w:val="00651A52"/>
    <w:rsid w:val="00651BA0"/>
    <w:rsid w:val="00651C3A"/>
    <w:rsid w:val="00651E72"/>
    <w:rsid w:val="00651FA7"/>
    <w:rsid w:val="006521FF"/>
    <w:rsid w:val="006543AC"/>
    <w:rsid w:val="00654454"/>
    <w:rsid w:val="00654A83"/>
    <w:rsid w:val="00655130"/>
    <w:rsid w:val="00656076"/>
    <w:rsid w:val="006564BC"/>
    <w:rsid w:val="006566AE"/>
    <w:rsid w:val="00656D15"/>
    <w:rsid w:val="00656DE9"/>
    <w:rsid w:val="006573D7"/>
    <w:rsid w:val="00657412"/>
    <w:rsid w:val="00657499"/>
    <w:rsid w:val="00657692"/>
    <w:rsid w:val="00657BB7"/>
    <w:rsid w:val="0066012C"/>
    <w:rsid w:val="00660F00"/>
    <w:rsid w:val="00661445"/>
    <w:rsid w:val="00661645"/>
    <w:rsid w:val="00661673"/>
    <w:rsid w:val="00661861"/>
    <w:rsid w:val="006619FF"/>
    <w:rsid w:val="00661CC5"/>
    <w:rsid w:val="00661FD2"/>
    <w:rsid w:val="00662263"/>
    <w:rsid w:val="00662336"/>
    <w:rsid w:val="0066256F"/>
    <w:rsid w:val="00662AA2"/>
    <w:rsid w:val="00662B2D"/>
    <w:rsid w:val="00662CD3"/>
    <w:rsid w:val="00662DA7"/>
    <w:rsid w:val="006630E6"/>
    <w:rsid w:val="0066382F"/>
    <w:rsid w:val="00663AC2"/>
    <w:rsid w:val="00663E1B"/>
    <w:rsid w:val="00664437"/>
    <w:rsid w:val="0066459D"/>
    <w:rsid w:val="00664884"/>
    <w:rsid w:val="00664A65"/>
    <w:rsid w:val="00664C00"/>
    <w:rsid w:val="00665236"/>
    <w:rsid w:val="006654FF"/>
    <w:rsid w:val="00665509"/>
    <w:rsid w:val="0066558F"/>
    <w:rsid w:val="006656C2"/>
    <w:rsid w:val="00665A18"/>
    <w:rsid w:val="00665C8A"/>
    <w:rsid w:val="00665F28"/>
    <w:rsid w:val="006662E0"/>
    <w:rsid w:val="00666820"/>
    <w:rsid w:val="00666D46"/>
    <w:rsid w:val="00667CCE"/>
    <w:rsid w:val="006701EE"/>
    <w:rsid w:val="00670929"/>
    <w:rsid w:val="00670BA9"/>
    <w:rsid w:val="00670CDB"/>
    <w:rsid w:val="00670DD1"/>
    <w:rsid w:val="00670DE5"/>
    <w:rsid w:val="00670FCB"/>
    <w:rsid w:val="006710FD"/>
    <w:rsid w:val="00671264"/>
    <w:rsid w:val="00672284"/>
    <w:rsid w:val="00673006"/>
    <w:rsid w:val="006735CB"/>
    <w:rsid w:val="0067364C"/>
    <w:rsid w:val="006737E2"/>
    <w:rsid w:val="00673E25"/>
    <w:rsid w:val="00674009"/>
    <w:rsid w:val="00674027"/>
    <w:rsid w:val="00674193"/>
    <w:rsid w:val="006743E8"/>
    <w:rsid w:val="00675128"/>
    <w:rsid w:val="0067582C"/>
    <w:rsid w:val="00675E46"/>
    <w:rsid w:val="00675FED"/>
    <w:rsid w:val="00676351"/>
    <w:rsid w:val="0067649F"/>
    <w:rsid w:val="00676611"/>
    <w:rsid w:val="006768A4"/>
    <w:rsid w:val="0067703E"/>
    <w:rsid w:val="006771F8"/>
    <w:rsid w:val="00677BE6"/>
    <w:rsid w:val="00680572"/>
    <w:rsid w:val="006809B9"/>
    <w:rsid w:val="00681099"/>
    <w:rsid w:val="006816F1"/>
    <w:rsid w:val="00681BDA"/>
    <w:rsid w:val="00681C01"/>
    <w:rsid w:val="00681C30"/>
    <w:rsid w:val="00682104"/>
    <w:rsid w:val="00682526"/>
    <w:rsid w:val="00682683"/>
    <w:rsid w:val="00682778"/>
    <w:rsid w:val="00682AC7"/>
    <w:rsid w:val="00682EDC"/>
    <w:rsid w:val="006839A3"/>
    <w:rsid w:val="00683AF1"/>
    <w:rsid w:val="0068480D"/>
    <w:rsid w:val="00684950"/>
    <w:rsid w:val="00684A53"/>
    <w:rsid w:val="00684DD7"/>
    <w:rsid w:val="00684E0F"/>
    <w:rsid w:val="0068500C"/>
    <w:rsid w:val="006850E2"/>
    <w:rsid w:val="006858DF"/>
    <w:rsid w:val="00685C65"/>
    <w:rsid w:val="00685F73"/>
    <w:rsid w:val="00686125"/>
    <w:rsid w:val="006869DB"/>
    <w:rsid w:val="006869E7"/>
    <w:rsid w:val="00686F0D"/>
    <w:rsid w:val="0068709C"/>
    <w:rsid w:val="00690251"/>
    <w:rsid w:val="00690293"/>
    <w:rsid w:val="00690849"/>
    <w:rsid w:val="00690DC7"/>
    <w:rsid w:val="00690FAB"/>
    <w:rsid w:val="00691319"/>
    <w:rsid w:val="00691D57"/>
    <w:rsid w:val="00692287"/>
    <w:rsid w:val="006927CE"/>
    <w:rsid w:val="0069282F"/>
    <w:rsid w:val="00692AC1"/>
    <w:rsid w:val="00693143"/>
    <w:rsid w:val="00693542"/>
    <w:rsid w:val="006937EB"/>
    <w:rsid w:val="00693975"/>
    <w:rsid w:val="00693B85"/>
    <w:rsid w:val="00693C88"/>
    <w:rsid w:val="00693EBF"/>
    <w:rsid w:val="00693F99"/>
    <w:rsid w:val="00693FC2"/>
    <w:rsid w:val="006941B6"/>
    <w:rsid w:val="006948CA"/>
    <w:rsid w:val="00694A09"/>
    <w:rsid w:val="00694AC1"/>
    <w:rsid w:val="00694C5A"/>
    <w:rsid w:val="00694D0C"/>
    <w:rsid w:val="00694D98"/>
    <w:rsid w:val="00694E39"/>
    <w:rsid w:val="00695001"/>
    <w:rsid w:val="006957E5"/>
    <w:rsid w:val="00695A64"/>
    <w:rsid w:val="00696238"/>
    <w:rsid w:val="00696903"/>
    <w:rsid w:val="00696DB2"/>
    <w:rsid w:val="00696EEB"/>
    <w:rsid w:val="00697AF8"/>
    <w:rsid w:val="00697E21"/>
    <w:rsid w:val="006A0073"/>
    <w:rsid w:val="006A0259"/>
    <w:rsid w:val="006A0296"/>
    <w:rsid w:val="006A0307"/>
    <w:rsid w:val="006A0778"/>
    <w:rsid w:val="006A0C56"/>
    <w:rsid w:val="006A0D87"/>
    <w:rsid w:val="006A0FBB"/>
    <w:rsid w:val="006A15C0"/>
    <w:rsid w:val="006A15D5"/>
    <w:rsid w:val="006A1BCD"/>
    <w:rsid w:val="006A38F6"/>
    <w:rsid w:val="006A43DD"/>
    <w:rsid w:val="006A4658"/>
    <w:rsid w:val="006A47D6"/>
    <w:rsid w:val="006A5016"/>
    <w:rsid w:val="006A56B0"/>
    <w:rsid w:val="006A5E74"/>
    <w:rsid w:val="006A5F53"/>
    <w:rsid w:val="006A6662"/>
    <w:rsid w:val="006A69E7"/>
    <w:rsid w:val="006A6B9B"/>
    <w:rsid w:val="006A6FDE"/>
    <w:rsid w:val="006A7257"/>
    <w:rsid w:val="006A7443"/>
    <w:rsid w:val="006A74F2"/>
    <w:rsid w:val="006A770B"/>
    <w:rsid w:val="006A7767"/>
    <w:rsid w:val="006A7A48"/>
    <w:rsid w:val="006B0484"/>
    <w:rsid w:val="006B065A"/>
    <w:rsid w:val="006B0DC7"/>
    <w:rsid w:val="006B3054"/>
    <w:rsid w:val="006B36A0"/>
    <w:rsid w:val="006B3D62"/>
    <w:rsid w:val="006B3DFD"/>
    <w:rsid w:val="006B472C"/>
    <w:rsid w:val="006B5D3A"/>
    <w:rsid w:val="006B6031"/>
    <w:rsid w:val="006B6259"/>
    <w:rsid w:val="006B660A"/>
    <w:rsid w:val="006B6AA1"/>
    <w:rsid w:val="006B6B9C"/>
    <w:rsid w:val="006B6C76"/>
    <w:rsid w:val="006B6CB1"/>
    <w:rsid w:val="006B6E29"/>
    <w:rsid w:val="006B7203"/>
    <w:rsid w:val="006B74EE"/>
    <w:rsid w:val="006B7820"/>
    <w:rsid w:val="006B792C"/>
    <w:rsid w:val="006B7AE6"/>
    <w:rsid w:val="006B7C70"/>
    <w:rsid w:val="006B7D25"/>
    <w:rsid w:val="006B7DA3"/>
    <w:rsid w:val="006C04A8"/>
    <w:rsid w:val="006C0501"/>
    <w:rsid w:val="006C074F"/>
    <w:rsid w:val="006C0AE4"/>
    <w:rsid w:val="006C12E5"/>
    <w:rsid w:val="006C1334"/>
    <w:rsid w:val="006C14AC"/>
    <w:rsid w:val="006C19D4"/>
    <w:rsid w:val="006C1AD2"/>
    <w:rsid w:val="006C1C5E"/>
    <w:rsid w:val="006C2697"/>
    <w:rsid w:val="006C29F7"/>
    <w:rsid w:val="006C3366"/>
    <w:rsid w:val="006C34D6"/>
    <w:rsid w:val="006C35E6"/>
    <w:rsid w:val="006C360D"/>
    <w:rsid w:val="006C3778"/>
    <w:rsid w:val="006C3840"/>
    <w:rsid w:val="006C39D6"/>
    <w:rsid w:val="006C42D9"/>
    <w:rsid w:val="006C4633"/>
    <w:rsid w:val="006C496E"/>
    <w:rsid w:val="006C498F"/>
    <w:rsid w:val="006C4A28"/>
    <w:rsid w:val="006C5225"/>
    <w:rsid w:val="006C639C"/>
    <w:rsid w:val="006C6B3E"/>
    <w:rsid w:val="006C6D4A"/>
    <w:rsid w:val="006C6F2B"/>
    <w:rsid w:val="006C700F"/>
    <w:rsid w:val="006C711A"/>
    <w:rsid w:val="006C748D"/>
    <w:rsid w:val="006C75D4"/>
    <w:rsid w:val="006C7617"/>
    <w:rsid w:val="006C7785"/>
    <w:rsid w:val="006D01FC"/>
    <w:rsid w:val="006D08C7"/>
    <w:rsid w:val="006D0C60"/>
    <w:rsid w:val="006D0FA5"/>
    <w:rsid w:val="006D0FFB"/>
    <w:rsid w:val="006D1C7C"/>
    <w:rsid w:val="006D2281"/>
    <w:rsid w:val="006D2D4D"/>
    <w:rsid w:val="006D2EF9"/>
    <w:rsid w:val="006D30EB"/>
    <w:rsid w:val="006D3C32"/>
    <w:rsid w:val="006D405D"/>
    <w:rsid w:val="006D4704"/>
    <w:rsid w:val="006D4A15"/>
    <w:rsid w:val="006D4EF3"/>
    <w:rsid w:val="006D5242"/>
    <w:rsid w:val="006D526A"/>
    <w:rsid w:val="006D52CB"/>
    <w:rsid w:val="006D5868"/>
    <w:rsid w:val="006D5964"/>
    <w:rsid w:val="006D5DA8"/>
    <w:rsid w:val="006D5EC4"/>
    <w:rsid w:val="006D601F"/>
    <w:rsid w:val="006D6214"/>
    <w:rsid w:val="006D7858"/>
    <w:rsid w:val="006E0101"/>
    <w:rsid w:val="006E0315"/>
    <w:rsid w:val="006E0A2D"/>
    <w:rsid w:val="006E0D2B"/>
    <w:rsid w:val="006E0DFE"/>
    <w:rsid w:val="006E1021"/>
    <w:rsid w:val="006E116E"/>
    <w:rsid w:val="006E129C"/>
    <w:rsid w:val="006E15BF"/>
    <w:rsid w:val="006E1ECA"/>
    <w:rsid w:val="006E208F"/>
    <w:rsid w:val="006E288D"/>
    <w:rsid w:val="006E2958"/>
    <w:rsid w:val="006E303C"/>
    <w:rsid w:val="006E315C"/>
    <w:rsid w:val="006E353D"/>
    <w:rsid w:val="006E3B21"/>
    <w:rsid w:val="006E3F18"/>
    <w:rsid w:val="006E41A4"/>
    <w:rsid w:val="006E46A4"/>
    <w:rsid w:val="006E49C6"/>
    <w:rsid w:val="006E4C39"/>
    <w:rsid w:val="006E5062"/>
    <w:rsid w:val="006E5199"/>
    <w:rsid w:val="006E6856"/>
    <w:rsid w:val="006E6A61"/>
    <w:rsid w:val="006E6A99"/>
    <w:rsid w:val="006E6D8A"/>
    <w:rsid w:val="006E6E19"/>
    <w:rsid w:val="006E774E"/>
    <w:rsid w:val="006E7C36"/>
    <w:rsid w:val="006F01D0"/>
    <w:rsid w:val="006F024F"/>
    <w:rsid w:val="006F05A1"/>
    <w:rsid w:val="006F0770"/>
    <w:rsid w:val="006F0E05"/>
    <w:rsid w:val="006F126F"/>
    <w:rsid w:val="006F14A0"/>
    <w:rsid w:val="006F1835"/>
    <w:rsid w:val="006F1C4B"/>
    <w:rsid w:val="006F21BF"/>
    <w:rsid w:val="006F255B"/>
    <w:rsid w:val="006F256A"/>
    <w:rsid w:val="006F288E"/>
    <w:rsid w:val="006F31B3"/>
    <w:rsid w:val="006F332B"/>
    <w:rsid w:val="006F37EB"/>
    <w:rsid w:val="006F3854"/>
    <w:rsid w:val="006F3875"/>
    <w:rsid w:val="006F38D0"/>
    <w:rsid w:val="006F3F04"/>
    <w:rsid w:val="006F3F19"/>
    <w:rsid w:val="006F4103"/>
    <w:rsid w:val="006F4467"/>
    <w:rsid w:val="006F4623"/>
    <w:rsid w:val="006F49C7"/>
    <w:rsid w:val="006F4E9B"/>
    <w:rsid w:val="006F54C4"/>
    <w:rsid w:val="006F555A"/>
    <w:rsid w:val="006F57AD"/>
    <w:rsid w:val="006F58AE"/>
    <w:rsid w:val="006F646D"/>
    <w:rsid w:val="006F6BA8"/>
    <w:rsid w:val="006F6E3F"/>
    <w:rsid w:val="006F737B"/>
    <w:rsid w:val="006F7D8F"/>
    <w:rsid w:val="006F7DEA"/>
    <w:rsid w:val="00700235"/>
    <w:rsid w:val="00700311"/>
    <w:rsid w:val="00700316"/>
    <w:rsid w:val="00700A05"/>
    <w:rsid w:val="00700DA2"/>
    <w:rsid w:val="0070189A"/>
    <w:rsid w:val="00702977"/>
    <w:rsid w:val="00702B57"/>
    <w:rsid w:val="00702EBF"/>
    <w:rsid w:val="00703C7E"/>
    <w:rsid w:val="0070444E"/>
    <w:rsid w:val="007048F1"/>
    <w:rsid w:val="00704B00"/>
    <w:rsid w:val="00704B2B"/>
    <w:rsid w:val="00704CA8"/>
    <w:rsid w:val="00704DF2"/>
    <w:rsid w:val="0070514F"/>
    <w:rsid w:val="00705307"/>
    <w:rsid w:val="0070538E"/>
    <w:rsid w:val="00705670"/>
    <w:rsid w:val="00705AEB"/>
    <w:rsid w:val="00705AFE"/>
    <w:rsid w:val="00705DCD"/>
    <w:rsid w:val="00705EA0"/>
    <w:rsid w:val="00706195"/>
    <w:rsid w:val="00706580"/>
    <w:rsid w:val="00706748"/>
    <w:rsid w:val="00706F58"/>
    <w:rsid w:val="00707265"/>
    <w:rsid w:val="0070731E"/>
    <w:rsid w:val="00707A26"/>
    <w:rsid w:val="007103C1"/>
    <w:rsid w:val="00710B0F"/>
    <w:rsid w:val="00710B3A"/>
    <w:rsid w:val="0071136E"/>
    <w:rsid w:val="00712A7F"/>
    <w:rsid w:val="00712FF0"/>
    <w:rsid w:val="00713C16"/>
    <w:rsid w:val="00713E25"/>
    <w:rsid w:val="007146AB"/>
    <w:rsid w:val="00714A69"/>
    <w:rsid w:val="00714B9A"/>
    <w:rsid w:val="007150AB"/>
    <w:rsid w:val="00715D4F"/>
    <w:rsid w:val="00716C6A"/>
    <w:rsid w:val="007171F6"/>
    <w:rsid w:val="00717317"/>
    <w:rsid w:val="007173FE"/>
    <w:rsid w:val="007174B2"/>
    <w:rsid w:val="00717592"/>
    <w:rsid w:val="00717C0C"/>
    <w:rsid w:val="00717E4C"/>
    <w:rsid w:val="00721D81"/>
    <w:rsid w:val="00721F2C"/>
    <w:rsid w:val="0072294F"/>
    <w:rsid w:val="00722A20"/>
    <w:rsid w:val="00722D88"/>
    <w:rsid w:val="00723828"/>
    <w:rsid w:val="00723B83"/>
    <w:rsid w:val="00723C61"/>
    <w:rsid w:val="00723DC9"/>
    <w:rsid w:val="00723F8D"/>
    <w:rsid w:val="007240E5"/>
    <w:rsid w:val="00724255"/>
    <w:rsid w:val="007244BF"/>
    <w:rsid w:val="00724736"/>
    <w:rsid w:val="00724E0D"/>
    <w:rsid w:val="00725064"/>
    <w:rsid w:val="0072528C"/>
    <w:rsid w:val="007253E9"/>
    <w:rsid w:val="00725C08"/>
    <w:rsid w:val="007269F4"/>
    <w:rsid w:val="00726CA1"/>
    <w:rsid w:val="00726DAC"/>
    <w:rsid w:val="007275D2"/>
    <w:rsid w:val="007278FE"/>
    <w:rsid w:val="00727CCF"/>
    <w:rsid w:val="00727F3B"/>
    <w:rsid w:val="007310E6"/>
    <w:rsid w:val="007312D4"/>
    <w:rsid w:val="00731C0F"/>
    <w:rsid w:val="00731CC1"/>
    <w:rsid w:val="00732157"/>
    <w:rsid w:val="0073220E"/>
    <w:rsid w:val="00732476"/>
    <w:rsid w:val="00732547"/>
    <w:rsid w:val="007328E3"/>
    <w:rsid w:val="00732914"/>
    <w:rsid w:val="00733341"/>
    <w:rsid w:val="007336C5"/>
    <w:rsid w:val="007341AE"/>
    <w:rsid w:val="00734FE9"/>
    <w:rsid w:val="0073502F"/>
    <w:rsid w:val="00735089"/>
    <w:rsid w:val="00735554"/>
    <w:rsid w:val="00735624"/>
    <w:rsid w:val="00735CCE"/>
    <w:rsid w:val="0073608A"/>
    <w:rsid w:val="0073609D"/>
    <w:rsid w:val="00736C6F"/>
    <w:rsid w:val="00736C8E"/>
    <w:rsid w:val="00736E7B"/>
    <w:rsid w:val="007372E7"/>
    <w:rsid w:val="007374C7"/>
    <w:rsid w:val="0073780E"/>
    <w:rsid w:val="0074010A"/>
    <w:rsid w:val="00740289"/>
    <w:rsid w:val="0074044E"/>
    <w:rsid w:val="00740676"/>
    <w:rsid w:val="00740707"/>
    <w:rsid w:val="00740FC9"/>
    <w:rsid w:val="007413C7"/>
    <w:rsid w:val="007414A4"/>
    <w:rsid w:val="007415FD"/>
    <w:rsid w:val="007416C4"/>
    <w:rsid w:val="00741D81"/>
    <w:rsid w:val="00741E52"/>
    <w:rsid w:val="00741FB9"/>
    <w:rsid w:val="00742171"/>
    <w:rsid w:val="007421DC"/>
    <w:rsid w:val="0074277C"/>
    <w:rsid w:val="00742873"/>
    <w:rsid w:val="00742BDE"/>
    <w:rsid w:val="00743468"/>
    <w:rsid w:val="00743783"/>
    <w:rsid w:val="007437E4"/>
    <w:rsid w:val="00744678"/>
    <w:rsid w:val="00744A9A"/>
    <w:rsid w:val="00744DCC"/>
    <w:rsid w:val="00745101"/>
    <w:rsid w:val="007453B4"/>
    <w:rsid w:val="00745B1F"/>
    <w:rsid w:val="00745D5A"/>
    <w:rsid w:val="00745F4D"/>
    <w:rsid w:val="0074648B"/>
    <w:rsid w:val="00746B02"/>
    <w:rsid w:val="00746C9E"/>
    <w:rsid w:val="00746D06"/>
    <w:rsid w:val="00746F40"/>
    <w:rsid w:val="00747242"/>
    <w:rsid w:val="00747C47"/>
    <w:rsid w:val="00750A0C"/>
    <w:rsid w:val="00750B1D"/>
    <w:rsid w:val="00750F0B"/>
    <w:rsid w:val="007511E5"/>
    <w:rsid w:val="00751C84"/>
    <w:rsid w:val="00751EC0"/>
    <w:rsid w:val="00751FB9"/>
    <w:rsid w:val="0075249C"/>
    <w:rsid w:val="007526D3"/>
    <w:rsid w:val="007528EB"/>
    <w:rsid w:val="00752A15"/>
    <w:rsid w:val="00752D31"/>
    <w:rsid w:val="0075340E"/>
    <w:rsid w:val="0075373B"/>
    <w:rsid w:val="00753A9F"/>
    <w:rsid w:val="00753EC6"/>
    <w:rsid w:val="007552C0"/>
    <w:rsid w:val="007554A4"/>
    <w:rsid w:val="00755CD4"/>
    <w:rsid w:val="00755DDD"/>
    <w:rsid w:val="00755EED"/>
    <w:rsid w:val="007567D2"/>
    <w:rsid w:val="00756834"/>
    <w:rsid w:val="00756C52"/>
    <w:rsid w:val="00756D0B"/>
    <w:rsid w:val="00757438"/>
    <w:rsid w:val="00757B5F"/>
    <w:rsid w:val="0076034D"/>
    <w:rsid w:val="00760470"/>
    <w:rsid w:val="007606E3"/>
    <w:rsid w:val="00760AEE"/>
    <w:rsid w:val="00760F58"/>
    <w:rsid w:val="00761F7B"/>
    <w:rsid w:val="0076281A"/>
    <w:rsid w:val="00762BA5"/>
    <w:rsid w:val="007630E5"/>
    <w:rsid w:val="007634FD"/>
    <w:rsid w:val="00763B47"/>
    <w:rsid w:val="00763E0E"/>
    <w:rsid w:val="00764A33"/>
    <w:rsid w:val="00764ED0"/>
    <w:rsid w:val="00764F90"/>
    <w:rsid w:val="007651FD"/>
    <w:rsid w:val="007652CC"/>
    <w:rsid w:val="00765402"/>
    <w:rsid w:val="00765A0D"/>
    <w:rsid w:val="00765AF1"/>
    <w:rsid w:val="00765F95"/>
    <w:rsid w:val="00765FC3"/>
    <w:rsid w:val="00766768"/>
    <w:rsid w:val="00766EDC"/>
    <w:rsid w:val="007679AC"/>
    <w:rsid w:val="00767E0E"/>
    <w:rsid w:val="0077047A"/>
    <w:rsid w:val="007705F7"/>
    <w:rsid w:val="00770978"/>
    <w:rsid w:val="00770B17"/>
    <w:rsid w:val="00771417"/>
    <w:rsid w:val="0077178E"/>
    <w:rsid w:val="007723FD"/>
    <w:rsid w:val="0077297D"/>
    <w:rsid w:val="007729F4"/>
    <w:rsid w:val="00772EA8"/>
    <w:rsid w:val="007736CB"/>
    <w:rsid w:val="00773C88"/>
    <w:rsid w:val="00773CF6"/>
    <w:rsid w:val="00774569"/>
    <w:rsid w:val="00774A79"/>
    <w:rsid w:val="00775093"/>
    <w:rsid w:val="00775151"/>
    <w:rsid w:val="0077522F"/>
    <w:rsid w:val="00775370"/>
    <w:rsid w:val="007756D5"/>
    <w:rsid w:val="00775CC7"/>
    <w:rsid w:val="00776306"/>
    <w:rsid w:val="00776347"/>
    <w:rsid w:val="00776400"/>
    <w:rsid w:val="00776503"/>
    <w:rsid w:val="00776589"/>
    <w:rsid w:val="00776F3E"/>
    <w:rsid w:val="00776FCE"/>
    <w:rsid w:val="00777A5D"/>
    <w:rsid w:val="00780676"/>
    <w:rsid w:val="00780774"/>
    <w:rsid w:val="00780949"/>
    <w:rsid w:val="00780F7D"/>
    <w:rsid w:val="00781613"/>
    <w:rsid w:val="00781B35"/>
    <w:rsid w:val="007829D2"/>
    <w:rsid w:val="007833B7"/>
    <w:rsid w:val="00783BC1"/>
    <w:rsid w:val="00784214"/>
    <w:rsid w:val="007842F0"/>
    <w:rsid w:val="0078455F"/>
    <w:rsid w:val="00784C0C"/>
    <w:rsid w:val="0078524C"/>
    <w:rsid w:val="00785690"/>
    <w:rsid w:val="00785817"/>
    <w:rsid w:val="00785833"/>
    <w:rsid w:val="00785C5B"/>
    <w:rsid w:val="00785FB8"/>
    <w:rsid w:val="007866AF"/>
    <w:rsid w:val="00786816"/>
    <w:rsid w:val="00786943"/>
    <w:rsid w:val="007869E4"/>
    <w:rsid w:val="007879EC"/>
    <w:rsid w:val="00790CA6"/>
    <w:rsid w:val="00790FC7"/>
    <w:rsid w:val="00792BE9"/>
    <w:rsid w:val="00792BF4"/>
    <w:rsid w:val="0079320A"/>
    <w:rsid w:val="00793718"/>
    <w:rsid w:val="00793ED6"/>
    <w:rsid w:val="00794429"/>
    <w:rsid w:val="00794954"/>
    <w:rsid w:val="00794A54"/>
    <w:rsid w:val="00794B05"/>
    <w:rsid w:val="00794CB5"/>
    <w:rsid w:val="00794FBB"/>
    <w:rsid w:val="00795090"/>
    <w:rsid w:val="00795339"/>
    <w:rsid w:val="00795B60"/>
    <w:rsid w:val="007964C4"/>
    <w:rsid w:val="00796961"/>
    <w:rsid w:val="00796B77"/>
    <w:rsid w:val="00796DE5"/>
    <w:rsid w:val="0079769C"/>
    <w:rsid w:val="00797882"/>
    <w:rsid w:val="00797BF4"/>
    <w:rsid w:val="00797C1F"/>
    <w:rsid w:val="00797D1F"/>
    <w:rsid w:val="007A05BE"/>
    <w:rsid w:val="007A0644"/>
    <w:rsid w:val="007A08E0"/>
    <w:rsid w:val="007A0E0F"/>
    <w:rsid w:val="007A0FA2"/>
    <w:rsid w:val="007A0FD5"/>
    <w:rsid w:val="007A13E8"/>
    <w:rsid w:val="007A1460"/>
    <w:rsid w:val="007A16EE"/>
    <w:rsid w:val="007A1818"/>
    <w:rsid w:val="007A24D6"/>
    <w:rsid w:val="007A256F"/>
    <w:rsid w:val="007A2A5B"/>
    <w:rsid w:val="007A346F"/>
    <w:rsid w:val="007A3AE0"/>
    <w:rsid w:val="007A3E1A"/>
    <w:rsid w:val="007A57E5"/>
    <w:rsid w:val="007A5BE8"/>
    <w:rsid w:val="007A5EAA"/>
    <w:rsid w:val="007A6049"/>
    <w:rsid w:val="007A62C8"/>
    <w:rsid w:val="007A64C6"/>
    <w:rsid w:val="007A668E"/>
    <w:rsid w:val="007A6B0C"/>
    <w:rsid w:val="007A7337"/>
    <w:rsid w:val="007A7773"/>
    <w:rsid w:val="007B0082"/>
    <w:rsid w:val="007B0204"/>
    <w:rsid w:val="007B0B5A"/>
    <w:rsid w:val="007B0FE5"/>
    <w:rsid w:val="007B1041"/>
    <w:rsid w:val="007B11F9"/>
    <w:rsid w:val="007B17BD"/>
    <w:rsid w:val="007B234F"/>
    <w:rsid w:val="007B24D7"/>
    <w:rsid w:val="007B2789"/>
    <w:rsid w:val="007B303A"/>
    <w:rsid w:val="007B3212"/>
    <w:rsid w:val="007B329F"/>
    <w:rsid w:val="007B33AD"/>
    <w:rsid w:val="007B3AA6"/>
    <w:rsid w:val="007B3B1C"/>
    <w:rsid w:val="007B4055"/>
    <w:rsid w:val="007B4704"/>
    <w:rsid w:val="007B4718"/>
    <w:rsid w:val="007B4C20"/>
    <w:rsid w:val="007B4E48"/>
    <w:rsid w:val="007B551A"/>
    <w:rsid w:val="007B5A22"/>
    <w:rsid w:val="007B5A30"/>
    <w:rsid w:val="007B6055"/>
    <w:rsid w:val="007B6097"/>
    <w:rsid w:val="007B624C"/>
    <w:rsid w:val="007B63D1"/>
    <w:rsid w:val="007B64C2"/>
    <w:rsid w:val="007B6505"/>
    <w:rsid w:val="007B658E"/>
    <w:rsid w:val="007B67A6"/>
    <w:rsid w:val="007B7B1F"/>
    <w:rsid w:val="007B7ED6"/>
    <w:rsid w:val="007C08EC"/>
    <w:rsid w:val="007C165B"/>
    <w:rsid w:val="007C1856"/>
    <w:rsid w:val="007C18CF"/>
    <w:rsid w:val="007C1933"/>
    <w:rsid w:val="007C1937"/>
    <w:rsid w:val="007C1938"/>
    <w:rsid w:val="007C1A8A"/>
    <w:rsid w:val="007C1ACD"/>
    <w:rsid w:val="007C1F9F"/>
    <w:rsid w:val="007C2B80"/>
    <w:rsid w:val="007C30BC"/>
    <w:rsid w:val="007C3217"/>
    <w:rsid w:val="007C4118"/>
    <w:rsid w:val="007C445C"/>
    <w:rsid w:val="007C461D"/>
    <w:rsid w:val="007C46D5"/>
    <w:rsid w:val="007C4A46"/>
    <w:rsid w:val="007C4DFC"/>
    <w:rsid w:val="007C4ED5"/>
    <w:rsid w:val="007C5285"/>
    <w:rsid w:val="007C58DB"/>
    <w:rsid w:val="007C63C6"/>
    <w:rsid w:val="007C69E4"/>
    <w:rsid w:val="007C6F24"/>
    <w:rsid w:val="007C767D"/>
    <w:rsid w:val="007C7BD0"/>
    <w:rsid w:val="007D0032"/>
    <w:rsid w:val="007D08E8"/>
    <w:rsid w:val="007D09B9"/>
    <w:rsid w:val="007D0CE4"/>
    <w:rsid w:val="007D22E1"/>
    <w:rsid w:val="007D23E9"/>
    <w:rsid w:val="007D24DB"/>
    <w:rsid w:val="007D25FE"/>
    <w:rsid w:val="007D26E0"/>
    <w:rsid w:val="007D2D99"/>
    <w:rsid w:val="007D2EB8"/>
    <w:rsid w:val="007D3101"/>
    <w:rsid w:val="007D3297"/>
    <w:rsid w:val="007D36B7"/>
    <w:rsid w:val="007D3E1A"/>
    <w:rsid w:val="007D3F37"/>
    <w:rsid w:val="007D4105"/>
    <w:rsid w:val="007D4B0B"/>
    <w:rsid w:val="007D4B26"/>
    <w:rsid w:val="007D5247"/>
    <w:rsid w:val="007D5479"/>
    <w:rsid w:val="007D5AD5"/>
    <w:rsid w:val="007D5C1C"/>
    <w:rsid w:val="007D6663"/>
    <w:rsid w:val="007D66CF"/>
    <w:rsid w:val="007D7083"/>
    <w:rsid w:val="007D75D4"/>
    <w:rsid w:val="007D7BA8"/>
    <w:rsid w:val="007D7DDC"/>
    <w:rsid w:val="007E04E1"/>
    <w:rsid w:val="007E0D0C"/>
    <w:rsid w:val="007E1AD5"/>
    <w:rsid w:val="007E1B4F"/>
    <w:rsid w:val="007E25E9"/>
    <w:rsid w:val="007E2722"/>
    <w:rsid w:val="007E27B2"/>
    <w:rsid w:val="007E2FB9"/>
    <w:rsid w:val="007E3439"/>
    <w:rsid w:val="007E3537"/>
    <w:rsid w:val="007E36E3"/>
    <w:rsid w:val="007E39F3"/>
    <w:rsid w:val="007E3B20"/>
    <w:rsid w:val="007E3D10"/>
    <w:rsid w:val="007E3D3C"/>
    <w:rsid w:val="007E4288"/>
    <w:rsid w:val="007E4309"/>
    <w:rsid w:val="007E4669"/>
    <w:rsid w:val="007E46D2"/>
    <w:rsid w:val="007E4F71"/>
    <w:rsid w:val="007E5BFD"/>
    <w:rsid w:val="007E5CE6"/>
    <w:rsid w:val="007E5D6C"/>
    <w:rsid w:val="007E64A2"/>
    <w:rsid w:val="007E6783"/>
    <w:rsid w:val="007E6903"/>
    <w:rsid w:val="007E6FE9"/>
    <w:rsid w:val="007E7181"/>
    <w:rsid w:val="007E75B2"/>
    <w:rsid w:val="007E78C6"/>
    <w:rsid w:val="007E7962"/>
    <w:rsid w:val="007E7E3C"/>
    <w:rsid w:val="007E7EA4"/>
    <w:rsid w:val="007E7F2D"/>
    <w:rsid w:val="007F0105"/>
    <w:rsid w:val="007F0A54"/>
    <w:rsid w:val="007F1CA1"/>
    <w:rsid w:val="007F1E48"/>
    <w:rsid w:val="007F1E72"/>
    <w:rsid w:val="007F1FC4"/>
    <w:rsid w:val="007F20D7"/>
    <w:rsid w:val="007F2447"/>
    <w:rsid w:val="007F2CB7"/>
    <w:rsid w:val="007F2EF1"/>
    <w:rsid w:val="007F3880"/>
    <w:rsid w:val="007F3E83"/>
    <w:rsid w:val="007F40BA"/>
    <w:rsid w:val="007F4407"/>
    <w:rsid w:val="007F4930"/>
    <w:rsid w:val="007F4E47"/>
    <w:rsid w:val="007F5061"/>
    <w:rsid w:val="007F5522"/>
    <w:rsid w:val="007F59FB"/>
    <w:rsid w:val="007F6061"/>
    <w:rsid w:val="007F7178"/>
    <w:rsid w:val="007F7516"/>
    <w:rsid w:val="007F7679"/>
    <w:rsid w:val="007F7C7A"/>
    <w:rsid w:val="007F7DBB"/>
    <w:rsid w:val="007F7EF2"/>
    <w:rsid w:val="00800168"/>
    <w:rsid w:val="0080060A"/>
    <w:rsid w:val="008007C6"/>
    <w:rsid w:val="0080093D"/>
    <w:rsid w:val="008009A9"/>
    <w:rsid w:val="00801A1A"/>
    <w:rsid w:val="00802256"/>
    <w:rsid w:val="0080262F"/>
    <w:rsid w:val="008028A6"/>
    <w:rsid w:val="00802C1C"/>
    <w:rsid w:val="00803129"/>
    <w:rsid w:val="00803D2E"/>
    <w:rsid w:val="0080442E"/>
    <w:rsid w:val="008044D1"/>
    <w:rsid w:val="008045F1"/>
    <w:rsid w:val="0080497B"/>
    <w:rsid w:val="00805062"/>
    <w:rsid w:val="00805886"/>
    <w:rsid w:val="0080596A"/>
    <w:rsid w:val="00805D20"/>
    <w:rsid w:val="00805E7C"/>
    <w:rsid w:val="00805FCD"/>
    <w:rsid w:val="008063BD"/>
    <w:rsid w:val="008067A1"/>
    <w:rsid w:val="00806D06"/>
    <w:rsid w:val="0080707C"/>
    <w:rsid w:val="008070C6"/>
    <w:rsid w:val="00807279"/>
    <w:rsid w:val="00807626"/>
    <w:rsid w:val="0080777E"/>
    <w:rsid w:val="00807800"/>
    <w:rsid w:val="00807A5A"/>
    <w:rsid w:val="00810377"/>
    <w:rsid w:val="0081048F"/>
    <w:rsid w:val="0081085D"/>
    <w:rsid w:val="008109F2"/>
    <w:rsid w:val="00810C0D"/>
    <w:rsid w:val="00810D3D"/>
    <w:rsid w:val="00810E54"/>
    <w:rsid w:val="00810F52"/>
    <w:rsid w:val="00811607"/>
    <w:rsid w:val="00811B71"/>
    <w:rsid w:val="00811F67"/>
    <w:rsid w:val="0081252E"/>
    <w:rsid w:val="0081284D"/>
    <w:rsid w:val="00812F2E"/>
    <w:rsid w:val="0081301E"/>
    <w:rsid w:val="0081304E"/>
    <w:rsid w:val="00813242"/>
    <w:rsid w:val="0081346D"/>
    <w:rsid w:val="008139A6"/>
    <w:rsid w:val="00813C6C"/>
    <w:rsid w:val="008140B6"/>
    <w:rsid w:val="0081427D"/>
    <w:rsid w:val="008142AF"/>
    <w:rsid w:val="00814313"/>
    <w:rsid w:val="00814AD5"/>
    <w:rsid w:val="00814B4D"/>
    <w:rsid w:val="00815EF5"/>
    <w:rsid w:val="008167F2"/>
    <w:rsid w:val="00816921"/>
    <w:rsid w:val="00816924"/>
    <w:rsid w:val="00816BC0"/>
    <w:rsid w:val="00816FDA"/>
    <w:rsid w:val="00817805"/>
    <w:rsid w:val="00817E8F"/>
    <w:rsid w:val="00817FDD"/>
    <w:rsid w:val="0082018F"/>
    <w:rsid w:val="00820352"/>
    <w:rsid w:val="00820435"/>
    <w:rsid w:val="008205B6"/>
    <w:rsid w:val="00820D76"/>
    <w:rsid w:val="00821053"/>
    <w:rsid w:val="008211C3"/>
    <w:rsid w:val="00821C6D"/>
    <w:rsid w:val="00821F38"/>
    <w:rsid w:val="0082228E"/>
    <w:rsid w:val="00822469"/>
    <w:rsid w:val="008224CB"/>
    <w:rsid w:val="0082262A"/>
    <w:rsid w:val="008227BF"/>
    <w:rsid w:val="008228AA"/>
    <w:rsid w:val="008228EA"/>
    <w:rsid w:val="00822B3F"/>
    <w:rsid w:val="00823113"/>
    <w:rsid w:val="00823159"/>
    <w:rsid w:val="008231A3"/>
    <w:rsid w:val="00823999"/>
    <w:rsid w:val="0082494B"/>
    <w:rsid w:val="00824DF3"/>
    <w:rsid w:val="008255B6"/>
    <w:rsid w:val="008256AA"/>
    <w:rsid w:val="0082574F"/>
    <w:rsid w:val="00825D1A"/>
    <w:rsid w:val="00825DB6"/>
    <w:rsid w:val="008263D2"/>
    <w:rsid w:val="00826847"/>
    <w:rsid w:val="00826B55"/>
    <w:rsid w:val="008273B4"/>
    <w:rsid w:val="00827C6F"/>
    <w:rsid w:val="00827D54"/>
    <w:rsid w:val="00827DEC"/>
    <w:rsid w:val="00827E4F"/>
    <w:rsid w:val="00827EA3"/>
    <w:rsid w:val="00827FC5"/>
    <w:rsid w:val="008301E4"/>
    <w:rsid w:val="00830577"/>
    <w:rsid w:val="0083057B"/>
    <w:rsid w:val="0083086D"/>
    <w:rsid w:val="00830905"/>
    <w:rsid w:val="00830D7E"/>
    <w:rsid w:val="0083121B"/>
    <w:rsid w:val="00831254"/>
    <w:rsid w:val="0083165D"/>
    <w:rsid w:val="00831A1F"/>
    <w:rsid w:val="00831A99"/>
    <w:rsid w:val="00831F0F"/>
    <w:rsid w:val="0083227C"/>
    <w:rsid w:val="00832456"/>
    <w:rsid w:val="008327B9"/>
    <w:rsid w:val="0083288D"/>
    <w:rsid w:val="00832A56"/>
    <w:rsid w:val="00832FF2"/>
    <w:rsid w:val="00833229"/>
    <w:rsid w:val="0083351A"/>
    <w:rsid w:val="00833923"/>
    <w:rsid w:val="00833DEF"/>
    <w:rsid w:val="00833E7D"/>
    <w:rsid w:val="00833F29"/>
    <w:rsid w:val="00833F98"/>
    <w:rsid w:val="00834196"/>
    <w:rsid w:val="008343DB"/>
    <w:rsid w:val="008344A3"/>
    <w:rsid w:val="0083467D"/>
    <w:rsid w:val="00834919"/>
    <w:rsid w:val="008349C6"/>
    <w:rsid w:val="00834C3A"/>
    <w:rsid w:val="00835295"/>
    <w:rsid w:val="00835395"/>
    <w:rsid w:val="00835DD1"/>
    <w:rsid w:val="008360A8"/>
    <w:rsid w:val="00836166"/>
    <w:rsid w:val="0083655D"/>
    <w:rsid w:val="008366CA"/>
    <w:rsid w:val="00837D5D"/>
    <w:rsid w:val="0084062C"/>
    <w:rsid w:val="00840DDD"/>
    <w:rsid w:val="008413E1"/>
    <w:rsid w:val="00841534"/>
    <w:rsid w:val="0084160B"/>
    <w:rsid w:val="00841A60"/>
    <w:rsid w:val="00841C82"/>
    <w:rsid w:val="00841D29"/>
    <w:rsid w:val="0084239D"/>
    <w:rsid w:val="0084255C"/>
    <w:rsid w:val="00842ABE"/>
    <w:rsid w:val="00842BC4"/>
    <w:rsid w:val="0084304C"/>
    <w:rsid w:val="0084329E"/>
    <w:rsid w:val="00843AE8"/>
    <w:rsid w:val="00844336"/>
    <w:rsid w:val="00844AE0"/>
    <w:rsid w:val="00845194"/>
    <w:rsid w:val="00845195"/>
    <w:rsid w:val="008456D5"/>
    <w:rsid w:val="0084591F"/>
    <w:rsid w:val="00845CA2"/>
    <w:rsid w:val="00846051"/>
    <w:rsid w:val="0084634B"/>
    <w:rsid w:val="00846469"/>
    <w:rsid w:val="00846976"/>
    <w:rsid w:val="00846BC9"/>
    <w:rsid w:val="00846D96"/>
    <w:rsid w:val="00847620"/>
    <w:rsid w:val="008478B9"/>
    <w:rsid w:val="0085007A"/>
    <w:rsid w:val="00850160"/>
    <w:rsid w:val="0085024D"/>
    <w:rsid w:val="00850282"/>
    <w:rsid w:val="00850633"/>
    <w:rsid w:val="008508B3"/>
    <w:rsid w:val="00850B9F"/>
    <w:rsid w:val="00850BF1"/>
    <w:rsid w:val="00851193"/>
    <w:rsid w:val="00851785"/>
    <w:rsid w:val="008518CE"/>
    <w:rsid w:val="00851959"/>
    <w:rsid w:val="00851BB1"/>
    <w:rsid w:val="008531D1"/>
    <w:rsid w:val="0085348C"/>
    <w:rsid w:val="008534D6"/>
    <w:rsid w:val="00853C7A"/>
    <w:rsid w:val="00853F29"/>
    <w:rsid w:val="008543D2"/>
    <w:rsid w:val="00854A57"/>
    <w:rsid w:val="00854F54"/>
    <w:rsid w:val="00855768"/>
    <w:rsid w:val="00855F3E"/>
    <w:rsid w:val="008564F9"/>
    <w:rsid w:val="0085676A"/>
    <w:rsid w:val="00856A04"/>
    <w:rsid w:val="008572C5"/>
    <w:rsid w:val="0085772C"/>
    <w:rsid w:val="00857976"/>
    <w:rsid w:val="00857D52"/>
    <w:rsid w:val="008600D2"/>
    <w:rsid w:val="0086033A"/>
    <w:rsid w:val="00860480"/>
    <w:rsid w:val="0086056B"/>
    <w:rsid w:val="00860591"/>
    <w:rsid w:val="00860CE1"/>
    <w:rsid w:val="00861B91"/>
    <w:rsid w:val="00861DCE"/>
    <w:rsid w:val="00861E4D"/>
    <w:rsid w:val="00861E8D"/>
    <w:rsid w:val="0086272D"/>
    <w:rsid w:val="008629F3"/>
    <w:rsid w:val="00862B09"/>
    <w:rsid w:val="00862B1D"/>
    <w:rsid w:val="008632B6"/>
    <w:rsid w:val="0086343C"/>
    <w:rsid w:val="0086369D"/>
    <w:rsid w:val="00863D9C"/>
    <w:rsid w:val="00863DC2"/>
    <w:rsid w:val="008641AB"/>
    <w:rsid w:val="00865074"/>
    <w:rsid w:val="00865362"/>
    <w:rsid w:val="00866553"/>
    <w:rsid w:val="0086740A"/>
    <w:rsid w:val="008677D4"/>
    <w:rsid w:val="00870362"/>
    <w:rsid w:val="008705D7"/>
    <w:rsid w:val="00870692"/>
    <w:rsid w:val="00871130"/>
    <w:rsid w:val="00871ADC"/>
    <w:rsid w:val="0087210B"/>
    <w:rsid w:val="008722BE"/>
    <w:rsid w:val="00872540"/>
    <w:rsid w:val="0087269E"/>
    <w:rsid w:val="00872A76"/>
    <w:rsid w:val="00872B09"/>
    <w:rsid w:val="008732ED"/>
    <w:rsid w:val="0087339A"/>
    <w:rsid w:val="00873FC6"/>
    <w:rsid w:val="008740D1"/>
    <w:rsid w:val="00874BD9"/>
    <w:rsid w:val="008751AD"/>
    <w:rsid w:val="008757B6"/>
    <w:rsid w:val="00875A31"/>
    <w:rsid w:val="008763D7"/>
    <w:rsid w:val="00876456"/>
    <w:rsid w:val="00876F18"/>
    <w:rsid w:val="0087716D"/>
    <w:rsid w:val="0087718D"/>
    <w:rsid w:val="008777E5"/>
    <w:rsid w:val="008777FE"/>
    <w:rsid w:val="00877916"/>
    <w:rsid w:val="00877CF4"/>
    <w:rsid w:val="008809E5"/>
    <w:rsid w:val="00881C97"/>
    <w:rsid w:val="008834EC"/>
    <w:rsid w:val="00883BA8"/>
    <w:rsid w:val="00883CCE"/>
    <w:rsid w:val="00884077"/>
    <w:rsid w:val="008840F7"/>
    <w:rsid w:val="0088414C"/>
    <w:rsid w:val="0088417D"/>
    <w:rsid w:val="008845F0"/>
    <w:rsid w:val="00884CD3"/>
    <w:rsid w:val="008855F3"/>
    <w:rsid w:val="00886485"/>
    <w:rsid w:val="008864E2"/>
    <w:rsid w:val="00886537"/>
    <w:rsid w:val="00886572"/>
    <w:rsid w:val="008868F6"/>
    <w:rsid w:val="00886F65"/>
    <w:rsid w:val="00886FB7"/>
    <w:rsid w:val="0088703B"/>
    <w:rsid w:val="008870CA"/>
    <w:rsid w:val="008874EC"/>
    <w:rsid w:val="00887987"/>
    <w:rsid w:val="00887B18"/>
    <w:rsid w:val="00887BD6"/>
    <w:rsid w:val="008901D4"/>
    <w:rsid w:val="00890E59"/>
    <w:rsid w:val="00891127"/>
    <w:rsid w:val="00891AFE"/>
    <w:rsid w:val="008926AF"/>
    <w:rsid w:val="008927E2"/>
    <w:rsid w:val="00892B33"/>
    <w:rsid w:val="00892C41"/>
    <w:rsid w:val="00892EFB"/>
    <w:rsid w:val="0089314E"/>
    <w:rsid w:val="008931C5"/>
    <w:rsid w:val="008935AE"/>
    <w:rsid w:val="00893B8F"/>
    <w:rsid w:val="00893D12"/>
    <w:rsid w:val="00894066"/>
    <w:rsid w:val="008941D1"/>
    <w:rsid w:val="008942E9"/>
    <w:rsid w:val="00894AB7"/>
    <w:rsid w:val="00894B75"/>
    <w:rsid w:val="00894BB0"/>
    <w:rsid w:val="00896A83"/>
    <w:rsid w:val="00896A88"/>
    <w:rsid w:val="00896C9F"/>
    <w:rsid w:val="00897410"/>
    <w:rsid w:val="008A0226"/>
    <w:rsid w:val="008A0919"/>
    <w:rsid w:val="008A0A9C"/>
    <w:rsid w:val="008A0AA9"/>
    <w:rsid w:val="008A0E66"/>
    <w:rsid w:val="008A105E"/>
    <w:rsid w:val="008A1242"/>
    <w:rsid w:val="008A13AD"/>
    <w:rsid w:val="008A1417"/>
    <w:rsid w:val="008A1887"/>
    <w:rsid w:val="008A2057"/>
    <w:rsid w:val="008A24C6"/>
    <w:rsid w:val="008A2C95"/>
    <w:rsid w:val="008A3255"/>
    <w:rsid w:val="008A3425"/>
    <w:rsid w:val="008A3F0C"/>
    <w:rsid w:val="008A3F10"/>
    <w:rsid w:val="008A4049"/>
    <w:rsid w:val="008A4169"/>
    <w:rsid w:val="008A4268"/>
    <w:rsid w:val="008A483D"/>
    <w:rsid w:val="008A4E59"/>
    <w:rsid w:val="008A532D"/>
    <w:rsid w:val="008A5597"/>
    <w:rsid w:val="008A5AC3"/>
    <w:rsid w:val="008A5D69"/>
    <w:rsid w:val="008A5E74"/>
    <w:rsid w:val="008A641F"/>
    <w:rsid w:val="008A64F0"/>
    <w:rsid w:val="008A653C"/>
    <w:rsid w:val="008A66C7"/>
    <w:rsid w:val="008A751B"/>
    <w:rsid w:val="008A7C1C"/>
    <w:rsid w:val="008A7C49"/>
    <w:rsid w:val="008A7CC9"/>
    <w:rsid w:val="008B0188"/>
    <w:rsid w:val="008B046C"/>
    <w:rsid w:val="008B1ACE"/>
    <w:rsid w:val="008B1D46"/>
    <w:rsid w:val="008B2411"/>
    <w:rsid w:val="008B24FE"/>
    <w:rsid w:val="008B2739"/>
    <w:rsid w:val="008B2850"/>
    <w:rsid w:val="008B31E4"/>
    <w:rsid w:val="008B39B6"/>
    <w:rsid w:val="008B3ECB"/>
    <w:rsid w:val="008B41AB"/>
    <w:rsid w:val="008B4487"/>
    <w:rsid w:val="008B50DA"/>
    <w:rsid w:val="008B52CE"/>
    <w:rsid w:val="008B5365"/>
    <w:rsid w:val="008B53B2"/>
    <w:rsid w:val="008B59CB"/>
    <w:rsid w:val="008B6493"/>
    <w:rsid w:val="008B688D"/>
    <w:rsid w:val="008B6A0C"/>
    <w:rsid w:val="008B6A81"/>
    <w:rsid w:val="008B7C6E"/>
    <w:rsid w:val="008C1CAD"/>
    <w:rsid w:val="008C1DCB"/>
    <w:rsid w:val="008C1E67"/>
    <w:rsid w:val="008C1FBD"/>
    <w:rsid w:val="008C218F"/>
    <w:rsid w:val="008C2235"/>
    <w:rsid w:val="008C2463"/>
    <w:rsid w:val="008C35E9"/>
    <w:rsid w:val="008C3691"/>
    <w:rsid w:val="008C3790"/>
    <w:rsid w:val="008C3B31"/>
    <w:rsid w:val="008C3CB3"/>
    <w:rsid w:val="008C3E27"/>
    <w:rsid w:val="008C4115"/>
    <w:rsid w:val="008C4253"/>
    <w:rsid w:val="008C4380"/>
    <w:rsid w:val="008C44E4"/>
    <w:rsid w:val="008C46F0"/>
    <w:rsid w:val="008C4A07"/>
    <w:rsid w:val="008C4BC8"/>
    <w:rsid w:val="008C5A12"/>
    <w:rsid w:val="008C5B50"/>
    <w:rsid w:val="008C5E34"/>
    <w:rsid w:val="008C6C8B"/>
    <w:rsid w:val="008C7230"/>
    <w:rsid w:val="008C7B7E"/>
    <w:rsid w:val="008C7D62"/>
    <w:rsid w:val="008D019D"/>
    <w:rsid w:val="008D03A2"/>
    <w:rsid w:val="008D0773"/>
    <w:rsid w:val="008D08DF"/>
    <w:rsid w:val="008D0A6B"/>
    <w:rsid w:val="008D0E8B"/>
    <w:rsid w:val="008D109C"/>
    <w:rsid w:val="008D10BB"/>
    <w:rsid w:val="008D186B"/>
    <w:rsid w:val="008D1899"/>
    <w:rsid w:val="008D1913"/>
    <w:rsid w:val="008D22AC"/>
    <w:rsid w:val="008D25BB"/>
    <w:rsid w:val="008D2729"/>
    <w:rsid w:val="008D2A70"/>
    <w:rsid w:val="008D2E38"/>
    <w:rsid w:val="008D3C90"/>
    <w:rsid w:val="008D3E38"/>
    <w:rsid w:val="008D4965"/>
    <w:rsid w:val="008D49C5"/>
    <w:rsid w:val="008D51E7"/>
    <w:rsid w:val="008D5D97"/>
    <w:rsid w:val="008D5F12"/>
    <w:rsid w:val="008D6A99"/>
    <w:rsid w:val="008D6CBC"/>
    <w:rsid w:val="008D6FA5"/>
    <w:rsid w:val="008D6FA8"/>
    <w:rsid w:val="008D7379"/>
    <w:rsid w:val="008D7809"/>
    <w:rsid w:val="008E0D53"/>
    <w:rsid w:val="008E0D56"/>
    <w:rsid w:val="008E0FB3"/>
    <w:rsid w:val="008E1364"/>
    <w:rsid w:val="008E145F"/>
    <w:rsid w:val="008E19C0"/>
    <w:rsid w:val="008E2089"/>
    <w:rsid w:val="008E240B"/>
    <w:rsid w:val="008E2502"/>
    <w:rsid w:val="008E2583"/>
    <w:rsid w:val="008E2A0D"/>
    <w:rsid w:val="008E3177"/>
    <w:rsid w:val="008E31C6"/>
    <w:rsid w:val="008E35D3"/>
    <w:rsid w:val="008E3A52"/>
    <w:rsid w:val="008E4140"/>
    <w:rsid w:val="008E44C6"/>
    <w:rsid w:val="008E4AB2"/>
    <w:rsid w:val="008E50F9"/>
    <w:rsid w:val="008E5176"/>
    <w:rsid w:val="008E5261"/>
    <w:rsid w:val="008E52B3"/>
    <w:rsid w:val="008E54A5"/>
    <w:rsid w:val="008E5F66"/>
    <w:rsid w:val="008E61A2"/>
    <w:rsid w:val="008E651F"/>
    <w:rsid w:val="008E693F"/>
    <w:rsid w:val="008E6BC9"/>
    <w:rsid w:val="008E721F"/>
    <w:rsid w:val="008E7504"/>
    <w:rsid w:val="008F0B3F"/>
    <w:rsid w:val="008F0E6D"/>
    <w:rsid w:val="008F1238"/>
    <w:rsid w:val="008F16AB"/>
    <w:rsid w:val="008F16F2"/>
    <w:rsid w:val="008F1746"/>
    <w:rsid w:val="008F1C49"/>
    <w:rsid w:val="008F1C94"/>
    <w:rsid w:val="008F2110"/>
    <w:rsid w:val="008F2D15"/>
    <w:rsid w:val="008F2F20"/>
    <w:rsid w:val="008F345B"/>
    <w:rsid w:val="008F37AB"/>
    <w:rsid w:val="008F4E4A"/>
    <w:rsid w:val="008F5398"/>
    <w:rsid w:val="008F58B4"/>
    <w:rsid w:val="008F691F"/>
    <w:rsid w:val="008F6DC9"/>
    <w:rsid w:val="008F7252"/>
    <w:rsid w:val="008F76EC"/>
    <w:rsid w:val="008F77E1"/>
    <w:rsid w:val="008F798D"/>
    <w:rsid w:val="00900A08"/>
    <w:rsid w:val="00900C94"/>
    <w:rsid w:val="00900C9A"/>
    <w:rsid w:val="00900E38"/>
    <w:rsid w:val="00900E94"/>
    <w:rsid w:val="00901033"/>
    <w:rsid w:val="009014AC"/>
    <w:rsid w:val="00901CF8"/>
    <w:rsid w:val="00902296"/>
    <w:rsid w:val="0090263A"/>
    <w:rsid w:val="009031CC"/>
    <w:rsid w:val="009032C0"/>
    <w:rsid w:val="00904101"/>
    <w:rsid w:val="0090414F"/>
    <w:rsid w:val="009044E3"/>
    <w:rsid w:val="00904763"/>
    <w:rsid w:val="00904773"/>
    <w:rsid w:val="00904F52"/>
    <w:rsid w:val="009052CB"/>
    <w:rsid w:val="0090595A"/>
    <w:rsid w:val="0090643C"/>
    <w:rsid w:val="0090675E"/>
    <w:rsid w:val="009068D0"/>
    <w:rsid w:val="009069AA"/>
    <w:rsid w:val="00906D01"/>
    <w:rsid w:val="00906F8C"/>
    <w:rsid w:val="0091006E"/>
    <w:rsid w:val="00910C27"/>
    <w:rsid w:val="00910CF7"/>
    <w:rsid w:val="00910CFB"/>
    <w:rsid w:val="00910ED7"/>
    <w:rsid w:val="0091110C"/>
    <w:rsid w:val="0091128E"/>
    <w:rsid w:val="00911A16"/>
    <w:rsid w:val="00911B19"/>
    <w:rsid w:val="00911FBC"/>
    <w:rsid w:val="00912242"/>
    <w:rsid w:val="009124B0"/>
    <w:rsid w:val="00912712"/>
    <w:rsid w:val="00912AEC"/>
    <w:rsid w:val="00912CDC"/>
    <w:rsid w:val="00912E72"/>
    <w:rsid w:val="009130C7"/>
    <w:rsid w:val="009139C0"/>
    <w:rsid w:val="00913D92"/>
    <w:rsid w:val="00914D06"/>
    <w:rsid w:val="00914F31"/>
    <w:rsid w:val="00914F43"/>
    <w:rsid w:val="00915033"/>
    <w:rsid w:val="0091537A"/>
    <w:rsid w:val="0091550A"/>
    <w:rsid w:val="00915756"/>
    <w:rsid w:val="0091629B"/>
    <w:rsid w:val="00916379"/>
    <w:rsid w:val="00916861"/>
    <w:rsid w:val="0091698D"/>
    <w:rsid w:val="00916EA3"/>
    <w:rsid w:val="00916F09"/>
    <w:rsid w:val="00917933"/>
    <w:rsid w:val="009200A2"/>
    <w:rsid w:val="0092081E"/>
    <w:rsid w:val="009209AD"/>
    <w:rsid w:val="0092153F"/>
    <w:rsid w:val="00921611"/>
    <w:rsid w:val="00921620"/>
    <w:rsid w:val="009216DE"/>
    <w:rsid w:val="009219C6"/>
    <w:rsid w:val="00921A36"/>
    <w:rsid w:val="00921EF2"/>
    <w:rsid w:val="00922140"/>
    <w:rsid w:val="009227F3"/>
    <w:rsid w:val="00922985"/>
    <w:rsid w:val="0092321D"/>
    <w:rsid w:val="009235A0"/>
    <w:rsid w:val="00924063"/>
    <w:rsid w:val="0092414D"/>
    <w:rsid w:val="009241C2"/>
    <w:rsid w:val="00924291"/>
    <w:rsid w:val="009242A6"/>
    <w:rsid w:val="0092542C"/>
    <w:rsid w:val="009257AE"/>
    <w:rsid w:val="00925C84"/>
    <w:rsid w:val="00926951"/>
    <w:rsid w:val="0092726F"/>
    <w:rsid w:val="00927790"/>
    <w:rsid w:val="009278B3"/>
    <w:rsid w:val="00927B6A"/>
    <w:rsid w:val="00930920"/>
    <w:rsid w:val="00930944"/>
    <w:rsid w:val="00931381"/>
    <w:rsid w:val="009314F7"/>
    <w:rsid w:val="00931E52"/>
    <w:rsid w:val="0093232A"/>
    <w:rsid w:val="009326DA"/>
    <w:rsid w:val="00932774"/>
    <w:rsid w:val="00932F98"/>
    <w:rsid w:val="00932FAB"/>
    <w:rsid w:val="009338FC"/>
    <w:rsid w:val="00933DBE"/>
    <w:rsid w:val="0093567A"/>
    <w:rsid w:val="00935A6C"/>
    <w:rsid w:val="00935CFC"/>
    <w:rsid w:val="00935FF3"/>
    <w:rsid w:val="00936403"/>
    <w:rsid w:val="00936478"/>
    <w:rsid w:val="00936A6C"/>
    <w:rsid w:val="00937670"/>
    <w:rsid w:val="00937997"/>
    <w:rsid w:val="009379B4"/>
    <w:rsid w:val="00937E97"/>
    <w:rsid w:val="00940466"/>
    <w:rsid w:val="0094056A"/>
    <w:rsid w:val="0094079C"/>
    <w:rsid w:val="00940871"/>
    <w:rsid w:val="00940E0C"/>
    <w:rsid w:val="00942374"/>
    <w:rsid w:val="009426B0"/>
    <w:rsid w:val="00942A17"/>
    <w:rsid w:val="00942DCB"/>
    <w:rsid w:val="0094346B"/>
    <w:rsid w:val="00943739"/>
    <w:rsid w:val="009438FB"/>
    <w:rsid w:val="00943CCF"/>
    <w:rsid w:val="00943DA9"/>
    <w:rsid w:val="00943DB3"/>
    <w:rsid w:val="00943E6B"/>
    <w:rsid w:val="009444B2"/>
    <w:rsid w:val="0094468B"/>
    <w:rsid w:val="00944720"/>
    <w:rsid w:val="00944E20"/>
    <w:rsid w:val="00944F9D"/>
    <w:rsid w:val="0094520B"/>
    <w:rsid w:val="009455BA"/>
    <w:rsid w:val="009467A7"/>
    <w:rsid w:val="00946A86"/>
    <w:rsid w:val="00946D07"/>
    <w:rsid w:val="00946EEF"/>
    <w:rsid w:val="00946FC8"/>
    <w:rsid w:val="00947657"/>
    <w:rsid w:val="009476DE"/>
    <w:rsid w:val="0094787E"/>
    <w:rsid w:val="00950153"/>
    <w:rsid w:val="0095051B"/>
    <w:rsid w:val="00950E20"/>
    <w:rsid w:val="00950F31"/>
    <w:rsid w:val="009512BD"/>
    <w:rsid w:val="00951353"/>
    <w:rsid w:val="009515F0"/>
    <w:rsid w:val="00951764"/>
    <w:rsid w:val="0095180E"/>
    <w:rsid w:val="00951A05"/>
    <w:rsid w:val="00951A19"/>
    <w:rsid w:val="00951B16"/>
    <w:rsid w:val="009520EF"/>
    <w:rsid w:val="00952178"/>
    <w:rsid w:val="0095225F"/>
    <w:rsid w:val="0095236D"/>
    <w:rsid w:val="00952632"/>
    <w:rsid w:val="00952942"/>
    <w:rsid w:val="00952BE4"/>
    <w:rsid w:val="00952D4D"/>
    <w:rsid w:val="00952DC4"/>
    <w:rsid w:val="00952E01"/>
    <w:rsid w:val="00953055"/>
    <w:rsid w:val="00953081"/>
    <w:rsid w:val="0095312F"/>
    <w:rsid w:val="009531D0"/>
    <w:rsid w:val="00953336"/>
    <w:rsid w:val="00953337"/>
    <w:rsid w:val="0095364C"/>
    <w:rsid w:val="00954A31"/>
    <w:rsid w:val="00954BCA"/>
    <w:rsid w:val="00954DF0"/>
    <w:rsid w:val="00955B7E"/>
    <w:rsid w:val="00956074"/>
    <w:rsid w:val="00956076"/>
    <w:rsid w:val="009560C2"/>
    <w:rsid w:val="0095612C"/>
    <w:rsid w:val="009568F4"/>
    <w:rsid w:val="0095691C"/>
    <w:rsid w:val="00956971"/>
    <w:rsid w:val="00956BD6"/>
    <w:rsid w:val="00957283"/>
    <w:rsid w:val="00957688"/>
    <w:rsid w:val="00957FE7"/>
    <w:rsid w:val="00960C03"/>
    <w:rsid w:val="00961AEC"/>
    <w:rsid w:val="00961CAA"/>
    <w:rsid w:val="009625A1"/>
    <w:rsid w:val="009628EF"/>
    <w:rsid w:val="00962F63"/>
    <w:rsid w:val="00963712"/>
    <w:rsid w:val="009641E4"/>
    <w:rsid w:val="009645A0"/>
    <w:rsid w:val="009645F7"/>
    <w:rsid w:val="00964872"/>
    <w:rsid w:val="00964BD6"/>
    <w:rsid w:val="00964FC5"/>
    <w:rsid w:val="009664A7"/>
    <w:rsid w:val="00966541"/>
    <w:rsid w:val="00966C35"/>
    <w:rsid w:val="009672DD"/>
    <w:rsid w:val="00970194"/>
    <w:rsid w:val="0097032A"/>
    <w:rsid w:val="00970461"/>
    <w:rsid w:val="009704F0"/>
    <w:rsid w:val="00970776"/>
    <w:rsid w:val="00970860"/>
    <w:rsid w:val="009712D3"/>
    <w:rsid w:val="00971C35"/>
    <w:rsid w:val="00971F24"/>
    <w:rsid w:val="00972924"/>
    <w:rsid w:val="00972982"/>
    <w:rsid w:val="009729D1"/>
    <w:rsid w:val="00972A26"/>
    <w:rsid w:val="00972BDD"/>
    <w:rsid w:val="00972DAD"/>
    <w:rsid w:val="009734D1"/>
    <w:rsid w:val="00973AA7"/>
    <w:rsid w:val="00973F3C"/>
    <w:rsid w:val="00974825"/>
    <w:rsid w:val="00974880"/>
    <w:rsid w:val="009748E3"/>
    <w:rsid w:val="00974954"/>
    <w:rsid w:val="00974E33"/>
    <w:rsid w:val="00975101"/>
    <w:rsid w:val="00975118"/>
    <w:rsid w:val="009751B6"/>
    <w:rsid w:val="0097569D"/>
    <w:rsid w:val="009756E2"/>
    <w:rsid w:val="00975E76"/>
    <w:rsid w:val="00977038"/>
    <w:rsid w:val="009772FF"/>
    <w:rsid w:val="009777AB"/>
    <w:rsid w:val="00977E3F"/>
    <w:rsid w:val="00980894"/>
    <w:rsid w:val="00980C70"/>
    <w:rsid w:val="00980F8B"/>
    <w:rsid w:val="009814E9"/>
    <w:rsid w:val="00981584"/>
    <w:rsid w:val="00981598"/>
    <w:rsid w:val="00981782"/>
    <w:rsid w:val="009821BC"/>
    <w:rsid w:val="00982AA1"/>
    <w:rsid w:val="00982CA5"/>
    <w:rsid w:val="00982F93"/>
    <w:rsid w:val="00983AA5"/>
    <w:rsid w:val="00983C75"/>
    <w:rsid w:val="00984DF9"/>
    <w:rsid w:val="00985308"/>
    <w:rsid w:val="0098590D"/>
    <w:rsid w:val="00985C12"/>
    <w:rsid w:val="009862FE"/>
    <w:rsid w:val="0098636C"/>
    <w:rsid w:val="00986733"/>
    <w:rsid w:val="00986736"/>
    <w:rsid w:val="00986B34"/>
    <w:rsid w:val="00987E8A"/>
    <w:rsid w:val="00990C75"/>
    <w:rsid w:val="0099130C"/>
    <w:rsid w:val="0099187B"/>
    <w:rsid w:val="00991AE8"/>
    <w:rsid w:val="00991BDF"/>
    <w:rsid w:val="00991C34"/>
    <w:rsid w:val="0099219A"/>
    <w:rsid w:val="009921C7"/>
    <w:rsid w:val="0099223C"/>
    <w:rsid w:val="009926BC"/>
    <w:rsid w:val="00992D62"/>
    <w:rsid w:val="009931AB"/>
    <w:rsid w:val="00993226"/>
    <w:rsid w:val="009932BC"/>
    <w:rsid w:val="0099356C"/>
    <w:rsid w:val="0099394A"/>
    <w:rsid w:val="00993F88"/>
    <w:rsid w:val="009941FD"/>
    <w:rsid w:val="00994250"/>
    <w:rsid w:val="0099460F"/>
    <w:rsid w:val="009948F5"/>
    <w:rsid w:val="00994900"/>
    <w:rsid w:val="00994AEF"/>
    <w:rsid w:val="00994CFE"/>
    <w:rsid w:val="00994D97"/>
    <w:rsid w:val="00994EA5"/>
    <w:rsid w:val="00994F00"/>
    <w:rsid w:val="0099522C"/>
    <w:rsid w:val="00995235"/>
    <w:rsid w:val="009952B9"/>
    <w:rsid w:val="0099546D"/>
    <w:rsid w:val="0099550E"/>
    <w:rsid w:val="00995693"/>
    <w:rsid w:val="009959AA"/>
    <w:rsid w:val="00995C0B"/>
    <w:rsid w:val="00996517"/>
    <w:rsid w:val="00996747"/>
    <w:rsid w:val="00996B63"/>
    <w:rsid w:val="009977E0"/>
    <w:rsid w:val="009979C7"/>
    <w:rsid w:val="00997B3D"/>
    <w:rsid w:val="00997DA6"/>
    <w:rsid w:val="009A0F94"/>
    <w:rsid w:val="009A1241"/>
    <w:rsid w:val="009A1323"/>
    <w:rsid w:val="009A1E8F"/>
    <w:rsid w:val="009A1F2E"/>
    <w:rsid w:val="009A240E"/>
    <w:rsid w:val="009A27B1"/>
    <w:rsid w:val="009A2C9D"/>
    <w:rsid w:val="009A370C"/>
    <w:rsid w:val="009A3C7C"/>
    <w:rsid w:val="009A3E8A"/>
    <w:rsid w:val="009A4357"/>
    <w:rsid w:val="009A449B"/>
    <w:rsid w:val="009A4953"/>
    <w:rsid w:val="009A49DD"/>
    <w:rsid w:val="009A507C"/>
    <w:rsid w:val="009A513D"/>
    <w:rsid w:val="009A53D5"/>
    <w:rsid w:val="009A54D1"/>
    <w:rsid w:val="009A587F"/>
    <w:rsid w:val="009A5AA0"/>
    <w:rsid w:val="009A5F96"/>
    <w:rsid w:val="009A6337"/>
    <w:rsid w:val="009A6A2F"/>
    <w:rsid w:val="009A6C45"/>
    <w:rsid w:val="009A7550"/>
    <w:rsid w:val="009A76F6"/>
    <w:rsid w:val="009A7B46"/>
    <w:rsid w:val="009A7B81"/>
    <w:rsid w:val="009B00F2"/>
    <w:rsid w:val="009B014B"/>
    <w:rsid w:val="009B01A9"/>
    <w:rsid w:val="009B01B4"/>
    <w:rsid w:val="009B0815"/>
    <w:rsid w:val="009B0AD8"/>
    <w:rsid w:val="009B1A77"/>
    <w:rsid w:val="009B1D3A"/>
    <w:rsid w:val="009B1D96"/>
    <w:rsid w:val="009B1F82"/>
    <w:rsid w:val="009B2079"/>
    <w:rsid w:val="009B2D92"/>
    <w:rsid w:val="009B2DBF"/>
    <w:rsid w:val="009B34D5"/>
    <w:rsid w:val="009B35C9"/>
    <w:rsid w:val="009B3841"/>
    <w:rsid w:val="009B3926"/>
    <w:rsid w:val="009B409D"/>
    <w:rsid w:val="009B4485"/>
    <w:rsid w:val="009B4D0E"/>
    <w:rsid w:val="009B5062"/>
    <w:rsid w:val="009B56AC"/>
    <w:rsid w:val="009B57D6"/>
    <w:rsid w:val="009B57F3"/>
    <w:rsid w:val="009B5A29"/>
    <w:rsid w:val="009B5A6A"/>
    <w:rsid w:val="009B62D2"/>
    <w:rsid w:val="009B6460"/>
    <w:rsid w:val="009B64E7"/>
    <w:rsid w:val="009B6754"/>
    <w:rsid w:val="009B681C"/>
    <w:rsid w:val="009B6978"/>
    <w:rsid w:val="009B7211"/>
    <w:rsid w:val="009B73B0"/>
    <w:rsid w:val="009B73F9"/>
    <w:rsid w:val="009B7474"/>
    <w:rsid w:val="009B7686"/>
    <w:rsid w:val="009B7AE2"/>
    <w:rsid w:val="009C0186"/>
    <w:rsid w:val="009C0647"/>
    <w:rsid w:val="009C163C"/>
    <w:rsid w:val="009C1AA0"/>
    <w:rsid w:val="009C1BB5"/>
    <w:rsid w:val="009C2935"/>
    <w:rsid w:val="009C2F7F"/>
    <w:rsid w:val="009C3053"/>
    <w:rsid w:val="009C3367"/>
    <w:rsid w:val="009C408C"/>
    <w:rsid w:val="009C41B0"/>
    <w:rsid w:val="009C4459"/>
    <w:rsid w:val="009C459D"/>
    <w:rsid w:val="009C486D"/>
    <w:rsid w:val="009C48BE"/>
    <w:rsid w:val="009C4CE0"/>
    <w:rsid w:val="009C4D24"/>
    <w:rsid w:val="009C4E62"/>
    <w:rsid w:val="009C5098"/>
    <w:rsid w:val="009C5230"/>
    <w:rsid w:val="009C5506"/>
    <w:rsid w:val="009C5B19"/>
    <w:rsid w:val="009C69E1"/>
    <w:rsid w:val="009C6BE2"/>
    <w:rsid w:val="009C791D"/>
    <w:rsid w:val="009C7D02"/>
    <w:rsid w:val="009C7F91"/>
    <w:rsid w:val="009D04C1"/>
    <w:rsid w:val="009D0AEA"/>
    <w:rsid w:val="009D0C15"/>
    <w:rsid w:val="009D158B"/>
    <w:rsid w:val="009D1775"/>
    <w:rsid w:val="009D1A84"/>
    <w:rsid w:val="009D1ABA"/>
    <w:rsid w:val="009D1D5C"/>
    <w:rsid w:val="009D1D74"/>
    <w:rsid w:val="009D20B7"/>
    <w:rsid w:val="009D2956"/>
    <w:rsid w:val="009D47FC"/>
    <w:rsid w:val="009D50EA"/>
    <w:rsid w:val="009D516C"/>
    <w:rsid w:val="009D519B"/>
    <w:rsid w:val="009D593C"/>
    <w:rsid w:val="009D5A89"/>
    <w:rsid w:val="009D5FF4"/>
    <w:rsid w:val="009D62AB"/>
    <w:rsid w:val="009D6521"/>
    <w:rsid w:val="009D6546"/>
    <w:rsid w:val="009D6C53"/>
    <w:rsid w:val="009D77DD"/>
    <w:rsid w:val="009D7B51"/>
    <w:rsid w:val="009D7CCE"/>
    <w:rsid w:val="009D7F62"/>
    <w:rsid w:val="009E1029"/>
    <w:rsid w:val="009E1418"/>
    <w:rsid w:val="009E162B"/>
    <w:rsid w:val="009E1910"/>
    <w:rsid w:val="009E1A05"/>
    <w:rsid w:val="009E2475"/>
    <w:rsid w:val="009E27EE"/>
    <w:rsid w:val="009E3607"/>
    <w:rsid w:val="009E386A"/>
    <w:rsid w:val="009E38EB"/>
    <w:rsid w:val="009E3A3F"/>
    <w:rsid w:val="009E3A8D"/>
    <w:rsid w:val="009E4D10"/>
    <w:rsid w:val="009E4EB6"/>
    <w:rsid w:val="009E4FC2"/>
    <w:rsid w:val="009E6585"/>
    <w:rsid w:val="009E6624"/>
    <w:rsid w:val="009E6725"/>
    <w:rsid w:val="009E6976"/>
    <w:rsid w:val="009E74E1"/>
    <w:rsid w:val="009E7618"/>
    <w:rsid w:val="009E799A"/>
    <w:rsid w:val="009E7D6B"/>
    <w:rsid w:val="009E7DCE"/>
    <w:rsid w:val="009F0295"/>
    <w:rsid w:val="009F0309"/>
    <w:rsid w:val="009F0501"/>
    <w:rsid w:val="009F0AD9"/>
    <w:rsid w:val="009F113A"/>
    <w:rsid w:val="009F124B"/>
    <w:rsid w:val="009F16BA"/>
    <w:rsid w:val="009F208B"/>
    <w:rsid w:val="009F296D"/>
    <w:rsid w:val="009F2AF1"/>
    <w:rsid w:val="009F2EF2"/>
    <w:rsid w:val="009F35C4"/>
    <w:rsid w:val="009F3808"/>
    <w:rsid w:val="009F3928"/>
    <w:rsid w:val="009F3BAE"/>
    <w:rsid w:val="009F3FC8"/>
    <w:rsid w:val="009F4536"/>
    <w:rsid w:val="009F4C3C"/>
    <w:rsid w:val="009F5010"/>
    <w:rsid w:val="009F5014"/>
    <w:rsid w:val="009F58F1"/>
    <w:rsid w:val="009F5A72"/>
    <w:rsid w:val="009F5BD2"/>
    <w:rsid w:val="009F5E40"/>
    <w:rsid w:val="009F601F"/>
    <w:rsid w:val="009F6090"/>
    <w:rsid w:val="009F6392"/>
    <w:rsid w:val="009F66B0"/>
    <w:rsid w:val="009F6BC4"/>
    <w:rsid w:val="009F6EC7"/>
    <w:rsid w:val="009F76C8"/>
    <w:rsid w:val="009F76E4"/>
    <w:rsid w:val="00A00C92"/>
    <w:rsid w:val="00A010EC"/>
    <w:rsid w:val="00A01203"/>
    <w:rsid w:val="00A016B6"/>
    <w:rsid w:val="00A017C3"/>
    <w:rsid w:val="00A01D03"/>
    <w:rsid w:val="00A01EFB"/>
    <w:rsid w:val="00A0228B"/>
    <w:rsid w:val="00A02602"/>
    <w:rsid w:val="00A026AF"/>
    <w:rsid w:val="00A02AA5"/>
    <w:rsid w:val="00A02F26"/>
    <w:rsid w:val="00A0364A"/>
    <w:rsid w:val="00A03A2C"/>
    <w:rsid w:val="00A03DA8"/>
    <w:rsid w:val="00A03FCD"/>
    <w:rsid w:val="00A042EF"/>
    <w:rsid w:val="00A045F0"/>
    <w:rsid w:val="00A04611"/>
    <w:rsid w:val="00A04721"/>
    <w:rsid w:val="00A04B5C"/>
    <w:rsid w:val="00A04E5E"/>
    <w:rsid w:val="00A05673"/>
    <w:rsid w:val="00A05BA8"/>
    <w:rsid w:val="00A05F11"/>
    <w:rsid w:val="00A05FAA"/>
    <w:rsid w:val="00A06150"/>
    <w:rsid w:val="00A06B2D"/>
    <w:rsid w:val="00A07095"/>
    <w:rsid w:val="00A070A2"/>
    <w:rsid w:val="00A070D7"/>
    <w:rsid w:val="00A07993"/>
    <w:rsid w:val="00A07B0E"/>
    <w:rsid w:val="00A10723"/>
    <w:rsid w:val="00A10B3B"/>
    <w:rsid w:val="00A10C13"/>
    <w:rsid w:val="00A11929"/>
    <w:rsid w:val="00A11CC2"/>
    <w:rsid w:val="00A128A3"/>
    <w:rsid w:val="00A12EB7"/>
    <w:rsid w:val="00A1315F"/>
    <w:rsid w:val="00A139BF"/>
    <w:rsid w:val="00A13A43"/>
    <w:rsid w:val="00A13A8F"/>
    <w:rsid w:val="00A13F86"/>
    <w:rsid w:val="00A1436B"/>
    <w:rsid w:val="00A145BF"/>
    <w:rsid w:val="00A147C9"/>
    <w:rsid w:val="00A152B5"/>
    <w:rsid w:val="00A1541C"/>
    <w:rsid w:val="00A15615"/>
    <w:rsid w:val="00A1570F"/>
    <w:rsid w:val="00A15778"/>
    <w:rsid w:val="00A15B6F"/>
    <w:rsid w:val="00A15DA6"/>
    <w:rsid w:val="00A15F41"/>
    <w:rsid w:val="00A1654E"/>
    <w:rsid w:val="00A1694F"/>
    <w:rsid w:val="00A169F2"/>
    <w:rsid w:val="00A16C71"/>
    <w:rsid w:val="00A17467"/>
    <w:rsid w:val="00A17A0C"/>
    <w:rsid w:val="00A17AEF"/>
    <w:rsid w:val="00A17FBF"/>
    <w:rsid w:val="00A207D9"/>
    <w:rsid w:val="00A20A57"/>
    <w:rsid w:val="00A20AB5"/>
    <w:rsid w:val="00A20D2C"/>
    <w:rsid w:val="00A213B1"/>
    <w:rsid w:val="00A21D25"/>
    <w:rsid w:val="00A22496"/>
    <w:rsid w:val="00A2257B"/>
    <w:rsid w:val="00A2293E"/>
    <w:rsid w:val="00A22F59"/>
    <w:rsid w:val="00A22FF9"/>
    <w:rsid w:val="00A231A9"/>
    <w:rsid w:val="00A23295"/>
    <w:rsid w:val="00A23535"/>
    <w:rsid w:val="00A23EF1"/>
    <w:rsid w:val="00A243E5"/>
    <w:rsid w:val="00A24DC8"/>
    <w:rsid w:val="00A2527D"/>
    <w:rsid w:val="00A2587E"/>
    <w:rsid w:val="00A25C57"/>
    <w:rsid w:val="00A25F5A"/>
    <w:rsid w:val="00A26181"/>
    <w:rsid w:val="00A261A9"/>
    <w:rsid w:val="00A26ABD"/>
    <w:rsid w:val="00A26BD0"/>
    <w:rsid w:val="00A2710A"/>
    <w:rsid w:val="00A273FB"/>
    <w:rsid w:val="00A279A3"/>
    <w:rsid w:val="00A27F26"/>
    <w:rsid w:val="00A301F5"/>
    <w:rsid w:val="00A3086E"/>
    <w:rsid w:val="00A30A80"/>
    <w:rsid w:val="00A30C3C"/>
    <w:rsid w:val="00A30E17"/>
    <w:rsid w:val="00A30E76"/>
    <w:rsid w:val="00A31609"/>
    <w:rsid w:val="00A3172B"/>
    <w:rsid w:val="00A31D16"/>
    <w:rsid w:val="00A32A5F"/>
    <w:rsid w:val="00A32E51"/>
    <w:rsid w:val="00A3328D"/>
    <w:rsid w:val="00A333DB"/>
    <w:rsid w:val="00A33A59"/>
    <w:rsid w:val="00A34271"/>
    <w:rsid w:val="00A34AA3"/>
    <w:rsid w:val="00A3504C"/>
    <w:rsid w:val="00A354F2"/>
    <w:rsid w:val="00A35AAE"/>
    <w:rsid w:val="00A36ACD"/>
    <w:rsid w:val="00A36E4E"/>
    <w:rsid w:val="00A371AC"/>
    <w:rsid w:val="00A371D3"/>
    <w:rsid w:val="00A373D6"/>
    <w:rsid w:val="00A37588"/>
    <w:rsid w:val="00A406DE"/>
    <w:rsid w:val="00A41130"/>
    <w:rsid w:val="00A412F4"/>
    <w:rsid w:val="00A41404"/>
    <w:rsid w:val="00A418B5"/>
    <w:rsid w:val="00A41A28"/>
    <w:rsid w:val="00A41C92"/>
    <w:rsid w:val="00A42005"/>
    <w:rsid w:val="00A422C2"/>
    <w:rsid w:val="00A42566"/>
    <w:rsid w:val="00A42696"/>
    <w:rsid w:val="00A42CB6"/>
    <w:rsid w:val="00A43190"/>
    <w:rsid w:val="00A43211"/>
    <w:rsid w:val="00A438BF"/>
    <w:rsid w:val="00A439A3"/>
    <w:rsid w:val="00A439C2"/>
    <w:rsid w:val="00A4407A"/>
    <w:rsid w:val="00A442CC"/>
    <w:rsid w:val="00A444EE"/>
    <w:rsid w:val="00A44EEE"/>
    <w:rsid w:val="00A459B7"/>
    <w:rsid w:val="00A45A32"/>
    <w:rsid w:val="00A46F81"/>
    <w:rsid w:val="00A47018"/>
    <w:rsid w:val="00A472B5"/>
    <w:rsid w:val="00A4761A"/>
    <w:rsid w:val="00A47988"/>
    <w:rsid w:val="00A47C07"/>
    <w:rsid w:val="00A5062A"/>
    <w:rsid w:val="00A50C80"/>
    <w:rsid w:val="00A50C9A"/>
    <w:rsid w:val="00A5110D"/>
    <w:rsid w:val="00A51129"/>
    <w:rsid w:val="00A52449"/>
    <w:rsid w:val="00A5271C"/>
    <w:rsid w:val="00A52D92"/>
    <w:rsid w:val="00A52E7D"/>
    <w:rsid w:val="00A53066"/>
    <w:rsid w:val="00A53154"/>
    <w:rsid w:val="00A53449"/>
    <w:rsid w:val="00A53451"/>
    <w:rsid w:val="00A534F9"/>
    <w:rsid w:val="00A535CA"/>
    <w:rsid w:val="00A53662"/>
    <w:rsid w:val="00A53D81"/>
    <w:rsid w:val="00A53E32"/>
    <w:rsid w:val="00A53F68"/>
    <w:rsid w:val="00A54017"/>
    <w:rsid w:val="00A545AB"/>
    <w:rsid w:val="00A5485F"/>
    <w:rsid w:val="00A549FE"/>
    <w:rsid w:val="00A55B5C"/>
    <w:rsid w:val="00A56245"/>
    <w:rsid w:val="00A566B6"/>
    <w:rsid w:val="00A566C7"/>
    <w:rsid w:val="00A571E3"/>
    <w:rsid w:val="00A572C4"/>
    <w:rsid w:val="00A573B2"/>
    <w:rsid w:val="00A57494"/>
    <w:rsid w:val="00A57643"/>
    <w:rsid w:val="00A5794E"/>
    <w:rsid w:val="00A609D6"/>
    <w:rsid w:val="00A6144E"/>
    <w:rsid w:val="00A61DD4"/>
    <w:rsid w:val="00A61F65"/>
    <w:rsid w:val="00A62113"/>
    <w:rsid w:val="00A621A1"/>
    <w:rsid w:val="00A626A0"/>
    <w:rsid w:val="00A62905"/>
    <w:rsid w:val="00A629DD"/>
    <w:rsid w:val="00A640D7"/>
    <w:rsid w:val="00A641C5"/>
    <w:rsid w:val="00A64316"/>
    <w:rsid w:val="00A645B3"/>
    <w:rsid w:val="00A64B2A"/>
    <w:rsid w:val="00A65014"/>
    <w:rsid w:val="00A65378"/>
    <w:rsid w:val="00A65435"/>
    <w:rsid w:val="00A65476"/>
    <w:rsid w:val="00A65873"/>
    <w:rsid w:val="00A65EB7"/>
    <w:rsid w:val="00A65F73"/>
    <w:rsid w:val="00A66BA2"/>
    <w:rsid w:val="00A67547"/>
    <w:rsid w:val="00A675D5"/>
    <w:rsid w:val="00A676EF"/>
    <w:rsid w:val="00A7003F"/>
    <w:rsid w:val="00A704AA"/>
    <w:rsid w:val="00A70810"/>
    <w:rsid w:val="00A70BEC"/>
    <w:rsid w:val="00A70E75"/>
    <w:rsid w:val="00A7102D"/>
    <w:rsid w:val="00A71085"/>
    <w:rsid w:val="00A71130"/>
    <w:rsid w:val="00A713AA"/>
    <w:rsid w:val="00A717AC"/>
    <w:rsid w:val="00A71A69"/>
    <w:rsid w:val="00A71CE0"/>
    <w:rsid w:val="00A72083"/>
    <w:rsid w:val="00A72CFC"/>
    <w:rsid w:val="00A73326"/>
    <w:rsid w:val="00A73496"/>
    <w:rsid w:val="00A735F7"/>
    <w:rsid w:val="00A738CA"/>
    <w:rsid w:val="00A73A29"/>
    <w:rsid w:val="00A73AFD"/>
    <w:rsid w:val="00A73E04"/>
    <w:rsid w:val="00A7405B"/>
    <w:rsid w:val="00A743DC"/>
    <w:rsid w:val="00A74704"/>
    <w:rsid w:val="00A74D54"/>
    <w:rsid w:val="00A74E19"/>
    <w:rsid w:val="00A75518"/>
    <w:rsid w:val="00A75812"/>
    <w:rsid w:val="00A75C31"/>
    <w:rsid w:val="00A75D9A"/>
    <w:rsid w:val="00A76C16"/>
    <w:rsid w:val="00A77A87"/>
    <w:rsid w:val="00A77E24"/>
    <w:rsid w:val="00A801FA"/>
    <w:rsid w:val="00A80A0E"/>
    <w:rsid w:val="00A80C9A"/>
    <w:rsid w:val="00A81905"/>
    <w:rsid w:val="00A819B7"/>
    <w:rsid w:val="00A81F4B"/>
    <w:rsid w:val="00A821CE"/>
    <w:rsid w:val="00A82850"/>
    <w:rsid w:val="00A82A65"/>
    <w:rsid w:val="00A8317C"/>
    <w:rsid w:val="00A83303"/>
    <w:rsid w:val="00A83772"/>
    <w:rsid w:val="00A837B8"/>
    <w:rsid w:val="00A8423F"/>
    <w:rsid w:val="00A845E1"/>
    <w:rsid w:val="00A845F9"/>
    <w:rsid w:val="00A849FD"/>
    <w:rsid w:val="00A854F2"/>
    <w:rsid w:val="00A85755"/>
    <w:rsid w:val="00A85A56"/>
    <w:rsid w:val="00A85D2B"/>
    <w:rsid w:val="00A86495"/>
    <w:rsid w:val="00A86551"/>
    <w:rsid w:val="00A86737"/>
    <w:rsid w:val="00A86FD0"/>
    <w:rsid w:val="00A878B0"/>
    <w:rsid w:val="00A87DE9"/>
    <w:rsid w:val="00A9004B"/>
    <w:rsid w:val="00A903DD"/>
    <w:rsid w:val="00A905CC"/>
    <w:rsid w:val="00A908F3"/>
    <w:rsid w:val="00A90A48"/>
    <w:rsid w:val="00A90E95"/>
    <w:rsid w:val="00A910ED"/>
    <w:rsid w:val="00A9125B"/>
    <w:rsid w:val="00A91493"/>
    <w:rsid w:val="00A915CB"/>
    <w:rsid w:val="00A91B02"/>
    <w:rsid w:val="00A91EFE"/>
    <w:rsid w:val="00A91F21"/>
    <w:rsid w:val="00A91F66"/>
    <w:rsid w:val="00A933CC"/>
    <w:rsid w:val="00A93FFC"/>
    <w:rsid w:val="00A940F5"/>
    <w:rsid w:val="00A94984"/>
    <w:rsid w:val="00A95382"/>
    <w:rsid w:val="00A95539"/>
    <w:rsid w:val="00A95970"/>
    <w:rsid w:val="00A9614A"/>
    <w:rsid w:val="00A96653"/>
    <w:rsid w:val="00A96BDC"/>
    <w:rsid w:val="00A96BE2"/>
    <w:rsid w:val="00A96EC9"/>
    <w:rsid w:val="00A97357"/>
    <w:rsid w:val="00A97990"/>
    <w:rsid w:val="00A97AE7"/>
    <w:rsid w:val="00A97FAE"/>
    <w:rsid w:val="00AA059C"/>
    <w:rsid w:val="00AA1088"/>
    <w:rsid w:val="00AA182E"/>
    <w:rsid w:val="00AA1D08"/>
    <w:rsid w:val="00AA2E3C"/>
    <w:rsid w:val="00AA2FD0"/>
    <w:rsid w:val="00AA2FD1"/>
    <w:rsid w:val="00AA366A"/>
    <w:rsid w:val="00AA3788"/>
    <w:rsid w:val="00AA38D3"/>
    <w:rsid w:val="00AA3C98"/>
    <w:rsid w:val="00AA3F2F"/>
    <w:rsid w:val="00AA3F72"/>
    <w:rsid w:val="00AA4118"/>
    <w:rsid w:val="00AA43CF"/>
    <w:rsid w:val="00AA4854"/>
    <w:rsid w:val="00AA4869"/>
    <w:rsid w:val="00AA4C50"/>
    <w:rsid w:val="00AA5636"/>
    <w:rsid w:val="00AA5851"/>
    <w:rsid w:val="00AA5858"/>
    <w:rsid w:val="00AA5A20"/>
    <w:rsid w:val="00AA5C0B"/>
    <w:rsid w:val="00AA5FB5"/>
    <w:rsid w:val="00AA6190"/>
    <w:rsid w:val="00AA6388"/>
    <w:rsid w:val="00AA689C"/>
    <w:rsid w:val="00AA74BF"/>
    <w:rsid w:val="00AA74E0"/>
    <w:rsid w:val="00AB004B"/>
    <w:rsid w:val="00AB046C"/>
    <w:rsid w:val="00AB0B61"/>
    <w:rsid w:val="00AB117F"/>
    <w:rsid w:val="00AB2310"/>
    <w:rsid w:val="00AB2A39"/>
    <w:rsid w:val="00AB2D90"/>
    <w:rsid w:val="00AB38A0"/>
    <w:rsid w:val="00AB3B83"/>
    <w:rsid w:val="00AB3CAB"/>
    <w:rsid w:val="00AB3FCA"/>
    <w:rsid w:val="00AB451F"/>
    <w:rsid w:val="00AB49C2"/>
    <w:rsid w:val="00AB4B83"/>
    <w:rsid w:val="00AB4EDD"/>
    <w:rsid w:val="00AB5033"/>
    <w:rsid w:val="00AB57BC"/>
    <w:rsid w:val="00AB61E0"/>
    <w:rsid w:val="00AB629B"/>
    <w:rsid w:val="00AB6585"/>
    <w:rsid w:val="00AB6C47"/>
    <w:rsid w:val="00AB78FB"/>
    <w:rsid w:val="00AB7928"/>
    <w:rsid w:val="00AB7F4B"/>
    <w:rsid w:val="00AC0556"/>
    <w:rsid w:val="00AC07B3"/>
    <w:rsid w:val="00AC1302"/>
    <w:rsid w:val="00AC13CB"/>
    <w:rsid w:val="00AC148A"/>
    <w:rsid w:val="00AC15E1"/>
    <w:rsid w:val="00AC1D59"/>
    <w:rsid w:val="00AC21CE"/>
    <w:rsid w:val="00AC27F5"/>
    <w:rsid w:val="00AC2970"/>
    <w:rsid w:val="00AC3DBC"/>
    <w:rsid w:val="00AC3DDC"/>
    <w:rsid w:val="00AC3F4D"/>
    <w:rsid w:val="00AC41A8"/>
    <w:rsid w:val="00AC4C57"/>
    <w:rsid w:val="00AC4EBC"/>
    <w:rsid w:val="00AC5529"/>
    <w:rsid w:val="00AC5BAD"/>
    <w:rsid w:val="00AC5CD9"/>
    <w:rsid w:val="00AC5DF8"/>
    <w:rsid w:val="00AC5E40"/>
    <w:rsid w:val="00AC6A1A"/>
    <w:rsid w:val="00AC71ED"/>
    <w:rsid w:val="00AC71F9"/>
    <w:rsid w:val="00AC7273"/>
    <w:rsid w:val="00AC73E8"/>
    <w:rsid w:val="00AC7896"/>
    <w:rsid w:val="00AC7ABD"/>
    <w:rsid w:val="00AC7B87"/>
    <w:rsid w:val="00AC7D84"/>
    <w:rsid w:val="00AD00D7"/>
    <w:rsid w:val="00AD0142"/>
    <w:rsid w:val="00AD0430"/>
    <w:rsid w:val="00AD0B31"/>
    <w:rsid w:val="00AD0E06"/>
    <w:rsid w:val="00AD1489"/>
    <w:rsid w:val="00AD1EA5"/>
    <w:rsid w:val="00AD1ECE"/>
    <w:rsid w:val="00AD1F87"/>
    <w:rsid w:val="00AD2C42"/>
    <w:rsid w:val="00AD3927"/>
    <w:rsid w:val="00AD4E2F"/>
    <w:rsid w:val="00AD4F28"/>
    <w:rsid w:val="00AD4F78"/>
    <w:rsid w:val="00AD57CA"/>
    <w:rsid w:val="00AD5E53"/>
    <w:rsid w:val="00AD6509"/>
    <w:rsid w:val="00AD705E"/>
    <w:rsid w:val="00AD724D"/>
    <w:rsid w:val="00AD740B"/>
    <w:rsid w:val="00AD7703"/>
    <w:rsid w:val="00AD794C"/>
    <w:rsid w:val="00AD7C1F"/>
    <w:rsid w:val="00AD7FCC"/>
    <w:rsid w:val="00AE0103"/>
    <w:rsid w:val="00AE043C"/>
    <w:rsid w:val="00AE0BA3"/>
    <w:rsid w:val="00AE0D72"/>
    <w:rsid w:val="00AE0F6A"/>
    <w:rsid w:val="00AE1467"/>
    <w:rsid w:val="00AE16D7"/>
    <w:rsid w:val="00AE1A42"/>
    <w:rsid w:val="00AE1ACE"/>
    <w:rsid w:val="00AE1DFA"/>
    <w:rsid w:val="00AE1FFB"/>
    <w:rsid w:val="00AE22E3"/>
    <w:rsid w:val="00AE23E0"/>
    <w:rsid w:val="00AE2E28"/>
    <w:rsid w:val="00AE3241"/>
    <w:rsid w:val="00AE37D1"/>
    <w:rsid w:val="00AE3ABA"/>
    <w:rsid w:val="00AE4247"/>
    <w:rsid w:val="00AE4305"/>
    <w:rsid w:val="00AE4779"/>
    <w:rsid w:val="00AE4BF3"/>
    <w:rsid w:val="00AE5139"/>
    <w:rsid w:val="00AE54D5"/>
    <w:rsid w:val="00AE5869"/>
    <w:rsid w:val="00AE5890"/>
    <w:rsid w:val="00AE59D1"/>
    <w:rsid w:val="00AE5D27"/>
    <w:rsid w:val="00AE6242"/>
    <w:rsid w:val="00AE634B"/>
    <w:rsid w:val="00AE6383"/>
    <w:rsid w:val="00AE63F6"/>
    <w:rsid w:val="00AE69B5"/>
    <w:rsid w:val="00AE6BF1"/>
    <w:rsid w:val="00AE6CCA"/>
    <w:rsid w:val="00AE7082"/>
    <w:rsid w:val="00AE74E9"/>
    <w:rsid w:val="00AE7800"/>
    <w:rsid w:val="00AF0238"/>
    <w:rsid w:val="00AF03EE"/>
    <w:rsid w:val="00AF0EA5"/>
    <w:rsid w:val="00AF1508"/>
    <w:rsid w:val="00AF1514"/>
    <w:rsid w:val="00AF18B1"/>
    <w:rsid w:val="00AF196C"/>
    <w:rsid w:val="00AF207E"/>
    <w:rsid w:val="00AF2148"/>
    <w:rsid w:val="00AF2152"/>
    <w:rsid w:val="00AF25B3"/>
    <w:rsid w:val="00AF295F"/>
    <w:rsid w:val="00AF2CEE"/>
    <w:rsid w:val="00AF3628"/>
    <w:rsid w:val="00AF369C"/>
    <w:rsid w:val="00AF3AB5"/>
    <w:rsid w:val="00AF40E0"/>
    <w:rsid w:val="00AF422B"/>
    <w:rsid w:val="00AF4760"/>
    <w:rsid w:val="00AF47A0"/>
    <w:rsid w:val="00AF4808"/>
    <w:rsid w:val="00AF4A97"/>
    <w:rsid w:val="00AF5086"/>
    <w:rsid w:val="00AF5959"/>
    <w:rsid w:val="00AF6701"/>
    <w:rsid w:val="00AF6A72"/>
    <w:rsid w:val="00AF6FC6"/>
    <w:rsid w:val="00B0000F"/>
    <w:rsid w:val="00B00138"/>
    <w:rsid w:val="00B011B0"/>
    <w:rsid w:val="00B015CE"/>
    <w:rsid w:val="00B0164F"/>
    <w:rsid w:val="00B02226"/>
    <w:rsid w:val="00B02FE8"/>
    <w:rsid w:val="00B03FA1"/>
    <w:rsid w:val="00B04B82"/>
    <w:rsid w:val="00B05005"/>
    <w:rsid w:val="00B050D7"/>
    <w:rsid w:val="00B052E5"/>
    <w:rsid w:val="00B05F04"/>
    <w:rsid w:val="00B0668A"/>
    <w:rsid w:val="00B0672B"/>
    <w:rsid w:val="00B06D96"/>
    <w:rsid w:val="00B06DDE"/>
    <w:rsid w:val="00B06F1B"/>
    <w:rsid w:val="00B0763D"/>
    <w:rsid w:val="00B07C51"/>
    <w:rsid w:val="00B10655"/>
    <w:rsid w:val="00B113E9"/>
    <w:rsid w:val="00B1202A"/>
    <w:rsid w:val="00B120A2"/>
    <w:rsid w:val="00B1218E"/>
    <w:rsid w:val="00B124B1"/>
    <w:rsid w:val="00B12C62"/>
    <w:rsid w:val="00B1360D"/>
    <w:rsid w:val="00B136A0"/>
    <w:rsid w:val="00B136ED"/>
    <w:rsid w:val="00B13A03"/>
    <w:rsid w:val="00B14262"/>
    <w:rsid w:val="00B15BEA"/>
    <w:rsid w:val="00B15D97"/>
    <w:rsid w:val="00B15DA8"/>
    <w:rsid w:val="00B16379"/>
    <w:rsid w:val="00B1649B"/>
    <w:rsid w:val="00B166E0"/>
    <w:rsid w:val="00B1719D"/>
    <w:rsid w:val="00B174D9"/>
    <w:rsid w:val="00B17921"/>
    <w:rsid w:val="00B207DF"/>
    <w:rsid w:val="00B209FA"/>
    <w:rsid w:val="00B210C3"/>
    <w:rsid w:val="00B21307"/>
    <w:rsid w:val="00B21570"/>
    <w:rsid w:val="00B21795"/>
    <w:rsid w:val="00B21EA4"/>
    <w:rsid w:val="00B220D6"/>
    <w:rsid w:val="00B2224C"/>
    <w:rsid w:val="00B222C5"/>
    <w:rsid w:val="00B228B2"/>
    <w:rsid w:val="00B22BEE"/>
    <w:rsid w:val="00B22BF2"/>
    <w:rsid w:val="00B230DD"/>
    <w:rsid w:val="00B232D3"/>
    <w:rsid w:val="00B23631"/>
    <w:rsid w:val="00B237C0"/>
    <w:rsid w:val="00B23C12"/>
    <w:rsid w:val="00B241E8"/>
    <w:rsid w:val="00B243E4"/>
    <w:rsid w:val="00B25479"/>
    <w:rsid w:val="00B26E23"/>
    <w:rsid w:val="00B27182"/>
    <w:rsid w:val="00B27353"/>
    <w:rsid w:val="00B27552"/>
    <w:rsid w:val="00B27F5B"/>
    <w:rsid w:val="00B30172"/>
    <w:rsid w:val="00B30E1A"/>
    <w:rsid w:val="00B30F82"/>
    <w:rsid w:val="00B30F88"/>
    <w:rsid w:val="00B315DB"/>
    <w:rsid w:val="00B315DE"/>
    <w:rsid w:val="00B3164D"/>
    <w:rsid w:val="00B3179F"/>
    <w:rsid w:val="00B31AD0"/>
    <w:rsid w:val="00B322B9"/>
    <w:rsid w:val="00B334E3"/>
    <w:rsid w:val="00B33E0B"/>
    <w:rsid w:val="00B34403"/>
    <w:rsid w:val="00B356E9"/>
    <w:rsid w:val="00B35C29"/>
    <w:rsid w:val="00B35E75"/>
    <w:rsid w:val="00B3649B"/>
    <w:rsid w:val="00B3671D"/>
    <w:rsid w:val="00B3673E"/>
    <w:rsid w:val="00B36797"/>
    <w:rsid w:val="00B36925"/>
    <w:rsid w:val="00B36C0E"/>
    <w:rsid w:val="00B37A60"/>
    <w:rsid w:val="00B37AAD"/>
    <w:rsid w:val="00B404FF"/>
    <w:rsid w:val="00B40A94"/>
    <w:rsid w:val="00B40C37"/>
    <w:rsid w:val="00B40F2E"/>
    <w:rsid w:val="00B4126C"/>
    <w:rsid w:val="00B41905"/>
    <w:rsid w:val="00B42AC2"/>
    <w:rsid w:val="00B4336D"/>
    <w:rsid w:val="00B43628"/>
    <w:rsid w:val="00B43744"/>
    <w:rsid w:val="00B43E57"/>
    <w:rsid w:val="00B44388"/>
    <w:rsid w:val="00B4453C"/>
    <w:rsid w:val="00B446E8"/>
    <w:rsid w:val="00B44AD3"/>
    <w:rsid w:val="00B44FF8"/>
    <w:rsid w:val="00B465BB"/>
    <w:rsid w:val="00B467EA"/>
    <w:rsid w:val="00B46D95"/>
    <w:rsid w:val="00B4715A"/>
    <w:rsid w:val="00B503DA"/>
    <w:rsid w:val="00B5134C"/>
    <w:rsid w:val="00B5178A"/>
    <w:rsid w:val="00B519A3"/>
    <w:rsid w:val="00B51A51"/>
    <w:rsid w:val="00B51CC5"/>
    <w:rsid w:val="00B51F0E"/>
    <w:rsid w:val="00B52003"/>
    <w:rsid w:val="00B5260D"/>
    <w:rsid w:val="00B528D2"/>
    <w:rsid w:val="00B52ACC"/>
    <w:rsid w:val="00B53322"/>
    <w:rsid w:val="00B53666"/>
    <w:rsid w:val="00B53BFD"/>
    <w:rsid w:val="00B53E9A"/>
    <w:rsid w:val="00B53FBD"/>
    <w:rsid w:val="00B5415C"/>
    <w:rsid w:val="00B54636"/>
    <w:rsid w:val="00B54A02"/>
    <w:rsid w:val="00B55D3F"/>
    <w:rsid w:val="00B55DFF"/>
    <w:rsid w:val="00B5623A"/>
    <w:rsid w:val="00B5630A"/>
    <w:rsid w:val="00B56381"/>
    <w:rsid w:val="00B56B67"/>
    <w:rsid w:val="00B56B77"/>
    <w:rsid w:val="00B56C3A"/>
    <w:rsid w:val="00B5728D"/>
    <w:rsid w:val="00B5761B"/>
    <w:rsid w:val="00B57A91"/>
    <w:rsid w:val="00B60149"/>
    <w:rsid w:val="00B60617"/>
    <w:rsid w:val="00B6079F"/>
    <w:rsid w:val="00B60D0B"/>
    <w:rsid w:val="00B612CC"/>
    <w:rsid w:val="00B6146C"/>
    <w:rsid w:val="00B6164F"/>
    <w:rsid w:val="00B61A55"/>
    <w:rsid w:val="00B61AD0"/>
    <w:rsid w:val="00B61EEF"/>
    <w:rsid w:val="00B62631"/>
    <w:rsid w:val="00B626DC"/>
    <w:rsid w:val="00B62912"/>
    <w:rsid w:val="00B62D6F"/>
    <w:rsid w:val="00B62F93"/>
    <w:rsid w:val="00B63151"/>
    <w:rsid w:val="00B6391C"/>
    <w:rsid w:val="00B63BB7"/>
    <w:rsid w:val="00B63F9A"/>
    <w:rsid w:val="00B6402D"/>
    <w:rsid w:val="00B6403A"/>
    <w:rsid w:val="00B643AF"/>
    <w:rsid w:val="00B6506F"/>
    <w:rsid w:val="00B65557"/>
    <w:rsid w:val="00B67089"/>
    <w:rsid w:val="00B67887"/>
    <w:rsid w:val="00B67EEA"/>
    <w:rsid w:val="00B703D8"/>
    <w:rsid w:val="00B705B5"/>
    <w:rsid w:val="00B70763"/>
    <w:rsid w:val="00B70A84"/>
    <w:rsid w:val="00B70B8B"/>
    <w:rsid w:val="00B70BBF"/>
    <w:rsid w:val="00B70C89"/>
    <w:rsid w:val="00B718B1"/>
    <w:rsid w:val="00B71DD2"/>
    <w:rsid w:val="00B721A2"/>
    <w:rsid w:val="00B7232E"/>
    <w:rsid w:val="00B728E9"/>
    <w:rsid w:val="00B72B85"/>
    <w:rsid w:val="00B7325A"/>
    <w:rsid w:val="00B736BB"/>
    <w:rsid w:val="00B74196"/>
    <w:rsid w:val="00B74719"/>
    <w:rsid w:val="00B7495F"/>
    <w:rsid w:val="00B750B1"/>
    <w:rsid w:val="00B753A4"/>
    <w:rsid w:val="00B753E8"/>
    <w:rsid w:val="00B75963"/>
    <w:rsid w:val="00B75D5E"/>
    <w:rsid w:val="00B76D66"/>
    <w:rsid w:val="00B76F33"/>
    <w:rsid w:val="00B77229"/>
    <w:rsid w:val="00B774B9"/>
    <w:rsid w:val="00B776EF"/>
    <w:rsid w:val="00B77A44"/>
    <w:rsid w:val="00B80001"/>
    <w:rsid w:val="00B8019D"/>
    <w:rsid w:val="00B803BE"/>
    <w:rsid w:val="00B80D0A"/>
    <w:rsid w:val="00B81309"/>
    <w:rsid w:val="00B81A42"/>
    <w:rsid w:val="00B820A7"/>
    <w:rsid w:val="00B822AA"/>
    <w:rsid w:val="00B82318"/>
    <w:rsid w:val="00B82512"/>
    <w:rsid w:val="00B82742"/>
    <w:rsid w:val="00B828DC"/>
    <w:rsid w:val="00B82F0D"/>
    <w:rsid w:val="00B83101"/>
    <w:rsid w:val="00B83570"/>
    <w:rsid w:val="00B83CF2"/>
    <w:rsid w:val="00B8409F"/>
    <w:rsid w:val="00B84203"/>
    <w:rsid w:val="00B8454F"/>
    <w:rsid w:val="00B846D7"/>
    <w:rsid w:val="00B84D61"/>
    <w:rsid w:val="00B8537A"/>
    <w:rsid w:val="00B857D4"/>
    <w:rsid w:val="00B8598F"/>
    <w:rsid w:val="00B859B7"/>
    <w:rsid w:val="00B85ECF"/>
    <w:rsid w:val="00B86AEC"/>
    <w:rsid w:val="00B8746E"/>
    <w:rsid w:val="00B875F4"/>
    <w:rsid w:val="00B87E3A"/>
    <w:rsid w:val="00B87EE6"/>
    <w:rsid w:val="00B87FE1"/>
    <w:rsid w:val="00B9057F"/>
    <w:rsid w:val="00B90E7D"/>
    <w:rsid w:val="00B92296"/>
    <w:rsid w:val="00B92B5E"/>
    <w:rsid w:val="00B92C09"/>
    <w:rsid w:val="00B92DC0"/>
    <w:rsid w:val="00B92F1F"/>
    <w:rsid w:val="00B9370F"/>
    <w:rsid w:val="00B93A36"/>
    <w:rsid w:val="00B93AB5"/>
    <w:rsid w:val="00B93C64"/>
    <w:rsid w:val="00B93D46"/>
    <w:rsid w:val="00B93DA5"/>
    <w:rsid w:val="00B945E1"/>
    <w:rsid w:val="00B946D1"/>
    <w:rsid w:val="00B9471C"/>
    <w:rsid w:val="00B94763"/>
    <w:rsid w:val="00B9530B"/>
    <w:rsid w:val="00B95CB8"/>
    <w:rsid w:val="00B962E9"/>
    <w:rsid w:val="00B9688F"/>
    <w:rsid w:val="00B968DD"/>
    <w:rsid w:val="00B96C06"/>
    <w:rsid w:val="00B96E6A"/>
    <w:rsid w:val="00B979ED"/>
    <w:rsid w:val="00BA06A7"/>
    <w:rsid w:val="00BA06F4"/>
    <w:rsid w:val="00BA0AFF"/>
    <w:rsid w:val="00BA0C98"/>
    <w:rsid w:val="00BA0E3C"/>
    <w:rsid w:val="00BA1850"/>
    <w:rsid w:val="00BA19A5"/>
    <w:rsid w:val="00BA1AF9"/>
    <w:rsid w:val="00BA2A43"/>
    <w:rsid w:val="00BA2ABF"/>
    <w:rsid w:val="00BA2BBF"/>
    <w:rsid w:val="00BA2F77"/>
    <w:rsid w:val="00BA3081"/>
    <w:rsid w:val="00BA346E"/>
    <w:rsid w:val="00BA39F0"/>
    <w:rsid w:val="00BA3A2D"/>
    <w:rsid w:val="00BA3BB1"/>
    <w:rsid w:val="00BA3BD6"/>
    <w:rsid w:val="00BA3E6F"/>
    <w:rsid w:val="00BA4818"/>
    <w:rsid w:val="00BA4CF7"/>
    <w:rsid w:val="00BA5624"/>
    <w:rsid w:val="00BA5998"/>
    <w:rsid w:val="00BA5CAD"/>
    <w:rsid w:val="00BA5F29"/>
    <w:rsid w:val="00BA6C79"/>
    <w:rsid w:val="00BA6FEB"/>
    <w:rsid w:val="00BA711B"/>
    <w:rsid w:val="00BA7A72"/>
    <w:rsid w:val="00BA7F90"/>
    <w:rsid w:val="00BB037A"/>
    <w:rsid w:val="00BB08D7"/>
    <w:rsid w:val="00BB1153"/>
    <w:rsid w:val="00BB1484"/>
    <w:rsid w:val="00BB152D"/>
    <w:rsid w:val="00BB1599"/>
    <w:rsid w:val="00BB1810"/>
    <w:rsid w:val="00BB228F"/>
    <w:rsid w:val="00BB263E"/>
    <w:rsid w:val="00BB26AD"/>
    <w:rsid w:val="00BB3150"/>
    <w:rsid w:val="00BB3902"/>
    <w:rsid w:val="00BB3AAC"/>
    <w:rsid w:val="00BB3EED"/>
    <w:rsid w:val="00BB4179"/>
    <w:rsid w:val="00BB4B9D"/>
    <w:rsid w:val="00BB5189"/>
    <w:rsid w:val="00BB5D5D"/>
    <w:rsid w:val="00BB6FEE"/>
    <w:rsid w:val="00BB725F"/>
    <w:rsid w:val="00BB73E8"/>
    <w:rsid w:val="00BB741A"/>
    <w:rsid w:val="00BC0239"/>
    <w:rsid w:val="00BC029A"/>
    <w:rsid w:val="00BC08EC"/>
    <w:rsid w:val="00BC0EC9"/>
    <w:rsid w:val="00BC10E9"/>
    <w:rsid w:val="00BC1AC7"/>
    <w:rsid w:val="00BC1B0D"/>
    <w:rsid w:val="00BC24A2"/>
    <w:rsid w:val="00BC25E0"/>
    <w:rsid w:val="00BC2D8F"/>
    <w:rsid w:val="00BC361D"/>
    <w:rsid w:val="00BC37CF"/>
    <w:rsid w:val="00BC3C9A"/>
    <w:rsid w:val="00BC3CB0"/>
    <w:rsid w:val="00BC3E19"/>
    <w:rsid w:val="00BC4329"/>
    <w:rsid w:val="00BC43F6"/>
    <w:rsid w:val="00BC4C05"/>
    <w:rsid w:val="00BC4E56"/>
    <w:rsid w:val="00BC5099"/>
    <w:rsid w:val="00BC50A7"/>
    <w:rsid w:val="00BC55FE"/>
    <w:rsid w:val="00BC5B1C"/>
    <w:rsid w:val="00BC5B98"/>
    <w:rsid w:val="00BC633B"/>
    <w:rsid w:val="00BC6545"/>
    <w:rsid w:val="00BC6B65"/>
    <w:rsid w:val="00BC6BDE"/>
    <w:rsid w:val="00BC740A"/>
    <w:rsid w:val="00BC798B"/>
    <w:rsid w:val="00BD0BFA"/>
    <w:rsid w:val="00BD13C2"/>
    <w:rsid w:val="00BD1729"/>
    <w:rsid w:val="00BD1CE9"/>
    <w:rsid w:val="00BD1FF4"/>
    <w:rsid w:val="00BD22B0"/>
    <w:rsid w:val="00BD2A50"/>
    <w:rsid w:val="00BD2A60"/>
    <w:rsid w:val="00BD2C93"/>
    <w:rsid w:val="00BD2CB5"/>
    <w:rsid w:val="00BD31A8"/>
    <w:rsid w:val="00BD36AF"/>
    <w:rsid w:val="00BD3800"/>
    <w:rsid w:val="00BD3D7A"/>
    <w:rsid w:val="00BD3E67"/>
    <w:rsid w:val="00BD4573"/>
    <w:rsid w:val="00BD4619"/>
    <w:rsid w:val="00BD4BEE"/>
    <w:rsid w:val="00BD5021"/>
    <w:rsid w:val="00BD595C"/>
    <w:rsid w:val="00BD5DF8"/>
    <w:rsid w:val="00BD601B"/>
    <w:rsid w:val="00BD678C"/>
    <w:rsid w:val="00BD6A8B"/>
    <w:rsid w:val="00BD6CA7"/>
    <w:rsid w:val="00BD6E12"/>
    <w:rsid w:val="00BD6F1C"/>
    <w:rsid w:val="00BD7216"/>
    <w:rsid w:val="00BD7326"/>
    <w:rsid w:val="00BD7344"/>
    <w:rsid w:val="00BD75A6"/>
    <w:rsid w:val="00BD75BA"/>
    <w:rsid w:val="00BD75F8"/>
    <w:rsid w:val="00BD764C"/>
    <w:rsid w:val="00BD76EC"/>
    <w:rsid w:val="00BD77F2"/>
    <w:rsid w:val="00BD7855"/>
    <w:rsid w:val="00BD7C09"/>
    <w:rsid w:val="00BE05CB"/>
    <w:rsid w:val="00BE0F6B"/>
    <w:rsid w:val="00BE1545"/>
    <w:rsid w:val="00BE1A00"/>
    <w:rsid w:val="00BE2697"/>
    <w:rsid w:val="00BE298B"/>
    <w:rsid w:val="00BE2DA7"/>
    <w:rsid w:val="00BE3271"/>
    <w:rsid w:val="00BE3341"/>
    <w:rsid w:val="00BE357F"/>
    <w:rsid w:val="00BE370D"/>
    <w:rsid w:val="00BE385A"/>
    <w:rsid w:val="00BE3AD5"/>
    <w:rsid w:val="00BE3E2A"/>
    <w:rsid w:val="00BE445D"/>
    <w:rsid w:val="00BE4960"/>
    <w:rsid w:val="00BE5A01"/>
    <w:rsid w:val="00BE5AD8"/>
    <w:rsid w:val="00BE5D5B"/>
    <w:rsid w:val="00BE6362"/>
    <w:rsid w:val="00BE6AF8"/>
    <w:rsid w:val="00BE6F15"/>
    <w:rsid w:val="00BE722A"/>
    <w:rsid w:val="00BE727F"/>
    <w:rsid w:val="00BE74AD"/>
    <w:rsid w:val="00BE7EEB"/>
    <w:rsid w:val="00BE7F4C"/>
    <w:rsid w:val="00BF049E"/>
    <w:rsid w:val="00BF04CD"/>
    <w:rsid w:val="00BF054B"/>
    <w:rsid w:val="00BF0E2A"/>
    <w:rsid w:val="00BF132B"/>
    <w:rsid w:val="00BF18A0"/>
    <w:rsid w:val="00BF1A24"/>
    <w:rsid w:val="00BF1B71"/>
    <w:rsid w:val="00BF1FCB"/>
    <w:rsid w:val="00BF2E91"/>
    <w:rsid w:val="00BF34F2"/>
    <w:rsid w:val="00BF3648"/>
    <w:rsid w:val="00BF3E46"/>
    <w:rsid w:val="00BF41D7"/>
    <w:rsid w:val="00BF4744"/>
    <w:rsid w:val="00BF482B"/>
    <w:rsid w:val="00BF48F5"/>
    <w:rsid w:val="00BF4AF7"/>
    <w:rsid w:val="00BF4BFB"/>
    <w:rsid w:val="00BF52E5"/>
    <w:rsid w:val="00BF5504"/>
    <w:rsid w:val="00BF5966"/>
    <w:rsid w:val="00BF5AA3"/>
    <w:rsid w:val="00BF5D23"/>
    <w:rsid w:val="00BF6023"/>
    <w:rsid w:val="00BF60F9"/>
    <w:rsid w:val="00BF6376"/>
    <w:rsid w:val="00BF6753"/>
    <w:rsid w:val="00BF71D9"/>
    <w:rsid w:val="00BF724C"/>
    <w:rsid w:val="00BF73F1"/>
    <w:rsid w:val="00BF7A10"/>
    <w:rsid w:val="00C00332"/>
    <w:rsid w:val="00C00405"/>
    <w:rsid w:val="00C00602"/>
    <w:rsid w:val="00C008B4"/>
    <w:rsid w:val="00C00A98"/>
    <w:rsid w:val="00C01AA7"/>
    <w:rsid w:val="00C01B2C"/>
    <w:rsid w:val="00C01CA1"/>
    <w:rsid w:val="00C022B6"/>
    <w:rsid w:val="00C026D6"/>
    <w:rsid w:val="00C03419"/>
    <w:rsid w:val="00C03EF9"/>
    <w:rsid w:val="00C03F6F"/>
    <w:rsid w:val="00C041A2"/>
    <w:rsid w:val="00C043D6"/>
    <w:rsid w:val="00C0472D"/>
    <w:rsid w:val="00C0490B"/>
    <w:rsid w:val="00C04C43"/>
    <w:rsid w:val="00C05438"/>
    <w:rsid w:val="00C05A51"/>
    <w:rsid w:val="00C05C79"/>
    <w:rsid w:val="00C05D51"/>
    <w:rsid w:val="00C0620D"/>
    <w:rsid w:val="00C066FE"/>
    <w:rsid w:val="00C06A86"/>
    <w:rsid w:val="00C06ACC"/>
    <w:rsid w:val="00C06B39"/>
    <w:rsid w:val="00C06E9D"/>
    <w:rsid w:val="00C07677"/>
    <w:rsid w:val="00C102EC"/>
    <w:rsid w:val="00C10885"/>
    <w:rsid w:val="00C10CF9"/>
    <w:rsid w:val="00C10F62"/>
    <w:rsid w:val="00C117DE"/>
    <w:rsid w:val="00C11879"/>
    <w:rsid w:val="00C119C2"/>
    <w:rsid w:val="00C11B7C"/>
    <w:rsid w:val="00C12048"/>
    <w:rsid w:val="00C123BA"/>
    <w:rsid w:val="00C12528"/>
    <w:rsid w:val="00C12BE2"/>
    <w:rsid w:val="00C13266"/>
    <w:rsid w:val="00C132F0"/>
    <w:rsid w:val="00C135C0"/>
    <w:rsid w:val="00C1391F"/>
    <w:rsid w:val="00C13C46"/>
    <w:rsid w:val="00C13E11"/>
    <w:rsid w:val="00C1400E"/>
    <w:rsid w:val="00C14274"/>
    <w:rsid w:val="00C142D3"/>
    <w:rsid w:val="00C147F0"/>
    <w:rsid w:val="00C14854"/>
    <w:rsid w:val="00C14D65"/>
    <w:rsid w:val="00C151F5"/>
    <w:rsid w:val="00C15394"/>
    <w:rsid w:val="00C15685"/>
    <w:rsid w:val="00C15BF6"/>
    <w:rsid w:val="00C1602F"/>
    <w:rsid w:val="00C160D3"/>
    <w:rsid w:val="00C16169"/>
    <w:rsid w:val="00C1618B"/>
    <w:rsid w:val="00C169E5"/>
    <w:rsid w:val="00C1706C"/>
    <w:rsid w:val="00C17137"/>
    <w:rsid w:val="00C17152"/>
    <w:rsid w:val="00C1769F"/>
    <w:rsid w:val="00C203C8"/>
    <w:rsid w:val="00C20B9D"/>
    <w:rsid w:val="00C212F1"/>
    <w:rsid w:val="00C21A90"/>
    <w:rsid w:val="00C21EED"/>
    <w:rsid w:val="00C222EF"/>
    <w:rsid w:val="00C22486"/>
    <w:rsid w:val="00C22517"/>
    <w:rsid w:val="00C22932"/>
    <w:rsid w:val="00C22947"/>
    <w:rsid w:val="00C22B1E"/>
    <w:rsid w:val="00C22E60"/>
    <w:rsid w:val="00C22ED5"/>
    <w:rsid w:val="00C22FE1"/>
    <w:rsid w:val="00C23496"/>
    <w:rsid w:val="00C23A16"/>
    <w:rsid w:val="00C23A97"/>
    <w:rsid w:val="00C23DED"/>
    <w:rsid w:val="00C23E94"/>
    <w:rsid w:val="00C243EB"/>
    <w:rsid w:val="00C24682"/>
    <w:rsid w:val="00C24A88"/>
    <w:rsid w:val="00C24C2A"/>
    <w:rsid w:val="00C24D6D"/>
    <w:rsid w:val="00C24E7F"/>
    <w:rsid w:val="00C25A3C"/>
    <w:rsid w:val="00C25B23"/>
    <w:rsid w:val="00C262A9"/>
    <w:rsid w:val="00C26AC8"/>
    <w:rsid w:val="00C26EB6"/>
    <w:rsid w:val="00C278D8"/>
    <w:rsid w:val="00C2796E"/>
    <w:rsid w:val="00C27F79"/>
    <w:rsid w:val="00C3000A"/>
    <w:rsid w:val="00C3062F"/>
    <w:rsid w:val="00C30772"/>
    <w:rsid w:val="00C31017"/>
    <w:rsid w:val="00C313BA"/>
    <w:rsid w:val="00C3144B"/>
    <w:rsid w:val="00C31609"/>
    <w:rsid w:val="00C31773"/>
    <w:rsid w:val="00C319D4"/>
    <w:rsid w:val="00C31E96"/>
    <w:rsid w:val="00C3273B"/>
    <w:rsid w:val="00C32976"/>
    <w:rsid w:val="00C32FE8"/>
    <w:rsid w:val="00C3301C"/>
    <w:rsid w:val="00C33286"/>
    <w:rsid w:val="00C33405"/>
    <w:rsid w:val="00C33490"/>
    <w:rsid w:val="00C334EA"/>
    <w:rsid w:val="00C33A3B"/>
    <w:rsid w:val="00C33DC5"/>
    <w:rsid w:val="00C34956"/>
    <w:rsid w:val="00C351A2"/>
    <w:rsid w:val="00C35384"/>
    <w:rsid w:val="00C353CA"/>
    <w:rsid w:val="00C3567D"/>
    <w:rsid w:val="00C35B48"/>
    <w:rsid w:val="00C35D5C"/>
    <w:rsid w:val="00C35DF7"/>
    <w:rsid w:val="00C362CD"/>
    <w:rsid w:val="00C3639A"/>
    <w:rsid w:val="00C367C0"/>
    <w:rsid w:val="00C36D81"/>
    <w:rsid w:val="00C36D8A"/>
    <w:rsid w:val="00C36F2E"/>
    <w:rsid w:val="00C36F53"/>
    <w:rsid w:val="00C3729E"/>
    <w:rsid w:val="00C37481"/>
    <w:rsid w:val="00C37783"/>
    <w:rsid w:val="00C40184"/>
    <w:rsid w:val="00C40607"/>
    <w:rsid w:val="00C414C7"/>
    <w:rsid w:val="00C41826"/>
    <w:rsid w:val="00C4255E"/>
    <w:rsid w:val="00C42889"/>
    <w:rsid w:val="00C4351D"/>
    <w:rsid w:val="00C43F01"/>
    <w:rsid w:val="00C44149"/>
    <w:rsid w:val="00C44308"/>
    <w:rsid w:val="00C447E1"/>
    <w:rsid w:val="00C44E94"/>
    <w:rsid w:val="00C44FE9"/>
    <w:rsid w:val="00C4574D"/>
    <w:rsid w:val="00C45D95"/>
    <w:rsid w:val="00C45EA0"/>
    <w:rsid w:val="00C468B5"/>
    <w:rsid w:val="00C46A24"/>
    <w:rsid w:val="00C47497"/>
    <w:rsid w:val="00C474F8"/>
    <w:rsid w:val="00C475F4"/>
    <w:rsid w:val="00C479EE"/>
    <w:rsid w:val="00C47B8B"/>
    <w:rsid w:val="00C47CE6"/>
    <w:rsid w:val="00C47F77"/>
    <w:rsid w:val="00C5037A"/>
    <w:rsid w:val="00C50401"/>
    <w:rsid w:val="00C505B4"/>
    <w:rsid w:val="00C509BB"/>
    <w:rsid w:val="00C50A40"/>
    <w:rsid w:val="00C50C44"/>
    <w:rsid w:val="00C50E8F"/>
    <w:rsid w:val="00C51288"/>
    <w:rsid w:val="00C51895"/>
    <w:rsid w:val="00C51AE7"/>
    <w:rsid w:val="00C51EAD"/>
    <w:rsid w:val="00C52432"/>
    <w:rsid w:val="00C52603"/>
    <w:rsid w:val="00C52633"/>
    <w:rsid w:val="00C5282B"/>
    <w:rsid w:val="00C52961"/>
    <w:rsid w:val="00C52D30"/>
    <w:rsid w:val="00C52E68"/>
    <w:rsid w:val="00C52F1F"/>
    <w:rsid w:val="00C53116"/>
    <w:rsid w:val="00C533D8"/>
    <w:rsid w:val="00C534F4"/>
    <w:rsid w:val="00C53A7B"/>
    <w:rsid w:val="00C53AB4"/>
    <w:rsid w:val="00C53B0D"/>
    <w:rsid w:val="00C53B30"/>
    <w:rsid w:val="00C542ED"/>
    <w:rsid w:val="00C5432C"/>
    <w:rsid w:val="00C5488D"/>
    <w:rsid w:val="00C54D99"/>
    <w:rsid w:val="00C54DF4"/>
    <w:rsid w:val="00C55940"/>
    <w:rsid w:val="00C559D1"/>
    <w:rsid w:val="00C55E07"/>
    <w:rsid w:val="00C56020"/>
    <w:rsid w:val="00C56022"/>
    <w:rsid w:val="00C561EE"/>
    <w:rsid w:val="00C569EF"/>
    <w:rsid w:val="00C56B57"/>
    <w:rsid w:val="00C56C82"/>
    <w:rsid w:val="00C5727B"/>
    <w:rsid w:val="00C57B14"/>
    <w:rsid w:val="00C57DC7"/>
    <w:rsid w:val="00C57EB5"/>
    <w:rsid w:val="00C600B7"/>
    <w:rsid w:val="00C600BB"/>
    <w:rsid w:val="00C60399"/>
    <w:rsid w:val="00C6113B"/>
    <w:rsid w:val="00C611BA"/>
    <w:rsid w:val="00C61667"/>
    <w:rsid w:val="00C6192E"/>
    <w:rsid w:val="00C61BBB"/>
    <w:rsid w:val="00C61DDC"/>
    <w:rsid w:val="00C6227F"/>
    <w:rsid w:val="00C6232E"/>
    <w:rsid w:val="00C62517"/>
    <w:rsid w:val="00C62BBC"/>
    <w:rsid w:val="00C62E92"/>
    <w:rsid w:val="00C62FB4"/>
    <w:rsid w:val="00C63178"/>
    <w:rsid w:val="00C63498"/>
    <w:rsid w:val="00C63BF3"/>
    <w:rsid w:val="00C6432A"/>
    <w:rsid w:val="00C643DC"/>
    <w:rsid w:val="00C6449E"/>
    <w:rsid w:val="00C6456D"/>
    <w:rsid w:val="00C647D4"/>
    <w:rsid w:val="00C64FDB"/>
    <w:rsid w:val="00C650A4"/>
    <w:rsid w:val="00C6524C"/>
    <w:rsid w:val="00C6583B"/>
    <w:rsid w:val="00C661C0"/>
    <w:rsid w:val="00C66277"/>
    <w:rsid w:val="00C66359"/>
    <w:rsid w:val="00C66ABE"/>
    <w:rsid w:val="00C66AD4"/>
    <w:rsid w:val="00C67202"/>
    <w:rsid w:val="00C67C85"/>
    <w:rsid w:val="00C67E2E"/>
    <w:rsid w:val="00C67E56"/>
    <w:rsid w:val="00C70278"/>
    <w:rsid w:val="00C702C0"/>
    <w:rsid w:val="00C7068E"/>
    <w:rsid w:val="00C7079C"/>
    <w:rsid w:val="00C71282"/>
    <w:rsid w:val="00C71354"/>
    <w:rsid w:val="00C718FC"/>
    <w:rsid w:val="00C71D32"/>
    <w:rsid w:val="00C71D93"/>
    <w:rsid w:val="00C71D97"/>
    <w:rsid w:val="00C71E4D"/>
    <w:rsid w:val="00C71F99"/>
    <w:rsid w:val="00C72193"/>
    <w:rsid w:val="00C72993"/>
    <w:rsid w:val="00C72C82"/>
    <w:rsid w:val="00C73029"/>
    <w:rsid w:val="00C73426"/>
    <w:rsid w:val="00C73550"/>
    <w:rsid w:val="00C738F3"/>
    <w:rsid w:val="00C73B6B"/>
    <w:rsid w:val="00C743B5"/>
    <w:rsid w:val="00C74422"/>
    <w:rsid w:val="00C746DD"/>
    <w:rsid w:val="00C74724"/>
    <w:rsid w:val="00C747E2"/>
    <w:rsid w:val="00C748CF"/>
    <w:rsid w:val="00C74AD2"/>
    <w:rsid w:val="00C74B17"/>
    <w:rsid w:val="00C74C1C"/>
    <w:rsid w:val="00C74DD8"/>
    <w:rsid w:val="00C752CF"/>
    <w:rsid w:val="00C756BD"/>
    <w:rsid w:val="00C756CE"/>
    <w:rsid w:val="00C75A89"/>
    <w:rsid w:val="00C761BD"/>
    <w:rsid w:val="00C7633E"/>
    <w:rsid w:val="00C77150"/>
    <w:rsid w:val="00C771BE"/>
    <w:rsid w:val="00C778B5"/>
    <w:rsid w:val="00C77C6B"/>
    <w:rsid w:val="00C77FE9"/>
    <w:rsid w:val="00C80076"/>
    <w:rsid w:val="00C802F1"/>
    <w:rsid w:val="00C8046F"/>
    <w:rsid w:val="00C8053B"/>
    <w:rsid w:val="00C80C6C"/>
    <w:rsid w:val="00C80D5D"/>
    <w:rsid w:val="00C80ED4"/>
    <w:rsid w:val="00C80EEF"/>
    <w:rsid w:val="00C81675"/>
    <w:rsid w:val="00C81CEC"/>
    <w:rsid w:val="00C81DFB"/>
    <w:rsid w:val="00C820C6"/>
    <w:rsid w:val="00C822BB"/>
    <w:rsid w:val="00C82551"/>
    <w:rsid w:val="00C825AF"/>
    <w:rsid w:val="00C832D6"/>
    <w:rsid w:val="00C834D9"/>
    <w:rsid w:val="00C838CD"/>
    <w:rsid w:val="00C83981"/>
    <w:rsid w:val="00C8398B"/>
    <w:rsid w:val="00C83B88"/>
    <w:rsid w:val="00C843C7"/>
    <w:rsid w:val="00C845FC"/>
    <w:rsid w:val="00C849B1"/>
    <w:rsid w:val="00C84A09"/>
    <w:rsid w:val="00C8521E"/>
    <w:rsid w:val="00C857BC"/>
    <w:rsid w:val="00C86927"/>
    <w:rsid w:val="00C86A8D"/>
    <w:rsid w:val="00C86AD6"/>
    <w:rsid w:val="00C86BCB"/>
    <w:rsid w:val="00C8721E"/>
    <w:rsid w:val="00C87290"/>
    <w:rsid w:val="00C8735B"/>
    <w:rsid w:val="00C87623"/>
    <w:rsid w:val="00C87D59"/>
    <w:rsid w:val="00C87E00"/>
    <w:rsid w:val="00C87ECD"/>
    <w:rsid w:val="00C900B4"/>
    <w:rsid w:val="00C904E5"/>
    <w:rsid w:val="00C90BEC"/>
    <w:rsid w:val="00C90C59"/>
    <w:rsid w:val="00C90C5B"/>
    <w:rsid w:val="00C90D46"/>
    <w:rsid w:val="00C912E9"/>
    <w:rsid w:val="00C9151E"/>
    <w:rsid w:val="00C9155F"/>
    <w:rsid w:val="00C91B5C"/>
    <w:rsid w:val="00C91C0B"/>
    <w:rsid w:val="00C92772"/>
    <w:rsid w:val="00C927DA"/>
    <w:rsid w:val="00C92AFA"/>
    <w:rsid w:val="00C92CAB"/>
    <w:rsid w:val="00C92EEA"/>
    <w:rsid w:val="00C931CC"/>
    <w:rsid w:val="00C93276"/>
    <w:rsid w:val="00C933E5"/>
    <w:rsid w:val="00C938FC"/>
    <w:rsid w:val="00C93B8C"/>
    <w:rsid w:val="00C9432C"/>
    <w:rsid w:val="00C9494B"/>
    <w:rsid w:val="00C952B3"/>
    <w:rsid w:val="00C9544C"/>
    <w:rsid w:val="00C95723"/>
    <w:rsid w:val="00C95925"/>
    <w:rsid w:val="00C95A8B"/>
    <w:rsid w:val="00C95F6B"/>
    <w:rsid w:val="00C960E6"/>
    <w:rsid w:val="00C96114"/>
    <w:rsid w:val="00C96BFE"/>
    <w:rsid w:val="00C97690"/>
    <w:rsid w:val="00C9788C"/>
    <w:rsid w:val="00C97B40"/>
    <w:rsid w:val="00CA0016"/>
    <w:rsid w:val="00CA03CF"/>
    <w:rsid w:val="00CA0538"/>
    <w:rsid w:val="00CA0583"/>
    <w:rsid w:val="00CA0D37"/>
    <w:rsid w:val="00CA1D2C"/>
    <w:rsid w:val="00CA1D93"/>
    <w:rsid w:val="00CA24F7"/>
    <w:rsid w:val="00CA2528"/>
    <w:rsid w:val="00CA2634"/>
    <w:rsid w:val="00CA2A0B"/>
    <w:rsid w:val="00CA2A17"/>
    <w:rsid w:val="00CA3279"/>
    <w:rsid w:val="00CA3472"/>
    <w:rsid w:val="00CA3B7F"/>
    <w:rsid w:val="00CA45D2"/>
    <w:rsid w:val="00CA464C"/>
    <w:rsid w:val="00CA48ED"/>
    <w:rsid w:val="00CA4C6D"/>
    <w:rsid w:val="00CA5180"/>
    <w:rsid w:val="00CA572A"/>
    <w:rsid w:val="00CA5BA1"/>
    <w:rsid w:val="00CA5D46"/>
    <w:rsid w:val="00CA60BF"/>
    <w:rsid w:val="00CA62FC"/>
    <w:rsid w:val="00CA649F"/>
    <w:rsid w:val="00CA64FE"/>
    <w:rsid w:val="00CA65D4"/>
    <w:rsid w:val="00CA6A3D"/>
    <w:rsid w:val="00CA6C11"/>
    <w:rsid w:val="00CA7200"/>
    <w:rsid w:val="00CA7229"/>
    <w:rsid w:val="00CA7332"/>
    <w:rsid w:val="00CA7473"/>
    <w:rsid w:val="00CA7CE2"/>
    <w:rsid w:val="00CA7E7E"/>
    <w:rsid w:val="00CA7E87"/>
    <w:rsid w:val="00CB0554"/>
    <w:rsid w:val="00CB0BB4"/>
    <w:rsid w:val="00CB0E14"/>
    <w:rsid w:val="00CB0E71"/>
    <w:rsid w:val="00CB1470"/>
    <w:rsid w:val="00CB2092"/>
    <w:rsid w:val="00CB2246"/>
    <w:rsid w:val="00CB2623"/>
    <w:rsid w:val="00CB2867"/>
    <w:rsid w:val="00CB2E50"/>
    <w:rsid w:val="00CB2E66"/>
    <w:rsid w:val="00CB2F2F"/>
    <w:rsid w:val="00CB2F94"/>
    <w:rsid w:val="00CB3280"/>
    <w:rsid w:val="00CB36EE"/>
    <w:rsid w:val="00CB3F72"/>
    <w:rsid w:val="00CB4934"/>
    <w:rsid w:val="00CB499C"/>
    <w:rsid w:val="00CB50E4"/>
    <w:rsid w:val="00CB51AD"/>
    <w:rsid w:val="00CB5600"/>
    <w:rsid w:val="00CB57D7"/>
    <w:rsid w:val="00CB57DD"/>
    <w:rsid w:val="00CB5B19"/>
    <w:rsid w:val="00CB5C39"/>
    <w:rsid w:val="00CB5FD0"/>
    <w:rsid w:val="00CB7186"/>
    <w:rsid w:val="00CB726C"/>
    <w:rsid w:val="00CB7DBA"/>
    <w:rsid w:val="00CC046A"/>
    <w:rsid w:val="00CC0518"/>
    <w:rsid w:val="00CC0639"/>
    <w:rsid w:val="00CC076E"/>
    <w:rsid w:val="00CC0BC9"/>
    <w:rsid w:val="00CC13B8"/>
    <w:rsid w:val="00CC1AAA"/>
    <w:rsid w:val="00CC1DFB"/>
    <w:rsid w:val="00CC2C83"/>
    <w:rsid w:val="00CC2CC9"/>
    <w:rsid w:val="00CC3397"/>
    <w:rsid w:val="00CC3B0F"/>
    <w:rsid w:val="00CC3E29"/>
    <w:rsid w:val="00CC461C"/>
    <w:rsid w:val="00CC4813"/>
    <w:rsid w:val="00CC48C9"/>
    <w:rsid w:val="00CC4961"/>
    <w:rsid w:val="00CC55FE"/>
    <w:rsid w:val="00CC5788"/>
    <w:rsid w:val="00CC5D28"/>
    <w:rsid w:val="00CC5EC5"/>
    <w:rsid w:val="00CC5F1B"/>
    <w:rsid w:val="00CC6705"/>
    <w:rsid w:val="00CC6E8C"/>
    <w:rsid w:val="00CC78C8"/>
    <w:rsid w:val="00CC7BB8"/>
    <w:rsid w:val="00CD0357"/>
    <w:rsid w:val="00CD06F3"/>
    <w:rsid w:val="00CD08D7"/>
    <w:rsid w:val="00CD0B3C"/>
    <w:rsid w:val="00CD0FA2"/>
    <w:rsid w:val="00CD10A0"/>
    <w:rsid w:val="00CD1445"/>
    <w:rsid w:val="00CD1514"/>
    <w:rsid w:val="00CD1B29"/>
    <w:rsid w:val="00CD20C4"/>
    <w:rsid w:val="00CD233E"/>
    <w:rsid w:val="00CD23EF"/>
    <w:rsid w:val="00CD27BF"/>
    <w:rsid w:val="00CD27F4"/>
    <w:rsid w:val="00CD2F50"/>
    <w:rsid w:val="00CD2F5B"/>
    <w:rsid w:val="00CD350B"/>
    <w:rsid w:val="00CD374A"/>
    <w:rsid w:val="00CD399C"/>
    <w:rsid w:val="00CD3A15"/>
    <w:rsid w:val="00CD4613"/>
    <w:rsid w:val="00CD464C"/>
    <w:rsid w:val="00CD4660"/>
    <w:rsid w:val="00CD4D66"/>
    <w:rsid w:val="00CD557B"/>
    <w:rsid w:val="00CD5A2C"/>
    <w:rsid w:val="00CD67DB"/>
    <w:rsid w:val="00CD6CA8"/>
    <w:rsid w:val="00CD6E2E"/>
    <w:rsid w:val="00CD7071"/>
    <w:rsid w:val="00CD7345"/>
    <w:rsid w:val="00CD73D4"/>
    <w:rsid w:val="00CD7753"/>
    <w:rsid w:val="00CD7DD4"/>
    <w:rsid w:val="00CE0A06"/>
    <w:rsid w:val="00CE0A0C"/>
    <w:rsid w:val="00CE0FA7"/>
    <w:rsid w:val="00CE169B"/>
    <w:rsid w:val="00CE1916"/>
    <w:rsid w:val="00CE1EC2"/>
    <w:rsid w:val="00CE2147"/>
    <w:rsid w:val="00CE2493"/>
    <w:rsid w:val="00CE2522"/>
    <w:rsid w:val="00CE27EE"/>
    <w:rsid w:val="00CE2A51"/>
    <w:rsid w:val="00CE2FA3"/>
    <w:rsid w:val="00CE333C"/>
    <w:rsid w:val="00CE4A5C"/>
    <w:rsid w:val="00CE4B1A"/>
    <w:rsid w:val="00CE53A5"/>
    <w:rsid w:val="00CE59E5"/>
    <w:rsid w:val="00CE645A"/>
    <w:rsid w:val="00CE647F"/>
    <w:rsid w:val="00CE65BF"/>
    <w:rsid w:val="00CE6AA4"/>
    <w:rsid w:val="00CE6DA8"/>
    <w:rsid w:val="00CE75FE"/>
    <w:rsid w:val="00CE7718"/>
    <w:rsid w:val="00CE7C14"/>
    <w:rsid w:val="00CE7C79"/>
    <w:rsid w:val="00CE7CAF"/>
    <w:rsid w:val="00CE7DA9"/>
    <w:rsid w:val="00CE7FB7"/>
    <w:rsid w:val="00CF0145"/>
    <w:rsid w:val="00CF0366"/>
    <w:rsid w:val="00CF0773"/>
    <w:rsid w:val="00CF12B2"/>
    <w:rsid w:val="00CF1437"/>
    <w:rsid w:val="00CF1CCE"/>
    <w:rsid w:val="00CF1D61"/>
    <w:rsid w:val="00CF204C"/>
    <w:rsid w:val="00CF2154"/>
    <w:rsid w:val="00CF21A5"/>
    <w:rsid w:val="00CF2A4D"/>
    <w:rsid w:val="00CF2B65"/>
    <w:rsid w:val="00CF2BE4"/>
    <w:rsid w:val="00CF2D53"/>
    <w:rsid w:val="00CF2D85"/>
    <w:rsid w:val="00CF301F"/>
    <w:rsid w:val="00CF3076"/>
    <w:rsid w:val="00CF372F"/>
    <w:rsid w:val="00CF3828"/>
    <w:rsid w:val="00CF399A"/>
    <w:rsid w:val="00CF39C8"/>
    <w:rsid w:val="00CF478A"/>
    <w:rsid w:val="00CF48CC"/>
    <w:rsid w:val="00CF49C6"/>
    <w:rsid w:val="00CF4E21"/>
    <w:rsid w:val="00CF4E49"/>
    <w:rsid w:val="00CF4F48"/>
    <w:rsid w:val="00CF5266"/>
    <w:rsid w:val="00CF5695"/>
    <w:rsid w:val="00CF5828"/>
    <w:rsid w:val="00CF594F"/>
    <w:rsid w:val="00CF63BF"/>
    <w:rsid w:val="00CF65BC"/>
    <w:rsid w:val="00CF6793"/>
    <w:rsid w:val="00CF67CD"/>
    <w:rsid w:val="00CF695A"/>
    <w:rsid w:val="00CF6CFD"/>
    <w:rsid w:val="00CF7083"/>
    <w:rsid w:val="00CF7FB7"/>
    <w:rsid w:val="00D000AD"/>
    <w:rsid w:val="00D00A38"/>
    <w:rsid w:val="00D00CC3"/>
    <w:rsid w:val="00D00CE6"/>
    <w:rsid w:val="00D00D22"/>
    <w:rsid w:val="00D00DBD"/>
    <w:rsid w:val="00D00DFC"/>
    <w:rsid w:val="00D00ECB"/>
    <w:rsid w:val="00D00F40"/>
    <w:rsid w:val="00D00FB2"/>
    <w:rsid w:val="00D01487"/>
    <w:rsid w:val="00D016E8"/>
    <w:rsid w:val="00D01C60"/>
    <w:rsid w:val="00D0212F"/>
    <w:rsid w:val="00D02270"/>
    <w:rsid w:val="00D024C9"/>
    <w:rsid w:val="00D02AD5"/>
    <w:rsid w:val="00D0337E"/>
    <w:rsid w:val="00D03595"/>
    <w:rsid w:val="00D03627"/>
    <w:rsid w:val="00D03791"/>
    <w:rsid w:val="00D0384F"/>
    <w:rsid w:val="00D03919"/>
    <w:rsid w:val="00D0395B"/>
    <w:rsid w:val="00D03AC4"/>
    <w:rsid w:val="00D041F9"/>
    <w:rsid w:val="00D04FE6"/>
    <w:rsid w:val="00D055E5"/>
    <w:rsid w:val="00D057FC"/>
    <w:rsid w:val="00D05C21"/>
    <w:rsid w:val="00D06379"/>
    <w:rsid w:val="00D06737"/>
    <w:rsid w:val="00D06AFD"/>
    <w:rsid w:val="00D0707B"/>
    <w:rsid w:val="00D07125"/>
    <w:rsid w:val="00D07428"/>
    <w:rsid w:val="00D1064F"/>
    <w:rsid w:val="00D10662"/>
    <w:rsid w:val="00D10C2D"/>
    <w:rsid w:val="00D10D34"/>
    <w:rsid w:val="00D10DEB"/>
    <w:rsid w:val="00D115D2"/>
    <w:rsid w:val="00D11838"/>
    <w:rsid w:val="00D12268"/>
    <w:rsid w:val="00D1239F"/>
    <w:rsid w:val="00D12655"/>
    <w:rsid w:val="00D13650"/>
    <w:rsid w:val="00D136B0"/>
    <w:rsid w:val="00D13D0A"/>
    <w:rsid w:val="00D141A2"/>
    <w:rsid w:val="00D14A1E"/>
    <w:rsid w:val="00D150E0"/>
    <w:rsid w:val="00D15262"/>
    <w:rsid w:val="00D15275"/>
    <w:rsid w:val="00D15306"/>
    <w:rsid w:val="00D154CB"/>
    <w:rsid w:val="00D15AE3"/>
    <w:rsid w:val="00D15D0C"/>
    <w:rsid w:val="00D15EC1"/>
    <w:rsid w:val="00D16E93"/>
    <w:rsid w:val="00D17122"/>
    <w:rsid w:val="00D1721D"/>
    <w:rsid w:val="00D17359"/>
    <w:rsid w:val="00D17381"/>
    <w:rsid w:val="00D17833"/>
    <w:rsid w:val="00D17E4D"/>
    <w:rsid w:val="00D20103"/>
    <w:rsid w:val="00D202F4"/>
    <w:rsid w:val="00D20764"/>
    <w:rsid w:val="00D207FC"/>
    <w:rsid w:val="00D20A32"/>
    <w:rsid w:val="00D20D08"/>
    <w:rsid w:val="00D21383"/>
    <w:rsid w:val="00D219B5"/>
    <w:rsid w:val="00D22763"/>
    <w:rsid w:val="00D22C8E"/>
    <w:rsid w:val="00D2309F"/>
    <w:rsid w:val="00D23174"/>
    <w:rsid w:val="00D236FA"/>
    <w:rsid w:val="00D237AD"/>
    <w:rsid w:val="00D23A3A"/>
    <w:rsid w:val="00D23AE2"/>
    <w:rsid w:val="00D23D9B"/>
    <w:rsid w:val="00D23EEE"/>
    <w:rsid w:val="00D241C9"/>
    <w:rsid w:val="00D245A3"/>
    <w:rsid w:val="00D24CD0"/>
    <w:rsid w:val="00D25291"/>
    <w:rsid w:val="00D25587"/>
    <w:rsid w:val="00D25CF5"/>
    <w:rsid w:val="00D25CFE"/>
    <w:rsid w:val="00D262B9"/>
    <w:rsid w:val="00D26581"/>
    <w:rsid w:val="00D26875"/>
    <w:rsid w:val="00D2695C"/>
    <w:rsid w:val="00D2699F"/>
    <w:rsid w:val="00D26F47"/>
    <w:rsid w:val="00D26F9E"/>
    <w:rsid w:val="00D2743D"/>
    <w:rsid w:val="00D3043D"/>
    <w:rsid w:val="00D307F3"/>
    <w:rsid w:val="00D30800"/>
    <w:rsid w:val="00D315B1"/>
    <w:rsid w:val="00D318CE"/>
    <w:rsid w:val="00D31C02"/>
    <w:rsid w:val="00D31ED4"/>
    <w:rsid w:val="00D326AD"/>
    <w:rsid w:val="00D32D4C"/>
    <w:rsid w:val="00D33142"/>
    <w:rsid w:val="00D338C3"/>
    <w:rsid w:val="00D342A5"/>
    <w:rsid w:val="00D35957"/>
    <w:rsid w:val="00D35977"/>
    <w:rsid w:val="00D35B6B"/>
    <w:rsid w:val="00D35F2E"/>
    <w:rsid w:val="00D364CF"/>
    <w:rsid w:val="00D368A3"/>
    <w:rsid w:val="00D369E5"/>
    <w:rsid w:val="00D372D7"/>
    <w:rsid w:val="00D3763C"/>
    <w:rsid w:val="00D379BB"/>
    <w:rsid w:val="00D37A7E"/>
    <w:rsid w:val="00D37B6B"/>
    <w:rsid w:val="00D37E75"/>
    <w:rsid w:val="00D4042A"/>
    <w:rsid w:val="00D40BBD"/>
    <w:rsid w:val="00D4117A"/>
    <w:rsid w:val="00D417FA"/>
    <w:rsid w:val="00D41E74"/>
    <w:rsid w:val="00D42543"/>
    <w:rsid w:val="00D43612"/>
    <w:rsid w:val="00D43CA0"/>
    <w:rsid w:val="00D4483B"/>
    <w:rsid w:val="00D448D5"/>
    <w:rsid w:val="00D44CC2"/>
    <w:rsid w:val="00D4506C"/>
    <w:rsid w:val="00D45213"/>
    <w:rsid w:val="00D45244"/>
    <w:rsid w:val="00D453A6"/>
    <w:rsid w:val="00D454F6"/>
    <w:rsid w:val="00D456EC"/>
    <w:rsid w:val="00D457FE"/>
    <w:rsid w:val="00D459B3"/>
    <w:rsid w:val="00D47348"/>
    <w:rsid w:val="00D47789"/>
    <w:rsid w:val="00D4789F"/>
    <w:rsid w:val="00D50230"/>
    <w:rsid w:val="00D50B2A"/>
    <w:rsid w:val="00D50BAD"/>
    <w:rsid w:val="00D50CEA"/>
    <w:rsid w:val="00D50DC8"/>
    <w:rsid w:val="00D5105F"/>
    <w:rsid w:val="00D51068"/>
    <w:rsid w:val="00D51144"/>
    <w:rsid w:val="00D5147C"/>
    <w:rsid w:val="00D51B58"/>
    <w:rsid w:val="00D520E2"/>
    <w:rsid w:val="00D52188"/>
    <w:rsid w:val="00D521F0"/>
    <w:rsid w:val="00D522CF"/>
    <w:rsid w:val="00D526EF"/>
    <w:rsid w:val="00D5291C"/>
    <w:rsid w:val="00D52D5A"/>
    <w:rsid w:val="00D53072"/>
    <w:rsid w:val="00D53907"/>
    <w:rsid w:val="00D539F3"/>
    <w:rsid w:val="00D539F8"/>
    <w:rsid w:val="00D539FD"/>
    <w:rsid w:val="00D5468D"/>
    <w:rsid w:val="00D54D61"/>
    <w:rsid w:val="00D54FB7"/>
    <w:rsid w:val="00D552DF"/>
    <w:rsid w:val="00D563B7"/>
    <w:rsid w:val="00D5655E"/>
    <w:rsid w:val="00D57412"/>
    <w:rsid w:val="00D5751A"/>
    <w:rsid w:val="00D5771C"/>
    <w:rsid w:val="00D57882"/>
    <w:rsid w:val="00D57E0A"/>
    <w:rsid w:val="00D57EF3"/>
    <w:rsid w:val="00D60291"/>
    <w:rsid w:val="00D60486"/>
    <w:rsid w:val="00D612C1"/>
    <w:rsid w:val="00D61373"/>
    <w:rsid w:val="00D6189A"/>
    <w:rsid w:val="00D61B82"/>
    <w:rsid w:val="00D627BA"/>
    <w:rsid w:val="00D62B87"/>
    <w:rsid w:val="00D62BAB"/>
    <w:rsid w:val="00D62C7F"/>
    <w:rsid w:val="00D635FC"/>
    <w:rsid w:val="00D63DF4"/>
    <w:rsid w:val="00D64063"/>
    <w:rsid w:val="00D648A5"/>
    <w:rsid w:val="00D64A58"/>
    <w:rsid w:val="00D64EA8"/>
    <w:rsid w:val="00D64F11"/>
    <w:rsid w:val="00D65000"/>
    <w:rsid w:val="00D65240"/>
    <w:rsid w:val="00D6545A"/>
    <w:rsid w:val="00D65549"/>
    <w:rsid w:val="00D663C7"/>
    <w:rsid w:val="00D664CB"/>
    <w:rsid w:val="00D669B6"/>
    <w:rsid w:val="00D67523"/>
    <w:rsid w:val="00D6783A"/>
    <w:rsid w:val="00D67B03"/>
    <w:rsid w:val="00D67B39"/>
    <w:rsid w:val="00D7029B"/>
    <w:rsid w:val="00D70632"/>
    <w:rsid w:val="00D70D5E"/>
    <w:rsid w:val="00D7122D"/>
    <w:rsid w:val="00D71A4F"/>
    <w:rsid w:val="00D72150"/>
    <w:rsid w:val="00D72722"/>
    <w:rsid w:val="00D72B03"/>
    <w:rsid w:val="00D72D3F"/>
    <w:rsid w:val="00D72E3B"/>
    <w:rsid w:val="00D730EF"/>
    <w:rsid w:val="00D7350B"/>
    <w:rsid w:val="00D73AC0"/>
    <w:rsid w:val="00D74234"/>
    <w:rsid w:val="00D74452"/>
    <w:rsid w:val="00D7491A"/>
    <w:rsid w:val="00D74BFF"/>
    <w:rsid w:val="00D74C33"/>
    <w:rsid w:val="00D759A0"/>
    <w:rsid w:val="00D770FF"/>
    <w:rsid w:val="00D779D5"/>
    <w:rsid w:val="00D779DE"/>
    <w:rsid w:val="00D80344"/>
    <w:rsid w:val="00D80380"/>
    <w:rsid w:val="00D80E4F"/>
    <w:rsid w:val="00D81030"/>
    <w:rsid w:val="00D815F8"/>
    <w:rsid w:val="00D81A37"/>
    <w:rsid w:val="00D81C86"/>
    <w:rsid w:val="00D81FE9"/>
    <w:rsid w:val="00D827F5"/>
    <w:rsid w:val="00D82969"/>
    <w:rsid w:val="00D82A69"/>
    <w:rsid w:val="00D82B77"/>
    <w:rsid w:val="00D82EAE"/>
    <w:rsid w:val="00D83E1D"/>
    <w:rsid w:val="00D84505"/>
    <w:rsid w:val="00D84575"/>
    <w:rsid w:val="00D847F8"/>
    <w:rsid w:val="00D849DD"/>
    <w:rsid w:val="00D85B50"/>
    <w:rsid w:val="00D85B6F"/>
    <w:rsid w:val="00D85F05"/>
    <w:rsid w:val="00D86982"/>
    <w:rsid w:val="00D869CF"/>
    <w:rsid w:val="00D86A54"/>
    <w:rsid w:val="00D86E17"/>
    <w:rsid w:val="00D8769F"/>
    <w:rsid w:val="00D879DD"/>
    <w:rsid w:val="00D87AD8"/>
    <w:rsid w:val="00D903FD"/>
    <w:rsid w:val="00D908B5"/>
    <w:rsid w:val="00D90B0C"/>
    <w:rsid w:val="00D911F6"/>
    <w:rsid w:val="00D91F94"/>
    <w:rsid w:val="00D920A1"/>
    <w:rsid w:val="00D92257"/>
    <w:rsid w:val="00D9253B"/>
    <w:rsid w:val="00D92AA3"/>
    <w:rsid w:val="00D9345D"/>
    <w:rsid w:val="00D94022"/>
    <w:rsid w:val="00D94ACA"/>
    <w:rsid w:val="00D94B91"/>
    <w:rsid w:val="00D9536C"/>
    <w:rsid w:val="00D956B2"/>
    <w:rsid w:val="00D9580D"/>
    <w:rsid w:val="00D95896"/>
    <w:rsid w:val="00D95995"/>
    <w:rsid w:val="00D95E82"/>
    <w:rsid w:val="00D96277"/>
    <w:rsid w:val="00D9665C"/>
    <w:rsid w:val="00D96B7C"/>
    <w:rsid w:val="00D97186"/>
    <w:rsid w:val="00D971D8"/>
    <w:rsid w:val="00D97729"/>
    <w:rsid w:val="00D97924"/>
    <w:rsid w:val="00DA050F"/>
    <w:rsid w:val="00DA0952"/>
    <w:rsid w:val="00DA10B0"/>
    <w:rsid w:val="00DA1170"/>
    <w:rsid w:val="00DA127B"/>
    <w:rsid w:val="00DA161D"/>
    <w:rsid w:val="00DA1707"/>
    <w:rsid w:val="00DA1B48"/>
    <w:rsid w:val="00DA1C1B"/>
    <w:rsid w:val="00DA1C4C"/>
    <w:rsid w:val="00DA1D89"/>
    <w:rsid w:val="00DA236E"/>
    <w:rsid w:val="00DA2DFB"/>
    <w:rsid w:val="00DA3116"/>
    <w:rsid w:val="00DA3B9D"/>
    <w:rsid w:val="00DA4300"/>
    <w:rsid w:val="00DA472E"/>
    <w:rsid w:val="00DA495A"/>
    <w:rsid w:val="00DA4CEE"/>
    <w:rsid w:val="00DA4F47"/>
    <w:rsid w:val="00DA5011"/>
    <w:rsid w:val="00DA5338"/>
    <w:rsid w:val="00DA580F"/>
    <w:rsid w:val="00DA6166"/>
    <w:rsid w:val="00DA65BE"/>
    <w:rsid w:val="00DA6931"/>
    <w:rsid w:val="00DA6BE2"/>
    <w:rsid w:val="00DA788A"/>
    <w:rsid w:val="00DB038C"/>
    <w:rsid w:val="00DB04C3"/>
    <w:rsid w:val="00DB05BE"/>
    <w:rsid w:val="00DB086C"/>
    <w:rsid w:val="00DB0D69"/>
    <w:rsid w:val="00DB0F11"/>
    <w:rsid w:val="00DB10EA"/>
    <w:rsid w:val="00DB14B3"/>
    <w:rsid w:val="00DB1511"/>
    <w:rsid w:val="00DB1732"/>
    <w:rsid w:val="00DB1B7C"/>
    <w:rsid w:val="00DB1CEF"/>
    <w:rsid w:val="00DB1EA8"/>
    <w:rsid w:val="00DB240A"/>
    <w:rsid w:val="00DB24E6"/>
    <w:rsid w:val="00DB255B"/>
    <w:rsid w:val="00DB291B"/>
    <w:rsid w:val="00DB2B74"/>
    <w:rsid w:val="00DB30DF"/>
    <w:rsid w:val="00DB379F"/>
    <w:rsid w:val="00DB38B2"/>
    <w:rsid w:val="00DB3A1C"/>
    <w:rsid w:val="00DB3BCB"/>
    <w:rsid w:val="00DB3E9F"/>
    <w:rsid w:val="00DB467D"/>
    <w:rsid w:val="00DB4CA2"/>
    <w:rsid w:val="00DB53A0"/>
    <w:rsid w:val="00DB5BE5"/>
    <w:rsid w:val="00DB68B7"/>
    <w:rsid w:val="00DB6CFA"/>
    <w:rsid w:val="00DB6ED6"/>
    <w:rsid w:val="00DB6F9F"/>
    <w:rsid w:val="00DB70F5"/>
    <w:rsid w:val="00DB71E5"/>
    <w:rsid w:val="00DB7394"/>
    <w:rsid w:val="00DB792A"/>
    <w:rsid w:val="00DC02EE"/>
    <w:rsid w:val="00DC046A"/>
    <w:rsid w:val="00DC054E"/>
    <w:rsid w:val="00DC05F4"/>
    <w:rsid w:val="00DC0C3E"/>
    <w:rsid w:val="00DC0DC6"/>
    <w:rsid w:val="00DC0EEB"/>
    <w:rsid w:val="00DC1241"/>
    <w:rsid w:val="00DC1993"/>
    <w:rsid w:val="00DC1BF6"/>
    <w:rsid w:val="00DC1D10"/>
    <w:rsid w:val="00DC1ED0"/>
    <w:rsid w:val="00DC1F74"/>
    <w:rsid w:val="00DC2539"/>
    <w:rsid w:val="00DC25C7"/>
    <w:rsid w:val="00DC2C5A"/>
    <w:rsid w:val="00DC367D"/>
    <w:rsid w:val="00DC3AA9"/>
    <w:rsid w:val="00DC401F"/>
    <w:rsid w:val="00DC40CD"/>
    <w:rsid w:val="00DC4266"/>
    <w:rsid w:val="00DC48C3"/>
    <w:rsid w:val="00DC4CF5"/>
    <w:rsid w:val="00DC4E49"/>
    <w:rsid w:val="00DC4F19"/>
    <w:rsid w:val="00DC5220"/>
    <w:rsid w:val="00DC5AC7"/>
    <w:rsid w:val="00DC5D2F"/>
    <w:rsid w:val="00DC6E19"/>
    <w:rsid w:val="00DC7065"/>
    <w:rsid w:val="00DC7350"/>
    <w:rsid w:val="00DC73A2"/>
    <w:rsid w:val="00DC741E"/>
    <w:rsid w:val="00DC7859"/>
    <w:rsid w:val="00DC7A68"/>
    <w:rsid w:val="00DC7B04"/>
    <w:rsid w:val="00DC7DAC"/>
    <w:rsid w:val="00DD00B6"/>
    <w:rsid w:val="00DD03B9"/>
    <w:rsid w:val="00DD03E0"/>
    <w:rsid w:val="00DD0412"/>
    <w:rsid w:val="00DD0877"/>
    <w:rsid w:val="00DD0F0F"/>
    <w:rsid w:val="00DD15AC"/>
    <w:rsid w:val="00DD1A9D"/>
    <w:rsid w:val="00DD1BDC"/>
    <w:rsid w:val="00DD2278"/>
    <w:rsid w:val="00DD2541"/>
    <w:rsid w:val="00DD2A43"/>
    <w:rsid w:val="00DD2D18"/>
    <w:rsid w:val="00DD2E25"/>
    <w:rsid w:val="00DD335A"/>
    <w:rsid w:val="00DD3741"/>
    <w:rsid w:val="00DD3C82"/>
    <w:rsid w:val="00DD3D78"/>
    <w:rsid w:val="00DD4B61"/>
    <w:rsid w:val="00DD4DF7"/>
    <w:rsid w:val="00DD57D8"/>
    <w:rsid w:val="00DD5CCD"/>
    <w:rsid w:val="00DD5D8C"/>
    <w:rsid w:val="00DD615B"/>
    <w:rsid w:val="00DD68BF"/>
    <w:rsid w:val="00DD6A6C"/>
    <w:rsid w:val="00DD7131"/>
    <w:rsid w:val="00DD7A77"/>
    <w:rsid w:val="00DD7E48"/>
    <w:rsid w:val="00DD7E65"/>
    <w:rsid w:val="00DD7FD3"/>
    <w:rsid w:val="00DE000D"/>
    <w:rsid w:val="00DE0475"/>
    <w:rsid w:val="00DE0625"/>
    <w:rsid w:val="00DE0764"/>
    <w:rsid w:val="00DE0A87"/>
    <w:rsid w:val="00DE0A89"/>
    <w:rsid w:val="00DE130D"/>
    <w:rsid w:val="00DE148A"/>
    <w:rsid w:val="00DE1637"/>
    <w:rsid w:val="00DE1FD8"/>
    <w:rsid w:val="00DE23BD"/>
    <w:rsid w:val="00DE298D"/>
    <w:rsid w:val="00DE30EB"/>
    <w:rsid w:val="00DE3394"/>
    <w:rsid w:val="00DE3719"/>
    <w:rsid w:val="00DE3D48"/>
    <w:rsid w:val="00DE3DDA"/>
    <w:rsid w:val="00DE4362"/>
    <w:rsid w:val="00DE4FE2"/>
    <w:rsid w:val="00DE558D"/>
    <w:rsid w:val="00DE5C8F"/>
    <w:rsid w:val="00DE5D9A"/>
    <w:rsid w:val="00DE62A5"/>
    <w:rsid w:val="00DE6394"/>
    <w:rsid w:val="00DE6396"/>
    <w:rsid w:val="00DE6697"/>
    <w:rsid w:val="00DE7483"/>
    <w:rsid w:val="00DE7A66"/>
    <w:rsid w:val="00DE7BFB"/>
    <w:rsid w:val="00DF0F8C"/>
    <w:rsid w:val="00DF109A"/>
    <w:rsid w:val="00DF1E18"/>
    <w:rsid w:val="00DF21D7"/>
    <w:rsid w:val="00DF2C17"/>
    <w:rsid w:val="00DF3385"/>
    <w:rsid w:val="00DF3508"/>
    <w:rsid w:val="00DF35C9"/>
    <w:rsid w:val="00DF3915"/>
    <w:rsid w:val="00DF3A96"/>
    <w:rsid w:val="00DF3B59"/>
    <w:rsid w:val="00DF3C78"/>
    <w:rsid w:val="00DF3D1D"/>
    <w:rsid w:val="00DF43A7"/>
    <w:rsid w:val="00DF4729"/>
    <w:rsid w:val="00DF4DC6"/>
    <w:rsid w:val="00DF53BB"/>
    <w:rsid w:val="00DF5F29"/>
    <w:rsid w:val="00DF63F3"/>
    <w:rsid w:val="00DF695F"/>
    <w:rsid w:val="00DF6A32"/>
    <w:rsid w:val="00DF6EBD"/>
    <w:rsid w:val="00DF7577"/>
    <w:rsid w:val="00DF77BB"/>
    <w:rsid w:val="00E0005C"/>
    <w:rsid w:val="00E00692"/>
    <w:rsid w:val="00E00A73"/>
    <w:rsid w:val="00E01077"/>
    <w:rsid w:val="00E01588"/>
    <w:rsid w:val="00E01832"/>
    <w:rsid w:val="00E018DE"/>
    <w:rsid w:val="00E0269B"/>
    <w:rsid w:val="00E02EB9"/>
    <w:rsid w:val="00E03655"/>
    <w:rsid w:val="00E03D26"/>
    <w:rsid w:val="00E0438A"/>
    <w:rsid w:val="00E04908"/>
    <w:rsid w:val="00E04D04"/>
    <w:rsid w:val="00E04F21"/>
    <w:rsid w:val="00E05106"/>
    <w:rsid w:val="00E0589B"/>
    <w:rsid w:val="00E065EA"/>
    <w:rsid w:val="00E0679C"/>
    <w:rsid w:val="00E069A1"/>
    <w:rsid w:val="00E06A6C"/>
    <w:rsid w:val="00E070CA"/>
    <w:rsid w:val="00E0717F"/>
    <w:rsid w:val="00E0744C"/>
    <w:rsid w:val="00E07957"/>
    <w:rsid w:val="00E07A33"/>
    <w:rsid w:val="00E07BD5"/>
    <w:rsid w:val="00E10327"/>
    <w:rsid w:val="00E103B9"/>
    <w:rsid w:val="00E103BF"/>
    <w:rsid w:val="00E10A00"/>
    <w:rsid w:val="00E10BE5"/>
    <w:rsid w:val="00E10C70"/>
    <w:rsid w:val="00E10C95"/>
    <w:rsid w:val="00E10D59"/>
    <w:rsid w:val="00E11987"/>
    <w:rsid w:val="00E12AE2"/>
    <w:rsid w:val="00E12E4C"/>
    <w:rsid w:val="00E130D0"/>
    <w:rsid w:val="00E135BA"/>
    <w:rsid w:val="00E136B4"/>
    <w:rsid w:val="00E142D4"/>
    <w:rsid w:val="00E14339"/>
    <w:rsid w:val="00E143D1"/>
    <w:rsid w:val="00E148E2"/>
    <w:rsid w:val="00E15063"/>
    <w:rsid w:val="00E153BB"/>
    <w:rsid w:val="00E154A1"/>
    <w:rsid w:val="00E154E1"/>
    <w:rsid w:val="00E15E58"/>
    <w:rsid w:val="00E15E98"/>
    <w:rsid w:val="00E15FF5"/>
    <w:rsid w:val="00E16034"/>
    <w:rsid w:val="00E1608A"/>
    <w:rsid w:val="00E165BE"/>
    <w:rsid w:val="00E1746D"/>
    <w:rsid w:val="00E17893"/>
    <w:rsid w:val="00E17B54"/>
    <w:rsid w:val="00E17B7C"/>
    <w:rsid w:val="00E17C26"/>
    <w:rsid w:val="00E20AED"/>
    <w:rsid w:val="00E213C9"/>
    <w:rsid w:val="00E216FE"/>
    <w:rsid w:val="00E21873"/>
    <w:rsid w:val="00E21A8A"/>
    <w:rsid w:val="00E21BE1"/>
    <w:rsid w:val="00E21C3B"/>
    <w:rsid w:val="00E225F4"/>
    <w:rsid w:val="00E2276E"/>
    <w:rsid w:val="00E22C6A"/>
    <w:rsid w:val="00E22EC0"/>
    <w:rsid w:val="00E22F3D"/>
    <w:rsid w:val="00E2367A"/>
    <w:rsid w:val="00E240B0"/>
    <w:rsid w:val="00E240F0"/>
    <w:rsid w:val="00E24234"/>
    <w:rsid w:val="00E2425C"/>
    <w:rsid w:val="00E2524E"/>
    <w:rsid w:val="00E25339"/>
    <w:rsid w:val="00E25C19"/>
    <w:rsid w:val="00E25ED9"/>
    <w:rsid w:val="00E2601B"/>
    <w:rsid w:val="00E26420"/>
    <w:rsid w:val="00E26684"/>
    <w:rsid w:val="00E2705A"/>
    <w:rsid w:val="00E2762C"/>
    <w:rsid w:val="00E27AA2"/>
    <w:rsid w:val="00E308F0"/>
    <w:rsid w:val="00E30C66"/>
    <w:rsid w:val="00E30E35"/>
    <w:rsid w:val="00E31122"/>
    <w:rsid w:val="00E31674"/>
    <w:rsid w:val="00E31B8A"/>
    <w:rsid w:val="00E328F2"/>
    <w:rsid w:val="00E32A5C"/>
    <w:rsid w:val="00E32B60"/>
    <w:rsid w:val="00E32D52"/>
    <w:rsid w:val="00E3308A"/>
    <w:rsid w:val="00E33120"/>
    <w:rsid w:val="00E33731"/>
    <w:rsid w:val="00E3396B"/>
    <w:rsid w:val="00E33A93"/>
    <w:rsid w:val="00E33C29"/>
    <w:rsid w:val="00E340F9"/>
    <w:rsid w:val="00E34CA3"/>
    <w:rsid w:val="00E34D4F"/>
    <w:rsid w:val="00E34E8B"/>
    <w:rsid w:val="00E350C0"/>
    <w:rsid w:val="00E353CD"/>
    <w:rsid w:val="00E353F4"/>
    <w:rsid w:val="00E35C70"/>
    <w:rsid w:val="00E360D5"/>
    <w:rsid w:val="00E364DD"/>
    <w:rsid w:val="00E36830"/>
    <w:rsid w:val="00E368DB"/>
    <w:rsid w:val="00E370E4"/>
    <w:rsid w:val="00E37190"/>
    <w:rsid w:val="00E37250"/>
    <w:rsid w:val="00E3762D"/>
    <w:rsid w:val="00E3798E"/>
    <w:rsid w:val="00E3799E"/>
    <w:rsid w:val="00E379CE"/>
    <w:rsid w:val="00E37F42"/>
    <w:rsid w:val="00E37F79"/>
    <w:rsid w:val="00E40297"/>
    <w:rsid w:val="00E409C7"/>
    <w:rsid w:val="00E40F48"/>
    <w:rsid w:val="00E41092"/>
    <w:rsid w:val="00E413A6"/>
    <w:rsid w:val="00E41544"/>
    <w:rsid w:val="00E41546"/>
    <w:rsid w:val="00E41D3B"/>
    <w:rsid w:val="00E41EEB"/>
    <w:rsid w:val="00E420EF"/>
    <w:rsid w:val="00E42229"/>
    <w:rsid w:val="00E4225A"/>
    <w:rsid w:val="00E4253D"/>
    <w:rsid w:val="00E427EC"/>
    <w:rsid w:val="00E42BCC"/>
    <w:rsid w:val="00E42DD8"/>
    <w:rsid w:val="00E43141"/>
    <w:rsid w:val="00E43854"/>
    <w:rsid w:val="00E43967"/>
    <w:rsid w:val="00E43AEE"/>
    <w:rsid w:val="00E43BF0"/>
    <w:rsid w:val="00E43C6B"/>
    <w:rsid w:val="00E43CF7"/>
    <w:rsid w:val="00E44741"/>
    <w:rsid w:val="00E44AB8"/>
    <w:rsid w:val="00E45111"/>
    <w:rsid w:val="00E45302"/>
    <w:rsid w:val="00E453F0"/>
    <w:rsid w:val="00E4560E"/>
    <w:rsid w:val="00E4588C"/>
    <w:rsid w:val="00E46535"/>
    <w:rsid w:val="00E46701"/>
    <w:rsid w:val="00E46870"/>
    <w:rsid w:val="00E468B6"/>
    <w:rsid w:val="00E46B41"/>
    <w:rsid w:val="00E46B7D"/>
    <w:rsid w:val="00E46FAC"/>
    <w:rsid w:val="00E4747F"/>
    <w:rsid w:val="00E47EEC"/>
    <w:rsid w:val="00E50D64"/>
    <w:rsid w:val="00E511F1"/>
    <w:rsid w:val="00E512F0"/>
    <w:rsid w:val="00E5131B"/>
    <w:rsid w:val="00E51C2E"/>
    <w:rsid w:val="00E51D93"/>
    <w:rsid w:val="00E5222D"/>
    <w:rsid w:val="00E52F67"/>
    <w:rsid w:val="00E536BC"/>
    <w:rsid w:val="00E53BBD"/>
    <w:rsid w:val="00E541FA"/>
    <w:rsid w:val="00E546B1"/>
    <w:rsid w:val="00E54B0C"/>
    <w:rsid w:val="00E5505E"/>
    <w:rsid w:val="00E55278"/>
    <w:rsid w:val="00E55323"/>
    <w:rsid w:val="00E55367"/>
    <w:rsid w:val="00E55465"/>
    <w:rsid w:val="00E55499"/>
    <w:rsid w:val="00E55645"/>
    <w:rsid w:val="00E5573E"/>
    <w:rsid w:val="00E55766"/>
    <w:rsid w:val="00E55843"/>
    <w:rsid w:val="00E55D93"/>
    <w:rsid w:val="00E55D98"/>
    <w:rsid w:val="00E55DB9"/>
    <w:rsid w:val="00E564A2"/>
    <w:rsid w:val="00E56724"/>
    <w:rsid w:val="00E56984"/>
    <w:rsid w:val="00E56AF4"/>
    <w:rsid w:val="00E56C3C"/>
    <w:rsid w:val="00E576D3"/>
    <w:rsid w:val="00E57A59"/>
    <w:rsid w:val="00E57CF8"/>
    <w:rsid w:val="00E57DCC"/>
    <w:rsid w:val="00E6053E"/>
    <w:rsid w:val="00E60773"/>
    <w:rsid w:val="00E60915"/>
    <w:rsid w:val="00E60BA6"/>
    <w:rsid w:val="00E61922"/>
    <w:rsid w:val="00E62246"/>
    <w:rsid w:val="00E62573"/>
    <w:rsid w:val="00E6268D"/>
    <w:rsid w:val="00E628F8"/>
    <w:rsid w:val="00E634C0"/>
    <w:rsid w:val="00E636D9"/>
    <w:rsid w:val="00E63AA2"/>
    <w:rsid w:val="00E6400A"/>
    <w:rsid w:val="00E64219"/>
    <w:rsid w:val="00E645B6"/>
    <w:rsid w:val="00E64722"/>
    <w:rsid w:val="00E64D8E"/>
    <w:rsid w:val="00E6545A"/>
    <w:rsid w:val="00E6579F"/>
    <w:rsid w:val="00E6635F"/>
    <w:rsid w:val="00E666A5"/>
    <w:rsid w:val="00E66B0B"/>
    <w:rsid w:val="00E66BCD"/>
    <w:rsid w:val="00E66CCD"/>
    <w:rsid w:val="00E672B1"/>
    <w:rsid w:val="00E6735E"/>
    <w:rsid w:val="00E674B5"/>
    <w:rsid w:val="00E67703"/>
    <w:rsid w:val="00E7034A"/>
    <w:rsid w:val="00E7038D"/>
    <w:rsid w:val="00E70654"/>
    <w:rsid w:val="00E70BA3"/>
    <w:rsid w:val="00E70D14"/>
    <w:rsid w:val="00E70D92"/>
    <w:rsid w:val="00E71253"/>
    <w:rsid w:val="00E71538"/>
    <w:rsid w:val="00E716E6"/>
    <w:rsid w:val="00E71718"/>
    <w:rsid w:val="00E718B5"/>
    <w:rsid w:val="00E71D73"/>
    <w:rsid w:val="00E71FD9"/>
    <w:rsid w:val="00E721E1"/>
    <w:rsid w:val="00E7236B"/>
    <w:rsid w:val="00E7237E"/>
    <w:rsid w:val="00E72833"/>
    <w:rsid w:val="00E729BB"/>
    <w:rsid w:val="00E72E20"/>
    <w:rsid w:val="00E730ED"/>
    <w:rsid w:val="00E73540"/>
    <w:rsid w:val="00E74465"/>
    <w:rsid w:val="00E74517"/>
    <w:rsid w:val="00E74704"/>
    <w:rsid w:val="00E7518D"/>
    <w:rsid w:val="00E75757"/>
    <w:rsid w:val="00E75A38"/>
    <w:rsid w:val="00E7635B"/>
    <w:rsid w:val="00E7649E"/>
    <w:rsid w:val="00E7651B"/>
    <w:rsid w:val="00E76798"/>
    <w:rsid w:val="00E76947"/>
    <w:rsid w:val="00E772E6"/>
    <w:rsid w:val="00E77704"/>
    <w:rsid w:val="00E777B4"/>
    <w:rsid w:val="00E80396"/>
    <w:rsid w:val="00E803C5"/>
    <w:rsid w:val="00E804CF"/>
    <w:rsid w:val="00E8068F"/>
    <w:rsid w:val="00E80F29"/>
    <w:rsid w:val="00E81212"/>
    <w:rsid w:val="00E8158A"/>
    <w:rsid w:val="00E818A0"/>
    <w:rsid w:val="00E8193C"/>
    <w:rsid w:val="00E82E0D"/>
    <w:rsid w:val="00E8387B"/>
    <w:rsid w:val="00E841CB"/>
    <w:rsid w:val="00E848FA"/>
    <w:rsid w:val="00E85248"/>
    <w:rsid w:val="00E85A09"/>
    <w:rsid w:val="00E85B02"/>
    <w:rsid w:val="00E85BA6"/>
    <w:rsid w:val="00E85E95"/>
    <w:rsid w:val="00E8656D"/>
    <w:rsid w:val="00E86C56"/>
    <w:rsid w:val="00E87414"/>
    <w:rsid w:val="00E8777B"/>
    <w:rsid w:val="00E87C23"/>
    <w:rsid w:val="00E87D43"/>
    <w:rsid w:val="00E903E2"/>
    <w:rsid w:val="00E905AC"/>
    <w:rsid w:val="00E90A97"/>
    <w:rsid w:val="00E90B39"/>
    <w:rsid w:val="00E90F96"/>
    <w:rsid w:val="00E913C4"/>
    <w:rsid w:val="00E914CD"/>
    <w:rsid w:val="00E91938"/>
    <w:rsid w:val="00E91CE3"/>
    <w:rsid w:val="00E9206E"/>
    <w:rsid w:val="00E92144"/>
    <w:rsid w:val="00E92176"/>
    <w:rsid w:val="00E923F0"/>
    <w:rsid w:val="00E92761"/>
    <w:rsid w:val="00E92B22"/>
    <w:rsid w:val="00E92BAD"/>
    <w:rsid w:val="00E92E10"/>
    <w:rsid w:val="00E934B6"/>
    <w:rsid w:val="00E9385D"/>
    <w:rsid w:val="00E93B87"/>
    <w:rsid w:val="00E93D2D"/>
    <w:rsid w:val="00E9427A"/>
    <w:rsid w:val="00E94582"/>
    <w:rsid w:val="00E94841"/>
    <w:rsid w:val="00E94E9B"/>
    <w:rsid w:val="00E95293"/>
    <w:rsid w:val="00E95464"/>
    <w:rsid w:val="00E95A57"/>
    <w:rsid w:val="00E95AA3"/>
    <w:rsid w:val="00E95EAC"/>
    <w:rsid w:val="00E9610F"/>
    <w:rsid w:val="00E96383"/>
    <w:rsid w:val="00E964A5"/>
    <w:rsid w:val="00E96B3C"/>
    <w:rsid w:val="00E96C0B"/>
    <w:rsid w:val="00E96CB2"/>
    <w:rsid w:val="00E96DAB"/>
    <w:rsid w:val="00E96DEB"/>
    <w:rsid w:val="00E971E0"/>
    <w:rsid w:val="00E974B0"/>
    <w:rsid w:val="00E97E04"/>
    <w:rsid w:val="00E97F33"/>
    <w:rsid w:val="00EA00AB"/>
    <w:rsid w:val="00EA0106"/>
    <w:rsid w:val="00EA0758"/>
    <w:rsid w:val="00EA0AAF"/>
    <w:rsid w:val="00EA0BFC"/>
    <w:rsid w:val="00EA112F"/>
    <w:rsid w:val="00EA1715"/>
    <w:rsid w:val="00EA17D7"/>
    <w:rsid w:val="00EA1E69"/>
    <w:rsid w:val="00EA20F1"/>
    <w:rsid w:val="00EA2370"/>
    <w:rsid w:val="00EA262C"/>
    <w:rsid w:val="00EA26AC"/>
    <w:rsid w:val="00EA30F2"/>
    <w:rsid w:val="00EA3532"/>
    <w:rsid w:val="00EA35EC"/>
    <w:rsid w:val="00EA3716"/>
    <w:rsid w:val="00EA3E56"/>
    <w:rsid w:val="00EA3ED1"/>
    <w:rsid w:val="00EA3FDD"/>
    <w:rsid w:val="00EA43EC"/>
    <w:rsid w:val="00EA48EC"/>
    <w:rsid w:val="00EA4FE1"/>
    <w:rsid w:val="00EA50E5"/>
    <w:rsid w:val="00EA55F6"/>
    <w:rsid w:val="00EA560E"/>
    <w:rsid w:val="00EA6016"/>
    <w:rsid w:val="00EA62EE"/>
    <w:rsid w:val="00EA6586"/>
    <w:rsid w:val="00EA70A1"/>
    <w:rsid w:val="00EA7276"/>
    <w:rsid w:val="00EA7B93"/>
    <w:rsid w:val="00EB050E"/>
    <w:rsid w:val="00EB06FF"/>
    <w:rsid w:val="00EB0876"/>
    <w:rsid w:val="00EB0917"/>
    <w:rsid w:val="00EB0E2B"/>
    <w:rsid w:val="00EB13AD"/>
    <w:rsid w:val="00EB1603"/>
    <w:rsid w:val="00EB2177"/>
    <w:rsid w:val="00EB2275"/>
    <w:rsid w:val="00EB25B3"/>
    <w:rsid w:val="00EB2C39"/>
    <w:rsid w:val="00EB31E7"/>
    <w:rsid w:val="00EB3274"/>
    <w:rsid w:val="00EB332C"/>
    <w:rsid w:val="00EB3468"/>
    <w:rsid w:val="00EB37D7"/>
    <w:rsid w:val="00EB3965"/>
    <w:rsid w:val="00EB4571"/>
    <w:rsid w:val="00EB4695"/>
    <w:rsid w:val="00EB4819"/>
    <w:rsid w:val="00EB49FC"/>
    <w:rsid w:val="00EB4C89"/>
    <w:rsid w:val="00EB4FF0"/>
    <w:rsid w:val="00EB527F"/>
    <w:rsid w:val="00EB54F0"/>
    <w:rsid w:val="00EB5631"/>
    <w:rsid w:val="00EB5A51"/>
    <w:rsid w:val="00EB5AA3"/>
    <w:rsid w:val="00EB5B70"/>
    <w:rsid w:val="00EB5FA0"/>
    <w:rsid w:val="00EB6268"/>
    <w:rsid w:val="00EB6369"/>
    <w:rsid w:val="00EB6FA1"/>
    <w:rsid w:val="00EB75EB"/>
    <w:rsid w:val="00EB7C01"/>
    <w:rsid w:val="00EB7DA6"/>
    <w:rsid w:val="00EB7E60"/>
    <w:rsid w:val="00EC0A28"/>
    <w:rsid w:val="00EC101A"/>
    <w:rsid w:val="00EC1143"/>
    <w:rsid w:val="00EC11B6"/>
    <w:rsid w:val="00EC14B3"/>
    <w:rsid w:val="00EC15BD"/>
    <w:rsid w:val="00EC241B"/>
    <w:rsid w:val="00EC2FB7"/>
    <w:rsid w:val="00EC30CC"/>
    <w:rsid w:val="00EC42A6"/>
    <w:rsid w:val="00EC4424"/>
    <w:rsid w:val="00EC454E"/>
    <w:rsid w:val="00EC4BC8"/>
    <w:rsid w:val="00EC56A0"/>
    <w:rsid w:val="00EC572A"/>
    <w:rsid w:val="00EC57B5"/>
    <w:rsid w:val="00EC5A8F"/>
    <w:rsid w:val="00EC5E2E"/>
    <w:rsid w:val="00EC6348"/>
    <w:rsid w:val="00EC638B"/>
    <w:rsid w:val="00EC66DD"/>
    <w:rsid w:val="00EC6873"/>
    <w:rsid w:val="00EC6E6B"/>
    <w:rsid w:val="00EC7213"/>
    <w:rsid w:val="00EC7277"/>
    <w:rsid w:val="00EC73FD"/>
    <w:rsid w:val="00EC765B"/>
    <w:rsid w:val="00EC7917"/>
    <w:rsid w:val="00EC7F20"/>
    <w:rsid w:val="00EC7F9F"/>
    <w:rsid w:val="00ED0A3E"/>
    <w:rsid w:val="00ED0AB8"/>
    <w:rsid w:val="00ED0B76"/>
    <w:rsid w:val="00ED0BB4"/>
    <w:rsid w:val="00ED0F3F"/>
    <w:rsid w:val="00ED0FE1"/>
    <w:rsid w:val="00ED1B59"/>
    <w:rsid w:val="00ED1D2F"/>
    <w:rsid w:val="00ED2428"/>
    <w:rsid w:val="00ED2F56"/>
    <w:rsid w:val="00ED3588"/>
    <w:rsid w:val="00ED381F"/>
    <w:rsid w:val="00ED4452"/>
    <w:rsid w:val="00ED4894"/>
    <w:rsid w:val="00ED49DF"/>
    <w:rsid w:val="00ED4A9B"/>
    <w:rsid w:val="00ED58E0"/>
    <w:rsid w:val="00ED5B2B"/>
    <w:rsid w:val="00ED6B52"/>
    <w:rsid w:val="00ED71D7"/>
    <w:rsid w:val="00ED7EBB"/>
    <w:rsid w:val="00EE09AC"/>
    <w:rsid w:val="00EE0A49"/>
    <w:rsid w:val="00EE0EB2"/>
    <w:rsid w:val="00EE0F87"/>
    <w:rsid w:val="00EE1B49"/>
    <w:rsid w:val="00EE1B9D"/>
    <w:rsid w:val="00EE1CBB"/>
    <w:rsid w:val="00EE2059"/>
    <w:rsid w:val="00EE2104"/>
    <w:rsid w:val="00EE224C"/>
    <w:rsid w:val="00EE236C"/>
    <w:rsid w:val="00EE2B71"/>
    <w:rsid w:val="00EE3018"/>
    <w:rsid w:val="00EE3605"/>
    <w:rsid w:val="00EE38BF"/>
    <w:rsid w:val="00EE3DE5"/>
    <w:rsid w:val="00EE4088"/>
    <w:rsid w:val="00EE40FA"/>
    <w:rsid w:val="00EE4108"/>
    <w:rsid w:val="00EE4A15"/>
    <w:rsid w:val="00EE54CC"/>
    <w:rsid w:val="00EE5644"/>
    <w:rsid w:val="00EE5A02"/>
    <w:rsid w:val="00EE67C4"/>
    <w:rsid w:val="00EE68A7"/>
    <w:rsid w:val="00EE68E1"/>
    <w:rsid w:val="00EE6B99"/>
    <w:rsid w:val="00EE6E4F"/>
    <w:rsid w:val="00EE7271"/>
    <w:rsid w:val="00EE7637"/>
    <w:rsid w:val="00EE7A58"/>
    <w:rsid w:val="00EE7A90"/>
    <w:rsid w:val="00EE7C7B"/>
    <w:rsid w:val="00EE7D50"/>
    <w:rsid w:val="00EE7ECF"/>
    <w:rsid w:val="00EF039B"/>
    <w:rsid w:val="00EF10EB"/>
    <w:rsid w:val="00EF121D"/>
    <w:rsid w:val="00EF14C8"/>
    <w:rsid w:val="00EF187D"/>
    <w:rsid w:val="00EF196D"/>
    <w:rsid w:val="00EF1C70"/>
    <w:rsid w:val="00EF1C93"/>
    <w:rsid w:val="00EF2354"/>
    <w:rsid w:val="00EF2473"/>
    <w:rsid w:val="00EF2C78"/>
    <w:rsid w:val="00EF3435"/>
    <w:rsid w:val="00EF3685"/>
    <w:rsid w:val="00EF3B3C"/>
    <w:rsid w:val="00EF481E"/>
    <w:rsid w:val="00EF48EC"/>
    <w:rsid w:val="00EF4A05"/>
    <w:rsid w:val="00EF5F0C"/>
    <w:rsid w:val="00EF6781"/>
    <w:rsid w:val="00EF7821"/>
    <w:rsid w:val="00EF7866"/>
    <w:rsid w:val="00EF7C3D"/>
    <w:rsid w:val="00EF7D01"/>
    <w:rsid w:val="00EF7EFD"/>
    <w:rsid w:val="00F00AD7"/>
    <w:rsid w:val="00F0123A"/>
    <w:rsid w:val="00F019AF"/>
    <w:rsid w:val="00F019FF"/>
    <w:rsid w:val="00F01F73"/>
    <w:rsid w:val="00F02152"/>
    <w:rsid w:val="00F023D7"/>
    <w:rsid w:val="00F02E92"/>
    <w:rsid w:val="00F02EF5"/>
    <w:rsid w:val="00F03D38"/>
    <w:rsid w:val="00F03EE0"/>
    <w:rsid w:val="00F043CA"/>
    <w:rsid w:val="00F0477A"/>
    <w:rsid w:val="00F047CE"/>
    <w:rsid w:val="00F04952"/>
    <w:rsid w:val="00F049BD"/>
    <w:rsid w:val="00F04A5D"/>
    <w:rsid w:val="00F04D94"/>
    <w:rsid w:val="00F05096"/>
    <w:rsid w:val="00F05D19"/>
    <w:rsid w:val="00F0675C"/>
    <w:rsid w:val="00F0696E"/>
    <w:rsid w:val="00F06BE5"/>
    <w:rsid w:val="00F07165"/>
    <w:rsid w:val="00F07196"/>
    <w:rsid w:val="00F07806"/>
    <w:rsid w:val="00F100A1"/>
    <w:rsid w:val="00F1028C"/>
    <w:rsid w:val="00F10745"/>
    <w:rsid w:val="00F10A99"/>
    <w:rsid w:val="00F10AE9"/>
    <w:rsid w:val="00F10CB7"/>
    <w:rsid w:val="00F11121"/>
    <w:rsid w:val="00F11234"/>
    <w:rsid w:val="00F112B3"/>
    <w:rsid w:val="00F1133E"/>
    <w:rsid w:val="00F1198F"/>
    <w:rsid w:val="00F11C15"/>
    <w:rsid w:val="00F12E0C"/>
    <w:rsid w:val="00F13153"/>
    <w:rsid w:val="00F13F39"/>
    <w:rsid w:val="00F140BF"/>
    <w:rsid w:val="00F1428D"/>
    <w:rsid w:val="00F14524"/>
    <w:rsid w:val="00F1468C"/>
    <w:rsid w:val="00F14960"/>
    <w:rsid w:val="00F1497B"/>
    <w:rsid w:val="00F14BFD"/>
    <w:rsid w:val="00F14D6C"/>
    <w:rsid w:val="00F14EC9"/>
    <w:rsid w:val="00F15882"/>
    <w:rsid w:val="00F16233"/>
    <w:rsid w:val="00F17092"/>
    <w:rsid w:val="00F17C46"/>
    <w:rsid w:val="00F20152"/>
    <w:rsid w:val="00F20307"/>
    <w:rsid w:val="00F20BD0"/>
    <w:rsid w:val="00F20F0A"/>
    <w:rsid w:val="00F2100A"/>
    <w:rsid w:val="00F214ED"/>
    <w:rsid w:val="00F215CC"/>
    <w:rsid w:val="00F219B9"/>
    <w:rsid w:val="00F21DC6"/>
    <w:rsid w:val="00F22013"/>
    <w:rsid w:val="00F22CDE"/>
    <w:rsid w:val="00F23D6C"/>
    <w:rsid w:val="00F24A4A"/>
    <w:rsid w:val="00F25738"/>
    <w:rsid w:val="00F25D43"/>
    <w:rsid w:val="00F25D4F"/>
    <w:rsid w:val="00F2663D"/>
    <w:rsid w:val="00F26684"/>
    <w:rsid w:val="00F26F37"/>
    <w:rsid w:val="00F272B1"/>
    <w:rsid w:val="00F27845"/>
    <w:rsid w:val="00F27A64"/>
    <w:rsid w:val="00F27C65"/>
    <w:rsid w:val="00F30A1F"/>
    <w:rsid w:val="00F313A1"/>
    <w:rsid w:val="00F31590"/>
    <w:rsid w:val="00F3175D"/>
    <w:rsid w:val="00F31AD0"/>
    <w:rsid w:val="00F31BA8"/>
    <w:rsid w:val="00F31DE3"/>
    <w:rsid w:val="00F326B7"/>
    <w:rsid w:val="00F3353C"/>
    <w:rsid w:val="00F33809"/>
    <w:rsid w:val="00F33B2D"/>
    <w:rsid w:val="00F33EF2"/>
    <w:rsid w:val="00F341ED"/>
    <w:rsid w:val="00F3424F"/>
    <w:rsid w:val="00F346CD"/>
    <w:rsid w:val="00F34ADD"/>
    <w:rsid w:val="00F34C23"/>
    <w:rsid w:val="00F34F8A"/>
    <w:rsid w:val="00F35518"/>
    <w:rsid w:val="00F35598"/>
    <w:rsid w:val="00F35639"/>
    <w:rsid w:val="00F35DE3"/>
    <w:rsid w:val="00F3649A"/>
    <w:rsid w:val="00F367AF"/>
    <w:rsid w:val="00F36F48"/>
    <w:rsid w:val="00F37154"/>
    <w:rsid w:val="00F40033"/>
    <w:rsid w:val="00F40789"/>
    <w:rsid w:val="00F41181"/>
    <w:rsid w:val="00F4180D"/>
    <w:rsid w:val="00F41C34"/>
    <w:rsid w:val="00F42013"/>
    <w:rsid w:val="00F42C52"/>
    <w:rsid w:val="00F43274"/>
    <w:rsid w:val="00F435A3"/>
    <w:rsid w:val="00F4393A"/>
    <w:rsid w:val="00F43A2E"/>
    <w:rsid w:val="00F43D5B"/>
    <w:rsid w:val="00F44068"/>
    <w:rsid w:val="00F443D2"/>
    <w:rsid w:val="00F444A7"/>
    <w:rsid w:val="00F44A99"/>
    <w:rsid w:val="00F44F70"/>
    <w:rsid w:val="00F45102"/>
    <w:rsid w:val="00F45248"/>
    <w:rsid w:val="00F452F0"/>
    <w:rsid w:val="00F45433"/>
    <w:rsid w:val="00F45912"/>
    <w:rsid w:val="00F45D34"/>
    <w:rsid w:val="00F45E95"/>
    <w:rsid w:val="00F4688A"/>
    <w:rsid w:val="00F46943"/>
    <w:rsid w:val="00F47A66"/>
    <w:rsid w:val="00F5055B"/>
    <w:rsid w:val="00F50673"/>
    <w:rsid w:val="00F50D36"/>
    <w:rsid w:val="00F50F50"/>
    <w:rsid w:val="00F5108C"/>
    <w:rsid w:val="00F51546"/>
    <w:rsid w:val="00F51FF5"/>
    <w:rsid w:val="00F5204F"/>
    <w:rsid w:val="00F5217C"/>
    <w:rsid w:val="00F5227F"/>
    <w:rsid w:val="00F52738"/>
    <w:rsid w:val="00F527F1"/>
    <w:rsid w:val="00F52905"/>
    <w:rsid w:val="00F52A71"/>
    <w:rsid w:val="00F52B50"/>
    <w:rsid w:val="00F52CCC"/>
    <w:rsid w:val="00F5319A"/>
    <w:rsid w:val="00F53AB1"/>
    <w:rsid w:val="00F53CBB"/>
    <w:rsid w:val="00F53D9E"/>
    <w:rsid w:val="00F54790"/>
    <w:rsid w:val="00F550C4"/>
    <w:rsid w:val="00F55976"/>
    <w:rsid w:val="00F56032"/>
    <w:rsid w:val="00F56CA6"/>
    <w:rsid w:val="00F56D86"/>
    <w:rsid w:val="00F572A4"/>
    <w:rsid w:val="00F57482"/>
    <w:rsid w:val="00F60006"/>
    <w:rsid w:val="00F60243"/>
    <w:rsid w:val="00F603DB"/>
    <w:rsid w:val="00F60A68"/>
    <w:rsid w:val="00F60B04"/>
    <w:rsid w:val="00F60FD2"/>
    <w:rsid w:val="00F611E2"/>
    <w:rsid w:val="00F61511"/>
    <w:rsid w:val="00F61BEA"/>
    <w:rsid w:val="00F61C62"/>
    <w:rsid w:val="00F61D7D"/>
    <w:rsid w:val="00F6227C"/>
    <w:rsid w:val="00F62A50"/>
    <w:rsid w:val="00F62FC2"/>
    <w:rsid w:val="00F635B0"/>
    <w:rsid w:val="00F63684"/>
    <w:rsid w:val="00F63F5A"/>
    <w:rsid w:val="00F64014"/>
    <w:rsid w:val="00F64047"/>
    <w:rsid w:val="00F64344"/>
    <w:rsid w:val="00F64355"/>
    <w:rsid w:val="00F6451C"/>
    <w:rsid w:val="00F6472B"/>
    <w:rsid w:val="00F64BF8"/>
    <w:rsid w:val="00F64C56"/>
    <w:rsid w:val="00F64DD5"/>
    <w:rsid w:val="00F650EB"/>
    <w:rsid w:val="00F65A30"/>
    <w:rsid w:val="00F6611A"/>
    <w:rsid w:val="00F6618A"/>
    <w:rsid w:val="00F6659A"/>
    <w:rsid w:val="00F66779"/>
    <w:rsid w:val="00F66E95"/>
    <w:rsid w:val="00F6706A"/>
    <w:rsid w:val="00F676E9"/>
    <w:rsid w:val="00F67824"/>
    <w:rsid w:val="00F67BA6"/>
    <w:rsid w:val="00F67CDB"/>
    <w:rsid w:val="00F67F5F"/>
    <w:rsid w:val="00F7017C"/>
    <w:rsid w:val="00F705D1"/>
    <w:rsid w:val="00F707B9"/>
    <w:rsid w:val="00F70D33"/>
    <w:rsid w:val="00F71662"/>
    <w:rsid w:val="00F71743"/>
    <w:rsid w:val="00F72239"/>
    <w:rsid w:val="00F726F5"/>
    <w:rsid w:val="00F72886"/>
    <w:rsid w:val="00F72A7A"/>
    <w:rsid w:val="00F72B5D"/>
    <w:rsid w:val="00F72C4E"/>
    <w:rsid w:val="00F72C54"/>
    <w:rsid w:val="00F72D9A"/>
    <w:rsid w:val="00F72E89"/>
    <w:rsid w:val="00F738C0"/>
    <w:rsid w:val="00F73B53"/>
    <w:rsid w:val="00F74144"/>
    <w:rsid w:val="00F7416C"/>
    <w:rsid w:val="00F74707"/>
    <w:rsid w:val="00F74B4E"/>
    <w:rsid w:val="00F750F2"/>
    <w:rsid w:val="00F758D6"/>
    <w:rsid w:val="00F75A47"/>
    <w:rsid w:val="00F75B7C"/>
    <w:rsid w:val="00F76681"/>
    <w:rsid w:val="00F76FF8"/>
    <w:rsid w:val="00F779F7"/>
    <w:rsid w:val="00F77D4E"/>
    <w:rsid w:val="00F806F2"/>
    <w:rsid w:val="00F80712"/>
    <w:rsid w:val="00F810F8"/>
    <w:rsid w:val="00F811F6"/>
    <w:rsid w:val="00F813C0"/>
    <w:rsid w:val="00F813C6"/>
    <w:rsid w:val="00F81643"/>
    <w:rsid w:val="00F81A61"/>
    <w:rsid w:val="00F824CE"/>
    <w:rsid w:val="00F8250A"/>
    <w:rsid w:val="00F826F2"/>
    <w:rsid w:val="00F82BF8"/>
    <w:rsid w:val="00F836F6"/>
    <w:rsid w:val="00F83F86"/>
    <w:rsid w:val="00F84068"/>
    <w:rsid w:val="00F844FC"/>
    <w:rsid w:val="00F84CFB"/>
    <w:rsid w:val="00F85041"/>
    <w:rsid w:val="00F85548"/>
    <w:rsid w:val="00F857A3"/>
    <w:rsid w:val="00F85CD5"/>
    <w:rsid w:val="00F86106"/>
    <w:rsid w:val="00F86E3D"/>
    <w:rsid w:val="00F8717C"/>
    <w:rsid w:val="00F87281"/>
    <w:rsid w:val="00F872CE"/>
    <w:rsid w:val="00F8752E"/>
    <w:rsid w:val="00F87F90"/>
    <w:rsid w:val="00F9018C"/>
    <w:rsid w:val="00F9026F"/>
    <w:rsid w:val="00F902B2"/>
    <w:rsid w:val="00F902E8"/>
    <w:rsid w:val="00F9044E"/>
    <w:rsid w:val="00F904FE"/>
    <w:rsid w:val="00F90E42"/>
    <w:rsid w:val="00F91077"/>
    <w:rsid w:val="00F9131D"/>
    <w:rsid w:val="00F91484"/>
    <w:rsid w:val="00F91ED8"/>
    <w:rsid w:val="00F92076"/>
    <w:rsid w:val="00F92441"/>
    <w:rsid w:val="00F925D1"/>
    <w:rsid w:val="00F927EA"/>
    <w:rsid w:val="00F92CD5"/>
    <w:rsid w:val="00F92EBE"/>
    <w:rsid w:val="00F930B5"/>
    <w:rsid w:val="00F93311"/>
    <w:rsid w:val="00F936E8"/>
    <w:rsid w:val="00F93E57"/>
    <w:rsid w:val="00F940AC"/>
    <w:rsid w:val="00F94124"/>
    <w:rsid w:val="00F94662"/>
    <w:rsid w:val="00F94750"/>
    <w:rsid w:val="00F94C18"/>
    <w:rsid w:val="00F95F07"/>
    <w:rsid w:val="00F9622F"/>
    <w:rsid w:val="00F97374"/>
    <w:rsid w:val="00F97428"/>
    <w:rsid w:val="00F9746D"/>
    <w:rsid w:val="00F97971"/>
    <w:rsid w:val="00F97BA8"/>
    <w:rsid w:val="00FA0221"/>
    <w:rsid w:val="00FA0265"/>
    <w:rsid w:val="00FA0445"/>
    <w:rsid w:val="00FA0ED7"/>
    <w:rsid w:val="00FA1D18"/>
    <w:rsid w:val="00FA21F9"/>
    <w:rsid w:val="00FA22CE"/>
    <w:rsid w:val="00FA2371"/>
    <w:rsid w:val="00FA238C"/>
    <w:rsid w:val="00FA25AC"/>
    <w:rsid w:val="00FA27BC"/>
    <w:rsid w:val="00FA3604"/>
    <w:rsid w:val="00FA394F"/>
    <w:rsid w:val="00FA3B00"/>
    <w:rsid w:val="00FA3DAF"/>
    <w:rsid w:val="00FA3FCE"/>
    <w:rsid w:val="00FA40CC"/>
    <w:rsid w:val="00FA414C"/>
    <w:rsid w:val="00FA48D2"/>
    <w:rsid w:val="00FA49D4"/>
    <w:rsid w:val="00FA4F22"/>
    <w:rsid w:val="00FA5704"/>
    <w:rsid w:val="00FA58E7"/>
    <w:rsid w:val="00FA5E6B"/>
    <w:rsid w:val="00FA62EC"/>
    <w:rsid w:val="00FA63B1"/>
    <w:rsid w:val="00FA647E"/>
    <w:rsid w:val="00FA6925"/>
    <w:rsid w:val="00FA713D"/>
    <w:rsid w:val="00FA7649"/>
    <w:rsid w:val="00FA767B"/>
    <w:rsid w:val="00FA76B0"/>
    <w:rsid w:val="00FA79DB"/>
    <w:rsid w:val="00FA7DE5"/>
    <w:rsid w:val="00FA7EB5"/>
    <w:rsid w:val="00FB02DF"/>
    <w:rsid w:val="00FB05B0"/>
    <w:rsid w:val="00FB05E4"/>
    <w:rsid w:val="00FB1034"/>
    <w:rsid w:val="00FB124D"/>
    <w:rsid w:val="00FB1969"/>
    <w:rsid w:val="00FB2097"/>
    <w:rsid w:val="00FB22B2"/>
    <w:rsid w:val="00FB27DA"/>
    <w:rsid w:val="00FB29D6"/>
    <w:rsid w:val="00FB3468"/>
    <w:rsid w:val="00FB3846"/>
    <w:rsid w:val="00FB3A5D"/>
    <w:rsid w:val="00FB3E7B"/>
    <w:rsid w:val="00FB3F4E"/>
    <w:rsid w:val="00FB46B7"/>
    <w:rsid w:val="00FB47D6"/>
    <w:rsid w:val="00FB4DE2"/>
    <w:rsid w:val="00FB5021"/>
    <w:rsid w:val="00FB549D"/>
    <w:rsid w:val="00FB5E8A"/>
    <w:rsid w:val="00FC0134"/>
    <w:rsid w:val="00FC0538"/>
    <w:rsid w:val="00FC15B8"/>
    <w:rsid w:val="00FC29A2"/>
    <w:rsid w:val="00FC2CD8"/>
    <w:rsid w:val="00FC2D3B"/>
    <w:rsid w:val="00FC2E67"/>
    <w:rsid w:val="00FC32B2"/>
    <w:rsid w:val="00FC34AF"/>
    <w:rsid w:val="00FC3B16"/>
    <w:rsid w:val="00FC3FBD"/>
    <w:rsid w:val="00FC41AB"/>
    <w:rsid w:val="00FC4690"/>
    <w:rsid w:val="00FC489F"/>
    <w:rsid w:val="00FC5379"/>
    <w:rsid w:val="00FC5C69"/>
    <w:rsid w:val="00FC61B0"/>
    <w:rsid w:val="00FC6297"/>
    <w:rsid w:val="00FC6427"/>
    <w:rsid w:val="00FC6962"/>
    <w:rsid w:val="00FC7118"/>
    <w:rsid w:val="00FC73AA"/>
    <w:rsid w:val="00FC7400"/>
    <w:rsid w:val="00FC740C"/>
    <w:rsid w:val="00FC7643"/>
    <w:rsid w:val="00FC7795"/>
    <w:rsid w:val="00FC7892"/>
    <w:rsid w:val="00FC7C3D"/>
    <w:rsid w:val="00FC7E25"/>
    <w:rsid w:val="00FD00BA"/>
    <w:rsid w:val="00FD071B"/>
    <w:rsid w:val="00FD103C"/>
    <w:rsid w:val="00FD17C3"/>
    <w:rsid w:val="00FD17FF"/>
    <w:rsid w:val="00FD1DDA"/>
    <w:rsid w:val="00FD2034"/>
    <w:rsid w:val="00FD213E"/>
    <w:rsid w:val="00FD255F"/>
    <w:rsid w:val="00FD265E"/>
    <w:rsid w:val="00FD2B8C"/>
    <w:rsid w:val="00FD3685"/>
    <w:rsid w:val="00FD3BC0"/>
    <w:rsid w:val="00FD3CDF"/>
    <w:rsid w:val="00FD42C3"/>
    <w:rsid w:val="00FD5013"/>
    <w:rsid w:val="00FD5497"/>
    <w:rsid w:val="00FD579E"/>
    <w:rsid w:val="00FD5869"/>
    <w:rsid w:val="00FD58D5"/>
    <w:rsid w:val="00FD5CF4"/>
    <w:rsid w:val="00FD6369"/>
    <w:rsid w:val="00FD6A51"/>
    <w:rsid w:val="00FD6C7F"/>
    <w:rsid w:val="00FD6D12"/>
    <w:rsid w:val="00FD706B"/>
    <w:rsid w:val="00FD7F99"/>
    <w:rsid w:val="00FE008C"/>
    <w:rsid w:val="00FE044F"/>
    <w:rsid w:val="00FE057F"/>
    <w:rsid w:val="00FE0BBE"/>
    <w:rsid w:val="00FE0CD8"/>
    <w:rsid w:val="00FE0D13"/>
    <w:rsid w:val="00FE0E10"/>
    <w:rsid w:val="00FE1A69"/>
    <w:rsid w:val="00FE1CE9"/>
    <w:rsid w:val="00FE2377"/>
    <w:rsid w:val="00FE2716"/>
    <w:rsid w:val="00FE2BF0"/>
    <w:rsid w:val="00FE2DB5"/>
    <w:rsid w:val="00FE2E9F"/>
    <w:rsid w:val="00FE3278"/>
    <w:rsid w:val="00FE3387"/>
    <w:rsid w:val="00FE3486"/>
    <w:rsid w:val="00FE3778"/>
    <w:rsid w:val="00FE3C3B"/>
    <w:rsid w:val="00FE3CE0"/>
    <w:rsid w:val="00FE44CB"/>
    <w:rsid w:val="00FE50DD"/>
    <w:rsid w:val="00FE52A7"/>
    <w:rsid w:val="00FE5489"/>
    <w:rsid w:val="00FE585C"/>
    <w:rsid w:val="00FE5D2E"/>
    <w:rsid w:val="00FE660C"/>
    <w:rsid w:val="00FE668C"/>
    <w:rsid w:val="00FE6D56"/>
    <w:rsid w:val="00FE7303"/>
    <w:rsid w:val="00FE79D3"/>
    <w:rsid w:val="00FE7BB8"/>
    <w:rsid w:val="00FF0097"/>
    <w:rsid w:val="00FF0452"/>
    <w:rsid w:val="00FF080E"/>
    <w:rsid w:val="00FF09DF"/>
    <w:rsid w:val="00FF0DA3"/>
    <w:rsid w:val="00FF1745"/>
    <w:rsid w:val="00FF1DF4"/>
    <w:rsid w:val="00FF23B2"/>
    <w:rsid w:val="00FF24AD"/>
    <w:rsid w:val="00FF26F3"/>
    <w:rsid w:val="00FF2834"/>
    <w:rsid w:val="00FF28AC"/>
    <w:rsid w:val="00FF34B8"/>
    <w:rsid w:val="00FF352B"/>
    <w:rsid w:val="00FF36F0"/>
    <w:rsid w:val="00FF395B"/>
    <w:rsid w:val="00FF429F"/>
    <w:rsid w:val="00FF42F6"/>
    <w:rsid w:val="00FF4795"/>
    <w:rsid w:val="00FF479C"/>
    <w:rsid w:val="00FF4AD0"/>
    <w:rsid w:val="00FF4B53"/>
    <w:rsid w:val="00FF523D"/>
    <w:rsid w:val="00FF5459"/>
    <w:rsid w:val="00FF54E8"/>
    <w:rsid w:val="00FF56A9"/>
    <w:rsid w:val="00FF5B68"/>
    <w:rsid w:val="00FF5DFA"/>
    <w:rsid w:val="00FF6530"/>
    <w:rsid w:val="00FF683C"/>
    <w:rsid w:val="00FF6965"/>
    <w:rsid w:val="00FF6BC3"/>
    <w:rsid w:val="00FF714F"/>
    <w:rsid w:val="00FF75BC"/>
    <w:rsid w:val="00FF7FBE"/>
    <w:rsid w:val="337D4BE3"/>
    <w:rsid w:val="43FEA46B"/>
    <w:rsid w:val="4C6AD088"/>
    <w:rsid w:val="55F8DAF4"/>
    <w:rsid w:val="7856C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BAE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245"/>
  </w:style>
  <w:style w:type="paragraph" w:styleId="Heading1">
    <w:name w:val="heading 1"/>
    <w:basedOn w:val="Normal"/>
    <w:next w:val="Normal"/>
    <w:link w:val="Heading1Char"/>
    <w:uiPriority w:val="9"/>
    <w:qFormat/>
    <w:rsid w:val="00C56022"/>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2B5258" w:themeColor="accent5" w:themeShade="80"/>
      <w:sz w:val="52"/>
      <w:szCs w:val="36"/>
    </w:rPr>
  </w:style>
  <w:style w:type="paragraph" w:styleId="Heading2">
    <w:name w:val="heading 2"/>
    <w:basedOn w:val="Normal"/>
    <w:next w:val="Normal"/>
    <w:link w:val="Heading2Char"/>
    <w:uiPriority w:val="9"/>
    <w:unhideWhenUsed/>
    <w:qFormat/>
    <w:rsid w:val="00C56022"/>
    <w:pPr>
      <w:keepNext/>
      <w:keepLines/>
      <w:spacing w:before="160" w:after="0" w:line="240" w:lineRule="auto"/>
      <w:outlineLvl w:val="1"/>
    </w:pPr>
    <w:rPr>
      <w:rFonts w:asciiTheme="majorHAnsi" w:eastAsiaTheme="majorEastAsia" w:hAnsiTheme="majorHAnsi" w:cstheme="majorBidi"/>
      <w:color w:val="417A84" w:themeColor="accent5" w:themeShade="BF"/>
      <w:sz w:val="36"/>
      <w:szCs w:val="28"/>
    </w:rPr>
  </w:style>
  <w:style w:type="paragraph" w:styleId="Heading3">
    <w:name w:val="heading 3"/>
    <w:basedOn w:val="Normal"/>
    <w:next w:val="Normal"/>
    <w:link w:val="Heading3Char"/>
    <w:uiPriority w:val="9"/>
    <w:unhideWhenUsed/>
    <w:qFormat/>
    <w:rsid w:val="00C56022"/>
    <w:pPr>
      <w:keepNext/>
      <w:keepLines/>
      <w:spacing w:before="80" w:after="0" w:line="240" w:lineRule="auto"/>
      <w:outlineLvl w:val="2"/>
    </w:pPr>
    <w:rPr>
      <w:rFonts w:asciiTheme="majorHAnsi" w:eastAsiaTheme="majorEastAsia" w:hAnsiTheme="majorHAnsi" w:cstheme="majorBidi"/>
      <w:b/>
      <w:color w:val="3476B1" w:themeColor="accent2" w:themeShade="BF"/>
      <w:sz w:val="26"/>
      <w:szCs w:val="26"/>
    </w:rPr>
  </w:style>
  <w:style w:type="paragraph" w:styleId="Heading4">
    <w:name w:val="heading 4"/>
    <w:basedOn w:val="Normal"/>
    <w:next w:val="Normal"/>
    <w:link w:val="Heading4Char"/>
    <w:uiPriority w:val="9"/>
    <w:unhideWhenUsed/>
    <w:qFormat/>
    <w:rsid w:val="00AB503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AB503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B503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B503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B503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B503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AB5033"/>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7"/>
    <w:rsid w:val="00AB5033"/>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AB503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B5033"/>
    <w:rPr>
      <w:rFonts w:asciiTheme="majorHAnsi" w:eastAsiaTheme="majorEastAsia" w:hAnsiTheme="majorHAnsi" w:cstheme="majorBidi"/>
      <w:color w:val="404040" w:themeColor="text1" w:themeTint="BF"/>
      <w:sz w:val="30"/>
      <w:szCs w:val="30"/>
    </w:rPr>
  </w:style>
  <w:style w:type="paragraph" w:customStyle="1" w:styleId="CoverDate">
    <w:name w:val="Cover Date"/>
    <w:basedOn w:val="Normal"/>
    <w:uiPriority w:val="19"/>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rsid w:val="0022611D"/>
    <w:pPr>
      <w:spacing w:before="1240" w:after="160"/>
    </w:pPr>
  </w:style>
  <w:style w:type="paragraph" w:styleId="NoSpacing">
    <w:name w:val="No Spacing"/>
    <w:link w:val="NoSpacingChar"/>
    <w:uiPriority w:val="1"/>
    <w:qFormat/>
    <w:rsid w:val="00AB5033"/>
    <w:pPr>
      <w:spacing w:after="0" w:line="240" w:lineRule="auto"/>
    </w:p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9454C3" w:themeColor="hyperlink"/>
      <w:u w:val="single"/>
    </w:rPr>
  </w:style>
  <w:style w:type="table" w:styleId="TableGrid">
    <w:name w:val="Table Grid"/>
    <w:basedOn w:val="TableNormal"/>
    <w:uiPriority w:val="39"/>
    <w:rsid w:val="005F79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Text2,Footnote Text1,(NECG) Footnote Text,(NECG) Footnote Text1,ALTS FOOTNOTE,Footnote text,AR Footnote Text,AR Footnote Text Char Char Char Char Char,ALTS FOOTNOTE Char1,Footnote Text Char1 Char,fn,f,FT,ft"/>
    <w:basedOn w:val="Normal"/>
    <w:link w:val="FootnoteTextChar"/>
    <w:uiPriority w:val="99"/>
    <w:qFormat/>
    <w:rsid w:val="005912BE"/>
    <w:pPr>
      <w:spacing w:after="0"/>
      <w:ind w:left="284" w:hanging="284"/>
    </w:pPr>
    <w:rPr>
      <w:sz w:val="18"/>
    </w:rPr>
  </w:style>
  <w:style w:type="character" w:customStyle="1" w:styleId="FootnoteTextChar">
    <w:name w:val="Footnote Text Char"/>
    <w:aliases w:val="Footnote Text Char Char Char,Footnote Text2 Char,Footnote Text1 Char,(NECG) Footnote Text Char,(NECG) Footnote Text1 Char,ALTS FOOTNOTE Char,Footnote text Char,AR Footnote Text Char,AR Footnote Text Char Char Char Char Char Char"/>
    <w:basedOn w:val="DefaultParagraphFont"/>
    <w:link w:val="FootnoteText"/>
    <w:uiPriority w:val="99"/>
    <w:rsid w:val="005912BE"/>
    <w:rPr>
      <w:kern w:val="12"/>
      <w:sz w:val="18"/>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link w:val="4GCharCharCharChar"/>
    <w:uiPriority w:val="99"/>
    <w:unhideWhenUsed/>
    <w:qFormat/>
    <w:rsid w:val="005F794B"/>
    <w:rPr>
      <w:vertAlign w:val="superscript"/>
    </w:rPr>
  </w:style>
  <w:style w:type="character" w:customStyle="1" w:styleId="Heading1Char">
    <w:name w:val="Heading 1 Char"/>
    <w:basedOn w:val="DefaultParagraphFont"/>
    <w:link w:val="Heading1"/>
    <w:uiPriority w:val="9"/>
    <w:rsid w:val="00C56022"/>
    <w:rPr>
      <w:rFonts w:asciiTheme="majorHAnsi" w:eastAsiaTheme="majorEastAsia" w:hAnsiTheme="majorHAnsi" w:cstheme="majorBidi"/>
      <w:color w:val="2B5258" w:themeColor="accent5" w:themeShade="80"/>
      <w:sz w:val="52"/>
      <w:szCs w:val="36"/>
    </w:rPr>
  </w:style>
  <w:style w:type="character" w:customStyle="1" w:styleId="Heading2Char">
    <w:name w:val="Heading 2 Char"/>
    <w:basedOn w:val="DefaultParagraphFont"/>
    <w:link w:val="Heading2"/>
    <w:uiPriority w:val="9"/>
    <w:rsid w:val="00C56022"/>
    <w:rPr>
      <w:rFonts w:asciiTheme="majorHAnsi" w:eastAsiaTheme="majorEastAsia" w:hAnsiTheme="majorHAnsi" w:cstheme="majorBidi"/>
      <w:color w:val="417A84" w:themeColor="accent5" w:themeShade="BF"/>
      <w:sz w:val="36"/>
      <w:szCs w:val="28"/>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C56022"/>
    <w:rPr>
      <w:rFonts w:asciiTheme="majorHAnsi" w:eastAsiaTheme="majorEastAsia" w:hAnsiTheme="majorHAnsi" w:cstheme="majorBidi"/>
      <w:b/>
      <w:color w:val="3476B1" w:themeColor="accent2" w:themeShade="BF"/>
      <w:sz w:val="26"/>
      <w:szCs w:val="26"/>
    </w:rPr>
  </w:style>
  <w:style w:type="character" w:customStyle="1" w:styleId="Heading4Char">
    <w:name w:val="Heading 4 Char"/>
    <w:basedOn w:val="DefaultParagraphFont"/>
    <w:link w:val="Heading4"/>
    <w:uiPriority w:val="9"/>
    <w:rsid w:val="00AB503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AB503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B5033"/>
    <w:rPr>
      <w:rFonts w:asciiTheme="majorHAnsi" w:eastAsiaTheme="majorEastAsia" w:hAnsiTheme="majorHAnsi" w:cstheme="majorBidi"/>
      <w:color w:val="595959" w:themeColor="text1" w:themeTint="A6"/>
    </w:rPr>
  </w:style>
  <w:style w:type="paragraph" w:styleId="Caption">
    <w:name w:val="caption"/>
    <w:basedOn w:val="Normal"/>
    <w:next w:val="Normal"/>
    <w:uiPriority w:val="35"/>
    <w:unhideWhenUsed/>
    <w:qFormat/>
    <w:rsid w:val="00AB5033"/>
    <w:pPr>
      <w:spacing w:line="240" w:lineRule="auto"/>
    </w:pPr>
    <w:rPr>
      <w:b/>
      <w:bCs/>
      <w:color w:val="404040" w:themeColor="text1" w:themeTint="BF"/>
      <w:sz w:val="20"/>
      <w:szCs w:val="20"/>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629DD1" w:themeColor="accent2"/>
        <w:bottom w:val="single" w:sz="4" w:space="0" w:color="629DD1" w:themeColor="accent2"/>
        <w:insideH w:val="single" w:sz="4" w:space="0" w:color="629DD1" w:themeColor="accent2"/>
      </w:tblBorders>
    </w:tblPr>
    <w:tblStylePr w:type="firstRow">
      <w:rPr>
        <w:b/>
        <w:color w:val="FFFFFF" w:themeColor="background1"/>
      </w:rPr>
      <w:tblPr/>
      <w:trPr>
        <w:tblHeader/>
      </w:trPr>
      <w:tcPr>
        <w:tcBorders>
          <w:top w:val="nil"/>
          <w:bottom w:val="nil"/>
        </w:tcBorders>
        <w:shd w:val="clear" w:color="auto" w:fill="4A66AC" w:themeFill="accent1"/>
      </w:tcPr>
    </w:tblStylePr>
    <w:tblStylePr w:type="lastRow">
      <w:rPr>
        <w:b/>
      </w:rPr>
      <w:tblPr/>
      <w:tcPr>
        <w:shd w:val="clear" w:color="auto" w:fill="DDECEE"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rsid w:val="001349C6"/>
    <w:pPr>
      <w:spacing w:before="120"/>
    </w:pPr>
    <w:rPr>
      <w:sz w:val="16"/>
      <w:lang w:val="x-none"/>
    </w:rPr>
  </w:style>
  <w:style w:type="paragraph" w:customStyle="1" w:styleId="Sourcenotesnumbered">
    <w:name w:val="Source notes numbered"/>
    <w:basedOn w:val="Sourcenotes"/>
    <w:uiPriority w:val="15"/>
    <w:rsid w:val="001349C6"/>
    <w:pPr>
      <w:spacing w:before="80"/>
    </w:pPr>
  </w:style>
  <w:style w:type="paragraph" w:customStyle="1" w:styleId="ListLegal1">
    <w:name w:val="List Legal 1"/>
    <w:basedOn w:val="Normal"/>
    <w:uiPriority w:val="3"/>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rsid w:val="00FC32B2"/>
    <w:pPr>
      <w:spacing w:before="80"/>
      <w:ind w:left="284" w:hanging="284"/>
    </w:pPr>
    <w:rPr>
      <w:lang w:val="x-none"/>
    </w:rPr>
  </w:style>
  <w:style w:type="paragraph" w:customStyle="1" w:styleId="ListNumbered21">
    <w:name w:val="List Numbered 2.1"/>
    <w:basedOn w:val="ListNumbered1"/>
    <w:uiPriority w:val="3"/>
    <w:rsid w:val="00FC32B2"/>
    <w:pPr>
      <w:numPr>
        <w:ilvl w:val="1"/>
      </w:numPr>
      <w:ind w:left="284" w:hanging="284"/>
    </w:pPr>
  </w:style>
  <w:style w:type="paragraph" w:customStyle="1" w:styleId="ListNumbered311">
    <w:name w:val="List Numbered 3.1.1"/>
    <w:basedOn w:val="ListNumbered21"/>
    <w:uiPriority w:val="3"/>
    <w:rsid w:val="00FC32B2"/>
    <w:pPr>
      <w:numPr>
        <w:ilvl w:val="2"/>
      </w:numPr>
      <w:ind w:left="284" w:hanging="284"/>
    </w:pPr>
  </w:style>
  <w:style w:type="paragraph" w:customStyle="1" w:styleId="Bullet1">
    <w:name w:val="Bullet 1"/>
    <w:basedOn w:val="Normal"/>
    <w:uiPriority w:val="3"/>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unhideWhenUsed/>
    <w:qFormat/>
    <w:rsid w:val="00AB5033"/>
    <w:pPr>
      <w:outlineLvl w:val="9"/>
    </w:pPr>
  </w:style>
  <w:style w:type="paragraph" w:customStyle="1" w:styleId="Box1Text">
    <w:name w:val="Box 1 Text"/>
    <w:basedOn w:val="Normal"/>
    <w:uiPriority w:val="23"/>
    <w:rsid w:val="00CF6CFD"/>
    <w:pPr>
      <w:pBdr>
        <w:top w:val="single" w:sz="4" w:space="14" w:color="629DD1" w:themeColor="accent2"/>
        <w:left w:val="single" w:sz="4" w:space="14" w:color="629DD1" w:themeColor="accent2"/>
        <w:bottom w:val="single" w:sz="4" w:space="14" w:color="629DD1" w:themeColor="accent2"/>
        <w:right w:val="single" w:sz="4" w:space="14" w:color="629DD1" w:themeColor="accent2"/>
      </w:pBdr>
      <w:ind w:left="284" w:right="284"/>
    </w:pPr>
    <w:rPr>
      <w:lang w:val="x-none"/>
    </w:rPr>
  </w:style>
  <w:style w:type="paragraph" w:customStyle="1" w:styleId="Box1Heading">
    <w:name w:val="Box 1 Heading"/>
    <w:basedOn w:val="Box1Text"/>
    <w:uiPriority w:val="23"/>
    <w:rsid w:val="00CF6CFD"/>
    <w:rPr>
      <w:b/>
    </w:rPr>
  </w:style>
  <w:style w:type="paragraph" w:customStyle="1" w:styleId="Box1Bullet1">
    <w:name w:val="Box 1 Bullet 1"/>
    <w:basedOn w:val="Box1Text"/>
    <w:uiPriority w:val="24"/>
    <w:rsid w:val="009D7CCE"/>
    <w:pPr>
      <w:numPr>
        <w:numId w:val="6"/>
      </w:numPr>
      <w:spacing w:before="80"/>
    </w:pPr>
    <w:rPr>
      <w:kern w:val="12"/>
      <w:sz w:val="20"/>
      <w:szCs w:val="20"/>
    </w:rPr>
  </w:style>
  <w:style w:type="paragraph" w:customStyle="1" w:styleId="Box2Text">
    <w:name w:val="Box 2 Text"/>
    <w:basedOn w:val="Normal"/>
    <w:uiPriority w:val="24"/>
    <w:rsid w:val="009D7CCE"/>
    <w:pPr>
      <w:pBdr>
        <w:top w:val="single" w:sz="4" w:space="14" w:color="DDECEE" w:themeColor="accent5" w:themeTint="33"/>
        <w:left w:val="single" w:sz="4" w:space="14" w:color="DDECEE" w:themeColor="accent5" w:themeTint="33"/>
        <w:bottom w:val="single" w:sz="4" w:space="14" w:color="DDECEE" w:themeColor="accent5" w:themeTint="33"/>
        <w:right w:val="single" w:sz="4" w:space="14" w:color="DDECEE" w:themeColor="accent5" w:themeTint="33"/>
      </w:pBdr>
      <w:shd w:val="clear" w:color="auto" w:fill="DDECEE" w:themeFill="accent5" w:themeFillTint="33"/>
      <w:ind w:left="284" w:right="284"/>
    </w:pPr>
    <w:rPr>
      <w:lang w:val="x-none"/>
    </w:rPr>
  </w:style>
  <w:style w:type="paragraph" w:customStyle="1" w:styleId="Box2Heading">
    <w:name w:val="Box 2 Heading"/>
    <w:basedOn w:val="Box2Text"/>
    <w:uiPriority w:val="24"/>
    <w:rsid w:val="00541213"/>
    <w:rPr>
      <w:b/>
    </w:rPr>
  </w:style>
  <w:style w:type="paragraph" w:customStyle="1" w:styleId="Box2Bullet1">
    <w:name w:val="Box 2 Bullet 1"/>
    <w:basedOn w:val="Box2Text"/>
    <w:uiPriority w:val="25"/>
    <w:rsid w:val="009D7CCE"/>
    <w:pPr>
      <w:numPr>
        <w:ilvl w:val="1"/>
        <w:numId w:val="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rsid w:val="0001430B"/>
  </w:style>
  <w:style w:type="paragraph" w:customStyle="1" w:styleId="AppendixHeading2">
    <w:name w:val="Appendix Heading 2"/>
    <w:basedOn w:val="Heading2"/>
    <w:uiPriority w:val="11"/>
    <w:rsid w:val="0001430B"/>
    <w:pPr>
      <w:ind w:left="851" w:hanging="851"/>
    </w:pPr>
  </w:style>
  <w:style w:type="paragraph" w:customStyle="1" w:styleId="AttachmentHeading1">
    <w:name w:val="Attachment Heading 1"/>
    <w:basedOn w:val="Heading1"/>
    <w:uiPriority w:val="11"/>
    <w:rsid w:val="0001430B"/>
    <w:pPr>
      <w:numPr>
        <w:numId w:val="13"/>
      </w:numPr>
    </w:pPr>
  </w:style>
  <w:style w:type="paragraph" w:customStyle="1" w:styleId="AttachmentHeading2">
    <w:name w:val="Attachment Heading 2"/>
    <w:basedOn w:val="Heading2"/>
    <w:uiPriority w:val="11"/>
    <w:rsid w:val="0001430B"/>
    <w:pPr>
      <w:numPr>
        <w:ilvl w:val="1"/>
        <w:numId w:val="13"/>
      </w:numPr>
    </w:pPr>
  </w:style>
  <w:style w:type="numbering" w:customStyle="1" w:styleId="AppendixNumbers">
    <w:name w:val="Appendix Numbers"/>
    <w:uiPriority w:val="99"/>
    <w:rsid w:val="0001430B"/>
    <w:pPr>
      <w:numPr>
        <w:numId w:val="5"/>
      </w:numPr>
    </w:pPr>
  </w:style>
  <w:style w:type="numbering" w:customStyle="1" w:styleId="AttachmentNumbers">
    <w:name w:val="Attachment Numbers"/>
    <w:uiPriority w:val="99"/>
    <w:rsid w:val="0001430B"/>
  </w:style>
  <w:style w:type="paragraph" w:styleId="Quote">
    <w:name w:val="Quote"/>
    <w:basedOn w:val="Normal"/>
    <w:next w:val="Normal"/>
    <w:link w:val="QuoteChar"/>
    <w:uiPriority w:val="29"/>
    <w:qFormat/>
    <w:rsid w:val="00AB503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B5033"/>
    <w:rPr>
      <w:i/>
      <w:iCs/>
    </w:rPr>
  </w:style>
  <w:style w:type="paragraph" w:styleId="TOC1">
    <w:name w:val="toc 1"/>
    <w:basedOn w:val="Normal"/>
    <w:next w:val="Normal"/>
    <w:autoRedefine/>
    <w:uiPriority w:val="39"/>
    <w:rsid w:val="00B60617"/>
    <w:pPr>
      <w:keepLines/>
      <w:tabs>
        <w:tab w:val="right" w:pos="9854"/>
      </w:tabs>
      <w:ind w:left="567" w:hanging="567"/>
    </w:pPr>
    <w:rPr>
      <w:b/>
      <w:color w:val="2B5258" w:themeColor="accent5" w:themeShade="80"/>
      <w:sz w:val="24"/>
    </w:rPr>
  </w:style>
  <w:style w:type="paragraph" w:styleId="TOC2">
    <w:name w:val="toc 2"/>
    <w:basedOn w:val="Normal"/>
    <w:next w:val="Normal"/>
    <w:autoRedefine/>
    <w:uiPriority w:val="39"/>
    <w:rsid w:val="00435335"/>
    <w:pPr>
      <w:keepLines/>
      <w:tabs>
        <w:tab w:val="right" w:pos="9854"/>
      </w:tabs>
      <w:spacing w:before="80"/>
      <w:ind w:left="567" w:hanging="567"/>
    </w:pPr>
  </w:style>
  <w:style w:type="paragraph" w:styleId="TOC3">
    <w:name w:val="toc 3"/>
    <w:basedOn w:val="Normal"/>
    <w:next w:val="Normal"/>
    <w:autoRedefine/>
    <w:uiPriority w:val="39"/>
    <w:rsid w:val="00A406DE"/>
    <w:pPr>
      <w:tabs>
        <w:tab w:val="left" w:pos="1134"/>
        <w:tab w:val="right" w:pos="9854"/>
      </w:tabs>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rsid w:val="004063DE"/>
    <w:pPr>
      <w:ind w:left="-1020" w:firstLine="1020"/>
    </w:pPr>
    <w:rPr>
      <w:rFonts w:cs="Times New Roman (Body CS)"/>
      <w:caps/>
      <w:color w:val="3B4658" w:themeColor="accent4" w:themeShade="80"/>
    </w:rPr>
  </w:style>
  <w:style w:type="paragraph" w:customStyle="1" w:styleId="Box2Checklist">
    <w:name w:val="Box 2 Checklist"/>
    <w:basedOn w:val="Box2Text"/>
    <w:uiPriority w:val="26"/>
    <w:rsid w:val="009D7CCE"/>
    <w:pPr>
      <w:numPr>
        <w:ilvl w:val="2"/>
        <w:numId w:val="7"/>
      </w:numPr>
    </w:pPr>
    <w:rPr>
      <w:kern w:val="12"/>
      <w:sz w:val="20"/>
      <w:szCs w:val="20"/>
    </w:rPr>
  </w:style>
  <w:style w:type="numbering" w:customStyle="1" w:styleId="BoxedBullets">
    <w:name w:val="Boxed Bullets"/>
    <w:uiPriority w:val="99"/>
    <w:rsid w:val="009D7CCE"/>
    <w:pPr>
      <w:numPr>
        <w:numId w:val="6"/>
      </w:numPr>
    </w:pPr>
  </w:style>
  <w:style w:type="paragraph" w:customStyle="1" w:styleId="TableNumbering">
    <w:name w:val="Table Numbering"/>
    <w:uiPriority w:val="11"/>
    <w:rsid w:val="0036388D"/>
    <w:pPr>
      <w:numPr>
        <w:numId w:val="8"/>
      </w:numPr>
      <w:spacing w:before="40" w:after="40"/>
      <w:ind w:left="284" w:hanging="284"/>
    </w:pPr>
    <w:rPr>
      <w:sz w:val="18"/>
      <w:szCs w:val="20"/>
    </w:rPr>
  </w:style>
  <w:style w:type="paragraph" w:customStyle="1" w:styleId="EmphasisPanelHeading">
    <w:name w:val="Emphasis Panel Heading"/>
    <w:basedOn w:val="Normal"/>
    <w:uiPriority w:val="11"/>
    <w:rsid w:val="0036388D"/>
    <w:pPr>
      <w:keepLines/>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60" w:after="60" w:line="240" w:lineRule="atLeast"/>
      <w:ind w:left="198" w:right="215"/>
    </w:pPr>
    <w:rPr>
      <w:rFonts w:asciiTheme="majorHAnsi" w:eastAsia="Times New Roman" w:hAnsiTheme="majorHAnsi" w:cs="Times New Roman"/>
      <w:b/>
      <w:color w:val="242852" w:themeColor="text2"/>
      <w:sz w:val="24"/>
      <w:szCs w:val="24"/>
      <w:lang w:val="en-US"/>
    </w:rPr>
  </w:style>
  <w:style w:type="paragraph" w:customStyle="1" w:styleId="EmphasisPanelBullet">
    <w:name w:val="Emphasis Panel Bullet"/>
    <w:uiPriority w:val="11"/>
    <w:rsid w:val="0036388D"/>
    <w:pPr>
      <w:keepLines/>
      <w:numPr>
        <w:numId w:val="9"/>
      </w:numPr>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120"/>
      <w:ind w:right="215"/>
    </w:pPr>
    <w:rPr>
      <w:rFonts w:eastAsia="Times New Roman" w:cstheme="minorHAnsi"/>
      <w:color w:val="262626" w:themeColor="text1" w:themeTint="D9"/>
      <w:sz w:val="20"/>
      <w:lang w:val="en-US"/>
    </w:rPr>
  </w:style>
  <w:style w:type="paragraph" w:styleId="ListParagraph">
    <w:name w:val="List Paragraph"/>
    <w:aliases w:val="Bullet Points,CV text,Dot pt,F5 List Paragraph,Indicator Text,L,List Paragraph Char Char Char,List Paragraph1,List Paragraph11,List Paragraph12,Lists,MAIN CONTENT,No Spacing1,Numbered Para 1,Recommendation,bullet point list,列,列出段"/>
    <w:basedOn w:val="Normal"/>
    <w:link w:val="ListParagraphChar"/>
    <w:uiPriority w:val="34"/>
    <w:qFormat/>
    <w:rsid w:val="0036388D"/>
    <w:pPr>
      <w:ind w:left="720"/>
      <w:contextualSpacing/>
    </w:pPr>
  </w:style>
  <w:style w:type="paragraph" w:styleId="BodyText">
    <w:name w:val="Body Text"/>
    <w:basedOn w:val="Normal"/>
    <w:link w:val="BodyTextChar"/>
    <w:rsid w:val="0036388D"/>
    <w:rPr>
      <w:color w:val="262626" w:themeColor="text1" w:themeTint="D9"/>
      <w:sz w:val="20"/>
      <w:szCs w:val="20"/>
    </w:rPr>
  </w:style>
  <w:style w:type="character" w:customStyle="1" w:styleId="BodyTextChar">
    <w:name w:val="Body Text Char"/>
    <w:basedOn w:val="DefaultParagraphFont"/>
    <w:link w:val="BodyText"/>
    <w:rsid w:val="0036388D"/>
    <w:rPr>
      <w:color w:val="262626" w:themeColor="text1" w:themeTint="D9"/>
      <w:sz w:val="20"/>
      <w:szCs w:val="20"/>
    </w:rPr>
  </w:style>
  <w:style w:type="paragraph" w:customStyle="1" w:styleId="TableBullet">
    <w:name w:val="Table Bullet"/>
    <w:basedOn w:val="ListParagraph"/>
    <w:uiPriority w:val="11"/>
    <w:rsid w:val="00362372"/>
    <w:pPr>
      <w:numPr>
        <w:numId w:val="10"/>
      </w:numPr>
      <w:spacing w:before="40" w:after="40"/>
      <w:contextualSpacing w:val="0"/>
    </w:pPr>
    <w:rPr>
      <w:color w:val="262626" w:themeColor="text1" w:themeTint="D9"/>
      <w:sz w:val="18"/>
      <w:szCs w:val="20"/>
    </w:rPr>
  </w:style>
  <w:style w:type="paragraph" w:customStyle="1" w:styleId="TableBody">
    <w:name w:val="Table Body"/>
    <w:basedOn w:val="Normal"/>
    <w:uiPriority w:val="11"/>
    <w:rsid w:val="00362372"/>
    <w:pPr>
      <w:spacing w:before="40" w:after="40"/>
    </w:pPr>
    <w:rPr>
      <w:sz w:val="18"/>
      <w:szCs w:val="20"/>
    </w:rPr>
  </w:style>
  <w:style w:type="paragraph" w:customStyle="1" w:styleId="TableHeading">
    <w:name w:val="Table Heading"/>
    <w:basedOn w:val="Normal"/>
    <w:uiPriority w:val="11"/>
    <w:rsid w:val="00362372"/>
    <w:rPr>
      <w:rFonts w:asciiTheme="majorHAnsi" w:hAnsiTheme="majorHAnsi"/>
      <w:bCs/>
      <w:color w:val="FFFFFF" w:themeColor="background1"/>
      <w:sz w:val="18"/>
      <w:szCs w:val="20"/>
    </w:rPr>
  </w:style>
  <w:style w:type="table" w:customStyle="1" w:styleId="PMCTableStyle2">
    <w:name w:val="PMC Table Style 2"/>
    <w:basedOn w:val="TableNormal"/>
    <w:uiPriority w:val="99"/>
    <w:rsid w:val="00362372"/>
    <w:pPr>
      <w:spacing w:before="60" w:after="60"/>
    </w:pPr>
    <w:rPr>
      <w:color w:val="262626" w:themeColor="text1" w:themeTint="D9"/>
      <w:sz w:val="20"/>
      <w:szCs w:val="20"/>
    </w:rPr>
    <w:tblPr>
      <w:tblStyleRowBandSize w:val="1"/>
      <w:tblBorders>
        <w:top w:val="single" w:sz="4" w:space="0" w:color="ECEFF7" w:themeColor="accent1" w:themeTint="1A"/>
        <w:left w:val="single" w:sz="4" w:space="0" w:color="ECEFF7" w:themeColor="accent1" w:themeTint="1A"/>
        <w:bottom w:val="single" w:sz="12" w:space="0" w:color="242852" w:themeColor="text2"/>
        <w:right w:val="single" w:sz="4" w:space="0" w:color="ECEFF7" w:themeColor="accent1" w:themeTint="1A"/>
        <w:insideH w:val="single" w:sz="4" w:space="0" w:color="ECEFF7" w:themeColor="accent1" w:themeTint="1A"/>
        <w:insideV w:val="single" w:sz="4" w:space="0" w:color="ECEFF7"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242852"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EmphasisPanelBody">
    <w:name w:val="Emphasis Panel Body"/>
    <w:basedOn w:val="Normal"/>
    <w:uiPriority w:val="11"/>
    <w:rsid w:val="00362372"/>
    <w:pPr>
      <w:keepLines/>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120"/>
      <w:ind w:left="198" w:right="215"/>
    </w:pPr>
    <w:rPr>
      <w:rFonts w:eastAsia="Times New Roman" w:cstheme="minorHAnsi"/>
      <w:color w:val="262626" w:themeColor="text1" w:themeTint="D9"/>
      <w:sz w:val="20"/>
      <w:szCs w:val="20"/>
      <w:lang w:val="en-US"/>
    </w:rPr>
  </w:style>
  <w:style w:type="paragraph" w:customStyle="1" w:styleId="Normaldisclaimerpage">
    <w:name w:val="Normal—disclaimer page"/>
    <w:basedOn w:val="Normal"/>
    <w:rsid w:val="00FD3BC0"/>
    <w:rPr>
      <w:rFonts w:ascii="Segoe UI" w:hAnsi="Segoe UI"/>
      <w:sz w:val="20"/>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080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8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C57B5"/>
    <w:rPr>
      <w:b/>
      <w:bCs/>
    </w:rPr>
  </w:style>
  <w:style w:type="character" w:customStyle="1" w:styleId="CommentSubjectChar">
    <w:name w:val="Comment Subject Char"/>
    <w:basedOn w:val="CommentTextChar"/>
    <w:link w:val="CommentSubject"/>
    <w:uiPriority w:val="99"/>
    <w:semiHidden/>
    <w:rsid w:val="00EC57B5"/>
    <w:rPr>
      <w:b/>
      <w:bCs/>
      <w:sz w:val="20"/>
      <w:szCs w:val="20"/>
    </w:rPr>
  </w:style>
  <w:style w:type="paragraph" w:styleId="ListBullet">
    <w:name w:val="List Bullet"/>
    <w:basedOn w:val="Normal"/>
    <w:autoRedefine/>
    <w:uiPriority w:val="99"/>
    <w:unhideWhenUsed/>
    <w:rsid w:val="00820435"/>
    <w:pPr>
      <w:numPr>
        <w:numId w:val="38"/>
      </w:numPr>
      <w:spacing w:before="60" w:after="60"/>
    </w:pPr>
    <w:rPr>
      <w:rFonts w:eastAsia="Times New Roman" w:cs="Times New Roman"/>
      <w:color w:val="4F4652" w:themeColor="accent6" w:themeShade="80"/>
      <w:szCs w:val="20"/>
    </w:rPr>
  </w:style>
  <w:style w:type="paragraph" w:styleId="NormalWeb">
    <w:name w:val="Normal (Web)"/>
    <w:basedOn w:val="Normal"/>
    <w:uiPriority w:val="99"/>
    <w:unhideWhenUsed/>
    <w:rsid w:val="00F844F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74B1"/>
  </w:style>
  <w:style w:type="character" w:customStyle="1" w:styleId="eop">
    <w:name w:val="eop"/>
    <w:basedOn w:val="DefaultParagraphFont"/>
    <w:rsid w:val="006074B1"/>
  </w:style>
  <w:style w:type="paragraph" w:customStyle="1" w:styleId="paragraph">
    <w:name w:val="paragraph"/>
    <w:basedOn w:val="Normal"/>
    <w:rsid w:val="009D5A8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656D15"/>
    <w:rPr>
      <w:color w:val="605E5C"/>
      <w:shd w:val="clear" w:color="auto" w:fill="E1DFDD"/>
    </w:rPr>
  </w:style>
  <w:style w:type="numbering" w:customStyle="1" w:styleId="lstStyleHeadingNumbered">
    <w:name w:val="lstStyle_Heading_Numbered"/>
    <w:uiPriority w:val="99"/>
    <w:rsid w:val="009A4357"/>
    <w:pPr>
      <w:numPr>
        <w:numId w:val="11"/>
      </w:numPr>
    </w:pPr>
  </w:style>
  <w:style w:type="character" w:customStyle="1" w:styleId="CaptionLabel">
    <w:name w:val="Caption Label"/>
    <w:basedOn w:val="DefaultParagraphFont"/>
    <w:uiPriority w:val="1"/>
    <w:qFormat/>
    <w:rsid w:val="005A03ED"/>
    <w:rPr>
      <w:b/>
      <w:color w:val="000100"/>
    </w:rPr>
  </w:style>
  <w:style w:type="character" w:customStyle="1" w:styleId="scxw144815762">
    <w:name w:val="scxw144815762"/>
    <w:basedOn w:val="DefaultParagraphFont"/>
    <w:rsid w:val="00D91F94"/>
  </w:style>
  <w:style w:type="paragraph" w:styleId="EndnoteText">
    <w:name w:val="endnote text"/>
    <w:basedOn w:val="Normal"/>
    <w:link w:val="EndnoteTextChar"/>
    <w:uiPriority w:val="99"/>
    <w:unhideWhenUsed/>
    <w:rsid w:val="00F53D9E"/>
    <w:pPr>
      <w:spacing w:after="0"/>
    </w:pPr>
    <w:rPr>
      <w:sz w:val="20"/>
      <w:szCs w:val="20"/>
    </w:rPr>
  </w:style>
  <w:style w:type="character" w:customStyle="1" w:styleId="EndnoteTextChar">
    <w:name w:val="Endnote Text Char"/>
    <w:basedOn w:val="DefaultParagraphFont"/>
    <w:link w:val="EndnoteText"/>
    <w:uiPriority w:val="99"/>
    <w:rsid w:val="00F53D9E"/>
    <w:rPr>
      <w:sz w:val="20"/>
      <w:szCs w:val="20"/>
    </w:rPr>
  </w:style>
  <w:style w:type="character" w:styleId="EndnoteReference">
    <w:name w:val="endnote reference"/>
    <w:basedOn w:val="DefaultParagraphFont"/>
    <w:uiPriority w:val="99"/>
    <w:semiHidden/>
    <w:unhideWhenUsed/>
    <w:rsid w:val="00F53D9E"/>
    <w:rPr>
      <w:vertAlign w:val="superscript"/>
    </w:rPr>
  </w:style>
  <w:style w:type="character" w:styleId="FollowedHyperlink">
    <w:name w:val="FollowedHyperlink"/>
    <w:basedOn w:val="DefaultParagraphFont"/>
    <w:uiPriority w:val="99"/>
    <w:semiHidden/>
    <w:unhideWhenUsed/>
    <w:rsid w:val="00170AD9"/>
    <w:rPr>
      <w:color w:val="3EBBF0" w:themeColor="followedHyperlink"/>
      <w:u w:val="single"/>
    </w:rPr>
  </w:style>
  <w:style w:type="paragraph" w:customStyle="1" w:styleId="Heading2ES">
    <w:name w:val="Heading 2 (ES)"/>
    <w:basedOn w:val="Normal"/>
    <w:next w:val="BodyText"/>
    <w:rsid w:val="00C56022"/>
    <w:pPr>
      <w:keepNext/>
      <w:numPr>
        <w:ilvl w:val="1"/>
        <w:numId w:val="12"/>
      </w:numPr>
      <w:pBdr>
        <w:bottom w:val="single" w:sz="4" w:space="1" w:color="6C3E99"/>
      </w:pBdr>
      <w:spacing w:before="240" w:after="216" w:line="280" w:lineRule="atLeast"/>
      <w:ind w:left="0" w:firstLine="0"/>
    </w:pPr>
    <w:rPr>
      <w:rFonts w:ascii="Arial Narrow" w:hAnsi="Arial Narrow" w:cs="Arial"/>
      <w:b/>
      <w:color w:val="6C3E99"/>
      <w:sz w:val="36"/>
    </w:rPr>
  </w:style>
  <w:style w:type="paragraph" w:customStyle="1" w:styleId="Heading3ES">
    <w:name w:val="Heading 3 (ES)"/>
    <w:basedOn w:val="Normal"/>
    <w:next w:val="BodyText"/>
    <w:rsid w:val="00CA7473"/>
    <w:pPr>
      <w:keepNext/>
      <w:numPr>
        <w:ilvl w:val="2"/>
        <w:numId w:val="12"/>
      </w:numPr>
      <w:pBdr>
        <w:bottom w:val="single" w:sz="4" w:space="0" w:color="000100"/>
      </w:pBdr>
      <w:spacing w:before="240" w:after="160" w:line="240" w:lineRule="atLeast"/>
      <w:ind w:left="0" w:firstLine="0"/>
    </w:pPr>
    <w:rPr>
      <w:rFonts w:ascii="Arial Narrow" w:hAnsi="Arial Narrow" w:cs="Arial"/>
      <w:b/>
      <w:color w:val="000100"/>
    </w:rPr>
  </w:style>
  <w:style w:type="paragraph" w:customStyle="1" w:styleId="Heading4ES">
    <w:name w:val="Heading 4 (ES)"/>
    <w:basedOn w:val="Normal"/>
    <w:next w:val="BodyText"/>
    <w:rsid w:val="00CA7473"/>
    <w:pPr>
      <w:keepNext/>
      <w:numPr>
        <w:ilvl w:val="3"/>
        <w:numId w:val="12"/>
      </w:numPr>
      <w:spacing w:before="240" w:after="160" w:line="240" w:lineRule="atLeast"/>
      <w:ind w:left="0" w:firstLine="0"/>
    </w:pPr>
    <w:rPr>
      <w:rFonts w:ascii="Arial Narrow" w:hAnsi="Arial Narrow" w:cs="Arial"/>
      <w:b/>
      <w:color w:val="000100"/>
    </w:rPr>
  </w:style>
  <w:style w:type="paragraph" w:customStyle="1" w:styleId="Heading5ES">
    <w:name w:val="Heading 5 (ES)"/>
    <w:basedOn w:val="Normal"/>
    <w:next w:val="BodyText"/>
    <w:rsid w:val="00CA7473"/>
    <w:pPr>
      <w:keepNext/>
      <w:numPr>
        <w:ilvl w:val="4"/>
        <w:numId w:val="12"/>
      </w:numPr>
      <w:spacing w:before="240" w:after="160" w:line="240" w:lineRule="atLeast"/>
    </w:pPr>
    <w:rPr>
      <w:rFonts w:ascii="Arial Narrow" w:hAnsi="Arial Narrow" w:cs="Arial"/>
      <w:b/>
      <w:i/>
      <w:color w:val="000100"/>
    </w:rPr>
  </w:style>
  <w:style w:type="paragraph" w:customStyle="1" w:styleId="Heading6ES">
    <w:name w:val="Heading 6 (ES)"/>
    <w:basedOn w:val="Normal"/>
    <w:next w:val="BodyText"/>
    <w:rsid w:val="00CA7473"/>
    <w:pPr>
      <w:keepNext/>
      <w:numPr>
        <w:ilvl w:val="5"/>
        <w:numId w:val="12"/>
      </w:numPr>
      <w:spacing w:before="240" w:after="160" w:line="240" w:lineRule="atLeast"/>
      <w:ind w:left="0" w:firstLine="0"/>
    </w:pPr>
    <w:rPr>
      <w:rFonts w:ascii="Arial Narrow" w:hAnsi="Arial Narrow" w:cs="Arial"/>
      <w:b/>
      <w:i/>
      <w:color w:val="959495"/>
    </w:rPr>
  </w:style>
  <w:style w:type="numbering" w:customStyle="1" w:styleId="aaclstStyleHeadingsES">
    <w:name w:val="aac_lstStyle_HeadingsES"/>
    <w:uiPriority w:val="99"/>
    <w:rsid w:val="00CA7473"/>
    <w:pPr>
      <w:numPr>
        <w:numId w:val="14"/>
      </w:numPr>
    </w:pPr>
  </w:style>
  <w:style w:type="paragraph" w:customStyle="1" w:styleId="Heading1ES">
    <w:name w:val="Heading 1 (ES)"/>
    <w:basedOn w:val="Normal"/>
    <w:rsid w:val="00C56022"/>
    <w:pPr>
      <w:numPr>
        <w:numId w:val="12"/>
      </w:numPr>
      <w:spacing w:after="200" w:line="192" w:lineRule="auto"/>
    </w:pPr>
    <w:rPr>
      <w:rFonts w:ascii="Yu Gothic Medium" w:hAnsi="Yu Gothic Medium" w:cs="Arial"/>
      <w:color w:val="FFFEFF"/>
      <w:sz w:val="64"/>
    </w:rPr>
  </w:style>
  <w:style w:type="paragraph" w:customStyle="1" w:styleId="Source">
    <w:name w:val="Source"/>
    <w:aliases w:val="s,source,source Char,s Char"/>
    <w:basedOn w:val="Normal"/>
    <w:link w:val="SourceChar"/>
    <w:qFormat/>
    <w:rsid w:val="003404E8"/>
    <w:pPr>
      <w:spacing w:before="52" w:after="0"/>
    </w:pPr>
    <w:rPr>
      <w:rFonts w:ascii="Arial Narrow" w:hAnsi="Arial Narrow" w:cs="Arial"/>
      <w:i/>
      <w:color w:val="000100"/>
      <w:sz w:val="16"/>
    </w:rPr>
  </w:style>
  <w:style w:type="paragraph" w:customStyle="1" w:styleId="Figure">
    <w:name w:val="Figure"/>
    <w:basedOn w:val="Normal"/>
    <w:rsid w:val="003404E8"/>
    <w:pPr>
      <w:keepNext/>
      <w:spacing w:after="0"/>
    </w:pPr>
    <w:rPr>
      <w:rFonts w:ascii="Arial Narrow" w:hAnsi="Arial Narrow" w:cs="Arial"/>
      <w:color w:val="000100"/>
      <w:sz w:val="16"/>
    </w:rPr>
  </w:style>
  <w:style w:type="character" w:customStyle="1" w:styleId="SourceChar">
    <w:name w:val="Source Char"/>
    <w:basedOn w:val="DefaultParagraphFont"/>
    <w:link w:val="Source"/>
    <w:locked/>
    <w:rsid w:val="003404E8"/>
    <w:rPr>
      <w:rFonts w:ascii="Arial Narrow" w:hAnsi="Arial Narrow" w:cs="Arial"/>
      <w:i/>
      <w:color w:val="000100"/>
      <w:sz w:val="16"/>
    </w:rPr>
  </w:style>
  <w:style w:type="table" w:styleId="ListTable1Light-Accent3">
    <w:name w:val="List Table 1 Light Accent 3"/>
    <w:basedOn w:val="TableNormal"/>
    <w:uiPriority w:val="46"/>
    <w:rsid w:val="00FB46B7"/>
    <w:pPr>
      <w:spacing w:after="0"/>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1Light-Accent4">
    <w:name w:val="List Table 1 Light Accent 4"/>
    <w:basedOn w:val="TableNormal"/>
    <w:uiPriority w:val="46"/>
    <w:rsid w:val="00FB46B7"/>
    <w:pPr>
      <w:spacing w:after="0"/>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3">
    <w:name w:val="List Table 2 Accent 3"/>
    <w:basedOn w:val="TableNormal"/>
    <w:uiPriority w:val="47"/>
    <w:rsid w:val="004E2928"/>
    <w:pPr>
      <w:spacing w:after="0"/>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6Colorful-Accent1">
    <w:name w:val="List Table 6 Colorful Accent 1"/>
    <w:basedOn w:val="TableNormal"/>
    <w:uiPriority w:val="51"/>
    <w:rsid w:val="004E2928"/>
    <w:pPr>
      <w:spacing w:after="0"/>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6Colorful">
    <w:name w:val="List Table 6 Colorful"/>
    <w:basedOn w:val="TableNormal"/>
    <w:uiPriority w:val="51"/>
    <w:rsid w:val="004E2928"/>
    <w:pPr>
      <w:spacing w:after="0"/>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4">
    <w:name w:val="List Table 6 Colorful Accent 4"/>
    <w:basedOn w:val="TableNormal"/>
    <w:uiPriority w:val="51"/>
    <w:rsid w:val="004E2928"/>
    <w:pPr>
      <w:spacing w:after="0"/>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ListParagraphChar">
    <w:name w:val="List Paragraph Char"/>
    <w:aliases w:val="Bullet Points Char,CV text Char,Dot pt Char,F5 List Paragraph Char,Indicator Text Char,L Char,List Paragraph Char Char Char Char,List Paragraph1 Char,List Paragraph11 Char,List Paragraph12 Char,Lists Char,MAIN CONTENT Char,列 Char"/>
    <w:link w:val="ListParagraph"/>
    <w:uiPriority w:val="34"/>
    <w:qFormat/>
    <w:locked/>
    <w:rsid w:val="00C37481"/>
  </w:style>
  <w:style w:type="table" w:styleId="GridTable4-Accent1">
    <w:name w:val="Grid Table 4 Accent 1"/>
    <w:basedOn w:val="TableNormal"/>
    <w:uiPriority w:val="49"/>
    <w:rsid w:val="00C37481"/>
    <w:pPr>
      <w:spacing w:after="0"/>
    </w:pPr>
    <w:tblPr>
      <w:tblStyleRowBandSize w:val="1"/>
      <w:tblStyleColBandSize w:val="1"/>
      <w:tblInd w:w="0" w:type="nil"/>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Revision">
    <w:name w:val="Revision"/>
    <w:hidden/>
    <w:uiPriority w:val="99"/>
    <w:semiHidden/>
    <w:rsid w:val="00814B4D"/>
    <w:pPr>
      <w:spacing w:after="0"/>
    </w:pPr>
  </w:style>
  <w:style w:type="character" w:customStyle="1" w:styleId="DCCEEWCaptionsChar">
    <w:name w:val="DCCEEW Captions Char"/>
    <w:basedOn w:val="DefaultParagraphFont"/>
    <w:link w:val="DCCEEWCaptions"/>
    <w:locked/>
    <w:rsid w:val="00263249"/>
    <w:rPr>
      <w:rFonts w:asciiTheme="majorHAnsi" w:hAnsiTheme="majorHAnsi" w:cs="Calibri Light"/>
      <w:b/>
      <w:i/>
      <w:color w:val="595959" w:themeColor="text1" w:themeTint="A6"/>
    </w:rPr>
  </w:style>
  <w:style w:type="paragraph" w:customStyle="1" w:styleId="DCCEEWCaptions">
    <w:name w:val="DCCEEW Captions"/>
    <w:basedOn w:val="Normal"/>
    <w:next w:val="Normal"/>
    <w:link w:val="DCCEEWCaptionsChar"/>
    <w:rsid w:val="00263249"/>
    <w:pPr>
      <w:jc w:val="center"/>
    </w:pPr>
    <w:rPr>
      <w:rFonts w:asciiTheme="majorHAnsi" w:hAnsiTheme="majorHAnsi" w:cs="Calibri Light"/>
      <w:b/>
      <w:i/>
      <w:color w:val="595959" w:themeColor="text1" w:themeTint="A6"/>
    </w:rPr>
  </w:style>
  <w:style w:type="table" w:customStyle="1" w:styleId="GHDFinancialTable">
    <w:name w:val="GHD Financial Table"/>
    <w:basedOn w:val="TableNormal"/>
    <w:uiPriority w:val="99"/>
    <w:rsid w:val="00263249"/>
    <w:pPr>
      <w:spacing w:after="0"/>
    </w:pPr>
    <w:rPr>
      <w:sz w:val="20"/>
      <w:szCs w:val="20"/>
    </w:rPr>
    <w:tblPr>
      <w:tblStyleRowBandSize w:val="1"/>
      <w:tblStyleColBandSize w:val="1"/>
      <w:tblInd w:w="0" w:type="nil"/>
      <w:tblBorders>
        <w:top w:val="single" w:sz="12" w:space="0" w:color="4A66AC" w:themeColor="accent1"/>
        <w:bottom w:val="single" w:sz="12" w:space="0" w:color="4A66AC" w:themeColor="accent1"/>
        <w:insideH w:val="single" w:sz="4" w:space="0" w:color="ACCBF9" w:themeColor="background2"/>
      </w:tblBorders>
      <w:tblCellMar>
        <w:left w:w="0" w:type="dxa"/>
        <w:right w:w="0" w:type="dxa"/>
      </w:tblCellMar>
    </w:tblPr>
    <w:tblStylePr w:type="firstRow">
      <w:rPr>
        <w:color w:val="4A66AC" w:themeColor="accent1"/>
      </w:rPr>
      <w:tblPr/>
      <w:tcPr>
        <w:tcBorders>
          <w:top w:val="single" w:sz="12" w:space="0" w:color="4A66AC" w:themeColor="accent1"/>
          <w:left w:val="nil"/>
          <w:bottom w:val="single" w:sz="12" w:space="0" w:color="4A66AC"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webHidden w:val="0"/>
        <w:color w:val="FFFFFF" w:themeColor="background1"/>
        <w:u w:val="none"/>
        <w:effect w:val="none"/>
        <w:specVanish w:val="0"/>
      </w:rPr>
      <w:tblPr/>
      <w:tcPr>
        <w:shd w:val="clear" w:color="auto" w:fill="999999"/>
        <w:vAlign w:val="bottom"/>
      </w:tcPr>
    </w:tblStylePr>
    <w:tblStylePr w:type="firstCol">
      <w:rPr>
        <w:color w:val="4A66AC"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LightList">
    <w:name w:val="Light List"/>
    <w:basedOn w:val="TableNormal"/>
    <w:uiPriority w:val="61"/>
    <w:rsid w:val="00D35957"/>
    <w:pPr>
      <w:spacing w:after="0"/>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7Colorful-Accent1">
    <w:name w:val="Grid Table 7 Colorful Accent 1"/>
    <w:basedOn w:val="TableNormal"/>
    <w:uiPriority w:val="52"/>
    <w:rsid w:val="00D35957"/>
    <w:pPr>
      <w:spacing w:after="0"/>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character" w:customStyle="1" w:styleId="Heading7Char">
    <w:name w:val="Heading 7 Char"/>
    <w:basedOn w:val="DefaultParagraphFont"/>
    <w:link w:val="Heading7"/>
    <w:uiPriority w:val="9"/>
    <w:semiHidden/>
    <w:rsid w:val="00AB503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B503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B5033"/>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AB5033"/>
    <w:rPr>
      <w:b/>
      <w:bCs/>
    </w:rPr>
  </w:style>
  <w:style w:type="character" w:styleId="Emphasis">
    <w:name w:val="Emphasis"/>
    <w:basedOn w:val="DefaultParagraphFont"/>
    <w:uiPriority w:val="20"/>
    <w:qFormat/>
    <w:rsid w:val="00AB5033"/>
    <w:rPr>
      <w:i/>
      <w:iCs/>
    </w:rPr>
  </w:style>
  <w:style w:type="paragraph" w:styleId="IntenseQuote">
    <w:name w:val="Intense Quote"/>
    <w:basedOn w:val="Normal"/>
    <w:next w:val="Normal"/>
    <w:link w:val="IntenseQuoteChar"/>
    <w:uiPriority w:val="30"/>
    <w:qFormat/>
    <w:rsid w:val="00AB5033"/>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AB5033"/>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AB5033"/>
    <w:rPr>
      <w:i/>
      <w:iCs/>
      <w:color w:val="595959" w:themeColor="text1" w:themeTint="A6"/>
    </w:rPr>
  </w:style>
  <w:style w:type="character" w:styleId="IntenseEmphasis">
    <w:name w:val="Intense Emphasis"/>
    <w:basedOn w:val="DefaultParagraphFont"/>
    <w:uiPriority w:val="21"/>
    <w:qFormat/>
    <w:rsid w:val="00AB5033"/>
    <w:rPr>
      <w:b/>
      <w:bCs/>
      <w:i/>
      <w:iCs/>
    </w:rPr>
  </w:style>
  <w:style w:type="character" w:styleId="SubtleReference">
    <w:name w:val="Subtle Reference"/>
    <w:basedOn w:val="DefaultParagraphFont"/>
    <w:uiPriority w:val="31"/>
    <w:qFormat/>
    <w:rsid w:val="00AB5033"/>
    <w:rPr>
      <w:smallCaps/>
      <w:color w:val="404040" w:themeColor="text1" w:themeTint="BF"/>
    </w:rPr>
  </w:style>
  <w:style w:type="character" w:styleId="IntenseReference">
    <w:name w:val="Intense Reference"/>
    <w:basedOn w:val="DefaultParagraphFont"/>
    <w:uiPriority w:val="32"/>
    <w:qFormat/>
    <w:rsid w:val="00AB5033"/>
    <w:rPr>
      <w:b/>
      <w:bCs/>
      <w:smallCaps/>
      <w:u w:val="single"/>
    </w:rPr>
  </w:style>
  <w:style w:type="character" w:styleId="BookTitle">
    <w:name w:val="Book Title"/>
    <w:basedOn w:val="DefaultParagraphFont"/>
    <w:uiPriority w:val="33"/>
    <w:qFormat/>
    <w:rsid w:val="00AB5033"/>
    <w:rPr>
      <w:b/>
      <w:bCs/>
      <w:smallCaps/>
    </w:rPr>
  </w:style>
  <w:style w:type="table" w:styleId="TableGridLight">
    <w:name w:val="Grid Table Light"/>
    <w:basedOn w:val="TableNormal"/>
    <w:uiPriority w:val="40"/>
    <w:rsid w:val="000F0B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notshowing">
    <w:name w:val="Heading 2—not showing"/>
    <w:basedOn w:val="Normal"/>
    <w:next w:val="Normal"/>
    <w:qFormat/>
    <w:rsid w:val="00147446"/>
    <w:pPr>
      <w:keepNext/>
      <w:spacing w:line="240" w:lineRule="auto"/>
      <w:outlineLvl w:val="1"/>
    </w:pPr>
    <w:rPr>
      <w:rFonts w:ascii="Calibri" w:eastAsia="MingLiU" w:hAnsi="Calibri" w:cs="Segoe UI Semibold"/>
      <w:b/>
      <w:color w:val="4C5564"/>
      <w:sz w:val="24"/>
      <w:szCs w:val="26"/>
    </w:rPr>
  </w:style>
  <w:style w:type="paragraph" w:customStyle="1" w:styleId="Tabletext">
    <w:name w:val="Table text"/>
    <w:basedOn w:val="Normal"/>
    <w:qFormat/>
    <w:rsid w:val="0003740A"/>
    <w:pPr>
      <w:spacing w:before="60" w:after="0" w:line="240" w:lineRule="atLeast"/>
      <w:ind w:right="119"/>
    </w:pPr>
    <w:rPr>
      <w:rFonts w:ascii="Arial Narrow" w:hAnsi="Arial Narrow" w:cs="Arial"/>
      <w:color w:val="000100"/>
      <w:sz w:val="20"/>
    </w:rPr>
  </w:style>
  <w:style w:type="paragraph" w:customStyle="1" w:styleId="Tablecolumnheadings">
    <w:name w:val="Table column headings"/>
    <w:basedOn w:val="Tabletext"/>
    <w:qFormat/>
    <w:rsid w:val="0003740A"/>
    <w:pPr>
      <w:keepNext/>
      <w:spacing w:before="40" w:after="40"/>
    </w:pPr>
    <w:rPr>
      <w:b/>
      <w:color w:val="FFFFFF" w:themeColor="background1"/>
    </w:rPr>
  </w:style>
  <w:style w:type="paragraph" w:customStyle="1" w:styleId="Tablelistbullet">
    <w:name w:val="Table list bullet"/>
    <w:basedOn w:val="Tabletext"/>
    <w:qFormat/>
    <w:rsid w:val="00064B2A"/>
    <w:pPr>
      <w:tabs>
        <w:tab w:val="num" w:pos="360"/>
      </w:tabs>
      <w:spacing w:before="40" w:after="40"/>
      <w:ind w:left="280" w:hanging="280"/>
    </w:pPr>
    <w:rPr>
      <w:rFonts w:cstheme="minorBidi"/>
    </w:rPr>
  </w:style>
  <w:style w:type="paragraph" w:customStyle="1" w:styleId="Tablelistbullet2">
    <w:name w:val="Table list bullet 2"/>
    <w:basedOn w:val="Tablelistbullet"/>
    <w:qFormat/>
    <w:rsid w:val="00064B2A"/>
    <w:pPr>
      <w:spacing w:before="0"/>
      <w:ind w:left="520" w:hanging="240"/>
    </w:pPr>
  </w:style>
  <w:style w:type="paragraph" w:customStyle="1" w:styleId="Tablelistbullet3">
    <w:name w:val="Table list bullet 3"/>
    <w:basedOn w:val="Tabletext"/>
    <w:qFormat/>
    <w:rsid w:val="00525C51"/>
    <w:pPr>
      <w:tabs>
        <w:tab w:val="num" w:pos="360"/>
      </w:tabs>
      <w:spacing w:before="0" w:after="40"/>
      <w:ind w:left="760" w:hanging="240"/>
    </w:pPr>
    <w:rPr>
      <w:rFonts w:cstheme="minorBidi"/>
    </w:rPr>
  </w:style>
  <w:style w:type="numbering" w:customStyle="1" w:styleId="aacTableListBullets">
    <w:name w:val="aac Table List Bullets"/>
    <w:uiPriority w:val="99"/>
    <w:rsid w:val="00732476"/>
    <w:pPr>
      <w:numPr>
        <w:numId w:val="40"/>
      </w:numPr>
    </w:pPr>
  </w:style>
  <w:style w:type="table" w:styleId="GridTable1Light">
    <w:name w:val="Grid Table 1 Light"/>
    <w:basedOn w:val="TableNormal"/>
    <w:uiPriority w:val="46"/>
    <w:rsid w:val="00C63178"/>
    <w:pPr>
      <w:spacing w:after="0" w:line="240" w:lineRule="auto"/>
    </w:pPr>
    <w:rPr>
      <w:rFonts w:eastAsiaTheme="minorHAnsi"/>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AE4779"/>
    <w:pPr>
      <w:spacing w:before="160" w:after="0" w:line="240" w:lineRule="auto"/>
    </w:pPr>
    <w:rPr>
      <w:rFonts w:eastAsiaTheme="minorHAnsi"/>
      <w:color w:val="000000" w:themeColor="text1"/>
      <w:sz w:val="22"/>
      <w:szCs w:val="22"/>
    </w:r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paragraph" w:customStyle="1" w:styleId="BOXHeading2">
    <w:name w:val="BOX Heading 2"/>
    <w:basedOn w:val="Heading2"/>
    <w:next w:val="Normal"/>
    <w:uiPriority w:val="6"/>
    <w:qFormat/>
    <w:rsid w:val="00590B75"/>
    <w:pPr>
      <w:pBdr>
        <w:top w:val="single" w:sz="48" w:space="1" w:color="E0E8F2"/>
        <w:left w:val="single" w:sz="48" w:space="4" w:color="E0E8F2"/>
        <w:bottom w:val="single" w:sz="48" w:space="1" w:color="E0E8F2"/>
        <w:right w:val="single" w:sz="48" w:space="4" w:color="E0E8F2"/>
      </w:pBdr>
      <w:shd w:val="clear" w:color="auto" w:fill="E0E8F2"/>
      <w:spacing w:before="240" w:after="160"/>
      <w:ind w:left="227" w:right="227"/>
    </w:pPr>
    <w:rPr>
      <w:color w:val="4A66AC" w:themeColor="accent1"/>
    </w:rPr>
  </w:style>
  <w:style w:type="paragraph" w:customStyle="1" w:styleId="BOXNumberedList">
    <w:name w:val="BOX Numbered List"/>
    <w:basedOn w:val="Normal"/>
    <w:uiPriority w:val="5"/>
    <w:qFormat/>
    <w:rsid w:val="00590B75"/>
    <w:pPr>
      <w:numPr>
        <w:numId w:val="40"/>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right="227"/>
    </w:pPr>
    <w:rPr>
      <w:color w:val="000000" w:themeColor="text1"/>
      <w:sz w:val="22"/>
    </w:rPr>
  </w:style>
  <w:style w:type="paragraph" w:customStyle="1" w:styleId="BOXBulletedList">
    <w:name w:val="BOX Bulleted List"/>
    <w:basedOn w:val="Normal"/>
    <w:uiPriority w:val="5"/>
    <w:qFormat/>
    <w:rsid w:val="00590B75"/>
    <w:pPr>
      <w:numPr>
        <w:numId w:val="41"/>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left="511" w:right="227"/>
    </w:pPr>
    <w:rPr>
      <w:color w:val="000000" w:themeColor="text1"/>
      <w:sz w:val="22"/>
    </w:rPr>
  </w:style>
  <w:style w:type="paragraph" w:customStyle="1" w:styleId="BOXText">
    <w:name w:val="BOX Text"/>
    <w:basedOn w:val="Normal"/>
    <w:uiPriority w:val="4"/>
    <w:qFormat/>
    <w:rsid w:val="00590B75"/>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left="227" w:right="227"/>
    </w:pPr>
    <w:rPr>
      <w:color w:val="000000" w:themeColor="text1"/>
      <w:sz w:val="22"/>
    </w:rPr>
  </w:style>
  <w:style w:type="character" w:customStyle="1" w:styleId="contextualspellingandgrammarerror">
    <w:name w:val="contextualspellingandgrammarerror"/>
    <w:basedOn w:val="DefaultParagraphFont"/>
    <w:rsid w:val="00012489"/>
  </w:style>
  <w:style w:type="table" w:customStyle="1" w:styleId="PMCTableStyle21">
    <w:name w:val="PMC Table Style 21"/>
    <w:basedOn w:val="TableNormal"/>
    <w:uiPriority w:val="99"/>
    <w:rsid w:val="00475817"/>
    <w:pPr>
      <w:spacing w:before="60" w:after="60"/>
    </w:pPr>
    <w:rPr>
      <w:rFonts w:eastAsia="Times New Roman"/>
      <w:color w:val="262626"/>
      <w:sz w:val="20"/>
      <w:szCs w:val="20"/>
    </w:rPr>
    <w:tblPr>
      <w:tblStyleRowBandSize w:val="1"/>
      <w:tblBorders>
        <w:top w:val="single" w:sz="4" w:space="0" w:color="ECEFF7"/>
        <w:left w:val="single" w:sz="4" w:space="0" w:color="ECEFF7"/>
        <w:bottom w:val="single" w:sz="12" w:space="0" w:color="242852"/>
        <w:right w:val="single" w:sz="4" w:space="0" w:color="ECEFF7"/>
        <w:insideH w:val="single" w:sz="4" w:space="0" w:color="ECEFF7"/>
        <w:insideV w:val="single" w:sz="4" w:space="0" w:color="ECEFF7"/>
      </w:tblBorders>
      <w:tblCellMar>
        <w:left w:w="284" w:type="dxa"/>
        <w:right w:w="284" w:type="dxa"/>
      </w:tblCellMar>
    </w:tblPr>
    <w:tcPr>
      <w:shd w:val="clear" w:color="auto" w:fill="FFFFFF"/>
    </w:tcPr>
    <w:tblStylePr w:type="firstRow">
      <w:rPr>
        <w:rFonts w:ascii="Calibri" w:hAnsi="Calibri"/>
        <w:b/>
        <w:color w:val="FFFFFF"/>
        <w:sz w:val="18"/>
      </w:rPr>
      <w:tblPr/>
      <w:tcPr>
        <w:shd w:val="clear" w:color="auto" w:fill="242852"/>
      </w:tcPr>
    </w:tblStylePr>
    <w:tblStylePr w:type="lastRow">
      <w:tblPr/>
      <w:tcPr>
        <w:shd w:val="clear" w:color="auto" w:fill="E6E6E6"/>
      </w:tcPr>
    </w:tblStylePr>
    <w:tblStylePr w:type="band2Horz">
      <w:rPr>
        <w:rFonts w:ascii="Calibri" w:hAnsi="Calibri"/>
        <w:b w:val="0"/>
        <w:color w:val="262626"/>
      </w:rPr>
      <w:tblPr/>
      <w:tcPr>
        <w:shd w:val="clear" w:color="auto" w:fill="FFFFFF"/>
      </w:tcPr>
    </w:tblStylePr>
  </w:style>
  <w:style w:type="character" w:customStyle="1" w:styleId="ui-provider">
    <w:name w:val="ui-provider"/>
    <w:basedOn w:val="DefaultParagraphFont"/>
    <w:rsid w:val="00B62D6F"/>
  </w:style>
  <w:style w:type="paragraph" w:customStyle="1" w:styleId="pf0">
    <w:name w:val="pf0"/>
    <w:basedOn w:val="Normal"/>
    <w:rsid w:val="00B62D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62D6F"/>
    <w:rPr>
      <w:rFonts w:ascii="Segoe UI" w:hAnsi="Segoe UI" w:cs="Segoe UI" w:hint="default"/>
      <w:sz w:val="18"/>
      <w:szCs w:val="18"/>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uiPriority w:val="99"/>
    <w:rsid w:val="003F251A"/>
    <w:pPr>
      <w:spacing w:after="160" w:line="240" w:lineRule="exact"/>
      <w:jc w:val="both"/>
    </w:pPr>
    <w:rPr>
      <w:vertAlign w:val="superscript"/>
    </w:rPr>
  </w:style>
  <w:style w:type="numbering" w:customStyle="1" w:styleId="Style1">
    <w:name w:val="Style1"/>
    <w:uiPriority w:val="99"/>
    <w:rsid w:val="00A75D9A"/>
    <w:pPr>
      <w:numPr>
        <w:numId w:val="79"/>
      </w:numPr>
    </w:pPr>
  </w:style>
  <w:style w:type="table" w:styleId="ListTable4-Accent5">
    <w:name w:val="List Table 4 Accent 5"/>
    <w:basedOn w:val="TableNormal"/>
    <w:uiPriority w:val="49"/>
    <w:rsid w:val="00141463"/>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NoSpacingChar">
    <w:name w:val="No Spacing Char"/>
    <w:basedOn w:val="DefaultParagraphFont"/>
    <w:link w:val="NoSpacing"/>
    <w:uiPriority w:val="1"/>
    <w:rsid w:val="00752D31"/>
  </w:style>
  <w:style w:type="paragraph" w:customStyle="1" w:styleId="Tablerowcolumnheading">
    <w:name w:val="Table row/column heading"/>
    <w:basedOn w:val="Normal"/>
    <w:next w:val="Normal"/>
    <w:rsid w:val="008A3F0C"/>
    <w:pPr>
      <w:shd w:val="clear" w:color="auto" w:fill="417A84"/>
      <w:spacing w:before="60" w:after="60" w:line="240" w:lineRule="auto"/>
    </w:pPr>
    <w:rPr>
      <w:rFonts w:ascii="Calibri" w:eastAsiaTheme="minorHAnsi" w:hAnsi="Calibri"/>
      <w:b/>
      <w:color w:val="FFFFFF" w:themeColor="background1"/>
      <w:sz w:val="22"/>
      <w:szCs w:val="20"/>
    </w:rPr>
  </w:style>
  <w:style w:type="paragraph" w:customStyle="1" w:styleId="Tablefigureheading">
    <w:name w:val="Table/figure heading"/>
    <w:basedOn w:val="Normal"/>
    <w:next w:val="Normal"/>
    <w:qFormat/>
    <w:rsid w:val="008A3F0C"/>
    <w:pPr>
      <w:spacing w:after="240" w:line="240" w:lineRule="auto"/>
    </w:pPr>
    <w:rPr>
      <w:rFonts w:ascii="Calibri" w:eastAsiaTheme="minorHAnsi" w:hAnsi="Calibri"/>
      <w:b/>
      <w:color w:val="2B5258"/>
      <w:sz w:val="22"/>
      <w:szCs w:val="22"/>
    </w:rPr>
  </w:style>
  <w:style w:type="paragraph" w:customStyle="1" w:styleId="Tablerowcolumnheadingcentred">
    <w:name w:val="Table row/column heading—centred"/>
    <w:basedOn w:val="Tablerowcolumnheading"/>
    <w:next w:val="Normal"/>
    <w:rsid w:val="008A3F0C"/>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3552">
      <w:bodyDiv w:val="1"/>
      <w:marLeft w:val="0"/>
      <w:marRight w:val="0"/>
      <w:marTop w:val="0"/>
      <w:marBottom w:val="0"/>
      <w:divBdr>
        <w:top w:val="none" w:sz="0" w:space="0" w:color="auto"/>
        <w:left w:val="none" w:sz="0" w:space="0" w:color="auto"/>
        <w:bottom w:val="none" w:sz="0" w:space="0" w:color="auto"/>
        <w:right w:val="none" w:sz="0" w:space="0" w:color="auto"/>
      </w:divBdr>
    </w:div>
    <w:div w:id="56317919">
      <w:bodyDiv w:val="1"/>
      <w:marLeft w:val="0"/>
      <w:marRight w:val="0"/>
      <w:marTop w:val="0"/>
      <w:marBottom w:val="0"/>
      <w:divBdr>
        <w:top w:val="none" w:sz="0" w:space="0" w:color="auto"/>
        <w:left w:val="none" w:sz="0" w:space="0" w:color="auto"/>
        <w:bottom w:val="none" w:sz="0" w:space="0" w:color="auto"/>
        <w:right w:val="none" w:sz="0" w:space="0" w:color="auto"/>
      </w:divBdr>
    </w:div>
    <w:div w:id="75715176">
      <w:bodyDiv w:val="1"/>
      <w:marLeft w:val="0"/>
      <w:marRight w:val="0"/>
      <w:marTop w:val="0"/>
      <w:marBottom w:val="0"/>
      <w:divBdr>
        <w:top w:val="none" w:sz="0" w:space="0" w:color="auto"/>
        <w:left w:val="none" w:sz="0" w:space="0" w:color="auto"/>
        <w:bottom w:val="none" w:sz="0" w:space="0" w:color="auto"/>
        <w:right w:val="none" w:sz="0" w:space="0" w:color="auto"/>
      </w:divBdr>
      <w:divsChild>
        <w:div w:id="123082205">
          <w:marLeft w:val="0"/>
          <w:marRight w:val="0"/>
          <w:marTop w:val="0"/>
          <w:marBottom w:val="0"/>
          <w:divBdr>
            <w:top w:val="none" w:sz="0" w:space="0" w:color="auto"/>
            <w:left w:val="none" w:sz="0" w:space="0" w:color="auto"/>
            <w:bottom w:val="none" w:sz="0" w:space="0" w:color="auto"/>
            <w:right w:val="none" w:sz="0" w:space="0" w:color="auto"/>
          </w:divBdr>
        </w:div>
        <w:div w:id="440221677">
          <w:marLeft w:val="0"/>
          <w:marRight w:val="0"/>
          <w:marTop w:val="0"/>
          <w:marBottom w:val="0"/>
          <w:divBdr>
            <w:top w:val="none" w:sz="0" w:space="0" w:color="auto"/>
            <w:left w:val="none" w:sz="0" w:space="0" w:color="auto"/>
            <w:bottom w:val="none" w:sz="0" w:space="0" w:color="auto"/>
            <w:right w:val="none" w:sz="0" w:space="0" w:color="auto"/>
          </w:divBdr>
        </w:div>
        <w:div w:id="592975357">
          <w:marLeft w:val="0"/>
          <w:marRight w:val="0"/>
          <w:marTop w:val="0"/>
          <w:marBottom w:val="0"/>
          <w:divBdr>
            <w:top w:val="none" w:sz="0" w:space="0" w:color="auto"/>
            <w:left w:val="none" w:sz="0" w:space="0" w:color="auto"/>
            <w:bottom w:val="none" w:sz="0" w:space="0" w:color="auto"/>
            <w:right w:val="none" w:sz="0" w:space="0" w:color="auto"/>
          </w:divBdr>
        </w:div>
        <w:div w:id="1037394924">
          <w:marLeft w:val="0"/>
          <w:marRight w:val="0"/>
          <w:marTop w:val="0"/>
          <w:marBottom w:val="0"/>
          <w:divBdr>
            <w:top w:val="none" w:sz="0" w:space="0" w:color="auto"/>
            <w:left w:val="none" w:sz="0" w:space="0" w:color="auto"/>
            <w:bottom w:val="none" w:sz="0" w:space="0" w:color="auto"/>
            <w:right w:val="none" w:sz="0" w:space="0" w:color="auto"/>
          </w:divBdr>
        </w:div>
        <w:div w:id="1258488775">
          <w:marLeft w:val="0"/>
          <w:marRight w:val="0"/>
          <w:marTop w:val="0"/>
          <w:marBottom w:val="0"/>
          <w:divBdr>
            <w:top w:val="none" w:sz="0" w:space="0" w:color="auto"/>
            <w:left w:val="none" w:sz="0" w:space="0" w:color="auto"/>
            <w:bottom w:val="none" w:sz="0" w:space="0" w:color="auto"/>
            <w:right w:val="none" w:sz="0" w:space="0" w:color="auto"/>
          </w:divBdr>
        </w:div>
        <w:div w:id="1280451785">
          <w:marLeft w:val="0"/>
          <w:marRight w:val="0"/>
          <w:marTop w:val="0"/>
          <w:marBottom w:val="0"/>
          <w:divBdr>
            <w:top w:val="none" w:sz="0" w:space="0" w:color="auto"/>
            <w:left w:val="none" w:sz="0" w:space="0" w:color="auto"/>
            <w:bottom w:val="none" w:sz="0" w:space="0" w:color="auto"/>
            <w:right w:val="none" w:sz="0" w:space="0" w:color="auto"/>
          </w:divBdr>
        </w:div>
        <w:div w:id="1327321111">
          <w:marLeft w:val="0"/>
          <w:marRight w:val="0"/>
          <w:marTop w:val="0"/>
          <w:marBottom w:val="0"/>
          <w:divBdr>
            <w:top w:val="none" w:sz="0" w:space="0" w:color="auto"/>
            <w:left w:val="none" w:sz="0" w:space="0" w:color="auto"/>
            <w:bottom w:val="none" w:sz="0" w:space="0" w:color="auto"/>
            <w:right w:val="none" w:sz="0" w:space="0" w:color="auto"/>
          </w:divBdr>
        </w:div>
        <w:div w:id="2049335313">
          <w:marLeft w:val="0"/>
          <w:marRight w:val="0"/>
          <w:marTop w:val="0"/>
          <w:marBottom w:val="0"/>
          <w:divBdr>
            <w:top w:val="none" w:sz="0" w:space="0" w:color="auto"/>
            <w:left w:val="none" w:sz="0" w:space="0" w:color="auto"/>
            <w:bottom w:val="none" w:sz="0" w:space="0" w:color="auto"/>
            <w:right w:val="none" w:sz="0" w:space="0" w:color="auto"/>
          </w:divBdr>
        </w:div>
        <w:div w:id="2105683743">
          <w:marLeft w:val="0"/>
          <w:marRight w:val="0"/>
          <w:marTop w:val="0"/>
          <w:marBottom w:val="0"/>
          <w:divBdr>
            <w:top w:val="none" w:sz="0" w:space="0" w:color="auto"/>
            <w:left w:val="none" w:sz="0" w:space="0" w:color="auto"/>
            <w:bottom w:val="none" w:sz="0" w:space="0" w:color="auto"/>
            <w:right w:val="none" w:sz="0" w:space="0" w:color="auto"/>
          </w:divBdr>
        </w:div>
        <w:div w:id="2125029101">
          <w:marLeft w:val="0"/>
          <w:marRight w:val="0"/>
          <w:marTop w:val="0"/>
          <w:marBottom w:val="0"/>
          <w:divBdr>
            <w:top w:val="none" w:sz="0" w:space="0" w:color="auto"/>
            <w:left w:val="none" w:sz="0" w:space="0" w:color="auto"/>
            <w:bottom w:val="none" w:sz="0" w:space="0" w:color="auto"/>
            <w:right w:val="none" w:sz="0" w:space="0" w:color="auto"/>
          </w:divBdr>
        </w:div>
      </w:divsChild>
    </w:div>
    <w:div w:id="86124847">
      <w:bodyDiv w:val="1"/>
      <w:marLeft w:val="0"/>
      <w:marRight w:val="0"/>
      <w:marTop w:val="0"/>
      <w:marBottom w:val="0"/>
      <w:divBdr>
        <w:top w:val="none" w:sz="0" w:space="0" w:color="auto"/>
        <w:left w:val="none" w:sz="0" w:space="0" w:color="auto"/>
        <w:bottom w:val="none" w:sz="0" w:space="0" w:color="auto"/>
        <w:right w:val="none" w:sz="0" w:space="0" w:color="auto"/>
      </w:divBdr>
    </w:div>
    <w:div w:id="104541050">
      <w:bodyDiv w:val="1"/>
      <w:marLeft w:val="0"/>
      <w:marRight w:val="0"/>
      <w:marTop w:val="0"/>
      <w:marBottom w:val="0"/>
      <w:divBdr>
        <w:top w:val="none" w:sz="0" w:space="0" w:color="auto"/>
        <w:left w:val="none" w:sz="0" w:space="0" w:color="auto"/>
        <w:bottom w:val="none" w:sz="0" w:space="0" w:color="auto"/>
        <w:right w:val="none" w:sz="0" w:space="0" w:color="auto"/>
      </w:divBdr>
    </w:div>
    <w:div w:id="11168043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22843758">
      <w:bodyDiv w:val="1"/>
      <w:marLeft w:val="0"/>
      <w:marRight w:val="0"/>
      <w:marTop w:val="0"/>
      <w:marBottom w:val="0"/>
      <w:divBdr>
        <w:top w:val="none" w:sz="0" w:space="0" w:color="auto"/>
        <w:left w:val="none" w:sz="0" w:space="0" w:color="auto"/>
        <w:bottom w:val="none" w:sz="0" w:space="0" w:color="auto"/>
        <w:right w:val="none" w:sz="0" w:space="0" w:color="auto"/>
      </w:divBdr>
      <w:divsChild>
        <w:div w:id="157312617">
          <w:marLeft w:val="0"/>
          <w:marRight w:val="0"/>
          <w:marTop w:val="0"/>
          <w:marBottom w:val="0"/>
          <w:divBdr>
            <w:top w:val="none" w:sz="0" w:space="0" w:color="auto"/>
            <w:left w:val="none" w:sz="0" w:space="0" w:color="auto"/>
            <w:bottom w:val="none" w:sz="0" w:space="0" w:color="auto"/>
            <w:right w:val="none" w:sz="0" w:space="0" w:color="auto"/>
          </w:divBdr>
        </w:div>
        <w:div w:id="200172270">
          <w:marLeft w:val="0"/>
          <w:marRight w:val="0"/>
          <w:marTop w:val="0"/>
          <w:marBottom w:val="0"/>
          <w:divBdr>
            <w:top w:val="none" w:sz="0" w:space="0" w:color="auto"/>
            <w:left w:val="none" w:sz="0" w:space="0" w:color="auto"/>
            <w:bottom w:val="none" w:sz="0" w:space="0" w:color="auto"/>
            <w:right w:val="none" w:sz="0" w:space="0" w:color="auto"/>
          </w:divBdr>
        </w:div>
        <w:div w:id="813791975">
          <w:marLeft w:val="0"/>
          <w:marRight w:val="0"/>
          <w:marTop w:val="0"/>
          <w:marBottom w:val="0"/>
          <w:divBdr>
            <w:top w:val="none" w:sz="0" w:space="0" w:color="auto"/>
            <w:left w:val="none" w:sz="0" w:space="0" w:color="auto"/>
            <w:bottom w:val="none" w:sz="0" w:space="0" w:color="auto"/>
            <w:right w:val="none" w:sz="0" w:space="0" w:color="auto"/>
          </w:divBdr>
        </w:div>
        <w:div w:id="1537888829">
          <w:marLeft w:val="0"/>
          <w:marRight w:val="0"/>
          <w:marTop w:val="0"/>
          <w:marBottom w:val="0"/>
          <w:divBdr>
            <w:top w:val="none" w:sz="0" w:space="0" w:color="auto"/>
            <w:left w:val="none" w:sz="0" w:space="0" w:color="auto"/>
            <w:bottom w:val="none" w:sz="0" w:space="0" w:color="auto"/>
            <w:right w:val="none" w:sz="0" w:space="0" w:color="auto"/>
          </w:divBdr>
        </w:div>
        <w:div w:id="2115711470">
          <w:marLeft w:val="0"/>
          <w:marRight w:val="0"/>
          <w:marTop w:val="0"/>
          <w:marBottom w:val="0"/>
          <w:divBdr>
            <w:top w:val="none" w:sz="0" w:space="0" w:color="auto"/>
            <w:left w:val="none" w:sz="0" w:space="0" w:color="auto"/>
            <w:bottom w:val="none" w:sz="0" w:space="0" w:color="auto"/>
            <w:right w:val="none" w:sz="0" w:space="0" w:color="auto"/>
          </w:divBdr>
        </w:div>
      </w:divsChild>
    </w:div>
    <w:div w:id="127941682">
      <w:bodyDiv w:val="1"/>
      <w:marLeft w:val="0"/>
      <w:marRight w:val="0"/>
      <w:marTop w:val="0"/>
      <w:marBottom w:val="0"/>
      <w:divBdr>
        <w:top w:val="none" w:sz="0" w:space="0" w:color="auto"/>
        <w:left w:val="none" w:sz="0" w:space="0" w:color="auto"/>
        <w:bottom w:val="none" w:sz="0" w:space="0" w:color="auto"/>
        <w:right w:val="none" w:sz="0" w:space="0" w:color="auto"/>
      </w:divBdr>
    </w:div>
    <w:div w:id="128330069">
      <w:bodyDiv w:val="1"/>
      <w:marLeft w:val="0"/>
      <w:marRight w:val="0"/>
      <w:marTop w:val="0"/>
      <w:marBottom w:val="0"/>
      <w:divBdr>
        <w:top w:val="none" w:sz="0" w:space="0" w:color="auto"/>
        <w:left w:val="none" w:sz="0" w:space="0" w:color="auto"/>
        <w:bottom w:val="none" w:sz="0" w:space="0" w:color="auto"/>
        <w:right w:val="none" w:sz="0" w:space="0" w:color="auto"/>
      </w:divBdr>
    </w:div>
    <w:div w:id="141116958">
      <w:bodyDiv w:val="1"/>
      <w:marLeft w:val="0"/>
      <w:marRight w:val="0"/>
      <w:marTop w:val="0"/>
      <w:marBottom w:val="0"/>
      <w:divBdr>
        <w:top w:val="none" w:sz="0" w:space="0" w:color="auto"/>
        <w:left w:val="none" w:sz="0" w:space="0" w:color="auto"/>
        <w:bottom w:val="none" w:sz="0" w:space="0" w:color="auto"/>
        <w:right w:val="none" w:sz="0" w:space="0" w:color="auto"/>
      </w:divBdr>
    </w:div>
    <w:div w:id="142551961">
      <w:bodyDiv w:val="1"/>
      <w:marLeft w:val="0"/>
      <w:marRight w:val="0"/>
      <w:marTop w:val="0"/>
      <w:marBottom w:val="0"/>
      <w:divBdr>
        <w:top w:val="none" w:sz="0" w:space="0" w:color="auto"/>
        <w:left w:val="none" w:sz="0" w:space="0" w:color="auto"/>
        <w:bottom w:val="none" w:sz="0" w:space="0" w:color="auto"/>
        <w:right w:val="none" w:sz="0" w:space="0" w:color="auto"/>
      </w:divBdr>
    </w:div>
    <w:div w:id="154954815">
      <w:bodyDiv w:val="1"/>
      <w:marLeft w:val="0"/>
      <w:marRight w:val="0"/>
      <w:marTop w:val="0"/>
      <w:marBottom w:val="0"/>
      <w:divBdr>
        <w:top w:val="none" w:sz="0" w:space="0" w:color="auto"/>
        <w:left w:val="none" w:sz="0" w:space="0" w:color="auto"/>
        <w:bottom w:val="none" w:sz="0" w:space="0" w:color="auto"/>
        <w:right w:val="none" w:sz="0" w:space="0" w:color="auto"/>
      </w:divBdr>
    </w:div>
    <w:div w:id="162013231">
      <w:bodyDiv w:val="1"/>
      <w:marLeft w:val="0"/>
      <w:marRight w:val="0"/>
      <w:marTop w:val="0"/>
      <w:marBottom w:val="0"/>
      <w:divBdr>
        <w:top w:val="none" w:sz="0" w:space="0" w:color="auto"/>
        <w:left w:val="none" w:sz="0" w:space="0" w:color="auto"/>
        <w:bottom w:val="none" w:sz="0" w:space="0" w:color="auto"/>
        <w:right w:val="none" w:sz="0" w:space="0" w:color="auto"/>
      </w:divBdr>
    </w:div>
    <w:div w:id="204559713">
      <w:bodyDiv w:val="1"/>
      <w:marLeft w:val="0"/>
      <w:marRight w:val="0"/>
      <w:marTop w:val="0"/>
      <w:marBottom w:val="0"/>
      <w:divBdr>
        <w:top w:val="none" w:sz="0" w:space="0" w:color="auto"/>
        <w:left w:val="none" w:sz="0" w:space="0" w:color="auto"/>
        <w:bottom w:val="none" w:sz="0" w:space="0" w:color="auto"/>
        <w:right w:val="none" w:sz="0" w:space="0" w:color="auto"/>
      </w:divBdr>
      <w:divsChild>
        <w:div w:id="694113920">
          <w:marLeft w:val="0"/>
          <w:marRight w:val="0"/>
          <w:marTop w:val="0"/>
          <w:marBottom w:val="0"/>
          <w:divBdr>
            <w:top w:val="none" w:sz="0" w:space="0" w:color="auto"/>
            <w:left w:val="none" w:sz="0" w:space="0" w:color="auto"/>
            <w:bottom w:val="none" w:sz="0" w:space="0" w:color="auto"/>
            <w:right w:val="none" w:sz="0" w:space="0" w:color="auto"/>
          </w:divBdr>
        </w:div>
        <w:div w:id="2111779621">
          <w:marLeft w:val="0"/>
          <w:marRight w:val="0"/>
          <w:marTop w:val="0"/>
          <w:marBottom w:val="0"/>
          <w:divBdr>
            <w:top w:val="none" w:sz="0" w:space="0" w:color="auto"/>
            <w:left w:val="none" w:sz="0" w:space="0" w:color="auto"/>
            <w:bottom w:val="none" w:sz="0" w:space="0" w:color="auto"/>
            <w:right w:val="none" w:sz="0" w:space="0" w:color="auto"/>
          </w:divBdr>
        </w:div>
      </w:divsChild>
    </w:div>
    <w:div w:id="243225543">
      <w:bodyDiv w:val="1"/>
      <w:marLeft w:val="0"/>
      <w:marRight w:val="0"/>
      <w:marTop w:val="0"/>
      <w:marBottom w:val="0"/>
      <w:divBdr>
        <w:top w:val="none" w:sz="0" w:space="0" w:color="auto"/>
        <w:left w:val="none" w:sz="0" w:space="0" w:color="auto"/>
        <w:bottom w:val="none" w:sz="0" w:space="0" w:color="auto"/>
        <w:right w:val="none" w:sz="0" w:space="0" w:color="auto"/>
      </w:divBdr>
    </w:div>
    <w:div w:id="247160462">
      <w:bodyDiv w:val="1"/>
      <w:marLeft w:val="0"/>
      <w:marRight w:val="0"/>
      <w:marTop w:val="0"/>
      <w:marBottom w:val="0"/>
      <w:divBdr>
        <w:top w:val="none" w:sz="0" w:space="0" w:color="auto"/>
        <w:left w:val="none" w:sz="0" w:space="0" w:color="auto"/>
        <w:bottom w:val="none" w:sz="0" w:space="0" w:color="auto"/>
        <w:right w:val="none" w:sz="0" w:space="0" w:color="auto"/>
      </w:divBdr>
    </w:div>
    <w:div w:id="247353941">
      <w:bodyDiv w:val="1"/>
      <w:marLeft w:val="0"/>
      <w:marRight w:val="0"/>
      <w:marTop w:val="0"/>
      <w:marBottom w:val="0"/>
      <w:divBdr>
        <w:top w:val="none" w:sz="0" w:space="0" w:color="auto"/>
        <w:left w:val="none" w:sz="0" w:space="0" w:color="auto"/>
        <w:bottom w:val="none" w:sz="0" w:space="0" w:color="auto"/>
        <w:right w:val="none" w:sz="0" w:space="0" w:color="auto"/>
      </w:divBdr>
    </w:div>
    <w:div w:id="249319927">
      <w:bodyDiv w:val="1"/>
      <w:marLeft w:val="0"/>
      <w:marRight w:val="0"/>
      <w:marTop w:val="0"/>
      <w:marBottom w:val="0"/>
      <w:divBdr>
        <w:top w:val="none" w:sz="0" w:space="0" w:color="auto"/>
        <w:left w:val="none" w:sz="0" w:space="0" w:color="auto"/>
        <w:bottom w:val="none" w:sz="0" w:space="0" w:color="auto"/>
        <w:right w:val="none" w:sz="0" w:space="0" w:color="auto"/>
      </w:divBdr>
      <w:divsChild>
        <w:div w:id="1844927021">
          <w:marLeft w:val="0"/>
          <w:marRight w:val="0"/>
          <w:marTop w:val="0"/>
          <w:marBottom w:val="0"/>
          <w:divBdr>
            <w:top w:val="none" w:sz="0" w:space="0" w:color="auto"/>
            <w:left w:val="none" w:sz="0" w:space="0" w:color="auto"/>
            <w:bottom w:val="none" w:sz="0" w:space="0" w:color="auto"/>
            <w:right w:val="none" w:sz="0" w:space="0" w:color="auto"/>
          </w:divBdr>
          <w:divsChild>
            <w:div w:id="570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3229">
      <w:bodyDiv w:val="1"/>
      <w:marLeft w:val="0"/>
      <w:marRight w:val="0"/>
      <w:marTop w:val="0"/>
      <w:marBottom w:val="0"/>
      <w:divBdr>
        <w:top w:val="none" w:sz="0" w:space="0" w:color="auto"/>
        <w:left w:val="none" w:sz="0" w:space="0" w:color="auto"/>
        <w:bottom w:val="none" w:sz="0" w:space="0" w:color="auto"/>
        <w:right w:val="none" w:sz="0" w:space="0" w:color="auto"/>
      </w:divBdr>
      <w:divsChild>
        <w:div w:id="74326205">
          <w:marLeft w:val="0"/>
          <w:marRight w:val="0"/>
          <w:marTop w:val="0"/>
          <w:marBottom w:val="0"/>
          <w:divBdr>
            <w:top w:val="none" w:sz="0" w:space="0" w:color="auto"/>
            <w:left w:val="none" w:sz="0" w:space="0" w:color="auto"/>
            <w:bottom w:val="none" w:sz="0" w:space="0" w:color="auto"/>
            <w:right w:val="none" w:sz="0" w:space="0" w:color="auto"/>
          </w:divBdr>
          <w:divsChild>
            <w:div w:id="588076633">
              <w:marLeft w:val="0"/>
              <w:marRight w:val="0"/>
              <w:marTop w:val="0"/>
              <w:marBottom w:val="0"/>
              <w:divBdr>
                <w:top w:val="none" w:sz="0" w:space="0" w:color="auto"/>
                <w:left w:val="none" w:sz="0" w:space="0" w:color="auto"/>
                <w:bottom w:val="none" w:sz="0" w:space="0" w:color="auto"/>
                <w:right w:val="none" w:sz="0" w:space="0" w:color="auto"/>
              </w:divBdr>
            </w:div>
            <w:div w:id="814834859">
              <w:marLeft w:val="0"/>
              <w:marRight w:val="0"/>
              <w:marTop w:val="0"/>
              <w:marBottom w:val="0"/>
              <w:divBdr>
                <w:top w:val="none" w:sz="0" w:space="0" w:color="auto"/>
                <w:left w:val="none" w:sz="0" w:space="0" w:color="auto"/>
                <w:bottom w:val="none" w:sz="0" w:space="0" w:color="auto"/>
                <w:right w:val="none" w:sz="0" w:space="0" w:color="auto"/>
              </w:divBdr>
            </w:div>
          </w:divsChild>
        </w:div>
        <w:div w:id="118767447">
          <w:marLeft w:val="0"/>
          <w:marRight w:val="0"/>
          <w:marTop w:val="0"/>
          <w:marBottom w:val="0"/>
          <w:divBdr>
            <w:top w:val="none" w:sz="0" w:space="0" w:color="auto"/>
            <w:left w:val="none" w:sz="0" w:space="0" w:color="auto"/>
            <w:bottom w:val="none" w:sz="0" w:space="0" w:color="auto"/>
            <w:right w:val="none" w:sz="0" w:space="0" w:color="auto"/>
          </w:divBdr>
        </w:div>
      </w:divsChild>
    </w:div>
    <w:div w:id="282074520">
      <w:bodyDiv w:val="1"/>
      <w:marLeft w:val="0"/>
      <w:marRight w:val="0"/>
      <w:marTop w:val="0"/>
      <w:marBottom w:val="0"/>
      <w:divBdr>
        <w:top w:val="none" w:sz="0" w:space="0" w:color="auto"/>
        <w:left w:val="none" w:sz="0" w:space="0" w:color="auto"/>
        <w:bottom w:val="none" w:sz="0" w:space="0" w:color="auto"/>
        <w:right w:val="none" w:sz="0" w:space="0" w:color="auto"/>
      </w:divBdr>
    </w:div>
    <w:div w:id="300354580">
      <w:bodyDiv w:val="1"/>
      <w:marLeft w:val="0"/>
      <w:marRight w:val="0"/>
      <w:marTop w:val="0"/>
      <w:marBottom w:val="0"/>
      <w:divBdr>
        <w:top w:val="none" w:sz="0" w:space="0" w:color="auto"/>
        <w:left w:val="none" w:sz="0" w:space="0" w:color="auto"/>
        <w:bottom w:val="none" w:sz="0" w:space="0" w:color="auto"/>
        <w:right w:val="none" w:sz="0" w:space="0" w:color="auto"/>
      </w:divBdr>
    </w:div>
    <w:div w:id="327564269">
      <w:bodyDiv w:val="1"/>
      <w:marLeft w:val="0"/>
      <w:marRight w:val="0"/>
      <w:marTop w:val="0"/>
      <w:marBottom w:val="0"/>
      <w:divBdr>
        <w:top w:val="none" w:sz="0" w:space="0" w:color="auto"/>
        <w:left w:val="none" w:sz="0" w:space="0" w:color="auto"/>
        <w:bottom w:val="none" w:sz="0" w:space="0" w:color="auto"/>
        <w:right w:val="none" w:sz="0" w:space="0" w:color="auto"/>
      </w:divBdr>
      <w:divsChild>
        <w:div w:id="1079133087">
          <w:marLeft w:val="0"/>
          <w:marRight w:val="0"/>
          <w:marTop w:val="0"/>
          <w:marBottom w:val="0"/>
          <w:divBdr>
            <w:top w:val="none" w:sz="0" w:space="0" w:color="auto"/>
            <w:left w:val="none" w:sz="0" w:space="0" w:color="auto"/>
            <w:bottom w:val="none" w:sz="0" w:space="0" w:color="auto"/>
            <w:right w:val="none" w:sz="0" w:space="0" w:color="auto"/>
          </w:divBdr>
        </w:div>
        <w:div w:id="1106386987">
          <w:marLeft w:val="0"/>
          <w:marRight w:val="0"/>
          <w:marTop w:val="0"/>
          <w:marBottom w:val="0"/>
          <w:divBdr>
            <w:top w:val="none" w:sz="0" w:space="0" w:color="auto"/>
            <w:left w:val="none" w:sz="0" w:space="0" w:color="auto"/>
            <w:bottom w:val="none" w:sz="0" w:space="0" w:color="auto"/>
            <w:right w:val="none" w:sz="0" w:space="0" w:color="auto"/>
          </w:divBdr>
        </w:div>
      </w:divsChild>
    </w:div>
    <w:div w:id="347146426">
      <w:bodyDiv w:val="1"/>
      <w:marLeft w:val="0"/>
      <w:marRight w:val="0"/>
      <w:marTop w:val="0"/>
      <w:marBottom w:val="0"/>
      <w:divBdr>
        <w:top w:val="none" w:sz="0" w:space="0" w:color="auto"/>
        <w:left w:val="none" w:sz="0" w:space="0" w:color="auto"/>
        <w:bottom w:val="none" w:sz="0" w:space="0" w:color="auto"/>
        <w:right w:val="none" w:sz="0" w:space="0" w:color="auto"/>
      </w:divBdr>
    </w:div>
    <w:div w:id="384767696">
      <w:bodyDiv w:val="1"/>
      <w:marLeft w:val="0"/>
      <w:marRight w:val="0"/>
      <w:marTop w:val="0"/>
      <w:marBottom w:val="0"/>
      <w:divBdr>
        <w:top w:val="none" w:sz="0" w:space="0" w:color="auto"/>
        <w:left w:val="none" w:sz="0" w:space="0" w:color="auto"/>
        <w:bottom w:val="none" w:sz="0" w:space="0" w:color="auto"/>
        <w:right w:val="none" w:sz="0" w:space="0" w:color="auto"/>
      </w:divBdr>
    </w:div>
    <w:div w:id="391544376">
      <w:bodyDiv w:val="1"/>
      <w:marLeft w:val="0"/>
      <w:marRight w:val="0"/>
      <w:marTop w:val="0"/>
      <w:marBottom w:val="0"/>
      <w:divBdr>
        <w:top w:val="none" w:sz="0" w:space="0" w:color="auto"/>
        <w:left w:val="none" w:sz="0" w:space="0" w:color="auto"/>
        <w:bottom w:val="none" w:sz="0" w:space="0" w:color="auto"/>
        <w:right w:val="none" w:sz="0" w:space="0" w:color="auto"/>
      </w:divBdr>
    </w:div>
    <w:div w:id="396906497">
      <w:bodyDiv w:val="1"/>
      <w:marLeft w:val="0"/>
      <w:marRight w:val="0"/>
      <w:marTop w:val="0"/>
      <w:marBottom w:val="0"/>
      <w:divBdr>
        <w:top w:val="none" w:sz="0" w:space="0" w:color="auto"/>
        <w:left w:val="none" w:sz="0" w:space="0" w:color="auto"/>
        <w:bottom w:val="none" w:sz="0" w:space="0" w:color="auto"/>
        <w:right w:val="none" w:sz="0" w:space="0" w:color="auto"/>
      </w:divBdr>
    </w:div>
    <w:div w:id="425464778">
      <w:bodyDiv w:val="1"/>
      <w:marLeft w:val="0"/>
      <w:marRight w:val="0"/>
      <w:marTop w:val="0"/>
      <w:marBottom w:val="0"/>
      <w:divBdr>
        <w:top w:val="none" w:sz="0" w:space="0" w:color="auto"/>
        <w:left w:val="none" w:sz="0" w:space="0" w:color="auto"/>
        <w:bottom w:val="none" w:sz="0" w:space="0" w:color="auto"/>
        <w:right w:val="none" w:sz="0" w:space="0" w:color="auto"/>
      </w:divBdr>
      <w:divsChild>
        <w:div w:id="1267077515">
          <w:marLeft w:val="0"/>
          <w:marRight w:val="0"/>
          <w:marTop w:val="0"/>
          <w:marBottom w:val="0"/>
          <w:divBdr>
            <w:top w:val="none" w:sz="0" w:space="0" w:color="auto"/>
            <w:left w:val="none" w:sz="0" w:space="0" w:color="auto"/>
            <w:bottom w:val="none" w:sz="0" w:space="0" w:color="auto"/>
            <w:right w:val="none" w:sz="0" w:space="0" w:color="auto"/>
          </w:divBdr>
        </w:div>
        <w:div w:id="2111730258">
          <w:marLeft w:val="0"/>
          <w:marRight w:val="0"/>
          <w:marTop w:val="0"/>
          <w:marBottom w:val="0"/>
          <w:divBdr>
            <w:top w:val="none" w:sz="0" w:space="0" w:color="auto"/>
            <w:left w:val="none" w:sz="0" w:space="0" w:color="auto"/>
            <w:bottom w:val="none" w:sz="0" w:space="0" w:color="auto"/>
            <w:right w:val="none" w:sz="0" w:space="0" w:color="auto"/>
          </w:divBdr>
        </w:div>
      </w:divsChild>
    </w:div>
    <w:div w:id="426777845">
      <w:bodyDiv w:val="1"/>
      <w:marLeft w:val="0"/>
      <w:marRight w:val="0"/>
      <w:marTop w:val="0"/>
      <w:marBottom w:val="0"/>
      <w:divBdr>
        <w:top w:val="none" w:sz="0" w:space="0" w:color="auto"/>
        <w:left w:val="none" w:sz="0" w:space="0" w:color="auto"/>
        <w:bottom w:val="none" w:sz="0" w:space="0" w:color="auto"/>
        <w:right w:val="none" w:sz="0" w:space="0" w:color="auto"/>
      </w:divBdr>
    </w:div>
    <w:div w:id="429087549">
      <w:bodyDiv w:val="1"/>
      <w:marLeft w:val="0"/>
      <w:marRight w:val="0"/>
      <w:marTop w:val="0"/>
      <w:marBottom w:val="0"/>
      <w:divBdr>
        <w:top w:val="none" w:sz="0" w:space="0" w:color="auto"/>
        <w:left w:val="none" w:sz="0" w:space="0" w:color="auto"/>
        <w:bottom w:val="none" w:sz="0" w:space="0" w:color="auto"/>
        <w:right w:val="none" w:sz="0" w:space="0" w:color="auto"/>
      </w:divBdr>
    </w:div>
    <w:div w:id="431782454">
      <w:bodyDiv w:val="1"/>
      <w:marLeft w:val="0"/>
      <w:marRight w:val="0"/>
      <w:marTop w:val="0"/>
      <w:marBottom w:val="0"/>
      <w:divBdr>
        <w:top w:val="none" w:sz="0" w:space="0" w:color="auto"/>
        <w:left w:val="none" w:sz="0" w:space="0" w:color="auto"/>
        <w:bottom w:val="none" w:sz="0" w:space="0" w:color="auto"/>
        <w:right w:val="none" w:sz="0" w:space="0" w:color="auto"/>
      </w:divBdr>
    </w:div>
    <w:div w:id="435054511">
      <w:bodyDiv w:val="1"/>
      <w:marLeft w:val="0"/>
      <w:marRight w:val="0"/>
      <w:marTop w:val="0"/>
      <w:marBottom w:val="0"/>
      <w:divBdr>
        <w:top w:val="none" w:sz="0" w:space="0" w:color="auto"/>
        <w:left w:val="none" w:sz="0" w:space="0" w:color="auto"/>
        <w:bottom w:val="none" w:sz="0" w:space="0" w:color="auto"/>
        <w:right w:val="none" w:sz="0" w:space="0" w:color="auto"/>
      </w:divBdr>
    </w:div>
    <w:div w:id="479155337">
      <w:bodyDiv w:val="1"/>
      <w:marLeft w:val="0"/>
      <w:marRight w:val="0"/>
      <w:marTop w:val="0"/>
      <w:marBottom w:val="0"/>
      <w:divBdr>
        <w:top w:val="none" w:sz="0" w:space="0" w:color="auto"/>
        <w:left w:val="none" w:sz="0" w:space="0" w:color="auto"/>
        <w:bottom w:val="none" w:sz="0" w:space="0" w:color="auto"/>
        <w:right w:val="none" w:sz="0" w:space="0" w:color="auto"/>
      </w:divBdr>
    </w:div>
    <w:div w:id="482430861">
      <w:bodyDiv w:val="1"/>
      <w:marLeft w:val="0"/>
      <w:marRight w:val="0"/>
      <w:marTop w:val="0"/>
      <w:marBottom w:val="0"/>
      <w:divBdr>
        <w:top w:val="none" w:sz="0" w:space="0" w:color="auto"/>
        <w:left w:val="none" w:sz="0" w:space="0" w:color="auto"/>
        <w:bottom w:val="none" w:sz="0" w:space="0" w:color="auto"/>
        <w:right w:val="none" w:sz="0" w:space="0" w:color="auto"/>
      </w:divBdr>
    </w:div>
    <w:div w:id="494150921">
      <w:bodyDiv w:val="1"/>
      <w:marLeft w:val="0"/>
      <w:marRight w:val="0"/>
      <w:marTop w:val="0"/>
      <w:marBottom w:val="0"/>
      <w:divBdr>
        <w:top w:val="none" w:sz="0" w:space="0" w:color="auto"/>
        <w:left w:val="none" w:sz="0" w:space="0" w:color="auto"/>
        <w:bottom w:val="none" w:sz="0" w:space="0" w:color="auto"/>
        <w:right w:val="none" w:sz="0" w:space="0" w:color="auto"/>
      </w:divBdr>
    </w:div>
    <w:div w:id="496963192">
      <w:bodyDiv w:val="1"/>
      <w:marLeft w:val="0"/>
      <w:marRight w:val="0"/>
      <w:marTop w:val="0"/>
      <w:marBottom w:val="0"/>
      <w:divBdr>
        <w:top w:val="none" w:sz="0" w:space="0" w:color="auto"/>
        <w:left w:val="none" w:sz="0" w:space="0" w:color="auto"/>
        <w:bottom w:val="none" w:sz="0" w:space="0" w:color="auto"/>
        <w:right w:val="none" w:sz="0" w:space="0" w:color="auto"/>
      </w:divBdr>
    </w:div>
    <w:div w:id="511920007">
      <w:bodyDiv w:val="1"/>
      <w:marLeft w:val="0"/>
      <w:marRight w:val="0"/>
      <w:marTop w:val="0"/>
      <w:marBottom w:val="0"/>
      <w:divBdr>
        <w:top w:val="none" w:sz="0" w:space="0" w:color="auto"/>
        <w:left w:val="none" w:sz="0" w:space="0" w:color="auto"/>
        <w:bottom w:val="none" w:sz="0" w:space="0" w:color="auto"/>
        <w:right w:val="none" w:sz="0" w:space="0" w:color="auto"/>
      </w:divBdr>
    </w:div>
    <w:div w:id="545872070">
      <w:bodyDiv w:val="1"/>
      <w:marLeft w:val="0"/>
      <w:marRight w:val="0"/>
      <w:marTop w:val="0"/>
      <w:marBottom w:val="0"/>
      <w:divBdr>
        <w:top w:val="none" w:sz="0" w:space="0" w:color="auto"/>
        <w:left w:val="none" w:sz="0" w:space="0" w:color="auto"/>
        <w:bottom w:val="none" w:sz="0" w:space="0" w:color="auto"/>
        <w:right w:val="none" w:sz="0" w:space="0" w:color="auto"/>
      </w:divBdr>
    </w:div>
    <w:div w:id="552692217">
      <w:bodyDiv w:val="1"/>
      <w:marLeft w:val="0"/>
      <w:marRight w:val="0"/>
      <w:marTop w:val="0"/>
      <w:marBottom w:val="0"/>
      <w:divBdr>
        <w:top w:val="none" w:sz="0" w:space="0" w:color="auto"/>
        <w:left w:val="none" w:sz="0" w:space="0" w:color="auto"/>
        <w:bottom w:val="none" w:sz="0" w:space="0" w:color="auto"/>
        <w:right w:val="none" w:sz="0" w:space="0" w:color="auto"/>
      </w:divBdr>
    </w:div>
    <w:div w:id="579143748">
      <w:bodyDiv w:val="1"/>
      <w:marLeft w:val="0"/>
      <w:marRight w:val="0"/>
      <w:marTop w:val="0"/>
      <w:marBottom w:val="0"/>
      <w:divBdr>
        <w:top w:val="none" w:sz="0" w:space="0" w:color="auto"/>
        <w:left w:val="none" w:sz="0" w:space="0" w:color="auto"/>
        <w:bottom w:val="none" w:sz="0" w:space="0" w:color="auto"/>
        <w:right w:val="none" w:sz="0" w:space="0" w:color="auto"/>
      </w:divBdr>
    </w:div>
    <w:div w:id="580994244">
      <w:bodyDiv w:val="1"/>
      <w:marLeft w:val="0"/>
      <w:marRight w:val="0"/>
      <w:marTop w:val="0"/>
      <w:marBottom w:val="0"/>
      <w:divBdr>
        <w:top w:val="none" w:sz="0" w:space="0" w:color="auto"/>
        <w:left w:val="none" w:sz="0" w:space="0" w:color="auto"/>
        <w:bottom w:val="none" w:sz="0" w:space="0" w:color="auto"/>
        <w:right w:val="none" w:sz="0" w:space="0" w:color="auto"/>
      </w:divBdr>
    </w:div>
    <w:div w:id="583688816">
      <w:bodyDiv w:val="1"/>
      <w:marLeft w:val="0"/>
      <w:marRight w:val="0"/>
      <w:marTop w:val="0"/>
      <w:marBottom w:val="0"/>
      <w:divBdr>
        <w:top w:val="none" w:sz="0" w:space="0" w:color="auto"/>
        <w:left w:val="none" w:sz="0" w:space="0" w:color="auto"/>
        <w:bottom w:val="none" w:sz="0" w:space="0" w:color="auto"/>
        <w:right w:val="none" w:sz="0" w:space="0" w:color="auto"/>
      </w:divBdr>
    </w:div>
    <w:div w:id="640616555">
      <w:bodyDiv w:val="1"/>
      <w:marLeft w:val="0"/>
      <w:marRight w:val="0"/>
      <w:marTop w:val="0"/>
      <w:marBottom w:val="0"/>
      <w:divBdr>
        <w:top w:val="none" w:sz="0" w:space="0" w:color="auto"/>
        <w:left w:val="none" w:sz="0" w:space="0" w:color="auto"/>
        <w:bottom w:val="none" w:sz="0" w:space="0" w:color="auto"/>
        <w:right w:val="none" w:sz="0" w:space="0" w:color="auto"/>
      </w:divBdr>
    </w:div>
    <w:div w:id="650138334">
      <w:bodyDiv w:val="1"/>
      <w:marLeft w:val="0"/>
      <w:marRight w:val="0"/>
      <w:marTop w:val="0"/>
      <w:marBottom w:val="0"/>
      <w:divBdr>
        <w:top w:val="none" w:sz="0" w:space="0" w:color="auto"/>
        <w:left w:val="none" w:sz="0" w:space="0" w:color="auto"/>
        <w:bottom w:val="none" w:sz="0" w:space="0" w:color="auto"/>
        <w:right w:val="none" w:sz="0" w:space="0" w:color="auto"/>
      </w:divBdr>
    </w:div>
    <w:div w:id="655764293">
      <w:bodyDiv w:val="1"/>
      <w:marLeft w:val="0"/>
      <w:marRight w:val="0"/>
      <w:marTop w:val="0"/>
      <w:marBottom w:val="0"/>
      <w:divBdr>
        <w:top w:val="none" w:sz="0" w:space="0" w:color="auto"/>
        <w:left w:val="none" w:sz="0" w:space="0" w:color="auto"/>
        <w:bottom w:val="none" w:sz="0" w:space="0" w:color="auto"/>
        <w:right w:val="none" w:sz="0" w:space="0" w:color="auto"/>
      </w:divBdr>
    </w:div>
    <w:div w:id="657920321">
      <w:bodyDiv w:val="1"/>
      <w:marLeft w:val="0"/>
      <w:marRight w:val="0"/>
      <w:marTop w:val="0"/>
      <w:marBottom w:val="0"/>
      <w:divBdr>
        <w:top w:val="none" w:sz="0" w:space="0" w:color="auto"/>
        <w:left w:val="none" w:sz="0" w:space="0" w:color="auto"/>
        <w:bottom w:val="none" w:sz="0" w:space="0" w:color="auto"/>
        <w:right w:val="none" w:sz="0" w:space="0" w:color="auto"/>
      </w:divBdr>
    </w:div>
    <w:div w:id="673411521">
      <w:bodyDiv w:val="1"/>
      <w:marLeft w:val="0"/>
      <w:marRight w:val="0"/>
      <w:marTop w:val="0"/>
      <w:marBottom w:val="0"/>
      <w:divBdr>
        <w:top w:val="none" w:sz="0" w:space="0" w:color="auto"/>
        <w:left w:val="none" w:sz="0" w:space="0" w:color="auto"/>
        <w:bottom w:val="none" w:sz="0" w:space="0" w:color="auto"/>
        <w:right w:val="none" w:sz="0" w:space="0" w:color="auto"/>
      </w:divBdr>
    </w:div>
    <w:div w:id="680863687">
      <w:bodyDiv w:val="1"/>
      <w:marLeft w:val="0"/>
      <w:marRight w:val="0"/>
      <w:marTop w:val="0"/>
      <w:marBottom w:val="0"/>
      <w:divBdr>
        <w:top w:val="none" w:sz="0" w:space="0" w:color="auto"/>
        <w:left w:val="none" w:sz="0" w:space="0" w:color="auto"/>
        <w:bottom w:val="none" w:sz="0" w:space="0" w:color="auto"/>
        <w:right w:val="none" w:sz="0" w:space="0" w:color="auto"/>
      </w:divBdr>
    </w:div>
    <w:div w:id="688139071">
      <w:bodyDiv w:val="1"/>
      <w:marLeft w:val="0"/>
      <w:marRight w:val="0"/>
      <w:marTop w:val="0"/>
      <w:marBottom w:val="0"/>
      <w:divBdr>
        <w:top w:val="none" w:sz="0" w:space="0" w:color="auto"/>
        <w:left w:val="none" w:sz="0" w:space="0" w:color="auto"/>
        <w:bottom w:val="none" w:sz="0" w:space="0" w:color="auto"/>
        <w:right w:val="none" w:sz="0" w:space="0" w:color="auto"/>
      </w:divBdr>
    </w:div>
    <w:div w:id="711610561">
      <w:bodyDiv w:val="1"/>
      <w:marLeft w:val="0"/>
      <w:marRight w:val="0"/>
      <w:marTop w:val="0"/>
      <w:marBottom w:val="0"/>
      <w:divBdr>
        <w:top w:val="none" w:sz="0" w:space="0" w:color="auto"/>
        <w:left w:val="none" w:sz="0" w:space="0" w:color="auto"/>
        <w:bottom w:val="none" w:sz="0" w:space="0" w:color="auto"/>
        <w:right w:val="none" w:sz="0" w:space="0" w:color="auto"/>
      </w:divBdr>
    </w:div>
    <w:div w:id="762998487">
      <w:bodyDiv w:val="1"/>
      <w:marLeft w:val="0"/>
      <w:marRight w:val="0"/>
      <w:marTop w:val="0"/>
      <w:marBottom w:val="0"/>
      <w:divBdr>
        <w:top w:val="none" w:sz="0" w:space="0" w:color="auto"/>
        <w:left w:val="none" w:sz="0" w:space="0" w:color="auto"/>
        <w:bottom w:val="none" w:sz="0" w:space="0" w:color="auto"/>
        <w:right w:val="none" w:sz="0" w:space="0" w:color="auto"/>
      </w:divBdr>
    </w:div>
    <w:div w:id="822887569">
      <w:bodyDiv w:val="1"/>
      <w:marLeft w:val="0"/>
      <w:marRight w:val="0"/>
      <w:marTop w:val="0"/>
      <w:marBottom w:val="0"/>
      <w:divBdr>
        <w:top w:val="none" w:sz="0" w:space="0" w:color="auto"/>
        <w:left w:val="none" w:sz="0" w:space="0" w:color="auto"/>
        <w:bottom w:val="none" w:sz="0" w:space="0" w:color="auto"/>
        <w:right w:val="none" w:sz="0" w:space="0" w:color="auto"/>
      </w:divBdr>
    </w:div>
    <w:div w:id="825588001">
      <w:bodyDiv w:val="1"/>
      <w:marLeft w:val="0"/>
      <w:marRight w:val="0"/>
      <w:marTop w:val="0"/>
      <w:marBottom w:val="0"/>
      <w:divBdr>
        <w:top w:val="none" w:sz="0" w:space="0" w:color="auto"/>
        <w:left w:val="none" w:sz="0" w:space="0" w:color="auto"/>
        <w:bottom w:val="none" w:sz="0" w:space="0" w:color="auto"/>
        <w:right w:val="none" w:sz="0" w:space="0" w:color="auto"/>
      </w:divBdr>
    </w:div>
    <w:div w:id="827940131">
      <w:bodyDiv w:val="1"/>
      <w:marLeft w:val="0"/>
      <w:marRight w:val="0"/>
      <w:marTop w:val="0"/>
      <w:marBottom w:val="0"/>
      <w:divBdr>
        <w:top w:val="none" w:sz="0" w:space="0" w:color="auto"/>
        <w:left w:val="none" w:sz="0" w:space="0" w:color="auto"/>
        <w:bottom w:val="none" w:sz="0" w:space="0" w:color="auto"/>
        <w:right w:val="none" w:sz="0" w:space="0" w:color="auto"/>
      </w:divBdr>
    </w:div>
    <w:div w:id="829444897">
      <w:bodyDiv w:val="1"/>
      <w:marLeft w:val="0"/>
      <w:marRight w:val="0"/>
      <w:marTop w:val="0"/>
      <w:marBottom w:val="0"/>
      <w:divBdr>
        <w:top w:val="none" w:sz="0" w:space="0" w:color="auto"/>
        <w:left w:val="none" w:sz="0" w:space="0" w:color="auto"/>
        <w:bottom w:val="none" w:sz="0" w:space="0" w:color="auto"/>
        <w:right w:val="none" w:sz="0" w:space="0" w:color="auto"/>
      </w:divBdr>
    </w:div>
    <w:div w:id="829563333">
      <w:bodyDiv w:val="1"/>
      <w:marLeft w:val="0"/>
      <w:marRight w:val="0"/>
      <w:marTop w:val="0"/>
      <w:marBottom w:val="0"/>
      <w:divBdr>
        <w:top w:val="none" w:sz="0" w:space="0" w:color="auto"/>
        <w:left w:val="none" w:sz="0" w:space="0" w:color="auto"/>
        <w:bottom w:val="none" w:sz="0" w:space="0" w:color="auto"/>
        <w:right w:val="none" w:sz="0" w:space="0" w:color="auto"/>
      </w:divBdr>
    </w:div>
    <w:div w:id="859390502">
      <w:bodyDiv w:val="1"/>
      <w:marLeft w:val="0"/>
      <w:marRight w:val="0"/>
      <w:marTop w:val="0"/>
      <w:marBottom w:val="0"/>
      <w:divBdr>
        <w:top w:val="none" w:sz="0" w:space="0" w:color="auto"/>
        <w:left w:val="none" w:sz="0" w:space="0" w:color="auto"/>
        <w:bottom w:val="none" w:sz="0" w:space="0" w:color="auto"/>
        <w:right w:val="none" w:sz="0" w:space="0" w:color="auto"/>
      </w:divBdr>
    </w:div>
    <w:div w:id="863641006">
      <w:bodyDiv w:val="1"/>
      <w:marLeft w:val="0"/>
      <w:marRight w:val="0"/>
      <w:marTop w:val="0"/>
      <w:marBottom w:val="0"/>
      <w:divBdr>
        <w:top w:val="none" w:sz="0" w:space="0" w:color="auto"/>
        <w:left w:val="none" w:sz="0" w:space="0" w:color="auto"/>
        <w:bottom w:val="none" w:sz="0" w:space="0" w:color="auto"/>
        <w:right w:val="none" w:sz="0" w:space="0" w:color="auto"/>
      </w:divBdr>
    </w:div>
    <w:div w:id="863833751">
      <w:bodyDiv w:val="1"/>
      <w:marLeft w:val="0"/>
      <w:marRight w:val="0"/>
      <w:marTop w:val="0"/>
      <w:marBottom w:val="0"/>
      <w:divBdr>
        <w:top w:val="none" w:sz="0" w:space="0" w:color="auto"/>
        <w:left w:val="none" w:sz="0" w:space="0" w:color="auto"/>
        <w:bottom w:val="none" w:sz="0" w:space="0" w:color="auto"/>
        <w:right w:val="none" w:sz="0" w:space="0" w:color="auto"/>
      </w:divBdr>
    </w:div>
    <w:div w:id="874082843">
      <w:bodyDiv w:val="1"/>
      <w:marLeft w:val="0"/>
      <w:marRight w:val="0"/>
      <w:marTop w:val="0"/>
      <w:marBottom w:val="0"/>
      <w:divBdr>
        <w:top w:val="none" w:sz="0" w:space="0" w:color="auto"/>
        <w:left w:val="none" w:sz="0" w:space="0" w:color="auto"/>
        <w:bottom w:val="none" w:sz="0" w:space="0" w:color="auto"/>
        <w:right w:val="none" w:sz="0" w:space="0" w:color="auto"/>
      </w:divBdr>
    </w:div>
    <w:div w:id="874465383">
      <w:bodyDiv w:val="1"/>
      <w:marLeft w:val="0"/>
      <w:marRight w:val="0"/>
      <w:marTop w:val="0"/>
      <w:marBottom w:val="0"/>
      <w:divBdr>
        <w:top w:val="none" w:sz="0" w:space="0" w:color="auto"/>
        <w:left w:val="none" w:sz="0" w:space="0" w:color="auto"/>
        <w:bottom w:val="none" w:sz="0" w:space="0" w:color="auto"/>
        <w:right w:val="none" w:sz="0" w:space="0" w:color="auto"/>
      </w:divBdr>
    </w:div>
    <w:div w:id="892161534">
      <w:bodyDiv w:val="1"/>
      <w:marLeft w:val="0"/>
      <w:marRight w:val="0"/>
      <w:marTop w:val="0"/>
      <w:marBottom w:val="0"/>
      <w:divBdr>
        <w:top w:val="none" w:sz="0" w:space="0" w:color="auto"/>
        <w:left w:val="none" w:sz="0" w:space="0" w:color="auto"/>
        <w:bottom w:val="none" w:sz="0" w:space="0" w:color="auto"/>
        <w:right w:val="none" w:sz="0" w:space="0" w:color="auto"/>
      </w:divBdr>
    </w:div>
    <w:div w:id="898245824">
      <w:bodyDiv w:val="1"/>
      <w:marLeft w:val="0"/>
      <w:marRight w:val="0"/>
      <w:marTop w:val="0"/>
      <w:marBottom w:val="0"/>
      <w:divBdr>
        <w:top w:val="none" w:sz="0" w:space="0" w:color="auto"/>
        <w:left w:val="none" w:sz="0" w:space="0" w:color="auto"/>
        <w:bottom w:val="none" w:sz="0" w:space="0" w:color="auto"/>
        <w:right w:val="none" w:sz="0" w:space="0" w:color="auto"/>
      </w:divBdr>
    </w:div>
    <w:div w:id="899630994">
      <w:bodyDiv w:val="1"/>
      <w:marLeft w:val="0"/>
      <w:marRight w:val="0"/>
      <w:marTop w:val="0"/>
      <w:marBottom w:val="0"/>
      <w:divBdr>
        <w:top w:val="none" w:sz="0" w:space="0" w:color="auto"/>
        <w:left w:val="none" w:sz="0" w:space="0" w:color="auto"/>
        <w:bottom w:val="none" w:sz="0" w:space="0" w:color="auto"/>
        <w:right w:val="none" w:sz="0" w:space="0" w:color="auto"/>
      </w:divBdr>
    </w:div>
    <w:div w:id="917206381">
      <w:bodyDiv w:val="1"/>
      <w:marLeft w:val="0"/>
      <w:marRight w:val="0"/>
      <w:marTop w:val="0"/>
      <w:marBottom w:val="0"/>
      <w:divBdr>
        <w:top w:val="none" w:sz="0" w:space="0" w:color="auto"/>
        <w:left w:val="none" w:sz="0" w:space="0" w:color="auto"/>
        <w:bottom w:val="none" w:sz="0" w:space="0" w:color="auto"/>
        <w:right w:val="none" w:sz="0" w:space="0" w:color="auto"/>
      </w:divBdr>
    </w:div>
    <w:div w:id="918296704">
      <w:bodyDiv w:val="1"/>
      <w:marLeft w:val="0"/>
      <w:marRight w:val="0"/>
      <w:marTop w:val="0"/>
      <w:marBottom w:val="0"/>
      <w:divBdr>
        <w:top w:val="none" w:sz="0" w:space="0" w:color="auto"/>
        <w:left w:val="none" w:sz="0" w:space="0" w:color="auto"/>
        <w:bottom w:val="none" w:sz="0" w:space="0" w:color="auto"/>
        <w:right w:val="none" w:sz="0" w:space="0" w:color="auto"/>
      </w:divBdr>
    </w:div>
    <w:div w:id="932208108">
      <w:bodyDiv w:val="1"/>
      <w:marLeft w:val="0"/>
      <w:marRight w:val="0"/>
      <w:marTop w:val="0"/>
      <w:marBottom w:val="0"/>
      <w:divBdr>
        <w:top w:val="none" w:sz="0" w:space="0" w:color="auto"/>
        <w:left w:val="none" w:sz="0" w:space="0" w:color="auto"/>
        <w:bottom w:val="none" w:sz="0" w:space="0" w:color="auto"/>
        <w:right w:val="none" w:sz="0" w:space="0" w:color="auto"/>
      </w:divBdr>
    </w:div>
    <w:div w:id="933629210">
      <w:bodyDiv w:val="1"/>
      <w:marLeft w:val="0"/>
      <w:marRight w:val="0"/>
      <w:marTop w:val="0"/>
      <w:marBottom w:val="0"/>
      <w:divBdr>
        <w:top w:val="none" w:sz="0" w:space="0" w:color="auto"/>
        <w:left w:val="none" w:sz="0" w:space="0" w:color="auto"/>
        <w:bottom w:val="none" w:sz="0" w:space="0" w:color="auto"/>
        <w:right w:val="none" w:sz="0" w:space="0" w:color="auto"/>
      </w:divBdr>
      <w:divsChild>
        <w:div w:id="985010128">
          <w:marLeft w:val="0"/>
          <w:marRight w:val="0"/>
          <w:marTop w:val="0"/>
          <w:marBottom w:val="0"/>
          <w:divBdr>
            <w:top w:val="none" w:sz="0" w:space="0" w:color="auto"/>
            <w:left w:val="none" w:sz="0" w:space="0" w:color="auto"/>
            <w:bottom w:val="none" w:sz="0" w:space="0" w:color="auto"/>
            <w:right w:val="none" w:sz="0" w:space="0" w:color="auto"/>
          </w:divBdr>
        </w:div>
        <w:div w:id="1128822123">
          <w:marLeft w:val="0"/>
          <w:marRight w:val="0"/>
          <w:marTop w:val="0"/>
          <w:marBottom w:val="0"/>
          <w:divBdr>
            <w:top w:val="none" w:sz="0" w:space="0" w:color="auto"/>
            <w:left w:val="none" w:sz="0" w:space="0" w:color="auto"/>
            <w:bottom w:val="none" w:sz="0" w:space="0" w:color="auto"/>
            <w:right w:val="none" w:sz="0" w:space="0" w:color="auto"/>
          </w:divBdr>
          <w:divsChild>
            <w:div w:id="1645353837">
              <w:marLeft w:val="0"/>
              <w:marRight w:val="0"/>
              <w:marTop w:val="30"/>
              <w:marBottom w:val="30"/>
              <w:divBdr>
                <w:top w:val="none" w:sz="0" w:space="0" w:color="auto"/>
                <w:left w:val="none" w:sz="0" w:space="0" w:color="auto"/>
                <w:bottom w:val="none" w:sz="0" w:space="0" w:color="auto"/>
                <w:right w:val="none" w:sz="0" w:space="0" w:color="auto"/>
              </w:divBdr>
              <w:divsChild>
                <w:div w:id="19665010">
                  <w:marLeft w:val="0"/>
                  <w:marRight w:val="0"/>
                  <w:marTop w:val="0"/>
                  <w:marBottom w:val="0"/>
                  <w:divBdr>
                    <w:top w:val="none" w:sz="0" w:space="0" w:color="auto"/>
                    <w:left w:val="none" w:sz="0" w:space="0" w:color="auto"/>
                    <w:bottom w:val="none" w:sz="0" w:space="0" w:color="auto"/>
                    <w:right w:val="none" w:sz="0" w:space="0" w:color="auto"/>
                  </w:divBdr>
                  <w:divsChild>
                    <w:div w:id="299967701">
                      <w:marLeft w:val="0"/>
                      <w:marRight w:val="0"/>
                      <w:marTop w:val="0"/>
                      <w:marBottom w:val="0"/>
                      <w:divBdr>
                        <w:top w:val="none" w:sz="0" w:space="0" w:color="auto"/>
                        <w:left w:val="none" w:sz="0" w:space="0" w:color="auto"/>
                        <w:bottom w:val="none" w:sz="0" w:space="0" w:color="auto"/>
                        <w:right w:val="none" w:sz="0" w:space="0" w:color="auto"/>
                      </w:divBdr>
                    </w:div>
                  </w:divsChild>
                </w:div>
                <w:div w:id="22675463">
                  <w:marLeft w:val="0"/>
                  <w:marRight w:val="0"/>
                  <w:marTop w:val="0"/>
                  <w:marBottom w:val="0"/>
                  <w:divBdr>
                    <w:top w:val="none" w:sz="0" w:space="0" w:color="auto"/>
                    <w:left w:val="none" w:sz="0" w:space="0" w:color="auto"/>
                    <w:bottom w:val="none" w:sz="0" w:space="0" w:color="auto"/>
                    <w:right w:val="none" w:sz="0" w:space="0" w:color="auto"/>
                  </w:divBdr>
                  <w:divsChild>
                    <w:div w:id="667440838">
                      <w:marLeft w:val="0"/>
                      <w:marRight w:val="0"/>
                      <w:marTop w:val="0"/>
                      <w:marBottom w:val="0"/>
                      <w:divBdr>
                        <w:top w:val="none" w:sz="0" w:space="0" w:color="auto"/>
                        <w:left w:val="none" w:sz="0" w:space="0" w:color="auto"/>
                        <w:bottom w:val="none" w:sz="0" w:space="0" w:color="auto"/>
                        <w:right w:val="none" w:sz="0" w:space="0" w:color="auto"/>
                      </w:divBdr>
                    </w:div>
                  </w:divsChild>
                </w:div>
                <w:div w:id="153108509">
                  <w:marLeft w:val="0"/>
                  <w:marRight w:val="0"/>
                  <w:marTop w:val="0"/>
                  <w:marBottom w:val="0"/>
                  <w:divBdr>
                    <w:top w:val="none" w:sz="0" w:space="0" w:color="auto"/>
                    <w:left w:val="none" w:sz="0" w:space="0" w:color="auto"/>
                    <w:bottom w:val="none" w:sz="0" w:space="0" w:color="auto"/>
                    <w:right w:val="none" w:sz="0" w:space="0" w:color="auto"/>
                  </w:divBdr>
                  <w:divsChild>
                    <w:div w:id="1201672757">
                      <w:marLeft w:val="0"/>
                      <w:marRight w:val="0"/>
                      <w:marTop w:val="0"/>
                      <w:marBottom w:val="0"/>
                      <w:divBdr>
                        <w:top w:val="none" w:sz="0" w:space="0" w:color="auto"/>
                        <w:left w:val="none" w:sz="0" w:space="0" w:color="auto"/>
                        <w:bottom w:val="none" w:sz="0" w:space="0" w:color="auto"/>
                        <w:right w:val="none" w:sz="0" w:space="0" w:color="auto"/>
                      </w:divBdr>
                    </w:div>
                  </w:divsChild>
                </w:div>
                <w:div w:id="156576771">
                  <w:marLeft w:val="0"/>
                  <w:marRight w:val="0"/>
                  <w:marTop w:val="0"/>
                  <w:marBottom w:val="0"/>
                  <w:divBdr>
                    <w:top w:val="none" w:sz="0" w:space="0" w:color="auto"/>
                    <w:left w:val="none" w:sz="0" w:space="0" w:color="auto"/>
                    <w:bottom w:val="none" w:sz="0" w:space="0" w:color="auto"/>
                    <w:right w:val="none" w:sz="0" w:space="0" w:color="auto"/>
                  </w:divBdr>
                  <w:divsChild>
                    <w:div w:id="727412030">
                      <w:marLeft w:val="0"/>
                      <w:marRight w:val="0"/>
                      <w:marTop w:val="0"/>
                      <w:marBottom w:val="0"/>
                      <w:divBdr>
                        <w:top w:val="none" w:sz="0" w:space="0" w:color="auto"/>
                        <w:left w:val="none" w:sz="0" w:space="0" w:color="auto"/>
                        <w:bottom w:val="none" w:sz="0" w:space="0" w:color="auto"/>
                        <w:right w:val="none" w:sz="0" w:space="0" w:color="auto"/>
                      </w:divBdr>
                    </w:div>
                  </w:divsChild>
                </w:div>
                <w:div w:id="260844187">
                  <w:marLeft w:val="0"/>
                  <w:marRight w:val="0"/>
                  <w:marTop w:val="0"/>
                  <w:marBottom w:val="0"/>
                  <w:divBdr>
                    <w:top w:val="none" w:sz="0" w:space="0" w:color="auto"/>
                    <w:left w:val="none" w:sz="0" w:space="0" w:color="auto"/>
                    <w:bottom w:val="none" w:sz="0" w:space="0" w:color="auto"/>
                    <w:right w:val="none" w:sz="0" w:space="0" w:color="auto"/>
                  </w:divBdr>
                  <w:divsChild>
                    <w:div w:id="1089078353">
                      <w:marLeft w:val="0"/>
                      <w:marRight w:val="0"/>
                      <w:marTop w:val="0"/>
                      <w:marBottom w:val="0"/>
                      <w:divBdr>
                        <w:top w:val="none" w:sz="0" w:space="0" w:color="auto"/>
                        <w:left w:val="none" w:sz="0" w:space="0" w:color="auto"/>
                        <w:bottom w:val="none" w:sz="0" w:space="0" w:color="auto"/>
                        <w:right w:val="none" w:sz="0" w:space="0" w:color="auto"/>
                      </w:divBdr>
                    </w:div>
                  </w:divsChild>
                </w:div>
                <w:div w:id="357849527">
                  <w:marLeft w:val="0"/>
                  <w:marRight w:val="0"/>
                  <w:marTop w:val="0"/>
                  <w:marBottom w:val="0"/>
                  <w:divBdr>
                    <w:top w:val="none" w:sz="0" w:space="0" w:color="auto"/>
                    <w:left w:val="none" w:sz="0" w:space="0" w:color="auto"/>
                    <w:bottom w:val="none" w:sz="0" w:space="0" w:color="auto"/>
                    <w:right w:val="none" w:sz="0" w:space="0" w:color="auto"/>
                  </w:divBdr>
                  <w:divsChild>
                    <w:div w:id="306595999">
                      <w:marLeft w:val="0"/>
                      <w:marRight w:val="0"/>
                      <w:marTop w:val="0"/>
                      <w:marBottom w:val="0"/>
                      <w:divBdr>
                        <w:top w:val="none" w:sz="0" w:space="0" w:color="auto"/>
                        <w:left w:val="none" w:sz="0" w:space="0" w:color="auto"/>
                        <w:bottom w:val="none" w:sz="0" w:space="0" w:color="auto"/>
                        <w:right w:val="none" w:sz="0" w:space="0" w:color="auto"/>
                      </w:divBdr>
                    </w:div>
                  </w:divsChild>
                </w:div>
                <w:div w:id="450170041">
                  <w:marLeft w:val="0"/>
                  <w:marRight w:val="0"/>
                  <w:marTop w:val="0"/>
                  <w:marBottom w:val="0"/>
                  <w:divBdr>
                    <w:top w:val="none" w:sz="0" w:space="0" w:color="auto"/>
                    <w:left w:val="none" w:sz="0" w:space="0" w:color="auto"/>
                    <w:bottom w:val="none" w:sz="0" w:space="0" w:color="auto"/>
                    <w:right w:val="none" w:sz="0" w:space="0" w:color="auto"/>
                  </w:divBdr>
                  <w:divsChild>
                    <w:div w:id="180048362">
                      <w:marLeft w:val="0"/>
                      <w:marRight w:val="0"/>
                      <w:marTop w:val="0"/>
                      <w:marBottom w:val="0"/>
                      <w:divBdr>
                        <w:top w:val="none" w:sz="0" w:space="0" w:color="auto"/>
                        <w:left w:val="none" w:sz="0" w:space="0" w:color="auto"/>
                        <w:bottom w:val="none" w:sz="0" w:space="0" w:color="auto"/>
                        <w:right w:val="none" w:sz="0" w:space="0" w:color="auto"/>
                      </w:divBdr>
                    </w:div>
                  </w:divsChild>
                </w:div>
                <w:div w:id="531772632">
                  <w:marLeft w:val="0"/>
                  <w:marRight w:val="0"/>
                  <w:marTop w:val="0"/>
                  <w:marBottom w:val="0"/>
                  <w:divBdr>
                    <w:top w:val="none" w:sz="0" w:space="0" w:color="auto"/>
                    <w:left w:val="none" w:sz="0" w:space="0" w:color="auto"/>
                    <w:bottom w:val="none" w:sz="0" w:space="0" w:color="auto"/>
                    <w:right w:val="none" w:sz="0" w:space="0" w:color="auto"/>
                  </w:divBdr>
                  <w:divsChild>
                    <w:div w:id="2016616795">
                      <w:marLeft w:val="0"/>
                      <w:marRight w:val="0"/>
                      <w:marTop w:val="0"/>
                      <w:marBottom w:val="0"/>
                      <w:divBdr>
                        <w:top w:val="none" w:sz="0" w:space="0" w:color="auto"/>
                        <w:left w:val="none" w:sz="0" w:space="0" w:color="auto"/>
                        <w:bottom w:val="none" w:sz="0" w:space="0" w:color="auto"/>
                        <w:right w:val="none" w:sz="0" w:space="0" w:color="auto"/>
                      </w:divBdr>
                    </w:div>
                  </w:divsChild>
                </w:div>
                <w:div w:id="597639266">
                  <w:marLeft w:val="0"/>
                  <w:marRight w:val="0"/>
                  <w:marTop w:val="0"/>
                  <w:marBottom w:val="0"/>
                  <w:divBdr>
                    <w:top w:val="none" w:sz="0" w:space="0" w:color="auto"/>
                    <w:left w:val="none" w:sz="0" w:space="0" w:color="auto"/>
                    <w:bottom w:val="none" w:sz="0" w:space="0" w:color="auto"/>
                    <w:right w:val="none" w:sz="0" w:space="0" w:color="auto"/>
                  </w:divBdr>
                  <w:divsChild>
                    <w:div w:id="1777168920">
                      <w:marLeft w:val="0"/>
                      <w:marRight w:val="0"/>
                      <w:marTop w:val="0"/>
                      <w:marBottom w:val="0"/>
                      <w:divBdr>
                        <w:top w:val="none" w:sz="0" w:space="0" w:color="auto"/>
                        <w:left w:val="none" w:sz="0" w:space="0" w:color="auto"/>
                        <w:bottom w:val="none" w:sz="0" w:space="0" w:color="auto"/>
                        <w:right w:val="none" w:sz="0" w:space="0" w:color="auto"/>
                      </w:divBdr>
                    </w:div>
                  </w:divsChild>
                </w:div>
                <w:div w:id="712315864">
                  <w:marLeft w:val="0"/>
                  <w:marRight w:val="0"/>
                  <w:marTop w:val="0"/>
                  <w:marBottom w:val="0"/>
                  <w:divBdr>
                    <w:top w:val="none" w:sz="0" w:space="0" w:color="auto"/>
                    <w:left w:val="none" w:sz="0" w:space="0" w:color="auto"/>
                    <w:bottom w:val="none" w:sz="0" w:space="0" w:color="auto"/>
                    <w:right w:val="none" w:sz="0" w:space="0" w:color="auto"/>
                  </w:divBdr>
                  <w:divsChild>
                    <w:div w:id="759568503">
                      <w:marLeft w:val="0"/>
                      <w:marRight w:val="0"/>
                      <w:marTop w:val="0"/>
                      <w:marBottom w:val="0"/>
                      <w:divBdr>
                        <w:top w:val="none" w:sz="0" w:space="0" w:color="auto"/>
                        <w:left w:val="none" w:sz="0" w:space="0" w:color="auto"/>
                        <w:bottom w:val="none" w:sz="0" w:space="0" w:color="auto"/>
                        <w:right w:val="none" w:sz="0" w:space="0" w:color="auto"/>
                      </w:divBdr>
                    </w:div>
                  </w:divsChild>
                </w:div>
                <w:div w:id="732315595">
                  <w:marLeft w:val="0"/>
                  <w:marRight w:val="0"/>
                  <w:marTop w:val="0"/>
                  <w:marBottom w:val="0"/>
                  <w:divBdr>
                    <w:top w:val="none" w:sz="0" w:space="0" w:color="auto"/>
                    <w:left w:val="none" w:sz="0" w:space="0" w:color="auto"/>
                    <w:bottom w:val="none" w:sz="0" w:space="0" w:color="auto"/>
                    <w:right w:val="none" w:sz="0" w:space="0" w:color="auto"/>
                  </w:divBdr>
                  <w:divsChild>
                    <w:div w:id="56130726">
                      <w:marLeft w:val="0"/>
                      <w:marRight w:val="0"/>
                      <w:marTop w:val="0"/>
                      <w:marBottom w:val="0"/>
                      <w:divBdr>
                        <w:top w:val="none" w:sz="0" w:space="0" w:color="auto"/>
                        <w:left w:val="none" w:sz="0" w:space="0" w:color="auto"/>
                        <w:bottom w:val="none" w:sz="0" w:space="0" w:color="auto"/>
                        <w:right w:val="none" w:sz="0" w:space="0" w:color="auto"/>
                      </w:divBdr>
                    </w:div>
                  </w:divsChild>
                </w:div>
                <w:div w:id="796686229">
                  <w:marLeft w:val="0"/>
                  <w:marRight w:val="0"/>
                  <w:marTop w:val="0"/>
                  <w:marBottom w:val="0"/>
                  <w:divBdr>
                    <w:top w:val="none" w:sz="0" w:space="0" w:color="auto"/>
                    <w:left w:val="none" w:sz="0" w:space="0" w:color="auto"/>
                    <w:bottom w:val="none" w:sz="0" w:space="0" w:color="auto"/>
                    <w:right w:val="none" w:sz="0" w:space="0" w:color="auto"/>
                  </w:divBdr>
                  <w:divsChild>
                    <w:div w:id="518663522">
                      <w:marLeft w:val="0"/>
                      <w:marRight w:val="0"/>
                      <w:marTop w:val="0"/>
                      <w:marBottom w:val="0"/>
                      <w:divBdr>
                        <w:top w:val="none" w:sz="0" w:space="0" w:color="auto"/>
                        <w:left w:val="none" w:sz="0" w:space="0" w:color="auto"/>
                        <w:bottom w:val="none" w:sz="0" w:space="0" w:color="auto"/>
                        <w:right w:val="none" w:sz="0" w:space="0" w:color="auto"/>
                      </w:divBdr>
                    </w:div>
                  </w:divsChild>
                </w:div>
                <w:div w:id="830491041">
                  <w:marLeft w:val="0"/>
                  <w:marRight w:val="0"/>
                  <w:marTop w:val="0"/>
                  <w:marBottom w:val="0"/>
                  <w:divBdr>
                    <w:top w:val="none" w:sz="0" w:space="0" w:color="auto"/>
                    <w:left w:val="none" w:sz="0" w:space="0" w:color="auto"/>
                    <w:bottom w:val="none" w:sz="0" w:space="0" w:color="auto"/>
                    <w:right w:val="none" w:sz="0" w:space="0" w:color="auto"/>
                  </w:divBdr>
                  <w:divsChild>
                    <w:div w:id="895896546">
                      <w:marLeft w:val="0"/>
                      <w:marRight w:val="0"/>
                      <w:marTop w:val="0"/>
                      <w:marBottom w:val="0"/>
                      <w:divBdr>
                        <w:top w:val="none" w:sz="0" w:space="0" w:color="auto"/>
                        <w:left w:val="none" w:sz="0" w:space="0" w:color="auto"/>
                        <w:bottom w:val="none" w:sz="0" w:space="0" w:color="auto"/>
                        <w:right w:val="none" w:sz="0" w:space="0" w:color="auto"/>
                      </w:divBdr>
                    </w:div>
                  </w:divsChild>
                </w:div>
                <w:div w:id="1038313727">
                  <w:marLeft w:val="0"/>
                  <w:marRight w:val="0"/>
                  <w:marTop w:val="0"/>
                  <w:marBottom w:val="0"/>
                  <w:divBdr>
                    <w:top w:val="none" w:sz="0" w:space="0" w:color="auto"/>
                    <w:left w:val="none" w:sz="0" w:space="0" w:color="auto"/>
                    <w:bottom w:val="none" w:sz="0" w:space="0" w:color="auto"/>
                    <w:right w:val="none" w:sz="0" w:space="0" w:color="auto"/>
                  </w:divBdr>
                  <w:divsChild>
                    <w:div w:id="1409763965">
                      <w:marLeft w:val="0"/>
                      <w:marRight w:val="0"/>
                      <w:marTop w:val="0"/>
                      <w:marBottom w:val="0"/>
                      <w:divBdr>
                        <w:top w:val="none" w:sz="0" w:space="0" w:color="auto"/>
                        <w:left w:val="none" w:sz="0" w:space="0" w:color="auto"/>
                        <w:bottom w:val="none" w:sz="0" w:space="0" w:color="auto"/>
                        <w:right w:val="none" w:sz="0" w:space="0" w:color="auto"/>
                      </w:divBdr>
                    </w:div>
                  </w:divsChild>
                </w:div>
                <w:div w:id="1042368239">
                  <w:marLeft w:val="0"/>
                  <w:marRight w:val="0"/>
                  <w:marTop w:val="0"/>
                  <w:marBottom w:val="0"/>
                  <w:divBdr>
                    <w:top w:val="none" w:sz="0" w:space="0" w:color="auto"/>
                    <w:left w:val="none" w:sz="0" w:space="0" w:color="auto"/>
                    <w:bottom w:val="none" w:sz="0" w:space="0" w:color="auto"/>
                    <w:right w:val="none" w:sz="0" w:space="0" w:color="auto"/>
                  </w:divBdr>
                  <w:divsChild>
                    <w:div w:id="2078086901">
                      <w:marLeft w:val="0"/>
                      <w:marRight w:val="0"/>
                      <w:marTop w:val="0"/>
                      <w:marBottom w:val="0"/>
                      <w:divBdr>
                        <w:top w:val="none" w:sz="0" w:space="0" w:color="auto"/>
                        <w:left w:val="none" w:sz="0" w:space="0" w:color="auto"/>
                        <w:bottom w:val="none" w:sz="0" w:space="0" w:color="auto"/>
                        <w:right w:val="none" w:sz="0" w:space="0" w:color="auto"/>
                      </w:divBdr>
                    </w:div>
                  </w:divsChild>
                </w:div>
                <w:div w:id="1063602209">
                  <w:marLeft w:val="0"/>
                  <w:marRight w:val="0"/>
                  <w:marTop w:val="0"/>
                  <w:marBottom w:val="0"/>
                  <w:divBdr>
                    <w:top w:val="none" w:sz="0" w:space="0" w:color="auto"/>
                    <w:left w:val="none" w:sz="0" w:space="0" w:color="auto"/>
                    <w:bottom w:val="none" w:sz="0" w:space="0" w:color="auto"/>
                    <w:right w:val="none" w:sz="0" w:space="0" w:color="auto"/>
                  </w:divBdr>
                  <w:divsChild>
                    <w:div w:id="1934165387">
                      <w:marLeft w:val="0"/>
                      <w:marRight w:val="0"/>
                      <w:marTop w:val="0"/>
                      <w:marBottom w:val="0"/>
                      <w:divBdr>
                        <w:top w:val="none" w:sz="0" w:space="0" w:color="auto"/>
                        <w:left w:val="none" w:sz="0" w:space="0" w:color="auto"/>
                        <w:bottom w:val="none" w:sz="0" w:space="0" w:color="auto"/>
                        <w:right w:val="none" w:sz="0" w:space="0" w:color="auto"/>
                      </w:divBdr>
                    </w:div>
                  </w:divsChild>
                </w:div>
                <w:div w:id="1130709493">
                  <w:marLeft w:val="0"/>
                  <w:marRight w:val="0"/>
                  <w:marTop w:val="0"/>
                  <w:marBottom w:val="0"/>
                  <w:divBdr>
                    <w:top w:val="none" w:sz="0" w:space="0" w:color="auto"/>
                    <w:left w:val="none" w:sz="0" w:space="0" w:color="auto"/>
                    <w:bottom w:val="none" w:sz="0" w:space="0" w:color="auto"/>
                    <w:right w:val="none" w:sz="0" w:space="0" w:color="auto"/>
                  </w:divBdr>
                  <w:divsChild>
                    <w:div w:id="2113697562">
                      <w:marLeft w:val="0"/>
                      <w:marRight w:val="0"/>
                      <w:marTop w:val="0"/>
                      <w:marBottom w:val="0"/>
                      <w:divBdr>
                        <w:top w:val="none" w:sz="0" w:space="0" w:color="auto"/>
                        <w:left w:val="none" w:sz="0" w:space="0" w:color="auto"/>
                        <w:bottom w:val="none" w:sz="0" w:space="0" w:color="auto"/>
                        <w:right w:val="none" w:sz="0" w:space="0" w:color="auto"/>
                      </w:divBdr>
                    </w:div>
                  </w:divsChild>
                </w:div>
                <w:div w:id="1176724256">
                  <w:marLeft w:val="0"/>
                  <w:marRight w:val="0"/>
                  <w:marTop w:val="0"/>
                  <w:marBottom w:val="0"/>
                  <w:divBdr>
                    <w:top w:val="none" w:sz="0" w:space="0" w:color="auto"/>
                    <w:left w:val="none" w:sz="0" w:space="0" w:color="auto"/>
                    <w:bottom w:val="none" w:sz="0" w:space="0" w:color="auto"/>
                    <w:right w:val="none" w:sz="0" w:space="0" w:color="auto"/>
                  </w:divBdr>
                  <w:divsChild>
                    <w:div w:id="1209949005">
                      <w:marLeft w:val="0"/>
                      <w:marRight w:val="0"/>
                      <w:marTop w:val="0"/>
                      <w:marBottom w:val="0"/>
                      <w:divBdr>
                        <w:top w:val="none" w:sz="0" w:space="0" w:color="auto"/>
                        <w:left w:val="none" w:sz="0" w:space="0" w:color="auto"/>
                        <w:bottom w:val="none" w:sz="0" w:space="0" w:color="auto"/>
                        <w:right w:val="none" w:sz="0" w:space="0" w:color="auto"/>
                      </w:divBdr>
                    </w:div>
                  </w:divsChild>
                </w:div>
                <w:div w:id="1223639583">
                  <w:marLeft w:val="0"/>
                  <w:marRight w:val="0"/>
                  <w:marTop w:val="0"/>
                  <w:marBottom w:val="0"/>
                  <w:divBdr>
                    <w:top w:val="none" w:sz="0" w:space="0" w:color="auto"/>
                    <w:left w:val="none" w:sz="0" w:space="0" w:color="auto"/>
                    <w:bottom w:val="none" w:sz="0" w:space="0" w:color="auto"/>
                    <w:right w:val="none" w:sz="0" w:space="0" w:color="auto"/>
                  </w:divBdr>
                  <w:divsChild>
                    <w:div w:id="376777626">
                      <w:marLeft w:val="0"/>
                      <w:marRight w:val="0"/>
                      <w:marTop w:val="0"/>
                      <w:marBottom w:val="0"/>
                      <w:divBdr>
                        <w:top w:val="none" w:sz="0" w:space="0" w:color="auto"/>
                        <w:left w:val="none" w:sz="0" w:space="0" w:color="auto"/>
                        <w:bottom w:val="none" w:sz="0" w:space="0" w:color="auto"/>
                        <w:right w:val="none" w:sz="0" w:space="0" w:color="auto"/>
                      </w:divBdr>
                    </w:div>
                  </w:divsChild>
                </w:div>
                <w:div w:id="1255170755">
                  <w:marLeft w:val="0"/>
                  <w:marRight w:val="0"/>
                  <w:marTop w:val="0"/>
                  <w:marBottom w:val="0"/>
                  <w:divBdr>
                    <w:top w:val="none" w:sz="0" w:space="0" w:color="auto"/>
                    <w:left w:val="none" w:sz="0" w:space="0" w:color="auto"/>
                    <w:bottom w:val="none" w:sz="0" w:space="0" w:color="auto"/>
                    <w:right w:val="none" w:sz="0" w:space="0" w:color="auto"/>
                  </w:divBdr>
                  <w:divsChild>
                    <w:div w:id="1424499002">
                      <w:marLeft w:val="0"/>
                      <w:marRight w:val="0"/>
                      <w:marTop w:val="0"/>
                      <w:marBottom w:val="0"/>
                      <w:divBdr>
                        <w:top w:val="none" w:sz="0" w:space="0" w:color="auto"/>
                        <w:left w:val="none" w:sz="0" w:space="0" w:color="auto"/>
                        <w:bottom w:val="none" w:sz="0" w:space="0" w:color="auto"/>
                        <w:right w:val="none" w:sz="0" w:space="0" w:color="auto"/>
                      </w:divBdr>
                    </w:div>
                  </w:divsChild>
                </w:div>
                <w:div w:id="1268152174">
                  <w:marLeft w:val="0"/>
                  <w:marRight w:val="0"/>
                  <w:marTop w:val="0"/>
                  <w:marBottom w:val="0"/>
                  <w:divBdr>
                    <w:top w:val="none" w:sz="0" w:space="0" w:color="auto"/>
                    <w:left w:val="none" w:sz="0" w:space="0" w:color="auto"/>
                    <w:bottom w:val="none" w:sz="0" w:space="0" w:color="auto"/>
                    <w:right w:val="none" w:sz="0" w:space="0" w:color="auto"/>
                  </w:divBdr>
                  <w:divsChild>
                    <w:div w:id="1373770732">
                      <w:marLeft w:val="0"/>
                      <w:marRight w:val="0"/>
                      <w:marTop w:val="0"/>
                      <w:marBottom w:val="0"/>
                      <w:divBdr>
                        <w:top w:val="none" w:sz="0" w:space="0" w:color="auto"/>
                        <w:left w:val="none" w:sz="0" w:space="0" w:color="auto"/>
                        <w:bottom w:val="none" w:sz="0" w:space="0" w:color="auto"/>
                        <w:right w:val="none" w:sz="0" w:space="0" w:color="auto"/>
                      </w:divBdr>
                    </w:div>
                  </w:divsChild>
                </w:div>
                <w:div w:id="1284311418">
                  <w:marLeft w:val="0"/>
                  <w:marRight w:val="0"/>
                  <w:marTop w:val="0"/>
                  <w:marBottom w:val="0"/>
                  <w:divBdr>
                    <w:top w:val="none" w:sz="0" w:space="0" w:color="auto"/>
                    <w:left w:val="none" w:sz="0" w:space="0" w:color="auto"/>
                    <w:bottom w:val="none" w:sz="0" w:space="0" w:color="auto"/>
                    <w:right w:val="none" w:sz="0" w:space="0" w:color="auto"/>
                  </w:divBdr>
                  <w:divsChild>
                    <w:div w:id="507448329">
                      <w:marLeft w:val="0"/>
                      <w:marRight w:val="0"/>
                      <w:marTop w:val="0"/>
                      <w:marBottom w:val="0"/>
                      <w:divBdr>
                        <w:top w:val="none" w:sz="0" w:space="0" w:color="auto"/>
                        <w:left w:val="none" w:sz="0" w:space="0" w:color="auto"/>
                        <w:bottom w:val="none" w:sz="0" w:space="0" w:color="auto"/>
                        <w:right w:val="none" w:sz="0" w:space="0" w:color="auto"/>
                      </w:divBdr>
                    </w:div>
                  </w:divsChild>
                </w:div>
                <w:div w:id="1350906608">
                  <w:marLeft w:val="0"/>
                  <w:marRight w:val="0"/>
                  <w:marTop w:val="0"/>
                  <w:marBottom w:val="0"/>
                  <w:divBdr>
                    <w:top w:val="none" w:sz="0" w:space="0" w:color="auto"/>
                    <w:left w:val="none" w:sz="0" w:space="0" w:color="auto"/>
                    <w:bottom w:val="none" w:sz="0" w:space="0" w:color="auto"/>
                    <w:right w:val="none" w:sz="0" w:space="0" w:color="auto"/>
                  </w:divBdr>
                  <w:divsChild>
                    <w:div w:id="1986735319">
                      <w:marLeft w:val="0"/>
                      <w:marRight w:val="0"/>
                      <w:marTop w:val="0"/>
                      <w:marBottom w:val="0"/>
                      <w:divBdr>
                        <w:top w:val="none" w:sz="0" w:space="0" w:color="auto"/>
                        <w:left w:val="none" w:sz="0" w:space="0" w:color="auto"/>
                        <w:bottom w:val="none" w:sz="0" w:space="0" w:color="auto"/>
                        <w:right w:val="none" w:sz="0" w:space="0" w:color="auto"/>
                      </w:divBdr>
                    </w:div>
                  </w:divsChild>
                </w:div>
                <w:div w:id="1409884807">
                  <w:marLeft w:val="0"/>
                  <w:marRight w:val="0"/>
                  <w:marTop w:val="0"/>
                  <w:marBottom w:val="0"/>
                  <w:divBdr>
                    <w:top w:val="none" w:sz="0" w:space="0" w:color="auto"/>
                    <w:left w:val="none" w:sz="0" w:space="0" w:color="auto"/>
                    <w:bottom w:val="none" w:sz="0" w:space="0" w:color="auto"/>
                    <w:right w:val="none" w:sz="0" w:space="0" w:color="auto"/>
                  </w:divBdr>
                  <w:divsChild>
                    <w:div w:id="490097928">
                      <w:marLeft w:val="0"/>
                      <w:marRight w:val="0"/>
                      <w:marTop w:val="0"/>
                      <w:marBottom w:val="0"/>
                      <w:divBdr>
                        <w:top w:val="none" w:sz="0" w:space="0" w:color="auto"/>
                        <w:left w:val="none" w:sz="0" w:space="0" w:color="auto"/>
                        <w:bottom w:val="none" w:sz="0" w:space="0" w:color="auto"/>
                        <w:right w:val="none" w:sz="0" w:space="0" w:color="auto"/>
                      </w:divBdr>
                    </w:div>
                  </w:divsChild>
                </w:div>
                <w:div w:id="1449857845">
                  <w:marLeft w:val="0"/>
                  <w:marRight w:val="0"/>
                  <w:marTop w:val="0"/>
                  <w:marBottom w:val="0"/>
                  <w:divBdr>
                    <w:top w:val="none" w:sz="0" w:space="0" w:color="auto"/>
                    <w:left w:val="none" w:sz="0" w:space="0" w:color="auto"/>
                    <w:bottom w:val="none" w:sz="0" w:space="0" w:color="auto"/>
                    <w:right w:val="none" w:sz="0" w:space="0" w:color="auto"/>
                  </w:divBdr>
                  <w:divsChild>
                    <w:div w:id="231427179">
                      <w:marLeft w:val="0"/>
                      <w:marRight w:val="0"/>
                      <w:marTop w:val="0"/>
                      <w:marBottom w:val="0"/>
                      <w:divBdr>
                        <w:top w:val="none" w:sz="0" w:space="0" w:color="auto"/>
                        <w:left w:val="none" w:sz="0" w:space="0" w:color="auto"/>
                        <w:bottom w:val="none" w:sz="0" w:space="0" w:color="auto"/>
                        <w:right w:val="none" w:sz="0" w:space="0" w:color="auto"/>
                      </w:divBdr>
                    </w:div>
                  </w:divsChild>
                </w:div>
                <w:div w:id="1605990528">
                  <w:marLeft w:val="0"/>
                  <w:marRight w:val="0"/>
                  <w:marTop w:val="0"/>
                  <w:marBottom w:val="0"/>
                  <w:divBdr>
                    <w:top w:val="none" w:sz="0" w:space="0" w:color="auto"/>
                    <w:left w:val="none" w:sz="0" w:space="0" w:color="auto"/>
                    <w:bottom w:val="none" w:sz="0" w:space="0" w:color="auto"/>
                    <w:right w:val="none" w:sz="0" w:space="0" w:color="auto"/>
                  </w:divBdr>
                  <w:divsChild>
                    <w:div w:id="995180541">
                      <w:marLeft w:val="0"/>
                      <w:marRight w:val="0"/>
                      <w:marTop w:val="0"/>
                      <w:marBottom w:val="0"/>
                      <w:divBdr>
                        <w:top w:val="none" w:sz="0" w:space="0" w:color="auto"/>
                        <w:left w:val="none" w:sz="0" w:space="0" w:color="auto"/>
                        <w:bottom w:val="none" w:sz="0" w:space="0" w:color="auto"/>
                        <w:right w:val="none" w:sz="0" w:space="0" w:color="auto"/>
                      </w:divBdr>
                    </w:div>
                  </w:divsChild>
                </w:div>
                <w:div w:id="1627275176">
                  <w:marLeft w:val="0"/>
                  <w:marRight w:val="0"/>
                  <w:marTop w:val="0"/>
                  <w:marBottom w:val="0"/>
                  <w:divBdr>
                    <w:top w:val="none" w:sz="0" w:space="0" w:color="auto"/>
                    <w:left w:val="none" w:sz="0" w:space="0" w:color="auto"/>
                    <w:bottom w:val="none" w:sz="0" w:space="0" w:color="auto"/>
                    <w:right w:val="none" w:sz="0" w:space="0" w:color="auto"/>
                  </w:divBdr>
                  <w:divsChild>
                    <w:div w:id="1189830031">
                      <w:marLeft w:val="0"/>
                      <w:marRight w:val="0"/>
                      <w:marTop w:val="0"/>
                      <w:marBottom w:val="0"/>
                      <w:divBdr>
                        <w:top w:val="none" w:sz="0" w:space="0" w:color="auto"/>
                        <w:left w:val="none" w:sz="0" w:space="0" w:color="auto"/>
                        <w:bottom w:val="none" w:sz="0" w:space="0" w:color="auto"/>
                        <w:right w:val="none" w:sz="0" w:space="0" w:color="auto"/>
                      </w:divBdr>
                    </w:div>
                  </w:divsChild>
                </w:div>
                <w:div w:id="1637640288">
                  <w:marLeft w:val="0"/>
                  <w:marRight w:val="0"/>
                  <w:marTop w:val="0"/>
                  <w:marBottom w:val="0"/>
                  <w:divBdr>
                    <w:top w:val="none" w:sz="0" w:space="0" w:color="auto"/>
                    <w:left w:val="none" w:sz="0" w:space="0" w:color="auto"/>
                    <w:bottom w:val="none" w:sz="0" w:space="0" w:color="auto"/>
                    <w:right w:val="none" w:sz="0" w:space="0" w:color="auto"/>
                  </w:divBdr>
                  <w:divsChild>
                    <w:div w:id="730736852">
                      <w:marLeft w:val="0"/>
                      <w:marRight w:val="0"/>
                      <w:marTop w:val="0"/>
                      <w:marBottom w:val="0"/>
                      <w:divBdr>
                        <w:top w:val="none" w:sz="0" w:space="0" w:color="auto"/>
                        <w:left w:val="none" w:sz="0" w:space="0" w:color="auto"/>
                        <w:bottom w:val="none" w:sz="0" w:space="0" w:color="auto"/>
                        <w:right w:val="none" w:sz="0" w:space="0" w:color="auto"/>
                      </w:divBdr>
                    </w:div>
                  </w:divsChild>
                </w:div>
                <w:div w:id="1645306128">
                  <w:marLeft w:val="0"/>
                  <w:marRight w:val="0"/>
                  <w:marTop w:val="0"/>
                  <w:marBottom w:val="0"/>
                  <w:divBdr>
                    <w:top w:val="none" w:sz="0" w:space="0" w:color="auto"/>
                    <w:left w:val="none" w:sz="0" w:space="0" w:color="auto"/>
                    <w:bottom w:val="none" w:sz="0" w:space="0" w:color="auto"/>
                    <w:right w:val="none" w:sz="0" w:space="0" w:color="auto"/>
                  </w:divBdr>
                  <w:divsChild>
                    <w:div w:id="746807826">
                      <w:marLeft w:val="0"/>
                      <w:marRight w:val="0"/>
                      <w:marTop w:val="0"/>
                      <w:marBottom w:val="0"/>
                      <w:divBdr>
                        <w:top w:val="none" w:sz="0" w:space="0" w:color="auto"/>
                        <w:left w:val="none" w:sz="0" w:space="0" w:color="auto"/>
                        <w:bottom w:val="none" w:sz="0" w:space="0" w:color="auto"/>
                        <w:right w:val="none" w:sz="0" w:space="0" w:color="auto"/>
                      </w:divBdr>
                    </w:div>
                  </w:divsChild>
                </w:div>
                <w:div w:id="1656836489">
                  <w:marLeft w:val="0"/>
                  <w:marRight w:val="0"/>
                  <w:marTop w:val="0"/>
                  <w:marBottom w:val="0"/>
                  <w:divBdr>
                    <w:top w:val="none" w:sz="0" w:space="0" w:color="auto"/>
                    <w:left w:val="none" w:sz="0" w:space="0" w:color="auto"/>
                    <w:bottom w:val="none" w:sz="0" w:space="0" w:color="auto"/>
                    <w:right w:val="none" w:sz="0" w:space="0" w:color="auto"/>
                  </w:divBdr>
                  <w:divsChild>
                    <w:div w:id="588003314">
                      <w:marLeft w:val="0"/>
                      <w:marRight w:val="0"/>
                      <w:marTop w:val="0"/>
                      <w:marBottom w:val="0"/>
                      <w:divBdr>
                        <w:top w:val="none" w:sz="0" w:space="0" w:color="auto"/>
                        <w:left w:val="none" w:sz="0" w:space="0" w:color="auto"/>
                        <w:bottom w:val="none" w:sz="0" w:space="0" w:color="auto"/>
                        <w:right w:val="none" w:sz="0" w:space="0" w:color="auto"/>
                      </w:divBdr>
                    </w:div>
                  </w:divsChild>
                </w:div>
                <w:div w:id="1710646436">
                  <w:marLeft w:val="0"/>
                  <w:marRight w:val="0"/>
                  <w:marTop w:val="0"/>
                  <w:marBottom w:val="0"/>
                  <w:divBdr>
                    <w:top w:val="none" w:sz="0" w:space="0" w:color="auto"/>
                    <w:left w:val="none" w:sz="0" w:space="0" w:color="auto"/>
                    <w:bottom w:val="none" w:sz="0" w:space="0" w:color="auto"/>
                    <w:right w:val="none" w:sz="0" w:space="0" w:color="auto"/>
                  </w:divBdr>
                  <w:divsChild>
                    <w:div w:id="1822306867">
                      <w:marLeft w:val="0"/>
                      <w:marRight w:val="0"/>
                      <w:marTop w:val="0"/>
                      <w:marBottom w:val="0"/>
                      <w:divBdr>
                        <w:top w:val="none" w:sz="0" w:space="0" w:color="auto"/>
                        <w:left w:val="none" w:sz="0" w:space="0" w:color="auto"/>
                        <w:bottom w:val="none" w:sz="0" w:space="0" w:color="auto"/>
                        <w:right w:val="none" w:sz="0" w:space="0" w:color="auto"/>
                      </w:divBdr>
                    </w:div>
                  </w:divsChild>
                </w:div>
                <w:div w:id="1732843153">
                  <w:marLeft w:val="0"/>
                  <w:marRight w:val="0"/>
                  <w:marTop w:val="0"/>
                  <w:marBottom w:val="0"/>
                  <w:divBdr>
                    <w:top w:val="none" w:sz="0" w:space="0" w:color="auto"/>
                    <w:left w:val="none" w:sz="0" w:space="0" w:color="auto"/>
                    <w:bottom w:val="none" w:sz="0" w:space="0" w:color="auto"/>
                    <w:right w:val="none" w:sz="0" w:space="0" w:color="auto"/>
                  </w:divBdr>
                  <w:divsChild>
                    <w:div w:id="1512719004">
                      <w:marLeft w:val="0"/>
                      <w:marRight w:val="0"/>
                      <w:marTop w:val="0"/>
                      <w:marBottom w:val="0"/>
                      <w:divBdr>
                        <w:top w:val="none" w:sz="0" w:space="0" w:color="auto"/>
                        <w:left w:val="none" w:sz="0" w:space="0" w:color="auto"/>
                        <w:bottom w:val="none" w:sz="0" w:space="0" w:color="auto"/>
                        <w:right w:val="none" w:sz="0" w:space="0" w:color="auto"/>
                      </w:divBdr>
                    </w:div>
                  </w:divsChild>
                </w:div>
                <w:div w:id="1826968706">
                  <w:marLeft w:val="0"/>
                  <w:marRight w:val="0"/>
                  <w:marTop w:val="0"/>
                  <w:marBottom w:val="0"/>
                  <w:divBdr>
                    <w:top w:val="none" w:sz="0" w:space="0" w:color="auto"/>
                    <w:left w:val="none" w:sz="0" w:space="0" w:color="auto"/>
                    <w:bottom w:val="none" w:sz="0" w:space="0" w:color="auto"/>
                    <w:right w:val="none" w:sz="0" w:space="0" w:color="auto"/>
                  </w:divBdr>
                  <w:divsChild>
                    <w:div w:id="1482114669">
                      <w:marLeft w:val="0"/>
                      <w:marRight w:val="0"/>
                      <w:marTop w:val="0"/>
                      <w:marBottom w:val="0"/>
                      <w:divBdr>
                        <w:top w:val="none" w:sz="0" w:space="0" w:color="auto"/>
                        <w:left w:val="none" w:sz="0" w:space="0" w:color="auto"/>
                        <w:bottom w:val="none" w:sz="0" w:space="0" w:color="auto"/>
                        <w:right w:val="none" w:sz="0" w:space="0" w:color="auto"/>
                      </w:divBdr>
                    </w:div>
                  </w:divsChild>
                </w:div>
                <w:div w:id="1986931729">
                  <w:marLeft w:val="0"/>
                  <w:marRight w:val="0"/>
                  <w:marTop w:val="0"/>
                  <w:marBottom w:val="0"/>
                  <w:divBdr>
                    <w:top w:val="none" w:sz="0" w:space="0" w:color="auto"/>
                    <w:left w:val="none" w:sz="0" w:space="0" w:color="auto"/>
                    <w:bottom w:val="none" w:sz="0" w:space="0" w:color="auto"/>
                    <w:right w:val="none" w:sz="0" w:space="0" w:color="auto"/>
                  </w:divBdr>
                  <w:divsChild>
                    <w:div w:id="359010348">
                      <w:marLeft w:val="0"/>
                      <w:marRight w:val="0"/>
                      <w:marTop w:val="0"/>
                      <w:marBottom w:val="0"/>
                      <w:divBdr>
                        <w:top w:val="none" w:sz="0" w:space="0" w:color="auto"/>
                        <w:left w:val="none" w:sz="0" w:space="0" w:color="auto"/>
                        <w:bottom w:val="none" w:sz="0" w:space="0" w:color="auto"/>
                        <w:right w:val="none" w:sz="0" w:space="0" w:color="auto"/>
                      </w:divBdr>
                    </w:div>
                  </w:divsChild>
                </w:div>
                <w:div w:id="2024358678">
                  <w:marLeft w:val="0"/>
                  <w:marRight w:val="0"/>
                  <w:marTop w:val="0"/>
                  <w:marBottom w:val="0"/>
                  <w:divBdr>
                    <w:top w:val="none" w:sz="0" w:space="0" w:color="auto"/>
                    <w:left w:val="none" w:sz="0" w:space="0" w:color="auto"/>
                    <w:bottom w:val="none" w:sz="0" w:space="0" w:color="auto"/>
                    <w:right w:val="none" w:sz="0" w:space="0" w:color="auto"/>
                  </w:divBdr>
                  <w:divsChild>
                    <w:div w:id="470515540">
                      <w:marLeft w:val="0"/>
                      <w:marRight w:val="0"/>
                      <w:marTop w:val="0"/>
                      <w:marBottom w:val="0"/>
                      <w:divBdr>
                        <w:top w:val="none" w:sz="0" w:space="0" w:color="auto"/>
                        <w:left w:val="none" w:sz="0" w:space="0" w:color="auto"/>
                        <w:bottom w:val="none" w:sz="0" w:space="0" w:color="auto"/>
                        <w:right w:val="none" w:sz="0" w:space="0" w:color="auto"/>
                      </w:divBdr>
                    </w:div>
                  </w:divsChild>
                </w:div>
                <w:div w:id="2040470251">
                  <w:marLeft w:val="0"/>
                  <w:marRight w:val="0"/>
                  <w:marTop w:val="0"/>
                  <w:marBottom w:val="0"/>
                  <w:divBdr>
                    <w:top w:val="none" w:sz="0" w:space="0" w:color="auto"/>
                    <w:left w:val="none" w:sz="0" w:space="0" w:color="auto"/>
                    <w:bottom w:val="none" w:sz="0" w:space="0" w:color="auto"/>
                    <w:right w:val="none" w:sz="0" w:space="0" w:color="auto"/>
                  </w:divBdr>
                  <w:divsChild>
                    <w:div w:id="1877544537">
                      <w:marLeft w:val="0"/>
                      <w:marRight w:val="0"/>
                      <w:marTop w:val="0"/>
                      <w:marBottom w:val="0"/>
                      <w:divBdr>
                        <w:top w:val="none" w:sz="0" w:space="0" w:color="auto"/>
                        <w:left w:val="none" w:sz="0" w:space="0" w:color="auto"/>
                        <w:bottom w:val="none" w:sz="0" w:space="0" w:color="auto"/>
                        <w:right w:val="none" w:sz="0" w:space="0" w:color="auto"/>
                      </w:divBdr>
                    </w:div>
                  </w:divsChild>
                </w:div>
                <w:div w:id="2098552567">
                  <w:marLeft w:val="0"/>
                  <w:marRight w:val="0"/>
                  <w:marTop w:val="0"/>
                  <w:marBottom w:val="0"/>
                  <w:divBdr>
                    <w:top w:val="none" w:sz="0" w:space="0" w:color="auto"/>
                    <w:left w:val="none" w:sz="0" w:space="0" w:color="auto"/>
                    <w:bottom w:val="none" w:sz="0" w:space="0" w:color="auto"/>
                    <w:right w:val="none" w:sz="0" w:space="0" w:color="auto"/>
                  </w:divBdr>
                  <w:divsChild>
                    <w:div w:id="683048819">
                      <w:marLeft w:val="0"/>
                      <w:marRight w:val="0"/>
                      <w:marTop w:val="0"/>
                      <w:marBottom w:val="0"/>
                      <w:divBdr>
                        <w:top w:val="none" w:sz="0" w:space="0" w:color="auto"/>
                        <w:left w:val="none" w:sz="0" w:space="0" w:color="auto"/>
                        <w:bottom w:val="none" w:sz="0" w:space="0" w:color="auto"/>
                        <w:right w:val="none" w:sz="0" w:space="0" w:color="auto"/>
                      </w:divBdr>
                    </w:div>
                  </w:divsChild>
                </w:div>
                <w:div w:id="2108502373">
                  <w:marLeft w:val="0"/>
                  <w:marRight w:val="0"/>
                  <w:marTop w:val="0"/>
                  <w:marBottom w:val="0"/>
                  <w:divBdr>
                    <w:top w:val="none" w:sz="0" w:space="0" w:color="auto"/>
                    <w:left w:val="none" w:sz="0" w:space="0" w:color="auto"/>
                    <w:bottom w:val="none" w:sz="0" w:space="0" w:color="auto"/>
                    <w:right w:val="none" w:sz="0" w:space="0" w:color="auto"/>
                  </w:divBdr>
                  <w:divsChild>
                    <w:div w:id="1439644179">
                      <w:marLeft w:val="0"/>
                      <w:marRight w:val="0"/>
                      <w:marTop w:val="0"/>
                      <w:marBottom w:val="0"/>
                      <w:divBdr>
                        <w:top w:val="none" w:sz="0" w:space="0" w:color="auto"/>
                        <w:left w:val="none" w:sz="0" w:space="0" w:color="auto"/>
                        <w:bottom w:val="none" w:sz="0" w:space="0" w:color="auto"/>
                        <w:right w:val="none" w:sz="0" w:space="0" w:color="auto"/>
                      </w:divBdr>
                    </w:div>
                  </w:divsChild>
                </w:div>
                <w:div w:id="2144230080">
                  <w:marLeft w:val="0"/>
                  <w:marRight w:val="0"/>
                  <w:marTop w:val="0"/>
                  <w:marBottom w:val="0"/>
                  <w:divBdr>
                    <w:top w:val="none" w:sz="0" w:space="0" w:color="auto"/>
                    <w:left w:val="none" w:sz="0" w:space="0" w:color="auto"/>
                    <w:bottom w:val="none" w:sz="0" w:space="0" w:color="auto"/>
                    <w:right w:val="none" w:sz="0" w:space="0" w:color="auto"/>
                  </w:divBdr>
                  <w:divsChild>
                    <w:div w:id="18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47108">
      <w:bodyDiv w:val="1"/>
      <w:marLeft w:val="0"/>
      <w:marRight w:val="0"/>
      <w:marTop w:val="0"/>
      <w:marBottom w:val="0"/>
      <w:divBdr>
        <w:top w:val="none" w:sz="0" w:space="0" w:color="auto"/>
        <w:left w:val="none" w:sz="0" w:space="0" w:color="auto"/>
        <w:bottom w:val="none" w:sz="0" w:space="0" w:color="auto"/>
        <w:right w:val="none" w:sz="0" w:space="0" w:color="auto"/>
      </w:divBdr>
    </w:div>
    <w:div w:id="943224507">
      <w:bodyDiv w:val="1"/>
      <w:marLeft w:val="0"/>
      <w:marRight w:val="0"/>
      <w:marTop w:val="0"/>
      <w:marBottom w:val="0"/>
      <w:divBdr>
        <w:top w:val="none" w:sz="0" w:space="0" w:color="auto"/>
        <w:left w:val="none" w:sz="0" w:space="0" w:color="auto"/>
        <w:bottom w:val="none" w:sz="0" w:space="0" w:color="auto"/>
        <w:right w:val="none" w:sz="0" w:space="0" w:color="auto"/>
      </w:divBdr>
    </w:div>
    <w:div w:id="960301659">
      <w:bodyDiv w:val="1"/>
      <w:marLeft w:val="0"/>
      <w:marRight w:val="0"/>
      <w:marTop w:val="0"/>
      <w:marBottom w:val="0"/>
      <w:divBdr>
        <w:top w:val="none" w:sz="0" w:space="0" w:color="auto"/>
        <w:left w:val="none" w:sz="0" w:space="0" w:color="auto"/>
        <w:bottom w:val="none" w:sz="0" w:space="0" w:color="auto"/>
        <w:right w:val="none" w:sz="0" w:space="0" w:color="auto"/>
      </w:divBdr>
    </w:div>
    <w:div w:id="964582890">
      <w:bodyDiv w:val="1"/>
      <w:marLeft w:val="0"/>
      <w:marRight w:val="0"/>
      <w:marTop w:val="0"/>
      <w:marBottom w:val="0"/>
      <w:divBdr>
        <w:top w:val="none" w:sz="0" w:space="0" w:color="auto"/>
        <w:left w:val="none" w:sz="0" w:space="0" w:color="auto"/>
        <w:bottom w:val="none" w:sz="0" w:space="0" w:color="auto"/>
        <w:right w:val="none" w:sz="0" w:space="0" w:color="auto"/>
      </w:divBdr>
    </w:div>
    <w:div w:id="969899762">
      <w:bodyDiv w:val="1"/>
      <w:marLeft w:val="0"/>
      <w:marRight w:val="0"/>
      <w:marTop w:val="0"/>
      <w:marBottom w:val="0"/>
      <w:divBdr>
        <w:top w:val="none" w:sz="0" w:space="0" w:color="auto"/>
        <w:left w:val="none" w:sz="0" w:space="0" w:color="auto"/>
        <w:bottom w:val="none" w:sz="0" w:space="0" w:color="auto"/>
        <w:right w:val="none" w:sz="0" w:space="0" w:color="auto"/>
      </w:divBdr>
      <w:divsChild>
        <w:div w:id="1769539315">
          <w:marLeft w:val="0"/>
          <w:marRight w:val="0"/>
          <w:marTop w:val="0"/>
          <w:marBottom w:val="0"/>
          <w:divBdr>
            <w:top w:val="none" w:sz="0" w:space="0" w:color="auto"/>
            <w:left w:val="none" w:sz="0" w:space="0" w:color="auto"/>
            <w:bottom w:val="none" w:sz="0" w:space="0" w:color="auto"/>
            <w:right w:val="none" w:sz="0" w:space="0" w:color="auto"/>
          </w:divBdr>
        </w:div>
      </w:divsChild>
    </w:div>
    <w:div w:id="988434445">
      <w:bodyDiv w:val="1"/>
      <w:marLeft w:val="0"/>
      <w:marRight w:val="0"/>
      <w:marTop w:val="0"/>
      <w:marBottom w:val="0"/>
      <w:divBdr>
        <w:top w:val="none" w:sz="0" w:space="0" w:color="auto"/>
        <w:left w:val="none" w:sz="0" w:space="0" w:color="auto"/>
        <w:bottom w:val="none" w:sz="0" w:space="0" w:color="auto"/>
        <w:right w:val="none" w:sz="0" w:space="0" w:color="auto"/>
      </w:divBdr>
    </w:div>
    <w:div w:id="1011834826">
      <w:bodyDiv w:val="1"/>
      <w:marLeft w:val="0"/>
      <w:marRight w:val="0"/>
      <w:marTop w:val="0"/>
      <w:marBottom w:val="0"/>
      <w:divBdr>
        <w:top w:val="none" w:sz="0" w:space="0" w:color="auto"/>
        <w:left w:val="none" w:sz="0" w:space="0" w:color="auto"/>
        <w:bottom w:val="none" w:sz="0" w:space="0" w:color="auto"/>
        <w:right w:val="none" w:sz="0" w:space="0" w:color="auto"/>
      </w:divBdr>
    </w:div>
    <w:div w:id="1014111211">
      <w:bodyDiv w:val="1"/>
      <w:marLeft w:val="0"/>
      <w:marRight w:val="0"/>
      <w:marTop w:val="0"/>
      <w:marBottom w:val="0"/>
      <w:divBdr>
        <w:top w:val="none" w:sz="0" w:space="0" w:color="auto"/>
        <w:left w:val="none" w:sz="0" w:space="0" w:color="auto"/>
        <w:bottom w:val="none" w:sz="0" w:space="0" w:color="auto"/>
        <w:right w:val="none" w:sz="0" w:space="0" w:color="auto"/>
      </w:divBdr>
    </w:div>
    <w:div w:id="1035623099">
      <w:bodyDiv w:val="1"/>
      <w:marLeft w:val="0"/>
      <w:marRight w:val="0"/>
      <w:marTop w:val="0"/>
      <w:marBottom w:val="0"/>
      <w:divBdr>
        <w:top w:val="none" w:sz="0" w:space="0" w:color="auto"/>
        <w:left w:val="none" w:sz="0" w:space="0" w:color="auto"/>
        <w:bottom w:val="none" w:sz="0" w:space="0" w:color="auto"/>
        <w:right w:val="none" w:sz="0" w:space="0" w:color="auto"/>
      </w:divBdr>
    </w:div>
    <w:div w:id="1039091902">
      <w:bodyDiv w:val="1"/>
      <w:marLeft w:val="0"/>
      <w:marRight w:val="0"/>
      <w:marTop w:val="0"/>
      <w:marBottom w:val="0"/>
      <w:divBdr>
        <w:top w:val="none" w:sz="0" w:space="0" w:color="auto"/>
        <w:left w:val="none" w:sz="0" w:space="0" w:color="auto"/>
        <w:bottom w:val="none" w:sz="0" w:space="0" w:color="auto"/>
        <w:right w:val="none" w:sz="0" w:space="0" w:color="auto"/>
      </w:divBdr>
    </w:div>
    <w:div w:id="1073158964">
      <w:bodyDiv w:val="1"/>
      <w:marLeft w:val="0"/>
      <w:marRight w:val="0"/>
      <w:marTop w:val="0"/>
      <w:marBottom w:val="0"/>
      <w:divBdr>
        <w:top w:val="none" w:sz="0" w:space="0" w:color="auto"/>
        <w:left w:val="none" w:sz="0" w:space="0" w:color="auto"/>
        <w:bottom w:val="none" w:sz="0" w:space="0" w:color="auto"/>
        <w:right w:val="none" w:sz="0" w:space="0" w:color="auto"/>
      </w:divBdr>
    </w:div>
    <w:div w:id="1074933619">
      <w:bodyDiv w:val="1"/>
      <w:marLeft w:val="0"/>
      <w:marRight w:val="0"/>
      <w:marTop w:val="0"/>
      <w:marBottom w:val="0"/>
      <w:divBdr>
        <w:top w:val="none" w:sz="0" w:space="0" w:color="auto"/>
        <w:left w:val="none" w:sz="0" w:space="0" w:color="auto"/>
        <w:bottom w:val="none" w:sz="0" w:space="0" w:color="auto"/>
        <w:right w:val="none" w:sz="0" w:space="0" w:color="auto"/>
      </w:divBdr>
      <w:divsChild>
        <w:div w:id="1932084088">
          <w:marLeft w:val="0"/>
          <w:marRight w:val="0"/>
          <w:marTop w:val="0"/>
          <w:marBottom w:val="0"/>
          <w:divBdr>
            <w:top w:val="none" w:sz="0" w:space="0" w:color="auto"/>
            <w:left w:val="none" w:sz="0" w:space="0" w:color="auto"/>
            <w:bottom w:val="none" w:sz="0" w:space="0" w:color="auto"/>
            <w:right w:val="none" w:sz="0" w:space="0" w:color="auto"/>
          </w:divBdr>
        </w:div>
        <w:div w:id="1992252644">
          <w:marLeft w:val="0"/>
          <w:marRight w:val="0"/>
          <w:marTop w:val="0"/>
          <w:marBottom w:val="0"/>
          <w:divBdr>
            <w:top w:val="none" w:sz="0" w:space="0" w:color="auto"/>
            <w:left w:val="none" w:sz="0" w:space="0" w:color="auto"/>
            <w:bottom w:val="none" w:sz="0" w:space="0" w:color="auto"/>
            <w:right w:val="none" w:sz="0" w:space="0" w:color="auto"/>
          </w:divBdr>
          <w:divsChild>
            <w:div w:id="2108651525">
              <w:marLeft w:val="0"/>
              <w:marRight w:val="0"/>
              <w:marTop w:val="30"/>
              <w:marBottom w:val="30"/>
              <w:divBdr>
                <w:top w:val="none" w:sz="0" w:space="0" w:color="auto"/>
                <w:left w:val="none" w:sz="0" w:space="0" w:color="auto"/>
                <w:bottom w:val="none" w:sz="0" w:space="0" w:color="auto"/>
                <w:right w:val="none" w:sz="0" w:space="0" w:color="auto"/>
              </w:divBdr>
              <w:divsChild>
                <w:div w:id="48190586">
                  <w:marLeft w:val="0"/>
                  <w:marRight w:val="0"/>
                  <w:marTop w:val="0"/>
                  <w:marBottom w:val="0"/>
                  <w:divBdr>
                    <w:top w:val="none" w:sz="0" w:space="0" w:color="auto"/>
                    <w:left w:val="none" w:sz="0" w:space="0" w:color="auto"/>
                    <w:bottom w:val="none" w:sz="0" w:space="0" w:color="auto"/>
                    <w:right w:val="none" w:sz="0" w:space="0" w:color="auto"/>
                  </w:divBdr>
                  <w:divsChild>
                    <w:div w:id="432092400">
                      <w:marLeft w:val="0"/>
                      <w:marRight w:val="0"/>
                      <w:marTop w:val="0"/>
                      <w:marBottom w:val="0"/>
                      <w:divBdr>
                        <w:top w:val="none" w:sz="0" w:space="0" w:color="auto"/>
                        <w:left w:val="none" w:sz="0" w:space="0" w:color="auto"/>
                        <w:bottom w:val="none" w:sz="0" w:space="0" w:color="auto"/>
                        <w:right w:val="none" w:sz="0" w:space="0" w:color="auto"/>
                      </w:divBdr>
                    </w:div>
                  </w:divsChild>
                </w:div>
                <w:div w:id="100616424">
                  <w:marLeft w:val="0"/>
                  <w:marRight w:val="0"/>
                  <w:marTop w:val="0"/>
                  <w:marBottom w:val="0"/>
                  <w:divBdr>
                    <w:top w:val="none" w:sz="0" w:space="0" w:color="auto"/>
                    <w:left w:val="none" w:sz="0" w:space="0" w:color="auto"/>
                    <w:bottom w:val="none" w:sz="0" w:space="0" w:color="auto"/>
                    <w:right w:val="none" w:sz="0" w:space="0" w:color="auto"/>
                  </w:divBdr>
                  <w:divsChild>
                    <w:div w:id="616452619">
                      <w:marLeft w:val="0"/>
                      <w:marRight w:val="0"/>
                      <w:marTop w:val="0"/>
                      <w:marBottom w:val="0"/>
                      <w:divBdr>
                        <w:top w:val="none" w:sz="0" w:space="0" w:color="auto"/>
                        <w:left w:val="none" w:sz="0" w:space="0" w:color="auto"/>
                        <w:bottom w:val="none" w:sz="0" w:space="0" w:color="auto"/>
                        <w:right w:val="none" w:sz="0" w:space="0" w:color="auto"/>
                      </w:divBdr>
                    </w:div>
                  </w:divsChild>
                </w:div>
                <w:div w:id="114058968">
                  <w:marLeft w:val="0"/>
                  <w:marRight w:val="0"/>
                  <w:marTop w:val="0"/>
                  <w:marBottom w:val="0"/>
                  <w:divBdr>
                    <w:top w:val="none" w:sz="0" w:space="0" w:color="auto"/>
                    <w:left w:val="none" w:sz="0" w:space="0" w:color="auto"/>
                    <w:bottom w:val="none" w:sz="0" w:space="0" w:color="auto"/>
                    <w:right w:val="none" w:sz="0" w:space="0" w:color="auto"/>
                  </w:divBdr>
                  <w:divsChild>
                    <w:div w:id="477765951">
                      <w:marLeft w:val="0"/>
                      <w:marRight w:val="0"/>
                      <w:marTop w:val="0"/>
                      <w:marBottom w:val="0"/>
                      <w:divBdr>
                        <w:top w:val="none" w:sz="0" w:space="0" w:color="auto"/>
                        <w:left w:val="none" w:sz="0" w:space="0" w:color="auto"/>
                        <w:bottom w:val="none" w:sz="0" w:space="0" w:color="auto"/>
                        <w:right w:val="none" w:sz="0" w:space="0" w:color="auto"/>
                      </w:divBdr>
                    </w:div>
                  </w:divsChild>
                </w:div>
                <w:div w:id="148987361">
                  <w:marLeft w:val="0"/>
                  <w:marRight w:val="0"/>
                  <w:marTop w:val="0"/>
                  <w:marBottom w:val="0"/>
                  <w:divBdr>
                    <w:top w:val="none" w:sz="0" w:space="0" w:color="auto"/>
                    <w:left w:val="none" w:sz="0" w:space="0" w:color="auto"/>
                    <w:bottom w:val="none" w:sz="0" w:space="0" w:color="auto"/>
                    <w:right w:val="none" w:sz="0" w:space="0" w:color="auto"/>
                  </w:divBdr>
                  <w:divsChild>
                    <w:div w:id="1461923847">
                      <w:marLeft w:val="0"/>
                      <w:marRight w:val="0"/>
                      <w:marTop w:val="0"/>
                      <w:marBottom w:val="0"/>
                      <w:divBdr>
                        <w:top w:val="none" w:sz="0" w:space="0" w:color="auto"/>
                        <w:left w:val="none" w:sz="0" w:space="0" w:color="auto"/>
                        <w:bottom w:val="none" w:sz="0" w:space="0" w:color="auto"/>
                        <w:right w:val="none" w:sz="0" w:space="0" w:color="auto"/>
                      </w:divBdr>
                    </w:div>
                  </w:divsChild>
                </w:div>
                <w:div w:id="301810422">
                  <w:marLeft w:val="0"/>
                  <w:marRight w:val="0"/>
                  <w:marTop w:val="0"/>
                  <w:marBottom w:val="0"/>
                  <w:divBdr>
                    <w:top w:val="none" w:sz="0" w:space="0" w:color="auto"/>
                    <w:left w:val="none" w:sz="0" w:space="0" w:color="auto"/>
                    <w:bottom w:val="none" w:sz="0" w:space="0" w:color="auto"/>
                    <w:right w:val="none" w:sz="0" w:space="0" w:color="auto"/>
                  </w:divBdr>
                  <w:divsChild>
                    <w:div w:id="1860774375">
                      <w:marLeft w:val="0"/>
                      <w:marRight w:val="0"/>
                      <w:marTop w:val="0"/>
                      <w:marBottom w:val="0"/>
                      <w:divBdr>
                        <w:top w:val="none" w:sz="0" w:space="0" w:color="auto"/>
                        <w:left w:val="none" w:sz="0" w:space="0" w:color="auto"/>
                        <w:bottom w:val="none" w:sz="0" w:space="0" w:color="auto"/>
                        <w:right w:val="none" w:sz="0" w:space="0" w:color="auto"/>
                      </w:divBdr>
                    </w:div>
                  </w:divsChild>
                </w:div>
                <w:div w:id="304093861">
                  <w:marLeft w:val="0"/>
                  <w:marRight w:val="0"/>
                  <w:marTop w:val="0"/>
                  <w:marBottom w:val="0"/>
                  <w:divBdr>
                    <w:top w:val="none" w:sz="0" w:space="0" w:color="auto"/>
                    <w:left w:val="none" w:sz="0" w:space="0" w:color="auto"/>
                    <w:bottom w:val="none" w:sz="0" w:space="0" w:color="auto"/>
                    <w:right w:val="none" w:sz="0" w:space="0" w:color="auto"/>
                  </w:divBdr>
                  <w:divsChild>
                    <w:div w:id="839583892">
                      <w:marLeft w:val="0"/>
                      <w:marRight w:val="0"/>
                      <w:marTop w:val="0"/>
                      <w:marBottom w:val="0"/>
                      <w:divBdr>
                        <w:top w:val="none" w:sz="0" w:space="0" w:color="auto"/>
                        <w:left w:val="none" w:sz="0" w:space="0" w:color="auto"/>
                        <w:bottom w:val="none" w:sz="0" w:space="0" w:color="auto"/>
                        <w:right w:val="none" w:sz="0" w:space="0" w:color="auto"/>
                      </w:divBdr>
                    </w:div>
                  </w:divsChild>
                </w:div>
                <w:div w:id="345133556">
                  <w:marLeft w:val="0"/>
                  <w:marRight w:val="0"/>
                  <w:marTop w:val="0"/>
                  <w:marBottom w:val="0"/>
                  <w:divBdr>
                    <w:top w:val="none" w:sz="0" w:space="0" w:color="auto"/>
                    <w:left w:val="none" w:sz="0" w:space="0" w:color="auto"/>
                    <w:bottom w:val="none" w:sz="0" w:space="0" w:color="auto"/>
                    <w:right w:val="none" w:sz="0" w:space="0" w:color="auto"/>
                  </w:divBdr>
                  <w:divsChild>
                    <w:div w:id="1128206885">
                      <w:marLeft w:val="0"/>
                      <w:marRight w:val="0"/>
                      <w:marTop w:val="0"/>
                      <w:marBottom w:val="0"/>
                      <w:divBdr>
                        <w:top w:val="none" w:sz="0" w:space="0" w:color="auto"/>
                        <w:left w:val="none" w:sz="0" w:space="0" w:color="auto"/>
                        <w:bottom w:val="none" w:sz="0" w:space="0" w:color="auto"/>
                        <w:right w:val="none" w:sz="0" w:space="0" w:color="auto"/>
                      </w:divBdr>
                    </w:div>
                  </w:divsChild>
                </w:div>
                <w:div w:id="432556443">
                  <w:marLeft w:val="0"/>
                  <w:marRight w:val="0"/>
                  <w:marTop w:val="0"/>
                  <w:marBottom w:val="0"/>
                  <w:divBdr>
                    <w:top w:val="none" w:sz="0" w:space="0" w:color="auto"/>
                    <w:left w:val="none" w:sz="0" w:space="0" w:color="auto"/>
                    <w:bottom w:val="none" w:sz="0" w:space="0" w:color="auto"/>
                    <w:right w:val="none" w:sz="0" w:space="0" w:color="auto"/>
                  </w:divBdr>
                  <w:divsChild>
                    <w:div w:id="805120751">
                      <w:marLeft w:val="0"/>
                      <w:marRight w:val="0"/>
                      <w:marTop w:val="0"/>
                      <w:marBottom w:val="0"/>
                      <w:divBdr>
                        <w:top w:val="none" w:sz="0" w:space="0" w:color="auto"/>
                        <w:left w:val="none" w:sz="0" w:space="0" w:color="auto"/>
                        <w:bottom w:val="none" w:sz="0" w:space="0" w:color="auto"/>
                        <w:right w:val="none" w:sz="0" w:space="0" w:color="auto"/>
                      </w:divBdr>
                    </w:div>
                  </w:divsChild>
                </w:div>
                <w:div w:id="474225046">
                  <w:marLeft w:val="0"/>
                  <w:marRight w:val="0"/>
                  <w:marTop w:val="0"/>
                  <w:marBottom w:val="0"/>
                  <w:divBdr>
                    <w:top w:val="none" w:sz="0" w:space="0" w:color="auto"/>
                    <w:left w:val="none" w:sz="0" w:space="0" w:color="auto"/>
                    <w:bottom w:val="none" w:sz="0" w:space="0" w:color="auto"/>
                    <w:right w:val="none" w:sz="0" w:space="0" w:color="auto"/>
                  </w:divBdr>
                  <w:divsChild>
                    <w:div w:id="269630215">
                      <w:marLeft w:val="0"/>
                      <w:marRight w:val="0"/>
                      <w:marTop w:val="0"/>
                      <w:marBottom w:val="0"/>
                      <w:divBdr>
                        <w:top w:val="none" w:sz="0" w:space="0" w:color="auto"/>
                        <w:left w:val="none" w:sz="0" w:space="0" w:color="auto"/>
                        <w:bottom w:val="none" w:sz="0" w:space="0" w:color="auto"/>
                        <w:right w:val="none" w:sz="0" w:space="0" w:color="auto"/>
                      </w:divBdr>
                    </w:div>
                  </w:divsChild>
                </w:div>
                <w:div w:id="502671816">
                  <w:marLeft w:val="0"/>
                  <w:marRight w:val="0"/>
                  <w:marTop w:val="0"/>
                  <w:marBottom w:val="0"/>
                  <w:divBdr>
                    <w:top w:val="none" w:sz="0" w:space="0" w:color="auto"/>
                    <w:left w:val="none" w:sz="0" w:space="0" w:color="auto"/>
                    <w:bottom w:val="none" w:sz="0" w:space="0" w:color="auto"/>
                    <w:right w:val="none" w:sz="0" w:space="0" w:color="auto"/>
                  </w:divBdr>
                  <w:divsChild>
                    <w:div w:id="1641762368">
                      <w:marLeft w:val="0"/>
                      <w:marRight w:val="0"/>
                      <w:marTop w:val="0"/>
                      <w:marBottom w:val="0"/>
                      <w:divBdr>
                        <w:top w:val="none" w:sz="0" w:space="0" w:color="auto"/>
                        <w:left w:val="none" w:sz="0" w:space="0" w:color="auto"/>
                        <w:bottom w:val="none" w:sz="0" w:space="0" w:color="auto"/>
                        <w:right w:val="none" w:sz="0" w:space="0" w:color="auto"/>
                      </w:divBdr>
                    </w:div>
                  </w:divsChild>
                </w:div>
                <w:div w:id="503590086">
                  <w:marLeft w:val="0"/>
                  <w:marRight w:val="0"/>
                  <w:marTop w:val="0"/>
                  <w:marBottom w:val="0"/>
                  <w:divBdr>
                    <w:top w:val="none" w:sz="0" w:space="0" w:color="auto"/>
                    <w:left w:val="none" w:sz="0" w:space="0" w:color="auto"/>
                    <w:bottom w:val="none" w:sz="0" w:space="0" w:color="auto"/>
                    <w:right w:val="none" w:sz="0" w:space="0" w:color="auto"/>
                  </w:divBdr>
                  <w:divsChild>
                    <w:div w:id="517814517">
                      <w:marLeft w:val="0"/>
                      <w:marRight w:val="0"/>
                      <w:marTop w:val="0"/>
                      <w:marBottom w:val="0"/>
                      <w:divBdr>
                        <w:top w:val="none" w:sz="0" w:space="0" w:color="auto"/>
                        <w:left w:val="none" w:sz="0" w:space="0" w:color="auto"/>
                        <w:bottom w:val="none" w:sz="0" w:space="0" w:color="auto"/>
                        <w:right w:val="none" w:sz="0" w:space="0" w:color="auto"/>
                      </w:divBdr>
                    </w:div>
                  </w:divsChild>
                </w:div>
                <w:div w:id="536623879">
                  <w:marLeft w:val="0"/>
                  <w:marRight w:val="0"/>
                  <w:marTop w:val="0"/>
                  <w:marBottom w:val="0"/>
                  <w:divBdr>
                    <w:top w:val="none" w:sz="0" w:space="0" w:color="auto"/>
                    <w:left w:val="none" w:sz="0" w:space="0" w:color="auto"/>
                    <w:bottom w:val="none" w:sz="0" w:space="0" w:color="auto"/>
                    <w:right w:val="none" w:sz="0" w:space="0" w:color="auto"/>
                  </w:divBdr>
                  <w:divsChild>
                    <w:div w:id="1817143975">
                      <w:marLeft w:val="0"/>
                      <w:marRight w:val="0"/>
                      <w:marTop w:val="0"/>
                      <w:marBottom w:val="0"/>
                      <w:divBdr>
                        <w:top w:val="none" w:sz="0" w:space="0" w:color="auto"/>
                        <w:left w:val="none" w:sz="0" w:space="0" w:color="auto"/>
                        <w:bottom w:val="none" w:sz="0" w:space="0" w:color="auto"/>
                        <w:right w:val="none" w:sz="0" w:space="0" w:color="auto"/>
                      </w:divBdr>
                    </w:div>
                  </w:divsChild>
                </w:div>
                <w:div w:id="598410153">
                  <w:marLeft w:val="0"/>
                  <w:marRight w:val="0"/>
                  <w:marTop w:val="0"/>
                  <w:marBottom w:val="0"/>
                  <w:divBdr>
                    <w:top w:val="none" w:sz="0" w:space="0" w:color="auto"/>
                    <w:left w:val="none" w:sz="0" w:space="0" w:color="auto"/>
                    <w:bottom w:val="none" w:sz="0" w:space="0" w:color="auto"/>
                    <w:right w:val="none" w:sz="0" w:space="0" w:color="auto"/>
                  </w:divBdr>
                  <w:divsChild>
                    <w:div w:id="1934168343">
                      <w:marLeft w:val="0"/>
                      <w:marRight w:val="0"/>
                      <w:marTop w:val="0"/>
                      <w:marBottom w:val="0"/>
                      <w:divBdr>
                        <w:top w:val="none" w:sz="0" w:space="0" w:color="auto"/>
                        <w:left w:val="none" w:sz="0" w:space="0" w:color="auto"/>
                        <w:bottom w:val="none" w:sz="0" w:space="0" w:color="auto"/>
                        <w:right w:val="none" w:sz="0" w:space="0" w:color="auto"/>
                      </w:divBdr>
                    </w:div>
                  </w:divsChild>
                </w:div>
                <w:div w:id="667096048">
                  <w:marLeft w:val="0"/>
                  <w:marRight w:val="0"/>
                  <w:marTop w:val="0"/>
                  <w:marBottom w:val="0"/>
                  <w:divBdr>
                    <w:top w:val="none" w:sz="0" w:space="0" w:color="auto"/>
                    <w:left w:val="none" w:sz="0" w:space="0" w:color="auto"/>
                    <w:bottom w:val="none" w:sz="0" w:space="0" w:color="auto"/>
                    <w:right w:val="none" w:sz="0" w:space="0" w:color="auto"/>
                  </w:divBdr>
                  <w:divsChild>
                    <w:div w:id="663045506">
                      <w:marLeft w:val="0"/>
                      <w:marRight w:val="0"/>
                      <w:marTop w:val="0"/>
                      <w:marBottom w:val="0"/>
                      <w:divBdr>
                        <w:top w:val="none" w:sz="0" w:space="0" w:color="auto"/>
                        <w:left w:val="none" w:sz="0" w:space="0" w:color="auto"/>
                        <w:bottom w:val="none" w:sz="0" w:space="0" w:color="auto"/>
                        <w:right w:val="none" w:sz="0" w:space="0" w:color="auto"/>
                      </w:divBdr>
                    </w:div>
                  </w:divsChild>
                </w:div>
                <w:div w:id="829060289">
                  <w:marLeft w:val="0"/>
                  <w:marRight w:val="0"/>
                  <w:marTop w:val="0"/>
                  <w:marBottom w:val="0"/>
                  <w:divBdr>
                    <w:top w:val="none" w:sz="0" w:space="0" w:color="auto"/>
                    <w:left w:val="none" w:sz="0" w:space="0" w:color="auto"/>
                    <w:bottom w:val="none" w:sz="0" w:space="0" w:color="auto"/>
                    <w:right w:val="none" w:sz="0" w:space="0" w:color="auto"/>
                  </w:divBdr>
                  <w:divsChild>
                    <w:div w:id="1894346027">
                      <w:marLeft w:val="0"/>
                      <w:marRight w:val="0"/>
                      <w:marTop w:val="0"/>
                      <w:marBottom w:val="0"/>
                      <w:divBdr>
                        <w:top w:val="none" w:sz="0" w:space="0" w:color="auto"/>
                        <w:left w:val="none" w:sz="0" w:space="0" w:color="auto"/>
                        <w:bottom w:val="none" w:sz="0" w:space="0" w:color="auto"/>
                        <w:right w:val="none" w:sz="0" w:space="0" w:color="auto"/>
                      </w:divBdr>
                    </w:div>
                  </w:divsChild>
                </w:div>
                <w:div w:id="925187918">
                  <w:marLeft w:val="0"/>
                  <w:marRight w:val="0"/>
                  <w:marTop w:val="0"/>
                  <w:marBottom w:val="0"/>
                  <w:divBdr>
                    <w:top w:val="none" w:sz="0" w:space="0" w:color="auto"/>
                    <w:left w:val="none" w:sz="0" w:space="0" w:color="auto"/>
                    <w:bottom w:val="none" w:sz="0" w:space="0" w:color="auto"/>
                    <w:right w:val="none" w:sz="0" w:space="0" w:color="auto"/>
                  </w:divBdr>
                  <w:divsChild>
                    <w:div w:id="456292268">
                      <w:marLeft w:val="0"/>
                      <w:marRight w:val="0"/>
                      <w:marTop w:val="0"/>
                      <w:marBottom w:val="0"/>
                      <w:divBdr>
                        <w:top w:val="none" w:sz="0" w:space="0" w:color="auto"/>
                        <w:left w:val="none" w:sz="0" w:space="0" w:color="auto"/>
                        <w:bottom w:val="none" w:sz="0" w:space="0" w:color="auto"/>
                        <w:right w:val="none" w:sz="0" w:space="0" w:color="auto"/>
                      </w:divBdr>
                    </w:div>
                  </w:divsChild>
                </w:div>
                <w:div w:id="1002463789">
                  <w:marLeft w:val="0"/>
                  <w:marRight w:val="0"/>
                  <w:marTop w:val="0"/>
                  <w:marBottom w:val="0"/>
                  <w:divBdr>
                    <w:top w:val="none" w:sz="0" w:space="0" w:color="auto"/>
                    <w:left w:val="none" w:sz="0" w:space="0" w:color="auto"/>
                    <w:bottom w:val="none" w:sz="0" w:space="0" w:color="auto"/>
                    <w:right w:val="none" w:sz="0" w:space="0" w:color="auto"/>
                  </w:divBdr>
                  <w:divsChild>
                    <w:div w:id="2042977481">
                      <w:marLeft w:val="0"/>
                      <w:marRight w:val="0"/>
                      <w:marTop w:val="0"/>
                      <w:marBottom w:val="0"/>
                      <w:divBdr>
                        <w:top w:val="none" w:sz="0" w:space="0" w:color="auto"/>
                        <w:left w:val="none" w:sz="0" w:space="0" w:color="auto"/>
                        <w:bottom w:val="none" w:sz="0" w:space="0" w:color="auto"/>
                        <w:right w:val="none" w:sz="0" w:space="0" w:color="auto"/>
                      </w:divBdr>
                    </w:div>
                  </w:divsChild>
                </w:div>
                <w:div w:id="1010987347">
                  <w:marLeft w:val="0"/>
                  <w:marRight w:val="0"/>
                  <w:marTop w:val="0"/>
                  <w:marBottom w:val="0"/>
                  <w:divBdr>
                    <w:top w:val="none" w:sz="0" w:space="0" w:color="auto"/>
                    <w:left w:val="none" w:sz="0" w:space="0" w:color="auto"/>
                    <w:bottom w:val="none" w:sz="0" w:space="0" w:color="auto"/>
                    <w:right w:val="none" w:sz="0" w:space="0" w:color="auto"/>
                  </w:divBdr>
                  <w:divsChild>
                    <w:div w:id="2073310050">
                      <w:marLeft w:val="0"/>
                      <w:marRight w:val="0"/>
                      <w:marTop w:val="0"/>
                      <w:marBottom w:val="0"/>
                      <w:divBdr>
                        <w:top w:val="none" w:sz="0" w:space="0" w:color="auto"/>
                        <w:left w:val="none" w:sz="0" w:space="0" w:color="auto"/>
                        <w:bottom w:val="none" w:sz="0" w:space="0" w:color="auto"/>
                        <w:right w:val="none" w:sz="0" w:space="0" w:color="auto"/>
                      </w:divBdr>
                    </w:div>
                  </w:divsChild>
                </w:div>
                <w:div w:id="1073360290">
                  <w:marLeft w:val="0"/>
                  <w:marRight w:val="0"/>
                  <w:marTop w:val="0"/>
                  <w:marBottom w:val="0"/>
                  <w:divBdr>
                    <w:top w:val="none" w:sz="0" w:space="0" w:color="auto"/>
                    <w:left w:val="none" w:sz="0" w:space="0" w:color="auto"/>
                    <w:bottom w:val="none" w:sz="0" w:space="0" w:color="auto"/>
                    <w:right w:val="none" w:sz="0" w:space="0" w:color="auto"/>
                  </w:divBdr>
                  <w:divsChild>
                    <w:div w:id="1755201038">
                      <w:marLeft w:val="0"/>
                      <w:marRight w:val="0"/>
                      <w:marTop w:val="0"/>
                      <w:marBottom w:val="0"/>
                      <w:divBdr>
                        <w:top w:val="none" w:sz="0" w:space="0" w:color="auto"/>
                        <w:left w:val="none" w:sz="0" w:space="0" w:color="auto"/>
                        <w:bottom w:val="none" w:sz="0" w:space="0" w:color="auto"/>
                        <w:right w:val="none" w:sz="0" w:space="0" w:color="auto"/>
                      </w:divBdr>
                    </w:div>
                  </w:divsChild>
                </w:div>
                <w:div w:id="1198007984">
                  <w:marLeft w:val="0"/>
                  <w:marRight w:val="0"/>
                  <w:marTop w:val="0"/>
                  <w:marBottom w:val="0"/>
                  <w:divBdr>
                    <w:top w:val="none" w:sz="0" w:space="0" w:color="auto"/>
                    <w:left w:val="none" w:sz="0" w:space="0" w:color="auto"/>
                    <w:bottom w:val="none" w:sz="0" w:space="0" w:color="auto"/>
                    <w:right w:val="none" w:sz="0" w:space="0" w:color="auto"/>
                  </w:divBdr>
                  <w:divsChild>
                    <w:div w:id="513030670">
                      <w:marLeft w:val="0"/>
                      <w:marRight w:val="0"/>
                      <w:marTop w:val="0"/>
                      <w:marBottom w:val="0"/>
                      <w:divBdr>
                        <w:top w:val="none" w:sz="0" w:space="0" w:color="auto"/>
                        <w:left w:val="none" w:sz="0" w:space="0" w:color="auto"/>
                        <w:bottom w:val="none" w:sz="0" w:space="0" w:color="auto"/>
                        <w:right w:val="none" w:sz="0" w:space="0" w:color="auto"/>
                      </w:divBdr>
                    </w:div>
                  </w:divsChild>
                </w:div>
                <w:div w:id="1219704682">
                  <w:marLeft w:val="0"/>
                  <w:marRight w:val="0"/>
                  <w:marTop w:val="0"/>
                  <w:marBottom w:val="0"/>
                  <w:divBdr>
                    <w:top w:val="none" w:sz="0" w:space="0" w:color="auto"/>
                    <w:left w:val="none" w:sz="0" w:space="0" w:color="auto"/>
                    <w:bottom w:val="none" w:sz="0" w:space="0" w:color="auto"/>
                    <w:right w:val="none" w:sz="0" w:space="0" w:color="auto"/>
                  </w:divBdr>
                  <w:divsChild>
                    <w:div w:id="974338878">
                      <w:marLeft w:val="0"/>
                      <w:marRight w:val="0"/>
                      <w:marTop w:val="0"/>
                      <w:marBottom w:val="0"/>
                      <w:divBdr>
                        <w:top w:val="none" w:sz="0" w:space="0" w:color="auto"/>
                        <w:left w:val="none" w:sz="0" w:space="0" w:color="auto"/>
                        <w:bottom w:val="none" w:sz="0" w:space="0" w:color="auto"/>
                        <w:right w:val="none" w:sz="0" w:space="0" w:color="auto"/>
                      </w:divBdr>
                    </w:div>
                  </w:divsChild>
                </w:div>
                <w:div w:id="1230072228">
                  <w:marLeft w:val="0"/>
                  <w:marRight w:val="0"/>
                  <w:marTop w:val="0"/>
                  <w:marBottom w:val="0"/>
                  <w:divBdr>
                    <w:top w:val="none" w:sz="0" w:space="0" w:color="auto"/>
                    <w:left w:val="none" w:sz="0" w:space="0" w:color="auto"/>
                    <w:bottom w:val="none" w:sz="0" w:space="0" w:color="auto"/>
                    <w:right w:val="none" w:sz="0" w:space="0" w:color="auto"/>
                  </w:divBdr>
                  <w:divsChild>
                    <w:div w:id="2138060929">
                      <w:marLeft w:val="0"/>
                      <w:marRight w:val="0"/>
                      <w:marTop w:val="0"/>
                      <w:marBottom w:val="0"/>
                      <w:divBdr>
                        <w:top w:val="none" w:sz="0" w:space="0" w:color="auto"/>
                        <w:left w:val="none" w:sz="0" w:space="0" w:color="auto"/>
                        <w:bottom w:val="none" w:sz="0" w:space="0" w:color="auto"/>
                        <w:right w:val="none" w:sz="0" w:space="0" w:color="auto"/>
                      </w:divBdr>
                    </w:div>
                  </w:divsChild>
                </w:div>
                <w:div w:id="1249998382">
                  <w:marLeft w:val="0"/>
                  <w:marRight w:val="0"/>
                  <w:marTop w:val="0"/>
                  <w:marBottom w:val="0"/>
                  <w:divBdr>
                    <w:top w:val="none" w:sz="0" w:space="0" w:color="auto"/>
                    <w:left w:val="none" w:sz="0" w:space="0" w:color="auto"/>
                    <w:bottom w:val="none" w:sz="0" w:space="0" w:color="auto"/>
                    <w:right w:val="none" w:sz="0" w:space="0" w:color="auto"/>
                  </w:divBdr>
                  <w:divsChild>
                    <w:div w:id="953485895">
                      <w:marLeft w:val="0"/>
                      <w:marRight w:val="0"/>
                      <w:marTop w:val="0"/>
                      <w:marBottom w:val="0"/>
                      <w:divBdr>
                        <w:top w:val="none" w:sz="0" w:space="0" w:color="auto"/>
                        <w:left w:val="none" w:sz="0" w:space="0" w:color="auto"/>
                        <w:bottom w:val="none" w:sz="0" w:space="0" w:color="auto"/>
                        <w:right w:val="none" w:sz="0" w:space="0" w:color="auto"/>
                      </w:divBdr>
                    </w:div>
                  </w:divsChild>
                </w:div>
                <w:div w:id="1335572495">
                  <w:marLeft w:val="0"/>
                  <w:marRight w:val="0"/>
                  <w:marTop w:val="0"/>
                  <w:marBottom w:val="0"/>
                  <w:divBdr>
                    <w:top w:val="none" w:sz="0" w:space="0" w:color="auto"/>
                    <w:left w:val="none" w:sz="0" w:space="0" w:color="auto"/>
                    <w:bottom w:val="none" w:sz="0" w:space="0" w:color="auto"/>
                    <w:right w:val="none" w:sz="0" w:space="0" w:color="auto"/>
                  </w:divBdr>
                  <w:divsChild>
                    <w:div w:id="1372876833">
                      <w:marLeft w:val="0"/>
                      <w:marRight w:val="0"/>
                      <w:marTop w:val="0"/>
                      <w:marBottom w:val="0"/>
                      <w:divBdr>
                        <w:top w:val="none" w:sz="0" w:space="0" w:color="auto"/>
                        <w:left w:val="none" w:sz="0" w:space="0" w:color="auto"/>
                        <w:bottom w:val="none" w:sz="0" w:space="0" w:color="auto"/>
                        <w:right w:val="none" w:sz="0" w:space="0" w:color="auto"/>
                      </w:divBdr>
                    </w:div>
                  </w:divsChild>
                </w:div>
                <w:div w:id="1350453106">
                  <w:marLeft w:val="0"/>
                  <w:marRight w:val="0"/>
                  <w:marTop w:val="0"/>
                  <w:marBottom w:val="0"/>
                  <w:divBdr>
                    <w:top w:val="none" w:sz="0" w:space="0" w:color="auto"/>
                    <w:left w:val="none" w:sz="0" w:space="0" w:color="auto"/>
                    <w:bottom w:val="none" w:sz="0" w:space="0" w:color="auto"/>
                    <w:right w:val="none" w:sz="0" w:space="0" w:color="auto"/>
                  </w:divBdr>
                  <w:divsChild>
                    <w:div w:id="1747069393">
                      <w:marLeft w:val="0"/>
                      <w:marRight w:val="0"/>
                      <w:marTop w:val="0"/>
                      <w:marBottom w:val="0"/>
                      <w:divBdr>
                        <w:top w:val="none" w:sz="0" w:space="0" w:color="auto"/>
                        <w:left w:val="none" w:sz="0" w:space="0" w:color="auto"/>
                        <w:bottom w:val="none" w:sz="0" w:space="0" w:color="auto"/>
                        <w:right w:val="none" w:sz="0" w:space="0" w:color="auto"/>
                      </w:divBdr>
                    </w:div>
                  </w:divsChild>
                </w:div>
                <w:div w:id="1375273563">
                  <w:marLeft w:val="0"/>
                  <w:marRight w:val="0"/>
                  <w:marTop w:val="0"/>
                  <w:marBottom w:val="0"/>
                  <w:divBdr>
                    <w:top w:val="none" w:sz="0" w:space="0" w:color="auto"/>
                    <w:left w:val="none" w:sz="0" w:space="0" w:color="auto"/>
                    <w:bottom w:val="none" w:sz="0" w:space="0" w:color="auto"/>
                    <w:right w:val="none" w:sz="0" w:space="0" w:color="auto"/>
                  </w:divBdr>
                  <w:divsChild>
                    <w:div w:id="964046737">
                      <w:marLeft w:val="0"/>
                      <w:marRight w:val="0"/>
                      <w:marTop w:val="0"/>
                      <w:marBottom w:val="0"/>
                      <w:divBdr>
                        <w:top w:val="none" w:sz="0" w:space="0" w:color="auto"/>
                        <w:left w:val="none" w:sz="0" w:space="0" w:color="auto"/>
                        <w:bottom w:val="none" w:sz="0" w:space="0" w:color="auto"/>
                        <w:right w:val="none" w:sz="0" w:space="0" w:color="auto"/>
                      </w:divBdr>
                    </w:div>
                  </w:divsChild>
                </w:div>
                <w:div w:id="1417822437">
                  <w:marLeft w:val="0"/>
                  <w:marRight w:val="0"/>
                  <w:marTop w:val="0"/>
                  <w:marBottom w:val="0"/>
                  <w:divBdr>
                    <w:top w:val="none" w:sz="0" w:space="0" w:color="auto"/>
                    <w:left w:val="none" w:sz="0" w:space="0" w:color="auto"/>
                    <w:bottom w:val="none" w:sz="0" w:space="0" w:color="auto"/>
                    <w:right w:val="none" w:sz="0" w:space="0" w:color="auto"/>
                  </w:divBdr>
                  <w:divsChild>
                    <w:div w:id="324096211">
                      <w:marLeft w:val="0"/>
                      <w:marRight w:val="0"/>
                      <w:marTop w:val="0"/>
                      <w:marBottom w:val="0"/>
                      <w:divBdr>
                        <w:top w:val="none" w:sz="0" w:space="0" w:color="auto"/>
                        <w:left w:val="none" w:sz="0" w:space="0" w:color="auto"/>
                        <w:bottom w:val="none" w:sz="0" w:space="0" w:color="auto"/>
                        <w:right w:val="none" w:sz="0" w:space="0" w:color="auto"/>
                      </w:divBdr>
                    </w:div>
                  </w:divsChild>
                </w:div>
                <w:div w:id="1513491708">
                  <w:marLeft w:val="0"/>
                  <w:marRight w:val="0"/>
                  <w:marTop w:val="0"/>
                  <w:marBottom w:val="0"/>
                  <w:divBdr>
                    <w:top w:val="none" w:sz="0" w:space="0" w:color="auto"/>
                    <w:left w:val="none" w:sz="0" w:space="0" w:color="auto"/>
                    <w:bottom w:val="none" w:sz="0" w:space="0" w:color="auto"/>
                    <w:right w:val="none" w:sz="0" w:space="0" w:color="auto"/>
                  </w:divBdr>
                  <w:divsChild>
                    <w:div w:id="1743022009">
                      <w:marLeft w:val="0"/>
                      <w:marRight w:val="0"/>
                      <w:marTop w:val="0"/>
                      <w:marBottom w:val="0"/>
                      <w:divBdr>
                        <w:top w:val="none" w:sz="0" w:space="0" w:color="auto"/>
                        <w:left w:val="none" w:sz="0" w:space="0" w:color="auto"/>
                        <w:bottom w:val="none" w:sz="0" w:space="0" w:color="auto"/>
                        <w:right w:val="none" w:sz="0" w:space="0" w:color="auto"/>
                      </w:divBdr>
                    </w:div>
                  </w:divsChild>
                </w:div>
                <w:div w:id="1578247590">
                  <w:marLeft w:val="0"/>
                  <w:marRight w:val="0"/>
                  <w:marTop w:val="0"/>
                  <w:marBottom w:val="0"/>
                  <w:divBdr>
                    <w:top w:val="none" w:sz="0" w:space="0" w:color="auto"/>
                    <w:left w:val="none" w:sz="0" w:space="0" w:color="auto"/>
                    <w:bottom w:val="none" w:sz="0" w:space="0" w:color="auto"/>
                    <w:right w:val="none" w:sz="0" w:space="0" w:color="auto"/>
                  </w:divBdr>
                  <w:divsChild>
                    <w:div w:id="515314972">
                      <w:marLeft w:val="0"/>
                      <w:marRight w:val="0"/>
                      <w:marTop w:val="0"/>
                      <w:marBottom w:val="0"/>
                      <w:divBdr>
                        <w:top w:val="none" w:sz="0" w:space="0" w:color="auto"/>
                        <w:left w:val="none" w:sz="0" w:space="0" w:color="auto"/>
                        <w:bottom w:val="none" w:sz="0" w:space="0" w:color="auto"/>
                        <w:right w:val="none" w:sz="0" w:space="0" w:color="auto"/>
                      </w:divBdr>
                    </w:div>
                  </w:divsChild>
                </w:div>
                <w:div w:id="1604649527">
                  <w:marLeft w:val="0"/>
                  <w:marRight w:val="0"/>
                  <w:marTop w:val="0"/>
                  <w:marBottom w:val="0"/>
                  <w:divBdr>
                    <w:top w:val="none" w:sz="0" w:space="0" w:color="auto"/>
                    <w:left w:val="none" w:sz="0" w:space="0" w:color="auto"/>
                    <w:bottom w:val="none" w:sz="0" w:space="0" w:color="auto"/>
                    <w:right w:val="none" w:sz="0" w:space="0" w:color="auto"/>
                  </w:divBdr>
                  <w:divsChild>
                    <w:div w:id="1629581119">
                      <w:marLeft w:val="0"/>
                      <w:marRight w:val="0"/>
                      <w:marTop w:val="0"/>
                      <w:marBottom w:val="0"/>
                      <w:divBdr>
                        <w:top w:val="none" w:sz="0" w:space="0" w:color="auto"/>
                        <w:left w:val="none" w:sz="0" w:space="0" w:color="auto"/>
                        <w:bottom w:val="none" w:sz="0" w:space="0" w:color="auto"/>
                        <w:right w:val="none" w:sz="0" w:space="0" w:color="auto"/>
                      </w:divBdr>
                    </w:div>
                  </w:divsChild>
                </w:div>
                <w:div w:id="1689023808">
                  <w:marLeft w:val="0"/>
                  <w:marRight w:val="0"/>
                  <w:marTop w:val="0"/>
                  <w:marBottom w:val="0"/>
                  <w:divBdr>
                    <w:top w:val="none" w:sz="0" w:space="0" w:color="auto"/>
                    <w:left w:val="none" w:sz="0" w:space="0" w:color="auto"/>
                    <w:bottom w:val="none" w:sz="0" w:space="0" w:color="auto"/>
                    <w:right w:val="none" w:sz="0" w:space="0" w:color="auto"/>
                  </w:divBdr>
                  <w:divsChild>
                    <w:div w:id="946422861">
                      <w:marLeft w:val="0"/>
                      <w:marRight w:val="0"/>
                      <w:marTop w:val="0"/>
                      <w:marBottom w:val="0"/>
                      <w:divBdr>
                        <w:top w:val="none" w:sz="0" w:space="0" w:color="auto"/>
                        <w:left w:val="none" w:sz="0" w:space="0" w:color="auto"/>
                        <w:bottom w:val="none" w:sz="0" w:space="0" w:color="auto"/>
                        <w:right w:val="none" w:sz="0" w:space="0" w:color="auto"/>
                      </w:divBdr>
                    </w:div>
                  </w:divsChild>
                </w:div>
                <w:div w:id="1768496987">
                  <w:marLeft w:val="0"/>
                  <w:marRight w:val="0"/>
                  <w:marTop w:val="0"/>
                  <w:marBottom w:val="0"/>
                  <w:divBdr>
                    <w:top w:val="none" w:sz="0" w:space="0" w:color="auto"/>
                    <w:left w:val="none" w:sz="0" w:space="0" w:color="auto"/>
                    <w:bottom w:val="none" w:sz="0" w:space="0" w:color="auto"/>
                    <w:right w:val="none" w:sz="0" w:space="0" w:color="auto"/>
                  </w:divBdr>
                  <w:divsChild>
                    <w:div w:id="279000417">
                      <w:marLeft w:val="0"/>
                      <w:marRight w:val="0"/>
                      <w:marTop w:val="0"/>
                      <w:marBottom w:val="0"/>
                      <w:divBdr>
                        <w:top w:val="none" w:sz="0" w:space="0" w:color="auto"/>
                        <w:left w:val="none" w:sz="0" w:space="0" w:color="auto"/>
                        <w:bottom w:val="none" w:sz="0" w:space="0" w:color="auto"/>
                        <w:right w:val="none" w:sz="0" w:space="0" w:color="auto"/>
                      </w:divBdr>
                    </w:div>
                  </w:divsChild>
                </w:div>
                <w:div w:id="1807164082">
                  <w:marLeft w:val="0"/>
                  <w:marRight w:val="0"/>
                  <w:marTop w:val="0"/>
                  <w:marBottom w:val="0"/>
                  <w:divBdr>
                    <w:top w:val="none" w:sz="0" w:space="0" w:color="auto"/>
                    <w:left w:val="none" w:sz="0" w:space="0" w:color="auto"/>
                    <w:bottom w:val="none" w:sz="0" w:space="0" w:color="auto"/>
                    <w:right w:val="none" w:sz="0" w:space="0" w:color="auto"/>
                  </w:divBdr>
                  <w:divsChild>
                    <w:div w:id="1569143938">
                      <w:marLeft w:val="0"/>
                      <w:marRight w:val="0"/>
                      <w:marTop w:val="0"/>
                      <w:marBottom w:val="0"/>
                      <w:divBdr>
                        <w:top w:val="none" w:sz="0" w:space="0" w:color="auto"/>
                        <w:left w:val="none" w:sz="0" w:space="0" w:color="auto"/>
                        <w:bottom w:val="none" w:sz="0" w:space="0" w:color="auto"/>
                        <w:right w:val="none" w:sz="0" w:space="0" w:color="auto"/>
                      </w:divBdr>
                    </w:div>
                  </w:divsChild>
                </w:div>
                <w:div w:id="1846549742">
                  <w:marLeft w:val="0"/>
                  <w:marRight w:val="0"/>
                  <w:marTop w:val="0"/>
                  <w:marBottom w:val="0"/>
                  <w:divBdr>
                    <w:top w:val="none" w:sz="0" w:space="0" w:color="auto"/>
                    <w:left w:val="none" w:sz="0" w:space="0" w:color="auto"/>
                    <w:bottom w:val="none" w:sz="0" w:space="0" w:color="auto"/>
                    <w:right w:val="none" w:sz="0" w:space="0" w:color="auto"/>
                  </w:divBdr>
                  <w:divsChild>
                    <w:div w:id="1709720193">
                      <w:marLeft w:val="0"/>
                      <w:marRight w:val="0"/>
                      <w:marTop w:val="0"/>
                      <w:marBottom w:val="0"/>
                      <w:divBdr>
                        <w:top w:val="none" w:sz="0" w:space="0" w:color="auto"/>
                        <w:left w:val="none" w:sz="0" w:space="0" w:color="auto"/>
                        <w:bottom w:val="none" w:sz="0" w:space="0" w:color="auto"/>
                        <w:right w:val="none" w:sz="0" w:space="0" w:color="auto"/>
                      </w:divBdr>
                    </w:div>
                  </w:divsChild>
                </w:div>
                <w:div w:id="1991707328">
                  <w:marLeft w:val="0"/>
                  <w:marRight w:val="0"/>
                  <w:marTop w:val="0"/>
                  <w:marBottom w:val="0"/>
                  <w:divBdr>
                    <w:top w:val="none" w:sz="0" w:space="0" w:color="auto"/>
                    <w:left w:val="none" w:sz="0" w:space="0" w:color="auto"/>
                    <w:bottom w:val="none" w:sz="0" w:space="0" w:color="auto"/>
                    <w:right w:val="none" w:sz="0" w:space="0" w:color="auto"/>
                  </w:divBdr>
                  <w:divsChild>
                    <w:div w:id="70321903">
                      <w:marLeft w:val="0"/>
                      <w:marRight w:val="0"/>
                      <w:marTop w:val="0"/>
                      <w:marBottom w:val="0"/>
                      <w:divBdr>
                        <w:top w:val="none" w:sz="0" w:space="0" w:color="auto"/>
                        <w:left w:val="none" w:sz="0" w:space="0" w:color="auto"/>
                        <w:bottom w:val="none" w:sz="0" w:space="0" w:color="auto"/>
                        <w:right w:val="none" w:sz="0" w:space="0" w:color="auto"/>
                      </w:divBdr>
                    </w:div>
                  </w:divsChild>
                </w:div>
                <w:div w:id="2038891295">
                  <w:marLeft w:val="0"/>
                  <w:marRight w:val="0"/>
                  <w:marTop w:val="0"/>
                  <w:marBottom w:val="0"/>
                  <w:divBdr>
                    <w:top w:val="none" w:sz="0" w:space="0" w:color="auto"/>
                    <w:left w:val="none" w:sz="0" w:space="0" w:color="auto"/>
                    <w:bottom w:val="none" w:sz="0" w:space="0" w:color="auto"/>
                    <w:right w:val="none" w:sz="0" w:space="0" w:color="auto"/>
                  </w:divBdr>
                  <w:divsChild>
                    <w:div w:id="1643077008">
                      <w:marLeft w:val="0"/>
                      <w:marRight w:val="0"/>
                      <w:marTop w:val="0"/>
                      <w:marBottom w:val="0"/>
                      <w:divBdr>
                        <w:top w:val="none" w:sz="0" w:space="0" w:color="auto"/>
                        <w:left w:val="none" w:sz="0" w:space="0" w:color="auto"/>
                        <w:bottom w:val="none" w:sz="0" w:space="0" w:color="auto"/>
                        <w:right w:val="none" w:sz="0" w:space="0" w:color="auto"/>
                      </w:divBdr>
                    </w:div>
                  </w:divsChild>
                </w:div>
                <w:div w:id="2045514689">
                  <w:marLeft w:val="0"/>
                  <w:marRight w:val="0"/>
                  <w:marTop w:val="0"/>
                  <w:marBottom w:val="0"/>
                  <w:divBdr>
                    <w:top w:val="none" w:sz="0" w:space="0" w:color="auto"/>
                    <w:left w:val="none" w:sz="0" w:space="0" w:color="auto"/>
                    <w:bottom w:val="none" w:sz="0" w:space="0" w:color="auto"/>
                    <w:right w:val="none" w:sz="0" w:space="0" w:color="auto"/>
                  </w:divBdr>
                  <w:divsChild>
                    <w:div w:id="2022468839">
                      <w:marLeft w:val="0"/>
                      <w:marRight w:val="0"/>
                      <w:marTop w:val="0"/>
                      <w:marBottom w:val="0"/>
                      <w:divBdr>
                        <w:top w:val="none" w:sz="0" w:space="0" w:color="auto"/>
                        <w:left w:val="none" w:sz="0" w:space="0" w:color="auto"/>
                        <w:bottom w:val="none" w:sz="0" w:space="0" w:color="auto"/>
                        <w:right w:val="none" w:sz="0" w:space="0" w:color="auto"/>
                      </w:divBdr>
                    </w:div>
                  </w:divsChild>
                </w:div>
                <w:div w:id="2058889815">
                  <w:marLeft w:val="0"/>
                  <w:marRight w:val="0"/>
                  <w:marTop w:val="0"/>
                  <w:marBottom w:val="0"/>
                  <w:divBdr>
                    <w:top w:val="none" w:sz="0" w:space="0" w:color="auto"/>
                    <w:left w:val="none" w:sz="0" w:space="0" w:color="auto"/>
                    <w:bottom w:val="none" w:sz="0" w:space="0" w:color="auto"/>
                    <w:right w:val="none" w:sz="0" w:space="0" w:color="auto"/>
                  </w:divBdr>
                  <w:divsChild>
                    <w:div w:id="911039411">
                      <w:marLeft w:val="0"/>
                      <w:marRight w:val="0"/>
                      <w:marTop w:val="0"/>
                      <w:marBottom w:val="0"/>
                      <w:divBdr>
                        <w:top w:val="none" w:sz="0" w:space="0" w:color="auto"/>
                        <w:left w:val="none" w:sz="0" w:space="0" w:color="auto"/>
                        <w:bottom w:val="none" w:sz="0" w:space="0" w:color="auto"/>
                        <w:right w:val="none" w:sz="0" w:space="0" w:color="auto"/>
                      </w:divBdr>
                    </w:div>
                  </w:divsChild>
                </w:div>
                <w:div w:id="2083411204">
                  <w:marLeft w:val="0"/>
                  <w:marRight w:val="0"/>
                  <w:marTop w:val="0"/>
                  <w:marBottom w:val="0"/>
                  <w:divBdr>
                    <w:top w:val="none" w:sz="0" w:space="0" w:color="auto"/>
                    <w:left w:val="none" w:sz="0" w:space="0" w:color="auto"/>
                    <w:bottom w:val="none" w:sz="0" w:space="0" w:color="auto"/>
                    <w:right w:val="none" w:sz="0" w:space="0" w:color="auto"/>
                  </w:divBdr>
                  <w:divsChild>
                    <w:div w:id="18632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19514">
      <w:bodyDiv w:val="1"/>
      <w:marLeft w:val="0"/>
      <w:marRight w:val="0"/>
      <w:marTop w:val="0"/>
      <w:marBottom w:val="0"/>
      <w:divBdr>
        <w:top w:val="none" w:sz="0" w:space="0" w:color="auto"/>
        <w:left w:val="none" w:sz="0" w:space="0" w:color="auto"/>
        <w:bottom w:val="none" w:sz="0" w:space="0" w:color="auto"/>
        <w:right w:val="none" w:sz="0" w:space="0" w:color="auto"/>
      </w:divBdr>
    </w:div>
    <w:div w:id="1110247904">
      <w:bodyDiv w:val="1"/>
      <w:marLeft w:val="0"/>
      <w:marRight w:val="0"/>
      <w:marTop w:val="0"/>
      <w:marBottom w:val="0"/>
      <w:divBdr>
        <w:top w:val="none" w:sz="0" w:space="0" w:color="auto"/>
        <w:left w:val="none" w:sz="0" w:space="0" w:color="auto"/>
        <w:bottom w:val="none" w:sz="0" w:space="0" w:color="auto"/>
        <w:right w:val="none" w:sz="0" w:space="0" w:color="auto"/>
      </w:divBdr>
    </w:div>
    <w:div w:id="1123423441">
      <w:bodyDiv w:val="1"/>
      <w:marLeft w:val="0"/>
      <w:marRight w:val="0"/>
      <w:marTop w:val="0"/>
      <w:marBottom w:val="0"/>
      <w:divBdr>
        <w:top w:val="none" w:sz="0" w:space="0" w:color="auto"/>
        <w:left w:val="none" w:sz="0" w:space="0" w:color="auto"/>
        <w:bottom w:val="none" w:sz="0" w:space="0" w:color="auto"/>
        <w:right w:val="none" w:sz="0" w:space="0" w:color="auto"/>
      </w:divBdr>
      <w:divsChild>
        <w:div w:id="108399624">
          <w:marLeft w:val="0"/>
          <w:marRight w:val="0"/>
          <w:marTop w:val="0"/>
          <w:marBottom w:val="0"/>
          <w:divBdr>
            <w:top w:val="none" w:sz="0" w:space="0" w:color="auto"/>
            <w:left w:val="none" w:sz="0" w:space="0" w:color="auto"/>
            <w:bottom w:val="none" w:sz="0" w:space="0" w:color="auto"/>
            <w:right w:val="none" w:sz="0" w:space="0" w:color="auto"/>
          </w:divBdr>
        </w:div>
        <w:div w:id="218711511">
          <w:marLeft w:val="0"/>
          <w:marRight w:val="0"/>
          <w:marTop w:val="0"/>
          <w:marBottom w:val="0"/>
          <w:divBdr>
            <w:top w:val="none" w:sz="0" w:space="0" w:color="auto"/>
            <w:left w:val="none" w:sz="0" w:space="0" w:color="auto"/>
            <w:bottom w:val="none" w:sz="0" w:space="0" w:color="auto"/>
            <w:right w:val="none" w:sz="0" w:space="0" w:color="auto"/>
          </w:divBdr>
        </w:div>
        <w:div w:id="434860696">
          <w:marLeft w:val="0"/>
          <w:marRight w:val="0"/>
          <w:marTop w:val="0"/>
          <w:marBottom w:val="0"/>
          <w:divBdr>
            <w:top w:val="none" w:sz="0" w:space="0" w:color="auto"/>
            <w:left w:val="none" w:sz="0" w:space="0" w:color="auto"/>
            <w:bottom w:val="none" w:sz="0" w:space="0" w:color="auto"/>
            <w:right w:val="none" w:sz="0" w:space="0" w:color="auto"/>
          </w:divBdr>
        </w:div>
        <w:div w:id="904878231">
          <w:marLeft w:val="0"/>
          <w:marRight w:val="0"/>
          <w:marTop w:val="0"/>
          <w:marBottom w:val="0"/>
          <w:divBdr>
            <w:top w:val="none" w:sz="0" w:space="0" w:color="auto"/>
            <w:left w:val="none" w:sz="0" w:space="0" w:color="auto"/>
            <w:bottom w:val="none" w:sz="0" w:space="0" w:color="auto"/>
            <w:right w:val="none" w:sz="0" w:space="0" w:color="auto"/>
          </w:divBdr>
        </w:div>
        <w:div w:id="1229537663">
          <w:marLeft w:val="0"/>
          <w:marRight w:val="0"/>
          <w:marTop w:val="0"/>
          <w:marBottom w:val="0"/>
          <w:divBdr>
            <w:top w:val="none" w:sz="0" w:space="0" w:color="auto"/>
            <w:left w:val="none" w:sz="0" w:space="0" w:color="auto"/>
            <w:bottom w:val="none" w:sz="0" w:space="0" w:color="auto"/>
            <w:right w:val="none" w:sz="0" w:space="0" w:color="auto"/>
          </w:divBdr>
        </w:div>
        <w:div w:id="1282804999">
          <w:marLeft w:val="0"/>
          <w:marRight w:val="0"/>
          <w:marTop w:val="0"/>
          <w:marBottom w:val="0"/>
          <w:divBdr>
            <w:top w:val="none" w:sz="0" w:space="0" w:color="auto"/>
            <w:left w:val="none" w:sz="0" w:space="0" w:color="auto"/>
            <w:bottom w:val="none" w:sz="0" w:space="0" w:color="auto"/>
            <w:right w:val="none" w:sz="0" w:space="0" w:color="auto"/>
          </w:divBdr>
        </w:div>
        <w:div w:id="1296713075">
          <w:marLeft w:val="0"/>
          <w:marRight w:val="0"/>
          <w:marTop w:val="0"/>
          <w:marBottom w:val="0"/>
          <w:divBdr>
            <w:top w:val="none" w:sz="0" w:space="0" w:color="auto"/>
            <w:left w:val="none" w:sz="0" w:space="0" w:color="auto"/>
            <w:bottom w:val="none" w:sz="0" w:space="0" w:color="auto"/>
            <w:right w:val="none" w:sz="0" w:space="0" w:color="auto"/>
          </w:divBdr>
        </w:div>
        <w:div w:id="1318918383">
          <w:marLeft w:val="0"/>
          <w:marRight w:val="0"/>
          <w:marTop w:val="0"/>
          <w:marBottom w:val="0"/>
          <w:divBdr>
            <w:top w:val="none" w:sz="0" w:space="0" w:color="auto"/>
            <w:left w:val="none" w:sz="0" w:space="0" w:color="auto"/>
            <w:bottom w:val="none" w:sz="0" w:space="0" w:color="auto"/>
            <w:right w:val="none" w:sz="0" w:space="0" w:color="auto"/>
          </w:divBdr>
        </w:div>
        <w:div w:id="1538085435">
          <w:marLeft w:val="0"/>
          <w:marRight w:val="0"/>
          <w:marTop w:val="0"/>
          <w:marBottom w:val="0"/>
          <w:divBdr>
            <w:top w:val="none" w:sz="0" w:space="0" w:color="auto"/>
            <w:left w:val="none" w:sz="0" w:space="0" w:color="auto"/>
            <w:bottom w:val="none" w:sz="0" w:space="0" w:color="auto"/>
            <w:right w:val="none" w:sz="0" w:space="0" w:color="auto"/>
          </w:divBdr>
        </w:div>
        <w:div w:id="1927691567">
          <w:marLeft w:val="0"/>
          <w:marRight w:val="0"/>
          <w:marTop w:val="0"/>
          <w:marBottom w:val="0"/>
          <w:divBdr>
            <w:top w:val="none" w:sz="0" w:space="0" w:color="auto"/>
            <w:left w:val="none" w:sz="0" w:space="0" w:color="auto"/>
            <w:bottom w:val="none" w:sz="0" w:space="0" w:color="auto"/>
            <w:right w:val="none" w:sz="0" w:space="0" w:color="auto"/>
          </w:divBdr>
        </w:div>
      </w:divsChild>
    </w:div>
    <w:div w:id="1137262201">
      <w:bodyDiv w:val="1"/>
      <w:marLeft w:val="0"/>
      <w:marRight w:val="0"/>
      <w:marTop w:val="0"/>
      <w:marBottom w:val="0"/>
      <w:divBdr>
        <w:top w:val="none" w:sz="0" w:space="0" w:color="auto"/>
        <w:left w:val="none" w:sz="0" w:space="0" w:color="auto"/>
        <w:bottom w:val="none" w:sz="0" w:space="0" w:color="auto"/>
        <w:right w:val="none" w:sz="0" w:space="0" w:color="auto"/>
      </w:divBdr>
    </w:div>
    <w:div w:id="1140151477">
      <w:bodyDiv w:val="1"/>
      <w:marLeft w:val="0"/>
      <w:marRight w:val="0"/>
      <w:marTop w:val="0"/>
      <w:marBottom w:val="0"/>
      <w:divBdr>
        <w:top w:val="none" w:sz="0" w:space="0" w:color="auto"/>
        <w:left w:val="none" w:sz="0" w:space="0" w:color="auto"/>
        <w:bottom w:val="none" w:sz="0" w:space="0" w:color="auto"/>
        <w:right w:val="none" w:sz="0" w:space="0" w:color="auto"/>
      </w:divBdr>
    </w:div>
    <w:div w:id="1142694120">
      <w:bodyDiv w:val="1"/>
      <w:marLeft w:val="0"/>
      <w:marRight w:val="0"/>
      <w:marTop w:val="0"/>
      <w:marBottom w:val="0"/>
      <w:divBdr>
        <w:top w:val="none" w:sz="0" w:space="0" w:color="auto"/>
        <w:left w:val="none" w:sz="0" w:space="0" w:color="auto"/>
        <w:bottom w:val="none" w:sz="0" w:space="0" w:color="auto"/>
        <w:right w:val="none" w:sz="0" w:space="0" w:color="auto"/>
      </w:divBdr>
    </w:div>
    <w:div w:id="1161391258">
      <w:bodyDiv w:val="1"/>
      <w:marLeft w:val="0"/>
      <w:marRight w:val="0"/>
      <w:marTop w:val="0"/>
      <w:marBottom w:val="0"/>
      <w:divBdr>
        <w:top w:val="none" w:sz="0" w:space="0" w:color="auto"/>
        <w:left w:val="none" w:sz="0" w:space="0" w:color="auto"/>
        <w:bottom w:val="none" w:sz="0" w:space="0" w:color="auto"/>
        <w:right w:val="none" w:sz="0" w:space="0" w:color="auto"/>
      </w:divBdr>
    </w:div>
    <w:div w:id="1181431092">
      <w:bodyDiv w:val="1"/>
      <w:marLeft w:val="0"/>
      <w:marRight w:val="0"/>
      <w:marTop w:val="0"/>
      <w:marBottom w:val="0"/>
      <w:divBdr>
        <w:top w:val="none" w:sz="0" w:space="0" w:color="auto"/>
        <w:left w:val="none" w:sz="0" w:space="0" w:color="auto"/>
        <w:bottom w:val="none" w:sz="0" w:space="0" w:color="auto"/>
        <w:right w:val="none" w:sz="0" w:space="0" w:color="auto"/>
      </w:divBdr>
    </w:div>
    <w:div w:id="1194729103">
      <w:bodyDiv w:val="1"/>
      <w:marLeft w:val="0"/>
      <w:marRight w:val="0"/>
      <w:marTop w:val="0"/>
      <w:marBottom w:val="0"/>
      <w:divBdr>
        <w:top w:val="none" w:sz="0" w:space="0" w:color="auto"/>
        <w:left w:val="none" w:sz="0" w:space="0" w:color="auto"/>
        <w:bottom w:val="none" w:sz="0" w:space="0" w:color="auto"/>
        <w:right w:val="none" w:sz="0" w:space="0" w:color="auto"/>
      </w:divBdr>
    </w:div>
    <w:div w:id="1208448319">
      <w:bodyDiv w:val="1"/>
      <w:marLeft w:val="0"/>
      <w:marRight w:val="0"/>
      <w:marTop w:val="0"/>
      <w:marBottom w:val="0"/>
      <w:divBdr>
        <w:top w:val="none" w:sz="0" w:space="0" w:color="auto"/>
        <w:left w:val="none" w:sz="0" w:space="0" w:color="auto"/>
        <w:bottom w:val="none" w:sz="0" w:space="0" w:color="auto"/>
        <w:right w:val="none" w:sz="0" w:space="0" w:color="auto"/>
      </w:divBdr>
    </w:div>
    <w:div w:id="1210070567">
      <w:bodyDiv w:val="1"/>
      <w:marLeft w:val="0"/>
      <w:marRight w:val="0"/>
      <w:marTop w:val="0"/>
      <w:marBottom w:val="0"/>
      <w:divBdr>
        <w:top w:val="none" w:sz="0" w:space="0" w:color="auto"/>
        <w:left w:val="none" w:sz="0" w:space="0" w:color="auto"/>
        <w:bottom w:val="none" w:sz="0" w:space="0" w:color="auto"/>
        <w:right w:val="none" w:sz="0" w:space="0" w:color="auto"/>
      </w:divBdr>
    </w:div>
    <w:div w:id="1211268184">
      <w:bodyDiv w:val="1"/>
      <w:marLeft w:val="0"/>
      <w:marRight w:val="0"/>
      <w:marTop w:val="0"/>
      <w:marBottom w:val="0"/>
      <w:divBdr>
        <w:top w:val="none" w:sz="0" w:space="0" w:color="auto"/>
        <w:left w:val="none" w:sz="0" w:space="0" w:color="auto"/>
        <w:bottom w:val="none" w:sz="0" w:space="0" w:color="auto"/>
        <w:right w:val="none" w:sz="0" w:space="0" w:color="auto"/>
      </w:divBdr>
    </w:div>
    <w:div w:id="1213883820">
      <w:bodyDiv w:val="1"/>
      <w:marLeft w:val="0"/>
      <w:marRight w:val="0"/>
      <w:marTop w:val="0"/>
      <w:marBottom w:val="0"/>
      <w:divBdr>
        <w:top w:val="none" w:sz="0" w:space="0" w:color="auto"/>
        <w:left w:val="none" w:sz="0" w:space="0" w:color="auto"/>
        <w:bottom w:val="none" w:sz="0" w:space="0" w:color="auto"/>
        <w:right w:val="none" w:sz="0" w:space="0" w:color="auto"/>
      </w:divBdr>
    </w:div>
    <w:div w:id="1223634618">
      <w:bodyDiv w:val="1"/>
      <w:marLeft w:val="0"/>
      <w:marRight w:val="0"/>
      <w:marTop w:val="0"/>
      <w:marBottom w:val="0"/>
      <w:divBdr>
        <w:top w:val="none" w:sz="0" w:space="0" w:color="auto"/>
        <w:left w:val="none" w:sz="0" w:space="0" w:color="auto"/>
        <w:bottom w:val="none" w:sz="0" w:space="0" w:color="auto"/>
        <w:right w:val="none" w:sz="0" w:space="0" w:color="auto"/>
      </w:divBdr>
      <w:divsChild>
        <w:div w:id="85006713">
          <w:marLeft w:val="0"/>
          <w:marRight w:val="0"/>
          <w:marTop w:val="0"/>
          <w:marBottom w:val="0"/>
          <w:divBdr>
            <w:top w:val="none" w:sz="0" w:space="0" w:color="auto"/>
            <w:left w:val="none" w:sz="0" w:space="0" w:color="auto"/>
            <w:bottom w:val="none" w:sz="0" w:space="0" w:color="auto"/>
            <w:right w:val="none" w:sz="0" w:space="0" w:color="auto"/>
          </w:divBdr>
        </w:div>
        <w:div w:id="2032297384">
          <w:marLeft w:val="0"/>
          <w:marRight w:val="0"/>
          <w:marTop w:val="0"/>
          <w:marBottom w:val="0"/>
          <w:divBdr>
            <w:top w:val="none" w:sz="0" w:space="0" w:color="auto"/>
            <w:left w:val="none" w:sz="0" w:space="0" w:color="auto"/>
            <w:bottom w:val="none" w:sz="0" w:space="0" w:color="auto"/>
            <w:right w:val="none" w:sz="0" w:space="0" w:color="auto"/>
          </w:divBdr>
        </w:div>
      </w:divsChild>
    </w:div>
    <w:div w:id="1235621688">
      <w:bodyDiv w:val="1"/>
      <w:marLeft w:val="0"/>
      <w:marRight w:val="0"/>
      <w:marTop w:val="0"/>
      <w:marBottom w:val="0"/>
      <w:divBdr>
        <w:top w:val="none" w:sz="0" w:space="0" w:color="auto"/>
        <w:left w:val="none" w:sz="0" w:space="0" w:color="auto"/>
        <w:bottom w:val="none" w:sz="0" w:space="0" w:color="auto"/>
        <w:right w:val="none" w:sz="0" w:space="0" w:color="auto"/>
      </w:divBdr>
    </w:div>
    <w:div w:id="1247226621">
      <w:bodyDiv w:val="1"/>
      <w:marLeft w:val="0"/>
      <w:marRight w:val="0"/>
      <w:marTop w:val="0"/>
      <w:marBottom w:val="0"/>
      <w:divBdr>
        <w:top w:val="none" w:sz="0" w:space="0" w:color="auto"/>
        <w:left w:val="none" w:sz="0" w:space="0" w:color="auto"/>
        <w:bottom w:val="none" w:sz="0" w:space="0" w:color="auto"/>
        <w:right w:val="none" w:sz="0" w:space="0" w:color="auto"/>
      </w:divBdr>
    </w:div>
    <w:div w:id="1282541470">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sChild>
        <w:div w:id="77679247">
          <w:marLeft w:val="0"/>
          <w:marRight w:val="0"/>
          <w:marTop w:val="0"/>
          <w:marBottom w:val="0"/>
          <w:divBdr>
            <w:top w:val="none" w:sz="0" w:space="0" w:color="auto"/>
            <w:left w:val="none" w:sz="0" w:space="0" w:color="auto"/>
            <w:bottom w:val="none" w:sz="0" w:space="0" w:color="auto"/>
            <w:right w:val="none" w:sz="0" w:space="0" w:color="auto"/>
          </w:divBdr>
          <w:divsChild>
            <w:div w:id="711881683">
              <w:marLeft w:val="0"/>
              <w:marRight w:val="0"/>
              <w:marTop w:val="0"/>
              <w:marBottom w:val="0"/>
              <w:divBdr>
                <w:top w:val="none" w:sz="0" w:space="0" w:color="auto"/>
                <w:left w:val="none" w:sz="0" w:space="0" w:color="auto"/>
                <w:bottom w:val="none" w:sz="0" w:space="0" w:color="auto"/>
                <w:right w:val="none" w:sz="0" w:space="0" w:color="auto"/>
              </w:divBdr>
            </w:div>
          </w:divsChild>
        </w:div>
        <w:div w:id="89087012">
          <w:marLeft w:val="0"/>
          <w:marRight w:val="0"/>
          <w:marTop w:val="0"/>
          <w:marBottom w:val="0"/>
          <w:divBdr>
            <w:top w:val="none" w:sz="0" w:space="0" w:color="auto"/>
            <w:left w:val="none" w:sz="0" w:space="0" w:color="auto"/>
            <w:bottom w:val="none" w:sz="0" w:space="0" w:color="auto"/>
            <w:right w:val="none" w:sz="0" w:space="0" w:color="auto"/>
          </w:divBdr>
        </w:div>
        <w:div w:id="135880551">
          <w:marLeft w:val="0"/>
          <w:marRight w:val="0"/>
          <w:marTop w:val="0"/>
          <w:marBottom w:val="0"/>
          <w:divBdr>
            <w:top w:val="none" w:sz="0" w:space="0" w:color="auto"/>
            <w:left w:val="none" w:sz="0" w:space="0" w:color="auto"/>
            <w:bottom w:val="none" w:sz="0" w:space="0" w:color="auto"/>
            <w:right w:val="none" w:sz="0" w:space="0" w:color="auto"/>
          </w:divBdr>
        </w:div>
        <w:div w:id="151411613">
          <w:marLeft w:val="0"/>
          <w:marRight w:val="0"/>
          <w:marTop w:val="0"/>
          <w:marBottom w:val="0"/>
          <w:divBdr>
            <w:top w:val="none" w:sz="0" w:space="0" w:color="auto"/>
            <w:left w:val="none" w:sz="0" w:space="0" w:color="auto"/>
            <w:bottom w:val="none" w:sz="0" w:space="0" w:color="auto"/>
            <w:right w:val="none" w:sz="0" w:space="0" w:color="auto"/>
          </w:divBdr>
          <w:divsChild>
            <w:div w:id="1980958264">
              <w:marLeft w:val="0"/>
              <w:marRight w:val="0"/>
              <w:marTop w:val="0"/>
              <w:marBottom w:val="0"/>
              <w:divBdr>
                <w:top w:val="none" w:sz="0" w:space="0" w:color="auto"/>
                <w:left w:val="none" w:sz="0" w:space="0" w:color="auto"/>
                <w:bottom w:val="none" w:sz="0" w:space="0" w:color="auto"/>
                <w:right w:val="none" w:sz="0" w:space="0" w:color="auto"/>
              </w:divBdr>
            </w:div>
          </w:divsChild>
        </w:div>
        <w:div w:id="215967278">
          <w:marLeft w:val="0"/>
          <w:marRight w:val="0"/>
          <w:marTop w:val="0"/>
          <w:marBottom w:val="0"/>
          <w:divBdr>
            <w:top w:val="none" w:sz="0" w:space="0" w:color="auto"/>
            <w:left w:val="none" w:sz="0" w:space="0" w:color="auto"/>
            <w:bottom w:val="none" w:sz="0" w:space="0" w:color="auto"/>
            <w:right w:val="none" w:sz="0" w:space="0" w:color="auto"/>
          </w:divBdr>
          <w:divsChild>
            <w:div w:id="1243029626">
              <w:marLeft w:val="0"/>
              <w:marRight w:val="0"/>
              <w:marTop w:val="0"/>
              <w:marBottom w:val="0"/>
              <w:divBdr>
                <w:top w:val="none" w:sz="0" w:space="0" w:color="auto"/>
                <w:left w:val="none" w:sz="0" w:space="0" w:color="auto"/>
                <w:bottom w:val="none" w:sz="0" w:space="0" w:color="auto"/>
                <w:right w:val="none" w:sz="0" w:space="0" w:color="auto"/>
              </w:divBdr>
            </w:div>
          </w:divsChild>
        </w:div>
        <w:div w:id="225803815">
          <w:marLeft w:val="0"/>
          <w:marRight w:val="0"/>
          <w:marTop w:val="0"/>
          <w:marBottom w:val="0"/>
          <w:divBdr>
            <w:top w:val="none" w:sz="0" w:space="0" w:color="auto"/>
            <w:left w:val="none" w:sz="0" w:space="0" w:color="auto"/>
            <w:bottom w:val="none" w:sz="0" w:space="0" w:color="auto"/>
            <w:right w:val="none" w:sz="0" w:space="0" w:color="auto"/>
          </w:divBdr>
        </w:div>
        <w:div w:id="358748052">
          <w:marLeft w:val="0"/>
          <w:marRight w:val="0"/>
          <w:marTop w:val="0"/>
          <w:marBottom w:val="0"/>
          <w:divBdr>
            <w:top w:val="none" w:sz="0" w:space="0" w:color="auto"/>
            <w:left w:val="none" w:sz="0" w:space="0" w:color="auto"/>
            <w:bottom w:val="none" w:sz="0" w:space="0" w:color="auto"/>
            <w:right w:val="none" w:sz="0" w:space="0" w:color="auto"/>
          </w:divBdr>
          <w:divsChild>
            <w:div w:id="179317430">
              <w:marLeft w:val="0"/>
              <w:marRight w:val="0"/>
              <w:marTop w:val="0"/>
              <w:marBottom w:val="0"/>
              <w:divBdr>
                <w:top w:val="none" w:sz="0" w:space="0" w:color="auto"/>
                <w:left w:val="none" w:sz="0" w:space="0" w:color="auto"/>
                <w:bottom w:val="none" w:sz="0" w:space="0" w:color="auto"/>
                <w:right w:val="none" w:sz="0" w:space="0" w:color="auto"/>
              </w:divBdr>
            </w:div>
          </w:divsChild>
        </w:div>
        <w:div w:id="524563078">
          <w:marLeft w:val="0"/>
          <w:marRight w:val="0"/>
          <w:marTop w:val="0"/>
          <w:marBottom w:val="0"/>
          <w:divBdr>
            <w:top w:val="none" w:sz="0" w:space="0" w:color="auto"/>
            <w:left w:val="none" w:sz="0" w:space="0" w:color="auto"/>
            <w:bottom w:val="none" w:sz="0" w:space="0" w:color="auto"/>
            <w:right w:val="none" w:sz="0" w:space="0" w:color="auto"/>
          </w:divBdr>
          <w:divsChild>
            <w:div w:id="1401362801">
              <w:marLeft w:val="0"/>
              <w:marRight w:val="0"/>
              <w:marTop w:val="0"/>
              <w:marBottom w:val="0"/>
              <w:divBdr>
                <w:top w:val="none" w:sz="0" w:space="0" w:color="auto"/>
                <w:left w:val="none" w:sz="0" w:space="0" w:color="auto"/>
                <w:bottom w:val="none" w:sz="0" w:space="0" w:color="auto"/>
                <w:right w:val="none" w:sz="0" w:space="0" w:color="auto"/>
              </w:divBdr>
            </w:div>
          </w:divsChild>
        </w:div>
        <w:div w:id="577322996">
          <w:marLeft w:val="0"/>
          <w:marRight w:val="0"/>
          <w:marTop w:val="0"/>
          <w:marBottom w:val="0"/>
          <w:divBdr>
            <w:top w:val="none" w:sz="0" w:space="0" w:color="auto"/>
            <w:left w:val="none" w:sz="0" w:space="0" w:color="auto"/>
            <w:bottom w:val="none" w:sz="0" w:space="0" w:color="auto"/>
            <w:right w:val="none" w:sz="0" w:space="0" w:color="auto"/>
          </w:divBdr>
        </w:div>
        <w:div w:id="600407113">
          <w:marLeft w:val="0"/>
          <w:marRight w:val="0"/>
          <w:marTop w:val="0"/>
          <w:marBottom w:val="0"/>
          <w:divBdr>
            <w:top w:val="none" w:sz="0" w:space="0" w:color="auto"/>
            <w:left w:val="none" w:sz="0" w:space="0" w:color="auto"/>
            <w:bottom w:val="none" w:sz="0" w:space="0" w:color="auto"/>
            <w:right w:val="none" w:sz="0" w:space="0" w:color="auto"/>
          </w:divBdr>
          <w:divsChild>
            <w:div w:id="1788231272">
              <w:marLeft w:val="0"/>
              <w:marRight w:val="0"/>
              <w:marTop w:val="0"/>
              <w:marBottom w:val="0"/>
              <w:divBdr>
                <w:top w:val="none" w:sz="0" w:space="0" w:color="auto"/>
                <w:left w:val="none" w:sz="0" w:space="0" w:color="auto"/>
                <w:bottom w:val="none" w:sz="0" w:space="0" w:color="auto"/>
                <w:right w:val="none" w:sz="0" w:space="0" w:color="auto"/>
              </w:divBdr>
            </w:div>
          </w:divsChild>
        </w:div>
        <w:div w:id="752049210">
          <w:marLeft w:val="0"/>
          <w:marRight w:val="0"/>
          <w:marTop w:val="0"/>
          <w:marBottom w:val="0"/>
          <w:divBdr>
            <w:top w:val="none" w:sz="0" w:space="0" w:color="auto"/>
            <w:left w:val="none" w:sz="0" w:space="0" w:color="auto"/>
            <w:bottom w:val="none" w:sz="0" w:space="0" w:color="auto"/>
            <w:right w:val="none" w:sz="0" w:space="0" w:color="auto"/>
          </w:divBdr>
        </w:div>
        <w:div w:id="793717973">
          <w:marLeft w:val="0"/>
          <w:marRight w:val="0"/>
          <w:marTop w:val="0"/>
          <w:marBottom w:val="0"/>
          <w:divBdr>
            <w:top w:val="none" w:sz="0" w:space="0" w:color="auto"/>
            <w:left w:val="none" w:sz="0" w:space="0" w:color="auto"/>
            <w:bottom w:val="none" w:sz="0" w:space="0" w:color="auto"/>
            <w:right w:val="none" w:sz="0" w:space="0" w:color="auto"/>
          </w:divBdr>
          <w:divsChild>
            <w:div w:id="9721423">
              <w:marLeft w:val="0"/>
              <w:marRight w:val="0"/>
              <w:marTop w:val="0"/>
              <w:marBottom w:val="0"/>
              <w:divBdr>
                <w:top w:val="none" w:sz="0" w:space="0" w:color="auto"/>
                <w:left w:val="none" w:sz="0" w:space="0" w:color="auto"/>
                <w:bottom w:val="none" w:sz="0" w:space="0" w:color="auto"/>
                <w:right w:val="none" w:sz="0" w:space="0" w:color="auto"/>
              </w:divBdr>
            </w:div>
          </w:divsChild>
        </w:div>
        <w:div w:id="1072851450">
          <w:marLeft w:val="0"/>
          <w:marRight w:val="0"/>
          <w:marTop w:val="0"/>
          <w:marBottom w:val="0"/>
          <w:divBdr>
            <w:top w:val="none" w:sz="0" w:space="0" w:color="auto"/>
            <w:left w:val="none" w:sz="0" w:space="0" w:color="auto"/>
            <w:bottom w:val="none" w:sz="0" w:space="0" w:color="auto"/>
            <w:right w:val="none" w:sz="0" w:space="0" w:color="auto"/>
          </w:divBdr>
          <w:divsChild>
            <w:div w:id="632638518">
              <w:marLeft w:val="0"/>
              <w:marRight w:val="0"/>
              <w:marTop w:val="0"/>
              <w:marBottom w:val="0"/>
              <w:divBdr>
                <w:top w:val="none" w:sz="0" w:space="0" w:color="auto"/>
                <w:left w:val="none" w:sz="0" w:space="0" w:color="auto"/>
                <w:bottom w:val="none" w:sz="0" w:space="0" w:color="auto"/>
                <w:right w:val="none" w:sz="0" w:space="0" w:color="auto"/>
              </w:divBdr>
            </w:div>
          </w:divsChild>
        </w:div>
        <w:div w:id="1252394525">
          <w:marLeft w:val="0"/>
          <w:marRight w:val="0"/>
          <w:marTop w:val="0"/>
          <w:marBottom w:val="0"/>
          <w:divBdr>
            <w:top w:val="none" w:sz="0" w:space="0" w:color="auto"/>
            <w:left w:val="none" w:sz="0" w:space="0" w:color="auto"/>
            <w:bottom w:val="none" w:sz="0" w:space="0" w:color="auto"/>
            <w:right w:val="none" w:sz="0" w:space="0" w:color="auto"/>
          </w:divBdr>
        </w:div>
        <w:div w:id="1262421483">
          <w:marLeft w:val="0"/>
          <w:marRight w:val="0"/>
          <w:marTop w:val="0"/>
          <w:marBottom w:val="0"/>
          <w:divBdr>
            <w:top w:val="none" w:sz="0" w:space="0" w:color="auto"/>
            <w:left w:val="none" w:sz="0" w:space="0" w:color="auto"/>
            <w:bottom w:val="none" w:sz="0" w:space="0" w:color="auto"/>
            <w:right w:val="none" w:sz="0" w:space="0" w:color="auto"/>
          </w:divBdr>
        </w:div>
        <w:div w:id="1274752962">
          <w:marLeft w:val="0"/>
          <w:marRight w:val="0"/>
          <w:marTop w:val="0"/>
          <w:marBottom w:val="0"/>
          <w:divBdr>
            <w:top w:val="none" w:sz="0" w:space="0" w:color="auto"/>
            <w:left w:val="none" w:sz="0" w:space="0" w:color="auto"/>
            <w:bottom w:val="none" w:sz="0" w:space="0" w:color="auto"/>
            <w:right w:val="none" w:sz="0" w:space="0" w:color="auto"/>
          </w:divBdr>
          <w:divsChild>
            <w:div w:id="1997956345">
              <w:marLeft w:val="0"/>
              <w:marRight w:val="0"/>
              <w:marTop w:val="0"/>
              <w:marBottom w:val="0"/>
              <w:divBdr>
                <w:top w:val="none" w:sz="0" w:space="0" w:color="auto"/>
                <w:left w:val="none" w:sz="0" w:space="0" w:color="auto"/>
                <w:bottom w:val="none" w:sz="0" w:space="0" w:color="auto"/>
                <w:right w:val="none" w:sz="0" w:space="0" w:color="auto"/>
              </w:divBdr>
            </w:div>
          </w:divsChild>
        </w:div>
        <w:div w:id="1390346740">
          <w:marLeft w:val="0"/>
          <w:marRight w:val="0"/>
          <w:marTop w:val="0"/>
          <w:marBottom w:val="0"/>
          <w:divBdr>
            <w:top w:val="none" w:sz="0" w:space="0" w:color="auto"/>
            <w:left w:val="none" w:sz="0" w:space="0" w:color="auto"/>
            <w:bottom w:val="none" w:sz="0" w:space="0" w:color="auto"/>
            <w:right w:val="none" w:sz="0" w:space="0" w:color="auto"/>
          </w:divBdr>
          <w:divsChild>
            <w:div w:id="1181745471">
              <w:marLeft w:val="0"/>
              <w:marRight w:val="0"/>
              <w:marTop w:val="0"/>
              <w:marBottom w:val="0"/>
              <w:divBdr>
                <w:top w:val="none" w:sz="0" w:space="0" w:color="auto"/>
                <w:left w:val="none" w:sz="0" w:space="0" w:color="auto"/>
                <w:bottom w:val="none" w:sz="0" w:space="0" w:color="auto"/>
                <w:right w:val="none" w:sz="0" w:space="0" w:color="auto"/>
              </w:divBdr>
            </w:div>
          </w:divsChild>
        </w:div>
        <w:div w:id="1408067932">
          <w:marLeft w:val="0"/>
          <w:marRight w:val="0"/>
          <w:marTop w:val="0"/>
          <w:marBottom w:val="0"/>
          <w:divBdr>
            <w:top w:val="none" w:sz="0" w:space="0" w:color="auto"/>
            <w:left w:val="none" w:sz="0" w:space="0" w:color="auto"/>
            <w:bottom w:val="none" w:sz="0" w:space="0" w:color="auto"/>
            <w:right w:val="none" w:sz="0" w:space="0" w:color="auto"/>
          </w:divBdr>
          <w:divsChild>
            <w:div w:id="1920941473">
              <w:marLeft w:val="0"/>
              <w:marRight w:val="0"/>
              <w:marTop w:val="0"/>
              <w:marBottom w:val="0"/>
              <w:divBdr>
                <w:top w:val="none" w:sz="0" w:space="0" w:color="auto"/>
                <w:left w:val="none" w:sz="0" w:space="0" w:color="auto"/>
                <w:bottom w:val="none" w:sz="0" w:space="0" w:color="auto"/>
                <w:right w:val="none" w:sz="0" w:space="0" w:color="auto"/>
              </w:divBdr>
            </w:div>
          </w:divsChild>
        </w:div>
        <w:div w:id="1526864492">
          <w:marLeft w:val="0"/>
          <w:marRight w:val="0"/>
          <w:marTop w:val="0"/>
          <w:marBottom w:val="0"/>
          <w:divBdr>
            <w:top w:val="none" w:sz="0" w:space="0" w:color="auto"/>
            <w:left w:val="none" w:sz="0" w:space="0" w:color="auto"/>
            <w:bottom w:val="none" w:sz="0" w:space="0" w:color="auto"/>
            <w:right w:val="none" w:sz="0" w:space="0" w:color="auto"/>
          </w:divBdr>
          <w:divsChild>
            <w:div w:id="1209563654">
              <w:marLeft w:val="0"/>
              <w:marRight w:val="0"/>
              <w:marTop w:val="0"/>
              <w:marBottom w:val="0"/>
              <w:divBdr>
                <w:top w:val="none" w:sz="0" w:space="0" w:color="auto"/>
                <w:left w:val="none" w:sz="0" w:space="0" w:color="auto"/>
                <w:bottom w:val="none" w:sz="0" w:space="0" w:color="auto"/>
                <w:right w:val="none" w:sz="0" w:space="0" w:color="auto"/>
              </w:divBdr>
            </w:div>
          </w:divsChild>
        </w:div>
        <w:div w:id="1538853805">
          <w:marLeft w:val="0"/>
          <w:marRight w:val="0"/>
          <w:marTop w:val="0"/>
          <w:marBottom w:val="0"/>
          <w:divBdr>
            <w:top w:val="none" w:sz="0" w:space="0" w:color="auto"/>
            <w:left w:val="none" w:sz="0" w:space="0" w:color="auto"/>
            <w:bottom w:val="none" w:sz="0" w:space="0" w:color="auto"/>
            <w:right w:val="none" w:sz="0" w:space="0" w:color="auto"/>
          </w:divBdr>
        </w:div>
        <w:div w:id="1602566813">
          <w:marLeft w:val="0"/>
          <w:marRight w:val="0"/>
          <w:marTop w:val="0"/>
          <w:marBottom w:val="0"/>
          <w:divBdr>
            <w:top w:val="none" w:sz="0" w:space="0" w:color="auto"/>
            <w:left w:val="none" w:sz="0" w:space="0" w:color="auto"/>
            <w:bottom w:val="none" w:sz="0" w:space="0" w:color="auto"/>
            <w:right w:val="none" w:sz="0" w:space="0" w:color="auto"/>
          </w:divBdr>
          <w:divsChild>
            <w:div w:id="1694845129">
              <w:marLeft w:val="0"/>
              <w:marRight w:val="0"/>
              <w:marTop w:val="0"/>
              <w:marBottom w:val="0"/>
              <w:divBdr>
                <w:top w:val="none" w:sz="0" w:space="0" w:color="auto"/>
                <w:left w:val="none" w:sz="0" w:space="0" w:color="auto"/>
                <w:bottom w:val="none" w:sz="0" w:space="0" w:color="auto"/>
                <w:right w:val="none" w:sz="0" w:space="0" w:color="auto"/>
              </w:divBdr>
            </w:div>
          </w:divsChild>
        </w:div>
        <w:div w:id="1631549509">
          <w:marLeft w:val="0"/>
          <w:marRight w:val="0"/>
          <w:marTop w:val="0"/>
          <w:marBottom w:val="0"/>
          <w:divBdr>
            <w:top w:val="none" w:sz="0" w:space="0" w:color="auto"/>
            <w:left w:val="none" w:sz="0" w:space="0" w:color="auto"/>
            <w:bottom w:val="none" w:sz="0" w:space="0" w:color="auto"/>
            <w:right w:val="none" w:sz="0" w:space="0" w:color="auto"/>
          </w:divBdr>
        </w:div>
        <w:div w:id="1648361582">
          <w:marLeft w:val="0"/>
          <w:marRight w:val="0"/>
          <w:marTop w:val="0"/>
          <w:marBottom w:val="0"/>
          <w:divBdr>
            <w:top w:val="none" w:sz="0" w:space="0" w:color="auto"/>
            <w:left w:val="none" w:sz="0" w:space="0" w:color="auto"/>
            <w:bottom w:val="none" w:sz="0" w:space="0" w:color="auto"/>
            <w:right w:val="none" w:sz="0" w:space="0" w:color="auto"/>
          </w:divBdr>
          <w:divsChild>
            <w:div w:id="355548436">
              <w:marLeft w:val="0"/>
              <w:marRight w:val="0"/>
              <w:marTop w:val="0"/>
              <w:marBottom w:val="0"/>
              <w:divBdr>
                <w:top w:val="none" w:sz="0" w:space="0" w:color="auto"/>
                <w:left w:val="none" w:sz="0" w:space="0" w:color="auto"/>
                <w:bottom w:val="none" w:sz="0" w:space="0" w:color="auto"/>
                <w:right w:val="none" w:sz="0" w:space="0" w:color="auto"/>
              </w:divBdr>
            </w:div>
            <w:div w:id="1328171823">
              <w:marLeft w:val="0"/>
              <w:marRight w:val="0"/>
              <w:marTop w:val="0"/>
              <w:marBottom w:val="0"/>
              <w:divBdr>
                <w:top w:val="none" w:sz="0" w:space="0" w:color="auto"/>
                <w:left w:val="none" w:sz="0" w:space="0" w:color="auto"/>
                <w:bottom w:val="none" w:sz="0" w:space="0" w:color="auto"/>
                <w:right w:val="none" w:sz="0" w:space="0" w:color="auto"/>
              </w:divBdr>
            </w:div>
          </w:divsChild>
        </w:div>
        <w:div w:id="1701736418">
          <w:marLeft w:val="0"/>
          <w:marRight w:val="0"/>
          <w:marTop w:val="0"/>
          <w:marBottom w:val="0"/>
          <w:divBdr>
            <w:top w:val="none" w:sz="0" w:space="0" w:color="auto"/>
            <w:left w:val="none" w:sz="0" w:space="0" w:color="auto"/>
            <w:bottom w:val="none" w:sz="0" w:space="0" w:color="auto"/>
            <w:right w:val="none" w:sz="0" w:space="0" w:color="auto"/>
          </w:divBdr>
          <w:divsChild>
            <w:div w:id="1431657698">
              <w:marLeft w:val="0"/>
              <w:marRight w:val="0"/>
              <w:marTop w:val="0"/>
              <w:marBottom w:val="0"/>
              <w:divBdr>
                <w:top w:val="none" w:sz="0" w:space="0" w:color="auto"/>
                <w:left w:val="none" w:sz="0" w:space="0" w:color="auto"/>
                <w:bottom w:val="none" w:sz="0" w:space="0" w:color="auto"/>
                <w:right w:val="none" w:sz="0" w:space="0" w:color="auto"/>
              </w:divBdr>
            </w:div>
          </w:divsChild>
        </w:div>
        <w:div w:id="1775326522">
          <w:marLeft w:val="0"/>
          <w:marRight w:val="0"/>
          <w:marTop w:val="0"/>
          <w:marBottom w:val="0"/>
          <w:divBdr>
            <w:top w:val="none" w:sz="0" w:space="0" w:color="auto"/>
            <w:left w:val="none" w:sz="0" w:space="0" w:color="auto"/>
            <w:bottom w:val="none" w:sz="0" w:space="0" w:color="auto"/>
            <w:right w:val="none" w:sz="0" w:space="0" w:color="auto"/>
          </w:divBdr>
        </w:div>
        <w:div w:id="1779790739">
          <w:marLeft w:val="0"/>
          <w:marRight w:val="0"/>
          <w:marTop w:val="0"/>
          <w:marBottom w:val="0"/>
          <w:divBdr>
            <w:top w:val="none" w:sz="0" w:space="0" w:color="auto"/>
            <w:left w:val="none" w:sz="0" w:space="0" w:color="auto"/>
            <w:bottom w:val="none" w:sz="0" w:space="0" w:color="auto"/>
            <w:right w:val="none" w:sz="0" w:space="0" w:color="auto"/>
          </w:divBdr>
        </w:div>
        <w:div w:id="1793136056">
          <w:marLeft w:val="0"/>
          <w:marRight w:val="0"/>
          <w:marTop w:val="0"/>
          <w:marBottom w:val="0"/>
          <w:divBdr>
            <w:top w:val="none" w:sz="0" w:space="0" w:color="auto"/>
            <w:left w:val="none" w:sz="0" w:space="0" w:color="auto"/>
            <w:bottom w:val="none" w:sz="0" w:space="0" w:color="auto"/>
            <w:right w:val="none" w:sz="0" w:space="0" w:color="auto"/>
          </w:divBdr>
        </w:div>
        <w:div w:id="1831481987">
          <w:marLeft w:val="0"/>
          <w:marRight w:val="0"/>
          <w:marTop w:val="0"/>
          <w:marBottom w:val="0"/>
          <w:divBdr>
            <w:top w:val="none" w:sz="0" w:space="0" w:color="auto"/>
            <w:left w:val="none" w:sz="0" w:space="0" w:color="auto"/>
            <w:bottom w:val="none" w:sz="0" w:space="0" w:color="auto"/>
            <w:right w:val="none" w:sz="0" w:space="0" w:color="auto"/>
          </w:divBdr>
          <w:divsChild>
            <w:div w:id="521746298">
              <w:marLeft w:val="0"/>
              <w:marRight w:val="0"/>
              <w:marTop w:val="0"/>
              <w:marBottom w:val="0"/>
              <w:divBdr>
                <w:top w:val="none" w:sz="0" w:space="0" w:color="auto"/>
                <w:left w:val="none" w:sz="0" w:space="0" w:color="auto"/>
                <w:bottom w:val="none" w:sz="0" w:space="0" w:color="auto"/>
                <w:right w:val="none" w:sz="0" w:space="0" w:color="auto"/>
              </w:divBdr>
            </w:div>
          </w:divsChild>
        </w:div>
        <w:div w:id="1849904513">
          <w:marLeft w:val="0"/>
          <w:marRight w:val="0"/>
          <w:marTop w:val="0"/>
          <w:marBottom w:val="0"/>
          <w:divBdr>
            <w:top w:val="none" w:sz="0" w:space="0" w:color="auto"/>
            <w:left w:val="none" w:sz="0" w:space="0" w:color="auto"/>
            <w:bottom w:val="none" w:sz="0" w:space="0" w:color="auto"/>
            <w:right w:val="none" w:sz="0" w:space="0" w:color="auto"/>
          </w:divBdr>
        </w:div>
        <w:div w:id="1976983976">
          <w:marLeft w:val="0"/>
          <w:marRight w:val="0"/>
          <w:marTop w:val="0"/>
          <w:marBottom w:val="0"/>
          <w:divBdr>
            <w:top w:val="none" w:sz="0" w:space="0" w:color="auto"/>
            <w:left w:val="none" w:sz="0" w:space="0" w:color="auto"/>
            <w:bottom w:val="none" w:sz="0" w:space="0" w:color="auto"/>
            <w:right w:val="none" w:sz="0" w:space="0" w:color="auto"/>
          </w:divBdr>
          <w:divsChild>
            <w:div w:id="751438138">
              <w:marLeft w:val="0"/>
              <w:marRight w:val="0"/>
              <w:marTop w:val="0"/>
              <w:marBottom w:val="0"/>
              <w:divBdr>
                <w:top w:val="none" w:sz="0" w:space="0" w:color="auto"/>
                <w:left w:val="none" w:sz="0" w:space="0" w:color="auto"/>
                <w:bottom w:val="none" w:sz="0" w:space="0" w:color="auto"/>
                <w:right w:val="none" w:sz="0" w:space="0" w:color="auto"/>
              </w:divBdr>
            </w:div>
          </w:divsChild>
        </w:div>
        <w:div w:id="2044209626">
          <w:marLeft w:val="0"/>
          <w:marRight w:val="0"/>
          <w:marTop w:val="0"/>
          <w:marBottom w:val="0"/>
          <w:divBdr>
            <w:top w:val="none" w:sz="0" w:space="0" w:color="auto"/>
            <w:left w:val="none" w:sz="0" w:space="0" w:color="auto"/>
            <w:bottom w:val="none" w:sz="0" w:space="0" w:color="auto"/>
            <w:right w:val="none" w:sz="0" w:space="0" w:color="auto"/>
          </w:divBdr>
          <w:divsChild>
            <w:div w:id="106700989">
              <w:marLeft w:val="0"/>
              <w:marRight w:val="0"/>
              <w:marTop w:val="0"/>
              <w:marBottom w:val="0"/>
              <w:divBdr>
                <w:top w:val="none" w:sz="0" w:space="0" w:color="auto"/>
                <w:left w:val="none" w:sz="0" w:space="0" w:color="auto"/>
                <w:bottom w:val="none" w:sz="0" w:space="0" w:color="auto"/>
                <w:right w:val="none" w:sz="0" w:space="0" w:color="auto"/>
              </w:divBdr>
            </w:div>
          </w:divsChild>
        </w:div>
        <w:div w:id="2046564530">
          <w:marLeft w:val="0"/>
          <w:marRight w:val="0"/>
          <w:marTop w:val="0"/>
          <w:marBottom w:val="0"/>
          <w:divBdr>
            <w:top w:val="none" w:sz="0" w:space="0" w:color="auto"/>
            <w:left w:val="none" w:sz="0" w:space="0" w:color="auto"/>
            <w:bottom w:val="none" w:sz="0" w:space="0" w:color="auto"/>
            <w:right w:val="none" w:sz="0" w:space="0" w:color="auto"/>
          </w:divBdr>
        </w:div>
        <w:div w:id="2064021774">
          <w:marLeft w:val="0"/>
          <w:marRight w:val="0"/>
          <w:marTop w:val="0"/>
          <w:marBottom w:val="0"/>
          <w:divBdr>
            <w:top w:val="none" w:sz="0" w:space="0" w:color="auto"/>
            <w:left w:val="none" w:sz="0" w:space="0" w:color="auto"/>
            <w:bottom w:val="none" w:sz="0" w:space="0" w:color="auto"/>
            <w:right w:val="none" w:sz="0" w:space="0" w:color="auto"/>
          </w:divBdr>
        </w:div>
        <w:div w:id="2081056011">
          <w:marLeft w:val="0"/>
          <w:marRight w:val="0"/>
          <w:marTop w:val="0"/>
          <w:marBottom w:val="0"/>
          <w:divBdr>
            <w:top w:val="none" w:sz="0" w:space="0" w:color="auto"/>
            <w:left w:val="none" w:sz="0" w:space="0" w:color="auto"/>
            <w:bottom w:val="none" w:sz="0" w:space="0" w:color="auto"/>
            <w:right w:val="none" w:sz="0" w:space="0" w:color="auto"/>
          </w:divBdr>
          <w:divsChild>
            <w:div w:id="168495581">
              <w:marLeft w:val="0"/>
              <w:marRight w:val="0"/>
              <w:marTop w:val="0"/>
              <w:marBottom w:val="0"/>
              <w:divBdr>
                <w:top w:val="none" w:sz="0" w:space="0" w:color="auto"/>
                <w:left w:val="none" w:sz="0" w:space="0" w:color="auto"/>
                <w:bottom w:val="none" w:sz="0" w:space="0" w:color="auto"/>
                <w:right w:val="none" w:sz="0" w:space="0" w:color="auto"/>
              </w:divBdr>
            </w:div>
          </w:divsChild>
        </w:div>
        <w:div w:id="2096393005">
          <w:marLeft w:val="0"/>
          <w:marRight w:val="0"/>
          <w:marTop w:val="0"/>
          <w:marBottom w:val="0"/>
          <w:divBdr>
            <w:top w:val="none" w:sz="0" w:space="0" w:color="auto"/>
            <w:left w:val="none" w:sz="0" w:space="0" w:color="auto"/>
            <w:bottom w:val="none" w:sz="0" w:space="0" w:color="auto"/>
            <w:right w:val="none" w:sz="0" w:space="0" w:color="auto"/>
          </w:divBdr>
        </w:div>
        <w:div w:id="2104448412">
          <w:marLeft w:val="0"/>
          <w:marRight w:val="0"/>
          <w:marTop w:val="0"/>
          <w:marBottom w:val="0"/>
          <w:divBdr>
            <w:top w:val="none" w:sz="0" w:space="0" w:color="auto"/>
            <w:left w:val="none" w:sz="0" w:space="0" w:color="auto"/>
            <w:bottom w:val="none" w:sz="0" w:space="0" w:color="auto"/>
            <w:right w:val="none" w:sz="0" w:space="0" w:color="auto"/>
          </w:divBdr>
        </w:div>
      </w:divsChild>
    </w:div>
    <w:div w:id="1285304166">
      <w:bodyDiv w:val="1"/>
      <w:marLeft w:val="0"/>
      <w:marRight w:val="0"/>
      <w:marTop w:val="0"/>
      <w:marBottom w:val="0"/>
      <w:divBdr>
        <w:top w:val="none" w:sz="0" w:space="0" w:color="auto"/>
        <w:left w:val="none" w:sz="0" w:space="0" w:color="auto"/>
        <w:bottom w:val="none" w:sz="0" w:space="0" w:color="auto"/>
        <w:right w:val="none" w:sz="0" w:space="0" w:color="auto"/>
      </w:divBdr>
    </w:div>
    <w:div w:id="1306009490">
      <w:bodyDiv w:val="1"/>
      <w:marLeft w:val="0"/>
      <w:marRight w:val="0"/>
      <w:marTop w:val="0"/>
      <w:marBottom w:val="0"/>
      <w:divBdr>
        <w:top w:val="none" w:sz="0" w:space="0" w:color="auto"/>
        <w:left w:val="none" w:sz="0" w:space="0" w:color="auto"/>
        <w:bottom w:val="none" w:sz="0" w:space="0" w:color="auto"/>
        <w:right w:val="none" w:sz="0" w:space="0" w:color="auto"/>
      </w:divBdr>
      <w:divsChild>
        <w:div w:id="51395967">
          <w:marLeft w:val="0"/>
          <w:marRight w:val="0"/>
          <w:marTop w:val="0"/>
          <w:marBottom w:val="0"/>
          <w:divBdr>
            <w:top w:val="none" w:sz="0" w:space="0" w:color="auto"/>
            <w:left w:val="none" w:sz="0" w:space="0" w:color="auto"/>
            <w:bottom w:val="none" w:sz="0" w:space="0" w:color="auto"/>
            <w:right w:val="none" w:sz="0" w:space="0" w:color="auto"/>
          </w:divBdr>
        </w:div>
        <w:div w:id="174345106">
          <w:marLeft w:val="0"/>
          <w:marRight w:val="0"/>
          <w:marTop w:val="0"/>
          <w:marBottom w:val="0"/>
          <w:divBdr>
            <w:top w:val="none" w:sz="0" w:space="0" w:color="auto"/>
            <w:left w:val="none" w:sz="0" w:space="0" w:color="auto"/>
            <w:bottom w:val="none" w:sz="0" w:space="0" w:color="auto"/>
            <w:right w:val="none" w:sz="0" w:space="0" w:color="auto"/>
          </w:divBdr>
        </w:div>
        <w:div w:id="1098327076">
          <w:marLeft w:val="0"/>
          <w:marRight w:val="0"/>
          <w:marTop w:val="0"/>
          <w:marBottom w:val="0"/>
          <w:divBdr>
            <w:top w:val="none" w:sz="0" w:space="0" w:color="auto"/>
            <w:left w:val="none" w:sz="0" w:space="0" w:color="auto"/>
            <w:bottom w:val="none" w:sz="0" w:space="0" w:color="auto"/>
            <w:right w:val="none" w:sz="0" w:space="0" w:color="auto"/>
          </w:divBdr>
        </w:div>
        <w:div w:id="1169100273">
          <w:marLeft w:val="0"/>
          <w:marRight w:val="0"/>
          <w:marTop w:val="0"/>
          <w:marBottom w:val="0"/>
          <w:divBdr>
            <w:top w:val="none" w:sz="0" w:space="0" w:color="auto"/>
            <w:left w:val="none" w:sz="0" w:space="0" w:color="auto"/>
            <w:bottom w:val="none" w:sz="0" w:space="0" w:color="auto"/>
            <w:right w:val="none" w:sz="0" w:space="0" w:color="auto"/>
          </w:divBdr>
        </w:div>
        <w:div w:id="1841311749">
          <w:marLeft w:val="0"/>
          <w:marRight w:val="0"/>
          <w:marTop w:val="0"/>
          <w:marBottom w:val="0"/>
          <w:divBdr>
            <w:top w:val="none" w:sz="0" w:space="0" w:color="auto"/>
            <w:left w:val="none" w:sz="0" w:space="0" w:color="auto"/>
            <w:bottom w:val="none" w:sz="0" w:space="0" w:color="auto"/>
            <w:right w:val="none" w:sz="0" w:space="0" w:color="auto"/>
          </w:divBdr>
        </w:div>
      </w:divsChild>
    </w:div>
    <w:div w:id="1311128496">
      <w:bodyDiv w:val="1"/>
      <w:marLeft w:val="0"/>
      <w:marRight w:val="0"/>
      <w:marTop w:val="0"/>
      <w:marBottom w:val="0"/>
      <w:divBdr>
        <w:top w:val="none" w:sz="0" w:space="0" w:color="auto"/>
        <w:left w:val="none" w:sz="0" w:space="0" w:color="auto"/>
        <w:bottom w:val="none" w:sz="0" w:space="0" w:color="auto"/>
        <w:right w:val="none" w:sz="0" w:space="0" w:color="auto"/>
      </w:divBdr>
      <w:divsChild>
        <w:div w:id="716591443">
          <w:marLeft w:val="0"/>
          <w:marRight w:val="0"/>
          <w:marTop w:val="0"/>
          <w:marBottom w:val="0"/>
          <w:divBdr>
            <w:top w:val="none" w:sz="0" w:space="0" w:color="auto"/>
            <w:left w:val="none" w:sz="0" w:space="0" w:color="auto"/>
            <w:bottom w:val="none" w:sz="0" w:space="0" w:color="auto"/>
            <w:right w:val="none" w:sz="0" w:space="0" w:color="auto"/>
          </w:divBdr>
        </w:div>
        <w:div w:id="1442844885">
          <w:marLeft w:val="0"/>
          <w:marRight w:val="0"/>
          <w:marTop w:val="0"/>
          <w:marBottom w:val="0"/>
          <w:divBdr>
            <w:top w:val="none" w:sz="0" w:space="0" w:color="auto"/>
            <w:left w:val="none" w:sz="0" w:space="0" w:color="auto"/>
            <w:bottom w:val="none" w:sz="0" w:space="0" w:color="auto"/>
            <w:right w:val="none" w:sz="0" w:space="0" w:color="auto"/>
          </w:divBdr>
        </w:div>
        <w:div w:id="1860778948">
          <w:marLeft w:val="0"/>
          <w:marRight w:val="0"/>
          <w:marTop w:val="0"/>
          <w:marBottom w:val="0"/>
          <w:divBdr>
            <w:top w:val="none" w:sz="0" w:space="0" w:color="auto"/>
            <w:left w:val="none" w:sz="0" w:space="0" w:color="auto"/>
            <w:bottom w:val="none" w:sz="0" w:space="0" w:color="auto"/>
            <w:right w:val="none" w:sz="0" w:space="0" w:color="auto"/>
          </w:divBdr>
        </w:div>
      </w:divsChild>
    </w:div>
    <w:div w:id="1325862634">
      <w:bodyDiv w:val="1"/>
      <w:marLeft w:val="0"/>
      <w:marRight w:val="0"/>
      <w:marTop w:val="0"/>
      <w:marBottom w:val="0"/>
      <w:divBdr>
        <w:top w:val="none" w:sz="0" w:space="0" w:color="auto"/>
        <w:left w:val="none" w:sz="0" w:space="0" w:color="auto"/>
        <w:bottom w:val="none" w:sz="0" w:space="0" w:color="auto"/>
        <w:right w:val="none" w:sz="0" w:space="0" w:color="auto"/>
      </w:divBdr>
      <w:divsChild>
        <w:div w:id="782848991">
          <w:marLeft w:val="0"/>
          <w:marRight w:val="0"/>
          <w:marTop w:val="0"/>
          <w:marBottom w:val="0"/>
          <w:divBdr>
            <w:top w:val="none" w:sz="0" w:space="0" w:color="auto"/>
            <w:left w:val="none" w:sz="0" w:space="0" w:color="auto"/>
            <w:bottom w:val="none" w:sz="0" w:space="0" w:color="auto"/>
            <w:right w:val="none" w:sz="0" w:space="0" w:color="auto"/>
          </w:divBdr>
        </w:div>
      </w:divsChild>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0593855">
      <w:bodyDiv w:val="1"/>
      <w:marLeft w:val="0"/>
      <w:marRight w:val="0"/>
      <w:marTop w:val="0"/>
      <w:marBottom w:val="0"/>
      <w:divBdr>
        <w:top w:val="none" w:sz="0" w:space="0" w:color="auto"/>
        <w:left w:val="none" w:sz="0" w:space="0" w:color="auto"/>
        <w:bottom w:val="none" w:sz="0" w:space="0" w:color="auto"/>
        <w:right w:val="none" w:sz="0" w:space="0" w:color="auto"/>
      </w:divBdr>
    </w:div>
    <w:div w:id="1372654278">
      <w:bodyDiv w:val="1"/>
      <w:marLeft w:val="0"/>
      <w:marRight w:val="0"/>
      <w:marTop w:val="0"/>
      <w:marBottom w:val="0"/>
      <w:divBdr>
        <w:top w:val="none" w:sz="0" w:space="0" w:color="auto"/>
        <w:left w:val="none" w:sz="0" w:space="0" w:color="auto"/>
        <w:bottom w:val="none" w:sz="0" w:space="0" w:color="auto"/>
        <w:right w:val="none" w:sz="0" w:space="0" w:color="auto"/>
      </w:divBdr>
    </w:div>
    <w:div w:id="1390690694">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2681216">
      <w:bodyDiv w:val="1"/>
      <w:marLeft w:val="0"/>
      <w:marRight w:val="0"/>
      <w:marTop w:val="0"/>
      <w:marBottom w:val="0"/>
      <w:divBdr>
        <w:top w:val="none" w:sz="0" w:space="0" w:color="auto"/>
        <w:left w:val="none" w:sz="0" w:space="0" w:color="auto"/>
        <w:bottom w:val="none" w:sz="0" w:space="0" w:color="auto"/>
        <w:right w:val="none" w:sz="0" w:space="0" w:color="auto"/>
      </w:divBdr>
    </w:div>
    <w:div w:id="1406105290">
      <w:bodyDiv w:val="1"/>
      <w:marLeft w:val="0"/>
      <w:marRight w:val="0"/>
      <w:marTop w:val="0"/>
      <w:marBottom w:val="0"/>
      <w:divBdr>
        <w:top w:val="none" w:sz="0" w:space="0" w:color="auto"/>
        <w:left w:val="none" w:sz="0" w:space="0" w:color="auto"/>
        <w:bottom w:val="none" w:sz="0" w:space="0" w:color="auto"/>
        <w:right w:val="none" w:sz="0" w:space="0" w:color="auto"/>
      </w:divBdr>
    </w:div>
    <w:div w:id="1411004203">
      <w:bodyDiv w:val="1"/>
      <w:marLeft w:val="0"/>
      <w:marRight w:val="0"/>
      <w:marTop w:val="0"/>
      <w:marBottom w:val="0"/>
      <w:divBdr>
        <w:top w:val="none" w:sz="0" w:space="0" w:color="auto"/>
        <w:left w:val="none" w:sz="0" w:space="0" w:color="auto"/>
        <w:bottom w:val="none" w:sz="0" w:space="0" w:color="auto"/>
        <w:right w:val="none" w:sz="0" w:space="0" w:color="auto"/>
      </w:divBdr>
    </w:div>
    <w:div w:id="1423717299">
      <w:bodyDiv w:val="1"/>
      <w:marLeft w:val="0"/>
      <w:marRight w:val="0"/>
      <w:marTop w:val="0"/>
      <w:marBottom w:val="0"/>
      <w:divBdr>
        <w:top w:val="none" w:sz="0" w:space="0" w:color="auto"/>
        <w:left w:val="none" w:sz="0" w:space="0" w:color="auto"/>
        <w:bottom w:val="none" w:sz="0" w:space="0" w:color="auto"/>
        <w:right w:val="none" w:sz="0" w:space="0" w:color="auto"/>
      </w:divBdr>
    </w:div>
    <w:div w:id="1435326805">
      <w:bodyDiv w:val="1"/>
      <w:marLeft w:val="0"/>
      <w:marRight w:val="0"/>
      <w:marTop w:val="0"/>
      <w:marBottom w:val="0"/>
      <w:divBdr>
        <w:top w:val="none" w:sz="0" w:space="0" w:color="auto"/>
        <w:left w:val="none" w:sz="0" w:space="0" w:color="auto"/>
        <w:bottom w:val="none" w:sz="0" w:space="0" w:color="auto"/>
        <w:right w:val="none" w:sz="0" w:space="0" w:color="auto"/>
      </w:divBdr>
    </w:div>
    <w:div w:id="1450054130">
      <w:bodyDiv w:val="1"/>
      <w:marLeft w:val="0"/>
      <w:marRight w:val="0"/>
      <w:marTop w:val="0"/>
      <w:marBottom w:val="0"/>
      <w:divBdr>
        <w:top w:val="none" w:sz="0" w:space="0" w:color="auto"/>
        <w:left w:val="none" w:sz="0" w:space="0" w:color="auto"/>
        <w:bottom w:val="none" w:sz="0" w:space="0" w:color="auto"/>
        <w:right w:val="none" w:sz="0" w:space="0" w:color="auto"/>
      </w:divBdr>
    </w:div>
    <w:div w:id="1454711750">
      <w:bodyDiv w:val="1"/>
      <w:marLeft w:val="0"/>
      <w:marRight w:val="0"/>
      <w:marTop w:val="0"/>
      <w:marBottom w:val="0"/>
      <w:divBdr>
        <w:top w:val="none" w:sz="0" w:space="0" w:color="auto"/>
        <w:left w:val="none" w:sz="0" w:space="0" w:color="auto"/>
        <w:bottom w:val="none" w:sz="0" w:space="0" w:color="auto"/>
        <w:right w:val="none" w:sz="0" w:space="0" w:color="auto"/>
      </w:divBdr>
    </w:div>
    <w:div w:id="1466000541">
      <w:bodyDiv w:val="1"/>
      <w:marLeft w:val="0"/>
      <w:marRight w:val="0"/>
      <w:marTop w:val="0"/>
      <w:marBottom w:val="0"/>
      <w:divBdr>
        <w:top w:val="none" w:sz="0" w:space="0" w:color="auto"/>
        <w:left w:val="none" w:sz="0" w:space="0" w:color="auto"/>
        <w:bottom w:val="none" w:sz="0" w:space="0" w:color="auto"/>
        <w:right w:val="none" w:sz="0" w:space="0" w:color="auto"/>
      </w:divBdr>
    </w:div>
    <w:div w:id="1480419840">
      <w:bodyDiv w:val="1"/>
      <w:marLeft w:val="0"/>
      <w:marRight w:val="0"/>
      <w:marTop w:val="0"/>
      <w:marBottom w:val="0"/>
      <w:divBdr>
        <w:top w:val="none" w:sz="0" w:space="0" w:color="auto"/>
        <w:left w:val="none" w:sz="0" w:space="0" w:color="auto"/>
        <w:bottom w:val="none" w:sz="0" w:space="0" w:color="auto"/>
        <w:right w:val="none" w:sz="0" w:space="0" w:color="auto"/>
      </w:divBdr>
    </w:div>
    <w:div w:id="1487480096">
      <w:bodyDiv w:val="1"/>
      <w:marLeft w:val="0"/>
      <w:marRight w:val="0"/>
      <w:marTop w:val="0"/>
      <w:marBottom w:val="0"/>
      <w:divBdr>
        <w:top w:val="none" w:sz="0" w:space="0" w:color="auto"/>
        <w:left w:val="none" w:sz="0" w:space="0" w:color="auto"/>
        <w:bottom w:val="none" w:sz="0" w:space="0" w:color="auto"/>
        <w:right w:val="none" w:sz="0" w:space="0" w:color="auto"/>
      </w:divBdr>
    </w:div>
    <w:div w:id="1489128303">
      <w:bodyDiv w:val="1"/>
      <w:marLeft w:val="0"/>
      <w:marRight w:val="0"/>
      <w:marTop w:val="0"/>
      <w:marBottom w:val="0"/>
      <w:divBdr>
        <w:top w:val="none" w:sz="0" w:space="0" w:color="auto"/>
        <w:left w:val="none" w:sz="0" w:space="0" w:color="auto"/>
        <w:bottom w:val="none" w:sz="0" w:space="0" w:color="auto"/>
        <w:right w:val="none" w:sz="0" w:space="0" w:color="auto"/>
      </w:divBdr>
    </w:div>
    <w:div w:id="1492941711">
      <w:bodyDiv w:val="1"/>
      <w:marLeft w:val="0"/>
      <w:marRight w:val="0"/>
      <w:marTop w:val="0"/>
      <w:marBottom w:val="0"/>
      <w:divBdr>
        <w:top w:val="none" w:sz="0" w:space="0" w:color="auto"/>
        <w:left w:val="none" w:sz="0" w:space="0" w:color="auto"/>
        <w:bottom w:val="none" w:sz="0" w:space="0" w:color="auto"/>
        <w:right w:val="none" w:sz="0" w:space="0" w:color="auto"/>
      </w:divBdr>
      <w:divsChild>
        <w:div w:id="979304874">
          <w:marLeft w:val="0"/>
          <w:marRight w:val="0"/>
          <w:marTop w:val="0"/>
          <w:marBottom w:val="0"/>
          <w:divBdr>
            <w:top w:val="none" w:sz="0" w:space="0" w:color="auto"/>
            <w:left w:val="none" w:sz="0" w:space="0" w:color="auto"/>
            <w:bottom w:val="none" w:sz="0" w:space="0" w:color="auto"/>
            <w:right w:val="none" w:sz="0" w:space="0" w:color="auto"/>
          </w:divBdr>
        </w:div>
        <w:div w:id="2128621276">
          <w:marLeft w:val="0"/>
          <w:marRight w:val="0"/>
          <w:marTop w:val="0"/>
          <w:marBottom w:val="0"/>
          <w:divBdr>
            <w:top w:val="none" w:sz="0" w:space="0" w:color="auto"/>
            <w:left w:val="none" w:sz="0" w:space="0" w:color="auto"/>
            <w:bottom w:val="none" w:sz="0" w:space="0" w:color="auto"/>
            <w:right w:val="none" w:sz="0" w:space="0" w:color="auto"/>
          </w:divBdr>
          <w:divsChild>
            <w:div w:id="936672537">
              <w:marLeft w:val="0"/>
              <w:marRight w:val="0"/>
              <w:marTop w:val="0"/>
              <w:marBottom w:val="0"/>
              <w:divBdr>
                <w:top w:val="none" w:sz="0" w:space="0" w:color="auto"/>
                <w:left w:val="none" w:sz="0" w:space="0" w:color="auto"/>
                <w:bottom w:val="none" w:sz="0" w:space="0" w:color="auto"/>
                <w:right w:val="none" w:sz="0" w:space="0" w:color="auto"/>
              </w:divBdr>
            </w:div>
            <w:div w:id="169962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7977">
      <w:bodyDiv w:val="1"/>
      <w:marLeft w:val="0"/>
      <w:marRight w:val="0"/>
      <w:marTop w:val="0"/>
      <w:marBottom w:val="0"/>
      <w:divBdr>
        <w:top w:val="none" w:sz="0" w:space="0" w:color="auto"/>
        <w:left w:val="none" w:sz="0" w:space="0" w:color="auto"/>
        <w:bottom w:val="none" w:sz="0" w:space="0" w:color="auto"/>
        <w:right w:val="none" w:sz="0" w:space="0" w:color="auto"/>
      </w:divBdr>
    </w:div>
    <w:div w:id="1527479287">
      <w:bodyDiv w:val="1"/>
      <w:marLeft w:val="0"/>
      <w:marRight w:val="0"/>
      <w:marTop w:val="0"/>
      <w:marBottom w:val="0"/>
      <w:divBdr>
        <w:top w:val="none" w:sz="0" w:space="0" w:color="auto"/>
        <w:left w:val="none" w:sz="0" w:space="0" w:color="auto"/>
        <w:bottom w:val="none" w:sz="0" w:space="0" w:color="auto"/>
        <w:right w:val="none" w:sz="0" w:space="0" w:color="auto"/>
      </w:divBdr>
    </w:div>
    <w:div w:id="1541355371">
      <w:bodyDiv w:val="1"/>
      <w:marLeft w:val="0"/>
      <w:marRight w:val="0"/>
      <w:marTop w:val="0"/>
      <w:marBottom w:val="0"/>
      <w:divBdr>
        <w:top w:val="none" w:sz="0" w:space="0" w:color="auto"/>
        <w:left w:val="none" w:sz="0" w:space="0" w:color="auto"/>
        <w:bottom w:val="none" w:sz="0" w:space="0" w:color="auto"/>
        <w:right w:val="none" w:sz="0" w:space="0" w:color="auto"/>
      </w:divBdr>
    </w:div>
    <w:div w:id="1544172259">
      <w:bodyDiv w:val="1"/>
      <w:marLeft w:val="0"/>
      <w:marRight w:val="0"/>
      <w:marTop w:val="0"/>
      <w:marBottom w:val="0"/>
      <w:divBdr>
        <w:top w:val="none" w:sz="0" w:space="0" w:color="auto"/>
        <w:left w:val="none" w:sz="0" w:space="0" w:color="auto"/>
        <w:bottom w:val="none" w:sz="0" w:space="0" w:color="auto"/>
        <w:right w:val="none" w:sz="0" w:space="0" w:color="auto"/>
      </w:divBdr>
      <w:divsChild>
        <w:div w:id="1760176283">
          <w:marLeft w:val="0"/>
          <w:marRight w:val="0"/>
          <w:marTop w:val="0"/>
          <w:marBottom w:val="0"/>
          <w:divBdr>
            <w:top w:val="single" w:sz="2" w:space="0" w:color="auto"/>
            <w:left w:val="single" w:sz="2" w:space="0" w:color="auto"/>
            <w:bottom w:val="single" w:sz="2" w:space="0" w:color="auto"/>
            <w:right w:val="single" w:sz="2" w:space="0" w:color="auto"/>
          </w:divBdr>
        </w:div>
        <w:div w:id="1595943251">
          <w:marLeft w:val="0"/>
          <w:marRight w:val="0"/>
          <w:marTop w:val="0"/>
          <w:marBottom w:val="0"/>
          <w:divBdr>
            <w:top w:val="single" w:sz="2" w:space="0" w:color="auto"/>
            <w:left w:val="single" w:sz="2" w:space="0" w:color="auto"/>
            <w:bottom w:val="single" w:sz="2" w:space="0" w:color="auto"/>
            <w:right w:val="single" w:sz="2" w:space="0" w:color="auto"/>
          </w:divBdr>
        </w:div>
      </w:divsChild>
    </w:div>
    <w:div w:id="1546330884">
      <w:bodyDiv w:val="1"/>
      <w:marLeft w:val="0"/>
      <w:marRight w:val="0"/>
      <w:marTop w:val="0"/>
      <w:marBottom w:val="0"/>
      <w:divBdr>
        <w:top w:val="none" w:sz="0" w:space="0" w:color="auto"/>
        <w:left w:val="none" w:sz="0" w:space="0" w:color="auto"/>
        <w:bottom w:val="none" w:sz="0" w:space="0" w:color="auto"/>
        <w:right w:val="none" w:sz="0" w:space="0" w:color="auto"/>
      </w:divBdr>
    </w:div>
    <w:div w:id="1548369362">
      <w:bodyDiv w:val="1"/>
      <w:marLeft w:val="0"/>
      <w:marRight w:val="0"/>
      <w:marTop w:val="0"/>
      <w:marBottom w:val="0"/>
      <w:divBdr>
        <w:top w:val="none" w:sz="0" w:space="0" w:color="auto"/>
        <w:left w:val="none" w:sz="0" w:space="0" w:color="auto"/>
        <w:bottom w:val="none" w:sz="0" w:space="0" w:color="auto"/>
        <w:right w:val="none" w:sz="0" w:space="0" w:color="auto"/>
      </w:divBdr>
    </w:div>
    <w:div w:id="1551922967">
      <w:bodyDiv w:val="1"/>
      <w:marLeft w:val="0"/>
      <w:marRight w:val="0"/>
      <w:marTop w:val="0"/>
      <w:marBottom w:val="0"/>
      <w:divBdr>
        <w:top w:val="none" w:sz="0" w:space="0" w:color="auto"/>
        <w:left w:val="none" w:sz="0" w:space="0" w:color="auto"/>
        <w:bottom w:val="none" w:sz="0" w:space="0" w:color="auto"/>
        <w:right w:val="none" w:sz="0" w:space="0" w:color="auto"/>
      </w:divBdr>
    </w:div>
    <w:div w:id="1560245266">
      <w:bodyDiv w:val="1"/>
      <w:marLeft w:val="0"/>
      <w:marRight w:val="0"/>
      <w:marTop w:val="0"/>
      <w:marBottom w:val="0"/>
      <w:divBdr>
        <w:top w:val="none" w:sz="0" w:space="0" w:color="auto"/>
        <w:left w:val="none" w:sz="0" w:space="0" w:color="auto"/>
        <w:bottom w:val="none" w:sz="0" w:space="0" w:color="auto"/>
        <w:right w:val="none" w:sz="0" w:space="0" w:color="auto"/>
      </w:divBdr>
    </w:div>
    <w:div w:id="1569068582">
      <w:bodyDiv w:val="1"/>
      <w:marLeft w:val="0"/>
      <w:marRight w:val="0"/>
      <w:marTop w:val="0"/>
      <w:marBottom w:val="0"/>
      <w:divBdr>
        <w:top w:val="none" w:sz="0" w:space="0" w:color="auto"/>
        <w:left w:val="none" w:sz="0" w:space="0" w:color="auto"/>
        <w:bottom w:val="none" w:sz="0" w:space="0" w:color="auto"/>
        <w:right w:val="none" w:sz="0" w:space="0" w:color="auto"/>
      </w:divBdr>
    </w:div>
    <w:div w:id="1574198453">
      <w:bodyDiv w:val="1"/>
      <w:marLeft w:val="0"/>
      <w:marRight w:val="0"/>
      <w:marTop w:val="0"/>
      <w:marBottom w:val="0"/>
      <w:divBdr>
        <w:top w:val="none" w:sz="0" w:space="0" w:color="auto"/>
        <w:left w:val="none" w:sz="0" w:space="0" w:color="auto"/>
        <w:bottom w:val="none" w:sz="0" w:space="0" w:color="auto"/>
        <w:right w:val="none" w:sz="0" w:space="0" w:color="auto"/>
      </w:divBdr>
    </w:div>
    <w:div w:id="1589851704">
      <w:bodyDiv w:val="1"/>
      <w:marLeft w:val="0"/>
      <w:marRight w:val="0"/>
      <w:marTop w:val="0"/>
      <w:marBottom w:val="0"/>
      <w:divBdr>
        <w:top w:val="none" w:sz="0" w:space="0" w:color="auto"/>
        <w:left w:val="none" w:sz="0" w:space="0" w:color="auto"/>
        <w:bottom w:val="none" w:sz="0" w:space="0" w:color="auto"/>
        <w:right w:val="none" w:sz="0" w:space="0" w:color="auto"/>
      </w:divBdr>
    </w:div>
    <w:div w:id="1600870458">
      <w:bodyDiv w:val="1"/>
      <w:marLeft w:val="0"/>
      <w:marRight w:val="0"/>
      <w:marTop w:val="0"/>
      <w:marBottom w:val="0"/>
      <w:divBdr>
        <w:top w:val="none" w:sz="0" w:space="0" w:color="auto"/>
        <w:left w:val="none" w:sz="0" w:space="0" w:color="auto"/>
        <w:bottom w:val="none" w:sz="0" w:space="0" w:color="auto"/>
        <w:right w:val="none" w:sz="0" w:space="0" w:color="auto"/>
      </w:divBdr>
    </w:div>
    <w:div w:id="1614169672">
      <w:bodyDiv w:val="1"/>
      <w:marLeft w:val="0"/>
      <w:marRight w:val="0"/>
      <w:marTop w:val="0"/>
      <w:marBottom w:val="0"/>
      <w:divBdr>
        <w:top w:val="none" w:sz="0" w:space="0" w:color="auto"/>
        <w:left w:val="none" w:sz="0" w:space="0" w:color="auto"/>
        <w:bottom w:val="none" w:sz="0" w:space="0" w:color="auto"/>
        <w:right w:val="none" w:sz="0" w:space="0" w:color="auto"/>
      </w:divBdr>
    </w:div>
    <w:div w:id="1618172189">
      <w:bodyDiv w:val="1"/>
      <w:marLeft w:val="0"/>
      <w:marRight w:val="0"/>
      <w:marTop w:val="0"/>
      <w:marBottom w:val="0"/>
      <w:divBdr>
        <w:top w:val="none" w:sz="0" w:space="0" w:color="auto"/>
        <w:left w:val="none" w:sz="0" w:space="0" w:color="auto"/>
        <w:bottom w:val="none" w:sz="0" w:space="0" w:color="auto"/>
        <w:right w:val="none" w:sz="0" w:space="0" w:color="auto"/>
      </w:divBdr>
    </w:div>
    <w:div w:id="1623924093">
      <w:bodyDiv w:val="1"/>
      <w:marLeft w:val="0"/>
      <w:marRight w:val="0"/>
      <w:marTop w:val="0"/>
      <w:marBottom w:val="0"/>
      <w:divBdr>
        <w:top w:val="none" w:sz="0" w:space="0" w:color="auto"/>
        <w:left w:val="none" w:sz="0" w:space="0" w:color="auto"/>
        <w:bottom w:val="none" w:sz="0" w:space="0" w:color="auto"/>
        <w:right w:val="none" w:sz="0" w:space="0" w:color="auto"/>
      </w:divBdr>
    </w:div>
    <w:div w:id="1624268148">
      <w:bodyDiv w:val="1"/>
      <w:marLeft w:val="0"/>
      <w:marRight w:val="0"/>
      <w:marTop w:val="0"/>
      <w:marBottom w:val="0"/>
      <w:divBdr>
        <w:top w:val="none" w:sz="0" w:space="0" w:color="auto"/>
        <w:left w:val="none" w:sz="0" w:space="0" w:color="auto"/>
        <w:bottom w:val="none" w:sz="0" w:space="0" w:color="auto"/>
        <w:right w:val="none" w:sz="0" w:space="0" w:color="auto"/>
      </w:divBdr>
    </w:div>
    <w:div w:id="1628007455">
      <w:bodyDiv w:val="1"/>
      <w:marLeft w:val="0"/>
      <w:marRight w:val="0"/>
      <w:marTop w:val="0"/>
      <w:marBottom w:val="0"/>
      <w:divBdr>
        <w:top w:val="none" w:sz="0" w:space="0" w:color="auto"/>
        <w:left w:val="none" w:sz="0" w:space="0" w:color="auto"/>
        <w:bottom w:val="none" w:sz="0" w:space="0" w:color="auto"/>
        <w:right w:val="none" w:sz="0" w:space="0" w:color="auto"/>
      </w:divBdr>
    </w:div>
    <w:div w:id="1631588913">
      <w:bodyDiv w:val="1"/>
      <w:marLeft w:val="0"/>
      <w:marRight w:val="0"/>
      <w:marTop w:val="0"/>
      <w:marBottom w:val="0"/>
      <w:divBdr>
        <w:top w:val="none" w:sz="0" w:space="0" w:color="auto"/>
        <w:left w:val="none" w:sz="0" w:space="0" w:color="auto"/>
        <w:bottom w:val="none" w:sz="0" w:space="0" w:color="auto"/>
        <w:right w:val="none" w:sz="0" w:space="0" w:color="auto"/>
      </w:divBdr>
    </w:div>
    <w:div w:id="1641611320">
      <w:bodyDiv w:val="1"/>
      <w:marLeft w:val="0"/>
      <w:marRight w:val="0"/>
      <w:marTop w:val="0"/>
      <w:marBottom w:val="0"/>
      <w:divBdr>
        <w:top w:val="none" w:sz="0" w:space="0" w:color="auto"/>
        <w:left w:val="none" w:sz="0" w:space="0" w:color="auto"/>
        <w:bottom w:val="none" w:sz="0" w:space="0" w:color="auto"/>
        <w:right w:val="none" w:sz="0" w:space="0" w:color="auto"/>
      </w:divBdr>
    </w:div>
    <w:div w:id="1647663165">
      <w:bodyDiv w:val="1"/>
      <w:marLeft w:val="0"/>
      <w:marRight w:val="0"/>
      <w:marTop w:val="0"/>
      <w:marBottom w:val="0"/>
      <w:divBdr>
        <w:top w:val="none" w:sz="0" w:space="0" w:color="auto"/>
        <w:left w:val="none" w:sz="0" w:space="0" w:color="auto"/>
        <w:bottom w:val="none" w:sz="0" w:space="0" w:color="auto"/>
        <w:right w:val="none" w:sz="0" w:space="0" w:color="auto"/>
      </w:divBdr>
      <w:divsChild>
        <w:div w:id="260260361">
          <w:marLeft w:val="0"/>
          <w:marRight w:val="0"/>
          <w:marTop w:val="0"/>
          <w:marBottom w:val="0"/>
          <w:divBdr>
            <w:top w:val="none" w:sz="0" w:space="0" w:color="auto"/>
            <w:left w:val="none" w:sz="0" w:space="0" w:color="auto"/>
            <w:bottom w:val="none" w:sz="0" w:space="0" w:color="auto"/>
            <w:right w:val="none" w:sz="0" w:space="0" w:color="auto"/>
          </w:divBdr>
        </w:div>
      </w:divsChild>
    </w:div>
    <w:div w:id="1650600028">
      <w:bodyDiv w:val="1"/>
      <w:marLeft w:val="0"/>
      <w:marRight w:val="0"/>
      <w:marTop w:val="0"/>
      <w:marBottom w:val="0"/>
      <w:divBdr>
        <w:top w:val="none" w:sz="0" w:space="0" w:color="auto"/>
        <w:left w:val="none" w:sz="0" w:space="0" w:color="auto"/>
        <w:bottom w:val="none" w:sz="0" w:space="0" w:color="auto"/>
        <w:right w:val="none" w:sz="0" w:space="0" w:color="auto"/>
      </w:divBdr>
      <w:divsChild>
        <w:div w:id="967779259">
          <w:marLeft w:val="0"/>
          <w:marRight w:val="0"/>
          <w:marTop w:val="0"/>
          <w:marBottom w:val="0"/>
          <w:divBdr>
            <w:top w:val="none" w:sz="0" w:space="0" w:color="auto"/>
            <w:left w:val="none" w:sz="0" w:space="0" w:color="auto"/>
            <w:bottom w:val="none" w:sz="0" w:space="0" w:color="auto"/>
            <w:right w:val="none" w:sz="0" w:space="0" w:color="auto"/>
          </w:divBdr>
        </w:div>
        <w:div w:id="1079988245">
          <w:marLeft w:val="0"/>
          <w:marRight w:val="0"/>
          <w:marTop w:val="0"/>
          <w:marBottom w:val="0"/>
          <w:divBdr>
            <w:top w:val="none" w:sz="0" w:space="0" w:color="auto"/>
            <w:left w:val="none" w:sz="0" w:space="0" w:color="auto"/>
            <w:bottom w:val="none" w:sz="0" w:space="0" w:color="auto"/>
            <w:right w:val="none" w:sz="0" w:space="0" w:color="auto"/>
          </w:divBdr>
        </w:div>
      </w:divsChild>
    </w:div>
    <w:div w:id="1659115848">
      <w:bodyDiv w:val="1"/>
      <w:marLeft w:val="0"/>
      <w:marRight w:val="0"/>
      <w:marTop w:val="0"/>
      <w:marBottom w:val="0"/>
      <w:divBdr>
        <w:top w:val="none" w:sz="0" w:space="0" w:color="auto"/>
        <w:left w:val="none" w:sz="0" w:space="0" w:color="auto"/>
        <w:bottom w:val="none" w:sz="0" w:space="0" w:color="auto"/>
        <w:right w:val="none" w:sz="0" w:space="0" w:color="auto"/>
      </w:divBdr>
    </w:div>
    <w:div w:id="1659528440">
      <w:bodyDiv w:val="1"/>
      <w:marLeft w:val="0"/>
      <w:marRight w:val="0"/>
      <w:marTop w:val="0"/>
      <w:marBottom w:val="0"/>
      <w:divBdr>
        <w:top w:val="none" w:sz="0" w:space="0" w:color="auto"/>
        <w:left w:val="none" w:sz="0" w:space="0" w:color="auto"/>
        <w:bottom w:val="none" w:sz="0" w:space="0" w:color="auto"/>
        <w:right w:val="none" w:sz="0" w:space="0" w:color="auto"/>
      </w:divBdr>
    </w:div>
    <w:div w:id="1677921587">
      <w:bodyDiv w:val="1"/>
      <w:marLeft w:val="0"/>
      <w:marRight w:val="0"/>
      <w:marTop w:val="0"/>
      <w:marBottom w:val="0"/>
      <w:divBdr>
        <w:top w:val="none" w:sz="0" w:space="0" w:color="auto"/>
        <w:left w:val="none" w:sz="0" w:space="0" w:color="auto"/>
        <w:bottom w:val="none" w:sz="0" w:space="0" w:color="auto"/>
        <w:right w:val="none" w:sz="0" w:space="0" w:color="auto"/>
      </w:divBdr>
      <w:divsChild>
        <w:div w:id="451901559">
          <w:marLeft w:val="0"/>
          <w:marRight w:val="0"/>
          <w:marTop w:val="0"/>
          <w:marBottom w:val="0"/>
          <w:divBdr>
            <w:top w:val="none" w:sz="0" w:space="0" w:color="auto"/>
            <w:left w:val="none" w:sz="0" w:space="0" w:color="auto"/>
            <w:bottom w:val="none" w:sz="0" w:space="0" w:color="auto"/>
            <w:right w:val="none" w:sz="0" w:space="0" w:color="auto"/>
          </w:divBdr>
          <w:divsChild>
            <w:div w:id="1384676161">
              <w:marLeft w:val="0"/>
              <w:marRight w:val="0"/>
              <w:marTop w:val="0"/>
              <w:marBottom w:val="0"/>
              <w:divBdr>
                <w:top w:val="none" w:sz="0" w:space="0" w:color="auto"/>
                <w:left w:val="none" w:sz="0" w:space="0" w:color="auto"/>
                <w:bottom w:val="none" w:sz="0" w:space="0" w:color="auto"/>
                <w:right w:val="none" w:sz="0" w:space="0" w:color="auto"/>
              </w:divBdr>
            </w:div>
          </w:divsChild>
        </w:div>
        <w:div w:id="921253050">
          <w:marLeft w:val="0"/>
          <w:marRight w:val="0"/>
          <w:marTop w:val="0"/>
          <w:marBottom w:val="0"/>
          <w:divBdr>
            <w:top w:val="none" w:sz="0" w:space="0" w:color="auto"/>
            <w:left w:val="none" w:sz="0" w:space="0" w:color="auto"/>
            <w:bottom w:val="none" w:sz="0" w:space="0" w:color="auto"/>
            <w:right w:val="none" w:sz="0" w:space="0" w:color="auto"/>
          </w:divBdr>
          <w:divsChild>
            <w:div w:id="1231847104">
              <w:marLeft w:val="0"/>
              <w:marRight w:val="0"/>
              <w:marTop w:val="0"/>
              <w:marBottom w:val="0"/>
              <w:divBdr>
                <w:top w:val="none" w:sz="0" w:space="0" w:color="auto"/>
                <w:left w:val="none" w:sz="0" w:space="0" w:color="auto"/>
                <w:bottom w:val="none" w:sz="0" w:space="0" w:color="auto"/>
                <w:right w:val="none" w:sz="0" w:space="0" w:color="auto"/>
              </w:divBdr>
            </w:div>
          </w:divsChild>
        </w:div>
        <w:div w:id="923412743">
          <w:marLeft w:val="0"/>
          <w:marRight w:val="0"/>
          <w:marTop w:val="0"/>
          <w:marBottom w:val="0"/>
          <w:divBdr>
            <w:top w:val="none" w:sz="0" w:space="0" w:color="auto"/>
            <w:left w:val="none" w:sz="0" w:space="0" w:color="auto"/>
            <w:bottom w:val="none" w:sz="0" w:space="0" w:color="auto"/>
            <w:right w:val="none" w:sz="0" w:space="0" w:color="auto"/>
          </w:divBdr>
          <w:divsChild>
            <w:div w:id="1646810299">
              <w:marLeft w:val="0"/>
              <w:marRight w:val="0"/>
              <w:marTop w:val="0"/>
              <w:marBottom w:val="0"/>
              <w:divBdr>
                <w:top w:val="none" w:sz="0" w:space="0" w:color="auto"/>
                <w:left w:val="none" w:sz="0" w:space="0" w:color="auto"/>
                <w:bottom w:val="none" w:sz="0" w:space="0" w:color="auto"/>
                <w:right w:val="none" w:sz="0" w:space="0" w:color="auto"/>
              </w:divBdr>
            </w:div>
          </w:divsChild>
        </w:div>
        <w:div w:id="1231769515">
          <w:marLeft w:val="0"/>
          <w:marRight w:val="0"/>
          <w:marTop w:val="0"/>
          <w:marBottom w:val="0"/>
          <w:divBdr>
            <w:top w:val="none" w:sz="0" w:space="0" w:color="auto"/>
            <w:left w:val="none" w:sz="0" w:space="0" w:color="auto"/>
            <w:bottom w:val="none" w:sz="0" w:space="0" w:color="auto"/>
            <w:right w:val="none" w:sz="0" w:space="0" w:color="auto"/>
          </w:divBdr>
          <w:divsChild>
            <w:div w:id="272323078">
              <w:marLeft w:val="0"/>
              <w:marRight w:val="0"/>
              <w:marTop w:val="0"/>
              <w:marBottom w:val="0"/>
              <w:divBdr>
                <w:top w:val="none" w:sz="0" w:space="0" w:color="auto"/>
                <w:left w:val="none" w:sz="0" w:space="0" w:color="auto"/>
                <w:bottom w:val="none" w:sz="0" w:space="0" w:color="auto"/>
                <w:right w:val="none" w:sz="0" w:space="0" w:color="auto"/>
              </w:divBdr>
            </w:div>
            <w:div w:id="1351488455">
              <w:marLeft w:val="0"/>
              <w:marRight w:val="0"/>
              <w:marTop w:val="0"/>
              <w:marBottom w:val="0"/>
              <w:divBdr>
                <w:top w:val="none" w:sz="0" w:space="0" w:color="auto"/>
                <w:left w:val="none" w:sz="0" w:space="0" w:color="auto"/>
                <w:bottom w:val="none" w:sz="0" w:space="0" w:color="auto"/>
                <w:right w:val="none" w:sz="0" w:space="0" w:color="auto"/>
              </w:divBdr>
            </w:div>
          </w:divsChild>
        </w:div>
        <w:div w:id="1759789953">
          <w:marLeft w:val="0"/>
          <w:marRight w:val="0"/>
          <w:marTop w:val="0"/>
          <w:marBottom w:val="0"/>
          <w:divBdr>
            <w:top w:val="none" w:sz="0" w:space="0" w:color="auto"/>
            <w:left w:val="none" w:sz="0" w:space="0" w:color="auto"/>
            <w:bottom w:val="none" w:sz="0" w:space="0" w:color="auto"/>
            <w:right w:val="none" w:sz="0" w:space="0" w:color="auto"/>
          </w:divBdr>
          <w:divsChild>
            <w:div w:id="415372045">
              <w:marLeft w:val="0"/>
              <w:marRight w:val="0"/>
              <w:marTop w:val="0"/>
              <w:marBottom w:val="0"/>
              <w:divBdr>
                <w:top w:val="none" w:sz="0" w:space="0" w:color="auto"/>
                <w:left w:val="none" w:sz="0" w:space="0" w:color="auto"/>
                <w:bottom w:val="none" w:sz="0" w:space="0" w:color="auto"/>
                <w:right w:val="none" w:sz="0" w:space="0" w:color="auto"/>
              </w:divBdr>
            </w:div>
          </w:divsChild>
        </w:div>
        <w:div w:id="2089188471">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
            <w:div w:id="20758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9308">
      <w:bodyDiv w:val="1"/>
      <w:marLeft w:val="0"/>
      <w:marRight w:val="0"/>
      <w:marTop w:val="0"/>
      <w:marBottom w:val="0"/>
      <w:divBdr>
        <w:top w:val="none" w:sz="0" w:space="0" w:color="auto"/>
        <w:left w:val="none" w:sz="0" w:space="0" w:color="auto"/>
        <w:bottom w:val="none" w:sz="0" w:space="0" w:color="auto"/>
        <w:right w:val="none" w:sz="0" w:space="0" w:color="auto"/>
      </w:divBdr>
    </w:div>
    <w:div w:id="1696692643">
      <w:bodyDiv w:val="1"/>
      <w:marLeft w:val="0"/>
      <w:marRight w:val="0"/>
      <w:marTop w:val="0"/>
      <w:marBottom w:val="0"/>
      <w:divBdr>
        <w:top w:val="none" w:sz="0" w:space="0" w:color="auto"/>
        <w:left w:val="none" w:sz="0" w:space="0" w:color="auto"/>
        <w:bottom w:val="none" w:sz="0" w:space="0" w:color="auto"/>
        <w:right w:val="none" w:sz="0" w:space="0" w:color="auto"/>
      </w:divBdr>
    </w:div>
    <w:div w:id="1700814409">
      <w:bodyDiv w:val="1"/>
      <w:marLeft w:val="0"/>
      <w:marRight w:val="0"/>
      <w:marTop w:val="0"/>
      <w:marBottom w:val="0"/>
      <w:divBdr>
        <w:top w:val="none" w:sz="0" w:space="0" w:color="auto"/>
        <w:left w:val="none" w:sz="0" w:space="0" w:color="auto"/>
        <w:bottom w:val="none" w:sz="0" w:space="0" w:color="auto"/>
        <w:right w:val="none" w:sz="0" w:space="0" w:color="auto"/>
      </w:divBdr>
    </w:div>
    <w:div w:id="1726096913">
      <w:bodyDiv w:val="1"/>
      <w:marLeft w:val="0"/>
      <w:marRight w:val="0"/>
      <w:marTop w:val="0"/>
      <w:marBottom w:val="0"/>
      <w:divBdr>
        <w:top w:val="none" w:sz="0" w:space="0" w:color="auto"/>
        <w:left w:val="none" w:sz="0" w:space="0" w:color="auto"/>
        <w:bottom w:val="none" w:sz="0" w:space="0" w:color="auto"/>
        <w:right w:val="none" w:sz="0" w:space="0" w:color="auto"/>
      </w:divBdr>
      <w:divsChild>
        <w:div w:id="800882132">
          <w:marLeft w:val="0"/>
          <w:marRight w:val="0"/>
          <w:marTop w:val="0"/>
          <w:marBottom w:val="0"/>
          <w:divBdr>
            <w:top w:val="none" w:sz="0" w:space="0" w:color="auto"/>
            <w:left w:val="none" w:sz="0" w:space="0" w:color="auto"/>
            <w:bottom w:val="none" w:sz="0" w:space="0" w:color="auto"/>
            <w:right w:val="none" w:sz="0" w:space="0" w:color="auto"/>
          </w:divBdr>
        </w:div>
        <w:div w:id="1635331452">
          <w:marLeft w:val="0"/>
          <w:marRight w:val="0"/>
          <w:marTop w:val="0"/>
          <w:marBottom w:val="0"/>
          <w:divBdr>
            <w:top w:val="none" w:sz="0" w:space="0" w:color="auto"/>
            <w:left w:val="none" w:sz="0" w:space="0" w:color="auto"/>
            <w:bottom w:val="none" w:sz="0" w:space="0" w:color="auto"/>
            <w:right w:val="none" w:sz="0" w:space="0" w:color="auto"/>
          </w:divBdr>
          <w:divsChild>
            <w:div w:id="464010901">
              <w:marLeft w:val="0"/>
              <w:marRight w:val="0"/>
              <w:marTop w:val="0"/>
              <w:marBottom w:val="0"/>
              <w:divBdr>
                <w:top w:val="none" w:sz="0" w:space="0" w:color="auto"/>
                <w:left w:val="none" w:sz="0" w:space="0" w:color="auto"/>
                <w:bottom w:val="none" w:sz="0" w:space="0" w:color="auto"/>
                <w:right w:val="none" w:sz="0" w:space="0" w:color="auto"/>
              </w:divBdr>
            </w:div>
            <w:div w:id="16725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5396">
      <w:bodyDiv w:val="1"/>
      <w:marLeft w:val="0"/>
      <w:marRight w:val="0"/>
      <w:marTop w:val="0"/>
      <w:marBottom w:val="0"/>
      <w:divBdr>
        <w:top w:val="none" w:sz="0" w:space="0" w:color="auto"/>
        <w:left w:val="none" w:sz="0" w:space="0" w:color="auto"/>
        <w:bottom w:val="none" w:sz="0" w:space="0" w:color="auto"/>
        <w:right w:val="none" w:sz="0" w:space="0" w:color="auto"/>
      </w:divBdr>
    </w:div>
    <w:div w:id="1750031559">
      <w:bodyDiv w:val="1"/>
      <w:marLeft w:val="0"/>
      <w:marRight w:val="0"/>
      <w:marTop w:val="0"/>
      <w:marBottom w:val="0"/>
      <w:divBdr>
        <w:top w:val="none" w:sz="0" w:space="0" w:color="auto"/>
        <w:left w:val="none" w:sz="0" w:space="0" w:color="auto"/>
        <w:bottom w:val="none" w:sz="0" w:space="0" w:color="auto"/>
        <w:right w:val="none" w:sz="0" w:space="0" w:color="auto"/>
      </w:divBdr>
    </w:div>
    <w:div w:id="1785882688">
      <w:bodyDiv w:val="1"/>
      <w:marLeft w:val="0"/>
      <w:marRight w:val="0"/>
      <w:marTop w:val="0"/>
      <w:marBottom w:val="0"/>
      <w:divBdr>
        <w:top w:val="none" w:sz="0" w:space="0" w:color="auto"/>
        <w:left w:val="none" w:sz="0" w:space="0" w:color="auto"/>
        <w:bottom w:val="none" w:sz="0" w:space="0" w:color="auto"/>
        <w:right w:val="none" w:sz="0" w:space="0" w:color="auto"/>
      </w:divBdr>
    </w:div>
    <w:div w:id="1792170175">
      <w:bodyDiv w:val="1"/>
      <w:marLeft w:val="0"/>
      <w:marRight w:val="0"/>
      <w:marTop w:val="0"/>
      <w:marBottom w:val="0"/>
      <w:divBdr>
        <w:top w:val="none" w:sz="0" w:space="0" w:color="auto"/>
        <w:left w:val="none" w:sz="0" w:space="0" w:color="auto"/>
        <w:bottom w:val="none" w:sz="0" w:space="0" w:color="auto"/>
        <w:right w:val="none" w:sz="0" w:space="0" w:color="auto"/>
      </w:divBdr>
    </w:div>
    <w:div w:id="1793860655">
      <w:bodyDiv w:val="1"/>
      <w:marLeft w:val="0"/>
      <w:marRight w:val="0"/>
      <w:marTop w:val="0"/>
      <w:marBottom w:val="0"/>
      <w:divBdr>
        <w:top w:val="none" w:sz="0" w:space="0" w:color="auto"/>
        <w:left w:val="none" w:sz="0" w:space="0" w:color="auto"/>
        <w:bottom w:val="none" w:sz="0" w:space="0" w:color="auto"/>
        <w:right w:val="none" w:sz="0" w:space="0" w:color="auto"/>
      </w:divBdr>
    </w:div>
    <w:div w:id="1800611418">
      <w:bodyDiv w:val="1"/>
      <w:marLeft w:val="0"/>
      <w:marRight w:val="0"/>
      <w:marTop w:val="0"/>
      <w:marBottom w:val="0"/>
      <w:divBdr>
        <w:top w:val="none" w:sz="0" w:space="0" w:color="auto"/>
        <w:left w:val="none" w:sz="0" w:space="0" w:color="auto"/>
        <w:bottom w:val="none" w:sz="0" w:space="0" w:color="auto"/>
        <w:right w:val="none" w:sz="0" w:space="0" w:color="auto"/>
      </w:divBdr>
      <w:divsChild>
        <w:div w:id="1429352397">
          <w:marLeft w:val="0"/>
          <w:marRight w:val="0"/>
          <w:marTop w:val="0"/>
          <w:marBottom w:val="0"/>
          <w:divBdr>
            <w:top w:val="none" w:sz="0" w:space="0" w:color="auto"/>
            <w:left w:val="none" w:sz="0" w:space="0" w:color="auto"/>
            <w:bottom w:val="none" w:sz="0" w:space="0" w:color="auto"/>
            <w:right w:val="none" w:sz="0" w:space="0" w:color="auto"/>
          </w:divBdr>
        </w:div>
        <w:div w:id="1731342271">
          <w:marLeft w:val="0"/>
          <w:marRight w:val="0"/>
          <w:marTop w:val="0"/>
          <w:marBottom w:val="0"/>
          <w:divBdr>
            <w:top w:val="none" w:sz="0" w:space="0" w:color="auto"/>
            <w:left w:val="none" w:sz="0" w:space="0" w:color="auto"/>
            <w:bottom w:val="none" w:sz="0" w:space="0" w:color="auto"/>
            <w:right w:val="none" w:sz="0" w:space="0" w:color="auto"/>
          </w:divBdr>
        </w:div>
        <w:div w:id="1904296197">
          <w:marLeft w:val="0"/>
          <w:marRight w:val="0"/>
          <w:marTop w:val="0"/>
          <w:marBottom w:val="0"/>
          <w:divBdr>
            <w:top w:val="none" w:sz="0" w:space="0" w:color="auto"/>
            <w:left w:val="none" w:sz="0" w:space="0" w:color="auto"/>
            <w:bottom w:val="none" w:sz="0" w:space="0" w:color="auto"/>
            <w:right w:val="none" w:sz="0" w:space="0" w:color="auto"/>
          </w:divBdr>
        </w:div>
      </w:divsChild>
    </w:div>
    <w:div w:id="1809202543">
      <w:bodyDiv w:val="1"/>
      <w:marLeft w:val="0"/>
      <w:marRight w:val="0"/>
      <w:marTop w:val="0"/>
      <w:marBottom w:val="0"/>
      <w:divBdr>
        <w:top w:val="none" w:sz="0" w:space="0" w:color="auto"/>
        <w:left w:val="none" w:sz="0" w:space="0" w:color="auto"/>
        <w:bottom w:val="none" w:sz="0" w:space="0" w:color="auto"/>
        <w:right w:val="none" w:sz="0" w:space="0" w:color="auto"/>
      </w:divBdr>
    </w:div>
    <w:div w:id="1818956610">
      <w:bodyDiv w:val="1"/>
      <w:marLeft w:val="0"/>
      <w:marRight w:val="0"/>
      <w:marTop w:val="0"/>
      <w:marBottom w:val="0"/>
      <w:divBdr>
        <w:top w:val="none" w:sz="0" w:space="0" w:color="auto"/>
        <w:left w:val="none" w:sz="0" w:space="0" w:color="auto"/>
        <w:bottom w:val="none" w:sz="0" w:space="0" w:color="auto"/>
        <w:right w:val="none" w:sz="0" w:space="0" w:color="auto"/>
      </w:divBdr>
    </w:div>
    <w:div w:id="1842547246">
      <w:bodyDiv w:val="1"/>
      <w:marLeft w:val="0"/>
      <w:marRight w:val="0"/>
      <w:marTop w:val="0"/>
      <w:marBottom w:val="0"/>
      <w:divBdr>
        <w:top w:val="none" w:sz="0" w:space="0" w:color="auto"/>
        <w:left w:val="none" w:sz="0" w:space="0" w:color="auto"/>
        <w:bottom w:val="none" w:sz="0" w:space="0" w:color="auto"/>
        <w:right w:val="none" w:sz="0" w:space="0" w:color="auto"/>
      </w:divBdr>
    </w:div>
    <w:div w:id="1843160056">
      <w:bodyDiv w:val="1"/>
      <w:marLeft w:val="0"/>
      <w:marRight w:val="0"/>
      <w:marTop w:val="0"/>
      <w:marBottom w:val="0"/>
      <w:divBdr>
        <w:top w:val="none" w:sz="0" w:space="0" w:color="auto"/>
        <w:left w:val="none" w:sz="0" w:space="0" w:color="auto"/>
        <w:bottom w:val="none" w:sz="0" w:space="0" w:color="auto"/>
        <w:right w:val="none" w:sz="0" w:space="0" w:color="auto"/>
      </w:divBdr>
    </w:div>
    <w:div w:id="1845893709">
      <w:bodyDiv w:val="1"/>
      <w:marLeft w:val="0"/>
      <w:marRight w:val="0"/>
      <w:marTop w:val="0"/>
      <w:marBottom w:val="0"/>
      <w:divBdr>
        <w:top w:val="none" w:sz="0" w:space="0" w:color="auto"/>
        <w:left w:val="none" w:sz="0" w:space="0" w:color="auto"/>
        <w:bottom w:val="none" w:sz="0" w:space="0" w:color="auto"/>
        <w:right w:val="none" w:sz="0" w:space="0" w:color="auto"/>
      </w:divBdr>
    </w:div>
    <w:div w:id="1851605878">
      <w:bodyDiv w:val="1"/>
      <w:marLeft w:val="0"/>
      <w:marRight w:val="0"/>
      <w:marTop w:val="0"/>
      <w:marBottom w:val="0"/>
      <w:divBdr>
        <w:top w:val="none" w:sz="0" w:space="0" w:color="auto"/>
        <w:left w:val="none" w:sz="0" w:space="0" w:color="auto"/>
        <w:bottom w:val="none" w:sz="0" w:space="0" w:color="auto"/>
        <w:right w:val="none" w:sz="0" w:space="0" w:color="auto"/>
      </w:divBdr>
    </w:div>
    <w:div w:id="1857383400">
      <w:bodyDiv w:val="1"/>
      <w:marLeft w:val="0"/>
      <w:marRight w:val="0"/>
      <w:marTop w:val="0"/>
      <w:marBottom w:val="0"/>
      <w:divBdr>
        <w:top w:val="none" w:sz="0" w:space="0" w:color="auto"/>
        <w:left w:val="none" w:sz="0" w:space="0" w:color="auto"/>
        <w:bottom w:val="none" w:sz="0" w:space="0" w:color="auto"/>
        <w:right w:val="none" w:sz="0" w:space="0" w:color="auto"/>
      </w:divBdr>
      <w:divsChild>
        <w:div w:id="236939352">
          <w:marLeft w:val="0"/>
          <w:marRight w:val="0"/>
          <w:marTop w:val="0"/>
          <w:marBottom w:val="0"/>
          <w:divBdr>
            <w:top w:val="none" w:sz="0" w:space="0" w:color="auto"/>
            <w:left w:val="none" w:sz="0" w:space="0" w:color="auto"/>
            <w:bottom w:val="none" w:sz="0" w:space="0" w:color="auto"/>
            <w:right w:val="none" w:sz="0" w:space="0" w:color="auto"/>
          </w:divBdr>
        </w:div>
        <w:div w:id="652761100">
          <w:marLeft w:val="0"/>
          <w:marRight w:val="0"/>
          <w:marTop w:val="0"/>
          <w:marBottom w:val="0"/>
          <w:divBdr>
            <w:top w:val="none" w:sz="0" w:space="0" w:color="auto"/>
            <w:left w:val="none" w:sz="0" w:space="0" w:color="auto"/>
            <w:bottom w:val="none" w:sz="0" w:space="0" w:color="auto"/>
            <w:right w:val="none" w:sz="0" w:space="0" w:color="auto"/>
          </w:divBdr>
        </w:div>
      </w:divsChild>
    </w:div>
    <w:div w:id="1860654095">
      <w:bodyDiv w:val="1"/>
      <w:marLeft w:val="0"/>
      <w:marRight w:val="0"/>
      <w:marTop w:val="0"/>
      <w:marBottom w:val="0"/>
      <w:divBdr>
        <w:top w:val="none" w:sz="0" w:space="0" w:color="auto"/>
        <w:left w:val="none" w:sz="0" w:space="0" w:color="auto"/>
        <w:bottom w:val="none" w:sz="0" w:space="0" w:color="auto"/>
        <w:right w:val="none" w:sz="0" w:space="0" w:color="auto"/>
      </w:divBdr>
      <w:divsChild>
        <w:div w:id="77488464">
          <w:marLeft w:val="0"/>
          <w:marRight w:val="0"/>
          <w:marTop w:val="0"/>
          <w:marBottom w:val="0"/>
          <w:divBdr>
            <w:top w:val="none" w:sz="0" w:space="0" w:color="auto"/>
            <w:left w:val="none" w:sz="0" w:space="0" w:color="auto"/>
            <w:bottom w:val="none" w:sz="0" w:space="0" w:color="auto"/>
            <w:right w:val="none" w:sz="0" w:space="0" w:color="auto"/>
          </w:divBdr>
          <w:divsChild>
            <w:div w:id="1945577675">
              <w:marLeft w:val="0"/>
              <w:marRight w:val="0"/>
              <w:marTop w:val="0"/>
              <w:marBottom w:val="0"/>
              <w:divBdr>
                <w:top w:val="none" w:sz="0" w:space="0" w:color="auto"/>
                <w:left w:val="none" w:sz="0" w:space="0" w:color="auto"/>
                <w:bottom w:val="none" w:sz="0" w:space="0" w:color="auto"/>
                <w:right w:val="none" w:sz="0" w:space="0" w:color="auto"/>
              </w:divBdr>
              <w:divsChild>
                <w:div w:id="555942461">
                  <w:marLeft w:val="0"/>
                  <w:marRight w:val="0"/>
                  <w:marTop w:val="0"/>
                  <w:marBottom w:val="0"/>
                  <w:divBdr>
                    <w:top w:val="none" w:sz="0" w:space="0" w:color="auto"/>
                    <w:left w:val="none" w:sz="0" w:space="0" w:color="auto"/>
                    <w:bottom w:val="none" w:sz="0" w:space="0" w:color="auto"/>
                    <w:right w:val="none" w:sz="0" w:space="0" w:color="auto"/>
                  </w:divBdr>
                  <w:divsChild>
                    <w:div w:id="787049564">
                      <w:marLeft w:val="0"/>
                      <w:marRight w:val="0"/>
                      <w:marTop w:val="0"/>
                      <w:marBottom w:val="0"/>
                      <w:divBdr>
                        <w:top w:val="none" w:sz="0" w:space="0" w:color="auto"/>
                        <w:left w:val="none" w:sz="0" w:space="0" w:color="auto"/>
                        <w:bottom w:val="none" w:sz="0" w:space="0" w:color="auto"/>
                        <w:right w:val="none" w:sz="0" w:space="0" w:color="auto"/>
                      </w:divBdr>
                      <w:divsChild>
                        <w:div w:id="2126541483">
                          <w:marLeft w:val="0"/>
                          <w:marRight w:val="0"/>
                          <w:marTop w:val="0"/>
                          <w:marBottom w:val="0"/>
                          <w:divBdr>
                            <w:top w:val="none" w:sz="0" w:space="0" w:color="auto"/>
                            <w:left w:val="none" w:sz="0" w:space="0" w:color="auto"/>
                            <w:bottom w:val="none" w:sz="0" w:space="0" w:color="auto"/>
                            <w:right w:val="none" w:sz="0" w:space="0" w:color="auto"/>
                          </w:divBdr>
                          <w:divsChild>
                            <w:div w:id="385567666">
                              <w:marLeft w:val="0"/>
                              <w:marRight w:val="0"/>
                              <w:marTop w:val="0"/>
                              <w:marBottom w:val="0"/>
                              <w:divBdr>
                                <w:top w:val="none" w:sz="0" w:space="0" w:color="auto"/>
                                <w:left w:val="none" w:sz="0" w:space="0" w:color="auto"/>
                                <w:bottom w:val="none" w:sz="0" w:space="0" w:color="auto"/>
                                <w:right w:val="none" w:sz="0" w:space="0" w:color="auto"/>
                              </w:divBdr>
                              <w:divsChild>
                                <w:div w:id="536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395471">
      <w:bodyDiv w:val="1"/>
      <w:marLeft w:val="0"/>
      <w:marRight w:val="0"/>
      <w:marTop w:val="0"/>
      <w:marBottom w:val="0"/>
      <w:divBdr>
        <w:top w:val="none" w:sz="0" w:space="0" w:color="auto"/>
        <w:left w:val="none" w:sz="0" w:space="0" w:color="auto"/>
        <w:bottom w:val="none" w:sz="0" w:space="0" w:color="auto"/>
        <w:right w:val="none" w:sz="0" w:space="0" w:color="auto"/>
      </w:divBdr>
    </w:div>
    <w:div w:id="1883863209">
      <w:bodyDiv w:val="1"/>
      <w:marLeft w:val="0"/>
      <w:marRight w:val="0"/>
      <w:marTop w:val="0"/>
      <w:marBottom w:val="0"/>
      <w:divBdr>
        <w:top w:val="none" w:sz="0" w:space="0" w:color="auto"/>
        <w:left w:val="none" w:sz="0" w:space="0" w:color="auto"/>
        <w:bottom w:val="none" w:sz="0" w:space="0" w:color="auto"/>
        <w:right w:val="none" w:sz="0" w:space="0" w:color="auto"/>
      </w:divBdr>
    </w:div>
    <w:div w:id="1889874860">
      <w:bodyDiv w:val="1"/>
      <w:marLeft w:val="0"/>
      <w:marRight w:val="0"/>
      <w:marTop w:val="0"/>
      <w:marBottom w:val="0"/>
      <w:divBdr>
        <w:top w:val="none" w:sz="0" w:space="0" w:color="auto"/>
        <w:left w:val="none" w:sz="0" w:space="0" w:color="auto"/>
        <w:bottom w:val="none" w:sz="0" w:space="0" w:color="auto"/>
        <w:right w:val="none" w:sz="0" w:space="0" w:color="auto"/>
      </w:divBdr>
    </w:div>
    <w:div w:id="1913346547">
      <w:bodyDiv w:val="1"/>
      <w:marLeft w:val="0"/>
      <w:marRight w:val="0"/>
      <w:marTop w:val="0"/>
      <w:marBottom w:val="0"/>
      <w:divBdr>
        <w:top w:val="none" w:sz="0" w:space="0" w:color="auto"/>
        <w:left w:val="none" w:sz="0" w:space="0" w:color="auto"/>
        <w:bottom w:val="none" w:sz="0" w:space="0" w:color="auto"/>
        <w:right w:val="none" w:sz="0" w:space="0" w:color="auto"/>
      </w:divBdr>
    </w:div>
    <w:div w:id="1917859034">
      <w:bodyDiv w:val="1"/>
      <w:marLeft w:val="0"/>
      <w:marRight w:val="0"/>
      <w:marTop w:val="0"/>
      <w:marBottom w:val="0"/>
      <w:divBdr>
        <w:top w:val="none" w:sz="0" w:space="0" w:color="auto"/>
        <w:left w:val="none" w:sz="0" w:space="0" w:color="auto"/>
        <w:bottom w:val="none" w:sz="0" w:space="0" w:color="auto"/>
        <w:right w:val="none" w:sz="0" w:space="0" w:color="auto"/>
      </w:divBdr>
    </w:div>
    <w:div w:id="1921209262">
      <w:bodyDiv w:val="1"/>
      <w:marLeft w:val="0"/>
      <w:marRight w:val="0"/>
      <w:marTop w:val="0"/>
      <w:marBottom w:val="0"/>
      <w:divBdr>
        <w:top w:val="none" w:sz="0" w:space="0" w:color="auto"/>
        <w:left w:val="none" w:sz="0" w:space="0" w:color="auto"/>
        <w:bottom w:val="none" w:sz="0" w:space="0" w:color="auto"/>
        <w:right w:val="none" w:sz="0" w:space="0" w:color="auto"/>
      </w:divBdr>
    </w:div>
    <w:div w:id="1923490917">
      <w:bodyDiv w:val="1"/>
      <w:marLeft w:val="0"/>
      <w:marRight w:val="0"/>
      <w:marTop w:val="0"/>
      <w:marBottom w:val="0"/>
      <w:divBdr>
        <w:top w:val="none" w:sz="0" w:space="0" w:color="auto"/>
        <w:left w:val="none" w:sz="0" w:space="0" w:color="auto"/>
        <w:bottom w:val="none" w:sz="0" w:space="0" w:color="auto"/>
        <w:right w:val="none" w:sz="0" w:space="0" w:color="auto"/>
      </w:divBdr>
    </w:div>
    <w:div w:id="1926528607">
      <w:bodyDiv w:val="1"/>
      <w:marLeft w:val="0"/>
      <w:marRight w:val="0"/>
      <w:marTop w:val="0"/>
      <w:marBottom w:val="0"/>
      <w:divBdr>
        <w:top w:val="none" w:sz="0" w:space="0" w:color="auto"/>
        <w:left w:val="none" w:sz="0" w:space="0" w:color="auto"/>
        <w:bottom w:val="none" w:sz="0" w:space="0" w:color="auto"/>
        <w:right w:val="none" w:sz="0" w:space="0" w:color="auto"/>
      </w:divBdr>
    </w:div>
    <w:div w:id="1930040309">
      <w:bodyDiv w:val="1"/>
      <w:marLeft w:val="0"/>
      <w:marRight w:val="0"/>
      <w:marTop w:val="0"/>
      <w:marBottom w:val="0"/>
      <w:divBdr>
        <w:top w:val="none" w:sz="0" w:space="0" w:color="auto"/>
        <w:left w:val="none" w:sz="0" w:space="0" w:color="auto"/>
        <w:bottom w:val="none" w:sz="0" w:space="0" w:color="auto"/>
        <w:right w:val="none" w:sz="0" w:space="0" w:color="auto"/>
      </w:divBdr>
    </w:div>
    <w:div w:id="1931892320">
      <w:bodyDiv w:val="1"/>
      <w:marLeft w:val="0"/>
      <w:marRight w:val="0"/>
      <w:marTop w:val="0"/>
      <w:marBottom w:val="0"/>
      <w:divBdr>
        <w:top w:val="none" w:sz="0" w:space="0" w:color="auto"/>
        <w:left w:val="none" w:sz="0" w:space="0" w:color="auto"/>
        <w:bottom w:val="none" w:sz="0" w:space="0" w:color="auto"/>
        <w:right w:val="none" w:sz="0" w:space="0" w:color="auto"/>
      </w:divBdr>
    </w:div>
    <w:div w:id="1936010468">
      <w:bodyDiv w:val="1"/>
      <w:marLeft w:val="0"/>
      <w:marRight w:val="0"/>
      <w:marTop w:val="0"/>
      <w:marBottom w:val="0"/>
      <w:divBdr>
        <w:top w:val="none" w:sz="0" w:space="0" w:color="auto"/>
        <w:left w:val="none" w:sz="0" w:space="0" w:color="auto"/>
        <w:bottom w:val="none" w:sz="0" w:space="0" w:color="auto"/>
        <w:right w:val="none" w:sz="0" w:space="0" w:color="auto"/>
      </w:divBdr>
    </w:div>
    <w:div w:id="1938828004">
      <w:bodyDiv w:val="1"/>
      <w:marLeft w:val="0"/>
      <w:marRight w:val="0"/>
      <w:marTop w:val="0"/>
      <w:marBottom w:val="0"/>
      <w:divBdr>
        <w:top w:val="none" w:sz="0" w:space="0" w:color="auto"/>
        <w:left w:val="none" w:sz="0" w:space="0" w:color="auto"/>
        <w:bottom w:val="none" w:sz="0" w:space="0" w:color="auto"/>
        <w:right w:val="none" w:sz="0" w:space="0" w:color="auto"/>
      </w:divBdr>
    </w:div>
    <w:div w:id="1957328898">
      <w:bodyDiv w:val="1"/>
      <w:marLeft w:val="0"/>
      <w:marRight w:val="0"/>
      <w:marTop w:val="0"/>
      <w:marBottom w:val="0"/>
      <w:divBdr>
        <w:top w:val="none" w:sz="0" w:space="0" w:color="auto"/>
        <w:left w:val="none" w:sz="0" w:space="0" w:color="auto"/>
        <w:bottom w:val="none" w:sz="0" w:space="0" w:color="auto"/>
        <w:right w:val="none" w:sz="0" w:space="0" w:color="auto"/>
      </w:divBdr>
    </w:div>
    <w:div w:id="1972517976">
      <w:bodyDiv w:val="1"/>
      <w:marLeft w:val="0"/>
      <w:marRight w:val="0"/>
      <w:marTop w:val="0"/>
      <w:marBottom w:val="0"/>
      <w:divBdr>
        <w:top w:val="none" w:sz="0" w:space="0" w:color="auto"/>
        <w:left w:val="none" w:sz="0" w:space="0" w:color="auto"/>
        <w:bottom w:val="none" w:sz="0" w:space="0" w:color="auto"/>
        <w:right w:val="none" w:sz="0" w:space="0" w:color="auto"/>
      </w:divBdr>
    </w:div>
    <w:div w:id="1976374709">
      <w:bodyDiv w:val="1"/>
      <w:marLeft w:val="0"/>
      <w:marRight w:val="0"/>
      <w:marTop w:val="0"/>
      <w:marBottom w:val="0"/>
      <w:divBdr>
        <w:top w:val="none" w:sz="0" w:space="0" w:color="auto"/>
        <w:left w:val="none" w:sz="0" w:space="0" w:color="auto"/>
        <w:bottom w:val="none" w:sz="0" w:space="0" w:color="auto"/>
        <w:right w:val="none" w:sz="0" w:space="0" w:color="auto"/>
      </w:divBdr>
    </w:div>
    <w:div w:id="1977642244">
      <w:bodyDiv w:val="1"/>
      <w:marLeft w:val="0"/>
      <w:marRight w:val="0"/>
      <w:marTop w:val="0"/>
      <w:marBottom w:val="0"/>
      <w:divBdr>
        <w:top w:val="none" w:sz="0" w:space="0" w:color="auto"/>
        <w:left w:val="none" w:sz="0" w:space="0" w:color="auto"/>
        <w:bottom w:val="none" w:sz="0" w:space="0" w:color="auto"/>
        <w:right w:val="none" w:sz="0" w:space="0" w:color="auto"/>
      </w:divBdr>
    </w:div>
    <w:div w:id="1993948426">
      <w:bodyDiv w:val="1"/>
      <w:marLeft w:val="0"/>
      <w:marRight w:val="0"/>
      <w:marTop w:val="0"/>
      <w:marBottom w:val="0"/>
      <w:divBdr>
        <w:top w:val="none" w:sz="0" w:space="0" w:color="auto"/>
        <w:left w:val="none" w:sz="0" w:space="0" w:color="auto"/>
        <w:bottom w:val="none" w:sz="0" w:space="0" w:color="auto"/>
        <w:right w:val="none" w:sz="0" w:space="0" w:color="auto"/>
      </w:divBdr>
    </w:div>
    <w:div w:id="2000310289">
      <w:bodyDiv w:val="1"/>
      <w:marLeft w:val="0"/>
      <w:marRight w:val="0"/>
      <w:marTop w:val="0"/>
      <w:marBottom w:val="0"/>
      <w:divBdr>
        <w:top w:val="none" w:sz="0" w:space="0" w:color="auto"/>
        <w:left w:val="none" w:sz="0" w:space="0" w:color="auto"/>
        <w:bottom w:val="none" w:sz="0" w:space="0" w:color="auto"/>
        <w:right w:val="none" w:sz="0" w:space="0" w:color="auto"/>
      </w:divBdr>
    </w:div>
    <w:div w:id="2002003006">
      <w:bodyDiv w:val="1"/>
      <w:marLeft w:val="0"/>
      <w:marRight w:val="0"/>
      <w:marTop w:val="0"/>
      <w:marBottom w:val="0"/>
      <w:divBdr>
        <w:top w:val="none" w:sz="0" w:space="0" w:color="auto"/>
        <w:left w:val="none" w:sz="0" w:space="0" w:color="auto"/>
        <w:bottom w:val="none" w:sz="0" w:space="0" w:color="auto"/>
        <w:right w:val="none" w:sz="0" w:space="0" w:color="auto"/>
      </w:divBdr>
    </w:div>
    <w:div w:id="2022463519">
      <w:bodyDiv w:val="1"/>
      <w:marLeft w:val="0"/>
      <w:marRight w:val="0"/>
      <w:marTop w:val="0"/>
      <w:marBottom w:val="0"/>
      <w:divBdr>
        <w:top w:val="none" w:sz="0" w:space="0" w:color="auto"/>
        <w:left w:val="none" w:sz="0" w:space="0" w:color="auto"/>
        <w:bottom w:val="none" w:sz="0" w:space="0" w:color="auto"/>
        <w:right w:val="none" w:sz="0" w:space="0" w:color="auto"/>
      </w:divBdr>
    </w:div>
    <w:div w:id="2027705512">
      <w:bodyDiv w:val="1"/>
      <w:marLeft w:val="0"/>
      <w:marRight w:val="0"/>
      <w:marTop w:val="0"/>
      <w:marBottom w:val="0"/>
      <w:divBdr>
        <w:top w:val="none" w:sz="0" w:space="0" w:color="auto"/>
        <w:left w:val="none" w:sz="0" w:space="0" w:color="auto"/>
        <w:bottom w:val="none" w:sz="0" w:space="0" w:color="auto"/>
        <w:right w:val="none" w:sz="0" w:space="0" w:color="auto"/>
      </w:divBdr>
    </w:div>
    <w:div w:id="2061588142">
      <w:bodyDiv w:val="1"/>
      <w:marLeft w:val="0"/>
      <w:marRight w:val="0"/>
      <w:marTop w:val="0"/>
      <w:marBottom w:val="0"/>
      <w:divBdr>
        <w:top w:val="none" w:sz="0" w:space="0" w:color="auto"/>
        <w:left w:val="none" w:sz="0" w:space="0" w:color="auto"/>
        <w:bottom w:val="none" w:sz="0" w:space="0" w:color="auto"/>
        <w:right w:val="none" w:sz="0" w:space="0" w:color="auto"/>
      </w:divBdr>
    </w:div>
    <w:div w:id="2061973108">
      <w:bodyDiv w:val="1"/>
      <w:marLeft w:val="0"/>
      <w:marRight w:val="0"/>
      <w:marTop w:val="0"/>
      <w:marBottom w:val="0"/>
      <w:divBdr>
        <w:top w:val="none" w:sz="0" w:space="0" w:color="auto"/>
        <w:left w:val="none" w:sz="0" w:space="0" w:color="auto"/>
        <w:bottom w:val="none" w:sz="0" w:space="0" w:color="auto"/>
        <w:right w:val="none" w:sz="0" w:space="0" w:color="auto"/>
      </w:divBdr>
    </w:div>
    <w:div w:id="2072657099">
      <w:bodyDiv w:val="1"/>
      <w:marLeft w:val="0"/>
      <w:marRight w:val="0"/>
      <w:marTop w:val="0"/>
      <w:marBottom w:val="0"/>
      <w:divBdr>
        <w:top w:val="none" w:sz="0" w:space="0" w:color="auto"/>
        <w:left w:val="none" w:sz="0" w:space="0" w:color="auto"/>
        <w:bottom w:val="none" w:sz="0" w:space="0" w:color="auto"/>
        <w:right w:val="none" w:sz="0" w:space="0" w:color="auto"/>
      </w:divBdr>
    </w:div>
    <w:div w:id="2073964837">
      <w:bodyDiv w:val="1"/>
      <w:marLeft w:val="0"/>
      <w:marRight w:val="0"/>
      <w:marTop w:val="0"/>
      <w:marBottom w:val="0"/>
      <w:divBdr>
        <w:top w:val="none" w:sz="0" w:space="0" w:color="auto"/>
        <w:left w:val="none" w:sz="0" w:space="0" w:color="auto"/>
        <w:bottom w:val="none" w:sz="0" w:space="0" w:color="auto"/>
        <w:right w:val="none" w:sz="0" w:space="0" w:color="auto"/>
      </w:divBdr>
    </w:div>
    <w:div w:id="2120371921">
      <w:bodyDiv w:val="1"/>
      <w:marLeft w:val="0"/>
      <w:marRight w:val="0"/>
      <w:marTop w:val="0"/>
      <w:marBottom w:val="0"/>
      <w:divBdr>
        <w:top w:val="none" w:sz="0" w:space="0" w:color="auto"/>
        <w:left w:val="none" w:sz="0" w:space="0" w:color="auto"/>
        <w:bottom w:val="none" w:sz="0" w:space="0" w:color="auto"/>
        <w:right w:val="none" w:sz="0" w:space="0" w:color="auto"/>
      </w:divBdr>
      <w:divsChild>
        <w:div w:id="50076892">
          <w:marLeft w:val="0"/>
          <w:marRight w:val="0"/>
          <w:marTop w:val="0"/>
          <w:marBottom w:val="0"/>
          <w:divBdr>
            <w:top w:val="none" w:sz="0" w:space="0" w:color="auto"/>
            <w:left w:val="none" w:sz="0" w:space="0" w:color="auto"/>
            <w:bottom w:val="none" w:sz="0" w:space="0" w:color="auto"/>
            <w:right w:val="none" w:sz="0" w:space="0" w:color="auto"/>
          </w:divBdr>
        </w:div>
        <w:div w:id="323819492">
          <w:marLeft w:val="0"/>
          <w:marRight w:val="0"/>
          <w:marTop w:val="0"/>
          <w:marBottom w:val="0"/>
          <w:divBdr>
            <w:top w:val="none" w:sz="0" w:space="0" w:color="auto"/>
            <w:left w:val="none" w:sz="0" w:space="0" w:color="auto"/>
            <w:bottom w:val="none" w:sz="0" w:space="0" w:color="auto"/>
            <w:right w:val="none" w:sz="0" w:space="0" w:color="auto"/>
          </w:divBdr>
        </w:div>
        <w:div w:id="417409147">
          <w:marLeft w:val="0"/>
          <w:marRight w:val="0"/>
          <w:marTop w:val="0"/>
          <w:marBottom w:val="0"/>
          <w:divBdr>
            <w:top w:val="none" w:sz="0" w:space="0" w:color="auto"/>
            <w:left w:val="none" w:sz="0" w:space="0" w:color="auto"/>
            <w:bottom w:val="none" w:sz="0" w:space="0" w:color="auto"/>
            <w:right w:val="none" w:sz="0" w:space="0" w:color="auto"/>
          </w:divBdr>
        </w:div>
        <w:div w:id="1075400429">
          <w:marLeft w:val="0"/>
          <w:marRight w:val="0"/>
          <w:marTop w:val="0"/>
          <w:marBottom w:val="0"/>
          <w:divBdr>
            <w:top w:val="none" w:sz="0" w:space="0" w:color="auto"/>
            <w:left w:val="none" w:sz="0" w:space="0" w:color="auto"/>
            <w:bottom w:val="none" w:sz="0" w:space="0" w:color="auto"/>
            <w:right w:val="none" w:sz="0" w:space="0" w:color="auto"/>
          </w:divBdr>
        </w:div>
        <w:div w:id="1237670939">
          <w:marLeft w:val="0"/>
          <w:marRight w:val="0"/>
          <w:marTop w:val="0"/>
          <w:marBottom w:val="0"/>
          <w:divBdr>
            <w:top w:val="none" w:sz="0" w:space="0" w:color="auto"/>
            <w:left w:val="none" w:sz="0" w:space="0" w:color="auto"/>
            <w:bottom w:val="none" w:sz="0" w:space="0" w:color="auto"/>
            <w:right w:val="none" w:sz="0" w:space="0" w:color="auto"/>
          </w:divBdr>
        </w:div>
      </w:divsChild>
    </w:div>
    <w:div w:id="21364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C:\Users\jramirezrive\Downloads\Impact%20Analysis%20-%20NVES.doc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nfrastructure.gov.au/"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hyperlink" Target="https://treasury.gov.au/publication/2021-intergenerational-report"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image" Target="media/image26.png"/><Relationship Id="rId60" Type="http://schemas.openxmlformats.org/officeDocument/2006/relationships/hyperlink" Target="https://iea.blob.core.windows.net/assets/830fe099-5530-48f2-a7c1-11f35d510983/WorldEnergyOutlook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creative.services@infrastructure.gov.au" TargetMode="Externa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mc.gov.au" TargetMode="External"/><Relationship Id="rId25" Type="http://schemas.openxmlformats.org/officeDocument/2006/relationships/image" Target="media/image4.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0.xml"/><Relationship Id="rId59"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gov.au/have-your-say/new-vehicle-efficiency-standard-cleaner-cheaper-run-cars-australia"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32192</Words>
  <Characters>183496</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2024-08-20T04:21:00Z</dcterms:created>
  <dcterms:modified xsi:type="dcterms:W3CDTF">2024-08-20T05:54:00Z</dcterms:modified>
  <cp:category/>
</cp:coreProperties>
</file>