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708E0" w14:textId="77777777" w:rsidR="00D85AA7" w:rsidRPr="007944D3" w:rsidRDefault="00701BD7" w:rsidP="00D85AA7">
      <w:pPr>
        <w:pStyle w:val="NoSpacing"/>
        <w:rPr>
          <w:rFonts w:ascii="Times New Roman" w:hAnsi="Times New Roman" w:cs="Times New Roman"/>
          <w:sz w:val="22"/>
          <w:szCs w:val="22"/>
        </w:rPr>
      </w:pPr>
      <w:bookmarkStart w:id="0" w:name="_GoBack"/>
      <w:bookmarkEnd w:id="0"/>
      <w:r>
        <w:rPr>
          <w:noProof/>
          <w:lang w:eastAsia="en-AU"/>
        </w:rPr>
        <w:drawing>
          <wp:anchor distT="0" distB="0" distL="114300" distR="114300" simplePos="0" relativeHeight="251659264" behindDoc="1" locked="0" layoutInCell="1" allowOverlap="1" wp14:anchorId="31B69265" wp14:editId="441B06AE">
            <wp:simplePos x="0" y="0"/>
            <wp:positionH relativeFrom="column">
              <wp:posOffset>0</wp:posOffset>
            </wp:positionH>
            <wp:positionV relativeFrom="paragraph">
              <wp:posOffset>-123825</wp:posOffset>
            </wp:positionV>
            <wp:extent cx="4211103"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211103" cy="847725"/>
                    </a:xfrm>
                    <a:prstGeom prst="rect">
                      <a:avLst/>
                    </a:prstGeom>
                  </pic:spPr>
                </pic:pic>
              </a:graphicData>
            </a:graphic>
            <wp14:sizeRelH relativeFrom="margin">
              <wp14:pctWidth>0</wp14:pctWidth>
            </wp14:sizeRelH>
            <wp14:sizeRelV relativeFrom="margin">
              <wp14:pctHeight>0</wp14:pctHeight>
            </wp14:sizeRelV>
          </wp:anchor>
        </w:drawing>
      </w:r>
    </w:p>
    <w:p w14:paraId="407C5503" w14:textId="77777777" w:rsidR="00D85AA7" w:rsidRPr="007944D3" w:rsidRDefault="00D85AA7" w:rsidP="00D85AA7">
      <w:pPr>
        <w:pStyle w:val="NoSpacing"/>
        <w:rPr>
          <w:rFonts w:ascii="Times New Roman" w:hAnsi="Times New Roman" w:cs="Times New Roman"/>
          <w:sz w:val="22"/>
          <w:szCs w:val="22"/>
        </w:rPr>
      </w:pPr>
    </w:p>
    <w:p w14:paraId="7CD6338C" w14:textId="77777777" w:rsidR="00701BD7" w:rsidRDefault="00701BD7" w:rsidP="00D85AA7">
      <w:pPr>
        <w:pStyle w:val="NoSpacing"/>
        <w:rPr>
          <w:rFonts w:ascii="Times New Roman" w:hAnsi="Times New Roman" w:cs="Times New Roman"/>
          <w:sz w:val="22"/>
          <w:szCs w:val="22"/>
        </w:rPr>
      </w:pPr>
    </w:p>
    <w:p w14:paraId="40846B6F" w14:textId="77777777" w:rsidR="00701BD7" w:rsidRPr="00701BD7" w:rsidRDefault="00701BD7" w:rsidP="00D85AA7">
      <w:pPr>
        <w:pStyle w:val="NoSpacing"/>
        <w:rPr>
          <w:rFonts w:ascii="Times New Roman" w:hAnsi="Times New Roman" w:cs="Times New Roman"/>
          <w:sz w:val="22"/>
          <w:szCs w:val="22"/>
        </w:rPr>
      </w:pPr>
    </w:p>
    <w:p w14:paraId="331A589E" w14:textId="77777777" w:rsidR="00701BD7" w:rsidRPr="00701BD7" w:rsidRDefault="00701BD7" w:rsidP="00D85AA7">
      <w:pPr>
        <w:pStyle w:val="NoSpacing"/>
        <w:rPr>
          <w:rFonts w:ascii="Times New Roman" w:hAnsi="Times New Roman" w:cs="Times New Roman"/>
          <w:sz w:val="22"/>
          <w:szCs w:val="22"/>
        </w:rPr>
      </w:pPr>
    </w:p>
    <w:p w14:paraId="14C67054" w14:textId="77777777" w:rsidR="00701BD7" w:rsidRPr="00701BD7" w:rsidRDefault="00701BD7" w:rsidP="00701BD7">
      <w:pPr>
        <w:jc w:val="right"/>
        <w:rPr>
          <w:b/>
          <w:sz w:val="22"/>
          <w:szCs w:val="22"/>
        </w:rPr>
      </w:pPr>
      <w:r w:rsidRPr="00701BD7">
        <w:rPr>
          <w:b/>
          <w:sz w:val="22"/>
          <w:szCs w:val="22"/>
        </w:rPr>
        <w:t>Deputy Secretary</w:t>
      </w:r>
    </w:p>
    <w:p w14:paraId="1BD01292" w14:textId="77777777" w:rsidR="00701BD7" w:rsidRPr="00701BD7" w:rsidRDefault="00701BD7" w:rsidP="00701BD7">
      <w:pPr>
        <w:jc w:val="right"/>
        <w:rPr>
          <w:b/>
          <w:sz w:val="22"/>
          <w:szCs w:val="22"/>
        </w:rPr>
      </w:pPr>
      <w:r w:rsidRPr="00701BD7">
        <w:rPr>
          <w:b/>
          <w:sz w:val="22"/>
          <w:szCs w:val="22"/>
        </w:rPr>
        <w:t>Marisa Purvis-Smith</w:t>
      </w:r>
    </w:p>
    <w:p w14:paraId="18652C87" w14:textId="77777777" w:rsidR="00701BD7" w:rsidRPr="00701BD7" w:rsidRDefault="00701BD7" w:rsidP="00701BD7">
      <w:pPr>
        <w:rPr>
          <w:sz w:val="22"/>
          <w:szCs w:val="22"/>
        </w:rPr>
      </w:pPr>
    </w:p>
    <w:p w14:paraId="7C6A0770" w14:textId="77777777" w:rsidR="00701BD7" w:rsidRPr="00701BD7" w:rsidRDefault="00701BD7" w:rsidP="00701BD7">
      <w:pPr>
        <w:jc w:val="right"/>
        <w:rPr>
          <w:sz w:val="22"/>
          <w:szCs w:val="22"/>
        </w:rPr>
      </w:pPr>
      <w:r w:rsidRPr="00701BD7">
        <w:rPr>
          <w:sz w:val="22"/>
          <w:szCs w:val="22"/>
        </w:rPr>
        <w:t>OIA Reference: OBPR22-03502</w:t>
      </w:r>
    </w:p>
    <w:p w14:paraId="0AAC5012" w14:textId="77777777" w:rsidR="00701BD7" w:rsidRDefault="00701BD7" w:rsidP="00D85AA7">
      <w:pPr>
        <w:pStyle w:val="NoSpacing"/>
        <w:rPr>
          <w:rFonts w:ascii="Times New Roman" w:hAnsi="Times New Roman" w:cs="Times New Roman"/>
          <w:sz w:val="22"/>
          <w:szCs w:val="22"/>
        </w:rPr>
      </w:pPr>
    </w:p>
    <w:p w14:paraId="0F888A19" w14:textId="77777777" w:rsidR="00D85AA7" w:rsidRPr="007944D3" w:rsidRDefault="00D85AA7" w:rsidP="00D85AA7">
      <w:pPr>
        <w:pStyle w:val="NoSpacing"/>
        <w:rPr>
          <w:rFonts w:ascii="Times New Roman" w:hAnsi="Times New Roman" w:cs="Times New Roman"/>
          <w:sz w:val="22"/>
          <w:szCs w:val="22"/>
        </w:rPr>
      </w:pPr>
      <w:r w:rsidRPr="007944D3">
        <w:rPr>
          <w:rFonts w:ascii="Times New Roman" w:hAnsi="Times New Roman" w:cs="Times New Roman"/>
          <w:sz w:val="22"/>
          <w:szCs w:val="22"/>
        </w:rPr>
        <w:t>Mr Daniel Craig</w:t>
      </w:r>
    </w:p>
    <w:p w14:paraId="0426A678" w14:textId="77777777" w:rsidR="00D85AA7" w:rsidRPr="007944D3" w:rsidRDefault="00D85AA7" w:rsidP="00D85AA7">
      <w:pPr>
        <w:pStyle w:val="NoSpacing"/>
        <w:rPr>
          <w:rFonts w:ascii="Times New Roman" w:hAnsi="Times New Roman" w:cs="Times New Roman"/>
          <w:sz w:val="22"/>
          <w:szCs w:val="22"/>
        </w:rPr>
      </w:pPr>
      <w:r w:rsidRPr="007944D3">
        <w:rPr>
          <w:rFonts w:ascii="Times New Roman" w:hAnsi="Times New Roman" w:cs="Times New Roman"/>
          <w:sz w:val="22"/>
          <w:szCs w:val="22"/>
        </w:rPr>
        <w:t>A/g Executive Director</w:t>
      </w:r>
    </w:p>
    <w:p w14:paraId="59CD04B6" w14:textId="77777777" w:rsidR="00D85AA7" w:rsidRPr="007944D3" w:rsidRDefault="00D85AA7" w:rsidP="00D85AA7">
      <w:pPr>
        <w:pStyle w:val="NoSpacing"/>
        <w:rPr>
          <w:rFonts w:ascii="Times New Roman" w:hAnsi="Times New Roman" w:cs="Times New Roman"/>
          <w:sz w:val="22"/>
          <w:szCs w:val="22"/>
        </w:rPr>
      </w:pPr>
      <w:r w:rsidRPr="007944D3">
        <w:rPr>
          <w:rFonts w:ascii="Times New Roman" w:hAnsi="Times New Roman" w:cs="Times New Roman"/>
          <w:sz w:val="22"/>
          <w:szCs w:val="22"/>
        </w:rPr>
        <w:t>Office of Impact Analysis</w:t>
      </w:r>
    </w:p>
    <w:p w14:paraId="293AA005" w14:textId="77777777" w:rsidR="00D85AA7" w:rsidRPr="007944D3" w:rsidRDefault="00D85AA7" w:rsidP="00D85AA7">
      <w:pPr>
        <w:pStyle w:val="NoSpacing"/>
        <w:rPr>
          <w:rFonts w:ascii="Times New Roman" w:hAnsi="Times New Roman" w:cs="Times New Roman"/>
          <w:sz w:val="22"/>
          <w:szCs w:val="22"/>
        </w:rPr>
      </w:pPr>
      <w:r w:rsidRPr="007944D3">
        <w:rPr>
          <w:rFonts w:ascii="Times New Roman" w:hAnsi="Times New Roman" w:cs="Times New Roman"/>
          <w:sz w:val="22"/>
          <w:szCs w:val="22"/>
        </w:rPr>
        <w:t>Department of the Prime Minister and Cabinet</w:t>
      </w:r>
    </w:p>
    <w:p w14:paraId="4919BADB" w14:textId="77777777" w:rsidR="007944D3" w:rsidRPr="007944D3" w:rsidRDefault="00D85AA7" w:rsidP="00D85AA7">
      <w:pPr>
        <w:pStyle w:val="NoSpacing"/>
        <w:rPr>
          <w:rFonts w:ascii="Times New Roman" w:hAnsi="Times New Roman" w:cs="Times New Roman"/>
          <w:sz w:val="22"/>
          <w:szCs w:val="22"/>
        </w:rPr>
      </w:pPr>
      <w:r w:rsidRPr="007944D3">
        <w:rPr>
          <w:rFonts w:ascii="Times New Roman" w:hAnsi="Times New Roman" w:cs="Times New Roman"/>
          <w:sz w:val="22"/>
          <w:szCs w:val="22"/>
        </w:rPr>
        <w:t>1 National Circuit</w:t>
      </w:r>
    </w:p>
    <w:p w14:paraId="7B2231A1" w14:textId="77777777" w:rsidR="00D85AA7" w:rsidRPr="007944D3" w:rsidRDefault="00D85AA7" w:rsidP="00D85AA7">
      <w:pPr>
        <w:pStyle w:val="NoSpacing"/>
        <w:rPr>
          <w:rFonts w:ascii="Times New Roman" w:hAnsi="Times New Roman" w:cs="Times New Roman"/>
          <w:sz w:val="22"/>
          <w:szCs w:val="22"/>
        </w:rPr>
      </w:pPr>
      <w:r w:rsidRPr="007944D3">
        <w:rPr>
          <w:rFonts w:ascii="Times New Roman" w:hAnsi="Times New Roman" w:cs="Times New Roman"/>
          <w:sz w:val="22"/>
          <w:szCs w:val="22"/>
        </w:rPr>
        <w:t>BARTON ACT 2600</w:t>
      </w:r>
    </w:p>
    <w:p w14:paraId="69D6F807" w14:textId="77777777" w:rsidR="00D85AA7" w:rsidRPr="007944D3" w:rsidRDefault="00D85AA7" w:rsidP="00D85AA7">
      <w:pPr>
        <w:spacing w:before="240" w:after="240"/>
        <w:rPr>
          <w:sz w:val="22"/>
          <w:szCs w:val="22"/>
        </w:rPr>
      </w:pPr>
      <w:r w:rsidRPr="007944D3">
        <w:rPr>
          <w:sz w:val="22"/>
          <w:szCs w:val="22"/>
        </w:rPr>
        <w:t>Dear Mr Craig</w:t>
      </w:r>
    </w:p>
    <w:p w14:paraId="76F61F33" w14:textId="77777777" w:rsidR="00D85AA7" w:rsidRPr="007944D3" w:rsidRDefault="00D85AA7" w:rsidP="00D85AA7">
      <w:pPr>
        <w:pStyle w:val="Heading1"/>
        <w:spacing w:before="120" w:after="120" w:line="300" w:lineRule="exact"/>
        <w:rPr>
          <w:rFonts w:ascii="Times New Roman" w:hAnsi="Times New Roman"/>
          <w:sz w:val="22"/>
          <w:szCs w:val="22"/>
        </w:rPr>
      </w:pPr>
      <w:r w:rsidRPr="007944D3">
        <w:rPr>
          <w:rFonts w:ascii="Times New Roman" w:hAnsi="Times New Roman"/>
          <w:sz w:val="22"/>
          <w:szCs w:val="22"/>
        </w:rPr>
        <w:t xml:space="preserve">Impact Analysis – </w:t>
      </w:r>
      <w:r w:rsidRPr="007944D3">
        <w:rPr>
          <w:rFonts w:ascii="Times New Roman" w:hAnsi="Times New Roman"/>
          <w:i/>
          <w:sz w:val="22"/>
          <w:szCs w:val="22"/>
        </w:rPr>
        <w:t xml:space="preserve">Cleaner, Cheaper to Run Cars: The Australian New Vehicle Efficiency Standard Consultation Impact Analysis </w:t>
      </w:r>
      <w:r w:rsidRPr="007944D3">
        <w:rPr>
          <w:rFonts w:ascii="Times New Roman" w:hAnsi="Times New Roman"/>
          <w:sz w:val="22"/>
          <w:szCs w:val="22"/>
        </w:rPr>
        <w:t>– Second Pass Final Assessment</w:t>
      </w:r>
    </w:p>
    <w:p w14:paraId="5B17CEA1" w14:textId="77777777" w:rsidR="002F3782" w:rsidRDefault="00D85AA7" w:rsidP="00D85AA7">
      <w:pPr>
        <w:pStyle w:val="BodyText"/>
        <w:spacing w:before="120" w:after="120"/>
        <w:jc w:val="left"/>
        <w:rPr>
          <w:sz w:val="22"/>
          <w:szCs w:val="22"/>
        </w:rPr>
      </w:pPr>
      <w:r w:rsidRPr="007944D3">
        <w:rPr>
          <w:sz w:val="22"/>
          <w:szCs w:val="22"/>
        </w:rPr>
        <w:t>I am writing in relation to the attached Impact Analysis prepared for the introduction of a New Vehicle Efficiency Standard</w:t>
      </w:r>
      <w:r w:rsidR="00D14783" w:rsidRPr="007944D3">
        <w:rPr>
          <w:sz w:val="22"/>
          <w:szCs w:val="22"/>
        </w:rPr>
        <w:t xml:space="preserve"> (NVES)</w:t>
      </w:r>
      <w:r w:rsidR="001B6630">
        <w:rPr>
          <w:sz w:val="22"/>
          <w:szCs w:val="22"/>
        </w:rPr>
        <w:t xml:space="preserve"> for new </w:t>
      </w:r>
      <w:r w:rsidR="00D8173E">
        <w:rPr>
          <w:sz w:val="22"/>
          <w:szCs w:val="22"/>
        </w:rPr>
        <w:t xml:space="preserve">light </w:t>
      </w:r>
      <w:r w:rsidR="001B6630">
        <w:rPr>
          <w:sz w:val="22"/>
          <w:szCs w:val="22"/>
        </w:rPr>
        <w:t xml:space="preserve">vehicles </w:t>
      </w:r>
      <w:r w:rsidR="00534DF1">
        <w:rPr>
          <w:sz w:val="22"/>
          <w:szCs w:val="22"/>
        </w:rPr>
        <w:t>supplied to the Australian market</w:t>
      </w:r>
      <w:r w:rsidR="001B6630">
        <w:rPr>
          <w:sz w:val="22"/>
          <w:szCs w:val="22"/>
        </w:rPr>
        <w:t xml:space="preserve">. </w:t>
      </w:r>
    </w:p>
    <w:p w14:paraId="3B5ECDEE" w14:textId="77777777" w:rsidR="00534DF1" w:rsidRDefault="0076122C" w:rsidP="00D85AA7">
      <w:pPr>
        <w:pStyle w:val="BodyText"/>
        <w:spacing w:before="120" w:after="120"/>
        <w:jc w:val="left"/>
        <w:rPr>
          <w:sz w:val="22"/>
          <w:szCs w:val="22"/>
        </w:rPr>
      </w:pPr>
      <w:r>
        <w:rPr>
          <w:sz w:val="22"/>
          <w:szCs w:val="22"/>
        </w:rPr>
        <w:t xml:space="preserve">On </w:t>
      </w:r>
      <w:r w:rsidR="006E50F9">
        <w:rPr>
          <w:sz w:val="22"/>
          <w:szCs w:val="22"/>
        </w:rPr>
        <w:t>12</w:t>
      </w:r>
      <w:r w:rsidR="00534DF1">
        <w:rPr>
          <w:sz w:val="22"/>
          <w:szCs w:val="22"/>
        </w:rPr>
        <w:t> </w:t>
      </w:r>
      <w:r w:rsidR="006E50F9">
        <w:rPr>
          <w:sz w:val="22"/>
          <w:szCs w:val="22"/>
        </w:rPr>
        <w:t>January</w:t>
      </w:r>
      <w:r>
        <w:rPr>
          <w:sz w:val="22"/>
          <w:szCs w:val="22"/>
        </w:rPr>
        <w:t xml:space="preserve"> 2024, t</w:t>
      </w:r>
      <w:r w:rsidR="00340CA8">
        <w:rPr>
          <w:sz w:val="22"/>
          <w:szCs w:val="22"/>
        </w:rPr>
        <w:t xml:space="preserve">he Office of Impact Analysis </w:t>
      </w:r>
      <w:r w:rsidR="00F579C7">
        <w:rPr>
          <w:sz w:val="22"/>
          <w:szCs w:val="22"/>
        </w:rPr>
        <w:t xml:space="preserve">(OIA) </w:t>
      </w:r>
      <w:r w:rsidR="00340CA8">
        <w:rPr>
          <w:sz w:val="22"/>
          <w:szCs w:val="22"/>
        </w:rPr>
        <w:t xml:space="preserve">provided </w:t>
      </w:r>
      <w:r w:rsidR="00D8173E">
        <w:rPr>
          <w:sz w:val="22"/>
          <w:szCs w:val="22"/>
        </w:rPr>
        <w:t xml:space="preserve">a detailed </w:t>
      </w:r>
      <w:r w:rsidR="00F146BB">
        <w:rPr>
          <w:sz w:val="22"/>
          <w:szCs w:val="22"/>
        </w:rPr>
        <w:t xml:space="preserve">first pass </w:t>
      </w:r>
      <w:r w:rsidR="00D8173E">
        <w:rPr>
          <w:sz w:val="22"/>
          <w:szCs w:val="22"/>
        </w:rPr>
        <w:t xml:space="preserve">assessment of the </w:t>
      </w:r>
      <w:r w:rsidR="006E50F9">
        <w:rPr>
          <w:i/>
          <w:sz w:val="22"/>
          <w:szCs w:val="22"/>
        </w:rPr>
        <w:t>Cleaner, Cheaper to Run Cars: The Australian New Vehicle Efficiency Standard Consultation Impact Analysis</w:t>
      </w:r>
      <w:r w:rsidR="00D8173E">
        <w:rPr>
          <w:sz w:val="22"/>
          <w:szCs w:val="22"/>
        </w:rPr>
        <w:t xml:space="preserve"> and t</w:t>
      </w:r>
      <w:r>
        <w:rPr>
          <w:sz w:val="22"/>
          <w:szCs w:val="22"/>
        </w:rPr>
        <w:t xml:space="preserve">he Department of Infrastructure, Transport, Regional Development, Communications and the Arts </w:t>
      </w:r>
      <w:r w:rsidR="00D8173E">
        <w:rPr>
          <w:sz w:val="22"/>
          <w:szCs w:val="22"/>
        </w:rPr>
        <w:t xml:space="preserve">(the department) has </w:t>
      </w:r>
      <w:r w:rsidR="003B7EDC">
        <w:rPr>
          <w:sz w:val="22"/>
          <w:szCs w:val="22"/>
        </w:rPr>
        <w:t>considered those suggestions and revised the Impact Analysis</w:t>
      </w:r>
      <w:r w:rsidR="00F579C7">
        <w:rPr>
          <w:sz w:val="22"/>
          <w:szCs w:val="22"/>
        </w:rPr>
        <w:t xml:space="preserve">. </w:t>
      </w:r>
    </w:p>
    <w:p w14:paraId="3F0EFC54" w14:textId="77777777" w:rsidR="00943B7C" w:rsidRDefault="00F146BB" w:rsidP="00D85AA7">
      <w:pPr>
        <w:pStyle w:val="BodyText"/>
        <w:spacing w:before="120" w:after="120"/>
        <w:jc w:val="left"/>
        <w:rPr>
          <w:b/>
          <w:sz w:val="22"/>
          <w:szCs w:val="22"/>
        </w:rPr>
      </w:pPr>
      <w:r>
        <w:rPr>
          <w:sz w:val="22"/>
          <w:szCs w:val="22"/>
        </w:rPr>
        <w:t>Detail of the</w:t>
      </w:r>
      <w:r w:rsidR="00943B7C" w:rsidRPr="007944D3">
        <w:rPr>
          <w:sz w:val="22"/>
          <w:szCs w:val="22"/>
        </w:rPr>
        <w:t xml:space="preserve"> </w:t>
      </w:r>
      <w:r w:rsidR="00340CA8">
        <w:rPr>
          <w:sz w:val="22"/>
          <w:szCs w:val="22"/>
        </w:rPr>
        <w:t>amendments</w:t>
      </w:r>
      <w:r w:rsidR="00943B7C" w:rsidRPr="007944D3">
        <w:rPr>
          <w:sz w:val="22"/>
          <w:szCs w:val="22"/>
        </w:rPr>
        <w:t xml:space="preserve"> </w:t>
      </w:r>
      <w:r>
        <w:rPr>
          <w:sz w:val="22"/>
          <w:szCs w:val="22"/>
        </w:rPr>
        <w:t>made against the feedback</w:t>
      </w:r>
      <w:r w:rsidRPr="007944D3">
        <w:rPr>
          <w:sz w:val="22"/>
          <w:szCs w:val="22"/>
        </w:rPr>
        <w:t xml:space="preserve"> </w:t>
      </w:r>
      <w:r w:rsidR="00AE53AF">
        <w:rPr>
          <w:sz w:val="22"/>
          <w:szCs w:val="22"/>
        </w:rPr>
        <w:t xml:space="preserve">from </w:t>
      </w:r>
      <w:r w:rsidR="00F579C7">
        <w:rPr>
          <w:sz w:val="22"/>
          <w:szCs w:val="22"/>
        </w:rPr>
        <w:t>OIA’s</w:t>
      </w:r>
      <w:r w:rsidR="00A1456B">
        <w:rPr>
          <w:sz w:val="22"/>
          <w:szCs w:val="22"/>
        </w:rPr>
        <w:t xml:space="preserve"> first pass letter</w:t>
      </w:r>
      <w:r>
        <w:rPr>
          <w:sz w:val="22"/>
          <w:szCs w:val="22"/>
        </w:rPr>
        <w:t xml:space="preserve"> is </w:t>
      </w:r>
      <w:r w:rsidR="00BB1E5C">
        <w:rPr>
          <w:sz w:val="22"/>
          <w:szCs w:val="22"/>
        </w:rPr>
        <w:t>below</w:t>
      </w:r>
      <w:r w:rsidR="00A1456B">
        <w:rPr>
          <w:b/>
          <w:sz w:val="22"/>
          <w:szCs w:val="22"/>
        </w:rPr>
        <w:t>.</w:t>
      </w: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47"/>
        <w:gridCol w:w="6520"/>
      </w:tblGrid>
      <w:tr w:rsidR="00BB1E5C" w:rsidRPr="00BB1E5C" w14:paraId="7EF34377" w14:textId="77777777" w:rsidTr="00BB1E5C">
        <w:tc>
          <w:tcPr>
            <w:tcW w:w="2547" w:type="dxa"/>
            <w:shd w:val="clear" w:color="auto" w:fill="D9D9D9" w:themeFill="background1" w:themeFillShade="D9"/>
          </w:tcPr>
          <w:p w14:paraId="3CF2E654" w14:textId="77777777" w:rsidR="00BB1E5C" w:rsidRPr="00BB1E5C" w:rsidRDefault="00BB1E5C" w:rsidP="00BB1E5C">
            <w:pPr>
              <w:spacing w:before="120" w:after="120" w:line="300" w:lineRule="exact"/>
              <w:rPr>
                <w:b/>
                <w:sz w:val="22"/>
                <w:szCs w:val="22"/>
              </w:rPr>
            </w:pPr>
            <w:r w:rsidRPr="00BB1E5C">
              <w:rPr>
                <w:b/>
                <w:sz w:val="22"/>
                <w:szCs w:val="22"/>
              </w:rPr>
              <w:t>Section Title</w:t>
            </w:r>
          </w:p>
        </w:tc>
        <w:tc>
          <w:tcPr>
            <w:tcW w:w="6520" w:type="dxa"/>
            <w:shd w:val="clear" w:color="auto" w:fill="D9D9D9" w:themeFill="background1" w:themeFillShade="D9"/>
          </w:tcPr>
          <w:p w14:paraId="4D7AE6C0" w14:textId="77777777" w:rsidR="00BB1E5C" w:rsidRPr="00BB1E5C" w:rsidRDefault="00BB1E5C" w:rsidP="00BB1E5C">
            <w:pPr>
              <w:spacing w:before="120" w:after="120" w:line="300" w:lineRule="exact"/>
              <w:rPr>
                <w:b/>
                <w:sz w:val="22"/>
                <w:szCs w:val="22"/>
              </w:rPr>
            </w:pPr>
            <w:r w:rsidRPr="00BB1E5C">
              <w:rPr>
                <w:b/>
                <w:sz w:val="22"/>
                <w:szCs w:val="22"/>
              </w:rPr>
              <w:t>Updates</w:t>
            </w:r>
          </w:p>
        </w:tc>
      </w:tr>
      <w:tr w:rsidR="00BB1E5C" w:rsidRPr="00BB1E5C" w14:paraId="37115280" w14:textId="77777777" w:rsidTr="00BB1E5C">
        <w:tc>
          <w:tcPr>
            <w:tcW w:w="2547" w:type="dxa"/>
            <w:shd w:val="clear" w:color="auto" w:fill="auto"/>
          </w:tcPr>
          <w:p w14:paraId="557025C3" w14:textId="77777777" w:rsidR="00BB1E5C" w:rsidRPr="00BB1E5C" w:rsidRDefault="00BB1E5C" w:rsidP="00BB1E5C">
            <w:pPr>
              <w:spacing w:before="120" w:after="120" w:line="300" w:lineRule="exact"/>
              <w:rPr>
                <w:b/>
                <w:sz w:val="22"/>
                <w:szCs w:val="22"/>
              </w:rPr>
            </w:pPr>
            <w:r w:rsidRPr="00BB1E5C">
              <w:rPr>
                <w:b/>
                <w:sz w:val="22"/>
                <w:szCs w:val="22"/>
              </w:rPr>
              <w:t>General comment</w:t>
            </w:r>
          </w:p>
        </w:tc>
        <w:tc>
          <w:tcPr>
            <w:tcW w:w="6520" w:type="dxa"/>
            <w:shd w:val="clear" w:color="auto" w:fill="auto"/>
          </w:tcPr>
          <w:p w14:paraId="4A659BA8" w14:textId="77777777" w:rsidR="00BB1E5C" w:rsidRPr="00BB1E5C" w:rsidRDefault="00BB1E5C" w:rsidP="00BB1E5C">
            <w:pPr>
              <w:spacing w:before="120" w:after="120" w:line="300" w:lineRule="exact"/>
              <w:rPr>
                <w:sz w:val="22"/>
                <w:szCs w:val="22"/>
              </w:rPr>
            </w:pPr>
            <w:r w:rsidRPr="00BB1E5C">
              <w:rPr>
                <w:sz w:val="22"/>
                <w:szCs w:val="22"/>
              </w:rPr>
              <w:t>The Impact Analysis now responds to all seven questions including regulatory and non-regulatory policy options.</w:t>
            </w:r>
          </w:p>
        </w:tc>
      </w:tr>
      <w:tr w:rsidR="00BB1E5C" w:rsidRPr="00BB1E5C" w14:paraId="1AFD07D5" w14:textId="77777777" w:rsidTr="00BB1E5C">
        <w:tc>
          <w:tcPr>
            <w:tcW w:w="2547" w:type="dxa"/>
            <w:shd w:val="clear" w:color="auto" w:fill="auto"/>
          </w:tcPr>
          <w:p w14:paraId="2E96C381" w14:textId="77777777" w:rsidR="00BB1E5C" w:rsidRPr="00BB1E5C" w:rsidRDefault="00BB1E5C" w:rsidP="00BB1E5C">
            <w:pPr>
              <w:spacing w:before="120" w:after="120" w:line="300" w:lineRule="exact"/>
              <w:rPr>
                <w:b/>
                <w:sz w:val="22"/>
                <w:szCs w:val="22"/>
              </w:rPr>
            </w:pPr>
            <w:r w:rsidRPr="00BB1E5C">
              <w:rPr>
                <w:b/>
                <w:sz w:val="22"/>
                <w:szCs w:val="22"/>
              </w:rPr>
              <w:t>Executive summary</w:t>
            </w:r>
          </w:p>
        </w:tc>
        <w:tc>
          <w:tcPr>
            <w:tcW w:w="6520" w:type="dxa"/>
            <w:shd w:val="clear" w:color="auto" w:fill="auto"/>
          </w:tcPr>
          <w:p w14:paraId="68D6FEE2" w14:textId="77777777" w:rsidR="00BB1E5C" w:rsidRPr="00BB1E5C" w:rsidRDefault="00BB1E5C" w:rsidP="00BB1E5C">
            <w:pPr>
              <w:spacing w:before="120" w:after="120" w:line="300" w:lineRule="exact"/>
              <w:rPr>
                <w:sz w:val="22"/>
                <w:szCs w:val="22"/>
              </w:rPr>
            </w:pPr>
            <w:r w:rsidRPr="00BB1E5C">
              <w:rPr>
                <w:sz w:val="22"/>
                <w:szCs w:val="22"/>
              </w:rPr>
              <w:t xml:space="preserve">The department has introduced a Foreword which sets out the policy problem and the policy objectives to be achieved, and the Executive Summary provides the extent of consultation undertaken, an overview of the options analysed, justification for the recommended option and why the other options were rejected. </w:t>
            </w:r>
          </w:p>
        </w:tc>
      </w:tr>
      <w:tr w:rsidR="00BB1E5C" w:rsidRPr="00BB1E5C" w14:paraId="11F29A43" w14:textId="77777777" w:rsidTr="00BB1E5C">
        <w:tc>
          <w:tcPr>
            <w:tcW w:w="2547" w:type="dxa"/>
            <w:shd w:val="clear" w:color="auto" w:fill="auto"/>
          </w:tcPr>
          <w:p w14:paraId="78224726" w14:textId="77777777" w:rsidR="00BB1E5C" w:rsidRPr="00BB1E5C" w:rsidRDefault="00BB1E5C" w:rsidP="00BB1E5C">
            <w:pPr>
              <w:spacing w:before="120" w:after="120" w:line="300" w:lineRule="exact"/>
              <w:rPr>
                <w:b/>
                <w:sz w:val="22"/>
                <w:szCs w:val="22"/>
              </w:rPr>
            </w:pPr>
            <w:r w:rsidRPr="00BB1E5C">
              <w:rPr>
                <w:b/>
                <w:sz w:val="22"/>
                <w:szCs w:val="22"/>
              </w:rPr>
              <w:t>What is the policy problem you are trying to solve?</w:t>
            </w:r>
          </w:p>
          <w:p w14:paraId="561075AA" w14:textId="77777777" w:rsidR="00BB1E5C" w:rsidRPr="00BB1E5C" w:rsidRDefault="00BB1E5C" w:rsidP="00BB1E5C">
            <w:pPr>
              <w:spacing w:before="120" w:after="120" w:line="300" w:lineRule="exact"/>
              <w:rPr>
                <w:b/>
                <w:sz w:val="22"/>
                <w:szCs w:val="22"/>
              </w:rPr>
            </w:pPr>
          </w:p>
          <w:p w14:paraId="507ED426" w14:textId="77777777" w:rsidR="00BB1E5C" w:rsidRPr="00BB1E5C" w:rsidRDefault="00BB1E5C" w:rsidP="00BB1E5C">
            <w:pPr>
              <w:spacing w:before="120" w:after="120" w:line="300" w:lineRule="exact"/>
              <w:rPr>
                <w:b/>
                <w:sz w:val="22"/>
                <w:szCs w:val="22"/>
              </w:rPr>
            </w:pPr>
          </w:p>
        </w:tc>
        <w:tc>
          <w:tcPr>
            <w:tcW w:w="6520" w:type="dxa"/>
            <w:shd w:val="clear" w:color="auto" w:fill="auto"/>
          </w:tcPr>
          <w:p w14:paraId="2C9D8408" w14:textId="77777777" w:rsidR="00BB1E5C" w:rsidRPr="00BB1E5C" w:rsidRDefault="00BB1E5C" w:rsidP="00BB1E5C">
            <w:pPr>
              <w:spacing w:before="120" w:after="120" w:line="300" w:lineRule="exact"/>
              <w:rPr>
                <w:sz w:val="22"/>
                <w:szCs w:val="22"/>
              </w:rPr>
            </w:pPr>
            <w:r w:rsidRPr="00BB1E5C">
              <w:rPr>
                <w:sz w:val="22"/>
                <w:szCs w:val="22"/>
              </w:rPr>
              <w:t xml:space="preserve">This section sets out the magnitude of the policy problem, supported by evidence and makes clear the consequences of not acting. </w:t>
            </w:r>
          </w:p>
          <w:p w14:paraId="31DEF2A9" w14:textId="77777777" w:rsidR="00BB1E5C" w:rsidRPr="00BB1E5C" w:rsidRDefault="00BB1E5C" w:rsidP="00BB1E5C">
            <w:pPr>
              <w:spacing w:before="120" w:after="120" w:line="300" w:lineRule="exact"/>
              <w:rPr>
                <w:sz w:val="22"/>
                <w:szCs w:val="22"/>
              </w:rPr>
            </w:pPr>
          </w:p>
          <w:p w14:paraId="5110095F" w14:textId="77777777" w:rsidR="00BB1E5C" w:rsidRPr="00BB1E5C" w:rsidRDefault="00BB1E5C" w:rsidP="00BB1E5C">
            <w:pPr>
              <w:spacing w:before="120" w:after="120" w:line="300" w:lineRule="exact"/>
              <w:rPr>
                <w:sz w:val="22"/>
                <w:szCs w:val="22"/>
              </w:rPr>
            </w:pPr>
            <w:r w:rsidRPr="00BB1E5C">
              <w:rPr>
                <w:sz w:val="22"/>
                <w:szCs w:val="22"/>
              </w:rPr>
              <w:t xml:space="preserve">The possible policy response has been moved to </w:t>
            </w:r>
            <w:r w:rsidRPr="00AD70B8">
              <w:rPr>
                <w:i/>
                <w:sz w:val="22"/>
                <w:szCs w:val="22"/>
              </w:rPr>
              <w:t>What policy options are you considering</w:t>
            </w:r>
            <w:r w:rsidRPr="00BB1E5C">
              <w:rPr>
                <w:sz w:val="22"/>
                <w:szCs w:val="22"/>
              </w:rPr>
              <w:t>?</w:t>
            </w:r>
          </w:p>
          <w:p w14:paraId="6F446264" w14:textId="77777777" w:rsidR="00BB1E5C" w:rsidRPr="00BB1E5C" w:rsidRDefault="00BB1E5C" w:rsidP="00BB1E5C">
            <w:pPr>
              <w:spacing w:before="120" w:after="120" w:line="300" w:lineRule="exact"/>
              <w:rPr>
                <w:sz w:val="22"/>
                <w:szCs w:val="22"/>
              </w:rPr>
            </w:pPr>
            <w:r w:rsidRPr="00BB1E5C">
              <w:rPr>
                <w:sz w:val="22"/>
                <w:szCs w:val="22"/>
              </w:rPr>
              <w:t xml:space="preserve">The rationale for intervention is explored in this section, including setting out why a voluntary standard will not work. It also establishes the efficiency of building on existing departmental regulatory </w:t>
            </w:r>
            <w:r w:rsidRPr="00BB1E5C">
              <w:rPr>
                <w:sz w:val="22"/>
                <w:szCs w:val="22"/>
              </w:rPr>
              <w:lastRenderedPageBreak/>
              <w:t xml:space="preserve">frameworks to regulate CO2 emissions from light vehicles as well as other established Government credit trading systems. </w:t>
            </w:r>
          </w:p>
          <w:p w14:paraId="2D7F9136" w14:textId="77777777" w:rsidR="00BB1E5C" w:rsidRPr="00BB1E5C" w:rsidRDefault="00BB1E5C" w:rsidP="00BB1E5C">
            <w:pPr>
              <w:spacing w:before="120" w:after="120" w:line="300" w:lineRule="exact"/>
              <w:rPr>
                <w:sz w:val="22"/>
                <w:szCs w:val="22"/>
              </w:rPr>
            </w:pPr>
          </w:p>
        </w:tc>
      </w:tr>
      <w:tr w:rsidR="00BB1E5C" w:rsidRPr="00BB1E5C" w14:paraId="373AB31C" w14:textId="77777777" w:rsidTr="00BB1E5C">
        <w:tc>
          <w:tcPr>
            <w:tcW w:w="2547" w:type="dxa"/>
            <w:shd w:val="clear" w:color="auto" w:fill="auto"/>
          </w:tcPr>
          <w:p w14:paraId="2314C76C" w14:textId="77777777" w:rsidR="00BB1E5C" w:rsidRPr="00BB1E5C" w:rsidRDefault="00BB1E5C" w:rsidP="00BB1E5C">
            <w:pPr>
              <w:spacing w:before="120" w:after="120" w:line="300" w:lineRule="exact"/>
              <w:rPr>
                <w:b/>
                <w:sz w:val="22"/>
                <w:szCs w:val="22"/>
              </w:rPr>
            </w:pPr>
            <w:r w:rsidRPr="00BB1E5C">
              <w:rPr>
                <w:b/>
                <w:sz w:val="22"/>
                <w:szCs w:val="22"/>
              </w:rPr>
              <w:lastRenderedPageBreak/>
              <w:t>What is the objective of Government action?</w:t>
            </w:r>
          </w:p>
          <w:p w14:paraId="6F332DDB" w14:textId="77777777" w:rsidR="00BB1E5C" w:rsidRPr="00BB1E5C" w:rsidRDefault="00BB1E5C" w:rsidP="00BB1E5C">
            <w:pPr>
              <w:spacing w:before="120" w:after="120" w:line="300" w:lineRule="exact"/>
              <w:rPr>
                <w:b/>
                <w:sz w:val="22"/>
                <w:szCs w:val="22"/>
              </w:rPr>
            </w:pPr>
          </w:p>
          <w:p w14:paraId="19733088" w14:textId="77777777" w:rsidR="00BB1E5C" w:rsidRPr="00BB1E5C" w:rsidRDefault="00BB1E5C" w:rsidP="00BB1E5C">
            <w:pPr>
              <w:spacing w:before="120" w:after="120" w:line="300" w:lineRule="exact"/>
              <w:rPr>
                <w:b/>
                <w:sz w:val="22"/>
                <w:szCs w:val="22"/>
              </w:rPr>
            </w:pPr>
          </w:p>
        </w:tc>
        <w:tc>
          <w:tcPr>
            <w:tcW w:w="6520" w:type="dxa"/>
            <w:shd w:val="clear" w:color="auto" w:fill="auto"/>
          </w:tcPr>
          <w:p w14:paraId="7319A28D" w14:textId="77777777" w:rsidR="00BB1E5C" w:rsidRPr="00BB1E5C" w:rsidRDefault="00BB1E5C" w:rsidP="00BB1E5C">
            <w:pPr>
              <w:spacing w:before="120" w:after="120" w:line="300" w:lineRule="exact"/>
              <w:rPr>
                <w:sz w:val="22"/>
                <w:szCs w:val="22"/>
              </w:rPr>
            </w:pPr>
            <w:r w:rsidRPr="00BB1E5C">
              <w:rPr>
                <w:sz w:val="22"/>
                <w:szCs w:val="22"/>
              </w:rPr>
              <w:t>The existing voluntary standard has been further examined, and this section now makes clear why a voluntary standard is not an effective mechanism to achieve sufficient CO</w:t>
            </w:r>
            <w:r w:rsidRPr="00AD70B8">
              <w:rPr>
                <w:sz w:val="22"/>
                <w:szCs w:val="22"/>
                <w:vertAlign w:val="subscript"/>
              </w:rPr>
              <w:t>2</w:t>
            </w:r>
            <w:r w:rsidRPr="00BB1E5C">
              <w:rPr>
                <w:sz w:val="22"/>
                <w:szCs w:val="22"/>
              </w:rPr>
              <w:t xml:space="preserve"> emissions reduction in light vehicles to meet Australia’s mandated emission reduction targets.</w:t>
            </w:r>
          </w:p>
          <w:p w14:paraId="397DF090" w14:textId="77777777" w:rsidR="00BB1E5C" w:rsidRPr="00BB1E5C" w:rsidRDefault="00BB1E5C" w:rsidP="00BB1E5C">
            <w:pPr>
              <w:spacing w:before="120" w:after="120" w:line="300" w:lineRule="exact"/>
              <w:rPr>
                <w:sz w:val="22"/>
                <w:szCs w:val="22"/>
              </w:rPr>
            </w:pPr>
            <w:r w:rsidRPr="00BB1E5C">
              <w:rPr>
                <w:sz w:val="22"/>
                <w:szCs w:val="22"/>
              </w:rPr>
              <w:t xml:space="preserve">The chart depicting business-as-usual (BAU) EV uptake has been moved to </w:t>
            </w:r>
            <w:r w:rsidRPr="00AD70B8">
              <w:rPr>
                <w:i/>
                <w:sz w:val="22"/>
                <w:szCs w:val="22"/>
              </w:rPr>
              <w:t>What policy options are you considering</w:t>
            </w:r>
            <w:r w:rsidRPr="00BB1E5C">
              <w:rPr>
                <w:sz w:val="22"/>
                <w:szCs w:val="22"/>
              </w:rPr>
              <w:t xml:space="preserve"> as it supports the Government’s position that a baseline or BAU approach will not achieve sufficient abatement.</w:t>
            </w:r>
          </w:p>
          <w:p w14:paraId="2F82892C" w14:textId="77777777" w:rsidR="00BB1E5C" w:rsidRPr="00BB1E5C" w:rsidRDefault="00BB1E5C" w:rsidP="00BB1E5C">
            <w:pPr>
              <w:spacing w:before="120" w:after="120" w:line="300" w:lineRule="exact"/>
              <w:rPr>
                <w:sz w:val="22"/>
                <w:szCs w:val="22"/>
              </w:rPr>
            </w:pPr>
            <w:r w:rsidRPr="00BB1E5C">
              <w:rPr>
                <w:sz w:val="22"/>
                <w:szCs w:val="22"/>
              </w:rPr>
              <w:t xml:space="preserve">Figure </w:t>
            </w:r>
            <w:r w:rsidR="00AD70B8" w:rsidRPr="00AD70B8">
              <w:rPr>
                <w:sz w:val="22"/>
                <w:szCs w:val="22"/>
              </w:rPr>
              <w:t>8</w:t>
            </w:r>
            <w:r w:rsidRPr="00BB1E5C">
              <w:rPr>
                <w:sz w:val="22"/>
                <w:szCs w:val="22"/>
              </w:rPr>
              <w:t xml:space="preserve"> under </w:t>
            </w:r>
            <w:r w:rsidRPr="00AD70B8">
              <w:rPr>
                <w:i/>
                <w:sz w:val="22"/>
                <w:szCs w:val="22"/>
              </w:rPr>
              <w:t>What policy options are you considering</w:t>
            </w:r>
            <w:r w:rsidRPr="00BB1E5C">
              <w:rPr>
                <w:sz w:val="22"/>
                <w:szCs w:val="22"/>
              </w:rPr>
              <w:t xml:space="preserve">, demonstrates that a modest improvement in the efficiency of internal combustion engine (ICE) vehicles, in combination with Figure </w:t>
            </w:r>
            <w:r w:rsidR="00AD70B8" w:rsidRPr="00AD70B8">
              <w:rPr>
                <w:sz w:val="22"/>
                <w:szCs w:val="22"/>
              </w:rPr>
              <w:t xml:space="preserve">9 </w:t>
            </w:r>
            <w:r w:rsidRPr="00BB1E5C">
              <w:rPr>
                <w:sz w:val="22"/>
                <w:szCs w:val="22"/>
              </w:rPr>
              <w:t>which depicts BAU EV uptake, will be insufficient to achieve Australia’s mandated abatement targets for 20</w:t>
            </w:r>
            <w:r w:rsidR="00534DF1">
              <w:rPr>
                <w:sz w:val="22"/>
                <w:szCs w:val="22"/>
              </w:rPr>
              <w:t>30</w:t>
            </w:r>
            <w:r w:rsidRPr="00BB1E5C">
              <w:rPr>
                <w:sz w:val="22"/>
                <w:szCs w:val="22"/>
              </w:rPr>
              <w:t xml:space="preserve"> and 2050.</w:t>
            </w:r>
          </w:p>
          <w:p w14:paraId="3DD5340D" w14:textId="77777777" w:rsidR="00BB1E5C" w:rsidRPr="00BB1E5C" w:rsidRDefault="00BB1E5C" w:rsidP="00BB1E5C">
            <w:pPr>
              <w:spacing w:before="120" w:after="120" w:line="300" w:lineRule="exact"/>
              <w:rPr>
                <w:sz w:val="22"/>
                <w:szCs w:val="22"/>
              </w:rPr>
            </w:pPr>
            <w:r w:rsidRPr="00BB1E5C">
              <w:rPr>
                <w:sz w:val="22"/>
                <w:szCs w:val="22"/>
              </w:rPr>
              <w:t>Barriers to achieving objectives have been identified in this section, and additional content examines the identified barriers in both the short and long term, out to 2050.</w:t>
            </w:r>
          </w:p>
        </w:tc>
      </w:tr>
      <w:tr w:rsidR="00BB1E5C" w:rsidRPr="00BB1E5C" w14:paraId="40A02451" w14:textId="77777777" w:rsidTr="00BB1E5C">
        <w:tc>
          <w:tcPr>
            <w:tcW w:w="2547" w:type="dxa"/>
            <w:shd w:val="clear" w:color="auto" w:fill="auto"/>
          </w:tcPr>
          <w:p w14:paraId="61F61196" w14:textId="77777777" w:rsidR="00BB1E5C" w:rsidRPr="00BB1E5C" w:rsidRDefault="00BB1E5C" w:rsidP="00BB1E5C">
            <w:pPr>
              <w:spacing w:before="120" w:after="120" w:line="300" w:lineRule="exact"/>
              <w:rPr>
                <w:b/>
                <w:sz w:val="22"/>
                <w:szCs w:val="22"/>
              </w:rPr>
            </w:pPr>
            <w:r w:rsidRPr="00BB1E5C">
              <w:rPr>
                <w:b/>
                <w:sz w:val="22"/>
                <w:szCs w:val="22"/>
              </w:rPr>
              <w:t>What policy options are you considering?</w:t>
            </w:r>
          </w:p>
          <w:p w14:paraId="380D8E38" w14:textId="77777777" w:rsidR="00BB1E5C" w:rsidRPr="00BB1E5C" w:rsidRDefault="00BB1E5C" w:rsidP="00BB1E5C">
            <w:pPr>
              <w:spacing w:before="120" w:after="120" w:line="300" w:lineRule="exact"/>
              <w:rPr>
                <w:b/>
                <w:sz w:val="22"/>
                <w:szCs w:val="22"/>
              </w:rPr>
            </w:pPr>
          </w:p>
          <w:p w14:paraId="7B15D54E" w14:textId="77777777" w:rsidR="00BB1E5C" w:rsidRPr="00BB1E5C" w:rsidRDefault="00BB1E5C" w:rsidP="00BB1E5C">
            <w:pPr>
              <w:spacing w:before="120" w:after="120" w:line="300" w:lineRule="exact"/>
              <w:rPr>
                <w:b/>
                <w:sz w:val="22"/>
                <w:szCs w:val="22"/>
              </w:rPr>
            </w:pPr>
          </w:p>
          <w:p w14:paraId="0FA4FECF" w14:textId="77777777" w:rsidR="00BB1E5C" w:rsidRPr="00BB1E5C" w:rsidRDefault="00BB1E5C" w:rsidP="00BB1E5C">
            <w:pPr>
              <w:spacing w:before="120" w:after="120" w:line="300" w:lineRule="exact"/>
              <w:rPr>
                <w:b/>
                <w:sz w:val="22"/>
                <w:szCs w:val="22"/>
              </w:rPr>
            </w:pPr>
          </w:p>
        </w:tc>
        <w:tc>
          <w:tcPr>
            <w:tcW w:w="6520" w:type="dxa"/>
            <w:shd w:val="clear" w:color="auto" w:fill="auto"/>
          </w:tcPr>
          <w:p w14:paraId="47D00D36" w14:textId="77777777" w:rsidR="00BB1E5C" w:rsidRPr="00BB1E5C" w:rsidRDefault="00BB1E5C" w:rsidP="00BB1E5C">
            <w:pPr>
              <w:spacing w:before="120" w:after="120" w:line="300" w:lineRule="exact"/>
              <w:rPr>
                <w:sz w:val="22"/>
                <w:szCs w:val="22"/>
              </w:rPr>
            </w:pPr>
            <w:r w:rsidRPr="00BB1E5C">
              <w:rPr>
                <w:sz w:val="22"/>
                <w:szCs w:val="22"/>
              </w:rPr>
              <w:t>Following the recent consultation on business-as-usual (non-regulatory)</w:t>
            </w:r>
            <w:r w:rsidR="00176D33">
              <w:rPr>
                <w:sz w:val="22"/>
                <w:szCs w:val="22"/>
              </w:rPr>
              <w:t xml:space="preserve"> option</w:t>
            </w:r>
            <w:r w:rsidRPr="00BB1E5C">
              <w:rPr>
                <w:sz w:val="22"/>
                <w:szCs w:val="22"/>
              </w:rPr>
              <w:t xml:space="preserve"> and the three option</w:t>
            </w:r>
            <w:r w:rsidR="00176D33">
              <w:rPr>
                <w:sz w:val="22"/>
                <w:szCs w:val="22"/>
              </w:rPr>
              <w:t>s</w:t>
            </w:r>
            <w:r w:rsidRPr="00BB1E5C">
              <w:rPr>
                <w:sz w:val="22"/>
                <w:szCs w:val="22"/>
              </w:rPr>
              <w:t xml:space="preserve"> for a NVES (A, B and C) the Impact Analysis now presents a fifth option, which is the </w:t>
            </w:r>
            <w:r w:rsidR="00AD70B8">
              <w:rPr>
                <w:sz w:val="22"/>
                <w:szCs w:val="22"/>
              </w:rPr>
              <w:t>best</w:t>
            </w:r>
            <w:r w:rsidRPr="00BB1E5C">
              <w:rPr>
                <w:sz w:val="22"/>
                <w:szCs w:val="22"/>
              </w:rPr>
              <w:t xml:space="preserve"> option.   </w:t>
            </w:r>
          </w:p>
          <w:p w14:paraId="1397AB6F" w14:textId="77777777" w:rsidR="00BB1E5C" w:rsidRPr="00BB1E5C" w:rsidRDefault="00BB1E5C" w:rsidP="00BB1E5C">
            <w:pPr>
              <w:spacing w:before="120" w:after="120" w:line="300" w:lineRule="exact"/>
              <w:rPr>
                <w:sz w:val="22"/>
                <w:szCs w:val="22"/>
              </w:rPr>
            </w:pPr>
            <w:r w:rsidRPr="00BB1E5C">
              <w:rPr>
                <w:sz w:val="22"/>
                <w:szCs w:val="22"/>
              </w:rPr>
              <w:t xml:space="preserve">Each regulatory option is comprehensively compared in terms of the variation in settings, cumulative fuel cost savings, cumulative abatement. Detail on the impacts (costs and benefits) are set out in </w:t>
            </w:r>
            <w:r w:rsidRPr="00AD70B8">
              <w:rPr>
                <w:i/>
                <w:sz w:val="22"/>
                <w:szCs w:val="22"/>
              </w:rPr>
              <w:t>What is the likely net benefit of each option</w:t>
            </w:r>
            <w:r w:rsidRPr="00BB1E5C">
              <w:rPr>
                <w:sz w:val="22"/>
                <w:szCs w:val="22"/>
              </w:rPr>
              <w:t>?</w:t>
            </w:r>
          </w:p>
          <w:p w14:paraId="3C987A7F" w14:textId="77777777" w:rsidR="00BB1E5C" w:rsidRPr="00BB1E5C" w:rsidRDefault="00BB1E5C" w:rsidP="00BB1E5C">
            <w:pPr>
              <w:spacing w:before="120" w:after="120" w:line="300" w:lineRule="exact"/>
              <w:rPr>
                <w:sz w:val="22"/>
                <w:szCs w:val="22"/>
              </w:rPr>
            </w:pPr>
            <w:r w:rsidRPr="00BB1E5C">
              <w:rPr>
                <w:sz w:val="22"/>
                <w:szCs w:val="22"/>
              </w:rPr>
              <w:t xml:space="preserve">Additional detail relating to complementary Government policy has been included. </w:t>
            </w:r>
          </w:p>
        </w:tc>
      </w:tr>
      <w:tr w:rsidR="00BB1E5C" w:rsidRPr="00BB1E5C" w14:paraId="0A49EBE1" w14:textId="77777777" w:rsidTr="00BB1E5C">
        <w:tc>
          <w:tcPr>
            <w:tcW w:w="2547" w:type="dxa"/>
            <w:shd w:val="clear" w:color="auto" w:fill="auto"/>
          </w:tcPr>
          <w:p w14:paraId="5A9E0A85" w14:textId="77777777" w:rsidR="00BB1E5C" w:rsidRPr="00BB1E5C" w:rsidRDefault="00BB1E5C" w:rsidP="00BB1E5C">
            <w:pPr>
              <w:spacing w:before="120" w:after="120" w:line="300" w:lineRule="exact"/>
              <w:rPr>
                <w:b/>
                <w:sz w:val="22"/>
                <w:szCs w:val="22"/>
              </w:rPr>
            </w:pPr>
            <w:r w:rsidRPr="00BB1E5C">
              <w:rPr>
                <w:b/>
                <w:sz w:val="22"/>
                <w:szCs w:val="22"/>
              </w:rPr>
              <w:t>Who did you consult with and how did you incorporate their feedback?</w:t>
            </w:r>
          </w:p>
          <w:p w14:paraId="7C067B03" w14:textId="77777777" w:rsidR="00BB1E5C" w:rsidRPr="00BB1E5C" w:rsidRDefault="00BB1E5C" w:rsidP="00BB1E5C">
            <w:pPr>
              <w:spacing w:before="120" w:after="120" w:line="300" w:lineRule="exact"/>
              <w:rPr>
                <w:b/>
                <w:sz w:val="22"/>
                <w:szCs w:val="22"/>
              </w:rPr>
            </w:pPr>
          </w:p>
          <w:p w14:paraId="1FAA151B" w14:textId="77777777" w:rsidR="00BB1E5C" w:rsidRPr="00BB1E5C" w:rsidRDefault="00BB1E5C" w:rsidP="00BB1E5C">
            <w:pPr>
              <w:spacing w:before="120" w:after="120" w:line="300" w:lineRule="exact"/>
              <w:rPr>
                <w:b/>
                <w:sz w:val="22"/>
                <w:szCs w:val="22"/>
              </w:rPr>
            </w:pPr>
          </w:p>
        </w:tc>
        <w:tc>
          <w:tcPr>
            <w:tcW w:w="6520" w:type="dxa"/>
            <w:shd w:val="clear" w:color="auto" w:fill="auto"/>
          </w:tcPr>
          <w:p w14:paraId="5AF87FC1" w14:textId="77777777" w:rsidR="00BB1E5C" w:rsidRPr="00BB1E5C" w:rsidRDefault="00BB1E5C" w:rsidP="00BB1E5C">
            <w:pPr>
              <w:spacing w:before="120" w:after="120" w:line="300" w:lineRule="exact"/>
              <w:rPr>
                <w:sz w:val="22"/>
                <w:szCs w:val="22"/>
              </w:rPr>
            </w:pPr>
            <w:r w:rsidRPr="00BB1E5C">
              <w:rPr>
                <w:sz w:val="22"/>
                <w:szCs w:val="22"/>
              </w:rPr>
              <w:t>This section now includes a comprehensive overview of the recent, and final</w:t>
            </w:r>
            <w:r w:rsidR="00176D33">
              <w:rPr>
                <w:sz w:val="22"/>
                <w:szCs w:val="22"/>
              </w:rPr>
              <w:t>,</w:t>
            </w:r>
            <w:r w:rsidRPr="00BB1E5C">
              <w:rPr>
                <w:sz w:val="22"/>
                <w:szCs w:val="22"/>
              </w:rPr>
              <w:t xml:space="preserve"> phase of consultation and how it informed the adjustments to Option B, which has become </w:t>
            </w:r>
            <w:r w:rsidR="00AD70B8">
              <w:rPr>
                <w:sz w:val="22"/>
                <w:szCs w:val="22"/>
              </w:rPr>
              <w:t xml:space="preserve">what we consider to be the best </w:t>
            </w:r>
            <w:r w:rsidRPr="00BB1E5C">
              <w:rPr>
                <w:sz w:val="22"/>
                <w:szCs w:val="22"/>
              </w:rPr>
              <w:t xml:space="preserve">option.  The range of views across the final consultation process has been presented. </w:t>
            </w:r>
          </w:p>
        </w:tc>
      </w:tr>
      <w:tr w:rsidR="00BB1E5C" w:rsidRPr="00BB1E5C" w14:paraId="713E4E18" w14:textId="77777777" w:rsidTr="00BB1E5C">
        <w:tc>
          <w:tcPr>
            <w:tcW w:w="2547" w:type="dxa"/>
            <w:shd w:val="clear" w:color="auto" w:fill="auto"/>
          </w:tcPr>
          <w:p w14:paraId="50EAC545" w14:textId="77777777" w:rsidR="00BB1E5C" w:rsidRPr="00BB1E5C" w:rsidRDefault="00BB1E5C" w:rsidP="00BB1E5C">
            <w:pPr>
              <w:spacing w:before="120" w:after="120" w:line="300" w:lineRule="exact"/>
              <w:rPr>
                <w:b/>
                <w:sz w:val="22"/>
                <w:szCs w:val="22"/>
              </w:rPr>
            </w:pPr>
            <w:r w:rsidRPr="00BB1E5C">
              <w:rPr>
                <w:b/>
                <w:sz w:val="22"/>
                <w:szCs w:val="22"/>
              </w:rPr>
              <w:t>What is the best option from those you have considered and how will it be implemented?</w:t>
            </w:r>
          </w:p>
          <w:p w14:paraId="599EBA30" w14:textId="77777777" w:rsidR="00BB1E5C" w:rsidRPr="00BB1E5C" w:rsidRDefault="00BB1E5C" w:rsidP="00BB1E5C">
            <w:pPr>
              <w:spacing w:before="120" w:after="120" w:line="300" w:lineRule="exact"/>
              <w:rPr>
                <w:b/>
                <w:sz w:val="22"/>
                <w:szCs w:val="22"/>
              </w:rPr>
            </w:pPr>
          </w:p>
          <w:p w14:paraId="3959A046" w14:textId="77777777" w:rsidR="00BB1E5C" w:rsidRPr="00BB1E5C" w:rsidRDefault="00BB1E5C" w:rsidP="00BB1E5C">
            <w:pPr>
              <w:spacing w:before="120" w:after="120" w:line="300" w:lineRule="exact"/>
              <w:rPr>
                <w:b/>
                <w:sz w:val="22"/>
                <w:szCs w:val="22"/>
              </w:rPr>
            </w:pPr>
          </w:p>
        </w:tc>
        <w:tc>
          <w:tcPr>
            <w:tcW w:w="6520" w:type="dxa"/>
            <w:shd w:val="clear" w:color="auto" w:fill="auto"/>
          </w:tcPr>
          <w:p w14:paraId="3E66794B" w14:textId="77777777" w:rsidR="00BB1E5C" w:rsidRPr="00BB1E5C" w:rsidRDefault="00BB1E5C" w:rsidP="00BB1E5C">
            <w:pPr>
              <w:spacing w:before="120" w:after="120" w:line="300" w:lineRule="exact"/>
              <w:rPr>
                <w:sz w:val="22"/>
                <w:szCs w:val="22"/>
              </w:rPr>
            </w:pPr>
            <w:r w:rsidRPr="00BB1E5C">
              <w:rPr>
                <w:sz w:val="22"/>
                <w:szCs w:val="22"/>
              </w:rPr>
              <w:t xml:space="preserve">The best option for a NVES is set out in detail in this chapter, and includes implementation challenges and impacts.  Implementation risks are presented at Appendix D. </w:t>
            </w:r>
          </w:p>
          <w:p w14:paraId="7C48003E" w14:textId="77777777" w:rsidR="00BB1E5C" w:rsidRPr="00BB1E5C" w:rsidRDefault="00BB1E5C" w:rsidP="00BB1E5C">
            <w:pPr>
              <w:spacing w:before="120" w:after="120" w:line="300" w:lineRule="exact"/>
              <w:rPr>
                <w:sz w:val="22"/>
                <w:szCs w:val="22"/>
              </w:rPr>
            </w:pPr>
            <w:r w:rsidRPr="00BB1E5C">
              <w:rPr>
                <w:sz w:val="22"/>
                <w:szCs w:val="22"/>
              </w:rPr>
              <w:t xml:space="preserve">The adjustments made to Option B in order to develop the </w:t>
            </w:r>
            <w:r w:rsidR="00AD70B8">
              <w:rPr>
                <w:sz w:val="22"/>
                <w:szCs w:val="22"/>
              </w:rPr>
              <w:t>best</w:t>
            </w:r>
            <w:r w:rsidRPr="00BB1E5C">
              <w:rPr>
                <w:sz w:val="22"/>
                <w:szCs w:val="22"/>
              </w:rPr>
              <w:t xml:space="preserve"> option have a particular focus on transitional arrangements for vehicles that would not have performed as well under Option B.  </w:t>
            </w:r>
          </w:p>
        </w:tc>
      </w:tr>
    </w:tbl>
    <w:p w14:paraId="7E46ED6B" w14:textId="77777777" w:rsidR="00BB1E5C" w:rsidRDefault="00BB1E5C" w:rsidP="00D85AA7">
      <w:pPr>
        <w:pStyle w:val="BodyText"/>
        <w:spacing w:before="120" w:after="120"/>
        <w:jc w:val="left"/>
        <w:rPr>
          <w:b/>
          <w:sz w:val="22"/>
          <w:szCs w:val="22"/>
        </w:rPr>
      </w:pPr>
    </w:p>
    <w:p w14:paraId="020F2812" w14:textId="77777777" w:rsidR="00D85AA7" w:rsidRPr="007944D3" w:rsidRDefault="00D85AA7" w:rsidP="00D85AA7">
      <w:pPr>
        <w:pStyle w:val="BodyText"/>
        <w:spacing w:before="120" w:after="120"/>
        <w:jc w:val="left"/>
        <w:rPr>
          <w:color w:val="000000" w:themeColor="text1"/>
          <w:sz w:val="22"/>
          <w:szCs w:val="22"/>
        </w:rPr>
      </w:pPr>
      <w:r w:rsidRPr="00FC7909">
        <w:rPr>
          <w:color w:val="000000" w:themeColor="text1"/>
          <w:sz w:val="22"/>
          <w:szCs w:val="22"/>
        </w:rPr>
        <w:t>The regulatory</w:t>
      </w:r>
      <w:r w:rsidR="000405CD" w:rsidRPr="00FC7909">
        <w:rPr>
          <w:color w:val="000000" w:themeColor="text1"/>
          <w:sz w:val="22"/>
          <w:szCs w:val="22"/>
        </w:rPr>
        <w:t xml:space="preserve"> net benefits of introducing a New Vehicle Efficiency Standard, that is in line with Government’s preferred option, are estimated to </w:t>
      </w:r>
      <w:r w:rsidR="000405CD" w:rsidRPr="00890C5B">
        <w:rPr>
          <w:color w:val="000000" w:themeColor="text1"/>
          <w:sz w:val="22"/>
          <w:szCs w:val="22"/>
        </w:rPr>
        <w:t>be $8</w:t>
      </w:r>
      <w:r w:rsidR="00890C5B" w:rsidRPr="00890C5B">
        <w:rPr>
          <w:color w:val="000000" w:themeColor="text1"/>
          <w:sz w:val="22"/>
          <w:szCs w:val="22"/>
        </w:rPr>
        <w:t>6</w:t>
      </w:r>
      <w:r w:rsidR="000405CD" w:rsidRPr="00890C5B">
        <w:rPr>
          <w:color w:val="000000" w:themeColor="text1"/>
          <w:sz w:val="22"/>
          <w:szCs w:val="22"/>
        </w:rPr>
        <w:t>.</w:t>
      </w:r>
      <w:r w:rsidR="00890C5B" w:rsidRPr="00890C5B">
        <w:rPr>
          <w:color w:val="000000" w:themeColor="text1"/>
          <w:sz w:val="22"/>
          <w:szCs w:val="22"/>
        </w:rPr>
        <w:t>04</w:t>
      </w:r>
      <w:r w:rsidR="000405CD" w:rsidRPr="00890C5B">
        <w:rPr>
          <w:color w:val="000000" w:themeColor="text1"/>
          <w:sz w:val="22"/>
          <w:szCs w:val="22"/>
        </w:rPr>
        <w:t xml:space="preserve"> billion to 2050. The preferred option also represents the highest benefits cost ration of all options considered, at 3.1</w:t>
      </w:r>
      <w:r w:rsidR="00890C5B" w:rsidRPr="00890C5B">
        <w:rPr>
          <w:color w:val="000000" w:themeColor="text1"/>
          <w:sz w:val="22"/>
          <w:szCs w:val="22"/>
        </w:rPr>
        <w:t>2</w:t>
      </w:r>
      <w:r w:rsidR="000405CD" w:rsidRPr="00890C5B">
        <w:rPr>
          <w:color w:val="000000" w:themeColor="text1"/>
          <w:sz w:val="22"/>
          <w:szCs w:val="22"/>
        </w:rPr>
        <w:t>.</w:t>
      </w:r>
      <w:r w:rsidRPr="00FC7909">
        <w:rPr>
          <w:color w:val="000000" w:themeColor="text1"/>
          <w:sz w:val="22"/>
          <w:szCs w:val="22"/>
        </w:rPr>
        <w:t xml:space="preserve"> </w:t>
      </w:r>
    </w:p>
    <w:p w14:paraId="1A80FA4E" w14:textId="77777777" w:rsidR="009A27A4" w:rsidRPr="007944D3" w:rsidRDefault="00D85AA7" w:rsidP="009A27A4">
      <w:pPr>
        <w:pStyle w:val="BodyText"/>
        <w:spacing w:before="120" w:after="120"/>
        <w:jc w:val="left"/>
        <w:rPr>
          <w:sz w:val="22"/>
          <w:szCs w:val="22"/>
        </w:rPr>
      </w:pPr>
      <w:r w:rsidRPr="007944D3">
        <w:rPr>
          <w:sz w:val="22"/>
          <w:szCs w:val="22"/>
        </w:rPr>
        <w:t xml:space="preserve">Accordingly, I am satisfied that the IA is now consistent with the six principles for Australian Government policy makers as specified in the </w:t>
      </w:r>
      <w:r w:rsidRPr="007944D3">
        <w:rPr>
          <w:i/>
          <w:sz w:val="22"/>
          <w:szCs w:val="22"/>
        </w:rPr>
        <w:t>Australian Government Guide to Policy Impact Analysis</w:t>
      </w:r>
      <w:r w:rsidRPr="007944D3">
        <w:rPr>
          <w:sz w:val="22"/>
          <w:szCs w:val="22"/>
        </w:rPr>
        <w:t>.</w:t>
      </w:r>
      <w:r w:rsidR="000405CD">
        <w:rPr>
          <w:sz w:val="22"/>
          <w:szCs w:val="22"/>
        </w:rPr>
        <w:t xml:space="preserve"> </w:t>
      </w:r>
      <w:r w:rsidRPr="007944D3">
        <w:rPr>
          <w:sz w:val="22"/>
          <w:szCs w:val="22"/>
        </w:rPr>
        <w:t xml:space="preserve">I submit the IA to the Office of Impact Analysis for formal </w:t>
      </w:r>
      <w:r w:rsidR="00A1456B">
        <w:rPr>
          <w:sz w:val="22"/>
          <w:szCs w:val="22"/>
        </w:rPr>
        <w:t xml:space="preserve">second pass </w:t>
      </w:r>
      <w:r w:rsidRPr="007944D3">
        <w:rPr>
          <w:sz w:val="22"/>
          <w:szCs w:val="22"/>
        </w:rPr>
        <w:t>final assessment.</w:t>
      </w:r>
    </w:p>
    <w:p w14:paraId="610F4BEB" w14:textId="77777777" w:rsidR="00D85AA7" w:rsidRPr="007944D3" w:rsidRDefault="00D85AA7" w:rsidP="009A27A4">
      <w:pPr>
        <w:pStyle w:val="BodyText"/>
        <w:spacing w:before="120" w:after="120"/>
        <w:jc w:val="left"/>
        <w:rPr>
          <w:sz w:val="22"/>
          <w:szCs w:val="22"/>
        </w:rPr>
      </w:pPr>
      <w:r w:rsidRPr="007944D3">
        <w:rPr>
          <w:sz w:val="22"/>
          <w:szCs w:val="22"/>
        </w:rPr>
        <w:t>Yours sincerely</w:t>
      </w:r>
    </w:p>
    <w:p w14:paraId="22E04F17" w14:textId="77777777" w:rsidR="00D85AA7" w:rsidRPr="007944D3" w:rsidRDefault="00D85AA7" w:rsidP="00D85AA7">
      <w:pPr>
        <w:pStyle w:val="Header"/>
        <w:spacing w:before="120" w:after="120"/>
        <w:rPr>
          <w:sz w:val="22"/>
          <w:szCs w:val="22"/>
        </w:rPr>
      </w:pPr>
    </w:p>
    <w:p w14:paraId="1246DB3B" w14:textId="77777777" w:rsidR="00D85AA7" w:rsidRPr="007944D3" w:rsidRDefault="00D85AA7" w:rsidP="00D85AA7">
      <w:pPr>
        <w:pStyle w:val="Header"/>
        <w:spacing w:before="120" w:after="120"/>
        <w:rPr>
          <w:sz w:val="22"/>
          <w:szCs w:val="22"/>
        </w:rPr>
      </w:pPr>
    </w:p>
    <w:p w14:paraId="435530EA" w14:textId="77777777" w:rsidR="001B6630" w:rsidRPr="001B6630" w:rsidRDefault="001B6630" w:rsidP="001B6630">
      <w:pPr>
        <w:pStyle w:val="BodyText"/>
        <w:spacing w:before="120" w:after="120"/>
        <w:jc w:val="left"/>
        <w:rPr>
          <w:sz w:val="22"/>
          <w:szCs w:val="22"/>
        </w:rPr>
      </w:pPr>
      <w:r w:rsidRPr="001B6630">
        <w:rPr>
          <w:sz w:val="22"/>
          <w:szCs w:val="22"/>
        </w:rPr>
        <w:t>Marisa Purvis-Smith</w:t>
      </w:r>
    </w:p>
    <w:p w14:paraId="3642499D" w14:textId="77777777" w:rsidR="001B6630" w:rsidRPr="001B6630" w:rsidRDefault="001B6630" w:rsidP="001B6630">
      <w:pPr>
        <w:pStyle w:val="BodyText"/>
        <w:spacing w:before="120" w:after="120"/>
        <w:jc w:val="left"/>
        <w:rPr>
          <w:sz w:val="22"/>
          <w:szCs w:val="22"/>
        </w:rPr>
      </w:pPr>
      <w:r w:rsidRPr="001B6630">
        <w:rPr>
          <w:sz w:val="22"/>
          <w:szCs w:val="22"/>
        </w:rPr>
        <w:t>Deputy Secretary</w:t>
      </w:r>
    </w:p>
    <w:p w14:paraId="280EE640" w14:textId="77777777" w:rsidR="006A6E26" w:rsidRPr="007944D3" w:rsidRDefault="00AD70B8" w:rsidP="009935E2">
      <w:pPr>
        <w:pStyle w:val="BodyText"/>
        <w:spacing w:before="120" w:after="120"/>
        <w:jc w:val="left"/>
      </w:pPr>
      <w:r>
        <w:rPr>
          <w:sz w:val="22"/>
          <w:szCs w:val="22"/>
        </w:rPr>
        <w:t xml:space="preserve">     </w:t>
      </w:r>
      <w:r w:rsidR="001B6630">
        <w:rPr>
          <w:sz w:val="22"/>
          <w:szCs w:val="22"/>
        </w:rPr>
        <w:t>March</w:t>
      </w:r>
      <w:r w:rsidR="001B6630" w:rsidRPr="001B6630">
        <w:rPr>
          <w:sz w:val="22"/>
          <w:szCs w:val="22"/>
        </w:rPr>
        <w:t xml:space="preserve"> 202</w:t>
      </w:r>
      <w:r w:rsidR="001B6630">
        <w:rPr>
          <w:sz w:val="22"/>
          <w:szCs w:val="22"/>
        </w:rPr>
        <w:t>4</w:t>
      </w:r>
    </w:p>
    <w:sectPr w:rsidR="006A6E26" w:rsidRPr="007944D3" w:rsidSect="000405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52F8F" w14:textId="77777777" w:rsidR="008C5C33" w:rsidRDefault="008C5C33" w:rsidP="00D85AA7">
      <w:pPr>
        <w:spacing w:line="240" w:lineRule="auto"/>
      </w:pPr>
      <w:r>
        <w:separator/>
      </w:r>
    </w:p>
  </w:endnote>
  <w:endnote w:type="continuationSeparator" w:id="0">
    <w:p w14:paraId="594916E0" w14:textId="77777777" w:rsidR="008C5C33" w:rsidRDefault="008C5C33" w:rsidP="00D85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C4A65" w14:textId="77777777" w:rsidR="00AF0D08" w:rsidRDefault="00AF0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CAC7B" w14:textId="77777777" w:rsidR="00AF0D08" w:rsidRDefault="00AF0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A4F3" w14:textId="77777777" w:rsidR="00AF0D08" w:rsidRDefault="00AF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DC79" w14:textId="77777777" w:rsidR="008C5C33" w:rsidRDefault="008C5C33" w:rsidP="00D85AA7">
      <w:pPr>
        <w:spacing w:line="240" w:lineRule="auto"/>
      </w:pPr>
      <w:r>
        <w:separator/>
      </w:r>
    </w:p>
  </w:footnote>
  <w:footnote w:type="continuationSeparator" w:id="0">
    <w:p w14:paraId="3FE54681" w14:textId="77777777" w:rsidR="008C5C33" w:rsidRDefault="008C5C33" w:rsidP="00D85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3920" w14:textId="77777777" w:rsidR="00AF0D08" w:rsidRDefault="00AF0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F32C" w14:textId="77777777" w:rsidR="00AF0D08" w:rsidRDefault="00AF0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D5D8" w14:textId="77777777" w:rsidR="00AF0D08" w:rsidRDefault="00AF0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DC9"/>
    <w:multiLevelType w:val="hybridMultilevel"/>
    <w:tmpl w:val="6BB43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173C1C"/>
    <w:multiLevelType w:val="hybridMultilevel"/>
    <w:tmpl w:val="8DD4A0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ADC4115"/>
    <w:multiLevelType w:val="multilevel"/>
    <w:tmpl w:val="EA58C1A6"/>
    <w:lvl w:ilvl="0">
      <w:start w:val="1"/>
      <w:numFmt w:val="none"/>
      <w:lvlText w:val="7."/>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35786A"/>
    <w:multiLevelType w:val="hybridMultilevel"/>
    <w:tmpl w:val="364451A8"/>
    <w:lvl w:ilvl="0" w:tplc="DFEA965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771BCB"/>
    <w:multiLevelType w:val="hybridMultilevel"/>
    <w:tmpl w:val="1B3878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D208CC"/>
    <w:multiLevelType w:val="hybridMultilevel"/>
    <w:tmpl w:val="8CDA1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73"/>
    <w:rsid w:val="00006F13"/>
    <w:rsid w:val="00037132"/>
    <w:rsid w:val="000405CD"/>
    <w:rsid w:val="000551F9"/>
    <w:rsid w:val="000925FE"/>
    <w:rsid w:val="000F4B02"/>
    <w:rsid w:val="00123821"/>
    <w:rsid w:val="001303B2"/>
    <w:rsid w:val="00143F77"/>
    <w:rsid w:val="001530C9"/>
    <w:rsid w:val="00170FEB"/>
    <w:rsid w:val="00176D33"/>
    <w:rsid w:val="001B6630"/>
    <w:rsid w:val="001F5DFF"/>
    <w:rsid w:val="00242966"/>
    <w:rsid w:val="002A4352"/>
    <w:rsid w:val="002F3782"/>
    <w:rsid w:val="002F61D6"/>
    <w:rsid w:val="0031484E"/>
    <w:rsid w:val="00340CA8"/>
    <w:rsid w:val="003952F6"/>
    <w:rsid w:val="003A436F"/>
    <w:rsid w:val="003A78B5"/>
    <w:rsid w:val="003B7EDC"/>
    <w:rsid w:val="003E1D7C"/>
    <w:rsid w:val="00494CD1"/>
    <w:rsid w:val="004B1BDE"/>
    <w:rsid w:val="005257EA"/>
    <w:rsid w:val="00534DF1"/>
    <w:rsid w:val="00647488"/>
    <w:rsid w:val="00673614"/>
    <w:rsid w:val="00697C28"/>
    <w:rsid w:val="006A6E26"/>
    <w:rsid w:val="006E50F9"/>
    <w:rsid w:val="00701BD7"/>
    <w:rsid w:val="00714ADA"/>
    <w:rsid w:val="0076122C"/>
    <w:rsid w:val="007944D3"/>
    <w:rsid w:val="007A75F9"/>
    <w:rsid w:val="007B28C4"/>
    <w:rsid w:val="00825AAC"/>
    <w:rsid w:val="00863FD9"/>
    <w:rsid w:val="00890C5B"/>
    <w:rsid w:val="008C1D5A"/>
    <w:rsid w:val="008C5C33"/>
    <w:rsid w:val="009001FE"/>
    <w:rsid w:val="00943B7C"/>
    <w:rsid w:val="00951DB3"/>
    <w:rsid w:val="00967953"/>
    <w:rsid w:val="00980DA5"/>
    <w:rsid w:val="0099028B"/>
    <w:rsid w:val="009935E2"/>
    <w:rsid w:val="00994434"/>
    <w:rsid w:val="009A002E"/>
    <w:rsid w:val="009A27A4"/>
    <w:rsid w:val="009B0B47"/>
    <w:rsid w:val="00A1456B"/>
    <w:rsid w:val="00A40923"/>
    <w:rsid w:val="00A84473"/>
    <w:rsid w:val="00AD70B8"/>
    <w:rsid w:val="00AE53AF"/>
    <w:rsid w:val="00AF0BBD"/>
    <w:rsid w:val="00AF0D08"/>
    <w:rsid w:val="00B16920"/>
    <w:rsid w:val="00B418D1"/>
    <w:rsid w:val="00B775A5"/>
    <w:rsid w:val="00B97394"/>
    <w:rsid w:val="00BB1E5C"/>
    <w:rsid w:val="00BF0C11"/>
    <w:rsid w:val="00C10EFB"/>
    <w:rsid w:val="00CA3334"/>
    <w:rsid w:val="00CB5F66"/>
    <w:rsid w:val="00CB6B0D"/>
    <w:rsid w:val="00D132A4"/>
    <w:rsid w:val="00D14783"/>
    <w:rsid w:val="00D16F6C"/>
    <w:rsid w:val="00D226E7"/>
    <w:rsid w:val="00D37189"/>
    <w:rsid w:val="00D52696"/>
    <w:rsid w:val="00D53B95"/>
    <w:rsid w:val="00D8173E"/>
    <w:rsid w:val="00D85AA7"/>
    <w:rsid w:val="00DF023E"/>
    <w:rsid w:val="00E17A7C"/>
    <w:rsid w:val="00E5747E"/>
    <w:rsid w:val="00E629CD"/>
    <w:rsid w:val="00E72D4C"/>
    <w:rsid w:val="00E96D1A"/>
    <w:rsid w:val="00ED1044"/>
    <w:rsid w:val="00ED63F8"/>
    <w:rsid w:val="00EE6227"/>
    <w:rsid w:val="00F146BB"/>
    <w:rsid w:val="00F579C7"/>
    <w:rsid w:val="00F72E0F"/>
    <w:rsid w:val="00FA3C56"/>
    <w:rsid w:val="00FC79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6C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AA7"/>
    <w:pPr>
      <w:spacing w:after="0" w:line="24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85AA7"/>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AA7"/>
    <w:rPr>
      <w:rFonts w:ascii="Arial" w:eastAsia="Times New Roman" w:hAnsi="Arial" w:cs="Times New Roman"/>
      <w:b/>
      <w:kern w:val="28"/>
      <w:sz w:val="28"/>
      <w:szCs w:val="20"/>
    </w:rPr>
  </w:style>
  <w:style w:type="paragraph" w:styleId="Header">
    <w:name w:val="header"/>
    <w:basedOn w:val="Normal"/>
    <w:link w:val="HeaderChar"/>
    <w:uiPriority w:val="99"/>
    <w:unhideWhenUsed/>
    <w:rsid w:val="00D85AA7"/>
    <w:pPr>
      <w:tabs>
        <w:tab w:val="center" w:pos="4153"/>
        <w:tab w:val="right" w:pos="8306"/>
      </w:tabs>
      <w:spacing w:after="240"/>
    </w:pPr>
  </w:style>
  <w:style w:type="character" w:customStyle="1" w:styleId="HeaderChar">
    <w:name w:val="Header Char"/>
    <w:basedOn w:val="DefaultParagraphFont"/>
    <w:link w:val="Header"/>
    <w:uiPriority w:val="99"/>
    <w:rsid w:val="00D85AA7"/>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D85AA7"/>
    <w:pPr>
      <w:spacing w:before="240" w:line="300" w:lineRule="exact"/>
      <w:jc w:val="both"/>
    </w:pPr>
    <w:rPr>
      <w:lang w:eastAsia="en-AU"/>
    </w:rPr>
  </w:style>
  <w:style w:type="character" w:customStyle="1" w:styleId="BodyTextChar">
    <w:name w:val="Body Text Char"/>
    <w:basedOn w:val="DefaultParagraphFont"/>
    <w:link w:val="BodyText"/>
    <w:uiPriority w:val="99"/>
    <w:rsid w:val="00D85AA7"/>
    <w:rPr>
      <w:rFonts w:ascii="Times New Roman" w:eastAsia="Times New Roman" w:hAnsi="Times New Roman" w:cs="Times New Roman"/>
      <w:sz w:val="24"/>
      <w:szCs w:val="20"/>
      <w:lang w:eastAsia="en-AU"/>
    </w:rPr>
  </w:style>
  <w:style w:type="paragraph" w:styleId="NoSpacing">
    <w:name w:val="No Spacing"/>
    <w:uiPriority w:val="98"/>
    <w:qFormat/>
    <w:rsid w:val="00D85AA7"/>
    <w:pPr>
      <w:spacing w:after="0" w:line="240" w:lineRule="auto"/>
    </w:pPr>
    <w:rPr>
      <w:rFonts w:eastAsiaTheme="minorEastAsia"/>
      <w:sz w:val="21"/>
      <w:szCs w:val="21"/>
    </w:rPr>
  </w:style>
  <w:style w:type="paragraph" w:styleId="Footer">
    <w:name w:val="footer"/>
    <w:basedOn w:val="Normal"/>
    <w:link w:val="FooterChar"/>
    <w:uiPriority w:val="99"/>
    <w:unhideWhenUsed/>
    <w:rsid w:val="00D85AA7"/>
    <w:pPr>
      <w:tabs>
        <w:tab w:val="center" w:pos="4513"/>
        <w:tab w:val="right" w:pos="9026"/>
      </w:tabs>
      <w:spacing w:line="240" w:lineRule="auto"/>
    </w:pPr>
  </w:style>
  <w:style w:type="character" w:customStyle="1" w:styleId="FooterChar">
    <w:name w:val="Footer Char"/>
    <w:basedOn w:val="DefaultParagraphFont"/>
    <w:link w:val="Footer"/>
    <w:uiPriority w:val="99"/>
    <w:rsid w:val="00D85AA7"/>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B0B47"/>
    <w:rPr>
      <w:sz w:val="16"/>
      <w:szCs w:val="16"/>
    </w:rPr>
  </w:style>
  <w:style w:type="paragraph" w:styleId="CommentText">
    <w:name w:val="annotation text"/>
    <w:basedOn w:val="Normal"/>
    <w:link w:val="CommentTextChar"/>
    <w:uiPriority w:val="99"/>
    <w:semiHidden/>
    <w:unhideWhenUsed/>
    <w:rsid w:val="009B0B47"/>
    <w:pPr>
      <w:spacing w:line="240" w:lineRule="auto"/>
    </w:pPr>
    <w:rPr>
      <w:sz w:val="20"/>
    </w:rPr>
  </w:style>
  <w:style w:type="character" w:customStyle="1" w:styleId="CommentTextChar">
    <w:name w:val="Comment Text Char"/>
    <w:basedOn w:val="DefaultParagraphFont"/>
    <w:link w:val="CommentText"/>
    <w:uiPriority w:val="99"/>
    <w:semiHidden/>
    <w:rsid w:val="009B0B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B47"/>
    <w:rPr>
      <w:b/>
      <w:bCs/>
    </w:rPr>
  </w:style>
  <w:style w:type="character" w:customStyle="1" w:styleId="CommentSubjectChar">
    <w:name w:val="Comment Subject Char"/>
    <w:basedOn w:val="CommentTextChar"/>
    <w:link w:val="CommentSubject"/>
    <w:uiPriority w:val="99"/>
    <w:semiHidden/>
    <w:rsid w:val="009B0B4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0B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B47"/>
    <w:rPr>
      <w:rFonts w:ascii="Segoe UI" w:eastAsia="Times New Roman" w:hAnsi="Segoe UI" w:cs="Segoe UI"/>
      <w:sz w:val="18"/>
      <w:szCs w:val="18"/>
    </w:rPr>
  </w:style>
  <w:style w:type="table" w:styleId="TableGrid">
    <w:name w:val="Table Grid"/>
    <w:basedOn w:val="TableNormal"/>
    <w:uiPriority w:val="39"/>
    <w:rsid w:val="003B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1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2024-08-13T04:06:00Z</dcterms:created>
  <dcterms:modified xsi:type="dcterms:W3CDTF">2024-08-13T04:07:00Z</dcterms:modified>
</cp:coreProperties>
</file>