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C8733" w14:textId="77777777" w:rsidR="00987B68" w:rsidRDefault="00987B68" w:rsidP="00987B68">
      <w:pPr>
        <w:pStyle w:val="CoverTitleMain"/>
        <w:rPr>
          <w:rFonts w:eastAsia="Calibri"/>
        </w:rPr>
      </w:pPr>
      <w:bookmarkStart w:id="0" w:name="_GoBack"/>
      <w:bookmarkEnd w:id="0"/>
      <w:r w:rsidRPr="66045612">
        <w:rPr>
          <w:rFonts w:eastAsia="Calibri"/>
        </w:rPr>
        <w:t>Removing the preferential tax treatment for Offshore Banking Units</w:t>
      </w:r>
      <w:r>
        <w:br/>
      </w:r>
      <w:r w:rsidRPr="66045612">
        <w:rPr>
          <w:rFonts w:eastAsia="Calibri"/>
        </w:rPr>
        <w:t>Post-implementation Review</w:t>
      </w:r>
    </w:p>
    <w:p w14:paraId="378B8BC4" w14:textId="77777777" w:rsidR="00987B68" w:rsidRDefault="00987B68" w:rsidP="00987B68">
      <w:pPr>
        <w:pStyle w:val="CoverDate"/>
        <w:rPr>
          <w:rStyle w:val="ReportDateChar"/>
        </w:rPr>
        <w:sectPr w:rsidR="00987B68" w:rsidSect="00BA38FA">
          <w:headerReference w:type="even" r:id="rId8"/>
          <w:headerReference w:type="default" r:id="rId9"/>
          <w:footerReference w:type="even" r:id="rId10"/>
          <w:footerReference w:type="default" r:id="rId11"/>
          <w:headerReference w:type="first" r:id="rId12"/>
          <w:footerReference w:type="first" r:id="rId13"/>
          <w:type w:val="oddPage"/>
          <w:pgSz w:w="11906" w:h="16838"/>
          <w:pgMar w:top="1418" w:right="1418" w:bottom="1418" w:left="1418" w:header="709" w:footer="709" w:gutter="0"/>
          <w:pgNumType w:fmt="lowerRoman"/>
          <w:cols w:space="708"/>
          <w:titlePg/>
          <w:docGrid w:linePitch="360"/>
        </w:sectPr>
      </w:pPr>
      <w:r w:rsidRPr="66045612">
        <w:rPr>
          <w:rStyle w:val="ReportDateChar"/>
          <w:rFonts w:eastAsia="Calibri Light" w:cs="Calibri Light"/>
          <w:szCs w:val="32"/>
        </w:rPr>
        <w:t>September 2023</w:t>
      </w:r>
    </w:p>
    <w:p w14:paraId="7F7DA8AE" w14:textId="77777777" w:rsidR="00987B68" w:rsidRDefault="00987B68" w:rsidP="00987B68">
      <w:pPr>
        <w:spacing w:before="0" w:after="160" w:line="259" w:lineRule="auto"/>
      </w:pPr>
      <w:r w:rsidRPr="00661BF0">
        <w:lastRenderedPageBreak/>
        <w:t xml:space="preserve">© Commonwealth of </w:t>
      </w:r>
      <w:r w:rsidRPr="00DA40F0">
        <w:t>Australia 2023</w:t>
      </w:r>
    </w:p>
    <w:p w14:paraId="12BD0A2F" w14:textId="77777777" w:rsidR="00987B68" w:rsidRPr="00086F82" w:rsidRDefault="00987B68" w:rsidP="00987B68">
      <w:pPr>
        <w:tabs>
          <w:tab w:val="left" w:pos="1650"/>
        </w:tabs>
        <w:spacing w:before="240"/>
        <w:rPr>
          <w:rFonts w:cstheme="minorBidi"/>
          <w:sz w:val="24"/>
          <w:szCs w:val="24"/>
        </w:rPr>
      </w:pPr>
      <w:r w:rsidRPr="002F1BC2">
        <w:t>This publication is available for your use under a</w:t>
      </w:r>
      <w:r w:rsidRPr="18AE651E">
        <w:rPr>
          <w:rFonts w:cstheme="minorBidi"/>
          <w:sz w:val="24"/>
          <w:szCs w:val="24"/>
        </w:rPr>
        <w:t xml:space="preserve"> </w:t>
      </w:r>
      <w:hyperlink r:id="rId14">
        <w:r w:rsidRPr="18AE651E">
          <w:rPr>
            <w:rStyle w:val="Hyperlink"/>
          </w:rPr>
          <w:t>Creative Commons Attribution 3.0 Australia</w:t>
        </w:r>
      </w:hyperlink>
      <w:r w:rsidRPr="18AE651E">
        <w:rPr>
          <w:rFonts w:cstheme="minorBidi"/>
          <w:sz w:val="24"/>
          <w:szCs w:val="24"/>
        </w:rPr>
        <w:t xml:space="preserve"> </w:t>
      </w:r>
      <w:r w:rsidRPr="002F1BC2">
        <w:t>licence, with the exception of the Commonwealth Coat of Arms, the Treasury logo</w:t>
      </w:r>
      <w:r>
        <w:t xml:space="preserve">, photographs, images, signatures </w:t>
      </w:r>
      <w:r w:rsidRPr="002F1BC2">
        <w:t>and where otherwise stated</w:t>
      </w:r>
      <w:r>
        <w:t>.</w:t>
      </w:r>
      <w:r w:rsidRPr="002F1BC2">
        <w:t xml:space="preserve"> The full licence terms are available from</w:t>
      </w:r>
      <w:r w:rsidRPr="18AE651E">
        <w:rPr>
          <w:rFonts w:cstheme="minorBidi"/>
          <w:sz w:val="24"/>
          <w:szCs w:val="24"/>
        </w:rPr>
        <w:t xml:space="preserve"> </w:t>
      </w:r>
      <w:hyperlink r:id="rId15">
        <w:r w:rsidRPr="18AE651E">
          <w:rPr>
            <w:rStyle w:val="Hyperlink"/>
          </w:rPr>
          <w:t>http://creativecommons.org/licenses/by/3.0/au/legalcode</w:t>
        </w:r>
      </w:hyperlink>
      <w:r w:rsidRPr="18AE651E">
        <w:rPr>
          <w:rStyle w:val="Hyperlink"/>
        </w:rPr>
        <w:t>.</w:t>
      </w:r>
      <w:r w:rsidRPr="18AE651E">
        <w:rPr>
          <w:sz w:val="24"/>
          <w:szCs w:val="24"/>
        </w:rPr>
        <w:t xml:space="preserve"> </w:t>
      </w:r>
    </w:p>
    <w:p w14:paraId="793C60FF" w14:textId="77777777" w:rsidR="00987B68" w:rsidRDefault="00987B68" w:rsidP="00987B68">
      <w:pPr>
        <w:pStyle w:val="ChartGraphic"/>
        <w:jc w:val="left"/>
      </w:pPr>
      <w:r w:rsidRPr="00E56DFB">
        <w:rPr>
          <w:noProof/>
        </w:rPr>
        <w:drawing>
          <wp:inline distT="0" distB="0" distL="0" distR="0" wp14:anchorId="3718298C" wp14:editId="34FEBF05">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C62121F" w14:textId="77777777" w:rsidR="00987B68" w:rsidRPr="006627B4" w:rsidRDefault="00987B68" w:rsidP="00987B68">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95DEFEC" w14:textId="77777777" w:rsidR="00987B68" w:rsidRPr="006469CC" w:rsidRDefault="00987B68" w:rsidP="00987B68">
      <w:pPr>
        <w:spacing w:before="240"/>
        <w:rPr>
          <w:b/>
        </w:rPr>
      </w:pPr>
      <w:r w:rsidRPr="006469CC">
        <w:rPr>
          <w:b/>
        </w:rPr>
        <w:t>Treasury material used ‘as supplied’.</w:t>
      </w:r>
    </w:p>
    <w:p w14:paraId="23CA2793" w14:textId="77777777" w:rsidR="00987B68" w:rsidRPr="00476F09" w:rsidRDefault="00987B68" w:rsidP="00987B68">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D5CE92D" w14:textId="77777777" w:rsidR="00987B68" w:rsidRPr="00A13A11" w:rsidRDefault="00987B68" w:rsidP="00987B68">
      <w:pPr>
        <w:ind w:firstLine="720"/>
      </w:pPr>
      <w:r w:rsidRPr="002F1BC2">
        <w:rPr>
          <w:i/>
        </w:rPr>
        <w:t xml:space="preserve">Source: The </w:t>
      </w:r>
      <w:r w:rsidRPr="002F1BC2">
        <w:rPr>
          <w:i/>
          <w:iCs/>
        </w:rPr>
        <w:t>Australian Government the Treasury</w:t>
      </w:r>
      <w:r>
        <w:t>.</w:t>
      </w:r>
    </w:p>
    <w:p w14:paraId="106A34B9" w14:textId="77777777" w:rsidR="00987B68" w:rsidRPr="006627B4" w:rsidRDefault="00987B68" w:rsidP="00987B68">
      <w:pPr>
        <w:spacing w:before="240"/>
      </w:pPr>
      <w:r w:rsidRPr="00CC63CC">
        <w:rPr>
          <w:b/>
        </w:rPr>
        <w:t>Derivative</w:t>
      </w:r>
      <w:r w:rsidRPr="006627B4">
        <w:t xml:space="preserve"> </w:t>
      </w:r>
      <w:r w:rsidRPr="00CC63CC">
        <w:rPr>
          <w:b/>
        </w:rPr>
        <w:t>material</w:t>
      </w:r>
    </w:p>
    <w:p w14:paraId="55755AB9" w14:textId="77777777" w:rsidR="00987B68" w:rsidRPr="006627B4" w:rsidRDefault="00987B68" w:rsidP="00987B68">
      <w:r w:rsidRPr="006627B4">
        <w:t xml:space="preserve">If you have modified or transformed Treasury material, or derived new material from those of the Treasury in any way, then Treasury prefers the following attribution: </w:t>
      </w:r>
    </w:p>
    <w:p w14:paraId="122649EB" w14:textId="77777777" w:rsidR="00987B68" w:rsidRPr="006627B4" w:rsidRDefault="00987B68" w:rsidP="00987B68">
      <w:pPr>
        <w:ind w:firstLine="720"/>
      </w:pPr>
      <w:r w:rsidRPr="002F1BC2">
        <w:rPr>
          <w:i/>
        </w:rPr>
        <w:t>Based on The Australian Government the Treasury data</w:t>
      </w:r>
      <w:r>
        <w:t>.</w:t>
      </w:r>
    </w:p>
    <w:p w14:paraId="61EE86A0" w14:textId="77777777" w:rsidR="00987B68" w:rsidRPr="006627B4" w:rsidRDefault="00987B68" w:rsidP="00987B68">
      <w:pPr>
        <w:spacing w:before="240"/>
        <w:rPr>
          <w:b/>
        </w:rPr>
      </w:pPr>
      <w:r w:rsidRPr="006627B4">
        <w:rPr>
          <w:b/>
        </w:rPr>
        <w:t>Use of the Coat of Arms</w:t>
      </w:r>
    </w:p>
    <w:p w14:paraId="16AF8231" w14:textId="77777777" w:rsidR="00987B68" w:rsidRPr="005C503A" w:rsidRDefault="00987B68" w:rsidP="00987B68">
      <w:pPr>
        <w:spacing w:before="240"/>
      </w:pPr>
      <w:r w:rsidRPr="005C503A">
        <w:t xml:space="preserve">The terms under which the Coat of Arms can be used are set out on the Department of the Prime Minister and Cabinet website (see </w:t>
      </w:r>
      <w:hyperlink r:id="rId18" w:history="1">
        <w:r>
          <w:rPr>
            <w:rStyle w:val="Hyperlink"/>
          </w:rPr>
          <w:t>http://www.pmc.gov.au/government/commonwealth-coat-arms</w:t>
        </w:r>
      </w:hyperlink>
      <w:r w:rsidRPr="005C503A">
        <w:t>).</w:t>
      </w:r>
    </w:p>
    <w:p w14:paraId="66225203" w14:textId="77777777" w:rsidR="00987B68" w:rsidRPr="006627B4" w:rsidRDefault="00987B68" w:rsidP="00987B68">
      <w:pPr>
        <w:spacing w:before="240"/>
        <w:rPr>
          <w:b/>
        </w:rPr>
      </w:pPr>
      <w:r>
        <w:rPr>
          <w:b/>
        </w:rPr>
        <w:t>Other u</w:t>
      </w:r>
      <w:r w:rsidRPr="006627B4">
        <w:rPr>
          <w:b/>
        </w:rPr>
        <w:t>ses</w:t>
      </w:r>
    </w:p>
    <w:p w14:paraId="4DB1307B" w14:textId="77777777" w:rsidR="00987B68" w:rsidRPr="006627B4" w:rsidRDefault="00987B68" w:rsidP="00987B68">
      <w:r>
        <w:t>E</w:t>
      </w:r>
      <w:r w:rsidRPr="006627B4">
        <w:t>nquiries regarding this licence and any other use of this document are welcome at:</w:t>
      </w:r>
    </w:p>
    <w:p w14:paraId="219DAE09" w14:textId="77777777" w:rsidR="00987B68" w:rsidRDefault="00987B68" w:rsidP="00987B68">
      <w:pPr>
        <w:ind w:left="720"/>
        <w:rPr>
          <w:rStyle w:val="Hyperlink"/>
        </w:rPr>
        <w:sectPr w:rsidR="00987B68" w:rsidSect="001B2A30">
          <w:headerReference w:type="first" r:id="rId19"/>
          <w:footerReference w:type="first" r:id="rId20"/>
          <w:pgSz w:w="11906" w:h="16838"/>
          <w:pgMar w:top="1418" w:right="1418" w:bottom="1418" w:left="1418" w:header="709" w:footer="709" w:gutter="0"/>
          <w:pgNumType w:fmt="lowerRoman"/>
          <w:cols w:space="708"/>
          <w:titlePg/>
          <w:docGrid w:linePitch="360"/>
        </w:sectPr>
      </w:pPr>
      <w:r>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1">
        <w:r w:rsidRPr="18AE651E">
          <w:rPr>
            <w:rStyle w:val="Hyperlink"/>
          </w:rPr>
          <w:t>media@treasury.gov.au</w:t>
        </w:r>
      </w:hyperlink>
    </w:p>
    <w:bookmarkStart w:id="1" w:name="_Toc144804550" w:displacedByCustomXml="next"/>
    <w:sdt>
      <w:sdtPr>
        <w:rPr>
          <w:rFonts w:asciiTheme="minorHAnsi" w:eastAsiaTheme="minorHAnsi" w:hAnsiTheme="minorHAnsi" w:cstheme="minorBidi"/>
          <w:b w:val="0"/>
          <w:bCs/>
          <w:color w:val="auto"/>
          <w:kern w:val="0"/>
          <w:sz w:val="22"/>
          <w:szCs w:val="22"/>
          <w:lang w:eastAsia="en-US"/>
        </w:rPr>
        <w:id w:val="-863443742"/>
        <w:docPartObj>
          <w:docPartGallery w:val="Table of Contents"/>
          <w:docPartUnique/>
        </w:docPartObj>
      </w:sdtPr>
      <w:sdtEndPr>
        <w:rPr>
          <w:rFonts w:ascii="Calibri Light" w:eastAsia="Times New Roman" w:hAnsi="Calibri Light" w:cs="Times New Roman"/>
          <w:bCs w:val="0"/>
          <w:noProof/>
          <w:szCs w:val="20"/>
          <w:lang w:eastAsia="en-AU"/>
        </w:rPr>
      </w:sdtEndPr>
      <w:sdtContent>
        <w:p w14:paraId="392A5075" w14:textId="77777777" w:rsidR="00987B68" w:rsidRDefault="00987B68" w:rsidP="00987B68">
          <w:pPr>
            <w:pStyle w:val="Heading1"/>
          </w:pPr>
          <w:r>
            <w:t>Contents</w:t>
          </w:r>
          <w:bookmarkEnd w:id="1"/>
        </w:p>
        <w:p w14:paraId="675FBDDD" w14:textId="3AAB0649" w:rsidR="001923DF" w:rsidRDefault="00987B68">
          <w:pPr>
            <w:pStyle w:val="TOC1"/>
            <w:rPr>
              <w:rFonts w:asciiTheme="minorHAnsi" w:eastAsiaTheme="minorEastAsia" w:hAnsiTheme="minorHAnsi" w:cstheme="minorBidi"/>
              <w:b w:val="0"/>
              <w:color w:val="auto"/>
            </w:rPr>
          </w:pPr>
          <w:r>
            <w:fldChar w:fldCharType="begin"/>
          </w:r>
          <w:r>
            <w:instrText xml:space="preserve"> TOC \o "1-2" \h \z \u </w:instrText>
          </w:r>
          <w:r>
            <w:fldChar w:fldCharType="separate"/>
          </w:r>
          <w:hyperlink w:anchor="_Toc144804550" w:history="1">
            <w:r w:rsidR="001923DF" w:rsidRPr="00536CAD">
              <w:rPr>
                <w:rStyle w:val="Hyperlink"/>
              </w:rPr>
              <w:t>Contents</w:t>
            </w:r>
            <w:r w:rsidR="001923DF">
              <w:rPr>
                <w:webHidden/>
              </w:rPr>
              <w:tab/>
            </w:r>
            <w:r w:rsidR="001923DF">
              <w:rPr>
                <w:webHidden/>
              </w:rPr>
              <w:fldChar w:fldCharType="begin"/>
            </w:r>
            <w:r w:rsidR="001923DF">
              <w:rPr>
                <w:webHidden/>
              </w:rPr>
              <w:instrText xml:space="preserve"> PAGEREF _Toc144804550 \h </w:instrText>
            </w:r>
            <w:r w:rsidR="001923DF">
              <w:rPr>
                <w:webHidden/>
              </w:rPr>
            </w:r>
            <w:r w:rsidR="001923DF">
              <w:rPr>
                <w:webHidden/>
              </w:rPr>
              <w:fldChar w:fldCharType="separate"/>
            </w:r>
            <w:r w:rsidR="001923DF">
              <w:rPr>
                <w:webHidden/>
              </w:rPr>
              <w:t>iii</w:t>
            </w:r>
            <w:r w:rsidR="001923DF">
              <w:rPr>
                <w:webHidden/>
              </w:rPr>
              <w:fldChar w:fldCharType="end"/>
            </w:r>
          </w:hyperlink>
        </w:p>
        <w:p w14:paraId="5F03B74D" w14:textId="6174E7A0" w:rsidR="001923DF" w:rsidRDefault="00D20026">
          <w:pPr>
            <w:pStyle w:val="TOC1"/>
            <w:rPr>
              <w:rFonts w:asciiTheme="minorHAnsi" w:eastAsiaTheme="minorEastAsia" w:hAnsiTheme="minorHAnsi" w:cstheme="minorBidi"/>
              <w:b w:val="0"/>
              <w:color w:val="auto"/>
            </w:rPr>
          </w:pPr>
          <w:hyperlink w:anchor="_Toc144804551" w:history="1">
            <w:r w:rsidR="001923DF" w:rsidRPr="00536CAD">
              <w:rPr>
                <w:rStyle w:val="Hyperlink"/>
              </w:rPr>
              <w:t>Introduction</w:t>
            </w:r>
            <w:r w:rsidR="001923DF">
              <w:rPr>
                <w:webHidden/>
              </w:rPr>
              <w:tab/>
            </w:r>
            <w:r w:rsidR="001923DF">
              <w:rPr>
                <w:webHidden/>
              </w:rPr>
              <w:fldChar w:fldCharType="begin"/>
            </w:r>
            <w:r w:rsidR="001923DF">
              <w:rPr>
                <w:webHidden/>
              </w:rPr>
              <w:instrText xml:space="preserve"> PAGEREF _Toc144804551 \h </w:instrText>
            </w:r>
            <w:r w:rsidR="001923DF">
              <w:rPr>
                <w:webHidden/>
              </w:rPr>
            </w:r>
            <w:r w:rsidR="001923DF">
              <w:rPr>
                <w:webHidden/>
              </w:rPr>
              <w:fldChar w:fldCharType="separate"/>
            </w:r>
            <w:r w:rsidR="001923DF">
              <w:rPr>
                <w:webHidden/>
              </w:rPr>
              <w:t>1</w:t>
            </w:r>
            <w:r w:rsidR="001923DF">
              <w:rPr>
                <w:webHidden/>
              </w:rPr>
              <w:fldChar w:fldCharType="end"/>
            </w:r>
          </w:hyperlink>
        </w:p>
        <w:p w14:paraId="2C9BF405" w14:textId="510AE35A" w:rsidR="001923DF" w:rsidRDefault="00D20026">
          <w:pPr>
            <w:pStyle w:val="TOC1"/>
            <w:rPr>
              <w:rFonts w:asciiTheme="minorHAnsi" w:eastAsiaTheme="minorEastAsia" w:hAnsiTheme="minorHAnsi" w:cstheme="minorBidi"/>
              <w:b w:val="0"/>
              <w:color w:val="auto"/>
            </w:rPr>
          </w:pPr>
          <w:hyperlink w:anchor="_Toc144804552" w:history="1">
            <w:r w:rsidR="001923DF" w:rsidRPr="00536CAD">
              <w:rPr>
                <w:rStyle w:val="Hyperlink"/>
              </w:rPr>
              <w:t>Background</w:t>
            </w:r>
            <w:r w:rsidR="001923DF">
              <w:rPr>
                <w:webHidden/>
              </w:rPr>
              <w:tab/>
            </w:r>
            <w:r w:rsidR="001923DF">
              <w:rPr>
                <w:webHidden/>
              </w:rPr>
              <w:fldChar w:fldCharType="begin"/>
            </w:r>
            <w:r w:rsidR="001923DF">
              <w:rPr>
                <w:webHidden/>
              </w:rPr>
              <w:instrText xml:space="preserve"> PAGEREF _Toc144804552 \h </w:instrText>
            </w:r>
            <w:r w:rsidR="001923DF">
              <w:rPr>
                <w:webHidden/>
              </w:rPr>
            </w:r>
            <w:r w:rsidR="001923DF">
              <w:rPr>
                <w:webHidden/>
              </w:rPr>
              <w:fldChar w:fldCharType="separate"/>
            </w:r>
            <w:r w:rsidR="001923DF">
              <w:rPr>
                <w:webHidden/>
              </w:rPr>
              <w:t>2</w:t>
            </w:r>
            <w:r w:rsidR="001923DF">
              <w:rPr>
                <w:webHidden/>
              </w:rPr>
              <w:fldChar w:fldCharType="end"/>
            </w:r>
          </w:hyperlink>
        </w:p>
        <w:p w14:paraId="75ED1EA2" w14:textId="79E6D70D" w:rsidR="001923DF" w:rsidRDefault="00D20026">
          <w:pPr>
            <w:pStyle w:val="TOC1"/>
            <w:rPr>
              <w:rFonts w:asciiTheme="minorHAnsi" w:eastAsiaTheme="minorEastAsia" w:hAnsiTheme="minorHAnsi" w:cstheme="minorBidi"/>
              <w:b w:val="0"/>
              <w:color w:val="auto"/>
            </w:rPr>
          </w:pPr>
          <w:hyperlink w:anchor="_Toc144804553" w:history="1">
            <w:r w:rsidR="001923DF" w:rsidRPr="00536CAD">
              <w:rPr>
                <w:rStyle w:val="Hyperlink"/>
              </w:rPr>
              <w:t>What was the problem that the regulation was trying to solve?</w:t>
            </w:r>
            <w:r w:rsidR="001923DF">
              <w:rPr>
                <w:webHidden/>
              </w:rPr>
              <w:tab/>
            </w:r>
            <w:r w:rsidR="001923DF">
              <w:rPr>
                <w:webHidden/>
              </w:rPr>
              <w:fldChar w:fldCharType="begin"/>
            </w:r>
            <w:r w:rsidR="001923DF">
              <w:rPr>
                <w:webHidden/>
              </w:rPr>
              <w:instrText xml:space="preserve"> PAGEREF _Toc144804553 \h </w:instrText>
            </w:r>
            <w:r w:rsidR="001923DF">
              <w:rPr>
                <w:webHidden/>
              </w:rPr>
            </w:r>
            <w:r w:rsidR="001923DF">
              <w:rPr>
                <w:webHidden/>
              </w:rPr>
              <w:fldChar w:fldCharType="separate"/>
            </w:r>
            <w:r w:rsidR="001923DF">
              <w:rPr>
                <w:webHidden/>
              </w:rPr>
              <w:t>3</w:t>
            </w:r>
            <w:r w:rsidR="001923DF">
              <w:rPr>
                <w:webHidden/>
              </w:rPr>
              <w:fldChar w:fldCharType="end"/>
            </w:r>
          </w:hyperlink>
        </w:p>
        <w:p w14:paraId="24BD1D3F" w14:textId="0F6F46D6" w:rsidR="001923DF" w:rsidRDefault="00D20026">
          <w:pPr>
            <w:pStyle w:val="TOC1"/>
            <w:rPr>
              <w:rFonts w:asciiTheme="minorHAnsi" w:eastAsiaTheme="minorEastAsia" w:hAnsiTheme="minorHAnsi" w:cstheme="minorBidi"/>
              <w:b w:val="0"/>
              <w:color w:val="auto"/>
            </w:rPr>
          </w:pPr>
          <w:hyperlink w:anchor="_Toc144804554" w:history="1">
            <w:r w:rsidR="001923DF" w:rsidRPr="00536CAD">
              <w:rPr>
                <w:rStyle w:val="Hyperlink"/>
              </w:rPr>
              <w:t>Why was government action needed?</w:t>
            </w:r>
            <w:r w:rsidR="001923DF">
              <w:rPr>
                <w:webHidden/>
              </w:rPr>
              <w:tab/>
            </w:r>
            <w:r w:rsidR="001923DF">
              <w:rPr>
                <w:webHidden/>
              </w:rPr>
              <w:fldChar w:fldCharType="begin"/>
            </w:r>
            <w:r w:rsidR="001923DF">
              <w:rPr>
                <w:webHidden/>
              </w:rPr>
              <w:instrText xml:space="preserve"> PAGEREF _Toc144804554 \h </w:instrText>
            </w:r>
            <w:r w:rsidR="001923DF">
              <w:rPr>
                <w:webHidden/>
              </w:rPr>
            </w:r>
            <w:r w:rsidR="001923DF">
              <w:rPr>
                <w:webHidden/>
              </w:rPr>
              <w:fldChar w:fldCharType="separate"/>
            </w:r>
            <w:r w:rsidR="001923DF">
              <w:rPr>
                <w:webHidden/>
              </w:rPr>
              <w:t>5</w:t>
            </w:r>
            <w:r w:rsidR="001923DF">
              <w:rPr>
                <w:webHidden/>
              </w:rPr>
              <w:fldChar w:fldCharType="end"/>
            </w:r>
          </w:hyperlink>
        </w:p>
        <w:p w14:paraId="0617BF0D" w14:textId="11AC30D0" w:rsidR="001923DF" w:rsidRDefault="00D20026">
          <w:pPr>
            <w:pStyle w:val="TOC1"/>
            <w:rPr>
              <w:rFonts w:asciiTheme="minorHAnsi" w:eastAsiaTheme="minorEastAsia" w:hAnsiTheme="minorHAnsi" w:cstheme="minorBidi"/>
              <w:b w:val="0"/>
              <w:color w:val="auto"/>
            </w:rPr>
          </w:pPr>
          <w:hyperlink w:anchor="_Toc144804555" w:history="1">
            <w:r w:rsidR="001923DF" w:rsidRPr="00536CAD">
              <w:rPr>
                <w:rStyle w:val="Hyperlink"/>
              </w:rPr>
              <w:t>What policy options were considered?</w:t>
            </w:r>
            <w:r w:rsidR="001923DF">
              <w:rPr>
                <w:webHidden/>
              </w:rPr>
              <w:tab/>
            </w:r>
            <w:r w:rsidR="001923DF">
              <w:rPr>
                <w:webHidden/>
              </w:rPr>
              <w:fldChar w:fldCharType="begin"/>
            </w:r>
            <w:r w:rsidR="001923DF">
              <w:rPr>
                <w:webHidden/>
              </w:rPr>
              <w:instrText xml:space="preserve"> PAGEREF _Toc144804555 \h </w:instrText>
            </w:r>
            <w:r w:rsidR="001923DF">
              <w:rPr>
                <w:webHidden/>
              </w:rPr>
            </w:r>
            <w:r w:rsidR="001923DF">
              <w:rPr>
                <w:webHidden/>
              </w:rPr>
              <w:fldChar w:fldCharType="separate"/>
            </w:r>
            <w:r w:rsidR="001923DF">
              <w:rPr>
                <w:webHidden/>
              </w:rPr>
              <w:t>6</w:t>
            </w:r>
            <w:r w:rsidR="001923DF">
              <w:rPr>
                <w:webHidden/>
              </w:rPr>
              <w:fldChar w:fldCharType="end"/>
            </w:r>
          </w:hyperlink>
        </w:p>
        <w:p w14:paraId="5808FBEF" w14:textId="42B01185" w:rsidR="001923DF" w:rsidRDefault="00D20026">
          <w:pPr>
            <w:pStyle w:val="TOC2"/>
            <w:rPr>
              <w:rFonts w:asciiTheme="minorHAnsi" w:eastAsiaTheme="minorEastAsia" w:hAnsiTheme="minorHAnsi" w:cstheme="minorBidi"/>
              <w:color w:val="auto"/>
              <w:szCs w:val="22"/>
            </w:rPr>
          </w:pPr>
          <w:hyperlink w:anchor="_Toc144804556" w:history="1">
            <w:r w:rsidR="001923DF" w:rsidRPr="00536CAD">
              <w:rPr>
                <w:rStyle w:val="Hyperlink"/>
              </w:rPr>
              <w:t>Option 1 – Do nothing</w:t>
            </w:r>
            <w:r w:rsidR="001923DF">
              <w:rPr>
                <w:webHidden/>
              </w:rPr>
              <w:tab/>
            </w:r>
            <w:r w:rsidR="001923DF">
              <w:rPr>
                <w:webHidden/>
              </w:rPr>
              <w:fldChar w:fldCharType="begin"/>
            </w:r>
            <w:r w:rsidR="001923DF">
              <w:rPr>
                <w:webHidden/>
              </w:rPr>
              <w:instrText xml:space="preserve"> PAGEREF _Toc144804556 \h </w:instrText>
            </w:r>
            <w:r w:rsidR="001923DF">
              <w:rPr>
                <w:webHidden/>
              </w:rPr>
            </w:r>
            <w:r w:rsidR="001923DF">
              <w:rPr>
                <w:webHidden/>
              </w:rPr>
              <w:fldChar w:fldCharType="separate"/>
            </w:r>
            <w:r w:rsidR="001923DF">
              <w:rPr>
                <w:webHidden/>
              </w:rPr>
              <w:t>6</w:t>
            </w:r>
            <w:r w:rsidR="001923DF">
              <w:rPr>
                <w:webHidden/>
              </w:rPr>
              <w:fldChar w:fldCharType="end"/>
            </w:r>
          </w:hyperlink>
        </w:p>
        <w:p w14:paraId="6BB5F216" w14:textId="73359F5E" w:rsidR="001923DF" w:rsidRDefault="00D20026">
          <w:pPr>
            <w:pStyle w:val="TOC2"/>
            <w:rPr>
              <w:rFonts w:asciiTheme="minorHAnsi" w:eastAsiaTheme="minorEastAsia" w:hAnsiTheme="minorHAnsi" w:cstheme="minorBidi"/>
              <w:color w:val="auto"/>
              <w:szCs w:val="22"/>
            </w:rPr>
          </w:pPr>
          <w:hyperlink w:anchor="_Toc144804557" w:history="1">
            <w:r w:rsidR="001923DF" w:rsidRPr="00536CAD">
              <w:rPr>
                <w:rStyle w:val="Hyperlink"/>
              </w:rPr>
              <w:t>Option 2 – Remove the preferential tax rate with grandfathering arrangements</w:t>
            </w:r>
            <w:r w:rsidR="001923DF">
              <w:rPr>
                <w:webHidden/>
              </w:rPr>
              <w:tab/>
            </w:r>
            <w:r w:rsidR="001923DF">
              <w:rPr>
                <w:webHidden/>
              </w:rPr>
              <w:fldChar w:fldCharType="begin"/>
            </w:r>
            <w:r w:rsidR="001923DF">
              <w:rPr>
                <w:webHidden/>
              </w:rPr>
              <w:instrText xml:space="preserve"> PAGEREF _Toc144804557 \h </w:instrText>
            </w:r>
            <w:r w:rsidR="001923DF">
              <w:rPr>
                <w:webHidden/>
              </w:rPr>
            </w:r>
            <w:r w:rsidR="001923DF">
              <w:rPr>
                <w:webHidden/>
              </w:rPr>
              <w:fldChar w:fldCharType="separate"/>
            </w:r>
            <w:r w:rsidR="001923DF">
              <w:rPr>
                <w:webHidden/>
              </w:rPr>
              <w:t>6</w:t>
            </w:r>
            <w:r w:rsidR="001923DF">
              <w:rPr>
                <w:webHidden/>
              </w:rPr>
              <w:fldChar w:fldCharType="end"/>
            </w:r>
          </w:hyperlink>
        </w:p>
        <w:p w14:paraId="3E153645" w14:textId="3242B6A7" w:rsidR="001923DF" w:rsidRDefault="00D20026">
          <w:pPr>
            <w:pStyle w:val="TOC2"/>
            <w:rPr>
              <w:rFonts w:asciiTheme="minorHAnsi" w:eastAsiaTheme="minorEastAsia" w:hAnsiTheme="minorHAnsi" w:cstheme="minorBidi"/>
              <w:color w:val="auto"/>
              <w:szCs w:val="22"/>
            </w:rPr>
          </w:pPr>
          <w:hyperlink w:anchor="_Toc144804558" w:history="1">
            <w:r w:rsidR="001923DF" w:rsidRPr="00536CAD">
              <w:rPr>
                <w:rStyle w:val="Hyperlink"/>
              </w:rPr>
              <w:t>Option 3 – Remove the preferential tax rate with no grandfathering arrangements</w:t>
            </w:r>
            <w:r w:rsidR="001923DF">
              <w:rPr>
                <w:webHidden/>
              </w:rPr>
              <w:tab/>
            </w:r>
            <w:r w:rsidR="001923DF">
              <w:rPr>
                <w:webHidden/>
              </w:rPr>
              <w:fldChar w:fldCharType="begin"/>
            </w:r>
            <w:r w:rsidR="001923DF">
              <w:rPr>
                <w:webHidden/>
              </w:rPr>
              <w:instrText xml:space="preserve"> PAGEREF _Toc144804558 \h </w:instrText>
            </w:r>
            <w:r w:rsidR="001923DF">
              <w:rPr>
                <w:webHidden/>
              </w:rPr>
            </w:r>
            <w:r w:rsidR="001923DF">
              <w:rPr>
                <w:webHidden/>
              </w:rPr>
              <w:fldChar w:fldCharType="separate"/>
            </w:r>
            <w:r w:rsidR="001923DF">
              <w:rPr>
                <w:webHidden/>
              </w:rPr>
              <w:t>7</w:t>
            </w:r>
            <w:r w:rsidR="001923DF">
              <w:rPr>
                <w:webHidden/>
              </w:rPr>
              <w:fldChar w:fldCharType="end"/>
            </w:r>
          </w:hyperlink>
        </w:p>
        <w:p w14:paraId="4ECFCDB5" w14:textId="719CC73A" w:rsidR="001923DF" w:rsidRDefault="00D20026">
          <w:pPr>
            <w:pStyle w:val="TOC2"/>
            <w:rPr>
              <w:rFonts w:asciiTheme="minorHAnsi" w:eastAsiaTheme="minorEastAsia" w:hAnsiTheme="minorHAnsi" w:cstheme="minorBidi"/>
              <w:color w:val="auto"/>
              <w:szCs w:val="22"/>
            </w:rPr>
          </w:pPr>
          <w:hyperlink w:anchor="_Toc144804559" w:history="1">
            <w:r w:rsidR="001923DF" w:rsidRPr="00536CAD">
              <w:rPr>
                <w:rStyle w:val="Hyperlink"/>
              </w:rPr>
              <w:t>Outcome after considering options</w:t>
            </w:r>
            <w:r w:rsidR="001923DF">
              <w:rPr>
                <w:webHidden/>
              </w:rPr>
              <w:tab/>
            </w:r>
            <w:r w:rsidR="001923DF">
              <w:rPr>
                <w:webHidden/>
              </w:rPr>
              <w:fldChar w:fldCharType="begin"/>
            </w:r>
            <w:r w:rsidR="001923DF">
              <w:rPr>
                <w:webHidden/>
              </w:rPr>
              <w:instrText xml:space="preserve"> PAGEREF _Toc144804559 \h </w:instrText>
            </w:r>
            <w:r w:rsidR="001923DF">
              <w:rPr>
                <w:webHidden/>
              </w:rPr>
            </w:r>
            <w:r w:rsidR="001923DF">
              <w:rPr>
                <w:webHidden/>
              </w:rPr>
              <w:fldChar w:fldCharType="separate"/>
            </w:r>
            <w:r w:rsidR="001923DF">
              <w:rPr>
                <w:webHidden/>
              </w:rPr>
              <w:t>7</w:t>
            </w:r>
            <w:r w:rsidR="001923DF">
              <w:rPr>
                <w:webHidden/>
              </w:rPr>
              <w:fldChar w:fldCharType="end"/>
            </w:r>
          </w:hyperlink>
        </w:p>
        <w:p w14:paraId="15136E06" w14:textId="3E688625" w:rsidR="001923DF" w:rsidRDefault="00D20026">
          <w:pPr>
            <w:pStyle w:val="TOC1"/>
            <w:rPr>
              <w:rFonts w:asciiTheme="minorHAnsi" w:eastAsiaTheme="minorEastAsia" w:hAnsiTheme="minorHAnsi" w:cstheme="minorBidi"/>
              <w:b w:val="0"/>
              <w:color w:val="auto"/>
            </w:rPr>
          </w:pPr>
          <w:hyperlink w:anchor="_Toc144804560" w:history="1">
            <w:r w:rsidR="001923DF" w:rsidRPr="00536CAD">
              <w:rPr>
                <w:rStyle w:val="Hyperlink"/>
              </w:rPr>
              <w:t>What have the impacts of regulation been?</w:t>
            </w:r>
            <w:r w:rsidR="001923DF">
              <w:rPr>
                <w:webHidden/>
              </w:rPr>
              <w:tab/>
            </w:r>
            <w:r w:rsidR="001923DF">
              <w:rPr>
                <w:webHidden/>
              </w:rPr>
              <w:fldChar w:fldCharType="begin"/>
            </w:r>
            <w:r w:rsidR="001923DF">
              <w:rPr>
                <w:webHidden/>
              </w:rPr>
              <w:instrText xml:space="preserve"> PAGEREF _Toc144804560 \h </w:instrText>
            </w:r>
            <w:r w:rsidR="001923DF">
              <w:rPr>
                <w:webHidden/>
              </w:rPr>
            </w:r>
            <w:r w:rsidR="001923DF">
              <w:rPr>
                <w:webHidden/>
              </w:rPr>
              <w:fldChar w:fldCharType="separate"/>
            </w:r>
            <w:r w:rsidR="001923DF">
              <w:rPr>
                <w:webHidden/>
              </w:rPr>
              <w:t>8</w:t>
            </w:r>
            <w:r w:rsidR="001923DF">
              <w:rPr>
                <w:webHidden/>
              </w:rPr>
              <w:fldChar w:fldCharType="end"/>
            </w:r>
          </w:hyperlink>
        </w:p>
        <w:p w14:paraId="2570AAC8" w14:textId="643BB58D" w:rsidR="001923DF" w:rsidRDefault="00D20026">
          <w:pPr>
            <w:pStyle w:val="TOC2"/>
            <w:rPr>
              <w:rFonts w:asciiTheme="minorHAnsi" w:eastAsiaTheme="minorEastAsia" w:hAnsiTheme="minorHAnsi" w:cstheme="minorBidi"/>
              <w:color w:val="auto"/>
              <w:szCs w:val="22"/>
            </w:rPr>
          </w:pPr>
          <w:hyperlink w:anchor="_Toc144804561" w:history="1">
            <w:r w:rsidR="001923DF" w:rsidRPr="00536CAD">
              <w:rPr>
                <w:rStyle w:val="Hyperlink"/>
              </w:rPr>
              <w:t>Prevention of economic sanctions against Australia</w:t>
            </w:r>
            <w:r w:rsidR="001923DF">
              <w:rPr>
                <w:webHidden/>
              </w:rPr>
              <w:tab/>
            </w:r>
            <w:r w:rsidR="001923DF">
              <w:rPr>
                <w:webHidden/>
              </w:rPr>
              <w:fldChar w:fldCharType="begin"/>
            </w:r>
            <w:r w:rsidR="001923DF">
              <w:rPr>
                <w:webHidden/>
              </w:rPr>
              <w:instrText xml:space="preserve"> PAGEREF _Toc144804561 \h </w:instrText>
            </w:r>
            <w:r w:rsidR="001923DF">
              <w:rPr>
                <w:webHidden/>
              </w:rPr>
            </w:r>
            <w:r w:rsidR="001923DF">
              <w:rPr>
                <w:webHidden/>
              </w:rPr>
              <w:fldChar w:fldCharType="separate"/>
            </w:r>
            <w:r w:rsidR="001923DF">
              <w:rPr>
                <w:webHidden/>
              </w:rPr>
              <w:t>8</w:t>
            </w:r>
            <w:r w:rsidR="001923DF">
              <w:rPr>
                <w:webHidden/>
              </w:rPr>
              <w:fldChar w:fldCharType="end"/>
            </w:r>
          </w:hyperlink>
        </w:p>
        <w:p w14:paraId="6E5482E2" w14:textId="25E9922E" w:rsidR="001923DF" w:rsidRDefault="00D20026">
          <w:pPr>
            <w:pStyle w:val="TOC2"/>
            <w:rPr>
              <w:rFonts w:asciiTheme="minorHAnsi" w:eastAsiaTheme="minorEastAsia" w:hAnsiTheme="minorHAnsi" w:cstheme="minorBidi"/>
              <w:color w:val="auto"/>
              <w:szCs w:val="22"/>
            </w:rPr>
          </w:pPr>
          <w:hyperlink w:anchor="_Toc144804562" w:history="1">
            <w:r w:rsidR="001923DF" w:rsidRPr="00536CAD">
              <w:rPr>
                <w:rStyle w:val="Hyperlink"/>
              </w:rPr>
              <w:t>Commitment to addressing multinational tax avoidance</w:t>
            </w:r>
            <w:r w:rsidR="001923DF">
              <w:rPr>
                <w:webHidden/>
              </w:rPr>
              <w:tab/>
            </w:r>
            <w:r w:rsidR="001923DF">
              <w:rPr>
                <w:webHidden/>
              </w:rPr>
              <w:fldChar w:fldCharType="begin"/>
            </w:r>
            <w:r w:rsidR="001923DF">
              <w:rPr>
                <w:webHidden/>
              </w:rPr>
              <w:instrText xml:space="preserve"> PAGEREF _Toc144804562 \h </w:instrText>
            </w:r>
            <w:r w:rsidR="001923DF">
              <w:rPr>
                <w:webHidden/>
              </w:rPr>
            </w:r>
            <w:r w:rsidR="001923DF">
              <w:rPr>
                <w:webHidden/>
              </w:rPr>
              <w:fldChar w:fldCharType="separate"/>
            </w:r>
            <w:r w:rsidR="001923DF">
              <w:rPr>
                <w:webHidden/>
              </w:rPr>
              <w:t>8</w:t>
            </w:r>
            <w:r w:rsidR="001923DF">
              <w:rPr>
                <w:webHidden/>
              </w:rPr>
              <w:fldChar w:fldCharType="end"/>
            </w:r>
          </w:hyperlink>
        </w:p>
        <w:p w14:paraId="3B2E1C33" w14:textId="4F3C2F34" w:rsidR="001923DF" w:rsidRDefault="00D20026">
          <w:pPr>
            <w:pStyle w:val="TOC2"/>
            <w:rPr>
              <w:rFonts w:asciiTheme="minorHAnsi" w:eastAsiaTheme="minorEastAsia" w:hAnsiTheme="minorHAnsi" w:cstheme="minorBidi"/>
              <w:color w:val="auto"/>
              <w:szCs w:val="22"/>
            </w:rPr>
          </w:pPr>
          <w:hyperlink w:anchor="_Toc144804563" w:history="1">
            <w:r w:rsidR="001923DF" w:rsidRPr="00536CAD">
              <w:rPr>
                <w:rStyle w:val="Hyperlink"/>
              </w:rPr>
              <w:t>Loss of OBU activity</w:t>
            </w:r>
            <w:r w:rsidR="001923DF">
              <w:rPr>
                <w:webHidden/>
              </w:rPr>
              <w:tab/>
            </w:r>
            <w:r w:rsidR="001923DF">
              <w:rPr>
                <w:webHidden/>
              </w:rPr>
              <w:fldChar w:fldCharType="begin"/>
            </w:r>
            <w:r w:rsidR="001923DF">
              <w:rPr>
                <w:webHidden/>
              </w:rPr>
              <w:instrText xml:space="preserve"> PAGEREF _Toc144804563 \h </w:instrText>
            </w:r>
            <w:r w:rsidR="001923DF">
              <w:rPr>
                <w:webHidden/>
              </w:rPr>
            </w:r>
            <w:r w:rsidR="001923DF">
              <w:rPr>
                <w:webHidden/>
              </w:rPr>
              <w:fldChar w:fldCharType="separate"/>
            </w:r>
            <w:r w:rsidR="001923DF">
              <w:rPr>
                <w:webHidden/>
              </w:rPr>
              <w:t>9</w:t>
            </w:r>
            <w:r w:rsidR="001923DF">
              <w:rPr>
                <w:webHidden/>
              </w:rPr>
              <w:fldChar w:fldCharType="end"/>
            </w:r>
          </w:hyperlink>
        </w:p>
        <w:p w14:paraId="72FCB35B" w14:textId="4DB45E15" w:rsidR="001923DF" w:rsidRDefault="00D20026">
          <w:pPr>
            <w:pStyle w:val="TOC2"/>
            <w:rPr>
              <w:rFonts w:asciiTheme="minorHAnsi" w:eastAsiaTheme="minorEastAsia" w:hAnsiTheme="minorHAnsi" w:cstheme="minorBidi"/>
              <w:color w:val="auto"/>
              <w:szCs w:val="22"/>
            </w:rPr>
          </w:pPr>
          <w:hyperlink w:anchor="_Toc144804564" w:history="1">
            <w:r w:rsidR="001923DF" w:rsidRPr="00536CAD">
              <w:rPr>
                <w:rStyle w:val="Hyperlink"/>
              </w:rPr>
              <w:t>Regulatory and compliance impacts</w:t>
            </w:r>
            <w:r w:rsidR="001923DF">
              <w:rPr>
                <w:webHidden/>
              </w:rPr>
              <w:tab/>
            </w:r>
            <w:r w:rsidR="001923DF">
              <w:rPr>
                <w:webHidden/>
              </w:rPr>
              <w:fldChar w:fldCharType="begin"/>
            </w:r>
            <w:r w:rsidR="001923DF">
              <w:rPr>
                <w:webHidden/>
              </w:rPr>
              <w:instrText xml:space="preserve"> PAGEREF _Toc144804564 \h </w:instrText>
            </w:r>
            <w:r w:rsidR="001923DF">
              <w:rPr>
                <w:webHidden/>
              </w:rPr>
            </w:r>
            <w:r w:rsidR="001923DF">
              <w:rPr>
                <w:webHidden/>
              </w:rPr>
              <w:fldChar w:fldCharType="separate"/>
            </w:r>
            <w:r w:rsidR="001923DF">
              <w:rPr>
                <w:webHidden/>
              </w:rPr>
              <w:t>10</w:t>
            </w:r>
            <w:r w:rsidR="001923DF">
              <w:rPr>
                <w:webHidden/>
              </w:rPr>
              <w:fldChar w:fldCharType="end"/>
            </w:r>
          </w:hyperlink>
        </w:p>
        <w:p w14:paraId="63799A4D" w14:textId="122A983D" w:rsidR="001923DF" w:rsidRDefault="00D20026">
          <w:pPr>
            <w:pStyle w:val="TOC1"/>
            <w:rPr>
              <w:rFonts w:asciiTheme="minorHAnsi" w:eastAsiaTheme="minorEastAsia" w:hAnsiTheme="minorHAnsi" w:cstheme="minorBidi"/>
              <w:b w:val="0"/>
              <w:color w:val="auto"/>
            </w:rPr>
          </w:pPr>
          <w:hyperlink w:anchor="_Toc144804565" w:history="1">
            <w:r w:rsidR="001923DF" w:rsidRPr="00536CAD">
              <w:rPr>
                <w:rStyle w:val="Hyperlink"/>
              </w:rPr>
              <w:t>Which stakeholders have been consulted for this review?</w:t>
            </w:r>
            <w:r w:rsidR="001923DF">
              <w:rPr>
                <w:webHidden/>
              </w:rPr>
              <w:tab/>
            </w:r>
            <w:r w:rsidR="001923DF">
              <w:rPr>
                <w:webHidden/>
              </w:rPr>
              <w:fldChar w:fldCharType="begin"/>
            </w:r>
            <w:r w:rsidR="001923DF">
              <w:rPr>
                <w:webHidden/>
              </w:rPr>
              <w:instrText xml:space="preserve"> PAGEREF _Toc144804565 \h </w:instrText>
            </w:r>
            <w:r w:rsidR="001923DF">
              <w:rPr>
                <w:webHidden/>
              </w:rPr>
            </w:r>
            <w:r w:rsidR="001923DF">
              <w:rPr>
                <w:webHidden/>
              </w:rPr>
              <w:fldChar w:fldCharType="separate"/>
            </w:r>
            <w:r w:rsidR="001923DF">
              <w:rPr>
                <w:webHidden/>
              </w:rPr>
              <w:t>12</w:t>
            </w:r>
            <w:r w:rsidR="001923DF">
              <w:rPr>
                <w:webHidden/>
              </w:rPr>
              <w:fldChar w:fldCharType="end"/>
            </w:r>
          </w:hyperlink>
        </w:p>
        <w:p w14:paraId="4B2159B5" w14:textId="0E1F3683" w:rsidR="001923DF" w:rsidRDefault="00D20026">
          <w:pPr>
            <w:pStyle w:val="TOC2"/>
            <w:rPr>
              <w:rFonts w:asciiTheme="minorHAnsi" w:eastAsiaTheme="minorEastAsia" w:hAnsiTheme="minorHAnsi" w:cstheme="minorBidi"/>
              <w:color w:val="auto"/>
              <w:szCs w:val="22"/>
            </w:rPr>
          </w:pPr>
          <w:hyperlink w:anchor="_Toc144804566" w:history="1">
            <w:r w:rsidR="001923DF" w:rsidRPr="00536CAD">
              <w:rPr>
                <w:rStyle w:val="Hyperlink"/>
              </w:rPr>
              <w:t>Consultation on a possible replacement regime</w:t>
            </w:r>
            <w:r w:rsidR="001923DF">
              <w:rPr>
                <w:webHidden/>
              </w:rPr>
              <w:tab/>
            </w:r>
            <w:r w:rsidR="001923DF">
              <w:rPr>
                <w:webHidden/>
              </w:rPr>
              <w:fldChar w:fldCharType="begin"/>
            </w:r>
            <w:r w:rsidR="001923DF">
              <w:rPr>
                <w:webHidden/>
              </w:rPr>
              <w:instrText xml:space="preserve"> PAGEREF _Toc144804566 \h </w:instrText>
            </w:r>
            <w:r w:rsidR="001923DF">
              <w:rPr>
                <w:webHidden/>
              </w:rPr>
            </w:r>
            <w:r w:rsidR="001923DF">
              <w:rPr>
                <w:webHidden/>
              </w:rPr>
              <w:fldChar w:fldCharType="separate"/>
            </w:r>
            <w:r w:rsidR="001923DF">
              <w:rPr>
                <w:webHidden/>
              </w:rPr>
              <w:t>12</w:t>
            </w:r>
            <w:r w:rsidR="001923DF">
              <w:rPr>
                <w:webHidden/>
              </w:rPr>
              <w:fldChar w:fldCharType="end"/>
            </w:r>
          </w:hyperlink>
        </w:p>
        <w:p w14:paraId="597B5782" w14:textId="7C6CD774" w:rsidR="001923DF" w:rsidRDefault="00D20026">
          <w:pPr>
            <w:pStyle w:val="TOC1"/>
            <w:rPr>
              <w:rFonts w:asciiTheme="minorHAnsi" w:eastAsiaTheme="minorEastAsia" w:hAnsiTheme="minorHAnsi" w:cstheme="minorBidi"/>
              <w:b w:val="0"/>
              <w:color w:val="auto"/>
            </w:rPr>
          </w:pPr>
          <w:hyperlink w:anchor="_Toc144804567" w:history="1">
            <w:r w:rsidR="001923DF" w:rsidRPr="00536CAD">
              <w:rPr>
                <w:rStyle w:val="Hyperlink"/>
              </w:rPr>
              <w:t>Has the regulation delivered a net benefit?</w:t>
            </w:r>
            <w:r w:rsidR="001923DF">
              <w:rPr>
                <w:webHidden/>
              </w:rPr>
              <w:tab/>
            </w:r>
            <w:r w:rsidR="001923DF">
              <w:rPr>
                <w:webHidden/>
              </w:rPr>
              <w:fldChar w:fldCharType="begin"/>
            </w:r>
            <w:r w:rsidR="001923DF">
              <w:rPr>
                <w:webHidden/>
              </w:rPr>
              <w:instrText xml:space="preserve"> PAGEREF _Toc144804567 \h </w:instrText>
            </w:r>
            <w:r w:rsidR="001923DF">
              <w:rPr>
                <w:webHidden/>
              </w:rPr>
            </w:r>
            <w:r w:rsidR="001923DF">
              <w:rPr>
                <w:webHidden/>
              </w:rPr>
              <w:fldChar w:fldCharType="separate"/>
            </w:r>
            <w:r w:rsidR="001923DF">
              <w:rPr>
                <w:webHidden/>
              </w:rPr>
              <w:t>13</w:t>
            </w:r>
            <w:r w:rsidR="001923DF">
              <w:rPr>
                <w:webHidden/>
              </w:rPr>
              <w:fldChar w:fldCharType="end"/>
            </w:r>
          </w:hyperlink>
        </w:p>
        <w:p w14:paraId="6BD8FF80" w14:textId="210C2C09" w:rsidR="001923DF" w:rsidRDefault="00D20026">
          <w:pPr>
            <w:pStyle w:val="TOC1"/>
            <w:rPr>
              <w:rFonts w:asciiTheme="minorHAnsi" w:eastAsiaTheme="minorEastAsia" w:hAnsiTheme="minorHAnsi" w:cstheme="minorBidi"/>
              <w:b w:val="0"/>
              <w:color w:val="auto"/>
            </w:rPr>
          </w:pPr>
          <w:hyperlink w:anchor="_Toc144804568" w:history="1">
            <w:r w:rsidR="001923DF" w:rsidRPr="00536CAD">
              <w:rPr>
                <w:rStyle w:val="Hyperlink"/>
              </w:rPr>
              <w:t>How was the regulation implemented and evaluated?</w:t>
            </w:r>
            <w:r w:rsidR="001923DF">
              <w:rPr>
                <w:webHidden/>
              </w:rPr>
              <w:tab/>
            </w:r>
            <w:r w:rsidR="001923DF">
              <w:rPr>
                <w:webHidden/>
              </w:rPr>
              <w:fldChar w:fldCharType="begin"/>
            </w:r>
            <w:r w:rsidR="001923DF">
              <w:rPr>
                <w:webHidden/>
              </w:rPr>
              <w:instrText xml:space="preserve"> PAGEREF _Toc144804568 \h </w:instrText>
            </w:r>
            <w:r w:rsidR="001923DF">
              <w:rPr>
                <w:webHidden/>
              </w:rPr>
            </w:r>
            <w:r w:rsidR="001923DF">
              <w:rPr>
                <w:webHidden/>
              </w:rPr>
              <w:fldChar w:fldCharType="separate"/>
            </w:r>
            <w:r w:rsidR="001923DF">
              <w:rPr>
                <w:webHidden/>
              </w:rPr>
              <w:t>14</w:t>
            </w:r>
            <w:r w:rsidR="001923DF">
              <w:rPr>
                <w:webHidden/>
              </w:rPr>
              <w:fldChar w:fldCharType="end"/>
            </w:r>
          </w:hyperlink>
        </w:p>
        <w:p w14:paraId="43F7242A" w14:textId="01821B5A" w:rsidR="00987B68" w:rsidRDefault="00987B68" w:rsidP="00987B68">
          <w:pPr>
            <w:spacing w:before="180"/>
          </w:pPr>
          <w:r>
            <w:rPr>
              <w:noProof/>
              <w:color w:val="2C384A" w:themeColor="accent1"/>
              <w:szCs w:val="22"/>
            </w:rPr>
            <w:fldChar w:fldCharType="end"/>
          </w:r>
        </w:p>
      </w:sdtContent>
    </w:sdt>
    <w:p w14:paraId="7B333353" w14:textId="77777777" w:rsidR="00987B68" w:rsidRPr="00D94EE3" w:rsidRDefault="00987B68" w:rsidP="00987B68"/>
    <w:p w14:paraId="7644EFB5" w14:textId="77777777" w:rsidR="00987B68" w:rsidRPr="00D94EE3" w:rsidRDefault="00987B68" w:rsidP="00987B68">
      <w:pPr>
        <w:sectPr w:rsidR="00987B68" w:rsidRPr="00D94EE3" w:rsidSect="000029ED">
          <w:footerReference w:type="first" r:id="rId22"/>
          <w:pgSz w:w="11906" w:h="16838"/>
          <w:pgMar w:top="1418" w:right="1418" w:bottom="1418" w:left="1418" w:header="709" w:footer="709" w:gutter="0"/>
          <w:pgNumType w:fmt="lowerRoman"/>
          <w:cols w:space="708"/>
          <w:titlePg/>
          <w:docGrid w:linePitch="360"/>
        </w:sectPr>
      </w:pPr>
    </w:p>
    <w:p w14:paraId="4DACFCFF" w14:textId="77777777" w:rsidR="00987B68" w:rsidRDefault="00987B68" w:rsidP="00987B68">
      <w:pPr>
        <w:pStyle w:val="Heading1"/>
      </w:pPr>
      <w:bookmarkStart w:id="2" w:name="_Toc129678908"/>
      <w:bookmarkStart w:id="3" w:name="_Toc144804551"/>
      <w:r>
        <w:lastRenderedPageBreak/>
        <w:t>Introduction</w:t>
      </w:r>
      <w:bookmarkEnd w:id="2"/>
      <w:bookmarkEnd w:id="3"/>
    </w:p>
    <w:p w14:paraId="0072A16D" w14:textId="77777777" w:rsidR="00987B68" w:rsidRDefault="00987B68" w:rsidP="00987B68">
      <w:r>
        <w:t xml:space="preserve">In October 2018, the OECD’s Forum on Harmful Tax Practices (FHTP) determined Australia’s Offshore Banking Unit (OBU) regime to be a harmful preferential tax regime. This reflected the regime’s concessional tax rate, which was ‘ring-fenced’ from the domestic economy (the concessional rate is generally only available in relation to transactions between parties that are foreign residents). On 26 October 2018, the former Treasurer, the Hon Josh Frydenberg MP, announced that the Government would consider options to reform the regime. </w:t>
      </w:r>
    </w:p>
    <w:p w14:paraId="48A77D75" w14:textId="77777777" w:rsidR="00987B68" w:rsidRDefault="00987B68" w:rsidP="00987B68">
      <w:r>
        <w:t xml:space="preserve">The former Treasurer subsequently announced on 12 March 2021 that the Morrison Government would introduce legislation to remove the preferential tax treatment for OBUs and close the regime to new entrants. </w:t>
      </w:r>
    </w:p>
    <w:p w14:paraId="5C84C772" w14:textId="77777777" w:rsidR="00987B68" w:rsidRDefault="00987B68" w:rsidP="00987B68">
      <w:r>
        <w:t>Relevant legislation was introduced on 17 March 2021 and subsequently enacted, effective from 13 September 2021, which:</w:t>
      </w:r>
    </w:p>
    <w:p w14:paraId="6CE452D4" w14:textId="77777777" w:rsidR="00987B68" w:rsidRDefault="00987B68" w:rsidP="00987B68">
      <w:pPr>
        <w:pStyle w:val="Bullet"/>
      </w:pPr>
      <w:r>
        <w:t>removed the concessional tax treatment for OBUs but provided grandfathering arrangements for existing participants which preserved their access to the concessional tax treatment until the end of their 2022</w:t>
      </w:r>
      <w:r>
        <w:noBreakHyphen/>
        <w:t xml:space="preserve">23 income year; </w:t>
      </w:r>
    </w:p>
    <w:p w14:paraId="0E4A76DF" w14:textId="77777777" w:rsidR="00987B68" w:rsidRDefault="00987B68" w:rsidP="00987B68">
      <w:pPr>
        <w:pStyle w:val="Bullet"/>
      </w:pPr>
      <w:r>
        <w:t xml:space="preserve">removed the withholding tax exemption for OBUs on interest paid to foreign lenders from 1 January 2024; and </w:t>
      </w:r>
    </w:p>
    <w:p w14:paraId="59BEF332" w14:textId="77777777" w:rsidR="00987B68" w:rsidRDefault="00987B68" w:rsidP="00987B68">
      <w:pPr>
        <w:pStyle w:val="Bullet"/>
      </w:pPr>
      <w:r>
        <w:t xml:space="preserve">repealed the ability of the Minister to admit new entrants to the regime from the day after Royal Assent of the legislation. </w:t>
      </w:r>
    </w:p>
    <w:p w14:paraId="0D84A91F" w14:textId="77777777" w:rsidR="00987B68" w:rsidRDefault="00987B68" w:rsidP="00987B68">
      <w:r>
        <w:t xml:space="preserve">These amendments are contained in the </w:t>
      </w:r>
      <w:r w:rsidRPr="007D3469">
        <w:rPr>
          <w:i/>
          <w:iCs/>
        </w:rPr>
        <w:t>Treasury Laws Amendment (2021 Measures No. 2) Act 2021.</w:t>
      </w:r>
      <w:r>
        <w:t xml:space="preserve"> </w:t>
      </w:r>
    </w:p>
    <w:p w14:paraId="3558C994" w14:textId="77777777" w:rsidR="00987B68" w:rsidRDefault="00987B68" w:rsidP="00987B68">
      <w:r>
        <w:t xml:space="preserve">A regulation impact statement was not completed as the then Prime Minister granted an exemption from the requirement to complete a RIS. </w:t>
      </w:r>
    </w:p>
    <w:p w14:paraId="2A39F8E6" w14:textId="77777777" w:rsidR="00987B68" w:rsidRDefault="00987B68" w:rsidP="00987B68">
      <w:r>
        <w:t>The Australian Government’s regulatory impact analysis requirements stipulate that, under these circumstances, a post-implementation review (PIR) must be undertaken.</w:t>
      </w:r>
    </w:p>
    <w:p w14:paraId="0D0E69FF" w14:textId="77777777" w:rsidR="00987B68" w:rsidRDefault="00987B68" w:rsidP="00987B68">
      <w:r>
        <w:t xml:space="preserve">This PIR has been conducted in accordance with the Australian Government’s regulatory impact analysis requirements. </w:t>
      </w:r>
    </w:p>
    <w:p w14:paraId="7D051853" w14:textId="77777777" w:rsidR="00987B68" w:rsidRPr="00F64F86" w:rsidRDefault="00987B68" w:rsidP="00987B68">
      <w:pPr>
        <w:spacing w:before="0" w:after="200" w:line="276" w:lineRule="auto"/>
      </w:pPr>
      <w:r>
        <w:br w:type="page"/>
      </w:r>
    </w:p>
    <w:p w14:paraId="47832D4D" w14:textId="77777777" w:rsidR="00987B68" w:rsidRPr="009C48BA" w:rsidRDefault="00987B68" w:rsidP="00987B68">
      <w:pPr>
        <w:pStyle w:val="Heading1"/>
      </w:pPr>
      <w:bookmarkStart w:id="4" w:name="_Toc129678909"/>
      <w:bookmarkStart w:id="5" w:name="_Toc144804552"/>
      <w:r>
        <w:lastRenderedPageBreak/>
        <w:t>Background</w:t>
      </w:r>
      <w:bookmarkEnd w:id="4"/>
      <w:bookmarkEnd w:id="5"/>
    </w:p>
    <w:p w14:paraId="0E6DB446" w14:textId="77777777" w:rsidR="00987B68" w:rsidRDefault="00987B68" w:rsidP="00987B68">
      <w:r>
        <w:t>Australia’s OBU regime was introduced in 1987 to assist the Australian financial services sector to compete with financial services providers located in low tax jurisdictions in the Asia Pacific region. The regime initially provided an exemption from Australian withholding tax on interest paid to foreign lenders on certain borrowings by an OBU.</w:t>
      </w:r>
      <w:r w:rsidRPr="00342BDF">
        <w:t xml:space="preserve"> </w:t>
      </w:r>
      <w:r>
        <w:t>When introducing the interest withholding tax exemption for OBUs in 1987 the then Treasurer stated that the exemption was ‘intended to encourage offshore transactions and in particular on-lending to non-residents’.</w:t>
      </w:r>
      <w:r w:rsidRPr="00A67744">
        <w:rPr>
          <w:rStyle w:val="FootnoteReference"/>
          <w:vertAlign w:val="superscript"/>
        </w:rPr>
        <w:footnoteReference w:id="2"/>
      </w:r>
      <w:r>
        <w:t xml:space="preserve">  </w:t>
      </w:r>
    </w:p>
    <w:p w14:paraId="21A997FB" w14:textId="77777777" w:rsidR="00987B68" w:rsidRDefault="00987B68" w:rsidP="00987B68">
      <w:r>
        <w:t>In 1992, the regime was expanded to introduce an effective concessionary 10 per cent tax rate on profits derived by an OBU from eligible offshore banking (OB) activities. This change was announced in the One Nation economic statement of 26 February 1992 by the then Prime Minister.</w:t>
      </w:r>
      <w:r w:rsidRPr="00A27A9A">
        <w:rPr>
          <w:rStyle w:val="FootnoteReference"/>
          <w:vertAlign w:val="superscript"/>
        </w:rPr>
        <w:footnoteReference w:id="3"/>
      </w:r>
      <w:r>
        <w:t xml:space="preserve"> It acknowledged that the Government’s decision was to ‘provide further stimulus to the development of offshore banking in Australia at a time when such activity might be shifted from Hong Kong to elsewhere in the Asia Pacific region’. In effect, the regime was designed to attract the provision of highly mobile financial sector activities (which can be undertaken anywhere) to Australia. These activities broadly include services such as financial intermediation between non-residents or the provision of financial services to non-residents in respect of transactions that would not ordinarily have a connection with Australia.</w:t>
      </w:r>
    </w:p>
    <w:p w14:paraId="023834A8" w14:textId="77777777" w:rsidR="00987B68" w:rsidRDefault="00987B68" w:rsidP="00987B68">
      <w:r w:rsidRPr="00715E74">
        <w:t>To operate as an OBU, an entity must be declared an OBU by the Minister (</w:t>
      </w:r>
      <w:r>
        <w:t>typically the Treasurer),</w:t>
      </w:r>
      <w:r w:rsidRPr="00715E74">
        <w:t xml:space="preserve"> after </w:t>
      </w:r>
      <w:r>
        <w:t>approaching</w:t>
      </w:r>
      <w:r w:rsidRPr="00715E74">
        <w:t xml:space="preserve"> the Australian Taxation Office (ATO) for ‘registration’. </w:t>
      </w:r>
    </w:p>
    <w:p w14:paraId="4148B48C" w14:textId="77777777" w:rsidR="00987B68" w:rsidRDefault="00987B68" w:rsidP="00987B68">
      <w:r w:rsidRPr="009C48BA">
        <w:t xml:space="preserve">Initially, the OBU regime applied only to banks and foreign exchange dealers. It was </w:t>
      </w:r>
      <w:r>
        <w:t xml:space="preserve">subsequently </w:t>
      </w:r>
      <w:r w:rsidRPr="009C48BA">
        <w:t xml:space="preserve">extended in 1999 to include insurance companies, fund managers and other companies the Treasurer determined to be an OBU. Further amendments were made to the regime in 2015, including modernising the list of eligible activities and addressing various integrity concerns. </w:t>
      </w:r>
    </w:p>
    <w:p w14:paraId="1D433C73" w14:textId="77777777" w:rsidR="00987B68" w:rsidRDefault="00987B68" w:rsidP="00987B68">
      <w:r>
        <w:t>At the time the regime was effectively closed to new participants, there were 136 ‘registered’ OBUs and eligible OB activities included:</w:t>
      </w:r>
      <w:r w:rsidRPr="00484B4A">
        <w:rPr>
          <w:rStyle w:val="FootnoteReference"/>
          <w:vertAlign w:val="superscript"/>
        </w:rPr>
        <w:t xml:space="preserve"> </w:t>
      </w:r>
      <w:r w:rsidRPr="00DC04D3">
        <w:rPr>
          <w:rStyle w:val="FootnoteReference"/>
          <w:vertAlign w:val="superscript"/>
        </w:rPr>
        <w:footnoteReference w:id="4"/>
      </w:r>
    </w:p>
    <w:p w14:paraId="3772CD3D" w14:textId="77777777" w:rsidR="00987B68" w:rsidRDefault="00987B68" w:rsidP="00987B68">
      <w:pPr>
        <w:pStyle w:val="Bullet"/>
      </w:pPr>
      <w:r>
        <w:t>Borrowing or lending activity</w:t>
      </w:r>
    </w:p>
    <w:p w14:paraId="4A385F3F" w14:textId="77777777" w:rsidR="00987B68" w:rsidRDefault="00987B68" w:rsidP="00987B68">
      <w:pPr>
        <w:pStyle w:val="Bullet"/>
      </w:pPr>
      <w:r>
        <w:t>Guarantee-type activity</w:t>
      </w:r>
    </w:p>
    <w:p w14:paraId="6FAAD5AA" w14:textId="77777777" w:rsidR="00987B68" w:rsidRDefault="00987B68" w:rsidP="00987B68">
      <w:pPr>
        <w:pStyle w:val="Bullet"/>
      </w:pPr>
      <w:r>
        <w:t>Trading activity</w:t>
      </w:r>
    </w:p>
    <w:p w14:paraId="07D3DC8A" w14:textId="77777777" w:rsidR="00987B68" w:rsidRDefault="00987B68" w:rsidP="00987B68">
      <w:pPr>
        <w:pStyle w:val="Bullet"/>
      </w:pPr>
      <w:r>
        <w:t>Eligible contract activity</w:t>
      </w:r>
    </w:p>
    <w:p w14:paraId="65C03E52" w14:textId="77777777" w:rsidR="00987B68" w:rsidRDefault="00987B68" w:rsidP="00987B68">
      <w:pPr>
        <w:pStyle w:val="Bullet"/>
      </w:pPr>
      <w:r>
        <w:t>Investment activity</w:t>
      </w:r>
    </w:p>
    <w:p w14:paraId="1B23C5BB" w14:textId="77777777" w:rsidR="00987B68" w:rsidRDefault="00987B68" w:rsidP="00987B68">
      <w:pPr>
        <w:pStyle w:val="Bullet"/>
      </w:pPr>
      <w:r>
        <w:t>Eligible advisory activity</w:t>
      </w:r>
    </w:p>
    <w:p w14:paraId="466546AA" w14:textId="77777777" w:rsidR="00987B68" w:rsidRDefault="00987B68" w:rsidP="00987B68">
      <w:pPr>
        <w:pStyle w:val="Bullet"/>
      </w:pPr>
      <w:r>
        <w:t>Hedging activity</w:t>
      </w:r>
    </w:p>
    <w:p w14:paraId="3654B649" w14:textId="77777777" w:rsidR="00987B68" w:rsidRDefault="00987B68" w:rsidP="00987B68">
      <w:pPr>
        <w:pStyle w:val="Bullet"/>
      </w:pPr>
      <w:r>
        <w:t>Eligible leasing activity.</w:t>
      </w:r>
    </w:p>
    <w:p w14:paraId="6AE1CFC8" w14:textId="77777777" w:rsidR="00987B68" w:rsidRDefault="00987B68" w:rsidP="00987B68">
      <w:pPr>
        <w:spacing w:before="0" w:after="200" w:line="276" w:lineRule="auto"/>
        <w:rPr>
          <w:rFonts w:ascii="Calibri" w:hAnsi="Calibri" w:cs="Arial"/>
          <w:b/>
          <w:color w:val="5D779D" w:themeColor="accent3"/>
          <w:kern w:val="32"/>
          <w:sz w:val="44"/>
          <w:szCs w:val="36"/>
        </w:rPr>
      </w:pPr>
      <w:r>
        <w:br w:type="page"/>
      </w:r>
    </w:p>
    <w:p w14:paraId="73ED0D83" w14:textId="77777777" w:rsidR="00987B68" w:rsidRDefault="00987B68" w:rsidP="00987B68">
      <w:pPr>
        <w:pStyle w:val="Heading1"/>
      </w:pPr>
      <w:bookmarkStart w:id="6" w:name="_Toc144804553"/>
      <w:r>
        <w:lastRenderedPageBreak/>
        <w:t>What was the problem that the regulation was trying to solve?</w:t>
      </w:r>
      <w:bookmarkEnd w:id="6"/>
    </w:p>
    <w:p w14:paraId="682C3D1E" w14:textId="77777777" w:rsidR="00987B68" w:rsidRDefault="00987B68" w:rsidP="00987B68">
      <w:r>
        <w:t>The primary purpose of the regulation was to address concerns that the preferential tax treatment of OBUs did not comply with international expectations developed through the OECD/G20 Base Erosion and Profit Shifting (BEPS) project, which exposed Australia to reputational damage and possible defensive measures (sanctions) by the European Union (EU) or its members.</w:t>
      </w:r>
      <w:r w:rsidRPr="00EE66A0">
        <w:rPr>
          <w:rStyle w:val="FootnoteReference"/>
          <w:vertAlign w:val="superscript"/>
        </w:rPr>
        <w:footnoteReference w:id="5"/>
      </w:r>
      <w:r>
        <w:t xml:space="preserve"> </w:t>
      </w:r>
    </w:p>
    <w:p w14:paraId="0431A2B6" w14:textId="77777777" w:rsidR="00987B68" w:rsidRDefault="00987B68" w:rsidP="00987B68">
      <w:r>
        <w:t xml:space="preserve">As a member of the OECD’s Inclusive Framework on BEPS, Australia has committed to implement certain BEPS recommendations and to participate in peer review processes designed to review its implementation of those commitments. The BEPS recommendations are designed to prevent multinational tax avoidance and evasion. </w:t>
      </w:r>
    </w:p>
    <w:p w14:paraId="7F3BC86D" w14:textId="77777777" w:rsidR="00987B68" w:rsidRDefault="00987B68" w:rsidP="00987B68">
      <w:r>
        <w:t>BEPS Action 5 (</w:t>
      </w:r>
      <w:r w:rsidRPr="003C661F">
        <w:rPr>
          <w:i/>
        </w:rPr>
        <w:t>Countering Harmful Tax Practices More Effectively</w:t>
      </w:r>
      <w:r>
        <w:t xml:space="preserve">) features minimum standards that aim to prevent jurisdictions from using preferential tax regimes to attract financial and other geographically mobile activities to their jurisdiction. Such regimes can distort the international flow of capital and erode other jurisdictions’ tax bases. </w:t>
      </w:r>
    </w:p>
    <w:p w14:paraId="3384F329" w14:textId="77777777" w:rsidR="00987B68" w:rsidRDefault="00987B68" w:rsidP="00987B68">
      <w:r>
        <w:t>The OECD’s FHTP uses five key factors (and an additional five other factors) to assess whether or not a preferential tax regime is harmful. The key factors are:</w:t>
      </w:r>
    </w:p>
    <w:p w14:paraId="0E714596" w14:textId="77777777" w:rsidR="00987B68" w:rsidRDefault="00987B68" w:rsidP="00987B68">
      <w:pPr>
        <w:pStyle w:val="Bullet"/>
      </w:pPr>
      <w:r>
        <w:t xml:space="preserve">The regime imposes no or low effective tax rates on income from geographically mobile financial and other service activities; </w:t>
      </w:r>
    </w:p>
    <w:p w14:paraId="2A874F3B" w14:textId="77777777" w:rsidR="00987B68" w:rsidRDefault="00987B68" w:rsidP="00987B68">
      <w:pPr>
        <w:pStyle w:val="Bullet"/>
      </w:pPr>
      <w:r>
        <w:t xml:space="preserve">The regime is ring-fenced from the domestic economy; </w:t>
      </w:r>
    </w:p>
    <w:p w14:paraId="23F745B4" w14:textId="77777777" w:rsidR="00987B68" w:rsidRDefault="00987B68" w:rsidP="00987B68">
      <w:pPr>
        <w:pStyle w:val="Bullet"/>
      </w:pPr>
      <w:r>
        <w:t xml:space="preserve">The regime lacks transparency; </w:t>
      </w:r>
    </w:p>
    <w:p w14:paraId="6039D7DD" w14:textId="77777777" w:rsidR="00987B68" w:rsidRDefault="00987B68" w:rsidP="00987B68">
      <w:pPr>
        <w:pStyle w:val="Bullet"/>
      </w:pPr>
      <w:r>
        <w:t xml:space="preserve">There is no effective exchange of information with respect to the regime; and </w:t>
      </w:r>
    </w:p>
    <w:p w14:paraId="261B3272" w14:textId="77777777" w:rsidR="00987B68" w:rsidRDefault="00987B68" w:rsidP="00987B68">
      <w:pPr>
        <w:pStyle w:val="Bullet"/>
      </w:pPr>
      <w:r>
        <w:t xml:space="preserve">The regime fails to require substantial activities. </w:t>
      </w:r>
    </w:p>
    <w:p w14:paraId="7C6B0E3C" w14:textId="77777777" w:rsidR="00987B68" w:rsidRPr="00646E13" w:rsidRDefault="00987B68" w:rsidP="00987B68">
      <w:pPr>
        <w:rPr>
          <w:vertAlign w:val="superscript"/>
        </w:rPr>
      </w:pPr>
      <w:r>
        <w:t xml:space="preserve">In October 2018, the FHTP found the OBU regime to be harmful due to the combination of: 1) the regime’s low effective tax rate (10 per cent) compared to the general Australian corporate tax rate </w:t>
      </w:r>
      <w:r>
        <w:br/>
        <w:t>(30 per cent); and 2) the fact that the regime is ring-fenced to largely exclude domestic transactions from its scope. Under FHTP rules, preferential tax regimes should apply equally to income derived from within and from outside the domestic economy.</w:t>
      </w:r>
    </w:p>
    <w:p w14:paraId="320E174C" w14:textId="77777777" w:rsidR="00987B68" w:rsidRDefault="00987B68" w:rsidP="00987B68">
      <w:r>
        <w:t xml:space="preserve">A consequence of the 2018 FHTP review was that Australia was included on the European Union’s (EU) </w:t>
      </w:r>
      <w:r w:rsidRPr="003C661F">
        <w:rPr>
          <w:i/>
        </w:rPr>
        <w:t>list of non-cooperative jurisdictions for tax purposes</w:t>
      </w:r>
      <w:r>
        <w:t xml:space="preserve"> (the EU List) on 12 March 2019.</w:t>
      </w:r>
      <w:r w:rsidRPr="00247DDD">
        <w:rPr>
          <w:rStyle w:val="FootnoteReference"/>
          <w:vertAlign w:val="superscript"/>
        </w:rPr>
        <w:footnoteReference w:id="6"/>
      </w:r>
      <w:r>
        <w:t xml:space="preserve"> Australia was placed on Annex II (the ‘grey-list’) of the EU list, as a jurisdiction that had committed to amending or abolishing its harmful preferential tax regime but had not yet done so.</w:t>
      </w:r>
      <w:bookmarkStart w:id="7" w:name="_Hlk133576100"/>
      <w:r>
        <w:t xml:space="preserve"> </w:t>
      </w:r>
      <w:bookmarkEnd w:id="7"/>
      <w:r>
        <w:t xml:space="preserve">Inclusion on the EU list exposed Australia to the possibility of EU defensive measures (sanctions). </w:t>
      </w:r>
    </w:p>
    <w:p w14:paraId="61A0900E" w14:textId="79B8064A" w:rsidR="00987B68" w:rsidRDefault="00987B68" w:rsidP="00987B68">
      <w:pPr>
        <w:spacing w:before="0" w:after="200" w:line="276" w:lineRule="auto"/>
      </w:pPr>
      <w:r>
        <w:t xml:space="preserve">This created significant uncertainty, in particular for financial markets, and had the potential to create significant disruption more generally. By way of illustration, in early 2021, draft EU regulations were developed which would have prevented certain EU-regulated investors from investing in the Australian securitisation markets, which is a key source of funding for non-bank lenders. Such lenders are a source of competition for banks and provide a diverse range of lending products, ranging from prime and non-prime residential mortgages, commercial mortgages, automobile, equipment, and SME </w:t>
      </w:r>
      <w:r>
        <w:lastRenderedPageBreak/>
        <w:t>and consumer credit. Non-bank lenders are also an important source of funding to parts of the market that are less well service</w:t>
      </w:r>
      <w:r w:rsidR="0016005B">
        <w:t>d</w:t>
      </w:r>
      <w:r>
        <w:t xml:space="preserve"> by banks. Had</w:t>
      </w:r>
      <w:r w:rsidR="0016005B">
        <w:t xml:space="preserve"> the then</w:t>
      </w:r>
      <w:r>
        <w:t xml:space="preserve"> Government not taken action to amend the OBU regime, the Australian securitisation market could have been significantly adversely affected, with flow-on impacts to everyday Australians. Government inaction may also have caused Australia to suffer reputational damage by signalling that Australia was not committed to the BEPS project and the prevention of multinational tax avoidance and evasion more generally. </w:t>
      </w:r>
    </w:p>
    <w:p w14:paraId="67C353EE" w14:textId="77777777" w:rsidR="00987B68" w:rsidRDefault="00987B68" w:rsidP="00987B68">
      <w:pPr>
        <w:spacing w:before="0" w:after="200" w:line="276" w:lineRule="auto"/>
        <w:rPr>
          <w:rFonts w:ascii="Calibri" w:hAnsi="Calibri" w:cs="Arial"/>
          <w:b/>
          <w:bCs/>
          <w:color w:val="5D779D" w:themeColor="accent3"/>
          <w:kern w:val="32"/>
          <w:sz w:val="44"/>
          <w:szCs w:val="44"/>
        </w:rPr>
      </w:pPr>
      <w:r>
        <w:br w:type="page"/>
      </w:r>
    </w:p>
    <w:p w14:paraId="4B77D26A" w14:textId="77777777" w:rsidR="00987B68" w:rsidRDefault="00987B68" w:rsidP="00987B68">
      <w:pPr>
        <w:pStyle w:val="Heading1"/>
      </w:pPr>
      <w:bookmarkStart w:id="8" w:name="_Toc144804554"/>
      <w:r>
        <w:lastRenderedPageBreak/>
        <w:t>Why was government action needed?</w:t>
      </w:r>
      <w:bookmarkEnd w:id="8"/>
    </w:p>
    <w:p w14:paraId="4ECFF723" w14:textId="77777777" w:rsidR="00987B68" w:rsidRDefault="00987B68" w:rsidP="00987B68">
      <w:pPr>
        <w:pStyle w:val="Dash"/>
        <w:numPr>
          <w:ilvl w:val="0"/>
          <w:numId w:val="0"/>
        </w:numPr>
      </w:pPr>
      <w:r>
        <w:t>The problem identified in the previous section occurred because the preferential tax treatment afforded to OBUs, which comprise a relatively small component of Australia’s financial sector, was inconsistent with international tax standards and Australia’s commitment to the OECD/G20 BEPS initiative. The option presenting the lowest risk of economic and reputational damage open to Government was to remove that preferential treatment. This could only be done by Government making legislative changes to existing laws.</w:t>
      </w:r>
    </w:p>
    <w:p w14:paraId="1B48D042" w14:textId="77777777" w:rsidR="00987B68" w:rsidRPr="002A6560" w:rsidRDefault="00987B68" w:rsidP="00987B68">
      <w:r>
        <w:t>As noted earlier, two media statements on reforms to the OBU regime were made by the former Treasurer. The first, on</w:t>
      </w:r>
      <w:r w:rsidRPr="00385138">
        <w:t xml:space="preserve"> </w:t>
      </w:r>
      <w:r>
        <w:t>26 October 2018, announced the Government’s intention to reform the regime and the second, on 12 March 2021 outlined the changes the Government intended to legislate to address the FHTP’s concerns.</w:t>
      </w:r>
      <w:r w:rsidRPr="002A6560">
        <w:rPr>
          <w:rStyle w:val="FootnoteReference"/>
          <w:i/>
          <w:iCs/>
          <w:vertAlign w:val="superscript"/>
        </w:rPr>
        <w:t xml:space="preserve"> </w:t>
      </w:r>
      <w:r w:rsidRPr="002A6560">
        <w:rPr>
          <w:rStyle w:val="FootnoteReference"/>
          <w:vertAlign w:val="superscript"/>
        </w:rPr>
        <w:footnoteReference w:id="7"/>
      </w:r>
    </w:p>
    <w:p w14:paraId="536A45F2" w14:textId="77777777" w:rsidR="00987B68" w:rsidRPr="0020243D" w:rsidRDefault="00987B68" w:rsidP="00987B68">
      <w:pPr>
        <w:pStyle w:val="Dash"/>
        <w:numPr>
          <w:ilvl w:val="0"/>
          <w:numId w:val="0"/>
        </w:numPr>
      </w:pPr>
      <w:r w:rsidRPr="00D449EB">
        <w:t xml:space="preserve">The objectives of the Government action </w:t>
      </w:r>
      <w:r>
        <w:t>were to</w:t>
      </w:r>
      <w:r w:rsidRPr="00D449EB">
        <w:t>:</w:t>
      </w:r>
      <w:r w:rsidRPr="00241684">
        <w:rPr>
          <w:i/>
        </w:rPr>
        <w:t xml:space="preserve"> </w:t>
      </w:r>
    </w:p>
    <w:p w14:paraId="2F0A4A2E" w14:textId="77777777" w:rsidR="00987B68" w:rsidRDefault="00987B68" w:rsidP="00987B68">
      <w:pPr>
        <w:pStyle w:val="OutlineNumbered1"/>
        <w:numPr>
          <w:ilvl w:val="0"/>
          <w:numId w:val="45"/>
        </w:numPr>
        <w:spacing w:after="160" w:line="259" w:lineRule="auto"/>
      </w:pPr>
      <w:r>
        <w:t>address the harmful features of the OBU regime (as identified by the OECD FHTP);</w:t>
      </w:r>
    </w:p>
    <w:p w14:paraId="38CC8474" w14:textId="77777777" w:rsidR="00987B68" w:rsidRDefault="00987B68" w:rsidP="00987B68">
      <w:pPr>
        <w:pStyle w:val="OutlineNumbered1"/>
        <w:numPr>
          <w:ilvl w:val="0"/>
          <w:numId w:val="45"/>
        </w:numPr>
        <w:spacing w:after="160" w:line="259" w:lineRule="auto"/>
      </w:pPr>
      <w:r>
        <w:t xml:space="preserve">ensure Australia was removed </w:t>
      </w:r>
      <w:r>
        <w:rPr>
          <w:iCs/>
        </w:rPr>
        <w:t>from Annex II of the EU list (avoiding any potential resulting adverse consequences)</w:t>
      </w:r>
      <w:r>
        <w:t xml:space="preserve">; and </w:t>
      </w:r>
    </w:p>
    <w:p w14:paraId="19022365" w14:textId="77777777" w:rsidR="00987B68" w:rsidRPr="00D449EB" w:rsidRDefault="00987B68" w:rsidP="00987B68">
      <w:pPr>
        <w:pStyle w:val="OutlineNumbered1"/>
        <w:numPr>
          <w:ilvl w:val="0"/>
          <w:numId w:val="45"/>
        </w:numPr>
        <w:spacing w:after="160" w:line="259" w:lineRule="auto"/>
      </w:pPr>
      <w:r>
        <w:t>p</w:t>
      </w:r>
      <w:r w:rsidRPr="00D449EB">
        <w:t xml:space="preserve">rovide as much flexibility and certainty to the OBU </w:t>
      </w:r>
      <w:r>
        <w:t xml:space="preserve">sector </w:t>
      </w:r>
      <w:r w:rsidRPr="00D449EB">
        <w:t>as possible</w:t>
      </w:r>
      <w:r>
        <w:t xml:space="preserve"> whilst ensuring the OECD’s (and the EU’s) concerns were met.  </w:t>
      </w:r>
    </w:p>
    <w:p w14:paraId="02149796" w14:textId="77777777" w:rsidR="00987B68" w:rsidRPr="007215A5" w:rsidRDefault="00987B68" w:rsidP="00987B68">
      <w:r w:rsidRPr="00532936">
        <w:rPr>
          <w:i/>
          <w:iCs/>
        </w:rPr>
        <w:br w:type="page"/>
      </w:r>
    </w:p>
    <w:p w14:paraId="6B080A50" w14:textId="77777777" w:rsidR="00987B68" w:rsidRDefault="00987B68" w:rsidP="00987B68">
      <w:pPr>
        <w:pStyle w:val="Heading1"/>
      </w:pPr>
      <w:bookmarkStart w:id="9" w:name="_Toc144804555"/>
      <w:r>
        <w:lastRenderedPageBreak/>
        <w:t>What policy options were considered?</w:t>
      </w:r>
      <w:bookmarkEnd w:id="9"/>
    </w:p>
    <w:p w14:paraId="2E80A171" w14:textId="77777777" w:rsidR="00987B68" w:rsidRPr="00632A4F" w:rsidRDefault="00987B68" w:rsidP="00987B68">
      <w:r>
        <w:t xml:space="preserve">The OECD has issued guidance to jurisdictions on closing off and establishing grandfathering arrangements for </w:t>
      </w:r>
      <w:r w:rsidRPr="003B18FC">
        <w:t xml:space="preserve">existing </w:t>
      </w:r>
      <w:r>
        <w:t xml:space="preserve">harmful preferential tax </w:t>
      </w:r>
      <w:r w:rsidRPr="003B18FC">
        <w:t>regimes</w:t>
      </w:r>
      <w:r>
        <w:t>.</w:t>
      </w:r>
      <w:r w:rsidRPr="003B18FC">
        <w:rPr>
          <w:vertAlign w:val="superscript"/>
        </w:rPr>
        <w:footnoteReference w:id="8"/>
      </w:r>
      <w:r>
        <w:t xml:space="preserve"> Jurisdictions are also able to liaise with the OECD FHTP Secretariat (ahead of representations to the FHTP itself) for advice on the application of this guidance in specific circumstances.</w:t>
      </w:r>
    </w:p>
    <w:p w14:paraId="17BE38B5" w14:textId="77777777" w:rsidR="00987B68" w:rsidRDefault="00987B68" w:rsidP="00987B68">
      <w:r>
        <w:t xml:space="preserve">The OECD’s FHTP Secretariat advised that removal of the OBU preferential tax rate would likely be supported by the FHTP and secure a favourable change in the OBU regime’s status for FHTP purposes. Under FHTP guidelines, jurisdictions can amend their regimes to address their harmful features either by aligning the preferential tax rate with their general corporate tax rate, and/or by addressing the other harmful features (e.g. by ensuring that the concessions are equally available to domestic transactions). </w:t>
      </w:r>
    </w:p>
    <w:p w14:paraId="77922442" w14:textId="77777777" w:rsidR="00987B68" w:rsidRDefault="00987B68" w:rsidP="00987B68">
      <w:pPr>
        <w:pStyle w:val="Heading2"/>
      </w:pPr>
      <w:bookmarkStart w:id="10" w:name="_Toc144804556"/>
      <w:r>
        <w:t>Option 1 – Do nothing</w:t>
      </w:r>
      <w:bookmarkEnd w:id="10"/>
    </w:p>
    <w:p w14:paraId="3C85F422" w14:textId="77777777" w:rsidR="00987B68" w:rsidRPr="00205F71" w:rsidRDefault="00987B68" w:rsidP="00987B68">
      <w:r>
        <w:t xml:space="preserve">This option would have allowed the OBU sector to continue to receive preferential tax treatment. It would have placed Australia at risk of EU sanctions that could have been highly disruptive, including to financial markets. The consequences of remaining on the EU list also posed other risks, including damage to Australia’s international reputation and relationships.  </w:t>
      </w:r>
    </w:p>
    <w:p w14:paraId="79F39570" w14:textId="77777777" w:rsidR="00987B68" w:rsidRDefault="00987B68" w:rsidP="00987B68">
      <w:pPr>
        <w:pStyle w:val="Heading2"/>
      </w:pPr>
      <w:bookmarkStart w:id="11" w:name="_Toc144804557"/>
      <w:r>
        <w:t>Option 2 – Remove the preferential tax rate with grandfathering arrangements</w:t>
      </w:r>
      <w:bookmarkEnd w:id="11"/>
    </w:p>
    <w:p w14:paraId="10B8E8C5" w14:textId="77777777" w:rsidR="00987B68" w:rsidRDefault="00987B68" w:rsidP="00987B68">
      <w:r>
        <w:t>This option would have involved:</w:t>
      </w:r>
    </w:p>
    <w:p w14:paraId="20C68371" w14:textId="77777777" w:rsidR="00987B68" w:rsidRDefault="00987B68" w:rsidP="00987B68">
      <w:pPr>
        <w:pStyle w:val="Bullet"/>
      </w:pPr>
      <w:r>
        <w:t>removing the preferential 10 per cent tax rate on income from eligible OBU activities from the beginning of existing participants’ 2023</w:t>
      </w:r>
      <w:r>
        <w:noBreakHyphen/>
        <w:t>24 income year and aligning the tax rate for OBU activities with the general tax rate(s) that apply to corporations;</w:t>
      </w:r>
    </w:p>
    <w:p w14:paraId="7AAD5087" w14:textId="77777777" w:rsidR="00987B68" w:rsidRDefault="00987B68" w:rsidP="00987B68">
      <w:pPr>
        <w:pStyle w:val="Bullet"/>
      </w:pPr>
      <w:r>
        <w:t>closing the regime to new entrants; and</w:t>
      </w:r>
    </w:p>
    <w:p w14:paraId="65F73A03" w14:textId="77777777" w:rsidR="00987B68" w:rsidRDefault="00987B68" w:rsidP="00987B68">
      <w:pPr>
        <w:pStyle w:val="Bullet"/>
      </w:pPr>
      <w:r>
        <w:t xml:space="preserve">removing the withholding tax exemption for OBUs on interest paid on or after 1 January 2024. </w:t>
      </w:r>
    </w:p>
    <w:p w14:paraId="58795F61" w14:textId="77777777" w:rsidR="00987B68" w:rsidRDefault="00987B68" w:rsidP="00987B68">
      <w:r>
        <w:t>This option would have addressed</w:t>
      </w:r>
      <w:r w:rsidRPr="00606A92">
        <w:t xml:space="preserve"> </w:t>
      </w:r>
      <w:r>
        <w:t>the regime’s harmful features by aligning the preferential tax rate with the general corporate tax rate and provided existing participants with the most generous grandfathering arrangements permissible - by allowing them until their 2023-24 income year (around two years) to transition to new arrangements.</w:t>
      </w:r>
    </w:p>
    <w:p w14:paraId="434CE15B" w14:textId="77777777" w:rsidR="00987B68" w:rsidRDefault="00987B68" w:rsidP="00987B68">
      <w:r>
        <w:t xml:space="preserve">While legislation closing the OBU regime to new entrants would apply from the day after Royal Assent of the relevant legislation, no new OBUs had been approved since 26 October 2018, when the former </w:t>
      </w:r>
      <w:r w:rsidRPr="003B18FC">
        <w:t>Treasurer announced that the OBU regime would be amended</w:t>
      </w:r>
      <w:r>
        <w:t>.</w:t>
      </w:r>
      <w:r w:rsidRPr="002A4EB0">
        <w:t xml:space="preserve"> </w:t>
      </w:r>
      <w:r>
        <w:t>Closing the regime to new entrants before the OECD FHTP’s decision was published on 13 November 2018 was a requirement to prevent additional taxpayers from taking advantage of a harmful tax regime.</w:t>
      </w:r>
    </w:p>
    <w:p w14:paraId="776E4715" w14:textId="77777777" w:rsidR="00987B68" w:rsidRDefault="00987B68" w:rsidP="00987B68">
      <w:r>
        <w:t xml:space="preserve">While removing the withholding tax exemption for OBUs on interest paid to foreign lenders was not identified by the FHTP as a harmful feature of the OBU regime, removing the exemption component ensured Australia’s commitment to addressing the OECD FHTP’s concerns was put beyond doubt. Inclusion of this element in the package was considered complementary to achieving the objectives of </w:t>
      </w:r>
      <w:r>
        <w:lastRenderedPageBreak/>
        <w:t>both addressing the harmful features of the OBU regime as well as preventing future sanctions affecting Australia as a consequence of maintaining a harmful preferential tax regime.</w:t>
      </w:r>
    </w:p>
    <w:p w14:paraId="5CA9E777" w14:textId="77777777" w:rsidR="00987B68" w:rsidRDefault="00987B68" w:rsidP="00987B68">
      <w:r>
        <w:t xml:space="preserve">Together the components of this option would have addressed the concerns raised by the OECD FHTP following the end of the grandfathering period and was consistent with OECD guidance. </w:t>
      </w:r>
    </w:p>
    <w:p w14:paraId="7D219D5D" w14:textId="77777777" w:rsidR="00987B68" w:rsidRDefault="00987B68" w:rsidP="00987B68">
      <w:pPr>
        <w:pStyle w:val="Heading2"/>
      </w:pPr>
      <w:bookmarkStart w:id="12" w:name="_Toc144804558"/>
      <w:r>
        <w:t>Option 3 – Remove the preferential tax rate with no grandfathering arrangements</w:t>
      </w:r>
      <w:bookmarkEnd w:id="12"/>
    </w:p>
    <w:p w14:paraId="0D9EF086" w14:textId="77777777" w:rsidR="00987B68" w:rsidRDefault="00987B68" w:rsidP="00987B68">
      <w:r>
        <w:t xml:space="preserve">This option would have: </w:t>
      </w:r>
    </w:p>
    <w:p w14:paraId="257E0259" w14:textId="77777777" w:rsidR="00987B68" w:rsidRDefault="00987B68" w:rsidP="00987B68">
      <w:pPr>
        <w:pStyle w:val="Bullet"/>
      </w:pPr>
      <w:r>
        <w:t>Removed the preferential 10 per cent effective tax rate on income from eligible OB activities from existing participants’ 2021</w:t>
      </w:r>
      <w:r>
        <w:noBreakHyphen/>
        <w:t>22 income year and aligned the tax rate for OB activities with the general tax rate(s) that apply to corporations.</w:t>
      </w:r>
    </w:p>
    <w:p w14:paraId="6E2CD69D" w14:textId="77777777" w:rsidR="00987B68" w:rsidRDefault="00987B68" w:rsidP="00987B68">
      <w:pPr>
        <w:pStyle w:val="Bullet"/>
      </w:pPr>
      <w:r>
        <w:t>Closed the regime to new entrants.</w:t>
      </w:r>
    </w:p>
    <w:p w14:paraId="49322D69" w14:textId="77777777" w:rsidR="00987B68" w:rsidRDefault="00987B68" w:rsidP="00987B68">
      <w:pPr>
        <w:pStyle w:val="Bullet"/>
      </w:pPr>
      <w:r>
        <w:t xml:space="preserve">Removed the withholding tax exemption for OBUs on interest paid to foreign lenders from 1 January 2024. </w:t>
      </w:r>
    </w:p>
    <w:p w14:paraId="2504F009" w14:textId="77777777" w:rsidR="00987B68" w:rsidRDefault="00987B68" w:rsidP="00987B68">
      <w:r>
        <w:t xml:space="preserve">In effect, this option contains the same elements as Option 2, but without the provision of grandfathering arrangements. </w:t>
      </w:r>
    </w:p>
    <w:p w14:paraId="49794968" w14:textId="77777777" w:rsidR="00987B68" w:rsidRDefault="00987B68" w:rsidP="00987B68">
      <w:r>
        <w:t>As a result, it would have addressed the preferential tax treatment concerns raised by the FHTP in the shortest possible time, but at the same time created greater disruptions for OBUs, as they would have had a limited period to adjust to the change in tax rate.</w:t>
      </w:r>
    </w:p>
    <w:p w14:paraId="4D020734" w14:textId="77777777" w:rsidR="00987B68" w:rsidRDefault="00987B68" w:rsidP="00987B68">
      <w:pPr>
        <w:pStyle w:val="Heading2"/>
      </w:pPr>
      <w:bookmarkStart w:id="13" w:name="_Toc144804559"/>
      <w:r w:rsidRPr="00BB597F">
        <w:t>Outcome after considering options</w:t>
      </w:r>
      <w:bookmarkEnd w:id="13"/>
    </w:p>
    <w:p w14:paraId="61DB295C" w14:textId="77777777" w:rsidR="00987B68" w:rsidRDefault="00987B68" w:rsidP="00987B68">
      <w:r>
        <w:t xml:space="preserve">The then Government implemented Option 2 </w:t>
      </w:r>
      <w:r w:rsidRPr="00C84405">
        <w:t xml:space="preserve">with the </w:t>
      </w:r>
      <w:r w:rsidRPr="00C84405">
        <w:rPr>
          <w:i/>
          <w:iCs/>
        </w:rPr>
        <w:t xml:space="preserve">Treasury Laws Amendment (2021 Measures </w:t>
      </w:r>
      <w:r>
        <w:rPr>
          <w:i/>
          <w:iCs/>
        </w:rPr>
        <w:br/>
      </w:r>
      <w:r w:rsidRPr="00C84405">
        <w:rPr>
          <w:i/>
          <w:iCs/>
        </w:rPr>
        <w:t>No. 2) Act 2021</w:t>
      </w:r>
      <w:r>
        <w:t xml:space="preserve">. </w:t>
      </w:r>
    </w:p>
    <w:p w14:paraId="2FCE9599" w14:textId="77777777" w:rsidR="00987B68" w:rsidRDefault="00987B68" w:rsidP="00987B68">
      <w:r>
        <w:t>Option 2 was preferred as it ensured Australia complied with the OECD’s FHTP criteria for assessing harmful preferential tax regimes and removed the risk of Australia being added to Annex 1 of the EU list (the ‘black-list’).</w:t>
      </w:r>
    </w:p>
    <w:p w14:paraId="234DECFE" w14:textId="77777777" w:rsidR="00987B68" w:rsidRDefault="00987B68" w:rsidP="00987B68">
      <w:r>
        <w:t xml:space="preserve">Option 2 also provided two years of grandfathering, to assist impacted </w:t>
      </w:r>
      <w:r w:rsidRPr="00C84405">
        <w:t xml:space="preserve">firms adjust to the new tax rate. </w:t>
      </w:r>
      <w:r>
        <w:t>This transition period also provided the Government with time to consult affected parties and to consider the possibility of alternative measures.</w:t>
      </w:r>
      <w:r w:rsidRPr="00AF2859">
        <w:rPr>
          <w:rStyle w:val="FootnoteReference"/>
          <w:vertAlign w:val="superscript"/>
        </w:rPr>
        <w:footnoteReference w:id="9"/>
      </w:r>
      <w:r w:rsidRPr="00AF2859">
        <w:rPr>
          <w:vertAlign w:val="superscript"/>
        </w:rPr>
        <w:t xml:space="preserve"> </w:t>
      </w:r>
    </w:p>
    <w:p w14:paraId="7F89A104" w14:textId="77777777" w:rsidR="00987B68" w:rsidRDefault="00987B68" w:rsidP="00987B68">
      <w:pPr>
        <w:spacing w:before="0" w:after="200" w:line="276" w:lineRule="auto"/>
        <w:rPr>
          <w:rFonts w:ascii="Calibri" w:hAnsi="Calibri" w:cs="Arial"/>
          <w:b/>
          <w:color w:val="5D779D" w:themeColor="accent3"/>
          <w:kern w:val="32"/>
          <w:sz w:val="44"/>
          <w:szCs w:val="36"/>
        </w:rPr>
      </w:pPr>
      <w:r>
        <w:br w:type="page"/>
      </w:r>
    </w:p>
    <w:p w14:paraId="5DF30100" w14:textId="77777777" w:rsidR="00987B68" w:rsidRDefault="00987B68" w:rsidP="00987B68">
      <w:pPr>
        <w:pStyle w:val="Heading1"/>
      </w:pPr>
      <w:bookmarkStart w:id="14" w:name="_Toc144804560"/>
      <w:r>
        <w:lastRenderedPageBreak/>
        <w:t>What have the impacts of regulation been?</w:t>
      </w:r>
      <w:bookmarkEnd w:id="14"/>
      <w:r>
        <w:t xml:space="preserve"> </w:t>
      </w:r>
    </w:p>
    <w:p w14:paraId="4E7A423A" w14:textId="77777777" w:rsidR="00987B68" w:rsidRPr="00B07696" w:rsidRDefault="00987B68" w:rsidP="00987B68">
      <w:pPr>
        <w:pStyle w:val="Heading2"/>
      </w:pPr>
      <w:bookmarkStart w:id="15" w:name="_Toc144804561"/>
      <w:r w:rsidRPr="00B07696">
        <w:t>Prevention of economic sanctions against Australia</w:t>
      </w:r>
      <w:bookmarkEnd w:id="15"/>
    </w:p>
    <w:p w14:paraId="434B941F" w14:textId="77777777" w:rsidR="00987B68" w:rsidRDefault="00987B68" w:rsidP="00987B68">
      <w:pPr>
        <w:rPr>
          <w:iCs/>
        </w:rPr>
      </w:pPr>
      <w:r>
        <w:rPr>
          <w:iCs/>
        </w:rPr>
        <w:t xml:space="preserve">Following the enactment of legislation on 13 September 2021, the OECD updated the status of the OBU regime on its public website on 17 September 2021 to – </w:t>
      </w:r>
      <w:r>
        <w:rPr>
          <w:i/>
          <w:iCs/>
        </w:rPr>
        <w:t>grandfathering in accordance with FHTP timelines</w:t>
      </w:r>
      <w:r>
        <w:rPr>
          <w:iCs/>
        </w:rPr>
        <w:t xml:space="preserve">. Australia was also subsequently removed from Annex II of the EU list (the ‘grey-list’) on </w:t>
      </w:r>
      <w:r>
        <w:rPr>
          <w:iCs/>
        </w:rPr>
        <w:br/>
        <w:t xml:space="preserve">5 October 2021. </w:t>
      </w:r>
      <w:r w:rsidRPr="003A25FC">
        <w:rPr>
          <w:iCs/>
        </w:rPr>
        <w:t xml:space="preserve">The legislation therefore addressed the concerns of the OECD FHTP and </w:t>
      </w:r>
      <w:r>
        <w:rPr>
          <w:iCs/>
        </w:rPr>
        <w:t xml:space="preserve">eliminated </w:t>
      </w:r>
      <w:r w:rsidRPr="003A25FC">
        <w:rPr>
          <w:iCs/>
        </w:rPr>
        <w:t>Australia</w:t>
      </w:r>
      <w:r>
        <w:rPr>
          <w:iCs/>
        </w:rPr>
        <w:t>’s</w:t>
      </w:r>
      <w:r w:rsidRPr="003A25FC">
        <w:rPr>
          <w:iCs/>
        </w:rPr>
        <w:t xml:space="preserve"> exposure to possible sanctions by the EU </w:t>
      </w:r>
      <w:r>
        <w:rPr>
          <w:iCs/>
        </w:rPr>
        <w:t xml:space="preserve">and/or its members. </w:t>
      </w:r>
    </w:p>
    <w:p w14:paraId="457E3610" w14:textId="77777777" w:rsidR="00987B68" w:rsidRPr="00D631CF" w:rsidRDefault="00987B68" w:rsidP="00987B68">
      <w:pPr>
        <w:rPr>
          <w:iCs/>
        </w:rPr>
      </w:pPr>
      <w:r w:rsidRPr="000F1DBD">
        <w:rPr>
          <w:iCs/>
        </w:rPr>
        <w:t xml:space="preserve">Ensuring Australia remains free from potential sanctions </w:t>
      </w:r>
      <w:r>
        <w:rPr>
          <w:iCs/>
        </w:rPr>
        <w:t xml:space="preserve">has </w:t>
      </w:r>
      <w:r w:rsidRPr="000F1DBD">
        <w:rPr>
          <w:iCs/>
        </w:rPr>
        <w:t>provide</w:t>
      </w:r>
      <w:r>
        <w:rPr>
          <w:iCs/>
        </w:rPr>
        <w:t>d</w:t>
      </w:r>
      <w:r w:rsidRPr="000F1DBD">
        <w:rPr>
          <w:iCs/>
        </w:rPr>
        <w:t xml:space="preserve"> </w:t>
      </w:r>
      <w:r>
        <w:rPr>
          <w:iCs/>
        </w:rPr>
        <w:t>certainty</w:t>
      </w:r>
      <w:r w:rsidRPr="000F1DBD">
        <w:rPr>
          <w:iCs/>
        </w:rPr>
        <w:t xml:space="preserve"> for Australia’s financial sector </w:t>
      </w:r>
      <w:r>
        <w:rPr>
          <w:iCs/>
        </w:rPr>
        <w:t xml:space="preserve">around </w:t>
      </w:r>
      <w:r w:rsidRPr="000F1DBD">
        <w:rPr>
          <w:iCs/>
        </w:rPr>
        <w:t>continue</w:t>
      </w:r>
      <w:r>
        <w:rPr>
          <w:iCs/>
        </w:rPr>
        <w:t>d</w:t>
      </w:r>
      <w:r w:rsidRPr="000F1DBD">
        <w:rPr>
          <w:iCs/>
        </w:rPr>
        <w:t xml:space="preserve"> accessib</w:t>
      </w:r>
      <w:r>
        <w:rPr>
          <w:iCs/>
        </w:rPr>
        <w:t>ility</w:t>
      </w:r>
      <w:r w:rsidRPr="000F1DBD">
        <w:rPr>
          <w:iCs/>
        </w:rPr>
        <w:t xml:space="preserve"> by EU investors. At the same time, overseas investors</w:t>
      </w:r>
      <w:r>
        <w:rPr>
          <w:iCs/>
        </w:rPr>
        <w:t>’</w:t>
      </w:r>
      <w:r w:rsidRPr="000F1DBD">
        <w:rPr>
          <w:iCs/>
        </w:rPr>
        <w:t xml:space="preserve"> confidence in the Australian market as a potential source for continued investment</w:t>
      </w:r>
      <w:r>
        <w:rPr>
          <w:iCs/>
        </w:rPr>
        <w:t xml:space="preserve"> has been </w:t>
      </w:r>
      <w:r w:rsidRPr="00D631CF">
        <w:rPr>
          <w:iCs/>
        </w:rPr>
        <w:t>maintained. Such economic benefits are difficult to quantify.</w:t>
      </w:r>
    </w:p>
    <w:p w14:paraId="15ECE49F" w14:textId="77777777" w:rsidR="00987B68" w:rsidRDefault="00987B68" w:rsidP="00987B68">
      <w:pPr>
        <w:rPr>
          <w:iCs/>
        </w:rPr>
      </w:pPr>
      <w:r w:rsidRPr="00D631CF">
        <w:rPr>
          <w:iCs/>
        </w:rPr>
        <w:t xml:space="preserve">Had the 2021 draft EU regulations been implemented, certain EU investors could have been prevented from investing in the Australian securitisation market. </w:t>
      </w:r>
      <w:r w:rsidRPr="00AB5AFE">
        <w:rPr>
          <w:iCs/>
        </w:rPr>
        <w:t xml:space="preserve">This </w:t>
      </w:r>
      <w:r>
        <w:rPr>
          <w:iCs/>
        </w:rPr>
        <w:t>would have been</w:t>
      </w:r>
      <w:r w:rsidRPr="00AB5AFE">
        <w:rPr>
          <w:iCs/>
        </w:rPr>
        <w:t xml:space="preserve"> much broader than </w:t>
      </w:r>
      <w:r>
        <w:rPr>
          <w:iCs/>
        </w:rPr>
        <w:t xml:space="preserve">a sanction on </w:t>
      </w:r>
      <w:r w:rsidRPr="00AB5AFE">
        <w:rPr>
          <w:iCs/>
        </w:rPr>
        <w:t xml:space="preserve">OBUs and </w:t>
      </w:r>
      <w:r>
        <w:rPr>
          <w:iCs/>
        </w:rPr>
        <w:t>their</w:t>
      </w:r>
      <w:r w:rsidRPr="00AB5AFE">
        <w:rPr>
          <w:iCs/>
        </w:rPr>
        <w:t xml:space="preserve"> activities</w:t>
      </w:r>
      <w:r>
        <w:rPr>
          <w:iCs/>
        </w:rPr>
        <w:t>,</w:t>
      </w:r>
      <w:r w:rsidRPr="00AB5AFE">
        <w:rPr>
          <w:iCs/>
        </w:rPr>
        <w:t xml:space="preserve"> </w:t>
      </w:r>
      <w:r>
        <w:rPr>
          <w:iCs/>
        </w:rPr>
        <w:t xml:space="preserve">and </w:t>
      </w:r>
      <w:r w:rsidRPr="00AB5AFE">
        <w:rPr>
          <w:iCs/>
        </w:rPr>
        <w:t xml:space="preserve">would have affected </w:t>
      </w:r>
      <w:r>
        <w:rPr>
          <w:iCs/>
        </w:rPr>
        <w:t>other</w:t>
      </w:r>
      <w:r w:rsidRPr="00AB5AFE">
        <w:rPr>
          <w:iCs/>
        </w:rPr>
        <w:t xml:space="preserve"> </w:t>
      </w:r>
      <w:r>
        <w:rPr>
          <w:iCs/>
        </w:rPr>
        <w:t xml:space="preserve">participants in the </w:t>
      </w:r>
      <w:r w:rsidRPr="00AB5AFE">
        <w:rPr>
          <w:iCs/>
        </w:rPr>
        <w:t>Australia</w:t>
      </w:r>
      <w:r>
        <w:rPr>
          <w:iCs/>
        </w:rPr>
        <w:t xml:space="preserve">n </w:t>
      </w:r>
      <w:r w:rsidRPr="00AB5AFE">
        <w:rPr>
          <w:iCs/>
        </w:rPr>
        <w:t>financial system</w:t>
      </w:r>
      <w:r>
        <w:rPr>
          <w:iCs/>
        </w:rPr>
        <w:t>, with further spill-over impacts domestically.</w:t>
      </w:r>
      <w:r w:rsidRPr="00301E9E">
        <w:rPr>
          <w:iCs/>
        </w:rPr>
        <w:t xml:space="preserve"> </w:t>
      </w:r>
    </w:p>
    <w:p w14:paraId="3C0B7550" w14:textId="77777777" w:rsidR="00987B68" w:rsidRPr="000F1DBD" w:rsidRDefault="00987B68" w:rsidP="00987B68">
      <w:pPr>
        <w:rPr>
          <w:iCs/>
        </w:rPr>
      </w:pPr>
      <w:r>
        <w:rPr>
          <w:iCs/>
        </w:rPr>
        <w:t xml:space="preserve">The limited availability of detailed securitisation data makes it difficult to estimate the amount of </w:t>
      </w:r>
      <w:r w:rsidRPr="00D631CF">
        <w:rPr>
          <w:iCs/>
        </w:rPr>
        <w:t>additional funding capacity and investment</w:t>
      </w:r>
      <w:r w:rsidRPr="00591DC9">
        <w:rPr>
          <w:iCs/>
        </w:rPr>
        <w:t xml:space="preserve"> </w:t>
      </w:r>
      <w:r w:rsidRPr="00D631CF">
        <w:rPr>
          <w:iCs/>
        </w:rPr>
        <w:t>European banks and investors</w:t>
      </w:r>
      <w:r>
        <w:rPr>
          <w:iCs/>
        </w:rPr>
        <w:t xml:space="preserve"> provide</w:t>
      </w:r>
      <w:r w:rsidRPr="000F1DBD">
        <w:rPr>
          <w:iCs/>
        </w:rPr>
        <w:t>. European banks also provide a range of other important services to the Australian market, such as structuring and underwriting securitisation transactions, distribution to investors, secondary market liquidity and hedging services. If they were required to exit, it would have cause</w:t>
      </w:r>
      <w:r>
        <w:rPr>
          <w:iCs/>
        </w:rPr>
        <w:t>d</w:t>
      </w:r>
      <w:r w:rsidRPr="000F1DBD">
        <w:rPr>
          <w:iCs/>
        </w:rPr>
        <w:t xml:space="preserve"> significant disruption to the Australian securitisation market</w:t>
      </w:r>
      <w:r>
        <w:rPr>
          <w:iCs/>
        </w:rPr>
        <w:t xml:space="preserve">, </w:t>
      </w:r>
      <w:r w:rsidRPr="000F1DBD">
        <w:rPr>
          <w:iCs/>
        </w:rPr>
        <w:t>includ</w:t>
      </w:r>
      <w:r>
        <w:rPr>
          <w:iCs/>
        </w:rPr>
        <w:t>ing</w:t>
      </w:r>
      <w:r w:rsidRPr="000F1DBD">
        <w:rPr>
          <w:iCs/>
        </w:rPr>
        <w:t>:</w:t>
      </w:r>
    </w:p>
    <w:p w14:paraId="1EA057D4" w14:textId="77777777" w:rsidR="00987B68" w:rsidRPr="000F1DBD" w:rsidRDefault="00987B68" w:rsidP="00987B68">
      <w:pPr>
        <w:numPr>
          <w:ilvl w:val="0"/>
          <w:numId w:val="48"/>
        </w:numPr>
        <w:rPr>
          <w:iCs/>
        </w:rPr>
      </w:pPr>
      <w:r w:rsidRPr="000F1DBD">
        <w:rPr>
          <w:iCs/>
        </w:rPr>
        <w:t>reduced funding options for lenders</w:t>
      </w:r>
      <w:r>
        <w:rPr>
          <w:iCs/>
        </w:rPr>
        <w:t>,</w:t>
      </w:r>
    </w:p>
    <w:p w14:paraId="08562AB9" w14:textId="77777777" w:rsidR="00987B68" w:rsidRPr="000F1DBD" w:rsidRDefault="00987B68" w:rsidP="00987B68">
      <w:pPr>
        <w:numPr>
          <w:ilvl w:val="0"/>
          <w:numId w:val="48"/>
        </w:numPr>
        <w:rPr>
          <w:iCs/>
        </w:rPr>
      </w:pPr>
      <w:r w:rsidRPr="000F1DBD">
        <w:rPr>
          <w:iCs/>
        </w:rPr>
        <w:t>increased cost of funding for lenders</w:t>
      </w:r>
      <w:r>
        <w:rPr>
          <w:iCs/>
        </w:rPr>
        <w:t>,</w:t>
      </w:r>
    </w:p>
    <w:p w14:paraId="6CB1B25A" w14:textId="77777777" w:rsidR="00987B68" w:rsidRPr="000F1DBD" w:rsidRDefault="00987B68" w:rsidP="00987B68">
      <w:pPr>
        <w:numPr>
          <w:ilvl w:val="0"/>
          <w:numId w:val="48"/>
        </w:numPr>
        <w:rPr>
          <w:iCs/>
        </w:rPr>
      </w:pPr>
      <w:r w:rsidRPr="000F1DBD">
        <w:rPr>
          <w:iCs/>
        </w:rPr>
        <w:t>significantly reduced liquidity in the asset-backed-securities (ABS) market</w:t>
      </w:r>
      <w:r>
        <w:rPr>
          <w:iCs/>
        </w:rPr>
        <w:t>, and</w:t>
      </w:r>
    </w:p>
    <w:p w14:paraId="78141AE8" w14:textId="77777777" w:rsidR="00987B68" w:rsidRPr="000F1DBD" w:rsidRDefault="00987B68" w:rsidP="00987B68">
      <w:pPr>
        <w:numPr>
          <w:ilvl w:val="0"/>
          <w:numId w:val="48"/>
        </w:numPr>
        <w:rPr>
          <w:iCs/>
        </w:rPr>
      </w:pPr>
      <w:r w:rsidRPr="000F1DBD">
        <w:rPr>
          <w:iCs/>
        </w:rPr>
        <w:t>increased price and reduced availability of ancillary services to securitisation vehicles such as swaps and liquidity facilities.</w:t>
      </w:r>
    </w:p>
    <w:p w14:paraId="36592BFF" w14:textId="77777777" w:rsidR="00987B68" w:rsidRDefault="00987B68" w:rsidP="00987B68">
      <w:pPr>
        <w:rPr>
          <w:iCs/>
        </w:rPr>
      </w:pPr>
      <w:r w:rsidRPr="000F1DBD">
        <w:rPr>
          <w:iCs/>
        </w:rPr>
        <w:t>These costs could have flow</w:t>
      </w:r>
      <w:r>
        <w:rPr>
          <w:iCs/>
        </w:rPr>
        <w:t xml:space="preserve">ed </w:t>
      </w:r>
      <w:r w:rsidRPr="000F1DBD">
        <w:rPr>
          <w:iCs/>
        </w:rPr>
        <w:t>through to higher lending costs for borrowers.</w:t>
      </w:r>
      <w:r>
        <w:rPr>
          <w:iCs/>
        </w:rPr>
        <w:t xml:space="preserve"> </w:t>
      </w:r>
      <w:r w:rsidRPr="000F1DBD">
        <w:rPr>
          <w:iCs/>
        </w:rPr>
        <w:t xml:space="preserve">Reform to the OBU regime helped ensure </w:t>
      </w:r>
      <w:r>
        <w:rPr>
          <w:iCs/>
        </w:rPr>
        <w:t>the avoidance of potential</w:t>
      </w:r>
      <w:r w:rsidRPr="000F1DBD">
        <w:rPr>
          <w:iCs/>
        </w:rPr>
        <w:t xml:space="preserve"> disruptions in the Australian financial sector</w:t>
      </w:r>
      <w:r>
        <w:rPr>
          <w:iCs/>
        </w:rPr>
        <w:t xml:space="preserve"> and, through contagion, negative perceptions of the broader Australian financial system.</w:t>
      </w:r>
      <w:r w:rsidRPr="000F1DBD">
        <w:rPr>
          <w:iCs/>
        </w:rPr>
        <w:t xml:space="preserve"> </w:t>
      </w:r>
    </w:p>
    <w:p w14:paraId="15F996E7" w14:textId="77777777" w:rsidR="00987B68" w:rsidRPr="000F1DBD" w:rsidRDefault="00987B68" w:rsidP="00987B68">
      <w:pPr>
        <w:rPr>
          <w:iCs/>
        </w:rPr>
      </w:pPr>
      <w:r>
        <w:rPr>
          <w:iCs/>
        </w:rPr>
        <w:t xml:space="preserve">Both the benefits of maintaining a positive perception of Australia’s financial system, and the impact of a potential deterioration in confidence extending beyond the scope of the OBU participants, are unquantifiable. These impacts were likely to </w:t>
      </w:r>
      <w:r w:rsidRPr="000F1DBD">
        <w:rPr>
          <w:iCs/>
        </w:rPr>
        <w:t xml:space="preserve">depend on the interaction between the responses of many market participants. </w:t>
      </w:r>
    </w:p>
    <w:p w14:paraId="231ED76A" w14:textId="661D0FAA" w:rsidR="00987B68" w:rsidRPr="000F1DBD" w:rsidRDefault="00987B68" w:rsidP="00987B68">
      <w:pPr>
        <w:pStyle w:val="Heading2"/>
      </w:pPr>
      <w:bookmarkStart w:id="16" w:name="_Toc144804562"/>
      <w:r w:rsidRPr="000F1DBD">
        <w:t>Commitment to</w:t>
      </w:r>
      <w:r w:rsidR="0016005B">
        <w:t xml:space="preserve"> addressing</w:t>
      </w:r>
      <w:r w:rsidRPr="000F1DBD">
        <w:t xml:space="preserve"> multinational tax avoidance</w:t>
      </w:r>
      <w:bookmarkEnd w:id="16"/>
    </w:p>
    <w:p w14:paraId="713AB986" w14:textId="77777777" w:rsidR="00987B68" w:rsidRDefault="00987B68" w:rsidP="00987B68">
      <w:pPr>
        <w:rPr>
          <w:iCs/>
        </w:rPr>
      </w:pPr>
      <w:r w:rsidRPr="000F1DBD">
        <w:rPr>
          <w:iCs/>
        </w:rPr>
        <w:t xml:space="preserve">The legislation also </w:t>
      </w:r>
      <w:r>
        <w:rPr>
          <w:iCs/>
        </w:rPr>
        <w:t>delivered</w:t>
      </w:r>
      <w:r w:rsidRPr="000F1DBD">
        <w:rPr>
          <w:iCs/>
        </w:rPr>
        <w:t xml:space="preserve"> other benefits</w:t>
      </w:r>
      <w:r>
        <w:rPr>
          <w:iCs/>
        </w:rPr>
        <w:t xml:space="preserve"> that are difficult to quantify</w:t>
      </w:r>
      <w:r w:rsidRPr="000F1DBD">
        <w:rPr>
          <w:iCs/>
        </w:rPr>
        <w:t xml:space="preserve">: the </w:t>
      </w:r>
      <w:r>
        <w:rPr>
          <w:iCs/>
        </w:rPr>
        <w:t>revisions</w:t>
      </w:r>
      <w:r w:rsidRPr="000F1DBD">
        <w:rPr>
          <w:iCs/>
        </w:rPr>
        <w:t xml:space="preserve"> to the OBU regime </w:t>
      </w:r>
      <w:r>
        <w:rPr>
          <w:iCs/>
        </w:rPr>
        <w:t xml:space="preserve">are </w:t>
      </w:r>
      <w:r w:rsidRPr="000F1DBD">
        <w:rPr>
          <w:iCs/>
        </w:rPr>
        <w:t xml:space="preserve">consistent with Australia’s commitment to </w:t>
      </w:r>
      <w:r>
        <w:rPr>
          <w:iCs/>
        </w:rPr>
        <w:t xml:space="preserve">contribute to </w:t>
      </w:r>
      <w:r w:rsidRPr="000F1DBD">
        <w:rPr>
          <w:iCs/>
        </w:rPr>
        <w:t xml:space="preserve">maintaining the integrity of the international tax system. It signalled Australia’s firm commitment to the work of the OECD/G20 </w:t>
      </w:r>
      <w:r>
        <w:rPr>
          <w:iCs/>
        </w:rPr>
        <w:t>BEPS</w:t>
      </w:r>
      <w:r w:rsidRPr="000F1DBD">
        <w:rPr>
          <w:iCs/>
        </w:rPr>
        <w:t xml:space="preserve"> agenda and assisted Australia to maintain i</w:t>
      </w:r>
      <w:r>
        <w:rPr>
          <w:iCs/>
        </w:rPr>
        <w:t>t</w:t>
      </w:r>
      <w:r w:rsidRPr="000F1DBD">
        <w:rPr>
          <w:iCs/>
        </w:rPr>
        <w:t xml:space="preserve">s international standing and relationships with other jurisdictions. </w:t>
      </w:r>
    </w:p>
    <w:p w14:paraId="74EC3679" w14:textId="77777777" w:rsidR="00987B68" w:rsidRDefault="00987B68" w:rsidP="00987B68">
      <w:pPr>
        <w:pStyle w:val="Heading2"/>
      </w:pPr>
      <w:bookmarkStart w:id="17" w:name="_Toc144804563"/>
      <w:r>
        <w:lastRenderedPageBreak/>
        <w:t>Loss of OBU activity</w:t>
      </w:r>
      <w:bookmarkEnd w:id="17"/>
      <w:r>
        <w:t xml:space="preserve"> </w:t>
      </w:r>
    </w:p>
    <w:p w14:paraId="24F2B645" w14:textId="77777777" w:rsidR="00987B68" w:rsidRDefault="00987B68" w:rsidP="00987B68">
      <w:r>
        <w:t xml:space="preserve">As noted earlier, the EU sanctions that could have been imposed as a result of not addressing OECD FHTP concerns would have affected domestic financial institutions, not just registered OBUs, with significant flow on costs. Removal of the preferential tax rate affects registered OBUs only. </w:t>
      </w:r>
    </w:p>
    <w:p w14:paraId="0E4747B7" w14:textId="77777777" w:rsidR="00987B68" w:rsidRDefault="00987B68" w:rsidP="00987B68">
      <w:pPr>
        <w:rPr>
          <w:iCs/>
        </w:rPr>
      </w:pPr>
      <w:r w:rsidRPr="00651857">
        <w:t xml:space="preserve">At the time the </w:t>
      </w:r>
      <w:r>
        <w:t xml:space="preserve">concessional tax rate </w:t>
      </w:r>
      <w:r w:rsidRPr="00651857">
        <w:t xml:space="preserve">was </w:t>
      </w:r>
      <w:r>
        <w:t>removed</w:t>
      </w:r>
      <w:r w:rsidRPr="00651857">
        <w:t xml:space="preserve">, 136 OBUs were registered, although </w:t>
      </w:r>
      <w:r>
        <w:t xml:space="preserve">many did not regularly </w:t>
      </w:r>
      <w:r w:rsidRPr="00651857">
        <w:t>undertake OB activities</w:t>
      </w:r>
      <w:r>
        <w:t xml:space="preserve">. For example, in the 2019-20 income year, 42 registered OBUs reported positive net OB income (Table 1). </w:t>
      </w:r>
      <w:r w:rsidRPr="00651857">
        <w:rPr>
          <w:iCs/>
        </w:rPr>
        <w:t>Around 30 per cent of OBUs are operated by foreign financial institutions.</w:t>
      </w:r>
    </w:p>
    <w:p w14:paraId="5F96F85E" w14:textId="77777777" w:rsidR="00987B68" w:rsidRPr="00651857" w:rsidRDefault="00987B68" w:rsidP="00987B68">
      <w:r>
        <w:t xml:space="preserve">OBUs </w:t>
      </w:r>
      <w:r w:rsidRPr="00615114">
        <w:t xml:space="preserve">are unlikely to continue operating within the regime considering it </w:t>
      </w:r>
      <w:r>
        <w:t xml:space="preserve">currently still involves </w:t>
      </w:r>
      <w:r w:rsidRPr="00615114">
        <w:t xml:space="preserve">specific administrative and compliance requirements, but no longer provides </w:t>
      </w:r>
      <w:r>
        <w:t>concessional tax treatment. As a result, it is expected</w:t>
      </w:r>
      <w:r w:rsidRPr="00651857">
        <w:t xml:space="preserve"> that</w:t>
      </w:r>
      <w:r>
        <w:t xml:space="preserve"> eligible </w:t>
      </w:r>
      <w:r w:rsidRPr="00651857">
        <w:t>OB activity</w:t>
      </w:r>
      <w:r>
        <w:t xml:space="preserve"> within the OBU regime will substantially decrease over time</w:t>
      </w:r>
      <w:r w:rsidRPr="00651857">
        <w:t xml:space="preserve">. </w:t>
      </w:r>
    </w:p>
    <w:p w14:paraId="3DC31387" w14:textId="77777777" w:rsidR="00987B68" w:rsidRDefault="00987B68" w:rsidP="00987B68">
      <w:pPr>
        <w:rPr>
          <w:iCs/>
        </w:rPr>
      </w:pPr>
      <w:r w:rsidRPr="00651857">
        <w:rPr>
          <w:iCs/>
        </w:rPr>
        <w:t xml:space="preserve">The impacts of the </w:t>
      </w:r>
      <w:r>
        <w:rPr>
          <w:iCs/>
        </w:rPr>
        <w:t>amendments</w:t>
      </w:r>
      <w:r w:rsidRPr="00651857">
        <w:rPr>
          <w:iCs/>
        </w:rPr>
        <w:t xml:space="preserve"> are likely to differ across the OBU population due to differences in their relative size </w:t>
      </w:r>
      <w:r>
        <w:rPr>
          <w:iCs/>
        </w:rPr>
        <w:t xml:space="preserve">of individual OBUs, the nature of their activities </w:t>
      </w:r>
      <w:r w:rsidRPr="00651857">
        <w:rPr>
          <w:iCs/>
        </w:rPr>
        <w:t xml:space="preserve">and the </w:t>
      </w:r>
      <w:r>
        <w:rPr>
          <w:iCs/>
        </w:rPr>
        <w:t xml:space="preserve">proportion of their income derived from </w:t>
      </w:r>
      <w:r w:rsidRPr="00651857">
        <w:rPr>
          <w:iCs/>
        </w:rPr>
        <w:t>OB</w:t>
      </w:r>
      <w:r>
        <w:rPr>
          <w:iCs/>
        </w:rPr>
        <w:t xml:space="preserve"> activities</w:t>
      </w:r>
      <w:r w:rsidRPr="00651857">
        <w:rPr>
          <w:iCs/>
        </w:rPr>
        <w:t xml:space="preserve">. For example, the major banks </w:t>
      </w:r>
      <w:r>
        <w:rPr>
          <w:iCs/>
        </w:rPr>
        <w:t>were</w:t>
      </w:r>
      <w:r w:rsidRPr="00651857">
        <w:rPr>
          <w:iCs/>
        </w:rPr>
        <w:t xml:space="preserve"> potentially better placed to absorb the additional tax costs than smaller </w:t>
      </w:r>
      <w:r>
        <w:rPr>
          <w:iCs/>
        </w:rPr>
        <w:t>organisations, with the OB activity potentially remaining within Australia, but no longer reported through the specific OBU regime</w:t>
      </w:r>
      <w:r w:rsidRPr="00651857">
        <w:rPr>
          <w:iCs/>
        </w:rPr>
        <w:t xml:space="preserve">. </w:t>
      </w:r>
      <w:r>
        <w:rPr>
          <w:iCs/>
        </w:rPr>
        <w:t xml:space="preserve">On the other hand, algorithmic traders or </w:t>
      </w:r>
      <w:r w:rsidRPr="00651857">
        <w:rPr>
          <w:iCs/>
        </w:rPr>
        <w:t xml:space="preserve">foreign financial institutions may be disproportionately impacted if their </w:t>
      </w:r>
      <w:r>
        <w:rPr>
          <w:iCs/>
        </w:rPr>
        <w:t xml:space="preserve">Australian </w:t>
      </w:r>
      <w:r w:rsidRPr="00651857">
        <w:rPr>
          <w:iCs/>
        </w:rPr>
        <w:t xml:space="preserve">operations are largely or wholly focused </w:t>
      </w:r>
      <w:r>
        <w:rPr>
          <w:iCs/>
        </w:rPr>
        <w:t>on</w:t>
      </w:r>
      <w:r w:rsidRPr="00651857">
        <w:rPr>
          <w:iCs/>
        </w:rPr>
        <w:t xml:space="preserve"> OB activities. </w:t>
      </w:r>
    </w:p>
    <w:p w14:paraId="7FD0F2AA" w14:textId="77777777" w:rsidR="00987B68" w:rsidRPr="00651857" w:rsidRDefault="00987B68" w:rsidP="00987B68">
      <w:pPr>
        <w:rPr>
          <w:iCs/>
        </w:rPr>
      </w:pPr>
      <w:r w:rsidRPr="00651857">
        <w:rPr>
          <w:iCs/>
        </w:rPr>
        <w:t xml:space="preserve">Previous </w:t>
      </w:r>
      <w:r>
        <w:rPr>
          <w:iCs/>
        </w:rPr>
        <w:t xml:space="preserve">Treasury </w:t>
      </w:r>
      <w:r w:rsidRPr="00651857">
        <w:rPr>
          <w:iCs/>
        </w:rPr>
        <w:t xml:space="preserve">consultation indicated that some foreign OBUs would investigate downsizing or moving their entire operations to jurisdictions with lower effective tax rates (such as Singapore and Hong Kong) following the conclusion of </w:t>
      </w:r>
      <w:r>
        <w:rPr>
          <w:iCs/>
        </w:rPr>
        <w:t xml:space="preserve">the </w:t>
      </w:r>
      <w:r w:rsidRPr="00651857">
        <w:rPr>
          <w:iCs/>
        </w:rPr>
        <w:t>transitional arrangements (and if there was no replacement regime).</w:t>
      </w:r>
      <w:r>
        <w:rPr>
          <w:iCs/>
        </w:rPr>
        <w:t xml:space="preserve"> To date, Treasury is not aware of any relocations that have occurred or that have been announced. That said, transitional arrangements may still be accessible to some OBUs depending on when their 2022-23 income years conclude.</w:t>
      </w:r>
      <w:r w:rsidRPr="00651857">
        <w:rPr>
          <w:iCs/>
        </w:rPr>
        <w:t xml:space="preserve"> </w:t>
      </w:r>
      <w:r>
        <w:rPr>
          <w:iCs/>
        </w:rPr>
        <w:t>Where firms ultimately choose to stay in Australia and pay the headline corporate tax rate (instead of the concessional rate), there could be a positive revenue impact. However, should firms relocate offshore or reduce their OB activity, t</w:t>
      </w:r>
      <w:r w:rsidRPr="00651857">
        <w:rPr>
          <w:iCs/>
        </w:rPr>
        <w:t xml:space="preserve">his decrease </w:t>
      </w:r>
      <w:r>
        <w:t>could</w:t>
      </w:r>
      <w:r w:rsidRPr="00651857">
        <w:t xml:space="preserve"> have negative consequences for </w:t>
      </w:r>
      <w:r>
        <w:t>Commonwealth revenue</w:t>
      </w:r>
      <w:r>
        <w:rPr>
          <w:iCs/>
        </w:rPr>
        <w:t xml:space="preserve">. </w:t>
      </w:r>
      <w:r w:rsidRPr="00651857">
        <w:rPr>
          <w:iCs/>
        </w:rPr>
        <w:t xml:space="preserve">In the 2021-22 Budget, the measure was estimated to decrease receipts by $160 million over </w:t>
      </w:r>
      <w:r>
        <w:rPr>
          <w:iCs/>
        </w:rPr>
        <w:t xml:space="preserve">the period </w:t>
      </w:r>
      <w:r w:rsidRPr="00651857">
        <w:rPr>
          <w:iCs/>
        </w:rPr>
        <w:t xml:space="preserve">2022-23 to 2024-25. </w:t>
      </w:r>
    </w:p>
    <w:p w14:paraId="0DFA4EAF" w14:textId="77777777" w:rsidR="00987B68" w:rsidRDefault="00987B68" w:rsidP="00987B68">
      <w:r>
        <w:t>E</w:t>
      </w:r>
      <w:r w:rsidRPr="00651857">
        <w:t xml:space="preserve">mployment </w:t>
      </w:r>
      <w:r>
        <w:t xml:space="preserve">opportunities </w:t>
      </w:r>
      <w:r w:rsidRPr="00651857">
        <w:t>in firms</w:t>
      </w:r>
      <w:r>
        <w:t xml:space="preserve"> that relocate</w:t>
      </w:r>
      <w:r w:rsidRPr="00651857">
        <w:t xml:space="preserve"> </w:t>
      </w:r>
      <w:r>
        <w:t>would be</w:t>
      </w:r>
      <w:r w:rsidRPr="00651857">
        <w:t xml:space="preserve"> expect</w:t>
      </w:r>
      <w:r>
        <w:t>ed</w:t>
      </w:r>
      <w:r w:rsidRPr="00651857">
        <w:t xml:space="preserve"> to decrease</w:t>
      </w:r>
      <w:r>
        <w:t xml:space="preserve">. However, the </w:t>
      </w:r>
      <w:r w:rsidRPr="00651857">
        <w:t xml:space="preserve">highly skilled </w:t>
      </w:r>
      <w:r>
        <w:t>staff employed in the financial sector are</w:t>
      </w:r>
      <w:r w:rsidRPr="00651857">
        <w:t xml:space="preserve"> likely to be in demand in other firms. Estimates of the number of employees directly engaged </w:t>
      </w:r>
      <w:r>
        <w:t>by</w:t>
      </w:r>
      <w:r w:rsidRPr="00651857">
        <w:t xml:space="preserve"> </w:t>
      </w:r>
      <w:r>
        <w:t xml:space="preserve">OBUs </w:t>
      </w:r>
      <w:r w:rsidRPr="00651857">
        <w:t xml:space="preserve">vary, but one industry estimate suggested at least 1,500 employees. </w:t>
      </w:r>
    </w:p>
    <w:p w14:paraId="56A94AD7" w14:textId="77777777" w:rsidR="00987B68" w:rsidRDefault="00987B68" w:rsidP="00987B68">
      <w:r w:rsidRPr="00651857">
        <w:rPr>
          <w:iCs/>
        </w:rPr>
        <w:t xml:space="preserve">Businesses that choose to relocate their OBU operations to other jurisdictions will also incur </w:t>
      </w:r>
      <w:r>
        <w:rPr>
          <w:iCs/>
        </w:rPr>
        <w:t xml:space="preserve">the </w:t>
      </w:r>
      <w:r w:rsidRPr="00651857">
        <w:rPr>
          <w:iCs/>
        </w:rPr>
        <w:t xml:space="preserve">costs of </w:t>
      </w:r>
      <w:r>
        <w:rPr>
          <w:iCs/>
        </w:rPr>
        <w:t>moving</w:t>
      </w:r>
      <w:r>
        <w:t>.</w:t>
      </w:r>
    </w:p>
    <w:p w14:paraId="37A90DF2" w14:textId="77777777" w:rsidR="00987B68" w:rsidRPr="00233166" w:rsidRDefault="00987B68" w:rsidP="00987B68">
      <w:pPr>
        <w:rPr>
          <w:iCs/>
        </w:rPr>
      </w:pPr>
      <w:r w:rsidRPr="00233166">
        <w:rPr>
          <w:iCs/>
        </w:rPr>
        <w:t>Table 1 below shows the number of OBUs that have included positive net OB income in their income tax returns and their total combined OB assessable income for the income years 2019-20 to 2022-23. It indicates a decrease in the number of OB</w:t>
      </w:r>
      <w:r>
        <w:rPr>
          <w:iCs/>
        </w:rPr>
        <w:t>Us</w:t>
      </w:r>
      <w:r w:rsidRPr="00233166">
        <w:rPr>
          <w:iCs/>
        </w:rPr>
        <w:t xml:space="preserve"> reporting positive OB income since the Treasurer's 2018 announcement, together with a decrease total net income.</w:t>
      </w:r>
    </w:p>
    <w:p w14:paraId="6B88CFB5" w14:textId="77777777" w:rsidR="00987B68" w:rsidRPr="00233166" w:rsidRDefault="00987B68" w:rsidP="00987B68">
      <w:pPr>
        <w:keepNext/>
        <w:ind w:left="709"/>
        <w:rPr>
          <w:i/>
          <w:iCs/>
        </w:rPr>
      </w:pPr>
      <w:r w:rsidRPr="00233166">
        <w:rPr>
          <w:i/>
          <w:iCs/>
        </w:rPr>
        <w:lastRenderedPageBreak/>
        <w:t xml:space="preserve">Table </w:t>
      </w:r>
      <w:r w:rsidRPr="00233166">
        <w:rPr>
          <w:i/>
          <w:iCs/>
        </w:rPr>
        <w:fldChar w:fldCharType="begin"/>
      </w:r>
      <w:r w:rsidRPr="00233166">
        <w:rPr>
          <w:i/>
          <w:iCs/>
        </w:rPr>
        <w:instrText xml:space="preserve"> SEQ Table \* ARABIC </w:instrText>
      </w:r>
      <w:r w:rsidRPr="00233166">
        <w:rPr>
          <w:i/>
          <w:iCs/>
        </w:rPr>
        <w:fldChar w:fldCharType="separate"/>
      </w:r>
      <w:r w:rsidRPr="00233166">
        <w:rPr>
          <w:i/>
          <w:iCs/>
        </w:rPr>
        <w:t>1</w:t>
      </w:r>
      <w:r w:rsidRPr="00233166">
        <w:rPr>
          <w:iCs/>
        </w:rPr>
        <w:fldChar w:fldCharType="end"/>
      </w:r>
      <w:r w:rsidRPr="00233166">
        <w:rPr>
          <w:i/>
          <w:iCs/>
        </w:rPr>
        <w:t xml:space="preserve">: </w:t>
      </w:r>
      <w:r>
        <w:rPr>
          <w:i/>
          <w:iCs/>
        </w:rPr>
        <w:t>OBU income</w:t>
      </w:r>
    </w:p>
    <w:tbl>
      <w:tblPr>
        <w:tblW w:w="7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693"/>
        <w:gridCol w:w="2977"/>
      </w:tblGrid>
      <w:tr w:rsidR="00987B68" w:rsidRPr="00233166" w14:paraId="5B071473"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7A9547F0" w14:textId="77777777" w:rsidR="00987B68" w:rsidRPr="00233166" w:rsidRDefault="00987B68" w:rsidP="002C0621">
            <w:pPr>
              <w:keepNext/>
              <w:rPr>
                <w:iCs/>
              </w:rPr>
            </w:pPr>
            <w:r w:rsidRPr="00233166">
              <w:rPr>
                <w:b/>
                <w:bCs/>
                <w:i/>
                <w:iCs/>
                <w:lang w:val="en-GB"/>
              </w:rPr>
              <w:t>Income year</w:t>
            </w:r>
            <w:r w:rsidRPr="00233166">
              <w:rPr>
                <w:iCs/>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BF5C5B0" w14:textId="77777777" w:rsidR="00987B68" w:rsidRPr="00233166" w:rsidRDefault="00987B68" w:rsidP="002C0621">
            <w:pPr>
              <w:keepNext/>
              <w:rPr>
                <w:iCs/>
              </w:rPr>
            </w:pPr>
            <w:r w:rsidRPr="00233166">
              <w:rPr>
                <w:b/>
                <w:bCs/>
                <w:i/>
                <w:iCs/>
                <w:lang w:val="en-GB"/>
              </w:rPr>
              <w:t>No. of taxpayers with positive net OB income</w:t>
            </w:r>
            <w:r w:rsidRPr="00233166">
              <w:rPr>
                <w:iCs/>
              </w:rPr>
              <w:t> </w:t>
            </w:r>
          </w:p>
        </w:tc>
        <w:tc>
          <w:tcPr>
            <w:tcW w:w="2977" w:type="dxa"/>
            <w:tcBorders>
              <w:top w:val="single" w:sz="6" w:space="0" w:color="auto"/>
              <w:left w:val="single" w:sz="6" w:space="0" w:color="auto"/>
              <w:bottom w:val="single" w:sz="6" w:space="0" w:color="auto"/>
              <w:right w:val="single" w:sz="6" w:space="0" w:color="auto"/>
            </w:tcBorders>
          </w:tcPr>
          <w:p w14:paraId="2EADC263" w14:textId="77777777" w:rsidR="00987B68" w:rsidRPr="00233166" w:rsidRDefault="00987B68" w:rsidP="002C0621">
            <w:pPr>
              <w:keepNext/>
              <w:rPr>
                <w:b/>
                <w:bCs/>
                <w:i/>
                <w:iCs/>
                <w:lang w:val="en-GB"/>
              </w:rPr>
            </w:pPr>
            <w:r>
              <w:rPr>
                <w:b/>
                <w:bCs/>
                <w:i/>
                <w:iCs/>
                <w:lang w:val="en-GB"/>
              </w:rPr>
              <w:t>OB Assessable Income - taxpayers with positive net OB income - $ billion</w:t>
            </w:r>
          </w:p>
        </w:tc>
      </w:tr>
      <w:tr w:rsidR="00987B68" w14:paraId="62AF8DB6"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9A85A5E" w14:textId="77777777" w:rsidR="00987B68" w:rsidRPr="00367245" w:rsidRDefault="00987B68" w:rsidP="002C0621">
            <w:pPr>
              <w:keepNext/>
              <w:rPr>
                <w:iCs/>
                <w:lang w:val="en-GB"/>
              </w:rPr>
            </w:pPr>
            <w:r w:rsidRPr="00367245">
              <w:rPr>
                <w:iCs/>
                <w:lang w:val="en-GB"/>
              </w:rPr>
              <w:t>2012/13</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A9F92C8" w14:textId="77777777" w:rsidR="00987B68" w:rsidRPr="00367245" w:rsidRDefault="00987B68" w:rsidP="002C0621">
            <w:pPr>
              <w:keepNext/>
              <w:rPr>
                <w:iCs/>
                <w:lang w:val="en-GB"/>
              </w:rPr>
            </w:pPr>
            <w:r w:rsidRPr="00367245">
              <w:rPr>
                <w:iCs/>
                <w:lang w:val="en-GB"/>
              </w:rPr>
              <w:t>46</w:t>
            </w:r>
          </w:p>
        </w:tc>
        <w:tc>
          <w:tcPr>
            <w:tcW w:w="2977" w:type="dxa"/>
            <w:tcBorders>
              <w:top w:val="single" w:sz="6" w:space="0" w:color="auto"/>
              <w:left w:val="single" w:sz="6" w:space="0" w:color="auto"/>
              <w:bottom w:val="single" w:sz="6" w:space="0" w:color="auto"/>
              <w:right w:val="single" w:sz="6" w:space="0" w:color="auto"/>
            </w:tcBorders>
          </w:tcPr>
          <w:p w14:paraId="26CEB2D6" w14:textId="77777777" w:rsidR="00987B68" w:rsidRPr="00367245" w:rsidRDefault="00987B68" w:rsidP="002C0621">
            <w:pPr>
              <w:keepNext/>
              <w:rPr>
                <w:iCs/>
                <w:lang w:val="en-GB"/>
              </w:rPr>
            </w:pPr>
            <w:r w:rsidRPr="00367245">
              <w:rPr>
                <w:iCs/>
                <w:lang w:val="en-GB"/>
              </w:rPr>
              <w:t xml:space="preserve">2.8 </w:t>
            </w:r>
          </w:p>
        </w:tc>
      </w:tr>
      <w:tr w:rsidR="00987B68" w14:paraId="14040A9A"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3DC7462" w14:textId="77777777" w:rsidR="00987B68" w:rsidRPr="00367245" w:rsidRDefault="00987B68" w:rsidP="002C0621">
            <w:pPr>
              <w:rPr>
                <w:iCs/>
                <w:lang w:val="en-GB"/>
              </w:rPr>
            </w:pPr>
            <w:r w:rsidRPr="00367245">
              <w:rPr>
                <w:iCs/>
                <w:lang w:val="en-GB"/>
              </w:rPr>
              <w:t>2013/14</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B699158" w14:textId="77777777" w:rsidR="00987B68" w:rsidRPr="00367245" w:rsidRDefault="00987B68" w:rsidP="002C0621">
            <w:pPr>
              <w:rPr>
                <w:iCs/>
                <w:lang w:val="en-GB"/>
              </w:rPr>
            </w:pPr>
            <w:r w:rsidRPr="00367245">
              <w:rPr>
                <w:iCs/>
                <w:lang w:val="en-GB"/>
              </w:rPr>
              <w:t>48</w:t>
            </w:r>
          </w:p>
        </w:tc>
        <w:tc>
          <w:tcPr>
            <w:tcW w:w="2977" w:type="dxa"/>
            <w:tcBorders>
              <w:top w:val="single" w:sz="6" w:space="0" w:color="auto"/>
              <w:left w:val="single" w:sz="6" w:space="0" w:color="auto"/>
              <w:bottom w:val="single" w:sz="6" w:space="0" w:color="auto"/>
              <w:right w:val="single" w:sz="6" w:space="0" w:color="auto"/>
            </w:tcBorders>
          </w:tcPr>
          <w:p w14:paraId="5BF9AA38" w14:textId="77777777" w:rsidR="00987B68" w:rsidRPr="00367245" w:rsidRDefault="00987B68" w:rsidP="002C0621">
            <w:pPr>
              <w:rPr>
                <w:iCs/>
                <w:lang w:val="en-GB"/>
              </w:rPr>
            </w:pPr>
            <w:r w:rsidRPr="00367245">
              <w:rPr>
                <w:iCs/>
                <w:lang w:val="en-GB"/>
              </w:rPr>
              <w:t xml:space="preserve">3.4 </w:t>
            </w:r>
          </w:p>
        </w:tc>
      </w:tr>
      <w:tr w:rsidR="00987B68" w14:paraId="32604E6F"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7A176AC4" w14:textId="77777777" w:rsidR="00987B68" w:rsidRPr="00367245" w:rsidRDefault="00987B68" w:rsidP="002C0621">
            <w:pPr>
              <w:rPr>
                <w:iCs/>
                <w:lang w:val="en-GB"/>
              </w:rPr>
            </w:pPr>
            <w:r w:rsidRPr="00367245">
              <w:rPr>
                <w:iCs/>
                <w:lang w:val="en-GB"/>
              </w:rPr>
              <w:t>2014/15</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F67E393" w14:textId="77777777" w:rsidR="00987B68" w:rsidRPr="00367245" w:rsidRDefault="00987B68" w:rsidP="002C0621">
            <w:pPr>
              <w:rPr>
                <w:iCs/>
                <w:lang w:val="en-GB"/>
              </w:rPr>
            </w:pPr>
            <w:r w:rsidRPr="00367245">
              <w:rPr>
                <w:iCs/>
                <w:lang w:val="en-GB"/>
              </w:rPr>
              <w:t>45</w:t>
            </w:r>
          </w:p>
        </w:tc>
        <w:tc>
          <w:tcPr>
            <w:tcW w:w="2977" w:type="dxa"/>
            <w:tcBorders>
              <w:top w:val="single" w:sz="6" w:space="0" w:color="auto"/>
              <w:left w:val="single" w:sz="6" w:space="0" w:color="auto"/>
              <w:bottom w:val="single" w:sz="6" w:space="0" w:color="auto"/>
              <w:right w:val="single" w:sz="6" w:space="0" w:color="auto"/>
            </w:tcBorders>
          </w:tcPr>
          <w:p w14:paraId="7F9280B3" w14:textId="77777777" w:rsidR="00987B68" w:rsidRPr="00367245" w:rsidRDefault="00987B68" w:rsidP="002C0621">
            <w:pPr>
              <w:rPr>
                <w:iCs/>
                <w:lang w:val="en-GB"/>
              </w:rPr>
            </w:pPr>
            <w:r w:rsidRPr="00367245">
              <w:rPr>
                <w:iCs/>
                <w:lang w:val="en-GB"/>
              </w:rPr>
              <w:t xml:space="preserve">4.6 </w:t>
            </w:r>
          </w:p>
        </w:tc>
      </w:tr>
      <w:tr w:rsidR="00987B68" w14:paraId="6A6B7773"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3ADD875" w14:textId="77777777" w:rsidR="00987B68" w:rsidRPr="00367245" w:rsidRDefault="00987B68" w:rsidP="002C0621">
            <w:pPr>
              <w:rPr>
                <w:iCs/>
                <w:lang w:val="en-GB"/>
              </w:rPr>
            </w:pPr>
            <w:r w:rsidRPr="00367245">
              <w:rPr>
                <w:iCs/>
                <w:lang w:val="en-GB"/>
              </w:rPr>
              <w:t>2015/16</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F55DC11" w14:textId="77777777" w:rsidR="00987B68" w:rsidRPr="00367245" w:rsidRDefault="00987B68" w:rsidP="002C0621">
            <w:pPr>
              <w:rPr>
                <w:iCs/>
                <w:lang w:val="en-GB"/>
              </w:rPr>
            </w:pPr>
            <w:r w:rsidRPr="00367245">
              <w:rPr>
                <w:iCs/>
                <w:lang w:val="en-GB"/>
              </w:rPr>
              <w:t>46</w:t>
            </w:r>
          </w:p>
        </w:tc>
        <w:tc>
          <w:tcPr>
            <w:tcW w:w="2977" w:type="dxa"/>
            <w:tcBorders>
              <w:top w:val="single" w:sz="6" w:space="0" w:color="auto"/>
              <w:left w:val="single" w:sz="6" w:space="0" w:color="auto"/>
              <w:bottom w:val="single" w:sz="6" w:space="0" w:color="auto"/>
              <w:right w:val="single" w:sz="6" w:space="0" w:color="auto"/>
            </w:tcBorders>
          </w:tcPr>
          <w:p w14:paraId="0BE850AB" w14:textId="77777777" w:rsidR="00987B68" w:rsidRPr="00367245" w:rsidRDefault="00987B68" w:rsidP="002C0621">
            <w:pPr>
              <w:rPr>
                <w:iCs/>
                <w:lang w:val="en-GB"/>
              </w:rPr>
            </w:pPr>
            <w:r w:rsidRPr="00367245">
              <w:rPr>
                <w:iCs/>
                <w:lang w:val="en-GB"/>
              </w:rPr>
              <w:t xml:space="preserve">6.9 </w:t>
            </w:r>
          </w:p>
        </w:tc>
      </w:tr>
      <w:tr w:rsidR="00987B68" w14:paraId="2B321E65"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7D273FC" w14:textId="77777777" w:rsidR="00987B68" w:rsidRPr="00367245" w:rsidRDefault="00987B68" w:rsidP="002C0621">
            <w:pPr>
              <w:rPr>
                <w:iCs/>
                <w:lang w:val="en-GB"/>
              </w:rPr>
            </w:pPr>
            <w:r w:rsidRPr="00367245">
              <w:rPr>
                <w:iCs/>
                <w:lang w:val="en-GB"/>
              </w:rPr>
              <w:t>2016/17</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FB85208" w14:textId="77777777" w:rsidR="00987B68" w:rsidRPr="00367245" w:rsidRDefault="00987B68" w:rsidP="002C0621">
            <w:pPr>
              <w:rPr>
                <w:iCs/>
                <w:lang w:val="en-GB"/>
              </w:rPr>
            </w:pPr>
            <w:r w:rsidRPr="00367245">
              <w:rPr>
                <w:iCs/>
                <w:lang w:val="en-GB"/>
              </w:rPr>
              <w:t>44</w:t>
            </w:r>
          </w:p>
        </w:tc>
        <w:tc>
          <w:tcPr>
            <w:tcW w:w="2977" w:type="dxa"/>
            <w:tcBorders>
              <w:top w:val="single" w:sz="6" w:space="0" w:color="auto"/>
              <w:left w:val="single" w:sz="6" w:space="0" w:color="auto"/>
              <w:bottom w:val="single" w:sz="6" w:space="0" w:color="auto"/>
              <w:right w:val="single" w:sz="6" w:space="0" w:color="auto"/>
            </w:tcBorders>
          </w:tcPr>
          <w:p w14:paraId="7D2FBB51" w14:textId="77777777" w:rsidR="00987B68" w:rsidRPr="00367245" w:rsidRDefault="00987B68" w:rsidP="002C0621">
            <w:pPr>
              <w:rPr>
                <w:iCs/>
                <w:lang w:val="en-GB"/>
              </w:rPr>
            </w:pPr>
            <w:r w:rsidRPr="00367245">
              <w:rPr>
                <w:iCs/>
                <w:lang w:val="en-GB"/>
              </w:rPr>
              <w:t xml:space="preserve">5.9 </w:t>
            </w:r>
          </w:p>
        </w:tc>
      </w:tr>
      <w:tr w:rsidR="00987B68" w14:paraId="56F86012"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CC4C7DB" w14:textId="77777777" w:rsidR="00987B68" w:rsidRPr="00367245" w:rsidRDefault="00987B68" w:rsidP="002C0621">
            <w:pPr>
              <w:rPr>
                <w:iCs/>
                <w:lang w:val="en-GB"/>
              </w:rPr>
            </w:pPr>
            <w:r w:rsidRPr="00367245">
              <w:rPr>
                <w:iCs/>
                <w:lang w:val="en-GB"/>
              </w:rPr>
              <w:t>2017/18</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433FB1E" w14:textId="77777777" w:rsidR="00987B68" w:rsidRPr="00367245" w:rsidRDefault="00987B68" w:rsidP="002C0621">
            <w:pPr>
              <w:rPr>
                <w:iCs/>
                <w:lang w:val="en-GB"/>
              </w:rPr>
            </w:pPr>
            <w:r w:rsidRPr="00367245">
              <w:rPr>
                <w:iCs/>
                <w:lang w:val="en-GB"/>
              </w:rPr>
              <w:t>45</w:t>
            </w:r>
          </w:p>
        </w:tc>
        <w:tc>
          <w:tcPr>
            <w:tcW w:w="2977" w:type="dxa"/>
            <w:tcBorders>
              <w:top w:val="single" w:sz="6" w:space="0" w:color="auto"/>
              <w:left w:val="single" w:sz="6" w:space="0" w:color="auto"/>
              <w:bottom w:val="single" w:sz="6" w:space="0" w:color="auto"/>
              <w:right w:val="single" w:sz="6" w:space="0" w:color="auto"/>
            </w:tcBorders>
          </w:tcPr>
          <w:p w14:paraId="39359094" w14:textId="77777777" w:rsidR="00987B68" w:rsidRPr="00367245" w:rsidRDefault="00987B68" w:rsidP="002C0621">
            <w:pPr>
              <w:rPr>
                <w:iCs/>
                <w:lang w:val="en-GB"/>
              </w:rPr>
            </w:pPr>
            <w:r w:rsidRPr="00367245">
              <w:rPr>
                <w:iCs/>
                <w:lang w:val="en-GB"/>
              </w:rPr>
              <w:t xml:space="preserve">7.2 </w:t>
            </w:r>
          </w:p>
        </w:tc>
      </w:tr>
      <w:tr w:rsidR="00987B68" w14:paraId="423241F0"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118A785F" w14:textId="77777777" w:rsidR="00987B68" w:rsidRPr="00367245" w:rsidRDefault="00987B68" w:rsidP="002C0621">
            <w:pPr>
              <w:rPr>
                <w:iCs/>
                <w:lang w:val="en-GB"/>
              </w:rPr>
            </w:pPr>
            <w:r w:rsidRPr="00367245">
              <w:rPr>
                <w:iCs/>
                <w:lang w:val="en-GB"/>
              </w:rPr>
              <w:t>2018/19</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8388239" w14:textId="77777777" w:rsidR="00987B68" w:rsidRPr="00367245" w:rsidRDefault="00987B68" w:rsidP="002C0621">
            <w:pPr>
              <w:rPr>
                <w:iCs/>
                <w:lang w:val="en-GB"/>
              </w:rPr>
            </w:pPr>
            <w:r w:rsidRPr="00367245">
              <w:rPr>
                <w:iCs/>
                <w:lang w:val="en-GB"/>
              </w:rPr>
              <w:t>44</w:t>
            </w:r>
          </w:p>
        </w:tc>
        <w:tc>
          <w:tcPr>
            <w:tcW w:w="2977" w:type="dxa"/>
            <w:tcBorders>
              <w:top w:val="single" w:sz="6" w:space="0" w:color="auto"/>
              <w:left w:val="single" w:sz="6" w:space="0" w:color="auto"/>
              <w:bottom w:val="single" w:sz="6" w:space="0" w:color="auto"/>
              <w:right w:val="single" w:sz="6" w:space="0" w:color="auto"/>
            </w:tcBorders>
          </w:tcPr>
          <w:p w14:paraId="7AE87089" w14:textId="77777777" w:rsidR="00987B68" w:rsidRPr="00367245" w:rsidRDefault="00987B68" w:rsidP="002C0621">
            <w:pPr>
              <w:rPr>
                <w:iCs/>
                <w:lang w:val="en-GB"/>
              </w:rPr>
            </w:pPr>
            <w:r w:rsidRPr="00367245">
              <w:rPr>
                <w:iCs/>
                <w:lang w:val="en-GB"/>
              </w:rPr>
              <w:t xml:space="preserve">8.9 </w:t>
            </w:r>
          </w:p>
        </w:tc>
      </w:tr>
      <w:tr w:rsidR="00987B68" w14:paraId="25091410"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1D186BEE" w14:textId="77777777" w:rsidR="00987B68" w:rsidRPr="00367245" w:rsidRDefault="00987B68" w:rsidP="002C0621">
            <w:pPr>
              <w:rPr>
                <w:iCs/>
                <w:lang w:val="en-GB"/>
              </w:rPr>
            </w:pPr>
            <w:r w:rsidRPr="00367245">
              <w:rPr>
                <w:iCs/>
                <w:lang w:val="en-GB"/>
              </w:rPr>
              <w:t>2019/20</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CF157D6" w14:textId="77777777" w:rsidR="00987B68" w:rsidRPr="00367245" w:rsidRDefault="00987B68" w:rsidP="002C0621">
            <w:pPr>
              <w:rPr>
                <w:iCs/>
                <w:lang w:val="en-GB"/>
              </w:rPr>
            </w:pPr>
            <w:r w:rsidRPr="00367245">
              <w:rPr>
                <w:iCs/>
                <w:lang w:val="en-GB"/>
              </w:rPr>
              <w:t>42</w:t>
            </w:r>
          </w:p>
        </w:tc>
        <w:tc>
          <w:tcPr>
            <w:tcW w:w="2977" w:type="dxa"/>
            <w:tcBorders>
              <w:top w:val="single" w:sz="6" w:space="0" w:color="auto"/>
              <w:left w:val="single" w:sz="6" w:space="0" w:color="auto"/>
              <w:bottom w:val="single" w:sz="6" w:space="0" w:color="auto"/>
              <w:right w:val="single" w:sz="6" w:space="0" w:color="auto"/>
            </w:tcBorders>
          </w:tcPr>
          <w:p w14:paraId="61C3866E" w14:textId="77777777" w:rsidR="00987B68" w:rsidRPr="00367245" w:rsidRDefault="00987B68" w:rsidP="002C0621">
            <w:pPr>
              <w:rPr>
                <w:iCs/>
                <w:lang w:val="en-GB"/>
              </w:rPr>
            </w:pPr>
            <w:r w:rsidRPr="00367245">
              <w:rPr>
                <w:iCs/>
                <w:lang w:val="en-GB"/>
              </w:rPr>
              <w:t xml:space="preserve">7.5 </w:t>
            </w:r>
          </w:p>
        </w:tc>
      </w:tr>
      <w:tr w:rsidR="00987B68" w14:paraId="33AE7322"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68536514" w14:textId="77777777" w:rsidR="00987B68" w:rsidRPr="00367245" w:rsidRDefault="00987B68" w:rsidP="002C0621">
            <w:pPr>
              <w:rPr>
                <w:iCs/>
                <w:lang w:val="en-GB"/>
              </w:rPr>
            </w:pPr>
            <w:r w:rsidRPr="00367245">
              <w:rPr>
                <w:iCs/>
                <w:lang w:val="en-GB"/>
              </w:rPr>
              <w:t>2020/21</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259A41A" w14:textId="77777777" w:rsidR="00987B68" w:rsidRPr="00367245" w:rsidRDefault="00987B68" w:rsidP="002C0621">
            <w:pPr>
              <w:rPr>
                <w:iCs/>
                <w:lang w:val="en-GB"/>
              </w:rPr>
            </w:pPr>
            <w:r w:rsidRPr="00367245">
              <w:rPr>
                <w:iCs/>
                <w:lang w:val="en-GB"/>
              </w:rPr>
              <w:t>41</w:t>
            </w:r>
          </w:p>
        </w:tc>
        <w:tc>
          <w:tcPr>
            <w:tcW w:w="2977" w:type="dxa"/>
            <w:tcBorders>
              <w:top w:val="single" w:sz="6" w:space="0" w:color="auto"/>
              <w:left w:val="single" w:sz="6" w:space="0" w:color="auto"/>
              <w:bottom w:val="single" w:sz="6" w:space="0" w:color="auto"/>
              <w:right w:val="single" w:sz="6" w:space="0" w:color="auto"/>
            </w:tcBorders>
          </w:tcPr>
          <w:p w14:paraId="23F9729B" w14:textId="77777777" w:rsidR="00987B68" w:rsidRPr="00367245" w:rsidRDefault="00987B68" w:rsidP="002C0621">
            <w:pPr>
              <w:rPr>
                <w:iCs/>
                <w:lang w:val="en-GB"/>
              </w:rPr>
            </w:pPr>
            <w:r w:rsidRPr="00367245">
              <w:rPr>
                <w:iCs/>
                <w:lang w:val="en-GB"/>
              </w:rPr>
              <w:t xml:space="preserve">7.7 </w:t>
            </w:r>
          </w:p>
        </w:tc>
      </w:tr>
      <w:tr w:rsidR="00987B68" w14:paraId="1FEEEA7B"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4683BC7D" w14:textId="77777777" w:rsidR="00987B68" w:rsidRPr="00367245" w:rsidRDefault="00987B68" w:rsidP="002C0621">
            <w:pPr>
              <w:rPr>
                <w:iCs/>
                <w:lang w:val="en-GB"/>
              </w:rPr>
            </w:pPr>
            <w:r w:rsidRPr="00367245">
              <w:rPr>
                <w:iCs/>
                <w:lang w:val="en-GB"/>
              </w:rPr>
              <w:t>2021/22</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6E2D8C8" w14:textId="77777777" w:rsidR="00987B68" w:rsidRPr="00367245" w:rsidRDefault="00987B68" w:rsidP="002C0621">
            <w:pPr>
              <w:rPr>
                <w:iCs/>
                <w:lang w:val="en-GB"/>
              </w:rPr>
            </w:pPr>
            <w:r w:rsidRPr="00367245">
              <w:rPr>
                <w:iCs/>
                <w:lang w:val="en-GB"/>
              </w:rPr>
              <w:t>34</w:t>
            </w:r>
          </w:p>
        </w:tc>
        <w:tc>
          <w:tcPr>
            <w:tcW w:w="2977" w:type="dxa"/>
            <w:tcBorders>
              <w:top w:val="single" w:sz="6" w:space="0" w:color="auto"/>
              <w:left w:val="single" w:sz="6" w:space="0" w:color="auto"/>
              <w:bottom w:val="single" w:sz="6" w:space="0" w:color="auto"/>
              <w:right w:val="single" w:sz="6" w:space="0" w:color="auto"/>
            </w:tcBorders>
          </w:tcPr>
          <w:p w14:paraId="07A3548A" w14:textId="77777777" w:rsidR="00987B68" w:rsidRPr="00367245" w:rsidRDefault="00987B68" w:rsidP="002C0621">
            <w:pPr>
              <w:rPr>
                <w:iCs/>
                <w:lang w:val="en-GB"/>
              </w:rPr>
            </w:pPr>
            <w:r w:rsidRPr="00367245">
              <w:rPr>
                <w:iCs/>
                <w:lang w:val="en-GB"/>
              </w:rPr>
              <w:t xml:space="preserve">5.6 </w:t>
            </w:r>
          </w:p>
        </w:tc>
      </w:tr>
      <w:tr w:rsidR="00987B68" w:rsidRPr="00233166" w14:paraId="2116360B" w14:textId="77777777" w:rsidTr="002C0621">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BA63AF0" w14:textId="77777777" w:rsidR="00987B68" w:rsidRPr="00AE39EE" w:rsidRDefault="00987B68" w:rsidP="002C0621">
            <w:pPr>
              <w:rPr>
                <w:iCs/>
                <w:lang w:val="en-GB"/>
              </w:rPr>
            </w:pPr>
            <w:r w:rsidRPr="00233166">
              <w:rPr>
                <w:iCs/>
                <w:lang w:val="en-GB"/>
              </w:rPr>
              <w:t>2022/23</w:t>
            </w:r>
            <w:r w:rsidRPr="00AE39EE">
              <w:rPr>
                <w:iCs/>
                <w:lang w:val="en-GB"/>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32FE341" w14:textId="77777777" w:rsidR="00987B68" w:rsidRPr="00AE39EE" w:rsidRDefault="00987B68" w:rsidP="002C0621">
            <w:pPr>
              <w:rPr>
                <w:iCs/>
                <w:lang w:val="en-GB"/>
              </w:rPr>
            </w:pPr>
            <w:r w:rsidRPr="00233166">
              <w:rPr>
                <w:iCs/>
                <w:lang w:val="en-GB"/>
              </w:rPr>
              <w:t>No data available</w:t>
            </w:r>
            <w:r w:rsidRPr="00AE39EE">
              <w:rPr>
                <w:iCs/>
                <w:lang w:val="en-GB"/>
              </w:rPr>
              <w:t> </w:t>
            </w:r>
          </w:p>
        </w:tc>
        <w:tc>
          <w:tcPr>
            <w:tcW w:w="2977" w:type="dxa"/>
            <w:tcBorders>
              <w:top w:val="single" w:sz="6" w:space="0" w:color="auto"/>
              <w:left w:val="single" w:sz="6" w:space="0" w:color="auto"/>
              <w:bottom w:val="single" w:sz="6" w:space="0" w:color="auto"/>
              <w:right w:val="single" w:sz="6" w:space="0" w:color="auto"/>
            </w:tcBorders>
          </w:tcPr>
          <w:p w14:paraId="7F2DF4D3" w14:textId="77777777" w:rsidR="00987B68" w:rsidRPr="00233166" w:rsidRDefault="00987B68" w:rsidP="002C0621">
            <w:pPr>
              <w:rPr>
                <w:iCs/>
                <w:lang w:val="en-GB"/>
              </w:rPr>
            </w:pPr>
            <w:r w:rsidRPr="00233166">
              <w:rPr>
                <w:iCs/>
                <w:lang w:val="en-GB"/>
              </w:rPr>
              <w:t>No data available</w:t>
            </w:r>
          </w:p>
        </w:tc>
      </w:tr>
    </w:tbl>
    <w:p w14:paraId="6C241358" w14:textId="77777777" w:rsidR="00987B68" w:rsidRDefault="00987B68" w:rsidP="00987B68">
      <w:pPr>
        <w:rPr>
          <w:iCs/>
        </w:rPr>
      </w:pPr>
    </w:p>
    <w:p w14:paraId="3F06FE85" w14:textId="77777777" w:rsidR="00987B68" w:rsidRPr="00233166" w:rsidRDefault="00987B68" w:rsidP="00987B68">
      <w:pPr>
        <w:rPr>
          <w:iCs/>
        </w:rPr>
      </w:pPr>
      <w:r>
        <w:rPr>
          <w:iCs/>
        </w:rPr>
        <w:t xml:space="preserve">With respect to the specific tax concessions available to OBUs it is also noted that removal of the interest withholding tax exemption is not expected to have a substantial effect on OBUs as equivalent concessions may otherwise be available. For example, several of Australia’s tax treaties operate to reduce rates of interest withholding tax in certain circumstances. </w:t>
      </w:r>
      <w:r w:rsidRPr="00233166">
        <w:rPr>
          <w:iCs/>
        </w:rPr>
        <w:t xml:space="preserve">Further, the exemption </w:t>
      </w:r>
      <w:r>
        <w:rPr>
          <w:iCs/>
        </w:rPr>
        <w:t>mainly</w:t>
      </w:r>
      <w:r w:rsidRPr="00233166">
        <w:rPr>
          <w:iCs/>
        </w:rPr>
        <w:t xml:space="preserve"> benefited OBUs engaged in borrowing and lending</w:t>
      </w:r>
      <w:r>
        <w:rPr>
          <w:iCs/>
        </w:rPr>
        <w:t>, which is only one of eight activities eligible for concessional tax treatment</w:t>
      </w:r>
      <w:r w:rsidRPr="00233166">
        <w:rPr>
          <w:iCs/>
        </w:rPr>
        <w:t>.</w:t>
      </w:r>
      <w:r>
        <w:rPr>
          <w:iCs/>
        </w:rPr>
        <w:t xml:space="preserve"> </w:t>
      </w:r>
    </w:p>
    <w:p w14:paraId="0A5F0F5C" w14:textId="77777777" w:rsidR="00987B68" w:rsidRPr="00B07696" w:rsidRDefault="00987B68" w:rsidP="00987B68">
      <w:pPr>
        <w:pStyle w:val="Heading2"/>
      </w:pPr>
      <w:bookmarkStart w:id="18" w:name="_Toc144804564"/>
      <w:r w:rsidRPr="00B07696">
        <w:t xml:space="preserve">Regulatory </w:t>
      </w:r>
      <w:r>
        <w:t>and compliance i</w:t>
      </w:r>
      <w:r w:rsidRPr="00B07696">
        <w:t>mpacts</w:t>
      </w:r>
      <w:bookmarkEnd w:id="18"/>
    </w:p>
    <w:p w14:paraId="7BDCE421" w14:textId="77777777" w:rsidR="00987B68" w:rsidRDefault="00987B68" w:rsidP="00987B68">
      <w:r w:rsidRPr="00B07696">
        <w:t>The amendments to the OBU regime d</w:t>
      </w:r>
      <w:r>
        <w:t>id</w:t>
      </w:r>
      <w:r w:rsidRPr="00B07696">
        <w:t xml:space="preserve"> not require OBUs to change their operations. </w:t>
      </w:r>
    </w:p>
    <w:p w14:paraId="6428D087" w14:textId="77777777" w:rsidR="00987B68" w:rsidRDefault="00987B68" w:rsidP="00987B68">
      <w:r>
        <w:rPr>
          <w:rStyle w:val="normaltextrun"/>
          <w:rFonts w:eastAsiaTheme="majorEastAsia" w:cs="Calibri Light"/>
          <w:color w:val="000000"/>
          <w:szCs w:val="22"/>
          <w:shd w:val="clear" w:color="auto" w:fill="FFFFFF"/>
        </w:rPr>
        <w:t>However, as a result of the amendments, it is reasonable to assume OBUs</w:t>
      </w:r>
      <w:r w:rsidRPr="00EE37AB">
        <w:rPr>
          <w:rStyle w:val="normaltextrun"/>
          <w:rFonts w:eastAsiaTheme="majorEastAsia" w:cs="Calibri Light"/>
          <w:color w:val="000000"/>
          <w:szCs w:val="22"/>
          <w:shd w:val="clear" w:color="auto" w:fill="FFFFFF"/>
        </w:rPr>
        <w:t xml:space="preserve"> could </w:t>
      </w:r>
      <w:r>
        <w:rPr>
          <w:rStyle w:val="normaltextrun"/>
          <w:rFonts w:eastAsiaTheme="majorEastAsia" w:cs="Calibri Light"/>
          <w:color w:val="000000"/>
          <w:szCs w:val="22"/>
          <w:shd w:val="clear" w:color="auto" w:fill="FFFFFF"/>
        </w:rPr>
        <w:t xml:space="preserve">choose to change their </w:t>
      </w:r>
      <w:r>
        <w:t>operations</w:t>
      </w:r>
      <w:r>
        <w:rPr>
          <w:rStyle w:val="normaltextrun"/>
          <w:rFonts w:eastAsiaTheme="majorEastAsia" w:cs="Calibri Light"/>
          <w:color w:val="000000"/>
          <w:szCs w:val="22"/>
          <w:shd w:val="clear" w:color="auto" w:fill="FFFFFF"/>
        </w:rPr>
        <w:t>, for example by relocating some or all of their OB activities from Australia to jurisdictions that apply a lower tax rate. As noted earlier, businesses are unlikely to continue operating within the regime considering it involves specific administrative and compliance requirements, but no longer provides a tax advantage.</w:t>
      </w:r>
      <w:r>
        <w:rPr>
          <w:rStyle w:val="eop"/>
          <w:rFonts w:cs="Calibri Light"/>
          <w:color w:val="000000"/>
          <w:szCs w:val="22"/>
          <w:shd w:val="clear" w:color="auto" w:fill="FFFFFF"/>
        </w:rPr>
        <w:t> </w:t>
      </w:r>
    </w:p>
    <w:p w14:paraId="0CD4C5B4" w14:textId="77777777" w:rsidR="00987B68" w:rsidRPr="00515524" w:rsidRDefault="00987B68" w:rsidP="00987B68">
      <w:pPr>
        <w:rPr>
          <w:rFonts w:asciiTheme="minorHAnsi" w:hAnsiTheme="minorHAnsi"/>
        </w:rPr>
      </w:pPr>
      <w:r>
        <w:t xml:space="preserve">When the legislation to remove the concessional OBU tax rate was introduced, it was expected that some initial </w:t>
      </w:r>
      <w:r w:rsidRPr="00B07696">
        <w:t>transitional costs associated with seeking tax advice</w:t>
      </w:r>
      <w:r>
        <w:t xml:space="preserve"> would be incurred.</w:t>
      </w:r>
      <w:r w:rsidRPr="00B07696">
        <w:t xml:space="preserve"> </w:t>
      </w:r>
      <w:r>
        <w:t>H</w:t>
      </w:r>
      <w:r w:rsidRPr="00B07696">
        <w:t xml:space="preserve">owever, </w:t>
      </w:r>
      <w:r>
        <w:t xml:space="preserve">these were considered likely to be </w:t>
      </w:r>
      <w:r w:rsidRPr="00B07696">
        <w:t xml:space="preserve">minimal as the changes </w:t>
      </w:r>
      <w:r>
        <w:t>were</w:t>
      </w:r>
      <w:r w:rsidRPr="00B07696">
        <w:t xml:space="preserve"> limited to </w:t>
      </w:r>
      <w:r>
        <w:t>reducing</w:t>
      </w:r>
      <w:r w:rsidRPr="00B07696">
        <w:t xml:space="preserve"> the effective tax rate. </w:t>
      </w:r>
      <w:r>
        <w:t xml:space="preserve">No ATO tax rulings were required to explain the changes and the enactment of the amendments would have provided certainty for industry. Further, OBUs are sophisticated taxpayers with established links to tax advisory firms and the ATO. </w:t>
      </w:r>
    </w:p>
    <w:p w14:paraId="59B14B21" w14:textId="77777777" w:rsidR="00987B68" w:rsidRDefault="00987B68" w:rsidP="00987B68">
      <w:r>
        <w:lastRenderedPageBreak/>
        <w:t xml:space="preserve">The ATO provided a compliance cost assessment before the amendments were enacted in 2021 which determined the magnitude of the ‘learning and education’ impact to be ‘minor or non-measurable’. The compliance assessment noted that affected entities will need to be aware of and familiar with the changes, but this is </w:t>
      </w:r>
      <w:r w:rsidRPr="00AE1C9F">
        <w:t xml:space="preserve">expected to be relatively straightforward and potentially part of their existing taxation update processes. This assessment estimated that approximately 20 tax agents would be affected by the proposal. </w:t>
      </w:r>
      <w:r>
        <w:t xml:space="preserve">In the short term, increased advice from tax agents is likely as a result of initial evaluation and planning costs for the transition. However, in the long term, advice sought from affected tax agents is likely to reduce as </w:t>
      </w:r>
      <w:r w:rsidRPr="001119BA">
        <w:t xml:space="preserve">entities will no longer need to distinguish between OB and non-OB activities </w:t>
      </w:r>
      <w:r>
        <w:t xml:space="preserve">or </w:t>
      </w:r>
      <w:r w:rsidRPr="001119BA">
        <w:t>report this information to the ATO.</w:t>
      </w:r>
      <w:r>
        <w:t xml:space="preserve"> </w:t>
      </w:r>
      <w:r w:rsidRPr="00AE1C9F">
        <w:t>It also concluded that a ‘low increase’ in evaluation and planning resources would be required for firms to respond</w:t>
      </w:r>
      <w:r>
        <w:t xml:space="preserve"> to the changes. </w:t>
      </w:r>
    </w:p>
    <w:p w14:paraId="019C086F" w14:textId="77777777" w:rsidR="00987B68" w:rsidRDefault="00987B68" w:rsidP="00987B68">
      <w:r w:rsidRPr="00601040">
        <w:t>Entities will need to consider any impacts on their business and whether to conduct OBU activities at the non-concessional rate</w:t>
      </w:r>
      <w:r>
        <w:t>. OBUs will incur a once-off increase in compliance costs associated with moving from their current taxation treatment to the updated treatment, typically occurring in the first income year following commencement, but potentially extending over several income years. Over the longer term, OBUs will benefit from subsequent and ongoing compliance cost savings because they no longer need to distinguish between OB and non-OB activities when reporting to the ATO. For this reason, the ATO compliance cost assessment states that on-going impacts on the OBU sector will decrease in terms of:</w:t>
      </w:r>
    </w:p>
    <w:p w14:paraId="59FC3CD3" w14:textId="77777777" w:rsidR="00987B68" w:rsidRDefault="00987B68" w:rsidP="00987B68">
      <w:pPr>
        <w:pStyle w:val="Bullet"/>
      </w:pPr>
      <w:r>
        <w:t>record keeping of systems and procedures</w:t>
      </w:r>
    </w:p>
    <w:p w14:paraId="3CB654D4" w14:textId="77777777" w:rsidR="00987B68" w:rsidRDefault="00987B68" w:rsidP="00987B68">
      <w:pPr>
        <w:pStyle w:val="Bullet"/>
      </w:pPr>
      <w:r>
        <w:t>forms and payments</w:t>
      </w:r>
    </w:p>
    <w:p w14:paraId="39E116B8" w14:textId="77777777" w:rsidR="00987B68" w:rsidRDefault="00987B68" w:rsidP="00987B68">
      <w:pPr>
        <w:pStyle w:val="Bullet"/>
      </w:pPr>
      <w:r>
        <w:t>equipment and software.</w:t>
      </w:r>
    </w:p>
    <w:p w14:paraId="0B31522F" w14:textId="77777777" w:rsidR="00987B68" w:rsidRDefault="00987B68" w:rsidP="00987B68">
      <w:pPr>
        <w:rPr>
          <w:iCs/>
        </w:rPr>
      </w:pPr>
      <w:r>
        <w:rPr>
          <w:iCs/>
        </w:rPr>
        <w:t xml:space="preserve">The ATO </w:t>
      </w:r>
      <w:r w:rsidRPr="00AE1C9F">
        <w:rPr>
          <w:iCs/>
        </w:rPr>
        <w:t xml:space="preserve">compliance cost assessment estimated that approximately 65 companies will be affected by the proposal. </w:t>
      </w:r>
      <w:r>
        <w:rPr>
          <w:iCs/>
        </w:rPr>
        <w:t xml:space="preserve">The ATO’s tax regulation impact assessment outlined in </w:t>
      </w:r>
      <w:r w:rsidRPr="00AE1C9F">
        <w:rPr>
          <w:iCs/>
        </w:rPr>
        <w:t xml:space="preserve">Table </w:t>
      </w:r>
      <w:r>
        <w:rPr>
          <w:iCs/>
        </w:rPr>
        <w:t>2 indicates</w:t>
      </w:r>
      <w:r w:rsidRPr="00AE1C9F">
        <w:rPr>
          <w:iCs/>
        </w:rPr>
        <w:t xml:space="preserve"> the estimated implementation</w:t>
      </w:r>
      <w:r>
        <w:rPr>
          <w:iCs/>
        </w:rPr>
        <w:t xml:space="preserve"> and ongoing impacts resulting from the changes at both the client and aggregate level. The table indicates companies will face initial transitional costs as they seek tax advice to undertake some evaluation and planning. The amendments are projected to result in ongoing cost savings as OBUs no longer incur costs arising from specific administrative and compliance requirements. </w:t>
      </w:r>
    </w:p>
    <w:p w14:paraId="7E2A9788" w14:textId="77777777" w:rsidR="00987B68" w:rsidRPr="00F46750" w:rsidRDefault="00987B68" w:rsidP="00987B68">
      <w:pPr>
        <w:keepNext/>
      </w:pPr>
      <w:r w:rsidRPr="004A3294">
        <w:rPr>
          <w:i/>
          <w:iCs/>
        </w:rPr>
        <w:t xml:space="preserve">Table </w:t>
      </w:r>
      <w:r w:rsidRPr="004A3294">
        <w:rPr>
          <w:i/>
          <w:iCs/>
        </w:rPr>
        <w:fldChar w:fldCharType="begin"/>
      </w:r>
      <w:r w:rsidRPr="004A3294">
        <w:rPr>
          <w:i/>
          <w:iCs/>
        </w:rPr>
        <w:instrText>SEQ Table \* ARABIC</w:instrText>
      </w:r>
      <w:r w:rsidRPr="004A3294">
        <w:rPr>
          <w:i/>
          <w:iCs/>
        </w:rPr>
        <w:fldChar w:fldCharType="separate"/>
      </w:r>
      <w:r w:rsidRPr="004A3294">
        <w:rPr>
          <w:i/>
          <w:iCs/>
        </w:rPr>
        <w:t>2</w:t>
      </w:r>
      <w:r w:rsidRPr="004A3294">
        <w:rPr>
          <w:i/>
          <w:iCs/>
        </w:rPr>
        <w:fldChar w:fldCharType="end"/>
      </w:r>
      <w:r w:rsidRPr="004A3294">
        <w:rPr>
          <w:i/>
          <w:iCs/>
        </w:rPr>
        <w:t>: Estimated compliance costs to OBUs as a result of amendments to the OBU regime</w:t>
      </w:r>
    </w:p>
    <w:tbl>
      <w:tblPr>
        <w:tblW w:w="8642" w:type="dxa"/>
        <w:tblBorders>
          <w:top w:val="single" w:sz="4" w:space="0" w:color="auto"/>
        </w:tblBorders>
        <w:tblCellMar>
          <w:left w:w="0" w:type="dxa"/>
          <w:right w:w="28" w:type="dxa"/>
        </w:tblCellMar>
        <w:tblLook w:val="01E0" w:firstRow="1" w:lastRow="1" w:firstColumn="1" w:lastColumn="1" w:noHBand="0" w:noVBand="0"/>
      </w:tblPr>
      <w:tblGrid>
        <w:gridCol w:w="3770"/>
        <w:gridCol w:w="2918"/>
        <w:gridCol w:w="1954"/>
      </w:tblGrid>
      <w:tr w:rsidR="00987B68" w:rsidRPr="003367CD" w14:paraId="58539A64" w14:textId="77777777" w:rsidTr="002C0621">
        <w:tc>
          <w:tcPr>
            <w:tcW w:w="3770" w:type="dxa"/>
            <w:tcBorders>
              <w:top w:val="single" w:sz="4" w:space="0" w:color="auto"/>
              <w:left w:val="single" w:sz="4" w:space="0" w:color="auto"/>
              <w:bottom w:val="single" w:sz="4" w:space="0" w:color="auto"/>
              <w:right w:val="single" w:sz="4" w:space="0" w:color="auto"/>
            </w:tcBorders>
            <w:shd w:val="clear" w:color="auto" w:fill="auto"/>
            <w:vAlign w:val="bottom"/>
          </w:tcPr>
          <w:p w14:paraId="43044108" w14:textId="77777777" w:rsidR="00987B68" w:rsidRPr="003367CD" w:rsidRDefault="00987B68" w:rsidP="002C0621">
            <w:pPr>
              <w:rPr>
                <w:b/>
                <w:bCs/>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F96DE" w14:textId="77777777" w:rsidR="00987B68" w:rsidRPr="003367CD" w:rsidRDefault="00987B68" w:rsidP="002C0621">
            <w:pPr>
              <w:rPr>
                <w:b/>
                <w:bCs/>
              </w:rPr>
            </w:pPr>
            <w:r w:rsidRPr="003367CD">
              <w:rPr>
                <w:b/>
                <w:bCs/>
              </w:rPr>
              <w:t>Total</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B76A6" w14:textId="77777777" w:rsidR="00987B68" w:rsidRPr="003367CD" w:rsidRDefault="00987B68" w:rsidP="002C0621">
            <w:pPr>
              <w:rPr>
                <w:b/>
                <w:bCs/>
              </w:rPr>
            </w:pPr>
            <w:r w:rsidRPr="003367CD">
              <w:rPr>
                <w:b/>
                <w:bCs/>
              </w:rPr>
              <w:t>Per client</w:t>
            </w:r>
          </w:p>
        </w:tc>
      </w:tr>
      <w:tr w:rsidR="00987B68" w:rsidRPr="003367CD" w14:paraId="34C3A4FA" w14:textId="77777777" w:rsidTr="002C0621">
        <w:tc>
          <w:tcPr>
            <w:tcW w:w="3770" w:type="dxa"/>
            <w:tcBorders>
              <w:top w:val="single" w:sz="4" w:space="0" w:color="auto"/>
              <w:left w:val="single" w:sz="4" w:space="0" w:color="auto"/>
              <w:bottom w:val="single" w:sz="4" w:space="0" w:color="auto"/>
              <w:right w:val="single" w:sz="4" w:space="0" w:color="auto"/>
            </w:tcBorders>
            <w:hideMark/>
          </w:tcPr>
          <w:p w14:paraId="1A56D13C" w14:textId="77777777" w:rsidR="00987B68" w:rsidRPr="003367CD" w:rsidRDefault="00987B68" w:rsidP="002C0621">
            <w:pPr>
              <w:rPr>
                <w:b/>
                <w:bCs/>
              </w:rPr>
            </w:pPr>
            <w:r w:rsidRPr="003367CD">
              <w:rPr>
                <w:iCs/>
              </w:rPr>
              <w:t>Implementation</w:t>
            </w:r>
          </w:p>
        </w:tc>
        <w:tc>
          <w:tcPr>
            <w:tcW w:w="2918" w:type="dxa"/>
            <w:tcBorders>
              <w:top w:val="single" w:sz="4" w:space="0" w:color="auto"/>
              <w:left w:val="single" w:sz="4" w:space="0" w:color="auto"/>
              <w:bottom w:val="single" w:sz="4" w:space="0" w:color="auto"/>
              <w:right w:val="single" w:sz="4" w:space="0" w:color="auto"/>
            </w:tcBorders>
            <w:hideMark/>
          </w:tcPr>
          <w:p w14:paraId="0FA5BBA6" w14:textId="77777777" w:rsidR="00987B68" w:rsidRPr="003367CD" w:rsidRDefault="00987B68" w:rsidP="002C0621">
            <w:pPr>
              <w:rPr>
                <w:bCs/>
              </w:rPr>
            </w:pPr>
            <w:r w:rsidRPr="003367CD">
              <w:rPr>
                <w:bCs/>
              </w:rPr>
              <w:t>$550,000</w:t>
            </w:r>
          </w:p>
        </w:tc>
        <w:tc>
          <w:tcPr>
            <w:tcW w:w="1954" w:type="dxa"/>
            <w:tcBorders>
              <w:top w:val="single" w:sz="4" w:space="0" w:color="auto"/>
              <w:left w:val="single" w:sz="4" w:space="0" w:color="auto"/>
              <w:bottom w:val="single" w:sz="4" w:space="0" w:color="auto"/>
              <w:right w:val="single" w:sz="4" w:space="0" w:color="auto"/>
            </w:tcBorders>
            <w:hideMark/>
          </w:tcPr>
          <w:p w14:paraId="641C8267" w14:textId="77777777" w:rsidR="00987B68" w:rsidRPr="003367CD" w:rsidRDefault="00987B68" w:rsidP="002C0621">
            <w:pPr>
              <w:rPr>
                <w:bCs/>
              </w:rPr>
            </w:pPr>
            <w:r w:rsidRPr="003367CD">
              <w:rPr>
                <w:bCs/>
              </w:rPr>
              <w:t>$8,400</w:t>
            </w:r>
          </w:p>
        </w:tc>
      </w:tr>
      <w:tr w:rsidR="00987B68" w:rsidRPr="003367CD" w14:paraId="3DBC99A1" w14:textId="77777777" w:rsidTr="002C0621">
        <w:tc>
          <w:tcPr>
            <w:tcW w:w="3770" w:type="dxa"/>
            <w:tcBorders>
              <w:top w:val="single" w:sz="4" w:space="0" w:color="auto"/>
              <w:left w:val="single" w:sz="4" w:space="0" w:color="auto"/>
              <w:bottom w:val="single" w:sz="4" w:space="0" w:color="auto"/>
              <w:right w:val="single" w:sz="4" w:space="0" w:color="auto"/>
            </w:tcBorders>
            <w:hideMark/>
          </w:tcPr>
          <w:p w14:paraId="509CD273" w14:textId="77777777" w:rsidR="00987B68" w:rsidRPr="003367CD" w:rsidRDefault="00987B68" w:rsidP="002C0621">
            <w:pPr>
              <w:rPr>
                <w:iCs/>
              </w:rPr>
            </w:pPr>
            <w:r w:rsidRPr="003367CD">
              <w:rPr>
                <w:iCs/>
              </w:rPr>
              <w:t>Ongoing (p.a.)</w:t>
            </w:r>
          </w:p>
        </w:tc>
        <w:tc>
          <w:tcPr>
            <w:tcW w:w="2918" w:type="dxa"/>
            <w:tcBorders>
              <w:top w:val="single" w:sz="4" w:space="0" w:color="auto"/>
              <w:left w:val="single" w:sz="4" w:space="0" w:color="auto"/>
              <w:bottom w:val="single" w:sz="4" w:space="0" w:color="auto"/>
              <w:right w:val="single" w:sz="4" w:space="0" w:color="auto"/>
            </w:tcBorders>
            <w:hideMark/>
          </w:tcPr>
          <w:p w14:paraId="2B42787F" w14:textId="77777777" w:rsidR="00987B68" w:rsidRPr="003367CD" w:rsidRDefault="00987B68" w:rsidP="002C0621">
            <w:pPr>
              <w:rPr>
                <w:bCs/>
              </w:rPr>
            </w:pPr>
            <w:r w:rsidRPr="003367CD">
              <w:rPr>
                <w:bCs/>
              </w:rPr>
              <w:t>-$380,000</w:t>
            </w:r>
          </w:p>
        </w:tc>
        <w:tc>
          <w:tcPr>
            <w:tcW w:w="1954" w:type="dxa"/>
            <w:tcBorders>
              <w:top w:val="single" w:sz="4" w:space="0" w:color="auto"/>
              <w:left w:val="single" w:sz="4" w:space="0" w:color="auto"/>
              <w:bottom w:val="single" w:sz="4" w:space="0" w:color="auto"/>
              <w:right w:val="single" w:sz="4" w:space="0" w:color="auto"/>
            </w:tcBorders>
            <w:hideMark/>
          </w:tcPr>
          <w:p w14:paraId="30155723" w14:textId="77777777" w:rsidR="00987B68" w:rsidRPr="003367CD" w:rsidRDefault="00987B68" w:rsidP="002C0621">
            <w:pPr>
              <w:rPr>
                <w:bCs/>
              </w:rPr>
            </w:pPr>
            <w:r w:rsidRPr="003367CD">
              <w:rPr>
                <w:bCs/>
              </w:rPr>
              <w:t>-$5,900</w:t>
            </w:r>
          </w:p>
        </w:tc>
      </w:tr>
      <w:tr w:rsidR="00987B68" w:rsidRPr="003367CD" w14:paraId="06FDF1F5" w14:textId="77777777" w:rsidTr="002C0621">
        <w:tc>
          <w:tcPr>
            <w:tcW w:w="3770" w:type="dxa"/>
            <w:tcBorders>
              <w:top w:val="single" w:sz="4" w:space="0" w:color="auto"/>
              <w:left w:val="single" w:sz="4" w:space="0" w:color="auto"/>
              <w:bottom w:val="single" w:sz="4" w:space="0" w:color="auto"/>
              <w:right w:val="single" w:sz="4" w:space="0" w:color="auto"/>
            </w:tcBorders>
            <w:hideMark/>
          </w:tcPr>
          <w:p w14:paraId="075E8D02" w14:textId="77777777" w:rsidR="00987B68" w:rsidRPr="003367CD" w:rsidRDefault="00987B68" w:rsidP="002C0621">
            <w:pPr>
              <w:rPr>
                <w:bCs/>
              </w:rPr>
            </w:pPr>
            <w:r w:rsidRPr="003367CD">
              <w:rPr>
                <w:bCs/>
              </w:rPr>
              <w:t>Aggregate impact over 10-year duration</w:t>
            </w:r>
          </w:p>
        </w:tc>
        <w:tc>
          <w:tcPr>
            <w:tcW w:w="2918" w:type="dxa"/>
            <w:tcBorders>
              <w:top w:val="single" w:sz="4" w:space="0" w:color="auto"/>
              <w:left w:val="single" w:sz="4" w:space="0" w:color="auto"/>
              <w:bottom w:val="single" w:sz="4" w:space="0" w:color="auto"/>
              <w:right w:val="single" w:sz="4" w:space="0" w:color="auto"/>
            </w:tcBorders>
            <w:hideMark/>
          </w:tcPr>
          <w:p w14:paraId="51543F32" w14:textId="77777777" w:rsidR="00987B68" w:rsidRPr="003367CD" w:rsidRDefault="00987B68" w:rsidP="002C0621">
            <w:pPr>
              <w:rPr>
                <w:bCs/>
              </w:rPr>
            </w:pPr>
            <w:r w:rsidRPr="003367CD">
              <w:rPr>
                <w:bCs/>
              </w:rPr>
              <w:t>-$3,300,000</w:t>
            </w:r>
          </w:p>
        </w:tc>
        <w:tc>
          <w:tcPr>
            <w:tcW w:w="1954" w:type="dxa"/>
            <w:vMerge w:val="restart"/>
            <w:tcBorders>
              <w:top w:val="single" w:sz="4" w:space="0" w:color="auto"/>
              <w:left w:val="single" w:sz="4" w:space="0" w:color="auto"/>
              <w:right w:val="single" w:sz="4" w:space="0" w:color="auto"/>
            </w:tcBorders>
          </w:tcPr>
          <w:p w14:paraId="28094738" w14:textId="77777777" w:rsidR="00987B68" w:rsidRPr="003367CD" w:rsidRDefault="00987B68" w:rsidP="002C0621">
            <w:pPr>
              <w:rPr>
                <w:bCs/>
              </w:rPr>
            </w:pPr>
          </w:p>
        </w:tc>
      </w:tr>
      <w:tr w:rsidR="00987B68" w:rsidRPr="003367CD" w14:paraId="2A06EAAF" w14:textId="77777777" w:rsidTr="002C0621">
        <w:tc>
          <w:tcPr>
            <w:tcW w:w="3770" w:type="dxa"/>
            <w:tcBorders>
              <w:top w:val="single" w:sz="4" w:space="0" w:color="auto"/>
              <w:left w:val="single" w:sz="4" w:space="0" w:color="auto"/>
              <w:bottom w:val="single" w:sz="4" w:space="0" w:color="auto"/>
              <w:right w:val="single" w:sz="4" w:space="0" w:color="auto"/>
            </w:tcBorders>
            <w:hideMark/>
          </w:tcPr>
          <w:p w14:paraId="573809D6" w14:textId="77777777" w:rsidR="00987B68" w:rsidRPr="003367CD" w:rsidRDefault="00987B68" w:rsidP="002C0621">
            <w:pPr>
              <w:rPr>
                <w:iCs/>
              </w:rPr>
            </w:pPr>
            <w:r w:rsidRPr="003367CD">
              <w:rPr>
                <w:iCs/>
              </w:rPr>
              <w:t>Per year (10 years)</w:t>
            </w:r>
          </w:p>
        </w:tc>
        <w:tc>
          <w:tcPr>
            <w:tcW w:w="2918" w:type="dxa"/>
            <w:tcBorders>
              <w:top w:val="single" w:sz="4" w:space="0" w:color="auto"/>
              <w:left w:val="single" w:sz="4" w:space="0" w:color="auto"/>
              <w:bottom w:val="single" w:sz="4" w:space="0" w:color="auto"/>
              <w:right w:val="single" w:sz="4" w:space="0" w:color="auto"/>
            </w:tcBorders>
            <w:hideMark/>
          </w:tcPr>
          <w:p w14:paraId="1BDE3BAC" w14:textId="77777777" w:rsidR="00987B68" w:rsidRPr="003367CD" w:rsidRDefault="00987B68" w:rsidP="002C0621">
            <w:pPr>
              <w:rPr>
                <w:bCs/>
              </w:rPr>
            </w:pPr>
            <w:r w:rsidRPr="003367CD">
              <w:rPr>
                <w:bCs/>
              </w:rPr>
              <w:t>-$330,000</w:t>
            </w:r>
          </w:p>
        </w:tc>
        <w:tc>
          <w:tcPr>
            <w:tcW w:w="1954" w:type="dxa"/>
            <w:vMerge/>
            <w:tcBorders>
              <w:left w:val="single" w:sz="4" w:space="0" w:color="auto"/>
              <w:bottom w:val="single" w:sz="4" w:space="0" w:color="auto"/>
              <w:right w:val="single" w:sz="4" w:space="0" w:color="auto"/>
            </w:tcBorders>
            <w:vAlign w:val="center"/>
            <w:hideMark/>
          </w:tcPr>
          <w:p w14:paraId="37A402A9" w14:textId="77777777" w:rsidR="00987B68" w:rsidRPr="003367CD" w:rsidRDefault="00987B68" w:rsidP="002C0621">
            <w:pPr>
              <w:rPr>
                <w:bCs/>
              </w:rPr>
            </w:pPr>
          </w:p>
        </w:tc>
      </w:tr>
    </w:tbl>
    <w:p w14:paraId="6665F485" w14:textId="77777777" w:rsidR="00987B68" w:rsidRDefault="00987B68" w:rsidP="00987B68"/>
    <w:p w14:paraId="70626DF3" w14:textId="77777777" w:rsidR="00987B68" w:rsidRDefault="00987B68" w:rsidP="00987B68">
      <w:pPr>
        <w:spacing w:before="0" w:after="200" w:line="276" w:lineRule="auto"/>
      </w:pPr>
      <w:r>
        <w:t xml:space="preserve">In 2021 and 2022 the ATO provided OBUs with targeted information on transitional issues relating to the cessation of the regime. The information was designed to assist OBUs in their understanding of the changes to the regime and various in which those changes could impact on OBUs’ tax obligations. </w:t>
      </w:r>
      <w:r>
        <w:br w:type="page"/>
      </w:r>
    </w:p>
    <w:p w14:paraId="0B21091A" w14:textId="77777777" w:rsidR="00987B68" w:rsidRPr="005B0B7E" w:rsidRDefault="00987B68" w:rsidP="00987B68">
      <w:pPr>
        <w:pStyle w:val="Heading1"/>
      </w:pPr>
      <w:bookmarkStart w:id="19" w:name="_Toc144804565"/>
      <w:r>
        <w:lastRenderedPageBreak/>
        <w:t>Which stakeholders have been consulted for this review?</w:t>
      </w:r>
      <w:bookmarkEnd w:id="19"/>
    </w:p>
    <w:p w14:paraId="0D66EDCF" w14:textId="77777777" w:rsidR="00987B68" w:rsidRDefault="00987B68" w:rsidP="00987B68">
      <w:pPr>
        <w:pStyle w:val="Heading2"/>
      </w:pPr>
      <w:bookmarkStart w:id="20" w:name="_Toc144804566"/>
      <w:r>
        <w:t>Consultation on a possible replacement regime</w:t>
      </w:r>
      <w:bookmarkEnd w:id="20"/>
    </w:p>
    <w:p w14:paraId="40BDDCFD" w14:textId="77777777" w:rsidR="00987B68" w:rsidRDefault="00987B68" w:rsidP="00987B68">
      <w:r>
        <w:t>When announcing the OBU reforms with grandfathering arrangements on</w:t>
      </w:r>
      <w:r w:rsidRPr="00A5025C">
        <w:t xml:space="preserve"> 12</w:t>
      </w:r>
      <w:r>
        <w:t> </w:t>
      </w:r>
      <w:r w:rsidRPr="00A5025C">
        <w:t>March</w:t>
      </w:r>
      <w:r>
        <w:t> </w:t>
      </w:r>
      <w:r w:rsidRPr="00A5025C">
        <w:t>2021</w:t>
      </w:r>
      <w:r>
        <w:t>, the former Treasurer also noted that the Government intended to use the transition period as a ‘</w:t>
      </w:r>
      <w:r w:rsidRPr="00A5025C">
        <w:t>time to consult with industry on alternative measures to support the industry and ensure activity remains in Australia once the two</w:t>
      </w:r>
      <w:r>
        <w:t>-</w:t>
      </w:r>
      <w:r w:rsidRPr="00A5025C">
        <w:t>year grandfathering period ends.</w:t>
      </w:r>
      <w:r>
        <w:t>’</w:t>
      </w:r>
    </w:p>
    <w:p w14:paraId="4ED3B7FE" w14:textId="77777777" w:rsidR="00987B68" w:rsidRDefault="00987B68" w:rsidP="00987B68">
      <w:r>
        <w:t xml:space="preserve">Consultation with industry participants on a possible replacement regime predominantly took place between July and November 2021. Views were canvassed in eight </w:t>
      </w:r>
      <w:r w:rsidRPr="00F934A9">
        <w:t xml:space="preserve">meetings </w:t>
      </w:r>
      <w:r>
        <w:t xml:space="preserve">(teleconferences) </w:t>
      </w:r>
      <w:r w:rsidRPr="00F934A9">
        <w:t>involving 13</w:t>
      </w:r>
      <w:r>
        <w:t> </w:t>
      </w:r>
      <w:r w:rsidRPr="00F934A9">
        <w:t xml:space="preserve">organisations, including from the industry associations </w:t>
      </w:r>
      <w:r>
        <w:t>Australian Financial Markets Association (</w:t>
      </w:r>
      <w:r w:rsidRPr="00F934A9">
        <w:t>AFMA</w:t>
      </w:r>
      <w:r>
        <w:t>)</w:t>
      </w:r>
      <w:r w:rsidRPr="00F934A9">
        <w:t xml:space="preserve">, </w:t>
      </w:r>
      <w:r>
        <w:t>Australian Banking Association (</w:t>
      </w:r>
      <w:r w:rsidRPr="00F934A9">
        <w:t>ABA</w:t>
      </w:r>
      <w:r>
        <w:t>)</w:t>
      </w:r>
      <w:r w:rsidRPr="00F934A9">
        <w:t xml:space="preserve"> and </w:t>
      </w:r>
      <w:r>
        <w:t>the Financial Services Council (</w:t>
      </w:r>
      <w:r w:rsidRPr="00F934A9">
        <w:t>FSC</w:t>
      </w:r>
      <w:r>
        <w:t>)</w:t>
      </w:r>
      <w:r w:rsidRPr="00F934A9">
        <w:t xml:space="preserve">. Subsequent </w:t>
      </w:r>
      <w:r>
        <w:t xml:space="preserve">discussions and meetings </w:t>
      </w:r>
      <w:r w:rsidRPr="00F934A9">
        <w:t xml:space="preserve">also </w:t>
      </w:r>
      <w:r>
        <w:t xml:space="preserve">took </w:t>
      </w:r>
      <w:r w:rsidRPr="00F934A9">
        <w:t>place in 2022 and 2023, most</w:t>
      </w:r>
      <w:r>
        <w:t>ly</w:t>
      </w:r>
      <w:r w:rsidRPr="00F934A9">
        <w:t xml:space="preserve"> involving a subset of the initial 13</w:t>
      </w:r>
      <w:r>
        <w:t> </w:t>
      </w:r>
      <w:r w:rsidRPr="00F934A9">
        <w:t>participants</w:t>
      </w:r>
      <w:r>
        <w:t xml:space="preserve">. </w:t>
      </w:r>
    </w:p>
    <w:p w14:paraId="2B465C33" w14:textId="77777777" w:rsidR="00987B68" w:rsidRDefault="00987B68" w:rsidP="00987B68">
      <w:r>
        <w:t xml:space="preserve">Most stakeholders acknowledged the reason for the removal of the concessional tax rate and agreed it was necessary in the circumstances but nevertheless sought a replacement tax concession, with some indicating that they would consider relocating offshore without a timely Government commitment to a replacement regime. Options put forward included bespoke proposals tailored to specific activities as well more general options. </w:t>
      </w:r>
    </w:p>
    <w:p w14:paraId="454BCA99" w14:textId="77777777" w:rsidR="00987B68" w:rsidRDefault="00987B68" w:rsidP="00987B68">
      <w:r>
        <w:t>At the time of writing, no replacement regime has been announced. Any replacement regime that focuses on preferential tax treatment would need to be cognisant of the OECD FHTP requirements. The OECD FHTP annually monitors and assesses Australia’s implementation of the grandfathering arrangements that accompanied its removal of the OBU tax concession. Should a decision be taken to introduce an alternative regime, draft legislation would ideally be ‘endorsed’ by the FHTP prior to passage in Australia, to avoid returning to a situation where the FHTP considers this regime harmful and the potential for negative consequences such as sanctions</w:t>
      </w:r>
      <w:r w:rsidRPr="005815BF">
        <w:t xml:space="preserve"> </w:t>
      </w:r>
      <w:r>
        <w:t>re-emerges.</w:t>
      </w:r>
    </w:p>
    <w:p w14:paraId="07A820A9" w14:textId="77777777" w:rsidR="00987B68" w:rsidRDefault="00987B68" w:rsidP="00987B68">
      <w:r>
        <w:t xml:space="preserve">The G20/OECD Two Pillars Solution </w:t>
      </w:r>
      <w:r w:rsidRPr="00F94023">
        <w:t xml:space="preserve">(which </w:t>
      </w:r>
      <w:r>
        <w:t>proposes</w:t>
      </w:r>
      <w:r w:rsidRPr="00F94023">
        <w:t xml:space="preserve"> a minimum 15 per cent tax rate for multinational enterprises with revenue above €750 million from 2023) </w:t>
      </w:r>
      <w:r>
        <w:t xml:space="preserve">may also result in changes to the </w:t>
      </w:r>
      <w:r w:rsidRPr="00F94023">
        <w:t>FHTP</w:t>
      </w:r>
      <w:r>
        <w:t>’s</w:t>
      </w:r>
      <w:r w:rsidRPr="00F94023">
        <w:t xml:space="preserve"> </w:t>
      </w:r>
      <w:r>
        <w:t xml:space="preserve">work over time. The Two Pillars work is focussed on reviewing international taxation rules ensure that multinational enterprises pay a fair share of tax wherever they operate.  </w:t>
      </w:r>
    </w:p>
    <w:p w14:paraId="57F99509" w14:textId="77777777" w:rsidR="00987B68" w:rsidRDefault="00987B68" w:rsidP="00987B68">
      <w:r>
        <w:t xml:space="preserve">Some stakeholders raised the expectation that the Two Pillars solution would mean that any </w:t>
      </w:r>
      <w:r w:rsidRPr="00F94023">
        <w:t>regime with a tax rate of at least 15 per cent would not meet the ‘low or no tax criterion’.</w:t>
      </w:r>
      <w:r>
        <w:t xml:space="preserve"> That is, they asserted that a further amendment to the OBU regime to introduce a 15 per cent tax rate on OB activities would meet international standards (inferring that the ‘no ringfencing’ criteria would no longer be relevant for tax rates above 15 per cent). However, there is no indication that such changes to the harmful tax practice guidelines will eventuate. </w:t>
      </w:r>
      <w:r w:rsidRPr="00F94023">
        <w:t xml:space="preserve">Should the FHTP mandate change in light of the </w:t>
      </w:r>
      <w:r w:rsidRPr="008F01C7">
        <w:t>Two</w:t>
      </w:r>
      <w:r>
        <w:t> </w:t>
      </w:r>
      <w:r w:rsidRPr="008F01C7">
        <w:t>Pillars</w:t>
      </w:r>
      <w:r w:rsidRPr="00F94023">
        <w:t xml:space="preserve"> solution,</w:t>
      </w:r>
      <w:r>
        <w:t xml:space="preserve"> new alternative </w:t>
      </w:r>
      <w:r w:rsidRPr="00F94023">
        <w:t>tax</w:t>
      </w:r>
      <w:r>
        <w:t xml:space="preserve"> options</w:t>
      </w:r>
      <w:r w:rsidRPr="00F94023">
        <w:t xml:space="preserve"> may be possible</w:t>
      </w:r>
      <w:r>
        <w:t xml:space="preserve"> in the future.</w:t>
      </w:r>
    </w:p>
    <w:p w14:paraId="1CD76977" w14:textId="77777777" w:rsidR="00987B68" w:rsidRDefault="00987B68" w:rsidP="00987B68">
      <w:r>
        <w:t xml:space="preserve">Consultation also took place prior to the former Treasurer’s announcement on 12 March 2021, specifically in relation to the risk posed by potential EU regulations (and the ensuing EU sanctions) to the Australian securitisation sector. Stakeholders represented by the Australian Securitisation Forum who participated in that consultation strongly supported the proposed amendments to the OBU regime on the grounds that the benefits of this approach outweighed the costs of doing nothing. Relevant discussions were also undertaken with the OECD Secretariat and the European Commission. </w:t>
      </w:r>
    </w:p>
    <w:p w14:paraId="0EF5C2FD" w14:textId="77777777" w:rsidR="00987B68" w:rsidRDefault="00987B68" w:rsidP="00987B68">
      <w:pPr>
        <w:spacing w:before="0" w:after="200" w:line="276" w:lineRule="auto"/>
      </w:pPr>
      <w:r>
        <w:br w:type="page"/>
      </w:r>
    </w:p>
    <w:p w14:paraId="054625B3" w14:textId="77777777" w:rsidR="00987B68" w:rsidRDefault="00987B68" w:rsidP="00987B68">
      <w:pPr>
        <w:pStyle w:val="Heading1"/>
      </w:pPr>
      <w:bookmarkStart w:id="21" w:name="_Toc144804567"/>
      <w:r>
        <w:lastRenderedPageBreak/>
        <w:t>Has the regulation delivered a net benefit?</w:t>
      </w:r>
      <w:bookmarkEnd w:id="21"/>
    </w:p>
    <w:p w14:paraId="6F2109EF" w14:textId="77777777" w:rsidR="00987B68" w:rsidRPr="005815BF" w:rsidRDefault="00987B68" w:rsidP="00987B68">
      <w:r>
        <w:t>The OBU reforms delivered a benefit to the Australian community by</w:t>
      </w:r>
      <w:r w:rsidRPr="005815BF">
        <w:t>:</w:t>
      </w:r>
    </w:p>
    <w:p w14:paraId="618701B8" w14:textId="77777777" w:rsidR="00987B68" w:rsidRPr="005815BF" w:rsidRDefault="00987B68" w:rsidP="00987B68">
      <w:pPr>
        <w:pStyle w:val="Bullet"/>
      </w:pPr>
      <w:r w:rsidRPr="005815BF">
        <w:t>Address</w:t>
      </w:r>
      <w:r>
        <w:t>ing</w:t>
      </w:r>
      <w:r w:rsidRPr="005815BF">
        <w:t xml:space="preserve"> the harmful features of the OBU regime identified by the OECD</w:t>
      </w:r>
      <w:r>
        <w:t>.</w:t>
      </w:r>
    </w:p>
    <w:p w14:paraId="1359DF44" w14:textId="77777777" w:rsidR="00987B68" w:rsidRPr="005815BF" w:rsidRDefault="00987B68" w:rsidP="00987B68">
      <w:pPr>
        <w:pStyle w:val="Dash"/>
      </w:pPr>
      <w:r>
        <w:t>This was achieved by aligning the OBU preferential tax rate with the general corporate tax rate(s) and implementing transitional arrangements that were consistent with OECD guidelines.</w:t>
      </w:r>
      <w:r w:rsidRPr="00045603">
        <w:t xml:space="preserve"> </w:t>
      </w:r>
      <w:r>
        <w:t xml:space="preserve">The Government’s actions </w:t>
      </w:r>
      <w:r w:rsidRPr="00045603">
        <w:t xml:space="preserve">also signalled Australia’s firm commitment to the work of the OECD/G20 Base Erosion and Profit Shifting agenda and </w:t>
      </w:r>
      <w:r>
        <w:t>helped</w:t>
      </w:r>
      <w:r w:rsidRPr="00045603">
        <w:t xml:space="preserve"> Australia maintain i</w:t>
      </w:r>
      <w:r>
        <w:t>t</w:t>
      </w:r>
      <w:r w:rsidRPr="00045603">
        <w:t>s international standing and relationships with other jurisdictions</w:t>
      </w:r>
      <w:r>
        <w:t>.</w:t>
      </w:r>
    </w:p>
    <w:p w14:paraId="79D6EAFF" w14:textId="77777777" w:rsidR="00987B68" w:rsidRPr="005815BF" w:rsidRDefault="00987B68" w:rsidP="00987B68">
      <w:pPr>
        <w:pStyle w:val="Bullet"/>
      </w:pPr>
      <w:r w:rsidRPr="005815BF">
        <w:t>Prevent</w:t>
      </w:r>
      <w:r>
        <w:t>ing</w:t>
      </w:r>
      <w:r w:rsidRPr="005815BF">
        <w:t xml:space="preserve"> future sanctions affecting Australia as a </w:t>
      </w:r>
      <w:r>
        <w:t xml:space="preserve">result </w:t>
      </w:r>
      <w:r w:rsidRPr="005815BF">
        <w:t xml:space="preserve">of maintaining a harmful tax </w:t>
      </w:r>
      <w:r>
        <w:t>regime.</w:t>
      </w:r>
      <w:r w:rsidRPr="005815BF">
        <w:t xml:space="preserve"> </w:t>
      </w:r>
    </w:p>
    <w:p w14:paraId="45023ACA" w14:textId="77777777" w:rsidR="00987B68" w:rsidRDefault="00987B68" w:rsidP="00987B68">
      <w:pPr>
        <w:pStyle w:val="Dash"/>
      </w:pPr>
      <w:r w:rsidRPr="005815BF">
        <w:t xml:space="preserve">By </w:t>
      </w:r>
      <w:r>
        <w:t>addressing the harmful features of the OBU regime, the potential for EU sanctions was removed, providing stability and improving confidence in Australia’s financial system, with unquantifiable, but significant flow-on benefits to the economy.</w:t>
      </w:r>
    </w:p>
    <w:p w14:paraId="01961E7E" w14:textId="77777777" w:rsidR="00987B68" w:rsidRPr="005815BF" w:rsidRDefault="00987B68" w:rsidP="00987B68">
      <w:pPr>
        <w:pStyle w:val="Dash"/>
      </w:pPr>
      <w:r>
        <w:t xml:space="preserve">On </w:t>
      </w:r>
      <w:r>
        <w:rPr>
          <w:iCs/>
        </w:rPr>
        <w:t xml:space="preserve">17 September 2021, the OECD updated its public website to reflect the OBU regime’s status as – </w:t>
      </w:r>
      <w:r>
        <w:rPr>
          <w:i/>
          <w:iCs/>
        </w:rPr>
        <w:t>grandfathering in accordance with FHTP timelines</w:t>
      </w:r>
      <w:r>
        <w:rPr>
          <w:iCs/>
        </w:rPr>
        <w:t xml:space="preserve"> on 17 September 2021 and the EU removed Australia from Annex II of the EU list (the ‘grey-list’) on 5 October 2021.</w:t>
      </w:r>
    </w:p>
    <w:p w14:paraId="771C89B5" w14:textId="77777777" w:rsidR="00987B68" w:rsidRPr="005815BF" w:rsidRDefault="00987B68" w:rsidP="00987B68">
      <w:pPr>
        <w:pStyle w:val="Bullet"/>
      </w:pPr>
      <w:r w:rsidRPr="005815BF">
        <w:t>Provid</w:t>
      </w:r>
      <w:r>
        <w:t>ing</w:t>
      </w:r>
      <w:r w:rsidRPr="005815BF">
        <w:t xml:space="preserve"> as much flexibility to the OBU sector as possible.</w:t>
      </w:r>
    </w:p>
    <w:p w14:paraId="1CDBDEF7" w14:textId="77777777" w:rsidR="00987B68" w:rsidRDefault="00987B68" w:rsidP="00987B68">
      <w:pPr>
        <w:pStyle w:val="Dash"/>
      </w:pPr>
      <w:r>
        <w:t>G</w:t>
      </w:r>
      <w:r w:rsidRPr="005815BF">
        <w:t xml:space="preserve">randfathering </w:t>
      </w:r>
      <w:r>
        <w:t xml:space="preserve">arrangements provided existing OBUs with the </w:t>
      </w:r>
      <w:r w:rsidRPr="005815BF">
        <w:t xml:space="preserve">maximum timeframe permissible </w:t>
      </w:r>
      <w:r>
        <w:t xml:space="preserve">within the </w:t>
      </w:r>
      <w:r w:rsidRPr="005815BF">
        <w:t xml:space="preserve">OECD </w:t>
      </w:r>
      <w:r>
        <w:t>guidelines to adjust to the new arrangements. The legislation was clear and unambiguous, and provided certainty in this respect.</w:t>
      </w:r>
    </w:p>
    <w:p w14:paraId="3A0572A3" w14:textId="77777777" w:rsidR="00987B68" w:rsidRDefault="00987B68" w:rsidP="00987B68">
      <w:r>
        <w:t xml:space="preserve">The OBU regime provided tax benefits to a small group of entities but posed much larger risks to the broader Australian economy. Removing the regime’s concessional tax rate has resulted in a net benefit to the Australian community, which no longer faces potential economic sanctions and reputational damage as a result of the regime’s continued operation. </w:t>
      </w:r>
    </w:p>
    <w:p w14:paraId="7E0BA6EF" w14:textId="77777777" w:rsidR="00987B68" w:rsidRPr="00172F0A" w:rsidRDefault="00987B68" w:rsidP="00987B68">
      <w:pPr>
        <w:spacing w:before="0" w:after="200" w:line="276" w:lineRule="auto"/>
      </w:pPr>
      <w:r>
        <w:br w:type="page"/>
      </w:r>
    </w:p>
    <w:p w14:paraId="20102938" w14:textId="77777777" w:rsidR="00987B68" w:rsidRDefault="00987B68" w:rsidP="00987B68">
      <w:pPr>
        <w:pStyle w:val="Heading1"/>
      </w:pPr>
      <w:bookmarkStart w:id="22" w:name="_Toc144804568"/>
      <w:r>
        <w:lastRenderedPageBreak/>
        <w:t>How was the regulation implemented and evaluated?</w:t>
      </w:r>
      <w:bookmarkEnd w:id="22"/>
    </w:p>
    <w:p w14:paraId="270A0FB4" w14:textId="77777777" w:rsidR="00987B68" w:rsidRDefault="00987B68" w:rsidP="00987B68">
      <w:r>
        <w:t xml:space="preserve">Amendments to the OBU regime were implemented through the </w:t>
      </w:r>
      <w:r>
        <w:rPr>
          <w:i/>
          <w:iCs/>
        </w:rPr>
        <w:t>Treasury Laws Amendment (2021 Measures No. 2) Act 2021</w:t>
      </w:r>
      <w:r>
        <w:t xml:space="preserve">. </w:t>
      </w:r>
    </w:p>
    <w:p w14:paraId="4809355F" w14:textId="77777777" w:rsidR="00987B68" w:rsidRDefault="00987B68" w:rsidP="00987B68">
      <w:r>
        <w:t xml:space="preserve">As a result of that legislation receiving Royal Assent on 13 September 2021, the OECD updated the status of the OBU regime on its public website to – </w:t>
      </w:r>
      <w:r w:rsidRPr="00C82515">
        <w:rPr>
          <w:i/>
          <w:iCs/>
        </w:rPr>
        <w:t>grandfathering in accordance with FHTP timelines</w:t>
      </w:r>
      <w:r>
        <w:t xml:space="preserve"> on 17 September 2021. Additionally, the EU removed Australia from its ‘grey-list’ on 5 October 2021. </w:t>
      </w:r>
      <w:r w:rsidRPr="000C116A">
        <w:t xml:space="preserve">The legislation therefore addressed the concerns of the OECD FHTP and removed Australia from exposure to possible </w:t>
      </w:r>
      <w:r>
        <w:t xml:space="preserve">EU </w:t>
      </w:r>
      <w:r w:rsidRPr="000C116A">
        <w:t xml:space="preserve">sanctions on </w:t>
      </w:r>
      <w:r>
        <w:t>jurisdictions included</w:t>
      </w:r>
      <w:r w:rsidRPr="000C116A">
        <w:t xml:space="preserve"> on the EU List</w:t>
      </w:r>
      <w:r>
        <w:t>.</w:t>
      </w:r>
    </w:p>
    <w:p w14:paraId="24515435" w14:textId="77777777" w:rsidR="00987B68" w:rsidRDefault="00987B68" w:rsidP="00987B68">
      <w:r>
        <w:t>Grandfathering arrangements remain in place (and depend on participants’ income year) and will not conclude for all registered OBUs until 31 December 2023.</w:t>
      </w:r>
    </w:p>
    <w:p w14:paraId="5F182ECC" w14:textId="77777777" w:rsidR="00987B68" w:rsidRPr="007215A5" w:rsidRDefault="00987B68" w:rsidP="00987B68">
      <w:r>
        <w:t>The OECD FHTP annually monitors and assesses Australia’s implementation of removing the OBU regime and its related grandfathering arrangements. This monitoring will continue until the conclusion of those arrangements.</w:t>
      </w:r>
    </w:p>
    <w:p w14:paraId="3DC83521" w14:textId="77777777" w:rsidR="00987B68" w:rsidRPr="003C0804" w:rsidRDefault="00987B68" w:rsidP="00987B68"/>
    <w:p w14:paraId="44AB17D8" w14:textId="77777777" w:rsidR="00987B68" w:rsidRPr="003F0D21" w:rsidRDefault="00987B68" w:rsidP="00987B68"/>
    <w:p w14:paraId="72BE7FAC" w14:textId="77777777" w:rsidR="00987B68" w:rsidRPr="001852BF" w:rsidRDefault="00987B68" w:rsidP="00987B68"/>
    <w:p w14:paraId="1134F142" w14:textId="77777777" w:rsidR="00987B68" w:rsidRPr="00B70517" w:rsidRDefault="00987B68" w:rsidP="00987B68"/>
    <w:p w14:paraId="061BB503" w14:textId="300DF4CC" w:rsidR="003C0804" w:rsidRPr="00987B68" w:rsidRDefault="003C0804" w:rsidP="00987B68"/>
    <w:sectPr w:rsidR="003C0804" w:rsidRPr="00987B68" w:rsidSect="00C0677A">
      <w:headerReference w:type="default" r:id="rId23"/>
      <w:footerReference w:type="default" r:id="rId24"/>
      <w:headerReference w:type="first" r:id="rId25"/>
      <w:footerReference w:type="first" r:id="rId26"/>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1132" w14:textId="77777777" w:rsidR="00A47A39" w:rsidRDefault="00A47A39" w:rsidP="00D94EE3">
      <w:pPr>
        <w:spacing w:after="0"/>
      </w:pPr>
      <w:r>
        <w:separator/>
      </w:r>
    </w:p>
  </w:endnote>
  <w:endnote w:type="continuationSeparator" w:id="0">
    <w:p w14:paraId="1C6EA212" w14:textId="77777777" w:rsidR="00A47A39" w:rsidRDefault="00A47A39" w:rsidP="00D94EE3">
      <w:pPr>
        <w:spacing w:after="0"/>
      </w:pPr>
      <w:r>
        <w:continuationSeparator/>
      </w:r>
    </w:p>
  </w:endnote>
  <w:endnote w:type="continuationNotice" w:id="1">
    <w:p w14:paraId="19547334" w14:textId="77777777" w:rsidR="00A47A39" w:rsidRDefault="00A47A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3F4B" w14:textId="77777777" w:rsidR="00D20026" w:rsidRDefault="00D2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8117" w14:textId="77777777" w:rsidR="00D20026" w:rsidRDefault="00D2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A50" w14:textId="77777777" w:rsidR="00987B68" w:rsidRDefault="00987B68" w:rsidP="001B2A30">
    <w:pPr>
      <w:pStyle w:val="FooterEven"/>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3D2D" w14:textId="77777777" w:rsidR="00987B68" w:rsidRDefault="00987B68" w:rsidP="001B2A30">
    <w:pPr>
      <w:pStyle w:val="FooterEven"/>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7247" w14:textId="5BBA41AE" w:rsidR="00987B68" w:rsidRDefault="00987B68" w:rsidP="001B2A30">
    <w:pPr>
      <w:pStyle w:val="FooterEven"/>
      <w:jc w:val="right"/>
    </w:pPr>
    <w:r>
      <w:drawing>
        <wp:anchor distT="0" distB="0" distL="114300" distR="114300" simplePos="0" relativeHeight="251658752" behindDoc="1" locked="0" layoutInCell="1" allowOverlap="0" wp14:anchorId="0BCDA5F8" wp14:editId="6B64E040">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sidR="00D20026">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EF7F" w14:textId="20E91D75" w:rsidR="00D94EE3" w:rsidRPr="00B80490" w:rsidRDefault="00B80490" w:rsidP="00B80490">
    <w:pPr>
      <w:pStyle w:val="FooterEven"/>
      <w:jc w:val="right"/>
    </w:pPr>
    <w:r>
      <w:drawing>
        <wp:anchor distT="0" distB="0" distL="114300" distR="114300" simplePos="0" relativeHeight="251654656" behindDoc="1" locked="0" layoutInCell="1" allowOverlap="0" wp14:anchorId="158D189F" wp14:editId="60F635F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D20026">
      <w:fldChar w:fldCharType="begin"/>
    </w:r>
    <w:r w:rsidR="00D20026">
      <w:instrText>STYLEREF  "Heading 1"  \* MERGEFORMAT</w:instrText>
    </w:r>
    <w:r w:rsidR="00D20026">
      <w:fldChar w:fldCharType="separate"/>
    </w:r>
    <w:r w:rsidR="00D20026">
      <w:t>What have the impacts of regulation been?</w:t>
    </w:r>
    <w:r w:rsidR="00D20026">
      <w:fldChar w:fldCharType="end"/>
    </w:r>
    <w:r>
      <w:t xml:space="preserve"> | </w:t>
    </w:r>
    <w:r>
      <w:rPr>
        <w:noProof w:val="0"/>
      </w:rPr>
      <w:fldChar w:fldCharType="begin"/>
    </w:r>
    <w:r>
      <w:instrText xml:space="preserve"> PAGE   \* MERGEFORMAT </w:instrText>
    </w:r>
    <w:r>
      <w:rPr>
        <w:noProof w:val="0"/>
      </w:rPr>
      <w:fldChar w:fldCharType="separate"/>
    </w:r>
    <w:r w:rsidR="00D20026">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7A6A" w14:textId="09753C18" w:rsidR="001C0415" w:rsidRPr="001B2A30" w:rsidRDefault="001B2A30" w:rsidP="001B2A30">
    <w:pPr>
      <w:pStyle w:val="FooterEven"/>
      <w:jc w:val="right"/>
    </w:pPr>
    <w:r>
      <w:drawing>
        <wp:anchor distT="0" distB="0" distL="114300" distR="114300" simplePos="0" relativeHeight="251657728" behindDoc="1" locked="0" layoutInCell="1" allowOverlap="0" wp14:anchorId="7EB446A5" wp14:editId="650728B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D20026">
      <w:fldChar w:fldCharType="begin"/>
    </w:r>
    <w:r w:rsidR="00D20026">
      <w:instrText>STYLEREF  "Heading 1"  \* MERGEFORMAT</w:instrText>
    </w:r>
    <w:r w:rsidR="00D20026">
      <w:fldChar w:fldCharType="separate"/>
    </w:r>
    <w:r w:rsidR="00D20026">
      <w:t>Introduction</w:t>
    </w:r>
    <w:r w:rsidR="00D20026">
      <w:fldChar w:fldCharType="end"/>
    </w:r>
    <w:r>
      <w:t xml:space="preserve"> | </w:t>
    </w:r>
    <w:r>
      <w:rPr>
        <w:noProof w:val="0"/>
      </w:rPr>
      <w:fldChar w:fldCharType="begin"/>
    </w:r>
    <w:r>
      <w:instrText xml:space="preserve"> PAGE   \* MERGEFORMAT </w:instrText>
    </w:r>
    <w:r>
      <w:rPr>
        <w:noProof w:val="0"/>
      </w:rPr>
      <w:fldChar w:fldCharType="separate"/>
    </w:r>
    <w:r w:rsidR="00D2002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2BDE" w14:textId="77777777" w:rsidR="00A47A39" w:rsidRDefault="00A47A39" w:rsidP="00D94EE3">
      <w:pPr>
        <w:spacing w:after="0"/>
      </w:pPr>
      <w:r>
        <w:separator/>
      </w:r>
    </w:p>
  </w:footnote>
  <w:footnote w:type="continuationSeparator" w:id="0">
    <w:p w14:paraId="0145350D" w14:textId="77777777" w:rsidR="00A47A39" w:rsidRDefault="00A47A39" w:rsidP="00D94EE3">
      <w:pPr>
        <w:spacing w:after="0"/>
      </w:pPr>
      <w:r>
        <w:continuationSeparator/>
      </w:r>
    </w:p>
  </w:footnote>
  <w:footnote w:type="continuationNotice" w:id="1">
    <w:p w14:paraId="3F4018AA" w14:textId="77777777" w:rsidR="00A47A39" w:rsidRDefault="00A47A39">
      <w:pPr>
        <w:spacing w:before="0" w:after="0"/>
      </w:pPr>
    </w:p>
  </w:footnote>
  <w:footnote w:id="2">
    <w:p w14:paraId="2BF2F085" w14:textId="77777777" w:rsidR="00987B68" w:rsidRDefault="00987B68" w:rsidP="00987B68">
      <w:pPr>
        <w:pStyle w:val="FootnoteText"/>
      </w:pPr>
      <w:r>
        <w:rPr>
          <w:rStyle w:val="FootnoteReference"/>
        </w:rPr>
        <w:footnoteRef/>
      </w:r>
      <w:r>
        <w:t xml:space="preserve"> Explanatory Memorandum to Taxation Laws Amendment Bill (No. 5) 1987, p. 7. Available at: </w:t>
      </w:r>
      <w:hyperlink r:id="rId1" w:history="1">
        <w:r w:rsidRPr="00F63DFC">
          <w:rPr>
            <w:rStyle w:val="Hyperlink"/>
          </w:rPr>
          <w:t>http://classic.austlii.edu.au/au/legis/cth/bill_em/tlab51987285/memo_0.html</w:t>
        </w:r>
      </w:hyperlink>
    </w:p>
  </w:footnote>
  <w:footnote w:id="3">
    <w:p w14:paraId="2201DFA8" w14:textId="77777777" w:rsidR="00987B68" w:rsidRDefault="00987B68" w:rsidP="00987B68">
      <w:pPr>
        <w:pStyle w:val="FootnoteText"/>
      </w:pPr>
      <w:r>
        <w:rPr>
          <w:rStyle w:val="FootnoteReference"/>
        </w:rPr>
        <w:footnoteRef/>
      </w:r>
      <w:r>
        <w:t xml:space="preserve"> </w:t>
      </w:r>
      <w:r w:rsidRPr="006E144D">
        <w:t>One Nation, Statement By Prime Minister The Honourable PJ Keating, 26 February 1992</w:t>
      </w:r>
      <w:r>
        <w:t xml:space="preserve">, p. 77 </w:t>
      </w:r>
      <w:hyperlink r:id="rId2" w:anchor="search=%22media/pressrel/5051390%22" w:history="1">
        <w:r>
          <w:rPr>
            <w:rStyle w:val="Hyperlink"/>
          </w:rPr>
          <w:t>5051390.pdf;fileType=application/pdf (aph.gov.au)</w:t>
        </w:r>
      </w:hyperlink>
    </w:p>
  </w:footnote>
  <w:footnote w:id="4">
    <w:p w14:paraId="3CEDF27E" w14:textId="77777777" w:rsidR="00987B68" w:rsidRDefault="00987B68" w:rsidP="00987B68">
      <w:pPr>
        <w:pStyle w:val="FootnoteText"/>
      </w:pPr>
      <w:r w:rsidRPr="00DC04D3">
        <w:rPr>
          <w:rStyle w:val="FootnoteReference"/>
          <w:vertAlign w:val="superscript"/>
        </w:rPr>
        <w:footnoteRef/>
      </w:r>
      <w:r>
        <w:t xml:space="preserve"> Income Tax Assessment Act 1936 – Section 121D. Available at: </w:t>
      </w:r>
      <w:hyperlink r:id="rId3" w:history="1">
        <w:r w:rsidRPr="006428EA">
          <w:rPr>
            <w:rStyle w:val="Hyperlink"/>
          </w:rPr>
          <w:t>http://classic.austlii.edu.au/au/legis/cth/consol_act/itaa1936240/s121d.html</w:t>
        </w:r>
      </w:hyperlink>
    </w:p>
  </w:footnote>
  <w:footnote w:id="5">
    <w:p w14:paraId="0F7CAA09" w14:textId="77777777" w:rsidR="00987B68" w:rsidRPr="00277C87" w:rsidRDefault="00987B68" w:rsidP="00987B68">
      <w:pPr>
        <w:pStyle w:val="FootnoteText"/>
        <w:rPr>
          <w:vertAlign w:val="superscript"/>
        </w:rPr>
      </w:pPr>
      <w:r w:rsidRPr="00277C87">
        <w:rPr>
          <w:rStyle w:val="FootnoteReference"/>
          <w:sz w:val="20"/>
          <w:vertAlign w:val="superscript"/>
        </w:rPr>
        <w:footnoteRef/>
      </w:r>
      <w:r>
        <w:t xml:space="preserve"> </w:t>
      </w:r>
      <w:r w:rsidRPr="006F0759">
        <w:t>T</w:t>
      </w:r>
      <w:r>
        <w:t xml:space="preserve">he 15 OECD BEPS recommendations were endorsed by the G20 in November 2015. They aim to improve the integrity of the international tax system through a set of rules designed to ensure that profits are taxed where economic activities take place and value is created. </w:t>
      </w:r>
    </w:p>
  </w:footnote>
  <w:footnote w:id="6">
    <w:p w14:paraId="3C93E214" w14:textId="77777777" w:rsidR="00987B68" w:rsidRDefault="00987B68" w:rsidP="00987B68">
      <w:pPr>
        <w:pStyle w:val="FootnoteText"/>
      </w:pPr>
      <w:r w:rsidRPr="00247DDD">
        <w:rPr>
          <w:rStyle w:val="FootnoteReference"/>
          <w:vertAlign w:val="superscript"/>
        </w:rPr>
        <w:footnoteRef/>
      </w:r>
      <w:r>
        <w:t xml:space="preserve"> The revised EU list of non-cooperative jurisdictions for tax purposes Available at: </w:t>
      </w:r>
      <w:hyperlink r:id="rId4" w:history="1">
        <w:r>
          <w:rPr>
            <w:rStyle w:val="Hyperlink"/>
          </w:rPr>
          <w:t>pdf (europa.eu)</w:t>
        </w:r>
      </w:hyperlink>
      <w:r>
        <w:t xml:space="preserve"> </w:t>
      </w:r>
    </w:p>
  </w:footnote>
  <w:footnote w:id="7">
    <w:p w14:paraId="1054E5B2" w14:textId="77777777" w:rsidR="00987B68" w:rsidRDefault="00987B68" w:rsidP="00987B68">
      <w:pPr>
        <w:pStyle w:val="FootnoteText"/>
      </w:pPr>
      <w:r w:rsidRPr="00D80D7C">
        <w:rPr>
          <w:rStyle w:val="FootnoteReference"/>
          <w:sz w:val="20"/>
          <w:vertAlign w:val="superscript"/>
        </w:rPr>
        <w:footnoteRef/>
      </w:r>
      <w:r w:rsidRPr="00D80D7C">
        <w:rPr>
          <w:rStyle w:val="FootnoteReference"/>
          <w:sz w:val="20"/>
        </w:rPr>
        <w:t xml:space="preserve"> Treasury,</w:t>
      </w:r>
      <w:r>
        <w:t xml:space="preserve"> 2018 Announcement on</w:t>
      </w:r>
      <w:r w:rsidRPr="00D80D7C">
        <w:rPr>
          <w:rStyle w:val="FootnoteReference"/>
          <w:sz w:val="20"/>
        </w:rPr>
        <w:t xml:space="preserve"> Amending Australia’s Offshore Banking Unit Regime. Available at: </w:t>
      </w:r>
      <w:hyperlink r:id="rId5" w:history="1">
        <w:r w:rsidRPr="00D80D7C">
          <w:rPr>
            <w:rStyle w:val="Hyperlink"/>
          </w:rPr>
          <w:t>https://ministers.treasury.gov.au/ministers/josh-frydenberg-2018/media-releases/amending-australias-offshore-banking-unit-regime</w:t>
        </w:r>
      </w:hyperlink>
      <w:r w:rsidRPr="00D80D7C">
        <w:t xml:space="preserve"> </w:t>
      </w:r>
    </w:p>
    <w:p w14:paraId="23FC9BA2" w14:textId="77777777" w:rsidR="00987B68" w:rsidRPr="00D80D7C" w:rsidRDefault="00987B68" w:rsidP="00987B68">
      <w:pPr>
        <w:pStyle w:val="FootnoteText"/>
      </w:pPr>
      <w:r>
        <w:t xml:space="preserve">   Treasury, 2021 Announcement on Amending Australia’s Offshore Banking Unit Regime. Available at: </w:t>
      </w:r>
      <w:hyperlink r:id="rId6" w:history="1">
        <w:r w:rsidRPr="00250110">
          <w:rPr>
            <w:rStyle w:val="Hyperlink"/>
          </w:rPr>
          <w:t>https://ministers.treasury.gov.au/ministers/josh-frydenberg-2018/media-releases/amending-australias-offshore-banking-unit-regime-0</w:t>
        </w:r>
      </w:hyperlink>
    </w:p>
  </w:footnote>
  <w:footnote w:id="8">
    <w:p w14:paraId="2CEB51A5" w14:textId="77777777" w:rsidR="00987B68" w:rsidRDefault="00987B68" w:rsidP="00987B68">
      <w:pPr>
        <w:pStyle w:val="FootnoteText"/>
      </w:pPr>
      <w:r w:rsidRPr="00AF2859">
        <w:rPr>
          <w:rStyle w:val="FootnoteReference"/>
          <w:vertAlign w:val="superscript"/>
        </w:rPr>
        <w:footnoteRef/>
      </w:r>
      <w:r>
        <w:t xml:space="preserve"> See the OECD/G20 Base Erosion and Profit Shifting Project Harmful Tax Practices – 2017 Progress Report on Preferential Regimes (Annex B). </w:t>
      </w:r>
    </w:p>
  </w:footnote>
  <w:footnote w:id="9">
    <w:p w14:paraId="5AA7FED5" w14:textId="77777777" w:rsidR="00987B68" w:rsidRDefault="00987B68" w:rsidP="00987B68">
      <w:pPr>
        <w:pStyle w:val="FootnoteText"/>
      </w:pPr>
      <w:r w:rsidRPr="00AF2859">
        <w:rPr>
          <w:rStyle w:val="FootnoteReference"/>
          <w:vertAlign w:val="superscript"/>
        </w:rPr>
        <w:footnoteRef/>
      </w:r>
      <w:r>
        <w:t xml:space="preserve"> The then Treasurer’s 12 March 2021 media statement notes that ‘The Government will use this time to consult with industry on alternative measures to support the industry and ensure activity remains in Australia once the two year grandfathering period ends.’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C6C9" w14:textId="77777777" w:rsidR="00D20026" w:rsidRDefault="00D2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E9A6" w14:textId="77777777" w:rsidR="00D20026" w:rsidRDefault="00D20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0DB0" w14:textId="77777777" w:rsidR="00987B68" w:rsidRDefault="00987B68">
    <w:pPr>
      <w:pStyle w:val="Header"/>
    </w:pPr>
    <w:r>
      <w:rPr>
        <w:noProof/>
      </w:rPr>
      <w:drawing>
        <wp:anchor distT="0" distB="0" distL="114300" distR="114300" simplePos="0" relativeHeight="251659776" behindDoc="1" locked="1" layoutInCell="1" allowOverlap="1" wp14:anchorId="53411F75" wp14:editId="0460ACB1">
          <wp:simplePos x="0" y="0"/>
          <wp:positionH relativeFrom="page">
            <wp:posOffset>0</wp:posOffset>
          </wp:positionH>
          <wp:positionV relativeFrom="page">
            <wp:posOffset>0</wp:posOffset>
          </wp:positionV>
          <wp:extent cx="7578000" cy="10720800"/>
          <wp:effectExtent l="0" t="0" r="4445" b="4445"/>
          <wp:wrapNone/>
          <wp:docPr id="13" name="Pictur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2C7D" w14:textId="77777777" w:rsidR="00987B68" w:rsidRDefault="00987B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2FB4" w14:textId="627E0066" w:rsidR="00C0677A" w:rsidRDefault="00C0677A">
    <w:pPr>
      <w:pStyle w:val="Header"/>
    </w:pPr>
    <w:r>
      <w:rPr>
        <w:noProof/>
      </w:rPr>
      <w:drawing>
        <wp:anchor distT="0" distB="0" distL="114300" distR="114300" simplePos="0" relativeHeight="251656704" behindDoc="1" locked="1" layoutInCell="1" allowOverlap="1" wp14:anchorId="7E03C8A8" wp14:editId="7235D083">
          <wp:simplePos x="0" y="0"/>
          <wp:positionH relativeFrom="page">
            <wp:posOffset>0</wp:posOffset>
          </wp:positionH>
          <wp:positionV relativeFrom="page">
            <wp:posOffset>0</wp:posOffset>
          </wp:positionV>
          <wp:extent cx="7570800" cy="104400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3A58" w14:textId="77777777" w:rsidR="00C0677A" w:rsidRDefault="00C0677A">
    <w:pPr>
      <w:pStyle w:val="Header"/>
    </w:pPr>
    <w:r>
      <w:rPr>
        <w:noProof/>
      </w:rPr>
      <w:drawing>
        <wp:anchor distT="0" distB="0" distL="114300" distR="114300" simplePos="0" relativeHeight="251655680" behindDoc="1" locked="1" layoutInCell="1" allowOverlap="1" wp14:anchorId="608068DE" wp14:editId="3943F254">
          <wp:simplePos x="0" y="0"/>
          <wp:positionH relativeFrom="page">
            <wp:posOffset>0</wp:posOffset>
          </wp:positionH>
          <wp:positionV relativeFrom="page">
            <wp:posOffset>0</wp:posOffset>
          </wp:positionV>
          <wp:extent cx="7570800" cy="104400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6F3694"/>
    <w:multiLevelType w:val="multilevel"/>
    <w:tmpl w:val="3DD68CC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955F3A"/>
    <w:multiLevelType w:val="hybridMultilevel"/>
    <w:tmpl w:val="F1E68396"/>
    <w:lvl w:ilvl="0" w:tplc="7DF00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8C2710"/>
    <w:multiLevelType w:val="multilevel"/>
    <w:tmpl w:val="CB1EB89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0E6447"/>
    <w:multiLevelType w:val="multilevel"/>
    <w:tmpl w:val="E8BE5890"/>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C25ABF"/>
    <w:multiLevelType w:val="multilevel"/>
    <w:tmpl w:val="C4A216B8"/>
    <w:lvl w:ilvl="0">
      <w:numFmt w:val="decimal"/>
      <w:lvlText w:val="•"/>
      <w:lvlJc w:val="left"/>
      <w:pPr>
        <w:tabs>
          <w:tab w:val="num" w:pos="520"/>
        </w:tabs>
        <w:ind w:left="520" w:hanging="520"/>
      </w:pPr>
      <w:rPr>
        <w:rFonts w:ascii="Times New Roman" w:hAnsi="Times New Roman" w:cs="Times New Roman"/>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895885"/>
    <w:multiLevelType w:val="hybridMultilevel"/>
    <w:tmpl w:val="380216E8"/>
    <w:lvl w:ilvl="0" w:tplc="4BC2D1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10D2021"/>
    <w:multiLevelType w:val="multilevel"/>
    <w:tmpl w:val="72F8140E"/>
    <w:numStyleLink w:val="OutlineList"/>
  </w:abstractNum>
  <w:abstractNum w:abstractNumId="15" w15:restartNumberingAfterBreak="0">
    <w:nsid w:val="78B16110"/>
    <w:multiLevelType w:val="multilevel"/>
    <w:tmpl w:val="FA181E9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7"/>
  </w:num>
  <w:num w:numId="3">
    <w:abstractNumId w:val="6"/>
  </w:num>
  <w:num w:numId="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8"/>
  </w:num>
  <w:num w:numId="9">
    <w:abstractNumId w:val="8"/>
  </w:num>
  <w:num w:numId="10">
    <w:abstractNumId w:val="8"/>
  </w:num>
  <w:num w:numId="11">
    <w:abstractNumId w:val="8"/>
  </w:num>
  <w:num w:numId="12">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9"/>
  </w:num>
  <w:num w:numId="14">
    <w:abstractNumId w:val="4"/>
  </w:num>
  <w:num w:numId="15">
    <w:abstractNumId w:val="4"/>
  </w:num>
  <w:num w:numId="16">
    <w:abstractNumId w:val="4"/>
  </w:num>
  <w:num w:numId="17">
    <w:abstractNumId w:val="10"/>
  </w:num>
  <w:num w:numId="18">
    <w:abstractNumId w:val="14"/>
  </w:num>
  <w:num w:numId="19">
    <w:abstractNumId w:val="14"/>
  </w:num>
  <w:num w:numId="20">
    <w:abstractNumId w:val="14"/>
  </w:num>
  <w:num w:numId="21">
    <w:abstractNumId w:val="3"/>
  </w:num>
  <w:num w:numId="22">
    <w:abstractNumId w:val="6"/>
  </w:num>
  <w:num w:numId="2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8"/>
  </w:num>
  <w:num w:numId="28">
    <w:abstractNumId w:val="8"/>
  </w:num>
  <w:num w:numId="29">
    <w:abstractNumId w:val="8"/>
  </w:num>
  <w:num w:numId="30">
    <w:abstractNumId w:val="8"/>
  </w:num>
  <w:num w:numId="31">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9"/>
  </w:num>
  <w:num w:numId="33">
    <w:abstractNumId w:val="4"/>
  </w:num>
  <w:num w:numId="34">
    <w:abstractNumId w:val="4"/>
  </w:num>
  <w:num w:numId="35">
    <w:abstractNumId w:val="4"/>
  </w:num>
  <w:num w:numId="36">
    <w:abstractNumId w:val="10"/>
  </w:num>
  <w:num w:numId="37">
    <w:abstractNumId w:val="14"/>
  </w:num>
  <w:num w:numId="38">
    <w:abstractNumId w:val="14"/>
  </w:num>
  <w:num w:numId="39">
    <w:abstractNumId w:val="14"/>
  </w:num>
  <w:num w:numId="40">
    <w:abstractNumId w:val="3"/>
  </w:num>
  <w:num w:numId="41">
    <w:abstractNumId w:val="13"/>
  </w:num>
  <w:num w:numId="4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1"/>
  </w:num>
  <w:num w:numId="46">
    <w:abstractNumId w:val="2"/>
  </w:num>
  <w:num w:numId="47">
    <w:abstractNumId w:val="12"/>
  </w:num>
  <w:num w:numId="4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2B"/>
    <w:rsid w:val="00000313"/>
    <w:rsid w:val="0000046C"/>
    <w:rsid w:val="00000BA6"/>
    <w:rsid w:val="00000D09"/>
    <w:rsid w:val="00000D36"/>
    <w:rsid w:val="00001AC1"/>
    <w:rsid w:val="000024C1"/>
    <w:rsid w:val="000025DE"/>
    <w:rsid w:val="000029ED"/>
    <w:rsid w:val="00002A4B"/>
    <w:rsid w:val="0000394F"/>
    <w:rsid w:val="00003AB8"/>
    <w:rsid w:val="00004347"/>
    <w:rsid w:val="00004E62"/>
    <w:rsid w:val="0000569F"/>
    <w:rsid w:val="00005EA0"/>
    <w:rsid w:val="000067BE"/>
    <w:rsid w:val="00006DBD"/>
    <w:rsid w:val="0000717B"/>
    <w:rsid w:val="000079B2"/>
    <w:rsid w:val="00007D83"/>
    <w:rsid w:val="00007E23"/>
    <w:rsid w:val="000100FB"/>
    <w:rsid w:val="0001012A"/>
    <w:rsid w:val="000103EA"/>
    <w:rsid w:val="00010A8C"/>
    <w:rsid w:val="00010AEC"/>
    <w:rsid w:val="000110EB"/>
    <w:rsid w:val="000116E3"/>
    <w:rsid w:val="0001172A"/>
    <w:rsid w:val="00011DFE"/>
    <w:rsid w:val="0001253B"/>
    <w:rsid w:val="000129CE"/>
    <w:rsid w:val="00012C86"/>
    <w:rsid w:val="000134DA"/>
    <w:rsid w:val="000137FA"/>
    <w:rsid w:val="00014EAE"/>
    <w:rsid w:val="000150E8"/>
    <w:rsid w:val="0001540C"/>
    <w:rsid w:val="0001569D"/>
    <w:rsid w:val="00015917"/>
    <w:rsid w:val="0001725E"/>
    <w:rsid w:val="000176CC"/>
    <w:rsid w:val="00020623"/>
    <w:rsid w:val="00021244"/>
    <w:rsid w:val="000212F9"/>
    <w:rsid w:val="00022328"/>
    <w:rsid w:val="00023378"/>
    <w:rsid w:val="0002425C"/>
    <w:rsid w:val="0002482A"/>
    <w:rsid w:val="0002488B"/>
    <w:rsid w:val="000248FA"/>
    <w:rsid w:val="00024906"/>
    <w:rsid w:val="00024DF8"/>
    <w:rsid w:val="00025A31"/>
    <w:rsid w:val="000264B5"/>
    <w:rsid w:val="000273B0"/>
    <w:rsid w:val="00030FB4"/>
    <w:rsid w:val="0003183C"/>
    <w:rsid w:val="00031E88"/>
    <w:rsid w:val="000322CB"/>
    <w:rsid w:val="000323A9"/>
    <w:rsid w:val="00032439"/>
    <w:rsid w:val="00033416"/>
    <w:rsid w:val="00033468"/>
    <w:rsid w:val="00033854"/>
    <w:rsid w:val="00034367"/>
    <w:rsid w:val="000344C1"/>
    <w:rsid w:val="00034781"/>
    <w:rsid w:val="00034988"/>
    <w:rsid w:val="0003508B"/>
    <w:rsid w:val="00035954"/>
    <w:rsid w:val="000360CB"/>
    <w:rsid w:val="00037A97"/>
    <w:rsid w:val="000400CC"/>
    <w:rsid w:val="000412C7"/>
    <w:rsid w:val="00042105"/>
    <w:rsid w:val="00042CEE"/>
    <w:rsid w:val="00043D1A"/>
    <w:rsid w:val="0004414C"/>
    <w:rsid w:val="00044D08"/>
    <w:rsid w:val="0004523D"/>
    <w:rsid w:val="0004529F"/>
    <w:rsid w:val="00045603"/>
    <w:rsid w:val="00045C8F"/>
    <w:rsid w:val="000462AD"/>
    <w:rsid w:val="000478AE"/>
    <w:rsid w:val="00047B69"/>
    <w:rsid w:val="000502ED"/>
    <w:rsid w:val="000505CB"/>
    <w:rsid w:val="0005068E"/>
    <w:rsid w:val="00051795"/>
    <w:rsid w:val="00051BFC"/>
    <w:rsid w:val="00052142"/>
    <w:rsid w:val="00052591"/>
    <w:rsid w:val="000533A3"/>
    <w:rsid w:val="000537B5"/>
    <w:rsid w:val="000539D2"/>
    <w:rsid w:val="00053D40"/>
    <w:rsid w:val="00054230"/>
    <w:rsid w:val="000545D7"/>
    <w:rsid w:val="00054A16"/>
    <w:rsid w:val="00054D6D"/>
    <w:rsid w:val="0005533E"/>
    <w:rsid w:val="000555F4"/>
    <w:rsid w:val="0005598F"/>
    <w:rsid w:val="000561E7"/>
    <w:rsid w:val="000570AF"/>
    <w:rsid w:val="00057809"/>
    <w:rsid w:val="00057B8F"/>
    <w:rsid w:val="000600C4"/>
    <w:rsid w:val="0006087E"/>
    <w:rsid w:val="00060AC2"/>
    <w:rsid w:val="00062897"/>
    <w:rsid w:val="00062AAE"/>
    <w:rsid w:val="00062CEC"/>
    <w:rsid w:val="00062DEB"/>
    <w:rsid w:val="00063498"/>
    <w:rsid w:val="00063AE3"/>
    <w:rsid w:val="00063DCA"/>
    <w:rsid w:val="000640D2"/>
    <w:rsid w:val="00065838"/>
    <w:rsid w:val="0006680B"/>
    <w:rsid w:val="00066BA6"/>
    <w:rsid w:val="00066E8D"/>
    <w:rsid w:val="00067386"/>
    <w:rsid w:val="00067902"/>
    <w:rsid w:val="0007002F"/>
    <w:rsid w:val="000703AC"/>
    <w:rsid w:val="00070AA0"/>
    <w:rsid w:val="000711E8"/>
    <w:rsid w:val="000716BD"/>
    <w:rsid w:val="00071751"/>
    <w:rsid w:val="0007176F"/>
    <w:rsid w:val="00071995"/>
    <w:rsid w:val="00071F64"/>
    <w:rsid w:val="0007322F"/>
    <w:rsid w:val="00073613"/>
    <w:rsid w:val="00073E26"/>
    <w:rsid w:val="00073EE3"/>
    <w:rsid w:val="00073F2B"/>
    <w:rsid w:val="00074803"/>
    <w:rsid w:val="000751F0"/>
    <w:rsid w:val="000753C6"/>
    <w:rsid w:val="00075802"/>
    <w:rsid w:val="00076052"/>
    <w:rsid w:val="00076061"/>
    <w:rsid w:val="00076329"/>
    <w:rsid w:val="000764CB"/>
    <w:rsid w:val="00076F8B"/>
    <w:rsid w:val="00077855"/>
    <w:rsid w:val="000779CA"/>
    <w:rsid w:val="00077F0B"/>
    <w:rsid w:val="00080A2A"/>
    <w:rsid w:val="00080C7F"/>
    <w:rsid w:val="000819BE"/>
    <w:rsid w:val="00081C1A"/>
    <w:rsid w:val="00081EA1"/>
    <w:rsid w:val="00082833"/>
    <w:rsid w:val="00083481"/>
    <w:rsid w:val="000842D7"/>
    <w:rsid w:val="000844C0"/>
    <w:rsid w:val="00085180"/>
    <w:rsid w:val="00085412"/>
    <w:rsid w:val="00086B58"/>
    <w:rsid w:val="00090198"/>
    <w:rsid w:val="0009042D"/>
    <w:rsid w:val="00091123"/>
    <w:rsid w:val="00091477"/>
    <w:rsid w:val="000918DE"/>
    <w:rsid w:val="00092261"/>
    <w:rsid w:val="00092F34"/>
    <w:rsid w:val="0009349E"/>
    <w:rsid w:val="00093FEC"/>
    <w:rsid w:val="000947F2"/>
    <w:rsid w:val="00094F6D"/>
    <w:rsid w:val="00095BAE"/>
    <w:rsid w:val="00096E9C"/>
    <w:rsid w:val="00096FEC"/>
    <w:rsid w:val="00097E65"/>
    <w:rsid w:val="000A00F4"/>
    <w:rsid w:val="000A0870"/>
    <w:rsid w:val="000A0E75"/>
    <w:rsid w:val="000A1128"/>
    <w:rsid w:val="000A1F82"/>
    <w:rsid w:val="000A22BF"/>
    <w:rsid w:val="000A232F"/>
    <w:rsid w:val="000A2B60"/>
    <w:rsid w:val="000A3710"/>
    <w:rsid w:val="000A386D"/>
    <w:rsid w:val="000A4A71"/>
    <w:rsid w:val="000A4E3E"/>
    <w:rsid w:val="000A532A"/>
    <w:rsid w:val="000A5F21"/>
    <w:rsid w:val="000A6249"/>
    <w:rsid w:val="000B079D"/>
    <w:rsid w:val="000B0A85"/>
    <w:rsid w:val="000B0E2B"/>
    <w:rsid w:val="000B19CC"/>
    <w:rsid w:val="000B365B"/>
    <w:rsid w:val="000B3E37"/>
    <w:rsid w:val="000B48E4"/>
    <w:rsid w:val="000B4A00"/>
    <w:rsid w:val="000B4B22"/>
    <w:rsid w:val="000B5129"/>
    <w:rsid w:val="000B5171"/>
    <w:rsid w:val="000B54BE"/>
    <w:rsid w:val="000B577C"/>
    <w:rsid w:val="000B5788"/>
    <w:rsid w:val="000B6729"/>
    <w:rsid w:val="000B69E9"/>
    <w:rsid w:val="000B6A1B"/>
    <w:rsid w:val="000B762E"/>
    <w:rsid w:val="000B7AB0"/>
    <w:rsid w:val="000B7B1F"/>
    <w:rsid w:val="000B7E1C"/>
    <w:rsid w:val="000C02F7"/>
    <w:rsid w:val="000C0567"/>
    <w:rsid w:val="000C116A"/>
    <w:rsid w:val="000C16B4"/>
    <w:rsid w:val="000C219F"/>
    <w:rsid w:val="000C2575"/>
    <w:rsid w:val="000C2BBE"/>
    <w:rsid w:val="000C358E"/>
    <w:rsid w:val="000C3FD9"/>
    <w:rsid w:val="000C5948"/>
    <w:rsid w:val="000C68C8"/>
    <w:rsid w:val="000C6C37"/>
    <w:rsid w:val="000C6C99"/>
    <w:rsid w:val="000C72CD"/>
    <w:rsid w:val="000C783F"/>
    <w:rsid w:val="000D00D9"/>
    <w:rsid w:val="000D0BCA"/>
    <w:rsid w:val="000D0C7F"/>
    <w:rsid w:val="000D1098"/>
    <w:rsid w:val="000D10E4"/>
    <w:rsid w:val="000D1DDD"/>
    <w:rsid w:val="000D22F0"/>
    <w:rsid w:val="000D2559"/>
    <w:rsid w:val="000D36C8"/>
    <w:rsid w:val="000D3BFB"/>
    <w:rsid w:val="000D4267"/>
    <w:rsid w:val="000D5CF2"/>
    <w:rsid w:val="000D6D74"/>
    <w:rsid w:val="000D7471"/>
    <w:rsid w:val="000D7C84"/>
    <w:rsid w:val="000E12D6"/>
    <w:rsid w:val="000E132A"/>
    <w:rsid w:val="000E1C4B"/>
    <w:rsid w:val="000E2C46"/>
    <w:rsid w:val="000E30AF"/>
    <w:rsid w:val="000E3943"/>
    <w:rsid w:val="000E3CD6"/>
    <w:rsid w:val="000E40F2"/>
    <w:rsid w:val="000E4153"/>
    <w:rsid w:val="000E540D"/>
    <w:rsid w:val="000E635F"/>
    <w:rsid w:val="000E6CD4"/>
    <w:rsid w:val="000E73E5"/>
    <w:rsid w:val="000F0A85"/>
    <w:rsid w:val="000F0EA1"/>
    <w:rsid w:val="000F1086"/>
    <w:rsid w:val="000F1DBD"/>
    <w:rsid w:val="000F2113"/>
    <w:rsid w:val="000F2D45"/>
    <w:rsid w:val="000F392B"/>
    <w:rsid w:val="000F4BB2"/>
    <w:rsid w:val="000F67A7"/>
    <w:rsid w:val="000F6819"/>
    <w:rsid w:val="000F6EAB"/>
    <w:rsid w:val="000F71D1"/>
    <w:rsid w:val="000F7596"/>
    <w:rsid w:val="00100295"/>
    <w:rsid w:val="00100A5B"/>
    <w:rsid w:val="0010115E"/>
    <w:rsid w:val="00102112"/>
    <w:rsid w:val="001026B2"/>
    <w:rsid w:val="00102F86"/>
    <w:rsid w:val="00103535"/>
    <w:rsid w:val="00104130"/>
    <w:rsid w:val="00104D2F"/>
    <w:rsid w:val="00105174"/>
    <w:rsid w:val="001063AA"/>
    <w:rsid w:val="00107CF9"/>
    <w:rsid w:val="00110235"/>
    <w:rsid w:val="00110A6D"/>
    <w:rsid w:val="001111BB"/>
    <w:rsid w:val="001119BA"/>
    <w:rsid w:val="001119D3"/>
    <w:rsid w:val="00112393"/>
    <w:rsid w:val="00112436"/>
    <w:rsid w:val="00112762"/>
    <w:rsid w:val="00112916"/>
    <w:rsid w:val="00112D72"/>
    <w:rsid w:val="00112EC1"/>
    <w:rsid w:val="001145BB"/>
    <w:rsid w:val="00114785"/>
    <w:rsid w:val="00114AD6"/>
    <w:rsid w:val="00114E01"/>
    <w:rsid w:val="001157D8"/>
    <w:rsid w:val="00115C02"/>
    <w:rsid w:val="00115CB7"/>
    <w:rsid w:val="00115D06"/>
    <w:rsid w:val="00116849"/>
    <w:rsid w:val="00116D5A"/>
    <w:rsid w:val="001175A6"/>
    <w:rsid w:val="00117A22"/>
    <w:rsid w:val="00121FAD"/>
    <w:rsid w:val="001227C7"/>
    <w:rsid w:val="00122ADD"/>
    <w:rsid w:val="00122BD8"/>
    <w:rsid w:val="00124BF1"/>
    <w:rsid w:val="00125272"/>
    <w:rsid w:val="001252F9"/>
    <w:rsid w:val="001262B1"/>
    <w:rsid w:val="00126BA0"/>
    <w:rsid w:val="00126C30"/>
    <w:rsid w:val="00127469"/>
    <w:rsid w:val="0012756E"/>
    <w:rsid w:val="00127C36"/>
    <w:rsid w:val="00127E71"/>
    <w:rsid w:val="00130AC4"/>
    <w:rsid w:val="00130C55"/>
    <w:rsid w:val="00131D73"/>
    <w:rsid w:val="00132A7D"/>
    <w:rsid w:val="0013302A"/>
    <w:rsid w:val="00133AE0"/>
    <w:rsid w:val="00133DA2"/>
    <w:rsid w:val="00134318"/>
    <w:rsid w:val="00134BBD"/>
    <w:rsid w:val="00134C68"/>
    <w:rsid w:val="00134D44"/>
    <w:rsid w:val="00135BA2"/>
    <w:rsid w:val="00135F8A"/>
    <w:rsid w:val="00136563"/>
    <w:rsid w:val="00136B14"/>
    <w:rsid w:val="00136E1F"/>
    <w:rsid w:val="00140153"/>
    <w:rsid w:val="001401CA"/>
    <w:rsid w:val="0014185A"/>
    <w:rsid w:val="00141F21"/>
    <w:rsid w:val="0014207B"/>
    <w:rsid w:val="001427A2"/>
    <w:rsid w:val="001427FD"/>
    <w:rsid w:val="001431D7"/>
    <w:rsid w:val="001433D0"/>
    <w:rsid w:val="00143DEE"/>
    <w:rsid w:val="00144670"/>
    <w:rsid w:val="00144A73"/>
    <w:rsid w:val="00144E72"/>
    <w:rsid w:val="00145468"/>
    <w:rsid w:val="00145E55"/>
    <w:rsid w:val="001461BF"/>
    <w:rsid w:val="001464B0"/>
    <w:rsid w:val="001466F5"/>
    <w:rsid w:val="001470B7"/>
    <w:rsid w:val="00147F82"/>
    <w:rsid w:val="0015003B"/>
    <w:rsid w:val="00150DCC"/>
    <w:rsid w:val="001514F7"/>
    <w:rsid w:val="00152370"/>
    <w:rsid w:val="00152BFD"/>
    <w:rsid w:val="0015329E"/>
    <w:rsid w:val="00153382"/>
    <w:rsid w:val="001537AF"/>
    <w:rsid w:val="00153BE8"/>
    <w:rsid w:val="0015431D"/>
    <w:rsid w:val="0015639D"/>
    <w:rsid w:val="001563EF"/>
    <w:rsid w:val="00156885"/>
    <w:rsid w:val="001568BA"/>
    <w:rsid w:val="0016005B"/>
    <w:rsid w:val="0016045C"/>
    <w:rsid w:val="001607E7"/>
    <w:rsid w:val="0016084F"/>
    <w:rsid w:val="00160B76"/>
    <w:rsid w:val="00161313"/>
    <w:rsid w:val="0016271E"/>
    <w:rsid w:val="00162BF8"/>
    <w:rsid w:val="00163117"/>
    <w:rsid w:val="0016320A"/>
    <w:rsid w:val="0016350D"/>
    <w:rsid w:val="00163759"/>
    <w:rsid w:val="00163923"/>
    <w:rsid w:val="00164795"/>
    <w:rsid w:val="001648A7"/>
    <w:rsid w:val="001648A8"/>
    <w:rsid w:val="00164F11"/>
    <w:rsid w:val="0016585A"/>
    <w:rsid w:val="00165A89"/>
    <w:rsid w:val="00165D3F"/>
    <w:rsid w:val="00165DFA"/>
    <w:rsid w:val="00165FD6"/>
    <w:rsid w:val="00166093"/>
    <w:rsid w:val="00167C4B"/>
    <w:rsid w:val="00167E26"/>
    <w:rsid w:val="00167E82"/>
    <w:rsid w:val="00167F2F"/>
    <w:rsid w:val="0017092A"/>
    <w:rsid w:val="00170A53"/>
    <w:rsid w:val="00171CC4"/>
    <w:rsid w:val="00172972"/>
    <w:rsid w:val="00172AEE"/>
    <w:rsid w:val="00172F0A"/>
    <w:rsid w:val="00173364"/>
    <w:rsid w:val="001741E9"/>
    <w:rsid w:val="00174D95"/>
    <w:rsid w:val="00175092"/>
    <w:rsid w:val="0017576B"/>
    <w:rsid w:val="00175B38"/>
    <w:rsid w:val="001764B6"/>
    <w:rsid w:val="001770FE"/>
    <w:rsid w:val="00177D87"/>
    <w:rsid w:val="00180607"/>
    <w:rsid w:val="0018094D"/>
    <w:rsid w:val="00180D76"/>
    <w:rsid w:val="00181DE3"/>
    <w:rsid w:val="00183EBE"/>
    <w:rsid w:val="00183FED"/>
    <w:rsid w:val="0018454A"/>
    <w:rsid w:val="00184F31"/>
    <w:rsid w:val="001850D0"/>
    <w:rsid w:val="0018526B"/>
    <w:rsid w:val="001852BF"/>
    <w:rsid w:val="0018570B"/>
    <w:rsid w:val="001858E3"/>
    <w:rsid w:val="00186004"/>
    <w:rsid w:val="001877D2"/>
    <w:rsid w:val="00187A1E"/>
    <w:rsid w:val="0019011B"/>
    <w:rsid w:val="001908BC"/>
    <w:rsid w:val="00190AA9"/>
    <w:rsid w:val="00191651"/>
    <w:rsid w:val="00191AF0"/>
    <w:rsid w:val="001923DF"/>
    <w:rsid w:val="001926FE"/>
    <w:rsid w:val="00193316"/>
    <w:rsid w:val="0019385B"/>
    <w:rsid w:val="00193C92"/>
    <w:rsid w:val="001948B9"/>
    <w:rsid w:val="00194C1F"/>
    <w:rsid w:val="00194DD8"/>
    <w:rsid w:val="00194FB1"/>
    <w:rsid w:val="001957D7"/>
    <w:rsid w:val="001970E4"/>
    <w:rsid w:val="00197361"/>
    <w:rsid w:val="00197B21"/>
    <w:rsid w:val="00197CA9"/>
    <w:rsid w:val="00197E8A"/>
    <w:rsid w:val="001A06B9"/>
    <w:rsid w:val="001A19C0"/>
    <w:rsid w:val="001A1E54"/>
    <w:rsid w:val="001A223D"/>
    <w:rsid w:val="001A24F4"/>
    <w:rsid w:val="001A2987"/>
    <w:rsid w:val="001A3366"/>
    <w:rsid w:val="001A42E6"/>
    <w:rsid w:val="001A4C60"/>
    <w:rsid w:val="001A4C87"/>
    <w:rsid w:val="001A4CBD"/>
    <w:rsid w:val="001A66F4"/>
    <w:rsid w:val="001A6ACB"/>
    <w:rsid w:val="001B1284"/>
    <w:rsid w:val="001B1E26"/>
    <w:rsid w:val="001B2482"/>
    <w:rsid w:val="001B2681"/>
    <w:rsid w:val="001B2A30"/>
    <w:rsid w:val="001B3133"/>
    <w:rsid w:val="001B3878"/>
    <w:rsid w:val="001B395D"/>
    <w:rsid w:val="001B3D83"/>
    <w:rsid w:val="001B3EDB"/>
    <w:rsid w:val="001B42BC"/>
    <w:rsid w:val="001B5208"/>
    <w:rsid w:val="001B52CC"/>
    <w:rsid w:val="001B5C25"/>
    <w:rsid w:val="001B6C00"/>
    <w:rsid w:val="001B6E88"/>
    <w:rsid w:val="001B79C8"/>
    <w:rsid w:val="001C0415"/>
    <w:rsid w:val="001C06E4"/>
    <w:rsid w:val="001C0EDC"/>
    <w:rsid w:val="001C1B3E"/>
    <w:rsid w:val="001C2432"/>
    <w:rsid w:val="001C2672"/>
    <w:rsid w:val="001C34FA"/>
    <w:rsid w:val="001C425C"/>
    <w:rsid w:val="001C45CE"/>
    <w:rsid w:val="001C4689"/>
    <w:rsid w:val="001C469F"/>
    <w:rsid w:val="001C512A"/>
    <w:rsid w:val="001C59C7"/>
    <w:rsid w:val="001C67B5"/>
    <w:rsid w:val="001C67E5"/>
    <w:rsid w:val="001C6F3D"/>
    <w:rsid w:val="001C7B39"/>
    <w:rsid w:val="001D0EFC"/>
    <w:rsid w:val="001D121D"/>
    <w:rsid w:val="001D1AA2"/>
    <w:rsid w:val="001D1E7D"/>
    <w:rsid w:val="001D257F"/>
    <w:rsid w:val="001D3E2F"/>
    <w:rsid w:val="001D455C"/>
    <w:rsid w:val="001D45C5"/>
    <w:rsid w:val="001D4C06"/>
    <w:rsid w:val="001D4E29"/>
    <w:rsid w:val="001D51A0"/>
    <w:rsid w:val="001D55D9"/>
    <w:rsid w:val="001D5724"/>
    <w:rsid w:val="001D581C"/>
    <w:rsid w:val="001D6155"/>
    <w:rsid w:val="001D621A"/>
    <w:rsid w:val="001D79BD"/>
    <w:rsid w:val="001D7BB9"/>
    <w:rsid w:val="001D7F5C"/>
    <w:rsid w:val="001E09E5"/>
    <w:rsid w:val="001E1609"/>
    <w:rsid w:val="001E16AE"/>
    <w:rsid w:val="001E2017"/>
    <w:rsid w:val="001E2101"/>
    <w:rsid w:val="001E275F"/>
    <w:rsid w:val="001E2DDD"/>
    <w:rsid w:val="001E32C0"/>
    <w:rsid w:val="001E367D"/>
    <w:rsid w:val="001E493A"/>
    <w:rsid w:val="001E5D57"/>
    <w:rsid w:val="001E62DC"/>
    <w:rsid w:val="001E64E8"/>
    <w:rsid w:val="001E6F26"/>
    <w:rsid w:val="001E7154"/>
    <w:rsid w:val="001E7402"/>
    <w:rsid w:val="001E74A3"/>
    <w:rsid w:val="001E75BA"/>
    <w:rsid w:val="001E7CA1"/>
    <w:rsid w:val="001F04F6"/>
    <w:rsid w:val="001F131E"/>
    <w:rsid w:val="001F1588"/>
    <w:rsid w:val="001F16A9"/>
    <w:rsid w:val="001F1CBB"/>
    <w:rsid w:val="001F2647"/>
    <w:rsid w:val="001F2C15"/>
    <w:rsid w:val="001F2C57"/>
    <w:rsid w:val="001F3162"/>
    <w:rsid w:val="001F3786"/>
    <w:rsid w:val="001F3DEA"/>
    <w:rsid w:val="001F4F74"/>
    <w:rsid w:val="001F5128"/>
    <w:rsid w:val="001F69A5"/>
    <w:rsid w:val="00200EE4"/>
    <w:rsid w:val="00200EF5"/>
    <w:rsid w:val="002015B9"/>
    <w:rsid w:val="0020317F"/>
    <w:rsid w:val="00203630"/>
    <w:rsid w:val="00203EDB"/>
    <w:rsid w:val="0020468B"/>
    <w:rsid w:val="002047D8"/>
    <w:rsid w:val="00204F7A"/>
    <w:rsid w:val="00205018"/>
    <w:rsid w:val="002052F9"/>
    <w:rsid w:val="00205B93"/>
    <w:rsid w:val="00205F71"/>
    <w:rsid w:val="00205FA6"/>
    <w:rsid w:val="002064E5"/>
    <w:rsid w:val="00206FF8"/>
    <w:rsid w:val="0021030A"/>
    <w:rsid w:val="00210FD7"/>
    <w:rsid w:val="00211C65"/>
    <w:rsid w:val="00212616"/>
    <w:rsid w:val="00213371"/>
    <w:rsid w:val="0021373A"/>
    <w:rsid w:val="00214A99"/>
    <w:rsid w:val="00216313"/>
    <w:rsid w:val="00216643"/>
    <w:rsid w:val="00216D5D"/>
    <w:rsid w:val="00216DD3"/>
    <w:rsid w:val="0021700E"/>
    <w:rsid w:val="002176CF"/>
    <w:rsid w:val="00217C5A"/>
    <w:rsid w:val="00217CB1"/>
    <w:rsid w:val="00220012"/>
    <w:rsid w:val="002208C5"/>
    <w:rsid w:val="002213B9"/>
    <w:rsid w:val="0022140F"/>
    <w:rsid w:val="0022142D"/>
    <w:rsid w:val="00221539"/>
    <w:rsid w:val="00222BB8"/>
    <w:rsid w:val="002236C6"/>
    <w:rsid w:val="00223D7F"/>
    <w:rsid w:val="00223F30"/>
    <w:rsid w:val="00224B18"/>
    <w:rsid w:val="002250FD"/>
    <w:rsid w:val="00225712"/>
    <w:rsid w:val="0022589E"/>
    <w:rsid w:val="00225A8A"/>
    <w:rsid w:val="00226BD0"/>
    <w:rsid w:val="00226EA7"/>
    <w:rsid w:val="00227035"/>
    <w:rsid w:val="00227A4F"/>
    <w:rsid w:val="00230BD3"/>
    <w:rsid w:val="002328DA"/>
    <w:rsid w:val="00232D01"/>
    <w:rsid w:val="00232F68"/>
    <w:rsid w:val="00233166"/>
    <w:rsid w:val="00234C46"/>
    <w:rsid w:val="002350DD"/>
    <w:rsid w:val="002353E1"/>
    <w:rsid w:val="00235725"/>
    <w:rsid w:val="00235FD1"/>
    <w:rsid w:val="00236979"/>
    <w:rsid w:val="00237AFB"/>
    <w:rsid w:val="0024068D"/>
    <w:rsid w:val="00240B43"/>
    <w:rsid w:val="00240E44"/>
    <w:rsid w:val="00240F3D"/>
    <w:rsid w:val="00241C39"/>
    <w:rsid w:val="00241C41"/>
    <w:rsid w:val="00242068"/>
    <w:rsid w:val="002420A6"/>
    <w:rsid w:val="00243252"/>
    <w:rsid w:val="002442FB"/>
    <w:rsid w:val="0024464A"/>
    <w:rsid w:val="0024483E"/>
    <w:rsid w:val="00245C0E"/>
    <w:rsid w:val="00245C31"/>
    <w:rsid w:val="00247851"/>
    <w:rsid w:val="00247DDD"/>
    <w:rsid w:val="0025025F"/>
    <w:rsid w:val="002506F1"/>
    <w:rsid w:val="00250B1E"/>
    <w:rsid w:val="00250EBE"/>
    <w:rsid w:val="002515F1"/>
    <w:rsid w:val="002526A7"/>
    <w:rsid w:val="002526F8"/>
    <w:rsid w:val="002528F2"/>
    <w:rsid w:val="00252CCB"/>
    <w:rsid w:val="00252CDE"/>
    <w:rsid w:val="002531F5"/>
    <w:rsid w:val="002535BB"/>
    <w:rsid w:val="00253A2F"/>
    <w:rsid w:val="00253EB9"/>
    <w:rsid w:val="00254443"/>
    <w:rsid w:val="00254825"/>
    <w:rsid w:val="00255A8B"/>
    <w:rsid w:val="00255EBF"/>
    <w:rsid w:val="002567EF"/>
    <w:rsid w:val="0025720A"/>
    <w:rsid w:val="002577EA"/>
    <w:rsid w:val="002578EE"/>
    <w:rsid w:val="00257A0B"/>
    <w:rsid w:val="00257DCC"/>
    <w:rsid w:val="002609E1"/>
    <w:rsid w:val="00260C99"/>
    <w:rsid w:val="00261163"/>
    <w:rsid w:val="0026126A"/>
    <w:rsid w:val="0026201C"/>
    <w:rsid w:val="00263D6B"/>
    <w:rsid w:val="002643CA"/>
    <w:rsid w:val="00264B36"/>
    <w:rsid w:val="00265463"/>
    <w:rsid w:val="002663A4"/>
    <w:rsid w:val="0026664D"/>
    <w:rsid w:val="00266D9D"/>
    <w:rsid w:val="002678A9"/>
    <w:rsid w:val="00270B53"/>
    <w:rsid w:val="00270C54"/>
    <w:rsid w:val="002713A6"/>
    <w:rsid w:val="002720B6"/>
    <w:rsid w:val="0027250B"/>
    <w:rsid w:val="00272B0D"/>
    <w:rsid w:val="0027344D"/>
    <w:rsid w:val="00273A2D"/>
    <w:rsid w:val="00273F78"/>
    <w:rsid w:val="002742F1"/>
    <w:rsid w:val="00274792"/>
    <w:rsid w:val="002751AA"/>
    <w:rsid w:val="0027543E"/>
    <w:rsid w:val="00275B54"/>
    <w:rsid w:val="00275BB4"/>
    <w:rsid w:val="002768DA"/>
    <w:rsid w:val="00277360"/>
    <w:rsid w:val="00277C87"/>
    <w:rsid w:val="00280D66"/>
    <w:rsid w:val="00280EF8"/>
    <w:rsid w:val="002816BC"/>
    <w:rsid w:val="002824FC"/>
    <w:rsid w:val="00282842"/>
    <w:rsid w:val="00283828"/>
    <w:rsid w:val="00283CA4"/>
    <w:rsid w:val="00284D79"/>
    <w:rsid w:val="002852D0"/>
    <w:rsid w:val="00285C43"/>
    <w:rsid w:val="002875B1"/>
    <w:rsid w:val="002900A2"/>
    <w:rsid w:val="002905F3"/>
    <w:rsid w:val="00291674"/>
    <w:rsid w:val="00291709"/>
    <w:rsid w:val="002918BB"/>
    <w:rsid w:val="0029440C"/>
    <w:rsid w:val="00294528"/>
    <w:rsid w:val="002945FB"/>
    <w:rsid w:val="00295D73"/>
    <w:rsid w:val="00296577"/>
    <w:rsid w:val="002966FD"/>
    <w:rsid w:val="00296EF3"/>
    <w:rsid w:val="002972F4"/>
    <w:rsid w:val="002975CB"/>
    <w:rsid w:val="002977A3"/>
    <w:rsid w:val="00297D52"/>
    <w:rsid w:val="002A091E"/>
    <w:rsid w:val="002A0C3D"/>
    <w:rsid w:val="002A10BF"/>
    <w:rsid w:val="002A11D5"/>
    <w:rsid w:val="002A140A"/>
    <w:rsid w:val="002A1623"/>
    <w:rsid w:val="002A1D4B"/>
    <w:rsid w:val="002A243E"/>
    <w:rsid w:val="002A2C14"/>
    <w:rsid w:val="002A2C55"/>
    <w:rsid w:val="002A2FF3"/>
    <w:rsid w:val="002A345D"/>
    <w:rsid w:val="002A3D9B"/>
    <w:rsid w:val="002A4433"/>
    <w:rsid w:val="002A461D"/>
    <w:rsid w:val="002A46F4"/>
    <w:rsid w:val="002A4EB0"/>
    <w:rsid w:val="002A4FB3"/>
    <w:rsid w:val="002A598F"/>
    <w:rsid w:val="002A649D"/>
    <w:rsid w:val="002A6560"/>
    <w:rsid w:val="002A6696"/>
    <w:rsid w:val="002A6CFC"/>
    <w:rsid w:val="002A6D44"/>
    <w:rsid w:val="002A7AB3"/>
    <w:rsid w:val="002B0235"/>
    <w:rsid w:val="002B05A4"/>
    <w:rsid w:val="002B1064"/>
    <w:rsid w:val="002B14B3"/>
    <w:rsid w:val="002B21EF"/>
    <w:rsid w:val="002B2297"/>
    <w:rsid w:val="002B2D5A"/>
    <w:rsid w:val="002B382C"/>
    <w:rsid w:val="002B38AC"/>
    <w:rsid w:val="002B4128"/>
    <w:rsid w:val="002B4466"/>
    <w:rsid w:val="002B4816"/>
    <w:rsid w:val="002B59B4"/>
    <w:rsid w:val="002B75D8"/>
    <w:rsid w:val="002B7656"/>
    <w:rsid w:val="002B7700"/>
    <w:rsid w:val="002B7BFA"/>
    <w:rsid w:val="002C0E8C"/>
    <w:rsid w:val="002C17B4"/>
    <w:rsid w:val="002C1AC3"/>
    <w:rsid w:val="002C1B36"/>
    <w:rsid w:val="002C2773"/>
    <w:rsid w:val="002C2E96"/>
    <w:rsid w:val="002C339A"/>
    <w:rsid w:val="002C4549"/>
    <w:rsid w:val="002C4963"/>
    <w:rsid w:val="002C4CA8"/>
    <w:rsid w:val="002C5548"/>
    <w:rsid w:val="002C63E0"/>
    <w:rsid w:val="002C65B4"/>
    <w:rsid w:val="002C7600"/>
    <w:rsid w:val="002D0D0D"/>
    <w:rsid w:val="002D1D8A"/>
    <w:rsid w:val="002D1FA5"/>
    <w:rsid w:val="002D2053"/>
    <w:rsid w:val="002D20A0"/>
    <w:rsid w:val="002D2B59"/>
    <w:rsid w:val="002D44DF"/>
    <w:rsid w:val="002D4D18"/>
    <w:rsid w:val="002D55E3"/>
    <w:rsid w:val="002D5FA4"/>
    <w:rsid w:val="002D750E"/>
    <w:rsid w:val="002D7545"/>
    <w:rsid w:val="002E0429"/>
    <w:rsid w:val="002E0B39"/>
    <w:rsid w:val="002E0D03"/>
    <w:rsid w:val="002E11AE"/>
    <w:rsid w:val="002E1202"/>
    <w:rsid w:val="002E1239"/>
    <w:rsid w:val="002E17ED"/>
    <w:rsid w:val="002E1A4B"/>
    <w:rsid w:val="002E1FFC"/>
    <w:rsid w:val="002E2982"/>
    <w:rsid w:val="002E3C26"/>
    <w:rsid w:val="002E3E88"/>
    <w:rsid w:val="002E49D4"/>
    <w:rsid w:val="002E4C37"/>
    <w:rsid w:val="002E6B66"/>
    <w:rsid w:val="002E6DD1"/>
    <w:rsid w:val="002E6FCF"/>
    <w:rsid w:val="002E70F5"/>
    <w:rsid w:val="002E7C02"/>
    <w:rsid w:val="002F0503"/>
    <w:rsid w:val="002F0730"/>
    <w:rsid w:val="002F084A"/>
    <w:rsid w:val="002F11E4"/>
    <w:rsid w:val="002F188F"/>
    <w:rsid w:val="002F1AD8"/>
    <w:rsid w:val="002F1BBF"/>
    <w:rsid w:val="002F1D22"/>
    <w:rsid w:val="002F253A"/>
    <w:rsid w:val="002F287F"/>
    <w:rsid w:val="002F3148"/>
    <w:rsid w:val="002F371C"/>
    <w:rsid w:val="002F3C02"/>
    <w:rsid w:val="002F4ADD"/>
    <w:rsid w:val="002F5818"/>
    <w:rsid w:val="002F5847"/>
    <w:rsid w:val="002F64D9"/>
    <w:rsid w:val="002F6CAF"/>
    <w:rsid w:val="002F6D4E"/>
    <w:rsid w:val="002F7606"/>
    <w:rsid w:val="00300264"/>
    <w:rsid w:val="00300FD4"/>
    <w:rsid w:val="0030172B"/>
    <w:rsid w:val="00301E9E"/>
    <w:rsid w:val="00302817"/>
    <w:rsid w:val="00302949"/>
    <w:rsid w:val="003029A2"/>
    <w:rsid w:val="00302F2C"/>
    <w:rsid w:val="00303180"/>
    <w:rsid w:val="00303FAB"/>
    <w:rsid w:val="003047D2"/>
    <w:rsid w:val="00304AC3"/>
    <w:rsid w:val="00304B74"/>
    <w:rsid w:val="00305145"/>
    <w:rsid w:val="00305245"/>
    <w:rsid w:val="00305466"/>
    <w:rsid w:val="00305AAE"/>
    <w:rsid w:val="00305BD9"/>
    <w:rsid w:val="00305FEB"/>
    <w:rsid w:val="00307A0B"/>
    <w:rsid w:val="00310287"/>
    <w:rsid w:val="003106F6"/>
    <w:rsid w:val="0031094F"/>
    <w:rsid w:val="00311239"/>
    <w:rsid w:val="00311491"/>
    <w:rsid w:val="00311E4D"/>
    <w:rsid w:val="0031217B"/>
    <w:rsid w:val="00312D9C"/>
    <w:rsid w:val="00313681"/>
    <w:rsid w:val="00313918"/>
    <w:rsid w:val="003139CE"/>
    <w:rsid w:val="00313CD0"/>
    <w:rsid w:val="003140CC"/>
    <w:rsid w:val="00314440"/>
    <w:rsid w:val="00314CD8"/>
    <w:rsid w:val="00314F8D"/>
    <w:rsid w:val="00315434"/>
    <w:rsid w:val="0031545E"/>
    <w:rsid w:val="003169C7"/>
    <w:rsid w:val="003179EE"/>
    <w:rsid w:val="00317A56"/>
    <w:rsid w:val="00317C80"/>
    <w:rsid w:val="0032143C"/>
    <w:rsid w:val="00321F7A"/>
    <w:rsid w:val="003224D0"/>
    <w:rsid w:val="003230EF"/>
    <w:rsid w:val="00323318"/>
    <w:rsid w:val="00323514"/>
    <w:rsid w:val="0032351B"/>
    <w:rsid w:val="003239BA"/>
    <w:rsid w:val="00323AB6"/>
    <w:rsid w:val="00324C5E"/>
    <w:rsid w:val="00325BDA"/>
    <w:rsid w:val="00325D5D"/>
    <w:rsid w:val="00326063"/>
    <w:rsid w:val="00326531"/>
    <w:rsid w:val="003268D9"/>
    <w:rsid w:val="0032758D"/>
    <w:rsid w:val="00327AEE"/>
    <w:rsid w:val="00327D70"/>
    <w:rsid w:val="003300E2"/>
    <w:rsid w:val="00330713"/>
    <w:rsid w:val="00330C90"/>
    <w:rsid w:val="00331296"/>
    <w:rsid w:val="00331A57"/>
    <w:rsid w:val="0033248D"/>
    <w:rsid w:val="00332D79"/>
    <w:rsid w:val="00332D8F"/>
    <w:rsid w:val="003331DD"/>
    <w:rsid w:val="00333A6B"/>
    <w:rsid w:val="00333BD4"/>
    <w:rsid w:val="00334495"/>
    <w:rsid w:val="003346B0"/>
    <w:rsid w:val="00334AC9"/>
    <w:rsid w:val="0033518B"/>
    <w:rsid w:val="0033584C"/>
    <w:rsid w:val="003366FA"/>
    <w:rsid w:val="003367CD"/>
    <w:rsid w:val="00340DA0"/>
    <w:rsid w:val="00340EAC"/>
    <w:rsid w:val="0034288B"/>
    <w:rsid w:val="00342BDF"/>
    <w:rsid w:val="00342D0D"/>
    <w:rsid w:val="00342DF3"/>
    <w:rsid w:val="003430FC"/>
    <w:rsid w:val="003447DC"/>
    <w:rsid w:val="00345518"/>
    <w:rsid w:val="00345A31"/>
    <w:rsid w:val="00345FDD"/>
    <w:rsid w:val="0034703E"/>
    <w:rsid w:val="00347AD2"/>
    <w:rsid w:val="003503AA"/>
    <w:rsid w:val="00351201"/>
    <w:rsid w:val="0035204B"/>
    <w:rsid w:val="00352396"/>
    <w:rsid w:val="0035351E"/>
    <w:rsid w:val="003535EA"/>
    <w:rsid w:val="00354018"/>
    <w:rsid w:val="003549BE"/>
    <w:rsid w:val="00354B31"/>
    <w:rsid w:val="0035557E"/>
    <w:rsid w:val="003563FE"/>
    <w:rsid w:val="00356A38"/>
    <w:rsid w:val="00357C9A"/>
    <w:rsid w:val="00357E6E"/>
    <w:rsid w:val="003606A1"/>
    <w:rsid w:val="0036079A"/>
    <w:rsid w:val="0036198F"/>
    <w:rsid w:val="003622C2"/>
    <w:rsid w:val="003626F0"/>
    <w:rsid w:val="00362751"/>
    <w:rsid w:val="003627E3"/>
    <w:rsid w:val="0036283A"/>
    <w:rsid w:val="003632B4"/>
    <w:rsid w:val="00363CE2"/>
    <w:rsid w:val="00363D47"/>
    <w:rsid w:val="00363F27"/>
    <w:rsid w:val="00364438"/>
    <w:rsid w:val="0036586E"/>
    <w:rsid w:val="00365D9D"/>
    <w:rsid w:val="0036623C"/>
    <w:rsid w:val="0036718A"/>
    <w:rsid w:val="003671C2"/>
    <w:rsid w:val="00367245"/>
    <w:rsid w:val="003679D0"/>
    <w:rsid w:val="00367A07"/>
    <w:rsid w:val="00367D64"/>
    <w:rsid w:val="00370003"/>
    <w:rsid w:val="00370258"/>
    <w:rsid w:val="00370C1C"/>
    <w:rsid w:val="00370DEF"/>
    <w:rsid w:val="00370F03"/>
    <w:rsid w:val="0037133A"/>
    <w:rsid w:val="003716DF"/>
    <w:rsid w:val="0037187E"/>
    <w:rsid w:val="0037227C"/>
    <w:rsid w:val="00372A19"/>
    <w:rsid w:val="00373340"/>
    <w:rsid w:val="00373A67"/>
    <w:rsid w:val="00373FE9"/>
    <w:rsid w:val="00374929"/>
    <w:rsid w:val="00374B71"/>
    <w:rsid w:val="00374C72"/>
    <w:rsid w:val="00374F20"/>
    <w:rsid w:val="00375113"/>
    <w:rsid w:val="00375EA1"/>
    <w:rsid w:val="003763A7"/>
    <w:rsid w:val="003768EA"/>
    <w:rsid w:val="00376EAC"/>
    <w:rsid w:val="003800BE"/>
    <w:rsid w:val="00380FE7"/>
    <w:rsid w:val="003813FE"/>
    <w:rsid w:val="00381A51"/>
    <w:rsid w:val="00381FB0"/>
    <w:rsid w:val="00382318"/>
    <w:rsid w:val="00382541"/>
    <w:rsid w:val="0038267D"/>
    <w:rsid w:val="00383159"/>
    <w:rsid w:val="003833D2"/>
    <w:rsid w:val="00384146"/>
    <w:rsid w:val="00385138"/>
    <w:rsid w:val="003859E1"/>
    <w:rsid w:val="00387007"/>
    <w:rsid w:val="00387043"/>
    <w:rsid w:val="00387545"/>
    <w:rsid w:val="003875A6"/>
    <w:rsid w:val="003876E9"/>
    <w:rsid w:val="00387A25"/>
    <w:rsid w:val="00387A81"/>
    <w:rsid w:val="00391131"/>
    <w:rsid w:val="00391953"/>
    <w:rsid w:val="00392A40"/>
    <w:rsid w:val="00392AE3"/>
    <w:rsid w:val="00393E3F"/>
    <w:rsid w:val="00393F58"/>
    <w:rsid w:val="0039425E"/>
    <w:rsid w:val="003949FF"/>
    <w:rsid w:val="0039539E"/>
    <w:rsid w:val="00396457"/>
    <w:rsid w:val="00396EDB"/>
    <w:rsid w:val="003A09BA"/>
    <w:rsid w:val="003A160E"/>
    <w:rsid w:val="003A1A17"/>
    <w:rsid w:val="003A1E28"/>
    <w:rsid w:val="003A21AE"/>
    <w:rsid w:val="003A2268"/>
    <w:rsid w:val="003A25FC"/>
    <w:rsid w:val="003A324D"/>
    <w:rsid w:val="003A3787"/>
    <w:rsid w:val="003A45A6"/>
    <w:rsid w:val="003A461B"/>
    <w:rsid w:val="003A4A24"/>
    <w:rsid w:val="003A4E7C"/>
    <w:rsid w:val="003A5236"/>
    <w:rsid w:val="003A5514"/>
    <w:rsid w:val="003A69D5"/>
    <w:rsid w:val="003A7569"/>
    <w:rsid w:val="003A781E"/>
    <w:rsid w:val="003A7A25"/>
    <w:rsid w:val="003A7A33"/>
    <w:rsid w:val="003A7C1C"/>
    <w:rsid w:val="003A7E1D"/>
    <w:rsid w:val="003B003A"/>
    <w:rsid w:val="003B0BD2"/>
    <w:rsid w:val="003B1621"/>
    <w:rsid w:val="003B18FC"/>
    <w:rsid w:val="003B1EFC"/>
    <w:rsid w:val="003B1F89"/>
    <w:rsid w:val="003B2AC3"/>
    <w:rsid w:val="003B2D57"/>
    <w:rsid w:val="003B2F86"/>
    <w:rsid w:val="003B386B"/>
    <w:rsid w:val="003B3CA3"/>
    <w:rsid w:val="003B4342"/>
    <w:rsid w:val="003B467E"/>
    <w:rsid w:val="003B5AEF"/>
    <w:rsid w:val="003B60D1"/>
    <w:rsid w:val="003B6F87"/>
    <w:rsid w:val="003C03E5"/>
    <w:rsid w:val="003C0804"/>
    <w:rsid w:val="003C159F"/>
    <w:rsid w:val="003C167C"/>
    <w:rsid w:val="003C2E60"/>
    <w:rsid w:val="003C32E5"/>
    <w:rsid w:val="003C381A"/>
    <w:rsid w:val="003C4715"/>
    <w:rsid w:val="003C4CDD"/>
    <w:rsid w:val="003C52D8"/>
    <w:rsid w:val="003C6FCB"/>
    <w:rsid w:val="003C72FB"/>
    <w:rsid w:val="003C786D"/>
    <w:rsid w:val="003C7982"/>
    <w:rsid w:val="003D004D"/>
    <w:rsid w:val="003D03CC"/>
    <w:rsid w:val="003D06B2"/>
    <w:rsid w:val="003D0958"/>
    <w:rsid w:val="003D0C22"/>
    <w:rsid w:val="003D1B7E"/>
    <w:rsid w:val="003D1C40"/>
    <w:rsid w:val="003D1E03"/>
    <w:rsid w:val="003D20FA"/>
    <w:rsid w:val="003D25C9"/>
    <w:rsid w:val="003D299A"/>
    <w:rsid w:val="003D3180"/>
    <w:rsid w:val="003D3867"/>
    <w:rsid w:val="003D4799"/>
    <w:rsid w:val="003D4D99"/>
    <w:rsid w:val="003D5459"/>
    <w:rsid w:val="003D5511"/>
    <w:rsid w:val="003D56A4"/>
    <w:rsid w:val="003D5E8F"/>
    <w:rsid w:val="003D5EE7"/>
    <w:rsid w:val="003D6615"/>
    <w:rsid w:val="003D67E0"/>
    <w:rsid w:val="003D6F6A"/>
    <w:rsid w:val="003E00DE"/>
    <w:rsid w:val="003E1343"/>
    <w:rsid w:val="003E22B1"/>
    <w:rsid w:val="003E266E"/>
    <w:rsid w:val="003E2FAD"/>
    <w:rsid w:val="003E38ED"/>
    <w:rsid w:val="003E4223"/>
    <w:rsid w:val="003E45FB"/>
    <w:rsid w:val="003E4A0F"/>
    <w:rsid w:val="003E6C96"/>
    <w:rsid w:val="003E7D74"/>
    <w:rsid w:val="003F0D21"/>
    <w:rsid w:val="003F45C9"/>
    <w:rsid w:val="003F4605"/>
    <w:rsid w:val="003F4939"/>
    <w:rsid w:val="003F5452"/>
    <w:rsid w:val="003F5C81"/>
    <w:rsid w:val="003F6994"/>
    <w:rsid w:val="003F7E7A"/>
    <w:rsid w:val="004006C1"/>
    <w:rsid w:val="0040182B"/>
    <w:rsid w:val="00401D90"/>
    <w:rsid w:val="00402049"/>
    <w:rsid w:val="00402245"/>
    <w:rsid w:val="00402DCA"/>
    <w:rsid w:val="00403A9B"/>
    <w:rsid w:val="00403ED5"/>
    <w:rsid w:val="00405382"/>
    <w:rsid w:val="00405675"/>
    <w:rsid w:val="0040596A"/>
    <w:rsid w:val="00405C5D"/>
    <w:rsid w:val="00405E4D"/>
    <w:rsid w:val="00406088"/>
    <w:rsid w:val="00406FE1"/>
    <w:rsid w:val="00406FFB"/>
    <w:rsid w:val="00407397"/>
    <w:rsid w:val="00407F7C"/>
    <w:rsid w:val="00411873"/>
    <w:rsid w:val="004123A9"/>
    <w:rsid w:val="00413747"/>
    <w:rsid w:val="00413D83"/>
    <w:rsid w:val="00414080"/>
    <w:rsid w:val="0041664B"/>
    <w:rsid w:val="00416830"/>
    <w:rsid w:val="00416831"/>
    <w:rsid w:val="00416ACE"/>
    <w:rsid w:val="00416FE6"/>
    <w:rsid w:val="00417997"/>
    <w:rsid w:val="00417C8F"/>
    <w:rsid w:val="004201C7"/>
    <w:rsid w:val="0042039F"/>
    <w:rsid w:val="00420AFB"/>
    <w:rsid w:val="00420B9C"/>
    <w:rsid w:val="00422830"/>
    <w:rsid w:val="00422AA3"/>
    <w:rsid w:val="00423367"/>
    <w:rsid w:val="00423562"/>
    <w:rsid w:val="004235A5"/>
    <w:rsid w:val="00424139"/>
    <w:rsid w:val="0042456B"/>
    <w:rsid w:val="0042491A"/>
    <w:rsid w:val="004249EF"/>
    <w:rsid w:val="00424B67"/>
    <w:rsid w:val="0042503F"/>
    <w:rsid w:val="00425A3E"/>
    <w:rsid w:val="00426550"/>
    <w:rsid w:val="0042753A"/>
    <w:rsid w:val="00427A51"/>
    <w:rsid w:val="00427FD1"/>
    <w:rsid w:val="004304C4"/>
    <w:rsid w:val="00430536"/>
    <w:rsid w:val="004305D1"/>
    <w:rsid w:val="00430706"/>
    <w:rsid w:val="004312EF"/>
    <w:rsid w:val="00431BC1"/>
    <w:rsid w:val="00431F64"/>
    <w:rsid w:val="00431FC3"/>
    <w:rsid w:val="004324B9"/>
    <w:rsid w:val="00432DA1"/>
    <w:rsid w:val="00432E50"/>
    <w:rsid w:val="0043392E"/>
    <w:rsid w:val="0043396B"/>
    <w:rsid w:val="00433F81"/>
    <w:rsid w:val="00433F90"/>
    <w:rsid w:val="00434E41"/>
    <w:rsid w:val="00436330"/>
    <w:rsid w:val="00436BBE"/>
    <w:rsid w:val="00437202"/>
    <w:rsid w:val="00437BC8"/>
    <w:rsid w:val="00437DEE"/>
    <w:rsid w:val="004404F8"/>
    <w:rsid w:val="004410DA"/>
    <w:rsid w:val="00441407"/>
    <w:rsid w:val="004416A2"/>
    <w:rsid w:val="00442482"/>
    <w:rsid w:val="00442510"/>
    <w:rsid w:val="00443099"/>
    <w:rsid w:val="00443BE2"/>
    <w:rsid w:val="0044402D"/>
    <w:rsid w:val="00447521"/>
    <w:rsid w:val="00447576"/>
    <w:rsid w:val="004476CA"/>
    <w:rsid w:val="00447B6A"/>
    <w:rsid w:val="00447C46"/>
    <w:rsid w:val="00450431"/>
    <w:rsid w:val="004505D8"/>
    <w:rsid w:val="00450E2C"/>
    <w:rsid w:val="004510CB"/>
    <w:rsid w:val="00452793"/>
    <w:rsid w:val="00452CCE"/>
    <w:rsid w:val="00452CF0"/>
    <w:rsid w:val="00452D5B"/>
    <w:rsid w:val="00452F43"/>
    <w:rsid w:val="00453C1F"/>
    <w:rsid w:val="0045432C"/>
    <w:rsid w:val="00454A2B"/>
    <w:rsid w:val="00454BF6"/>
    <w:rsid w:val="00454E22"/>
    <w:rsid w:val="00454FAC"/>
    <w:rsid w:val="004552F3"/>
    <w:rsid w:val="00455749"/>
    <w:rsid w:val="0045583D"/>
    <w:rsid w:val="00456D1A"/>
    <w:rsid w:val="00457277"/>
    <w:rsid w:val="004577D4"/>
    <w:rsid w:val="00457E0C"/>
    <w:rsid w:val="00460863"/>
    <w:rsid w:val="00461643"/>
    <w:rsid w:val="00461A2E"/>
    <w:rsid w:val="00461E6E"/>
    <w:rsid w:val="00462AC2"/>
    <w:rsid w:val="00462EAD"/>
    <w:rsid w:val="0046302E"/>
    <w:rsid w:val="004639D8"/>
    <w:rsid w:val="00463C2E"/>
    <w:rsid w:val="004642D8"/>
    <w:rsid w:val="004650BE"/>
    <w:rsid w:val="004650F2"/>
    <w:rsid w:val="004651B9"/>
    <w:rsid w:val="00465627"/>
    <w:rsid w:val="004659F4"/>
    <w:rsid w:val="00465C3C"/>
    <w:rsid w:val="004666EE"/>
    <w:rsid w:val="00466E92"/>
    <w:rsid w:val="0046771A"/>
    <w:rsid w:val="00467F4A"/>
    <w:rsid w:val="00471DF0"/>
    <w:rsid w:val="004720AF"/>
    <w:rsid w:val="0047344A"/>
    <w:rsid w:val="00473977"/>
    <w:rsid w:val="00473C89"/>
    <w:rsid w:val="00473C9E"/>
    <w:rsid w:val="00473CD3"/>
    <w:rsid w:val="0047449B"/>
    <w:rsid w:val="004744D8"/>
    <w:rsid w:val="00476B2D"/>
    <w:rsid w:val="00476C43"/>
    <w:rsid w:val="00477335"/>
    <w:rsid w:val="00477583"/>
    <w:rsid w:val="004776A4"/>
    <w:rsid w:val="00477BF8"/>
    <w:rsid w:val="00477FB1"/>
    <w:rsid w:val="00480324"/>
    <w:rsid w:val="004804E8"/>
    <w:rsid w:val="004806AF"/>
    <w:rsid w:val="004806B4"/>
    <w:rsid w:val="00480712"/>
    <w:rsid w:val="00481928"/>
    <w:rsid w:val="004820CB"/>
    <w:rsid w:val="00482296"/>
    <w:rsid w:val="00482771"/>
    <w:rsid w:val="00482E7E"/>
    <w:rsid w:val="00483264"/>
    <w:rsid w:val="004832C8"/>
    <w:rsid w:val="00484B4A"/>
    <w:rsid w:val="00484EA8"/>
    <w:rsid w:val="004851EC"/>
    <w:rsid w:val="00485BDA"/>
    <w:rsid w:val="00485C4B"/>
    <w:rsid w:val="004869E5"/>
    <w:rsid w:val="00486A22"/>
    <w:rsid w:val="00486EA4"/>
    <w:rsid w:val="0048710F"/>
    <w:rsid w:val="00487A71"/>
    <w:rsid w:val="00487EFF"/>
    <w:rsid w:val="0049002D"/>
    <w:rsid w:val="004901B5"/>
    <w:rsid w:val="00490FD7"/>
    <w:rsid w:val="00492A89"/>
    <w:rsid w:val="004931CE"/>
    <w:rsid w:val="00493C12"/>
    <w:rsid w:val="00494057"/>
    <w:rsid w:val="0049430B"/>
    <w:rsid w:val="004945F5"/>
    <w:rsid w:val="00494B07"/>
    <w:rsid w:val="00494E16"/>
    <w:rsid w:val="0049540B"/>
    <w:rsid w:val="004967EB"/>
    <w:rsid w:val="004975B7"/>
    <w:rsid w:val="00497CC0"/>
    <w:rsid w:val="004A0063"/>
    <w:rsid w:val="004A03D7"/>
    <w:rsid w:val="004A1177"/>
    <w:rsid w:val="004A117F"/>
    <w:rsid w:val="004A123A"/>
    <w:rsid w:val="004A1DA3"/>
    <w:rsid w:val="004A1E3A"/>
    <w:rsid w:val="004A20B3"/>
    <w:rsid w:val="004A3294"/>
    <w:rsid w:val="004A3D47"/>
    <w:rsid w:val="004A4C96"/>
    <w:rsid w:val="004A4E14"/>
    <w:rsid w:val="004A57CE"/>
    <w:rsid w:val="004A6111"/>
    <w:rsid w:val="004A674E"/>
    <w:rsid w:val="004A77DD"/>
    <w:rsid w:val="004B0CC5"/>
    <w:rsid w:val="004B1CC9"/>
    <w:rsid w:val="004B319E"/>
    <w:rsid w:val="004B3514"/>
    <w:rsid w:val="004B38B8"/>
    <w:rsid w:val="004B38CE"/>
    <w:rsid w:val="004B3AB5"/>
    <w:rsid w:val="004B4A65"/>
    <w:rsid w:val="004B6624"/>
    <w:rsid w:val="004B689D"/>
    <w:rsid w:val="004B726B"/>
    <w:rsid w:val="004B72D3"/>
    <w:rsid w:val="004B7568"/>
    <w:rsid w:val="004B7C26"/>
    <w:rsid w:val="004C1980"/>
    <w:rsid w:val="004C201C"/>
    <w:rsid w:val="004C20C2"/>
    <w:rsid w:val="004C2699"/>
    <w:rsid w:val="004C3DB9"/>
    <w:rsid w:val="004C4B33"/>
    <w:rsid w:val="004C4CAE"/>
    <w:rsid w:val="004C539A"/>
    <w:rsid w:val="004C5778"/>
    <w:rsid w:val="004C686B"/>
    <w:rsid w:val="004C7214"/>
    <w:rsid w:val="004C79CF"/>
    <w:rsid w:val="004D113C"/>
    <w:rsid w:val="004D12A2"/>
    <w:rsid w:val="004D15BE"/>
    <w:rsid w:val="004D1697"/>
    <w:rsid w:val="004D1AD8"/>
    <w:rsid w:val="004D2357"/>
    <w:rsid w:val="004D25E9"/>
    <w:rsid w:val="004D2E2B"/>
    <w:rsid w:val="004D303D"/>
    <w:rsid w:val="004D32B4"/>
    <w:rsid w:val="004D468E"/>
    <w:rsid w:val="004D547F"/>
    <w:rsid w:val="004D57EB"/>
    <w:rsid w:val="004D591E"/>
    <w:rsid w:val="004D61CE"/>
    <w:rsid w:val="004D6533"/>
    <w:rsid w:val="004D66B5"/>
    <w:rsid w:val="004D670F"/>
    <w:rsid w:val="004D6AB3"/>
    <w:rsid w:val="004D751F"/>
    <w:rsid w:val="004D762F"/>
    <w:rsid w:val="004D7C3B"/>
    <w:rsid w:val="004D7C95"/>
    <w:rsid w:val="004E07F8"/>
    <w:rsid w:val="004E094D"/>
    <w:rsid w:val="004E098A"/>
    <w:rsid w:val="004E0AE7"/>
    <w:rsid w:val="004E1412"/>
    <w:rsid w:val="004E18C4"/>
    <w:rsid w:val="004E21C1"/>
    <w:rsid w:val="004E270F"/>
    <w:rsid w:val="004E2985"/>
    <w:rsid w:val="004E42C4"/>
    <w:rsid w:val="004E431C"/>
    <w:rsid w:val="004E49DC"/>
    <w:rsid w:val="004E650C"/>
    <w:rsid w:val="004E66C4"/>
    <w:rsid w:val="004E6DCF"/>
    <w:rsid w:val="004E6EDF"/>
    <w:rsid w:val="004F074D"/>
    <w:rsid w:val="004F095D"/>
    <w:rsid w:val="004F10DC"/>
    <w:rsid w:val="004F2A2E"/>
    <w:rsid w:val="004F2B50"/>
    <w:rsid w:val="004F2E74"/>
    <w:rsid w:val="004F377E"/>
    <w:rsid w:val="004F4554"/>
    <w:rsid w:val="004F54FC"/>
    <w:rsid w:val="004F5705"/>
    <w:rsid w:val="004F58FF"/>
    <w:rsid w:val="004F63C3"/>
    <w:rsid w:val="004F64E5"/>
    <w:rsid w:val="004F6EFD"/>
    <w:rsid w:val="004F7DA1"/>
    <w:rsid w:val="005015F9"/>
    <w:rsid w:val="00502675"/>
    <w:rsid w:val="0050593C"/>
    <w:rsid w:val="00506E03"/>
    <w:rsid w:val="00507C2D"/>
    <w:rsid w:val="00510687"/>
    <w:rsid w:val="00510DDD"/>
    <w:rsid w:val="005125D1"/>
    <w:rsid w:val="0051270D"/>
    <w:rsid w:val="00512B50"/>
    <w:rsid w:val="00513E60"/>
    <w:rsid w:val="005146C6"/>
    <w:rsid w:val="00515406"/>
    <w:rsid w:val="00515524"/>
    <w:rsid w:val="005155A3"/>
    <w:rsid w:val="00516AEA"/>
    <w:rsid w:val="00516E01"/>
    <w:rsid w:val="00517E43"/>
    <w:rsid w:val="00517EF1"/>
    <w:rsid w:val="005207FF"/>
    <w:rsid w:val="0052197E"/>
    <w:rsid w:val="00521B64"/>
    <w:rsid w:val="00521B83"/>
    <w:rsid w:val="00521E96"/>
    <w:rsid w:val="00522285"/>
    <w:rsid w:val="005225FE"/>
    <w:rsid w:val="00522FA3"/>
    <w:rsid w:val="005242D3"/>
    <w:rsid w:val="005247DD"/>
    <w:rsid w:val="00524EBA"/>
    <w:rsid w:val="005250BE"/>
    <w:rsid w:val="00525376"/>
    <w:rsid w:val="00525431"/>
    <w:rsid w:val="00525959"/>
    <w:rsid w:val="005269C1"/>
    <w:rsid w:val="00526EBA"/>
    <w:rsid w:val="00527109"/>
    <w:rsid w:val="00527BEA"/>
    <w:rsid w:val="00527F5B"/>
    <w:rsid w:val="005302E5"/>
    <w:rsid w:val="005311A1"/>
    <w:rsid w:val="00531565"/>
    <w:rsid w:val="0053245F"/>
    <w:rsid w:val="00532936"/>
    <w:rsid w:val="00532D82"/>
    <w:rsid w:val="00533581"/>
    <w:rsid w:val="00533978"/>
    <w:rsid w:val="00533DF7"/>
    <w:rsid w:val="005352A0"/>
    <w:rsid w:val="005352C7"/>
    <w:rsid w:val="005357F7"/>
    <w:rsid w:val="00535F71"/>
    <w:rsid w:val="005361DC"/>
    <w:rsid w:val="0054039D"/>
    <w:rsid w:val="005406CF"/>
    <w:rsid w:val="005409FF"/>
    <w:rsid w:val="005410BB"/>
    <w:rsid w:val="00541459"/>
    <w:rsid w:val="00541CBB"/>
    <w:rsid w:val="00541E65"/>
    <w:rsid w:val="00541FE5"/>
    <w:rsid w:val="0054269E"/>
    <w:rsid w:val="00542744"/>
    <w:rsid w:val="00542AD5"/>
    <w:rsid w:val="005434CC"/>
    <w:rsid w:val="0054350C"/>
    <w:rsid w:val="00543D04"/>
    <w:rsid w:val="00544191"/>
    <w:rsid w:val="00544709"/>
    <w:rsid w:val="00544A4D"/>
    <w:rsid w:val="00544B5D"/>
    <w:rsid w:val="00545F6F"/>
    <w:rsid w:val="00546E7D"/>
    <w:rsid w:val="0054739F"/>
    <w:rsid w:val="00550452"/>
    <w:rsid w:val="0055051E"/>
    <w:rsid w:val="005505F2"/>
    <w:rsid w:val="0055087B"/>
    <w:rsid w:val="00550A50"/>
    <w:rsid w:val="00550CBC"/>
    <w:rsid w:val="00550DF5"/>
    <w:rsid w:val="00551141"/>
    <w:rsid w:val="00551790"/>
    <w:rsid w:val="00552225"/>
    <w:rsid w:val="0055319D"/>
    <w:rsid w:val="00554EAB"/>
    <w:rsid w:val="0055563A"/>
    <w:rsid w:val="00555C3D"/>
    <w:rsid w:val="0055604E"/>
    <w:rsid w:val="005562E0"/>
    <w:rsid w:val="00557165"/>
    <w:rsid w:val="0056054F"/>
    <w:rsid w:val="005607FF"/>
    <w:rsid w:val="00560921"/>
    <w:rsid w:val="0056110F"/>
    <w:rsid w:val="00562A1C"/>
    <w:rsid w:val="005632F4"/>
    <w:rsid w:val="005634B3"/>
    <w:rsid w:val="005635DC"/>
    <w:rsid w:val="00563C62"/>
    <w:rsid w:val="005640D1"/>
    <w:rsid w:val="005659F6"/>
    <w:rsid w:val="00565FDD"/>
    <w:rsid w:val="005665A4"/>
    <w:rsid w:val="005670DC"/>
    <w:rsid w:val="0056722E"/>
    <w:rsid w:val="005709A9"/>
    <w:rsid w:val="00570D44"/>
    <w:rsid w:val="00570E7D"/>
    <w:rsid w:val="00571158"/>
    <w:rsid w:val="005715D3"/>
    <w:rsid w:val="0057194A"/>
    <w:rsid w:val="00571C30"/>
    <w:rsid w:val="005723BC"/>
    <w:rsid w:val="00572A71"/>
    <w:rsid w:val="00572B33"/>
    <w:rsid w:val="0057352B"/>
    <w:rsid w:val="00573C2E"/>
    <w:rsid w:val="00574D12"/>
    <w:rsid w:val="005750EC"/>
    <w:rsid w:val="00575280"/>
    <w:rsid w:val="0057572B"/>
    <w:rsid w:val="00575A5E"/>
    <w:rsid w:val="00575D21"/>
    <w:rsid w:val="00575FF9"/>
    <w:rsid w:val="0057676C"/>
    <w:rsid w:val="00576E5A"/>
    <w:rsid w:val="00576FE5"/>
    <w:rsid w:val="00576FEB"/>
    <w:rsid w:val="005778E9"/>
    <w:rsid w:val="00577C04"/>
    <w:rsid w:val="00577E96"/>
    <w:rsid w:val="005802E3"/>
    <w:rsid w:val="00580B5A"/>
    <w:rsid w:val="00580FFD"/>
    <w:rsid w:val="00581242"/>
    <w:rsid w:val="0058157D"/>
    <w:rsid w:val="005815BF"/>
    <w:rsid w:val="00581D5F"/>
    <w:rsid w:val="005828AE"/>
    <w:rsid w:val="00582F1A"/>
    <w:rsid w:val="005836C6"/>
    <w:rsid w:val="00583ADE"/>
    <w:rsid w:val="00583C5D"/>
    <w:rsid w:val="005843A4"/>
    <w:rsid w:val="0058469E"/>
    <w:rsid w:val="00584E0F"/>
    <w:rsid w:val="005853C3"/>
    <w:rsid w:val="00586D71"/>
    <w:rsid w:val="005876D6"/>
    <w:rsid w:val="00590534"/>
    <w:rsid w:val="005906E0"/>
    <w:rsid w:val="00591749"/>
    <w:rsid w:val="00591DC9"/>
    <w:rsid w:val="00591E66"/>
    <w:rsid w:val="0059236A"/>
    <w:rsid w:val="005926B1"/>
    <w:rsid w:val="00592C1A"/>
    <w:rsid w:val="005934ED"/>
    <w:rsid w:val="00594E28"/>
    <w:rsid w:val="0059500D"/>
    <w:rsid w:val="0059517E"/>
    <w:rsid w:val="00595A84"/>
    <w:rsid w:val="00595D45"/>
    <w:rsid w:val="005960B9"/>
    <w:rsid w:val="00596802"/>
    <w:rsid w:val="00596DDB"/>
    <w:rsid w:val="00596E39"/>
    <w:rsid w:val="0059768A"/>
    <w:rsid w:val="005979A8"/>
    <w:rsid w:val="00597C7C"/>
    <w:rsid w:val="00597EAE"/>
    <w:rsid w:val="005A0EB9"/>
    <w:rsid w:val="005A11F2"/>
    <w:rsid w:val="005A167A"/>
    <w:rsid w:val="005A1E90"/>
    <w:rsid w:val="005A2528"/>
    <w:rsid w:val="005A2D64"/>
    <w:rsid w:val="005A32CA"/>
    <w:rsid w:val="005A33B6"/>
    <w:rsid w:val="005A3722"/>
    <w:rsid w:val="005A37BD"/>
    <w:rsid w:val="005A4F9A"/>
    <w:rsid w:val="005A5C7C"/>
    <w:rsid w:val="005A625E"/>
    <w:rsid w:val="005A650A"/>
    <w:rsid w:val="005A7EAD"/>
    <w:rsid w:val="005B0979"/>
    <w:rsid w:val="005B0B7E"/>
    <w:rsid w:val="005B1266"/>
    <w:rsid w:val="005B148B"/>
    <w:rsid w:val="005B148D"/>
    <w:rsid w:val="005B14B5"/>
    <w:rsid w:val="005B1547"/>
    <w:rsid w:val="005B1C23"/>
    <w:rsid w:val="005B2320"/>
    <w:rsid w:val="005B2466"/>
    <w:rsid w:val="005B256C"/>
    <w:rsid w:val="005B26B5"/>
    <w:rsid w:val="005B317F"/>
    <w:rsid w:val="005B4E76"/>
    <w:rsid w:val="005B502A"/>
    <w:rsid w:val="005B5065"/>
    <w:rsid w:val="005B57D2"/>
    <w:rsid w:val="005B597A"/>
    <w:rsid w:val="005B6679"/>
    <w:rsid w:val="005B6B14"/>
    <w:rsid w:val="005B7107"/>
    <w:rsid w:val="005C0FB4"/>
    <w:rsid w:val="005C1091"/>
    <w:rsid w:val="005C1561"/>
    <w:rsid w:val="005C1CDC"/>
    <w:rsid w:val="005C23F0"/>
    <w:rsid w:val="005C2B5F"/>
    <w:rsid w:val="005C410A"/>
    <w:rsid w:val="005C44B3"/>
    <w:rsid w:val="005C4589"/>
    <w:rsid w:val="005C458A"/>
    <w:rsid w:val="005C4CBB"/>
    <w:rsid w:val="005C4F88"/>
    <w:rsid w:val="005C617D"/>
    <w:rsid w:val="005C6245"/>
    <w:rsid w:val="005C6502"/>
    <w:rsid w:val="005C6C00"/>
    <w:rsid w:val="005C7276"/>
    <w:rsid w:val="005C798C"/>
    <w:rsid w:val="005C7ED3"/>
    <w:rsid w:val="005D035C"/>
    <w:rsid w:val="005D0F50"/>
    <w:rsid w:val="005D188E"/>
    <w:rsid w:val="005D24E5"/>
    <w:rsid w:val="005D370D"/>
    <w:rsid w:val="005D4036"/>
    <w:rsid w:val="005D4710"/>
    <w:rsid w:val="005D4871"/>
    <w:rsid w:val="005D4D77"/>
    <w:rsid w:val="005D4E7A"/>
    <w:rsid w:val="005D581E"/>
    <w:rsid w:val="005D7D8A"/>
    <w:rsid w:val="005D7D9D"/>
    <w:rsid w:val="005E021A"/>
    <w:rsid w:val="005E0E64"/>
    <w:rsid w:val="005E0ECC"/>
    <w:rsid w:val="005E1C6D"/>
    <w:rsid w:val="005E23C9"/>
    <w:rsid w:val="005E24B5"/>
    <w:rsid w:val="005E2B62"/>
    <w:rsid w:val="005E3111"/>
    <w:rsid w:val="005E3ADA"/>
    <w:rsid w:val="005E3F88"/>
    <w:rsid w:val="005E4435"/>
    <w:rsid w:val="005E46A5"/>
    <w:rsid w:val="005E47EF"/>
    <w:rsid w:val="005E4A41"/>
    <w:rsid w:val="005E51DB"/>
    <w:rsid w:val="005E5A7D"/>
    <w:rsid w:val="005E5E9A"/>
    <w:rsid w:val="005E659D"/>
    <w:rsid w:val="005E6F49"/>
    <w:rsid w:val="005E72FE"/>
    <w:rsid w:val="005F0A73"/>
    <w:rsid w:val="005F197A"/>
    <w:rsid w:val="005F1A4E"/>
    <w:rsid w:val="005F23D9"/>
    <w:rsid w:val="005F294A"/>
    <w:rsid w:val="005F2AAC"/>
    <w:rsid w:val="005F2F85"/>
    <w:rsid w:val="005F3271"/>
    <w:rsid w:val="005F36F0"/>
    <w:rsid w:val="005F6A09"/>
    <w:rsid w:val="005F6D9E"/>
    <w:rsid w:val="005F6E27"/>
    <w:rsid w:val="005F6EC4"/>
    <w:rsid w:val="005F6FCA"/>
    <w:rsid w:val="006006FC"/>
    <w:rsid w:val="00601040"/>
    <w:rsid w:val="0060122A"/>
    <w:rsid w:val="006014D2"/>
    <w:rsid w:val="00601637"/>
    <w:rsid w:val="0060255B"/>
    <w:rsid w:val="006026EA"/>
    <w:rsid w:val="0060311C"/>
    <w:rsid w:val="00603F66"/>
    <w:rsid w:val="0060566B"/>
    <w:rsid w:val="00605E37"/>
    <w:rsid w:val="00605E3A"/>
    <w:rsid w:val="00606043"/>
    <w:rsid w:val="00606A92"/>
    <w:rsid w:val="00606CBB"/>
    <w:rsid w:val="00606F1E"/>
    <w:rsid w:val="006076CD"/>
    <w:rsid w:val="00607851"/>
    <w:rsid w:val="00611AF5"/>
    <w:rsid w:val="00611DEE"/>
    <w:rsid w:val="00612564"/>
    <w:rsid w:val="00612679"/>
    <w:rsid w:val="006128C4"/>
    <w:rsid w:val="00612A0A"/>
    <w:rsid w:val="00614130"/>
    <w:rsid w:val="00614A93"/>
    <w:rsid w:val="00614BF6"/>
    <w:rsid w:val="00614F8B"/>
    <w:rsid w:val="00615114"/>
    <w:rsid w:val="00615D94"/>
    <w:rsid w:val="00616DE8"/>
    <w:rsid w:val="00616F61"/>
    <w:rsid w:val="006179FB"/>
    <w:rsid w:val="00617A76"/>
    <w:rsid w:val="00617DA6"/>
    <w:rsid w:val="00620457"/>
    <w:rsid w:val="00620D55"/>
    <w:rsid w:val="00621324"/>
    <w:rsid w:val="006223DF"/>
    <w:rsid w:val="006232EE"/>
    <w:rsid w:val="006233A5"/>
    <w:rsid w:val="00623654"/>
    <w:rsid w:val="0062377B"/>
    <w:rsid w:val="00623DB3"/>
    <w:rsid w:val="006242D9"/>
    <w:rsid w:val="0062431F"/>
    <w:rsid w:val="00625ED3"/>
    <w:rsid w:val="0062615E"/>
    <w:rsid w:val="00627111"/>
    <w:rsid w:val="006271CB"/>
    <w:rsid w:val="0062725D"/>
    <w:rsid w:val="006277CB"/>
    <w:rsid w:val="00627FAA"/>
    <w:rsid w:val="0063043D"/>
    <w:rsid w:val="00631B4F"/>
    <w:rsid w:val="00632881"/>
    <w:rsid w:val="00632889"/>
    <w:rsid w:val="00632A4F"/>
    <w:rsid w:val="00632B9B"/>
    <w:rsid w:val="00634DFB"/>
    <w:rsid w:val="0063514C"/>
    <w:rsid w:val="006351F2"/>
    <w:rsid w:val="0063538C"/>
    <w:rsid w:val="00635411"/>
    <w:rsid w:val="006355AA"/>
    <w:rsid w:val="006358CC"/>
    <w:rsid w:val="00635F26"/>
    <w:rsid w:val="006373D2"/>
    <w:rsid w:val="00637E1B"/>
    <w:rsid w:val="0064029F"/>
    <w:rsid w:val="00640A6E"/>
    <w:rsid w:val="0064202D"/>
    <w:rsid w:val="006429EA"/>
    <w:rsid w:val="0064317C"/>
    <w:rsid w:val="006436B7"/>
    <w:rsid w:val="00643C0F"/>
    <w:rsid w:val="00643C49"/>
    <w:rsid w:val="00643DDD"/>
    <w:rsid w:val="00644E31"/>
    <w:rsid w:val="00644ED7"/>
    <w:rsid w:val="00645BBA"/>
    <w:rsid w:val="00646003"/>
    <w:rsid w:val="00646D02"/>
    <w:rsid w:val="00646E13"/>
    <w:rsid w:val="00647528"/>
    <w:rsid w:val="00650533"/>
    <w:rsid w:val="0065054B"/>
    <w:rsid w:val="00650CFA"/>
    <w:rsid w:val="00651857"/>
    <w:rsid w:val="00651CC9"/>
    <w:rsid w:val="0065352B"/>
    <w:rsid w:val="00653E2B"/>
    <w:rsid w:val="00654C37"/>
    <w:rsid w:val="006558B4"/>
    <w:rsid w:val="00655BFA"/>
    <w:rsid w:val="00656888"/>
    <w:rsid w:val="0065760C"/>
    <w:rsid w:val="00657FB3"/>
    <w:rsid w:val="006602F6"/>
    <w:rsid w:val="00661E35"/>
    <w:rsid w:val="00661F35"/>
    <w:rsid w:val="00662077"/>
    <w:rsid w:val="006620CB"/>
    <w:rsid w:val="00662C6C"/>
    <w:rsid w:val="00663456"/>
    <w:rsid w:val="00663DB4"/>
    <w:rsid w:val="00664C6D"/>
    <w:rsid w:val="00664C77"/>
    <w:rsid w:val="00664DCF"/>
    <w:rsid w:val="00665817"/>
    <w:rsid w:val="00665A82"/>
    <w:rsid w:val="006663D2"/>
    <w:rsid w:val="006675E0"/>
    <w:rsid w:val="00667829"/>
    <w:rsid w:val="0066797D"/>
    <w:rsid w:val="0067050D"/>
    <w:rsid w:val="00670D41"/>
    <w:rsid w:val="0067138D"/>
    <w:rsid w:val="00671554"/>
    <w:rsid w:val="00671607"/>
    <w:rsid w:val="00671CAC"/>
    <w:rsid w:val="00671E61"/>
    <w:rsid w:val="00672163"/>
    <w:rsid w:val="006728C2"/>
    <w:rsid w:val="00672DC3"/>
    <w:rsid w:val="00673009"/>
    <w:rsid w:val="00673337"/>
    <w:rsid w:val="00674D26"/>
    <w:rsid w:val="006753B1"/>
    <w:rsid w:val="00675AAD"/>
    <w:rsid w:val="0067667F"/>
    <w:rsid w:val="006769FF"/>
    <w:rsid w:val="00677AD9"/>
    <w:rsid w:val="00677E38"/>
    <w:rsid w:val="00680BDC"/>
    <w:rsid w:val="00680D8F"/>
    <w:rsid w:val="00681C9B"/>
    <w:rsid w:val="006827DE"/>
    <w:rsid w:val="00682DED"/>
    <w:rsid w:val="006838DD"/>
    <w:rsid w:val="00683EB1"/>
    <w:rsid w:val="006849D5"/>
    <w:rsid w:val="00685BB3"/>
    <w:rsid w:val="00685F38"/>
    <w:rsid w:val="006864E8"/>
    <w:rsid w:val="0068671A"/>
    <w:rsid w:val="00686A74"/>
    <w:rsid w:val="00686FBF"/>
    <w:rsid w:val="00687EF7"/>
    <w:rsid w:val="00690D1C"/>
    <w:rsid w:val="006922B1"/>
    <w:rsid w:val="006924DC"/>
    <w:rsid w:val="0069253F"/>
    <w:rsid w:val="00692649"/>
    <w:rsid w:val="006928E9"/>
    <w:rsid w:val="00692C22"/>
    <w:rsid w:val="00692CEC"/>
    <w:rsid w:val="006937FE"/>
    <w:rsid w:val="006938FF"/>
    <w:rsid w:val="00693AA2"/>
    <w:rsid w:val="006945CB"/>
    <w:rsid w:val="0069474B"/>
    <w:rsid w:val="00694804"/>
    <w:rsid w:val="0069484F"/>
    <w:rsid w:val="0069486B"/>
    <w:rsid w:val="00694A50"/>
    <w:rsid w:val="00694AAC"/>
    <w:rsid w:val="006951CC"/>
    <w:rsid w:val="00695B62"/>
    <w:rsid w:val="00695B90"/>
    <w:rsid w:val="006965C4"/>
    <w:rsid w:val="00697598"/>
    <w:rsid w:val="006978AC"/>
    <w:rsid w:val="00697F4A"/>
    <w:rsid w:val="006A0965"/>
    <w:rsid w:val="006A18D6"/>
    <w:rsid w:val="006A1910"/>
    <w:rsid w:val="006A1D7D"/>
    <w:rsid w:val="006A23AF"/>
    <w:rsid w:val="006A3231"/>
    <w:rsid w:val="006A33CA"/>
    <w:rsid w:val="006A33EC"/>
    <w:rsid w:val="006A3BAE"/>
    <w:rsid w:val="006A4C89"/>
    <w:rsid w:val="006A5195"/>
    <w:rsid w:val="006A599E"/>
    <w:rsid w:val="006A5D32"/>
    <w:rsid w:val="006A634B"/>
    <w:rsid w:val="006A6381"/>
    <w:rsid w:val="006A6D8C"/>
    <w:rsid w:val="006A7838"/>
    <w:rsid w:val="006A7B02"/>
    <w:rsid w:val="006A7C6A"/>
    <w:rsid w:val="006B0259"/>
    <w:rsid w:val="006B1171"/>
    <w:rsid w:val="006B1E49"/>
    <w:rsid w:val="006B1EA3"/>
    <w:rsid w:val="006B3974"/>
    <w:rsid w:val="006B3C73"/>
    <w:rsid w:val="006B431D"/>
    <w:rsid w:val="006B4BDD"/>
    <w:rsid w:val="006B5A24"/>
    <w:rsid w:val="006B5B78"/>
    <w:rsid w:val="006B6415"/>
    <w:rsid w:val="006B6BFB"/>
    <w:rsid w:val="006B7E78"/>
    <w:rsid w:val="006C0523"/>
    <w:rsid w:val="006C05D8"/>
    <w:rsid w:val="006C0F4F"/>
    <w:rsid w:val="006C16F0"/>
    <w:rsid w:val="006C17FF"/>
    <w:rsid w:val="006C1D32"/>
    <w:rsid w:val="006C3539"/>
    <w:rsid w:val="006C40EA"/>
    <w:rsid w:val="006C55BD"/>
    <w:rsid w:val="006C5CB3"/>
    <w:rsid w:val="006C657D"/>
    <w:rsid w:val="006D0212"/>
    <w:rsid w:val="006D0C2C"/>
    <w:rsid w:val="006D27B4"/>
    <w:rsid w:val="006D2C51"/>
    <w:rsid w:val="006D33FC"/>
    <w:rsid w:val="006D35EA"/>
    <w:rsid w:val="006D3743"/>
    <w:rsid w:val="006D4755"/>
    <w:rsid w:val="006D4ABD"/>
    <w:rsid w:val="006D52F3"/>
    <w:rsid w:val="006D56BB"/>
    <w:rsid w:val="006D5D8F"/>
    <w:rsid w:val="006D6957"/>
    <w:rsid w:val="006D69F7"/>
    <w:rsid w:val="006D7049"/>
    <w:rsid w:val="006E01A3"/>
    <w:rsid w:val="006E04DE"/>
    <w:rsid w:val="006E0896"/>
    <w:rsid w:val="006E0C98"/>
    <w:rsid w:val="006E143C"/>
    <w:rsid w:val="006E14AE"/>
    <w:rsid w:val="006E18EA"/>
    <w:rsid w:val="006E1A76"/>
    <w:rsid w:val="006E2002"/>
    <w:rsid w:val="006E2712"/>
    <w:rsid w:val="006E27AB"/>
    <w:rsid w:val="006E3AC9"/>
    <w:rsid w:val="006E445E"/>
    <w:rsid w:val="006E48F3"/>
    <w:rsid w:val="006E52AF"/>
    <w:rsid w:val="006E5FB4"/>
    <w:rsid w:val="006E61E1"/>
    <w:rsid w:val="006F0759"/>
    <w:rsid w:val="006F0E1A"/>
    <w:rsid w:val="006F0FA0"/>
    <w:rsid w:val="006F1010"/>
    <w:rsid w:val="006F12E9"/>
    <w:rsid w:val="006F22EE"/>
    <w:rsid w:val="006F2ACE"/>
    <w:rsid w:val="006F2D39"/>
    <w:rsid w:val="006F319C"/>
    <w:rsid w:val="006F3296"/>
    <w:rsid w:val="006F34B0"/>
    <w:rsid w:val="006F3502"/>
    <w:rsid w:val="006F3954"/>
    <w:rsid w:val="006F4587"/>
    <w:rsid w:val="006F4C73"/>
    <w:rsid w:val="006F586F"/>
    <w:rsid w:val="006F5D4F"/>
    <w:rsid w:val="006F765F"/>
    <w:rsid w:val="006F79A9"/>
    <w:rsid w:val="006F7C3C"/>
    <w:rsid w:val="007006CD"/>
    <w:rsid w:val="00700C96"/>
    <w:rsid w:val="00700E8C"/>
    <w:rsid w:val="007017B1"/>
    <w:rsid w:val="0070192C"/>
    <w:rsid w:val="00701E25"/>
    <w:rsid w:val="00703994"/>
    <w:rsid w:val="007048D3"/>
    <w:rsid w:val="00705517"/>
    <w:rsid w:val="00706033"/>
    <w:rsid w:val="007069E4"/>
    <w:rsid w:val="00706E63"/>
    <w:rsid w:val="0071158C"/>
    <w:rsid w:val="007122E6"/>
    <w:rsid w:val="00712B88"/>
    <w:rsid w:val="0071342F"/>
    <w:rsid w:val="00713B98"/>
    <w:rsid w:val="00713C30"/>
    <w:rsid w:val="00714657"/>
    <w:rsid w:val="00714FB2"/>
    <w:rsid w:val="00715080"/>
    <w:rsid w:val="00715724"/>
    <w:rsid w:val="00715C4D"/>
    <w:rsid w:val="00715E74"/>
    <w:rsid w:val="0071686F"/>
    <w:rsid w:val="00716E92"/>
    <w:rsid w:val="0071708A"/>
    <w:rsid w:val="007174BB"/>
    <w:rsid w:val="00717815"/>
    <w:rsid w:val="00717863"/>
    <w:rsid w:val="00717939"/>
    <w:rsid w:val="0072057D"/>
    <w:rsid w:val="0072116B"/>
    <w:rsid w:val="007215A5"/>
    <w:rsid w:val="0072167D"/>
    <w:rsid w:val="00721A24"/>
    <w:rsid w:val="00721ABF"/>
    <w:rsid w:val="007223AF"/>
    <w:rsid w:val="00722450"/>
    <w:rsid w:val="007238B2"/>
    <w:rsid w:val="00724A49"/>
    <w:rsid w:val="007254F3"/>
    <w:rsid w:val="0072576A"/>
    <w:rsid w:val="00725B42"/>
    <w:rsid w:val="00730967"/>
    <w:rsid w:val="00730EDF"/>
    <w:rsid w:val="00731CF7"/>
    <w:rsid w:val="00731D3C"/>
    <w:rsid w:val="00732815"/>
    <w:rsid w:val="00732899"/>
    <w:rsid w:val="00732EA6"/>
    <w:rsid w:val="007339E0"/>
    <w:rsid w:val="0073480D"/>
    <w:rsid w:val="0073542A"/>
    <w:rsid w:val="00736CDF"/>
    <w:rsid w:val="0073773B"/>
    <w:rsid w:val="007400A8"/>
    <w:rsid w:val="00740223"/>
    <w:rsid w:val="0074048D"/>
    <w:rsid w:val="00741F59"/>
    <w:rsid w:val="00743845"/>
    <w:rsid w:val="00744663"/>
    <w:rsid w:val="007446CA"/>
    <w:rsid w:val="0074491D"/>
    <w:rsid w:val="00744DAF"/>
    <w:rsid w:val="0074627F"/>
    <w:rsid w:val="007467C3"/>
    <w:rsid w:val="0074696C"/>
    <w:rsid w:val="00750290"/>
    <w:rsid w:val="007504B8"/>
    <w:rsid w:val="00750CED"/>
    <w:rsid w:val="00750EB7"/>
    <w:rsid w:val="00751012"/>
    <w:rsid w:val="00751AFE"/>
    <w:rsid w:val="00751B38"/>
    <w:rsid w:val="00752600"/>
    <w:rsid w:val="00753AC5"/>
    <w:rsid w:val="0075470F"/>
    <w:rsid w:val="00754CEB"/>
    <w:rsid w:val="007557AD"/>
    <w:rsid w:val="007558A3"/>
    <w:rsid w:val="00755E17"/>
    <w:rsid w:val="00756132"/>
    <w:rsid w:val="007562AA"/>
    <w:rsid w:val="00756971"/>
    <w:rsid w:val="00757199"/>
    <w:rsid w:val="00757411"/>
    <w:rsid w:val="00757F57"/>
    <w:rsid w:val="007607AA"/>
    <w:rsid w:val="0076123F"/>
    <w:rsid w:val="00761310"/>
    <w:rsid w:val="007632F3"/>
    <w:rsid w:val="00763648"/>
    <w:rsid w:val="00763811"/>
    <w:rsid w:val="00764317"/>
    <w:rsid w:val="007644E0"/>
    <w:rsid w:val="0076467D"/>
    <w:rsid w:val="00764718"/>
    <w:rsid w:val="00764D99"/>
    <w:rsid w:val="0076507A"/>
    <w:rsid w:val="0076535E"/>
    <w:rsid w:val="00765E1D"/>
    <w:rsid w:val="00766CED"/>
    <w:rsid w:val="0076781D"/>
    <w:rsid w:val="0077037D"/>
    <w:rsid w:val="00770FFE"/>
    <w:rsid w:val="0077148F"/>
    <w:rsid w:val="007715DE"/>
    <w:rsid w:val="00771C22"/>
    <w:rsid w:val="0077233B"/>
    <w:rsid w:val="00772971"/>
    <w:rsid w:val="00772A66"/>
    <w:rsid w:val="0077309A"/>
    <w:rsid w:val="0077362C"/>
    <w:rsid w:val="00774403"/>
    <w:rsid w:val="00777340"/>
    <w:rsid w:val="00777498"/>
    <w:rsid w:val="007777E7"/>
    <w:rsid w:val="00780189"/>
    <w:rsid w:val="0078019C"/>
    <w:rsid w:val="00780201"/>
    <w:rsid w:val="007803D9"/>
    <w:rsid w:val="00780C48"/>
    <w:rsid w:val="00781770"/>
    <w:rsid w:val="00781DEF"/>
    <w:rsid w:val="00782365"/>
    <w:rsid w:val="0078243D"/>
    <w:rsid w:val="00782E2F"/>
    <w:rsid w:val="007835B0"/>
    <w:rsid w:val="007837D2"/>
    <w:rsid w:val="00783CF1"/>
    <w:rsid w:val="00783F36"/>
    <w:rsid w:val="007842F5"/>
    <w:rsid w:val="007850D6"/>
    <w:rsid w:val="00785352"/>
    <w:rsid w:val="00785417"/>
    <w:rsid w:val="007855D9"/>
    <w:rsid w:val="0078650D"/>
    <w:rsid w:val="00786E48"/>
    <w:rsid w:val="00786FCF"/>
    <w:rsid w:val="00787029"/>
    <w:rsid w:val="00787DAB"/>
    <w:rsid w:val="00790D56"/>
    <w:rsid w:val="007912FA"/>
    <w:rsid w:val="00791F22"/>
    <w:rsid w:val="007920B8"/>
    <w:rsid w:val="00792178"/>
    <w:rsid w:val="0079264A"/>
    <w:rsid w:val="007928C4"/>
    <w:rsid w:val="00792A65"/>
    <w:rsid w:val="0079376F"/>
    <w:rsid w:val="00794D90"/>
    <w:rsid w:val="007951C1"/>
    <w:rsid w:val="00795368"/>
    <w:rsid w:val="0079619D"/>
    <w:rsid w:val="007963A4"/>
    <w:rsid w:val="00797811"/>
    <w:rsid w:val="00797E39"/>
    <w:rsid w:val="007A105D"/>
    <w:rsid w:val="007A1D9F"/>
    <w:rsid w:val="007A2983"/>
    <w:rsid w:val="007A2CF0"/>
    <w:rsid w:val="007A3CFF"/>
    <w:rsid w:val="007A46F9"/>
    <w:rsid w:val="007A4DEB"/>
    <w:rsid w:val="007A5418"/>
    <w:rsid w:val="007A61CA"/>
    <w:rsid w:val="007A6251"/>
    <w:rsid w:val="007A64AE"/>
    <w:rsid w:val="007A6EC1"/>
    <w:rsid w:val="007A719A"/>
    <w:rsid w:val="007A7984"/>
    <w:rsid w:val="007A7DCE"/>
    <w:rsid w:val="007B0FB8"/>
    <w:rsid w:val="007B1F1D"/>
    <w:rsid w:val="007B208A"/>
    <w:rsid w:val="007B2AB1"/>
    <w:rsid w:val="007B3062"/>
    <w:rsid w:val="007B4BBF"/>
    <w:rsid w:val="007B5B24"/>
    <w:rsid w:val="007B638A"/>
    <w:rsid w:val="007B6D37"/>
    <w:rsid w:val="007C2288"/>
    <w:rsid w:val="007C22AF"/>
    <w:rsid w:val="007C2652"/>
    <w:rsid w:val="007C2726"/>
    <w:rsid w:val="007C278C"/>
    <w:rsid w:val="007C31B8"/>
    <w:rsid w:val="007C35E6"/>
    <w:rsid w:val="007C3C83"/>
    <w:rsid w:val="007C42B9"/>
    <w:rsid w:val="007C4612"/>
    <w:rsid w:val="007C6D12"/>
    <w:rsid w:val="007C6E0D"/>
    <w:rsid w:val="007C71CD"/>
    <w:rsid w:val="007C73E6"/>
    <w:rsid w:val="007C7512"/>
    <w:rsid w:val="007C7ACB"/>
    <w:rsid w:val="007C7E1B"/>
    <w:rsid w:val="007D044D"/>
    <w:rsid w:val="007D0934"/>
    <w:rsid w:val="007D1399"/>
    <w:rsid w:val="007D1C5A"/>
    <w:rsid w:val="007D1C68"/>
    <w:rsid w:val="007D22B0"/>
    <w:rsid w:val="007D240C"/>
    <w:rsid w:val="007D24A5"/>
    <w:rsid w:val="007D3469"/>
    <w:rsid w:val="007D3F7C"/>
    <w:rsid w:val="007D4223"/>
    <w:rsid w:val="007D46B5"/>
    <w:rsid w:val="007D48F1"/>
    <w:rsid w:val="007D49E0"/>
    <w:rsid w:val="007D4E96"/>
    <w:rsid w:val="007D6935"/>
    <w:rsid w:val="007D6AC0"/>
    <w:rsid w:val="007D6DDC"/>
    <w:rsid w:val="007D745B"/>
    <w:rsid w:val="007D7D26"/>
    <w:rsid w:val="007E00CB"/>
    <w:rsid w:val="007E092D"/>
    <w:rsid w:val="007E1553"/>
    <w:rsid w:val="007E158D"/>
    <w:rsid w:val="007E1752"/>
    <w:rsid w:val="007E199A"/>
    <w:rsid w:val="007E23A2"/>
    <w:rsid w:val="007E2C9D"/>
    <w:rsid w:val="007E3158"/>
    <w:rsid w:val="007E3D41"/>
    <w:rsid w:val="007E4040"/>
    <w:rsid w:val="007E45C5"/>
    <w:rsid w:val="007E4807"/>
    <w:rsid w:val="007E48BA"/>
    <w:rsid w:val="007E5162"/>
    <w:rsid w:val="007E52F7"/>
    <w:rsid w:val="007E5533"/>
    <w:rsid w:val="007E61F5"/>
    <w:rsid w:val="007E79E7"/>
    <w:rsid w:val="007E7B16"/>
    <w:rsid w:val="007F00D3"/>
    <w:rsid w:val="007F040F"/>
    <w:rsid w:val="007F12D0"/>
    <w:rsid w:val="007F211A"/>
    <w:rsid w:val="007F38F1"/>
    <w:rsid w:val="007F401B"/>
    <w:rsid w:val="007F41BB"/>
    <w:rsid w:val="007F49A5"/>
    <w:rsid w:val="007F4BB9"/>
    <w:rsid w:val="007F51AE"/>
    <w:rsid w:val="007F5B47"/>
    <w:rsid w:val="007F5E52"/>
    <w:rsid w:val="007F6051"/>
    <w:rsid w:val="007F639F"/>
    <w:rsid w:val="007F710F"/>
    <w:rsid w:val="007F796A"/>
    <w:rsid w:val="007F7F8C"/>
    <w:rsid w:val="00800E58"/>
    <w:rsid w:val="00801769"/>
    <w:rsid w:val="00801F63"/>
    <w:rsid w:val="008026DA"/>
    <w:rsid w:val="0080295C"/>
    <w:rsid w:val="008062B4"/>
    <w:rsid w:val="008069BB"/>
    <w:rsid w:val="00807AB4"/>
    <w:rsid w:val="00807DB0"/>
    <w:rsid w:val="00807EE5"/>
    <w:rsid w:val="00810D10"/>
    <w:rsid w:val="008111C3"/>
    <w:rsid w:val="008116BF"/>
    <w:rsid w:val="008128A9"/>
    <w:rsid w:val="00812E02"/>
    <w:rsid w:val="00813601"/>
    <w:rsid w:val="0081399E"/>
    <w:rsid w:val="00814238"/>
    <w:rsid w:val="00815B72"/>
    <w:rsid w:val="00815F88"/>
    <w:rsid w:val="0081642E"/>
    <w:rsid w:val="00816E75"/>
    <w:rsid w:val="00817A01"/>
    <w:rsid w:val="008201F1"/>
    <w:rsid w:val="008208D6"/>
    <w:rsid w:val="00820AE4"/>
    <w:rsid w:val="00820C00"/>
    <w:rsid w:val="0082126C"/>
    <w:rsid w:val="0082207A"/>
    <w:rsid w:val="008220A7"/>
    <w:rsid w:val="00823053"/>
    <w:rsid w:val="008230D8"/>
    <w:rsid w:val="008239EA"/>
    <w:rsid w:val="00823A1F"/>
    <w:rsid w:val="00823B94"/>
    <w:rsid w:val="0082440C"/>
    <w:rsid w:val="00824832"/>
    <w:rsid w:val="00824F3D"/>
    <w:rsid w:val="0082502F"/>
    <w:rsid w:val="008251E1"/>
    <w:rsid w:val="00825340"/>
    <w:rsid w:val="00825CE9"/>
    <w:rsid w:val="00827287"/>
    <w:rsid w:val="00827548"/>
    <w:rsid w:val="0082781B"/>
    <w:rsid w:val="008317FD"/>
    <w:rsid w:val="00831CFD"/>
    <w:rsid w:val="00832810"/>
    <w:rsid w:val="00833089"/>
    <w:rsid w:val="0083314D"/>
    <w:rsid w:val="00833BDA"/>
    <w:rsid w:val="00834079"/>
    <w:rsid w:val="0083419C"/>
    <w:rsid w:val="0083490C"/>
    <w:rsid w:val="0083511C"/>
    <w:rsid w:val="008356CC"/>
    <w:rsid w:val="0083601E"/>
    <w:rsid w:val="00836570"/>
    <w:rsid w:val="008365F6"/>
    <w:rsid w:val="008372ED"/>
    <w:rsid w:val="00837DF7"/>
    <w:rsid w:val="0084002D"/>
    <w:rsid w:val="0084046B"/>
    <w:rsid w:val="00840772"/>
    <w:rsid w:val="008412A3"/>
    <w:rsid w:val="008429AF"/>
    <w:rsid w:val="008436BA"/>
    <w:rsid w:val="00843BE4"/>
    <w:rsid w:val="00843C73"/>
    <w:rsid w:val="00843DAA"/>
    <w:rsid w:val="00844717"/>
    <w:rsid w:val="00845588"/>
    <w:rsid w:val="00845AFD"/>
    <w:rsid w:val="00845BB6"/>
    <w:rsid w:val="008469EA"/>
    <w:rsid w:val="0084714C"/>
    <w:rsid w:val="0084798F"/>
    <w:rsid w:val="00847B9D"/>
    <w:rsid w:val="008501B6"/>
    <w:rsid w:val="008506D3"/>
    <w:rsid w:val="00850A89"/>
    <w:rsid w:val="00850EAF"/>
    <w:rsid w:val="00851ACD"/>
    <w:rsid w:val="00852998"/>
    <w:rsid w:val="008536D6"/>
    <w:rsid w:val="00854200"/>
    <w:rsid w:val="0085467A"/>
    <w:rsid w:val="0085513A"/>
    <w:rsid w:val="00855D4A"/>
    <w:rsid w:val="008562E7"/>
    <w:rsid w:val="00856993"/>
    <w:rsid w:val="00856EBA"/>
    <w:rsid w:val="00857EF7"/>
    <w:rsid w:val="00860488"/>
    <w:rsid w:val="00860893"/>
    <w:rsid w:val="00862461"/>
    <w:rsid w:val="0086262C"/>
    <w:rsid w:val="008632E6"/>
    <w:rsid w:val="008639FE"/>
    <w:rsid w:val="0086433A"/>
    <w:rsid w:val="00865373"/>
    <w:rsid w:val="00865840"/>
    <w:rsid w:val="00865B2B"/>
    <w:rsid w:val="00866271"/>
    <w:rsid w:val="00866F26"/>
    <w:rsid w:val="008671BE"/>
    <w:rsid w:val="0086798C"/>
    <w:rsid w:val="0087027A"/>
    <w:rsid w:val="008709E5"/>
    <w:rsid w:val="008719A6"/>
    <w:rsid w:val="00872BC2"/>
    <w:rsid w:val="00873448"/>
    <w:rsid w:val="00873852"/>
    <w:rsid w:val="00873BB5"/>
    <w:rsid w:val="00873BDE"/>
    <w:rsid w:val="008748CF"/>
    <w:rsid w:val="00874F9C"/>
    <w:rsid w:val="0087501B"/>
    <w:rsid w:val="008763DF"/>
    <w:rsid w:val="0087671F"/>
    <w:rsid w:val="00876741"/>
    <w:rsid w:val="00876C56"/>
    <w:rsid w:val="00877B06"/>
    <w:rsid w:val="008819EF"/>
    <w:rsid w:val="00881BA7"/>
    <w:rsid w:val="00881F83"/>
    <w:rsid w:val="00883EBD"/>
    <w:rsid w:val="0088410B"/>
    <w:rsid w:val="00884870"/>
    <w:rsid w:val="00884BCB"/>
    <w:rsid w:val="0088591D"/>
    <w:rsid w:val="00885A79"/>
    <w:rsid w:val="00885AED"/>
    <w:rsid w:val="0088786E"/>
    <w:rsid w:val="0088797F"/>
    <w:rsid w:val="00887C01"/>
    <w:rsid w:val="00887E3E"/>
    <w:rsid w:val="00890066"/>
    <w:rsid w:val="0089065A"/>
    <w:rsid w:val="00890A78"/>
    <w:rsid w:val="00891450"/>
    <w:rsid w:val="00891896"/>
    <w:rsid w:val="00892593"/>
    <w:rsid w:val="00892FF9"/>
    <w:rsid w:val="0089350C"/>
    <w:rsid w:val="0089407A"/>
    <w:rsid w:val="0089410D"/>
    <w:rsid w:val="00894153"/>
    <w:rsid w:val="0089432C"/>
    <w:rsid w:val="00894B6B"/>
    <w:rsid w:val="00894F82"/>
    <w:rsid w:val="0089679D"/>
    <w:rsid w:val="00896CA8"/>
    <w:rsid w:val="00896EEF"/>
    <w:rsid w:val="00897126"/>
    <w:rsid w:val="008974E8"/>
    <w:rsid w:val="008A0B30"/>
    <w:rsid w:val="008A0FB9"/>
    <w:rsid w:val="008A1579"/>
    <w:rsid w:val="008A1C1C"/>
    <w:rsid w:val="008A3443"/>
    <w:rsid w:val="008A365F"/>
    <w:rsid w:val="008A36A0"/>
    <w:rsid w:val="008A3B5A"/>
    <w:rsid w:val="008A3FDA"/>
    <w:rsid w:val="008A4017"/>
    <w:rsid w:val="008A41AB"/>
    <w:rsid w:val="008A472F"/>
    <w:rsid w:val="008A48E2"/>
    <w:rsid w:val="008A4DE6"/>
    <w:rsid w:val="008A5ADF"/>
    <w:rsid w:val="008A681A"/>
    <w:rsid w:val="008A6B3C"/>
    <w:rsid w:val="008A7304"/>
    <w:rsid w:val="008A7656"/>
    <w:rsid w:val="008A7681"/>
    <w:rsid w:val="008B1D5C"/>
    <w:rsid w:val="008B2473"/>
    <w:rsid w:val="008B3138"/>
    <w:rsid w:val="008B36C3"/>
    <w:rsid w:val="008B3940"/>
    <w:rsid w:val="008B46DD"/>
    <w:rsid w:val="008B4BD0"/>
    <w:rsid w:val="008B4FCB"/>
    <w:rsid w:val="008B518D"/>
    <w:rsid w:val="008B5B96"/>
    <w:rsid w:val="008B6005"/>
    <w:rsid w:val="008B6838"/>
    <w:rsid w:val="008B6902"/>
    <w:rsid w:val="008B69BB"/>
    <w:rsid w:val="008B69F1"/>
    <w:rsid w:val="008B7170"/>
    <w:rsid w:val="008B7C82"/>
    <w:rsid w:val="008B7EB2"/>
    <w:rsid w:val="008B7F7F"/>
    <w:rsid w:val="008C01A2"/>
    <w:rsid w:val="008C1907"/>
    <w:rsid w:val="008C1919"/>
    <w:rsid w:val="008C2572"/>
    <w:rsid w:val="008C2945"/>
    <w:rsid w:val="008C3BE4"/>
    <w:rsid w:val="008C3E87"/>
    <w:rsid w:val="008C4541"/>
    <w:rsid w:val="008C493A"/>
    <w:rsid w:val="008C4A0F"/>
    <w:rsid w:val="008C4DC0"/>
    <w:rsid w:val="008C54CB"/>
    <w:rsid w:val="008C5A29"/>
    <w:rsid w:val="008C5C95"/>
    <w:rsid w:val="008C5F62"/>
    <w:rsid w:val="008C6CC1"/>
    <w:rsid w:val="008C7D18"/>
    <w:rsid w:val="008D10EF"/>
    <w:rsid w:val="008D15A4"/>
    <w:rsid w:val="008D1BE8"/>
    <w:rsid w:val="008D22B9"/>
    <w:rsid w:val="008D3011"/>
    <w:rsid w:val="008D35B6"/>
    <w:rsid w:val="008D3A40"/>
    <w:rsid w:val="008D3CAF"/>
    <w:rsid w:val="008D3D87"/>
    <w:rsid w:val="008D4D7B"/>
    <w:rsid w:val="008D5103"/>
    <w:rsid w:val="008D55DB"/>
    <w:rsid w:val="008D59DB"/>
    <w:rsid w:val="008D5C76"/>
    <w:rsid w:val="008D5DB9"/>
    <w:rsid w:val="008D5F3E"/>
    <w:rsid w:val="008D6221"/>
    <w:rsid w:val="008D66FC"/>
    <w:rsid w:val="008D6AC7"/>
    <w:rsid w:val="008D6E76"/>
    <w:rsid w:val="008D7087"/>
    <w:rsid w:val="008D719E"/>
    <w:rsid w:val="008E1756"/>
    <w:rsid w:val="008E1AF0"/>
    <w:rsid w:val="008E31A2"/>
    <w:rsid w:val="008E3A3C"/>
    <w:rsid w:val="008E4BB4"/>
    <w:rsid w:val="008E4E39"/>
    <w:rsid w:val="008E4FB7"/>
    <w:rsid w:val="008E513B"/>
    <w:rsid w:val="008E54EF"/>
    <w:rsid w:val="008E5BE8"/>
    <w:rsid w:val="008E5D87"/>
    <w:rsid w:val="008E6D88"/>
    <w:rsid w:val="008E7FD5"/>
    <w:rsid w:val="008F01C7"/>
    <w:rsid w:val="008F1DDA"/>
    <w:rsid w:val="008F2074"/>
    <w:rsid w:val="008F2075"/>
    <w:rsid w:val="008F2578"/>
    <w:rsid w:val="008F442C"/>
    <w:rsid w:val="008F490F"/>
    <w:rsid w:val="008F5682"/>
    <w:rsid w:val="008F577C"/>
    <w:rsid w:val="008F57DD"/>
    <w:rsid w:val="008F5EC3"/>
    <w:rsid w:val="008F636C"/>
    <w:rsid w:val="008F6AD6"/>
    <w:rsid w:val="008F7CA6"/>
    <w:rsid w:val="00900763"/>
    <w:rsid w:val="00900A70"/>
    <w:rsid w:val="00901707"/>
    <w:rsid w:val="00901B2E"/>
    <w:rsid w:val="00901C40"/>
    <w:rsid w:val="00901EAC"/>
    <w:rsid w:val="00902508"/>
    <w:rsid w:val="00903C12"/>
    <w:rsid w:val="009041E2"/>
    <w:rsid w:val="0090453E"/>
    <w:rsid w:val="00905F61"/>
    <w:rsid w:val="00906178"/>
    <w:rsid w:val="00906491"/>
    <w:rsid w:val="009069DA"/>
    <w:rsid w:val="009074C6"/>
    <w:rsid w:val="00907A76"/>
    <w:rsid w:val="00907B22"/>
    <w:rsid w:val="00910197"/>
    <w:rsid w:val="00910230"/>
    <w:rsid w:val="009104B5"/>
    <w:rsid w:val="009104CE"/>
    <w:rsid w:val="00911357"/>
    <w:rsid w:val="00911794"/>
    <w:rsid w:val="009117AB"/>
    <w:rsid w:val="00911817"/>
    <w:rsid w:val="00911D2E"/>
    <w:rsid w:val="00912D65"/>
    <w:rsid w:val="00912DDE"/>
    <w:rsid w:val="009133F7"/>
    <w:rsid w:val="009135AB"/>
    <w:rsid w:val="00913BFD"/>
    <w:rsid w:val="00914489"/>
    <w:rsid w:val="009177E0"/>
    <w:rsid w:val="0091789E"/>
    <w:rsid w:val="009210CD"/>
    <w:rsid w:val="009225EA"/>
    <w:rsid w:val="009225EB"/>
    <w:rsid w:val="0092277E"/>
    <w:rsid w:val="0092283F"/>
    <w:rsid w:val="009232E6"/>
    <w:rsid w:val="00923423"/>
    <w:rsid w:val="0092373B"/>
    <w:rsid w:val="0092385F"/>
    <w:rsid w:val="009242E2"/>
    <w:rsid w:val="009245EE"/>
    <w:rsid w:val="00924FB3"/>
    <w:rsid w:val="00925D7F"/>
    <w:rsid w:val="00926B4E"/>
    <w:rsid w:val="00931094"/>
    <w:rsid w:val="0093113D"/>
    <w:rsid w:val="009312A8"/>
    <w:rsid w:val="00931790"/>
    <w:rsid w:val="00933384"/>
    <w:rsid w:val="009341F1"/>
    <w:rsid w:val="009345F9"/>
    <w:rsid w:val="00935CD7"/>
    <w:rsid w:val="00936580"/>
    <w:rsid w:val="00936A3C"/>
    <w:rsid w:val="00936F89"/>
    <w:rsid w:val="00937251"/>
    <w:rsid w:val="0093751E"/>
    <w:rsid w:val="0093789F"/>
    <w:rsid w:val="00937E59"/>
    <w:rsid w:val="0094151D"/>
    <w:rsid w:val="009418E7"/>
    <w:rsid w:val="00941FAC"/>
    <w:rsid w:val="009424D0"/>
    <w:rsid w:val="00943468"/>
    <w:rsid w:val="009435F2"/>
    <w:rsid w:val="009444A6"/>
    <w:rsid w:val="009445BF"/>
    <w:rsid w:val="00944ACE"/>
    <w:rsid w:val="009458FA"/>
    <w:rsid w:val="00945D3F"/>
    <w:rsid w:val="00945E71"/>
    <w:rsid w:val="00946506"/>
    <w:rsid w:val="0094674D"/>
    <w:rsid w:val="00947C9C"/>
    <w:rsid w:val="009507E4"/>
    <w:rsid w:val="00950BC9"/>
    <w:rsid w:val="009513DC"/>
    <w:rsid w:val="0095314A"/>
    <w:rsid w:val="009531A4"/>
    <w:rsid w:val="00953616"/>
    <w:rsid w:val="009537E6"/>
    <w:rsid w:val="00953807"/>
    <w:rsid w:val="0095447F"/>
    <w:rsid w:val="009545F1"/>
    <w:rsid w:val="00954B76"/>
    <w:rsid w:val="00954CBE"/>
    <w:rsid w:val="00954E11"/>
    <w:rsid w:val="0095577C"/>
    <w:rsid w:val="00955A73"/>
    <w:rsid w:val="0095644E"/>
    <w:rsid w:val="00957A4F"/>
    <w:rsid w:val="0096045D"/>
    <w:rsid w:val="0096150F"/>
    <w:rsid w:val="00961BB8"/>
    <w:rsid w:val="00961DAF"/>
    <w:rsid w:val="00962F90"/>
    <w:rsid w:val="00963C73"/>
    <w:rsid w:val="009643E4"/>
    <w:rsid w:val="00964A20"/>
    <w:rsid w:val="00965727"/>
    <w:rsid w:val="009659B1"/>
    <w:rsid w:val="00966BBF"/>
    <w:rsid w:val="009674FB"/>
    <w:rsid w:val="00967678"/>
    <w:rsid w:val="00967DA9"/>
    <w:rsid w:val="00970457"/>
    <w:rsid w:val="0097073A"/>
    <w:rsid w:val="00970873"/>
    <w:rsid w:val="00970E54"/>
    <w:rsid w:val="00970EE7"/>
    <w:rsid w:val="00970F50"/>
    <w:rsid w:val="0097148E"/>
    <w:rsid w:val="009717B6"/>
    <w:rsid w:val="00972749"/>
    <w:rsid w:val="00972837"/>
    <w:rsid w:val="00973337"/>
    <w:rsid w:val="009733FD"/>
    <w:rsid w:val="0097357F"/>
    <w:rsid w:val="00974809"/>
    <w:rsid w:val="00974B8F"/>
    <w:rsid w:val="00974CF7"/>
    <w:rsid w:val="009753CD"/>
    <w:rsid w:val="009754EA"/>
    <w:rsid w:val="00975643"/>
    <w:rsid w:val="00975B48"/>
    <w:rsid w:val="00976643"/>
    <w:rsid w:val="009769C5"/>
    <w:rsid w:val="00976D79"/>
    <w:rsid w:val="00976F5A"/>
    <w:rsid w:val="00977C51"/>
    <w:rsid w:val="009801EA"/>
    <w:rsid w:val="009807D1"/>
    <w:rsid w:val="009810FC"/>
    <w:rsid w:val="009818DC"/>
    <w:rsid w:val="00981DB6"/>
    <w:rsid w:val="00981F3C"/>
    <w:rsid w:val="00982FC3"/>
    <w:rsid w:val="00983382"/>
    <w:rsid w:val="00983C07"/>
    <w:rsid w:val="00985170"/>
    <w:rsid w:val="009858F4"/>
    <w:rsid w:val="00985D3B"/>
    <w:rsid w:val="009864E5"/>
    <w:rsid w:val="009867EB"/>
    <w:rsid w:val="00987AFF"/>
    <w:rsid w:val="00987B68"/>
    <w:rsid w:val="00987CFF"/>
    <w:rsid w:val="00990827"/>
    <w:rsid w:val="0099096A"/>
    <w:rsid w:val="00991499"/>
    <w:rsid w:val="009919F1"/>
    <w:rsid w:val="00991A40"/>
    <w:rsid w:val="00992540"/>
    <w:rsid w:val="009925D1"/>
    <w:rsid w:val="009927EC"/>
    <w:rsid w:val="00992854"/>
    <w:rsid w:val="00992E17"/>
    <w:rsid w:val="00993100"/>
    <w:rsid w:val="00993747"/>
    <w:rsid w:val="009940EF"/>
    <w:rsid w:val="00994505"/>
    <w:rsid w:val="00994632"/>
    <w:rsid w:val="00995995"/>
    <w:rsid w:val="009A0047"/>
    <w:rsid w:val="009A022C"/>
    <w:rsid w:val="009A060A"/>
    <w:rsid w:val="009A0C14"/>
    <w:rsid w:val="009A0D2E"/>
    <w:rsid w:val="009A196A"/>
    <w:rsid w:val="009A2092"/>
    <w:rsid w:val="009A25FD"/>
    <w:rsid w:val="009A401B"/>
    <w:rsid w:val="009A42AA"/>
    <w:rsid w:val="009A4983"/>
    <w:rsid w:val="009A4D4A"/>
    <w:rsid w:val="009A53BD"/>
    <w:rsid w:val="009A5A3F"/>
    <w:rsid w:val="009A5D9E"/>
    <w:rsid w:val="009A6281"/>
    <w:rsid w:val="009A6D71"/>
    <w:rsid w:val="009A7346"/>
    <w:rsid w:val="009A766E"/>
    <w:rsid w:val="009B0507"/>
    <w:rsid w:val="009B14D9"/>
    <w:rsid w:val="009B2E0D"/>
    <w:rsid w:val="009B34EC"/>
    <w:rsid w:val="009B3A61"/>
    <w:rsid w:val="009B3B15"/>
    <w:rsid w:val="009B4037"/>
    <w:rsid w:val="009B57C4"/>
    <w:rsid w:val="009B5B71"/>
    <w:rsid w:val="009B673C"/>
    <w:rsid w:val="009B683A"/>
    <w:rsid w:val="009B7542"/>
    <w:rsid w:val="009C17D5"/>
    <w:rsid w:val="009C287A"/>
    <w:rsid w:val="009C3B21"/>
    <w:rsid w:val="009C3DB5"/>
    <w:rsid w:val="009C46FE"/>
    <w:rsid w:val="009C48BA"/>
    <w:rsid w:val="009C599F"/>
    <w:rsid w:val="009C5E0A"/>
    <w:rsid w:val="009C623D"/>
    <w:rsid w:val="009C6451"/>
    <w:rsid w:val="009C6795"/>
    <w:rsid w:val="009C6811"/>
    <w:rsid w:val="009C7333"/>
    <w:rsid w:val="009C7FAE"/>
    <w:rsid w:val="009D041D"/>
    <w:rsid w:val="009D0D60"/>
    <w:rsid w:val="009D0FD6"/>
    <w:rsid w:val="009D1301"/>
    <w:rsid w:val="009D1BF1"/>
    <w:rsid w:val="009D2063"/>
    <w:rsid w:val="009D2AE6"/>
    <w:rsid w:val="009D467E"/>
    <w:rsid w:val="009D50CC"/>
    <w:rsid w:val="009D52F6"/>
    <w:rsid w:val="009D5F47"/>
    <w:rsid w:val="009D6546"/>
    <w:rsid w:val="009D69FB"/>
    <w:rsid w:val="009D78DC"/>
    <w:rsid w:val="009E0792"/>
    <w:rsid w:val="009E0B99"/>
    <w:rsid w:val="009E0E44"/>
    <w:rsid w:val="009E0FD5"/>
    <w:rsid w:val="009E12F4"/>
    <w:rsid w:val="009E13CD"/>
    <w:rsid w:val="009E1DF7"/>
    <w:rsid w:val="009E209C"/>
    <w:rsid w:val="009E262F"/>
    <w:rsid w:val="009E2C3D"/>
    <w:rsid w:val="009E2E57"/>
    <w:rsid w:val="009E4179"/>
    <w:rsid w:val="009E4770"/>
    <w:rsid w:val="009E5037"/>
    <w:rsid w:val="009E553B"/>
    <w:rsid w:val="009E574E"/>
    <w:rsid w:val="009E6A29"/>
    <w:rsid w:val="009E6BF1"/>
    <w:rsid w:val="009E6D15"/>
    <w:rsid w:val="009E6D8B"/>
    <w:rsid w:val="009E75FE"/>
    <w:rsid w:val="009E79A2"/>
    <w:rsid w:val="009F0646"/>
    <w:rsid w:val="009F1C06"/>
    <w:rsid w:val="009F20A4"/>
    <w:rsid w:val="009F21EB"/>
    <w:rsid w:val="009F2932"/>
    <w:rsid w:val="009F2ABD"/>
    <w:rsid w:val="009F2CF3"/>
    <w:rsid w:val="009F3777"/>
    <w:rsid w:val="009F37AA"/>
    <w:rsid w:val="009F3864"/>
    <w:rsid w:val="009F47A3"/>
    <w:rsid w:val="009F4D2A"/>
    <w:rsid w:val="009F53E1"/>
    <w:rsid w:val="009F5B5A"/>
    <w:rsid w:val="009F5F51"/>
    <w:rsid w:val="009F60B3"/>
    <w:rsid w:val="009F64A8"/>
    <w:rsid w:val="009F7784"/>
    <w:rsid w:val="00A0038B"/>
    <w:rsid w:val="00A00941"/>
    <w:rsid w:val="00A00C89"/>
    <w:rsid w:val="00A00CA2"/>
    <w:rsid w:val="00A0189D"/>
    <w:rsid w:val="00A01EB9"/>
    <w:rsid w:val="00A03256"/>
    <w:rsid w:val="00A03424"/>
    <w:rsid w:val="00A03A85"/>
    <w:rsid w:val="00A03E90"/>
    <w:rsid w:val="00A04879"/>
    <w:rsid w:val="00A04D48"/>
    <w:rsid w:val="00A0509D"/>
    <w:rsid w:val="00A054F0"/>
    <w:rsid w:val="00A05553"/>
    <w:rsid w:val="00A0613D"/>
    <w:rsid w:val="00A0622B"/>
    <w:rsid w:val="00A0668C"/>
    <w:rsid w:val="00A06790"/>
    <w:rsid w:val="00A069C5"/>
    <w:rsid w:val="00A06A64"/>
    <w:rsid w:val="00A06EC9"/>
    <w:rsid w:val="00A07074"/>
    <w:rsid w:val="00A0707D"/>
    <w:rsid w:val="00A10286"/>
    <w:rsid w:val="00A1045C"/>
    <w:rsid w:val="00A10E10"/>
    <w:rsid w:val="00A115CA"/>
    <w:rsid w:val="00A11DE7"/>
    <w:rsid w:val="00A124DC"/>
    <w:rsid w:val="00A12788"/>
    <w:rsid w:val="00A13774"/>
    <w:rsid w:val="00A14067"/>
    <w:rsid w:val="00A142AC"/>
    <w:rsid w:val="00A143E3"/>
    <w:rsid w:val="00A14852"/>
    <w:rsid w:val="00A14C5A"/>
    <w:rsid w:val="00A14D04"/>
    <w:rsid w:val="00A1533D"/>
    <w:rsid w:val="00A157C6"/>
    <w:rsid w:val="00A15980"/>
    <w:rsid w:val="00A168C7"/>
    <w:rsid w:val="00A16C16"/>
    <w:rsid w:val="00A17AF1"/>
    <w:rsid w:val="00A17EFB"/>
    <w:rsid w:val="00A17F3C"/>
    <w:rsid w:val="00A20BAA"/>
    <w:rsid w:val="00A20EF2"/>
    <w:rsid w:val="00A2126E"/>
    <w:rsid w:val="00A2174B"/>
    <w:rsid w:val="00A2266B"/>
    <w:rsid w:val="00A22A53"/>
    <w:rsid w:val="00A22B04"/>
    <w:rsid w:val="00A2399E"/>
    <w:rsid w:val="00A243DC"/>
    <w:rsid w:val="00A25B18"/>
    <w:rsid w:val="00A25C54"/>
    <w:rsid w:val="00A262FE"/>
    <w:rsid w:val="00A26953"/>
    <w:rsid w:val="00A26B5E"/>
    <w:rsid w:val="00A278A8"/>
    <w:rsid w:val="00A27A9A"/>
    <w:rsid w:val="00A30B09"/>
    <w:rsid w:val="00A30E86"/>
    <w:rsid w:val="00A315C2"/>
    <w:rsid w:val="00A32016"/>
    <w:rsid w:val="00A32B42"/>
    <w:rsid w:val="00A32E5E"/>
    <w:rsid w:val="00A33894"/>
    <w:rsid w:val="00A3535E"/>
    <w:rsid w:val="00A375F7"/>
    <w:rsid w:val="00A37825"/>
    <w:rsid w:val="00A40AA1"/>
    <w:rsid w:val="00A40FFD"/>
    <w:rsid w:val="00A43017"/>
    <w:rsid w:val="00A44658"/>
    <w:rsid w:val="00A44FD9"/>
    <w:rsid w:val="00A47192"/>
    <w:rsid w:val="00A47A39"/>
    <w:rsid w:val="00A50240"/>
    <w:rsid w:val="00A5025C"/>
    <w:rsid w:val="00A50412"/>
    <w:rsid w:val="00A505BE"/>
    <w:rsid w:val="00A50F33"/>
    <w:rsid w:val="00A51B3A"/>
    <w:rsid w:val="00A53514"/>
    <w:rsid w:val="00A543FB"/>
    <w:rsid w:val="00A54495"/>
    <w:rsid w:val="00A54820"/>
    <w:rsid w:val="00A5484A"/>
    <w:rsid w:val="00A54E12"/>
    <w:rsid w:val="00A54FA1"/>
    <w:rsid w:val="00A55093"/>
    <w:rsid w:val="00A56807"/>
    <w:rsid w:val="00A57A84"/>
    <w:rsid w:val="00A57D54"/>
    <w:rsid w:val="00A616D8"/>
    <w:rsid w:val="00A61E5F"/>
    <w:rsid w:val="00A657DB"/>
    <w:rsid w:val="00A65963"/>
    <w:rsid w:val="00A65F78"/>
    <w:rsid w:val="00A6604C"/>
    <w:rsid w:val="00A66638"/>
    <w:rsid w:val="00A66DA7"/>
    <w:rsid w:val="00A6748A"/>
    <w:rsid w:val="00A675F7"/>
    <w:rsid w:val="00A67744"/>
    <w:rsid w:val="00A67833"/>
    <w:rsid w:val="00A679A7"/>
    <w:rsid w:val="00A70215"/>
    <w:rsid w:val="00A7145D"/>
    <w:rsid w:val="00A7250E"/>
    <w:rsid w:val="00A72F19"/>
    <w:rsid w:val="00A7468E"/>
    <w:rsid w:val="00A75526"/>
    <w:rsid w:val="00A75F89"/>
    <w:rsid w:val="00A7666C"/>
    <w:rsid w:val="00A76856"/>
    <w:rsid w:val="00A76DBC"/>
    <w:rsid w:val="00A76FC6"/>
    <w:rsid w:val="00A77613"/>
    <w:rsid w:val="00A77852"/>
    <w:rsid w:val="00A77888"/>
    <w:rsid w:val="00A77F88"/>
    <w:rsid w:val="00A77FF1"/>
    <w:rsid w:val="00A80345"/>
    <w:rsid w:val="00A80541"/>
    <w:rsid w:val="00A808C0"/>
    <w:rsid w:val="00A80A00"/>
    <w:rsid w:val="00A814D5"/>
    <w:rsid w:val="00A81AB9"/>
    <w:rsid w:val="00A81EF8"/>
    <w:rsid w:val="00A831BF"/>
    <w:rsid w:val="00A839FB"/>
    <w:rsid w:val="00A840E5"/>
    <w:rsid w:val="00A842CA"/>
    <w:rsid w:val="00A849CA"/>
    <w:rsid w:val="00A85154"/>
    <w:rsid w:val="00A855ED"/>
    <w:rsid w:val="00A85B0B"/>
    <w:rsid w:val="00A85B3A"/>
    <w:rsid w:val="00A86254"/>
    <w:rsid w:val="00A86292"/>
    <w:rsid w:val="00A863FD"/>
    <w:rsid w:val="00A86785"/>
    <w:rsid w:val="00A86A2F"/>
    <w:rsid w:val="00A8749D"/>
    <w:rsid w:val="00A87B90"/>
    <w:rsid w:val="00A87FDB"/>
    <w:rsid w:val="00A90609"/>
    <w:rsid w:val="00A9164B"/>
    <w:rsid w:val="00A91C19"/>
    <w:rsid w:val="00A92379"/>
    <w:rsid w:val="00A928F9"/>
    <w:rsid w:val="00A92FDE"/>
    <w:rsid w:val="00A9304D"/>
    <w:rsid w:val="00A935DF"/>
    <w:rsid w:val="00A9431E"/>
    <w:rsid w:val="00A94F48"/>
    <w:rsid w:val="00A95025"/>
    <w:rsid w:val="00A95054"/>
    <w:rsid w:val="00A95C4C"/>
    <w:rsid w:val="00A95D4A"/>
    <w:rsid w:val="00A95D66"/>
    <w:rsid w:val="00A964B2"/>
    <w:rsid w:val="00A96760"/>
    <w:rsid w:val="00A96A54"/>
    <w:rsid w:val="00A972E4"/>
    <w:rsid w:val="00A974F0"/>
    <w:rsid w:val="00AA0017"/>
    <w:rsid w:val="00AA0823"/>
    <w:rsid w:val="00AA0FCF"/>
    <w:rsid w:val="00AA213B"/>
    <w:rsid w:val="00AA2558"/>
    <w:rsid w:val="00AA2B9E"/>
    <w:rsid w:val="00AA2EE3"/>
    <w:rsid w:val="00AA46F1"/>
    <w:rsid w:val="00AA5110"/>
    <w:rsid w:val="00AA5C7A"/>
    <w:rsid w:val="00AA733B"/>
    <w:rsid w:val="00AA73F3"/>
    <w:rsid w:val="00AA7AAC"/>
    <w:rsid w:val="00AB0691"/>
    <w:rsid w:val="00AB088F"/>
    <w:rsid w:val="00AB0B85"/>
    <w:rsid w:val="00AB0BEE"/>
    <w:rsid w:val="00AB1109"/>
    <w:rsid w:val="00AB11C6"/>
    <w:rsid w:val="00AB1511"/>
    <w:rsid w:val="00AB3371"/>
    <w:rsid w:val="00AB4E55"/>
    <w:rsid w:val="00AB5AFE"/>
    <w:rsid w:val="00AB5DC1"/>
    <w:rsid w:val="00AB6178"/>
    <w:rsid w:val="00AB6F18"/>
    <w:rsid w:val="00AB7210"/>
    <w:rsid w:val="00AB7962"/>
    <w:rsid w:val="00AB7D20"/>
    <w:rsid w:val="00AB7EC7"/>
    <w:rsid w:val="00AC0E1E"/>
    <w:rsid w:val="00AC1122"/>
    <w:rsid w:val="00AC179F"/>
    <w:rsid w:val="00AC18E8"/>
    <w:rsid w:val="00AC2BE0"/>
    <w:rsid w:val="00AC3505"/>
    <w:rsid w:val="00AC3ACC"/>
    <w:rsid w:val="00AC423C"/>
    <w:rsid w:val="00AC42C2"/>
    <w:rsid w:val="00AC42C8"/>
    <w:rsid w:val="00AC5922"/>
    <w:rsid w:val="00AC5B2E"/>
    <w:rsid w:val="00AC7B46"/>
    <w:rsid w:val="00AC7B9C"/>
    <w:rsid w:val="00AC7D42"/>
    <w:rsid w:val="00AD0323"/>
    <w:rsid w:val="00AD156D"/>
    <w:rsid w:val="00AD1D88"/>
    <w:rsid w:val="00AD41DA"/>
    <w:rsid w:val="00AD44E1"/>
    <w:rsid w:val="00AD4CD8"/>
    <w:rsid w:val="00AD5219"/>
    <w:rsid w:val="00AD5380"/>
    <w:rsid w:val="00AD6275"/>
    <w:rsid w:val="00AD69A1"/>
    <w:rsid w:val="00AD6B74"/>
    <w:rsid w:val="00AD704E"/>
    <w:rsid w:val="00AE009D"/>
    <w:rsid w:val="00AE1337"/>
    <w:rsid w:val="00AE1C9F"/>
    <w:rsid w:val="00AE2636"/>
    <w:rsid w:val="00AE2A53"/>
    <w:rsid w:val="00AE39EE"/>
    <w:rsid w:val="00AE55A4"/>
    <w:rsid w:val="00AE5973"/>
    <w:rsid w:val="00AE693E"/>
    <w:rsid w:val="00AE789F"/>
    <w:rsid w:val="00AF1741"/>
    <w:rsid w:val="00AF1A37"/>
    <w:rsid w:val="00AF1F02"/>
    <w:rsid w:val="00AF22F6"/>
    <w:rsid w:val="00AF2859"/>
    <w:rsid w:val="00AF2A29"/>
    <w:rsid w:val="00AF34BC"/>
    <w:rsid w:val="00AF3831"/>
    <w:rsid w:val="00AF3ECB"/>
    <w:rsid w:val="00AF4203"/>
    <w:rsid w:val="00AF4B49"/>
    <w:rsid w:val="00AF4D90"/>
    <w:rsid w:val="00AF5138"/>
    <w:rsid w:val="00AF5B96"/>
    <w:rsid w:val="00AF6239"/>
    <w:rsid w:val="00AF6445"/>
    <w:rsid w:val="00AF6566"/>
    <w:rsid w:val="00AF7179"/>
    <w:rsid w:val="00AF7D9E"/>
    <w:rsid w:val="00AF7EBE"/>
    <w:rsid w:val="00B0008E"/>
    <w:rsid w:val="00B00430"/>
    <w:rsid w:val="00B00616"/>
    <w:rsid w:val="00B007A1"/>
    <w:rsid w:val="00B00957"/>
    <w:rsid w:val="00B00B83"/>
    <w:rsid w:val="00B01428"/>
    <w:rsid w:val="00B01748"/>
    <w:rsid w:val="00B01D51"/>
    <w:rsid w:val="00B021EE"/>
    <w:rsid w:val="00B0290B"/>
    <w:rsid w:val="00B03F34"/>
    <w:rsid w:val="00B04924"/>
    <w:rsid w:val="00B04CD4"/>
    <w:rsid w:val="00B04FB9"/>
    <w:rsid w:val="00B05149"/>
    <w:rsid w:val="00B05DD3"/>
    <w:rsid w:val="00B05E91"/>
    <w:rsid w:val="00B06ADE"/>
    <w:rsid w:val="00B0712C"/>
    <w:rsid w:val="00B07696"/>
    <w:rsid w:val="00B07933"/>
    <w:rsid w:val="00B07C5D"/>
    <w:rsid w:val="00B11A97"/>
    <w:rsid w:val="00B1234B"/>
    <w:rsid w:val="00B124A1"/>
    <w:rsid w:val="00B12D49"/>
    <w:rsid w:val="00B13001"/>
    <w:rsid w:val="00B13970"/>
    <w:rsid w:val="00B13BFC"/>
    <w:rsid w:val="00B13F6B"/>
    <w:rsid w:val="00B141CE"/>
    <w:rsid w:val="00B14797"/>
    <w:rsid w:val="00B14E39"/>
    <w:rsid w:val="00B163F8"/>
    <w:rsid w:val="00B16B9F"/>
    <w:rsid w:val="00B16E8E"/>
    <w:rsid w:val="00B17E5E"/>
    <w:rsid w:val="00B17FFE"/>
    <w:rsid w:val="00B20386"/>
    <w:rsid w:val="00B204EE"/>
    <w:rsid w:val="00B20ABB"/>
    <w:rsid w:val="00B218BB"/>
    <w:rsid w:val="00B2193E"/>
    <w:rsid w:val="00B221CD"/>
    <w:rsid w:val="00B2220A"/>
    <w:rsid w:val="00B22D89"/>
    <w:rsid w:val="00B230F3"/>
    <w:rsid w:val="00B23E6F"/>
    <w:rsid w:val="00B2443D"/>
    <w:rsid w:val="00B24708"/>
    <w:rsid w:val="00B24940"/>
    <w:rsid w:val="00B2532F"/>
    <w:rsid w:val="00B26095"/>
    <w:rsid w:val="00B26600"/>
    <w:rsid w:val="00B26B03"/>
    <w:rsid w:val="00B2732A"/>
    <w:rsid w:val="00B2749C"/>
    <w:rsid w:val="00B27E80"/>
    <w:rsid w:val="00B27EED"/>
    <w:rsid w:val="00B302B0"/>
    <w:rsid w:val="00B3036F"/>
    <w:rsid w:val="00B31BA7"/>
    <w:rsid w:val="00B3212F"/>
    <w:rsid w:val="00B32287"/>
    <w:rsid w:val="00B3280E"/>
    <w:rsid w:val="00B3357C"/>
    <w:rsid w:val="00B3383B"/>
    <w:rsid w:val="00B34918"/>
    <w:rsid w:val="00B34B9E"/>
    <w:rsid w:val="00B359AE"/>
    <w:rsid w:val="00B35C2E"/>
    <w:rsid w:val="00B366A4"/>
    <w:rsid w:val="00B37217"/>
    <w:rsid w:val="00B37308"/>
    <w:rsid w:val="00B37670"/>
    <w:rsid w:val="00B37F97"/>
    <w:rsid w:val="00B37FD6"/>
    <w:rsid w:val="00B40D91"/>
    <w:rsid w:val="00B41B2C"/>
    <w:rsid w:val="00B42041"/>
    <w:rsid w:val="00B422D3"/>
    <w:rsid w:val="00B42815"/>
    <w:rsid w:val="00B4286A"/>
    <w:rsid w:val="00B42E95"/>
    <w:rsid w:val="00B4326D"/>
    <w:rsid w:val="00B445BE"/>
    <w:rsid w:val="00B44667"/>
    <w:rsid w:val="00B45851"/>
    <w:rsid w:val="00B459D9"/>
    <w:rsid w:val="00B46743"/>
    <w:rsid w:val="00B4715E"/>
    <w:rsid w:val="00B47FE4"/>
    <w:rsid w:val="00B50EDA"/>
    <w:rsid w:val="00B51331"/>
    <w:rsid w:val="00B516EA"/>
    <w:rsid w:val="00B519CE"/>
    <w:rsid w:val="00B5218E"/>
    <w:rsid w:val="00B523E1"/>
    <w:rsid w:val="00B53016"/>
    <w:rsid w:val="00B5407C"/>
    <w:rsid w:val="00B543A5"/>
    <w:rsid w:val="00B54BE7"/>
    <w:rsid w:val="00B5569E"/>
    <w:rsid w:val="00B55D2D"/>
    <w:rsid w:val="00B55E36"/>
    <w:rsid w:val="00B56993"/>
    <w:rsid w:val="00B57668"/>
    <w:rsid w:val="00B57AA7"/>
    <w:rsid w:val="00B60560"/>
    <w:rsid w:val="00B609AB"/>
    <w:rsid w:val="00B60DE1"/>
    <w:rsid w:val="00B616C9"/>
    <w:rsid w:val="00B61BC8"/>
    <w:rsid w:val="00B62369"/>
    <w:rsid w:val="00B628EE"/>
    <w:rsid w:val="00B62AF4"/>
    <w:rsid w:val="00B62C12"/>
    <w:rsid w:val="00B62DA2"/>
    <w:rsid w:val="00B63952"/>
    <w:rsid w:val="00B645D3"/>
    <w:rsid w:val="00B64A51"/>
    <w:rsid w:val="00B64C5F"/>
    <w:rsid w:val="00B64EA2"/>
    <w:rsid w:val="00B65063"/>
    <w:rsid w:val="00B65069"/>
    <w:rsid w:val="00B652F9"/>
    <w:rsid w:val="00B66541"/>
    <w:rsid w:val="00B66937"/>
    <w:rsid w:val="00B66C98"/>
    <w:rsid w:val="00B674FC"/>
    <w:rsid w:val="00B70494"/>
    <w:rsid w:val="00B70517"/>
    <w:rsid w:val="00B70BE5"/>
    <w:rsid w:val="00B71077"/>
    <w:rsid w:val="00B71C7C"/>
    <w:rsid w:val="00B7232F"/>
    <w:rsid w:val="00B72890"/>
    <w:rsid w:val="00B72989"/>
    <w:rsid w:val="00B72AC7"/>
    <w:rsid w:val="00B734F8"/>
    <w:rsid w:val="00B736E9"/>
    <w:rsid w:val="00B74A08"/>
    <w:rsid w:val="00B757CD"/>
    <w:rsid w:val="00B75913"/>
    <w:rsid w:val="00B75F25"/>
    <w:rsid w:val="00B75FA8"/>
    <w:rsid w:val="00B76458"/>
    <w:rsid w:val="00B765BF"/>
    <w:rsid w:val="00B766C2"/>
    <w:rsid w:val="00B77FBE"/>
    <w:rsid w:val="00B8008A"/>
    <w:rsid w:val="00B80490"/>
    <w:rsid w:val="00B81955"/>
    <w:rsid w:val="00B81AF7"/>
    <w:rsid w:val="00B81C71"/>
    <w:rsid w:val="00B82130"/>
    <w:rsid w:val="00B82464"/>
    <w:rsid w:val="00B82F50"/>
    <w:rsid w:val="00B82FF0"/>
    <w:rsid w:val="00B834B0"/>
    <w:rsid w:val="00B8384F"/>
    <w:rsid w:val="00B84728"/>
    <w:rsid w:val="00B848EB"/>
    <w:rsid w:val="00B85CCB"/>
    <w:rsid w:val="00B862F3"/>
    <w:rsid w:val="00B8637E"/>
    <w:rsid w:val="00B8682E"/>
    <w:rsid w:val="00B87235"/>
    <w:rsid w:val="00B87511"/>
    <w:rsid w:val="00B876D3"/>
    <w:rsid w:val="00B87ADE"/>
    <w:rsid w:val="00B87F23"/>
    <w:rsid w:val="00B906F2"/>
    <w:rsid w:val="00B90E53"/>
    <w:rsid w:val="00B90E8A"/>
    <w:rsid w:val="00B9187B"/>
    <w:rsid w:val="00B91E8F"/>
    <w:rsid w:val="00B929CF"/>
    <w:rsid w:val="00B92FCC"/>
    <w:rsid w:val="00B92FEE"/>
    <w:rsid w:val="00B93A38"/>
    <w:rsid w:val="00B93D13"/>
    <w:rsid w:val="00B9418F"/>
    <w:rsid w:val="00B94FDA"/>
    <w:rsid w:val="00B964CA"/>
    <w:rsid w:val="00B971F4"/>
    <w:rsid w:val="00B9747E"/>
    <w:rsid w:val="00B97812"/>
    <w:rsid w:val="00BA0299"/>
    <w:rsid w:val="00BA0838"/>
    <w:rsid w:val="00BA0DA6"/>
    <w:rsid w:val="00BA107A"/>
    <w:rsid w:val="00BA38FA"/>
    <w:rsid w:val="00BA4847"/>
    <w:rsid w:val="00BA49B7"/>
    <w:rsid w:val="00BA53A9"/>
    <w:rsid w:val="00BA6C7A"/>
    <w:rsid w:val="00BA7366"/>
    <w:rsid w:val="00BA73E4"/>
    <w:rsid w:val="00BA7D84"/>
    <w:rsid w:val="00BA7E18"/>
    <w:rsid w:val="00BB0EC5"/>
    <w:rsid w:val="00BB3093"/>
    <w:rsid w:val="00BB4414"/>
    <w:rsid w:val="00BB451C"/>
    <w:rsid w:val="00BB5595"/>
    <w:rsid w:val="00BB597F"/>
    <w:rsid w:val="00BB59AE"/>
    <w:rsid w:val="00BB5A9C"/>
    <w:rsid w:val="00BB5C68"/>
    <w:rsid w:val="00BB6682"/>
    <w:rsid w:val="00BB6C1C"/>
    <w:rsid w:val="00BB7B09"/>
    <w:rsid w:val="00BB7D01"/>
    <w:rsid w:val="00BB7D3C"/>
    <w:rsid w:val="00BB7DCB"/>
    <w:rsid w:val="00BC02B6"/>
    <w:rsid w:val="00BC05AB"/>
    <w:rsid w:val="00BC0860"/>
    <w:rsid w:val="00BC0BFB"/>
    <w:rsid w:val="00BC14C0"/>
    <w:rsid w:val="00BC155C"/>
    <w:rsid w:val="00BC156E"/>
    <w:rsid w:val="00BC1EC0"/>
    <w:rsid w:val="00BC2440"/>
    <w:rsid w:val="00BC244A"/>
    <w:rsid w:val="00BC271F"/>
    <w:rsid w:val="00BC2932"/>
    <w:rsid w:val="00BC2934"/>
    <w:rsid w:val="00BC2BFA"/>
    <w:rsid w:val="00BC43AD"/>
    <w:rsid w:val="00BC471F"/>
    <w:rsid w:val="00BC6379"/>
    <w:rsid w:val="00BC6E56"/>
    <w:rsid w:val="00BC7D57"/>
    <w:rsid w:val="00BD0EC3"/>
    <w:rsid w:val="00BD1ACA"/>
    <w:rsid w:val="00BD22E4"/>
    <w:rsid w:val="00BD23DA"/>
    <w:rsid w:val="00BD240F"/>
    <w:rsid w:val="00BD269E"/>
    <w:rsid w:val="00BD2741"/>
    <w:rsid w:val="00BD532C"/>
    <w:rsid w:val="00BD65BE"/>
    <w:rsid w:val="00BD6819"/>
    <w:rsid w:val="00BD707A"/>
    <w:rsid w:val="00BD74EF"/>
    <w:rsid w:val="00BD756B"/>
    <w:rsid w:val="00BD7979"/>
    <w:rsid w:val="00BD7DE2"/>
    <w:rsid w:val="00BE0674"/>
    <w:rsid w:val="00BE17FC"/>
    <w:rsid w:val="00BE1B34"/>
    <w:rsid w:val="00BE1D14"/>
    <w:rsid w:val="00BE27F5"/>
    <w:rsid w:val="00BE2B68"/>
    <w:rsid w:val="00BE2BD3"/>
    <w:rsid w:val="00BE2D9F"/>
    <w:rsid w:val="00BE3194"/>
    <w:rsid w:val="00BE38F0"/>
    <w:rsid w:val="00BE3D7F"/>
    <w:rsid w:val="00BE3FEE"/>
    <w:rsid w:val="00BE47F0"/>
    <w:rsid w:val="00BE4BB1"/>
    <w:rsid w:val="00BE4CE4"/>
    <w:rsid w:val="00BE4EF3"/>
    <w:rsid w:val="00BE5920"/>
    <w:rsid w:val="00BE6151"/>
    <w:rsid w:val="00BE615E"/>
    <w:rsid w:val="00BE675A"/>
    <w:rsid w:val="00BE716E"/>
    <w:rsid w:val="00BE7286"/>
    <w:rsid w:val="00BF010F"/>
    <w:rsid w:val="00BF01B1"/>
    <w:rsid w:val="00BF0704"/>
    <w:rsid w:val="00BF14FB"/>
    <w:rsid w:val="00BF18C7"/>
    <w:rsid w:val="00BF1A62"/>
    <w:rsid w:val="00BF1C44"/>
    <w:rsid w:val="00BF26E0"/>
    <w:rsid w:val="00BF2AA9"/>
    <w:rsid w:val="00BF3286"/>
    <w:rsid w:val="00BF341D"/>
    <w:rsid w:val="00BF34BB"/>
    <w:rsid w:val="00BF4123"/>
    <w:rsid w:val="00BF42E0"/>
    <w:rsid w:val="00BF5AAB"/>
    <w:rsid w:val="00BF64E3"/>
    <w:rsid w:val="00BF6E2E"/>
    <w:rsid w:val="00BF6F11"/>
    <w:rsid w:val="00BF7095"/>
    <w:rsid w:val="00C00CBD"/>
    <w:rsid w:val="00C0148A"/>
    <w:rsid w:val="00C02631"/>
    <w:rsid w:val="00C02C30"/>
    <w:rsid w:val="00C0304F"/>
    <w:rsid w:val="00C0372B"/>
    <w:rsid w:val="00C03AB8"/>
    <w:rsid w:val="00C04EE7"/>
    <w:rsid w:val="00C0518D"/>
    <w:rsid w:val="00C058D2"/>
    <w:rsid w:val="00C05AA8"/>
    <w:rsid w:val="00C06012"/>
    <w:rsid w:val="00C0677A"/>
    <w:rsid w:val="00C06BF1"/>
    <w:rsid w:val="00C06F07"/>
    <w:rsid w:val="00C076C8"/>
    <w:rsid w:val="00C07C0F"/>
    <w:rsid w:val="00C07E94"/>
    <w:rsid w:val="00C102F1"/>
    <w:rsid w:val="00C10EF8"/>
    <w:rsid w:val="00C11814"/>
    <w:rsid w:val="00C11FCE"/>
    <w:rsid w:val="00C1204A"/>
    <w:rsid w:val="00C1213C"/>
    <w:rsid w:val="00C12516"/>
    <w:rsid w:val="00C12C76"/>
    <w:rsid w:val="00C14ADE"/>
    <w:rsid w:val="00C14B29"/>
    <w:rsid w:val="00C166E9"/>
    <w:rsid w:val="00C16A56"/>
    <w:rsid w:val="00C209AD"/>
    <w:rsid w:val="00C20BB2"/>
    <w:rsid w:val="00C21039"/>
    <w:rsid w:val="00C2183D"/>
    <w:rsid w:val="00C2262C"/>
    <w:rsid w:val="00C242C4"/>
    <w:rsid w:val="00C24AAC"/>
    <w:rsid w:val="00C24AD0"/>
    <w:rsid w:val="00C24F2B"/>
    <w:rsid w:val="00C24F71"/>
    <w:rsid w:val="00C25872"/>
    <w:rsid w:val="00C262A8"/>
    <w:rsid w:val="00C26460"/>
    <w:rsid w:val="00C27113"/>
    <w:rsid w:val="00C277B2"/>
    <w:rsid w:val="00C27B9A"/>
    <w:rsid w:val="00C300E6"/>
    <w:rsid w:val="00C30482"/>
    <w:rsid w:val="00C30768"/>
    <w:rsid w:val="00C3082B"/>
    <w:rsid w:val="00C30A05"/>
    <w:rsid w:val="00C3332F"/>
    <w:rsid w:val="00C3342C"/>
    <w:rsid w:val="00C33DE0"/>
    <w:rsid w:val="00C3564A"/>
    <w:rsid w:val="00C35CF2"/>
    <w:rsid w:val="00C35CFC"/>
    <w:rsid w:val="00C36166"/>
    <w:rsid w:val="00C36A99"/>
    <w:rsid w:val="00C36D5E"/>
    <w:rsid w:val="00C37E6D"/>
    <w:rsid w:val="00C40461"/>
    <w:rsid w:val="00C40637"/>
    <w:rsid w:val="00C40670"/>
    <w:rsid w:val="00C40F81"/>
    <w:rsid w:val="00C40F8E"/>
    <w:rsid w:val="00C4145D"/>
    <w:rsid w:val="00C42368"/>
    <w:rsid w:val="00C42E2B"/>
    <w:rsid w:val="00C43AB9"/>
    <w:rsid w:val="00C43FE8"/>
    <w:rsid w:val="00C44043"/>
    <w:rsid w:val="00C44C49"/>
    <w:rsid w:val="00C45B1F"/>
    <w:rsid w:val="00C46F7A"/>
    <w:rsid w:val="00C47703"/>
    <w:rsid w:val="00C47756"/>
    <w:rsid w:val="00C47CF4"/>
    <w:rsid w:val="00C50034"/>
    <w:rsid w:val="00C5064B"/>
    <w:rsid w:val="00C50B04"/>
    <w:rsid w:val="00C512EE"/>
    <w:rsid w:val="00C51518"/>
    <w:rsid w:val="00C5190C"/>
    <w:rsid w:val="00C52355"/>
    <w:rsid w:val="00C5244D"/>
    <w:rsid w:val="00C525E0"/>
    <w:rsid w:val="00C528CC"/>
    <w:rsid w:val="00C52D1D"/>
    <w:rsid w:val="00C533A9"/>
    <w:rsid w:val="00C5396E"/>
    <w:rsid w:val="00C53CD3"/>
    <w:rsid w:val="00C54276"/>
    <w:rsid w:val="00C55927"/>
    <w:rsid w:val="00C55945"/>
    <w:rsid w:val="00C5698C"/>
    <w:rsid w:val="00C57639"/>
    <w:rsid w:val="00C6187A"/>
    <w:rsid w:val="00C625ED"/>
    <w:rsid w:val="00C626EB"/>
    <w:rsid w:val="00C62DDF"/>
    <w:rsid w:val="00C63539"/>
    <w:rsid w:val="00C6354C"/>
    <w:rsid w:val="00C63DAC"/>
    <w:rsid w:val="00C64A50"/>
    <w:rsid w:val="00C654B3"/>
    <w:rsid w:val="00C66A9C"/>
    <w:rsid w:val="00C675B9"/>
    <w:rsid w:val="00C67B14"/>
    <w:rsid w:val="00C67D23"/>
    <w:rsid w:val="00C70E33"/>
    <w:rsid w:val="00C711FB"/>
    <w:rsid w:val="00C71338"/>
    <w:rsid w:val="00C725DE"/>
    <w:rsid w:val="00C7305F"/>
    <w:rsid w:val="00C73DB3"/>
    <w:rsid w:val="00C7424B"/>
    <w:rsid w:val="00C74EE2"/>
    <w:rsid w:val="00C7529B"/>
    <w:rsid w:val="00C75586"/>
    <w:rsid w:val="00C75851"/>
    <w:rsid w:val="00C759CC"/>
    <w:rsid w:val="00C75FF7"/>
    <w:rsid w:val="00C7612D"/>
    <w:rsid w:val="00C7666F"/>
    <w:rsid w:val="00C76FA3"/>
    <w:rsid w:val="00C77F75"/>
    <w:rsid w:val="00C80417"/>
    <w:rsid w:val="00C8044A"/>
    <w:rsid w:val="00C813CF"/>
    <w:rsid w:val="00C82089"/>
    <w:rsid w:val="00C82123"/>
    <w:rsid w:val="00C821C0"/>
    <w:rsid w:val="00C8226D"/>
    <w:rsid w:val="00C82515"/>
    <w:rsid w:val="00C84405"/>
    <w:rsid w:val="00C8536B"/>
    <w:rsid w:val="00C85786"/>
    <w:rsid w:val="00C85A02"/>
    <w:rsid w:val="00C86359"/>
    <w:rsid w:val="00C863E7"/>
    <w:rsid w:val="00C8641A"/>
    <w:rsid w:val="00C86A90"/>
    <w:rsid w:val="00C8745E"/>
    <w:rsid w:val="00C87A56"/>
    <w:rsid w:val="00C87B86"/>
    <w:rsid w:val="00C90C76"/>
    <w:rsid w:val="00C90EBD"/>
    <w:rsid w:val="00C933BE"/>
    <w:rsid w:val="00C939C0"/>
    <w:rsid w:val="00C93FD6"/>
    <w:rsid w:val="00C9443E"/>
    <w:rsid w:val="00C94A85"/>
    <w:rsid w:val="00C94BE3"/>
    <w:rsid w:val="00C95376"/>
    <w:rsid w:val="00C9589C"/>
    <w:rsid w:val="00C95FDB"/>
    <w:rsid w:val="00C96018"/>
    <w:rsid w:val="00C96715"/>
    <w:rsid w:val="00C9726D"/>
    <w:rsid w:val="00C97640"/>
    <w:rsid w:val="00CA0061"/>
    <w:rsid w:val="00CA057B"/>
    <w:rsid w:val="00CA082F"/>
    <w:rsid w:val="00CA0832"/>
    <w:rsid w:val="00CA083F"/>
    <w:rsid w:val="00CA090D"/>
    <w:rsid w:val="00CA0D8F"/>
    <w:rsid w:val="00CA2A0A"/>
    <w:rsid w:val="00CA2D42"/>
    <w:rsid w:val="00CA30E9"/>
    <w:rsid w:val="00CA457B"/>
    <w:rsid w:val="00CA4775"/>
    <w:rsid w:val="00CA5869"/>
    <w:rsid w:val="00CA5F7E"/>
    <w:rsid w:val="00CA672F"/>
    <w:rsid w:val="00CA7A69"/>
    <w:rsid w:val="00CB0499"/>
    <w:rsid w:val="00CB0EB1"/>
    <w:rsid w:val="00CB1B77"/>
    <w:rsid w:val="00CB20EF"/>
    <w:rsid w:val="00CB3172"/>
    <w:rsid w:val="00CB3A48"/>
    <w:rsid w:val="00CB3C33"/>
    <w:rsid w:val="00CB42D9"/>
    <w:rsid w:val="00CB449F"/>
    <w:rsid w:val="00CB59B3"/>
    <w:rsid w:val="00CB5AAD"/>
    <w:rsid w:val="00CB6311"/>
    <w:rsid w:val="00CB63A1"/>
    <w:rsid w:val="00CB64C3"/>
    <w:rsid w:val="00CB719A"/>
    <w:rsid w:val="00CB78C6"/>
    <w:rsid w:val="00CB7F99"/>
    <w:rsid w:val="00CC02F9"/>
    <w:rsid w:val="00CC068C"/>
    <w:rsid w:val="00CC0A55"/>
    <w:rsid w:val="00CC0E37"/>
    <w:rsid w:val="00CC1A0C"/>
    <w:rsid w:val="00CC3EA4"/>
    <w:rsid w:val="00CC4A39"/>
    <w:rsid w:val="00CC574F"/>
    <w:rsid w:val="00CD0712"/>
    <w:rsid w:val="00CD078B"/>
    <w:rsid w:val="00CD1180"/>
    <w:rsid w:val="00CD1BD0"/>
    <w:rsid w:val="00CD263B"/>
    <w:rsid w:val="00CD2A71"/>
    <w:rsid w:val="00CD2C65"/>
    <w:rsid w:val="00CD35AF"/>
    <w:rsid w:val="00CD42B5"/>
    <w:rsid w:val="00CD4590"/>
    <w:rsid w:val="00CD45FB"/>
    <w:rsid w:val="00CD4EE8"/>
    <w:rsid w:val="00CD57D6"/>
    <w:rsid w:val="00CD5C58"/>
    <w:rsid w:val="00CD6E13"/>
    <w:rsid w:val="00CD70A1"/>
    <w:rsid w:val="00CD71F8"/>
    <w:rsid w:val="00CD7FD1"/>
    <w:rsid w:val="00CE0169"/>
    <w:rsid w:val="00CE14CC"/>
    <w:rsid w:val="00CE1D5D"/>
    <w:rsid w:val="00CE2543"/>
    <w:rsid w:val="00CE2C32"/>
    <w:rsid w:val="00CE30DE"/>
    <w:rsid w:val="00CE3ED4"/>
    <w:rsid w:val="00CE41AF"/>
    <w:rsid w:val="00CE46FD"/>
    <w:rsid w:val="00CE5270"/>
    <w:rsid w:val="00CE5B62"/>
    <w:rsid w:val="00CE5C30"/>
    <w:rsid w:val="00CE6B5A"/>
    <w:rsid w:val="00CF0330"/>
    <w:rsid w:val="00CF08A9"/>
    <w:rsid w:val="00CF0947"/>
    <w:rsid w:val="00CF166F"/>
    <w:rsid w:val="00CF1E54"/>
    <w:rsid w:val="00CF2019"/>
    <w:rsid w:val="00CF24CD"/>
    <w:rsid w:val="00CF2757"/>
    <w:rsid w:val="00CF2904"/>
    <w:rsid w:val="00CF2EFB"/>
    <w:rsid w:val="00CF3361"/>
    <w:rsid w:val="00CF3578"/>
    <w:rsid w:val="00CF3ECF"/>
    <w:rsid w:val="00CF4A4C"/>
    <w:rsid w:val="00CF4AFB"/>
    <w:rsid w:val="00CF4B29"/>
    <w:rsid w:val="00CF4BB2"/>
    <w:rsid w:val="00CF698B"/>
    <w:rsid w:val="00CF73CE"/>
    <w:rsid w:val="00CF753A"/>
    <w:rsid w:val="00CF77AB"/>
    <w:rsid w:val="00CF787F"/>
    <w:rsid w:val="00D014FE"/>
    <w:rsid w:val="00D02BB2"/>
    <w:rsid w:val="00D0324C"/>
    <w:rsid w:val="00D0448B"/>
    <w:rsid w:val="00D04AB2"/>
    <w:rsid w:val="00D05642"/>
    <w:rsid w:val="00D05A48"/>
    <w:rsid w:val="00D0643C"/>
    <w:rsid w:val="00D0670F"/>
    <w:rsid w:val="00D072F3"/>
    <w:rsid w:val="00D0773B"/>
    <w:rsid w:val="00D10B3C"/>
    <w:rsid w:val="00D11058"/>
    <w:rsid w:val="00D110B1"/>
    <w:rsid w:val="00D1223C"/>
    <w:rsid w:val="00D123ED"/>
    <w:rsid w:val="00D12AAE"/>
    <w:rsid w:val="00D13242"/>
    <w:rsid w:val="00D13B01"/>
    <w:rsid w:val="00D13E45"/>
    <w:rsid w:val="00D14276"/>
    <w:rsid w:val="00D152C5"/>
    <w:rsid w:val="00D155E1"/>
    <w:rsid w:val="00D15F77"/>
    <w:rsid w:val="00D162B2"/>
    <w:rsid w:val="00D169D2"/>
    <w:rsid w:val="00D17BCC"/>
    <w:rsid w:val="00D17F15"/>
    <w:rsid w:val="00D20026"/>
    <w:rsid w:val="00D204A7"/>
    <w:rsid w:val="00D204B7"/>
    <w:rsid w:val="00D205F9"/>
    <w:rsid w:val="00D21353"/>
    <w:rsid w:val="00D21706"/>
    <w:rsid w:val="00D21BA2"/>
    <w:rsid w:val="00D221BD"/>
    <w:rsid w:val="00D229CA"/>
    <w:rsid w:val="00D26FA2"/>
    <w:rsid w:val="00D272FC"/>
    <w:rsid w:val="00D27AF4"/>
    <w:rsid w:val="00D27D42"/>
    <w:rsid w:val="00D30CA7"/>
    <w:rsid w:val="00D317A1"/>
    <w:rsid w:val="00D325A8"/>
    <w:rsid w:val="00D329C6"/>
    <w:rsid w:val="00D32EE4"/>
    <w:rsid w:val="00D332E8"/>
    <w:rsid w:val="00D33FA1"/>
    <w:rsid w:val="00D34C59"/>
    <w:rsid w:val="00D35730"/>
    <w:rsid w:val="00D35B49"/>
    <w:rsid w:val="00D35F6F"/>
    <w:rsid w:val="00D35FC9"/>
    <w:rsid w:val="00D362BD"/>
    <w:rsid w:val="00D36583"/>
    <w:rsid w:val="00D37B04"/>
    <w:rsid w:val="00D37F00"/>
    <w:rsid w:val="00D40E27"/>
    <w:rsid w:val="00D40FC0"/>
    <w:rsid w:val="00D41091"/>
    <w:rsid w:val="00D4158D"/>
    <w:rsid w:val="00D41DE5"/>
    <w:rsid w:val="00D42228"/>
    <w:rsid w:val="00D42D1B"/>
    <w:rsid w:val="00D44484"/>
    <w:rsid w:val="00D44E7C"/>
    <w:rsid w:val="00D45021"/>
    <w:rsid w:val="00D45E69"/>
    <w:rsid w:val="00D46515"/>
    <w:rsid w:val="00D46AB1"/>
    <w:rsid w:val="00D46EF0"/>
    <w:rsid w:val="00D475C1"/>
    <w:rsid w:val="00D479A3"/>
    <w:rsid w:val="00D5036E"/>
    <w:rsid w:val="00D50C7D"/>
    <w:rsid w:val="00D50CB1"/>
    <w:rsid w:val="00D52073"/>
    <w:rsid w:val="00D5230C"/>
    <w:rsid w:val="00D52BF4"/>
    <w:rsid w:val="00D530C0"/>
    <w:rsid w:val="00D545F9"/>
    <w:rsid w:val="00D54D39"/>
    <w:rsid w:val="00D54DD6"/>
    <w:rsid w:val="00D55823"/>
    <w:rsid w:val="00D55836"/>
    <w:rsid w:val="00D559EB"/>
    <w:rsid w:val="00D56EC7"/>
    <w:rsid w:val="00D57A4E"/>
    <w:rsid w:val="00D603EA"/>
    <w:rsid w:val="00D6153E"/>
    <w:rsid w:val="00D615E8"/>
    <w:rsid w:val="00D617F3"/>
    <w:rsid w:val="00D6185D"/>
    <w:rsid w:val="00D61B5C"/>
    <w:rsid w:val="00D61F48"/>
    <w:rsid w:val="00D6264D"/>
    <w:rsid w:val="00D62A24"/>
    <w:rsid w:val="00D62B48"/>
    <w:rsid w:val="00D62D6E"/>
    <w:rsid w:val="00D631CF"/>
    <w:rsid w:val="00D64B5E"/>
    <w:rsid w:val="00D64BDF"/>
    <w:rsid w:val="00D65690"/>
    <w:rsid w:val="00D65FB8"/>
    <w:rsid w:val="00D663E9"/>
    <w:rsid w:val="00D67BEA"/>
    <w:rsid w:val="00D70A80"/>
    <w:rsid w:val="00D73996"/>
    <w:rsid w:val="00D73A79"/>
    <w:rsid w:val="00D7402C"/>
    <w:rsid w:val="00D74421"/>
    <w:rsid w:val="00D747AD"/>
    <w:rsid w:val="00D74CA9"/>
    <w:rsid w:val="00D76343"/>
    <w:rsid w:val="00D76355"/>
    <w:rsid w:val="00D763E9"/>
    <w:rsid w:val="00D76409"/>
    <w:rsid w:val="00D76759"/>
    <w:rsid w:val="00D773F3"/>
    <w:rsid w:val="00D77701"/>
    <w:rsid w:val="00D80D7C"/>
    <w:rsid w:val="00D81406"/>
    <w:rsid w:val="00D817FE"/>
    <w:rsid w:val="00D81B6B"/>
    <w:rsid w:val="00D81DF4"/>
    <w:rsid w:val="00D81E12"/>
    <w:rsid w:val="00D82249"/>
    <w:rsid w:val="00D82428"/>
    <w:rsid w:val="00D82697"/>
    <w:rsid w:val="00D834A6"/>
    <w:rsid w:val="00D84885"/>
    <w:rsid w:val="00D84DEF"/>
    <w:rsid w:val="00D859C2"/>
    <w:rsid w:val="00D864BB"/>
    <w:rsid w:val="00D86F13"/>
    <w:rsid w:val="00D871E7"/>
    <w:rsid w:val="00D8728A"/>
    <w:rsid w:val="00D87648"/>
    <w:rsid w:val="00D87755"/>
    <w:rsid w:val="00D879C4"/>
    <w:rsid w:val="00D87DCE"/>
    <w:rsid w:val="00D9011B"/>
    <w:rsid w:val="00D90A2B"/>
    <w:rsid w:val="00D91456"/>
    <w:rsid w:val="00D91928"/>
    <w:rsid w:val="00D91E05"/>
    <w:rsid w:val="00D91EB1"/>
    <w:rsid w:val="00D91F92"/>
    <w:rsid w:val="00D92DAC"/>
    <w:rsid w:val="00D93315"/>
    <w:rsid w:val="00D9376D"/>
    <w:rsid w:val="00D93990"/>
    <w:rsid w:val="00D93D1D"/>
    <w:rsid w:val="00D942E7"/>
    <w:rsid w:val="00D94454"/>
    <w:rsid w:val="00D94666"/>
    <w:rsid w:val="00D94EE3"/>
    <w:rsid w:val="00D9591E"/>
    <w:rsid w:val="00D9645B"/>
    <w:rsid w:val="00D97076"/>
    <w:rsid w:val="00DA0192"/>
    <w:rsid w:val="00DA0601"/>
    <w:rsid w:val="00DA11CC"/>
    <w:rsid w:val="00DA140A"/>
    <w:rsid w:val="00DA1813"/>
    <w:rsid w:val="00DA1C39"/>
    <w:rsid w:val="00DA1C3D"/>
    <w:rsid w:val="00DA235E"/>
    <w:rsid w:val="00DA2499"/>
    <w:rsid w:val="00DA256A"/>
    <w:rsid w:val="00DA2801"/>
    <w:rsid w:val="00DA2829"/>
    <w:rsid w:val="00DA2B14"/>
    <w:rsid w:val="00DA31C4"/>
    <w:rsid w:val="00DA3709"/>
    <w:rsid w:val="00DA3D7B"/>
    <w:rsid w:val="00DA40F0"/>
    <w:rsid w:val="00DA454A"/>
    <w:rsid w:val="00DA47C6"/>
    <w:rsid w:val="00DA5817"/>
    <w:rsid w:val="00DA650B"/>
    <w:rsid w:val="00DA66F2"/>
    <w:rsid w:val="00DA6A3D"/>
    <w:rsid w:val="00DA6D12"/>
    <w:rsid w:val="00DA7B9F"/>
    <w:rsid w:val="00DB012E"/>
    <w:rsid w:val="00DB1180"/>
    <w:rsid w:val="00DB13D9"/>
    <w:rsid w:val="00DB16C0"/>
    <w:rsid w:val="00DB23B1"/>
    <w:rsid w:val="00DB23C0"/>
    <w:rsid w:val="00DB26CA"/>
    <w:rsid w:val="00DB2A9A"/>
    <w:rsid w:val="00DB35EC"/>
    <w:rsid w:val="00DB39E4"/>
    <w:rsid w:val="00DB3C09"/>
    <w:rsid w:val="00DB3EC5"/>
    <w:rsid w:val="00DB433D"/>
    <w:rsid w:val="00DB4933"/>
    <w:rsid w:val="00DB4BD7"/>
    <w:rsid w:val="00DB4C4C"/>
    <w:rsid w:val="00DB4CB8"/>
    <w:rsid w:val="00DB4D20"/>
    <w:rsid w:val="00DB558D"/>
    <w:rsid w:val="00DB5E00"/>
    <w:rsid w:val="00DB630C"/>
    <w:rsid w:val="00DB656D"/>
    <w:rsid w:val="00DB6DDD"/>
    <w:rsid w:val="00DB6FF4"/>
    <w:rsid w:val="00DB74FE"/>
    <w:rsid w:val="00DB7685"/>
    <w:rsid w:val="00DB7B18"/>
    <w:rsid w:val="00DB7D4E"/>
    <w:rsid w:val="00DC0417"/>
    <w:rsid w:val="00DC04D3"/>
    <w:rsid w:val="00DC0A27"/>
    <w:rsid w:val="00DC1234"/>
    <w:rsid w:val="00DC2612"/>
    <w:rsid w:val="00DC2F9F"/>
    <w:rsid w:val="00DC31D6"/>
    <w:rsid w:val="00DC3691"/>
    <w:rsid w:val="00DC4078"/>
    <w:rsid w:val="00DC4459"/>
    <w:rsid w:val="00DC524D"/>
    <w:rsid w:val="00DC56AE"/>
    <w:rsid w:val="00DC6EEC"/>
    <w:rsid w:val="00DC719B"/>
    <w:rsid w:val="00DC7830"/>
    <w:rsid w:val="00DC78D9"/>
    <w:rsid w:val="00DC7CAC"/>
    <w:rsid w:val="00DC7E1F"/>
    <w:rsid w:val="00DD0034"/>
    <w:rsid w:val="00DD0C27"/>
    <w:rsid w:val="00DD0E6D"/>
    <w:rsid w:val="00DD1216"/>
    <w:rsid w:val="00DD129F"/>
    <w:rsid w:val="00DD1F5A"/>
    <w:rsid w:val="00DD2527"/>
    <w:rsid w:val="00DD259A"/>
    <w:rsid w:val="00DD2EAA"/>
    <w:rsid w:val="00DD2EFB"/>
    <w:rsid w:val="00DD3402"/>
    <w:rsid w:val="00DD384D"/>
    <w:rsid w:val="00DD4610"/>
    <w:rsid w:val="00DD49D1"/>
    <w:rsid w:val="00DD4A0C"/>
    <w:rsid w:val="00DD4ADD"/>
    <w:rsid w:val="00DD4BB2"/>
    <w:rsid w:val="00DD4C9D"/>
    <w:rsid w:val="00DD4D85"/>
    <w:rsid w:val="00DD68E4"/>
    <w:rsid w:val="00DD6EE8"/>
    <w:rsid w:val="00DD70A4"/>
    <w:rsid w:val="00DD783B"/>
    <w:rsid w:val="00DD7A5B"/>
    <w:rsid w:val="00DE01D9"/>
    <w:rsid w:val="00DE024E"/>
    <w:rsid w:val="00DE05B5"/>
    <w:rsid w:val="00DE1708"/>
    <w:rsid w:val="00DE17E4"/>
    <w:rsid w:val="00DE23D2"/>
    <w:rsid w:val="00DE28BF"/>
    <w:rsid w:val="00DE295B"/>
    <w:rsid w:val="00DE2CF4"/>
    <w:rsid w:val="00DE2E18"/>
    <w:rsid w:val="00DE4F75"/>
    <w:rsid w:val="00DE56AE"/>
    <w:rsid w:val="00DE59B5"/>
    <w:rsid w:val="00DE5B84"/>
    <w:rsid w:val="00DE6A84"/>
    <w:rsid w:val="00DE7D31"/>
    <w:rsid w:val="00DF02F8"/>
    <w:rsid w:val="00DF0F97"/>
    <w:rsid w:val="00DF10D0"/>
    <w:rsid w:val="00DF127D"/>
    <w:rsid w:val="00DF1B2B"/>
    <w:rsid w:val="00DF2186"/>
    <w:rsid w:val="00DF2A9E"/>
    <w:rsid w:val="00DF3BDA"/>
    <w:rsid w:val="00DF3C7F"/>
    <w:rsid w:val="00DF4279"/>
    <w:rsid w:val="00DF47B0"/>
    <w:rsid w:val="00DF4F14"/>
    <w:rsid w:val="00DF5368"/>
    <w:rsid w:val="00DF6034"/>
    <w:rsid w:val="00DF6BBE"/>
    <w:rsid w:val="00DF6F80"/>
    <w:rsid w:val="00DF71DA"/>
    <w:rsid w:val="00DF7364"/>
    <w:rsid w:val="00DF7409"/>
    <w:rsid w:val="00DF771D"/>
    <w:rsid w:val="00DF7826"/>
    <w:rsid w:val="00DF7C0E"/>
    <w:rsid w:val="00E0016F"/>
    <w:rsid w:val="00E004DC"/>
    <w:rsid w:val="00E0072F"/>
    <w:rsid w:val="00E00D44"/>
    <w:rsid w:val="00E019AF"/>
    <w:rsid w:val="00E022F5"/>
    <w:rsid w:val="00E02B6D"/>
    <w:rsid w:val="00E031D5"/>
    <w:rsid w:val="00E03EBA"/>
    <w:rsid w:val="00E040BA"/>
    <w:rsid w:val="00E04A61"/>
    <w:rsid w:val="00E04FD5"/>
    <w:rsid w:val="00E054FC"/>
    <w:rsid w:val="00E055E0"/>
    <w:rsid w:val="00E06DE8"/>
    <w:rsid w:val="00E079A5"/>
    <w:rsid w:val="00E07C6D"/>
    <w:rsid w:val="00E106CA"/>
    <w:rsid w:val="00E11433"/>
    <w:rsid w:val="00E11AE7"/>
    <w:rsid w:val="00E1257A"/>
    <w:rsid w:val="00E12CF7"/>
    <w:rsid w:val="00E1305E"/>
    <w:rsid w:val="00E14E18"/>
    <w:rsid w:val="00E15097"/>
    <w:rsid w:val="00E1595F"/>
    <w:rsid w:val="00E15ACB"/>
    <w:rsid w:val="00E15CB0"/>
    <w:rsid w:val="00E16739"/>
    <w:rsid w:val="00E16A86"/>
    <w:rsid w:val="00E16E05"/>
    <w:rsid w:val="00E200AE"/>
    <w:rsid w:val="00E20265"/>
    <w:rsid w:val="00E207FF"/>
    <w:rsid w:val="00E20C8D"/>
    <w:rsid w:val="00E2136C"/>
    <w:rsid w:val="00E224E5"/>
    <w:rsid w:val="00E22A5F"/>
    <w:rsid w:val="00E22D4F"/>
    <w:rsid w:val="00E22D91"/>
    <w:rsid w:val="00E24156"/>
    <w:rsid w:val="00E2474F"/>
    <w:rsid w:val="00E24C27"/>
    <w:rsid w:val="00E24C61"/>
    <w:rsid w:val="00E24E6A"/>
    <w:rsid w:val="00E25471"/>
    <w:rsid w:val="00E254EE"/>
    <w:rsid w:val="00E256F9"/>
    <w:rsid w:val="00E25864"/>
    <w:rsid w:val="00E26333"/>
    <w:rsid w:val="00E2707F"/>
    <w:rsid w:val="00E31663"/>
    <w:rsid w:val="00E31CE0"/>
    <w:rsid w:val="00E334E8"/>
    <w:rsid w:val="00E33F56"/>
    <w:rsid w:val="00E33FEF"/>
    <w:rsid w:val="00E340C6"/>
    <w:rsid w:val="00E34302"/>
    <w:rsid w:val="00E3487F"/>
    <w:rsid w:val="00E34886"/>
    <w:rsid w:val="00E349BD"/>
    <w:rsid w:val="00E349FB"/>
    <w:rsid w:val="00E35285"/>
    <w:rsid w:val="00E35E3E"/>
    <w:rsid w:val="00E36345"/>
    <w:rsid w:val="00E37776"/>
    <w:rsid w:val="00E378A2"/>
    <w:rsid w:val="00E378C0"/>
    <w:rsid w:val="00E408B8"/>
    <w:rsid w:val="00E40F9C"/>
    <w:rsid w:val="00E415D0"/>
    <w:rsid w:val="00E4310E"/>
    <w:rsid w:val="00E43986"/>
    <w:rsid w:val="00E44E5B"/>
    <w:rsid w:val="00E45876"/>
    <w:rsid w:val="00E4592A"/>
    <w:rsid w:val="00E45E5B"/>
    <w:rsid w:val="00E45E9A"/>
    <w:rsid w:val="00E463B8"/>
    <w:rsid w:val="00E4655F"/>
    <w:rsid w:val="00E46911"/>
    <w:rsid w:val="00E46A20"/>
    <w:rsid w:val="00E47340"/>
    <w:rsid w:val="00E506AA"/>
    <w:rsid w:val="00E506F3"/>
    <w:rsid w:val="00E50E4F"/>
    <w:rsid w:val="00E514D8"/>
    <w:rsid w:val="00E51D47"/>
    <w:rsid w:val="00E520AC"/>
    <w:rsid w:val="00E527ED"/>
    <w:rsid w:val="00E53650"/>
    <w:rsid w:val="00E53D70"/>
    <w:rsid w:val="00E546B8"/>
    <w:rsid w:val="00E54DC4"/>
    <w:rsid w:val="00E551D2"/>
    <w:rsid w:val="00E552E3"/>
    <w:rsid w:val="00E5579C"/>
    <w:rsid w:val="00E55831"/>
    <w:rsid w:val="00E55E6B"/>
    <w:rsid w:val="00E56196"/>
    <w:rsid w:val="00E563AB"/>
    <w:rsid w:val="00E57553"/>
    <w:rsid w:val="00E575FC"/>
    <w:rsid w:val="00E5774A"/>
    <w:rsid w:val="00E60289"/>
    <w:rsid w:val="00E602C9"/>
    <w:rsid w:val="00E603B1"/>
    <w:rsid w:val="00E60A40"/>
    <w:rsid w:val="00E60EF4"/>
    <w:rsid w:val="00E60F99"/>
    <w:rsid w:val="00E61326"/>
    <w:rsid w:val="00E61736"/>
    <w:rsid w:val="00E617C3"/>
    <w:rsid w:val="00E617F4"/>
    <w:rsid w:val="00E6244A"/>
    <w:rsid w:val="00E63015"/>
    <w:rsid w:val="00E63146"/>
    <w:rsid w:val="00E636E3"/>
    <w:rsid w:val="00E63FB5"/>
    <w:rsid w:val="00E64B93"/>
    <w:rsid w:val="00E64E6D"/>
    <w:rsid w:val="00E65460"/>
    <w:rsid w:val="00E659E7"/>
    <w:rsid w:val="00E67B1F"/>
    <w:rsid w:val="00E714ED"/>
    <w:rsid w:val="00E71539"/>
    <w:rsid w:val="00E71AB0"/>
    <w:rsid w:val="00E72C8A"/>
    <w:rsid w:val="00E73E68"/>
    <w:rsid w:val="00E74B56"/>
    <w:rsid w:val="00E74CCC"/>
    <w:rsid w:val="00E753DD"/>
    <w:rsid w:val="00E7647F"/>
    <w:rsid w:val="00E764FA"/>
    <w:rsid w:val="00E76A81"/>
    <w:rsid w:val="00E77337"/>
    <w:rsid w:val="00E80624"/>
    <w:rsid w:val="00E80F94"/>
    <w:rsid w:val="00E8241C"/>
    <w:rsid w:val="00E82C63"/>
    <w:rsid w:val="00E84172"/>
    <w:rsid w:val="00E84296"/>
    <w:rsid w:val="00E8468F"/>
    <w:rsid w:val="00E84789"/>
    <w:rsid w:val="00E84A58"/>
    <w:rsid w:val="00E8581B"/>
    <w:rsid w:val="00E85D34"/>
    <w:rsid w:val="00E86133"/>
    <w:rsid w:val="00E86455"/>
    <w:rsid w:val="00E8689F"/>
    <w:rsid w:val="00E8707E"/>
    <w:rsid w:val="00E878BC"/>
    <w:rsid w:val="00E900B8"/>
    <w:rsid w:val="00E90898"/>
    <w:rsid w:val="00E915C7"/>
    <w:rsid w:val="00E915CB"/>
    <w:rsid w:val="00E9179F"/>
    <w:rsid w:val="00E91D98"/>
    <w:rsid w:val="00E929C8"/>
    <w:rsid w:val="00E93433"/>
    <w:rsid w:val="00E9423B"/>
    <w:rsid w:val="00E9448E"/>
    <w:rsid w:val="00E94519"/>
    <w:rsid w:val="00E94E96"/>
    <w:rsid w:val="00E94F72"/>
    <w:rsid w:val="00E9505E"/>
    <w:rsid w:val="00E9532F"/>
    <w:rsid w:val="00E95896"/>
    <w:rsid w:val="00E9678D"/>
    <w:rsid w:val="00E9717D"/>
    <w:rsid w:val="00E9724F"/>
    <w:rsid w:val="00E972BE"/>
    <w:rsid w:val="00E97A96"/>
    <w:rsid w:val="00E97E3B"/>
    <w:rsid w:val="00E97F00"/>
    <w:rsid w:val="00EA07A4"/>
    <w:rsid w:val="00EA0AD4"/>
    <w:rsid w:val="00EA0CCE"/>
    <w:rsid w:val="00EA1052"/>
    <w:rsid w:val="00EA1589"/>
    <w:rsid w:val="00EA2277"/>
    <w:rsid w:val="00EA2719"/>
    <w:rsid w:val="00EA2A13"/>
    <w:rsid w:val="00EA2F37"/>
    <w:rsid w:val="00EA4C78"/>
    <w:rsid w:val="00EA51E2"/>
    <w:rsid w:val="00EA5504"/>
    <w:rsid w:val="00EA5697"/>
    <w:rsid w:val="00EA56DC"/>
    <w:rsid w:val="00EA5952"/>
    <w:rsid w:val="00EA59C5"/>
    <w:rsid w:val="00EA6737"/>
    <w:rsid w:val="00EA6999"/>
    <w:rsid w:val="00EA778C"/>
    <w:rsid w:val="00EB29D0"/>
    <w:rsid w:val="00EB2E47"/>
    <w:rsid w:val="00EB360C"/>
    <w:rsid w:val="00EB368D"/>
    <w:rsid w:val="00EB393F"/>
    <w:rsid w:val="00EB3DCE"/>
    <w:rsid w:val="00EB4007"/>
    <w:rsid w:val="00EB4612"/>
    <w:rsid w:val="00EB4E05"/>
    <w:rsid w:val="00EB577E"/>
    <w:rsid w:val="00EB61C8"/>
    <w:rsid w:val="00EB6240"/>
    <w:rsid w:val="00EB655D"/>
    <w:rsid w:val="00EB6697"/>
    <w:rsid w:val="00EB6E4E"/>
    <w:rsid w:val="00EB75BF"/>
    <w:rsid w:val="00EC03E7"/>
    <w:rsid w:val="00EC0AC0"/>
    <w:rsid w:val="00EC18AD"/>
    <w:rsid w:val="00EC1985"/>
    <w:rsid w:val="00EC22F0"/>
    <w:rsid w:val="00EC249B"/>
    <w:rsid w:val="00EC4560"/>
    <w:rsid w:val="00EC517D"/>
    <w:rsid w:val="00EC5B86"/>
    <w:rsid w:val="00EC5BDA"/>
    <w:rsid w:val="00EC6958"/>
    <w:rsid w:val="00EC6DF4"/>
    <w:rsid w:val="00EC7B24"/>
    <w:rsid w:val="00EC7B75"/>
    <w:rsid w:val="00EC7F7F"/>
    <w:rsid w:val="00ED002E"/>
    <w:rsid w:val="00ED03BE"/>
    <w:rsid w:val="00ED0615"/>
    <w:rsid w:val="00ED0B60"/>
    <w:rsid w:val="00ED12A2"/>
    <w:rsid w:val="00ED24FB"/>
    <w:rsid w:val="00ED2C95"/>
    <w:rsid w:val="00ED3937"/>
    <w:rsid w:val="00ED3D91"/>
    <w:rsid w:val="00ED544A"/>
    <w:rsid w:val="00ED5897"/>
    <w:rsid w:val="00ED5B55"/>
    <w:rsid w:val="00ED60F8"/>
    <w:rsid w:val="00ED62F2"/>
    <w:rsid w:val="00ED6772"/>
    <w:rsid w:val="00ED7372"/>
    <w:rsid w:val="00ED7936"/>
    <w:rsid w:val="00ED7A45"/>
    <w:rsid w:val="00EE0627"/>
    <w:rsid w:val="00EE149D"/>
    <w:rsid w:val="00EE17D6"/>
    <w:rsid w:val="00EE2314"/>
    <w:rsid w:val="00EE296D"/>
    <w:rsid w:val="00EE2A25"/>
    <w:rsid w:val="00EE374E"/>
    <w:rsid w:val="00EE37AB"/>
    <w:rsid w:val="00EE3BD7"/>
    <w:rsid w:val="00EE435B"/>
    <w:rsid w:val="00EE4F3E"/>
    <w:rsid w:val="00EE60B8"/>
    <w:rsid w:val="00EE66A0"/>
    <w:rsid w:val="00EE7725"/>
    <w:rsid w:val="00EF0E59"/>
    <w:rsid w:val="00EF184D"/>
    <w:rsid w:val="00EF1CCC"/>
    <w:rsid w:val="00EF1EBB"/>
    <w:rsid w:val="00EF2998"/>
    <w:rsid w:val="00EF3228"/>
    <w:rsid w:val="00EF3761"/>
    <w:rsid w:val="00EF396C"/>
    <w:rsid w:val="00EF3D80"/>
    <w:rsid w:val="00EF3F0D"/>
    <w:rsid w:val="00EF4B5B"/>
    <w:rsid w:val="00EF4E11"/>
    <w:rsid w:val="00EF4FFD"/>
    <w:rsid w:val="00EF59A9"/>
    <w:rsid w:val="00EF5E05"/>
    <w:rsid w:val="00EF60C2"/>
    <w:rsid w:val="00EF6804"/>
    <w:rsid w:val="00EF6930"/>
    <w:rsid w:val="00F0038F"/>
    <w:rsid w:val="00F02F08"/>
    <w:rsid w:val="00F03908"/>
    <w:rsid w:val="00F03E2E"/>
    <w:rsid w:val="00F05D1C"/>
    <w:rsid w:val="00F06A81"/>
    <w:rsid w:val="00F06C9B"/>
    <w:rsid w:val="00F07B83"/>
    <w:rsid w:val="00F07E52"/>
    <w:rsid w:val="00F101CB"/>
    <w:rsid w:val="00F109D6"/>
    <w:rsid w:val="00F11436"/>
    <w:rsid w:val="00F11728"/>
    <w:rsid w:val="00F12191"/>
    <w:rsid w:val="00F12EF3"/>
    <w:rsid w:val="00F136F1"/>
    <w:rsid w:val="00F1431E"/>
    <w:rsid w:val="00F146EB"/>
    <w:rsid w:val="00F1684C"/>
    <w:rsid w:val="00F16C2C"/>
    <w:rsid w:val="00F1721B"/>
    <w:rsid w:val="00F17E62"/>
    <w:rsid w:val="00F2094B"/>
    <w:rsid w:val="00F2151E"/>
    <w:rsid w:val="00F21A2E"/>
    <w:rsid w:val="00F223EC"/>
    <w:rsid w:val="00F22AAD"/>
    <w:rsid w:val="00F22AB5"/>
    <w:rsid w:val="00F22C59"/>
    <w:rsid w:val="00F22F02"/>
    <w:rsid w:val="00F238D0"/>
    <w:rsid w:val="00F24A83"/>
    <w:rsid w:val="00F25916"/>
    <w:rsid w:val="00F2596A"/>
    <w:rsid w:val="00F30606"/>
    <w:rsid w:val="00F31721"/>
    <w:rsid w:val="00F317ED"/>
    <w:rsid w:val="00F3190F"/>
    <w:rsid w:val="00F319CA"/>
    <w:rsid w:val="00F32822"/>
    <w:rsid w:val="00F32859"/>
    <w:rsid w:val="00F32ECB"/>
    <w:rsid w:val="00F335E9"/>
    <w:rsid w:val="00F339CE"/>
    <w:rsid w:val="00F33A0A"/>
    <w:rsid w:val="00F343D9"/>
    <w:rsid w:val="00F34713"/>
    <w:rsid w:val="00F34775"/>
    <w:rsid w:val="00F34AD2"/>
    <w:rsid w:val="00F353EF"/>
    <w:rsid w:val="00F35DEF"/>
    <w:rsid w:val="00F36798"/>
    <w:rsid w:val="00F370A7"/>
    <w:rsid w:val="00F3797D"/>
    <w:rsid w:val="00F37991"/>
    <w:rsid w:val="00F37E55"/>
    <w:rsid w:val="00F37EFC"/>
    <w:rsid w:val="00F40302"/>
    <w:rsid w:val="00F405B0"/>
    <w:rsid w:val="00F40F85"/>
    <w:rsid w:val="00F41313"/>
    <w:rsid w:val="00F41751"/>
    <w:rsid w:val="00F41FA5"/>
    <w:rsid w:val="00F42DB3"/>
    <w:rsid w:val="00F430A1"/>
    <w:rsid w:val="00F43222"/>
    <w:rsid w:val="00F43FFA"/>
    <w:rsid w:val="00F4449A"/>
    <w:rsid w:val="00F44B02"/>
    <w:rsid w:val="00F450E4"/>
    <w:rsid w:val="00F459FD"/>
    <w:rsid w:val="00F46750"/>
    <w:rsid w:val="00F46C75"/>
    <w:rsid w:val="00F46E7E"/>
    <w:rsid w:val="00F5004C"/>
    <w:rsid w:val="00F5072F"/>
    <w:rsid w:val="00F50AB3"/>
    <w:rsid w:val="00F51138"/>
    <w:rsid w:val="00F51305"/>
    <w:rsid w:val="00F516B8"/>
    <w:rsid w:val="00F520FD"/>
    <w:rsid w:val="00F52799"/>
    <w:rsid w:val="00F528E2"/>
    <w:rsid w:val="00F52EDB"/>
    <w:rsid w:val="00F5308B"/>
    <w:rsid w:val="00F53ADF"/>
    <w:rsid w:val="00F53F16"/>
    <w:rsid w:val="00F54BFE"/>
    <w:rsid w:val="00F54FE3"/>
    <w:rsid w:val="00F553CE"/>
    <w:rsid w:val="00F55AC4"/>
    <w:rsid w:val="00F5644B"/>
    <w:rsid w:val="00F56584"/>
    <w:rsid w:val="00F567AB"/>
    <w:rsid w:val="00F56B4F"/>
    <w:rsid w:val="00F572B4"/>
    <w:rsid w:val="00F57A07"/>
    <w:rsid w:val="00F61877"/>
    <w:rsid w:val="00F61AD3"/>
    <w:rsid w:val="00F6235F"/>
    <w:rsid w:val="00F6266A"/>
    <w:rsid w:val="00F627B6"/>
    <w:rsid w:val="00F63ABA"/>
    <w:rsid w:val="00F63DFC"/>
    <w:rsid w:val="00F6427F"/>
    <w:rsid w:val="00F6440F"/>
    <w:rsid w:val="00F64638"/>
    <w:rsid w:val="00F64F86"/>
    <w:rsid w:val="00F650D2"/>
    <w:rsid w:val="00F65375"/>
    <w:rsid w:val="00F656F1"/>
    <w:rsid w:val="00F66049"/>
    <w:rsid w:val="00F66254"/>
    <w:rsid w:val="00F66279"/>
    <w:rsid w:val="00F663A2"/>
    <w:rsid w:val="00F66BB4"/>
    <w:rsid w:val="00F70186"/>
    <w:rsid w:val="00F70854"/>
    <w:rsid w:val="00F70993"/>
    <w:rsid w:val="00F714A7"/>
    <w:rsid w:val="00F71BD4"/>
    <w:rsid w:val="00F72305"/>
    <w:rsid w:val="00F7273F"/>
    <w:rsid w:val="00F733CB"/>
    <w:rsid w:val="00F735CE"/>
    <w:rsid w:val="00F736AB"/>
    <w:rsid w:val="00F74904"/>
    <w:rsid w:val="00F75143"/>
    <w:rsid w:val="00F75344"/>
    <w:rsid w:val="00F75402"/>
    <w:rsid w:val="00F757CD"/>
    <w:rsid w:val="00F75D9A"/>
    <w:rsid w:val="00F76262"/>
    <w:rsid w:val="00F7639C"/>
    <w:rsid w:val="00F76D18"/>
    <w:rsid w:val="00F76F72"/>
    <w:rsid w:val="00F7731F"/>
    <w:rsid w:val="00F778A1"/>
    <w:rsid w:val="00F808FE"/>
    <w:rsid w:val="00F80E47"/>
    <w:rsid w:val="00F824C4"/>
    <w:rsid w:val="00F82618"/>
    <w:rsid w:val="00F82D38"/>
    <w:rsid w:val="00F834A5"/>
    <w:rsid w:val="00F837F3"/>
    <w:rsid w:val="00F8383D"/>
    <w:rsid w:val="00F83ABA"/>
    <w:rsid w:val="00F83B73"/>
    <w:rsid w:val="00F8429D"/>
    <w:rsid w:val="00F84E43"/>
    <w:rsid w:val="00F865D0"/>
    <w:rsid w:val="00F869C2"/>
    <w:rsid w:val="00F86ABE"/>
    <w:rsid w:val="00F86B7B"/>
    <w:rsid w:val="00F86E46"/>
    <w:rsid w:val="00F8771F"/>
    <w:rsid w:val="00F87EAD"/>
    <w:rsid w:val="00F90C3C"/>
    <w:rsid w:val="00F913A2"/>
    <w:rsid w:val="00F92694"/>
    <w:rsid w:val="00F93273"/>
    <w:rsid w:val="00F934A9"/>
    <w:rsid w:val="00F935B4"/>
    <w:rsid w:val="00F93846"/>
    <w:rsid w:val="00F93A69"/>
    <w:rsid w:val="00F93D15"/>
    <w:rsid w:val="00F93F18"/>
    <w:rsid w:val="00F94023"/>
    <w:rsid w:val="00F940F9"/>
    <w:rsid w:val="00F9467D"/>
    <w:rsid w:val="00F94DE8"/>
    <w:rsid w:val="00F94FD7"/>
    <w:rsid w:val="00F95810"/>
    <w:rsid w:val="00F95D93"/>
    <w:rsid w:val="00F9689C"/>
    <w:rsid w:val="00F971C7"/>
    <w:rsid w:val="00F97265"/>
    <w:rsid w:val="00F97268"/>
    <w:rsid w:val="00F975CD"/>
    <w:rsid w:val="00F97B0D"/>
    <w:rsid w:val="00F97BF0"/>
    <w:rsid w:val="00FA0716"/>
    <w:rsid w:val="00FA08DD"/>
    <w:rsid w:val="00FA0A71"/>
    <w:rsid w:val="00FA1D53"/>
    <w:rsid w:val="00FA2712"/>
    <w:rsid w:val="00FA2C9C"/>
    <w:rsid w:val="00FA2E01"/>
    <w:rsid w:val="00FA2EAA"/>
    <w:rsid w:val="00FA37E5"/>
    <w:rsid w:val="00FA3AB1"/>
    <w:rsid w:val="00FA430B"/>
    <w:rsid w:val="00FA48E8"/>
    <w:rsid w:val="00FA6992"/>
    <w:rsid w:val="00FA6B11"/>
    <w:rsid w:val="00FA6C7F"/>
    <w:rsid w:val="00FA747F"/>
    <w:rsid w:val="00FA7D8B"/>
    <w:rsid w:val="00FA7E20"/>
    <w:rsid w:val="00FB0355"/>
    <w:rsid w:val="00FB2C2B"/>
    <w:rsid w:val="00FB2C50"/>
    <w:rsid w:val="00FB2E55"/>
    <w:rsid w:val="00FB3941"/>
    <w:rsid w:val="00FB3DEC"/>
    <w:rsid w:val="00FB3E00"/>
    <w:rsid w:val="00FB46BB"/>
    <w:rsid w:val="00FB4BE9"/>
    <w:rsid w:val="00FB57F9"/>
    <w:rsid w:val="00FB6151"/>
    <w:rsid w:val="00FB61FE"/>
    <w:rsid w:val="00FB6817"/>
    <w:rsid w:val="00FB6A9F"/>
    <w:rsid w:val="00FB7F34"/>
    <w:rsid w:val="00FC038C"/>
    <w:rsid w:val="00FC2BEB"/>
    <w:rsid w:val="00FC2DB9"/>
    <w:rsid w:val="00FC3CEF"/>
    <w:rsid w:val="00FC41DC"/>
    <w:rsid w:val="00FC420C"/>
    <w:rsid w:val="00FC4542"/>
    <w:rsid w:val="00FC4DB1"/>
    <w:rsid w:val="00FC4FB8"/>
    <w:rsid w:val="00FC6564"/>
    <w:rsid w:val="00FC6CBA"/>
    <w:rsid w:val="00FC6D88"/>
    <w:rsid w:val="00FC75C9"/>
    <w:rsid w:val="00FC7A0D"/>
    <w:rsid w:val="00FC7EFF"/>
    <w:rsid w:val="00FD121C"/>
    <w:rsid w:val="00FD1CDA"/>
    <w:rsid w:val="00FD241A"/>
    <w:rsid w:val="00FD2537"/>
    <w:rsid w:val="00FD3713"/>
    <w:rsid w:val="00FD5381"/>
    <w:rsid w:val="00FD67AA"/>
    <w:rsid w:val="00FD6B64"/>
    <w:rsid w:val="00FD6BAD"/>
    <w:rsid w:val="00FD7842"/>
    <w:rsid w:val="00FD7BEB"/>
    <w:rsid w:val="00FD7C3F"/>
    <w:rsid w:val="00FE00B6"/>
    <w:rsid w:val="00FE024B"/>
    <w:rsid w:val="00FE0E84"/>
    <w:rsid w:val="00FE0F20"/>
    <w:rsid w:val="00FE14B1"/>
    <w:rsid w:val="00FE2592"/>
    <w:rsid w:val="00FE3D6E"/>
    <w:rsid w:val="00FE579A"/>
    <w:rsid w:val="00FE5C5C"/>
    <w:rsid w:val="00FE5C76"/>
    <w:rsid w:val="00FE6103"/>
    <w:rsid w:val="00FE67FD"/>
    <w:rsid w:val="00FE6F3B"/>
    <w:rsid w:val="00FE7000"/>
    <w:rsid w:val="00FE7C9D"/>
    <w:rsid w:val="00FF1F9C"/>
    <w:rsid w:val="00FF2203"/>
    <w:rsid w:val="00FF255D"/>
    <w:rsid w:val="00FF27A7"/>
    <w:rsid w:val="00FF2B64"/>
    <w:rsid w:val="00FF2C55"/>
    <w:rsid w:val="00FF3885"/>
    <w:rsid w:val="00FF39E7"/>
    <w:rsid w:val="00FF3BB3"/>
    <w:rsid w:val="00FF4216"/>
    <w:rsid w:val="00FF4E4D"/>
    <w:rsid w:val="00FF625D"/>
    <w:rsid w:val="00FF7938"/>
    <w:rsid w:val="03823D0B"/>
    <w:rsid w:val="18AE651E"/>
    <w:rsid w:val="43F95DD5"/>
    <w:rsid w:val="660456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B68"/>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uiPriority w:val="9"/>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unhideWhenUsed/>
    <w:qFormat/>
    <w:rsid w:val="007715DE"/>
    <w:pPr>
      <w:keepNext/>
      <w:keepLines/>
      <w:spacing w:before="40" w:after="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aliases w:val="Body,Bullet + line,b,b + line,b1,level 1"/>
    <w:basedOn w:val="Normal"/>
    <w:link w:val="BulletChar"/>
    <w:autoRedefine/>
    <w:qFormat/>
    <w:rsid w:val="003230EF"/>
    <w:pPr>
      <w:numPr>
        <w:numId w:val="1"/>
      </w:numPr>
      <w:tabs>
        <w:tab w:val="left" w:pos="720"/>
      </w:tabs>
      <w:spacing w:before="0" w:line="276" w:lineRule="auto"/>
    </w:pPr>
  </w:style>
  <w:style w:type="character" w:customStyle="1" w:styleId="BulletChar">
    <w:name w:val="Bullet Char"/>
    <w:aliases w:val="Body Char,Bulleted Para Char,Bullets Char,FooterText Char,L Char,List Paragraph Char,List Paragraph1 Char,List Paragraph11 Char,List Paragraph2 Char,Number Char,Recommendation Char,b + line Char,b + line Char Char,b Char,b Char Char,b1 Char"/>
    <w:basedOn w:val="DefaultParagraphFont"/>
    <w:link w:val="Bullet"/>
    <w:qFormat/>
    <w:rsid w:val="003230EF"/>
    <w:rPr>
      <w:rFonts w:ascii="Calibri Light" w:eastAsia="Times New Roman" w:hAnsi="Calibri Light" w:cs="Times New Roman"/>
      <w:szCs w:val="20"/>
      <w:lang w:eastAsia="en-AU"/>
    </w:rPr>
  </w:style>
  <w:style w:type="paragraph" w:customStyle="1" w:styleId="Dash">
    <w:name w:val="Dash"/>
    <w:basedOn w:val="Normal"/>
    <w:link w:val="DashChar"/>
    <w:qFormat/>
    <w:rsid w:val="006728C2"/>
    <w:pPr>
      <w:numPr>
        <w:ilvl w:val="1"/>
        <w:numId w:val="1"/>
      </w:numPr>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1"/>
      </w:numPr>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22"/>
      </w:numPr>
      <w:spacing w:before="0"/>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6"/>
      </w:numPr>
    </w:pPr>
  </w:style>
  <w:style w:type="paragraph" w:customStyle="1" w:styleId="Boxdash">
    <w:name w:val="Box dash"/>
    <w:basedOn w:val="Dash"/>
    <w:rsid w:val="00F02F08"/>
    <w:pPr>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left" w:pos="567"/>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7"/>
      </w:numPr>
    </w:pPr>
  </w:style>
  <w:style w:type="paragraph" w:customStyle="1" w:styleId="ChartandTableFootnoteAlpha">
    <w:name w:val="Chart and Table Footnote Alpha"/>
    <w:rsid w:val="00F02F08"/>
    <w:pPr>
      <w:numPr>
        <w:numId w:val="32"/>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1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35"/>
      </w:numPr>
    </w:pPr>
  </w:style>
  <w:style w:type="paragraph" w:customStyle="1" w:styleId="Heading2Numbered">
    <w:name w:val="Heading 2 Numbered"/>
    <w:basedOn w:val="Heading2"/>
    <w:next w:val="Normal"/>
    <w:rsid w:val="00F02F08"/>
    <w:pPr>
      <w:numPr>
        <w:ilvl w:val="1"/>
        <w:numId w:val="35"/>
      </w:numPr>
    </w:pPr>
  </w:style>
  <w:style w:type="paragraph" w:customStyle="1" w:styleId="Heading3Numbered">
    <w:name w:val="Heading 3 Numbered"/>
    <w:basedOn w:val="Heading3"/>
    <w:rsid w:val="00F02F08"/>
    <w:pPr>
      <w:numPr>
        <w:ilvl w:val="2"/>
        <w:numId w:val="35"/>
      </w:numPr>
    </w:pPr>
  </w:style>
  <w:style w:type="character" w:customStyle="1" w:styleId="Heading4Char">
    <w:name w:val="Heading 4 Char"/>
    <w:basedOn w:val="DefaultParagraphFont"/>
    <w:link w:val="Heading4"/>
    <w:uiPriority w:val="9"/>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17"/>
      </w:numPr>
    </w:pPr>
  </w:style>
  <w:style w:type="paragraph" w:customStyle="1" w:styleId="OutlineNumbered1">
    <w:name w:val="Outline Numbered 1"/>
    <w:basedOn w:val="Normal"/>
    <w:link w:val="OutlineNumbered1Char"/>
    <w:rsid w:val="00F02F08"/>
    <w:pPr>
      <w:numPr>
        <w:numId w:val="18"/>
      </w:numPr>
      <w:spacing w:before="0"/>
    </w:pPr>
  </w:style>
  <w:style w:type="paragraph" w:customStyle="1" w:styleId="OutlineNumbered2">
    <w:name w:val="Outline Numbered 2"/>
    <w:basedOn w:val="Normal"/>
    <w:rsid w:val="00F02F08"/>
    <w:pPr>
      <w:numPr>
        <w:ilvl w:val="1"/>
        <w:numId w:val="18"/>
      </w:numPr>
      <w:spacing w:before="0"/>
    </w:pPr>
  </w:style>
  <w:style w:type="paragraph" w:customStyle="1" w:styleId="OutlineNumbered3">
    <w:name w:val="Outline Numbered 3"/>
    <w:basedOn w:val="Normal"/>
    <w:rsid w:val="00F02F08"/>
    <w:pPr>
      <w:numPr>
        <w:ilvl w:val="2"/>
        <w:numId w:val="18"/>
      </w:numPr>
      <w:spacing w:before="0"/>
    </w:pPr>
  </w:style>
  <w:style w:type="numbering" w:customStyle="1" w:styleId="OutlineList">
    <w:name w:val="OutlineList"/>
    <w:uiPriority w:val="99"/>
    <w:rsid w:val="00F02F08"/>
    <w:pPr>
      <w:numPr>
        <w:numId w:val="21"/>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EE37AB"/>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customStyle="1" w:styleId="UnresolvedMention">
    <w:name w:val="Unresolved Mention"/>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paragraph" w:styleId="NoSpacing">
    <w:name w:val="No Spacing"/>
    <w:uiPriority w:val="1"/>
    <w:qFormat/>
    <w:rsid w:val="007715DE"/>
    <w:pPr>
      <w:spacing w:after="0" w:line="240" w:lineRule="auto"/>
    </w:pPr>
    <w:rPr>
      <w:rFonts w:ascii="Calibri Light" w:eastAsia="Times New Roman" w:hAnsi="Calibri Light" w:cs="Times New Roman"/>
      <w:szCs w:val="20"/>
      <w:lang w:eastAsia="en-AU"/>
    </w:rPr>
  </w:style>
  <w:style w:type="character" w:customStyle="1" w:styleId="Heading7Char">
    <w:name w:val="Heading 7 Char"/>
    <w:basedOn w:val="DefaultParagraphFont"/>
    <w:link w:val="Heading7"/>
    <w:uiPriority w:val="9"/>
    <w:rsid w:val="007715DE"/>
    <w:rPr>
      <w:rFonts w:asciiTheme="majorHAnsi" w:eastAsiaTheme="majorEastAsia" w:hAnsiTheme="majorHAnsi" w:cstheme="majorBidi"/>
      <w:i/>
      <w:iCs/>
      <w:color w:val="161B24" w:themeColor="accent1" w:themeShade="7F"/>
      <w:szCs w:val="20"/>
      <w:lang w:eastAsia="en-AU"/>
    </w:rPr>
  </w:style>
  <w:style w:type="character" w:customStyle="1" w:styleId="OutlineNumbered1Char">
    <w:name w:val="Outline Numbered 1 Char"/>
    <w:basedOn w:val="DashChar"/>
    <w:link w:val="OutlineNumbered1"/>
    <w:rsid w:val="008E6D88"/>
    <w:rPr>
      <w:rFonts w:ascii="Calibri Light" w:eastAsia="Times New Roman" w:hAnsi="Calibri Light" w:cs="Times New Roman"/>
      <w:szCs w:val="20"/>
      <w:lang w:eastAsia="en-AU"/>
    </w:rPr>
  </w:style>
  <w:style w:type="paragraph" w:styleId="TOC4">
    <w:name w:val="toc 4"/>
    <w:basedOn w:val="Normal"/>
    <w:next w:val="Normal"/>
    <w:autoRedefine/>
    <w:uiPriority w:val="39"/>
    <w:unhideWhenUsed/>
    <w:rsid w:val="00CA30E9"/>
    <w:pPr>
      <w:spacing w:after="100"/>
      <w:ind w:left="660"/>
    </w:pPr>
  </w:style>
  <w:style w:type="paragraph" w:customStyle="1" w:styleId="BulletList">
    <w:name w:val="Bullet List"/>
    <w:qFormat/>
    <w:rsid w:val="006B0259"/>
    <w:pPr>
      <w:numPr>
        <w:numId w:val="46"/>
      </w:numPr>
      <w:spacing w:after="0" w:line="240" w:lineRule="auto"/>
    </w:pPr>
    <w:rPr>
      <w:rFonts w:ascii="Century Gothic" w:eastAsia="TimesNewRomanPSMT" w:hAnsi="Century Gothic" w:cs="TimesNewRomanPSMT"/>
      <w:color w:val="000000"/>
      <w:sz w:val="20"/>
      <w:szCs w:val="19"/>
      <w:lang w:val="en-GB"/>
    </w:rPr>
  </w:style>
  <w:style w:type="paragraph" w:customStyle="1" w:styleId="Bullet1">
    <w:name w:val="Bullet 1"/>
    <w:basedOn w:val="BulletList"/>
    <w:qFormat/>
    <w:rsid w:val="006B0259"/>
    <w:pPr>
      <w:spacing w:after="200"/>
      <w:ind w:left="284" w:hanging="284"/>
    </w:pPr>
    <w:rPr>
      <w:lang w:val="en-AU"/>
    </w:rPr>
  </w:style>
  <w:style w:type="paragraph" w:customStyle="1" w:styleId="paragraph">
    <w:name w:val="paragraph"/>
    <w:basedOn w:val="Normal"/>
    <w:rsid w:val="005D487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D4871"/>
  </w:style>
  <w:style w:type="character" w:customStyle="1" w:styleId="eop">
    <w:name w:val="eop"/>
    <w:basedOn w:val="DefaultParagraphFont"/>
    <w:rsid w:val="005D4871"/>
  </w:style>
  <w:style w:type="paragraph" w:styleId="Revision">
    <w:name w:val="Revision"/>
    <w:hidden/>
    <w:uiPriority w:val="99"/>
    <w:semiHidden/>
    <w:rsid w:val="00825340"/>
    <w:pPr>
      <w:spacing w:after="0" w:line="240" w:lineRule="auto"/>
    </w:pPr>
    <w:rPr>
      <w:rFonts w:ascii="Calibri Light" w:eastAsia="Times New Roman" w:hAnsi="Calibri Light" w:cs="Times New Roman"/>
      <w:szCs w:val="20"/>
      <w:lang w:eastAsia="en-AU"/>
    </w:rPr>
  </w:style>
  <w:style w:type="character" w:customStyle="1" w:styleId="UnresolvedMention1">
    <w:name w:val="Unresolved Mention1"/>
    <w:basedOn w:val="DefaultParagraphFont"/>
    <w:uiPriority w:val="99"/>
    <w:semiHidden/>
    <w:unhideWhenUsed/>
    <w:rsid w:val="003F0D21"/>
    <w:rPr>
      <w:color w:val="605E5C"/>
      <w:shd w:val="clear" w:color="auto" w:fill="E1DFDD"/>
    </w:rPr>
  </w:style>
  <w:style w:type="paragraph" w:customStyle="1" w:styleId="h2">
    <w:name w:val="h2"/>
    <w:basedOn w:val="Normal"/>
    <w:rsid w:val="003F0D21"/>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3F0D21"/>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C63539"/>
    <w:pPr>
      <w:spacing w:before="0" w:after="200"/>
    </w:pPr>
    <w:rPr>
      <w:i/>
      <w:iCs/>
      <w:color w:val="5F5F5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8326">
      <w:bodyDiv w:val="1"/>
      <w:marLeft w:val="0"/>
      <w:marRight w:val="0"/>
      <w:marTop w:val="0"/>
      <w:marBottom w:val="0"/>
      <w:divBdr>
        <w:top w:val="none" w:sz="0" w:space="0" w:color="auto"/>
        <w:left w:val="none" w:sz="0" w:space="0" w:color="auto"/>
        <w:bottom w:val="none" w:sz="0" w:space="0" w:color="auto"/>
        <w:right w:val="none" w:sz="0" w:space="0" w:color="auto"/>
      </w:divBdr>
    </w:div>
    <w:div w:id="296223114">
      <w:bodyDiv w:val="1"/>
      <w:marLeft w:val="0"/>
      <w:marRight w:val="0"/>
      <w:marTop w:val="0"/>
      <w:marBottom w:val="0"/>
      <w:divBdr>
        <w:top w:val="none" w:sz="0" w:space="0" w:color="auto"/>
        <w:left w:val="none" w:sz="0" w:space="0" w:color="auto"/>
        <w:bottom w:val="none" w:sz="0" w:space="0" w:color="auto"/>
        <w:right w:val="none" w:sz="0" w:space="0" w:color="auto"/>
      </w:divBdr>
      <w:divsChild>
        <w:div w:id="200873059">
          <w:marLeft w:val="0"/>
          <w:marRight w:val="0"/>
          <w:marTop w:val="0"/>
          <w:marBottom w:val="0"/>
          <w:divBdr>
            <w:top w:val="none" w:sz="0" w:space="0" w:color="auto"/>
            <w:left w:val="none" w:sz="0" w:space="0" w:color="auto"/>
            <w:bottom w:val="none" w:sz="0" w:space="0" w:color="auto"/>
            <w:right w:val="none" w:sz="0" w:space="0" w:color="auto"/>
          </w:divBdr>
          <w:divsChild>
            <w:div w:id="1066414781">
              <w:marLeft w:val="0"/>
              <w:marRight w:val="0"/>
              <w:marTop w:val="0"/>
              <w:marBottom w:val="0"/>
              <w:divBdr>
                <w:top w:val="none" w:sz="0" w:space="0" w:color="auto"/>
                <w:left w:val="none" w:sz="0" w:space="0" w:color="auto"/>
                <w:bottom w:val="none" w:sz="0" w:space="0" w:color="auto"/>
                <w:right w:val="none" w:sz="0" w:space="0" w:color="auto"/>
              </w:divBdr>
            </w:div>
          </w:divsChild>
        </w:div>
        <w:div w:id="214238029">
          <w:marLeft w:val="0"/>
          <w:marRight w:val="0"/>
          <w:marTop w:val="0"/>
          <w:marBottom w:val="0"/>
          <w:divBdr>
            <w:top w:val="none" w:sz="0" w:space="0" w:color="auto"/>
            <w:left w:val="none" w:sz="0" w:space="0" w:color="auto"/>
            <w:bottom w:val="none" w:sz="0" w:space="0" w:color="auto"/>
            <w:right w:val="none" w:sz="0" w:space="0" w:color="auto"/>
          </w:divBdr>
          <w:divsChild>
            <w:div w:id="493692230">
              <w:marLeft w:val="0"/>
              <w:marRight w:val="0"/>
              <w:marTop w:val="0"/>
              <w:marBottom w:val="0"/>
              <w:divBdr>
                <w:top w:val="none" w:sz="0" w:space="0" w:color="auto"/>
                <w:left w:val="none" w:sz="0" w:space="0" w:color="auto"/>
                <w:bottom w:val="none" w:sz="0" w:space="0" w:color="auto"/>
                <w:right w:val="none" w:sz="0" w:space="0" w:color="auto"/>
              </w:divBdr>
            </w:div>
          </w:divsChild>
        </w:div>
        <w:div w:id="250744634">
          <w:marLeft w:val="0"/>
          <w:marRight w:val="0"/>
          <w:marTop w:val="0"/>
          <w:marBottom w:val="0"/>
          <w:divBdr>
            <w:top w:val="none" w:sz="0" w:space="0" w:color="auto"/>
            <w:left w:val="none" w:sz="0" w:space="0" w:color="auto"/>
            <w:bottom w:val="none" w:sz="0" w:space="0" w:color="auto"/>
            <w:right w:val="none" w:sz="0" w:space="0" w:color="auto"/>
          </w:divBdr>
          <w:divsChild>
            <w:div w:id="2042972115">
              <w:marLeft w:val="0"/>
              <w:marRight w:val="0"/>
              <w:marTop w:val="0"/>
              <w:marBottom w:val="0"/>
              <w:divBdr>
                <w:top w:val="none" w:sz="0" w:space="0" w:color="auto"/>
                <w:left w:val="none" w:sz="0" w:space="0" w:color="auto"/>
                <w:bottom w:val="none" w:sz="0" w:space="0" w:color="auto"/>
                <w:right w:val="none" w:sz="0" w:space="0" w:color="auto"/>
              </w:divBdr>
            </w:div>
          </w:divsChild>
        </w:div>
        <w:div w:id="803041268">
          <w:marLeft w:val="0"/>
          <w:marRight w:val="0"/>
          <w:marTop w:val="0"/>
          <w:marBottom w:val="0"/>
          <w:divBdr>
            <w:top w:val="none" w:sz="0" w:space="0" w:color="auto"/>
            <w:left w:val="none" w:sz="0" w:space="0" w:color="auto"/>
            <w:bottom w:val="none" w:sz="0" w:space="0" w:color="auto"/>
            <w:right w:val="none" w:sz="0" w:space="0" w:color="auto"/>
          </w:divBdr>
          <w:divsChild>
            <w:div w:id="869879294">
              <w:marLeft w:val="0"/>
              <w:marRight w:val="0"/>
              <w:marTop w:val="0"/>
              <w:marBottom w:val="0"/>
              <w:divBdr>
                <w:top w:val="none" w:sz="0" w:space="0" w:color="auto"/>
                <w:left w:val="none" w:sz="0" w:space="0" w:color="auto"/>
                <w:bottom w:val="none" w:sz="0" w:space="0" w:color="auto"/>
                <w:right w:val="none" w:sz="0" w:space="0" w:color="auto"/>
              </w:divBdr>
            </w:div>
          </w:divsChild>
        </w:div>
        <w:div w:id="949508279">
          <w:marLeft w:val="0"/>
          <w:marRight w:val="0"/>
          <w:marTop w:val="0"/>
          <w:marBottom w:val="0"/>
          <w:divBdr>
            <w:top w:val="none" w:sz="0" w:space="0" w:color="auto"/>
            <w:left w:val="none" w:sz="0" w:space="0" w:color="auto"/>
            <w:bottom w:val="none" w:sz="0" w:space="0" w:color="auto"/>
            <w:right w:val="none" w:sz="0" w:space="0" w:color="auto"/>
          </w:divBdr>
          <w:divsChild>
            <w:div w:id="328943549">
              <w:marLeft w:val="0"/>
              <w:marRight w:val="0"/>
              <w:marTop w:val="0"/>
              <w:marBottom w:val="0"/>
              <w:divBdr>
                <w:top w:val="none" w:sz="0" w:space="0" w:color="auto"/>
                <w:left w:val="none" w:sz="0" w:space="0" w:color="auto"/>
                <w:bottom w:val="none" w:sz="0" w:space="0" w:color="auto"/>
                <w:right w:val="none" w:sz="0" w:space="0" w:color="auto"/>
              </w:divBdr>
            </w:div>
          </w:divsChild>
        </w:div>
        <w:div w:id="1152066224">
          <w:marLeft w:val="0"/>
          <w:marRight w:val="0"/>
          <w:marTop w:val="0"/>
          <w:marBottom w:val="0"/>
          <w:divBdr>
            <w:top w:val="none" w:sz="0" w:space="0" w:color="auto"/>
            <w:left w:val="none" w:sz="0" w:space="0" w:color="auto"/>
            <w:bottom w:val="none" w:sz="0" w:space="0" w:color="auto"/>
            <w:right w:val="none" w:sz="0" w:space="0" w:color="auto"/>
          </w:divBdr>
          <w:divsChild>
            <w:div w:id="1264339668">
              <w:marLeft w:val="0"/>
              <w:marRight w:val="0"/>
              <w:marTop w:val="0"/>
              <w:marBottom w:val="0"/>
              <w:divBdr>
                <w:top w:val="none" w:sz="0" w:space="0" w:color="auto"/>
                <w:left w:val="none" w:sz="0" w:space="0" w:color="auto"/>
                <w:bottom w:val="none" w:sz="0" w:space="0" w:color="auto"/>
                <w:right w:val="none" w:sz="0" w:space="0" w:color="auto"/>
              </w:divBdr>
            </w:div>
          </w:divsChild>
        </w:div>
        <w:div w:id="1232496946">
          <w:marLeft w:val="0"/>
          <w:marRight w:val="0"/>
          <w:marTop w:val="0"/>
          <w:marBottom w:val="0"/>
          <w:divBdr>
            <w:top w:val="none" w:sz="0" w:space="0" w:color="auto"/>
            <w:left w:val="none" w:sz="0" w:space="0" w:color="auto"/>
            <w:bottom w:val="none" w:sz="0" w:space="0" w:color="auto"/>
            <w:right w:val="none" w:sz="0" w:space="0" w:color="auto"/>
          </w:divBdr>
          <w:divsChild>
            <w:div w:id="153955233">
              <w:marLeft w:val="0"/>
              <w:marRight w:val="0"/>
              <w:marTop w:val="0"/>
              <w:marBottom w:val="0"/>
              <w:divBdr>
                <w:top w:val="none" w:sz="0" w:space="0" w:color="auto"/>
                <w:left w:val="none" w:sz="0" w:space="0" w:color="auto"/>
                <w:bottom w:val="none" w:sz="0" w:space="0" w:color="auto"/>
                <w:right w:val="none" w:sz="0" w:space="0" w:color="auto"/>
              </w:divBdr>
            </w:div>
          </w:divsChild>
        </w:div>
        <w:div w:id="1604337577">
          <w:marLeft w:val="0"/>
          <w:marRight w:val="0"/>
          <w:marTop w:val="0"/>
          <w:marBottom w:val="0"/>
          <w:divBdr>
            <w:top w:val="none" w:sz="0" w:space="0" w:color="auto"/>
            <w:left w:val="none" w:sz="0" w:space="0" w:color="auto"/>
            <w:bottom w:val="none" w:sz="0" w:space="0" w:color="auto"/>
            <w:right w:val="none" w:sz="0" w:space="0" w:color="auto"/>
          </w:divBdr>
          <w:divsChild>
            <w:div w:id="1273590714">
              <w:marLeft w:val="0"/>
              <w:marRight w:val="0"/>
              <w:marTop w:val="0"/>
              <w:marBottom w:val="0"/>
              <w:divBdr>
                <w:top w:val="none" w:sz="0" w:space="0" w:color="auto"/>
                <w:left w:val="none" w:sz="0" w:space="0" w:color="auto"/>
                <w:bottom w:val="none" w:sz="0" w:space="0" w:color="auto"/>
                <w:right w:val="none" w:sz="0" w:space="0" w:color="auto"/>
              </w:divBdr>
            </w:div>
          </w:divsChild>
        </w:div>
        <w:div w:id="1903132618">
          <w:marLeft w:val="0"/>
          <w:marRight w:val="0"/>
          <w:marTop w:val="0"/>
          <w:marBottom w:val="0"/>
          <w:divBdr>
            <w:top w:val="none" w:sz="0" w:space="0" w:color="auto"/>
            <w:left w:val="none" w:sz="0" w:space="0" w:color="auto"/>
            <w:bottom w:val="none" w:sz="0" w:space="0" w:color="auto"/>
            <w:right w:val="none" w:sz="0" w:space="0" w:color="auto"/>
          </w:divBdr>
          <w:divsChild>
            <w:div w:id="409084613">
              <w:marLeft w:val="0"/>
              <w:marRight w:val="0"/>
              <w:marTop w:val="0"/>
              <w:marBottom w:val="0"/>
              <w:divBdr>
                <w:top w:val="none" w:sz="0" w:space="0" w:color="auto"/>
                <w:left w:val="none" w:sz="0" w:space="0" w:color="auto"/>
                <w:bottom w:val="none" w:sz="0" w:space="0" w:color="auto"/>
                <w:right w:val="none" w:sz="0" w:space="0" w:color="auto"/>
              </w:divBdr>
            </w:div>
          </w:divsChild>
        </w:div>
        <w:div w:id="2070180050">
          <w:marLeft w:val="0"/>
          <w:marRight w:val="0"/>
          <w:marTop w:val="0"/>
          <w:marBottom w:val="0"/>
          <w:divBdr>
            <w:top w:val="none" w:sz="0" w:space="0" w:color="auto"/>
            <w:left w:val="none" w:sz="0" w:space="0" w:color="auto"/>
            <w:bottom w:val="none" w:sz="0" w:space="0" w:color="auto"/>
            <w:right w:val="none" w:sz="0" w:space="0" w:color="auto"/>
          </w:divBdr>
          <w:divsChild>
            <w:div w:id="8616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402918078">
      <w:bodyDiv w:val="1"/>
      <w:marLeft w:val="0"/>
      <w:marRight w:val="0"/>
      <w:marTop w:val="0"/>
      <w:marBottom w:val="0"/>
      <w:divBdr>
        <w:top w:val="none" w:sz="0" w:space="0" w:color="auto"/>
        <w:left w:val="none" w:sz="0" w:space="0" w:color="auto"/>
        <w:bottom w:val="none" w:sz="0" w:space="0" w:color="auto"/>
        <w:right w:val="none" w:sz="0" w:space="0" w:color="auto"/>
      </w:divBdr>
    </w:div>
    <w:div w:id="430928365">
      <w:bodyDiv w:val="1"/>
      <w:marLeft w:val="0"/>
      <w:marRight w:val="0"/>
      <w:marTop w:val="0"/>
      <w:marBottom w:val="0"/>
      <w:divBdr>
        <w:top w:val="none" w:sz="0" w:space="0" w:color="auto"/>
        <w:left w:val="none" w:sz="0" w:space="0" w:color="auto"/>
        <w:bottom w:val="none" w:sz="0" w:space="0" w:color="auto"/>
        <w:right w:val="none" w:sz="0" w:space="0" w:color="auto"/>
      </w:divBdr>
    </w:div>
    <w:div w:id="472136106">
      <w:bodyDiv w:val="1"/>
      <w:marLeft w:val="0"/>
      <w:marRight w:val="0"/>
      <w:marTop w:val="0"/>
      <w:marBottom w:val="0"/>
      <w:divBdr>
        <w:top w:val="none" w:sz="0" w:space="0" w:color="auto"/>
        <w:left w:val="none" w:sz="0" w:space="0" w:color="auto"/>
        <w:bottom w:val="none" w:sz="0" w:space="0" w:color="auto"/>
        <w:right w:val="none" w:sz="0" w:space="0" w:color="auto"/>
      </w:divBdr>
    </w:div>
    <w:div w:id="600916687">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724715290">
      <w:bodyDiv w:val="1"/>
      <w:marLeft w:val="0"/>
      <w:marRight w:val="0"/>
      <w:marTop w:val="0"/>
      <w:marBottom w:val="0"/>
      <w:divBdr>
        <w:top w:val="none" w:sz="0" w:space="0" w:color="auto"/>
        <w:left w:val="none" w:sz="0" w:space="0" w:color="auto"/>
        <w:bottom w:val="none" w:sz="0" w:space="0" w:color="auto"/>
        <w:right w:val="none" w:sz="0" w:space="0" w:color="auto"/>
      </w:divBdr>
    </w:div>
    <w:div w:id="761417951">
      <w:bodyDiv w:val="1"/>
      <w:marLeft w:val="0"/>
      <w:marRight w:val="0"/>
      <w:marTop w:val="0"/>
      <w:marBottom w:val="0"/>
      <w:divBdr>
        <w:top w:val="none" w:sz="0" w:space="0" w:color="auto"/>
        <w:left w:val="none" w:sz="0" w:space="0" w:color="auto"/>
        <w:bottom w:val="none" w:sz="0" w:space="0" w:color="auto"/>
        <w:right w:val="none" w:sz="0" w:space="0" w:color="auto"/>
      </w:divBdr>
    </w:div>
    <w:div w:id="1206523737">
      <w:bodyDiv w:val="1"/>
      <w:marLeft w:val="0"/>
      <w:marRight w:val="0"/>
      <w:marTop w:val="0"/>
      <w:marBottom w:val="0"/>
      <w:divBdr>
        <w:top w:val="none" w:sz="0" w:space="0" w:color="auto"/>
        <w:left w:val="none" w:sz="0" w:space="0" w:color="auto"/>
        <w:bottom w:val="none" w:sz="0" w:space="0" w:color="auto"/>
        <w:right w:val="none" w:sz="0" w:space="0" w:color="auto"/>
      </w:divBdr>
    </w:div>
    <w:div w:id="1246691634">
      <w:bodyDiv w:val="1"/>
      <w:marLeft w:val="0"/>
      <w:marRight w:val="0"/>
      <w:marTop w:val="0"/>
      <w:marBottom w:val="0"/>
      <w:divBdr>
        <w:top w:val="none" w:sz="0" w:space="0" w:color="auto"/>
        <w:left w:val="none" w:sz="0" w:space="0" w:color="auto"/>
        <w:bottom w:val="none" w:sz="0" w:space="0" w:color="auto"/>
        <w:right w:val="none" w:sz="0" w:space="0" w:color="auto"/>
      </w:divBdr>
    </w:div>
    <w:div w:id="1274627863">
      <w:bodyDiv w:val="1"/>
      <w:marLeft w:val="0"/>
      <w:marRight w:val="0"/>
      <w:marTop w:val="0"/>
      <w:marBottom w:val="0"/>
      <w:divBdr>
        <w:top w:val="none" w:sz="0" w:space="0" w:color="auto"/>
        <w:left w:val="none" w:sz="0" w:space="0" w:color="auto"/>
        <w:bottom w:val="none" w:sz="0" w:space="0" w:color="auto"/>
        <w:right w:val="none" w:sz="0" w:space="0" w:color="auto"/>
      </w:divBdr>
    </w:div>
    <w:div w:id="1411464999">
      <w:bodyDiv w:val="1"/>
      <w:marLeft w:val="0"/>
      <w:marRight w:val="0"/>
      <w:marTop w:val="0"/>
      <w:marBottom w:val="0"/>
      <w:divBdr>
        <w:top w:val="none" w:sz="0" w:space="0" w:color="auto"/>
        <w:left w:val="none" w:sz="0" w:space="0" w:color="auto"/>
        <w:bottom w:val="none" w:sz="0" w:space="0" w:color="auto"/>
        <w:right w:val="none" w:sz="0" w:space="0" w:color="auto"/>
      </w:divBdr>
    </w:div>
    <w:div w:id="1549150651">
      <w:bodyDiv w:val="1"/>
      <w:marLeft w:val="0"/>
      <w:marRight w:val="0"/>
      <w:marTop w:val="0"/>
      <w:marBottom w:val="0"/>
      <w:divBdr>
        <w:top w:val="none" w:sz="0" w:space="0" w:color="auto"/>
        <w:left w:val="none" w:sz="0" w:space="0" w:color="auto"/>
        <w:bottom w:val="none" w:sz="0" w:space="0" w:color="auto"/>
        <w:right w:val="none" w:sz="0" w:space="0" w:color="auto"/>
      </w:divBdr>
    </w:div>
    <w:div w:id="1585188028">
      <w:bodyDiv w:val="1"/>
      <w:marLeft w:val="0"/>
      <w:marRight w:val="0"/>
      <w:marTop w:val="0"/>
      <w:marBottom w:val="0"/>
      <w:divBdr>
        <w:top w:val="none" w:sz="0" w:space="0" w:color="auto"/>
        <w:left w:val="none" w:sz="0" w:space="0" w:color="auto"/>
        <w:bottom w:val="none" w:sz="0" w:space="0" w:color="auto"/>
        <w:right w:val="none" w:sz="0" w:space="0" w:color="auto"/>
      </w:divBdr>
    </w:div>
    <w:div w:id="1607156137">
      <w:bodyDiv w:val="1"/>
      <w:marLeft w:val="0"/>
      <w:marRight w:val="0"/>
      <w:marTop w:val="0"/>
      <w:marBottom w:val="0"/>
      <w:divBdr>
        <w:top w:val="none" w:sz="0" w:space="0" w:color="auto"/>
        <w:left w:val="none" w:sz="0" w:space="0" w:color="auto"/>
        <w:bottom w:val="none" w:sz="0" w:space="0" w:color="auto"/>
        <w:right w:val="none" w:sz="0" w:space="0" w:color="auto"/>
      </w:divBdr>
    </w:div>
    <w:div w:id="1609922256">
      <w:bodyDiv w:val="1"/>
      <w:marLeft w:val="0"/>
      <w:marRight w:val="0"/>
      <w:marTop w:val="0"/>
      <w:marBottom w:val="0"/>
      <w:divBdr>
        <w:top w:val="none" w:sz="0" w:space="0" w:color="auto"/>
        <w:left w:val="none" w:sz="0" w:space="0" w:color="auto"/>
        <w:bottom w:val="none" w:sz="0" w:space="0" w:color="auto"/>
        <w:right w:val="none" w:sz="0" w:space="0" w:color="auto"/>
      </w:divBdr>
    </w:div>
    <w:div w:id="1663073794">
      <w:bodyDiv w:val="1"/>
      <w:marLeft w:val="0"/>
      <w:marRight w:val="0"/>
      <w:marTop w:val="0"/>
      <w:marBottom w:val="0"/>
      <w:divBdr>
        <w:top w:val="none" w:sz="0" w:space="0" w:color="auto"/>
        <w:left w:val="none" w:sz="0" w:space="0" w:color="auto"/>
        <w:bottom w:val="none" w:sz="0" w:space="0" w:color="auto"/>
        <w:right w:val="none" w:sz="0" w:space="0" w:color="auto"/>
      </w:divBdr>
    </w:div>
    <w:div w:id="1673337893">
      <w:bodyDiv w:val="1"/>
      <w:marLeft w:val="0"/>
      <w:marRight w:val="0"/>
      <w:marTop w:val="0"/>
      <w:marBottom w:val="0"/>
      <w:divBdr>
        <w:top w:val="none" w:sz="0" w:space="0" w:color="auto"/>
        <w:left w:val="none" w:sz="0" w:space="0" w:color="auto"/>
        <w:bottom w:val="none" w:sz="0" w:space="0" w:color="auto"/>
        <w:right w:val="none" w:sz="0" w:space="0" w:color="auto"/>
      </w:divBdr>
    </w:div>
    <w:div w:id="1689987279">
      <w:bodyDiv w:val="1"/>
      <w:marLeft w:val="0"/>
      <w:marRight w:val="0"/>
      <w:marTop w:val="0"/>
      <w:marBottom w:val="0"/>
      <w:divBdr>
        <w:top w:val="none" w:sz="0" w:space="0" w:color="auto"/>
        <w:left w:val="none" w:sz="0" w:space="0" w:color="auto"/>
        <w:bottom w:val="none" w:sz="0" w:space="0" w:color="auto"/>
        <w:right w:val="none" w:sz="0" w:space="0" w:color="auto"/>
      </w:divBdr>
    </w:div>
    <w:div w:id="1794979798">
      <w:bodyDiv w:val="1"/>
      <w:marLeft w:val="0"/>
      <w:marRight w:val="0"/>
      <w:marTop w:val="0"/>
      <w:marBottom w:val="0"/>
      <w:divBdr>
        <w:top w:val="none" w:sz="0" w:space="0" w:color="auto"/>
        <w:left w:val="none" w:sz="0" w:space="0" w:color="auto"/>
        <w:bottom w:val="none" w:sz="0" w:space="0" w:color="auto"/>
        <w:right w:val="none" w:sz="0" w:space="0" w:color="auto"/>
      </w:divBdr>
    </w:div>
    <w:div w:id="19419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mc.gov.au/government/commonwealth-coat-arm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media@treasury.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5.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classic.austlii.edu.au/au/legis/cth/consol_act/itaa1936240/s121d.html" TargetMode="External"/><Relationship Id="rId2" Type="http://schemas.openxmlformats.org/officeDocument/2006/relationships/hyperlink" Target="https://parlinfo.aph.gov.au/parlInfo/download/media/pressrel/5051390/upload_binary/5051390.pdf;fileType=application%2Fpdf" TargetMode="External"/><Relationship Id="rId1" Type="http://schemas.openxmlformats.org/officeDocument/2006/relationships/hyperlink" Target="http://classic.austlii.edu.au/au/legis/cth/bill_em/tlab51987285/memo_0.html" TargetMode="External"/><Relationship Id="rId6" Type="http://schemas.openxmlformats.org/officeDocument/2006/relationships/hyperlink" Target="https://ministers.treasury.gov.au/ministers/josh-frydenberg-2018/media-releases/amending-australias-offshore-banking-unit-regime-0" TargetMode="External"/><Relationship Id="rId5" Type="http://schemas.openxmlformats.org/officeDocument/2006/relationships/hyperlink" Target="https://ministers.treasury.gov.au/ministers/josh-frydenberg-2018/media-releases/amending-australias-offshore-banking-unit-regime" TargetMode="External"/><Relationship Id="rId4" Type="http://schemas.openxmlformats.org/officeDocument/2006/relationships/hyperlink" Target="https://data.consilium.europa.eu/doc/document/ST-7441-2019-INIT/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AB63-133E-4EDC-97D3-4D533FB5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36134</CharactersWithSpaces>
  <SharedDoc>false</SharedDoc>
  <HLinks>
    <vt:vector size="180" baseType="variant">
      <vt:variant>
        <vt:i4>1441847</vt:i4>
      </vt:variant>
      <vt:variant>
        <vt:i4>125</vt:i4>
      </vt:variant>
      <vt:variant>
        <vt:i4>0</vt:i4>
      </vt:variant>
      <vt:variant>
        <vt:i4>5</vt:i4>
      </vt:variant>
      <vt:variant>
        <vt:lpwstr/>
      </vt:variant>
      <vt:variant>
        <vt:lpwstr>_Toc144804292</vt:lpwstr>
      </vt:variant>
      <vt:variant>
        <vt:i4>1441847</vt:i4>
      </vt:variant>
      <vt:variant>
        <vt:i4>119</vt:i4>
      </vt:variant>
      <vt:variant>
        <vt:i4>0</vt:i4>
      </vt:variant>
      <vt:variant>
        <vt:i4>5</vt:i4>
      </vt:variant>
      <vt:variant>
        <vt:lpwstr/>
      </vt:variant>
      <vt:variant>
        <vt:lpwstr>_Toc144804291</vt:lpwstr>
      </vt:variant>
      <vt:variant>
        <vt:i4>1441847</vt:i4>
      </vt:variant>
      <vt:variant>
        <vt:i4>113</vt:i4>
      </vt:variant>
      <vt:variant>
        <vt:i4>0</vt:i4>
      </vt:variant>
      <vt:variant>
        <vt:i4>5</vt:i4>
      </vt:variant>
      <vt:variant>
        <vt:lpwstr/>
      </vt:variant>
      <vt:variant>
        <vt:lpwstr>_Toc144804290</vt:lpwstr>
      </vt:variant>
      <vt:variant>
        <vt:i4>1507383</vt:i4>
      </vt:variant>
      <vt:variant>
        <vt:i4>107</vt:i4>
      </vt:variant>
      <vt:variant>
        <vt:i4>0</vt:i4>
      </vt:variant>
      <vt:variant>
        <vt:i4>5</vt:i4>
      </vt:variant>
      <vt:variant>
        <vt:lpwstr/>
      </vt:variant>
      <vt:variant>
        <vt:lpwstr>_Toc144804289</vt:lpwstr>
      </vt:variant>
      <vt:variant>
        <vt:i4>1507383</vt:i4>
      </vt:variant>
      <vt:variant>
        <vt:i4>101</vt:i4>
      </vt:variant>
      <vt:variant>
        <vt:i4>0</vt:i4>
      </vt:variant>
      <vt:variant>
        <vt:i4>5</vt:i4>
      </vt:variant>
      <vt:variant>
        <vt:lpwstr/>
      </vt:variant>
      <vt:variant>
        <vt:lpwstr>_Toc144804288</vt:lpwstr>
      </vt:variant>
      <vt:variant>
        <vt:i4>1507383</vt:i4>
      </vt:variant>
      <vt:variant>
        <vt:i4>95</vt:i4>
      </vt:variant>
      <vt:variant>
        <vt:i4>0</vt:i4>
      </vt:variant>
      <vt:variant>
        <vt:i4>5</vt:i4>
      </vt:variant>
      <vt:variant>
        <vt:lpwstr/>
      </vt:variant>
      <vt:variant>
        <vt:lpwstr>_Toc144804287</vt:lpwstr>
      </vt:variant>
      <vt:variant>
        <vt:i4>1507383</vt:i4>
      </vt:variant>
      <vt:variant>
        <vt:i4>89</vt:i4>
      </vt:variant>
      <vt:variant>
        <vt:i4>0</vt:i4>
      </vt:variant>
      <vt:variant>
        <vt:i4>5</vt:i4>
      </vt:variant>
      <vt:variant>
        <vt:lpwstr/>
      </vt:variant>
      <vt:variant>
        <vt:lpwstr>_Toc144804286</vt:lpwstr>
      </vt:variant>
      <vt:variant>
        <vt:i4>1507383</vt:i4>
      </vt:variant>
      <vt:variant>
        <vt:i4>83</vt:i4>
      </vt:variant>
      <vt:variant>
        <vt:i4>0</vt:i4>
      </vt:variant>
      <vt:variant>
        <vt:i4>5</vt:i4>
      </vt:variant>
      <vt:variant>
        <vt:lpwstr/>
      </vt:variant>
      <vt:variant>
        <vt:lpwstr>_Toc144804285</vt:lpwstr>
      </vt:variant>
      <vt:variant>
        <vt:i4>1507383</vt:i4>
      </vt:variant>
      <vt:variant>
        <vt:i4>77</vt:i4>
      </vt:variant>
      <vt:variant>
        <vt:i4>0</vt:i4>
      </vt:variant>
      <vt:variant>
        <vt:i4>5</vt:i4>
      </vt:variant>
      <vt:variant>
        <vt:lpwstr/>
      </vt:variant>
      <vt:variant>
        <vt:lpwstr>_Toc144804284</vt:lpwstr>
      </vt:variant>
      <vt:variant>
        <vt:i4>1507383</vt:i4>
      </vt:variant>
      <vt:variant>
        <vt:i4>71</vt:i4>
      </vt:variant>
      <vt:variant>
        <vt:i4>0</vt:i4>
      </vt:variant>
      <vt:variant>
        <vt:i4>5</vt:i4>
      </vt:variant>
      <vt:variant>
        <vt:lpwstr/>
      </vt:variant>
      <vt:variant>
        <vt:lpwstr>_Toc144804283</vt:lpwstr>
      </vt:variant>
      <vt:variant>
        <vt:i4>1507383</vt:i4>
      </vt:variant>
      <vt:variant>
        <vt:i4>65</vt:i4>
      </vt:variant>
      <vt:variant>
        <vt:i4>0</vt:i4>
      </vt:variant>
      <vt:variant>
        <vt:i4>5</vt:i4>
      </vt:variant>
      <vt:variant>
        <vt:lpwstr/>
      </vt:variant>
      <vt:variant>
        <vt:lpwstr>_Toc144804282</vt:lpwstr>
      </vt:variant>
      <vt:variant>
        <vt:i4>1507383</vt:i4>
      </vt:variant>
      <vt:variant>
        <vt:i4>59</vt:i4>
      </vt:variant>
      <vt:variant>
        <vt:i4>0</vt:i4>
      </vt:variant>
      <vt:variant>
        <vt:i4>5</vt:i4>
      </vt:variant>
      <vt:variant>
        <vt:lpwstr/>
      </vt:variant>
      <vt:variant>
        <vt:lpwstr>_Toc144804281</vt:lpwstr>
      </vt:variant>
      <vt:variant>
        <vt:i4>1507383</vt:i4>
      </vt:variant>
      <vt:variant>
        <vt:i4>53</vt:i4>
      </vt:variant>
      <vt:variant>
        <vt:i4>0</vt:i4>
      </vt:variant>
      <vt:variant>
        <vt:i4>5</vt:i4>
      </vt:variant>
      <vt:variant>
        <vt:lpwstr/>
      </vt:variant>
      <vt:variant>
        <vt:lpwstr>_Toc144804280</vt:lpwstr>
      </vt:variant>
      <vt:variant>
        <vt:i4>1572919</vt:i4>
      </vt:variant>
      <vt:variant>
        <vt:i4>47</vt:i4>
      </vt:variant>
      <vt:variant>
        <vt:i4>0</vt:i4>
      </vt:variant>
      <vt:variant>
        <vt:i4>5</vt:i4>
      </vt:variant>
      <vt:variant>
        <vt:lpwstr/>
      </vt:variant>
      <vt:variant>
        <vt:lpwstr>_Toc144804279</vt:lpwstr>
      </vt:variant>
      <vt:variant>
        <vt:i4>1572919</vt:i4>
      </vt:variant>
      <vt:variant>
        <vt:i4>41</vt:i4>
      </vt:variant>
      <vt:variant>
        <vt:i4>0</vt:i4>
      </vt:variant>
      <vt:variant>
        <vt:i4>5</vt:i4>
      </vt:variant>
      <vt:variant>
        <vt:lpwstr/>
      </vt:variant>
      <vt:variant>
        <vt:lpwstr>_Toc144804278</vt:lpwstr>
      </vt:variant>
      <vt:variant>
        <vt:i4>1572919</vt:i4>
      </vt:variant>
      <vt:variant>
        <vt:i4>35</vt:i4>
      </vt:variant>
      <vt:variant>
        <vt:i4>0</vt:i4>
      </vt:variant>
      <vt:variant>
        <vt:i4>5</vt:i4>
      </vt:variant>
      <vt:variant>
        <vt:lpwstr/>
      </vt:variant>
      <vt:variant>
        <vt:lpwstr>_Toc144804277</vt:lpwstr>
      </vt:variant>
      <vt:variant>
        <vt:i4>1572919</vt:i4>
      </vt:variant>
      <vt:variant>
        <vt:i4>29</vt:i4>
      </vt:variant>
      <vt:variant>
        <vt:i4>0</vt:i4>
      </vt:variant>
      <vt:variant>
        <vt:i4>5</vt:i4>
      </vt:variant>
      <vt:variant>
        <vt:lpwstr/>
      </vt:variant>
      <vt:variant>
        <vt:lpwstr>_Toc144804276</vt:lpwstr>
      </vt:variant>
      <vt:variant>
        <vt:i4>1572919</vt:i4>
      </vt:variant>
      <vt:variant>
        <vt:i4>23</vt:i4>
      </vt:variant>
      <vt:variant>
        <vt:i4>0</vt:i4>
      </vt:variant>
      <vt:variant>
        <vt:i4>5</vt:i4>
      </vt:variant>
      <vt:variant>
        <vt:lpwstr/>
      </vt:variant>
      <vt:variant>
        <vt:lpwstr>_Toc144804275</vt:lpwstr>
      </vt:variant>
      <vt:variant>
        <vt:i4>1572919</vt:i4>
      </vt:variant>
      <vt:variant>
        <vt:i4>17</vt:i4>
      </vt:variant>
      <vt:variant>
        <vt:i4>0</vt:i4>
      </vt:variant>
      <vt:variant>
        <vt:i4>5</vt:i4>
      </vt:variant>
      <vt:variant>
        <vt:lpwstr/>
      </vt:variant>
      <vt:variant>
        <vt:lpwstr>_Toc144804274</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8192104</vt:i4>
      </vt:variant>
      <vt:variant>
        <vt:i4>15</vt:i4>
      </vt:variant>
      <vt:variant>
        <vt:i4>0</vt:i4>
      </vt:variant>
      <vt:variant>
        <vt:i4>5</vt:i4>
      </vt:variant>
      <vt:variant>
        <vt:lpwstr>https://ministers.treasury.gov.au/ministers/josh-frydenberg-2018/media-releases/amending-australias-offshore-banking-unit-regime-0</vt:lpwstr>
      </vt:variant>
      <vt:variant>
        <vt:lpwstr/>
      </vt:variant>
      <vt:variant>
        <vt:i4>5046341</vt:i4>
      </vt:variant>
      <vt:variant>
        <vt:i4>12</vt:i4>
      </vt:variant>
      <vt:variant>
        <vt:i4>0</vt:i4>
      </vt:variant>
      <vt:variant>
        <vt:i4>5</vt:i4>
      </vt:variant>
      <vt:variant>
        <vt:lpwstr>https://ministers.treasury.gov.au/ministers/josh-frydenberg-2018/media-releases/amending-australias-offshore-banking-unit-regime</vt:lpwstr>
      </vt:variant>
      <vt:variant>
        <vt:lpwstr/>
      </vt:variant>
      <vt:variant>
        <vt:i4>6619246</vt:i4>
      </vt:variant>
      <vt:variant>
        <vt:i4>9</vt:i4>
      </vt:variant>
      <vt:variant>
        <vt:i4>0</vt:i4>
      </vt:variant>
      <vt:variant>
        <vt:i4>5</vt:i4>
      </vt:variant>
      <vt:variant>
        <vt:lpwstr>https://data.consilium.europa.eu/doc/document/ST-7441-2019-INIT/en/pdf</vt:lpwstr>
      </vt:variant>
      <vt:variant>
        <vt:lpwstr/>
      </vt:variant>
      <vt:variant>
        <vt:i4>3145811</vt:i4>
      </vt:variant>
      <vt:variant>
        <vt:i4>6</vt:i4>
      </vt:variant>
      <vt:variant>
        <vt:i4>0</vt:i4>
      </vt:variant>
      <vt:variant>
        <vt:i4>5</vt:i4>
      </vt:variant>
      <vt:variant>
        <vt:lpwstr>http://classic.austlii.edu.au/au/legis/cth/consol_act/itaa1936240/s121d.html</vt:lpwstr>
      </vt:variant>
      <vt:variant>
        <vt:lpwstr/>
      </vt:variant>
      <vt:variant>
        <vt:i4>2031738</vt:i4>
      </vt:variant>
      <vt:variant>
        <vt:i4>3</vt:i4>
      </vt:variant>
      <vt:variant>
        <vt:i4>0</vt:i4>
      </vt:variant>
      <vt:variant>
        <vt:i4>5</vt:i4>
      </vt:variant>
      <vt:variant>
        <vt:lpwstr>https://parlinfo.aph.gov.au/parlInfo/download/media/pressrel/5051390/upload_binary/5051390.pdf;fileType=application%2Fpdf</vt:lpwstr>
      </vt:variant>
      <vt:variant>
        <vt:lpwstr>search=%22media/pressrel/5051390%22</vt:lpwstr>
      </vt:variant>
      <vt:variant>
        <vt:i4>4980820</vt:i4>
      </vt:variant>
      <vt:variant>
        <vt:i4>0</vt:i4>
      </vt:variant>
      <vt:variant>
        <vt:i4>0</vt:i4>
      </vt:variant>
      <vt:variant>
        <vt:i4>5</vt:i4>
      </vt:variant>
      <vt:variant>
        <vt:lpwstr>http://classic.austlii.edu.au/au/legis/cth/bill_em/tlab51987285/memo_0.html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2024-07-04T23:48:00Z</dcterms:created>
  <dcterms:modified xsi:type="dcterms:W3CDTF">2024-07-04T23:48:00Z</dcterms:modified>
</cp:coreProperties>
</file>