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7B9EF" w14:textId="65A8BA99" w:rsidR="00E65399" w:rsidRDefault="00962543" w:rsidP="6C138010">
      <w:pPr>
        <w:pStyle w:val="Address"/>
        <w:rPr>
          <w:noProof/>
          <w:color w:val="auto"/>
        </w:rPr>
      </w:pPr>
      <w:r>
        <w:rPr>
          <w:noProof/>
          <w:color w:val="auto"/>
        </w:rPr>
        <w:t xml:space="preserve"> </w:t>
      </w:r>
      <w:bookmarkStart w:id="0" w:name="_GoBack"/>
      <w:bookmarkEnd w:id="0"/>
    </w:p>
    <w:p w14:paraId="19C07B4F" w14:textId="1E66B529" w:rsidR="009D387D" w:rsidRPr="009D387D" w:rsidRDefault="009D387D" w:rsidP="6C138010">
      <w:pPr>
        <w:pStyle w:val="Address"/>
        <w:rPr>
          <w:color w:val="auto"/>
        </w:rPr>
      </w:pPr>
      <w:r w:rsidRPr="009D387D">
        <w:rPr>
          <w:color w:val="auto"/>
        </w:rPr>
        <w:t xml:space="preserve">Joanna Abhayaratna </w:t>
      </w:r>
    </w:p>
    <w:p w14:paraId="2E2227CD" w14:textId="01758737" w:rsidR="00E65399" w:rsidRPr="00CC75AC" w:rsidRDefault="5229E453" w:rsidP="6C138010">
      <w:pPr>
        <w:pStyle w:val="Address"/>
        <w:rPr>
          <w:rFonts w:ascii="Calibri" w:eastAsia="Calibri" w:hAnsi="Calibri" w:cs="Calibri"/>
          <w:color w:val="auto"/>
          <w:sz w:val="22"/>
          <w:szCs w:val="22"/>
        </w:rPr>
      </w:pPr>
      <w:r w:rsidRPr="00CC75AC">
        <w:rPr>
          <w:color w:val="auto"/>
          <w:sz w:val="22"/>
          <w:szCs w:val="22"/>
        </w:rPr>
        <w:t>Executive Director</w:t>
      </w:r>
    </w:p>
    <w:p w14:paraId="0D6C8B1E" w14:textId="0EE6E45F" w:rsidR="00E65399" w:rsidRPr="00CC75AC" w:rsidRDefault="5229E453" w:rsidP="6C138010">
      <w:pPr>
        <w:pStyle w:val="Address"/>
        <w:rPr>
          <w:rFonts w:ascii="Calibri" w:eastAsia="Calibri" w:hAnsi="Calibri" w:cs="Calibri"/>
          <w:color w:val="auto"/>
          <w:sz w:val="22"/>
          <w:szCs w:val="22"/>
        </w:rPr>
      </w:pPr>
      <w:r w:rsidRPr="00CC75AC">
        <w:rPr>
          <w:color w:val="auto"/>
          <w:sz w:val="22"/>
          <w:szCs w:val="22"/>
        </w:rPr>
        <w:t>Office of Impact Analysis</w:t>
      </w:r>
    </w:p>
    <w:p w14:paraId="21B62430" w14:textId="4EE8D565" w:rsidR="00E65399" w:rsidRPr="00CC75AC" w:rsidRDefault="5229E453" w:rsidP="6C138010">
      <w:pPr>
        <w:pStyle w:val="Address"/>
        <w:rPr>
          <w:rFonts w:ascii="Calibri" w:eastAsia="Calibri" w:hAnsi="Calibri" w:cs="Calibri"/>
          <w:color w:val="auto"/>
          <w:sz w:val="22"/>
          <w:szCs w:val="22"/>
        </w:rPr>
      </w:pPr>
      <w:r w:rsidRPr="00CC75AC">
        <w:rPr>
          <w:color w:val="auto"/>
          <w:sz w:val="22"/>
          <w:szCs w:val="22"/>
        </w:rPr>
        <w:t>Department of the Prime Minister and Cabinet</w:t>
      </w:r>
    </w:p>
    <w:p w14:paraId="4FB4B03C" w14:textId="131486AA" w:rsidR="00E65399" w:rsidRPr="00CC75AC" w:rsidRDefault="5229E453" w:rsidP="6C138010">
      <w:pPr>
        <w:pStyle w:val="Address"/>
        <w:rPr>
          <w:rFonts w:ascii="Calibri" w:eastAsia="Calibri" w:hAnsi="Calibri" w:cs="Calibri"/>
          <w:color w:val="auto"/>
          <w:sz w:val="22"/>
          <w:szCs w:val="22"/>
        </w:rPr>
      </w:pPr>
      <w:r w:rsidRPr="00CC75AC">
        <w:rPr>
          <w:color w:val="auto"/>
          <w:sz w:val="22"/>
          <w:szCs w:val="22"/>
        </w:rPr>
        <w:t>1 National Circuit</w:t>
      </w:r>
    </w:p>
    <w:p w14:paraId="2E287C03" w14:textId="0BC66894" w:rsidR="00E65399" w:rsidRPr="00CC75AC" w:rsidRDefault="5229E453" w:rsidP="6C138010">
      <w:pPr>
        <w:pStyle w:val="Address"/>
        <w:rPr>
          <w:rFonts w:ascii="Calibri" w:eastAsia="Calibri" w:hAnsi="Calibri" w:cs="Calibri"/>
          <w:color w:val="auto"/>
          <w:sz w:val="22"/>
          <w:szCs w:val="22"/>
        </w:rPr>
      </w:pPr>
      <w:r w:rsidRPr="00CC75AC">
        <w:rPr>
          <w:color w:val="auto"/>
          <w:sz w:val="22"/>
          <w:szCs w:val="22"/>
        </w:rPr>
        <w:t>BARTON ACT 2600</w:t>
      </w:r>
    </w:p>
    <w:p w14:paraId="002B60CE" w14:textId="65E63702" w:rsidR="00E65399" w:rsidRDefault="5229E453" w:rsidP="006C2D13">
      <w:pPr>
        <w:pStyle w:val="Address"/>
        <w:rPr>
          <w:color w:val="auto"/>
          <w:sz w:val="22"/>
          <w:szCs w:val="22"/>
        </w:rPr>
      </w:pPr>
      <w:r w:rsidRPr="00CC75AC">
        <w:rPr>
          <w:color w:val="auto"/>
          <w:sz w:val="22"/>
          <w:szCs w:val="22"/>
        </w:rPr>
        <w:t xml:space="preserve">Email: </w:t>
      </w:r>
      <w:hyperlink r:id="rId8" w:history="1">
        <w:r w:rsidR="006C2D13" w:rsidRPr="006C2D13">
          <w:rPr>
            <w:color w:val="auto"/>
            <w:sz w:val="22"/>
            <w:szCs w:val="22"/>
          </w:rPr>
          <w:t>Joanna.Abhayaratna@pmc.gov.au</w:t>
        </w:r>
      </w:hyperlink>
    </w:p>
    <w:p w14:paraId="729131C6" w14:textId="77777777" w:rsidR="006C2D13" w:rsidRPr="006C2D13" w:rsidRDefault="006C2D13" w:rsidP="006C2D13">
      <w:pPr>
        <w:pStyle w:val="Address"/>
        <w:rPr>
          <w:color w:val="auto"/>
          <w:sz w:val="22"/>
          <w:szCs w:val="22"/>
        </w:rPr>
      </w:pPr>
    </w:p>
    <w:p w14:paraId="746DF144" w14:textId="13336C42" w:rsidR="00E65399" w:rsidRPr="00EC1A64" w:rsidRDefault="5229E453" w:rsidP="6C138010">
      <w:pPr>
        <w:rPr>
          <w:rFonts w:ascii="Calibri" w:eastAsia="Calibri" w:hAnsi="Calibri" w:cs="Calibri"/>
          <w:noProof/>
          <w:szCs w:val="22"/>
        </w:rPr>
      </w:pPr>
      <w:r w:rsidRPr="00EC1A64">
        <w:rPr>
          <w:noProof/>
        </w:rPr>
        <w:t xml:space="preserve">Dear </w:t>
      </w:r>
      <w:r w:rsidR="003628A4">
        <w:rPr>
          <w:noProof/>
        </w:rPr>
        <w:t>Joanna</w:t>
      </w:r>
    </w:p>
    <w:p w14:paraId="244BF4D7" w14:textId="1434B3B2" w:rsidR="00E65399" w:rsidRDefault="5229E453" w:rsidP="6C138010">
      <w:pPr>
        <w:keepNext/>
        <w:keepLines/>
        <w:rPr>
          <w:b/>
          <w:bCs/>
          <w:noProof/>
        </w:rPr>
      </w:pPr>
      <w:r w:rsidRPr="6C138010">
        <w:rPr>
          <w:b/>
          <w:bCs/>
          <w:noProof/>
        </w:rPr>
        <w:t xml:space="preserve">Certification as Impact Analysis Equivalent – </w:t>
      </w:r>
      <w:r w:rsidR="00317AD8" w:rsidRPr="00317AD8">
        <w:rPr>
          <w:b/>
          <w:bCs/>
          <w:noProof/>
        </w:rPr>
        <w:t xml:space="preserve">2023 </w:t>
      </w:r>
      <w:r w:rsidR="00C535EC">
        <w:rPr>
          <w:b/>
          <w:bCs/>
          <w:noProof/>
        </w:rPr>
        <w:t xml:space="preserve">Climate Change Authority </w:t>
      </w:r>
      <w:r w:rsidR="00317AD8" w:rsidRPr="00317AD8">
        <w:rPr>
          <w:b/>
          <w:bCs/>
          <w:noProof/>
        </w:rPr>
        <w:t>Review of</w:t>
      </w:r>
      <w:r w:rsidR="7179042D" w:rsidRPr="6C138010">
        <w:rPr>
          <w:b/>
          <w:bCs/>
          <w:noProof/>
        </w:rPr>
        <w:t xml:space="preserve"> the National Greenhouse and Energy Reporting</w:t>
      </w:r>
      <w:r w:rsidR="6B8BEB2F" w:rsidRPr="6C138010">
        <w:rPr>
          <w:b/>
          <w:bCs/>
          <w:noProof/>
        </w:rPr>
        <w:t xml:space="preserve"> </w:t>
      </w:r>
      <w:r w:rsidR="00317AD8" w:rsidRPr="00317AD8">
        <w:rPr>
          <w:b/>
          <w:bCs/>
          <w:noProof/>
        </w:rPr>
        <w:t>Legislation</w:t>
      </w:r>
    </w:p>
    <w:p w14:paraId="529C7E83" w14:textId="6D8C1EA5" w:rsidR="00703BFE" w:rsidRDefault="5229E453" w:rsidP="00732381">
      <w:pPr>
        <w:rPr>
          <w:noProof/>
        </w:rPr>
      </w:pPr>
      <w:r w:rsidRPr="6C138010">
        <w:rPr>
          <w:noProof/>
        </w:rPr>
        <w:t xml:space="preserve">I am writing to certify that the </w:t>
      </w:r>
      <w:r w:rsidR="27881A88" w:rsidRPr="6C138010">
        <w:rPr>
          <w:noProof/>
        </w:rPr>
        <w:t>independent</w:t>
      </w:r>
      <w:r w:rsidRPr="6C138010">
        <w:rPr>
          <w:noProof/>
        </w:rPr>
        <w:t xml:space="preserve"> review</w:t>
      </w:r>
      <w:r w:rsidR="166E0BDD" w:rsidRPr="6C138010">
        <w:rPr>
          <w:noProof/>
        </w:rPr>
        <w:t xml:space="preserve"> </w:t>
      </w:r>
      <w:r w:rsidR="0039706B">
        <w:rPr>
          <w:noProof/>
        </w:rPr>
        <w:t xml:space="preserve">by the Climate Change Authority </w:t>
      </w:r>
      <w:r w:rsidR="166E0BDD" w:rsidRPr="6C138010">
        <w:rPr>
          <w:noProof/>
        </w:rPr>
        <w:t>(</w:t>
      </w:r>
      <w:r w:rsidR="000C33A1" w:rsidRPr="00DD3914">
        <w:rPr>
          <w:b/>
          <w:bCs/>
          <w:noProof/>
          <w:u w:val="single"/>
        </w:rPr>
        <w:t>Attachment</w:t>
      </w:r>
      <w:r w:rsidR="000C33A1">
        <w:rPr>
          <w:b/>
          <w:bCs/>
          <w:noProof/>
          <w:u w:val="single"/>
        </w:rPr>
        <w:t> </w:t>
      </w:r>
      <w:r w:rsidR="166E0BDD" w:rsidRPr="00DD3914">
        <w:rPr>
          <w:b/>
          <w:bCs/>
          <w:noProof/>
          <w:u w:val="single"/>
        </w:rPr>
        <w:t>A</w:t>
      </w:r>
      <w:r w:rsidR="166E0BDD" w:rsidRPr="6C138010">
        <w:rPr>
          <w:noProof/>
        </w:rPr>
        <w:t>)</w:t>
      </w:r>
      <w:r w:rsidR="00FE1695">
        <w:rPr>
          <w:noProof/>
        </w:rPr>
        <w:t xml:space="preserve"> </w:t>
      </w:r>
      <w:r w:rsidR="00BE1453">
        <w:rPr>
          <w:noProof/>
        </w:rPr>
        <w:t>undertook</w:t>
      </w:r>
      <w:r w:rsidRPr="6C138010">
        <w:rPr>
          <w:noProof/>
        </w:rPr>
        <w:t xml:space="preserve"> a process and analysis </w:t>
      </w:r>
      <w:r w:rsidR="000C33A1">
        <w:rPr>
          <w:noProof/>
        </w:rPr>
        <w:t>that, when considered inconjunction with supplementary analysis and regulatory burden estimate prepared by the department, is</w:t>
      </w:r>
      <w:r w:rsidR="000C33A1" w:rsidRPr="6C138010">
        <w:rPr>
          <w:noProof/>
        </w:rPr>
        <w:t xml:space="preserve"> </w:t>
      </w:r>
      <w:r w:rsidRPr="6C138010">
        <w:rPr>
          <w:noProof/>
        </w:rPr>
        <w:t>equivalent to an Impact Analysis (IA)</w:t>
      </w:r>
      <w:r w:rsidR="74771721" w:rsidRPr="6C138010">
        <w:rPr>
          <w:noProof/>
        </w:rPr>
        <w:t xml:space="preserve"> for the proposed amendments to the N</w:t>
      </w:r>
      <w:r w:rsidR="00C36AC6">
        <w:rPr>
          <w:noProof/>
        </w:rPr>
        <w:t xml:space="preserve">ational </w:t>
      </w:r>
      <w:r w:rsidR="74771721" w:rsidRPr="6C138010">
        <w:rPr>
          <w:noProof/>
        </w:rPr>
        <w:t>G</w:t>
      </w:r>
      <w:r w:rsidR="00C36AC6">
        <w:rPr>
          <w:noProof/>
        </w:rPr>
        <w:t xml:space="preserve">reenhouse and </w:t>
      </w:r>
      <w:r w:rsidR="74771721" w:rsidRPr="6C138010">
        <w:rPr>
          <w:noProof/>
        </w:rPr>
        <w:t>E</w:t>
      </w:r>
      <w:r w:rsidR="00C36AC6">
        <w:rPr>
          <w:noProof/>
        </w:rPr>
        <w:t xml:space="preserve">nergy </w:t>
      </w:r>
      <w:r w:rsidR="74771721" w:rsidRPr="6C138010">
        <w:rPr>
          <w:noProof/>
        </w:rPr>
        <w:t>R</w:t>
      </w:r>
      <w:r w:rsidR="00C36AC6">
        <w:rPr>
          <w:noProof/>
        </w:rPr>
        <w:t>eporting (NGER)</w:t>
      </w:r>
      <w:r w:rsidRPr="6C138010">
        <w:rPr>
          <w:noProof/>
        </w:rPr>
        <w:t xml:space="preserve"> </w:t>
      </w:r>
      <w:r w:rsidR="47D8C45F" w:rsidRPr="6C138010">
        <w:rPr>
          <w:noProof/>
        </w:rPr>
        <w:t xml:space="preserve">scheme for </w:t>
      </w:r>
      <w:r w:rsidR="00B9081E">
        <w:rPr>
          <w:noProof/>
        </w:rPr>
        <w:t>the estimation of fug</w:t>
      </w:r>
      <w:r w:rsidR="00CE463A">
        <w:rPr>
          <w:noProof/>
        </w:rPr>
        <w:t>i</w:t>
      </w:r>
      <w:r w:rsidR="00B9081E">
        <w:rPr>
          <w:noProof/>
        </w:rPr>
        <w:t xml:space="preserve">tive methane emissions from coal extraction from </w:t>
      </w:r>
      <w:r w:rsidR="47D8C45F" w:rsidRPr="6C138010">
        <w:rPr>
          <w:noProof/>
        </w:rPr>
        <w:t>open cut coal mining.</w:t>
      </w:r>
      <w:r w:rsidR="006137BE">
        <w:rPr>
          <w:noProof/>
        </w:rPr>
        <w:t xml:space="preserve"> </w:t>
      </w:r>
    </w:p>
    <w:p w14:paraId="582C7761" w14:textId="651CE4C3" w:rsidR="00384E0C" w:rsidRDefault="006137BE" w:rsidP="00732381">
      <w:r>
        <w:t>The</w:t>
      </w:r>
      <w:r w:rsidR="00C36AC6">
        <w:t xml:space="preserve"> attached </w:t>
      </w:r>
      <w:r w:rsidR="000C33A1">
        <w:t xml:space="preserve">Climate Change Authority (CCA) </w:t>
      </w:r>
      <w:r w:rsidR="00C36AC6">
        <w:t xml:space="preserve">review made 25 recommendations </w:t>
      </w:r>
      <w:r w:rsidR="00703BFE">
        <w:t xml:space="preserve">for targeted </w:t>
      </w:r>
      <w:r w:rsidR="006F3F99">
        <w:t>improvements</w:t>
      </w:r>
      <w:r w:rsidR="00703BFE">
        <w:t xml:space="preserve"> to the NGER scheme.</w:t>
      </w:r>
      <w:r w:rsidR="00F97A60">
        <w:t xml:space="preserve"> </w:t>
      </w:r>
      <w:r w:rsidR="00732381">
        <w:t>One of the</w:t>
      </w:r>
      <w:r w:rsidR="00703BFE">
        <w:t>se</w:t>
      </w:r>
      <w:r w:rsidR="00F97A60">
        <w:t xml:space="preserve"> </w:t>
      </w:r>
      <w:r w:rsidR="00D41018">
        <w:t>was</w:t>
      </w:r>
      <w:r>
        <w:t xml:space="preserve"> to </w:t>
      </w:r>
      <w:r w:rsidRPr="3066E466">
        <w:rPr>
          <w:i/>
          <w:iCs/>
        </w:rPr>
        <w:t xml:space="preserve">“Phase out Method 1 estimation methodologies for fugitive methane emissions, including as a matter of urgency for the extraction of coal in open cut coal mining.” </w:t>
      </w:r>
      <w:proofErr w:type="gramStart"/>
      <w:r>
        <w:t>(Recommendation 15).</w:t>
      </w:r>
      <w:proofErr w:type="gramEnd"/>
      <w:r>
        <w:t xml:space="preserve"> Consistent with this recommendation, the </w:t>
      </w:r>
      <w:r w:rsidR="00F16002">
        <w:t>g</w:t>
      </w:r>
      <w:r>
        <w:t xml:space="preserve">overnment has </w:t>
      </w:r>
      <w:r w:rsidR="007F1E5B">
        <w:t xml:space="preserve">prioritised </w:t>
      </w:r>
      <w:r>
        <w:t xml:space="preserve">proposed amendments to the NGER scheme </w:t>
      </w:r>
      <w:r w:rsidR="00430969">
        <w:t>to phase out</w:t>
      </w:r>
      <w:r>
        <w:t xml:space="preserve"> Method 1 </w:t>
      </w:r>
      <w:r w:rsidR="006846A1">
        <w:t>for</w:t>
      </w:r>
      <w:r>
        <w:t xml:space="preserve"> open cut coal min</w:t>
      </w:r>
      <w:r w:rsidR="006846A1">
        <w:t>ing</w:t>
      </w:r>
      <w:r>
        <w:t xml:space="preserve">. </w:t>
      </w:r>
      <w:r w:rsidR="00CE7A30">
        <w:t xml:space="preserve">Based on </w:t>
      </w:r>
      <w:r w:rsidR="00B82CC1">
        <w:t xml:space="preserve">data reported </w:t>
      </w:r>
      <w:r w:rsidR="00827BF0">
        <w:t>in</w:t>
      </w:r>
      <w:r w:rsidR="00B82CC1">
        <w:t xml:space="preserve"> 2022-23, t</w:t>
      </w:r>
      <w:r w:rsidR="007905CE">
        <w:t xml:space="preserve">he proposed amendments will </w:t>
      </w:r>
      <w:r w:rsidR="00930F5D">
        <w:t xml:space="preserve">address </w:t>
      </w:r>
      <w:r w:rsidR="007905CE">
        <w:t xml:space="preserve">over 90% of the emissions </w:t>
      </w:r>
      <w:r w:rsidR="00930F5D">
        <w:t xml:space="preserve">reported using </w:t>
      </w:r>
      <w:r w:rsidR="00CA2703">
        <w:t xml:space="preserve">that </w:t>
      </w:r>
      <w:r w:rsidR="00930F5D">
        <w:t>Method 1.</w:t>
      </w:r>
      <w:r w:rsidR="007B231B">
        <w:t xml:space="preserve"> The government will respond to the recommendation</w:t>
      </w:r>
      <w:r w:rsidR="002E5957">
        <w:t xml:space="preserve"> as it relates</w:t>
      </w:r>
      <w:r w:rsidR="007B231B">
        <w:t xml:space="preserve"> to</w:t>
      </w:r>
      <w:r w:rsidR="002E5957">
        <w:t xml:space="preserve"> the</w:t>
      </w:r>
      <w:r w:rsidR="007B231B">
        <w:t xml:space="preserve"> </w:t>
      </w:r>
      <w:r w:rsidR="00852F92">
        <w:t xml:space="preserve">phase out of Method 1 for estimating other fugitive methane emissions </w:t>
      </w:r>
      <w:r w:rsidR="007B231B">
        <w:t xml:space="preserve">in its full response to the </w:t>
      </w:r>
      <w:r w:rsidR="000C33A1">
        <w:t>CCA</w:t>
      </w:r>
      <w:r w:rsidR="002E5957">
        <w:t xml:space="preserve"> review in mid-2024</w:t>
      </w:r>
      <w:r w:rsidR="000F58EB">
        <w:t>.</w:t>
      </w:r>
    </w:p>
    <w:p w14:paraId="6443EF64" w14:textId="273B12CE" w:rsidR="00E65399" w:rsidRDefault="5229E453" w:rsidP="6C138010">
      <w:pPr>
        <w:rPr>
          <w:rFonts w:ascii="Calibri" w:eastAsia="Calibri" w:hAnsi="Calibri" w:cs="Calibri"/>
          <w:noProof/>
          <w:color w:val="000000"/>
          <w:sz w:val="24"/>
          <w:szCs w:val="24"/>
        </w:rPr>
      </w:pPr>
      <w:r w:rsidRPr="0A5D2A5E">
        <w:rPr>
          <w:noProof/>
        </w:rPr>
        <w:t>The Impact Analysis Equivalent covers the scope of the policy proposal with the exception of</w:t>
      </w:r>
      <w:r w:rsidR="76877C6A" w:rsidRPr="0A5D2A5E">
        <w:rPr>
          <w:noProof/>
        </w:rPr>
        <w:t xml:space="preserve"> details on the </w:t>
      </w:r>
      <w:r w:rsidR="00082819">
        <w:rPr>
          <w:noProof/>
        </w:rPr>
        <w:t>selection</w:t>
      </w:r>
      <w:r w:rsidR="00CD3D09">
        <w:rPr>
          <w:noProof/>
        </w:rPr>
        <w:t xml:space="preserve"> of the </w:t>
      </w:r>
      <w:r w:rsidR="00694331">
        <w:rPr>
          <w:noProof/>
        </w:rPr>
        <w:t xml:space="preserve">proposed NGER scheme amendments as the </w:t>
      </w:r>
      <w:r w:rsidR="00CD3D09">
        <w:rPr>
          <w:noProof/>
        </w:rPr>
        <w:t>best option</w:t>
      </w:r>
      <w:r w:rsidR="00D66AFE">
        <w:rPr>
          <w:noProof/>
        </w:rPr>
        <w:t xml:space="preserve">, </w:t>
      </w:r>
      <w:r w:rsidR="00D60A0C">
        <w:rPr>
          <w:noProof/>
        </w:rPr>
        <w:t>an</w:t>
      </w:r>
      <w:r w:rsidR="003A4C55">
        <w:rPr>
          <w:noProof/>
        </w:rPr>
        <w:t xml:space="preserve">d </w:t>
      </w:r>
      <w:r w:rsidR="00D66AFE">
        <w:rPr>
          <w:noProof/>
        </w:rPr>
        <w:t xml:space="preserve">how </w:t>
      </w:r>
      <w:r w:rsidR="00D60A0C">
        <w:rPr>
          <w:noProof/>
        </w:rPr>
        <w:t xml:space="preserve">the proposed amendments </w:t>
      </w:r>
      <w:r w:rsidR="00082819">
        <w:rPr>
          <w:noProof/>
        </w:rPr>
        <w:t xml:space="preserve">would be </w:t>
      </w:r>
      <w:r w:rsidR="00D66AFE">
        <w:rPr>
          <w:noProof/>
        </w:rPr>
        <w:t>i</w:t>
      </w:r>
      <w:r w:rsidR="76877C6A" w:rsidRPr="0A5D2A5E">
        <w:rPr>
          <w:noProof/>
        </w:rPr>
        <w:t>mplement</w:t>
      </w:r>
      <w:r w:rsidR="00082819">
        <w:rPr>
          <w:noProof/>
        </w:rPr>
        <w:t>ed</w:t>
      </w:r>
      <w:r w:rsidR="76877C6A" w:rsidRPr="0A5D2A5E">
        <w:rPr>
          <w:noProof/>
        </w:rPr>
        <w:t xml:space="preserve"> and evaluat</w:t>
      </w:r>
      <w:r w:rsidR="00082819">
        <w:rPr>
          <w:noProof/>
        </w:rPr>
        <w:t>ed</w:t>
      </w:r>
      <w:r w:rsidR="76877C6A" w:rsidRPr="0A5D2A5E">
        <w:rPr>
          <w:noProof/>
        </w:rPr>
        <w:t>.</w:t>
      </w:r>
      <w:r w:rsidRPr="0A5D2A5E">
        <w:rPr>
          <w:noProof/>
        </w:rPr>
        <w:t xml:space="preserve"> To address these gaps in the analysis I also certify the attached supplementary information document</w:t>
      </w:r>
      <w:r w:rsidR="00440B09">
        <w:rPr>
          <w:noProof/>
        </w:rPr>
        <w:t xml:space="preserve"> (</w:t>
      </w:r>
      <w:r w:rsidR="00440B09" w:rsidRPr="00DD3914">
        <w:rPr>
          <w:b/>
          <w:bCs/>
          <w:noProof/>
          <w:u w:val="single"/>
        </w:rPr>
        <w:t>Attachment B</w:t>
      </w:r>
      <w:r w:rsidR="00440B09">
        <w:rPr>
          <w:noProof/>
        </w:rPr>
        <w:t>)</w:t>
      </w:r>
      <w:r w:rsidRPr="6C138010">
        <w:rPr>
          <w:noProof/>
        </w:rPr>
        <w:t>.</w:t>
      </w:r>
      <w:r w:rsidRPr="0A5D2A5E">
        <w:rPr>
          <w:noProof/>
        </w:rPr>
        <w:t xml:space="preserve"> Therefore I am satisfied that</w:t>
      </w:r>
      <w:r w:rsidR="00082BCE">
        <w:rPr>
          <w:noProof/>
        </w:rPr>
        <w:t>,</w:t>
      </w:r>
      <w:r w:rsidRPr="0A5D2A5E">
        <w:rPr>
          <w:noProof/>
        </w:rPr>
        <w:t xml:space="preserve"> with this addition, the scope of the certified documents matches the policy proposal.  </w:t>
      </w:r>
    </w:p>
    <w:p w14:paraId="5CB3085F" w14:textId="2080E841" w:rsidR="00E65399" w:rsidRDefault="75ABCE53" w:rsidP="6C138010">
      <w:pPr>
        <w:rPr>
          <w:noProof/>
        </w:rPr>
      </w:pPr>
      <w:r w:rsidRPr="0A5D2A5E">
        <w:rPr>
          <w:noProof/>
        </w:rPr>
        <w:t>I certify these documents adequately address all seven IA questions, and are submitted to the Office of Impact Analysis for the purposes of satisfying the regulatory impact analysis</w:t>
      </w:r>
      <w:r w:rsidR="000551B1" w:rsidRPr="0A5D2A5E">
        <w:rPr>
          <w:noProof/>
        </w:rPr>
        <w:t xml:space="preserve"> </w:t>
      </w:r>
      <w:r w:rsidRPr="0A5D2A5E">
        <w:rPr>
          <w:noProof/>
        </w:rPr>
        <w:t>requirements of a major decision point.</w:t>
      </w:r>
    </w:p>
    <w:p w14:paraId="2BC93BF2" w14:textId="1D7DD60F" w:rsidR="00360B5E" w:rsidRDefault="5229E453" w:rsidP="0A5D2A5E">
      <w:pPr>
        <w:spacing w:before="240" w:after="0" w:line="300" w:lineRule="exact"/>
      </w:pPr>
      <w:r w:rsidRPr="35ABF811">
        <w:rPr>
          <w:rFonts w:eastAsia="Calibri" w:cs="Calibri"/>
          <w:color w:val="000000"/>
        </w:rPr>
        <w:lastRenderedPageBreak/>
        <w:t xml:space="preserve">The </w:t>
      </w:r>
      <w:r w:rsidR="00F1513B">
        <w:rPr>
          <w:rFonts w:eastAsia="Calibri" w:cs="Calibri"/>
          <w:color w:val="000000"/>
        </w:rPr>
        <w:t xml:space="preserve">estimated </w:t>
      </w:r>
      <w:r w:rsidRPr="35ABF811">
        <w:rPr>
          <w:rFonts w:eastAsia="Calibri" w:cs="Calibri"/>
          <w:color w:val="000000"/>
        </w:rPr>
        <w:t xml:space="preserve">regulatory burden to business, community organisations or individuals </w:t>
      </w:r>
      <w:r w:rsidR="00EA0376">
        <w:rPr>
          <w:rFonts w:eastAsia="Calibri" w:cs="Calibri"/>
          <w:color w:val="000000"/>
        </w:rPr>
        <w:t xml:space="preserve">of the proposed amendments </w:t>
      </w:r>
      <w:r w:rsidRPr="35ABF811">
        <w:rPr>
          <w:rFonts w:eastAsia="Calibri" w:cs="Calibri"/>
          <w:color w:val="000000"/>
        </w:rPr>
        <w:t xml:space="preserve">is quantified </w:t>
      </w:r>
      <w:r w:rsidR="008E2629">
        <w:rPr>
          <w:rFonts w:eastAsia="Calibri" w:cs="Calibri"/>
          <w:color w:val="000000"/>
        </w:rPr>
        <w:t>in the table below</w:t>
      </w:r>
      <w:r w:rsidR="002D5B61">
        <w:rPr>
          <w:rFonts w:eastAsia="Calibri" w:cs="Calibri"/>
          <w:color w:val="000000"/>
        </w:rPr>
        <w:t>,</w:t>
      </w:r>
      <w:r w:rsidR="008E2629">
        <w:rPr>
          <w:rFonts w:eastAsia="Calibri" w:cs="Calibri"/>
          <w:color w:val="000000"/>
        </w:rPr>
        <w:t xml:space="preserve"> </w:t>
      </w:r>
      <w:r w:rsidR="001A7B76">
        <w:rPr>
          <w:rFonts w:eastAsia="Calibri" w:cs="Calibri"/>
          <w:color w:val="000000"/>
        </w:rPr>
        <w:t>based on</w:t>
      </w:r>
      <w:r w:rsidR="001A7B76" w:rsidRPr="35ABF811">
        <w:rPr>
          <w:rFonts w:eastAsia="Calibri" w:cs="Calibri"/>
          <w:color w:val="000000"/>
        </w:rPr>
        <w:t xml:space="preserve"> </w:t>
      </w:r>
      <w:r w:rsidRPr="35ABF811">
        <w:rPr>
          <w:rFonts w:eastAsia="Calibri" w:cs="Calibri"/>
          <w:color w:val="000000"/>
        </w:rPr>
        <w:t xml:space="preserve">the Australian Government’s </w:t>
      </w:r>
      <w:r w:rsidRPr="35ABF811">
        <w:rPr>
          <w:rFonts w:eastAsia="Calibri" w:cs="Calibri"/>
          <w:i/>
          <w:iCs/>
          <w:color w:val="000000"/>
        </w:rPr>
        <w:t xml:space="preserve">Regulatory Burden Measurement </w:t>
      </w:r>
      <w:r w:rsidRPr="35ABF811">
        <w:rPr>
          <w:rFonts w:eastAsia="Calibri" w:cs="Calibri"/>
          <w:color w:val="000000"/>
        </w:rPr>
        <w:t>framework</w:t>
      </w:r>
      <w:r w:rsidR="0020306F">
        <w:rPr>
          <w:rFonts w:eastAsia="Calibri" w:cs="Calibri"/>
          <w:color w:val="000000"/>
        </w:rPr>
        <w:t>, industry feedback</w:t>
      </w:r>
      <w:r w:rsidRPr="35ABF811">
        <w:rPr>
          <w:rFonts w:eastAsia="Calibri" w:cs="Calibri"/>
          <w:color w:val="000000"/>
        </w:rPr>
        <w:t xml:space="preserve"> </w:t>
      </w:r>
      <w:r w:rsidR="001A7B76">
        <w:rPr>
          <w:rFonts w:eastAsia="Calibri" w:cs="Calibri"/>
          <w:color w:val="000000"/>
        </w:rPr>
        <w:t>and</w:t>
      </w:r>
      <w:r w:rsidR="006E3E6C" w:rsidRPr="35ABF811">
        <w:rPr>
          <w:rFonts w:eastAsia="Calibri" w:cs="Calibri"/>
          <w:color w:val="000000"/>
        </w:rPr>
        <w:t xml:space="preserve"> </w:t>
      </w:r>
      <w:r w:rsidR="0020306F">
        <w:rPr>
          <w:rFonts w:eastAsia="Calibri" w:cs="Calibri"/>
          <w:color w:val="000000"/>
        </w:rPr>
        <w:t>publicly</w:t>
      </w:r>
      <w:r w:rsidR="0020306F" w:rsidRPr="35ABF811">
        <w:rPr>
          <w:rFonts w:eastAsia="Calibri" w:cs="Calibri"/>
          <w:color w:val="000000"/>
        </w:rPr>
        <w:t xml:space="preserve"> </w:t>
      </w:r>
      <w:r w:rsidR="006E3E6C" w:rsidRPr="35ABF811">
        <w:rPr>
          <w:rFonts w:eastAsia="Calibri" w:cs="Calibri"/>
          <w:color w:val="000000"/>
        </w:rPr>
        <w:t>available information</w:t>
      </w:r>
      <w:r w:rsidRPr="35ABF811">
        <w:rPr>
          <w:rFonts w:eastAsia="Calibri" w:cs="Calibri"/>
          <w:color w:val="000000"/>
        </w:rPr>
        <w:t>.</w:t>
      </w:r>
      <w:r w:rsidR="007F6FFA" w:rsidRPr="35ABF811">
        <w:rPr>
          <w:rFonts w:eastAsia="Calibri" w:cs="Calibri"/>
          <w:color w:val="000000"/>
        </w:rPr>
        <w:t xml:space="preserve"> </w:t>
      </w:r>
      <w:r w:rsidR="00C535EC">
        <w:rPr>
          <w:rFonts w:eastAsia="Calibri" w:cs="Calibri"/>
          <w:color w:val="000000"/>
        </w:rPr>
        <w:t xml:space="preserve">No regulatory burden is expected to be incurred by individuals or community organisations. </w:t>
      </w:r>
      <w:r w:rsidR="007F6FFA">
        <w:t>The regulatory burden estimates</w:t>
      </w:r>
      <w:r w:rsidR="00C535EC">
        <w:t xml:space="preserve"> for the business sector</w:t>
      </w:r>
      <w:r w:rsidR="007F6FFA">
        <w:t xml:space="preserve"> are indicative and presented as a range</w:t>
      </w:r>
      <w:r w:rsidR="0016640D">
        <w:t>, rather than an average,</w:t>
      </w:r>
      <w:r w:rsidR="007F6FFA">
        <w:t xml:space="preserve"> </w:t>
      </w:r>
      <w:r w:rsidR="00C535EC">
        <w:t>of</w:t>
      </w:r>
      <w:r w:rsidR="00B926BC">
        <w:t xml:space="preserve"> the </w:t>
      </w:r>
      <w:r w:rsidR="00C535EC">
        <w:t xml:space="preserve">estimated </w:t>
      </w:r>
      <w:r w:rsidR="0016640D">
        <w:t xml:space="preserve">regulatory </w:t>
      </w:r>
      <w:r w:rsidR="00C535EC">
        <w:t>costs</w:t>
      </w:r>
      <w:r w:rsidR="00B926BC">
        <w:t xml:space="preserve"> </w:t>
      </w:r>
      <w:r w:rsidR="00C535EC">
        <w:t xml:space="preserve">for </w:t>
      </w:r>
      <w:r w:rsidR="0016640D">
        <w:t xml:space="preserve">all affected facilities in </w:t>
      </w:r>
      <w:r w:rsidR="00C535EC">
        <w:t>each of the</w:t>
      </w:r>
      <w:r w:rsidR="00430CD9">
        <w:t xml:space="preserve"> two key stages in the </w:t>
      </w:r>
      <w:r w:rsidR="00A570F0">
        <w:t>proposed amendments</w:t>
      </w:r>
      <w:r w:rsidR="00B81E1D">
        <w:t>’</w:t>
      </w:r>
      <w:r w:rsidR="00A570F0">
        <w:t xml:space="preserve"> implementation</w:t>
      </w:r>
      <w:r w:rsidR="00D83653">
        <w:t xml:space="preserve"> (‘transition</w:t>
      </w:r>
      <w:r w:rsidR="00915465">
        <w:t>al</w:t>
      </w:r>
      <w:r w:rsidR="00D83653">
        <w:t>’ and ‘ongoing’)</w:t>
      </w:r>
      <w:r w:rsidR="0016640D">
        <w:t xml:space="preserve">. </w:t>
      </w:r>
    </w:p>
    <w:p w14:paraId="05E63A83" w14:textId="77777777" w:rsidR="00B449D0" w:rsidRPr="00B449D0" w:rsidRDefault="00A27DF0" w:rsidP="0A5D2A5E">
      <w:pPr>
        <w:spacing w:before="240" w:after="0" w:line="300" w:lineRule="exact"/>
        <w:rPr>
          <w:rFonts w:eastAsia="Calibri" w:cs="Calibri"/>
          <w:color w:val="000000"/>
        </w:rPr>
      </w:pPr>
      <w:r w:rsidRPr="00B449D0">
        <w:rPr>
          <w:rFonts w:eastAsia="Calibri" w:cs="Calibri"/>
          <w:color w:val="000000"/>
        </w:rPr>
        <w:t xml:space="preserve">This approach </w:t>
      </w:r>
      <w:r w:rsidR="00B926BC" w:rsidRPr="00B449D0">
        <w:rPr>
          <w:rFonts w:eastAsia="Calibri" w:cs="Calibri"/>
          <w:color w:val="000000"/>
        </w:rPr>
        <w:t xml:space="preserve">is necessary due to </w:t>
      </w:r>
      <w:r w:rsidR="007F6FFA" w:rsidRPr="00B449D0">
        <w:rPr>
          <w:rFonts w:eastAsia="Calibri" w:cs="Calibri"/>
          <w:color w:val="000000"/>
        </w:rPr>
        <w:t xml:space="preserve">the considerable variability </w:t>
      </w:r>
      <w:r w:rsidR="00D669E8" w:rsidRPr="00B449D0">
        <w:rPr>
          <w:rFonts w:eastAsia="Calibri" w:cs="Calibri"/>
          <w:color w:val="000000"/>
        </w:rPr>
        <w:t xml:space="preserve">of </w:t>
      </w:r>
      <w:r w:rsidR="009A481C" w:rsidRPr="00B449D0">
        <w:rPr>
          <w:rFonts w:eastAsia="Calibri" w:cs="Calibri"/>
          <w:color w:val="000000"/>
        </w:rPr>
        <w:t xml:space="preserve">affected </w:t>
      </w:r>
      <w:r w:rsidR="007F6FFA" w:rsidRPr="00B449D0">
        <w:rPr>
          <w:rFonts w:eastAsia="Calibri" w:cs="Calibri"/>
          <w:color w:val="000000"/>
        </w:rPr>
        <w:t>facilities</w:t>
      </w:r>
      <w:r w:rsidR="00895815" w:rsidRPr="00B449D0">
        <w:rPr>
          <w:rFonts w:eastAsia="Calibri" w:cs="Calibri"/>
          <w:color w:val="000000"/>
        </w:rPr>
        <w:t>,</w:t>
      </w:r>
      <w:r w:rsidR="007F6FFA" w:rsidRPr="00B449D0">
        <w:rPr>
          <w:rFonts w:eastAsia="Calibri" w:cs="Calibri"/>
          <w:color w:val="000000"/>
        </w:rPr>
        <w:t xml:space="preserve"> </w:t>
      </w:r>
      <w:r w:rsidR="00741031" w:rsidRPr="00B449D0">
        <w:rPr>
          <w:rFonts w:eastAsia="Calibri" w:cs="Calibri"/>
          <w:color w:val="000000"/>
        </w:rPr>
        <w:t>the facility</w:t>
      </w:r>
      <w:r w:rsidR="00741031" w:rsidRPr="00B449D0">
        <w:rPr>
          <w:rFonts w:eastAsia="Calibri" w:cs="Calibri"/>
          <w:color w:val="000000"/>
        </w:rPr>
        <w:noBreakHyphen/>
        <w:t xml:space="preserve">specific emissions measurement requirements of the proposed amendments, </w:t>
      </w:r>
      <w:r w:rsidR="00D669E8" w:rsidRPr="00B449D0">
        <w:rPr>
          <w:rFonts w:eastAsia="Calibri" w:cs="Calibri"/>
          <w:color w:val="000000"/>
        </w:rPr>
        <w:t xml:space="preserve">and the </w:t>
      </w:r>
      <w:r w:rsidR="00741031" w:rsidRPr="00B449D0">
        <w:rPr>
          <w:rFonts w:eastAsia="Calibri" w:cs="Calibri"/>
          <w:color w:val="000000"/>
        </w:rPr>
        <w:t xml:space="preserve">absence of </w:t>
      </w:r>
      <w:r w:rsidR="00D669E8" w:rsidRPr="00B449D0">
        <w:rPr>
          <w:rFonts w:eastAsia="Calibri" w:cs="Calibri"/>
          <w:color w:val="000000"/>
        </w:rPr>
        <w:t xml:space="preserve">publicly available </w:t>
      </w:r>
      <w:r w:rsidR="00741031" w:rsidRPr="00B449D0">
        <w:rPr>
          <w:rFonts w:eastAsia="Calibri" w:cs="Calibri"/>
          <w:color w:val="000000"/>
        </w:rPr>
        <w:t xml:space="preserve">information </w:t>
      </w:r>
      <w:r w:rsidR="00D669E8" w:rsidRPr="00B449D0">
        <w:rPr>
          <w:rFonts w:eastAsia="Calibri" w:cs="Calibri"/>
          <w:color w:val="000000"/>
        </w:rPr>
        <w:t xml:space="preserve">regarding the </w:t>
      </w:r>
      <w:r w:rsidR="007F6FFA" w:rsidRPr="00B449D0">
        <w:rPr>
          <w:rFonts w:eastAsia="Calibri" w:cs="Calibri"/>
          <w:color w:val="000000"/>
        </w:rPr>
        <w:t xml:space="preserve">cost </w:t>
      </w:r>
      <w:r w:rsidR="000F3154" w:rsidRPr="00B449D0">
        <w:rPr>
          <w:rFonts w:eastAsia="Calibri" w:cs="Calibri"/>
          <w:color w:val="000000"/>
        </w:rPr>
        <w:t xml:space="preserve">and time </w:t>
      </w:r>
      <w:r w:rsidR="00D669E8" w:rsidRPr="00B449D0">
        <w:rPr>
          <w:rFonts w:eastAsia="Calibri" w:cs="Calibri"/>
          <w:color w:val="000000"/>
        </w:rPr>
        <w:t>required to implement</w:t>
      </w:r>
      <w:r w:rsidR="00741031" w:rsidRPr="00B449D0">
        <w:rPr>
          <w:rFonts w:eastAsia="Calibri" w:cs="Calibri"/>
          <w:color w:val="000000"/>
        </w:rPr>
        <w:t xml:space="preserve"> the amendments in </w:t>
      </w:r>
      <w:r w:rsidR="000C33A1" w:rsidRPr="00B449D0">
        <w:rPr>
          <w:rFonts w:eastAsia="Calibri" w:cs="Calibri"/>
          <w:color w:val="000000"/>
        </w:rPr>
        <w:t>each of the affected facilities</w:t>
      </w:r>
      <w:r w:rsidR="00D669E8" w:rsidRPr="00B449D0">
        <w:rPr>
          <w:rFonts w:eastAsia="Calibri" w:cs="Calibri"/>
          <w:color w:val="000000"/>
        </w:rPr>
        <w:t xml:space="preserve">. Much of the information needed </w:t>
      </w:r>
      <w:r w:rsidR="00AA4410" w:rsidRPr="00B449D0">
        <w:rPr>
          <w:rFonts w:eastAsia="Calibri" w:cs="Calibri"/>
          <w:color w:val="000000"/>
        </w:rPr>
        <w:t>to calculate an average</w:t>
      </w:r>
      <w:r w:rsidR="00D669E8" w:rsidRPr="00B449D0">
        <w:rPr>
          <w:rFonts w:eastAsia="Calibri" w:cs="Calibri"/>
          <w:color w:val="000000"/>
        </w:rPr>
        <w:t xml:space="preserve"> will </w:t>
      </w:r>
      <w:r w:rsidR="00F94160" w:rsidRPr="00B449D0">
        <w:rPr>
          <w:rFonts w:eastAsia="Calibri" w:cs="Calibri"/>
          <w:color w:val="000000"/>
        </w:rPr>
        <w:t xml:space="preserve">only become available </w:t>
      </w:r>
      <w:r w:rsidR="00A42BDE" w:rsidRPr="00B449D0">
        <w:rPr>
          <w:rFonts w:eastAsia="Calibri" w:cs="Calibri"/>
          <w:color w:val="000000"/>
        </w:rPr>
        <w:t>during the transition</w:t>
      </w:r>
      <w:r w:rsidR="00014E9B" w:rsidRPr="00B449D0">
        <w:rPr>
          <w:rFonts w:eastAsia="Calibri" w:cs="Calibri"/>
          <w:color w:val="000000"/>
        </w:rPr>
        <w:t>al</w:t>
      </w:r>
      <w:r w:rsidR="00A42BDE" w:rsidRPr="00B449D0">
        <w:rPr>
          <w:rFonts w:eastAsia="Calibri" w:cs="Calibri"/>
          <w:color w:val="000000"/>
        </w:rPr>
        <w:t xml:space="preserve"> stage. </w:t>
      </w:r>
      <w:r w:rsidR="00D669E8" w:rsidRPr="00B449D0">
        <w:rPr>
          <w:rFonts w:eastAsia="Calibri" w:cs="Calibri"/>
          <w:color w:val="000000"/>
        </w:rPr>
        <w:t xml:space="preserve">The </w:t>
      </w:r>
      <w:r w:rsidR="00F4789E" w:rsidRPr="00B449D0">
        <w:rPr>
          <w:rFonts w:eastAsia="Calibri" w:cs="Calibri"/>
          <w:color w:val="000000"/>
        </w:rPr>
        <w:t>range</w:t>
      </w:r>
      <w:r w:rsidR="00C535EC" w:rsidRPr="00B449D0">
        <w:rPr>
          <w:rFonts w:eastAsia="Calibri" w:cs="Calibri"/>
          <w:color w:val="000000"/>
        </w:rPr>
        <w:t>s for ‘transitional’ and ‘ongoing’ costs stages are</w:t>
      </w:r>
      <w:r w:rsidR="001449EE" w:rsidRPr="00B449D0">
        <w:rPr>
          <w:rFonts w:eastAsia="Calibri" w:cs="Calibri"/>
          <w:color w:val="000000"/>
        </w:rPr>
        <w:t xml:space="preserve"> based on</w:t>
      </w:r>
      <w:r w:rsidR="001D5E29" w:rsidRPr="00B449D0">
        <w:rPr>
          <w:rFonts w:eastAsia="Calibri" w:cs="Calibri"/>
          <w:color w:val="000000"/>
        </w:rPr>
        <w:t xml:space="preserve"> </w:t>
      </w:r>
      <w:r w:rsidR="000C54D1" w:rsidRPr="00B449D0">
        <w:rPr>
          <w:rFonts w:eastAsia="Calibri" w:cs="Calibri"/>
          <w:color w:val="000000"/>
        </w:rPr>
        <w:t>industry feedback</w:t>
      </w:r>
      <w:r w:rsidR="0020306F" w:rsidRPr="00B449D0">
        <w:rPr>
          <w:rFonts w:eastAsia="Calibri" w:cs="Calibri"/>
          <w:color w:val="000000"/>
        </w:rPr>
        <w:t xml:space="preserve">, including </w:t>
      </w:r>
      <w:r w:rsidR="001449EE" w:rsidRPr="00B449D0">
        <w:rPr>
          <w:rFonts w:eastAsia="Calibri" w:cs="Calibri"/>
          <w:color w:val="000000"/>
        </w:rPr>
        <w:t>cost</w:t>
      </w:r>
      <w:r w:rsidR="0020306F" w:rsidRPr="00B449D0">
        <w:rPr>
          <w:rFonts w:eastAsia="Calibri" w:cs="Calibri"/>
          <w:color w:val="000000"/>
        </w:rPr>
        <w:t xml:space="preserve"> estimates for affected facilities based on three categories. These categories estimated cost based on </w:t>
      </w:r>
      <w:r w:rsidR="00885CE6" w:rsidRPr="00B449D0">
        <w:rPr>
          <w:rFonts w:eastAsia="Calibri" w:cs="Calibri"/>
          <w:color w:val="000000"/>
        </w:rPr>
        <w:t xml:space="preserve">different </w:t>
      </w:r>
      <w:r w:rsidR="001449EE" w:rsidRPr="00B449D0">
        <w:rPr>
          <w:rFonts w:eastAsia="Calibri" w:cs="Calibri"/>
          <w:color w:val="000000"/>
        </w:rPr>
        <w:t xml:space="preserve">coal </w:t>
      </w:r>
      <w:r w:rsidR="00E62AC8" w:rsidRPr="00B449D0">
        <w:rPr>
          <w:rFonts w:eastAsia="Calibri" w:cs="Calibri"/>
          <w:color w:val="000000"/>
        </w:rPr>
        <w:t xml:space="preserve">mine </w:t>
      </w:r>
      <w:r w:rsidR="001449EE" w:rsidRPr="00B449D0">
        <w:rPr>
          <w:rFonts w:eastAsia="Calibri" w:cs="Calibri"/>
          <w:color w:val="000000"/>
        </w:rPr>
        <w:t>seam length</w:t>
      </w:r>
      <w:r w:rsidR="00E62AC8" w:rsidRPr="00B449D0">
        <w:rPr>
          <w:rFonts w:eastAsia="Calibri" w:cs="Calibri"/>
          <w:color w:val="000000"/>
        </w:rPr>
        <w:t>s</w:t>
      </w:r>
      <w:r w:rsidR="001449EE" w:rsidRPr="00B449D0">
        <w:rPr>
          <w:rFonts w:eastAsia="Calibri" w:cs="Calibri"/>
          <w:color w:val="000000"/>
        </w:rPr>
        <w:t xml:space="preserve"> (‘strike length’)</w:t>
      </w:r>
      <w:r w:rsidR="00E62AC8" w:rsidRPr="00B449D0">
        <w:rPr>
          <w:rFonts w:eastAsia="Calibri" w:cs="Calibri"/>
          <w:color w:val="000000"/>
        </w:rPr>
        <w:t>, and the assumption</w:t>
      </w:r>
      <w:r w:rsidR="0020306F" w:rsidRPr="00B449D0">
        <w:rPr>
          <w:rFonts w:eastAsia="Calibri" w:cs="Calibri"/>
          <w:color w:val="000000"/>
        </w:rPr>
        <w:t xml:space="preserve"> that the longer </w:t>
      </w:r>
      <w:r w:rsidR="00F53896" w:rsidRPr="00B449D0">
        <w:rPr>
          <w:rFonts w:eastAsia="Calibri" w:cs="Calibri"/>
          <w:color w:val="000000"/>
        </w:rPr>
        <w:t xml:space="preserve">the </w:t>
      </w:r>
      <w:r w:rsidR="0020306F" w:rsidRPr="00B449D0">
        <w:rPr>
          <w:rFonts w:eastAsia="Calibri" w:cs="Calibri"/>
          <w:color w:val="000000"/>
        </w:rPr>
        <w:t>strike length</w:t>
      </w:r>
      <w:r w:rsidR="001449EE" w:rsidRPr="00B449D0">
        <w:rPr>
          <w:rFonts w:eastAsia="Calibri" w:cs="Calibri"/>
          <w:color w:val="000000"/>
        </w:rPr>
        <w:t xml:space="preserve"> </w:t>
      </w:r>
      <w:r w:rsidR="0020306F" w:rsidRPr="00B449D0">
        <w:rPr>
          <w:rFonts w:eastAsia="Calibri" w:cs="Calibri"/>
          <w:color w:val="000000"/>
        </w:rPr>
        <w:t>the more complex a mine’s</w:t>
      </w:r>
      <w:r w:rsidR="001449EE" w:rsidRPr="00B449D0">
        <w:rPr>
          <w:rFonts w:eastAsia="Calibri" w:cs="Calibri"/>
          <w:color w:val="000000"/>
        </w:rPr>
        <w:t xml:space="preserve"> geology and gas resource</w:t>
      </w:r>
      <w:r w:rsidR="00E62AC8" w:rsidRPr="00B449D0">
        <w:rPr>
          <w:rFonts w:eastAsia="Calibri" w:cs="Calibri"/>
          <w:color w:val="000000"/>
        </w:rPr>
        <w:t>, and therefore the higher the regulatory burden</w:t>
      </w:r>
      <w:r w:rsidR="001449EE" w:rsidRPr="00B449D0">
        <w:rPr>
          <w:rFonts w:eastAsia="Calibri" w:cs="Calibri"/>
          <w:color w:val="000000"/>
        </w:rPr>
        <w:t>.</w:t>
      </w:r>
      <w:r w:rsidR="00E7020C" w:rsidRPr="00B449D0">
        <w:rPr>
          <w:rFonts w:eastAsia="Calibri" w:cs="Calibri"/>
          <w:color w:val="000000"/>
        </w:rPr>
        <w:t xml:space="preserve"> </w:t>
      </w:r>
      <w:r w:rsidR="001449EE" w:rsidRPr="00B449D0">
        <w:rPr>
          <w:rFonts w:eastAsia="Calibri" w:cs="Calibri"/>
          <w:color w:val="000000"/>
        </w:rPr>
        <w:t xml:space="preserve">Publicly available information on the affected facilities’ </w:t>
      </w:r>
      <w:r w:rsidR="00E62AC8" w:rsidRPr="00B449D0">
        <w:rPr>
          <w:rFonts w:eastAsia="Calibri" w:cs="Calibri"/>
          <w:color w:val="000000"/>
        </w:rPr>
        <w:t>strike</w:t>
      </w:r>
      <w:r w:rsidR="001449EE" w:rsidRPr="00B449D0">
        <w:rPr>
          <w:rFonts w:eastAsia="Calibri" w:cs="Calibri"/>
          <w:color w:val="000000"/>
        </w:rPr>
        <w:t xml:space="preserve"> length was then used to determine </w:t>
      </w:r>
      <w:r w:rsidR="0020306F" w:rsidRPr="00B449D0">
        <w:rPr>
          <w:rFonts w:eastAsia="Calibri" w:cs="Calibri"/>
          <w:color w:val="000000"/>
        </w:rPr>
        <w:t xml:space="preserve">an </w:t>
      </w:r>
      <w:r w:rsidR="001449EE" w:rsidRPr="00B449D0">
        <w:rPr>
          <w:rFonts w:eastAsia="Calibri" w:cs="Calibri"/>
          <w:color w:val="000000"/>
        </w:rPr>
        <w:t xml:space="preserve">indicative </w:t>
      </w:r>
      <w:r w:rsidR="0020306F" w:rsidRPr="00B449D0">
        <w:rPr>
          <w:rFonts w:eastAsia="Calibri" w:cs="Calibri"/>
          <w:color w:val="000000"/>
        </w:rPr>
        <w:t xml:space="preserve">range of </w:t>
      </w:r>
      <w:r w:rsidR="001449EE" w:rsidRPr="00B449D0">
        <w:rPr>
          <w:rFonts w:eastAsia="Calibri" w:cs="Calibri"/>
          <w:color w:val="000000"/>
        </w:rPr>
        <w:t xml:space="preserve">estimated regulatory burden. </w:t>
      </w:r>
    </w:p>
    <w:p w14:paraId="30F9F2C8" w14:textId="71467EDD" w:rsidR="00A42BDE" w:rsidRDefault="00B449D0" w:rsidP="0A5D2A5E">
      <w:pPr>
        <w:spacing w:before="240" w:after="0" w:line="300" w:lineRule="exact"/>
      </w:pPr>
      <w:r w:rsidRPr="00B449D0">
        <w:rPr>
          <w:rFonts w:eastAsia="Calibri" w:cs="Calibri"/>
          <w:color w:val="000000"/>
        </w:rPr>
        <w:t xml:space="preserve">For the same above-mentioned cost and time variability reasons, the ‘Transitional’ estimate in </w:t>
      </w:r>
      <w:r w:rsidR="0016640D">
        <w:rPr>
          <w:rFonts w:eastAsia="Calibri" w:cs="Calibri"/>
          <w:color w:val="000000"/>
        </w:rPr>
        <w:t xml:space="preserve">the table </w:t>
      </w:r>
      <w:r w:rsidRPr="00B449D0">
        <w:rPr>
          <w:rFonts w:eastAsia="Calibri" w:cs="Calibri"/>
          <w:color w:val="000000"/>
        </w:rPr>
        <w:t xml:space="preserve">is presented as an aggregate rather than annual figure. The majority of affected facilities are expected to transition within 2 years however some may incur these costs over a longer transition period if they satisfy the above-mentioned requirements for a temporary extension of time to transition to Method 2 or 3. The ‘Ongoing’ </w:t>
      </w:r>
      <w:r w:rsidR="0016640D">
        <w:rPr>
          <w:rFonts w:eastAsia="Calibri" w:cs="Calibri"/>
          <w:color w:val="000000"/>
        </w:rPr>
        <w:t>estimates</w:t>
      </w:r>
      <w:r w:rsidRPr="00B449D0">
        <w:rPr>
          <w:rFonts w:eastAsia="Calibri" w:cs="Calibri"/>
          <w:color w:val="000000"/>
        </w:rPr>
        <w:t xml:space="preserve"> in </w:t>
      </w:r>
      <w:r w:rsidR="0016640D">
        <w:rPr>
          <w:rFonts w:eastAsia="Calibri" w:cs="Calibri"/>
          <w:color w:val="000000"/>
        </w:rPr>
        <w:t>the table</w:t>
      </w:r>
      <w:r w:rsidRPr="00B449D0">
        <w:rPr>
          <w:rFonts w:eastAsia="Calibri" w:cs="Calibri"/>
          <w:color w:val="000000"/>
        </w:rPr>
        <w:t xml:space="preserve"> are presented as an indicative annual range based on the above-mentioned three categories of mine-typ</w:t>
      </w:r>
      <w:r w:rsidR="0016640D">
        <w:rPr>
          <w:rFonts w:eastAsia="Calibri" w:cs="Calibri"/>
          <w:color w:val="000000"/>
        </w:rPr>
        <w:t>e. They reflect estimated indicative costs</w:t>
      </w:r>
      <w:r w:rsidR="00565C60">
        <w:t xml:space="preserve"> to all affected facilities from the annual preparation and assurance of annual fugitive methane emissions estimates based on the facility-specific gas model</w:t>
      </w:r>
      <w:r w:rsidR="0016640D">
        <w:t>s</w:t>
      </w:r>
      <w:r w:rsidR="00565C60">
        <w:t xml:space="preserve"> developed in the ‘transitional’ stage.</w:t>
      </w:r>
    </w:p>
    <w:p w14:paraId="731029D6" w14:textId="4C444F17" w:rsidR="00687968" w:rsidRDefault="00687968" w:rsidP="0A5D2A5E">
      <w:pPr>
        <w:spacing w:before="240" w:after="0" w:line="300" w:lineRule="exact"/>
      </w:pPr>
      <w:r>
        <w:t>While th</w:t>
      </w:r>
      <w:r w:rsidR="0016640D">
        <w:t>e</w:t>
      </w:r>
      <w:r>
        <w:t xml:space="preserve"> regulatory burden estimate</w:t>
      </w:r>
      <w:r w:rsidR="0016640D">
        <w:t xml:space="preserve"> for business</w:t>
      </w:r>
      <w:r>
        <w:t xml:space="preserve"> is material it has a high degree of uncertainty with regard to each affected facility, due to information paucity and variability between affected facilities. The regulatory burden can also be considered in the context of </w:t>
      </w:r>
      <w:r w:rsidR="004641E3">
        <w:t>the sector’s</w:t>
      </w:r>
      <w:r>
        <w:t xml:space="preserve"> contribution to Australia’s fugitive methane emissions and </w:t>
      </w:r>
      <w:r w:rsidR="00565C60">
        <w:t>operating profits</w:t>
      </w:r>
      <w:r>
        <w:t xml:space="preserve">. </w:t>
      </w:r>
      <w:r w:rsidRPr="00DF71DE">
        <w:t>I</w:t>
      </w:r>
      <w:r w:rsidR="004641E3" w:rsidRPr="00DF71DE">
        <w:t xml:space="preserve">n financial year 2022-23 </w:t>
      </w:r>
      <w:r w:rsidR="00D716D7" w:rsidRPr="002B30FE">
        <w:t xml:space="preserve">Australia’s coal mine sector </w:t>
      </w:r>
      <w:r w:rsidR="00565C60">
        <w:t xml:space="preserve">operating </w:t>
      </w:r>
      <w:r w:rsidR="00D716D7" w:rsidRPr="002B30FE">
        <w:t>profits before tax were $73.3 billion</w:t>
      </w:r>
      <w:r w:rsidR="00FE1695">
        <w:rPr>
          <w:rStyle w:val="FootnoteReference"/>
        </w:rPr>
        <w:footnoteReference w:id="2"/>
      </w:r>
      <w:r w:rsidR="00D716D7" w:rsidRPr="002B30FE">
        <w:t>.</w:t>
      </w:r>
      <w:r w:rsidR="00885CE6">
        <w:t xml:space="preserve"> In financial year 2021-22, open-cut mines fugitive methane emissions accounted for </w:t>
      </w:r>
      <w:r w:rsidR="00885CE6" w:rsidRPr="00836CB2">
        <w:t>9 million tonnes carbon dioxide equivalent</w:t>
      </w:r>
      <w:r w:rsidR="00885CE6">
        <w:t xml:space="preserve">. </w:t>
      </w:r>
    </w:p>
    <w:p w14:paraId="1A5215C8" w14:textId="5152456F" w:rsidR="00E65399" w:rsidRPr="00CC75AC" w:rsidRDefault="00987133" w:rsidP="0A5D2A5E">
      <w:pPr>
        <w:spacing w:before="240" w:after="0" w:line="300" w:lineRule="exact"/>
        <w:rPr>
          <w:rFonts w:eastAsia="Calibri" w:cs="Calibri"/>
          <w:color w:val="000000"/>
        </w:rPr>
      </w:pPr>
      <w:r>
        <w:t>Further detail on these estimates</w:t>
      </w:r>
      <w:r w:rsidR="002F590D">
        <w:t>, including estimates for the other options</w:t>
      </w:r>
      <w:r w:rsidR="005742DF">
        <w:t xml:space="preserve"> considered</w:t>
      </w:r>
      <w:r w:rsidR="002F590D">
        <w:t>,</w:t>
      </w:r>
      <w:r>
        <w:t xml:space="preserve"> </w:t>
      </w:r>
      <w:r w:rsidR="002F590D">
        <w:t>is</w:t>
      </w:r>
      <w:r>
        <w:t xml:space="preserve"> provided </w:t>
      </w:r>
      <w:proofErr w:type="gramStart"/>
      <w:r>
        <w:t>on</w:t>
      </w:r>
      <w:proofErr w:type="gramEnd"/>
      <w:r>
        <w:t xml:space="preserve"> pages </w:t>
      </w:r>
      <w:r w:rsidRPr="00FA0D8B">
        <w:t>9-11</w:t>
      </w:r>
      <w:r>
        <w:t xml:space="preserve"> of </w:t>
      </w:r>
      <w:r w:rsidRPr="00F20DB5">
        <w:rPr>
          <w:b/>
          <w:bCs/>
          <w:u w:val="single"/>
        </w:rPr>
        <w:t>Attachment B</w:t>
      </w:r>
      <w:r>
        <w:t xml:space="preserve">. </w:t>
      </w:r>
    </w:p>
    <w:p w14:paraId="42EDBEF0" w14:textId="41EB116D" w:rsidR="00E65399" w:rsidRDefault="00E65399" w:rsidP="6C138010">
      <w:pPr>
        <w:spacing w:after="0" w:line="240" w:lineRule="auto"/>
        <w:rPr>
          <w:rFonts w:ascii="Calibri" w:eastAsia="Calibri" w:hAnsi="Calibri" w:cs="Calibri"/>
          <w:noProof/>
          <w:color w:val="FF0000"/>
          <w:sz w:val="24"/>
          <w:szCs w:val="24"/>
        </w:rPr>
      </w:pPr>
    </w:p>
    <w:p w14:paraId="2753B239" w14:textId="17AC28D7" w:rsidR="00FE1695" w:rsidRDefault="00FE1695">
      <w:pPr>
        <w:spacing w:after="200" w:line="288" w:lineRule="auto"/>
        <w:rPr>
          <w:rFonts w:ascii="Calibri" w:eastAsia="Calibri" w:hAnsi="Calibri" w:cs="Calibri"/>
          <w:noProof/>
          <w:color w:val="BB4E06"/>
          <w:sz w:val="40"/>
          <w:szCs w:val="40"/>
        </w:rPr>
      </w:pPr>
    </w:p>
    <w:p w14:paraId="4BB9925F" w14:textId="2088488B" w:rsidR="00E65399" w:rsidRDefault="5229E453" w:rsidP="6C138010">
      <w:pPr>
        <w:pStyle w:val="Heading2"/>
        <w:spacing w:before="40" w:after="40" w:line="276" w:lineRule="auto"/>
        <w:rPr>
          <w:rFonts w:ascii="Calibri" w:eastAsia="Calibri" w:hAnsi="Calibri" w:cs="Calibri"/>
          <w:noProof/>
          <w:color w:val="BB4E06"/>
          <w:sz w:val="40"/>
          <w:szCs w:val="40"/>
        </w:rPr>
      </w:pPr>
      <w:r w:rsidRPr="0A5D2A5E">
        <w:rPr>
          <w:rFonts w:ascii="Calibri" w:eastAsia="Calibri" w:hAnsi="Calibri" w:cs="Calibri"/>
          <w:noProof/>
          <w:color w:val="BB4E06"/>
          <w:sz w:val="40"/>
          <w:szCs w:val="40"/>
        </w:rPr>
        <w:lastRenderedPageBreak/>
        <w:t>Regulatory burden estimate table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61"/>
        <w:gridCol w:w="1861"/>
        <w:gridCol w:w="1861"/>
        <w:gridCol w:w="1861"/>
        <w:gridCol w:w="1861"/>
      </w:tblGrid>
      <w:tr w:rsidR="6C138010" w14:paraId="4E5EA3C7" w14:textId="77777777" w:rsidTr="6C138010">
        <w:trPr>
          <w:trHeight w:val="300"/>
        </w:trPr>
        <w:tc>
          <w:tcPr>
            <w:tcW w:w="9305" w:type="dxa"/>
            <w:gridSpan w:val="5"/>
            <w:tcBorders>
              <w:top w:val="single" w:sz="6" w:space="0" w:color="000000"/>
              <w:left w:val="single" w:sz="6" w:space="0" w:color="000000"/>
              <w:bottom w:val="single" w:sz="6" w:space="0" w:color="000000"/>
              <w:right w:val="single" w:sz="6" w:space="0" w:color="000000"/>
            </w:tcBorders>
            <w:shd w:val="clear" w:color="auto" w:fill="041C20"/>
            <w:tcMar>
              <w:left w:w="105" w:type="dxa"/>
              <w:right w:w="105" w:type="dxa"/>
            </w:tcMar>
          </w:tcPr>
          <w:p w14:paraId="200C0E32" w14:textId="58FBDEFA" w:rsidR="6C138010" w:rsidRDefault="00C23C36" w:rsidP="6C138010">
            <w:pPr>
              <w:spacing w:before="120" w:after="120" w:line="276" w:lineRule="auto"/>
              <w:rPr>
                <w:rFonts w:ascii="Calibri" w:eastAsia="Calibri" w:hAnsi="Calibri" w:cs="Calibri"/>
                <w:b/>
                <w:bCs/>
                <w:sz w:val="20"/>
                <w:szCs w:val="20"/>
              </w:rPr>
            </w:pPr>
            <w:r>
              <w:rPr>
                <w:rFonts w:ascii="Calibri" w:eastAsia="Calibri" w:hAnsi="Calibri" w:cs="Calibri"/>
                <w:b/>
                <w:bCs/>
                <w:color w:val="FFFFFF" w:themeColor="background2"/>
                <w:sz w:val="20"/>
                <w:szCs w:val="20"/>
              </w:rPr>
              <w:t>R</w:t>
            </w:r>
            <w:r w:rsidR="6C138010" w:rsidRPr="6C138010">
              <w:rPr>
                <w:rFonts w:ascii="Calibri" w:eastAsia="Calibri" w:hAnsi="Calibri" w:cs="Calibri"/>
                <w:b/>
                <w:bCs/>
                <w:color w:val="FFFFFF" w:themeColor="background2"/>
                <w:sz w:val="20"/>
                <w:szCs w:val="20"/>
              </w:rPr>
              <w:t xml:space="preserve">egulatory cost </w:t>
            </w:r>
            <w:r>
              <w:rPr>
                <w:rFonts w:ascii="Calibri" w:eastAsia="Calibri" w:hAnsi="Calibri" w:cs="Calibri"/>
                <w:b/>
                <w:bCs/>
                <w:color w:val="FFFFFF" w:themeColor="background2"/>
                <w:sz w:val="20"/>
                <w:szCs w:val="20"/>
              </w:rPr>
              <w:t xml:space="preserve">estimates </w:t>
            </w:r>
            <w:r w:rsidR="005A465F">
              <w:rPr>
                <w:rFonts w:ascii="Calibri" w:eastAsia="Calibri" w:hAnsi="Calibri" w:cs="Calibri"/>
                <w:b/>
                <w:bCs/>
                <w:color w:val="FFFFFF" w:themeColor="background2"/>
                <w:sz w:val="20"/>
                <w:szCs w:val="20"/>
              </w:rPr>
              <w:t xml:space="preserve">of </w:t>
            </w:r>
            <w:r>
              <w:rPr>
                <w:rFonts w:ascii="Calibri" w:eastAsia="Calibri" w:hAnsi="Calibri" w:cs="Calibri"/>
                <w:b/>
                <w:bCs/>
                <w:color w:val="FFFFFF" w:themeColor="background2"/>
                <w:sz w:val="20"/>
                <w:szCs w:val="20"/>
              </w:rPr>
              <w:t xml:space="preserve">proposed </w:t>
            </w:r>
            <w:r w:rsidR="005A465F">
              <w:rPr>
                <w:rFonts w:ascii="Calibri" w:eastAsia="Calibri" w:hAnsi="Calibri" w:cs="Calibri"/>
                <w:b/>
                <w:bCs/>
                <w:color w:val="FFFFFF" w:themeColor="background2"/>
                <w:sz w:val="20"/>
                <w:szCs w:val="20"/>
              </w:rPr>
              <w:t>amendment</w:t>
            </w:r>
            <w:r w:rsidR="004D724E">
              <w:rPr>
                <w:rFonts w:ascii="Calibri" w:eastAsia="Calibri" w:hAnsi="Calibri" w:cs="Calibri"/>
                <w:b/>
                <w:bCs/>
                <w:color w:val="FFFFFF" w:themeColor="background2"/>
                <w:sz w:val="20"/>
                <w:szCs w:val="20"/>
              </w:rPr>
              <w:t>s</w:t>
            </w:r>
            <w:r w:rsidR="005A465F">
              <w:rPr>
                <w:rFonts w:ascii="Calibri" w:eastAsia="Calibri" w:hAnsi="Calibri" w:cs="Calibri"/>
                <w:b/>
                <w:bCs/>
                <w:color w:val="FFFFFF" w:themeColor="background2"/>
                <w:sz w:val="20"/>
                <w:szCs w:val="20"/>
              </w:rPr>
              <w:t xml:space="preserve"> </w:t>
            </w:r>
            <w:r w:rsidR="6C138010" w:rsidRPr="6C138010">
              <w:rPr>
                <w:rFonts w:ascii="Calibri" w:eastAsia="Calibri" w:hAnsi="Calibri" w:cs="Calibri"/>
                <w:b/>
                <w:bCs/>
                <w:color w:val="FFFFFF" w:themeColor="background2"/>
                <w:sz w:val="20"/>
                <w:szCs w:val="20"/>
              </w:rPr>
              <w:t>(from business as usual)</w:t>
            </w:r>
            <w:r w:rsidR="00987133">
              <w:rPr>
                <w:rFonts w:ascii="Calibri" w:eastAsia="Calibri" w:hAnsi="Calibri" w:cs="Calibri"/>
                <w:b/>
                <w:bCs/>
                <w:color w:val="FFFFFF" w:themeColor="background2"/>
                <w:sz w:val="20"/>
                <w:szCs w:val="20"/>
              </w:rPr>
              <w:t xml:space="preserve">: </w:t>
            </w:r>
            <w:r w:rsidR="0045640A">
              <w:rPr>
                <w:rFonts w:ascii="Calibri" w:eastAsia="Calibri" w:hAnsi="Calibri" w:cs="Calibri"/>
                <w:b/>
                <w:bCs/>
                <w:color w:val="FFFFFF" w:themeColor="background2"/>
                <w:sz w:val="20"/>
                <w:szCs w:val="20"/>
              </w:rPr>
              <w:t>transitional</w:t>
            </w:r>
            <w:r w:rsidR="00987133">
              <w:rPr>
                <w:rFonts w:ascii="Calibri" w:eastAsia="Calibri" w:hAnsi="Calibri" w:cs="Calibri"/>
                <w:b/>
                <w:bCs/>
                <w:color w:val="FFFFFF" w:themeColor="background2"/>
                <w:sz w:val="20"/>
                <w:szCs w:val="20"/>
              </w:rPr>
              <w:t xml:space="preserve"> and </w:t>
            </w:r>
            <w:r w:rsidR="0045640A">
              <w:rPr>
                <w:rFonts w:ascii="Calibri" w:eastAsia="Calibri" w:hAnsi="Calibri" w:cs="Calibri"/>
                <w:b/>
                <w:bCs/>
                <w:color w:val="FFFFFF" w:themeColor="background2"/>
                <w:sz w:val="20"/>
                <w:szCs w:val="20"/>
              </w:rPr>
              <w:t>ongoing</w:t>
            </w:r>
          </w:p>
        </w:tc>
      </w:tr>
      <w:tr w:rsidR="6C138010" w14:paraId="72D2D004" w14:textId="77777777" w:rsidTr="6C138010">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2776C48" w14:textId="030785AA" w:rsidR="6C138010" w:rsidRDefault="6C138010" w:rsidP="6C138010">
            <w:pPr>
              <w:pStyle w:val="TableText"/>
              <w:spacing w:line="240" w:lineRule="auto"/>
              <w:rPr>
                <w:rFonts w:ascii="Calibri" w:eastAsia="Calibri" w:hAnsi="Calibri" w:cs="Calibri"/>
                <w:b/>
                <w:bCs/>
              </w:rPr>
            </w:pPr>
            <w:r w:rsidRPr="6C138010">
              <w:rPr>
                <w:rFonts w:ascii="Calibri" w:eastAsia="Calibri" w:hAnsi="Calibri" w:cs="Calibri"/>
              </w:rPr>
              <w:t>Change in costs ($ million)</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EA01E5" w14:textId="7E120964" w:rsidR="6C138010" w:rsidRDefault="6C138010" w:rsidP="6C138010">
            <w:pPr>
              <w:pStyle w:val="TableText"/>
              <w:spacing w:line="240" w:lineRule="auto"/>
              <w:rPr>
                <w:rFonts w:ascii="Calibri" w:eastAsia="Calibri" w:hAnsi="Calibri" w:cs="Calibri"/>
              </w:rPr>
            </w:pPr>
            <w:r w:rsidRPr="6C138010">
              <w:rPr>
                <w:rFonts w:ascii="Calibri" w:eastAsia="Calibri" w:hAnsi="Calibri" w:cs="Calibri"/>
              </w:rPr>
              <w:t>Business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61B03CA" w14:textId="51F6383A"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Community organisations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115836F" w14:textId="6DC357D4"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Individuals</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5FD3C51" w14:textId="561900B1"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Total change in costs</w:t>
            </w:r>
          </w:p>
        </w:tc>
      </w:tr>
      <w:tr w:rsidR="6C138010" w14:paraId="03DAC37F" w14:textId="77777777" w:rsidTr="6C138010">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54C94E" w14:textId="1859388F" w:rsidR="6C138010" w:rsidRDefault="6C138010" w:rsidP="6C138010">
            <w:pPr>
              <w:spacing w:before="120" w:after="120" w:line="276" w:lineRule="auto"/>
              <w:rPr>
                <w:rFonts w:ascii="Calibri" w:eastAsia="Calibri" w:hAnsi="Calibri" w:cs="Calibri"/>
                <w:b/>
                <w:bCs/>
                <w:sz w:val="20"/>
                <w:szCs w:val="20"/>
              </w:rPr>
            </w:pPr>
            <w:r w:rsidRPr="6C138010">
              <w:rPr>
                <w:rFonts w:ascii="Calibri" w:eastAsia="Calibri" w:hAnsi="Calibri" w:cs="Calibri"/>
                <w:sz w:val="20"/>
                <w:szCs w:val="20"/>
              </w:rPr>
              <w:t>Total, by sector</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4F4A3B3" w14:textId="4503FB91"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A4C865D" w14:textId="629BF971"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w:t>
            </w:r>
            <w:r w:rsidR="009D1210">
              <w:rPr>
                <w:rFonts w:ascii="Calibri" w:eastAsia="Calibri" w:hAnsi="Calibri" w:cs="Calibri"/>
                <w:sz w:val="20"/>
                <w:szCs w:val="20"/>
              </w:rPr>
              <w:t>0</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A75077A" w14:textId="6940A8FA"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w:t>
            </w:r>
            <w:r w:rsidR="009D1210">
              <w:rPr>
                <w:rFonts w:ascii="Calibri" w:eastAsia="Calibri" w:hAnsi="Calibri" w:cs="Calibri"/>
                <w:sz w:val="20"/>
                <w:szCs w:val="20"/>
              </w:rPr>
              <w:t>0</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B6F62F4" w14:textId="4C1B9D77" w:rsidR="6C138010" w:rsidRDefault="6C138010" w:rsidP="6C138010">
            <w:pPr>
              <w:spacing w:before="120" w:after="120" w:line="276" w:lineRule="auto"/>
              <w:rPr>
                <w:rFonts w:ascii="Calibri" w:eastAsia="Calibri" w:hAnsi="Calibri" w:cs="Calibri"/>
                <w:sz w:val="20"/>
                <w:szCs w:val="20"/>
              </w:rPr>
            </w:pPr>
            <w:r w:rsidRPr="6C138010">
              <w:rPr>
                <w:rFonts w:ascii="Calibri" w:eastAsia="Calibri" w:hAnsi="Calibri" w:cs="Calibri"/>
                <w:sz w:val="20"/>
                <w:szCs w:val="20"/>
              </w:rPr>
              <w:t>$</w:t>
            </w:r>
          </w:p>
        </w:tc>
      </w:tr>
      <w:tr w:rsidR="00BA1AC2" w14:paraId="313C9A1C" w14:textId="77777777" w:rsidTr="6C138010">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B9F3DDB" w14:textId="05D189C6" w:rsidR="00BA1AC2" w:rsidRPr="00F20DB5" w:rsidRDefault="00181B45" w:rsidP="00BA1AC2">
            <w:pPr>
              <w:spacing w:before="120" w:after="120" w:line="276" w:lineRule="auto"/>
              <w:rPr>
                <w:rFonts w:ascii="Calibri" w:eastAsia="Calibri" w:hAnsi="Calibri" w:cs="Calibri"/>
                <w:i/>
                <w:iCs/>
                <w:sz w:val="20"/>
                <w:szCs w:val="20"/>
              </w:rPr>
            </w:pPr>
            <w:r>
              <w:rPr>
                <w:rFonts w:ascii="Calibri" w:eastAsia="Calibri" w:hAnsi="Calibri" w:cs="Calibri"/>
                <w:i/>
                <w:iCs/>
                <w:sz w:val="20"/>
                <w:szCs w:val="20"/>
              </w:rPr>
              <w:t>Transition</w:t>
            </w:r>
            <w:r w:rsidR="00915465">
              <w:rPr>
                <w:rFonts w:ascii="Calibri" w:eastAsia="Calibri" w:hAnsi="Calibri" w:cs="Calibri"/>
                <w:i/>
                <w:iCs/>
                <w:sz w:val="20"/>
                <w:szCs w:val="20"/>
              </w:rPr>
              <w:t>al</w:t>
            </w:r>
            <w:r w:rsidR="00BA1AC2">
              <w:rPr>
                <w:rFonts w:ascii="Calibri" w:eastAsia="Calibri" w:hAnsi="Calibri" w:cs="Calibri"/>
                <w:i/>
                <w:iCs/>
                <w:sz w:val="20"/>
                <w:szCs w:val="20"/>
              </w:rPr>
              <w:t>*</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714A9D6" w14:textId="112032D3" w:rsidR="00BA1AC2" w:rsidRPr="6C138010" w:rsidRDefault="00E62AC8" w:rsidP="00BA1AC2">
            <w:pPr>
              <w:spacing w:before="120" w:after="120" w:line="276" w:lineRule="auto"/>
              <w:rPr>
                <w:rFonts w:ascii="Calibri" w:eastAsia="Calibri" w:hAnsi="Calibri" w:cs="Calibri"/>
                <w:sz w:val="20"/>
                <w:szCs w:val="20"/>
              </w:rPr>
            </w:pPr>
            <w:r>
              <w:rPr>
                <w:sz w:val="20"/>
                <w:szCs w:val="20"/>
              </w:rPr>
              <w:t>80-100</w:t>
            </w:r>
            <w:r w:rsidR="00DA55EE">
              <w:rPr>
                <w:sz w:val="20"/>
                <w:szCs w:val="20"/>
              </w:rPr>
              <w:t xml:space="preserve"> </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EC4682E" w14:textId="77777777" w:rsidR="00BA1AC2" w:rsidRPr="6C138010" w:rsidRDefault="00BA1AC2" w:rsidP="00BA1AC2">
            <w:pPr>
              <w:spacing w:before="120" w:after="120" w:line="276" w:lineRule="auto"/>
              <w:rPr>
                <w:rFonts w:ascii="Calibri" w:eastAsia="Calibri" w:hAnsi="Calibri" w:cs="Calibri"/>
                <w:sz w:val="20"/>
                <w:szCs w:val="20"/>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FDDAD36" w14:textId="77777777" w:rsidR="00BA1AC2" w:rsidRPr="6C138010" w:rsidRDefault="00BA1AC2" w:rsidP="00BA1AC2">
            <w:pPr>
              <w:spacing w:before="120" w:after="120" w:line="276" w:lineRule="auto"/>
              <w:rPr>
                <w:rFonts w:ascii="Calibri" w:eastAsia="Calibri" w:hAnsi="Calibri" w:cs="Calibri"/>
                <w:sz w:val="20"/>
                <w:szCs w:val="20"/>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64ADE3C" w14:textId="6AE048A6" w:rsidR="00BA1AC2" w:rsidRPr="6C138010" w:rsidRDefault="00E62AC8" w:rsidP="00BA1AC2">
            <w:pPr>
              <w:spacing w:before="120" w:after="120" w:line="276" w:lineRule="auto"/>
              <w:rPr>
                <w:rFonts w:ascii="Calibri" w:eastAsia="Calibri" w:hAnsi="Calibri" w:cs="Calibri"/>
                <w:sz w:val="20"/>
                <w:szCs w:val="20"/>
              </w:rPr>
            </w:pPr>
            <w:r>
              <w:rPr>
                <w:sz w:val="20"/>
                <w:szCs w:val="20"/>
              </w:rPr>
              <w:t>80-100</w:t>
            </w:r>
          </w:p>
        </w:tc>
      </w:tr>
      <w:tr w:rsidR="00BA1AC2" w14:paraId="7C8B165E" w14:textId="77777777" w:rsidTr="6C138010">
        <w:trPr>
          <w:trHeight w:val="300"/>
        </w:trPr>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582F38C" w14:textId="2BF40AC2" w:rsidR="00BA1AC2" w:rsidRDefault="00BA1AC2" w:rsidP="00BA1AC2">
            <w:pPr>
              <w:spacing w:before="120" w:after="120" w:line="276" w:lineRule="auto"/>
              <w:rPr>
                <w:rFonts w:ascii="Calibri" w:eastAsia="Calibri" w:hAnsi="Calibri" w:cs="Calibri"/>
                <w:i/>
                <w:iCs/>
                <w:sz w:val="20"/>
                <w:szCs w:val="20"/>
              </w:rPr>
            </w:pPr>
            <w:r>
              <w:rPr>
                <w:rFonts w:ascii="Calibri" w:eastAsia="Calibri" w:hAnsi="Calibri" w:cs="Calibri"/>
                <w:i/>
                <w:iCs/>
                <w:sz w:val="20"/>
                <w:szCs w:val="20"/>
              </w:rPr>
              <w:t>Ongoing**</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BC624FD" w14:textId="19E284FB" w:rsidR="00BA1AC2" w:rsidRPr="6C138010" w:rsidRDefault="00E62AC8" w:rsidP="00BA1AC2">
            <w:pPr>
              <w:spacing w:before="120" w:after="120" w:line="276" w:lineRule="auto"/>
              <w:rPr>
                <w:rFonts w:ascii="Calibri" w:eastAsia="Calibri" w:hAnsi="Calibri" w:cs="Calibri"/>
                <w:sz w:val="20"/>
                <w:szCs w:val="20"/>
              </w:rPr>
            </w:pPr>
            <w:r>
              <w:rPr>
                <w:sz w:val="20"/>
                <w:szCs w:val="20"/>
              </w:rPr>
              <w:t>3-4</w:t>
            </w: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B85E3AA" w14:textId="77777777" w:rsidR="00BA1AC2" w:rsidRPr="6C138010" w:rsidRDefault="00BA1AC2" w:rsidP="00BA1AC2">
            <w:pPr>
              <w:spacing w:before="120" w:after="120" w:line="276" w:lineRule="auto"/>
              <w:rPr>
                <w:rFonts w:ascii="Calibri" w:eastAsia="Calibri" w:hAnsi="Calibri" w:cs="Calibri"/>
                <w:sz w:val="20"/>
                <w:szCs w:val="20"/>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A7BBE02" w14:textId="77777777" w:rsidR="00BA1AC2" w:rsidRPr="6C138010" w:rsidRDefault="00BA1AC2" w:rsidP="00BA1AC2">
            <w:pPr>
              <w:spacing w:before="120" w:after="120" w:line="276" w:lineRule="auto"/>
              <w:rPr>
                <w:rFonts w:ascii="Calibri" w:eastAsia="Calibri" w:hAnsi="Calibri" w:cs="Calibri"/>
                <w:sz w:val="20"/>
                <w:szCs w:val="20"/>
              </w:rPr>
            </w:pPr>
          </w:p>
        </w:tc>
        <w:tc>
          <w:tcPr>
            <w:tcW w:w="186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083536FC" w14:textId="4BC2933C" w:rsidR="00BA1AC2" w:rsidRPr="6C138010" w:rsidRDefault="00E62AC8" w:rsidP="00BA1AC2">
            <w:pPr>
              <w:spacing w:before="120" w:after="120" w:line="276" w:lineRule="auto"/>
              <w:rPr>
                <w:rFonts w:ascii="Calibri" w:eastAsia="Calibri" w:hAnsi="Calibri" w:cs="Calibri"/>
                <w:sz w:val="20"/>
                <w:szCs w:val="20"/>
              </w:rPr>
            </w:pPr>
            <w:r>
              <w:rPr>
                <w:sz w:val="20"/>
                <w:szCs w:val="20"/>
              </w:rPr>
              <w:t>3-4</w:t>
            </w:r>
          </w:p>
        </w:tc>
      </w:tr>
    </w:tbl>
    <w:p w14:paraId="137BC278" w14:textId="5DAC26BD" w:rsidR="00E65399" w:rsidRPr="00F20DB5" w:rsidRDefault="00C54E13" w:rsidP="6C138010">
      <w:pPr>
        <w:spacing w:after="0" w:line="240" w:lineRule="auto"/>
        <w:rPr>
          <w:rFonts w:eastAsia="Calibri" w:cs="Calibri"/>
          <w:sz w:val="18"/>
          <w:szCs w:val="18"/>
        </w:rPr>
      </w:pPr>
      <w:r w:rsidRPr="00F20DB5">
        <w:rPr>
          <w:rFonts w:eastAsia="Calibri" w:cs="Calibri"/>
          <w:sz w:val="18"/>
          <w:szCs w:val="18"/>
        </w:rPr>
        <w:t>* Costs expected to be incurred</w:t>
      </w:r>
      <w:r w:rsidR="007D25CF">
        <w:rPr>
          <w:rFonts w:eastAsia="Calibri" w:cs="Calibri"/>
          <w:sz w:val="18"/>
          <w:szCs w:val="18"/>
        </w:rPr>
        <w:t xml:space="preserve"> </w:t>
      </w:r>
      <w:r w:rsidRPr="00F20DB5">
        <w:rPr>
          <w:rFonts w:eastAsia="Calibri" w:cs="Calibri"/>
          <w:sz w:val="18"/>
          <w:szCs w:val="18"/>
        </w:rPr>
        <w:t>over one</w:t>
      </w:r>
      <w:r w:rsidR="004A51CF">
        <w:rPr>
          <w:rFonts w:eastAsia="Calibri" w:cs="Calibri"/>
          <w:sz w:val="18"/>
          <w:szCs w:val="18"/>
        </w:rPr>
        <w:t xml:space="preserve"> </w:t>
      </w:r>
      <w:r w:rsidRPr="00F20DB5">
        <w:rPr>
          <w:rFonts w:eastAsia="Calibri" w:cs="Calibri"/>
          <w:sz w:val="18"/>
          <w:szCs w:val="18"/>
        </w:rPr>
        <w:t>or more years</w:t>
      </w:r>
      <w:r w:rsidR="00787561">
        <w:rPr>
          <w:rFonts w:eastAsia="Calibri" w:cs="Calibri"/>
          <w:sz w:val="18"/>
          <w:szCs w:val="18"/>
        </w:rPr>
        <w:t xml:space="preserve"> </w:t>
      </w:r>
      <w:r w:rsidR="00B31D4D">
        <w:rPr>
          <w:rFonts w:eastAsia="Calibri" w:cs="Calibri"/>
          <w:sz w:val="18"/>
          <w:szCs w:val="18"/>
        </w:rPr>
        <w:t xml:space="preserve">to </w:t>
      </w:r>
      <w:r w:rsidR="00591F63">
        <w:rPr>
          <w:rFonts w:eastAsia="Calibri" w:cs="Calibri"/>
          <w:sz w:val="18"/>
          <w:szCs w:val="18"/>
        </w:rPr>
        <w:t>complete the</w:t>
      </w:r>
      <w:r w:rsidR="00F40A1B">
        <w:rPr>
          <w:rFonts w:eastAsia="Calibri" w:cs="Calibri"/>
          <w:sz w:val="18"/>
          <w:szCs w:val="18"/>
        </w:rPr>
        <w:t xml:space="preserve"> preparat</w:t>
      </w:r>
      <w:r w:rsidR="00591F63">
        <w:rPr>
          <w:rFonts w:eastAsia="Calibri" w:cs="Calibri"/>
          <w:sz w:val="18"/>
          <w:szCs w:val="18"/>
        </w:rPr>
        <w:t xml:space="preserve">ory work required to transition </w:t>
      </w:r>
      <w:r w:rsidR="00526325">
        <w:rPr>
          <w:rFonts w:eastAsia="Calibri" w:cs="Calibri"/>
          <w:sz w:val="18"/>
          <w:szCs w:val="18"/>
        </w:rPr>
        <w:t>affected</w:t>
      </w:r>
      <w:r w:rsidR="00386EA2">
        <w:rPr>
          <w:rFonts w:eastAsia="Calibri" w:cs="Calibri"/>
          <w:sz w:val="18"/>
          <w:szCs w:val="18"/>
        </w:rPr>
        <w:t xml:space="preserve"> </w:t>
      </w:r>
      <w:r w:rsidR="00591F63">
        <w:rPr>
          <w:rFonts w:eastAsia="Calibri" w:cs="Calibri"/>
          <w:sz w:val="18"/>
          <w:szCs w:val="18"/>
        </w:rPr>
        <w:t>facilit</w:t>
      </w:r>
      <w:r w:rsidR="00546E1A">
        <w:rPr>
          <w:rFonts w:eastAsia="Calibri" w:cs="Calibri"/>
          <w:sz w:val="18"/>
          <w:szCs w:val="18"/>
        </w:rPr>
        <w:t>ies</w:t>
      </w:r>
      <w:r w:rsidR="00591F63">
        <w:rPr>
          <w:rFonts w:eastAsia="Calibri" w:cs="Calibri"/>
          <w:sz w:val="18"/>
          <w:szCs w:val="18"/>
        </w:rPr>
        <w:t xml:space="preserve"> to </w:t>
      </w:r>
      <w:r w:rsidR="00F40A1B">
        <w:rPr>
          <w:rFonts w:eastAsia="Calibri" w:cs="Calibri"/>
          <w:sz w:val="18"/>
          <w:szCs w:val="18"/>
        </w:rPr>
        <w:t>annual reporting using</w:t>
      </w:r>
      <w:r w:rsidR="00591F63">
        <w:rPr>
          <w:rFonts w:eastAsia="Calibri" w:cs="Calibri"/>
          <w:sz w:val="18"/>
          <w:szCs w:val="18"/>
        </w:rPr>
        <w:t xml:space="preserve"> </w:t>
      </w:r>
      <w:r w:rsidR="00F40A1B">
        <w:rPr>
          <w:rFonts w:eastAsia="Calibri" w:cs="Calibri"/>
          <w:sz w:val="18"/>
          <w:szCs w:val="18"/>
        </w:rPr>
        <w:t xml:space="preserve">emission estimation </w:t>
      </w:r>
      <w:r w:rsidR="002C6011">
        <w:rPr>
          <w:rFonts w:eastAsia="Calibri" w:cs="Calibri"/>
          <w:sz w:val="18"/>
          <w:szCs w:val="18"/>
        </w:rPr>
        <w:t>M</w:t>
      </w:r>
      <w:r w:rsidR="00F40A1B">
        <w:rPr>
          <w:rFonts w:eastAsia="Calibri" w:cs="Calibri"/>
          <w:sz w:val="18"/>
          <w:szCs w:val="18"/>
        </w:rPr>
        <w:t>ethod</w:t>
      </w:r>
      <w:r w:rsidR="002C6011">
        <w:rPr>
          <w:rFonts w:eastAsia="Calibri" w:cs="Calibri"/>
          <w:sz w:val="18"/>
          <w:szCs w:val="18"/>
        </w:rPr>
        <w:t xml:space="preserve"> 2 or 3</w:t>
      </w:r>
      <w:r w:rsidR="00CB705B" w:rsidRPr="001F387E">
        <w:rPr>
          <w:rFonts w:eastAsia="Calibri" w:cs="Calibri"/>
          <w:sz w:val="18"/>
          <w:szCs w:val="18"/>
        </w:rPr>
        <w:t>.</w:t>
      </w:r>
    </w:p>
    <w:p w14:paraId="7367FAEB" w14:textId="30571925" w:rsidR="00CB705B" w:rsidRDefault="00CB705B" w:rsidP="6C138010">
      <w:pPr>
        <w:spacing w:after="0" w:line="240" w:lineRule="auto"/>
        <w:rPr>
          <w:rFonts w:eastAsia="Calibri" w:cs="Calibri"/>
          <w:sz w:val="18"/>
          <w:szCs w:val="18"/>
        </w:rPr>
      </w:pPr>
      <w:r w:rsidRPr="00F20DB5">
        <w:rPr>
          <w:rFonts w:eastAsia="Calibri" w:cs="Calibri"/>
          <w:sz w:val="18"/>
          <w:szCs w:val="18"/>
        </w:rPr>
        <w:t xml:space="preserve">** </w:t>
      </w:r>
      <w:r w:rsidR="007F218B" w:rsidRPr="00F20DB5">
        <w:rPr>
          <w:rFonts w:eastAsia="Calibri" w:cs="Calibri"/>
          <w:sz w:val="18"/>
          <w:szCs w:val="18"/>
        </w:rPr>
        <w:t>Costs expected to be incurred on an annual basis</w:t>
      </w:r>
      <w:r w:rsidR="00FC4F05">
        <w:rPr>
          <w:rFonts w:eastAsia="Calibri" w:cs="Calibri"/>
          <w:sz w:val="18"/>
          <w:szCs w:val="18"/>
        </w:rPr>
        <w:t xml:space="preserve"> </w:t>
      </w:r>
      <w:r w:rsidR="003C659F">
        <w:rPr>
          <w:rFonts w:eastAsia="Calibri" w:cs="Calibri"/>
          <w:sz w:val="18"/>
          <w:szCs w:val="18"/>
        </w:rPr>
        <w:t xml:space="preserve">in the reporting of </w:t>
      </w:r>
      <w:r w:rsidR="005C35FE">
        <w:rPr>
          <w:rFonts w:eastAsia="Calibri" w:cs="Calibri"/>
          <w:sz w:val="18"/>
          <w:szCs w:val="18"/>
        </w:rPr>
        <w:t>emissions estimates using Method 2 or 3</w:t>
      </w:r>
      <w:r w:rsidR="008E18B7">
        <w:rPr>
          <w:rFonts w:eastAsia="Calibri" w:cs="Calibri"/>
          <w:sz w:val="18"/>
          <w:szCs w:val="18"/>
        </w:rPr>
        <w:t>, once</w:t>
      </w:r>
      <w:r w:rsidR="00FC4F05">
        <w:rPr>
          <w:rFonts w:eastAsia="Calibri" w:cs="Calibri"/>
          <w:sz w:val="18"/>
          <w:szCs w:val="18"/>
        </w:rPr>
        <w:t xml:space="preserve"> </w:t>
      </w:r>
      <w:r w:rsidR="00FD31B3">
        <w:rPr>
          <w:rFonts w:eastAsia="Calibri" w:cs="Calibri"/>
          <w:sz w:val="18"/>
          <w:szCs w:val="18"/>
        </w:rPr>
        <w:t>transition</w:t>
      </w:r>
      <w:r w:rsidR="00C6329F">
        <w:rPr>
          <w:rFonts w:eastAsia="Calibri" w:cs="Calibri"/>
          <w:sz w:val="18"/>
          <w:szCs w:val="18"/>
        </w:rPr>
        <w:t xml:space="preserve"> </w:t>
      </w:r>
      <w:r w:rsidR="008E18B7">
        <w:rPr>
          <w:rFonts w:eastAsia="Calibri" w:cs="Calibri"/>
          <w:sz w:val="18"/>
          <w:szCs w:val="18"/>
        </w:rPr>
        <w:t xml:space="preserve">is </w:t>
      </w:r>
      <w:r w:rsidR="00C6329F">
        <w:rPr>
          <w:rFonts w:eastAsia="Calibri" w:cs="Calibri"/>
          <w:sz w:val="18"/>
          <w:szCs w:val="18"/>
        </w:rPr>
        <w:t>completed</w:t>
      </w:r>
      <w:r w:rsidR="007F218B" w:rsidRPr="00F20DB5">
        <w:rPr>
          <w:rFonts w:eastAsia="Calibri" w:cs="Calibri"/>
          <w:sz w:val="18"/>
          <w:szCs w:val="18"/>
        </w:rPr>
        <w:t xml:space="preserve">. </w:t>
      </w:r>
    </w:p>
    <w:p w14:paraId="0F8DB0F8" w14:textId="77777777" w:rsidR="00FE1695" w:rsidRDefault="00FE1695" w:rsidP="6C138010">
      <w:pPr>
        <w:spacing w:before="120" w:after="120" w:line="300" w:lineRule="exact"/>
        <w:rPr>
          <w:rFonts w:eastAsia="Calibri" w:cs="Calibri"/>
          <w:color w:val="000000"/>
          <w:szCs w:val="22"/>
        </w:rPr>
      </w:pPr>
    </w:p>
    <w:p w14:paraId="7AABCAC2" w14:textId="29BE9603" w:rsidR="00E65399" w:rsidRPr="00CC75AC" w:rsidRDefault="5229E453" w:rsidP="6C138010">
      <w:pPr>
        <w:spacing w:before="120" w:after="120" w:line="300" w:lineRule="exact"/>
        <w:rPr>
          <w:rFonts w:eastAsia="Calibri" w:cs="Calibri"/>
          <w:color w:val="000000"/>
          <w:szCs w:val="22"/>
        </w:rPr>
      </w:pPr>
      <w:r w:rsidRPr="00CC75AC">
        <w:rPr>
          <w:rFonts w:eastAsia="Calibri" w:cs="Calibri"/>
          <w:color w:val="000000"/>
          <w:szCs w:val="22"/>
        </w:rPr>
        <w:t xml:space="preserve">Accordingly, I am satisfied that the attached </w:t>
      </w:r>
      <w:r w:rsidR="00F5749F">
        <w:rPr>
          <w:rFonts w:eastAsia="Calibri" w:cs="Calibri"/>
          <w:color w:val="000000"/>
          <w:szCs w:val="22"/>
        </w:rPr>
        <w:t>documents are</w:t>
      </w:r>
      <w:r w:rsidRPr="00CC75AC">
        <w:rPr>
          <w:rFonts w:eastAsia="Calibri" w:cs="Calibri"/>
          <w:color w:val="000000"/>
          <w:szCs w:val="22"/>
        </w:rPr>
        <w:t xml:space="preserve"> consistent with the </w:t>
      </w:r>
      <w:r w:rsidRPr="00CC75AC">
        <w:rPr>
          <w:rFonts w:eastAsia="Calibri" w:cs="Calibri"/>
          <w:i/>
          <w:color w:val="000000"/>
          <w:szCs w:val="22"/>
        </w:rPr>
        <w:t>Australian Government Guide to Policy Impact Analysis</w:t>
      </w:r>
      <w:r w:rsidRPr="00CC75AC">
        <w:rPr>
          <w:rFonts w:eastAsia="Calibri" w:cs="Calibri"/>
          <w:color w:val="000000"/>
          <w:szCs w:val="22"/>
        </w:rPr>
        <w:t>.</w:t>
      </w:r>
    </w:p>
    <w:p w14:paraId="6DF32FD0" w14:textId="4F598FFB" w:rsidR="00E65399" w:rsidRPr="00CC75AC" w:rsidRDefault="00E65399" w:rsidP="6C138010">
      <w:pPr>
        <w:spacing w:before="240" w:after="120" w:line="300" w:lineRule="exact"/>
        <w:rPr>
          <w:rFonts w:eastAsia="Calibri" w:cs="Calibri"/>
          <w:color w:val="000000"/>
          <w:szCs w:val="22"/>
        </w:rPr>
      </w:pPr>
    </w:p>
    <w:p w14:paraId="72FB8DBB" w14:textId="7153140F" w:rsidR="00E65399" w:rsidRPr="00CC75AC" w:rsidRDefault="5229E453" w:rsidP="6C138010">
      <w:pPr>
        <w:pStyle w:val="Header"/>
        <w:rPr>
          <w:rFonts w:eastAsia="Calibri" w:cs="Calibri"/>
          <w:color w:val="000000"/>
          <w:szCs w:val="22"/>
        </w:rPr>
      </w:pPr>
      <w:r w:rsidRPr="00CC75AC">
        <w:rPr>
          <w:rFonts w:eastAsia="Calibri" w:cs="Calibri"/>
          <w:color w:val="000000"/>
          <w:szCs w:val="22"/>
        </w:rPr>
        <w:t>Yours sincerely</w:t>
      </w:r>
    </w:p>
    <w:p w14:paraId="3632D7E4" w14:textId="62C83451" w:rsidR="00E65399" w:rsidRDefault="00E65399" w:rsidP="6C138010">
      <w:pPr>
        <w:tabs>
          <w:tab w:val="center" w:pos="4513"/>
          <w:tab w:val="right" w:pos="9026"/>
        </w:tabs>
        <w:spacing w:after="0" w:line="240" w:lineRule="auto"/>
        <w:rPr>
          <w:rFonts w:eastAsia="Calibri" w:cs="Calibri"/>
          <w:color w:val="000000"/>
          <w:szCs w:val="22"/>
        </w:rPr>
      </w:pPr>
    </w:p>
    <w:p w14:paraId="31C31B7F" w14:textId="028B6FD5" w:rsidR="00CC75AC" w:rsidRDefault="006928DB" w:rsidP="6C138010">
      <w:pPr>
        <w:tabs>
          <w:tab w:val="center" w:pos="4513"/>
          <w:tab w:val="right" w:pos="9026"/>
        </w:tabs>
        <w:spacing w:after="0" w:line="240" w:lineRule="auto"/>
        <w:rPr>
          <w:rFonts w:eastAsia="Calibri" w:cs="Calibri"/>
          <w:noProof/>
          <w:color w:val="000000"/>
          <w:szCs w:val="22"/>
        </w:rPr>
      </w:pPr>
      <w:r w:rsidRPr="006928DB">
        <w:rPr>
          <w:rFonts w:eastAsia="Calibri" w:cs="Calibri"/>
          <w:noProof/>
          <w:color w:val="000000"/>
          <w:szCs w:val="22"/>
          <w:lang w:eastAsia="en-AU"/>
        </w:rPr>
        <w:drawing>
          <wp:inline distT="0" distB="0" distL="0" distR="0" wp14:anchorId="3A4DE20C" wp14:editId="7DF1F0E5">
            <wp:extent cx="1606633" cy="533427"/>
            <wp:effectExtent l="0" t="0" r="0" b="0"/>
            <wp:docPr id="2141773722" name="Picture 1" descr="A blue writ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73722" name="Picture 1" descr="A blue writing on a white background&#10;&#10;Description automatically generated"/>
                    <pic:cNvPicPr/>
                  </pic:nvPicPr>
                  <pic:blipFill>
                    <a:blip r:embed="rId9"/>
                    <a:stretch>
                      <a:fillRect/>
                    </a:stretch>
                  </pic:blipFill>
                  <pic:spPr>
                    <a:xfrm>
                      <a:off x="0" y="0"/>
                      <a:ext cx="1606633" cy="533427"/>
                    </a:xfrm>
                    <a:prstGeom prst="rect">
                      <a:avLst/>
                    </a:prstGeom>
                  </pic:spPr>
                </pic:pic>
              </a:graphicData>
            </a:graphic>
          </wp:inline>
        </w:drawing>
      </w:r>
    </w:p>
    <w:p w14:paraId="59DCB0B6" w14:textId="77777777" w:rsidR="00D5175A" w:rsidRDefault="00D5175A" w:rsidP="6C138010">
      <w:pPr>
        <w:tabs>
          <w:tab w:val="center" w:pos="4513"/>
          <w:tab w:val="right" w:pos="9026"/>
        </w:tabs>
        <w:spacing w:after="0" w:line="240" w:lineRule="auto"/>
        <w:rPr>
          <w:rFonts w:eastAsia="Calibri" w:cs="Calibri"/>
          <w:noProof/>
          <w:color w:val="000000"/>
          <w:szCs w:val="22"/>
        </w:rPr>
      </w:pPr>
    </w:p>
    <w:p w14:paraId="3E2CA6C8" w14:textId="77777777" w:rsidR="00D5175A" w:rsidRPr="00CC75AC" w:rsidRDefault="00D5175A" w:rsidP="6C138010">
      <w:pPr>
        <w:tabs>
          <w:tab w:val="center" w:pos="4513"/>
          <w:tab w:val="right" w:pos="9026"/>
        </w:tabs>
        <w:spacing w:after="0" w:line="240" w:lineRule="auto"/>
        <w:rPr>
          <w:rFonts w:eastAsia="Calibri" w:cs="Calibri"/>
          <w:noProof/>
          <w:color w:val="000000"/>
          <w:szCs w:val="22"/>
        </w:rPr>
      </w:pPr>
    </w:p>
    <w:p w14:paraId="65166234" w14:textId="0BD1A452" w:rsidR="00E65399" w:rsidRPr="00CC75AC" w:rsidRDefault="00D60052" w:rsidP="6C138010">
      <w:pPr>
        <w:spacing w:after="120" w:line="276" w:lineRule="auto"/>
        <w:rPr>
          <w:rFonts w:eastAsia="Calibri" w:cs="Calibri"/>
          <w:color w:val="000000"/>
          <w:szCs w:val="22"/>
        </w:rPr>
      </w:pPr>
      <w:proofErr w:type="spellStart"/>
      <w:r>
        <w:rPr>
          <w:rFonts w:eastAsia="Calibri" w:cs="Calibri"/>
          <w:color w:val="000000"/>
          <w:szCs w:val="22"/>
        </w:rPr>
        <w:t>Kushla</w:t>
      </w:r>
      <w:proofErr w:type="spellEnd"/>
      <w:r>
        <w:rPr>
          <w:rFonts w:eastAsia="Calibri" w:cs="Calibri"/>
          <w:color w:val="000000"/>
          <w:szCs w:val="22"/>
        </w:rPr>
        <w:t xml:space="preserve"> Munro</w:t>
      </w:r>
    </w:p>
    <w:p w14:paraId="2BABD4C1" w14:textId="4678F0B8" w:rsidR="00E65399" w:rsidRDefault="00FD4414" w:rsidP="6C138010">
      <w:pPr>
        <w:spacing w:after="120" w:line="276" w:lineRule="auto"/>
        <w:rPr>
          <w:rFonts w:eastAsia="Calibri" w:cs="Calibri"/>
          <w:color w:val="000000"/>
          <w:szCs w:val="22"/>
        </w:rPr>
      </w:pPr>
      <w:r>
        <w:rPr>
          <w:rFonts w:eastAsia="Calibri" w:cs="Calibri"/>
          <w:noProof/>
          <w:color w:val="000000"/>
          <w:szCs w:val="22"/>
        </w:rPr>
        <w:t>Deputy Secretary</w:t>
      </w:r>
      <w:r w:rsidR="00E65399" w:rsidRPr="00CC75AC">
        <w:rPr>
          <w:szCs w:val="22"/>
        </w:rPr>
        <w:br/>
      </w:r>
      <w:r>
        <w:rPr>
          <w:rFonts w:eastAsia="Calibri" w:cs="Calibri"/>
          <w:noProof/>
          <w:color w:val="000000"/>
          <w:szCs w:val="22"/>
        </w:rPr>
        <w:t>Department of Climate Change, Energy, the Environment and Water</w:t>
      </w:r>
      <w:r w:rsidR="00E65399" w:rsidRPr="00CC75AC">
        <w:rPr>
          <w:szCs w:val="22"/>
        </w:rPr>
        <w:br/>
      </w:r>
      <w:r w:rsidR="00CC75AC">
        <w:rPr>
          <w:rFonts w:eastAsia="Calibri" w:cs="Calibri"/>
          <w:noProof/>
          <w:color w:val="000000"/>
          <w:szCs w:val="22"/>
        </w:rPr>
        <w:t>[Date]</w:t>
      </w:r>
      <w:r w:rsidR="004C66A8">
        <w:rPr>
          <w:rFonts w:eastAsia="Calibri" w:cs="Calibri"/>
          <w:noProof/>
          <w:color w:val="000000"/>
          <w:szCs w:val="22"/>
        </w:rPr>
        <w:t xml:space="preserve"> </w:t>
      </w:r>
      <w:r w:rsidR="004C66A8" w:rsidRPr="004C66A8">
        <w:rPr>
          <w:rFonts w:eastAsia="Calibri" w:cs="Calibri"/>
          <w:noProof/>
          <w:color w:val="000000"/>
          <w:szCs w:val="22"/>
          <w:lang w:eastAsia="en-AU"/>
        </w:rPr>
        <w:drawing>
          <wp:inline distT="0" distB="0" distL="0" distR="0" wp14:anchorId="28B7A381" wp14:editId="28084B7B">
            <wp:extent cx="2216264" cy="311166"/>
            <wp:effectExtent l="0" t="0" r="0" b="0"/>
            <wp:docPr id="828774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74680" name=""/>
                    <pic:cNvPicPr/>
                  </pic:nvPicPr>
                  <pic:blipFill>
                    <a:blip r:embed="rId10"/>
                    <a:stretch>
                      <a:fillRect/>
                    </a:stretch>
                  </pic:blipFill>
                  <pic:spPr>
                    <a:xfrm>
                      <a:off x="0" y="0"/>
                      <a:ext cx="2216264" cy="311166"/>
                    </a:xfrm>
                    <a:prstGeom prst="rect">
                      <a:avLst/>
                    </a:prstGeom>
                  </pic:spPr>
                </pic:pic>
              </a:graphicData>
            </a:graphic>
          </wp:inline>
        </w:drawing>
      </w:r>
    </w:p>
    <w:p w14:paraId="05714C6B" w14:textId="1AB2B4FA" w:rsidR="00E65399" w:rsidRPr="00241997" w:rsidRDefault="13334E07" w:rsidP="6C138010">
      <w:pPr>
        <w:rPr>
          <w:szCs w:val="22"/>
        </w:rPr>
      </w:pPr>
      <w:r w:rsidRPr="00CC75AC">
        <w:rPr>
          <w:b/>
          <w:bCs/>
          <w:szCs w:val="22"/>
        </w:rPr>
        <w:t xml:space="preserve">Attachment A: </w:t>
      </w:r>
      <w:r w:rsidR="00F13C48">
        <w:rPr>
          <w:szCs w:val="22"/>
        </w:rPr>
        <w:t>Independent review for certification</w:t>
      </w:r>
    </w:p>
    <w:p w14:paraId="50EAE6FE" w14:textId="4760ECA0" w:rsidR="00E65399" w:rsidRPr="00CC75AC" w:rsidRDefault="13334E07" w:rsidP="6C138010">
      <w:pPr>
        <w:rPr>
          <w:szCs w:val="22"/>
        </w:rPr>
      </w:pPr>
      <w:r w:rsidRPr="00CC75AC">
        <w:rPr>
          <w:b/>
          <w:bCs/>
          <w:szCs w:val="22"/>
        </w:rPr>
        <w:t>Attachment B</w:t>
      </w:r>
      <w:r w:rsidR="00CC75AC">
        <w:rPr>
          <w:b/>
          <w:bCs/>
          <w:szCs w:val="22"/>
        </w:rPr>
        <w:t xml:space="preserve">: </w:t>
      </w:r>
      <w:r w:rsidR="00CC75AC">
        <w:rPr>
          <w:szCs w:val="22"/>
        </w:rPr>
        <w:t xml:space="preserve">Supplementary Impact Analysis, </w:t>
      </w:r>
      <w:r w:rsidR="00CC75AC" w:rsidRPr="00CC75AC">
        <w:rPr>
          <w:szCs w:val="22"/>
        </w:rPr>
        <w:t>Amendments to the National Greenhouse and Energy Reporting Scheme</w:t>
      </w:r>
      <w:r w:rsidR="00CC75AC">
        <w:rPr>
          <w:szCs w:val="22"/>
        </w:rPr>
        <w:t>:</w:t>
      </w:r>
      <w:r w:rsidR="00CC75AC" w:rsidRPr="00CC75AC">
        <w:rPr>
          <w:szCs w:val="22"/>
        </w:rPr>
        <w:t xml:space="preserve"> open cut coal mining</w:t>
      </w:r>
    </w:p>
    <w:p w14:paraId="51BEB577" w14:textId="06A55AF1" w:rsidR="00E65399" w:rsidRDefault="00E65399" w:rsidP="6C138010">
      <w:pPr>
        <w:rPr>
          <w:b/>
          <w:bCs/>
        </w:rPr>
      </w:pPr>
    </w:p>
    <w:p w14:paraId="45B01EF9" w14:textId="7B49D506" w:rsidR="00E65399" w:rsidRDefault="00E65399" w:rsidP="6C138010">
      <w:pPr>
        <w:tabs>
          <w:tab w:val="left" w:pos="7938"/>
        </w:tabs>
      </w:pPr>
      <w:bookmarkStart w:id="1" w:name="_Toc96326909"/>
    </w:p>
    <w:p w14:paraId="6E7A8F40" w14:textId="77777777" w:rsidR="00CC75AC" w:rsidRDefault="00CC75AC">
      <w:pPr>
        <w:spacing w:after="200" w:line="288" w:lineRule="auto"/>
        <w:rPr>
          <w:rFonts w:asciiTheme="majorHAnsi" w:eastAsiaTheme="majorEastAsia" w:hAnsiTheme="majorHAnsi" w:cstheme="majorBidi"/>
          <w:noProof/>
          <w:spacing w:val="-15"/>
          <w:sz w:val="56"/>
          <w:szCs w:val="96"/>
        </w:rPr>
      </w:pPr>
      <w:r>
        <w:br w:type="page"/>
      </w:r>
    </w:p>
    <w:p w14:paraId="0976ED67" w14:textId="77777777" w:rsidR="00724227" w:rsidRDefault="004F04D9" w:rsidP="00594D6F">
      <w:pPr>
        <w:pStyle w:val="Heading3"/>
        <w:jc w:val="right"/>
      </w:pPr>
      <w:r w:rsidRPr="00CC75AC">
        <w:lastRenderedPageBreak/>
        <w:t>Attachment A</w:t>
      </w:r>
    </w:p>
    <w:p w14:paraId="1CB58BA8" w14:textId="04D9BB56" w:rsidR="0096238E" w:rsidRDefault="0096238E" w:rsidP="00576CB5">
      <w:pPr>
        <w:pStyle w:val="Heading2"/>
        <w:jc w:val="center"/>
      </w:pPr>
      <w:r>
        <w:t>Independent review for certification</w:t>
      </w:r>
    </w:p>
    <w:p w14:paraId="5C0741BD" w14:textId="69FC27D4" w:rsidR="00BF1A61" w:rsidRPr="00241997" w:rsidRDefault="00F13C48" w:rsidP="004F04D9">
      <w:pPr>
        <w:rPr>
          <w:szCs w:val="22"/>
        </w:rPr>
      </w:pPr>
      <w:proofErr w:type="gramStart"/>
      <w:r w:rsidRPr="0096238E">
        <w:rPr>
          <w:szCs w:val="22"/>
        </w:rPr>
        <w:t>C</w:t>
      </w:r>
      <w:r w:rsidR="004956CD" w:rsidRPr="0096238E">
        <w:rPr>
          <w:szCs w:val="22"/>
        </w:rPr>
        <w:t xml:space="preserve">limate Change Authority (2023), </w:t>
      </w:r>
      <w:r w:rsidR="004F04D9" w:rsidRPr="0096238E">
        <w:rPr>
          <w:i/>
          <w:iCs/>
          <w:szCs w:val="22"/>
        </w:rPr>
        <w:t>2023 Review of the National Greenhouse and Energy Reporting Legislation</w:t>
      </w:r>
      <w:r w:rsidR="004956CD" w:rsidRPr="0096238E">
        <w:rPr>
          <w:szCs w:val="22"/>
        </w:rPr>
        <w:t xml:space="preserve">, </w:t>
      </w:r>
      <w:r w:rsidR="00BF1A61" w:rsidRPr="0096238E">
        <w:rPr>
          <w:szCs w:val="22"/>
        </w:rPr>
        <w:t>December 2023</w:t>
      </w:r>
      <w:r w:rsidR="0096238E">
        <w:rPr>
          <w:szCs w:val="22"/>
        </w:rPr>
        <w:t>.</w:t>
      </w:r>
      <w:proofErr w:type="gramEnd"/>
      <w:r w:rsidR="0096238E">
        <w:rPr>
          <w:szCs w:val="22"/>
        </w:rPr>
        <w:t xml:space="preserve"> </w:t>
      </w:r>
      <w:r w:rsidR="00BF1A61">
        <w:rPr>
          <w:szCs w:val="22"/>
        </w:rPr>
        <w:t xml:space="preserve">Available at: </w:t>
      </w:r>
      <w:hyperlink r:id="rId11" w:history="1">
        <w:r w:rsidR="00C0112B" w:rsidRPr="00D57515">
          <w:rPr>
            <w:rStyle w:val="Hyperlink"/>
            <w:szCs w:val="22"/>
          </w:rPr>
          <w:t>https://www.climatechangeauthority.gov.au/sites/default/files/documents/2023-12/2023%20NGER%20Review%20-%20for%20publication.pdf</w:t>
        </w:r>
      </w:hyperlink>
      <w:r w:rsidR="00C0112B">
        <w:rPr>
          <w:szCs w:val="22"/>
        </w:rPr>
        <w:t xml:space="preserve"> </w:t>
      </w:r>
    </w:p>
    <w:p w14:paraId="68E9CBA6" w14:textId="77777777" w:rsidR="00617813" w:rsidRDefault="00617813">
      <w:pPr>
        <w:spacing w:after="200" w:line="288" w:lineRule="auto"/>
        <w:rPr>
          <w:rFonts w:asciiTheme="majorHAnsi" w:eastAsiaTheme="majorEastAsia" w:hAnsiTheme="majorHAnsi" w:cstheme="majorBidi"/>
          <w:noProof/>
          <w:spacing w:val="-15"/>
          <w:sz w:val="56"/>
          <w:szCs w:val="96"/>
        </w:rPr>
        <w:sectPr w:rsidR="00617813" w:rsidSect="005A367A">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843" w:left="1134" w:header="993" w:footer="709" w:gutter="0"/>
          <w:pgNumType w:start="1"/>
          <w:cols w:space="708"/>
          <w:titlePg/>
          <w:docGrid w:linePitch="360"/>
        </w:sectPr>
      </w:pPr>
    </w:p>
    <w:p w14:paraId="3B34DE63" w14:textId="0EAC013D" w:rsidR="00576CB5" w:rsidRDefault="00576CB5" w:rsidP="00594D6F">
      <w:pPr>
        <w:pStyle w:val="Heading3"/>
        <w:jc w:val="right"/>
      </w:pPr>
      <w:r w:rsidRPr="00CC75AC">
        <w:lastRenderedPageBreak/>
        <w:t xml:space="preserve">Attachment </w:t>
      </w:r>
      <w:r>
        <w:t>B</w:t>
      </w:r>
    </w:p>
    <w:p w14:paraId="5F4EC10D" w14:textId="388C230A" w:rsidR="00A62EF3" w:rsidRDefault="009F5060" w:rsidP="00CA14BC">
      <w:pPr>
        <w:pStyle w:val="Heading1"/>
      </w:pPr>
      <w:r>
        <w:t>A</w:t>
      </w:r>
      <w:r w:rsidR="00CB70F9">
        <w:t>mendments to the National Greenhouse</w:t>
      </w:r>
      <w:r>
        <w:t xml:space="preserve"> and Energy Reporting Scheme</w:t>
      </w:r>
      <w:r w:rsidR="00CC75AC">
        <w:t>:</w:t>
      </w:r>
      <w:r>
        <w:t xml:space="preserve"> open cut coal mining</w:t>
      </w:r>
    </w:p>
    <w:p w14:paraId="6B50F121" w14:textId="63ECAF21" w:rsidR="00A62EF3" w:rsidRPr="00576CB5" w:rsidRDefault="4C37DB09" w:rsidP="00A62EF3">
      <w:pPr>
        <w:pStyle w:val="Subtitle"/>
      </w:pPr>
      <w:r w:rsidRPr="00576CB5">
        <w:t>Supplementary information to the Impact Analysis Equivalent</w:t>
      </w:r>
    </w:p>
    <w:p w14:paraId="1B3F5DED" w14:textId="3D2474DA" w:rsidR="00333C8F" w:rsidRPr="00C243DF" w:rsidRDefault="00C3619D" w:rsidP="00A62EF3">
      <w:pPr>
        <w:rPr>
          <w:rStyle w:val="Emphasis"/>
          <w:i w:val="0"/>
        </w:rPr>
      </w:pPr>
      <w:r>
        <w:rPr>
          <w:rStyle w:val="Emphasis"/>
          <w:i w:val="0"/>
        </w:rPr>
        <w:t>June 2024</w:t>
      </w:r>
    </w:p>
    <w:p w14:paraId="5BA5CA51" w14:textId="5CB55691" w:rsidR="00C76B32" w:rsidRDefault="00C76B32" w:rsidP="00CC75AC">
      <w:pPr>
        <w:pStyle w:val="Normalsmall"/>
        <w:rPr>
          <w:rStyle w:val="Emphasis"/>
          <w:i w:val="0"/>
        </w:rPr>
      </w:pPr>
      <w:r>
        <w:rPr>
          <w:iCs/>
        </w:rPr>
        <w:br w:type="page"/>
      </w:r>
    </w:p>
    <w:p w14:paraId="6405F823" w14:textId="6F3DEA3D" w:rsidR="0014151F" w:rsidRDefault="00010D3F" w:rsidP="00CA14BC">
      <w:pPr>
        <w:pStyle w:val="Heading2"/>
      </w:pPr>
      <w:bookmarkStart w:id="2" w:name="_Toc2099566855"/>
      <w:bookmarkEnd w:id="1"/>
      <w:r>
        <w:lastRenderedPageBreak/>
        <w:t>Introduction</w:t>
      </w:r>
      <w:bookmarkEnd w:id="2"/>
      <w:r w:rsidR="0014151F">
        <w:t xml:space="preserve"> </w:t>
      </w:r>
    </w:p>
    <w:p w14:paraId="68A8E569" w14:textId="277DD49A" w:rsidR="0086651D" w:rsidRDefault="000954C2" w:rsidP="00D5438D">
      <w:r>
        <w:t xml:space="preserve">This supplementary Impact Analysis has been prepared by the Department of Climate </w:t>
      </w:r>
      <w:r w:rsidR="001F1723">
        <w:t>Change, Energy, the Environment and Water</w:t>
      </w:r>
      <w:r>
        <w:t xml:space="preserve"> (the </w:t>
      </w:r>
      <w:r w:rsidR="00D25092">
        <w:t>d</w:t>
      </w:r>
      <w:r>
        <w:t xml:space="preserve">epartment) to inform Australian Government </w:t>
      </w:r>
      <w:r w:rsidR="00623723">
        <w:t xml:space="preserve">legislative </w:t>
      </w:r>
      <w:r>
        <w:t>decisions</w:t>
      </w:r>
      <w:r w:rsidR="00F75F8E">
        <w:t xml:space="preserve"> in regard to the enhancement of fugitive methane emissions</w:t>
      </w:r>
      <w:r w:rsidR="008C606D">
        <w:t xml:space="preserve"> estimation from the extraction of coal at open-cut mines</w:t>
      </w:r>
      <w:r w:rsidR="00654DBC">
        <w:t xml:space="preserve"> in the National Greenhouse and </w:t>
      </w:r>
      <w:r w:rsidR="5845ADED">
        <w:t xml:space="preserve">Energy </w:t>
      </w:r>
      <w:r w:rsidR="00654DBC">
        <w:t>Reporting</w:t>
      </w:r>
      <w:r w:rsidR="6B6C0DB5">
        <w:t xml:space="preserve"> (NGER)</w:t>
      </w:r>
      <w:r w:rsidR="00654DBC">
        <w:t xml:space="preserve"> scheme</w:t>
      </w:r>
      <w:r>
        <w:t xml:space="preserve">. </w:t>
      </w:r>
    </w:p>
    <w:p w14:paraId="223B11BA" w14:textId="2808E116" w:rsidR="00883D08" w:rsidRDefault="000954C2" w:rsidP="00D5438D">
      <w:r>
        <w:t xml:space="preserve">This supplementary analysis complements the certification by the </w:t>
      </w:r>
      <w:r w:rsidR="00D25092">
        <w:t xml:space="preserve">department </w:t>
      </w:r>
      <w:r>
        <w:t xml:space="preserve">that the </w:t>
      </w:r>
      <w:r w:rsidR="0086651D">
        <w:t xml:space="preserve">Climate Change Authority </w:t>
      </w:r>
      <w:r w:rsidR="00D25092">
        <w:t xml:space="preserve">(CCA) </w:t>
      </w:r>
      <w:r w:rsidR="0086651D">
        <w:t xml:space="preserve">2023 review of the </w:t>
      </w:r>
      <w:r w:rsidR="00BC34F2">
        <w:t>N</w:t>
      </w:r>
      <w:r w:rsidR="58D1CB37">
        <w:t>GER</w:t>
      </w:r>
      <w:r w:rsidR="00BC34F2">
        <w:t xml:space="preserve"> legislation </w:t>
      </w:r>
      <w:r>
        <w:t xml:space="preserve">has undertaken process and analysis equivalent to an impact analysis (IA) for these </w:t>
      </w:r>
      <w:r w:rsidR="00120765">
        <w:t>legislative</w:t>
      </w:r>
      <w:r>
        <w:t xml:space="preserve"> </w:t>
      </w:r>
      <w:r w:rsidR="00120765">
        <w:t>decisions</w:t>
      </w:r>
      <w:r>
        <w:t xml:space="preserve">. The Office of Impact Analysis (OIA) found the scope of the independent review covered </w:t>
      </w:r>
      <w:r w:rsidR="006513A4">
        <w:t>questions 1 to 5 of the Impac</w:t>
      </w:r>
      <w:r w:rsidR="00883D08">
        <w:t xml:space="preserve">t Analysis Framework, </w:t>
      </w:r>
      <w:r>
        <w:t xml:space="preserve">and recommended that a supplementary impact analysis be prepared to address questions 6 and 7 of </w:t>
      </w:r>
      <w:r w:rsidR="00883D08">
        <w:t>that</w:t>
      </w:r>
      <w:r>
        <w:t xml:space="preserve"> Framework</w:t>
      </w:r>
      <w:r w:rsidR="00883D08">
        <w:t xml:space="preserve">; specifically: </w:t>
      </w:r>
    </w:p>
    <w:p w14:paraId="12EC2E07" w14:textId="77777777" w:rsidR="00883D08" w:rsidRDefault="000954C2" w:rsidP="00883D08">
      <w:pPr>
        <w:pStyle w:val="ListParagraph"/>
        <w:numPr>
          <w:ilvl w:val="0"/>
          <w:numId w:val="30"/>
        </w:numPr>
      </w:pPr>
      <w:r>
        <w:t xml:space="preserve">What is the best option from those you have considered and how will it be implemented? </w:t>
      </w:r>
    </w:p>
    <w:p w14:paraId="70BFD27C" w14:textId="4DF66F73" w:rsidR="00A175CD" w:rsidRDefault="000954C2" w:rsidP="00883D08">
      <w:pPr>
        <w:pStyle w:val="ListParagraph"/>
        <w:numPr>
          <w:ilvl w:val="0"/>
          <w:numId w:val="30"/>
        </w:numPr>
      </w:pPr>
      <w:r>
        <w:t>How will you evaluate your chosen option</w:t>
      </w:r>
      <w:r w:rsidR="00F409E1">
        <w:t xml:space="preserve"> against the success metrics</w:t>
      </w:r>
      <w:r>
        <w:t>?</w:t>
      </w:r>
    </w:p>
    <w:p w14:paraId="62B4066A" w14:textId="021E6A6B" w:rsidR="00883D08" w:rsidRPr="0047767D" w:rsidRDefault="00623723" w:rsidP="00883D08">
      <w:r>
        <w:t xml:space="preserve">This supplementary analysis also provides a summary of additional stakeholder consultation undertaken by the </w:t>
      </w:r>
      <w:r w:rsidR="00F409E1">
        <w:t xml:space="preserve">department </w:t>
      </w:r>
      <w:r w:rsidR="00E07C7A">
        <w:t>on</w:t>
      </w:r>
      <w:r>
        <w:t xml:space="preserve"> the proposed legislative </w:t>
      </w:r>
      <w:r w:rsidR="00417034">
        <w:t>decisions</w:t>
      </w:r>
      <w:r w:rsidR="007B5E38">
        <w:t>, and feedback received through that process.</w:t>
      </w:r>
    </w:p>
    <w:p w14:paraId="13388579" w14:textId="16C98C0C" w:rsidR="008C3398" w:rsidRDefault="00D707BA" w:rsidP="00CA14BC">
      <w:pPr>
        <w:pStyle w:val="Heading2"/>
      </w:pPr>
      <w:bookmarkStart w:id="3" w:name="_Toc818459066"/>
      <w:r>
        <w:t>Background</w:t>
      </w:r>
      <w:bookmarkEnd w:id="3"/>
    </w:p>
    <w:p w14:paraId="540D35DF" w14:textId="2C405D6F" w:rsidR="0014151F" w:rsidRDefault="00010D3F" w:rsidP="00CA14BC">
      <w:pPr>
        <w:pStyle w:val="Heading3"/>
      </w:pPr>
      <w:bookmarkStart w:id="4" w:name="_Toc1376305703"/>
      <w:r>
        <w:t xml:space="preserve">National Greenhouse and Energy Reporting </w:t>
      </w:r>
      <w:r w:rsidR="00797FDB">
        <w:t xml:space="preserve">(NGER) </w:t>
      </w:r>
      <w:r w:rsidR="00FC0062">
        <w:t>s</w:t>
      </w:r>
      <w:r>
        <w:t>cheme</w:t>
      </w:r>
      <w:bookmarkEnd w:id="4"/>
    </w:p>
    <w:p w14:paraId="47D49D9B" w14:textId="1676CD9A" w:rsidR="00B32FCD" w:rsidRPr="00B32FCD" w:rsidRDefault="00B32FCD" w:rsidP="00B32FCD">
      <w:r>
        <w:t>The NGER scheme is Australia’s national system for reporting greenhouse gas emissions, energy consumption and energy production by Australian corporations.  </w:t>
      </w:r>
    </w:p>
    <w:p w14:paraId="42AF179A" w14:textId="25361BA4" w:rsidR="00B32FCD" w:rsidRPr="00B32FCD" w:rsidRDefault="00B32FCD" w:rsidP="00B32FCD">
      <w:r>
        <w:t xml:space="preserve">The NGER scheme is a key data source which supports Australia’s international and domestic reporting obligations and informs domestic climate and energy policies. Emissions reported under the NGER </w:t>
      </w:r>
      <w:r w:rsidR="0010394A">
        <w:t>s</w:t>
      </w:r>
      <w:r>
        <w:t>cheme underpin the operation of the Safeguard Mechanism. </w:t>
      </w:r>
      <w:r w:rsidR="004F25D0">
        <w:t>The Safeguard Mechanism requires Australia’s highest greenhouse gas emitting facilities</w:t>
      </w:r>
      <w:r w:rsidR="00616C0A">
        <w:t xml:space="preserve"> (</w:t>
      </w:r>
      <w:r w:rsidR="00003F2D">
        <w:t>those that emit more than 100,000 </w:t>
      </w:r>
      <w:r w:rsidR="000C29A6">
        <w:t xml:space="preserve">tonnes </w:t>
      </w:r>
      <w:r w:rsidR="006E60DC">
        <w:t xml:space="preserve">carbon dioxide equivalent </w:t>
      </w:r>
      <w:r w:rsidR="00B7514D">
        <w:t>in a year)</w:t>
      </w:r>
      <w:r w:rsidR="004F25D0">
        <w:t xml:space="preserve"> to reduce their emissions in line with Australia’s emission reduction targets of 43% below 2005 levels by 2030 and net zero by 2050.</w:t>
      </w:r>
      <w:r w:rsidR="00756805">
        <w:t xml:space="preserve"> </w:t>
      </w:r>
    </w:p>
    <w:p w14:paraId="5229560C" w14:textId="6D4B4142" w:rsidR="00B32FCD" w:rsidRPr="00B32FCD" w:rsidRDefault="00B32FCD" w:rsidP="00B32FCD">
      <w:r w:rsidRPr="00B32FCD">
        <w:t>NGER scheme legislation includes: </w:t>
      </w:r>
    </w:p>
    <w:p w14:paraId="16D6E1CE" w14:textId="77777777" w:rsidR="00B32FCD" w:rsidRDefault="00B32FCD" w:rsidP="00B32FCD">
      <w:pPr>
        <w:pStyle w:val="BulletedList-Level1"/>
      </w:pPr>
      <w:r w:rsidRPr="00B32FCD">
        <w:t xml:space="preserve">the </w:t>
      </w:r>
      <w:r w:rsidRPr="00165E91">
        <w:rPr>
          <w:i/>
          <w:iCs/>
        </w:rPr>
        <w:t>National Greenhouse and Energy Reporting Act 2007</w:t>
      </w:r>
      <w:r w:rsidRPr="00B32FCD">
        <w:t xml:space="preserve"> (the Act);  </w:t>
      </w:r>
    </w:p>
    <w:p w14:paraId="4CA14E56" w14:textId="77777777" w:rsidR="00B32FCD" w:rsidRDefault="00B32FCD" w:rsidP="00B32FCD">
      <w:pPr>
        <w:pStyle w:val="BulletedList-Level1"/>
      </w:pPr>
      <w:r w:rsidRPr="00B32FCD">
        <w:t xml:space="preserve">the </w:t>
      </w:r>
      <w:r w:rsidRPr="00165E91">
        <w:rPr>
          <w:i/>
          <w:iCs/>
        </w:rPr>
        <w:t>National Greenhouse and Energy Reporting Regulations 2008</w:t>
      </w:r>
      <w:r w:rsidRPr="00B32FCD">
        <w:t xml:space="preserve"> (the Regulations); and  </w:t>
      </w:r>
    </w:p>
    <w:p w14:paraId="6347236A" w14:textId="77777777" w:rsidR="00B32FCD" w:rsidRDefault="00B32FCD" w:rsidP="00B32FCD">
      <w:pPr>
        <w:pStyle w:val="BulletedList-Level1"/>
      </w:pPr>
      <w:proofErr w:type="gramStart"/>
      <w:r w:rsidRPr="00B32FCD">
        <w:t>the</w:t>
      </w:r>
      <w:proofErr w:type="gramEnd"/>
      <w:r w:rsidRPr="00B32FCD">
        <w:t xml:space="preserve"> </w:t>
      </w:r>
      <w:r w:rsidRPr="00165E91">
        <w:rPr>
          <w:i/>
          <w:iCs/>
        </w:rPr>
        <w:t>National Greenhouse and Energy Reporting (Measurement) Determination 2008</w:t>
      </w:r>
      <w:r w:rsidRPr="00B32FCD">
        <w:t xml:space="preserve"> (the Measurement Determination). </w:t>
      </w:r>
    </w:p>
    <w:p w14:paraId="1A198206" w14:textId="77777777" w:rsidR="00FE1CE8" w:rsidRDefault="00FE1CE8">
      <w:pPr>
        <w:spacing w:after="200" w:line="288" w:lineRule="auto"/>
      </w:pPr>
      <w:r>
        <w:br w:type="page"/>
      </w:r>
    </w:p>
    <w:p w14:paraId="3B26821C" w14:textId="6FD0033F" w:rsidR="00B32FCD" w:rsidRPr="00B32FCD" w:rsidRDefault="00B32FCD" w:rsidP="00B32FCD">
      <w:r w:rsidRPr="00B32FCD">
        <w:lastRenderedPageBreak/>
        <w:t>The NGER scheme requires the reporting of greenhouse gas emissions from: </w:t>
      </w:r>
    </w:p>
    <w:p w14:paraId="4F5A3587" w14:textId="77777777" w:rsidR="00B32FCD" w:rsidRDefault="00B32FCD" w:rsidP="00B32FCD">
      <w:pPr>
        <w:pStyle w:val="BulletedList-Level1"/>
      </w:pPr>
      <w:r w:rsidRPr="00B32FCD">
        <w:t>the combustion of fuel for energy; </w:t>
      </w:r>
    </w:p>
    <w:p w14:paraId="52C44F36" w14:textId="77777777" w:rsidR="00B32FCD" w:rsidRDefault="00B32FCD" w:rsidP="00B32FCD">
      <w:pPr>
        <w:pStyle w:val="BulletedList-Level1"/>
      </w:pPr>
      <w:r w:rsidRPr="00B32FCD">
        <w:t>the extraction, production, flaring, processing and distribution of fossil fuels, and from carbon capture and storage (‘fugitive emissions’); </w:t>
      </w:r>
    </w:p>
    <w:p w14:paraId="501FBC48" w14:textId="77777777" w:rsidR="00B32FCD" w:rsidRDefault="00B32FCD" w:rsidP="00B32FCD">
      <w:pPr>
        <w:pStyle w:val="BulletedList-Level1"/>
      </w:pPr>
      <w:r w:rsidRPr="00B32FCD">
        <w:t>industrial processes where a mineral, chemical or metal product is formed using a chemical reaction that generates greenhouse gases as a by-product, as well as emissions of hydrofluorocarbons and sulphur hexafluoride resulting from their use by certain industries; and </w:t>
      </w:r>
    </w:p>
    <w:p w14:paraId="6C87050C" w14:textId="77777777" w:rsidR="00B32FCD" w:rsidRDefault="00B32FCD" w:rsidP="00B32FCD">
      <w:pPr>
        <w:pStyle w:val="BulletedList-Level1"/>
      </w:pPr>
      <w:proofErr w:type="gramStart"/>
      <w:r w:rsidRPr="00B32FCD">
        <w:t>waste</w:t>
      </w:r>
      <w:proofErr w:type="gramEnd"/>
      <w:r w:rsidRPr="00B32FCD">
        <w:t xml:space="preserve"> disposal – either in landfill, from management of wastewater or from waste incineration. </w:t>
      </w:r>
    </w:p>
    <w:p w14:paraId="16E7C238" w14:textId="77777777" w:rsidR="006F6236" w:rsidRPr="00146836" w:rsidRDefault="006F6236" w:rsidP="00146836">
      <w:r>
        <w:t>Companies are required to register under the NGER scheme if the emissions, energy production or energy consumption from facilities within their operational control exceed specified thresholds.  </w:t>
      </w:r>
    </w:p>
    <w:p w14:paraId="05C26F7C" w14:textId="77777777" w:rsidR="00717C78" w:rsidRDefault="007C33DB" w:rsidP="00146836">
      <w:r>
        <w:t>In most instances, t</w:t>
      </w:r>
      <w:r w:rsidR="006F6236" w:rsidRPr="00146836">
        <w:t xml:space="preserve">he NGER scheme allows reporters to choose from a number of emissions estimation methods to accommodate their individual circumstances. Available methods </w:t>
      </w:r>
      <w:r w:rsidR="00DC29C9">
        <w:t xml:space="preserve">align with </w:t>
      </w:r>
      <w:r w:rsidR="007B006B">
        <w:t xml:space="preserve">Intergovernmental Panel on Climate Change emission estimation guidelines adopted under the UN Framework Convention on Climate Change and Paris Agreement. </w:t>
      </w:r>
    </w:p>
    <w:p w14:paraId="797A5A9B" w14:textId="77777777" w:rsidR="009D0952" w:rsidRDefault="00717C78" w:rsidP="00701E21">
      <w:r>
        <w:t xml:space="preserve">Methods </w:t>
      </w:r>
      <w:r w:rsidR="006F6236">
        <w:t xml:space="preserve">are ranked by number, with higher numbered methods </w:t>
      </w:r>
      <w:r w:rsidR="0045246E">
        <w:t xml:space="preserve">in-principle </w:t>
      </w:r>
      <w:r w:rsidR="006F6236">
        <w:t xml:space="preserve">providing greater accuracy but requiring more active measurement effort. </w:t>
      </w:r>
      <w:r w:rsidR="00F41036">
        <w:t>E</w:t>
      </w:r>
      <w:r w:rsidR="008E62B8">
        <w:t xml:space="preserve">missions </w:t>
      </w:r>
      <w:r w:rsidR="00DE5347">
        <w:t xml:space="preserve">sources can have </w:t>
      </w:r>
      <w:r w:rsidR="00F41036">
        <w:t xml:space="preserve">one or more </w:t>
      </w:r>
      <w:r w:rsidR="00C27EA3">
        <w:t xml:space="preserve">available methods, including: </w:t>
      </w:r>
    </w:p>
    <w:p w14:paraId="665463C3" w14:textId="099D7ABD" w:rsidR="006F6236" w:rsidRDefault="006F6236" w:rsidP="009D0952">
      <w:pPr>
        <w:pStyle w:val="ListParagraph"/>
        <w:numPr>
          <w:ilvl w:val="0"/>
          <w:numId w:val="16"/>
        </w:numPr>
      </w:pPr>
      <w:r w:rsidRPr="00146836">
        <w:t>Method 1, which typically involves the use of default emission factors,   </w:t>
      </w:r>
    </w:p>
    <w:p w14:paraId="4E842195" w14:textId="77777777" w:rsidR="006F6236" w:rsidRDefault="006F6236" w:rsidP="008F035F">
      <w:pPr>
        <w:pStyle w:val="ListParagraph"/>
        <w:numPr>
          <w:ilvl w:val="0"/>
          <w:numId w:val="16"/>
        </w:numPr>
      </w:pPr>
      <w:r>
        <w:t>Methods 2 and Method 3, which involve greater use of facility-specific information, and   </w:t>
      </w:r>
    </w:p>
    <w:p w14:paraId="3E0920A1" w14:textId="6803067B" w:rsidR="006F6236" w:rsidRPr="00146836" w:rsidRDefault="006F6236" w:rsidP="008F035F">
      <w:pPr>
        <w:pStyle w:val="ListParagraph"/>
        <w:numPr>
          <w:ilvl w:val="0"/>
          <w:numId w:val="16"/>
        </w:numPr>
      </w:pPr>
      <w:r w:rsidRPr="00146836">
        <w:t>Method 4, which requires direct measurement of emissions.   </w:t>
      </w:r>
    </w:p>
    <w:p w14:paraId="7F358F9C" w14:textId="77777777" w:rsidR="006F6236" w:rsidRDefault="006F6236" w:rsidP="00146836">
      <w:r w:rsidRPr="00146836">
        <w:t>The requirements of Methods 1 to 3 differ for each source for which they are available. The requirements of Method 4, wherever available, are set out in Part 1.3 of the Measurement Determination, which specifies standards to be met regarding positioning of equipment, frequency of monitoring, and how to determine gas concentrations and flow rates.  </w:t>
      </w:r>
    </w:p>
    <w:p w14:paraId="634AC60E" w14:textId="6D6D444E" w:rsidR="006F6236" w:rsidRDefault="006F6236" w:rsidP="00146836">
      <w:r>
        <w:t xml:space="preserve">The NGER </w:t>
      </w:r>
      <w:r w:rsidR="00397663">
        <w:t>s</w:t>
      </w:r>
      <w:r>
        <w:t>cheme is administered by the Clean Energy Regulator (</w:t>
      </w:r>
      <w:r w:rsidR="008B68BB">
        <w:t>the Regulator</w:t>
      </w:r>
      <w:r>
        <w:t xml:space="preserve">). Further information on NGER </w:t>
      </w:r>
      <w:r w:rsidR="00EE7C28">
        <w:t xml:space="preserve">scheme </w:t>
      </w:r>
      <w:r>
        <w:t xml:space="preserve">reporting is available at the </w:t>
      </w:r>
      <w:hyperlink r:id="rId18">
        <w:r w:rsidRPr="223720AE">
          <w:rPr>
            <w:rStyle w:val="Hyperlink"/>
          </w:rPr>
          <w:t>R</w:t>
        </w:r>
        <w:r w:rsidR="008B68BB">
          <w:rPr>
            <w:rStyle w:val="Hyperlink"/>
          </w:rPr>
          <w:t>egulator</w:t>
        </w:r>
        <w:r w:rsidRPr="223720AE">
          <w:rPr>
            <w:rStyle w:val="Hyperlink"/>
          </w:rPr>
          <w:t>’s website</w:t>
        </w:r>
      </w:hyperlink>
      <w:r>
        <w:t>. </w:t>
      </w:r>
    </w:p>
    <w:p w14:paraId="69F3A77A" w14:textId="06F71B8B" w:rsidR="009D0952" w:rsidRDefault="1803364D" w:rsidP="009D0952">
      <w:r>
        <w:t xml:space="preserve">Each year the </w:t>
      </w:r>
      <w:r w:rsidR="00F00725">
        <w:t xml:space="preserve">department </w:t>
      </w:r>
      <w:r>
        <w:t xml:space="preserve">reviews and updates the NGER scheme as part of its continuous improvement program and in response to feedback from users and other stakeholders. </w:t>
      </w:r>
      <w:r w:rsidR="00FE7873">
        <w:t xml:space="preserve">These updates are also informed by the CCA’s </w:t>
      </w:r>
      <w:r>
        <w:t>five</w:t>
      </w:r>
      <w:r w:rsidR="00FE7873">
        <w:t>-</w:t>
      </w:r>
      <w:r>
        <w:t>year</w:t>
      </w:r>
      <w:r w:rsidR="00FE7873">
        <w:t>ly</w:t>
      </w:r>
      <w:r>
        <w:t xml:space="preserve"> review of the NGER scheme. The </w:t>
      </w:r>
      <w:r w:rsidR="009B3A60">
        <w:t>CCA’s</w:t>
      </w:r>
      <w:r>
        <w:t xml:space="preserve"> last review of the NGER scheme was </w:t>
      </w:r>
      <w:r w:rsidR="009D0952">
        <w:t>released</w:t>
      </w:r>
      <w:r>
        <w:t xml:space="preserve"> in December 2023. </w:t>
      </w:r>
      <w:bookmarkStart w:id="5" w:name="_Toc561308885"/>
      <w:r w:rsidR="00823329">
        <w:t xml:space="preserve">See </w:t>
      </w:r>
      <w:r w:rsidR="007A2571">
        <w:t>pp</w:t>
      </w:r>
      <w:r w:rsidR="00823329">
        <w:t xml:space="preserve"> 4</w:t>
      </w:r>
      <w:r w:rsidR="007A2571">
        <w:t>-5</w:t>
      </w:r>
      <w:r w:rsidR="00823329">
        <w:t xml:space="preserve"> for further detail on this review.</w:t>
      </w:r>
    </w:p>
    <w:p w14:paraId="7363FF82" w14:textId="2D2E72B7" w:rsidR="64D06A69" w:rsidRDefault="00C320BF" w:rsidP="00CA14BC">
      <w:pPr>
        <w:pStyle w:val="Heading3"/>
      </w:pPr>
      <w:r>
        <w:lastRenderedPageBreak/>
        <w:t>Current policy settings: e</w:t>
      </w:r>
      <w:r w:rsidR="00A61888">
        <w:t>stimation of fugitive methane emissions from o</w:t>
      </w:r>
      <w:r w:rsidR="64D06A69">
        <w:t>pen cut coal mines</w:t>
      </w:r>
      <w:bookmarkEnd w:id="5"/>
    </w:p>
    <w:p w14:paraId="12814EE3" w14:textId="36F122B8" w:rsidR="64D06A69" w:rsidRDefault="64D06A69" w:rsidP="13F1507F">
      <w:pPr>
        <w:spacing w:after="200" w:line="276" w:lineRule="auto"/>
      </w:pPr>
      <w:r>
        <w:t>Division 3.2.3 of the Measurement Determination provides for the estimation of ‘fugitive’ greenhouse gas emissions, including methane, from the extraction of coal from open-cut mining</w:t>
      </w:r>
      <w:proofErr w:type="gramStart"/>
      <w:r>
        <w:t xml:space="preserve">.  </w:t>
      </w:r>
      <w:proofErr w:type="gramEnd"/>
      <w:r>
        <w:t xml:space="preserve">Currently NGER </w:t>
      </w:r>
      <w:r w:rsidR="0050654D">
        <w:t xml:space="preserve">scheme </w:t>
      </w:r>
      <w:r>
        <w:t xml:space="preserve">reporters have the option of estimating fugitive methane emissions from open-cut mines in accordance with Method 1, 2 or 3. </w:t>
      </w:r>
    </w:p>
    <w:p w14:paraId="05B7C287" w14:textId="77777777" w:rsidR="000D2566" w:rsidRDefault="000D2566" w:rsidP="000D2566">
      <w:pPr>
        <w:pStyle w:val="ListParagraph"/>
        <w:numPr>
          <w:ilvl w:val="0"/>
          <w:numId w:val="29"/>
        </w:numPr>
        <w:spacing w:after="200" w:line="276" w:lineRule="auto"/>
        <w:rPr>
          <w:szCs w:val="22"/>
        </w:rPr>
      </w:pPr>
      <w:r>
        <w:t>Method 1: applies state-specific emissions factors to facility-level activity data (tonnes of methane (CO</w:t>
      </w:r>
      <w:r w:rsidRPr="6C138010">
        <w:rPr>
          <w:vertAlign w:val="subscript"/>
        </w:rPr>
        <w:t>2</w:t>
      </w:r>
      <w:r>
        <w:t>-e) per tonne of run-of-mine coal extracted). </w:t>
      </w:r>
    </w:p>
    <w:p w14:paraId="75AE6538" w14:textId="77777777" w:rsidR="000D2566" w:rsidRDefault="000D2566" w:rsidP="000D2566">
      <w:pPr>
        <w:pStyle w:val="ListParagraph"/>
        <w:numPr>
          <w:ilvl w:val="0"/>
          <w:numId w:val="29"/>
        </w:numPr>
        <w:spacing w:after="200" w:line="276" w:lineRule="auto"/>
        <w:rPr>
          <w:szCs w:val="22"/>
        </w:rPr>
      </w:pPr>
      <w:r>
        <w:t>Method 2: involves estimating the total gas contained by gas bearing strata, modelled, sampled and analysed in accordance with the Australian Coal Industry’s Research Program (ACARP) guidelines and relevant Australian Standards. </w:t>
      </w:r>
    </w:p>
    <w:p w14:paraId="561F3A49" w14:textId="66C2F781" w:rsidR="002A17D5" w:rsidRPr="00606149" w:rsidRDefault="000D2566" w:rsidP="00606149">
      <w:pPr>
        <w:pStyle w:val="ListParagraph"/>
        <w:numPr>
          <w:ilvl w:val="0"/>
          <w:numId w:val="29"/>
        </w:numPr>
        <w:spacing w:after="200" w:line="276" w:lineRule="auto"/>
        <w:rPr>
          <w:szCs w:val="22"/>
        </w:rPr>
      </w:pPr>
      <w:r w:rsidRPr="000D2566">
        <w:t xml:space="preserve">Method 3: is the same as </w:t>
      </w:r>
      <w:r w:rsidR="003E6115">
        <w:t>M</w:t>
      </w:r>
      <w:r w:rsidR="003E6115" w:rsidRPr="000D2566">
        <w:t xml:space="preserve">ethod </w:t>
      </w:r>
      <w:r w:rsidRPr="000D2566">
        <w:t>2, with an increased expectation in regard to standards used. </w:t>
      </w:r>
      <w:r w:rsidRPr="000D2566">
        <w:rPr>
          <w:szCs w:val="22"/>
        </w:rPr>
        <w:t> </w:t>
      </w:r>
    </w:p>
    <w:p w14:paraId="3C1DB1D9" w14:textId="03DF4B82" w:rsidR="001B2ED5" w:rsidRDefault="005C06AD" w:rsidP="13F1507F">
      <w:pPr>
        <w:spacing w:after="200" w:line="276" w:lineRule="auto"/>
      </w:pPr>
      <w:r>
        <w:t>Methods 2 and 3 are equivalent to the</w:t>
      </w:r>
      <w:r w:rsidR="006E1A8E">
        <w:t xml:space="preserve"> highest (most sophisticated) </w:t>
      </w:r>
      <w:r w:rsidR="001C6801">
        <w:t>Intergovernmental Panel on Climate Change (IPCC) method tier</w:t>
      </w:r>
      <w:r w:rsidR="00154D6E">
        <w:t xml:space="preserve">. Australia is the only country in the world to use </w:t>
      </w:r>
      <w:r w:rsidR="00832B4A">
        <w:t>such a method tier for the estimation of fugitive methane and carbon dioxide from coal extraction from open-cut mines.</w:t>
      </w:r>
    </w:p>
    <w:p w14:paraId="541BBE84" w14:textId="59A8CF18" w:rsidR="64D06A69" w:rsidRDefault="64D06A69" w:rsidP="13F1507F">
      <w:pPr>
        <w:spacing w:after="200" w:line="276" w:lineRule="auto"/>
        <w:rPr>
          <w:rFonts w:ascii="Calibri" w:eastAsia="Calibri" w:hAnsi="Calibri" w:cs="Calibri"/>
          <w:color w:val="000000"/>
        </w:rPr>
      </w:pPr>
      <w:r>
        <w:t>In financial year 2022-2023 (FY2023), 3</w:t>
      </w:r>
      <w:r w:rsidR="28D4072C">
        <w:t>7</w:t>
      </w:r>
      <w:r>
        <w:t> facilities (including 2</w:t>
      </w:r>
      <w:r w:rsidR="5BF3527B">
        <w:t>1</w:t>
      </w:r>
      <w:r>
        <w:t xml:space="preserve"> facilities covered by the Safeguard Mechanism) used Method 1 and 39 (including 2</w:t>
      </w:r>
      <w:r w:rsidR="02D82DE2">
        <w:t>7</w:t>
      </w:r>
      <w:r>
        <w:t xml:space="preserve"> Safeguard Mechanism facilities) used Method 2 to estimate fugitive methane emissions from open-cut mines. No facilities currently use Method 3. Safeguard Mechanism facilities accounted for around 9</w:t>
      </w:r>
      <w:r w:rsidR="7BDD7F1E">
        <w:t>2</w:t>
      </w:r>
      <w:r>
        <w:t xml:space="preserve">% of fugitive methane emissions reported using Method 1 in FY2023. </w:t>
      </w:r>
      <w:r w:rsidRPr="0A5D2A5E">
        <w:rPr>
          <w:rFonts w:ascii="Calibri" w:eastAsia="Calibri" w:hAnsi="Calibri" w:cs="Calibri"/>
          <w:color w:val="000000"/>
        </w:rPr>
        <w:t xml:space="preserve"> </w:t>
      </w:r>
    </w:p>
    <w:p w14:paraId="7445BF8B" w14:textId="1F5DFE3A" w:rsidR="004C0F51" w:rsidRDefault="004C0F51" w:rsidP="00CA14BC">
      <w:pPr>
        <w:pStyle w:val="Heading3"/>
      </w:pPr>
      <w:bookmarkStart w:id="6" w:name="_Toc1742453896"/>
      <w:r>
        <w:t xml:space="preserve">The </w:t>
      </w:r>
      <w:r w:rsidR="000469B4">
        <w:t xml:space="preserve">2023 </w:t>
      </w:r>
      <w:r w:rsidR="009B3A60">
        <w:t xml:space="preserve">Climate Change Authority </w:t>
      </w:r>
      <w:r>
        <w:t>review</w:t>
      </w:r>
      <w:bookmarkEnd w:id="6"/>
    </w:p>
    <w:p w14:paraId="633CAF75" w14:textId="651BF0B8" w:rsidR="004C0F51" w:rsidRPr="00146836" w:rsidRDefault="004C0F51" w:rsidP="00146836">
      <w:r>
        <w:t xml:space="preserve">The CCA review found that the NGER </w:t>
      </w:r>
      <w:r w:rsidR="00B11B3E">
        <w:t>s</w:t>
      </w:r>
      <w:r>
        <w:t xml:space="preserve">cheme is integral to meeting Australia’s international energy and emissions reporting obligations, tracking progress on emissions reductions and informing climate change policy development. It made 25 recommendations </w:t>
      </w:r>
      <w:r w:rsidR="00B40723">
        <w:t>focused on further enhancements to the NGER scheme’s methane emissions measurement, reporting and verification; data transparency; coverage; and administration.</w:t>
      </w:r>
    </w:p>
    <w:p w14:paraId="608F6C52" w14:textId="3BF8831F" w:rsidR="00885CE6" w:rsidRDefault="00627BE0" w:rsidP="00885CE6">
      <w:r>
        <w:t>Consistent with</w:t>
      </w:r>
      <w:r w:rsidR="345ACD79">
        <w:t xml:space="preserve"> this recommendation, </w:t>
      </w:r>
      <w:r>
        <w:t xml:space="preserve">the </w:t>
      </w:r>
      <w:r w:rsidR="00F97A60">
        <w:t>g</w:t>
      </w:r>
      <w:r>
        <w:t>overnment</w:t>
      </w:r>
      <w:r w:rsidR="4D412199">
        <w:t xml:space="preserve"> has </w:t>
      </w:r>
      <w:r w:rsidR="004229FC">
        <w:t xml:space="preserve">prioritised </w:t>
      </w:r>
      <w:r w:rsidR="4D412199">
        <w:t>proposed amendment</w:t>
      </w:r>
      <w:r w:rsidR="0015268E">
        <w:t>s</w:t>
      </w:r>
      <w:r w:rsidR="4D412199">
        <w:t xml:space="preserve"> to the NGER scheme </w:t>
      </w:r>
      <w:r w:rsidR="71A82E03">
        <w:t xml:space="preserve">regarding </w:t>
      </w:r>
      <w:r w:rsidR="008C3C7A">
        <w:t xml:space="preserve">Method 1 for the estimation of </w:t>
      </w:r>
      <w:r w:rsidR="71A82E03">
        <w:t xml:space="preserve">fugitive emissions from </w:t>
      </w:r>
      <w:r w:rsidR="008C3C7A">
        <w:t xml:space="preserve">the extraction of coal from </w:t>
      </w:r>
      <w:r w:rsidR="71A82E03">
        <w:t>open cut coal mines</w:t>
      </w:r>
      <w:r w:rsidR="0098193B">
        <w:t xml:space="preserve">. </w:t>
      </w:r>
      <w:r w:rsidR="00885CE6">
        <w:t>The government will respond to the recommendation as it relates to the phase out of Method 1 for estimating other fugitive methane emissions in its full response to the CCA review in mid-2024.</w:t>
      </w:r>
    </w:p>
    <w:p w14:paraId="4463CD6B" w14:textId="725D68D7" w:rsidR="00833CE0" w:rsidRPr="00146836" w:rsidRDefault="00833CE0" w:rsidP="0B886D73">
      <w:r>
        <w:t xml:space="preserve">The CCA review is </w:t>
      </w:r>
      <w:r w:rsidR="00621612">
        <w:t>certified as</w:t>
      </w:r>
      <w:r>
        <w:t xml:space="preserve"> an Impact Analysis Equivalent for the purpose of this </w:t>
      </w:r>
      <w:r w:rsidR="0015268E">
        <w:t>legislative</w:t>
      </w:r>
      <w:r>
        <w:t xml:space="preserve"> proposal. </w:t>
      </w:r>
      <w:r w:rsidR="00A420B4">
        <w:t>The review d</w:t>
      </w:r>
      <w:r w:rsidR="00FB73DA">
        <w:t>escribes</w:t>
      </w:r>
      <w:r w:rsidR="00A420B4">
        <w:t xml:space="preserve"> the policy problem that is being addressed through the proposed </w:t>
      </w:r>
      <w:r w:rsidR="00A420B4">
        <w:lastRenderedPageBreak/>
        <w:t xml:space="preserve">NGER </w:t>
      </w:r>
      <w:r w:rsidR="00FE0581">
        <w:t xml:space="preserve">scheme </w:t>
      </w:r>
      <w:r w:rsidR="00A420B4">
        <w:t xml:space="preserve">amendments, </w:t>
      </w:r>
      <w:r w:rsidR="00FB73DA">
        <w:t xml:space="preserve">the objectives of government </w:t>
      </w:r>
      <w:r w:rsidR="005B0820">
        <w:t xml:space="preserve">intervention and provides recommendations for policy change. </w:t>
      </w:r>
      <w:r w:rsidR="006D1A92">
        <w:t>E</w:t>
      </w:r>
      <w:r w:rsidR="00621612">
        <w:t>xtensive consultation was undertaken</w:t>
      </w:r>
      <w:r w:rsidR="006D1A92">
        <w:t xml:space="preserve"> to inform the review</w:t>
      </w:r>
      <w:r w:rsidR="4C43B998">
        <w:t xml:space="preserve"> and </w:t>
      </w:r>
      <w:r w:rsidR="005B0820">
        <w:t xml:space="preserve">the </w:t>
      </w:r>
      <w:r w:rsidR="00FE0581">
        <w:t xml:space="preserve">department </w:t>
      </w:r>
      <w:r w:rsidR="005B0820">
        <w:t xml:space="preserve">has </w:t>
      </w:r>
      <w:r w:rsidR="70C943C0">
        <w:t>undertak</w:t>
      </w:r>
      <w:r w:rsidR="54246A8B">
        <w:t>en</w:t>
      </w:r>
      <w:r w:rsidR="70C943C0">
        <w:t xml:space="preserve"> </w:t>
      </w:r>
      <w:r w:rsidR="003A1414">
        <w:t>further target</w:t>
      </w:r>
      <w:r w:rsidR="2BE37934">
        <w:t>ed</w:t>
      </w:r>
      <w:r w:rsidR="77846075">
        <w:t xml:space="preserve"> and public consultation</w:t>
      </w:r>
      <w:r w:rsidR="1C2978F4">
        <w:t xml:space="preserve"> </w:t>
      </w:r>
      <w:r w:rsidR="00C55CD4">
        <w:t xml:space="preserve">on the </w:t>
      </w:r>
      <w:r w:rsidR="00024953">
        <w:t xml:space="preserve">government’s </w:t>
      </w:r>
      <w:r w:rsidR="00C55CD4">
        <w:t xml:space="preserve">legislative proposal to implement the </w:t>
      </w:r>
      <w:r w:rsidR="00966A13">
        <w:t xml:space="preserve">review’s recommendation </w:t>
      </w:r>
      <w:r w:rsidR="00D55E7B">
        <w:t>(see Annex A)</w:t>
      </w:r>
      <w:r w:rsidR="003A1414">
        <w:t>.</w:t>
      </w:r>
    </w:p>
    <w:p w14:paraId="73862F71" w14:textId="4ADC6CFA" w:rsidR="0055678E" w:rsidRDefault="58DA82B6" w:rsidP="00CA14BC">
      <w:pPr>
        <w:pStyle w:val="Heading3"/>
      </w:pPr>
      <w:bookmarkStart w:id="7" w:name="_Toc860285605"/>
      <w:r>
        <w:t>Supplementary Information document</w:t>
      </w:r>
      <w:bookmarkEnd w:id="7"/>
    </w:p>
    <w:p w14:paraId="55B93AEF" w14:textId="09906072" w:rsidR="0055678E" w:rsidRDefault="0055678E" w:rsidP="0055678E">
      <w:r>
        <w:t xml:space="preserve">This </w:t>
      </w:r>
      <w:r w:rsidR="7A68CFB8">
        <w:t>document:</w:t>
      </w:r>
    </w:p>
    <w:p w14:paraId="04C6ECBA" w14:textId="3731D5D7" w:rsidR="006C1A66" w:rsidRDefault="003E3437" w:rsidP="006C1A66">
      <w:pPr>
        <w:pStyle w:val="BulletedList-Level1"/>
      </w:pPr>
      <w:r>
        <w:t>I</w:t>
      </w:r>
      <w:r w:rsidR="00AE3825">
        <w:t xml:space="preserve">s intended to inform understanding of the </w:t>
      </w:r>
      <w:r w:rsidR="004329FB">
        <w:t>final design of 2024</w:t>
      </w:r>
      <w:r w:rsidR="00897787">
        <w:t xml:space="preserve"> amendments to</w:t>
      </w:r>
      <w:r w:rsidR="00D50699">
        <w:t xml:space="preserve"> the NGER scheme </w:t>
      </w:r>
      <w:r w:rsidR="001E2E4F">
        <w:t xml:space="preserve">to </w:t>
      </w:r>
      <w:r w:rsidR="00024953">
        <w:t xml:space="preserve">further </w:t>
      </w:r>
      <w:r w:rsidR="001E2E4F">
        <w:t xml:space="preserve">enhance the </w:t>
      </w:r>
      <w:r w:rsidR="00FB5DC7">
        <w:t xml:space="preserve">estimation of fugitive methane emissions from </w:t>
      </w:r>
      <w:r w:rsidR="001E2E4F">
        <w:t xml:space="preserve">the extraction of coal from </w:t>
      </w:r>
      <w:r w:rsidR="000637FB">
        <w:t>open cut coal mines</w:t>
      </w:r>
      <w:r w:rsidR="003B3993">
        <w:t>,</w:t>
      </w:r>
    </w:p>
    <w:p w14:paraId="28D96177" w14:textId="7C9558D5" w:rsidR="006C1A66" w:rsidRDefault="003E3437" w:rsidP="006C1A66">
      <w:pPr>
        <w:pStyle w:val="BulletedList-Level1"/>
      </w:pPr>
      <w:r>
        <w:t>P</w:t>
      </w:r>
      <w:r w:rsidR="146CA4D2">
        <w:t xml:space="preserve">rovides supplementary information to the CCA </w:t>
      </w:r>
      <w:r w:rsidR="2E278D27">
        <w:t>re</w:t>
      </w:r>
      <w:r w:rsidR="146CA4D2">
        <w:t>view</w:t>
      </w:r>
      <w:r w:rsidR="135A4528">
        <w:t>, which has been certified as an Impact Analysis Equivalent</w:t>
      </w:r>
      <w:r w:rsidR="00066AB1">
        <w:t>, in particular:</w:t>
      </w:r>
    </w:p>
    <w:p w14:paraId="2E16A844" w14:textId="769F937A" w:rsidR="006C1A66" w:rsidRDefault="00E76A5E" w:rsidP="7B6DBCCB">
      <w:pPr>
        <w:pStyle w:val="BulletedList-Level1"/>
        <w:numPr>
          <w:ilvl w:val="1"/>
          <w:numId w:val="4"/>
        </w:numPr>
      </w:pPr>
      <w:r>
        <w:t>outlines</w:t>
      </w:r>
      <w:r w:rsidR="6CCEA640">
        <w:t xml:space="preserve"> </w:t>
      </w:r>
      <w:r w:rsidR="007136FC">
        <w:t xml:space="preserve">the </w:t>
      </w:r>
      <w:r w:rsidR="6CCEA640">
        <w:t xml:space="preserve">two options </w:t>
      </w:r>
      <w:r>
        <w:t>considered</w:t>
      </w:r>
      <w:r w:rsidR="006A3453">
        <w:t xml:space="preserve"> to implement </w:t>
      </w:r>
      <w:r w:rsidR="6CCEA640">
        <w:t xml:space="preserve">the CCA review </w:t>
      </w:r>
      <w:r w:rsidR="006A3453">
        <w:t>recommendation</w:t>
      </w:r>
      <w:r w:rsidR="00B20536">
        <w:t xml:space="preserve"> 15 as it relates to</w:t>
      </w:r>
      <w:r w:rsidR="007136FC">
        <w:t xml:space="preserve"> open-cut coal mines</w:t>
      </w:r>
      <w:r w:rsidR="6CCEA640">
        <w:t xml:space="preserve">, </w:t>
      </w:r>
    </w:p>
    <w:p w14:paraId="11B270B4" w14:textId="03597436" w:rsidR="006C1A66" w:rsidRDefault="00E53AB5" w:rsidP="7B6DBCCB">
      <w:pPr>
        <w:pStyle w:val="BulletedList-Level1"/>
        <w:numPr>
          <w:ilvl w:val="1"/>
          <w:numId w:val="4"/>
        </w:numPr>
      </w:pPr>
      <w:r>
        <w:t>addresse</w:t>
      </w:r>
      <w:r w:rsidR="000B6C36">
        <w:t>s</w:t>
      </w:r>
      <w:r>
        <w:t xml:space="preserve"> </w:t>
      </w:r>
      <w:r w:rsidR="00B20536">
        <w:t xml:space="preserve">the Impact Analysis questions not </w:t>
      </w:r>
      <w:r>
        <w:t>covered by</w:t>
      </w:r>
      <w:r w:rsidR="00B20536">
        <w:t xml:space="preserve"> the CCA review</w:t>
      </w:r>
      <w:r w:rsidR="22BC23D5">
        <w:t>:</w:t>
      </w:r>
    </w:p>
    <w:p w14:paraId="749A55A1" w14:textId="12260155" w:rsidR="006C1A66" w:rsidRDefault="7B1E37D7" w:rsidP="7B6DBCCB">
      <w:pPr>
        <w:pStyle w:val="BulletedList-Level1"/>
        <w:numPr>
          <w:ilvl w:val="2"/>
          <w:numId w:val="4"/>
        </w:numPr>
      </w:pPr>
      <w:r>
        <w:t>What is the best option from those you have considered and how will it be implemented?</w:t>
      </w:r>
    </w:p>
    <w:p w14:paraId="1A774CC1" w14:textId="765932EC" w:rsidR="006C1A66" w:rsidRDefault="7B1E37D7" w:rsidP="7B6DBCCB">
      <w:pPr>
        <w:pStyle w:val="BulletedList-Level1"/>
        <w:numPr>
          <w:ilvl w:val="2"/>
          <w:numId w:val="4"/>
        </w:numPr>
      </w:pPr>
      <w:r>
        <w:t>How will you evaluate your chosen option</w:t>
      </w:r>
      <w:r w:rsidR="00563FB8">
        <w:t xml:space="preserve"> against the success metrics</w:t>
      </w:r>
      <w:r>
        <w:t>?</w:t>
      </w:r>
    </w:p>
    <w:p w14:paraId="5F47F58A" w14:textId="0A28661F" w:rsidR="008C5AB4" w:rsidRDefault="00E53AB5" w:rsidP="008C5AB4">
      <w:pPr>
        <w:pStyle w:val="BulletedList-Level1"/>
        <w:numPr>
          <w:ilvl w:val="1"/>
          <w:numId w:val="4"/>
        </w:numPr>
      </w:pPr>
      <w:r>
        <w:t>outlines</w:t>
      </w:r>
      <w:r w:rsidR="008C5AB4">
        <w:t xml:space="preserve"> further consultation undertaken by </w:t>
      </w:r>
      <w:r w:rsidR="5BDF22D4">
        <w:t xml:space="preserve">the </w:t>
      </w:r>
      <w:r w:rsidR="005A47FB">
        <w:t xml:space="preserve">department </w:t>
      </w:r>
      <w:r w:rsidR="008C5AB4">
        <w:t>(</w:t>
      </w:r>
      <w:r w:rsidR="00AF006F">
        <w:t xml:space="preserve">see </w:t>
      </w:r>
      <w:r w:rsidR="008C5AB4">
        <w:t>Annex A),</w:t>
      </w:r>
    </w:p>
    <w:p w14:paraId="5F3C9A0D" w14:textId="4AE26FCE" w:rsidR="00ED1274" w:rsidRPr="0055678E" w:rsidRDefault="00ED1274" w:rsidP="00E53AB5">
      <w:pPr>
        <w:pStyle w:val="BulletedList-Level1"/>
        <w:numPr>
          <w:ilvl w:val="1"/>
          <w:numId w:val="4"/>
        </w:numPr>
      </w:pPr>
      <w:proofErr w:type="gramStart"/>
      <w:r>
        <w:t>is</w:t>
      </w:r>
      <w:proofErr w:type="gramEnd"/>
      <w:r>
        <w:t xml:space="preserve"> Certified by the </w:t>
      </w:r>
      <w:r w:rsidR="005A47FB">
        <w:t>department</w:t>
      </w:r>
      <w:r w:rsidR="003B3993">
        <w:t>.</w:t>
      </w:r>
    </w:p>
    <w:p w14:paraId="64BC109B" w14:textId="4890DB08" w:rsidR="7B6DBCCB" w:rsidRDefault="7B6DBCCB"/>
    <w:p w14:paraId="566DAA8F" w14:textId="77777777" w:rsidR="00780419" w:rsidRDefault="00780419">
      <w:pPr>
        <w:spacing w:after="200" w:line="288" w:lineRule="auto"/>
        <w:rPr>
          <w:rFonts w:asciiTheme="majorHAnsi" w:eastAsiaTheme="majorEastAsia" w:hAnsiTheme="majorHAnsi" w:cstheme="majorBidi"/>
          <w:color w:val="1C2B39" w:themeColor="accent1"/>
          <w:sz w:val="36"/>
          <w:szCs w:val="28"/>
        </w:rPr>
      </w:pPr>
      <w:bookmarkStart w:id="8" w:name="_Toc1410429206"/>
      <w:r>
        <w:br w:type="page"/>
      </w:r>
    </w:p>
    <w:p w14:paraId="794FE495" w14:textId="5B2285A3" w:rsidR="0078119D" w:rsidRDefault="0078119D" w:rsidP="002A26DD">
      <w:pPr>
        <w:pStyle w:val="Heading2"/>
      </w:pPr>
      <w:r>
        <w:lastRenderedPageBreak/>
        <w:t>What is the best option from those you have considered and how will it be implemented?</w:t>
      </w:r>
      <w:bookmarkEnd w:id="8"/>
    </w:p>
    <w:p w14:paraId="6AD42E48" w14:textId="0DADB13E" w:rsidR="00853F1E" w:rsidRDefault="00391EAF" w:rsidP="00391EAF">
      <w:r>
        <w:t xml:space="preserve">Two options </w:t>
      </w:r>
      <w:r w:rsidR="00D73EF6">
        <w:t>were</w:t>
      </w:r>
      <w:r>
        <w:t xml:space="preserve"> considered </w:t>
      </w:r>
      <w:r w:rsidR="5389A021">
        <w:t xml:space="preserve">for </w:t>
      </w:r>
      <w:r>
        <w:t xml:space="preserve">implementing the CCA Review’s recommendation 15 </w:t>
      </w:r>
      <w:r w:rsidR="00D73EF6">
        <w:t>in relation to the phase out of Method 1 for estimating fugitive methane emission from</w:t>
      </w:r>
      <w:r>
        <w:t xml:space="preserve"> open cut coal mines. </w:t>
      </w:r>
    </w:p>
    <w:p w14:paraId="56814669" w14:textId="7EBBFC66" w:rsidR="00391EAF" w:rsidRDefault="00391EAF" w:rsidP="00391EAF">
      <w:r>
        <w:t xml:space="preserve">These options </w:t>
      </w:r>
      <w:r w:rsidR="00853F1E">
        <w:t>were</w:t>
      </w:r>
      <w:r>
        <w:t xml:space="preserve"> compared with the reference (business-as-usual) option, reflecting the current policy settings for the NGER scheme. These options are summarised in Table </w:t>
      </w:r>
      <w:r w:rsidRPr="001E6006">
        <w:t xml:space="preserve">1 </w:t>
      </w:r>
      <w:r>
        <w:t xml:space="preserve">and provided in more detail below. </w:t>
      </w:r>
    </w:p>
    <w:p w14:paraId="3876FDEB" w14:textId="30CC1489" w:rsidR="00391EAF" w:rsidRPr="00D17205" w:rsidRDefault="00391EAF" w:rsidP="00391EAF">
      <w:pPr>
        <w:pStyle w:val="Heading4"/>
        <w:rPr>
          <w:sz w:val="20"/>
          <w:szCs w:val="20"/>
        </w:rPr>
      </w:pPr>
      <w:r w:rsidRPr="00D17205">
        <w:rPr>
          <w:sz w:val="20"/>
          <w:szCs w:val="20"/>
        </w:rPr>
        <w:t xml:space="preserve">Table </w:t>
      </w:r>
      <w:r w:rsidRPr="00D17205">
        <w:rPr>
          <w:sz w:val="20"/>
          <w:szCs w:val="20"/>
        </w:rPr>
        <w:fldChar w:fldCharType="begin"/>
      </w:r>
      <w:r w:rsidRPr="00D17205">
        <w:rPr>
          <w:sz w:val="20"/>
          <w:szCs w:val="20"/>
        </w:rPr>
        <w:instrText xml:space="preserve"> SEQ Table \* ARABIC </w:instrText>
      </w:r>
      <w:r w:rsidRPr="00D17205">
        <w:rPr>
          <w:sz w:val="20"/>
          <w:szCs w:val="20"/>
        </w:rPr>
        <w:fldChar w:fldCharType="separate"/>
      </w:r>
      <w:r w:rsidR="00424C07">
        <w:rPr>
          <w:noProof/>
          <w:sz w:val="20"/>
          <w:szCs w:val="20"/>
        </w:rPr>
        <w:t>1</w:t>
      </w:r>
      <w:r w:rsidRPr="00D17205">
        <w:rPr>
          <w:sz w:val="20"/>
          <w:szCs w:val="20"/>
        </w:rPr>
        <w:fldChar w:fldCharType="end"/>
      </w:r>
      <w:r w:rsidRPr="00D17205">
        <w:rPr>
          <w:sz w:val="20"/>
          <w:szCs w:val="20"/>
        </w:rPr>
        <w:t>: Summary of Policy Options</w:t>
      </w:r>
    </w:p>
    <w:tbl>
      <w:tblPr>
        <w:tblStyle w:val="Custom1"/>
        <w:tblW w:w="0" w:type="auto"/>
        <w:tblLook w:val="04A0" w:firstRow="1" w:lastRow="0" w:firstColumn="1" w:lastColumn="0" w:noHBand="0" w:noVBand="1"/>
      </w:tblPr>
      <w:tblGrid>
        <w:gridCol w:w="2830"/>
        <w:gridCol w:w="6798"/>
      </w:tblGrid>
      <w:tr w:rsidR="00391EAF" w14:paraId="379CCB88" w14:textId="77777777" w:rsidTr="0A5D2A5E">
        <w:trPr>
          <w:cnfStyle w:val="100000000000" w:firstRow="1" w:lastRow="0" w:firstColumn="0" w:lastColumn="0" w:oddVBand="0" w:evenVBand="0" w:oddHBand="0" w:evenHBand="0" w:firstRowFirstColumn="0" w:firstRowLastColumn="0" w:lastRowFirstColumn="0" w:lastRowLastColumn="0"/>
        </w:trPr>
        <w:tc>
          <w:tcPr>
            <w:tcW w:w="2830" w:type="dxa"/>
          </w:tcPr>
          <w:p w14:paraId="47F7EDB2" w14:textId="77777777" w:rsidR="00391EAF" w:rsidRPr="00CD4D5C" w:rsidRDefault="00391EAF" w:rsidP="00AD4547">
            <w:pPr>
              <w:rPr>
                <w:b w:val="0"/>
                <w:sz w:val="20"/>
                <w:szCs w:val="20"/>
              </w:rPr>
            </w:pPr>
            <w:r w:rsidRPr="00CD4D5C">
              <w:rPr>
                <w:b w:val="0"/>
                <w:sz w:val="20"/>
                <w:szCs w:val="20"/>
              </w:rPr>
              <w:t>Policy option</w:t>
            </w:r>
          </w:p>
        </w:tc>
        <w:tc>
          <w:tcPr>
            <w:tcW w:w="6798" w:type="dxa"/>
          </w:tcPr>
          <w:p w14:paraId="0D66B0E4" w14:textId="77777777" w:rsidR="00391EAF" w:rsidRPr="00CD4D5C" w:rsidRDefault="00391EAF" w:rsidP="00AD4547">
            <w:pPr>
              <w:rPr>
                <w:b w:val="0"/>
                <w:sz w:val="20"/>
                <w:szCs w:val="20"/>
              </w:rPr>
            </w:pPr>
            <w:r w:rsidRPr="00CD4D5C">
              <w:rPr>
                <w:b w:val="0"/>
                <w:sz w:val="20"/>
                <w:szCs w:val="20"/>
              </w:rPr>
              <w:t>Policy setting</w:t>
            </w:r>
          </w:p>
        </w:tc>
      </w:tr>
      <w:tr w:rsidR="00391EAF" w14:paraId="69DAFDB9" w14:textId="77777777" w:rsidTr="0A5D2A5E">
        <w:trPr>
          <w:cnfStyle w:val="000000100000" w:firstRow="0" w:lastRow="0" w:firstColumn="0" w:lastColumn="0" w:oddVBand="0" w:evenVBand="0" w:oddHBand="1" w:evenHBand="0" w:firstRowFirstColumn="0" w:firstRowLastColumn="0" w:lastRowFirstColumn="0" w:lastRowLastColumn="0"/>
        </w:trPr>
        <w:tc>
          <w:tcPr>
            <w:tcW w:w="2830" w:type="dxa"/>
          </w:tcPr>
          <w:p w14:paraId="1538FCCC" w14:textId="77777777" w:rsidR="00391EAF" w:rsidRPr="00CD4D5C" w:rsidRDefault="00391EAF" w:rsidP="00AD4547">
            <w:pPr>
              <w:rPr>
                <w:sz w:val="20"/>
                <w:szCs w:val="20"/>
              </w:rPr>
            </w:pPr>
            <w:r w:rsidRPr="00CD4D5C">
              <w:rPr>
                <w:sz w:val="20"/>
                <w:szCs w:val="20"/>
              </w:rPr>
              <w:t>Reference option (BAU)</w:t>
            </w:r>
          </w:p>
        </w:tc>
        <w:tc>
          <w:tcPr>
            <w:tcW w:w="6798" w:type="dxa"/>
          </w:tcPr>
          <w:p w14:paraId="4646D029" w14:textId="77777777" w:rsidR="00391EAF" w:rsidRPr="00CD4D5C" w:rsidRDefault="00391EAF" w:rsidP="00AD4547">
            <w:pPr>
              <w:pStyle w:val="BulletedList-Level1"/>
              <w:rPr>
                <w:sz w:val="20"/>
                <w:szCs w:val="20"/>
              </w:rPr>
            </w:pPr>
            <w:r w:rsidRPr="00CD4D5C">
              <w:rPr>
                <w:sz w:val="20"/>
                <w:szCs w:val="20"/>
              </w:rPr>
              <w:t>No amendments made to the NGER Measurement Determination.</w:t>
            </w:r>
          </w:p>
          <w:p w14:paraId="25AC9BA0" w14:textId="77777777" w:rsidR="00391EAF" w:rsidRPr="00CD4D5C" w:rsidRDefault="00391EAF" w:rsidP="00AD4547">
            <w:pPr>
              <w:pStyle w:val="BulletedList-Level1"/>
              <w:rPr>
                <w:sz w:val="20"/>
                <w:szCs w:val="20"/>
              </w:rPr>
            </w:pPr>
            <w:r w:rsidRPr="00CD4D5C">
              <w:rPr>
                <w:sz w:val="20"/>
                <w:szCs w:val="20"/>
              </w:rPr>
              <w:t>Facilities may continue to report emissions using Method 1, 2 or 3.</w:t>
            </w:r>
          </w:p>
        </w:tc>
      </w:tr>
      <w:tr w:rsidR="00391EAF" w14:paraId="5B6B1CF5" w14:textId="77777777" w:rsidTr="0A5D2A5E">
        <w:tc>
          <w:tcPr>
            <w:tcW w:w="2830" w:type="dxa"/>
          </w:tcPr>
          <w:p w14:paraId="11448FAE" w14:textId="77777777" w:rsidR="00391EAF" w:rsidRPr="00CD4D5C" w:rsidRDefault="00391EAF" w:rsidP="00AD4547">
            <w:pPr>
              <w:rPr>
                <w:sz w:val="20"/>
                <w:szCs w:val="20"/>
              </w:rPr>
            </w:pPr>
            <w:r w:rsidRPr="00CD4D5C">
              <w:rPr>
                <w:sz w:val="20"/>
                <w:szCs w:val="20"/>
              </w:rPr>
              <w:t>Option 1 (Method 1 repealed for all)</w:t>
            </w:r>
          </w:p>
        </w:tc>
        <w:tc>
          <w:tcPr>
            <w:tcW w:w="6798" w:type="dxa"/>
          </w:tcPr>
          <w:p w14:paraId="19332DA7" w14:textId="71D2F207" w:rsidR="00391EAF" w:rsidRPr="00CD4D5C" w:rsidRDefault="00391EAF" w:rsidP="00AD4547">
            <w:pPr>
              <w:pStyle w:val="BulletedList-Level1"/>
              <w:rPr>
                <w:sz w:val="20"/>
                <w:szCs w:val="20"/>
              </w:rPr>
            </w:pPr>
            <w:r w:rsidRPr="00CD4D5C">
              <w:rPr>
                <w:sz w:val="20"/>
                <w:szCs w:val="20"/>
              </w:rPr>
              <w:t>Method 1 is repealed from the NGER Measurement Determination with all facilities required to use Method 2 or 3.</w:t>
            </w:r>
          </w:p>
        </w:tc>
      </w:tr>
      <w:tr w:rsidR="00391EAF" w14:paraId="02B30AD7" w14:textId="77777777" w:rsidTr="0A5D2A5E">
        <w:trPr>
          <w:cnfStyle w:val="000000100000" w:firstRow="0" w:lastRow="0" w:firstColumn="0" w:lastColumn="0" w:oddVBand="0" w:evenVBand="0" w:oddHBand="1" w:evenHBand="0" w:firstRowFirstColumn="0" w:firstRowLastColumn="0" w:lastRowFirstColumn="0" w:lastRowLastColumn="0"/>
        </w:trPr>
        <w:tc>
          <w:tcPr>
            <w:tcW w:w="2830" w:type="dxa"/>
          </w:tcPr>
          <w:p w14:paraId="3742D32C" w14:textId="26AFCD0C" w:rsidR="00391EAF" w:rsidRPr="00CD4D5C" w:rsidRDefault="00391EAF" w:rsidP="00AD4547">
            <w:pPr>
              <w:rPr>
                <w:sz w:val="20"/>
                <w:szCs w:val="20"/>
              </w:rPr>
            </w:pPr>
            <w:r w:rsidRPr="00CD4D5C">
              <w:rPr>
                <w:sz w:val="20"/>
                <w:szCs w:val="20"/>
              </w:rPr>
              <w:t>Option 2 (Method 1 repealed for Safeguard facilities only)</w:t>
            </w:r>
          </w:p>
        </w:tc>
        <w:tc>
          <w:tcPr>
            <w:tcW w:w="6798" w:type="dxa"/>
          </w:tcPr>
          <w:p w14:paraId="19AC159B" w14:textId="77777777" w:rsidR="00391EAF" w:rsidRPr="00CD4D5C" w:rsidRDefault="00391EAF" w:rsidP="00AD4547">
            <w:pPr>
              <w:pStyle w:val="BulletedList-Level1"/>
              <w:rPr>
                <w:sz w:val="20"/>
                <w:szCs w:val="20"/>
              </w:rPr>
            </w:pPr>
            <w:r w:rsidRPr="00CD4D5C">
              <w:rPr>
                <w:sz w:val="20"/>
                <w:szCs w:val="20"/>
              </w:rPr>
              <w:t>Method 1 is phased out for Safeguard Mechanism facilities:</w:t>
            </w:r>
          </w:p>
          <w:p w14:paraId="79C58DE2" w14:textId="17422149" w:rsidR="00391EAF" w:rsidRPr="00CD4D5C" w:rsidRDefault="00391EAF" w:rsidP="00AD4547">
            <w:pPr>
              <w:pStyle w:val="BulletedList-Level3"/>
              <w:ind w:left="900"/>
              <w:rPr>
                <w:sz w:val="20"/>
                <w:szCs w:val="20"/>
              </w:rPr>
            </w:pPr>
            <w:r w:rsidRPr="00CD4D5C">
              <w:rPr>
                <w:sz w:val="20"/>
                <w:szCs w:val="20"/>
              </w:rPr>
              <w:t xml:space="preserve">from 1 July 2025, Safeguard Mechanism </w:t>
            </w:r>
            <w:r w:rsidR="54533AA9" w:rsidRPr="00CD4D5C">
              <w:rPr>
                <w:sz w:val="20"/>
                <w:szCs w:val="20"/>
              </w:rPr>
              <w:t xml:space="preserve">facilities </w:t>
            </w:r>
            <w:r w:rsidRPr="00CD4D5C">
              <w:rPr>
                <w:sz w:val="20"/>
                <w:szCs w:val="20"/>
              </w:rPr>
              <w:t xml:space="preserve">that produced more than 10 million tonnes of coal in FY2023 must estimate fugitive methane emissions from open-cut mines using </w:t>
            </w:r>
            <w:r w:rsidR="00382EE6" w:rsidRPr="00CD4D5C">
              <w:rPr>
                <w:sz w:val="20"/>
                <w:szCs w:val="20"/>
              </w:rPr>
              <w:t>Method</w:t>
            </w:r>
            <w:r w:rsidR="00382EE6">
              <w:rPr>
                <w:sz w:val="20"/>
                <w:szCs w:val="20"/>
              </w:rPr>
              <w:t> </w:t>
            </w:r>
            <w:r w:rsidRPr="00CD4D5C">
              <w:rPr>
                <w:sz w:val="20"/>
                <w:szCs w:val="20"/>
              </w:rPr>
              <w:t>2 or 3; </w:t>
            </w:r>
          </w:p>
          <w:p w14:paraId="2AE1083F" w14:textId="77777777" w:rsidR="00391EAF" w:rsidRPr="00CD4D5C" w:rsidRDefault="00391EAF" w:rsidP="00AD4547">
            <w:pPr>
              <w:pStyle w:val="BulletedList-Level3"/>
              <w:ind w:left="900"/>
              <w:rPr>
                <w:sz w:val="20"/>
                <w:szCs w:val="20"/>
              </w:rPr>
            </w:pPr>
            <w:proofErr w:type="gramStart"/>
            <w:r w:rsidRPr="00CD4D5C">
              <w:rPr>
                <w:sz w:val="20"/>
                <w:szCs w:val="20"/>
              </w:rPr>
              <w:t>from</w:t>
            </w:r>
            <w:proofErr w:type="gramEnd"/>
            <w:r w:rsidRPr="00CD4D5C">
              <w:rPr>
                <w:sz w:val="20"/>
                <w:szCs w:val="20"/>
              </w:rPr>
              <w:t xml:space="preserve"> 1 July 2026, all remaining Safeguard Mechanism facilities must estimate fugitive methane emissions from open-cut mines using Method 2 or 3. </w:t>
            </w:r>
          </w:p>
          <w:p w14:paraId="16061728" w14:textId="701210FA" w:rsidR="00391EAF" w:rsidRPr="00CD4D5C" w:rsidRDefault="00391EAF" w:rsidP="00AD4547">
            <w:pPr>
              <w:pStyle w:val="BulletedList-Level1"/>
              <w:rPr>
                <w:sz w:val="20"/>
                <w:szCs w:val="20"/>
              </w:rPr>
            </w:pPr>
            <w:r w:rsidRPr="00CD4D5C">
              <w:rPr>
                <w:sz w:val="20"/>
                <w:szCs w:val="20"/>
              </w:rPr>
              <w:t>A facility can apply to the Clean Energy Regulator for a</w:t>
            </w:r>
            <w:r w:rsidR="00E43F93">
              <w:rPr>
                <w:sz w:val="20"/>
                <w:szCs w:val="20"/>
              </w:rPr>
              <w:t xml:space="preserve"> limited</w:t>
            </w:r>
            <w:r w:rsidRPr="00CD4D5C">
              <w:rPr>
                <w:sz w:val="20"/>
                <w:szCs w:val="20"/>
              </w:rPr>
              <w:t xml:space="preserve"> extension </w:t>
            </w:r>
            <w:r w:rsidR="00B9613C">
              <w:rPr>
                <w:sz w:val="20"/>
                <w:szCs w:val="20"/>
              </w:rPr>
              <w:t xml:space="preserve">of time to </w:t>
            </w:r>
            <w:r w:rsidRPr="00CD4D5C">
              <w:rPr>
                <w:sz w:val="20"/>
                <w:szCs w:val="20"/>
              </w:rPr>
              <w:t>transition to Method 2 or 3</w:t>
            </w:r>
            <w:r w:rsidR="00DD0E60">
              <w:rPr>
                <w:sz w:val="20"/>
                <w:szCs w:val="20"/>
              </w:rPr>
              <w:t xml:space="preserve"> </w:t>
            </w:r>
            <w:r w:rsidR="00E43F93">
              <w:rPr>
                <w:sz w:val="20"/>
                <w:szCs w:val="20"/>
              </w:rPr>
              <w:t xml:space="preserve">if </w:t>
            </w:r>
            <w:r w:rsidR="00DD0E60">
              <w:rPr>
                <w:sz w:val="20"/>
                <w:szCs w:val="20"/>
              </w:rPr>
              <w:t xml:space="preserve">it satisfies prescribed </w:t>
            </w:r>
            <w:r w:rsidR="00394CBE">
              <w:rPr>
                <w:sz w:val="20"/>
                <w:szCs w:val="20"/>
              </w:rPr>
              <w:t>requirements</w:t>
            </w:r>
            <w:r w:rsidRPr="00CD4D5C">
              <w:rPr>
                <w:sz w:val="20"/>
                <w:szCs w:val="20"/>
              </w:rPr>
              <w:t>.</w:t>
            </w:r>
          </w:p>
        </w:tc>
      </w:tr>
    </w:tbl>
    <w:p w14:paraId="4F28C50A" w14:textId="77777777" w:rsidR="00853F1E" w:rsidRDefault="00853F1E" w:rsidP="005D5317"/>
    <w:p w14:paraId="1C303C7E" w14:textId="22BC2B78" w:rsidR="00A54B46" w:rsidRDefault="00EC0A10" w:rsidP="0041091F">
      <w:r>
        <w:t xml:space="preserve">Option 2 was identified as the </w:t>
      </w:r>
      <w:r w:rsidR="00242BEC">
        <w:t>preferred</w:t>
      </w:r>
      <w:r>
        <w:t xml:space="preserve"> option. This decision was </w:t>
      </w:r>
      <w:r w:rsidR="0041091F">
        <w:t xml:space="preserve">informed by the </w:t>
      </w:r>
      <w:r w:rsidR="00D601FB">
        <w:t>analysis contained within the Impact Analysis Equivalent (CCA review)</w:t>
      </w:r>
      <w:r w:rsidR="00B56D42">
        <w:t xml:space="preserve">, further analysis </w:t>
      </w:r>
      <w:r w:rsidR="003A70C8">
        <w:t xml:space="preserve">of the options </w:t>
      </w:r>
      <w:r w:rsidR="00B56D42">
        <w:t xml:space="preserve">undertaken by the </w:t>
      </w:r>
      <w:r w:rsidR="00CD0C5B">
        <w:t xml:space="preserve">department </w:t>
      </w:r>
      <w:r w:rsidR="00B56D42">
        <w:t xml:space="preserve">with regard to the </w:t>
      </w:r>
      <w:r w:rsidR="00F64C26">
        <w:t xml:space="preserve">differences in </w:t>
      </w:r>
      <w:r w:rsidR="00EB1244">
        <w:t xml:space="preserve">facility and </w:t>
      </w:r>
      <w:r w:rsidR="00B56D42">
        <w:t>emissions coverage</w:t>
      </w:r>
      <w:r w:rsidR="00C16171">
        <w:t>,</w:t>
      </w:r>
      <w:r w:rsidR="00B56D42">
        <w:t xml:space="preserve"> </w:t>
      </w:r>
      <w:r w:rsidR="00C16171">
        <w:t>regulatory burden</w:t>
      </w:r>
      <w:r w:rsidR="0054285B">
        <w:t>,</w:t>
      </w:r>
      <w:r w:rsidR="00C16171">
        <w:t xml:space="preserve"> </w:t>
      </w:r>
      <w:r w:rsidR="00B861E2">
        <w:t xml:space="preserve">and implications for </w:t>
      </w:r>
      <w:r w:rsidR="003F4F12">
        <w:t>the accuracy of emissions data</w:t>
      </w:r>
      <w:r w:rsidR="0054285B">
        <w:t>. F</w:t>
      </w:r>
      <w:r w:rsidR="007E5A47">
        <w:t xml:space="preserve">eedback from </w:t>
      </w:r>
      <w:r w:rsidR="005B5D70">
        <w:t xml:space="preserve">additional </w:t>
      </w:r>
      <w:r w:rsidR="007E5A47">
        <w:t>stakeholder consultation</w:t>
      </w:r>
      <w:r w:rsidR="005B5D70">
        <w:t xml:space="preserve"> </w:t>
      </w:r>
      <w:r w:rsidR="00D43436">
        <w:t xml:space="preserve">undertaken by the </w:t>
      </w:r>
      <w:r w:rsidR="008851E7">
        <w:t xml:space="preserve">department </w:t>
      </w:r>
      <w:r w:rsidR="005B5D70">
        <w:t>(</w:t>
      </w:r>
      <w:r w:rsidR="00822014">
        <w:t>Annex A)</w:t>
      </w:r>
      <w:r w:rsidR="0054285B">
        <w:t xml:space="preserve"> was also considered</w:t>
      </w:r>
      <w:r w:rsidR="007E5A47">
        <w:t xml:space="preserve">. </w:t>
      </w:r>
    </w:p>
    <w:p w14:paraId="32E7C860" w14:textId="3ADA164D" w:rsidR="005C714F" w:rsidRDefault="00903A3E" w:rsidP="005D5317">
      <w:r>
        <w:t>This option</w:t>
      </w:r>
      <w:r w:rsidR="00475449">
        <w:t xml:space="preserve"> </w:t>
      </w:r>
      <w:r w:rsidR="00700A38">
        <w:t xml:space="preserve">best supports the objective of enhancing the accuracy of </w:t>
      </w:r>
      <w:r w:rsidR="00C73D32">
        <w:t>fugitive methane emissions</w:t>
      </w:r>
      <w:r w:rsidR="00F731B8">
        <w:t xml:space="preserve"> reported by facilities from the extraction of coal from open-cut mines, while minimising regulatory </w:t>
      </w:r>
      <w:r w:rsidR="6B2ED352">
        <w:t>burden</w:t>
      </w:r>
      <w:r w:rsidR="00F731B8">
        <w:t xml:space="preserve"> on </w:t>
      </w:r>
      <w:r w:rsidR="005C714F">
        <w:t>business.</w:t>
      </w:r>
      <w:r w:rsidR="00504C06">
        <w:t xml:space="preserve"> A summary of this assessment is set out below. </w:t>
      </w:r>
    </w:p>
    <w:p w14:paraId="59512156" w14:textId="27DC6047" w:rsidR="007E5C28" w:rsidRDefault="003930E2" w:rsidP="002C2144">
      <w:r>
        <w:lastRenderedPageBreak/>
        <w:t xml:space="preserve">By maintaining the status quo, the reference option does not achieve the objective of enhancing the accuracy of reported fugitive methane emissions from open-cut mines. </w:t>
      </w:r>
      <w:r w:rsidR="003831CD">
        <w:t xml:space="preserve">Nor is it consistent </w:t>
      </w:r>
      <w:r w:rsidR="005226AB">
        <w:t>with</w:t>
      </w:r>
      <w:r w:rsidR="003831CD">
        <w:t xml:space="preserve"> </w:t>
      </w:r>
      <w:r>
        <w:t xml:space="preserve">the CCA review Recommendation 15 to phase out Method 1 methods for fugitive methane </w:t>
      </w:r>
      <w:r w:rsidR="000B2D7F">
        <w:t xml:space="preserve">emissions </w:t>
      </w:r>
      <w:r w:rsidR="00F72EDA">
        <w:t>estimation</w:t>
      </w:r>
      <w:r>
        <w:t>.</w:t>
      </w:r>
    </w:p>
    <w:p w14:paraId="29E8F252" w14:textId="0952C0A4" w:rsidR="002C2144" w:rsidRDefault="003831CD" w:rsidP="002C2144">
      <w:r>
        <w:t>B</w:t>
      </w:r>
      <w:r w:rsidR="00504C06">
        <w:t xml:space="preserve">oth Options 1 and 2 would </w:t>
      </w:r>
      <w:r w:rsidR="006904F3">
        <w:t>support the objective of enhancing the accuracy of reported fugitive methane emissions from open-cut mines</w:t>
      </w:r>
      <w:r w:rsidR="000A51F2">
        <w:t xml:space="preserve"> because b</w:t>
      </w:r>
      <w:r w:rsidR="00283BD9">
        <w:t>oth options</w:t>
      </w:r>
      <w:r w:rsidR="00B302C5">
        <w:t xml:space="preserve"> </w:t>
      </w:r>
      <w:r w:rsidR="00283BD9">
        <w:t xml:space="preserve">would </w:t>
      </w:r>
      <w:r w:rsidR="00B302C5">
        <w:t>requir</w:t>
      </w:r>
      <w:r w:rsidR="00283BD9">
        <w:t>e</w:t>
      </w:r>
      <w:r w:rsidR="00B302C5">
        <w:t xml:space="preserve"> </w:t>
      </w:r>
      <w:r w:rsidR="009575C3">
        <w:t xml:space="preserve">facilities </w:t>
      </w:r>
      <w:r w:rsidR="00B302C5">
        <w:t>currently using M</w:t>
      </w:r>
      <w:r w:rsidR="002C2144" w:rsidRPr="13F1507F">
        <w:t xml:space="preserve">ethod 1 </w:t>
      </w:r>
      <w:r w:rsidR="00283BD9">
        <w:t>to</w:t>
      </w:r>
      <w:r w:rsidR="00B302C5">
        <w:t xml:space="preserve"> </w:t>
      </w:r>
      <w:r w:rsidR="00283BD9">
        <w:t>transition to Method 2 or 3.</w:t>
      </w:r>
      <w:r w:rsidR="002C2144" w:rsidRPr="13F1507F">
        <w:t xml:space="preserve"> Method 1 provides a simple, low-cost option for estimating fugitive methane emissions from open-cut mines. Method 1 estimates an open-cut mine’s fugitive methane emissions by applying state-specific emissions factors prescribed in the Measurement Determination to facility-level activity data (quantity of run-of-mine coal extracted during the reporting year). The emission factors are based on best available data sources, including state government petroleum datasets and methane flux studies, to derive the average methane content of coal across a given state. Such emission factors do not reflect the mine-specific methane content, which can vary both between coal basins and within the same basin.</w:t>
      </w:r>
    </w:p>
    <w:p w14:paraId="68A4EC95" w14:textId="6C1C1448" w:rsidR="002C2144" w:rsidRPr="001019AB" w:rsidRDefault="002C2144" w:rsidP="002C2144">
      <w:pPr>
        <w:widowControl w:val="0"/>
      </w:pPr>
      <w:r w:rsidRPr="13F1507F">
        <w:t>In contrast, Method</w:t>
      </w:r>
      <w:r w:rsidR="002B3A30">
        <w:t>s</w:t>
      </w:r>
      <w:r w:rsidRPr="13F1507F">
        <w:t xml:space="preserve"> 2 and 3 </w:t>
      </w:r>
      <w:r w:rsidR="00474FDD">
        <w:t xml:space="preserve">would enhance the accuracy of reported fugitive methane emissions </w:t>
      </w:r>
      <w:proofErr w:type="gramStart"/>
      <w:r w:rsidR="00B34E0A">
        <w:t>through the use of</w:t>
      </w:r>
      <w:proofErr w:type="gramEnd"/>
      <w:r w:rsidR="00B34E0A">
        <w:t xml:space="preserve"> facility-specific data.</w:t>
      </w:r>
      <w:r w:rsidRPr="13F1507F">
        <w:t xml:space="preserve"> The methods require the development of a mine-specific model for the in-situ methane in place prior to extraction. This model is used to estimate the fugitive emissions of methane each year when extracting coal from the open-cut mine. Modelling, sampling and analysis must be conducted in accordance with the Australian Coal Industry’s Research Program (ACARP) guidelines and relevant Australian Standards. Key components of these methods are </w:t>
      </w:r>
      <w:r w:rsidR="004E1721">
        <w:t xml:space="preserve">set out below and </w:t>
      </w:r>
      <w:r w:rsidRPr="13F1507F">
        <w:t xml:space="preserve">provided in </w:t>
      </w:r>
      <w:r w:rsidR="004E1721">
        <w:t xml:space="preserve">further detail in </w:t>
      </w:r>
      <w:r w:rsidRPr="13F1507F">
        <w:t xml:space="preserve">the Regulator’s </w:t>
      </w:r>
      <w:hyperlink r:id="rId19" w:history="1">
        <w:r w:rsidRPr="00780419">
          <w:rPr>
            <w:rStyle w:val="Hyperlink"/>
            <w:rFonts w:eastAsia="Calibri" w:cs="Calibri"/>
            <w:i/>
            <w:iCs/>
            <w:szCs w:val="22"/>
          </w:rPr>
          <w:t>Estimating emissions and energy coal mining guideline</w:t>
        </w:r>
        <w:r w:rsidRPr="00780419">
          <w:rPr>
            <w:rStyle w:val="Hyperlink"/>
            <w:rFonts w:eastAsia="Calibri" w:cs="Calibri"/>
            <w:szCs w:val="22"/>
          </w:rPr>
          <w:t xml:space="preserve"> (cer.gov.au)</w:t>
        </w:r>
      </w:hyperlink>
      <w:r w:rsidRPr="001019AB">
        <w:t xml:space="preserve">. </w:t>
      </w:r>
    </w:p>
    <w:p w14:paraId="57976298" w14:textId="77777777" w:rsidR="009F4F51" w:rsidRPr="008404F4" w:rsidRDefault="009F4F51" w:rsidP="009F4F51">
      <w:pPr>
        <w:pStyle w:val="ListParagraph"/>
        <w:widowControl w:val="0"/>
        <w:numPr>
          <w:ilvl w:val="0"/>
          <w:numId w:val="19"/>
        </w:numPr>
        <w:spacing w:before="120" w:after="0" w:line="276" w:lineRule="auto"/>
        <w:ind w:left="714" w:hanging="357"/>
        <w:contextualSpacing w:val="0"/>
      </w:pPr>
      <w:r w:rsidRPr="00771C6C">
        <w:t xml:space="preserve">A framework for data collection, including borehole sampling and gas testing of coal and gas bearing strata, which ensures representative and unbiased sampling. </w:t>
      </w:r>
      <w:r w:rsidRPr="008404F4">
        <w:t>Third parties are used for gas sampling and testing. The “Estimator” (see below) must also be satisfied that the competence and approach taken by those performing the required sampling and testing meets appropriate standards, and that finding documented</w:t>
      </w:r>
      <w:r>
        <w:t>.</w:t>
      </w:r>
      <w:r w:rsidRPr="008404F4">
        <w:t xml:space="preserve"> </w:t>
      </w:r>
    </w:p>
    <w:p w14:paraId="65AE38CF" w14:textId="6C526CC8" w:rsidR="009F4F51" w:rsidRPr="00771C6C" w:rsidRDefault="009F4F51" w:rsidP="009F4F51">
      <w:pPr>
        <w:pStyle w:val="ListParagraph"/>
        <w:widowControl w:val="0"/>
        <w:numPr>
          <w:ilvl w:val="0"/>
          <w:numId w:val="19"/>
        </w:numPr>
        <w:spacing w:before="120" w:after="0" w:line="276" w:lineRule="auto"/>
        <w:ind w:left="714" w:hanging="357"/>
        <w:contextualSpacing w:val="0"/>
      </w:pPr>
      <w:r w:rsidRPr="00771C6C">
        <w:t>Guidelines and standards for data analysis and interpretation</w:t>
      </w:r>
      <w:r w:rsidR="003D242E">
        <w:t>.</w:t>
      </w:r>
      <w:r w:rsidRPr="00771C6C">
        <w:t xml:space="preserve"> </w:t>
      </w:r>
    </w:p>
    <w:p w14:paraId="67C64400" w14:textId="2DE95771" w:rsidR="009F4F51" w:rsidRPr="00771C6C" w:rsidRDefault="009F4F51" w:rsidP="009F4F51">
      <w:pPr>
        <w:pStyle w:val="ListParagraph"/>
        <w:widowControl w:val="0"/>
        <w:numPr>
          <w:ilvl w:val="0"/>
          <w:numId w:val="19"/>
        </w:numPr>
        <w:spacing w:before="120" w:after="0" w:line="276" w:lineRule="auto"/>
        <w:ind w:left="714" w:hanging="357"/>
        <w:contextualSpacing w:val="0"/>
      </w:pPr>
      <w:r w:rsidRPr="00771C6C">
        <w:t>An approach for estimating gas in near-surface zones characterised by very low gas contents</w:t>
      </w:r>
      <w:r w:rsidR="003D242E">
        <w:t>.</w:t>
      </w:r>
      <w:r w:rsidRPr="00771C6C">
        <w:t xml:space="preserve"> </w:t>
      </w:r>
    </w:p>
    <w:p w14:paraId="3C2B95EF" w14:textId="77777777" w:rsidR="009F4F51" w:rsidRPr="008404F4" w:rsidRDefault="009F4F51" w:rsidP="009F4F51">
      <w:pPr>
        <w:pStyle w:val="ListParagraph"/>
        <w:widowControl w:val="0"/>
        <w:numPr>
          <w:ilvl w:val="0"/>
          <w:numId w:val="19"/>
        </w:numPr>
        <w:spacing w:before="120" w:after="0" w:line="276" w:lineRule="auto"/>
        <w:ind w:left="714" w:hanging="357"/>
        <w:contextualSpacing w:val="0"/>
      </w:pPr>
      <w:r w:rsidRPr="00771C6C">
        <w:t xml:space="preserve">Guidelines on utilising the collected data to produce a model of gas distribution describing the gas content and composition with a defined three-dimensional volume. </w:t>
      </w:r>
      <w:r w:rsidRPr="008404F4">
        <w:t>The process and supporting data for the modelling must also undergo a documented independent peer review by an appropriate professional and demonstrate due diligence</w:t>
      </w:r>
      <w:r>
        <w:t>.</w:t>
      </w:r>
      <w:r w:rsidRPr="008404F4">
        <w:t xml:space="preserve"> </w:t>
      </w:r>
    </w:p>
    <w:p w14:paraId="6F23B4CF" w14:textId="2038BE71" w:rsidR="009F4F51" w:rsidRPr="000A65F5" w:rsidRDefault="009F4F51" w:rsidP="009F4F51">
      <w:pPr>
        <w:pStyle w:val="ListParagraph"/>
        <w:widowControl w:val="0"/>
        <w:numPr>
          <w:ilvl w:val="0"/>
          <w:numId w:val="19"/>
        </w:numPr>
        <w:spacing w:before="120" w:after="0" w:line="276" w:lineRule="auto"/>
        <w:ind w:left="714" w:hanging="357"/>
        <w:contextualSpacing w:val="0"/>
      </w:pPr>
      <w:r w:rsidRPr="00771C6C">
        <w:t xml:space="preserve">Guidelines on estimating the emissions </w:t>
      </w:r>
      <w:r w:rsidRPr="000A65F5">
        <w:t xml:space="preserve">released from the </w:t>
      </w:r>
      <w:r w:rsidR="00C7748D" w:rsidRPr="000A65F5">
        <w:t>in</w:t>
      </w:r>
      <w:r w:rsidR="00C7748D">
        <w:t>-</w:t>
      </w:r>
      <w:r w:rsidRPr="000A65F5">
        <w:t>situ gas stock as blocks of strata within the mine are extracted for coal production</w:t>
      </w:r>
      <w:r w:rsidR="008C5AB4">
        <w:t>.</w:t>
      </w:r>
      <w:r w:rsidRPr="000A65F5">
        <w:t xml:space="preserve"> </w:t>
      </w:r>
    </w:p>
    <w:p w14:paraId="47DC51E0" w14:textId="77777777" w:rsidR="009F4F51" w:rsidRPr="008404F4" w:rsidRDefault="009F4F51" w:rsidP="009F4F51">
      <w:pPr>
        <w:pStyle w:val="ListParagraph"/>
        <w:widowControl w:val="0"/>
        <w:numPr>
          <w:ilvl w:val="0"/>
          <w:numId w:val="19"/>
        </w:numPr>
        <w:spacing w:before="120" w:after="200" w:line="276" w:lineRule="auto"/>
        <w:ind w:left="714" w:hanging="357"/>
        <w:contextualSpacing w:val="0"/>
      </w:pPr>
      <w:r w:rsidRPr="000A65F5">
        <w:t xml:space="preserve">Minimum qualifications of persons (“Estimator”) who are permitted to estimate emissions </w:t>
      </w:r>
      <w:r w:rsidRPr="000A65F5">
        <w:lastRenderedPageBreak/>
        <w:t>from an open</w:t>
      </w:r>
      <w:r w:rsidRPr="000A65F5">
        <w:noBreakHyphen/>
        <w:t xml:space="preserve">cut mine using the higher order method. </w:t>
      </w:r>
      <w:r w:rsidRPr="008404F4">
        <w:t xml:space="preserve">It should be </w:t>
      </w:r>
      <w:r w:rsidRPr="00D81677">
        <w:t xml:space="preserve">evidenced, through the creation and storage of appropriate </w:t>
      </w:r>
      <w:proofErr w:type="gramStart"/>
      <w:r w:rsidRPr="00D81677">
        <w:t>documentation, that</w:t>
      </w:r>
      <w:proofErr w:type="gramEnd"/>
      <w:r w:rsidRPr="00D81677">
        <w:t xml:space="preserve"> the Estimator</w:t>
      </w:r>
      <w:r w:rsidRPr="008404F4">
        <w:t xml:space="preserve"> (either an individual or a team) used meets the professional and qualification requirements set out in the ACARP guidelines</w:t>
      </w:r>
      <w:r>
        <w:t>.</w:t>
      </w:r>
      <w:r w:rsidRPr="008404F4">
        <w:t xml:space="preserve"> </w:t>
      </w:r>
    </w:p>
    <w:p w14:paraId="6A3DCEC5" w14:textId="77777777" w:rsidR="009F4F51" w:rsidRPr="008404F4" w:rsidRDefault="009F4F51" w:rsidP="009F4F51">
      <w:pPr>
        <w:pStyle w:val="ListParagraph"/>
        <w:widowControl w:val="0"/>
        <w:numPr>
          <w:ilvl w:val="0"/>
          <w:numId w:val="19"/>
        </w:numPr>
        <w:spacing w:before="120" w:after="200" w:line="276" w:lineRule="auto"/>
        <w:ind w:left="714" w:hanging="357"/>
        <w:contextualSpacing w:val="0"/>
      </w:pPr>
      <w:r w:rsidRPr="008404F4">
        <w:t xml:space="preserve">NGER scheme reports are subject to rigorous monitoring and compliance measures administered by the Clean Energy Regulator, including desktop reviews, Greenhouse and energy audits, site visits and data analysis to identify anomalies and reporting errors. Further information on the Regulator’s approach to monitoring and compliance is available at </w:t>
      </w:r>
      <w:hyperlink r:id="rId20" w:history="1">
        <w:proofErr w:type="gramStart"/>
        <w:r w:rsidRPr="008404F4">
          <w:rPr>
            <w:rStyle w:val="Hyperlink"/>
            <w:i/>
          </w:rPr>
          <w:t>Our</w:t>
        </w:r>
        <w:proofErr w:type="gramEnd"/>
        <w:r w:rsidRPr="008404F4">
          <w:rPr>
            <w:rStyle w:val="Hyperlink"/>
            <w:i/>
          </w:rPr>
          <w:t xml:space="preserve"> compliance approach | Clean Energy Regulator (cer.gov.au)</w:t>
        </w:r>
      </w:hyperlink>
      <w:r w:rsidRPr="003D5EE8">
        <w:rPr>
          <w:rStyle w:val="Hyperlink"/>
          <w:iCs/>
        </w:rPr>
        <w:t>.</w:t>
      </w:r>
    </w:p>
    <w:p w14:paraId="11FF9E59" w14:textId="12647408" w:rsidR="005C714F" w:rsidRDefault="00F64351" w:rsidP="00C904BD">
      <w:r>
        <w:t xml:space="preserve">When </w:t>
      </w:r>
      <w:r w:rsidR="00894B22">
        <w:t>O</w:t>
      </w:r>
      <w:r w:rsidR="00A61FA0">
        <w:t>ptions 1 and 2</w:t>
      </w:r>
      <w:r>
        <w:t xml:space="preserve"> were compared</w:t>
      </w:r>
      <w:r w:rsidR="00A61FA0">
        <w:t xml:space="preserve">, Option 2 </w:t>
      </w:r>
      <w:r>
        <w:t xml:space="preserve">was </w:t>
      </w:r>
      <w:r w:rsidR="003A1016">
        <w:t>found to better support the objective of enhancing the accuracy of fugitive methane emissions reported by facilities from the extraction of coal from open-cut mines</w:t>
      </w:r>
      <w:r w:rsidR="00C10234">
        <w:t xml:space="preserve"> </w:t>
      </w:r>
      <w:r w:rsidR="00C904BD">
        <w:t xml:space="preserve">through design features that </w:t>
      </w:r>
      <w:r w:rsidR="00836461">
        <w:t xml:space="preserve">could be expected to </w:t>
      </w:r>
      <w:r w:rsidR="00C904BD">
        <w:t>promote higher compliance</w:t>
      </w:r>
      <w:r w:rsidR="00074D05">
        <w:t xml:space="preserve"> while minimising regulatory </w:t>
      </w:r>
      <w:r w:rsidR="009E16A1">
        <w:t>burden</w:t>
      </w:r>
      <w:r w:rsidR="00713330">
        <w:t xml:space="preserve"> and addressing stakeholder concerns to the greatest extent possible</w:t>
      </w:r>
      <w:r w:rsidR="009E16A1">
        <w:t>.</w:t>
      </w:r>
      <w:r w:rsidR="00F45E17">
        <w:t xml:space="preserve"> </w:t>
      </w:r>
      <w:r w:rsidR="00836461">
        <w:t>These design features are summarised below:</w:t>
      </w:r>
    </w:p>
    <w:p w14:paraId="7A522B5D" w14:textId="13C6677D" w:rsidR="007E1E80" w:rsidRPr="007E1E80" w:rsidRDefault="00311061" w:rsidP="007E1E80">
      <w:pPr>
        <w:rPr>
          <w:i/>
          <w:iCs/>
        </w:rPr>
      </w:pPr>
      <w:r w:rsidRPr="007E1E80">
        <w:rPr>
          <w:i/>
          <w:iCs/>
        </w:rPr>
        <w:t>Prioritisation of facilities covered by the Safeguard Mechanism</w:t>
      </w:r>
      <w:r w:rsidR="00BC770F" w:rsidRPr="007E1E80">
        <w:rPr>
          <w:i/>
          <w:iCs/>
        </w:rPr>
        <w:t xml:space="preserve"> </w:t>
      </w:r>
    </w:p>
    <w:p w14:paraId="31B331A4" w14:textId="22B79F02" w:rsidR="00D51924" w:rsidRDefault="00CA37B8" w:rsidP="007E1E80">
      <w:r>
        <w:t xml:space="preserve">Based on FY2023 data, </w:t>
      </w:r>
      <w:r w:rsidR="00BC770F">
        <w:t xml:space="preserve">Option 1 would </w:t>
      </w:r>
      <w:r>
        <w:t xml:space="preserve">require </w:t>
      </w:r>
      <w:r w:rsidR="5B2FF1B7">
        <w:t>37</w:t>
      </w:r>
      <w:r>
        <w:t xml:space="preserve"> facilities to access </w:t>
      </w:r>
      <w:r w:rsidR="00396432">
        <w:t xml:space="preserve">the same limited pool of physical equipment and qualified personnel </w:t>
      </w:r>
      <w:r w:rsidR="46CB5EF6">
        <w:t>simultaneously</w:t>
      </w:r>
      <w:r w:rsidR="00694D16">
        <w:t xml:space="preserve"> in order </w:t>
      </w:r>
      <w:r w:rsidR="00396432">
        <w:t>to comply with the requirements of Methods 2 or 3</w:t>
      </w:r>
      <w:r w:rsidR="00461CC1">
        <w:t>. These requirements</w:t>
      </w:r>
      <w:r w:rsidR="009B64A6">
        <w:t xml:space="preserve"> are materially different to Method 1</w:t>
      </w:r>
      <w:r w:rsidR="007530E9">
        <w:t>, and in large part must be completed prior to the commencement of the reporting year</w:t>
      </w:r>
      <w:r w:rsidR="00396432">
        <w:t xml:space="preserve">. </w:t>
      </w:r>
    </w:p>
    <w:p w14:paraId="1ECA711E" w14:textId="0DF2BCF9" w:rsidR="00E464E4" w:rsidRDefault="009B13BC" w:rsidP="007E1E80">
      <w:r>
        <w:t xml:space="preserve">Option 2 reduces the number of affected facilities </w:t>
      </w:r>
      <w:r w:rsidR="00694D16">
        <w:t xml:space="preserve">seeking to access those resources </w:t>
      </w:r>
      <w:r>
        <w:t xml:space="preserve">to </w:t>
      </w:r>
      <w:r w:rsidR="00205C5C">
        <w:t>21</w:t>
      </w:r>
      <w:r>
        <w:t xml:space="preserve"> (</w:t>
      </w:r>
      <w:r w:rsidR="44152959">
        <w:t>43</w:t>
      </w:r>
      <w:r>
        <w:t>% reduction)</w:t>
      </w:r>
      <w:r w:rsidR="00901BC7">
        <w:t xml:space="preserve">. </w:t>
      </w:r>
      <w:r w:rsidR="006339F4">
        <w:t>It</w:t>
      </w:r>
      <w:r w:rsidR="00901BC7">
        <w:t xml:space="preserve"> therefore </w:t>
      </w:r>
      <w:r w:rsidR="0064712F">
        <w:t xml:space="preserve">better </w:t>
      </w:r>
      <w:r w:rsidR="007702F5">
        <w:t xml:space="preserve">supports the submission of </w:t>
      </w:r>
      <w:r w:rsidR="231F0CF5">
        <w:t>high</w:t>
      </w:r>
      <w:r w:rsidR="317298D1">
        <w:t xml:space="preserve"> </w:t>
      </w:r>
      <w:r w:rsidR="231F0CF5">
        <w:t>quality</w:t>
      </w:r>
      <w:r w:rsidR="007702F5">
        <w:t xml:space="preserve"> Method 2 or 3-consistent emissions data by </w:t>
      </w:r>
      <w:r w:rsidR="00667B5C">
        <w:t>mitigat</w:t>
      </w:r>
      <w:r w:rsidR="007702F5">
        <w:t>ing</w:t>
      </w:r>
      <w:r w:rsidR="00667B5C">
        <w:t xml:space="preserve"> the risk </w:t>
      </w:r>
      <w:r w:rsidR="00AE32D5">
        <w:t xml:space="preserve">of </w:t>
      </w:r>
      <w:r w:rsidR="00036E9C">
        <w:t xml:space="preserve">incorrect application of the method </w:t>
      </w:r>
      <w:r w:rsidR="00AE32D5">
        <w:t xml:space="preserve">due to delays in accessing </w:t>
      </w:r>
      <w:r w:rsidR="00E9067A">
        <w:t xml:space="preserve">necessary resources. </w:t>
      </w:r>
    </w:p>
    <w:p w14:paraId="71006235" w14:textId="3D7CEAE5" w:rsidR="00E464E4" w:rsidRDefault="00827D27" w:rsidP="00207EAB">
      <w:r>
        <w:t>This approach would still</w:t>
      </w:r>
      <w:r w:rsidR="00213735">
        <w:t xml:space="preserve"> </w:t>
      </w:r>
      <w:r w:rsidR="00D33EBA">
        <w:t xml:space="preserve">realise a significant increase in fugitive emissions estimated using </w:t>
      </w:r>
      <w:r w:rsidR="00D46B15">
        <w:t>Method </w:t>
      </w:r>
      <w:r w:rsidR="00D33EBA">
        <w:t>2 or 3</w:t>
      </w:r>
      <w:r w:rsidR="00085BC7">
        <w:t xml:space="preserve">, </w:t>
      </w:r>
      <w:r w:rsidR="00D9115F">
        <w:t xml:space="preserve">given </w:t>
      </w:r>
      <w:r w:rsidR="00D33EBA">
        <w:t>Safeguard Mechanism facilities accounted for 9</w:t>
      </w:r>
      <w:r w:rsidR="243C9764">
        <w:t>2</w:t>
      </w:r>
      <w:r w:rsidR="00D33EBA">
        <w:t>% of fugitive methane emissions reported using Method 1</w:t>
      </w:r>
      <w:r w:rsidR="00D9115F">
        <w:t xml:space="preserve"> in FY2023</w:t>
      </w:r>
      <w:r w:rsidR="00D33EBA">
        <w:t>.</w:t>
      </w:r>
      <w:r w:rsidR="00D9115F">
        <w:t xml:space="preserve"> </w:t>
      </w:r>
      <w:r w:rsidR="000626F5">
        <w:t>Prioritising enhance</w:t>
      </w:r>
      <w:r w:rsidR="00207EAB">
        <w:t xml:space="preserve">d </w:t>
      </w:r>
      <w:r w:rsidR="00A05642">
        <w:t xml:space="preserve">accuracy in </w:t>
      </w:r>
      <w:r w:rsidR="00207EAB">
        <w:t xml:space="preserve">emissions reporting by such facilities </w:t>
      </w:r>
      <w:r w:rsidR="004B19BB">
        <w:t xml:space="preserve">is also consistent with the </w:t>
      </w:r>
      <w:r w:rsidR="00607C6C">
        <w:t>importan</w:t>
      </w:r>
      <w:r w:rsidR="004B19BB">
        <w:t>t role</w:t>
      </w:r>
      <w:r w:rsidR="00607C6C">
        <w:t xml:space="preserve"> the </w:t>
      </w:r>
      <w:r w:rsidR="00F930E4">
        <w:t>Safeguard Mechanism</w:t>
      </w:r>
      <w:r w:rsidR="004B19BB">
        <w:t xml:space="preserve"> plays in </w:t>
      </w:r>
      <w:r w:rsidR="3DD52B4F">
        <w:t xml:space="preserve">the </w:t>
      </w:r>
      <w:r w:rsidR="004B19BB">
        <w:t>achievement of</w:t>
      </w:r>
      <w:r w:rsidR="00607C6C">
        <w:t xml:space="preserve"> Australia’s national emission reduction </w:t>
      </w:r>
      <w:r w:rsidR="000626F5">
        <w:t>targets</w:t>
      </w:r>
      <w:r w:rsidR="00207EAB">
        <w:t>.</w:t>
      </w:r>
    </w:p>
    <w:p w14:paraId="6A4FCA2D" w14:textId="7352B509" w:rsidR="002B6361" w:rsidRDefault="002B6361" w:rsidP="00207EAB">
      <w:pPr>
        <w:rPr>
          <w:i/>
          <w:iCs/>
        </w:rPr>
      </w:pPr>
      <w:r w:rsidRPr="002B6361">
        <w:rPr>
          <w:i/>
          <w:iCs/>
        </w:rPr>
        <w:t>Staged phase out of Method 1</w:t>
      </w:r>
    </w:p>
    <w:p w14:paraId="0A6985E4" w14:textId="77777777" w:rsidR="00034E54" w:rsidRDefault="00A66025" w:rsidP="00A55FF6">
      <w:r>
        <w:t xml:space="preserve">In </w:t>
      </w:r>
      <w:r w:rsidR="007A71F7">
        <w:t>addition to</w:t>
      </w:r>
      <w:r>
        <w:t xml:space="preserve"> </w:t>
      </w:r>
      <w:r w:rsidR="00352328">
        <w:t>prioritising Safeguard Mechanism facilities for transition to Methods 2 or 3</w:t>
      </w:r>
      <w:r>
        <w:t xml:space="preserve">, </w:t>
      </w:r>
      <w:r w:rsidR="00352328">
        <w:t xml:space="preserve">Option 2 </w:t>
      </w:r>
      <w:r>
        <w:t>staggers th</w:t>
      </w:r>
      <w:r w:rsidR="00126D64">
        <w:t>os</w:t>
      </w:r>
      <w:r>
        <w:t xml:space="preserve">e </w:t>
      </w:r>
      <w:r w:rsidR="00021B10">
        <w:t xml:space="preserve">facilities’ transition </w:t>
      </w:r>
      <w:r w:rsidR="00704BDF">
        <w:t xml:space="preserve">over two years. </w:t>
      </w:r>
      <w:r w:rsidR="00AD4D08">
        <w:t>A</w:t>
      </w:r>
      <w:r w:rsidR="000A78EB">
        <w:t xml:space="preserve"> small number of </w:t>
      </w:r>
      <w:r w:rsidR="00AD4D08">
        <w:t xml:space="preserve">Safeguard Mechanism </w:t>
      </w:r>
      <w:r w:rsidR="000A78EB">
        <w:t>facilities</w:t>
      </w:r>
      <w:r w:rsidR="00AD4D08">
        <w:t xml:space="preserve"> that</w:t>
      </w:r>
      <w:r w:rsidR="000A78EB">
        <w:t xml:space="preserve"> each produced more than 10 million tonnes of run-of-mine coal in FY2023 (latest reported year) </w:t>
      </w:r>
      <w:r w:rsidR="005E1242">
        <w:t>would be required to</w:t>
      </w:r>
      <w:r w:rsidR="00D65341">
        <w:t xml:space="preserve"> apply Methods 2 or 3 from 1 July 2025</w:t>
      </w:r>
      <w:r w:rsidR="0056559C">
        <w:t xml:space="preserve">. </w:t>
      </w:r>
      <w:r w:rsidR="000A78EB">
        <w:t xml:space="preserve">All remaining facilities covered by the Safeguard Mechanism </w:t>
      </w:r>
      <w:r w:rsidR="0056559C">
        <w:t>would be required to apply Methods 2 or 3 from 1 July 2026</w:t>
      </w:r>
      <w:r w:rsidR="009A56DC">
        <w:t xml:space="preserve">. </w:t>
      </w:r>
    </w:p>
    <w:p w14:paraId="3C9B5714" w14:textId="3A91F644" w:rsidR="00A55FF6" w:rsidRDefault="00F4524A" w:rsidP="00A55FF6">
      <w:r>
        <w:t>T</w:t>
      </w:r>
      <w:r w:rsidR="0056559C">
        <w:t xml:space="preserve">his </w:t>
      </w:r>
      <w:r w:rsidR="004709E7">
        <w:t xml:space="preserve">staged phase out </w:t>
      </w:r>
      <w:r w:rsidR="0056559C">
        <w:t xml:space="preserve">approach would </w:t>
      </w:r>
      <w:r w:rsidR="001F4332">
        <w:t xml:space="preserve">achieve a material increase in emissions reported using Methods 2 or 3 in FY2026. Based on FY2023 data, the facilities that would transition in the first year </w:t>
      </w:r>
      <w:r w:rsidR="001F4332">
        <w:lastRenderedPageBreak/>
        <w:t xml:space="preserve">of the phase out reported around 41% of fugitive methane emissions estimated using Method 1 in that year. The approach would also </w:t>
      </w:r>
      <w:r w:rsidR="0056559C">
        <w:t xml:space="preserve">better promote compliance and enhanced accuracy in reported emissions </w:t>
      </w:r>
      <w:r w:rsidR="005D467D">
        <w:t xml:space="preserve">compared to Option 1 </w:t>
      </w:r>
      <w:r w:rsidR="0056559C">
        <w:t xml:space="preserve">by </w:t>
      </w:r>
      <w:r w:rsidR="00B34F85">
        <w:t xml:space="preserve">spreading the demand for equipment and personnel over two years </w:t>
      </w:r>
      <w:r w:rsidR="000C5BB9">
        <w:t xml:space="preserve">and </w:t>
      </w:r>
      <w:r w:rsidR="00FE46C1">
        <w:t xml:space="preserve">recognising that </w:t>
      </w:r>
      <w:r w:rsidR="004B2BFC">
        <w:t>the time required to complete the transition will vary from facility to facility</w:t>
      </w:r>
      <w:r w:rsidR="003D77B8">
        <w:t xml:space="preserve">. </w:t>
      </w:r>
    </w:p>
    <w:p w14:paraId="7478DA34" w14:textId="2E0CDBE1" w:rsidR="00021B10" w:rsidRDefault="007C131A" w:rsidP="0A5D2A5E">
      <w:pPr>
        <w:rPr>
          <w:i/>
          <w:iCs/>
        </w:rPr>
      </w:pPr>
      <w:r w:rsidRPr="0A5D2A5E">
        <w:rPr>
          <w:i/>
          <w:iCs/>
        </w:rPr>
        <w:t>Provision for temporary extension of time to transition to Methods 2 or 3</w:t>
      </w:r>
    </w:p>
    <w:p w14:paraId="27619964" w14:textId="7A871BDB" w:rsidR="00A168FF" w:rsidRDefault="006B6D0F" w:rsidP="002B6361">
      <w:r>
        <w:t xml:space="preserve">Option 2 includes provision for the </w:t>
      </w:r>
      <w:r w:rsidR="00164B0F">
        <w:t xml:space="preserve">NGER scheme administrator, the Regulator, </w:t>
      </w:r>
      <w:r w:rsidR="002D4F78">
        <w:t xml:space="preserve">to provide </w:t>
      </w:r>
      <w:r w:rsidR="00567E39">
        <w:t>a</w:t>
      </w:r>
      <w:r w:rsidR="002D4F78">
        <w:t xml:space="preserve"> </w:t>
      </w:r>
      <w:r w:rsidR="00567E39">
        <w:t>facility a</w:t>
      </w:r>
      <w:r w:rsidR="002D4F78">
        <w:t xml:space="preserve"> temporary extension of time to transition to Methods 2 or 3</w:t>
      </w:r>
      <w:r w:rsidR="00497E8D">
        <w:t>. The Regulator would have the discretion to provide such an extension</w:t>
      </w:r>
      <w:r w:rsidR="00164B0F">
        <w:t xml:space="preserve"> </w:t>
      </w:r>
      <w:r w:rsidR="00EB731B">
        <w:t xml:space="preserve">where </w:t>
      </w:r>
      <w:r w:rsidR="008A0F86">
        <w:t>a</w:t>
      </w:r>
      <w:r w:rsidR="00EB731B">
        <w:t xml:space="preserve"> facility has provided evidence </w:t>
      </w:r>
      <w:r w:rsidR="00481724">
        <w:t>that</w:t>
      </w:r>
      <w:r w:rsidR="00EB731B">
        <w:t xml:space="preserve"> demonstrate</w:t>
      </w:r>
      <w:r w:rsidR="00481724">
        <w:t>s</w:t>
      </w:r>
      <w:r w:rsidR="00EB731B">
        <w:t xml:space="preserve"> reasonable efforts have been made to transition but a genuine need remains for a temporary extension to avoid </w:t>
      </w:r>
      <w:r w:rsidR="00CC65B5">
        <w:t>incorrect application of the method</w:t>
      </w:r>
      <w:r w:rsidR="00EB731B">
        <w:t xml:space="preserve"> that could impact the accuracy of the reported emissions estimates. </w:t>
      </w:r>
    </w:p>
    <w:p w14:paraId="1D28DA2D" w14:textId="2ECAA763" w:rsidR="00CD1E8D" w:rsidRDefault="00EE095B" w:rsidP="002B6361">
      <w:r>
        <w:t xml:space="preserve">This </w:t>
      </w:r>
      <w:r w:rsidR="0027697B">
        <w:t>aspect of Option 2 reflects consultations with i</w:t>
      </w:r>
      <w:r w:rsidR="00EE083B">
        <w:t>ndustry stakeholders</w:t>
      </w:r>
      <w:r w:rsidR="00DF4C06">
        <w:t>. Industry</w:t>
      </w:r>
      <w:r w:rsidR="00EE083B">
        <w:t xml:space="preserve"> advised that, b</w:t>
      </w:r>
      <w:r w:rsidR="006F0F66">
        <w:t>ased on more than 10</w:t>
      </w:r>
      <w:r w:rsidR="00820785">
        <w:t> </w:t>
      </w:r>
      <w:r w:rsidR="006F0F66">
        <w:t>years’ experience in implementing Method 2</w:t>
      </w:r>
      <w:r w:rsidR="00AE28B9">
        <w:t xml:space="preserve"> and their understanding of </w:t>
      </w:r>
      <w:r w:rsidR="00E3237A">
        <w:t xml:space="preserve">affected facilities </w:t>
      </w:r>
      <w:r w:rsidR="00E1087A">
        <w:t>varied</w:t>
      </w:r>
      <w:r w:rsidR="00E3237A">
        <w:t xml:space="preserve"> circumstances</w:t>
      </w:r>
      <w:r w:rsidR="006F0F66">
        <w:t xml:space="preserve">, </w:t>
      </w:r>
      <w:r w:rsidR="00F727DC">
        <w:t>it was possible that some</w:t>
      </w:r>
      <w:r w:rsidR="00EB731B">
        <w:t xml:space="preserve"> facilities </w:t>
      </w:r>
      <w:r w:rsidR="00CD1E8D">
        <w:t>may encounter difficulties meeting the transition timeframes for implementing Method 2 or 3</w:t>
      </w:r>
      <w:r w:rsidR="00EE083B">
        <w:t xml:space="preserve"> despite best efforts</w:t>
      </w:r>
      <w:r w:rsidR="00CD1E8D">
        <w:t xml:space="preserve">. </w:t>
      </w:r>
      <w:r w:rsidR="00AC120A">
        <w:t xml:space="preserve">Potential difficulties were stated to </w:t>
      </w:r>
      <w:r w:rsidR="00CD1E8D">
        <w:t>include issues accessing drilling equipment, laboratories and qualified personnel</w:t>
      </w:r>
      <w:r w:rsidR="00934012">
        <w:t xml:space="preserve"> in a timely fashion</w:t>
      </w:r>
      <w:r w:rsidR="00CD1E8D">
        <w:t xml:space="preserve">, </w:t>
      </w:r>
      <w:r w:rsidR="001F2FA2">
        <w:t>weather delay</w:t>
      </w:r>
      <w:r w:rsidR="00934012">
        <w:t>ing</w:t>
      </w:r>
      <w:r w:rsidR="001F2FA2">
        <w:t xml:space="preserve"> drilling, </w:t>
      </w:r>
      <w:r w:rsidR="00CD1E8D">
        <w:t xml:space="preserve">complex or extensive ore bodies </w:t>
      </w:r>
      <w:r w:rsidR="001F2FA2">
        <w:t xml:space="preserve">requiring </w:t>
      </w:r>
      <w:r w:rsidR="00820785">
        <w:t xml:space="preserve">significant </w:t>
      </w:r>
      <w:r w:rsidR="00F95E75">
        <w:t>or</w:t>
      </w:r>
      <w:r w:rsidR="00820785">
        <w:t xml:space="preserve"> repeated rounds of sampling</w:t>
      </w:r>
      <w:r w:rsidR="00BE68E4">
        <w:t xml:space="preserve"> and analysis</w:t>
      </w:r>
      <w:r w:rsidR="00820785">
        <w:t xml:space="preserve">, </w:t>
      </w:r>
      <w:r w:rsidR="00CD1E8D">
        <w:t xml:space="preserve">and </w:t>
      </w:r>
      <w:r w:rsidR="00BE68E4">
        <w:t xml:space="preserve">the need to </w:t>
      </w:r>
      <w:r w:rsidR="00CD1E8D">
        <w:t>complet</w:t>
      </w:r>
      <w:r w:rsidR="00BE68E4">
        <w:t>e</w:t>
      </w:r>
      <w:r w:rsidR="00CD1E8D">
        <w:t xml:space="preserve"> related </w:t>
      </w:r>
      <w:r w:rsidR="00820785">
        <w:t xml:space="preserve">federal and </w:t>
      </w:r>
      <w:r w:rsidR="00CD1E8D">
        <w:t xml:space="preserve">state regulatory processes within the proposed timeframes.  </w:t>
      </w:r>
    </w:p>
    <w:p w14:paraId="43A3E35E" w14:textId="43724390" w:rsidR="00675941" w:rsidRPr="0016111D" w:rsidRDefault="0016111D" w:rsidP="0A5D2A5E">
      <w:pPr>
        <w:rPr>
          <w:i/>
          <w:iCs/>
        </w:rPr>
      </w:pPr>
      <w:r w:rsidRPr="0A5D2A5E">
        <w:rPr>
          <w:i/>
          <w:iCs/>
        </w:rPr>
        <w:t>Regulatory burden</w:t>
      </w:r>
    </w:p>
    <w:p w14:paraId="3E7B295E" w14:textId="5391F72C" w:rsidR="00195E46" w:rsidRDefault="007316D1" w:rsidP="00675941">
      <w:r>
        <w:t xml:space="preserve">Option 2 </w:t>
      </w:r>
      <w:r w:rsidR="00FD0CD3">
        <w:t xml:space="preserve">would be expected to </w:t>
      </w:r>
      <w:r w:rsidR="009F3F69">
        <w:t xml:space="preserve">result in lower regulatory burden on </w:t>
      </w:r>
      <w:r w:rsidR="00232137">
        <w:t>individual facilities and the industry as a whole</w:t>
      </w:r>
      <w:r w:rsidR="009F3F69">
        <w:t>, compared to Option 1</w:t>
      </w:r>
      <w:r w:rsidR="00232137">
        <w:t xml:space="preserve">. </w:t>
      </w:r>
      <w:r w:rsidR="000E7C29">
        <w:t>S</w:t>
      </w:r>
      <w:r w:rsidR="006426F3">
        <w:t xml:space="preserve">taging the phase out </w:t>
      </w:r>
      <w:r w:rsidR="00347328">
        <w:t xml:space="preserve">should </w:t>
      </w:r>
      <w:r w:rsidR="008F33A6">
        <w:t xml:space="preserve">help </w:t>
      </w:r>
      <w:r w:rsidR="00094744">
        <w:t xml:space="preserve">dampen increases in the cost of equipment and personnel </w:t>
      </w:r>
      <w:r w:rsidR="002C64CD">
        <w:t>that otherwise could</w:t>
      </w:r>
      <w:r w:rsidR="00347328">
        <w:t xml:space="preserve"> have been driven by </w:t>
      </w:r>
      <w:r w:rsidR="001F15B1">
        <w:t xml:space="preserve">requiring all facilities to transition over the same </w:t>
      </w:r>
      <w:proofErr w:type="gramStart"/>
      <w:r w:rsidR="001F15B1">
        <w:t>time period</w:t>
      </w:r>
      <w:proofErr w:type="gramEnd"/>
      <w:r w:rsidR="001F15B1">
        <w:t xml:space="preserve">. </w:t>
      </w:r>
      <w:r w:rsidR="00EF4441">
        <w:t>By ex</w:t>
      </w:r>
      <w:r w:rsidR="001D0607">
        <w:t>cluding non</w:t>
      </w:r>
      <w:r w:rsidR="00EF4441">
        <w:noBreakHyphen/>
      </w:r>
      <w:r w:rsidR="001D0607">
        <w:t>Safeguard Mechanism facilities</w:t>
      </w:r>
      <w:r w:rsidR="00DF498B">
        <w:t xml:space="preserve">, which </w:t>
      </w:r>
      <w:r w:rsidR="00EF4441">
        <w:t>in FY2023 were responsible for</w:t>
      </w:r>
      <w:r w:rsidR="00474392">
        <w:t xml:space="preserve"> under</w:t>
      </w:r>
      <w:r w:rsidR="00EF4441">
        <w:t xml:space="preserve"> </w:t>
      </w:r>
      <w:r w:rsidR="702D8E5E">
        <w:t>8</w:t>
      </w:r>
      <w:r w:rsidR="00EF4441">
        <w:t xml:space="preserve">% of Method 1 emissions, Option 2 </w:t>
      </w:r>
      <w:r w:rsidR="002073A3">
        <w:t xml:space="preserve">addresses stakeholder concerns </w:t>
      </w:r>
      <w:r w:rsidR="00F9471A">
        <w:t xml:space="preserve">that the </w:t>
      </w:r>
      <w:r w:rsidR="003E3C06">
        <w:t>proposal could impose</w:t>
      </w:r>
      <w:r w:rsidR="002073A3">
        <w:t xml:space="preserve"> </w:t>
      </w:r>
      <w:r w:rsidR="00DB35BB">
        <w:t xml:space="preserve">compliance costs </w:t>
      </w:r>
      <w:r w:rsidR="003E3C06">
        <w:t xml:space="preserve">on those facilities that were </w:t>
      </w:r>
      <w:r w:rsidR="00DB35BB">
        <w:t xml:space="preserve">disproportionate to the </w:t>
      </w:r>
      <w:r w:rsidR="00336065">
        <w:t xml:space="preserve">enhancement in emissions accuracy achieved through transition to </w:t>
      </w:r>
      <w:r w:rsidR="001B66F0">
        <w:t>Method </w:t>
      </w:r>
      <w:r w:rsidR="00336065">
        <w:t xml:space="preserve">2. </w:t>
      </w:r>
    </w:p>
    <w:p w14:paraId="09D50F3A" w14:textId="274520C9" w:rsidR="00F517D1" w:rsidRDefault="003F04D1" w:rsidP="00F517D1">
      <w:r>
        <w:t>While</w:t>
      </w:r>
      <w:r w:rsidR="00687580">
        <w:t xml:space="preserve"> </w:t>
      </w:r>
      <w:r w:rsidR="00815366">
        <w:t xml:space="preserve">the </w:t>
      </w:r>
      <w:r w:rsidR="006A57A0">
        <w:t xml:space="preserve">design of Option 2 </w:t>
      </w:r>
      <w:r w:rsidR="00461A10">
        <w:t xml:space="preserve">will minimise </w:t>
      </w:r>
      <w:r w:rsidR="00321DC7">
        <w:t>regulatory</w:t>
      </w:r>
      <w:r w:rsidR="000D64D5">
        <w:t xml:space="preserve"> </w:t>
      </w:r>
      <w:r w:rsidR="00461A10">
        <w:t xml:space="preserve">costs to individual facilities, the </w:t>
      </w:r>
      <w:r w:rsidR="0033319C">
        <w:t xml:space="preserve">material difference between Method 1 and Methods 2 and 3 will result in an increase in </w:t>
      </w:r>
      <w:r w:rsidR="00D80313">
        <w:t>regulatory</w:t>
      </w:r>
      <w:r w:rsidR="0033319C">
        <w:t xml:space="preserve"> costs</w:t>
      </w:r>
      <w:r w:rsidR="00D80313">
        <w:t xml:space="preserve"> for each</w:t>
      </w:r>
      <w:r w:rsidR="00A27E83">
        <w:t xml:space="preserve"> facility</w:t>
      </w:r>
      <w:r w:rsidR="005A460C">
        <w:t xml:space="preserve"> required to apply those methods</w:t>
      </w:r>
      <w:r w:rsidR="0033319C">
        <w:t xml:space="preserve">. </w:t>
      </w:r>
      <w:r w:rsidR="00F517D1" w:rsidRPr="00F517D1">
        <w:rPr>
          <w:rFonts w:eastAsia="Calibri" w:cs="Calibri"/>
          <w:color w:val="000000"/>
        </w:rPr>
        <w:t xml:space="preserve">The estimated regulatory burden </w:t>
      </w:r>
      <w:r w:rsidR="00F517D1">
        <w:t xml:space="preserve">for each policy option is provided in Table 2, along with the number of facilities impacted based on FY23 NGER scheme reported data and the proportion of emissions reported using Method 1 in FY23, which would be covered by the transition to Methods 2 or 3. </w:t>
      </w:r>
    </w:p>
    <w:p w14:paraId="1AB9D73B" w14:textId="3E9817C7" w:rsidR="00300953" w:rsidRDefault="00F517D1" w:rsidP="0080279E">
      <w:r w:rsidRPr="00F517D1">
        <w:rPr>
          <w:rFonts w:eastAsia="Calibri" w:cs="Calibri"/>
          <w:color w:val="000000"/>
        </w:rPr>
        <w:t xml:space="preserve">No regulatory burden is expected to be incurred by individuals or community organisations. </w:t>
      </w:r>
      <w:r w:rsidR="00BC5EFA">
        <w:rPr>
          <w:rFonts w:eastAsia="Calibri" w:cs="Calibri"/>
          <w:color w:val="000000"/>
        </w:rPr>
        <w:t xml:space="preserve">As the Reference Option represents Business as Usual, that option imposes no additional regulatory </w:t>
      </w:r>
      <w:r w:rsidR="00BC5EFA">
        <w:rPr>
          <w:rFonts w:eastAsia="Calibri" w:cs="Calibri"/>
          <w:color w:val="000000"/>
        </w:rPr>
        <w:lastRenderedPageBreak/>
        <w:t>burden on business. The e</w:t>
      </w:r>
      <w:r w:rsidR="00E948DB">
        <w:t>stimated c</w:t>
      </w:r>
      <w:r w:rsidR="00C94514">
        <w:t xml:space="preserve">osts </w:t>
      </w:r>
      <w:r w:rsidR="00BC5EFA">
        <w:t xml:space="preserve">to business from Options 1 and 2 </w:t>
      </w:r>
      <w:r w:rsidR="00BC5EFA">
        <w:rPr>
          <w:rFonts w:eastAsia="Calibri" w:cs="Calibri"/>
          <w:color w:val="000000"/>
        </w:rPr>
        <w:t xml:space="preserve">are </w:t>
      </w:r>
      <w:r w:rsidR="00BC5EFA" w:rsidRPr="00F517D1">
        <w:rPr>
          <w:rFonts w:eastAsia="Calibri" w:cs="Calibri"/>
          <w:color w:val="000000"/>
        </w:rPr>
        <w:t xml:space="preserve">based on the Australian Government’s </w:t>
      </w:r>
      <w:r w:rsidR="00BC5EFA" w:rsidRPr="00F517D1">
        <w:rPr>
          <w:rFonts w:eastAsia="Calibri" w:cs="Calibri"/>
          <w:i/>
          <w:iCs/>
          <w:color w:val="000000"/>
        </w:rPr>
        <w:t xml:space="preserve">Regulatory Burden Measurement </w:t>
      </w:r>
      <w:r w:rsidR="00BC5EFA" w:rsidRPr="00F517D1">
        <w:rPr>
          <w:rFonts w:eastAsia="Calibri" w:cs="Calibri"/>
          <w:color w:val="000000"/>
        </w:rPr>
        <w:t xml:space="preserve">framework, industry feedback and publicly available information. </w:t>
      </w:r>
      <w:r w:rsidR="00BC5EFA">
        <w:rPr>
          <w:rFonts w:eastAsia="Calibri" w:cs="Calibri"/>
          <w:color w:val="000000"/>
        </w:rPr>
        <w:t xml:space="preserve">Estimated costs </w:t>
      </w:r>
      <w:r w:rsidR="00C94514">
        <w:t>are separated into</w:t>
      </w:r>
      <w:r w:rsidR="00BC5EFA">
        <w:t xml:space="preserve"> the two key stages in the implementation of Options 1 and 2</w:t>
      </w:r>
      <w:r w:rsidR="00D9059D">
        <w:t>:</w:t>
      </w:r>
      <w:r w:rsidR="00C94514">
        <w:t xml:space="preserve"> </w:t>
      </w:r>
    </w:p>
    <w:p w14:paraId="105C1A3E" w14:textId="54B22373" w:rsidR="007D63B3" w:rsidRDefault="007D63B3" w:rsidP="00300953">
      <w:pPr>
        <w:pStyle w:val="ListParagraph"/>
        <w:widowControl w:val="0"/>
        <w:numPr>
          <w:ilvl w:val="0"/>
          <w:numId w:val="19"/>
        </w:numPr>
        <w:spacing w:before="120" w:after="200" w:line="276" w:lineRule="auto"/>
        <w:ind w:left="714" w:hanging="357"/>
        <w:contextualSpacing w:val="0"/>
      </w:pPr>
      <w:r>
        <w:t>“</w:t>
      </w:r>
      <w:r w:rsidR="00CE0CB7">
        <w:t>Transition</w:t>
      </w:r>
      <w:r w:rsidR="002340A2">
        <w:t>al</w:t>
      </w:r>
      <w:r>
        <w:t xml:space="preserve"> costs”: </w:t>
      </w:r>
      <w:r w:rsidR="00300953">
        <w:t xml:space="preserve">incurred </w:t>
      </w:r>
      <w:r>
        <w:t xml:space="preserve">by </w:t>
      </w:r>
      <w:r w:rsidR="00E948DB">
        <w:t>a</w:t>
      </w:r>
      <w:r>
        <w:t xml:space="preserve"> facility </w:t>
      </w:r>
      <w:r w:rsidR="00291EC8">
        <w:t xml:space="preserve">prior to commencing estimation of fugitive methane emission in accordance with Methods 2 or 3. They are costs to a facility associated with </w:t>
      </w:r>
      <w:r w:rsidR="00300953">
        <w:t xml:space="preserve">acquiring data </w:t>
      </w:r>
      <w:r>
        <w:t>on its</w:t>
      </w:r>
      <w:r w:rsidR="00300953">
        <w:t xml:space="preserve"> gas resource and then completing a gas assignment model</w:t>
      </w:r>
      <w:r w:rsidR="00032C8F">
        <w:t xml:space="preserve">. Examples of these costs include </w:t>
      </w:r>
      <w:r w:rsidR="0051337E">
        <w:t xml:space="preserve">acquisition of </w:t>
      </w:r>
      <w:r w:rsidR="00032C8F">
        <w:t xml:space="preserve">drilling rig, </w:t>
      </w:r>
      <w:r w:rsidR="0051337E">
        <w:t xml:space="preserve">sample </w:t>
      </w:r>
      <w:r w:rsidR="00032C8F">
        <w:t>testing/laboratory and technical and assurance/review services</w:t>
      </w:r>
      <w:r w:rsidR="00320B25">
        <w:t xml:space="preserve">. </w:t>
      </w:r>
      <w:r w:rsidR="00046323">
        <w:t>S</w:t>
      </w:r>
      <w:r w:rsidR="007F5FAD">
        <w:rPr>
          <w:szCs w:val="22"/>
          <w14:ligatures w14:val="standardContextual"/>
        </w:rPr>
        <w:t xml:space="preserve">ome of these costs may </w:t>
      </w:r>
      <w:r w:rsidR="00FE1695">
        <w:rPr>
          <w:szCs w:val="22"/>
          <w14:ligatures w14:val="standardContextual"/>
        </w:rPr>
        <w:t xml:space="preserve">also </w:t>
      </w:r>
      <w:r w:rsidR="007F5FAD">
        <w:rPr>
          <w:szCs w:val="22"/>
          <w14:ligatures w14:val="standardContextual"/>
        </w:rPr>
        <w:t xml:space="preserve">be incurred </w:t>
      </w:r>
      <w:r w:rsidR="00565209">
        <w:rPr>
          <w:szCs w:val="22"/>
          <w14:ligatures w14:val="standardContextual"/>
        </w:rPr>
        <w:t>at different times in the future</w:t>
      </w:r>
      <w:r w:rsidR="007F5FAD">
        <w:rPr>
          <w:szCs w:val="22"/>
          <w14:ligatures w14:val="standardContextual"/>
        </w:rPr>
        <w:t xml:space="preserve"> for various reasons including </w:t>
      </w:r>
      <w:r w:rsidR="000757F7">
        <w:rPr>
          <w:szCs w:val="22"/>
          <w14:ligatures w14:val="standardContextual"/>
        </w:rPr>
        <w:t xml:space="preserve">mine </w:t>
      </w:r>
      <w:r w:rsidR="007F5FAD">
        <w:rPr>
          <w:szCs w:val="22"/>
          <w14:ligatures w14:val="standardContextual"/>
        </w:rPr>
        <w:t>expansions</w:t>
      </w:r>
      <w:r w:rsidR="000757F7">
        <w:rPr>
          <w:szCs w:val="22"/>
          <w14:ligatures w14:val="standardContextual"/>
        </w:rPr>
        <w:t xml:space="preserve"> and</w:t>
      </w:r>
      <w:r w:rsidR="007F5FAD">
        <w:rPr>
          <w:szCs w:val="22"/>
          <w14:ligatures w14:val="standardContextual"/>
        </w:rPr>
        <w:t xml:space="preserve"> changes to mine design/plan</w:t>
      </w:r>
      <w:r w:rsidR="000757F7">
        <w:rPr>
          <w:szCs w:val="22"/>
          <w14:ligatures w14:val="standardContextual"/>
        </w:rPr>
        <w:t>.</w:t>
      </w:r>
    </w:p>
    <w:p w14:paraId="7A21A744" w14:textId="58A2DC94" w:rsidR="00D9059D" w:rsidRDefault="007D63B3" w:rsidP="00300953">
      <w:pPr>
        <w:pStyle w:val="ListParagraph"/>
        <w:widowControl w:val="0"/>
        <w:numPr>
          <w:ilvl w:val="0"/>
          <w:numId w:val="19"/>
        </w:numPr>
        <w:spacing w:before="120" w:after="200" w:line="276" w:lineRule="auto"/>
        <w:ind w:left="714" w:hanging="357"/>
        <w:contextualSpacing w:val="0"/>
      </w:pPr>
      <w:r>
        <w:t>“Ongoing costs”</w:t>
      </w:r>
      <w:r w:rsidR="00320B25">
        <w:t xml:space="preserve">: incurred each year </w:t>
      </w:r>
      <w:r w:rsidR="007201DB">
        <w:t xml:space="preserve">by </w:t>
      </w:r>
      <w:r w:rsidR="00E948DB">
        <w:t>a</w:t>
      </w:r>
      <w:r w:rsidR="007201DB">
        <w:t xml:space="preserve"> facility </w:t>
      </w:r>
      <w:r w:rsidR="008D734F">
        <w:t xml:space="preserve">to fulfil requirements under Methods 2 </w:t>
      </w:r>
      <w:r w:rsidR="00CD3367">
        <w:t>or</w:t>
      </w:r>
      <w:r w:rsidR="008D734F">
        <w:t xml:space="preserve"> 3 to report </w:t>
      </w:r>
      <w:r w:rsidR="007201DB">
        <w:t xml:space="preserve">fugitive methane emissions from coal extraction </w:t>
      </w:r>
      <w:r w:rsidR="00E75F89">
        <w:t xml:space="preserve">for </w:t>
      </w:r>
      <w:r w:rsidR="008D734F">
        <w:t>a given reporting</w:t>
      </w:r>
      <w:r w:rsidR="00D9059D">
        <w:t xml:space="preserve"> year </w:t>
      </w:r>
      <w:r w:rsidR="007201DB">
        <w:t xml:space="preserve">by applying the above gas assignment model. </w:t>
      </w:r>
      <w:r w:rsidR="0051337E">
        <w:t xml:space="preserve">Examples of these costs include technical resources to prepare the annual emissions estimate and related assurance activities. </w:t>
      </w:r>
      <w:r w:rsidR="0080279E">
        <w:t xml:space="preserve"> </w:t>
      </w:r>
    </w:p>
    <w:p w14:paraId="5F101DA5" w14:textId="2D1815C8" w:rsidR="00032C8F" w:rsidRDefault="00F517D1" w:rsidP="00305F4C">
      <w:r>
        <w:t xml:space="preserve">The regulatory burden estimates </w:t>
      </w:r>
      <w:r w:rsidR="00BC5EFA">
        <w:t xml:space="preserve">in Table 2 for each of the above two stages </w:t>
      </w:r>
      <w:r>
        <w:t xml:space="preserve">are indicative and presented as a range </w:t>
      </w:r>
      <w:r w:rsidR="00BC5EFA">
        <w:t xml:space="preserve">rather an average </w:t>
      </w:r>
      <w:r>
        <w:t>of the estimated costs</w:t>
      </w:r>
      <w:r w:rsidR="00BC5EFA">
        <w:t xml:space="preserve"> </w:t>
      </w:r>
      <w:r>
        <w:t xml:space="preserve">for all affected facilities. </w:t>
      </w:r>
      <w:r w:rsidR="00B60012">
        <w:t>This approach is necessary due to the considerable variability of affected facilities, the facility</w:t>
      </w:r>
      <w:r w:rsidR="00B60012">
        <w:noBreakHyphen/>
        <w:t xml:space="preserve">specific emissions measurement requirements of the proposed amendments, and the absence of publicly available information regarding the cost and time required to implement the amendments in each of the affected facilities. Much of the information needed to calculate an average </w:t>
      </w:r>
      <w:r w:rsidR="00BC5EFA">
        <w:t>would</w:t>
      </w:r>
      <w:r w:rsidR="00B60012">
        <w:t xml:space="preserve"> only become available during the transitional stage. </w:t>
      </w:r>
    </w:p>
    <w:p w14:paraId="2AEE4377" w14:textId="6CC06CBA" w:rsidR="003C0584" w:rsidRDefault="00B60012" w:rsidP="002B30FE">
      <w:r>
        <w:t>The range</w:t>
      </w:r>
      <w:r w:rsidR="0051337E">
        <w:t>s</w:t>
      </w:r>
      <w:r w:rsidR="00032C8F">
        <w:t xml:space="preserve"> in Table 2</w:t>
      </w:r>
      <w:r>
        <w:t xml:space="preserve"> </w:t>
      </w:r>
      <w:r w:rsidR="003C0584">
        <w:t>are</w:t>
      </w:r>
      <w:r>
        <w:t xml:space="preserve"> based on industry feedback, including cost estimates for affected facilities based on three categories. </w:t>
      </w:r>
      <w:r w:rsidR="00BC5EFA">
        <w:t>T</w:t>
      </w:r>
      <w:r>
        <w:t xml:space="preserve">hese categories estimated cost based on different coal mine seam lengths (‘strike length’), and the assumption that the longer the strike length the more complex a mine’s geology and gas resource, and therefore the higher the regulatory </w:t>
      </w:r>
      <w:r w:rsidR="0051337E">
        <w:t>costs</w:t>
      </w:r>
      <w:r>
        <w:t xml:space="preserve">. Publicly available information on the affected facilities’ strike length was then used to determine an indicative range of estimated regulatory burden. For the same </w:t>
      </w:r>
      <w:r w:rsidR="00593BA9">
        <w:t xml:space="preserve">above-mentioned </w:t>
      </w:r>
      <w:r>
        <w:t xml:space="preserve">cost and time variability reasons, the ‘Transitional’ estimate in </w:t>
      </w:r>
      <w:r w:rsidR="00BC5EFA">
        <w:t>Table 2</w:t>
      </w:r>
      <w:r>
        <w:t xml:space="preserve"> is presented as an aggregate rather than </w:t>
      </w:r>
      <w:r w:rsidRPr="003C0584">
        <w:t>annual figure. The majority of affected facilities are expected to transition within 2 years however some may incur these costs over a longer transition period</w:t>
      </w:r>
      <w:r w:rsidR="00836CB2" w:rsidRPr="003C0584">
        <w:t xml:space="preserve"> if they </w:t>
      </w:r>
      <w:r w:rsidR="003046B5" w:rsidRPr="00930228">
        <w:t>satisfy the above</w:t>
      </w:r>
      <w:r w:rsidR="003046B5">
        <w:t>-</w:t>
      </w:r>
      <w:r w:rsidR="003046B5" w:rsidRPr="00930228">
        <w:t>mentioned requirements for a temporary extension of time to transition to Method 2 or 3.</w:t>
      </w:r>
      <w:r w:rsidR="00956068">
        <w:t xml:space="preserve"> </w:t>
      </w:r>
      <w:r w:rsidR="003C0584">
        <w:t xml:space="preserve">The ‘Ongoing’ </w:t>
      </w:r>
      <w:r w:rsidR="00BC5EFA">
        <w:t>costs</w:t>
      </w:r>
      <w:r w:rsidR="003C0584">
        <w:t xml:space="preserve"> </w:t>
      </w:r>
      <w:r w:rsidR="00BC5EFA">
        <w:t xml:space="preserve">in Table 2 are presented as an indicative annual </w:t>
      </w:r>
      <w:r w:rsidR="003C0584">
        <w:t>range</w:t>
      </w:r>
      <w:r w:rsidR="00BC5EFA">
        <w:t xml:space="preserve">, </w:t>
      </w:r>
      <w:r w:rsidR="003C0584">
        <w:t xml:space="preserve">also based on the above-mentioned three categories of mine-type. </w:t>
      </w:r>
    </w:p>
    <w:p w14:paraId="5FAAC83E" w14:textId="539C36C7" w:rsidR="0051337E" w:rsidRDefault="0051337E" w:rsidP="002B30FE">
      <w:r>
        <w:t>While th</w:t>
      </w:r>
      <w:r w:rsidR="00823329">
        <w:t>e</w:t>
      </w:r>
      <w:r>
        <w:t xml:space="preserve"> regulatory burden estimate</w:t>
      </w:r>
      <w:r w:rsidR="00823329">
        <w:t>s</w:t>
      </w:r>
      <w:r>
        <w:t xml:space="preserve"> </w:t>
      </w:r>
      <w:r w:rsidR="00823329">
        <w:t>are</w:t>
      </w:r>
      <w:r>
        <w:t xml:space="preserve"> material </w:t>
      </w:r>
      <w:r w:rsidR="00823329">
        <w:t>they have</w:t>
      </w:r>
      <w:r>
        <w:t xml:space="preserve"> a high degree of uncertainty with regard to each affected facility, due to information paucity and variability between affected facilities. The regulatory burden can also be considered in the context of the sector’s contribution to Australia’s fugitive methane emissions and the value of its production. </w:t>
      </w:r>
      <w:r w:rsidRPr="00DF71DE">
        <w:t xml:space="preserve">In financial year 2022-23 </w:t>
      </w:r>
      <w:r w:rsidRPr="00930228">
        <w:lastRenderedPageBreak/>
        <w:t>Australia’s coal mine sector profits before tax were $73.3 billion</w:t>
      </w:r>
      <w:r w:rsidRPr="002B30FE">
        <w:rPr>
          <w:vertAlign w:val="superscript"/>
        </w:rPr>
        <w:footnoteReference w:id="3"/>
      </w:r>
      <w:r w:rsidRPr="002B30FE">
        <w:rPr>
          <w:vertAlign w:val="superscript"/>
        </w:rPr>
        <w:t>.</w:t>
      </w:r>
      <w:r>
        <w:t xml:space="preserve"> In financial year 2021-22, open</w:t>
      </w:r>
      <w:r w:rsidR="00953C9B">
        <w:noBreakHyphen/>
      </w:r>
      <w:r>
        <w:t xml:space="preserve">cut mines fugitive methane emissions accounted for </w:t>
      </w:r>
      <w:r w:rsidRPr="00836CB2">
        <w:t>9 million tonnes carbon dioxide equivalent</w:t>
      </w:r>
      <w:r>
        <w:t xml:space="preserve">. </w:t>
      </w:r>
      <w:r w:rsidR="002B30FE">
        <w:t>Submissions from industry to the NGER scheme public consultation on the proposed amendments did not raise potential regulatory burden as an obstacle to implementation.</w:t>
      </w:r>
    </w:p>
    <w:p w14:paraId="256E51E7" w14:textId="65762136" w:rsidR="00E637D6" w:rsidRDefault="059A887D" w:rsidP="00F20DB5">
      <w:r>
        <w:t xml:space="preserve">As </w:t>
      </w:r>
      <w:r w:rsidR="00AE5243">
        <w:t xml:space="preserve">indicated </w:t>
      </w:r>
      <w:r>
        <w:t>in Table 2</w:t>
      </w:r>
      <w:r w:rsidR="00AE5243">
        <w:t xml:space="preserve"> and mentioned above</w:t>
      </w:r>
      <w:r>
        <w:t>, r</w:t>
      </w:r>
      <w:r w:rsidRPr="00F20DB5">
        <w:t xml:space="preserve">egulatory </w:t>
      </w:r>
      <w:r w:rsidR="000359D7">
        <w:t xml:space="preserve">burden </w:t>
      </w:r>
      <w:r w:rsidRPr="00F20DB5">
        <w:t xml:space="preserve">costs associated with Option 1 </w:t>
      </w:r>
      <w:r w:rsidR="00AE5243">
        <w:t>would</w:t>
      </w:r>
      <w:r w:rsidR="00AE5243" w:rsidRPr="00F20DB5">
        <w:t xml:space="preserve"> </w:t>
      </w:r>
      <w:r w:rsidRPr="00F20DB5">
        <w:t xml:space="preserve">be expected to be higher </w:t>
      </w:r>
      <w:r w:rsidR="7BBA984B">
        <w:t xml:space="preserve">on both an individual facility and </w:t>
      </w:r>
      <w:r w:rsidR="00AE5243">
        <w:t xml:space="preserve">sectoral </w:t>
      </w:r>
      <w:r w:rsidR="7BBA984B">
        <w:t xml:space="preserve">basis </w:t>
      </w:r>
      <w:r w:rsidRPr="00F20DB5">
        <w:t>than Option 2</w:t>
      </w:r>
      <w:r w:rsidR="00AE5243">
        <w:t>. Option 1 would result in an additional 16 facilities competing for the same limited pool of equipment and technical personnel</w:t>
      </w:r>
      <w:r w:rsidR="7BBA984B">
        <w:t xml:space="preserve"> required to </w:t>
      </w:r>
      <w:r w:rsidR="7F595170">
        <w:t>implement Methods 2 or 3</w:t>
      </w:r>
      <w:r w:rsidRPr="00F20DB5">
        <w:t>.</w:t>
      </w:r>
      <w:r w:rsidR="00AE5243">
        <w:t xml:space="preserve"> Such a </w:t>
      </w:r>
      <w:r w:rsidR="00953C9B">
        <w:t>situation</w:t>
      </w:r>
      <w:r w:rsidR="00AE5243">
        <w:t xml:space="preserve"> could be expected to place upward pressure on regulatory costs, however t</w:t>
      </w:r>
      <w:r w:rsidRPr="00F20DB5">
        <w:t xml:space="preserve">he exact quantum of the increase cannot be reliably </w:t>
      </w:r>
      <w:r w:rsidR="00593BA9">
        <w:t>determined given the range of cost inputs and complexity of predicting the magnitude of price increases across those inputs</w:t>
      </w:r>
      <w:r w:rsidRPr="00F20DB5">
        <w:t xml:space="preserve">.   </w:t>
      </w:r>
    </w:p>
    <w:p w14:paraId="6A1D3F10" w14:textId="09235FAB" w:rsidR="0087011A" w:rsidRPr="00F9719B" w:rsidRDefault="0087011A" w:rsidP="00F9719B">
      <w:pPr>
        <w:pStyle w:val="Heading4"/>
        <w:rPr>
          <w:sz w:val="20"/>
          <w:szCs w:val="20"/>
        </w:rPr>
      </w:pPr>
      <w:r w:rsidRPr="00F9719B">
        <w:rPr>
          <w:sz w:val="20"/>
          <w:szCs w:val="20"/>
        </w:rPr>
        <w:t xml:space="preserve">Table </w:t>
      </w:r>
      <w:r w:rsidRPr="00F9719B">
        <w:rPr>
          <w:sz w:val="20"/>
          <w:szCs w:val="20"/>
        </w:rPr>
        <w:fldChar w:fldCharType="begin"/>
      </w:r>
      <w:r w:rsidRPr="00F9719B">
        <w:rPr>
          <w:sz w:val="20"/>
          <w:szCs w:val="20"/>
        </w:rPr>
        <w:instrText xml:space="preserve"> SEQ Table \* ARABIC </w:instrText>
      </w:r>
      <w:r w:rsidRPr="00F9719B">
        <w:rPr>
          <w:sz w:val="20"/>
          <w:szCs w:val="20"/>
        </w:rPr>
        <w:fldChar w:fldCharType="separate"/>
      </w:r>
      <w:r w:rsidR="00424C07">
        <w:rPr>
          <w:noProof/>
          <w:sz w:val="20"/>
          <w:szCs w:val="20"/>
        </w:rPr>
        <w:t>2</w:t>
      </w:r>
      <w:r w:rsidRPr="00F9719B">
        <w:rPr>
          <w:sz w:val="20"/>
          <w:szCs w:val="20"/>
        </w:rPr>
        <w:fldChar w:fldCharType="end"/>
      </w:r>
      <w:r w:rsidRPr="00F9719B">
        <w:rPr>
          <w:sz w:val="20"/>
          <w:szCs w:val="20"/>
        </w:rPr>
        <w:t xml:space="preserve">: Regulatory burden </w:t>
      </w:r>
      <w:r w:rsidR="0001269C">
        <w:rPr>
          <w:sz w:val="20"/>
          <w:szCs w:val="20"/>
        </w:rPr>
        <w:t xml:space="preserve">estimates </w:t>
      </w:r>
      <w:r w:rsidR="00B76A0A">
        <w:rPr>
          <w:sz w:val="20"/>
          <w:szCs w:val="20"/>
        </w:rPr>
        <w:t xml:space="preserve">with the </w:t>
      </w:r>
      <w:r w:rsidR="00376D7A">
        <w:rPr>
          <w:sz w:val="20"/>
          <w:szCs w:val="20"/>
        </w:rPr>
        <w:t xml:space="preserve">estimated </w:t>
      </w:r>
      <w:r w:rsidR="00B76A0A">
        <w:rPr>
          <w:sz w:val="20"/>
          <w:szCs w:val="20"/>
        </w:rPr>
        <w:t xml:space="preserve">proportion of emissions reported using </w:t>
      </w:r>
      <w:r w:rsidR="001809FF">
        <w:rPr>
          <w:sz w:val="20"/>
          <w:szCs w:val="20"/>
        </w:rPr>
        <w:t>Method </w:t>
      </w:r>
      <w:r w:rsidR="00B76A0A">
        <w:rPr>
          <w:sz w:val="20"/>
          <w:szCs w:val="20"/>
        </w:rPr>
        <w:t>1 for each option</w:t>
      </w:r>
      <w:r w:rsidR="00376D7A">
        <w:rPr>
          <w:sz w:val="20"/>
          <w:szCs w:val="20"/>
        </w:rPr>
        <w:t xml:space="preserve"> </w:t>
      </w:r>
      <w:r w:rsidR="009D2406">
        <w:rPr>
          <w:sz w:val="20"/>
          <w:szCs w:val="20"/>
        </w:rPr>
        <w:t>where affected facilities are determined on the basis of</w:t>
      </w:r>
      <w:r w:rsidR="00376D7A">
        <w:rPr>
          <w:sz w:val="20"/>
          <w:szCs w:val="20"/>
        </w:rPr>
        <w:t xml:space="preserve"> FY23</w:t>
      </w:r>
      <w:r w:rsidR="009D2406">
        <w:rPr>
          <w:sz w:val="20"/>
          <w:szCs w:val="20"/>
        </w:rPr>
        <w:t xml:space="preserve"> data</w:t>
      </w:r>
      <w:r w:rsidR="00B76A0A">
        <w:rPr>
          <w:sz w:val="20"/>
          <w:szCs w:val="20"/>
        </w:rPr>
        <w:t>.</w:t>
      </w:r>
    </w:p>
    <w:tbl>
      <w:tblPr>
        <w:tblStyle w:val="Custom1"/>
        <w:tblW w:w="0" w:type="auto"/>
        <w:tblLook w:val="04A0" w:firstRow="1" w:lastRow="0" w:firstColumn="1" w:lastColumn="0" w:noHBand="0" w:noVBand="1"/>
      </w:tblPr>
      <w:tblGrid>
        <w:gridCol w:w="2552"/>
        <w:gridCol w:w="2126"/>
        <w:gridCol w:w="1022"/>
        <w:gridCol w:w="3107"/>
      </w:tblGrid>
      <w:tr w:rsidR="009A370C" w14:paraId="02D8BAB2" w14:textId="77777777" w:rsidTr="00AE5243">
        <w:trPr>
          <w:cnfStyle w:val="100000000000" w:firstRow="1" w:lastRow="0" w:firstColumn="0" w:lastColumn="0" w:oddVBand="0" w:evenVBand="0" w:oddHBand="0" w:evenHBand="0" w:firstRowFirstColumn="0" w:firstRowLastColumn="0" w:lastRowFirstColumn="0" w:lastRowLastColumn="0"/>
        </w:trPr>
        <w:tc>
          <w:tcPr>
            <w:tcW w:w="2552" w:type="dxa"/>
          </w:tcPr>
          <w:p w14:paraId="7F8BCF1F" w14:textId="6D6E72AE" w:rsidR="009A370C" w:rsidRPr="00CD4D5C" w:rsidRDefault="00CD4D5C" w:rsidP="00961F35">
            <w:pPr>
              <w:rPr>
                <w:b w:val="0"/>
                <w:sz w:val="20"/>
                <w:szCs w:val="20"/>
              </w:rPr>
            </w:pPr>
            <w:r w:rsidRPr="00CD4D5C">
              <w:rPr>
                <w:b w:val="0"/>
                <w:sz w:val="20"/>
                <w:szCs w:val="20"/>
              </w:rPr>
              <w:t>Policy option</w:t>
            </w:r>
          </w:p>
        </w:tc>
        <w:tc>
          <w:tcPr>
            <w:tcW w:w="2126" w:type="dxa"/>
          </w:tcPr>
          <w:p w14:paraId="3195E55A" w14:textId="74571171" w:rsidR="009A370C" w:rsidRPr="00CD4D5C" w:rsidRDefault="009A370C" w:rsidP="00961F35">
            <w:pPr>
              <w:rPr>
                <w:b w:val="0"/>
                <w:sz w:val="20"/>
                <w:szCs w:val="20"/>
              </w:rPr>
            </w:pPr>
            <w:r w:rsidRPr="00CD4D5C">
              <w:rPr>
                <w:b w:val="0"/>
                <w:sz w:val="20"/>
                <w:szCs w:val="20"/>
              </w:rPr>
              <w:t>Estimated</w:t>
            </w:r>
            <w:r w:rsidR="0087011A" w:rsidRPr="00CD4D5C">
              <w:rPr>
                <w:b w:val="0"/>
                <w:sz w:val="20"/>
                <w:szCs w:val="20"/>
              </w:rPr>
              <w:t xml:space="preserve"> regulatory</w:t>
            </w:r>
            <w:r w:rsidRPr="00CD4D5C">
              <w:rPr>
                <w:b w:val="0"/>
                <w:sz w:val="20"/>
                <w:szCs w:val="20"/>
              </w:rPr>
              <w:t xml:space="preserve"> cost</w:t>
            </w:r>
            <w:r w:rsidR="0087011A" w:rsidRPr="00CD4D5C">
              <w:rPr>
                <w:b w:val="0"/>
                <w:sz w:val="20"/>
                <w:szCs w:val="20"/>
              </w:rPr>
              <w:t xml:space="preserve"> to </w:t>
            </w:r>
            <w:r w:rsidR="003B58D9">
              <w:rPr>
                <w:b w:val="0"/>
                <w:sz w:val="20"/>
                <w:szCs w:val="20"/>
              </w:rPr>
              <w:t xml:space="preserve">all </w:t>
            </w:r>
            <w:r w:rsidR="00F16BDD">
              <w:rPr>
                <w:b w:val="0"/>
                <w:sz w:val="20"/>
                <w:szCs w:val="20"/>
              </w:rPr>
              <w:t xml:space="preserve">affected </w:t>
            </w:r>
            <w:r w:rsidR="0087011A" w:rsidRPr="00CD4D5C">
              <w:rPr>
                <w:b w:val="0"/>
                <w:sz w:val="20"/>
                <w:szCs w:val="20"/>
              </w:rPr>
              <w:t>facilities</w:t>
            </w:r>
            <w:r w:rsidR="00B009EE">
              <w:rPr>
                <w:b w:val="0"/>
                <w:sz w:val="20"/>
                <w:szCs w:val="20"/>
              </w:rPr>
              <w:t xml:space="preserve"> ($million)</w:t>
            </w:r>
          </w:p>
        </w:tc>
        <w:tc>
          <w:tcPr>
            <w:tcW w:w="1022" w:type="dxa"/>
          </w:tcPr>
          <w:p w14:paraId="5E8C88BB" w14:textId="0BEA5DFE" w:rsidR="009A370C" w:rsidRPr="00CD4D5C" w:rsidRDefault="00F16BDD" w:rsidP="00961F35">
            <w:pPr>
              <w:rPr>
                <w:b w:val="0"/>
                <w:sz w:val="20"/>
                <w:szCs w:val="20"/>
              </w:rPr>
            </w:pPr>
            <w:r>
              <w:rPr>
                <w:b w:val="0"/>
                <w:sz w:val="20"/>
                <w:szCs w:val="20"/>
              </w:rPr>
              <w:t>No. of f</w:t>
            </w:r>
            <w:r w:rsidR="009A370C" w:rsidRPr="00CD4D5C">
              <w:rPr>
                <w:b w:val="0"/>
                <w:sz w:val="20"/>
                <w:szCs w:val="20"/>
              </w:rPr>
              <w:t>acilities affected</w:t>
            </w:r>
            <w:r w:rsidR="00C649E6" w:rsidRPr="00CD4D5C">
              <w:rPr>
                <w:b w:val="0"/>
                <w:sz w:val="20"/>
                <w:szCs w:val="20"/>
              </w:rPr>
              <w:t xml:space="preserve"> (FY2023 data)</w:t>
            </w:r>
          </w:p>
        </w:tc>
        <w:tc>
          <w:tcPr>
            <w:tcW w:w="3107" w:type="dxa"/>
          </w:tcPr>
          <w:p w14:paraId="5066625F" w14:textId="6F32C829" w:rsidR="009A370C" w:rsidRPr="00CD4D5C" w:rsidRDefault="002538FD" w:rsidP="00961F35">
            <w:pPr>
              <w:rPr>
                <w:b w:val="0"/>
                <w:sz w:val="20"/>
                <w:szCs w:val="20"/>
              </w:rPr>
            </w:pPr>
            <w:r>
              <w:rPr>
                <w:b w:val="0"/>
                <w:sz w:val="20"/>
                <w:szCs w:val="20"/>
              </w:rPr>
              <w:t>Estimated p</w:t>
            </w:r>
            <w:r w:rsidR="00C649E6" w:rsidRPr="00CD4D5C">
              <w:rPr>
                <w:b w:val="0"/>
                <w:sz w:val="20"/>
                <w:szCs w:val="20"/>
              </w:rPr>
              <w:t>roportion of</w:t>
            </w:r>
            <w:r w:rsidR="00F9719B" w:rsidRPr="00CD4D5C">
              <w:rPr>
                <w:b w:val="0"/>
                <w:sz w:val="20"/>
                <w:szCs w:val="20"/>
              </w:rPr>
              <w:t xml:space="preserve"> emissions reported </w:t>
            </w:r>
            <w:r w:rsidR="00F16BDD">
              <w:rPr>
                <w:b w:val="0"/>
                <w:sz w:val="20"/>
                <w:szCs w:val="20"/>
              </w:rPr>
              <w:t xml:space="preserve">by affected facilities </w:t>
            </w:r>
            <w:r w:rsidR="00F9719B" w:rsidRPr="00CD4D5C">
              <w:rPr>
                <w:b w:val="0"/>
                <w:sz w:val="20"/>
                <w:szCs w:val="20"/>
              </w:rPr>
              <w:t>using</w:t>
            </w:r>
            <w:r w:rsidR="00C649E6" w:rsidRPr="00CD4D5C">
              <w:rPr>
                <w:b w:val="0"/>
                <w:sz w:val="20"/>
                <w:szCs w:val="20"/>
              </w:rPr>
              <w:t xml:space="preserve"> Method 1</w:t>
            </w:r>
            <w:r w:rsidR="00F9719B" w:rsidRPr="00CD4D5C">
              <w:rPr>
                <w:b w:val="0"/>
                <w:sz w:val="20"/>
                <w:szCs w:val="20"/>
              </w:rPr>
              <w:t xml:space="preserve"> (FY2023)</w:t>
            </w:r>
          </w:p>
        </w:tc>
      </w:tr>
      <w:tr w:rsidR="009A370C" w14:paraId="1E365DDA" w14:textId="77777777" w:rsidTr="00AE5243">
        <w:trPr>
          <w:cnfStyle w:val="000000100000" w:firstRow="0" w:lastRow="0" w:firstColumn="0" w:lastColumn="0" w:oddVBand="0" w:evenVBand="0" w:oddHBand="1" w:evenHBand="0" w:firstRowFirstColumn="0" w:firstRowLastColumn="0" w:lastRowFirstColumn="0" w:lastRowLastColumn="0"/>
        </w:trPr>
        <w:tc>
          <w:tcPr>
            <w:tcW w:w="2552" w:type="dxa"/>
          </w:tcPr>
          <w:p w14:paraId="4F7EEC85" w14:textId="1BB469A9" w:rsidR="009A370C" w:rsidRPr="00CD4D5C" w:rsidRDefault="0087011A" w:rsidP="00675941">
            <w:pPr>
              <w:rPr>
                <w:sz w:val="20"/>
                <w:szCs w:val="20"/>
              </w:rPr>
            </w:pPr>
            <w:r w:rsidRPr="00B60390">
              <w:rPr>
                <w:b/>
                <w:bCs/>
                <w:sz w:val="20"/>
                <w:szCs w:val="20"/>
              </w:rPr>
              <w:t>Reference option</w:t>
            </w:r>
            <w:r w:rsidRPr="00CD4D5C">
              <w:rPr>
                <w:sz w:val="20"/>
                <w:szCs w:val="20"/>
              </w:rPr>
              <w:t xml:space="preserve"> (BAU)</w:t>
            </w:r>
          </w:p>
        </w:tc>
        <w:tc>
          <w:tcPr>
            <w:tcW w:w="2126" w:type="dxa"/>
          </w:tcPr>
          <w:p w14:paraId="53448A73" w14:textId="39247F0A" w:rsidR="009A370C" w:rsidRPr="00CD4D5C" w:rsidRDefault="0087011A" w:rsidP="00675941">
            <w:pPr>
              <w:rPr>
                <w:sz w:val="20"/>
                <w:szCs w:val="20"/>
              </w:rPr>
            </w:pPr>
            <w:r w:rsidRPr="00CD4D5C">
              <w:rPr>
                <w:sz w:val="20"/>
                <w:szCs w:val="20"/>
              </w:rPr>
              <w:t>0</w:t>
            </w:r>
          </w:p>
        </w:tc>
        <w:tc>
          <w:tcPr>
            <w:tcW w:w="1022" w:type="dxa"/>
          </w:tcPr>
          <w:p w14:paraId="07805059" w14:textId="545E1E8D" w:rsidR="009A370C" w:rsidRPr="00CD4D5C" w:rsidRDefault="0087011A" w:rsidP="00675941">
            <w:pPr>
              <w:rPr>
                <w:sz w:val="20"/>
                <w:szCs w:val="20"/>
              </w:rPr>
            </w:pPr>
            <w:r w:rsidRPr="00CD4D5C">
              <w:rPr>
                <w:sz w:val="20"/>
                <w:szCs w:val="20"/>
              </w:rPr>
              <w:t>0</w:t>
            </w:r>
          </w:p>
        </w:tc>
        <w:tc>
          <w:tcPr>
            <w:tcW w:w="3107" w:type="dxa"/>
          </w:tcPr>
          <w:p w14:paraId="60970F64" w14:textId="39C6FA2A" w:rsidR="009A370C" w:rsidRPr="00CD4D5C" w:rsidRDefault="0087011A" w:rsidP="00675941">
            <w:pPr>
              <w:rPr>
                <w:sz w:val="20"/>
                <w:szCs w:val="20"/>
              </w:rPr>
            </w:pPr>
            <w:r w:rsidRPr="00CD4D5C">
              <w:rPr>
                <w:sz w:val="20"/>
                <w:szCs w:val="20"/>
              </w:rPr>
              <w:t>0</w:t>
            </w:r>
          </w:p>
        </w:tc>
      </w:tr>
      <w:tr w:rsidR="00AE5243" w14:paraId="67D367FD" w14:textId="77777777" w:rsidTr="000A0D2C">
        <w:tc>
          <w:tcPr>
            <w:tcW w:w="8807" w:type="dxa"/>
            <w:gridSpan w:val="4"/>
          </w:tcPr>
          <w:p w14:paraId="0A5E89A6" w14:textId="2AB56D30" w:rsidR="00AE5243" w:rsidRPr="00CD4D5C" w:rsidRDefault="00AE5243" w:rsidP="00675941">
            <w:pPr>
              <w:rPr>
                <w:sz w:val="20"/>
                <w:szCs w:val="20"/>
              </w:rPr>
            </w:pPr>
            <w:r w:rsidRPr="00B60390">
              <w:rPr>
                <w:b/>
                <w:bCs/>
                <w:sz w:val="20"/>
                <w:szCs w:val="20"/>
              </w:rPr>
              <w:t>Option 2</w:t>
            </w:r>
            <w:r>
              <w:rPr>
                <w:b/>
                <w:bCs/>
                <w:sz w:val="20"/>
                <w:szCs w:val="20"/>
              </w:rPr>
              <w:t>: Preferred</w:t>
            </w:r>
            <w:r w:rsidRPr="00CD4D5C">
              <w:rPr>
                <w:sz w:val="20"/>
                <w:szCs w:val="20"/>
              </w:rPr>
              <w:t xml:space="preserve"> (Method 1 repealed for Safeguard facilities only)</w:t>
            </w:r>
            <w:r>
              <w:rPr>
                <w:sz w:val="20"/>
                <w:szCs w:val="20"/>
              </w:rPr>
              <w:t xml:space="preserve"> </w:t>
            </w:r>
          </w:p>
        </w:tc>
      </w:tr>
      <w:tr w:rsidR="0050141D" w14:paraId="50D6EB5D" w14:textId="77777777" w:rsidTr="00AE5243">
        <w:trPr>
          <w:cnfStyle w:val="000000100000" w:firstRow="0" w:lastRow="0" w:firstColumn="0" w:lastColumn="0" w:oddVBand="0" w:evenVBand="0" w:oddHBand="1" w:evenHBand="0" w:firstRowFirstColumn="0" w:firstRowLastColumn="0" w:lastRowFirstColumn="0" w:lastRowLastColumn="0"/>
        </w:trPr>
        <w:tc>
          <w:tcPr>
            <w:tcW w:w="2552" w:type="dxa"/>
          </w:tcPr>
          <w:p w14:paraId="2D5529C4" w14:textId="7921042B" w:rsidR="0050141D" w:rsidRPr="00B60390" w:rsidRDefault="00CE0CB7" w:rsidP="0050141D">
            <w:pPr>
              <w:rPr>
                <w:i/>
                <w:iCs/>
                <w:sz w:val="20"/>
                <w:szCs w:val="20"/>
              </w:rPr>
            </w:pPr>
            <w:r>
              <w:rPr>
                <w:i/>
                <w:iCs/>
                <w:sz w:val="20"/>
                <w:szCs w:val="20"/>
              </w:rPr>
              <w:t>Transition</w:t>
            </w:r>
            <w:r w:rsidR="00B60390">
              <w:rPr>
                <w:i/>
                <w:iCs/>
                <w:sz w:val="20"/>
                <w:szCs w:val="20"/>
              </w:rPr>
              <w:t>al</w:t>
            </w:r>
            <w:r w:rsidR="0050141D">
              <w:rPr>
                <w:i/>
                <w:iCs/>
                <w:sz w:val="20"/>
                <w:szCs w:val="20"/>
              </w:rPr>
              <w:t xml:space="preserve"> costs</w:t>
            </w:r>
            <w:r w:rsidR="00FA60BD">
              <w:rPr>
                <w:i/>
                <w:iCs/>
                <w:sz w:val="20"/>
                <w:szCs w:val="20"/>
              </w:rPr>
              <w:t xml:space="preserve"> </w:t>
            </w:r>
            <w:r w:rsidR="003B1E14">
              <w:rPr>
                <w:i/>
                <w:iCs/>
                <w:sz w:val="20"/>
                <w:szCs w:val="20"/>
              </w:rPr>
              <w:t>(a)</w:t>
            </w:r>
          </w:p>
        </w:tc>
        <w:tc>
          <w:tcPr>
            <w:tcW w:w="2126" w:type="dxa"/>
          </w:tcPr>
          <w:p w14:paraId="373006F7" w14:textId="5754E6F8" w:rsidR="0050141D" w:rsidRPr="00CD4D5C" w:rsidRDefault="00AE5243" w:rsidP="0050141D">
            <w:pPr>
              <w:rPr>
                <w:sz w:val="20"/>
                <w:szCs w:val="20"/>
              </w:rPr>
            </w:pPr>
            <w:r>
              <w:rPr>
                <w:sz w:val="20"/>
                <w:szCs w:val="20"/>
              </w:rPr>
              <w:t>80-100</w:t>
            </w:r>
          </w:p>
        </w:tc>
        <w:tc>
          <w:tcPr>
            <w:tcW w:w="1022" w:type="dxa"/>
          </w:tcPr>
          <w:p w14:paraId="48880580" w14:textId="74B10B20" w:rsidR="0050141D" w:rsidRPr="00CD4D5C" w:rsidRDefault="00D31C86" w:rsidP="0050141D">
            <w:pPr>
              <w:rPr>
                <w:sz w:val="20"/>
                <w:szCs w:val="20"/>
              </w:rPr>
            </w:pPr>
            <w:r>
              <w:rPr>
                <w:sz w:val="20"/>
                <w:szCs w:val="20"/>
              </w:rPr>
              <w:t>21</w:t>
            </w:r>
          </w:p>
        </w:tc>
        <w:tc>
          <w:tcPr>
            <w:tcW w:w="3107" w:type="dxa"/>
          </w:tcPr>
          <w:p w14:paraId="2547DC30" w14:textId="4704B1A7" w:rsidR="0050141D" w:rsidRPr="00CD4D5C" w:rsidRDefault="00487B67" w:rsidP="0050141D">
            <w:pPr>
              <w:rPr>
                <w:sz w:val="20"/>
                <w:szCs w:val="20"/>
              </w:rPr>
            </w:pPr>
            <w:r>
              <w:rPr>
                <w:sz w:val="20"/>
                <w:szCs w:val="20"/>
              </w:rPr>
              <w:t>92</w:t>
            </w:r>
            <w:r w:rsidR="0050141D" w:rsidRPr="00CD4D5C">
              <w:rPr>
                <w:sz w:val="20"/>
                <w:szCs w:val="20"/>
              </w:rPr>
              <w:t>%</w:t>
            </w:r>
          </w:p>
        </w:tc>
      </w:tr>
      <w:tr w:rsidR="0050141D" w14:paraId="05110C98" w14:textId="77777777" w:rsidTr="00AE5243">
        <w:tc>
          <w:tcPr>
            <w:tcW w:w="2552" w:type="dxa"/>
          </w:tcPr>
          <w:p w14:paraId="089096E4" w14:textId="1D0FD05C" w:rsidR="0050141D" w:rsidRPr="00B60390" w:rsidRDefault="0050141D" w:rsidP="0050141D">
            <w:pPr>
              <w:rPr>
                <w:i/>
                <w:iCs/>
                <w:sz w:val="20"/>
                <w:szCs w:val="20"/>
              </w:rPr>
            </w:pPr>
            <w:r>
              <w:rPr>
                <w:i/>
                <w:iCs/>
                <w:sz w:val="20"/>
                <w:szCs w:val="20"/>
              </w:rPr>
              <w:t>Ongoing annual costs</w:t>
            </w:r>
            <w:r w:rsidR="00FA60BD">
              <w:rPr>
                <w:i/>
                <w:iCs/>
                <w:sz w:val="20"/>
                <w:szCs w:val="20"/>
              </w:rPr>
              <w:t xml:space="preserve"> </w:t>
            </w:r>
            <w:r w:rsidR="003B1E14">
              <w:rPr>
                <w:i/>
                <w:iCs/>
                <w:sz w:val="20"/>
                <w:szCs w:val="20"/>
              </w:rPr>
              <w:t>(b)</w:t>
            </w:r>
          </w:p>
        </w:tc>
        <w:tc>
          <w:tcPr>
            <w:tcW w:w="2126" w:type="dxa"/>
          </w:tcPr>
          <w:p w14:paraId="2DF96380" w14:textId="69721DEF" w:rsidR="0050141D" w:rsidRPr="00CD4D5C" w:rsidRDefault="00AE5243" w:rsidP="0050141D">
            <w:pPr>
              <w:rPr>
                <w:sz w:val="20"/>
                <w:szCs w:val="20"/>
              </w:rPr>
            </w:pPr>
            <w:r>
              <w:rPr>
                <w:sz w:val="20"/>
                <w:szCs w:val="20"/>
              </w:rPr>
              <w:t>3-4</w:t>
            </w:r>
          </w:p>
        </w:tc>
        <w:tc>
          <w:tcPr>
            <w:tcW w:w="1022" w:type="dxa"/>
          </w:tcPr>
          <w:p w14:paraId="536AE197" w14:textId="7D8AD5FE" w:rsidR="0050141D" w:rsidRPr="00CD4D5C" w:rsidRDefault="00D31C86" w:rsidP="0050141D">
            <w:pPr>
              <w:rPr>
                <w:sz w:val="20"/>
                <w:szCs w:val="20"/>
              </w:rPr>
            </w:pPr>
            <w:r>
              <w:rPr>
                <w:sz w:val="20"/>
                <w:szCs w:val="20"/>
              </w:rPr>
              <w:t>21</w:t>
            </w:r>
          </w:p>
        </w:tc>
        <w:tc>
          <w:tcPr>
            <w:tcW w:w="3107" w:type="dxa"/>
          </w:tcPr>
          <w:p w14:paraId="465D519F" w14:textId="52407213" w:rsidR="0050141D" w:rsidRPr="00CD4D5C" w:rsidRDefault="00487B67" w:rsidP="0050141D">
            <w:pPr>
              <w:rPr>
                <w:sz w:val="20"/>
                <w:szCs w:val="20"/>
              </w:rPr>
            </w:pPr>
            <w:r>
              <w:rPr>
                <w:sz w:val="20"/>
                <w:szCs w:val="20"/>
              </w:rPr>
              <w:t>92</w:t>
            </w:r>
            <w:r w:rsidR="0050141D" w:rsidRPr="00CD4D5C">
              <w:rPr>
                <w:sz w:val="20"/>
                <w:szCs w:val="20"/>
              </w:rPr>
              <w:t>%</w:t>
            </w:r>
          </w:p>
        </w:tc>
      </w:tr>
      <w:tr w:rsidR="00A1672D" w14:paraId="3A41F40A" w14:textId="77777777" w:rsidTr="00B60390">
        <w:trPr>
          <w:cnfStyle w:val="000000100000" w:firstRow="0" w:lastRow="0" w:firstColumn="0" w:lastColumn="0" w:oddVBand="0" w:evenVBand="0" w:oddHBand="1" w:evenHBand="0" w:firstRowFirstColumn="0" w:firstRowLastColumn="0" w:lastRowFirstColumn="0" w:lastRowLastColumn="0"/>
        </w:trPr>
        <w:tc>
          <w:tcPr>
            <w:tcW w:w="4678" w:type="dxa"/>
            <w:gridSpan w:val="2"/>
          </w:tcPr>
          <w:p w14:paraId="7A5EE1B5" w14:textId="63FBA77B" w:rsidR="00A1672D" w:rsidRPr="00CD4D5C" w:rsidRDefault="00A1672D" w:rsidP="0050141D">
            <w:pPr>
              <w:rPr>
                <w:sz w:val="20"/>
                <w:szCs w:val="20"/>
              </w:rPr>
            </w:pPr>
            <w:r w:rsidRPr="00B60390">
              <w:rPr>
                <w:b/>
                <w:bCs/>
                <w:sz w:val="20"/>
                <w:szCs w:val="20"/>
              </w:rPr>
              <w:t>Option 1</w:t>
            </w:r>
            <w:r w:rsidRPr="00CD4D5C">
              <w:rPr>
                <w:sz w:val="20"/>
                <w:szCs w:val="20"/>
              </w:rPr>
              <w:t xml:space="preserve"> </w:t>
            </w:r>
            <w:r>
              <w:rPr>
                <w:sz w:val="20"/>
                <w:szCs w:val="20"/>
              </w:rPr>
              <w:t>(</w:t>
            </w:r>
            <w:r w:rsidRPr="00CD4D5C">
              <w:rPr>
                <w:sz w:val="20"/>
                <w:szCs w:val="20"/>
              </w:rPr>
              <w:t>Method 1 repealed for all</w:t>
            </w:r>
            <w:r w:rsidR="00403657">
              <w:rPr>
                <w:sz w:val="20"/>
                <w:szCs w:val="20"/>
              </w:rPr>
              <w:t xml:space="preserve"> facilities</w:t>
            </w:r>
            <w:r w:rsidRPr="00CD4D5C">
              <w:rPr>
                <w:sz w:val="20"/>
                <w:szCs w:val="20"/>
              </w:rPr>
              <w:t>)</w:t>
            </w:r>
            <w:r>
              <w:rPr>
                <w:sz w:val="20"/>
                <w:szCs w:val="20"/>
              </w:rPr>
              <w:t xml:space="preserve"> </w:t>
            </w:r>
          </w:p>
        </w:tc>
        <w:tc>
          <w:tcPr>
            <w:tcW w:w="1022" w:type="dxa"/>
          </w:tcPr>
          <w:p w14:paraId="2505D0AC" w14:textId="4C05EB31" w:rsidR="00A1672D" w:rsidRPr="00CD4D5C" w:rsidRDefault="00A1672D" w:rsidP="0050141D">
            <w:pPr>
              <w:rPr>
                <w:sz w:val="20"/>
                <w:szCs w:val="20"/>
              </w:rPr>
            </w:pPr>
          </w:p>
        </w:tc>
        <w:tc>
          <w:tcPr>
            <w:tcW w:w="3107" w:type="dxa"/>
          </w:tcPr>
          <w:p w14:paraId="6B2309F5" w14:textId="1A1C9A29" w:rsidR="00A1672D" w:rsidRPr="00CD4D5C" w:rsidRDefault="00A1672D" w:rsidP="0050141D">
            <w:pPr>
              <w:rPr>
                <w:sz w:val="20"/>
                <w:szCs w:val="20"/>
              </w:rPr>
            </w:pPr>
          </w:p>
        </w:tc>
      </w:tr>
      <w:tr w:rsidR="0050141D" w14:paraId="35AEA75F" w14:textId="77777777" w:rsidTr="00AE5243">
        <w:tc>
          <w:tcPr>
            <w:tcW w:w="2552" w:type="dxa"/>
          </w:tcPr>
          <w:p w14:paraId="3AA93A17" w14:textId="4055B9C1" w:rsidR="0050141D" w:rsidRPr="00B60390" w:rsidRDefault="00CE0CB7" w:rsidP="0050141D">
            <w:pPr>
              <w:rPr>
                <w:i/>
                <w:iCs/>
                <w:sz w:val="20"/>
                <w:szCs w:val="20"/>
              </w:rPr>
            </w:pPr>
            <w:r>
              <w:rPr>
                <w:i/>
                <w:iCs/>
                <w:sz w:val="20"/>
                <w:szCs w:val="20"/>
              </w:rPr>
              <w:t>Transition</w:t>
            </w:r>
            <w:r w:rsidR="00B60390">
              <w:rPr>
                <w:i/>
                <w:iCs/>
                <w:sz w:val="20"/>
                <w:szCs w:val="20"/>
              </w:rPr>
              <w:t>al</w:t>
            </w:r>
            <w:r>
              <w:rPr>
                <w:i/>
                <w:iCs/>
                <w:sz w:val="20"/>
                <w:szCs w:val="20"/>
              </w:rPr>
              <w:t xml:space="preserve"> </w:t>
            </w:r>
            <w:r w:rsidR="0050141D">
              <w:rPr>
                <w:i/>
                <w:iCs/>
                <w:sz w:val="20"/>
                <w:szCs w:val="20"/>
              </w:rPr>
              <w:t>costs</w:t>
            </w:r>
            <w:r w:rsidR="003B1E14">
              <w:rPr>
                <w:i/>
                <w:iCs/>
                <w:sz w:val="20"/>
                <w:szCs w:val="20"/>
              </w:rPr>
              <w:t xml:space="preserve"> (a)</w:t>
            </w:r>
          </w:p>
        </w:tc>
        <w:tc>
          <w:tcPr>
            <w:tcW w:w="2126" w:type="dxa"/>
          </w:tcPr>
          <w:p w14:paraId="09264852" w14:textId="11E7F34A" w:rsidR="0050141D" w:rsidRPr="00CD4D5C" w:rsidRDefault="00AE5243" w:rsidP="0050141D">
            <w:pPr>
              <w:rPr>
                <w:sz w:val="20"/>
                <w:szCs w:val="20"/>
              </w:rPr>
            </w:pPr>
            <w:r>
              <w:rPr>
                <w:sz w:val="20"/>
                <w:szCs w:val="20"/>
              </w:rPr>
              <w:t>80-100</w:t>
            </w:r>
            <w:r w:rsidR="00580D72">
              <w:rPr>
                <w:sz w:val="20"/>
                <w:szCs w:val="20"/>
              </w:rPr>
              <w:t>+</w:t>
            </w:r>
          </w:p>
        </w:tc>
        <w:tc>
          <w:tcPr>
            <w:tcW w:w="1022" w:type="dxa"/>
          </w:tcPr>
          <w:p w14:paraId="1CB11B9A" w14:textId="62397DF3" w:rsidR="0050141D" w:rsidRPr="00CD4D5C" w:rsidRDefault="00D31C86" w:rsidP="0050141D">
            <w:pPr>
              <w:rPr>
                <w:sz w:val="20"/>
                <w:szCs w:val="20"/>
              </w:rPr>
            </w:pPr>
            <w:r>
              <w:rPr>
                <w:sz w:val="20"/>
                <w:szCs w:val="20"/>
              </w:rPr>
              <w:t>37</w:t>
            </w:r>
          </w:p>
        </w:tc>
        <w:tc>
          <w:tcPr>
            <w:tcW w:w="3107" w:type="dxa"/>
          </w:tcPr>
          <w:p w14:paraId="517CA40F" w14:textId="52A1BBE1" w:rsidR="0050141D" w:rsidRPr="00CD4D5C" w:rsidRDefault="00487B67" w:rsidP="0050141D">
            <w:pPr>
              <w:rPr>
                <w:sz w:val="20"/>
                <w:szCs w:val="20"/>
              </w:rPr>
            </w:pPr>
            <w:r>
              <w:rPr>
                <w:sz w:val="20"/>
                <w:szCs w:val="20"/>
              </w:rPr>
              <w:t>100</w:t>
            </w:r>
            <w:r w:rsidR="0050141D" w:rsidRPr="00CD4D5C">
              <w:rPr>
                <w:sz w:val="20"/>
                <w:szCs w:val="20"/>
              </w:rPr>
              <w:t>%</w:t>
            </w:r>
          </w:p>
        </w:tc>
      </w:tr>
      <w:tr w:rsidR="0050141D" w14:paraId="3BC6BB5A" w14:textId="77777777" w:rsidTr="00AE5243">
        <w:trPr>
          <w:cnfStyle w:val="000000100000" w:firstRow="0" w:lastRow="0" w:firstColumn="0" w:lastColumn="0" w:oddVBand="0" w:evenVBand="0" w:oddHBand="1" w:evenHBand="0" w:firstRowFirstColumn="0" w:firstRowLastColumn="0" w:lastRowFirstColumn="0" w:lastRowLastColumn="0"/>
        </w:trPr>
        <w:tc>
          <w:tcPr>
            <w:tcW w:w="2552" w:type="dxa"/>
          </w:tcPr>
          <w:p w14:paraId="0293009F" w14:textId="787D9821" w:rsidR="0050141D" w:rsidRDefault="0050141D" w:rsidP="0050141D">
            <w:pPr>
              <w:rPr>
                <w:i/>
                <w:iCs/>
                <w:sz w:val="20"/>
                <w:szCs w:val="20"/>
              </w:rPr>
            </w:pPr>
            <w:r>
              <w:rPr>
                <w:i/>
                <w:iCs/>
                <w:sz w:val="20"/>
                <w:szCs w:val="20"/>
              </w:rPr>
              <w:t>Ongoing annual costs</w:t>
            </w:r>
            <w:r w:rsidR="003B1E14">
              <w:rPr>
                <w:i/>
                <w:iCs/>
                <w:sz w:val="20"/>
                <w:szCs w:val="20"/>
              </w:rPr>
              <w:t xml:space="preserve"> (b)</w:t>
            </w:r>
          </w:p>
        </w:tc>
        <w:tc>
          <w:tcPr>
            <w:tcW w:w="2126" w:type="dxa"/>
          </w:tcPr>
          <w:p w14:paraId="5C8B9732" w14:textId="479C40FA" w:rsidR="0050141D" w:rsidRPr="00CD4D5C" w:rsidRDefault="00AE5243" w:rsidP="0050141D">
            <w:pPr>
              <w:rPr>
                <w:sz w:val="20"/>
                <w:szCs w:val="20"/>
              </w:rPr>
            </w:pPr>
            <w:r>
              <w:rPr>
                <w:sz w:val="20"/>
                <w:szCs w:val="20"/>
              </w:rPr>
              <w:t>3-4</w:t>
            </w:r>
            <w:r w:rsidR="00580D72">
              <w:rPr>
                <w:sz w:val="20"/>
                <w:szCs w:val="20"/>
              </w:rPr>
              <w:t>+</w:t>
            </w:r>
          </w:p>
        </w:tc>
        <w:tc>
          <w:tcPr>
            <w:tcW w:w="1022" w:type="dxa"/>
          </w:tcPr>
          <w:p w14:paraId="72344549" w14:textId="38BB98D0" w:rsidR="0050141D" w:rsidRPr="00CD4D5C" w:rsidRDefault="00D31C86" w:rsidP="0050141D">
            <w:pPr>
              <w:rPr>
                <w:sz w:val="20"/>
                <w:szCs w:val="20"/>
              </w:rPr>
            </w:pPr>
            <w:r>
              <w:rPr>
                <w:sz w:val="20"/>
                <w:szCs w:val="20"/>
              </w:rPr>
              <w:t>37</w:t>
            </w:r>
          </w:p>
        </w:tc>
        <w:tc>
          <w:tcPr>
            <w:tcW w:w="3107" w:type="dxa"/>
          </w:tcPr>
          <w:p w14:paraId="5A52F67B" w14:textId="0FE24533" w:rsidR="0050141D" w:rsidRPr="00CD4D5C" w:rsidRDefault="00487B67" w:rsidP="0050141D">
            <w:pPr>
              <w:rPr>
                <w:sz w:val="20"/>
                <w:szCs w:val="20"/>
              </w:rPr>
            </w:pPr>
            <w:r>
              <w:rPr>
                <w:sz w:val="20"/>
                <w:szCs w:val="20"/>
              </w:rPr>
              <w:t>100</w:t>
            </w:r>
            <w:r w:rsidR="0050141D" w:rsidRPr="00CD4D5C">
              <w:rPr>
                <w:sz w:val="20"/>
                <w:szCs w:val="20"/>
              </w:rPr>
              <w:t>%</w:t>
            </w:r>
          </w:p>
        </w:tc>
      </w:tr>
    </w:tbl>
    <w:p w14:paraId="321AB845" w14:textId="26EBF59E" w:rsidR="008C4F5A" w:rsidRDefault="003B1E14" w:rsidP="00B60390">
      <w:pPr>
        <w:spacing w:before="120" w:after="0" w:line="240" w:lineRule="auto"/>
        <w:rPr>
          <w:rFonts w:eastAsia="Times New Roman"/>
          <w:szCs w:val="22"/>
        </w:rPr>
      </w:pPr>
      <w:r>
        <w:rPr>
          <w:rFonts w:eastAsia="Calibri" w:cs="Calibri"/>
          <w:sz w:val="18"/>
          <w:szCs w:val="18"/>
        </w:rPr>
        <w:t>(a)</w:t>
      </w:r>
      <w:r w:rsidR="00D93ECB" w:rsidRPr="000F2300">
        <w:rPr>
          <w:rFonts w:eastAsia="Calibri" w:cs="Calibri"/>
          <w:sz w:val="18"/>
          <w:szCs w:val="18"/>
        </w:rPr>
        <w:t xml:space="preserve"> </w:t>
      </w:r>
      <w:r w:rsidR="009B6C77">
        <w:rPr>
          <w:rFonts w:eastAsia="Calibri" w:cs="Calibri"/>
          <w:sz w:val="18"/>
          <w:szCs w:val="18"/>
        </w:rPr>
        <w:t>E</w:t>
      </w:r>
      <w:r w:rsidR="004D1C27">
        <w:rPr>
          <w:rFonts w:eastAsia="Calibri" w:cs="Calibri"/>
          <w:sz w:val="18"/>
          <w:szCs w:val="18"/>
        </w:rPr>
        <w:t>stimate</w:t>
      </w:r>
      <w:r w:rsidR="009B6C77">
        <w:rPr>
          <w:rFonts w:eastAsia="Calibri" w:cs="Calibri"/>
          <w:sz w:val="18"/>
          <w:szCs w:val="18"/>
        </w:rPr>
        <w:t>d</w:t>
      </w:r>
      <w:r w:rsidR="004D1C27">
        <w:rPr>
          <w:rFonts w:eastAsia="Calibri" w:cs="Calibri"/>
          <w:sz w:val="18"/>
          <w:szCs w:val="18"/>
        </w:rPr>
        <w:t xml:space="preserve"> </w:t>
      </w:r>
      <w:r w:rsidR="00C938BA">
        <w:rPr>
          <w:rFonts w:eastAsia="Calibri" w:cs="Calibri"/>
          <w:sz w:val="18"/>
          <w:szCs w:val="18"/>
        </w:rPr>
        <w:t xml:space="preserve">and indicative </w:t>
      </w:r>
      <w:r w:rsidR="004D1C27">
        <w:rPr>
          <w:rFonts w:eastAsia="Calibri" w:cs="Calibri"/>
          <w:sz w:val="18"/>
          <w:szCs w:val="18"/>
        </w:rPr>
        <w:t>range of c</w:t>
      </w:r>
      <w:r w:rsidR="00D93ECB" w:rsidRPr="000F2300">
        <w:rPr>
          <w:rFonts w:eastAsia="Calibri" w:cs="Calibri"/>
          <w:sz w:val="18"/>
          <w:szCs w:val="18"/>
        </w:rPr>
        <w:t>osts expected to be incurred over the course of one or more years.</w:t>
      </w:r>
      <w:r w:rsidR="009B6C77">
        <w:rPr>
          <w:rFonts w:eastAsia="Calibri" w:cs="Calibri"/>
          <w:sz w:val="18"/>
          <w:szCs w:val="18"/>
        </w:rPr>
        <w:t xml:space="preserve"> </w:t>
      </w:r>
    </w:p>
    <w:p w14:paraId="73402632" w14:textId="1CAEFBC4" w:rsidR="00FA0E60" w:rsidRDefault="003B1E14" w:rsidP="003E5C9A">
      <w:pPr>
        <w:spacing w:after="0" w:line="240" w:lineRule="auto"/>
        <w:rPr>
          <w:rFonts w:eastAsia="Calibri" w:cs="Calibri"/>
          <w:sz w:val="18"/>
          <w:szCs w:val="18"/>
        </w:rPr>
      </w:pPr>
      <w:r>
        <w:rPr>
          <w:rFonts w:eastAsia="Calibri" w:cs="Calibri"/>
          <w:sz w:val="18"/>
          <w:szCs w:val="18"/>
        </w:rPr>
        <w:t>(b)</w:t>
      </w:r>
      <w:r w:rsidR="00D93ECB" w:rsidRPr="000F2300">
        <w:rPr>
          <w:rFonts w:eastAsia="Calibri" w:cs="Calibri"/>
          <w:sz w:val="18"/>
          <w:szCs w:val="18"/>
        </w:rPr>
        <w:t xml:space="preserve"> </w:t>
      </w:r>
      <w:r w:rsidR="009B6C77">
        <w:rPr>
          <w:rFonts w:eastAsia="Calibri" w:cs="Calibri"/>
          <w:sz w:val="18"/>
          <w:szCs w:val="18"/>
        </w:rPr>
        <w:t>E</w:t>
      </w:r>
      <w:r w:rsidR="004D1C27">
        <w:rPr>
          <w:rFonts w:eastAsia="Calibri" w:cs="Calibri"/>
          <w:sz w:val="18"/>
          <w:szCs w:val="18"/>
        </w:rPr>
        <w:t xml:space="preserve">stimated </w:t>
      </w:r>
      <w:r w:rsidR="006D2D37">
        <w:rPr>
          <w:rFonts w:eastAsia="Calibri" w:cs="Calibri"/>
          <w:sz w:val="18"/>
          <w:szCs w:val="18"/>
        </w:rPr>
        <w:t xml:space="preserve">and indicative </w:t>
      </w:r>
      <w:r w:rsidR="004D1C27">
        <w:rPr>
          <w:rFonts w:eastAsia="Calibri" w:cs="Calibri"/>
          <w:sz w:val="18"/>
          <w:szCs w:val="18"/>
        </w:rPr>
        <w:t>range of c</w:t>
      </w:r>
      <w:r w:rsidR="00D93ECB" w:rsidRPr="000F2300">
        <w:rPr>
          <w:rFonts w:eastAsia="Calibri" w:cs="Calibri"/>
          <w:sz w:val="18"/>
          <w:szCs w:val="18"/>
        </w:rPr>
        <w:t>osts expected to be incurred on an annual basis</w:t>
      </w:r>
      <w:r w:rsidR="00D93ECB">
        <w:rPr>
          <w:rFonts w:eastAsia="Calibri" w:cs="Calibri"/>
          <w:sz w:val="18"/>
          <w:szCs w:val="18"/>
        </w:rPr>
        <w:t xml:space="preserve"> after </w:t>
      </w:r>
      <w:r w:rsidR="00593BA9">
        <w:rPr>
          <w:rFonts w:eastAsia="Calibri" w:cs="Calibri"/>
          <w:sz w:val="18"/>
          <w:szCs w:val="18"/>
        </w:rPr>
        <w:t>transitional</w:t>
      </w:r>
      <w:r w:rsidR="00D93ECB">
        <w:rPr>
          <w:rFonts w:eastAsia="Calibri" w:cs="Calibri"/>
          <w:sz w:val="18"/>
          <w:szCs w:val="18"/>
        </w:rPr>
        <w:t xml:space="preserve"> arrangements completed</w:t>
      </w:r>
      <w:r w:rsidR="00D93ECB" w:rsidRPr="000F2300">
        <w:rPr>
          <w:rFonts w:eastAsia="Calibri" w:cs="Calibri"/>
          <w:sz w:val="18"/>
          <w:szCs w:val="18"/>
        </w:rPr>
        <w:t>.</w:t>
      </w:r>
      <w:r w:rsidR="00D8704B">
        <w:rPr>
          <w:rFonts w:eastAsia="Calibri" w:cs="Calibri"/>
          <w:sz w:val="18"/>
          <w:szCs w:val="18"/>
        </w:rPr>
        <w:t xml:space="preserve"> </w:t>
      </w:r>
    </w:p>
    <w:p w14:paraId="32D6D933" w14:textId="77777777" w:rsidR="006B7455" w:rsidRDefault="006B7455" w:rsidP="003E5C9A">
      <w:pPr>
        <w:spacing w:after="0" w:line="240" w:lineRule="auto"/>
        <w:rPr>
          <w:rFonts w:eastAsia="Calibri" w:cs="Calibri"/>
          <w:sz w:val="18"/>
          <w:szCs w:val="18"/>
        </w:rPr>
      </w:pPr>
    </w:p>
    <w:p w14:paraId="0D007C33" w14:textId="77777777" w:rsidR="006B7455" w:rsidRDefault="006B7455" w:rsidP="003E5C9A">
      <w:pPr>
        <w:spacing w:after="0" w:line="240" w:lineRule="auto"/>
        <w:rPr>
          <w:rFonts w:eastAsia="Calibri" w:cs="Calibri"/>
          <w:sz w:val="18"/>
          <w:szCs w:val="18"/>
        </w:rPr>
      </w:pPr>
    </w:p>
    <w:p w14:paraId="40934D47" w14:textId="7FFD5143" w:rsidR="00C65491" w:rsidRDefault="00C65491">
      <w:pPr>
        <w:spacing w:after="200" w:line="288" w:lineRule="auto"/>
        <w:rPr>
          <w:rFonts w:asciiTheme="majorHAnsi" w:eastAsiaTheme="majorEastAsia" w:hAnsiTheme="majorHAnsi" w:cstheme="majorBidi"/>
          <w:color w:val="1C2B39" w:themeColor="accent1"/>
          <w:sz w:val="36"/>
          <w:szCs w:val="28"/>
        </w:rPr>
      </w:pPr>
      <w:bookmarkStart w:id="9" w:name="_Toc1210557242"/>
    </w:p>
    <w:p w14:paraId="48C0B6F2" w14:textId="2A5E06BB" w:rsidR="00AA1FC0" w:rsidRDefault="00582302" w:rsidP="00DE371C">
      <w:pPr>
        <w:pStyle w:val="Heading2"/>
      </w:pPr>
      <w:r>
        <w:lastRenderedPageBreak/>
        <w:t xml:space="preserve">Implementation </w:t>
      </w:r>
      <w:bookmarkEnd w:id="9"/>
    </w:p>
    <w:p w14:paraId="2C069D5A" w14:textId="77777777" w:rsidR="003D4DC1" w:rsidRDefault="003D4DC1" w:rsidP="005652E7">
      <w:pPr>
        <w:pStyle w:val="Heading3"/>
      </w:pPr>
      <w:bookmarkStart w:id="10" w:name="_Toc1610530584"/>
      <w:r>
        <w:t>Implementation</w:t>
      </w:r>
      <w:bookmarkEnd w:id="10"/>
    </w:p>
    <w:p w14:paraId="14CF44DD" w14:textId="3256E16C" w:rsidR="003D4DC1" w:rsidRDefault="003D4DC1" w:rsidP="003D4DC1">
      <w:r>
        <w:t xml:space="preserve">The chosen option (Option 2) will be implemented through an amendment to Division 3.2.3 of the Measurement </w:t>
      </w:r>
      <w:r w:rsidR="000551D0">
        <w:t>Determination</w:t>
      </w:r>
      <w:r>
        <w:t>. This amendment will be made on 1 July 2024 and will take effect as follows:</w:t>
      </w:r>
    </w:p>
    <w:p w14:paraId="6E918A7B" w14:textId="3060BE8E" w:rsidR="003D4DC1" w:rsidRDefault="00131C57" w:rsidP="000F29F7">
      <w:pPr>
        <w:pStyle w:val="BulletedList-Level1"/>
        <w:ind w:left="426" w:hanging="284"/>
        <w:contextualSpacing w:val="0"/>
      </w:pPr>
      <w:r>
        <w:t>F</w:t>
      </w:r>
      <w:r w:rsidR="003D4DC1">
        <w:t>rom 1 July 2025, all facilities covered by the Safeguard Mechanism that reported more than 10 million tonnes of run-of-mine coal was extracted during FY2023 must estimate fugitive methane emissions from open-cut mines using Method 2 or 3.</w:t>
      </w:r>
    </w:p>
    <w:p w14:paraId="5CAE3E45" w14:textId="6BF6C531" w:rsidR="003D4DC1" w:rsidRDefault="00131C57" w:rsidP="000F29F7">
      <w:pPr>
        <w:pStyle w:val="BulletedList-Level1"/>
        <w:ind w:left="426" w:hanging="284"/>
        <w:contextualSpacing w:val="0"/>
      </w:pPr>
      <w:r>
        <w:t>F</w:t>
      </w:r>
      <w:r w:rsidR="003D4DC1">
        <w:t>rom 1 July 2026</w:t>
      </w:r>
      <w:r w:rsidR="00252018">
        <w:t>,</w:t>
      </w:r>
      <w:r w:rsidR="003D4DC1">
        <w:t xml:space="preserve"> all remaining facilities covered by the Safeguard Mechanism must estimate fugitive methane emissions from open-cut mines using Method 2 or 3.</w:t>
      </w:r>
    </w:p>
    <w:p w14:paraId="6A829764" w14:textId="1CFEB7D0" w:rsidR="003F3DCC" w:rsidRDefault="006113EF" w:rsidP="0A5D2A5E">
      <w:pPr>
        <w:pStyle w:val="BulletedList-Level1"/>
        <w:ind w:left="426" w:hanging="284"/>
      </w:pPr>
      <w:r>
        <w:t xml:space="preserve">The Regulator will be provided the discretion to extend </w:t>
      </w:r>
      <w:r w:rsidR="00D148C1" w:rsidRPr="00925201">
        <w:t>the transition period</w:t>
      </w:r>
      <w:r w:rsidR="00D148C1" w:rsidRPr="008404F4">
        <w:t xml:space="preserve"> in relation to a particular facility</w:t>
      </w:r>
      <w:r w:rsidR="00D148C1">
        <w:t xml:space="preserve"> where it is satisfied</w:t>
      </w:r>
      <w:r w:rsidR="00A1549D">
        <w:t>,</w:t>
      </w:r>
      <w:r w:rsidR="00D148C1">
        <w:t xml:space="preserve"> </w:t>
      </w:r>
      <w:r w:rsidR="00131C57">
        <w:t>based on</w:t>
      </w:r>
      <w:r w:rsidR="00D148C1">
        <w:t xml:space="preserve"> evidence provided by that facility</w:t>
      </w:r>
      <w:r w:rsidR="00A1549D">
        <w:t>,</w:t>
      </w:r>
      <w:r w:rsidR="00D148C1">
        <w:t xml:space="preserve"> that reasonable efforts have been made to transition </w:t>
      </w:r>
      <w:r w:rsidR="00C82CDF">
        <w:t xml:space="preserve">within the prescribed timeframe, </w:t>
      </w:r>
      <w:r w:rsidR="00D148C1">
        <w:t>but a genuine need remains for a temporary extension to avoid non</w:t>
      </w:r>
      <w:r w:rsidR="5AEC0FA4">
        <w:t>-</w:t>
      </w:r>
      <w:r w:rsidR="00C82CDF">
        <w:noBreakHyphen/>
      </w:r>
      <w:r w:rsidR="00D148C1">
        <w:t>compliance.</w:t>
      </w:r>
    </w:p>
    <w:p w14:paraId="54A8992A" w14:textId="3C1E5499" w:rsidR="003D4DC1" w:rsidRDefault="003D4DC1" w:rsidP="003D4DC1">
      <w:r>
        <w:t>Figure 1 summarises the implementation timeline.</w:t>
      </w:r>
    </w:p>
    <w:p w14:paraId="6308CD0D" w14:textId="77777777" w:rsidR="003D4DC1" w:rsidRDefault="003D4DC1" w:rsidP="003233DC">
      <w:pPr>
        <w:keepNext/>
        <w:jc w:val="center"/>
      </w:pPr>
      <w:r w:rsidRPr="00E530C7">
        <w:rPr>
          <w:noProof/>
          <w:lang w:eastAsia="en-AU"/>
        </w:rPr>
        <w:drawing>
          <wp:inline distT="0" distB="0" distL="0" distR="0" wp14:anchorId="610D00FF" wp14:editId="4AEC1F29">
            <wp:extent cx="4908550" cy="2975378"/>
            <wp:effectExtent l="0" t="0" r="6350" b="0"/>
            <wp:docPr id="73899708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97083" name="Picture 2" descr="A screenshot of a computer&#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4934363" cy="2991025"/>
                    </a:xfrm>
                    <a:prstGeom prst="rect">
                      <a:avLst/>
                    </a:prstGeom>
                    <a:noFill/>
                    <a:ln>
                      <a:noFill/>
                    </a:ln>
                    <a:extLst>
                      <a:ext uri="{53640926-AAD7-44D8-BBD7-CCE9431645EC}">
                        <a14:shadowObscured xmlns:a14="http://schemas.microsoft.com/office/drawing/2010/main"/>
                      </a:ext>
                    </a:extLst>
                  </pic:spPr>
                </pic:pic>
              </a:graphicData>
            </a:graphic>
          </wp:inline>
        </w:drawing>
      </w:r>
    </w:p>
    <w:p w14:paraId="63AF6208" w14:textId="276A8743" w:rsidR="003D4DC1" w:rsidRPr="000B4D76" w:rsidRDefault="003D4DC1" w:rsidP="003D4DC1">
      <w:pPr>
        <w:rPr>
          <w:b/>
          <w:bCs/>
        </w:rPr>
      </w:pPr>
      <w:r w:rsidRPr="000B4D76">
        <w:rPr>
          <w:b/>
          <w:bCs/>
        </w:rPr>
        <w:t xml:space="preserve">Figure </w:t>
      </w:r>
      <w:r w:rsidRPr="000B4D76">
        <w:rPr>
          <w:b/>
          <w:bCs/>
        </w:rPr>
        <w:fldChar w:fldCharType="begin"/>
      </w:r>
      <w:r w:rsidRPr="000B4D76">
        <w:rPr>
          <w:b/>
          <w:bCs/>
        </w:rPr>
        <w:instrText xml:space="preserve"> SEQ Figure \* ARABIC </w:instrText>
      </w:r>
      <w:r w:rsidRPr="000B4D76">
        <w:rPr>
          <w:b/>
          <w:bCs/>
        </w:rPr>
        <w:fldChar w:fldCharType="separate"/>
      </w:r>
      <w:r w:rsidR="00424C07">
        <w:rPr>
          <w:b/>
          <w:bCs/>
          <w:noProof/>
        </w:rPr>
        <w:t>1</w:t>
      </w:r>
      <w:r w:rsidRPr="000B4D76">
        <w:rPr>
          <w:b/>
          <w:bCs/>
        </w:rPr>
        <w:fldChar w:fldCharType="end"/>
      </w:r>
      <w:r w:rsidRPr="000B4D76">
        <w:rPr>
          <w:b/>
          <w:bCs/>
        </w:rPr>
        <w:t>: Implementation timeline</w:t>
      </w:r>
      <w:r w:rsidR="00FB4DF4">
        <w:rPr>
          <w:b/>
          <w:bCs/>
        </w:rPr>
        <w:t>.</w:t>
      </w:r>
    </w:p>
    <w:p w14:paraId="31E92477" w14:textId="77EFDA99" w:rsidR="003D4DC1" w:rsidRDefault="00D76D51" w:rsidP="005652E7">
      <w:pPr>
        <w:pStyle w:val="Heading4"/>
      </w:pPr>
      <w:bookmarkStart w:id="11" w:name="_Toc1615856460"/>
      <w:r>
        <w:t>Risks to implementation</w:t>
      </w:r>
      <w:r w:rsidR="00FA004A">
        <w:t xml:space="preserve"> and mitigation measures</w:t>
      </w:r>
      <w:bookmarkEnd w:id="11"/>
    </w:p>
    <w:p w14:paraId="67105C6E" w14:textId="7150169E" w:rsidR="0FDFDE32" w:rsidRDefault="0048111B" w:rsidP="0FDFDE32">
      <w:r>
        <w:t>There</w:t>
      </w:r>
      <w:r w:rsidR="00AE502C">
        <w:t xml:space="preserve"> are</w:t>
      </w:r>
      <w:r>
        <w:t xml:space="preserve"> three main risks to the implementation of </w:t>
      </w:r>
      <w:r w:rsidR="00202B62">
        <w:t>phasing out Method 1 for open cut coal mines</w:t>
      </w:r>
      <w:r w:rsidR="00575F06">
        <w:t xml:space="preserve">: a lack of familiarity with </w:t>
      </w:r>
      <w:r w:rsidR="000B3274">
        <w:t>Methods 2 or 3</w:t>
      </w:r>
      <w:r w:rsidR="00575F06">
        <w:t xml:space="preserve"> leading to </w:t>
      </w:r>
      <w:r w:rsidR="00F935CB">
        <w:t>incorrect application of the</w:t>
      </w:r>
      <w:r w:rsidR="000B3274">
        <w:t xml:space="preserve"> methods</w:t>
      </w:r>
      <w:r w:rsidR="00E77AB7">
        <w:t xml:space="preserve">; </w:t>
      </w:r>
      <w:r w:rsidR="00196A65">
        <w:t>insufficient equipment and personnel to meet demand</w:t>
      </w:r>
      <w:r w:rsidR="00E77AB7">
        <w:t>;</w:t>
      </w:r>
      <w:r w:rsidR="00196A65">
        <w:t xml:space="preserve"> and </w:t>
      </w:r>
      <w:r w:rsidR="00DF7C3D">
        <w:t xml:space="preserve">the </w:t>
      </w:r>
      <w:r w:rsidR="0018420A">
        <w:t>complexity</w:t>
      </w:r>
      <w:r w:rsidR="00E77AB7">
        <w:t xml:space="preserve"> of </w:t>
      </w:r>
      <w:r w:rsidR="00DF7C3D">
        <w:t xml:space="preserve">transition for </w:t>
      </w:r>
      <w:r w:rsidR="002D20D7">
        <w:t xml:space="preserve">particular </w:t>
      </w:r>
      <w:r w:rsidR="00E77AB7">
        <w:t>facilities</w:t>
      </w:r>
      <w:r w:rsidR="000C123A">
        <w:t xml:space="preserve">. </w:t>
      </w:r>
      <w:r w:rsidR="00302C51">
        <w:lastRenderedPageBreak/>
        <w:t xml:space="preserve">These </w:t>
      </w:r>
      <w:r w:rsidR="00E77AB7">
        <w:t xml:space="preserve">risks and the associated mitigation measures </w:t>
      </w:r>
      <w:r w:rsidR="00302C51">
        <w:t xml:space="preserve">are summarised in Table </w:t>
      </w:r>
      <w:r w:rsidR="00FB4DF4">
        <w:t>3</w:t>
      </w:r>
      <w:r w:rsidR="00302C51">
        <w:t xml:space="preserve"> and </w:t>
      </w:r>
      <w:r w:rsidR="0012165A">
        <w:t xml:space="preserve">explained in </w:t>
      </w:r>
      <w:proofErr w:type="gramStart"/>
      <w:r w:rsidR="0012165A">
        <w:t>greater detail</w:t>
      </w:r>
      <w:proofErr w:type="gramEnd"/>
      <w:r w:rsidR="0012165A">
        <w:t xml:space="preserve"> below.</w:t>
      </w:r>
    </w:p>
    <w:p w14:paraId="08CC95FC" w14:textId="347E3DE9" w:rsidR="00252018" w:rsidRPr="00252018" w:rsidRDefault="00252018" w:rsidP="00252018">
      <w:pPr>
        <w:pStyle w:val="Heading4"/>
        <w:rPr>
          <w:sz w:val="20"/>
          <w:szCs w:val="20"/>
        </w:rPr>
      </w:pPr>
      <w:r w:rsidRPr="00252018">
        <w:rPr>
          <w:sz w:val="20"/>
          <w:szCs w:val="20"/>
        </w:rPr>
        <w:t xml:space="preserve">Table </w:t>
      </w:r>
      <w:r w:rsidRPr="00252018">
        <w:rPr>
          <w:sz w:val="20"/>
          <w:szCs w:val="20"/>
        </w:rPr>
        <w:fldChar w:fldCharType="begin"/>
      </w:r>
      <w:r w:rsidRPr="00252018">
        <w:rPr>
          <w:sz w:val="20"/>
          <w:szCs w:val="20"/>
        </w:rPr>
        <w:instrText xml:space="preserve"> SEQ Table \* ARABIC </w:instrText>
      </w:r>
      <w:r w:rsidRPr="00252018">
        <w:rPr>
          <w:sz w:val="20"/>
          <w:szCs w:val="20"/>
        </w:rPr>
        <w:fldChar w:fldCharType="separate"/>
      </w:r>
      <w:r w:rsidR="00424C07">
        <w:rPr>
          <w:noProof/>
          <w:sz w:val="20"/>
          <w:szCs w:val="20"/>
        </w:rPr>
        <w:t>3</w:t>
      </w:r>
      <w:r w:rsidRPr="00252018">
        <w:rPr>
          <w:sz w:val="20"/>
          <w:szCs w:val="20"/>
        </w:rPr>
        <w:fldChar w:fldCharType="end"/>
      </w:r>
      <w:r w:rsidRPr="00252018">
        <w:rPr>
          <w:sz w:val="20"/>
          <w:szCs w:val="20"/>
        </w:rPr>
        <w:t>: Summary of risks to implementation and associated mitigation measures</w:t>
      </w:r>
    </w:p>
    <w:tbl>
      <w:tblPr>
        <w:tblStyle w:val="Custom1"/>
        <w:tblW w:w="9630" w:type="dxa"/>
        <w:tblLayout w:type="fixed"/>
        <w:tblLook w:val="06A0" w:firstRow="1" w:lastRow="0" w:firstColumn="1" w:lastColumn="0" w:noHBand="1" w:noVBand="1"/>
      </w:tblPr>
      <w:tblGrid>
        <w:gridCol w:w="2370"/>
        <w:gridCol w:w="1335"/>
        <w:gridCol w:w="1230"/>
        <w:gridCol w:w="4695"/>
      </w:tblGrid>
      <w:tr w:rsidR="0FDFDE32" w14:paraId="4AF0877B" w14:textId="77777777" w:rsidTr="00FB4DF4">
        <w:trPr>
          <w:cnfStyle w:val="100000000000" w:firstRow="1" w:lastRow="0" w:firstColumn="0" w:lastColumn="0" w:oddVBand="0" w:evenVBand="0" w:oddHBand="0" w:evenHBand="0" w:firstRowFirstColumn="0" w:firstRowLastColumn="0" w:lastRowFirstColumn="0" w:lastRowLastColumn="0"/>
          <w:trHeight w:val="300"/>
        </w:trPr>
        <w:tc>
          <w:tcPr>
            <w:tcW w:w="2370" w:type="dxa"/>
          </w:tcPr>
          <w:p w14:paraId="412994FC" w14:textId="2E42F9BA" w:rsidR="07799E05" w:rsidRPr="00FB4DF4" w:rsidRDefault="07799E05" w:rsidP="0FDFDE32">
            <w:pPr>
              <w:rPr>
                <w:b w:val="0"/>
                <w:bCs/>
                <w:sz w:val="20"/>
                <w:szCs w:val="20"/>
              </w:rPr>
            </w:pPr>
            <w:r w:rsidRPr="00FB4DF4">
              <w:rPr>
                <w:bCs/>
                <w:sz w:val="20"/>
                <w:szCs w:val="20"/>
              </w:rPr>
              <w:t>Risk</w:t>
            </w:r>
          </w:p>
        </w:tc>
        <w:tc>
          <w:tcPr>
            <w:tcW w:w="1335" w:type="dxa"/>
          </w:tcPr>
          <w:p w14:paraId="5C6C1D98" w14:textId="559EC1F3" w:rsidR="07799E05" w:rsidRPr="00FB4DF4" w:rsidRDefault="07799E05" w:rsidP="0FDFDE32">
            <w:pPr>
              <w:rPr>
                <w:b w:val="0"/>
                <w:bCs/>
                <w:sz w:val="20"/>
                <w:szCs w:val="20"/>
              </w:rPr>
            </w:pPr>
            <w:r w:rsidRPr="00FB4DF4">
              <w:rPr>
                <w:bCs/>
                <w:sz w:val="20"/>
                <w:szCs w:val="20"/>
              </w:rPr>
              <w:t>Likelihood</w:t>
            </w:r>
          </w:p>
        </w:tc>
        <w:tc>
          <w:tcPr>
            <w:tcW w:w="1230" w:type="dxa"/>
          </w:tcPr>
          <w:p w14:paraId="3FE993D3" w14:textId="2E7822CF" w:rsidR="18DB33F0" w:rsidRPr="00FB4DF4" w:rsidRDefault="18DB33F0" w:rsidP="0FDFDE32">
            <w:pPr>
              <w:rPr>
                <w:b w:val="0"/>
                <w:bCs/>
                <w:sz w:val="20"/>
                <w:szCs w:val="20"/>
              </w:rPr>
            </w:pPr>
            <w:r w:rsidRPr="00FB4DF4">
              <w:rPr>
                <w:bCs/>
                <w:sz w:val="20"/>
                <w:szCs w:val="20"/>
              </w:rPr>
              <w:t>Impact</w:t>
            </w:r>
          </w:p>
        </w:tc>
        <w:tc>
          <w:tcPr>
            <w:tcW w:w="4695" w:type="dxa"/>
          </w:tcPr>
          <w:p w14:paraId="5EC36A4B" w14:textId="46BA57E3" w:rsidR="07799E05" w:rsidRPr="00FB4DF4" w:rsidRDefault="07799E05" w:rsidP="0FDFDE32">
            <w:pPr>
              <w:rPr>
                <w:b w:val="0"/>
                <w:bCs/>
                <w:sz w:val="20"/>
                <w:szCs w:val="20"/>
              </w:rPr>
            </w:pPr>
            <w:r w:rsidRPr="00FB4DF4">
              <w:rPr>
                <w:bCs/>
                <w:sz w:val="20"/>
                <w:szCs w:val="20"/>
              </w:rPr>
              <w:t>Mitigation measure</w:t>
            </w:r>
          </w:p>
        </w:tc>
      </w:tr>
      <w:tr w:rsidR="0FDFDE32" w14:paraId="423B57CA" w14:textId="77777777" w:rsidTr="00FB4DF4">
        <w:trPr>
          <w:trHeight w:val="300"/>
        </w:trPr>
        <w:tc>
          <w:tcPr>
            <w:tcW w:w="2370" w:type="dxa"/>
          </w:tcPr>
          <w:p w14:paraId="532520B0" w14:textId="679E7F26" w:rsidR="4344B82F" w:rsidRPr="00FB4DF4" w:rsidRDefault="00322E34" w:rsidP="0FDFDE32">
            <w:pPr>
              <w:rPr>
                <w:sz w:val="20"/>
                <w:szCs w:val="20"/>
              </w:rPr>
            </w:pPr>
            <w:r>
              <w:rPr>
                <w:sz w:val="20"/>
                <w:szCs w:val="20"/>
              </w:rPr>
              <w:t>L</w:t>
            </w:r>
            <w:r w:rsidR="07799E05" w:rsidRPr="00FB4DF4">
              <w:rPr>
                <w:sz w:val="20"/>
                <w:szCs w:val="20"/>
              </w:rPr>
              <w:t>ack of familiarity with the methods</w:t>
            </w:r>
            <w:r w:rsidR="41C5AEB5" w:rsidRPr="00FB4DF4">
              <w:rPr>
                <w:sz w:val="20"/>
                <w:szCs w:val="20"/>
              </w:rPr>
              <w:t xml:space="preserve"> </w:t>
            </w:r>
          </w:p>
        </w:tc>
        <w:tc>
          <w:tcPr>
            <w:tcW w:w="1335" w:type="dxa"/>
          </w:tcPr>
          <w:p w14:paraId="3E4F3B67" w14:textId="471249F8" w:rsidR="0FDFDE32" w:rsidRPr="00A11186" w:rsidRDefault="00961408" w:rsidP="0FDFDE32">
            <w:pPr>
              <w:rPr>
                <w:sz w:val="20"/>
                <w:szCs w:val="20"/>
              </w:rPr>
            </w:pPr>
            <w:r>
              <w:rPr>
                <w:sz w:val="20"/>
                <w:szCs w:val="20"/>
              </w:rPr>
              <w:t>Moderate</w:t>
            </w:r>
          </w:p>
        </w:tc>
        <w:tc>
          <w:tcPr>
            <w:tcW w:w="1230" w:type="dxa"/>
          </w:tcPr>
          <w:p w14:paraId="743F57E2" w14:textId="02DF77C3" w:rsidR="0FDFDE32" w:rsidRPr="00FB4DF4" w:rsidRDefault="00961408" w:rsidP="0FDFDE32">
            <w:pPr>
              <w:rPr>
                <w:sz w:val="20"/>
                <w:szCs w:val="20"/>
              </w:rPr>
            </w:pPr>
            <w:r>
              <w:rPr>
                <w:sz w:val="20"/>
                <w:szCs w:val="20"/>
              </w:rPr>
              <w:t>Low</w:t>
            </w:r>
          </w:p>
        </w:tc>
        <w:tc>
          <w:tcPr>
            <w:tcW w:w="4695" w:type="dxa"/>
          </w:tcPr>
          <w:p w14:paraId="7DE50621" w14:textId="2DBEA4F2" w:rsidR="69C97763" w:rsidRPr="00FB4DF4" w:rsidRDefault="005D1923" w:rsidP="0FDFDE32">
            <w:pPr>
              <w:pStyle w:val="ListParagraph"/>
              <w:numPr>
                <w:ilvl w:val="0"/>
                <w:numId w:val="34"/>
              </w:numPr>
              <w:ind w:left="360"/>
              <w:rPr>
                <w:sz w:val="20"/>
                <w:szCs w:val="20"/>
              </w:rPr>
            </w:pPr>
            <w:r>
              <w:rPr>
                <w:sz w:val="20"/>
                <w:szCs w:val="20"/>
              </w:rPr>
              <w:t>Regulator’s</w:t>
            </w:r>
            <w:r w:rsidRPr="00FB4DF4">
              <w:rPr>
                <w:sz w:val="20"/>
                <w:szCs w:val="20"/>
              </w:rPr>
              <w:t xml:space="preserve"> </w:t>
            </w:r>
            <w:r w:rsidR="69C97763" w:rsidRPr="00FB4DF4">
              <w:rPr>
                <w:sz w:val="20"/>
                <w:szCs w:val="20"/>
              </w:rPr>
              <w:t>education, monitoring</w:t>
            </w:r>
            <w:r>
              <w:rPr>
                <w:sz w:val="20"/>
                <w:szCs w:val="20"/>
              </w:rPr>
              <w:t>,</w:t>
            </w:r>
            <w:r w:rsidR="69C97763" w:rsidRPr="00FB4DF4">
              <w:rPr>
                <w:sz w:val="20"/>
                <w:szCs w:val="20"/>
              </w:rPr>
              <w:t xml:space="preserve"> compliance and enforcement arrangements</w:t>
            </w:r>
            <w:r>
              <w:rPr>
                <w:sz w:val="20"/>
                <w:szCs w:val="20"/>
              </w:rPr>
              <w:t>, ranging from guidance material</w:t>
            </w:r>
            <w:r w:rsidR="00445706">
              <w:rPr>
                <w:sz w:val="20"/>
                <w:szCs w:val="20"/>
              </w:rPr>
              <w:t xml:space="preserve"> and workshops</w:t>
            </w:r>
            <w:r>
              <w:rPr>
                <w:sz w:val="20"/>
                <w:szCs w:val="20"/>
              </w:rPr>
              <w:t xml:space="preserve"> to the requirement to resubmit </w:t>
            </w:r>
            <w:r w:rsidR="00B8691F">
              <w:rPr>
                <w:sz w:val="20"/>
                <w:szCs w:val="20"/>
              </w:rPr>
              <w:t>non-compliant data</w:t>
            </w:r>
          </w:p>
        </w:tc>
      </w:tr>
      <w:tr w:rsidR="0FDFDE32" w14:paraId="7C966AE8" w14:textId="77777777" w:rsidTr="00FB4DF4">
        <w:trPr>
          <w:trHeight w:val="300"/>
        </w:trPr>
        <w:tc>
          <w:tcPr>
            <w:tcW w:w="2370" w:type="dxa"/>
          </w:tcPr>
          <w:p w14:paraId="7B9B6370" w14:textId="3266C960" w:rsidR="07799E05" w:rsidRPr="00FB4DF4" w:rsidRDefault="00322E34" w:rsidP="0FDFDE32">
            <w:pPr>
              <w:rPr>
                <w:sz w:val="20"/>
                <w:szCs w:val="20"/>
              </w:rPr>
            </w:pPr>
            <w:r>
              <w:rPr>
                <w:sz w:val="20"/>
                <w:szCs w:val="20"/>
              </w:rPr>
              <w:t>I</w:t>
            </w:r>
            <w:r w:rsidR="00F25027">
              <w:rPr>
                <w:sz w:val="20"/>
                <w:szCs w:val="20"/>
              </w:rPr>
              <w:t xml:space="preserve">nsufficient </w:t>
            </w:r>
            <w:r w:rsidR="07799E05" w:rsidRPr="00FB4DF4">
              <w:rPr>
                <w:sz w:val="20"/>
                <w:szCs w:val="20"/>
              </w:rPr>
              <w:t xml:space="preserve">equipment and personnel </w:t>
            </w:r>
            <w:r w:rsidR="00445706">
              <w:rPr>
                <w:sz w:val="20"/>
                <w:szCs w:val="20"/>
              </w:rPr>
              <w:t>to meet demand</w:t>
            </w:r>
          </w:p>
        </w:tc>
        <w:tc>
          <w:tcPr>
            <w:tcW w:w="1335" w:type="dxa"/>
          </w:tcPr>
          <w:p w14:paraId="4BBE029B" w14:textId="6FBE3375" w:rsidR="49DFB9AA" w:rsidRPr="00FB4DF4" w:rsidRDefault="00445706" w:rsidP="0FDFDE32">
            <w:pPr>
              <w:rPr>
                <w:sz w:val="20"/>
                <w:szCs w:val="20"/>
              </w:rPr>
            </w:pPr>
            <w:r>
              <w:rPr>
                <w:sz w:val="20"/>
                <w:szCs w:val="20"/>
              </w:rPr>
              <w:t>Moderate</w:t>
            </w:r>
          </w:p>
        </w:tc>
        <w:tc>
          <w:tcPr>
            <w:tcW w:w="1230" w:type="dxa"/>
          </w:tcPr>
          <w:p w14:paraId="2192BC0B" w14:textId="0E53B1EE" w:rsidR="49DFB9AA" w:rsidRPr="00FB4DF4" w:rsidRDefault="002E10A2" w:rsidP="0FDFDE32">
            <w:pPr>
              <w:spacing w:after="0"/>
              <w:rPr>
                <w:sz w:val="20"/>
                <w:szCs w:val="20"/>
              </w:rPr>
            </w:pPr>
            <w:r>
              <w:rPr>
                <w:sz w:val="20"/>
                <w:szCs w:val="20"/>
              </w:rPr>
              <w:t>High</w:t>
            </w:r>
          </w:p>
        </w:tc>
        <w:tc>
          <w:tcPr>
            <w:tcW w:w="4695" w:type="dxa"/>
          </w:tcPr>
          <w:p w14:paraId="11D5D844" w14:textId="1C59E22B" w:rsidR="49DFB9AA" w:rsidRPr="00FB4DF4" w:rsidRDefault="49DFB9AA" w:rsidP="0FDFDE32">
            <w:pPr>
              <w:pStyle w:val="ListParagraph"/>
              <w:numPr>
                <w:ilvl w:val="0"/>
                <w:numId w:val="36"/>
              </w:numPr>
              <w:spacing w:after="0"/>
              <w:ind w:left="360"/>
              <w:rPr>
                <w:sz w:val="20"/>
                <w:szCs w:val="20"/>
              </w:rPr>
            </w:pPr>
            <w:r w:rsidRPr="00FB4DF4">
              <w:rPr>
                <w:sz w:val="20"/>
                <w:szCs w:val="20"/>
              </w:rPr>
              <w:t xml:space="preserve">Option 2 spreads demand for equipment and personnel over two years </w:t>
            </w:r>
            <w:r w:rsidR="00D61CF8">
              <w:rPr>
                <w:sz w:val="20"/>
                <w:szCs w:val="20"/>
              </w:rPr>
              <w:t>and provides discretion for Regulator to extend transition period</w:t>
            </w:r>
          </w:p>
        </w:tc>
      </w:tr>
      <w:tr w:rsidR="0FDFDE32" w14:paraId="43A4D8FA" w14:textId="77777777" w:rsidTr="00FB4DF4">
        <w:trPr>
          <w:trHeight w:val="300"/>
        </w:trPr>
        <w:tc>
          <w:tcPr>
            <w:tcW w:w="2370" w:type="dxa"/>
          </w:tcPr>
          <w:p w14:paraId="36FFB3D9" w14:textId="6232B5B0" w:rsidR="2555154F" w:rsidRPr="00FB4DF4" w:rsidRDefault="00D61CF8" w:rsidP="0FDFDE32">
            <w:pPr>
              <w:rPr>
                <w:sz w:val="20"/>
                <w:szCs w:val="20"/>
              </w:rPr>
            </w:pPr>
            <w:r>
              <w:rPr>
                <w:sz w:val="20"/>
                <w:szCs w:val="20"/>
              </w:rPr>
              <w:t>Unanticipated c</w:t>
            </w:r>
            <w:r w:rsidR="2555154F" w:rsidRPr="00FB4DF4">
              <w:rPr>
                <w:sz w:val="20"/>
                <w:szCs w:val="20"/>
              </w:rPr>
              <w:t xml:space="preserve">omplexity </w:t>
            </w:r>
            <w:r w:rsidR="003D298E">
              <w:rPr>
                <w:sz w:val="20"/>
                <w:szCs w:val="20"/>
              </w:rPr>
              <w:t xml:space="preserve">or scale </w:t>
            </w:r>
            <w:r w:rsidR="2555154F" w:rsidRPr="00FB4DF4">
              <w:rPr>
                <w:sz w:val="20"/>
                <w:szCs w:val="20"/>
              </w:rPr>
              <w:t xml:space="preserve">of facility </w:t>
            </w:r>
            <w:r w:rsidR="004741C0">
              <w:rPr>
                <w:sz w:val="20"/>
                <w:szCs w:val="20"/>
              </w:rPr>
              <w:t>operations</w:t>
            </w:r>
          </w:p>
        </w:tc>
        <w:tc>
          <w:tcPr>
            <w:tcW w:w="1335" w:type="dxa"/>
          </w:tcPr>
          <w:p w14:paraId="1E92EB74" w14:textId="576FDF2D" w:rsidR="0FDFDE32" w:rsidRPr="00FB4DF4" w:rsidRDefault="004741C0" w:rsidP="0FDFDE32">
            <w:pPr>
              <w:rPr>
                <w:sz w:val="20"/>
                <w:szCs w:val="20"/>
              </w:rPr>
            </w:pPr>
            <w:r>
              <w:rPr>
                <w:sz w:val="20"/>
                <w:szCs w:val="20"/>
              </w:rPr>
              <w:t>Low</w:t>
            </w:r>
          </w:p>
        </w:tc>
        <w:tc>
          <w:tcPr>
            <w:tcW w:w="1230" w:type="dxa"/>
          </w:tcPr>
          <w:p w14:paraId="656CFE85" w14:textId="04A976B1" w:rsidR="0FDFDE32" w:rsidRPr="00FB4DF4" w:rsidRDefault="00015E23" w:rsidP="0FDFDE32">
            <w:pPr>
              <w:rPr>
                <w:sz w:val="20"/>
                <w:szCs w:val="20"/>
              </w:rPr>
            </w:pPr>
            <w:r>
              <w:rPr>
                <w:sz w:val="20"/>
                <w:szCs w:val="20"/>
              </w:rPr>
              <w:t>Low</w:t>
            </w:r>
          </w:p>
        </w:tc>
        <w:tc>
          <w:tcPr>
            <w:tcW w:w="4695" w:type="dxa"/>
          </w:tcPr>
          <w:p w14:paraId="19628062" w14:textId="5EEBFBF0" w:rsidR="155DAA47" w:rsidRPr="00FB4DF4" w:rsidRDefault="0092106C" w:rsidP="0FDFDE32">
            <w:pPr>
              <w:pStyle w:val="ListParagraph"/>
              <w:numPr>
                <w:ilvl w:val="0"/>
                <w:numId w:val="35"/>
              </w:numPr>
              <w:spacing w:after="0"/>
              <w:ind w:left="360"/>
              <w:rPr>
                <w:sz w:val="20"/>
                <w:szCs w:val="20"/>
              </w:rPr>
            </w:pPr>
            <w:r>
              <w:rPr>
                <w:sz w:val="20"/>
                <w:szCs w:val="20"/>
              </w:rPr>
              <w:t>T</w:t>
            </w:r>
            <w:r w:rsidR="155DAA47" w:rsidRPr="00FB4DF4">
              <w:rPr>
                <w:sz w:val="20"/>
                <w:szCs w:val="20"/>
              </w:rPr>
              <w:t>he Regulator will have discretionary power to extend the transition period for a particular facility based on genuine need</w:t>
            </w:r>
          </w:p>
        </w:tc>
      </w:tr>
    </w:tbl>
    <w:p w14:paraId="21BF0FFA" w14:textId="7D05D718" w:rsidR="0FDFDE32" w:rsidRDefault="0FDFDE32" w:rsidP="0FDFDE32">
      <w:pPr>
        <w:rPr>
          <w:i/>
          <w:iCs/>
        </w:rPr>
      </w:pPr>
    </w:p>
    <w:p w14:paraId="5CB80631" w14:textId="0BE7D599" w:rsidR="00886A77" w:rsidRPr="00886A77" w:rsidRDefault="00914D8A" w:rsidP="0A5D2A5E">
      <w:pPr>
        <w:rPr>
          <w:i/>
          <w:iCs/>
        </w:rPr>
      </w:pPr>
      <w:r w:rsidRPr="0A5D2A5E">
        <w:rPr>
          <w:i/>
          <w:iCs/>
        </w:rPr>
        <w:t>L</w:t>
      </w:r>
      <w:r w:rsidR="00664148" w:rsidRPr="0A5D2A5E">
        <w:rPr>
          <w:i/>
          <w:iCs/>
        </w:rPr>
        <w:t>ack of familiarity with the methods</w:t>
      </w:r>
    </w:p>
    <w:p w14:paraId="47441CEA" w14:textId="684C6408" w:rsidR="00EC334E" w:rsidRDefault="00EC334E" w:rsidP="00886A77">
      <w:r>
        <w:t xml:space="preserve">Poor compliance is a possibility when a facility applies a method for the first time. </w:t>
      </w:r>
      <w:r w:rsidR="008B587F">
        <w:t>As d</w:t>
      </w:r>
      <w:r w:rsidR="36765708">
        <w:t>iscussed</w:t>
      </w:r>
      <w:r w:rsidR="008B587F">
        <w:t xml:space="preserve"> previously, the requirements for compliance with Methods 2 and 3 are materially different to those for Method 1.</w:t>
      </w:r>
      <w:r w:rsidR="00C91612">
        <w:t xml:space="preserve"> </w:t>
      </w:r>
      <w:r w:rsidR="001D32E2">
        <w:t>It is noted</w:t>
      </w:r>
      <w:r w:rsidR="00895F9F">
        <w:t>,</w:t>
      </w:r>
      <w:r w:rsidR="001D32E2">
        <w:t xml:space="preserve"> however</w:t>
      </w:r>
      <w:r w:rsidR="00895F9F">
        <w:t>,</w:t>
      </w:r>
      <w:r w:rsidR="001D32E2">
        <w:t xml:space="preserve"> that</w:t>
      </w:r>
      <w:r w:rsidR="00C91612">
        <w:t xml:space="preserve"> </w:t>
      </w:r>
      <w:r w:rsidR="00BA4B9C">
        <w:t xml:space="preserve">the methods have been in use by the industry for over </w:t>
      </w:r>
      <w:r w:rsidR="003C78A7">
        <w:t>10 </w:t>
      </w:r>
      <w:r w:rsidR="00BA4B9C">
        <w:t xml:space="preserve">years and </w:t>
      </w:r>
      <w:r w:rsidR="4FA448E4">
        <w:t>around 40</w:t>
      </w:r>
      <w:r w:rsidR="00C91612">
        <w:t xml:space="preserve">% of the facilities that will be required to transition to Methods 2 or 3 are </w:t>
      </w:r>
      <w:r w:rsidR="007164A0">
        <w:t>ow</w:t>
      </w:r>
      <w:r w:rsidR="00D5582E">
        <w:t>n</w:t>
      </w:r>
      <w:r w:rsidR="007164A0">
        <w:t>e</w:t>
      </w:r>
      <w:r w:rsidR="00D5582E">
        <w:t>d by companies that use Method 2 for other open-cut mine facilities</w:t>
      </w:r>
      <w:r w:rsidR="001D32E2">
        <w:t xml:space="preserve">. </w:t>
      </w:r>
    </w:p>
    <w:p w14:paraId="1D94D79A" w14:textId="6845BE0F" w:rsidR="00F333E5" w:rsidRDefault="003E6B75" w:rsidP="00886A77">
      <w:r>
        <w:t xml:space="preserve">The Regulator has over 10 years’ experience in supporting </w:t>
      </w:r>
      <w:r w:rsidR="007840A5">
        <w:t>facilities’ compliance with Method 2.</w:t>
      </w:r>
      <w:r w:rsidR="00C710B4">
        <w:t xml:space="preserve"> </w:t>
      </w:r>
      <w:r w:rsidR="00273747">
        <w:t xml:space="preserve">Compliance will </w:t>
      </w:r>
      <w:r w:rsidR="00FC04C7">
        <w:t xml:space="preserve">continue to </w:t>
      </w:r>
      <w:r w:rsidR="00273747">
        <w:t xml:space="preserve">be promoted through the </w:t>
      </w:r>
      <w:r w:rsidR="00C710B4">
        <w:t>R</w:t>
      </w:r>
      <w:r w:rsidR="52465D63">
        <w:t>egulator</w:t>
      </w:r>
      <w:r w:rsidR="00273747">
        <w:t xml:space="preserve">’s </w:t>
      </w:r>
      <w:hyperlink r:id="rId22">
        <w:r w:rsidR="006B32E2">
          <w:t xml:space="preserve">education, monitoring </w:t>
        </w:r>
        <w:r w:rsidR="00C710B4">
          <w:t xml:space="preserve">compliance </w:t>
        </w:r>
        <w:r w:rsidR="006B32E2">
          <w:t>and enforcement arrangements</w:t>
        </w:r>
      </w:hyperlink>
      <w:r w:rsidR="00C710B4">
        <w:t>.</w:t>
      </w:r>
      <w:r w:rsidR="00C710B4" w:rsidRPr="00C710B4">
        <w:t xml:space="preserve"> The</w:t>
      </w:r>
      <w:r w:rsidR="005A32FC">
        <w:t xml:space="preserve">se arrangements </w:t>
      </w:r>
      <w:r w:rsidR="00C710B4" w:rsidRPr="00C710B4">
        <w:t xml:space="preserve">include helping scheme participants to understand how to comply with their obligations </w:t>
      </w:r>
      <w:r w:rsidR="005B17D2">
        <w:t xml:space="preserve">through tools such as </w:t>
      </w:r>
      <w:r w:rsidR="00033855">
        <w:t>guidance documents</w:t>
      </w:r>
      <w:r w:rsidR="00A507C4">
        <w:t xml:space="preserve">, workshops, discussion forums </w:t>
      </w:r>
      <w:r w:rsidR="00F4394A">
        <w:t>and</w:t>
      </w:r>
      <w:r w:rsidR="005B17D2">
        <w:t xml:space="preserve"> </w:t>
      </w:r>
      <w:r w:rsidR="00A507C4">
        <w:t xml:space="preserve">web-based </w:t>
      </w:r>
      <w:r w:rsidR="005B17D2" w:rsidRPr="005C0684">
        <w:t>frequently asked questions (FAQs)</w:t>
      </w:r>
      <w:r w:rsidR="00033855">
        <w:t xml:space="preserve">, </w:t>
      </w:r>
      <w:r w:rsidR="00A507C4">
        <w:t>as well as</w:t>
      </w:r>
      <w:r w:rsidR="00C710B4" w:rsidRPr="00C710B4">
        <w:t xml:space="preserve"> an overall approach to deter, detect and respond to non-compliance to ensure ongoing scheme integrity.</w:t>
      </w:r>
      <w:r w:rsidR="006B32E2">
        <w:t xml:space="preserve"> </w:t>
      </w:r>
    </w:p>
    <w:p w14:paraId="168021D0" w14:textId="1D73D6DA" w:rsidR="00186837" w:rsidRDefault="00C67B42" w:rsidP="00186837">
      <w:pPr>
        <w:rPr>
          <w:i/>
          <w:iCs/>
        </w:rPr>
      </w:pPr>
      <w:r>
        <w:rPr>
          <w:i/>
          <w:iCs/>
        </w:rPr>
        <w:t>Supply of required e</w:t>
      </w:r>
      <w:r w:rsidR="004F2F42">
        <w:rPr>
          <w:i/>
          <w:iCs/>
        </w:rPr>
        <w:t xml:space="preserve">quipment and </w:t>
      </w:r>
      <w:r>
        <w:rPr>
          <w:i/>
          <w:iCs/>
        </w:rPr>
        <w:t xml:space="preserve">insufficient </w:t>
      </w:r>
      <w:r w:rsidR="004F2F42" w:rsidRPr="0FDFDE32">
        <w:rPr>
          <w:i/>
          <w:iCs/>
        </w:rPr>
        <w:t>personnel</w:t>
      </w:r>
      <w:r w:rsidRPr="0FDFDE32">
        <w:rPr>
          <w:i/>
          <w:iCs/>
        </w:rPr>
        <w:t xml:space="preserve"> </w:t>
      </w:r>
      <w:r>
        <w:rPr>
          <w:i/>
          <w:iCs/>
        </w:rPr>
        <w:t>to meet demand</w:t>
      </w:r>
    </w:p>
    <w:p w14:paraId="12675E80" w14:textId="034C5AB0" w:rsidR="001F0286" w:rsidRDefault="001F0286" w:rsidP="00186837">
      <w:r>
        <w:t xml:space="preserve">Industry stakeholders </w:t>
      </w:r>
      <w:r w:rsidR="00C67B42">
        <w:t xml:space="preserve">have advised that the </w:t>
      </w:r>
      <w:r w:rsidR="009603D7">
        <w:t xml:space="preserve">pool of equipment and personnel required </w:t>
      </w:r>
      <w:r w:rsidR="00C67B42">
        <w:t xml:space="preserve">for compliance with Methods 2 and 3 </w:t>
      </w:r>
      <w:r w:rsidR="005B4478">
        <w:t xml:space="preserve">may not be sufficient to </w:t>
      </w:r>
      <w:r w:rsidR="0037711C">
        <w:t>meet</w:t>
      </w:r>
      <w:r w:rsidR="005B4478">
        <w:t xml:space="preserve"> the needs of all facilities within the </w:t>
      </w:r>
      <w:r w:rsidR="000E4863">
        <w:t>transition period</w:t>
      </w:r>
      <w:r w:rsidR="00C67B42">
        <w:t xml:space="preserve">. </w:t>
      </w:r>
    </w:p>
    <w:p w14:paraId="554811D2" w14:textId="42664250" w:rsidR="00115FB9" w:rsidRPr="001F0286" w:rsidRDefault="00702370" w:rsidP="00186837">
      <w:r>
        <w:t xml:space="preserve">Option 2 </w:t>
      </w:r>
      <w:r w:rsidR="0014611A">
        <w:t xml:space="preserve">is designed to spread demand for such resources across two years to </w:t>
      </w:r>
      <w:r w:rsidR="006631B7">
        <w:t>mitigate this risk. In addition, th</w:t>
      </w:r>
      <w:r w:rsidR="6E88570A">
        <w:t>is o</w:t>
      </w:r>
      <w:r w:rsidR="006631B7">
        <w:t xml:space="preserve">ption </w:t>
      </w:r>
      <w:r>
        <w:t xml:space="preserve">makes provision for the Regulator to extend the transition period </w:t>
      </w:r>
      <w:r w:rsidR="00B81B7E">
        <w:t>for</w:t>
      </w:r>
      <w:r>
        <w:t xml:space="preserve"> a </w:t>
      </w:r>
      <w:r>
        <w:lastRenderedPageBreak/>
        <w:t xml:space="preserve">particular facility where it is satisfied, based on evidence provided by that facility, that reasonable efforts have been made to transition within the prescribed timeframe, but a genuine need remains for a temporary extension to avoid </w:t>
      </w:r>
      <w:r w:rsidR="00A20448">
        <w:t>incorrect application of the method that could impact the accuracy of the reported emissions estimates</w:t>
      </w:r>
      <w:r w:rsidR="00915B53">
        <w:t>.</w:t>
      </w:r>
    </w:p>
    <w:p w14:paraId="5D851937" w14:textId="65EFBEDC" w:rsidR="004F2F42" w:rsidRDefault="00BC0CAA" w:rsidP="00186837">
      <w:pPr>
        <w:rPr>
          <w:i/>
          <w:iCs/>
        </w:rPr>
      </w:pPr>
      <w:r w:rsidRPr="00BC0CAA">
        <w:rPr>
          <w:i/>
          <w:iCs/>
        </w:rPr>
        <w:t xml:space="preserve">Complexity of </w:t>
      </w:r>
      <w:r>
        <w:rPr>
          <w:i/>
          <w:iCs/>
        </w:rPr>
        <w:t>facility transition</w:t>
      </w:r>
    </w:p>
    <w:p w14:paraId="124EF797" w14:textId="47CC1898" w:rsidR="001F0286" w:rsidRDefault="001F0286" w:rsidP="001F0286">
      <w:r>
        <w:t xml:space="preserve">Industry stakeholders </w:t>
      </w:r>
      <w:r w:rsidR="006A2668">
        <w:t>have advised</w:t>
      </w:r>
      <w:r>
        <w:t xml:space="preserve"> that the transition period </w:t>
      </w:r>
      <w:r w:rsidR="00225755">
        <w:t>may be</w:t>
      </w:r>
      <w:r>
        <w:t xml:space="preserve"> insufficient for </w:t>
      </w:r>
      <w:r w:rsidR="006A2668">
        <w:t>facilities in complex situations</w:t>
      </w:r>
      <w:r w:rsidR="00E17DA7">
        <w:t xml:space="preserve">, </w:t>
      </w:r>
      <w:r w:rsidR="00EE7DBB">
        <w:t>including</w:t>
      </w:r>
      <w:r w:rsidR="00E17DA7">
        <w:t xml:space="preserve"> facilities with complex </w:t>
      </w:r>
      <w:r w:rsidR="00A55B2D">
        <w:t xml:space="preserve">or extensive ore bodies </w:t>
      </w:r>
      <w:r w:rsidR="00EE7DBB">
        <w:t xml:space="preserve">that will require significantly more sampling and analysis than simpler </w:t>
      </w:r>
      <w:r w:rsidR="00BB1155">
        <w:t xml:space="preserve">ore bodies to </w:t>
      </w:r>
      <w:r w:rsidR="00A528F5">
        <w:t xml:space="preserve">produce </w:t>
      </w:r>
      <w:r w:rsidR="0069167E" w:rsidRPr="00771C6C">
        <w:t>a</w:t>
      </w:r>
      <w:r w:rsidR="004B173B">
        <w:t xml:space="preserve"> reliable and representative</w:t>
      </w:r>
      <w:r w:rsidR="0069167E" w:rsidRPr="00771C6C">
        <w:t xml:space="preserve"> model of </w:t>
      </w:r>
      <w:r w:rsidR="004B173B">
        <w:t xml:space="preserve">the mine’s </w:t>
      </w:r>
      <w:r w:rsidR="0069167E" w:rsidRPr="00771C6C">
        <w:t>gas content and composition</w:t>
      </w:r>
      <w:r w:rsidR="00A55B2D">
        <w:t xml:space="preserve">. </w:t>
      </w:r>
      <w:r w:rsidR="000E4863">
        <w:t xml:space="preserve"> </w:t>
      </w:r>
    </w:p>
    <w:p w14:paraId="7A7D0AAF" w14:textId="2B0B2AE1" w:rsidR="001F0286" w:rsidRDefault="001F0286" w:rsidP="001F0286">
      <w:r>
        <w:t>T</w:t>
      </w:r>
      <w:r w:rsidR="00A80858">
        <w:t>hese situations are expected to be limit</w:t>
      </w:r>
      <w:r w:rsidR="00495439">
        <w:t xml:space="preserve">ed, with mitigation taking the form of the Regulator’s discretionary power to </w:t>
      </w:r>
      <w:r>
        <w:t>extend the transition period for a particular facility</w:t>
      </w:r>
      <w:r w:rsidR="00495439">
        <w:t xml:space="preserve"> where it is satisfied, based on evidence provided by that facility, that reasonable efforts have been made to transition within the prescribed timeframe, but a genuine need remains for a temporary extension to </w:t>
      </w:r>
      <w:proofErr w:type="gramStart"/>
      <w:r w:rsidR="00495439">
        <w:t xml:space="preserve">avoid </w:t>
      </w:r>
      <w:r w:rsidR="00E021B0">
        <w:t xml:space="preserve"> incorrect</w:t>
      </w:r>
      <w:proofErr w:type="gramEnd"/>
      <w:r w:rsidR="00E021B0">
        <w:t xml:space="preserve"> application of the method that could impact the accuracy of the reported emissions estimates</w:t>
      </w:r>
      <w:r>
        <w:t xml:space="preserve">. </w:t>
      </w:r>
    </w:p>
    <w:p w14:paraId="3191D97C" w14:textId="442350F7" w:rsidR="00103AEA" w:rsidRPr="00103AEA" w:rsidRDefault="00103AEA" w:rsidP="00103AEA">
      <w:pPr>
        <w:pStyle w:val="Heading2"/>
      </w:pPr>
      <w:r>
        <w:t>How will you evaluate your chosen option against the success metrics?</w:t>
      </w:r>
    </w:p>
    <w:p w14:paraId="184627DA" w14:textId="70871AC5" w:rsidR="00AC09C9" w:rsidRDefault="004F640A" w:rsidP="5C669FF1">
      <w:r>
        <w:t xml:space="preserve">The objective of this amendment to the NGER </w:t>
      </w:r>
      <w:r w:rsidR="006F1FF7">
        <w:t>scheme</w:t>
      </w:r>
      <w:r>
        <w:t xml:space="preserve"> is to </w:t>
      </w:r>
      <w:r w:rsidR="00507502">
        <w:t>enhance</w:t>
      </w:r>
      <w:r>
        <w:t xml:space="preserve"> the accuracy of </w:t>
      </w:r>
      <w:r w:rsidR="009F4277">
        <w:t xml:space="preserve">facility-level </w:t>
      </w:r>
      <w:r>
        <w:t>emission estimations from open cut coal mines</w:t>
      </w:r>
      <w:r w:rsidR="009F4277">
        <w:t>.</w:t>
      </w:r>
      <w:r>
        <w:t xml:space="preserve"> </w:t>
      </w:r>
      <w:r w:rsidR="00AC09C9">
        <w:t>Industrial facility-level emissions and energy data from the NGER scheme are integral to the development, implementation and monitoring of climate policy, including the Safeguard Mechanism, A</w:t>
      </w:r>
      <w:r w:rsidR="000E38F9">
        <w:t xml:space="preserve">ustralian Carbon Credit Units </w:t>
      </w:r>
      <w:r w:rsidR="00AC09C9">
        <w:t xml:space="preserve">scheme, </w:t>
      </w:r>
      <w:r w:rsidR="004B5244">
        <w:t xml:space="preserve">national net zero and </w:t>
      </w:r>
      <w:r w:rsidR="00AC09C9">
        <w:t xml:space="preserve">sectoral decarbonisation plans and mandatory corporate climate-related financial disclosure requirements, as well as implementation of international and domestic emissions and energy reporting obligations under the Paris Agreement and </w:t>
      </w:r>
      <w:r w:rsidR="00AC09C9" w:rsidRPr="0076426F">
        <w:rPr>
          <w:i/>
          <w:iCs/>
        </w:rPr>
        <w:t>Climate Change Act 2022</w:t>
      </w:r>
      <w:r w:rsidR="00AC09C9">
        <w:t>.</w:t>
      </w:r>
      <w:r w:rsidR="006E1793">
        <w:t xml:space="preserve"> As such, effective evaluation </w:t>
      </w:r>
      <w:r w:rsidR="00C15091">
        <w:t xml:space="preserve">of this amendment </w:t>
      </w:r>
      <w:r w:rsidR="006E1793">
        <w:t>is critical</w:t>
      </w:r>
      <w:r w:rsidR="00C15091">
        <w:t>.</w:t>
      </w:r>
    </w:p>
    <w:p w14:paraId="3F4C3492" w14:textId="033AF657" w:rsidR="002E61E6" w:rsidRDefault="006D5460" w:rsidP="5C669FF1">
      <w:r>
        <w:t>The success of this amendment will be monitored through</w:t>
      </w:r>
      <w:r w:rsidR="005652E7">
        <w:t xml:space="preserve"> the following </w:t>
      </w:r>
      <w:r w:rsidR="00AA32F1">
        <w:t>m</w:t>
      </w:r>
      <w:r w:rsidR="005652E7">
        <w:t>etrics.</w:t>
      </w:r>
    </w:p>
    <w:p w14:paraId="6EC0FCB2" w14:textId="03D86E0D" w:rsidR="003E3069" w:rsidRPr="003E3069" w:rsidRDefault="00DB608F" w:rsidP="0A5D2A5E">
      <w:pPr>
        <w:rPr>
          <w:i/>
          <w:iCs/>
        </w:rPr>
      </w:pPr>
      <w:r w:rsidRPr="0A5D2A5E">
        <w:rPr>
          <w:i/>
          <w:iCs/>
        </w:rPr>
        <w:t>Compliance</w:t>
      </w:r>
    </w:p>
    <w:p w14:paraId="1BB29AC9" w14:textId="3B832656" w:rsidR="00AA62D6" w:rsidRDefault="00532552" w:rsidP="003E3069">
      <w:r>
        <w:t>C</w:t>
      </w:r>
      <w:r w:rsidR="00985FAA">
        <w:t>ompliance with Method 2</w:t>
      </w:r>
      <w:r w:rsidR="00823EE7">
        <w:t xml:space="preserve"> or </w:t>
      </w:r>
      <w:r w:rsidR="00985FAA">
        <w:t>3</w:t>
      </w:r>
      <w:r w:rsidR="00F9578E">
        <w:t xml:space="preserve"> will be determined through the </w:t>
      </w:r>
      <w:r w:rsidR="009F4277">
        <w:t>Regulator</w:t>
      </w:r>
      <w:r w:rsidR="00F9578E">
        <w:t>’s monitoring, compliance and enforcement progra</w:t>
      </w:r>
      <w:r w:rsidR="005E2810">
        <w:t>m</w:t>
      </w:r>
      <w:r w:rsidR="00F9578E">
        <w:t>.</w:t>
      </w:r>
      <w:r w:rsidR="003E3069">
        <w:t xml:space="preserve"> </w:t>
      </w:r>
      <w:r w:rsidR="00AA62D6">
        <w:t xml:space="preserve">The </w:t>
      </w:r>
      <w:r w:rsidR="00AF40C1">
        <w:t>Regulator</w:t>
      </w:r>
      <w:r w:rsidR="00AA62D6">
        <w:t xml:space="preserve"> monitors compliance with the NGER scheme through systematic analysis of reported data for qualitative or quantitative errors and through consideration of findings from its annual audit program. Where reporting errors are identified and confirmed, the </w:t>
      </w:r>
      <w:r w:rsidR="00AF40C1">
        <w:t>Regulator</w:t>
      </w:r>
      <w:r w:rsidR="00AA62D6">
        <w:t xml:space="preserve"> may require that the data is corrected through resubmission.</w:t>
      </w:r>
      <w:r w:rsidR="007320AA">
        <w:t xml:space="preserve"> </w:t>
      </w:r>
      <w:r w:rsidR="0070750C">
        <w:t xml:space="preserve">In its </w:t>
      </w:r>
      <w:r w:rsidR="00B507A2">
        <w:t>monitoring and compliance activities</w:t>
      </w:r>
      <w:r w:rsidR="0070750C">
        <w:t>, t</w:t>
      </w:r>
      <w:r w:rsidR="00883AFB">
        <w:t xml:space="preserve">he Regulator will prioritise </w:t>
      </w:r>
      <w:r w:rsidR="00264DC3">
        <w:t xml:space="preserve">reporters </w:t>
      </w:r>
      <w:r w:rsidR="00BC56B1">
        <w:t xml:space="preserve">who are </w:t>
      </w:r>
      <w:r w:rsidR="0070750C">
        <w:t xml:space="preserve">implementing </w:t>
      </w:r>
      <w:r w:rsidR="00BC56B1">
        <w:t>Method 2 for the first time</w:t>
      </w:r>
      <w:r w:rsidR="004902B8">
        <w:t xml:space="preserve"> and</w:t>
      </w:r>
      <w:r w:rsidR="00D260A2">
        <w:t xml:space="preserve"> </w:t>
      </w:r>
      <w:r w:rsidR="004902B8">
        <w:t xml:space="preserve">will continue </w:t>
      </w:r>
      <w:r w:rsidR="00172B25">
        <w:t>its current practice of</w:t>
      </w:r>
      <w:r w:rsidR="004902B8">
        <w:t xml:space="preserve"> </w:t>
      </w:r>
      <w:r w:rsidR="00D260A2">
        <w:t>publish</w:t>
      </w:r>
      <w:r w:rsidR="00172B25">
        <w:t>ing</w:t>
      </w:r>
      <w:r w:rsidR="00D260A2">
        <w:t xml:space="preserve"> </w:t>
      </w:r>
      <w:r w:rsidR="004A3143">
        <w:t xml:space="preserve">quarterly Compliance Updates </w:t>
      </w:r>
      <w:r w:rsidR="004902B8">
        <w:t xml:space="preserve">which includes information on compliance activities </w:t>
      </w:r>
      <w:r w:rsidR="007320AA">
        <w:t>associated with</w:t>
      </w:r>
      <w:r w:rsidR="004902B8">
        <w:t xml:space="preserve"> the NGER scheme. </w:t>
      </w:r>
    </w:p>
    <w:p w14:paraId="576CFB8C" w14:textId="77777777" w:rsidR="003E3069" w:rsidRPr="003E3069" w:rsidRDefault="00281FA9" w:rsidP="003E3069">
      <w:pPr>
        <w:rPr>
          <w:i/>
          <w:iCs/>
        </w:rPr>
      </w:pPr>
      <w:r w:rsidRPr="003E3069">
        <w:rPr>
          <w:i/>
        </w:rPr>
        <w:lastRenderedPageBreak/>
        <w:t>Transition rates</w:t>
      </w:r>
      <w:r w:rsidRPr="003E3069">
        <w:rPr>
          <w:i/>
          <w:iCs/>
        </w:rPr>
        <w:t xml:space="preserve"> </w:t>
      </w:r>
    </w:p>
    <w:p w14:paraId="4FF3B288" w14:textId="3160536B" w:rsidR="0034030B" w:rsidRDefault="003E3069" w:rsidP="003E3069">
      <w:r w:rsidRPr="003E3069">
        <w:t>A</w:t>
      </w:r>
      <w:r w:rsidR="00382253" w:rsidRPr="00382253">
        <w:t xml:space="preserve"> </w:t>
      </w:r>
      <w:r w:rsidR="00382253">
        <w:t>h</w:t>
      </w:r>
      <w:r w:rsidR="00D84475">
        <w:t xml:space="preserve">igh rate of transition to </w:t>
      </w:r>
      <w:r w:rsidR="0034030B">
        <w:t>Method 2</w:t>
      </w:r>
      <w:r w:rsidR="00823EE7">
        <w:t xml:space="preserve"> or </w:t>
      </w:r>
      <w:r w:rsidR="0034030B">
        <w:t>3</w:t>
      </w:r>
      <w:r w:rsidR="00382253">
        <w:t xml:space="preserve"> will indicate a small number of facilities seeking </w:t>
      </w:r>
      <w:r w:rsidR="000318E0">
        <w:t xml:space="preserve">extensions for transition. </w:t>
      </w:r>
      <w:r w:rsidR="00382253">
        <w:t>This will be monitored by the Regulator who will have the discretionary power to grant such extensions.</w:t>
      </w:r>
    </w:p>
    <w:p w14:paraId="3555145C" w14:textId="25C30B49" w:rsidR="00D00F8F" w:rsidRDefault="00836CB2" w:rsidP="003E3069">
      <w:r>
        <w:t>T</w:t>
      </w:r>
      <w:r w:rsidR="003E37C9">
        <w:t xml:space="preserve">he Government </w:t>
      </w:r>
      <w:r>
        <w:t xml:space="preserve">is publicly consulting on proposed amendments </w:t>
      </w:r>
      <w:r w:rsidR="00FC17EE">
        <w:t>that would</w:t>
      </w:r>
      <w:r>
        <w:t xml:space="preserve"> make </w:t>
      </w:r>
      <w:r w:rsidR="00FC17EE">
        <w:t xml:space="preserve">information on </w:t>
      </w:r>
      <w:r>
        <w:t xml:space="preserve">this metric publicly </w:t>
      </w:r>
      <w:r w:rsidR="00FC17EE">
        <w:t>available</w:t>
      </w:r>
      <w:r>
        <w:t>. It has proposed</w:t>
      </w:r>
      <w:r w:rsidR="000121E5">
        <w:t xml:space="preserve"> </w:t>
      </w:r>
      <w:r w:rsidR="004C05D7">
        <w:t>introduc</w:t>
      </w:r>
      <w:r>
        <w:t xml:space="preserve">ing </w:t>
      </w:r>
      <w:r w:rsidR="004C05D7">
        <w:t xml:space="preserve">a requirement for the </w:t>
      </w:r>
      <w:r w:rsidR="00382253">
        <w:t>Regulator</w:t>
      </w:r>
      <w:r w:rsidR="00492569">
        <w:t xml:space="preserve"> to publish by 15 April each year the method</w:t>
      </w:r>
      <w:r>
        <w:t>s</w:t>
      </w:r>
      <w:r w:rsidR="00492569">
        <w:t xml:space="preserve"> used by facilities</w:t>
      </w:r>
      <w:r w:rsidR="00382253">
        <w:t xml:space="preserve"> </w:t>
      </w:r>
      <w:r>
        <w:t xml:space="preserve">to estimate fugitive methane emissions from coal mining, as well as oil and gas sector activities. </w:t>
      </w:r>
    </w:p>
    <w:p w14:paraId="1C42758C" w14:textId="77777777" w:rsidR="003E3069" w:rsidRPr="003E3069" w:rsidRDefault="00493CA0" w:rsidP="003E3069">
      <w:pPr>
        <w:rPr>
          <w:i/>
          <w:iCs/>
        </w:rPr>
      </w:pPr>
      <w:r w:rsidRPr="003E3069">
        <w:rPr>
          <w:i/>
        </w:rPr>
        <w:t>Use of the reported data</w:t>
      </w:r>
    </w:p>
    <w:p w14:paraId="6B6794A1" w14:textId="05EE01A9" w:rsidR="00493CA0" w:rsidRDefault="002E6962" w:rsidP="003E3069">
      <w:r>
        <w:t xml:space="preserve">NGER scheme </w:t>
      </w:r>
      <w:r w:rsidR="00A70D7A">
        <w:t xml:space="preserve">facility level data is used in the national inventory when </w:t>
      </w:r>
      <w:r w:rsidR="00E70019">
        <w:t xml:space="preserve">there are sufficient facility-specific estimates for a specific basin. In the absence of </w:t>
      </w:r>
      <w:r w:rsidR="00A76986">
        <w:t>a sufficient sample of data, the inventory applies default values (i.e. Method 1) to mitigate possible bias</w:t>
      </w:r>
      <w:r w:rsidR="00871B4B">
        <w:t xml:space="preserve"> in estimates. </w:t>
      </w:r>
      <w:r w:rsidR="00D43557">
        <w:t>High transition rates and compliance will enable facility level data to be incorporated into the national inventory</w:t>
      </w:r>
      <w:r w:rsidR="0098193B">
        <w:t xml:space="preserve"> within a reasonable timeframe.</w:t>
      </w:r>
    </w:p>
    <w:p w14:paraId="443B8ADA" w14:textId="07B0BE2E" w:rsidR="007C5C07" w:rsidRDefault="00C67E4D" w:rsidP="003E3069">
      <w:r>
        <w:t xml:space="preserve">Achievement of this metric will be </w:t>
      </w:r>
      <w:r w:rsidR="00373102">
        <w:t>publicly transparent as Australia’s annual national inventory report to the U</w:t>
      </w:r>
      <w:r w:rsidR="008D357F">
        <w:t xml:space="preserve">nited </w:t>
      </w:r>
      <w:r w:rsidR="00373102">
        <w:t>N</w:t>
      </w:r>
      <w:r w:rsidR="008D357F">
        <w:t>ations</w:t>
      </w:r>
      <w:r w:rsidR="00373102">
        <w:t xml:space="preserve"> </w:t>
      </w:r>
      <w:r w:rsidR="005E7567">
        <w:t>(</w:t>
      </w:r>
      <w:r w:rsidR="00373102">
        <w:t>UN</w:t>
      </w:r>
      <w:r w:rsidR="005E7567">
        <w:t>)</w:t>
      </w:r>
      <w:r w:rsidR="00373102">
        <w:t xml:space="preserve"> </w:t>
      </w:r>
      <w:r w:rsidR="00F36814">
        <w:t xml:space="preserve">describes data sources used in the estimation of fugitive emissions from </w:t>
      </w:r>
      <w:r w:rsidR="005E7567">
        <w:t>open cut coal</w:t>
      </w:r>
      <w:r w:rsidR="00F36814">
        <w:t xml:space="preserve"> mines. Use of </w:t>
      </w:r>
      <w:r w:rsidR="00CB5E06">
        <w:t>reported</w:t>
      </w:r>
      <w:r w:rsidR="00F36814">
        <w:t xml:space="preserve"> data will be subject to UN technical review </w:t>
      </w:r>
      <w:r w:rsidR="00433436">
        <w:t>under the U</w:t>
      </w:r>
      <w:r w:rsidR="005E7567">
        <w:t xml:space="preserve">nited </w:t>
      </w:r>
      <w:r w:rsidR="00433436">
        <w:t>N</w:t>
      </w:r>
      <w:r w:rsidR="005E7567">
        <w:t xml:space="preserve">ations </w:t>
      </w:r>
      <w:r w:rsidR="00433436">
        <w:t>F</w:t>
      </w:r>
      <w:r w:rsidR="005E7567">
        <w:t>ramework Convention on Climate Change (</w:t>
      </w:r>
      <w:r w:rsidR="00433436">
        <w:t>UNFCCC</w:t>
      </w:r>
      <w:r w:rsidR="005E7567">
        <w:t>)</w:t>
      </w:r>
      <w:r w:rsidR="00433436">
        <w:t xml:space="preserve"> and </w:t>
      </w:r>
      <w:r w:rsidR="005E7567">
        <w:t>the</w:t>
      </w:r>
      <w:r w:rsidR="00433436">
        <w:t xml:space="preserve"> Paris Agreement.</w:t>
      </w:r>
    </w:p>
    <w:p w14:paraId="065905AF" w14:textId="092F3443" w:rsidR="00BC392D" w:rsidRPr="002A26DD" w:rsidRDefault="00BC392D" w:rsidP="007550AB">
      <w:pPr>
        <w:rPr>
          <w:i/>
          <w:iCs/>
        </w:rPr>
      </w:pPr>
      <w:r w:rsidRPr="002A26DD">
        <w:rPr>
          <w:i/>
          <w:iCs/>
        </w:rPr>
        <w:t>D</w:t>
      </w:r>
      <w:r w:rsidR="001869AF" w:rsidRPr="002A26DD">
        <w:rPr>
          <w:i/>
          <w:iCs/>
        </w:rPr>
        <w:t>epart</w:t>
      </w:r>
      <w:r w:rsidR="002A26DD" w:rsidRPr="002A26DD">
        <w:rPr>
          <w:i/>
          <w:iCs/>
        </w:rPr>
        <w:t>mental and external review</w:t>
      </w:r>
    </w:p>
    <w:p w14:paraId="502BF9BF" w14:textId="4694C46A" w:rsidR="007550AB" w:rsidRDefault="00281FA9" w:rsidP="007550AB">
      <w:r>
        <w:t xml:space="preserve">In addition to the above </w:t>
      </w:r>
      <w:r w:rsidR="00694E11">
        <w:t xml:space="preserve">success metrics, </w:t>
      </w:r>
      <w:r w:rsidR="00795A18">
        <w:t>the Department</w:t>
      </w:r>
      <w:r w:rsidR="00694E11">
        <w:t xml:space="preserve"> </w:t>
      </w:r>
      <w:r>
        <w:t>reviews and updates the NGER scheme</w:t>
      </w:r>
      <w:r w:rsidR="00694E11">
        <w:t xml:space="preserve"> each year</w:t>
      </w:r>
      <w:r>
        <w:t xml:space="preserve"> as part of its continuous improvement program and in response to feedback from users and other stakeholders. </w:t>
      </w:r>
      <w:r w:rsidR="000C5CD6">
        <w:t xml:space="preserve">The </w:t>
      </w:r>
      <w:r w:rsidR="009415D3">
        <w:t>implementation of Option 2 wi</w:t>
      </w:r>
      <w:r w:rsidR="00851C54">
        <w:t xml:space="preserve">ll form a part of future annual review, </w:t>
      </w:r>
      <w:r w:rsidR="00B60012">
        <w:t xml:space="preserve">    </w:t>
      </w:r>
      <w:r w:rsidR="00851C54">
        <w:t>by feedback from</w:t>
      </w:r>
      <w:r w:rsidR="00F356F4">
        <w:t xml:space="preserve"> reporters</w:t>
      </w:r>
      <w:r w:rsidR="00851C54">
        <w:t>,</w:t>
      </w:r>
      <w:r w:rsidR="00F356F4">
        <w:t xml:space="preserve"> the Clean Energy Regulator </w:t>
      </w:r>
      <w:r w:rsidR="00851C54">
        <w:t xml:space="preserve">and the broader community. </w:t>
      </w:r>
      <w:r>
        <w:t>Every five years</w:t>
      </w:r>
      <w:r w:rsidR="00036C42">
        <w:t>,</w:t>
      </w:r>
      <w:r>
        <w:t xml:space="preserve"> the annual update is also informed by the Climate Change Authority’s review of </w:t>
      </w:r>
      <w:r w:rsidR="00526202">
        <w:t xml:space="preserve">the operation of </w:t>
      </w:r>
      <w:r>
        <w:t>the NGER scheme</w:t>
      </w:r>
      <w:r w:rsidR="00526202">
        <w:t xml:space="preserve"> legislation</w:t>
      </w:r>
      <w:r>
        <w:t xml:space="preserve">. The Authority’s </w:t>
      </w:r>
      <w:r w:rsidR="00036C42">
        <w:t>next</w:t>
      </w:r>
      <w:r>
        <w:t xml:space="preserve"> review of the NGER scheme </w:t>
      </w:r>
      <w:r w:rsidR="00036C42">
        <w:t>is expected in 2028</w:t>
      </w:r>
      <w:r>
        <w:t>.</w:t>
      </w:r>
    </w:p>
    <w:p w14:paraId="76562E9E" w14:textId="105EA631" w:rsidR="00742789" w:rsidRDefault="00742789">
      <w:pPr>
        <w:spacing w:after="200" w:line="288" w:lineRule="auto"/>
      </w:pPr>
      <w:r>
        <w:br w:type="page"/>
      </w:r>
    </w:p>
    <w:p w14:paraId="4B56B173" w14:textId="5FBFAC09" w:rsidR="356D6A94" w:rsidRDefault="356D6A94" w:rsidP="00AA32F1">
      <w:pPr>
        <w:pStyle w:val="Heading2"/>
      </w:pPr>
      <w:bookmarkStart w:id="12" w:name="_Toc1475317592"/>
      <w:r>
        <w:lastRenderedPageBreak/>
        <w:t>Annex A: Additional consultation undertaken by the department</w:t>
      </w:r>
      <w:bookmarkEnd w:id="12"/>
    </w:p>
    <w:p w14:paraId="29B0C7EA" w14:textId="42920E93" w:rsidR="00742789" w:rsidRDefault="00742789" w:rsidP="00742789">
      <w:pPr>
        <w:spacing w:after="200" w:line="288" w:lineRule="auto"/>
      </w:pPr>
      <w:r>
        <w:t xml:space="preserve">In addition to the extensive consultation undertaken through the Impact Analysis Equivalent, detailed on page ii of the CCA review, the </w:t>
      </w:r>
      <w:r w:rsidR="00AB12F9">
        <w:t xml:space="preserve">department </w:t>
      </w:r>
      <w:r>
        <w:t>conducted further stakeholder consultation to inform the approach to implementing CCA Recommendation 15 as it relates to the phase out of Method 1 for the estimation of fugitive methane emissions from the extraction of coal from open</w:t>
      </w:r>
      <w:r w:rsidR="00F40D1E">
        <w:noBreakHyphen/>
      </w:r>
      <w:r>
        <w:t xml:space="preserve">cut mines. </w:t>
      </w:r>
    </w:p>
    <w:p w14:paraId="6B838FCB" w14:textId="7845FA89" w:rsidR="00742789" w:rsidRDefault="00742789" w:rsidP="00742789">
      <w:pPr>
        <w:spacing w:after="200" w:line="288" w:lineRule="auto"/>
      </w:pPr>
      <w:r>
        <w:t xml:space="preserve">An outline of the </w:t>
      </w:r>
      <w:r w:rsidR="00AB12F9">
        <w:t xml:space="preserve">department’s </w:t>
      </w:r>
      <w:r>
        <w:t>consultation activities and feedback is provided below.</w:t>
      </w:r>
    </w:p>
    <w:p w14:paraId="061037E0" w14:textId="5EB4D75F" w:rsidR="00742789" w:rsidRDefault="00742789" w:rsidP="00AA32F1">
      <w:pPr>
        <w:pStyle w:val="Heading3"/>
      </w:pPr>
      <w:bookmarkStart w:id="13" w:name="_Toc830207868"/>
      <w:r>
        <w:t>Targeted consultation</w:t>
      </w:r>
      <w:bookmarkEnd w:id="13"/>
    </w:p>
    <w:p w14:paraId="797EDB78" w14:textId="2FA95182" w:rsidR="00742789" w:rsidRDefault="00742789" w:rsidP="00742789">
      <w:pPr>
        <w:spacing w:after="200" w:line="288" w:lineRule="auto"/>
      </w:pPr>
      <w:r>
        <w:t xml:space="preserve">Over January to May 2024, the </w:t>
      </w:r>
      <w:r w:rsidR="00F40D1E">
        <w:t xml:space="preserve">department </w:t>
      </w:r>
      <w:r>
        <w:t xml:space="preserve">sought views from the peak industry body, community interest groups, government agencies and members of the scientific community on CCA Recommendation 15 and options for its implementation in relation to open-cut coal mines.  </w:t>
      </w:r>
    </w:p>
    <w:p w14:paraId="6DBC2EBD" w14:textId="5A0FF168" w:rsidR="00742789" w:rsidRDefault="001F594B" w:rsidP="00742789">
      <w:pPr>
        <w:spacing w:after="200" w:line="288" w:lineRule="auto"/>
      </w:pPr>
      <w:r>
        <w:t>S</w:t>
      </w:r>
      <w:r w:rsidR="00742789">
        <w:t xml:space="preserve">takeholders </w:t>
      </w:r>
      <w:r w:rsidR="00B97B2C">
        <w:t xml:space="preserve">either </w:t>
      </w:r>
      <w:r w:rsidR="00742789">
        <w:t>support</w:t>
      </w:r>
      <w:r w:rsidR="66FE286B">
        <w:t xml:space="preserve">ed or </w:t>
      </w:r>
      <w:r w:rsidR="181DD550">
        <w:t xml:space="preserve">did </w:t>
      </w:r>
      <w:r w:rsidR="00B97B2C">
        <w:t xml:space="preserve">not oppose </w:t>
      </w:r>
      <w:r w:rsidR="00742789">
        <w:t>of the removal of Method 1, however</w:t>
      </w:r>
      <w:r w:rsidR="60DF144B">
        <w:t>,</w:t>
      </w:r>
      <w:r w:rsidR="00742789">
        <w:t xml:space="preserve"> feedback was mixed regarding timing of the phase out. Some stakeholders sought phase out from 1 July 2024, while the peak industry body shared concerns that phase out within 3 to 5 years may present difficulties for some facilities. Such difficulties were stated to include issues accessing drilling equipment, laboratories and qualified personnel, </w:t>
      </w:r>
      <w:r w:rsidR="00027F64">
        <w:t xml:space="preserve">delay due to weather, </w:t>
      </w:r>
      <w:r w:rsidR="00742789">
        <w:t>sampling complex or extensive ore bodies and comp</w:t>
      </w:r>
      <w:r w:rsidR="00027F64">
        <w:t>l</w:t>
      </w:r>
      <w:r w:rsidR="00742789">
        <w:t>eting related state regulatory processes.</w:t>
      </w:r>
    </w:p>
    <w:p w14:paraId="20EADFDB" w14:textId="44E48961" w:rsidR="00742789" w:rsidRDefault="00742789" w:rsidP="00AA32F1">
      <w:pPr>
        <w:pStyle w:val="Heading3"/>
      </w:pPr>
      <w:bookmarkStart w:id="14" w:name="_Toc1212253691"/>
      <w:r>
        <w:t>Public consultation</w:t>
      </w:r>
      <w:bookmarkEnd w:id="14"/>
    </w:p>
    <w:p w14:paraId="37F9FD87" w14:textId="5A0381B1" w:rsidR="00742789" w:rsidRDefault="00742789" w:rsidP="00742789">
      <w:pPr>
        <w:spacing w:after="200" w:line="288" w:lineRule="auto"/>
      </w:pPr>
      <w:r>
        <w:t xml:space="preserve">Over 29 April to 24 May 2024, the </w:t>
      </w:r>
      <w:r w:rsidR="00027F64">
        <w:t xml:space="preserve">department </w:t>
      </w:r>
      <w:r>
        <w:t xml:space="preserve">invited public submissions on the proposed legislative amendment to implement CCA Recommendation 15 in relation to open-cut mines (Option 2). The proposed amendment was included in the </w:t>
      </w:r>
      <w:r w:rsidR="001C74B2">
        <w:t xml:space="preserve">department’s </w:t>
      </w:r>
      <w:hyperlink r:id="rId23">
        <w:r w:rsidR="356D6A94" w:rsidRPr="5A8ABB6D">
          <w:rPr>
            <w:rStyle w:val="Hyperlink"/>
            <w:i/>
            <w:iCs/>
          </w:rPr>
          <w:t>National Greenhouse and Energy Reporting (NGER) scheme: 2024 Proposed Amendments</w:t>
        </w:r>
        <w:r w:rsidR="356D6A94" w:rsidRPr="5A8ABB6D">
          <w:rPr>
            <w:rStyle w:val="Hyperlink"/>
          </w:rPr>
          <w:t xml:space="preserve"> consultation paper</w:t>
        </w:r>
      </w:hyperlink>
      <w:r w:rsidR="356D6A94">
        <w:t xml:space="preserve"> made available on the </w:t>
      </w:r>
      <w:r w:rsidR="001C74B2">
        <w:t xml:space="preserve">department’s </w:t>
      </w:r>
      <w:r w:rsidR="356D6A94">
        <w:t>website.</w:t>
      </w:r>
      <w:r>
        <w:t xml:space="preserve"> Awareness of the public consultation was raised through social media and email notification of NGER scheme facilities, the peak industry body and community interest groups.   </w:t>
      </w:r>
    </w:p>
    <w:p w14:paraId="7EA3C402" w14:textId="779470A8" w:rsidR="00024BB3" w:rsidRDefault="006E632A" w:rsidP="00913D3E">
      <w:pPr>
        <w:spacing w:after="200" w:line="288" w:lineRule="auto"/>
      </w:pPr>
      <w:r>
        <w:t>2</w:t>
      </w:r>
      <w:r w:rsidR="00CB67D4">
        <w:t>3</w:t>
      </w:r>
      <w:r w:rsidR="002710EE">
        <w:t xml:space="preserve"> </w:t>
      </w:r>
      <w:r w:rsidR="356D6A94">
        <w:t xml:space="preserve">submissions on the proposed legislative amendment </w:t>
      </w:r>
      <w:r w:rsidR="356D6A94" w:rsidRPr="00095E5C">
        <w:t xml:space="preserve">were received. </w:t>
      </w:r>
      <w:r w:rsidR="00ED22C1" w:rsidRPr="00F20DB5">
        <w:t>12</w:t>
      </w:r>
      <w:r w:rsidR="00ED22C1" w:rsidRPr="00095E5C">
        <w:t xml:space="preserve"> </w:t>
      </w:r>
      <w:r w:rsidR="008314D5" w:rsidRPr="00095E5C">
        <w:t>submissions support</w:t>
      </w:r>
      <w:r w:rsidR="00F93764">
        <w:t>ed</w:t>
      </w:r>
      <w:r w:rsidR="008314D5" w:rsidRPr="00095E5C">
        <w:t xml:space="preserve"> the </w:t>
      </w:r>
      <w:r w:rsidR="00AB050E">
        <w:t>amendment as proposed</w:t>
      </w:r>
      <w:r w:rsidR="008314D5" w:rsidRPr="00095E5C">
        <w:t xml:space="preserve">. </w:t>
      </w:r>
      <w:r w:rsidR="00903FB5">
        <w:t xml:space="preserve">One submission supported the proposed phase out of Method 1 but suggested that, rather than applying the second tranche to all Safeguard Mechanism facilities, it should apply to open-cut mines that produced an (unspecified) lower run-of-mine coal per annum than 10 million tonnes. </w:t>
      </w:r>
      <w:r w:rsidR="009519DC" w:rsidRPr="00095E5C">
        <w:t xml:space="preserve">Other submissions </w:t>
      </w:r>
      <w:r w:rsidR="00AB050E">
        <w:t xml:space="preserve">supported the </w:t>
      </w:r>
      <w:r w:rsidR="00855152">
        <w:t xml:space="preserve">approach to the </w:t>
      </w:r>
      <w:r w:rsidR="00A73AF4">
        <w:t xml:space="preserve">phase out of </w:t>
      </w:r>
      <w:r w:rsidR="00E201CD">
        <w:t xml:space="preserve">Method 1 </w:t>
      </w:r>
      <w:r w:rsidR="00A73AF4">
        <w:t xml:space="preserve">but </w:t>
      </w:r>
      <w:r w:rsidR="00A73D18">
        <w:t>proposed it</w:t>
      </w:r>
      <w:r w:rsidR="00AB3E40">
        <w:t xml:space="preserve"> </w:t>
      </w:r>
      <w:r w:rsidR="00C93C53">
        <w:t xml:space="preserve">occur </w:t>
      </w:r>
      <w:r w:rsidR="00AF67A5">
        <w:t xml:space="preserve">over a longer </w:t>
      </w:r>
      <w:proofErr w:type="gramStart"/>
      <w:r w:rsidR="00AF67A5">
        <w:t>time period</w:t>
      </w:r>
      <w:proofErr w:type="gramEnd"/>
      <w:r w:rsidR="00AF67A5">
        <w:t xml:space="preserve">, </w:t>
      </w:r>
      <w:r w:rsidR="00C93C53">
        <w:t xml:space="preserve">in </w:t>
      </w:r>
      <w:r w:rsidR="00E201CD">
        <w:t>conjunction</w:t>
      </w:r>
      <w:r w:rsidR="0087307B">
        <w:t xml:space="preserve"> with </w:t>
      </w:r>
      <w:r w:rsidR="004259A6">
        <w:t xml:space="preserve">a </w:t>
      </w:r>
      <w:r w:rsidR="0087307B">
        <w:t>review</w:t>
      </w:r>
      <w:r w:rsidR="004259A6">
        <w:t xml:space="preserve"> </w:t>
      </w:r>
      <w:r w:rsidR="00B97014">
        <w:t xml:space="preserve">or </w:t>
      </w:r>
      <w:r w:rsidR="0087307B">
        <w:t xml:space="preserve">phase out of </w:t>
      </w:r>
      <w:r w:rsidR="0087307B">
        <w:lastRenderedPageBreak/>
        <w:t>Method 2</w:t>
      </w:r>
      <w:r w:rsidR="00183C64">
        <w:t>,</w:t>
      </w:r>
      <w:r w:rsidR="00FF288B">
        <w:t xml:space="preserve"> </w:t>
      </w:r>
      <w:r w:rsidR="00B97014">
        <w:t xml:space="preserve">or </w:t>
      </w:r>
      <w:r w:rsidR="00FF288B">
        <w:t xml:space="preserve">the development of </w:t>
      </w:r>
      <w:r w:rsidR="00B40A1F">
        <w:t>higher order emissions</w:t>
      </w:r>
      <w:r w:rsidR="00317AAD">
        <w:t xml:space="preserve"> estimation methods</w:t>
      </w:r>
      <w:r w:rsidR="0087307B">
        <w:t>.</w:t>
      </w:r>
      <w:r w:rsidR="00042C65">
        <w:t xml:space="preserve"> The CCA review of the NGER scheme made recommendations in regard to the review of Method 2 and the development of higher order methods for all fugitive methane emission sources</w:t>
      </w:r>
      <w:r w:rsidR="00C73F3F">
        <w:t xml:space="preserve">. The government response to all CCA review recommendations is scheduled for mid-2024. </w:t>
      </w:r>
    </w:p>
    <w:p w14:paraId="3F04F0C7" w14:textId="18E2FE0F" w:rsidR="003B556C" w:rsidRPr="007550AB" w:rsidRDefault="003B556C" w:rsidP="001B32F6"/>
    <w:sectPr w:rsidR="003B556C" w:rsidRPr="007550AB" w:rsidSect="00617813">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843"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07D9" w14:textId="77777777" w:rsidR="001B4CB1" w:rsidRDefault="001B4CB1" w:rsidP="00F957C6">
      <w:pPr>
        <w:spacing w:after="0" w:line="240" w:lineRule="auto"/>
      </w:pPr>
      <w:r>
        <w:separator/>
      </w:r>
    </w:p>
  </w:endnote>
  <w:endnote w:type="continuationSeparator" w:id="0">
    <w:p w14:paraId="52D00A3C" w14:textId="77777777" w:rsidR="001B4CB1" w:rsidRDefault="001B4CB1" w:rsidP="00F957C6">
      <w:pPr>
        <w:spacing w:after="0" w:line="240" w:lineRule="auto"/>
      </w:pPr>
      <w:r>
        <w:continuationSeparator/>
      </w:r>
    </w:p>
  </w:endnote>
  <w:endnote w:type="continuationNotice" w:id="1">
    <w:p w14:paraId="44F15A48" w14:textId="77777777" w:rsidR="001B4CB1" w:rsidRDefault="001B4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00000000"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52361" w14:textId="34E90F90" w:rsidR="001411F4" w:rsidRDefault="00C53191">
    <w:pPr>
      <w:pStyle w:val="Footer"/>
    </w:pPr>
    <w:r>
      <w:rPr>
        <w:noProof/>
        <w:lang w:eastAsia="en-AU"/>
      </w:rPr>
      <mc:AlternateContent>
        <mc:Choice Requires="wps">
          <w:drawing>
            <wp:anchor distT="0" distB="0" distL="0" distR="0" simplePos="0" relativeHeight="251658242" behindDoc="0" locked="0" layoutInCell="1" allowOverlap="1" wp14:anchorId="6C06C80D" wp14:editId="28743153">
              <wp:simplePos x="635" y="635"/>
              <wp:positionH relativeFrom="page">
                <wp:align>center</wp:align>
              </wp:positionH>
              <wp:positionV relativeFrom="page">
                <wp:align>bottom</wp:align>
              </wp:positionV>
              <wp:extent cx="551815" cy="394970"/>
              <wp:effectExtent l="0" t="0" r="635" b="0"/>
              <wp:wrapNone/>
              <wp:docPr id="373485323" name="Text Box 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6F4E19D" w14:textId="1B7FFDF5"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06C80D" id="_x0000_t202" coordsize="21600,21600" o:spt="202" path="m,l,21600r21600,l21600,xe">
              <v:stroke joinstyle="miter"/>
              <v:path gradientshapeok="t" o:connecttype="rect"/>
            </v:shapetype>
            <v:shape id="Text Box 8" o:spid="_x0000_s1027"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WwEAIAABwEAAAOAAAAZHJzL2Uyb0RvYy54bWysU01v2zAMvQ/YfxB0X2x3y9oYcYqsRYYB&#10;RVsgHXpWZDk2IIkCpcTOfv0oJU62bqdhF5kmKX689zS/HYxme4W+A1vxYpJzpqyEurPbin9/WX24&#10;4cwHYWuhwaqKH5Tnt4v37+a9K9UVtKBrhYyKWF/2ruJtCK7MMi9bZYSfgFOWgg2gEYF+cZvVKHqq&#10;bnR2leefsx6wdghSeU/e+2OQL1L9plEyPDWNV4HpitNsIZ2Yzk08s8VclFsUru3kaQzxD1MY0Vlq&#10;ei51L4JgO+z+KGU6ieChCRMJJoOm6aRKO9A2Rf5mm3UrnEq7EDjenWHy/6+sfNyv3TOyMHyBgQiM&#10;gPTOl56ccZ+hQRO/NCmjOEF4OMOmhsAkOafT4qaYciYp9HH2aXadYM0ulx368FWBYdGoOBIrCSyx&#10;f/CBGlLqmBJ7WVh1WidmtP3NQYnRk10mjFYYNgPr6opfj9NvoD7QUghHvr2Tq45aPwgfngUSwbQH&#10;iTY80dFo6CsOJ4uzFvDH3/wxn3CnKGc9CabilhTNmf5miY+ordHA0dgko5jl05zidmfugGRY0Itw&#10;MpnkxaBHs0EwryTnZWxEIWEltav4ZjTvwlG59BykWi5TEsnIifBg107G0hGuiOXL8CrQnQAPxNQj&#10;jGoS5Rvcj7nxpnfLXSD0EykR2iOQJ8RJgomr03OJGv/1P2VdHvXiJwAAAP//AwBQSwMEFAAGAAgA&#10;AAAhAOPjT1bbAAAAAwEAAA8AAABkcnMvZG93bnJldi54bWxMj0FrwkAQhe+F/odlCr3VTSMNGrMR&#10;ETxZCmov3sbdMYnNzobsRuO/77aX9jLweI/3vimWo23FlXrfOFbwOklAEGtnGq4UfB42LzMQPiAb&#10;bB2Tgjt5WJaPDwXmxt14R9d9qEQsYZ+jgjqELpfS65os+onriKN3dr3FEGVfSdPjLZbbVqZJkkmL&#10;DceFGjta16S/9oNV8LYL78MHH6bHMb1ftt1aT89brdTz07hagAg0hr8w/OBHdCgj08kNbLxoFcRH&#10;wu+N3iybgzgpyNIUZFnI/+zlNwAAAP//AwBQSwECLQAUAAYACAAAACEAtoM4kv4AAADhAQAAEwAA&#10;AAAAAAAAAAAAAAAAAAAAW0NvbnRlbnRfVHlwZXNdLnhtbFBLAQItABQABgAIAAAAIQA4/SH/1gAA&#10;AJQBAAALAAAAAAAAAAAAAAAAAC8BAABfcmVscy8ucmVsc1BLAQItABQABgAIAAAAIQAjsLWwEAIA&#10;ABwEAAAOAAAAAAAAAAAAAAAAAC4CAABkcnMvZTJvRG9jLnhtbFBLAQItABQABgAIAAAAIQDj409W&#10;2wAAAAMBAAAPAAAAAAAAAAAAAAAAAGoEAABkcnMvZG93bnJldi54bWxQSwUGAAAAAAQABADzAAAA&#10;cgUAAAAA&#10;" filled="f" stroked="f">
              <v:fill o:detectmouseclick="t"/>
              <v:textbox style="mso-fit-shape-to-text:t" inset="0,0,0,15pt">
                <w:txbxContent>
                  <w:p w14:paraId="26F4E19D" w14:textId="1B7FFDF5"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57B7" w14:textId="77777777" w:rsidR="00D10635" w:rsidRPr="00F86700" w:rsidRDefault="00D10635" w:rsidP="00F86700">
    <w:pPr>
      <w:pStyle w:val="CLASSIFICATION"/>
    </w:pPr>
  </w:p>
  <w:p w14:paraId="3FE30A75" w14:textId="2BF63400" w:rsidR="00037513" w:rsidRPr="00852F35" w:rsidRDefault="00E65399" w:rsidP="00D10635">
    <w:pPr>
      <w:pStyle w:val="Header"/>
      <w:rPr>
        <w:rFonts w:ascii="Segoe UI" w:hAnsi="Segoe UI" w:cs="Segoe UI"/>
        <w:color w:val="6E6E6E"/>
        <w:sz w:val="18"/>
      </w:rPr>
    </w:pPr>
    <w:r>
      <w:rPr>
        <w:color w:val="6E6E6E"/>
        <w:sz w:val="18"/>
        <w:szCs w:val="18"/>
      </w:rPr>
      <w:t>DCCEEW | Amendments to the NGER scheme – open cut coal mining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B0C9" w14:textId="77777777" w:rsidR="009E062F" w:rsidRDefault="009E0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239A" w14:textId="49B78C0C" w:rsidR="00C53191" w:rsidRDefault="00C53191">
    <w:pPr>
      <w:pStyle w:val="Footer"/>
    </w:pPr>
    <w:r>
      <w:rPr>
        <w:noProof/>
        <w:lang w:eastAsia="en-AU"/>
      </w:rPr>
      <mc:AlternateContent>
        <mc:Choice Requires="wps">
          <w:drawing>
            <wp:anchor distT="0" distB="0" distL="0" distR="0" simplePos="0" relativeHeight="251658244" behindDoc="0" locked="0" layoutInCell="1" allowOverlap="1" wp14:anchorId="21847FCE" wp14:editId="0B7FA78F">
              <wp:simplePos x="635" y="635"/>
              <wp:positionH relativeFrom="page">
                <wp:align>center</wp:align>
              </wp:positionH>
              <wp:positionV relativeFrom="page">
                <wp:align>bottom</wp:align>
              </wp:positionV>
              <wp:extent cx="551815" cy="394970"/>
              <wp:effectExtent l="0" t="0" r="635" b="0"/>
              <wp:wrapNone/>
              <wp:docPr id="200035371" name="Text Box 1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4DFA982F" w14:textId="21AD1366"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47FCE" id="_x0000_t202" coordsize="21600,21600" o:spt="202" path="m,l,21600r21600,l21600,xe">
              <v:stroke joinstyle="miter"/>
              <v:path gradientshapeok="t" o:connecttype="rect"/>
            </v:shapetype>
            <v:shape id="Text Box 11" o:spid="_x0000_s1030" type="#_x0000_t202" alt="OFFICIAL" style="position:absolute;margin-left:0;margin-top:0;width:43.45pt;height:31.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CXDgIAAB0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jR9ahxdG6gPtBXCkXDv5Kql3vfChyeBxDAt&#10;QqoNj3RoA33F4WRx1gD+/Js/5hPwFOWsJ8VU3JKkOTPfLRESxTUaOBqbZBSzfJpT3O66WyAdFvQk&#10;nEwmeTGY0dQI3QvpeRkbUUhYSe0qvhnN23CULr0HqZbLlEQ6ciLc27WTsXTEK4L5PLwIdCfEA1H1&#10;AKOcRPkG+GNuvOndchcI/sTKBcgT5KTBRNbpvUSRv/5PWZdXvfgF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LUPAlw4CAAAd&#10;BAAADgAAAAAAAAAAAAAAAAAuAgAAZHJzL2Uyb0RvYy54bWxQSwECLQAUAAYACAAAACEA4+NPVtsA&#10;AAADAQAADwAAAAAAAAAAAAAAAABoBAAAZHJzL2Rvd25yZXYueG1sUEsFBgAAAAAEAAQA8wAAAHAF&#10;AAAAAA==&#10;" filled="f" stroked="f">
              <v:fill o:detectmouseclick="t"/>
              <v:textbox style="mso-fit-shape-to-text:t" inset="0,0,0,15pt">
                <w:txbxContent>
                  <w:p w14:paraId="4DFA982F" w14:textId="21AD1366"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79B12" w14:textId="744F30AC" w:rsidR="001411F4" w:rsidRDefault="00F0330A">
    <w:pPr>
      <w:pStyle w:val="Footer"/>
      <w:jc w:val="right"/>
    </w:pPr>
    <w:sdt>
      <w:sdtPr>
        <w:id w:val="1335118040"/>
        <w:docPartObj>
          <w:docPartGallery w:val="Page Numbers (Bottom of Page)"/>
          <w:docPartUnique/>
        </w:docPartObj>
      </w:sdtPr>
      <w:sdtEndPr>
        <w:rPr>
          <w:noProof/>
        </w:rPr>
      </w:sdtEndPr>
      <w:sdtContent>
        <w:r w:rsidR="001411F4">
          <w:fldChar w:fldCharType="begin"/>
        </w:r>
        <w:r w:rsidR="001411F4">
          <w:instrText xml:space="preserve"> PAGE   \* MERGEFORMAT </w:instrText>
        </w:r>
        <w:r w:rsidR="001411F4">
          <w:fldChar w:fldCharType="separate"/>
        </w:r>
        <w:r>
          <w:rPr>
            <w:noProof/>
          </w:rPr>
          <w:t>17</w:t>
        </w:r>
        <w:r w:rsidR="001411F4">
          <w:rPr>
            <w:noProof/>
          </w:rPr>
          <w:fldChar w:fldCharType="end"/>
        </w:r>
      </w:sdtContent>
    </w:sdt>
  </w:p>
  <w:p w14:paraId="675F3BD3" w14:textId="542437A5" w:rsidR="001411F4" w:rsidRPr="00852F35" w:rsidRDefault="001411F4" w:rsidP="00D10635">
    <w:pPr>
      <w:pStyle w:val="Header"/>
      <w:rPr>
        <w:rFonts w:ascii="Segoe UI" w:hAnsi="Segoe UI" w:cs="Segoe UI"/>
        <w:color w:val="6E6E6E"/>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F961" w14:textId="38304925" w:rsidR="00C53191" w:rsidRDefault="00C53191">
    <w:pPr>
      <w:pStyle w:val="Footer"/>
    </w:pPr>
    <w:r>
      <w:rPr>
        <w:noProof/>
        <w:lang w:eastAsia="en-AU"/>
      </w:rPr>
      <mc:AlternateContent>
        <mc:Choice Requires="wps">
          <w:drawing>
            <wp:anchor distT="0" distB="0" distL="0" distR="0" simplePos="0" relativeHeight="251658246" behindDoc="0" locked="0" layoutInCell="1" allowOverlap="1" wp14:anchorId="2F72E350" wp14:editId="3C4064CC">
              <wp:simplePos x="635" y="635"/>
              <wp:positionH relativeFrom="page">
                <wp:align>center</wp:align>
              </wp:positionH>
              <wp:positionV relativeFrom="page">
                <wp:align>bottom</wp:align>
              </wp:positionV>
              <wp:extent cx="551815" cy="394970"/>
              <wp:effectExtent l="0" t="0" r="635" b="0"/>
              <wp:wrapNone/>
              <wp:docPr id="23723995" name="Text Box 1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112EC26" w14:textId="5DFA4E29"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72E350" id="_x0000_t202" coordsize="21600,21600" o:spt="202" path="m,l,21600r21600,l21600,xe">
              <v:stroke joinstyle="miter"/>
              <v:path gradientshapeok="t" o:connecttype="rect"/>
            </v:shapetype>
            <v:shape id="Text Box 10" o:spid="_x0000_s1032" type="#_x0000_t202" alt="OFFICIAL" style="position:absolute;margin-left:0;margin-top:0;width:43.45pt;height:31.1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4LDwIAABwEAAAOAAAAZHJzL2Uyb0RvYy54bWysU01v2zAMvQ/YfxB0X2x3y9YYcYqsRYYB&#10;RVsgHXpWZCk2IIsCpcTOfv0oJU66bqdhF5kmKX689zS/GTrD9gp9C7bixSTnTFkJdWu3Ff/xvPpw&#10;zZkPwtbCgFUVPyjPbxbv3817V6oraMDUChkVsb7sXcWbEFyZZV42qhN+Ak5ZCmrATgT6xW1Wo+ip&#10;emeyqzz/nPWAtUOQynvy3h2DfJHqa61keNTaq8BMxWm2kE5M5yae2WIuyi0K17TyNIb4hyk60Vpq&#10;ei51J4JgO2z/KNW1EsGDDhMJXQZat1KlHWibIn+zzboRTqVdCBzvzjD5/1dWPuzX7glZGL7CQARG&#10;QHrnS0/OuM+gsYtfmpRRnCA8nGFTQ2CSnNNpcV1MOZMU+jj7NPuSYM0ulx368E1Bx6JRcSRWElhi&#10;f+8DNaTUMSX2srBqjUnMGPubgxKjJ7tMGK0wbAbW1hWfjdNvoD7QUghHvr2Tq5Za3wsfngQSwbQH&#10;iTY80qEN9BWHk8VZA/jzb/6YT7hTlLOeBFNxS4rmzHy3xEfU1mjgaGySUczyaU5xu+tugWRY0Itw&#10;MpnkxWBGUyN0LyTnZWxEIWEltav4ZjRvw1G59BykWi5TEsnIiXBv107G0hGuiOXz8CLQnQAPxNQD&#10;jGoS5Rvcj7nxpnfLXSD0EykR2iOQJ8RJgomr03OJGn/9n7Iuj3rxCwAA//8DAFBLAwQUAAYACAAA&#10;ACEA4+NPVtsAAAADAQAADwAAAGRycy9kb3ducmV2LnhtbEyPQWvCQBCF74X+h2UKvdVNIw0asxER&#10;PFkKai/ext0xic3OhuxG47/vtpf2MvB4j/e+KZajbcWVet84VvA6SUAQa2carhR8HjYvMxA+IBts&#10;HZOCO3lYlo8PBebG3XhH132oRCxhn6OCOoQul9Lrmiz6ieuIo3d2vcUQZV9J0+MtlttWpkmSSYsN&#10;x4UaO1rXpL/2g1XwtgvvwwcfpscxvV+23VpPz1ut1PPTuFqACDSGvzD84Ed0KCPTyQ1svGgVxEfC&#10;743eLJuDOCnI0hRkWcj/7OU3AAAA//8DAFBLAQItABQABgAIAAAAIQC2gziS/gAAAOEBAAATAAAA&#10;AAAAAAAAAAAAAAAAAABbQ29udGVudF9UeXBlc10ueG1sUEsBAi0AFAAGAAgAAAAhADj9If/WAAAA&#10;lAEAAAsAAAAAAAAAAAAAAAAALwEAAF9yZWxzLy5yZWxzUEsBAi0AFAAGAAgAAAAhAGTO/gsPAgAA&#10;HAQAAA4AAAAAAAAAAAAAAAAALgIAAGRycy9lMm9Eb2MueG1sUEsBAi0AFAAGAAgAAAAhAOPjT1bb&#10;AAAAAwEAAA8AAAAAAAAAAAAAAAAAaQQAAGRycy9kb3ducmV2LnhtbFBLBQYAAAAABAAEAPMAAABx&#10;BQAAAAA=&#10;" filled="f" stroked="f">
              <v:fill o:detectmouseclick="t"/>
              <v:textbox style="mso-fit-shape-to-text:t" inset="0,0,0,15pt">
                <w:txbxContent>
                  <w:p w14:paraId="5112EC26" w14:textId="5DFA4E29"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DBAB" w14:textId="77777777" w:rsidR="001B4CB1" w:rsidRDefault="001B4CB1" w:rsidP="00F957C6">
      <w:pPr>
        <w:spacing w:after="0" w:line="240" w:lineRule="auto"/>
      </w:pPr>
      <w:r>
        <w:separator/>
      </w:r>
    </w:p>
  </w:footnote>
  <w:footnote w:type="continuationSeparator" w:id="0">
    <w:p w14:paraId="3E07CAF0" w14:textId="77777777" w:rsidR="001B4CB1" w:rsidRDefault="001B4CB1" w:rsidP="00F957C6">
      <w:pPr>
        <w:spacing w:after="0" w:line="240" w:lineRule="auto"/>
      </w:pPr>
      <w:r>
        <w:continuationSeparator/>
      </w:r>
    </w:p>
  </w:footnote>
  <w:footnote w:type="continuationNotice" w:id="1">
    <w:p w14:paraId="671D6D8C" w14:textId="77777777" w:rsidR="001B4CB1" w:rsidRDefault="001B4CB1">
      <w:pPr>
        <w:spacing w:after="0" w:line="240" w:lineRule="auto"/>
      </w:pPr>
    </w:p>
  </w:footnote>
  <w:footnote w:id="2">
    <w:p w14:paraId="0F7DD1AA" w14:textId="0C686F14" w:rsidR="00FE1695" w:rsidRDefault="00FE1695">
      <w:pPr>
        <w:pStyle w:val="FootnoteText"/>
      </w:pPr>
      <w:r>
        <w:rPr>
          <w:rStyle w:val="FootnoteReference"/>
        </w:rPr>
        <w:footnoteRef/>
      </w:r>
      <w:r>
        <w:t xml:space="preserve"> </w:t>
      </w:r>
      <w:r w:rsidRPr="002B30FE">
        <w:rPr>
          <w:rFonts w:ascii="Open Sans" w:hAnsi="Open Sans" w:cs="Open Sans"/>
          <w:color w:val="000000"/>
          <w:sz w:val="16"/>
          <w:szCs w:val="16"/>
          <w:shd w:val="clear" w:color="auto" w:fill="FFFFFF"/>
        </w:rPr>
        <w:t>Australian Bureau of Statistics (2022-23), </w:t>
      </w:r>
      <w:hyperlink r:id="rId1" w:history="1">
        <w:r w:rsidRPr="002B30FE">
          <w:rPr>
            <w:rStyle w:val="Hyperlink"/>
            <w:rFonts w:ascii="Open Sans" w:hAnsi="Open Sans" w:cs="Open Sans"/>
            <w:i/>
            <w:iCs/>
            <w:sz w:val="16"/>
            <w:szCs w:val="16"/>
            <w:shd w:val="clear" w:color="auto" w:fill="FFFFFF"/>
          </w:rPr>
          <w:t>Australian Industry</w:t>
        </w:r>
      </w:hyperlink>
      <w:r w:rsidRPr="002B30FE">
        <w:rPr>
          <w:rFonts w:ascii="Open Sans" w:hAnsi="Open Sans" w:cs="Open Sans"/>
          <w:color w:val="000000"/>
          <w:sz w:val="16"/>
          <w:szCs w:val="16"/>
          <w:shd w:val="clear" w:color="auto" w:fill="FFFFFF"/>
        </w:rPr>
        <w:t>, ABS Website, accessed 6 June 2024.</w:t>
      </w:r>
    </w:p>
  </w:footnote>
  <w:footnote w:id="3">
    <w:p w14:paraId="35D0D9ED" w14:textId="77777777" w:rsidR="0051337E" w:rsidRDefault="0051337E" w:rsidP="0051337E">
      <w:pPr>
        <w:pStyle w:val="FootnoteText"/>
      </w:pPr>
      <w:r>
        <w:rPr>
          <w:rStyle w:val="FootnoteReference"/>
        </w:rPr>
        <w:footnoteRef/>
      </w:r>
      <w:r>
        <w:t xml:space="preserve"> </w:t>
      </w:r>
      <w:r w:rsidRPr="00930228">
        <w:rPr>
          <w:rFonts w:ascii="Open Sans" w:hAnsi="Open Sans" w:cs="Open Sans"/>
          <w:color w:val="000000"/>
          <w:sz w:val="16"/>
          <w:szCs w:val="16"/>
          <w:shd w:val="clear" w:color="auto" w:fill="FFFFFF"/>
        </w:rPr>
        <w:t>Australian Bureau of Statistics (2022-23), </w:t>
      </w:r>
      <w:hyperlink r:id="rId2" w:history="1">
        <w:r w:rsidRPr="00930228">
          <w:rPr>
            <w:rStyle w:val="Hyperlink"/>
            <w:rFonts w:ascii="Open Sans" w:hAnsi="Open Sans" w:cs="Open Sans"/>
            <w:i/>
            <w:iCs/>
            <w:sz w:val="16"/>
            <w:szCs w:val="16"/>
            <w:shd w:val="clear" w:color="auto" w:fill="FFFFFF"/>
          </w:rPr>
          <w:t>Australian Industry</w:t>
        </w:r>
      </w:hyperlink>
      <w:r w:rsidRPr="00930228">
        <w:rPr>
          <w:rFonts w:ascii="Open Sans" w:hAnsi="Open Sans" w:cs="Open Sans"/>
          <w:color w:val="000000"/>
          <w:sz w:val="16"/>
          <w:szCs w:val="16"/>
          <w:shd w:val="clear" w:color="auto" w:fill="FFFFFF"/>
        </w:rPr>
        <w:t>, ABS Website, accessed 6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DBED" w14:textId="73534256" w:rsidR="001411F4" w:rsidRDefault="00C53191">
    <w:pPr>
      <w:pStyle w:val="Header"/>
    </w:pPr>
    <w:r>
      <w:rPr>
        <w:noProof/>
        <w:lang w:eastAsia="en-AU"/>
      </w:rPr>
      <mc:AlternateContent>
        <mc:Choice Requires="wps">
          <w:drawing>
            <wp:anchor distT="0" distB="0" distL="0" distR="0" simplePos="0" relativeHeight="251658241" behindDoc="0" locked="0" layoutInCell="1" allowOverlap="1" wp14:anchorId="5C24CDDC" wp14:editId="46833958">
              <wp:simplePos x="635" y="635"/>
              <wp:positionH relativeFrom="page">
                <wp:align>center</wp:align>
              </wp:positionH>
              <wp:positionV relativeFrom="page">
                <wp:align>top</wp:align>
              </wp:positionV>
              <wp:extent cx="551815" cy="394970"/>
              <wp:effectExtent l="0" t="0" r="635" b="5080"/>
              <wp:wrapNone/>
              <wp:docPr id="1172186278"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D4C7115" w14:textId="589B2844"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24CDDC" id="_x0000_t202" coordsize="21600,21600" o:spt="202" path="m,l,21600r21600,l21600,xe">
              <v:stroke joinstyle="miter"/>
              <v:path gradientshapeok="t" o:connecttype="rect"/>
            </v:shapetype>
            <v:shape id="Text Box 2" o:spid="_x0000_s1026"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uJDQIAABwEAAAOAAAAZHJzL2Uyb0RvYy54bWysU01v2zAMvQ/YfxB0X2x3y9YYcYqsRYYB&#10;RVsgHXpWZDk2IImCxMTOfv0oJU66bqdhF5kiaX689zS/GYxme+VDB7bixSTnTFkJdWe3Ff/xvPpw&#10;zVlAYWuhwaqKH1TgN4v37+a9K9UVtKBr5RkVsaHsXcVbRFdmWZCtMiJMwClLwQa8EUhXv81qL3qq&#10;bnR2leefsx587TxIFQJ5745Bvkj1m0ZJfGyaoJDpitNsmE6fzk08s8VclFsvXNvJ0xjiH6YworPU&#10;9FzqTqBgO9/9Ucp00kOABicSTAZN00mVdqBtivzNNutWOJV2IXCCO8MU/l9Z+bBfuyfPcPgKAxEY&#10;AeldKAM54z5D40380qSM4gTh4QybGpBJck6nxXUx5UxS6OPs0+xLgjW7/Ox8wG8KDItGxT2xksAS&#10;+/uA1JBSx5TYy8Kq0zoxo+1vDkqMnuwyYbRw2Aysq19Nv4H6QEt5OPIdnFx11PpeBHwSngimPUi0&#10;+EhHo6GvOJwszlrwP//mj/mEO0U560kwFbekaM70d0t8RG0lo5jl05xufnRvRsPuzC2QDAt6EU4m&#10;M+ahHs3Gg3khOS9jIwoJK6ldxXE0b/GoXHoOUi2XKYlk5ATe27WTsXSEK2L5PLwI706AIzH1AKOa&#10;RPkG92Nu/DO45Q4J/URKhPYI5AlxkmDi6vRcosZf31PW5VEvfgEAAP//AwBQSwMEFAAGAAgAAAAh&#10;AAAQk+naAAAAAwEAAA8AAABkcnMvZG93bnJldi54bWxMj81OwzAQhO9IvIO1SNyok0iNSsimqpB6&#10;6K2Un/M23iYp8TqK3Tb06TFc4LLSaEYz35bLyfbqzKPvnCCkswQUS+1MJw3C2+v6YQHKBxJDvRNG&#10;+GIPy+r2pqTCuIu88HkXGhVLxBeE0IYwFFr7umVLfuYGlugd3GgpRDk22ox0ieW211mS5NpSJ3Gh&#10;pYGfW64/dyeL0M1XLqT8vlkfP2zq0ut2M79uEe/vptUTqMBT+AvDD35Ehyoy7d1JjFc9Qnwk/N7o&#10;LfJHUHuEPMtAV6X+z159AwAA//8DAFBLAQItABQABgAIAAAAIQC2gziS/gAAAOEBAAATAAAAAAAA&#10;AAAAAAAAAAAAAABbQ29udGVudF9UeXBlc10ueG1sUEsBAi0AFAAGAAgAAAAhADj9If/WAAAAlAEA&#10;AAsAAAAAAAAAAAAAAAAALwEAAF9yZWxzLy5yZWxzUEsBAi0AFAAGAAgAAAAhANP0S4kNAgAAHAQA&#10;AA4AAAAAAAAAAAAAAAAALgIAAGRycy9lMm9Eb2MueG1sUEsBAi0AFAAGAAgAAAAhAAAQk+naAAAA&#10;AwEAAA8AAAAAAAAAAAAAAAAAZwQAAGRycy9kb3ducmV2LnhtbFBLBQYAAAAABAAEAPMAAABuBQAA&#10;AAA=&#10;" filled="f" stroked="f">
              <v:fill o:detectmouseclick="t"/>
              <v:textbox style="mso-fit-shape-to-text:t" inset="0,15pt,0,0">
                <w:txbxContent>
                  <w:p w14:paraId="5D4C7115" w14:textId="589B2844"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27D5" w14:textId="77777777"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62BD4" w14:textId="3DB22479" w:rsidR="6C138010" w:rsidRPr="00463EE3" w:rsidRDefault="00C53191" w:rsidP="000E7155">
    <w:pPr>
      <w:pStyle w:val="Header"/>
      <w:rPr>
        <w:b/>
        <w:bCs/>
      </w:rPr>
    </w:pPr>
    <w:r>
      <w:rPr>
        <w:noProof/>
        <w:lang w:eastAsia="en-AU"/>
      </w:rPr>
      <mc:AlternateContent>
        <mc:Choice Requires="wps">
          <w:drawing>
            <wp:anchor distT="0" distB="0" distL="0" distR="0" simplePos="0" relativeHeight="251666944" behindDoc="0" locked="0" layoutInCell="1" allowOverlap="1" wp14:anchorId="410939A4" wp14:editId="22A72FC5">
              <wp:simplePos x="723900" y="628650"/>
              <wp:positionH relativeFrom="page">
                <wp:align>center</wp:align>
              </wp:positionH>
              <wp:positionV relativeFrom="page">
                <wp:align>top</wp:align>
              </wp:positionV>
              <wp:extent cx="551815" cy="394970"/>
              <wp:effectExtent l="0" t="0" r="635" b="5080"/>
              <wp:wrapNone/>
              <wp:docPr id="1826888765"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162FF5FB" w14:textId="4F391907" w:rsidR="00C53191" w:rsidRPr="00C53191" w:rsidRDefault="00C53191" w:rsidP="00C53191">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0939A4" id="_x0000_t202" coordsize="21600,21600" o:spt="202" path="m,l,21600r21600,l21600,xe">
              <v:stroke joinstyle="miter"/>
              <v:path gradientshapeok="t" o:connecttype="rect"/>
            </v:shapetype>
            <v:shape id="Text Box 1" o:spid="_x0000_s1028" type="#_x0000_t202" alt="OFFICIAL" style="position:absolute;margin-left:0;margin-top:0;width:43.45pt;height:31.1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fill o:detectmouseclick="t"/>
              <v:textbox style="mso-fit-shape-to-text:t" inset="0,15pt,0,0">
                <w:txbxContent>
                  <w:p w14:paraId="162FF5FB" w14:textId="4F391907" w:rsidR="00C53191" w:rsidRPr="00C53191" w:rsidRDefault="00C53191" w:rsidP="00C53191">
                    <w:pPr>
                      <w:spacing w:after="0"/>
                      <w:rPr>
                        <w:rFonts w:ascii="Calibri" w:eastAsia="Calibri" w:hAnsi="Calibri" w:cs="Calibri"/>
                        <w:noProof/>
                        <w:color w:val="FF0000"/>
                        <w:sz w:val="24"/>
                        <w:szCs w:val="24"/>
                      </w:rPr>
                    </w:pPr>
                  </w:p>
                </w:txbxContent>
              </v:textbox>
              <w10:wrap anchorx="page" anchory="page"/>
            </v:shape>
          </w:pict>
        </mc:Fallback>
      </mc:AlternateContent>
    </w:r>
    <w:r w:rsidR="6C138010">
      <w:rPr>
        <w:noProof/>
        <w:lang w:eastAsia="en-AU"/>
      </w:rPr>
      <w:drawing>
        <wp:inline distT="0" distB="0" distL="0" distR="0" wp14:anchorId="020A2642" wp14:editId="06A08DB0">
          <wp:extent cx="2686943" cy="561975"/>
          <wp:effectExtent l="0" t="0" r="0" b="0"/>
          <wp:docPr id="594346868" name="Picture 594346868" descr="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6943" cy="561975"/>
                  </a:xfrm>
                  <a:prstGeom prst="rect">
                    <a:avLst/>
                  </a:prstGeom>
                </pic:spPr>
              </pic:pic>
            </a:graphicData>
          </a:graphic>
        </wp:inline>
      </w:drawing>
    </w:r>
    <w:r w:rsidR="00463EE3">
      <w:tab/>
    </w:r>
    <w:r w:rsidR="00463EE3">
      <w:tab/>
    </w:r>
    <w:r w:rsidR="00463EE3" w:rsidRPr="00463EE3">
      <w:rPr>
        <w:b/>
        <w:bCs/>
        <w:u w:val="single"/>
      </w:rPr>
      <w:t>Attachment 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CAFA" w14:textId="4C810603" w:rsidR="00C53191" w:rsidRDefault="00C53191">
    <w:pPr>
      <w:pStyle w:val="Header"/>
    </w:pPr>
    <w:r>
      <w:rPr>
        <w:noProof/>
        <w:lang w:eastAsia="en-AU"/>
      </w:rPr>
      <mc:AlternateContent>
        <mc:Choice Requires="wps">
          <w:drawing>
            <wp:anchor distT="0" distB="0" distL="0" distR="0" simplePos="0" relativeHeight="251658243" behindDoc="0" locked="0" layoutInCell="1" allowOverlap="1" wp14:anchorId="0CD08CEA" wp14:editId="624911ED">
              <wp:simplePos x="635" y="635"/>
              <wp:positionH relativeFrom="page">
                <wp:align>center</wp:align>
              </wp:positionH>
              <wp:positionV relativeFrom="page">
                <wp:align>top</wp:align>
              </wp:positionV>
              <wp:extent cx="551815" cy="394970"/>
              <wp:effectExtent l="0" t="0" r="635" b="5080"/>
              <wp:wrapNone/>
              <wp:docPr id="174188049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07FEC2EB" w14:textId="53885590"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D08CEA" id="_x0000_t202" coordsize="21600,21600" o:spt="202" path="m,l,21600r21600,l21600,xe">
              <v:stroke joinstyle="miter"/>
              <v:path gradientshapeok="t" o:connecttype="rect"/>
            </v:shapetype>
            <v:shape id="Text Box 5" o:spid="_x0000_s1029" type="#_x0000_t202" alt="OFFICIAL" style="position:absolute;margin-left:0;margin-top:0;width:43.45pt;height:31.1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NCDwIAABwEAAAOAAAAZHJzL2Uyb0RvYy54bWysU01v2zAMvQ/YfxB0X2x3zdYYcYqsRYYB&#10;RVsgHXpWZDk2IImCxMTOfv0oJU62bqdhF5kiaX689zS/HYxme+VDB7bixSTnTFkJdWe3Ff/+svpw&#10;w1lAYWuhwaqKH1Tgt4v37+a9K9UVtKBr5RkVsaHsXcVbRFdmWZCtMiJMwClLwQa8EUhXv81qL3qq&#10;bnR2leefsh587TxIFQJ5749Bvkj1m0ZJfGqaoJDpitNsmE6fzk08s8VclFsvXNvJ0xjiH6YworPU&#10;9FzqXqBgO9/9Ucp00kOABicSTAZN00mVdqBtivzNNutWOJV2IXCCO8MU/l9Z+bhfu2fPcPgCAxEY&#10;AeldKAM54z5D40380qSM4gTh4QybGpBJck6nxU0x5UxS6OPsevY5wZpdfnY+4FcFhkWj4p5YSWCJ&#10;/UNAakipY0rsZWHVaZ2Y0fY3ByVGT3aZMFo4bAbW1RW/HqffQH2gpTwc+Q5Orjpq/SACPgtPBNMe&#10;JFp8oqPR0FccThZnLfgff/PHfMKdopz1JJiKW1I0Z/qbJT6itpJRzPJpTjc/ujejYXfmDkiGBb0I&#10;J5MZ81CPZuPBvJKcl7ERhYSV1K7iOJp3eFQuPQeplsuURDJyAh/s2slYOsIVsXwZXoV3J8CRmHqE&#10;UU2ifIP7MTf+Gdxyh4R+IiVCewTyhDhJMHF1ei5R47/eU9blUS9+AgAA//8DAFBLAwQUAAYACAAA&#10;ACEAABCT6doAAAADAQAADwAAAGRycy9kb3ducmV2LnhtbEyPzU7DMBCE70i8g7VI3KiTSI1KyKaq&#10;kHrorZSf8zbeJinxOordNvTpMVzgstJoRjPflsvJ9urMo++cIKSzBBRL7UwnDcLb6/phAcoHEkO9&#10;E0b4Yg/L6vampMK4i7zweRcaFUvEF4TQhjAUWvu6ZUt+5gaW6B3caClEOTbajHSJ5bbXWZLk2lIn&#10;caGlgZ9brj93J4vQzVcupPy+WR8/bOrS63Yzv24R7++m1ROowFP4C8MPfkSHKjLt3UmMVz1CfCT8&#10;3ugt8kdQe4Q8y0BXpf7PXn0DAAD//wMAUEsBAi0AFAAGAAgAAAAhALaDOJL+AAAA4QEAABMAAAAA&#10;AAAAAAAAAAAAAAAAAFtDb250ZW50X1R5cGVzXS54bWxQSwECLQAUAAYACAAAACEAOP0h/9YAAACU&#10;AQAACwAAAAAAAAAAAAAAAAAvAQAAX3JlbHMvLnJlbHNQSwECLQAUAAYACAAAACEACrYzQg8CAAAc&#10;BAAADgAAAAAAAAAAAAAAAAAuAgAAZHJzL2Uyb0RvYy54bWxQSwECLQAUAAYACAAAACEAABCT6doA&#10;AAADAQAADwAAAAAAAAAAAAAAAABpBAAAZHJzL2Rvd25yZXYueG1sUEsFBgAAAAAEAAQA8wAAAHAF&#10;AAAAAA==&#10;" filled="f" stroked="f">
              <v:fill o:detectmouseclick="t"/>
              <v:textbox style="mso-fit-shape-to-text:t" inset="0,15pt,0,0">
                <w:txbxContent>
                  <w:p w14:paraId="07FEC2EB" w14:textId="53885590"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2A23" w14:textId="6EE59F99" w:rsidR="00C53191" w:rsidRDefault="00C531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FBC80" w14:textId="7BEB56FF" w:rsidR="00C53191" w:rsidRDefault="00C53191">
    <w:pPr>
      <w:pStyle w:val="Header"/>
    </w:pPr>
    <w:r>
      <w:rPr>
        <w:noProof/>
        <w:lang w:eastAsia="en-AU"/>
      </w:rPr>
      <mc:AlternateContent>
        <mc:Choice Requires="wps">
          <w:drawing>
            <wp:anchor distT="0" distB="0" distL="0" distR="0" simplePos="0" relativeHeight="251658245" behindDoc="0" locked="0" layoutInCell="1" allowOverlap="1" wp14:anchorId="0E757930" wp14:editId="764928CF">
              <wp:simplePos x="635" y="635"/>
              <wp:positionH relativeFrom="page">
                <wp:align>center</wp:align>
              </wp:positionH>
              <wp:positionV relativeFrom="page">
                <wp:align>top</wp:align>
              </wp:positionV>
              <wp:extent cx="551815" cy="394970"/>
              <wp:effectExtent l="0" t="0" r="635" b="5080"/>
              <wp:wrapNone/>
              <wp:docPr id="128933311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70861173" w14:textId="62584ED4"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757930" id="_x0000_t202" coordsize="21600,21600" o:spt="202" path="m,l,21600r21600,l21600,xe">
              <v:stroke joinstyle="miter"/>
              <v:path gradientshapeok="t" o:connecttype="rect"/>
            </v:shapetype>
            <v:shape id="Text Box 4" o:spid="_x0000_s1031" type="#_x0000_t202" alt="OFFICIAL" style="position:absolute;margin-left:0;margin-top:0;width:43.45pt;height:31.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7yDgIAABwEAAAOAAAAZHJzL2Uyb0RvYy54bWysU01v2zAMvQ/YfxB0X2x3y9YYcYqsRYYB&#10;RVsgHXpWZCk2IIuCxMTOfv0oJU66bqdhF5kiaX689zS/GTrD9sqHFmzFi0nOmbIS6tZuK/7jefXh&#10;mrOAwtbCgFUVP6jAbxbv3817V6oraMDUyjMqYkPZu4o3iK7MsiAb1YkwAacsBTX4TiBd/Tarveip&#10;emeyqzz/nPXga+dBqhDIe3cM8kWqr7WS+Kh1UMhMxWk2TKdP5yae2WIuyq0XrmnlaQzxD1N0orXU&#10;9FzqTqBgO9/+UaprpYcAGicSugy0bqVKO9A2Rf5mm3UjnEq7EDjBnWEK/6+sfNiv3ZNnOHyFgQiM&#10;gPQulIGccZ9B+y5+aVJGcYLwcIZNDcgkOafT4rqYciYp9HH2afYlwZpdfnY+4DcFHYtGxT2xksAS&#10;+/uA1JBSx5TYy8KqNSYxY+xvDkqMnuwyYbRw2Aysran5OP0G6gMt5eHId3By1VLrexHwSXgimPYg&#10;0eIjHdpAX3E4WZw14H/+zR/zCXeKctaTYCpuSdGcme+W+IjaSkYxy6c53fzo3oyG3XW3QDIs6EU4&#10;mcyYh2Y0tYfuheS8jI0oJKykdhXH0bzFo3LpOUi1XKYkkpETeG/XTsbSEa6I5fPwIrw7AY7E1AOM&#10;ahLlG9yPufHP4JY7JPQTKRHaI5AnxEmCiavTc4kaf31PWZdHvfgFAAD//wMAUEsDBBQABgAIAAAA&#10;IQAAEJPp2gAAAAMBAAAPAAAAZHJzL2Rvd25yZXYueG1sTI/NTsMwEITvSLyDtUjcqJNIjUrIpqqQ&#10;euitlJ/zNt4mKfE6it029OkxXOCy0mhGM9+Wy8n26syj75wgpLMEFEvtTCcNwtvr+mEBygcSQ70T&#10;RvhiD8vq9qakwriLvPB5FxoVS8QXhNCGMBRa+7plS37mBpboHdxoKUQ5NtqMdInlttdZkuTaUidx&#10;oaWBn1uuP3cni9DNVy6k/L5ZHz9s6tLrdjO/bhHv76bVE6jAU/gLww9+RIcqMu3dSYxXPUJ8JPze&#10;6C3yR1B7hDzLQFel/s9efQMAAP//AwBQSwECLQAUAAYACAAAACEAtoM4kv4AAADhAQAAEwAAAAAA&#10;AAAAAAAAAAAAAAAAW0NvbnRlbnRfVHlwZXNdLnhtbFBLAQItABQABgAIAAAAIQA4/SH/1gAAAJQB&#10;AAALAAAAAAAAAAAAAAAAAC8BAABfcmVscy8ucmVsc1BLAQItABQABgAIAAAAIQAJii7yDgIAABwE&#10;AAAOAAAAAAAAAAAAAAAAAC4CAABkcnMvZTJvRG9jLnhtbFBLAQItABQABgAIAAAAIQAAEJPp2gAA&#10;AAMBAAAPAAAAAAAAAAAAAAAAAGgEAABkcnMvZG93bnJldi54bWxQSwUGAAAAAAQABADzAAAAbwUA&#10;AAAA&#10;" filled="f" stroked="f">
              <v:fill o:detectmouseclick="t"/>
              <v:textbox style="mso-fit-shape-to-text:t" inset="0,15pt,0,0">
                <w:txbxContent>
                  <w:p w14:paraId="70861173" w14:textId="62584ED4" w:rsidR="00C53191" w:rsidRPr="00C53191" w:rsidRDefault="00C53191" w:rsidP="00C53191">
                    <w:pPr>
                      <w:spacing w:after="0"/>
                      <w:rPr>
                        <w:rFonts w:ascii="Calibri" w:eastAsia="Calibri" w:hAnsi="Calibri" w:cs="Calibri"/>
                        <w:noProof/>
                        <w:color w:val="FF0000"/>
                        <w:sz w:val="24"/>
                        <w:szCs w:val="24"/>
                      </w:rPr>
                    </w:pPr>
                    <w:r w:rsidRPr="00C5319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7031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F45B2"/>
    <w:multiLevelType w:val="hybridMultilevel"/>
    <w:tmpl w:val="FFFFFFFF"/>
    <w:lvl w:ilvl="0" w:tplc="3F9C93E2">
      <w:start w:val="1"/>
      <w:numFmt w:val="bullet"/>
      <w:lvlText w:val="-"/>
      <w:lvlJc w:val="left"/>
      <w:pPr>
        <w:ind w:left="720" w:hanging="360"/>
      </w:pPr>
      <w:rPr>
        <w:rFonts w:ascii="Aptos" w:hAnsi="Aptos" w:hint="default"/>
      </w:rPr>
    </w:lvl>
    <w:lvl w:ilvl="1" w:tplc="B5D6607C">
      <w:start w:val="1"/>
      <w:numFmt w:val="bullet"/>
      <w:lvlText w:val="o"/>
      <w:lvlJc w:val="left"/>
      <w:pPr>
        <w:ind w:left="1440" w:hanging="360"/>
      </w:pPr>
      <w:rPr>
        <w:rFonts w:ascii="Courier New" w:hAnsi="Courier New" w:hint="default"/>
      </w:rPr>
    </w:lvl>
    <w:lvl w:ilvl="2" w:tplc="0E9AAF74">
      <w:start w:val="1"/>
      <w:numFmt w:val="bullet"/>
      <w:lvlText w:val=""/>
      <w:lvlJc w:val="left"/>
      <w:pPr>
        <w:ind w:left="2160" w:hanging="360"/>
      </w:pPr>
      <w:rPr>
        <w:rFonts w:ascii="Wingdings" w:hAnsi="Wingdings" w:hint="default"/>
      </w:rPr>
    </w:lvl>
    <w:lvl w:ilvl="3" w:tplc="70C22B08">
      <w:start w:val="1"/>
      <w:numFmt w:val="bullet"/>
      <w:lvlText w:val=""/>
      <w:lvlJc w:val="left"/>
      <w:pPr>
        <w:ind w:left="2880" w:hanging="360"/>
      </w:pPr>
      <w:rPr>
        <w:rFonts w:ascii="Symbol" w:hAnsi="Symbol" w:hint="default"/>
      </w:rPr>
    </w:lvl>
    <w:lvl w:ilvl="4" w:tplc="20ACE5DC">
      <w:start w:val="1"/>
      <w:numFmt w:val="bullet"/>
      <w:lvlText w:val="o"/>
      <w:lvlJc w:val="left"/>
      <w:pPr>
        <w:ind w:left="3600" w:hanging="360"/>
      </w:pPr>
      <w:rPr>
        <w:rFonts w:ascii="Courier New" w:hAnsi="Courier New" w:hint="default"/>
      </w:rPr>
    </w:lvl>
    <w:lvl w:ilvl="5" w:tplc="D1E2514A">
      <w:start w:val="1"/>
      <w:numFmt w:val="bullet"/>
      <w:lvlText w:val=""/>
      <w:lvlJc w:val="left"/>
      <w:pPr>
        <w:ind w:left="4320" w:hanging="360"/>
      </w:pPr>
      <w:rPr>
        <w:rFonts w:ascii="Wingdings" w:hAnsi="Wingdings" w:hint="default"/>
      </w:rPr>
    </w:lvl>
    <w:lvl w:ilvl="6" w:tplc="DEAE5798">
      <w:start w:val="1"/>
      <w:numFmt w:val="bullet"/>
      <w:lvlText w:val=""/>
      <w:lvlJc w:val="left"/>
      <w:pPr>
        <w:ind w:left="5040" w:hanging="360"/>
      </w:pPr>
      <w:rPr>
        <w:rFonts w:ascii="Symbol" w:hAnsi="Symbol" w:hint="default"/>
      </w:rPr>
    </w:lvl>
    <w:lvl w:ilvl="7" w:tplc="C9903C56">
      <w:start w:val="1"/>
      <w:numFmt w:val="bullet"/>
      <w:lvlText w:val="o"/>
      <w:lvlJc w:val="left"/>
      <w:pPr>
        <w:ind w:left="5760" w:hanging="360"/>
      </w:pPr>
      <w:rPr>
        <w:rFonts w:ascii="Courier New" w:hAnsi="Courier New" w:hint="default"/>
      </w:rPr>
    </w:lvl>
    <w:lvl w:ilvl="8" w:tplc="427CDD60">
      <w:start w:val="1"/>
      <w:numFmt w:val="bullet"/>
      <w:lvlText w:val=""/>
      <w:lvlJc w:val="left"/>
      <w:pPr>
        <w:ind w:left="6480" w:hanging="360"/>
      </w:pPr>
      <w:rPr>
        <w:rFonts w:ascii="Wingdings" w:hAnsi="Wingdings" w:hint="default"/>
      </w:rPr>
    </w:lvl>
  </w:abstractNum>
  <w:abstractNum w:abstractNumId="2" w15:restartNumberingAfterBreak="0">
    <w:nsid w:val="097F02AB"/>
    <w:multiLevelType w:val="multilevel"/>
    <w:tmpl w:val="FDC86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54BD9"/>
    <w:multiLevelType w:val="hybridMultilevel"/>
    <w:tmpl w:val="F136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51049ED"/>
    <w:multiLevelType w:val="hybridMultilevel"/>
    <w:tmpl w:val="B7C0E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33BBA"/>
    <w:multiLevelType w:val="hybridMultilevel"/>
    <w:tmpl w:val="0812E2DE"/>
    <w:lvl w:ilvl="0" w:tplc="E1AE5D66">
      <w:start w:val="1"/>
      <w:numFmt w:val="decimal"/>
      <w:pStyle w:val="Figure"/>
      <w:suff w:val="space"/>
      <w:lvlText w:val="Figure %1."/>
      <w:lvlJc w:val="left"/>
      <w:pPr>
        <w:ind w:left="2836" w:hanging="567"/>
      </w:pPr>
      <w:rPr>
        <w:rFonts w:hint="default"/>
      </w:rPr>
    </w:lvl>
    <w:lvl w:ilvl="1" w:tplc="0C090019" w:tentative="1">
      <w:start w:val="1"/>
      <w:numFmt w:val="lowerLetter"/>
      <w:lvlText w:val="%2."/>
      <w:lvlJc w:val="left"/>
      <w:pPr>
        <w:ind w:left="3709" w:hanging="360"/>
      </w:pPr>
    </w:lvl>
    <w:lvl w:ilvl="2" w:tplc="0C09001B" w:tentative="1">
      <w:start w:val="1"/>
      <w:numFmt w:val="lowerRoman"/>
      <w:lvlText w:val="%3."/>
      <w:lvlJc w:val="right"/>
      <w:pPr>
        <w:ind w:left="4429" w:hanging="180"/>
      </w:pPr>
    </w:lvl>
    <w:lvl w:ilvl="3" w:tplc="0C09000F" w:tentative="1">
      <w:start w:val="1"/>
      <w:numFmt w:val="decimal"/>
      <w:lvlText w:val="%4."/>
      <w:lvlJc w:val="left"/>
      <w:pPr>
        <w:ind w:left="5149" w:hanging="360"/>
      </w:pPr>
    </w:lvl>
    <w:lvl w:ilvl="4" w:tplc="0C090019" w:tentative="1">
      <w:start w:val="1"/>
      <w:numFmt w:val="lowerLetter"/>
      <w:lvlText w:val="%5."/>
      <w:lvlJc w:val="left"/>
      <w:pPr>
        <w:ind w:left="5869" w:hanging="360"/>
      </w:pPr>
    </w:lvl>
    <w:lvl w:ilvl="5" w:tplc="0C09001B" w:tentative="1">
      <w:start w:val="1"/>
      <w:numFmt w:val="lowerRoman"/>
      <w:lvlText w:val="%6."/>
      <w:lvlJc w:val="right"/>
      <w:pPr>
        <w:ind w:left="6589" w:hanging="180"/>
      </w:pPr>
    </w:lvl>
    <w:lvl w:ilvl="6" w:tplc="0C09000F" w:tentative="1">
      <w:start w:val="1"/>
      <w:numFmt w:val="decimal"/>
      <w:lvlText w:val="%7."/>
      <w:lvlJc w:val="left"/>
      <w:pPr>
        <w:ind w:left="7309" w:hanging="360"/>
      </w:pPr>
    </w:lvl>
    <w:lvl w:ilvl="7" w:tplc="0C090019" w:tentative="1">
      <w:start w:val="1"/>
      <w:numFmt w:val="lowerLetter"/>
      <w:lvlText w:val="%8."/>
      <w:lvlJc w:val="left"/>
      <w:pPr>
        <w:ind w:left="8029" w:hanging="360"/>
      </w:pPr>
    </w:lvl>
    <w:lvl w:ilvl="8" w:tplc="0C09001B" w:tentative="1">
      <w:start w:val="1"/>
      <w:numFmt w:val="lowerRoman"/>
      <w:lvlText w:val="%9."/>
      <w:lvlJc w:val="right"/>
      <w:pPr>
        <w:ind w:left="8749" w:hanging="180"/>
      </w:pPr>
    </w:lvl>
  </w:abstractNum>
  <w:abstractNum w:abstractNumId="10" w15:restartNumberingAfterBreak="0">
    <w:nsid w:val="1CD9BBD0"/>
    <w:multiLevelType w:val="hybridMultilevel"/>
    <w:tmpl w:val="FFFFFFFF"/>
    <w:lvl w:ilvl="0" w:tplc="2EFE156A">
      <w:start w:val="1"/>
      <w:numFmt w:val="bullet"/>
      <w:lvlText w:val=""/>
      <w:lvlJc w:val="left"/>
      <w:pPr>
        <w:ind w:left="720" w:hanging="360"/>
      </w:pPr>
      <w:rPr>
        <w:rFonts w:ascii="Symbol" w:hAnsi="Symbol" w:hint="default"/>
      </w:rPr>
    </w:lvl>
    <w:lvl w:ilvl="1" w:tplc="09F2EE3C">
      <w:start w:val="1"/>
      <w:numFmt w:val="bullet"/>
      <w:lvlText w:val="o"/>
      <w:lvlJc w:val="left"/>
      <w:pPr>
        <w:ind w:left="1440" w:hanging="360"/>
      </w:pPr>
      <w:rPr>
        <w:rFonts w:ascii="Courier New" w:hAnsi="Courier New" w:hint="default"/>
      </w:rPr>
    </w:lvl>
    <w:lvl w:ilvl="2" w:tplc="3AF2CA18">
      <w:start w:val="1"/>
      <w:numFmt w:val="bullet"/>
      <w:lvlText w:val=""/>
      <w:lvlJc w:val="left"/>
      <w:pPr>
        <w:ind w:left="2160" w:hanging="360"/>
      </w:pPr>
      <w:rPr>
        <w:rFonts w:ascii="Wingdings" w:hAnsi="Wingdings" w:hint="default"/>
      </w:rPr>
    </w:lvl>
    <w:lvl w:ilvl="3" w:tplc="74E883D4">
      <w:start w:val="1"/>
      <w:numFmt w:val="bullet"/>
      <w:lvlText w:val=""/>
      <w:lvlJc w:val="left"/>
      <w:pPr>
        <w:ind w:left="2880" w:hanging="360"/>
      </w:pPr>
      <w:rPr>
        <w:rFonts w:ascii="Symbol" w:hAnsi="Symbol" w:hint="default"/>
      </w:rPr>
    </w:lvl>
    <w:lvl w:ilvl="4" w:tplc="D7A80454">
      <w:start w:val="1"/>
      <w:numFmt w:val="bullet"/>
      <w:lvlText w:val="o"/>
      <w:lvlJc w:val="left"/>
      <w:pPr>
        <w:ind w:left="3600" w:hanging="360"/>
      </w:pPr>
      <w:rPr>
        <w:rFonts w:ascii="Courier New" w:hAnsi="Courier New" w:hint="default"/>
      </w:rPr>
    </w:lvl>
    <w:lvl w:ilvl="5" w:tplc="847C1882">
      <w:start w:val="1"/>
      <w:numFmt w:val="bullet"/>
      <w:lvlText w:val=""/>
      <w:lvlJc w:val="left"/>
      <w:pPr>
        <w:ind w:left="4320" w:hanging="360"/>
      </w:pPr>
      <w:rPr>
        <w:rFonts w:ascii="Wingdings" w:hAnsi="Wingdings" w:hint="default"/>
      </w:rPr>
    </w:lvl>
    <w:lvl w:ilvl="6" w:tplc="ACF0EC34">
      <w:start w:val="1"/>
      <w:numFmt w:val="bullet"/>
      <w:lvlText w:val=""/>
      <w:lvlJc w:val="left"/>
      <w:pPr>
        <w:ind w:left="5040" w:hanging="360"/>
      </w:pPr>
      <w:rPr>
        <w:rFonts w:ascii="Symbol" w:hAnsi="Symbol" w:hint="default"/>
      </w:rPr>
    </w:lvl>
    <w:lvl w:ilvl="7" w:tplc="40DE0730">
      <w:start w:val="1"/>
      <w:numFmt w:val="bullet"/>
      <w:lvlText w:val="o"/>
      <w:lvlJc w:val="left"/>
      <w:pPr>
        <w:ind w:left="5760" w:hanging="360"/>
      </w:pPr>
      <w:rPr>
        <w:rFonts w:ascii="Courier New" w:hAnsi="Courier New" w:hint="default"/>
      </w:rPr>
    </w:lvl>
    <w:lvl w:ilvl="8" w:tplc="0344855A">
      <w:start w:val="1"/>
      <w:numFmt w:val="bullet"/>
      <w:lvlText w:val=""/>
      <w:lvlJc w:val="left"/>
      <w:pPr>
        <w:ind w:left="6480" w:hanging="360"/>
      </w:pPr>
      <w:rPr>
        <w:rFonts w:ascii="Wingdings" w:hAnsi="Wingdings" w:hint="default"/>
      </w:rPr>
    </w:lvl>
  </w:abstractNum>
  <w:abstractNum w:abstractNumId="11" w15:restartNumberingAfterBreak="0">
    <w:nsid w:val="1E2808C2"/>
    <w:multiLevelType w:val="multilevel"/>
    <w:tmpl w:val="62027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27C1FFA"/>
    <w:multiLevelType w:val="hybridMultilevel"/>
    <w:tmpl w:val="F780A80C"/>
    <w:lvl w:ilvl="0" w:tplc="84345DCE">
      <w:start w:val="1"/>
      <w:numFmt w:val="bullet"/>
      <w:lvlText w:val=""/>
      <w:lvlJc w:val="left"/>
      <w:pPr>
        <w:ind w:left="1020" w:hanging="360"/>
      </w:pPr>
      <w:rPr>
        <w:rFonts w:ascii="Symbol" w:hAnsi="Symbol"/>
      </w:rPr>
    </w:lvl>
    <w:lvl w:ilvl="1" w:tplc="09AA324E">
      <w:start w:val="1"/>
      <w:numFmt w:val="bullet"/>
      <w:lvlText w:val=""/>
      <w:lvlJc w:val="left"/>
      <w:pPr>
        <w:ind w:left="1020" w:hanging="360"/>
      </w:pPr>
      <w:rPr>
        <w:rFonts w:ascii="Symbol" w:hAnsi="Symbol"/>
      </w:rPr>
    </w:lvl>
    <w:lvl w:ilvl="2" w:tplc="63A88CF6">
      <w:start w:val="1"/>
      <w:numFmt w:val="bullet"/>
      <w:lvlText w:val=""/>
      <w:lvlJc w:val="left"/>
      <w:pPr>
        <w:ind w:left="1020" w:hanging="360"/>
      </w:pPr>
      <w:rPr>
        <w:rFonts w:ascii="Symbol" w:hAnsi="Symbol"/>
      </w:rPr>
    </w:lvl>
    <w:lvl w:ilvl="3" w:tplc="4904996E">
      <w:start w:val="1"/>
      <w:numFmt w:val="bullet"/>
      <w:lvlText w:val=""/>
      <w:lvlJc w:val="left"/>
      <w:pPr>
        <w:ind w:left="1020" w:hanging="360"/>
      </w:pPr>
      <w:rPr>
        <w:rFonts w:ascii="Symbol" w:hAnsi="Symbol"/>
      </w:rPr>
    </w:lvl>
    <w:lvl w:ilvl="4" w:tplc="B6B00896">
      <w:start w:val="1"/>
      <w:numFmt w:val="bullet"/>
      <w:lvlText w:val=""/>
      <w:lvlJc w:val="left"/>
      <w:pPr>
        <w:ind w:left="1020" w:hanging="360"/>
      </w:pPr>
      <w:rPr>
        <w:rFonts w:ascii="Symbol" w:hAnsi="Symbol"/>
      </w:rPr>
    </w:lvl>
    <w:lvl w:ilvl="5" w:tplc="A728147C">
      <w:start w:val="1"/>
      <w:numFmt w:val="bullet"/>
      <w:lvlText w:val=""/>
      <w:lvlJc w:val="left"/>
      <w:pPr>
        <w:ind w:left="1020" w:hanging="360"/>
      </w:pPr>
      <w:rPr>
        <w:rFonts w:ascii="Symbol" w:hAnsi="Symbol"/>
      </w:rPr>
    </w:lvl>
    <w:lvl w:ilvl="6" w:tplc="2F449906">
      <w:start w:val="1"/>
      <w:numFmt w:val="bullet"/>
      <w:lvlText w:val=""/>
      <w:lvlJc w:val="left"/>
      <w:pPr>
        <w:ind w:left="1020" w:hanging="360"/>
      </w:pPr>
      <w:rPr>
        <w:rFonts w:ascii="Symbol" w:hAnsi="Symbol"/>
      </w:rPr>
    </w:lvl>
    <w:lvl w:ilvl="7" w:tplc="185E44D0">
      <w:start w:val="1"/>
      <w:numFmt w:val="bullet"/>
      <w:lvlText w:val=""/>
      <w:lvlJc w:val="left"/>
      <w:pPr>
        <w:ind w:left="1020" w:hanging="360"/>
      </w:pPr>
      <w:rPr>
        <w:rFonts w:ascii="Symbol" w:hAnsi="Symbol"/>
      </w:rPr>
    </w:lvl>
    <w:lvl w:ilvl="8" w:tplc="3486620C">
      <w:start w:val="1"/>
      <w:numFmt w:val="bullet"/>
      <w:lvlText w:val=""/>
      <w:lvlJc w:val="left"/>
      <w:pPr>
        <w:ind w:left="1020" w:hanging="360"/>
      </w:pPr>
      <w:rPr>
        <w:rFonts w:ascii="Symbol" w:hAnsi="Symbol"/>
      </w:rPr>
    </w:lvl>
  </w:abstractNum>
  <w:abstractNum w:abstractNumId="14" w15:restartNumberingAfterBreak="0">
    <w:nsid w:val="253A2B64"/>
    <w:multiLevelType w:val="hybridMultilevel"/>
    <w:tmpl w:val="FFFFFFFF"/>
    <w:lvl w:ilvl="0" w:tplc="3730BEF2">
      <w:start w:val="1"/>
      <w:numFmt w:val="bullet"/>
      <w:lvlText w:val=""/>
      <w:lvlJc w:val="left"/>
      <w:pPr>
        <w:ind w:left="720" w:hanging="360"/>
      </w:pPr>
      <w:rPr>
        <w:rFonts w:ascii="Symbol" w:hAnsi="Symbol" w:hint="default"/>
      </w:rPr>
    </w:lvl>
    <w:lvl w:ilvl="1" w:tplc="E8A0F6F0">
      <w:start w:val="1"/>
      <w:numFmt w:val="bullet"/>
      <w:lvlText w:val="o"/>
      <w:lvlJc w:val="left"/>
      <w:pPr>
        <w:ind w:left="1440" w:hanging="360"/>
      </w:pPr>
      <w:rPr>
        <w:rFonts w:ascii="Courier New" w:hAnsi="Courier New" w:hint="default"/>
      </w:rPr>
    </w:lvl>
    <w:lvl w:ilvl="2" w:tplc="162624EA">
      <w:start w:val="1"/>
      <w:numFmt w:val="bullet"/>
      <w:lvlText w:val=""/>
      <w:lvlJc w:val="left"/>
      <w:pPr>
        <w:ind w:left="2160" w:hanging="360"/>
      </w:pPr>
      <w:rPr>
        <w:rFonts w:ascii="Wingdings" w:hAnsi="Wingdings" w:hint="default"/>
      </w:rPr>
    </w:lvl>
    <w:lvl w:ilvl="3" w:tplc="AFE09822">
      <w:start w:val="1"/>
      <w:numFmt w:val="bullet"/>
      <w:lvlText w:val=""/>
      <w:lvlJc w:val="left"/>
      <w:pPr>
        <w:ind w:left="2880" w:hanging="360"/>
      </w:pPr>
      <w:rPr>
        <w:rFonts w:ascii="Symbol" w:hAnsi="Symbol" w:hint="default"/>
      </w:rPr>
    </w:lvl>
    <w:lvl w:ilvl="4" w:tplc="D7207C14">
      <w:start w:val="1"/>
      <w:numFmt w:val="bullet"/>
      <w:lvlText w:val="o"/>
      <w:lvlJc w:val="left"/>
      <w:pPr>
        <w:ind w:left="3600" w:hanging="360"/>
      </w:pPr>
      <w:rPr>
        <w:rFonts w:ascii="Courier New" w:hAnsi="Courier New" w:hint="default"/>
      </w:rPr>
    </w:lvl>
    <w:lvl w:ilvl="5" w:tplc="B1C433C2">
      <w:start w:val="1"/>
      <w:numFmt w:val="bullet"/>
      <w:lvlText w:val=""/>
      <w:lvlJc w:val="left"/>
      <w:pPr>
        <w:ind w:left="4320" w:hanging="360"/>
      </w:pPr>
      <w:rPr>
        <w:rFonts w:ascii="Wingdings" w:hAnsi="Wingdings" w:hint="default"/>
      </w:rPr>
    </w:lvl>
    <w:lvl w:ilvl="6" w:tplc="26B8ADFC">
      <w:start w:val="1"/>
      <w:numFmt w:val="bullet"/>
      <w:lvlText w:val=""/>
      <w:lvlJc w:val="left"/>
      <w:pPr>
        <w:ind w:left="5040" w:hanging="360"/>
      </w:pPr>
      <w:rPr>
        <w:rFonts w:ascii="Symbol" w:hAnsi="Symbol" w:hint="default"/>
      </w:rPr>
    </w:lvl>
    <w:lvl w:ilvl="7" w:tplc="39A861D0">
      <w:start w:val="1"/>
      <w:numFmt w:val="bullet"/>
      <w:lvlText w:val="o"/>
      <w:lvlJc w:val="left"/>
      <w:pPr>
        <w:ind w:left="5760" w:hanging="360"/>
      </w:pPr>
      <w:rPr>
        <w:rFonts w:ascii="Courier New" w:hAnsi="Courier New" w:hint="default"/>
      </w:rPr>
    </w:lvl>
    <w:lvl w:ilvl="8" w:tplc="C1BA9940">
      <w:start w:val="1"/>
      <w:numFmt w:val="bullet"/>
      <w:lvlText w:val=""/>
      <w:lvlJc w:val="left"/>
      <w:pPr>
        <w:ind w:left="6480" w:hanging="360"/>
      </w:pPr>
      <w:rPr>
        <w:rFonts w:ascii="Wingdings" w:hAnsi="Wingdings" w:hint="default"/>
      </w:rPr>
    </w:lvl>
  </w:abstractNum>
  <w:abstractNum w:abstractNumId="15" w15:restartNumberingAfterBreak="0">
    <w:nsid w:val="278099FD"/>
    <w:multiLevelType w:val="hybridMultilevel"/>
    <w:tmpl w:val="FFFFFFFF"/>
    <w:lvl w:ilvl="0" w:tplc="F5729C70">
      <w:start w:val="1"/>
      <w:numFmt w:val="bullet"/>
      <w:lvlText w:val="o"/>
      <w:lvlJc w:val="left"/>
      <w:pPr>
        <w:ind w:left="720" w:hanging="360"/>
      </w:pPr>
      <w:rPr>
        <w:rFonts w:ascii="Courier New" w:hAnsi="Courier New" w:hint="default"/>
      </w:rPr>
    </w:lvl>
    <w:lvl w:ilvl="1" w:tplc="E4F2ADB6">
      <w:start w:val="1"/>
      <w:numFmt w:val="bullet"/>
      <w:lvlText w:val="o"/>
      <w:lvlJc w:val="left"/>
      <w:pPr>
        <w:ind w:left="1440" w:hanging="360"/>
      </w:pPr>
      <w:rPr>
        <w:rFonts w:ascii="Courier New" w:hAnsi="Courier New" w:hint="default"/>
      </w:rPr>
    </w:lvl>
    <w:lvl w:ilvl="2" w:tplc="AD820022">
      <w:start w:val="1"/>
      <w:numFmt w:val="bullet"/>
      <w:lvlText w:val=""/>
      <w:lvlJc w:val="left"/>
      <w:pPr>
        <w:ind w:left="2160" w:hanging="360"/>
      </w:pPr>
      <w:rPr>
        <w:rFonts w:ascii="Wingdings" w:hAnsi="Wingdings" w:hint="default"/>
      </w:rPr>
    </w:lvl>
    <w:lvl w:ilvl="3" w:tplc="9A60C43E">
      <w:start w:val="1"/>
      <w:numFmt w:val="bullet"/>
      <w:lvlText w:val=""/>
      <w:lvlJc w:val="left"/>
      <w:pPr>
        <w:ind w:left="2880" w:hanging="360"/>
      </w:pPr>
      <w:rPr>
        <w:rFonts w:ascii="Symbol" w:hAnsi="Symbol" w:hint="default"/>
      </w:rPr>
    </w:lvl>
    <w:lvl w:ilvl="4" w:tplc="1C5A1196">
      <w:start w:val="1"/>
      <w:numFmt w:val="bullet"/>
      <w:lvlText w:val="o"/>
      <w:lvlJc w:val="left"/>
      <w:pPr>
        <w:ind w:left="3600" w:hanging="360"/>
      </w:pPr>
      <w:rPr>
        <w:rFonts w:ascii="Courier New" w:hAnsi="Courier New" w:hint="default"/>
      </w:rPr>
    </w:lvl>
    <w:lvl w:ilvl="5" w:tplc="11CC249E">
      <w:start w:val="1"/>
      <w:numFmt w:val="bullet"/>
      <w:lvlText w:val=""/>
      <w:lvlJc w:val="left"/>
      <w:pPr>
        <w:ind w:left="4320" w:hanging="360"/>
      </w:pPr>
      <w:rPr>
        <w:rFonts w:ascii="Wingdings" w:hAnsi="Wingdings" w:hint="default"/>
      </w:rPr>
    </w:lvl>
    <w:lvl w:ilvl="6" w:tplc="19B201AA">
      <w:start w:val="1"/>
      <w:numFmt w:val="bullet"/>
      <w:lvlText w:val=""/>
      <w:lvlJc w:val="left"/>
      <w:pPr>
        <w:ind w:left="5040" w:hanging="360"/>
      </w:pPr>
      <w:rPr>
        <w:rFonts w:ascii="Symbol" w:hAnsi="Symbol" w:hint="default"/>
      </w:rPr>
    </w:lvl>
    <w:lvl w:ilvl="7" w:tplc="300C8E18">
      <w:start w:val="1"/>
      <w:numFmt w:val="bullet"/>
      <w:lvlText w:val="o"/>
      <w:lvlJc w:val="left"/>
      <w:pPr>
        <w:ind w:left="5760" w:hanging="360"/>
      </w:pPr>
      <w:rPr>
        <w:rFonts w:ascii="Courier New" w:hAnsi="Courier New" w:hint="default"/>
      </w:rPr>
    </w:lvl>
    <w:lvl w:ilvl="8" w:tplc="937C763C">
      <w:start w:val="1"/>
      <w:numFmt w:val="bullet"/>
      <w:lvlText w:val=""/>
      <w:lvlJc w:val="left"/>
      <w:pPr>
        <w:ind w:left="6480"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FFFFFFFF">
      <w:start w:val="1"/>
      <w:numFmt w:val="bullet"/>
      <w:lvlText w:val="o"/>
      <w:lvlJc w:val="left"/>
      <w:pPr>
        <w:ind w:left="709" w:hanging="284"/>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92B7F3C"/>
    <w:multiLevelType w:val="hybridMultilevel"/>
    <w:tmpl w:val="02FA7FC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3F4D3B18"/>
    <w:multiLevelType w:val="hybridMultilevel"/>
    <w:tmpl w:val="701A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0411A3"/>
    <w:multiLevelType w:val="hybridMultilevel"/>
    <w:tmpl w:val="7B8E5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E71499"/>
    <w:multiLevelType w:val="hybridMultilevel"/>
    <w:tmpl w:val="E0C8DCF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8B969B76">
      <w:numFmt w:val="bullet"/>
      <w:lvlText w:val="-"/>
      <w:lvlJc w:val="left"/>
      <w:pPr>
        <w:ind w:left="1942" w:hanging="360"/>
      </w:pPr>
      <w:rPr>
        <w:rFonts w:ascii="Segoe UI Symbol" w:eastAsiaTheme="minorEastAsia" w:hAnsi="Segoe UI Symbol" w:cstheme="minorBidi"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97132DB"/>
    <w:multiLevelType w:val="hybridMultilevel"/>
    <w:tmpl w:val="28442BBC"/>
    <w:lvl w:ilvl="0" w:tplc="42288B1C">
      <w:numFmt w:val="bullet"/>
      <w:lvlText w:val="-"/>
      <w:lvlJc w:val="left"/>
      <w:pPr>
        <w:ind w:left="1080" w:hanging="360"/>
      </w:pPr>
      <w:rPr>
        <w:rFonts w:ascii="Calibri" w:eastAsia="Aptos"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570F17AF"/>
    <w:multiLevelType w:val="hybridMultilevel"/>
    <w:tmpl w:val="7272EE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5CAA3F8E"/>
    <w:multiLevelType w:val="multilevel"/>
    <w:tmpl w:val="F5566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EDF6755"/>
    <w:multiLevelType w:val="hybridMultilevel"/>
    <w:tmpl w:val="FA8C7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9439B6"/>
    <w:multiLevelType w:val="hybridMultilevel"/>
    <w:tmpl w:val="55725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101E7"/>
    <w:multiLevelType w:val="hybridMultilevel"/>
    <w:tmpl w:val="59FA4F24"/>
    <w:lvl w:ilvl="0" w:tplc="42288B1C">
      <w:numFmt w:val="bullet"/>
      <w:lvlText w:val="-"/>
      <w:lvlJc w:val="left"/>
      <w:pPr>
        <w:ind w:left="1080" w:hanging="360"/>
      </w:pPr>
      <w:rPr>
        <w:rFonts w:ascii="Calibri" w:eastAsia="Apto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D253BA"/>
    <w:multiLevelType w:val="hybridMultilevel"/>
    <w:tmpl w:val="896C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F039BB"/>
    <w:multiLevelType w:val="multilevel"/>
    <w:tmpl w:val="623E709E"/>
    <w:lvl w:ilvl="0">
      <w:start w:val="1"/>
      <w:numFmt w:val="bullet"/>
      <w:lvlText w:val=""/>
      <w:lvlJc w:val="left"/>
      <w:pPr>
        <w:tabs>
          <w:tab w:val="num" w:pos="720"/>
        </w:tabs>
        <w:ind w:left="720" w:hanging="360"/>
      </w:pPr>
      <w:rPr>
        <w:rFonts w:ascii="Symbol" w:hAnsi="Symbol" w:hint="default"/>
        <w:sz w:val="20"/>
      </w:rPr>
    </w:lvl>
    <w:lvl w:ilvl="1">
      <w:start w:val="8"/>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021B2F0"/>
    <w:multiLevelType w:val="hybridMultilevel"/>
    <w:tmpl w:val="FB929728"/>
    <w:lvl w:ilvl="0" w:tplc="67C09B60">
      <w:start w:val="1"/>
      <w:numFmt w:val="bullet"/>
      <w:lvlText w:val=""/>
      <w:lvlJc w:val="left"/>
      <w:pPr>
        <w:ind w:left="720" w:hanging="360"/>
      </w:pPr>
      <w:rPr>
        <w:rFonts w:ascii="Symbol" w:hAnsi="Symbol" w:hint="default"/>
      </w:rPr>
    </w:lvl>
    <w:lvl w:ilvl="1" w:tplc="55B095FA">
      <w:start w:val="1"/>
      <w:numFmt w:val="bullet"/>
      <w:lvlText w:val="o"/>
      <w:lvlJc w:val="left"/>
      <w:pPr>
        <w:ind w:left="1440" w:hanging="360"/>
      </w:pPr>
      <w:rPr>
        <w:rFonts w:ascii="Courier New" w:hAnsi="Courier New" w:hint="default"/>
      </w:rPr>
    </w:lvl>
    <w:lvl w:ilvl="2" w:tplc="1BC25498">
      <w:start w:val="1"/>
      <w:numFmt w:val="bullet"/>
      <w:lvlText w:val=""/>
      <w:lvlJc w:val="left"/>
      <w:pPr>
        <w:ind w:left="2160" w:hanging="360"/>
      </w:pPr>
      <w:rPr>
        <w:rFonts w:ascii="Wingdings" w:hAnsi="Wingdings" w:hint="default"/>
      </w:rPr>
    </w:lvl>
    <w:lvl w:ilvl="3" w:tplc="D974CBBC">
      <w:start w:val="1"/>
      <w:numFmt w:val="bullet"/>
      <w:lvlText w:val=""/>
      <w:lvlJc w:val="left"/>
      <w:pPr>
        <w:ind w:left="2880" w:hanging="360"/>
      </w:pPr>
      <w:rPr>
        <w:rFonts w:ascii="Symbol" w:hAnsi="Symbol" w:hint="default"/>
      </w:rPr>
    </w:lvl>
    <w:lvl w:ilvl="4" w:tplc="83E68686">
      <w:start w:val="1"/>
      <w:numFmt w:val="bullet"/>
      <w:lvlText w:val="o"/>
      <w:lvlJc w:val="left"/>
      <w:pPr>
        <w:ind w:left="3600" w:hanging="360"/>
      </w:pPr>
      <w:rPr>
        <w:rFonts w:ascii="Courier New" w:hAnsi="Courier New" w:hint="default"/>
      </w:rPr>
    </w:lvl>
    <w:lvl w:ilvl="5" w:tplc="5B24DCB4">
      <w:start w:val="1"/>
      <w:numFmt w:val="bullet"/>
      <w:lvlText w:val=""/>
      <w:lvlJc w:val="left"/>
      <w:pPr>
        <w:ind w:left="4320" w:hanging="360"/>
      </w:pPr>
      <w:rPr>
        <w:rFonts w:ascii="Wingdings" w:hAnsi="Wingdings" w:hint="default"/>
      </w:rPr>
    </w:lvl>
    <w:lvl w:ilvl="6" w:tplc="8A5C6CDC">
      <w:start w:val="1"/>
      <w:numFmt w:val="bullet"/>
      <w:lvlText w:val=""/>
      <w:lvlJc w:val="left"/>
      <w:pPr>
        <w:ind w:left="5040" w:hanging="360"/>
      </w:pPr>
      <w:rPr>
        <w:rFonts w:ascii="Symbol" w:hAnsi="Symbol" w:hint="default"/>
      </w:rPr>
    </w:lvl>
    <w:lvl w:ilvl="7" w:tplc="CF3238E6">
      <w:start w:val="1"/>
      <w:numFmt w:val="bullet"/>
      <w:lvlText w:val="o"/>
      <w:lvlJc w:val="left"/>
      <w:pPr>
        <w:ind w:left="5760" w:hanging="360"/>
      </w:pPr>
      <w:rPr>
        <w:rFonts w:ascii="Courier New" w:hAnsi="Courier New" w:hint="default"/>
      </w:rPr>
    </w:lvl>
    <w:lvl w:ilvl="8" w:tplc="19C4CF8A">
      <w:start w:val="1"/>
      <w:numFmt w:val="bullet"/>
      <w:lvlText w:val=""/>
      <w:lvlJc w:val="left"/>
      <w:pPr>
        <w:ind w:left="6480" w:hanging="360"/>
      </w:pPr>
      <w:rPr>
        <w:rFonts w:ascii="Wingdings" w:hAnsi="Wingdings" w:hint="default"/>
      </w:rPr>
    </w:lvl>
  </w:abstractNum>
  <w:abstractNum w:abstractNumId="33"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4" w15:restartNumberingAfterBreak="0">
    <w:nsid w:val="76D75DCB"/>
    <w:multiLevelType w:val="multilevel"/>
    <w:tmpl w:val="0AF47064"/>
    <w:lvl w:ilvl="0">
      <w:start w:val="6"/>
      <w:numFmt w:val="decimal"/>
      <w:suff w:val="space"/>
      <w:lvlText w:val="%1."/>
      <w:lvlJc w:val="left"/>
      <w:pPr>
        <w:ind w:left="467" w:hanging="360"/>
      </w:pPr>
      <w:rPr>
        <w:rFonts w:hint="default"/>
      </w:rPr>
    </w:lvl>
    <w:lvl w:ilvl="1">
      <w:start w:val="1"/>
      <w:numFmt w:val="decimal"/>
      <w:isLgl/>
      <w:lvlText w:val="%1.%2"/>
      <w:lvlJc w:val="left"/>
      <w:pPr>
        <w:ind w:left="647" w:hanging="54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35" w15:restartNumberingAfterBreak="0">
    <w:nsid w:val="773555F7"/>
    <w:multiLevelType w:val="hybridMultilevel"/>
    <w:tmpl w:val="FFFFFFFF"/>
    <w:lvl w:ilvl="0" w:tplc="77B027C4">
      <w:start w:val="1"/>
      <w:numFmt w:val="bullet"/>
      <w:lvlText w:val=""/>
      <w:lvlJc w:val="left"/>
      <w:pPr>
        <w:ind w:left="720" w:hanging="360"/>
      </w:pPr>
      <w:rPr>
        <w:rFonts w:ascii="Symbol" w:hAnsi="Symbol" w:hint="default"/>
      </w:rPr>
    </w:lvl>
    <w:lvl w:ilvl="1" w:tplc="DE76DA66">
      <w:start w:val="1"/>
      <w:numFmt w:val="bullet"/>
      <w:lvlText w:val="o"/>
      <w:lvlJc w:val="left"/>
      <w:pPr>
        <w:ind w:left="1440" w:hanging="360"/>
      </w:pPr>
      <w:rPr>
        <w:rFonts w:ascii="Courier New" w:hAnsi="Courier New" w:hint="default"/>
      </w:rPr>
    </w:lvl>
    <w:lvl w:ilvl="2" w:tplc="FCA4E348">
      <w:start w:val="1"/>
      <w:numFmt w:val="bullet"/>
      <w:lvlText w:val=""/>
      <w:lvlJc w:val="left"/>
      <w:pPr>
        <w:ind w:left="2160" w:hanging="360"/>
      </w:pPr>
      <w:rPr>
        <w:rFonts w:ascii="Wingdings" w:hAnsi="Wingdings" w:hint="default"/>
      </w:rPr>
    </w:lvl>
    <w:lvl w:ilvl="3" w:tplc="06065C6C">
      <w:start w:val="1"/>
      <w:numFmt w:val="bullet"/>
      <w:lvlText w:val=""/>
      <w:lvlJc w:val="left"/>
      <w:pPr>
        <w:ind w:left="2880" w:hanging="360"/>
      </w:pPr>
      <w:rPr>
        <w:rFonts w:ascii="Symbol" w:hAnsi="Symbol" w:hint="default"/>
      </w:rPr>
    </w:lvl>
    <w:lvl w:ilvl="4" w:tplc="ED743520">
      <w:start w:val="1"/>
      <w:numFmt w:val="bullet"/>
      <w:lvlText w:val="o"/>
      <w:lvlJc w:val="left"/>
      <w:pPr>
        <w:ind w:left="3600" w:hanging="360"/>
      </w:pPr>
      <w:rPr>
        <w:rFonts w:ascii="Courier New" w:hAnsi="Courier New" w:hint="default"/>
      </w:rPr>
    </w:lvl>
    <w:lvl w:ilvl="5" w:tplc="8FBA66EE">
      <w:start w:val="1"/>
      <w:numFmt w:val="bullet"/>
      <w:lvlText w:val=""/>
      <w:lvlJc w:val="left"/>
      <w:pPr>
        <w:ind w:left="4320" w:hanging="360"/>
      </w:pPr>
      <w:rPr>
        <w:rFonts w:ascii="Wingdings" w:hAnsi="Wingdings" w:hint="default"/>
      </w:rPr>
    </w:lvl>
    <w:lvl w:ilvl="6" w:tplc="419C929A">
      <w:start w:val="1"/>
      <w:numFmt w:val="bullet"/>
      <w:lvlText w:val=""/>
      <w:lvlJc w:val="left"/>
      <w:pPr>
        <w:ind w:left="5040" w:hanging="360"/>
      </w:pPr>
      <w:rPr>
        <w:rFonts w:ascii="Symbol" w:hAnsi="Symbol" w:hint="default"/>
      </w:rPr>
    </w:lvl>
    <w:lvl w:ilvl="7" w:tplc="990AAED0">
      <w:start w:val="1"/>
      <w:numFmt w:val="bullet"/>
      <w:lvlText w:val="o"/>
      <w:lvlJc w:val="left"/>
      <w:pPr>
        <w:ind w:left="5760" w:hanging="360"/>
      </w:pPr>
      <w:rPr>
        <w:rFonts w:ascii="Courier New" w:hAnsi="Courier New" w:hint="default"/>
      </w:rPr>
    </w:lvl>
    <w:lvl w:ilvl="8" w:tplc="122A56B4">
      <w:start w:val="1"/>
      <w:numFmt w:val="bullet"/>
      <w:lvlText w:val=""/>
      <w:lvlJc w:val="left"/>
      <w:pPr>
        <w:ind w:left="6480" w:hanging="360"/>
      </w:pPr>
      <w:rPr>
        <w:rFonts w:ascii="Wingdings" w:hAnsi="Wingdings" w:hint="default"/>
      </w:rPr>
    </w:lvl>
  </w:abstractNum>
  <w:abstractNum w:abstractNumId="3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30"/>
  </w:num>
  <w:num w:numId="4">
    <w:abstractNumId w:val="16"/>
  </w:num>
  <w:num w:numId="5">
    <w:abstractNumId w:val="36"/>
  </w:num>
  <w:num w:numId="6">
    <w:abstractNumId w:val="9"/>
  </w:num>
  <w:num w:numId="7">
    <w:abstractNumId w:val="22"/>
  </w:num>
  <w:num w:numId="8">
    <w:abstractNumId w:val="7"/>
  </w:num>
  <w:num w:numId="9">
    <w:abstractNumId w:val="12"/>
  </w:num>
  <w:num w:numId="10">
    <w:abstractNumId w:val="6"/>
  </w:num>
  <w:num w:numId="11">
    <w:abstractNumId w:val="33"/>
  </w:num>
  <w:num w:numId="12">
    <w:abstractNumId w:val="18"/>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
    <w:abstractNumId w:val="22"/>
    <w:lvlOverride w:ilvl="0">
      <w:startOverride w:val="1"/>
    </w:lvlOverride>
  </w:num>
  <w:num w:numId="14">
    <w:abstractNumId w:val="0"/>
  </w:num>
  <w:num w:numId="15">
    <w:abstractNumId w:val="21"/>
  </w:num>
  <w:num w:numId="16">
    <w:abstractNumId w:val="20"/>
  </w:num>
  <w:num w:numId="17">
    <w:abstractNumId w:val="32"/>
  </w:num>
  <w:num w:numId="18">
    <w:abstractNumId w:val="15"/>
  </w:num>
  <w:num w:numId="19">
    <w:abstractNumId w:val="31"/>
  </w:num>
  <w:num w:numId="20">
    <w:abstractNumId w:val="34"/>
  </w:num>
  <w:num w:numId="21">
    <w:abstractNumId w:val="26"/>
  </w:num>
  <w:num w:numId="22">
    <w:abstractNumId w:val="29"/>
  </w:num>
  <w:num w:numId="23">
    <w:abstractNumId w:val="24"/>
  </w:num>
  <w:num w:numId="24">
    <w:abstractNumId w:val="17"/>
  </w:num>
  <w:num w:numId="25">
    <w:abstractNumId w:val="8"/>
  </w:num>
  <w:num w:numId="26">
    <w:abstractNumId w:val="25"/>
  </w:num>
  <w:num w:numId="27">
    <w:abstractNumId w:val="11"/>
  </w:num>
  <w:num w:numId="28">
    <w:abstractNumId w:val="2"/>
  </w:num>
  <w:num w:numId="29">
    <w:abstractNumId w:val="5"/>
  </w:num>
  <w:num w:numId="30">
    <w:abstractNumId w:val="19"/>
  </w:num>
  <w:num w:numId="31">
    <w:abstractNumId w:val="16"/>
  </w:num>
  <w:num w:numId="32">
    <w:abstractNumId w:val="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4"/>
  </w:num>
  <w:num w:numId="36">
    <w:abstractNumId w:val="10"/>
  </w:num>
  <w:num w:numId="37">
    <w:abstractNumId w:val="1"/>
  </w:num>
  <w:num w:numId="38">
    <w:abstractNumId w:val="27"/>
  </w:num>
  <w:num w:numId="39">
    <w:abstractNumId w:val="23"/>
  </w:num>
  <w:num w:numId="40">
    <w:abstractNumId w:val="23"/>
  </w:num>
  <w:num w:numId="41">
    <w:abstractNumId w:val="28"/>
  </w:num>
  <w:num w:numId="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0" w:nlCheck="1" w:checkStyle="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2"/>
    <w:rsid w:val="0000107F"/>
    <w:rsid w:val="000028BE"/>
    <w:rsid w:val="00003607"/>
    <w:rsid w:val="00003BE2"/>
    <w:rsid w:val="00003F2D"/>
    <w:rsid w:val="000050C8"/>
    <w:rsid w:val="0000629C"/>
    <w:rsid w:val="0000706D"/>
    <w:rsid w:val="00010775"/>
    <w:rsid w:val="000109F1"/>
    <w:rsid w:val="00010D3F"/>
    <w:rsid w:val="000115E3"/>
    <w:rsid w:val="00011711"/>
    <w:rsid w:val="000121E5"/>
    <w:rsid w:val="0001269C"/>
    <w:rsid w:val="000127B3"/>
    <w:rsid w:val="000130AC"/>
    <w:rsid w:val="00014E9B"/>
    <w:rsid w:val="00015E23"/>
    <w:rsid w:val="00015FA2"/>
    <w:rsid w:val="00016B9B"/>
    <w:rsid w:val="00020977"/>
    <w:rsid w:val="00021671"/>
    <w:rsid w:val="000219CD"/>
    <w:rsid w:val="00021B10"/>
    <w:rsid w:val="00022F5B"/>
    <w:rsid w:val="000238EC"/>
    <w:rsid w:val="00023C7C"/>
    <w:rsid w:val="00024953"/>
    <w:rsid w:val="00024BB3"/>
    <w:rsid w:val="00024D3F"/>
    <w:rsid w:val="00027038"/>
    <w:rsid w:val="00027F64"/>
    <w:rsid w:val="00030D24"/>
    <w:rsid w:val="000310E9"/>
    <w:rsid w:val="00031246"/>
    <w:rsid w:val="0003154E"/>
    <w:rsid w:val="000318E0"/>
    <w:rsid w:val="00032C3D"/>
    <w:rsid w:val="00032C8F"/>
    <w:rsid w:val="0003345F"/>
    <w:rsid w:val="00033855"/>
    <w:rsid w:val="00034E54"/>
    <w:rsid w:val="000359D7"/>
    <w:rsid w:val="00036C42"/>
    <w:rsid w:val="00036E9C"/>
    <w:rsid w:val="00037513"/>
    <w:rsid w:val="000404EC"/>
    <w:rsid w:val="000418FA"/>
    <w:rsid w:val="000427F2"/>
    <w:rsid w:val="00042C65"/>
    <w:rsid w:val="00043D4A"/>
    <w:rsid w:val="00045837"/>
    <w:rsid w:val="00046323"/>
    <w:rsid w:val="00046811"/>
    <w:rsid w:val="000469B4"/>
    <w:rsid w:val="00046F00"/>
    <w:rsid w:val="00047A91"/>
    <w:rsid w:val="00050E86"/>
    <w:rsid w:val="00050F2D"/>
    <w:rsid w:val="00051D3D"/>
    <w:rsid w:val="0005248D"/>
    <w:rsid w:val="000551B1"/>
    <w:rsid w:val="000551D0"/>
    <w:rsid w:val="00055922"/>
    <w:rsid w:val="0005602D"/>
    <w:rsid w:val="000626F5"/>
    <w:rsid w:val="000637FB"/>
    <w:rsid w:val="00063AA1"/>
    <w:rsid w:val="00065C61"/>
    <w:rsid w:val="0006627F"/>
    <w:rsid w:val="000664EE"/>
    <w:rsid w:val="00066AB1"/>
    <w:rsid w:val="00066B16"/>
    <w:rsid w:val="00067420"/>
    <w:rsid w:val="00074529"/>
    <w:rsid w:val="00074D05"/>
    <w:rsid w:val="0007527F"/>
    <w:rsid w:val="000754B9"/>
    <w:rsid w:val="000757F7"/>
    <w:rsid w:val="0007593B"/>
    <w:rsid w:val="000763F5"/>
    <w:rsid w:val="00076CAB"/>
    <w:rsid w:val="0007791C"/>
    <w:rsid w:val="00077D41"/>
    <w:rsid w:val="000803D2"/>
    <w:rsid w:val="00080620"/>
    <w:rsid w:val="000806A7"/>
    <w:rsid w:val="00082819"/>
    <w:rsid w:val="00082BCE"/>
    <w:rsid w:val="00084777"/>
    <w:rsid w:val="00085BC7"/>
    <w:rsid w:val="00093AB5"/>
    <w:rsid w:val="00094744"/>
    <w:rsid w:val="00094DF8"/>
    <w:rsid w:val="000954C2"/>
    <w:rsid w:val="00095E5C"/>
    <w:rsid w:val="00097377"/>
    <w:rsid w:val="000A13F5"/>
    <w:rsid w:val="000A3A26"/>
    <w:rsid w:val="000A4AD5"/>
    <w:rsid w:val="000A51F2"/>
    <w:rsid w:val="000A5D98"/>
    <w:rsid w:val="000A78EB"/>
    <w:rsid w:val="000B19BE"/>
    <w:rsid w:val="000B1AD9"/>
    <w:rsid w:val="000B2D7F"/>
    <w:rsid w:val="000B3274"/>
    <w:rsid w:val="000B3417"/>
    <w:rsid w:val="000B44DB"/>
    <w:rsid w:val="000B4D76"/>
    <w:rsid w:val="000B56E5"/>
    <w:rsid w:val="000B6419"/>
    <w:rsid w:val="000B6A28"/>
    <w:rsid w:val="000B6C36"/>
    <w:rsid w:val="000B77F8"/>
    <w:rsid w:val="000C07EB"/>
    <w:rsid w:val="000C123A"/>
    <w:rsid w:val="000C29A6"/>
    <w:rsid w:val="000C33A1"/>
    <w:rsid w:val="000C547E"/>
    <w:rsid w:val="000C54D1"/>
    <w:rsid w:val="000C5662"/>
    <w:rsid w:val="000C5BB9"/>
    <w:rsid w:val="000C5CD6"/>
    <w:rsid w:val="000C5D67"/>
    <w:rsid w:val="000C6882"/>
    <w:rsid w:val="000C7121"/>
    <w:rsid w:val="000D0934"/>
    <w:rsid w:val="000D1DFA"/>
    <w:rsid w:val="000D2566"/>
    <w:rsid w:val="000D37B5"/>
    <w:rsid w:val="000D3C7E"/>
    <w:rsid w:val="000D43E7"/>
    <w:rsid w:val="000D47F2"/>
    <w:rsid w:val="000D64D5"/>
    <w:rsid w:val="000D749D"/>
    <w:rsid w:val="000D7917"/>
    <w:rsid w:val="000D7A5F"/>
    <w:rsid w:val="000D7B2F"/>
    <w:rsid w:val="000E0685"/>
    <w:rsid w:val="000E3804"/>
    <w:rsid w:val="000E38F9"/>
    <w:rsid w:val="000E4863"/>
    <w:rsid w:val="000E4C4E"/>
    <w:rsid w:val="000E50FD"/>
    <w:rsid w:val="000E7155"/>
    <w:rsid w:val="000E7C29"/>
    <w:rsid w:val="000F1BD3"/>
    <w:rsid w:val="000F29F7"/>
    <w:rsid w:val="000F300C"/>
    <w:rsid w:val="000F3154"/>
    <w:rsid w:val="000F3454"/>
    <w:rsid w:val="000F38F7"/>
    <w:rsid w:val="000F4F66"/>
    <w:rsid w:val="000F58EB"/>
    <w:rsid w:val="000F59F7"/>
    <w:rsid w:val="000F5CD5"/>
    <w:rsid w:val="000F5F7A"/>
    <w:rsid w:val="000F6840"/>
    <w:rsid w:val="0010125C"/>
    <w:rsid w:val="001019AB"/>
    <w:rsid w:val="001024AA"/>
    <w:rsid w:val="0010394A"/>
    <w:rsid w:val="00103AEA"/>
    <w:rsid w:val="001062EA"/>
    <w:rsid w:val="0011279A"/>
    <w:rsid w:val="00112EE5"/>
    <w:rsid w:val="001133D5"/>
    <w:rsid w:val="00113A62"/>
    <w:rsid w:val="00115264"/>
    <w:rsid w:val="0011561F"/>
    <w:rsid w:val="0011579A"/>
    <w:rsid w:val="00115FB9"/>
    <w:rsid w:val="00116949"/>
    <w:rsid w:val="00117607"/>
    <w:rsid w:val="0011782E"/>
    <w:rsid w:val="001178E9"/>
    <w:rsid w:val="00117A77"/>
    <w:rsid w:val="00120315"/>
    <w:rsid w:val="00120765"/>
    <w:rsid w:val="00120DB7"/>
    <w:rsid w:val="0012165A"/>
    <w:rsid w:val="00123514"/>
    <w:rsid w:val="00124278"/>
    <w:rsid w:val="001242BD"/>
    <w:rsid w:val="00126D64"/>
    <w:rsid w:val="00126D72"/>
    <w:rsid w:val="0012732D"/>
    <w:rsid w:val="001318F9"/>
    <w:rsid w:val="00131C57"/>
    <w:rsid w:val="0013213A"/>
    <w:rsid w:val="001326D0"/>
    <w:rsid w:val="00132CDB"/>
    <w:rsid w:val="0013354C"/>
    <w:rsid w:val="00134371"/>
    <w:rsid w:val="00137771"/>
    <w:rsid w:val="001411F4"/>
    <w:rsid w:val="0014151F"/>
    <w:rsid w:val="001417DD"/>
    <w:rsid w:val="001420F7"/>
    <w:rsid w:val="00143754"/>
    <w:rsid w:val="001449EE"/>
    <w:rsid w:val="0014529D"/>
    <w:rsid w:val="00145FCB"/>
    <w:rsid w:val="0014611A"/>
    <w:rsid w:val="00146836"/>
    <w:rsid w:val="0014726E"/>
    <w:rsid w:val="00152519"/>
    <w:rsid w:val="001525BF"/>
    <w:rsid w:val="0015268E"/>
    <w:rsid w:val="00152871"/>
    <w:rsid w:val="00154D6E"/>
    <w:rsid w:val="0015520B"/>
    <w:rsid w:val="001564C0"/>
    <w:rsid w:val="00156ECA"/>
    <w:rsid w:val="0015738E"/>
    <w:rsid w:val="001600C9"/>
    <w:rsid w:val="0016111D"/>
    <w:rsid w:val="001611BF"/>
    <w:rsid w:val="0016139C"/>
    <w:rsid w:val="00162515"/>
    <w:rsid w:val="00162848"/>
    <w:rsid w:val="0016409E"/>
    <w:rsid w:val="00164B0F"/>
    <w:rsid w:val="00165044"/>
    <w:rsid w:val="0016589D"/>
    <w:rsid w:val="00165E91"/>
    <w:rsid w:val="0016604F"/>
    <w:rsid w:val="0016640D"/>
    <w:rsid w:val="001665C1"/>
    <w:rsid w:val="00166BB2"/>
    <w:rsid w:val="00170D35"/>
    <w:rsid w:val="001717B3"/>
    <w:rsid w:val="00172B25"/>
    <w:rsid w:val="00172E91"/>
    <w:rsid w:val="001738C1"/>
    <w:rsid w:val="0017436A"/>
    <w:rsid w:val="00174DB6"/>
    <w:rsid w:val="001809FF"/>
    <w:rsid w:val="00180BB8"/>
    <w:rsid w:val="00181B45"/>
    <w:rsid w:val="00182F6A"/>
    <w:rsid w:val="001832EB"/>
    <w:rsid w:val="00183C64"/>
    <w:rsid w:val="001840C1"/>
    <w:rsid w:val="0018420A"/>
    <w:rsid w:val="00184439"/>
    <w:rsid w:val="001858B7"/>
    <w:rsid w:val="00185A97"/>
    <w:rsid w:val="00185DB5"/>
    <w:rsid w:val="00186837"/>
    <w:rsid w:val="001869AF"/>
    <w:rsid w:val="00187061"/>
    <w:rsid w:val="00187186"/>
    <w:rsid w:val="00187C97"/>
    <w:rsid w:val="00190121"/>
    <w:rsid w:val="00190998"/>
    <w:rsid w:val="001954B4"/>
    <w:rsid w:val="00195E46"/>
    <w:rsid w:val="00196A65"/>
    <w:rsid w:val="0019702E"/>
    <w:rsid w:val="00197CF1"/>
    <w:rsid w:val="001A02BE"/>
    <w:rsid w:val="001A0E0A"/>
    <w:rsid w:val="001A6C1F"/>
    <w:rsid w:val="001A78AA"/>
    <w:rsid w:val="001A7B76"/>
    <w:rsid w:val="001B0101"/>
    <w:rsid w:val="001B0294"/>
    <w:rsid w:val="001B18EB"/>
    <w:rsid w:val="001B2D56"/>
    <w:rsid w:val="001B2ED5"/>
    <w:rsid w:val="001B3108"/>
    <w:rsid w:val="001B32F6"/>
    <w:rsid w:val="001B32FE"/>
    <w:rsid w:val="001B3319"/>
    <w:rsid w:val="001B4CB1"/>
    <w:rsid w:val="001B4E5E"/>
    <w:rsid w:val="001B62CD"/>
    <w:rsid w:val="001B66F0"/>
    <w:rsid w:val="001B77EF"/>
    <w:rsid w:val="001C049A"/>
    <w:rsid w:val="001C0E50"/>
    <w:rsid w:val="001C1667"/>
    <w:rsid w:val="001C1B80"/>
    <w:rsid w:val="001C263E"/>
    <w:rsid w:val="001C2A4C"/>
    <w:rsid w:val="001C4A03"/>
    <w:rsid w:val="001C60CC"/>
    <w:rsid w:val="001C6801"/>
    <w:rsid w:val="001C6DCF"/>
    <w:rsid w:val="001C74B2"/>
    <w:rsid w:val="001C7685"/>
    <w:rsid w:val="001D0607"/>
    <w:rsid w:val="001D3271"/>
    <w:rsid w:val="001D32E2"/>
    <w:rsid w:val="001D32F1"/>
    <w:rsid w:val="001D34EE"/>
    <w:rsid w:val="001D4D6A"/>
    <w:rsid w:val="001D547D"/>
    <w:rsid w:val="001D5E29"/>
    <w:rsid w:val="001D6B7B"/>
    <w:rsid w:val="001E07ED"/>
    <w:rsid w:val="001E2E4F"/>
    <w:rsid w:val="001E41A1"/>
    <w:rsid w:val="001E4FB4"/>
    <w:rsid w:val="001E6006"/>
    <w:rsid w:val="001F0037"/>
    <w:rsid w:val="001F0286"/>
    <w:rsid w:val="001F15B1"/>
    <w:rsid w:val="001F1723"/>
    <w:rsid w:val="001F1BFB"/>
    <w:rsid w:val="001F2683"/>
    <w:rsid w:val="001F2FA2"/>
    <w:rsid w:val="001F387E"/>
    <w:rsid w:val="001F4332"/>
    <w:rsid w:val="001F5646"/>
    <w:rsid w:val="001F594B"/>
    <w:rsid w:val="001F605E"/>
    <w:rsid w:val="00201366"/>
    <w:rsid w:val="00201E64"/>
    <w:rsid w:val="00202B62"/>
    <w:rsid w:val="0020306F"/>
    <w:rsid w:val="00203521"/>
    <w:rsid w:val="00204ED9"/>
    <w:rsid w:val="00205757"/>
    <w:rsid w:val="00205B7D"/>
    <w:rsid w:val="00205C5C"/>
    <w:rsid w:val="00206E04"/>
    <w:rsid w:val="002073A3"/>
    <w:rsid w:val="00207EAB"/>
    <w:rsid w:val="00210D0B"/>
    <w:rsid w:val="0021120F"/>
    <w:rsid w:val="00212443"/>
    <w:rsid w:val="002124C8"/>
    <w:rsid w:val="0021354B"/>
    <w:rsid w:val="00213735"/>
    <w:rsid w:val="00214812"/>
    <w:rsid w:val="00215B80"/>
    <w:rsid w:val="00215B9C"/>
    <w:rsid w:val="00215F3C"/>
    <w:rsid w:val="002164EC"/>
    <w:rsid w:val="0022053C"/>
    <w:rsid w:val="00220AC5"/>
    <w:rsid w:val="00220DDA"/>
    <w:rsid w:val="00224C44"/>
    <w:rsid w:val="00225755"/>
    <w:rsid w:val="0022647C"/>
    <w:rsid w:val="0022688C"/>
    <w:rsid w:val="00226BE0"/>
    <w:rsid w:val="0022754B"/>
    <w:rsid w:val="002276EC"/>
    <w:rsid w:val="00227B9A"/>
    <w:rsid w:val="00227DB5"/>
    <w:rsid w:val="0023056B"/>
    <w:rsid w:val="00230FCD"/>
    <w:rsid w:val="00232137"/>
    <w:rsid w:val="002323DA"/>
    <w:rsid w:val="00232EC8"/>
    <w:rsid w:val="002337E9"/>
    <w:rsid w:val="002340A2"/>
    <w:rsid w:val="002347F9"/>
    <w:rsid w:val="00241997"/>
    <w:rsid w:val="00242BEC"/>
    <w:rsid w:val="00244E94"/>
    <w:rsid w:val="00244F5F"/>
    <w:rsid w:val="00244F88"/>
    <w:rsid w:val="002461A9"/>
    <w:rsid w:val="00250142"/>
    <w:rsid w:val="00250531"/>
    <w:rsid w:val="002507F6"/>
    <w:rsid w:val="00252018"/>
    <w:rsid w:val="00252760"/>
    <w:rsid w:val="002538FD"/>
    <w:rsid w:val="00257B5A"/>
    <w:rsid w:val="00263286"/>
    <w:rsid w:val="00264838"/>
    <w:rsid w:val="00264DC3"/>
    <w:rsid w:val="00266CCC"/>
    <w:rsid w:val="002710EE"/>
    <w:rsid w:val="00271347"/>
    <w:rsid w:val="00272784"/>
    <w:rsid w:val="00272D1D"/>
    <w:rsid w:val="00273747"/>
    <w:rsid w:val="00273F85"/>
    <w:rsid w:val="0027427B"/>
    <w:rsid w:val="00274D42"/>
    <w:rsid w:val="00275284"/>
    <w:rsid w:val="002757A7"/>
    <w:rsid w:val="0027697B"/>
    <w:rsid w:val="002771EC"/>
    <w:rsid w:val="00277AB7"/>
    <w:rsid w:val="002816C0"/>
    <w:rsid w:val="00281B97"/>
    <w:rsid w:val="00281FA9"/>
    <w:rsid w:val="00282108"/>
    <w:rsid w:val="0028236F"/>
    <w:rsid w:val="0028289F"/>
    <w:rsid w:val="00283BD9"/>
    <w:rsid w:val="00285CAF"/>
    <w:rsid w:val="00286246"/>
    <w:rsid w:val="0029110C"/>
    <w:rsid w:val="00291EC8"/>
    <w:rsid w:val="0029237D"/>
    <w:rsid w:val="00292B36"/>
    <w:rsid w:val="00292BFC"/>
    <w:rsid w:val="002930BF"/>
    <w:rsid w:val="00293AD2"/>
    <w:rsid w:val="0029457F"/>
    <w:rsid w:val="00294BC1"/>
    <w:rsid w:val="00294FA3"/>
    <w:rsid w:val="00295DE5"/>
    <w:rsid w:val="002A090E"/>
    <w:rsid w:val="002A17D5"/>
    <w:rsid w:val="002A1C9E"/>
    <w:rsid w:val="002A209C"/>
    <w:rsid w:val="002A26DD"/>
    <w:rsid w:val="002A342F"/>
    <w:rsid w:val="002B0B14"/>
    <w:rsid w:val="002B1729"/>
    <w:rsid w:val="002B1AAC"/>
    <w:rsid w:val="002B22AD"/>
    <w:rsid w:val="002B30FE"/>
    <w:rsid w:val="002B3A30"/>
    <w:rsid w:val="002B51C5"/>
    <w:rsid w:val="002B5A9F"/>
    <w:rsid w:val="002B6361"/>
    <w:rsid w:val="002B661A"/>
    <w:rsid w:val="002B663E"/>
    <w:rsid w:val="002B6BBE"/>
    <w:rsid w:val="002B72CE"/>
    <w:rsid w:val="002B7ACB"/>
    <w:rsid w:val="002B7E44"/>
    <w:rsid w:val="002C2144"/>
    <w:rsid w:val="002C367C"/>
    <w:rsid w:val="002C3AF6"/>
    <w:rsid w:val="002C3F0A"/>
    <w:rsid w:val="002C51F4"/>
    <w:rsid w:val="002C6011"/>
    <w:rsid w:val="002C64CD"/>
    <w:rsid w:val="002C668B"/>
    <w:rsid w:val="002C7A05"/>
    <w:rsid w:val="002D00DE"/>
    <w:rsid w:val="002D20D7"/>
    <w:rsid w:val="002D3F38"/>
    <w:rsid w:val="002D4F78"/>
    <w:rsid w:val="002D5723"/>
    <w:rsid w:val="002D5B61"/>
    <w:rsid w:val="002D6333"/>
    <w:rsid w:val="002D6B3D"/>
    <w:rsid w:val="002E10A2"/>
    <w:rsid w:val="002E2AC8"/>
    <w:rsid w:val="002E2F80"/>
    <w:rsid w:val="002E4913"/>
    <w:rsid w:val="002E4FCA"/>
    <w:rsid w:val="002E5916"/>
    <w:rsid w:val="002E5957"/>
    <w:rsid w:val="002E61E6"/>
    <w:rsid w:val="002E6962"/>
    <w:rsid w:val="002E7376"/>
    <w:rsid w:val="002F033B"/>
    <w:rsid w:val="002F2849"/>
    <w:rsid w:val="002F2854"/>
    <w:rsid w:val="002F3FE4"/>
    <w:rsid w:val="002F590D"/>
    <w:rsid w:val="00300953"/>
    <w:rsid w:val="00301355"/>
    <w:rsid w:val="00302C51"/>
    <w:rsid w:val="00303C55"/>
    <w:rsid w:val="003046B5"/>
    <w:rsid w:val="00304ADA"/>
    <w:rsid w:val="00305D2C"/>
    <w:rsid w:val="00305F4C"/>
    <w:rsid w:val="0030637B"/>
    <w:rsid w:val="003066E6"/>
    <w:rsid w:val="003100DD"/>
    <w:rsid w:val="00310486"/>
    <w:rsid w:val="00310594"/>
    <w:rsid w:val="00310DC1"/>
    <w:rsid w:val="00310E8D"/>
    <w:rsid w:val="00311061"/>
    <w:rsid w:val="0031160B"/>
    <w:rsid w:val="0031167F"/>
    <w:rsid w:val="00311C2D"/>
    <w:rsid w:val="003139A3"/>
    <w:rsid w:val="0031651C"/>
    <w:rsid w:val="00317030"/>
    <w:rsid w:val="0031724F"/>
    <w:rsid w:val="00317AAD"/>
    <w:rsid w:val="00317AD8"/>
    <w:rsid w:val="00320B25"/>
    <w:rsid w:val="00320D28"/>
    <w:rsid w:val="00321DC7"/>
    <w:rsid w:val="0032201B"/>
    <w:rsid w:val="003224ED"/>
    <w:rsid w:val="0032291E"/>
    <w:rsid w:val="00322E34"/>
    <w:rsid w:val="003233DC"/>
    <w:rsid w:val="00324E09"/>
    <w:rsid w:val="00326387"/>
    <w:rsid w:val="00326DBC"/>
    <w:rsid w:val="0032701B"/>
    <w:rsid w:val="003300A5"/>
    <w:rsid w:val="00330671"/>
    <w:rsid w:val="003311E9"/>
    <w:rsid w:val="003326D3"/>
    <w:rsid w:val="0033295E"/>
    <w:rsid w:val="0033319C"/>
    <w:rsid w:val="00333C8F"/>
    <w:rsid w:val="00334F87"/>
    <w:rsid w:val="00336065"/>
    <w:rsid w:val="00337192"/>
    <w:rsid w:val="0034030B"/>
    <w:rsid w:val="00340710"/>
    <w:rsid w:val="00341627"/>
    <w:rsid w:val="003417B6"/>
    <w:rsid w:val="0034250B"/>
    <w:rsid w:val="0034428C"/>
    <w:rsid w:val="00347328"/>
    <w:rsid w:val="0035154E"/>
    <w:rsid w:val="0035202E"/>
    <w:rsid w:val="003521C1"/>
    <w:rsid w:val="00352328"/>
    <w:rsid w:val="00353335"/>
    <w:rsid w:val="00353E5E"/>
    <w:rsid w:val="00353EBE"/>
    <w:rsid w:val="00354011"/>
    <w:rsid w:val="00354BEF"/>
    <w:rsid w:val="0035547A"/>
    <w:rsid w:val="00356180"/>
    <w:rsid w:val="00356634"/>
    <w:rsid w:val="003569AB"/>
    <w:rsid w:val="00360B5E"/>
    <w:rsid w:val="00360D71"/>
    <w:rsid w:val="00361020"/>
    <w:rsid w:val="00361A8A"/>
    <w:rsid w:val="003628A4"/>
    <w:rsid w:val="0036411C"/>
    <w:rsid w:val="003651DA"/>
    <w:rsid w:val="00367787"/>
    <w:rsid w:val="0037024A"/>
    <w:rsid w:val="00370B8B"/>
    <w:rsid w:val="00371811"/>
    <w:rsid w:val="00371EA4"/>
    <w:rsid w:val="00372730"/>
    <w:rsid w:val="00372B70"/>
    <w:rsid w:val="00373096"/>
    <w:rsid w:val="00373102"/>
    <w:rsid w:val="00374BE5"/>
    <w:rsid w:val="00374D2A"/>
    <w:rsid w:val="003756FA"/>
    <w:rsid w:val="00375AB0"/>
    <w:rsid w:val="003764D3"/>
    <w:rsid w:val="00376D7A"/>
    <w:rsid w:val="00376FE6"/>
    <w:rsid w:val="0037711C"/>
    <w:rsid w:val="00377B4D"/>
    <w:rsid w:val="00382253"/>
    <w:rsid w:val="0038260F"/>
    <w:rsid w:val="003826B7"/>
    <w:rsid w:val="00382EE6"/>
    <w:rsid w:val="003831CD"/>
    <w:rsid w:val="00384068"/>
    <w:rsid w:val="00384388"/>
    <w:rsid w:val="00384E0C"/>
    <w:rsid w:val="00385BD5"/>
    <w:rsid w:val="00386EA2"/>
    <w:rsid w:val="00387098"/>
    <w:rsid w:val="00387E42"/>
    <w:rsid w:val="003903CC"/>
    <w:rsid w:val="00390EB7"/>
    <w:rsid w:val="00391BBE"/>
    <w:rsid w:val="00391EAF"/>
    <w:rsid w:val="003930E2"/>
    <w:rsid w:val="0039400A"/>
    <w:rsid w:val="00394368"/>
    <w:rsid w:val="003944B2"/>
    <w:rsid w:val="00394966"/>
    <w:rsid w:val="00394A95"/>
    <w:rsid w:val="00394BD4"/>
    <w:rsid w:val="00394CBE"/>
    <w:rsid w:val="00396432"/>
    <w:rsid w:val="00396F31"/>
    <w:rsid w:val="0039706B"/>
    <w:rsid w:val="00397663"/>
    <w:rsid w:val="003A024C"/>
    <w:rsid w:val="003A049A"/>
    <w:rsid w:val="003A0648"/>
    <w:rsid w:val="003A084B"/>
    <w:rsid w:val="003A1016"/>
    <w:rsid w:val="003A132E"/>
    <w:rsid w:val="003A1414"/>
    <w:rsid w:val="003A20E2"/>
    <w:rsid w:val="003A2688"/>
    <w:rsid w:val="003A2AE6"/>
    <w:rsid w:val="003A3947"/>
    <w:rsid w:val="003A3F23"/>
    <w:rsid w:val="003A4C55"/>
    <w:rsid w:val="003A53CB"/>
    <w:rsid w:val="003A5729"/>
    <w:rsid w:val="003A70C8"/>
    <w:rsid w:val="003A74BF"/>
    <w:rsid w:val="003B0392"/>
    <w:rsid w:val="003B1E14"/>
    <w:rsid w:val="003B3993"/>
    <w:rsid w:val="003B52F5"/>
    <w:rsid w:val="003B532C"/>
    <w:rsid w:val="003B556C"/>
    <w:rsid w:val="003B58D9"/>
    <w:rsid w:val="003C0584"/>
    <w:rsid w:val="003C181D"/>
    <w:rsid w:val="003C2C9B"/>
    <w:rsid w:val="003C3E95"/>
    <w:rsid w:val="003C4540"/>
    <w:rsid w:val="003C4811"/>
    <w:rsid w:val="003C60F9"/>
    <w:rsid w:val="003C6307"/>
    <w:rsid w:val="003C659F"/>
    <w:rsid w:val="003C74A0"/>
    <w:rsid w:val="003C78A7"/>
    <w:rsid w:val="003D22F7"/>
    <w:rsid w:val="003D242E"/>
    <w:rsid w:val="003D298E"/>
    <w:rsid w:val="003D2A1B"/>
    <w:rsid w:val="003D2CDE"/>
    <w:rsid w:val="003D3CA6"/>
    <w:rsid w:val="003D4DC1"/>
    <w:rsid w:val="003D4DD9"/>
    <w:rsid w:val="003D676D"/>
    <w:rsid w:val="003D77B8"/>
    <w:rsid w:val="003E06EB"/>
    <w:rsid w:val="003E0AE5"/>
    <w:rsid w:val="003E0D36"/>
    <w:rsid w:val="003E3069"/>
    <w:rsid w:val="003E310A"/>
    <w:rsid w:val="003E3437"/>
    <w:rsid w:val="003E37C9"/>
    <w:rsid w:val="003E3C06"/>
    <w:rsid w:val="003E4529"/>
    <w:rsid w:val="003E4FB8"/>
    <w:rsid w:val="003E50F0"/>
    <w:rsid w:val="003E5C9A"/>
    <w:rsid w:val="003E6115"/>
    <w:rsid w:val="003E6B75"/>
    <w:rsid w:val="003E78DF"/>
    <w:rsid w:val="003F0085"/>
    <w:rsid w:val="003F04D1"/>
    <w:rsid w:val="003F0DB5"/>
    <w:rsid w:val="003F23E9"/>
    <w:rsid w:val="003F23F8"/>
    <w:rsid w:val="003F37D2"/>
    <w:rsid w:val="003F3A81"/>
    <w:rsid w:val="003F3DCC"/>
    <w:rsid w:val="003F4F12"/>
    <w:rsid w:val="003F6247"/>
    <w:rsid w:val="003F75AF"/>
    <w:rsid w:val="00400375"/>
    <w:rsid w:val="00403657"/>
    <w:rsid w:val="00405232"/>
    <w:rsid w:val="00405965"/>
    <w:rsid w:val="00406BF8"/>
    <w:rsid w:val="00406EA9"/>
    <w:rsid w:val="004070D5"/>
    <w:rsid w:val="00407976"/>
    <w:rsid w:val="004105CF"/>
    <w:rsid w:val="0041091F"/>
    <w:rsid w:val="00413332"/>
    <w:rsid w:val="00413B42"/>
    <w:rsid w:val="00415FDD"/>
    <w:rsid w:val="0041604B"/>
    <w:rsid w:val="004161DB"/>
    <w:rsid w:val="004165D0"/>
    <w:rsid w:val="00417034"/>
    <w:rsid w:val="0041704B"/>
    <w:rsid w:val="00417C4F"/>
    <w:rsid w:val="00422107"/>
    <w:rsid w:val="0042299D"/>
    <w:rsid w:val="004229FC"/>
    <w:rsid w:val="00424C07"/>
    <w:rsid w:val="004259A6"/>
    <w:rsid w:val="00425E30"/>
    <w:rsid w:val="00426896"/>
    <w:rsid w:val="004268AC"/>
    <w:rsid w:val="0043057E"/>
    <w:rsid w:val="00430969"/>
    <w:rsid w:val="00430CD9"/>
    <w:rsid w:val="00431BB1"/>
    <w:rsid w:val="0043241A"/>
    <w:rsid w:val="00432682"/>
    <w:rsid w:val="004329FB"/>
    <w:rsid w:val="00433436"/>
    <w:rsid w:val="004335A5"/>
    <w:rsid w:val="0043587A"/>
    <w:rsid w:val="00436731"/>
    <w:rsid w:val="004368CC"/>
    <w:rsid w:val="00440647"/>
    <w:rsid w:val="00440B09"/>
    <w:rsid w:val="004425BB"/>
    <w:rsid w:val="00442A8F"/>
    <w:rsid w:val="00443F97"/>
    <w:rsid w:val="00444967"/>
    <w:rsid w:val="00444CED"/>
    <w:rsid w:val="00445706"/>
    <w:rsid w:val="00445972"/>
    <w:rsid w:val="00446B02"/>
    <w:rsid w:val="00447813"/>
    <w:rsid w:val="0045036A"/>
    <w:rsid w:val="00451CF7"/>
    <w:rsid w:val="0045246E"/>
    <w:rsid w:val="004551B6"/>
    <w:rsid w:val="0045539B"/>
    <w:rsid w:val="0045553E"/>
    <w:rsid w:val="0045640A"/>
    <w:rsid w:val="00457DC6"/>
    <w:rsid w:val="004608A6"/>
    <w:rsid w:val="0046171B"/>
    <w:rsid w:val="00461A10"/>
    <w:rsid w:val="00461CC1"/>
    <w:rsid w:val="00463EE3"/>
    <w:rsid w:val="004641E3"/>
    <w:rsid w:val="00464D89"/>
    <w:rsid w:val="00465AC7"/>
    <w:rsid w:val="0046771C"/>
    <w:rsid w:val="004679FF"/>
    <w:rsid w:val="004709E7"/>
    <w:rsid w:val="004716BE"/>
    <w:rsid w:val="00472052"/>
    <w:rsid w:val="00472392"/>
    <w:rsid w:val="004728AD"/>
    <w:rsid w:val="00472BCF"/>
    <w:rsid w:val="0047368F"/>
    <w:rsid w:val="004741C0"/>
    <w:rsid w:val="00474392"/>
    <w:rsid w:val="00474B3B"/>
    <w:rsid w:val="00474FDD"/>
    <w:rsid w:val="00475449"/>
    <w:rsid w:val="004756E2"/>
    <w:rsid w:val="00476332"/>
    <w:rsid w:val="00476C31"/>
    <w:rsid w:val="00477279"/>
    <w:rsid w:val="0047767D"/>
    <w:rsid w:val="0048111B"/>
    <w:rsid w:val="00481380"/>
    <w:rsid w:val="00481724"/>
    <w:rsid w:val="004828B3"/>
    <w:rsid w:val="00484C9B"/>
    <w:rsid w:val="00484E1B"/>
    <w:rsid w:val="004853EC"/>
    <w:rsid w:val="00485DDA"/>
    <w:rsid w:val="004860E1"/>
    <w:rsid w:val="00486D2A"/>
    <w:rsid w:val="00487724"/>
    <w:rsid w:val="00487B67"/>
    <w:rsid w:val="004900E5"/>
    <w:rsid w:val="004902B8"/>
    <w:rsid w:val="00490B90"/>
    <w:rsid w:val="004916FC"/>
    <w:rsid w:val="00492565"/>
    <w:rsid w:val="00492569"/>
    <w:rsid w:val="00493139"/>
    <w:rsid w:val="00493A57"/>
    <w:rsid w:val="00493CA0"/>
    <w:rsid w:val="00494FEB"/>
    <w:rsid w:val="00495439"/>
    <w:rsid w:val="004956CD"/>
    <w:rsid w:val="004960E7"/>
    <w:rsid w:val="00496345"/>
    <w:rsid w:val="00497AD2"/>
    <w:rsid w:val="00497E8D"/>
    <w:rsid w:val="004A02BE"/>
    <w:rsid w:val="004A3143"/>
    <w:rsid w:val="004A31B1"/>
    <w:rsid w:val="004A3E96"/>
    <w:rsid w:val="004A456D"/>
    <w:rsid w:val="004A51CF"/>
    <w:rsid w:val="004A6210"/>
    <w:rsid w:val="004A6289"/>
    <w:rsid w:val="004A66C6"/>
    <w:rsid w:val="004B0CFF"/>
    <w:rsid w:val="004B15D9"/>
    <w:rsid w:val="004B173B"/>
    <w:rsid w:val="004B19BB"/>
    <w:rsid w:val="004B2444"/>
    <w:rsid w:val="004B26EE"/>
    <w:rsid w:val="004B2BFC"/>
    <w:rsid w:val="004B2C90"/>
    <w:rsid w:val="004B495A"/>
    <w:rsid w:val="004B5244"/>
    <w:rsid w:val="004B52B8"/>
    <w:rsid w:val="004C00FD"/>
    <w:rsid w:val="004C05BE"/>
    <w:rsid w:val="004C05D7"/>
    <w:rsid w:val="004C0835"/>
    <w:rsid w:val="004C0DCB"/>
    <w:rsid w:val="004C0F51"/>
    <w:rsid w:val="004C17DE"/>
    <w:rsid w:val="004C2FEE"/>
    <w:rsid w:val="004C32F4"/>
    <w:rsid w:val="004C3F06"/>
    <w:rsid w:val="004C41E5"/>
    <w:rsid w:val="004C420F"/>
    <w:rsid w:val="004C5E35"/>
    <w:rsid w:val="004C66A8"/>
    <w:rsid w:val="004D1C27"/>
    <w:rsid w:val="004D2D46"/>
    <w:rsid w:val="004D31D7"/>
    <w:rsid w:val="004D3B1C"/>
    <w:rsid w:val="004D5AA0"/>
    <w:rsid w:val="004D724E"/>
    <w:rsid w:val="004D7718"/>
    <w:rsid w:val="004E1721"/>
    <w:rsid w:val="004E2846"/>
    <w:rsid w:val="004E47BF"/>
    <w:rsid w:val="004E4ABC"/>
    <w:rsid w:val="004E538D"/>
    <w:rsid w:val="004E5759"/>
    <w:rsid w:val="004E6DCD"/>
    <w:rsid w:val="004F04D9"/>
    <w:rsid w:val="004F1727"/>
    <w:rsid w:val="004F25D0"/>
    <w:rsid w:val="004F2F42"/>
    <w:rsid w:val="004F4C4F"/>
    <w:rsid w:val="004F4DF3"/>
    <w:rsid w:val="004F640A"/>
    <w:rsid w:val="0050016E"/>
    <w:rsid w:val="0050018D"/>
    <w:rsid w:val="00500E7C"/>
    <w:rsid w:val="00500EB8"/>
    <w:rsid w:val="0050141D"/>
    <w:rsid w:val="005028FA"/>
    <w:rsid w:val="00504548"/>
    <w:rsid w:val="00504C06"/>
    <w:rsid w:val="0050654D"/>
    <w:rsid w:val="005066E3"/>
    <w:rsid w:val="00506928"/>
    <w:rsid w:val="005069C7"/>
    <w:rsid w:val="00507502"/>
    <w:rsid w:val="00511A7D"/>
    <w:rsid w:val="005132B7"/>
    <w:rsid w:val="0051332F"/>
    <w:rsid w:val="0051337E"/>
    <w:rsid w:val="005138BE"/>
    <w:rsid w:val="005158A4"/>
    <w:rsid w:val="00516813"/>
    <w:rsid w:val="005220A7"/>
    <w:rsid w:val="0052251A"/>
    <w:rsid w:val="005226AB"/>
    <w:rsid w:val="005226B9"/>
    <w:rsid w:val="005253DF"/>
    <w:rsid w:val="00526202"/>
    <w:rsid w:val="00526325"/>
    <w:rsid w:val="00527A82"/>
    <w:rsid w:val="00527B86"/>
    <w:rsid w:val="00531430"/>
    <w:rsid w:val="005319B0"/>
    <w:rsid w:val="00532552"/>
    <w:rsid w:val="00532B8F"/>
    <w:rsid w:val="0053407C"/>
    <w:rsid w:val="0053410F"/>
    <w:rsid w:val="00534803"/>
    <w:rsid w:val="00537430"/>
    <w:rsid w:val="0054069C"/>
    <w:rsid w:val="0054285B"/>
    <w:rsid w:val="00542935"/>
    <w:rsid w:val="00543451"/>
    <w:rsid w:val="005448D5"/>
    <w:rsid w:val="00544B6D"/>
    <w:rsid w:val="00546CC0"/>
    <w:rsid w:val="00546E1A"/>
    <w:rsid w:val="00547154"/>
    <w:rsid w:val="0054791F"/>
    <w:rsid w:val="00547F53"/>
    <w:rsid w:val="005502FC"/>
    <w:rsid w:val="005522BB"/>
    <w:rsid w:val="00552B4B"/>
    <w:rsid w:val="005541CD"/>
    <w:rsid w:val="0055637A"/>
    <w:rsid w:val="0055678E"/>
    <w:rsid w:val="005575FF"/>
    <w:rsid w:val="00557712"/>
    <w:rsid w:val="005606C6"/>
    <w:rsid w:val="0056071B"/>
    <w:rsid w:val="00561FB9"/>
    <w:rsid w:val="005625A1"/>
    <w:rsid w:val="00563FB8"/>
    <w:rsid w:val="00565209"/>
    <w:rsid w:val="005652E7"/>
    <w:rsid w:val="00565548"/>
    <w:rsid w:val="0056559C"/>
    <w:rsid w:val="00565967"/>
    <w:rsid w:val="00565C60"/>
    <w:rsid w:val="00565DB5"/>
    <w:rsid w:val="00565DF6"/>
    <w:rsid w:val="00567346"/>
    <w:rsid w:val="00567E39"/>
    <w:rsid w:val="0057015C"/>
    <w:rsid w:val="005703DA"/>
    <w:rsid w:val="00573929"/>
    <w:rsid w:val="00573FBC"/>
    <w:rsid w:val="005742DF"/>
    <w:rsid w:val="00574B18"/>
    <w:rsid w:val="005750CB"/>
    <w:rsid w:val="00575C72"/>
    <w:rsid w:val="00575F06"/>
    <w:rsid w:val="00576BF1"/>
    <w:rsid w:val="00576CB5"/>
    <w:rsid w:val="00576FEF"/>
    <w:rsid w:val="005809F7"/>
    <w:rsid w:val="00580D72"/>
    <w:rsid w:val="00582028"/>
    <w:rsid w:val="00582302"/>
    <w:rsid w:val="00583004"/>
    <w:rsid w:val="0058435B"/>
    <w:rsid w:val="0058587D"/>
    <w:rsid w:val="005868B3"/>
    <w:rsid w:val="005905EA"/>
    <w:rsid w:val="00590E54"/>
    <w:rsid w:val="00591288"/>
    <w:rsid w:val="005917FD"/>
    <w:rsid w:val="00591A35"/>
    <w:rsid w:val="00591F63"/>
    <w:rsid w:val="00593078"/>
    <w:rsid w:val="00593BA9"/>
    <w:rsid w:val="0059444B"/>
    <w:rsid w:val="00594990"/>
    <w:rsid w:val="00594B2D"/>
    <w:rsid w:val="00594D6F"/>
    <w:rsid w:val="00597F9F"/>
    <w:rsid w:val="005A0531"/>
    <w:rsid w:val="005A11E0"/>
    <w:rsid w:val="005A1C7D"/>
    <w:rsid w:val="005A27DF"/>
    <w:rsid w:val="005A2886"/>
    <w:rsid w:val="005A28A0"/>
    <w:rsid w:val="005A32FC"/>
    <w:rsid w:val="005A367A"/>
    <w:rsid w:val="005A460C"/>
    <w:rsid w:val="005A465F"/>
    <w:rsid w:val="005A4739"/>
    <w:rsid w:val="005A47FB"/>
    <w:rsid w:val="005A4AA1"/>
    <w:rsid w:val="005A57E3"/>
    <w:rsid w:val="005A73E0"/>
    <w:rsid w:val="005B0820"/>
    <w:rsid w:val="005B1087"/>
    <w:rsid w:val="005B17D2"/>
    <w:rsid w:val="005B3358"/>
    <w:rsid w:val="005B38BE"/>
    <w:rsid w:val="005B41C3"/>
    <w:rsid w:val="005B4478"/>
    <w:rsid w:val="005B4892"/>
    <w:rsid w:val="005B5D70"/>
    <w:rsid w:val="005B5DCF"/>
    <w:rsid w:val="005B683F"/>
    <w:rsid w:val="005C0684"/>
    <w:rsid w:val="005C06AD"/>
    <w:rsid w:val="005C0A20"/>
    <w:rsid w:val="005C0F15"/>
    <w:rsid w:val="005C35FE"/>
    <w:rsid w:val="005C3649"/>
    <w:rsid w:val="005C3C13"/>
    <w:rsid w:val="005C4137"/>
    <w:rsid w:val="005C43CD"/>
    <w:rsid w:val="005C57C3"/>
    <w:rsid w:val="005C6D53"/>
    <w:rsid w:val="005C714F"/>
    <w:rsid w:val="005C71C8"/>
    <w:rsid w:val="005D0E2C"/>
    <w:rsid w:val="005D1923"/>
    <w:rsid w:val="005D1F5E"/>
    <w:rsid w:val="005D2FA9"/>
    <w:rsid w:val="005D467D"/>
    <w:rsid w:val="005D4706"/>
    <w:rsid w:val="005D5007"/>
    <w:rsid w:val="005D5317"/>
    <w:rsid w:val="005D65A6"/>
    <w:rsid w:val="005D6C8A"/>
    <w:rsid w:val="005D7F2B"/>
    <w:rsid w:val="005D7FD1"/>
    <w:rsid w:val="005E01F7"/>
    <w:rsid w:val="005E1242"/>
    <w:rsid w:val="005E260B"/>
    <w:rsid w:val="005E2810"/>
    <w:rsid w:val="005E44BA"/>
    <w:rsid w:val="005E5456"/>
    <w:rsid w:val="005E63D4"/>
    <w:rsid w:val="005E7567"/>
    <w:rsid w:val="005E7EC4"/>
    <w:rsid w:val="005E7F94"/>
    <w:rsid w:val="005F02DD"/>
    <w:rsid w:val="005F10FE"/>
    <w:rsid w:val="005F111C"/>
    <w:rsid w:val="005F187D"/>
    <w:rsid w:val="005F1D65"/>
    <w:rsid w:val="005F2D4B"/>
    <w:rsid w:val="005F31B3"/>
    <w:rsid w:val="005F4D4F"/>
    <w:rsid w:val="005F5953"/>
    <w:rsid w:val="005F6B7F"/>
    <w:rsid w:val="005F7D30"/>
    <w:rsid w:val="0060011C"/>
    <w:rsid w:val="006002A5"/>
    <w:rsid w:val="00600744"/>
    <w:rsid w:val="00602496"/>
    <w:rsid w:val="006035C9"/>
    <w:rsid w:val="0060501C"/>
    <w:rsid w:val="00606149"/>
    <w:rsid w:val="0060675B"/>
    <w:rsid w:val="00606F06"/>
    <w:rsid w:val="00607C6C"/>
    <w:rsid w:val="00610A5E"/>
    <w:rsid w:val="00610B31"/>
    <w:rsid w:val="006113AB"/>
    <w:rsid w:val="006113EF"/>
    <w:rsid w:val="00612E67"/>
    <w:rsid w:val="006137BE"/>
    <w:rsid w:val="006140D2"/>
    <w:rsid w:val="006147EB"/>
    <w:rsid w:val="00616C0A"/>
    <w:rsid w:val="00617419"/>
    <w:rsid w:val="00617813"/>
    <w:rsid w:val="006178A7"/>
    <w:rsid w:val="006200EB"/>
    <w:rsid w:val="00620695"/>
    <w:rsid w:val="00620E75"/>
    <w:rsid w:val="006211FD"/>
    <w:rsid w:val="00621612"/>
    <w:rsid w:val="00621EA3"/>
    <w:rsid w:val="006222BD"/>
    <w:rsid w:val="006233ED"/>
    <w:rsid w:val="00623723"/>
    <w:rsid w:val="00623F77"/>
    <w:rsid w:val="00624394"/>
    <w:rsid w:val="006243FE"/>
    <w:rsid w:val="00624ED2"/>
    <w:rsid w:val="0062550C"/>
    <w:rsid w:val="00625AFD"/>
    <w:rsid w:val="00627BE0"/>
    <w:rsid w:val="00630190"/>
    <w:rsid w:val="00631489"/>
    <w:rsid w:val="006326E8"/>
    <w:rsid w:val="00632770"/>
    <w:rsid w:val="006339F4"/>
    <w:rsid w:val="00634037"/>
    <w:rsid w:val="00635B64"/>
    <w:rsid w:val="00640234"/>
    <w:rsid w:val="006426F3"/>
    <w:rsid w:val="0064301A"/>
    <w:rsid w:val="0064343A"/>
    <w:rsid w:val="006463ED"/>
    <w:rsid w:val="0064697D"/>
    <w:rsid w:val="00646C22"/>
    <w:rsid w:val="0064712F"/>
    <w:rsid w:val="00650583"/>
    <w:rsid w:val="00650761"/>
    <w:rsid w:val="006513A4"/>
    <w:rsid w:val="00652832"/>
    <w:rsid w:val="006534E9"/>
    <w:rsid w:val="00654DBC"/>
    <w:rsid w:val="0065558F"/>
    <w:rsid w:val="00655D53"/>
    <w:rsid w:val="00657701"/>
    <w:rsid w:val="006579AA"/>
    <w:rsid w:val="0066245B"/>
    <w:rsid w:val="006631B7"/>
    <w:rsid w:val="0066404C"/>
    <w:rsid w:val="00664148"/>
    <w:rsid w:val="006641FD"/>
    <w:rsid w:val="00665FB6"/>
    <w:rsid w:val="00667841"/>
    <w:rsid w:val="00667B5C"/>
    <w:rsid w:val="00670B93"/>
    <w:rsid w:val="00671A1F"/>
    <w:rsid w:val="0067322B"/>
    <w:rsid w:val="00675941"/>
    <w:rsid w:val="006759E7"/>
    <w:rsid w:val="00675C47"/>
    <w:rsid w:val="00680993"/>
    <w:rsid w:val="00681AFF"/>
    <w:rsid w:val="00682D89"/>
    <w:rsid w:val="00683EBE"/>
    <w:rsid w:val="006846A1"/>
    <w:rsid w:val="00685C46"/>
    <w:rsid w:val="00686B7D"/>
    <w:rsid w:val="00687580"/>
    <w:rsid w:val="00687968"/>
    <w:rsid w:val="006904F3"/>
    <w:rsid w:val="00690CE8"/>
    <w:rsid w:val="0069167E"/>
    <w:rsid w:val="006928DB"/>
    <w:rsid w:val="00692F6E"/>
    <w:rsid w:val="0069415F"/>
    <w:rsid w:val="00694331"/>
    <w:rsid w:val="00694D16"/>
    <w:rsid w:val="00694E11"/>
    <w:rsid w:val="00695465"/>
    <w:rsid w:val="006A008F"/>
    <w:rsid w:val="006A056A"/>
    <w:rsid w:val="006A0CB4"/>
    <w:rsid w:val="006A197B"/>
    <w:rsid w:val="006A2668"/>
    <w:rsid w:val="006A2EFC"/>
    <w:rsid w:val="006A3453"/>
    <w:rsid w:val="006A37E5"/>
    <w:rsid w:val="006A4F77"/>
    <w:rsid w:val="006A50FE"/>
    <w:rsid w:val="006A57A0"/>
    <w:rsid w:val="006A5AA6"/>
    <w:rsid w:val="006A7C19"/>
    <w:rsid w:val="006B1957"/>
    <w:rsid w:val="006B1F12"/>
    <w:rsid w:val="006B295C"/>
    <w:rsid w:val="006B32E2"/>
    <w:rsid w:val="006B42C7"/>
    <w:rsid w:val="006B559E"/>
    <w:rsid w:val="006B580B"/>
    <w:rsid w:val="006B5985"/>
    <w:rsid w:val="006B6D0F"/>
    <w:rsid w:val="006B7455"/>
    <w:rsid w:val="006C0226"/>
    <w:rsid w:val="006C0684"/>
    <w:rsid w:val="006C1A66"/>
    <w:rsid w:val="006C2D13"/>
    <w:rsid w:val="006C4CDC"/>
    <w:rsid w:val="006C4F47"/>
    <w:rsid w:val="006C506B"/>
    <w:rsid w:val="006C5974"/>
    <w:rsid w:val="006C5E4A"/>
    <w:rsid w:val="006C5F75"/>
    <w:rsid w:val="006C5F8B"/>
    <w:rsid w:val="006C6C1A"/>
    <w:rsid w:val="006D011B"/>
    <w:rsid w:val="006D131E"/>
    <w:rsid w:val="006D15B2"/>
    <w:rsid w:val="006D1A92"/>
    <w:rsid w:val="006D1C06"/>
    <w:rsid w:val="006D2D37"/>
    <w:rsid w:val="006D3643"/>
    <w:rsid w:val="006D5460"/>
    <w:rsid w:val="006D65AB"/>
    <w:rsid w:val="006D6F74"/>
    <w:rsid w:val="006D701B"/>
    <w:rsid w:val="006E170D"/>
    <w:rsid w:val="006E1793"/>
    <w:rsid w:val="006E1A8E"/>
    <w:rsid w:val="006E1C20"/>
    <w:rsid w:val="006E1E25"/>
    <w:rsid w:val="006E298A"/>
    <w:rsid w:val="006E3E6C"/>
    <w:rsid w:val="006E41BA"/>
    <w:rsid w:val="006E60DC"/>
    <w:rsid w:val="006E632A"/>
    <w:rsid w:val="006E698B"/>
    <w:rsid w:val="006F034D"/>
    <w:rsid w:val="006F0879"/>
    <w:rsid w:val="006F0F66"/>
    <w:rsid w:val="006F156B"/>
    <w:rsid w:val="006F17D0"/>
    <w:rsid w:val="006F1FF7"/>
    <w:rsid w:val="006F2012"/>
    <w:rsid w:val="006F237D"/>
    <w:rsid w:val="006F2B2D"/>
    <w:rsid w:val="006F3F99"/>
    <w:rsid w:val="006F47C6"/>
    <w:rsid w:val="006F4A1B"/>
    <w:rsid w:val="006F5165"/>
    <w:rsid w:val="006F6236"/>
    <w:rsid w:val="006F704A"/>
    <w:rsid w:val="006F71BA"/>
    <w:rsid w:val="006F72B5"/>
    <w:rsid w:val="006F7D92"/>
    <w:rsid w:val="00700A38"/>
    <w:rsid w:val="00701E21"/>
    <w:rsid w:val="00702091"/>
    <w:rsid w:val="00702370"/>
    <w:rsid w:val="007037D7"/>
    <w:rsid w:val="00703BFE"/>
    <w:rsid w:val="00703D08"/>
    <w:rsid w:val="00703E9B"/>
    <w:rsid w:val="00704152"/>
    <w:rsid w:val="00704BDF"/>
    <w:rsid w:val="00705AA5"/>
    <w:rsid w:val="00706071"/>
    <w:rsid w:val="0070624E"/>
    <w:rsid w:val="00706451"/>
    <w:rsid w:val="0070750C"/>
    <w:rsid w:val="00707B84"/>
    <w:rsid w:val="00711BAF"/>
    <w:rsid w:val="00711C1C"/>
    <w:rsid w:val="00713330"/>
    <w:rsid w:val="007136FC"/>
    <w:rsid w:val="007140FF"/>
    <w:rsid w:val="00714BC5"/>
    <w:rsid w:val="007152C5"/>
    <w:rsid w:val="0071548B"/>
    <w:rsid w:val="00715CF9"/>
    <w:rsid w:val="007164A0"/>
    <w:rsid w:val="00717C78"/>
    <w:rsid w:val="00717FB0"/>
    <w:rsid w:val="007201DB"/>
    <w:rsid w:val="0072027B"/>
    <w:rsid w:val="007203E4"/>
    <w:rsid w:val="007204A9"/>
    <w:rsid w:val="007205FF"/>
    <w:rsid w:val="00721C3E"/>
    <w:rsid w:val="0072388C"/>
    <w:rsid w:val="00724227"/>
    <w:rsid w:val="007266CE"/>
    <w:rsid w:val="007316D1"/>
    <w:rsid w:val="007320AA"/>
    <w:rsid w:val="00732381"/>
    <w:rsid w:val="00733094"/>
    <w:rsid w:val="00735E04"/>
    <w:rsid w:val="0073784C"/>
    <w:rsid w:val="00740BC0"/>
    <w:rsid w:val="00741031"/>
    <w:rsid w:val="00741367"/>
    <w:rsid w:val="0074136D"/>
    <w:rsid w:val="00742789"/>
    <w:rsid w:val="00744D22"/>
    <w:rsid w:val="00745CF0"/>
    <w:rsid w:val="00746768"/>
    <w:rsid w:val="00747739"/>
    <w:rsid w:val="00750B2D"/>
    <w:rsid w:val="00750F04"/>
    <w:rsid w:val="00752F75"/>
    <w:rsid w:val="007530E9"/>
    <w:rsid w:val="00753279"/>
    <w:rsid w:val="007550AB"/>
    <w:rsid w:val="0075674C"/>
    <w:rsid w:val="00756805"/>
    <w:rsid w:val="00756929"/>
    <w:rsid w:val="0076373C"/>
    <w:rsid w:val="00763AD6"/>
    <w:rsid w:val="0076426F"/>
    <w:rsid w:val="00765501"/>
    <w:rsid w:val="00765669"/>
    <w:rsid w:val="00767DBB"/>
    <w:rsid w:val="00770224"/>
    <w:rsid w:val="007702DF"/>
    <w:rsid w:val="007702F5"/>
    <w:rsid w:val="00770437"/>
    <w:rsid w:val="00770A74"/>
    <w:rsid w:val="00770ABB"/>
    <w:rsid w:val="00773F00"/>
    <w:rsid w:val="00774252"/>
    <w:rsid w:val="00774646"/>
    <w:rsid w:val="007753EC"/>
    <w:rsid w:val="00780419"/>
    <w:rsid w:val="00780CD3"/>
    <w:rsid w:val="00780DBA"/>
    <w:rsid w:val="0078119D"/>
    <w:rsid w:val="00781695"/>
    <w:rsid w:val="00783210"/>
    <w:rsid w:val="007840A5"/>
    <w:rsid w:val="007874AA"/>
    <w:rsid w:val="00787561"/>
    <w:rsid w:val="00787938"/>
    <w:rsid w:val="007905CE"/>
    <w:rsid w:val="0079085B"/>
    <w:rsid w:val="00790AF0"/>
    <w:rsid w:val="00791B6A"/>
    <w:rsid w:val="0079243E"/>
    <w:rsid w:val="00793A30"/>
    <w:rsid w:val="007946C9"/>
    <w:rsid w:val="007952E0"/>
    <w:rsid w:val="00795A18"/>
    <w:rsid w:val="00797322"/>
    <w:rsid w:val="00797D3D"/>
    <w:rsid w:val="00797FDB"/>
    <w:rsid w:val="007A02A7"/>
    <w:rsid w:val="007A08BF"/>
    <w:rsid w:val="007A1B29"/>
    <w:rsid w:val="007A2571"/>
    <w:rsid w:val="007A26B6"/>
    <w:rsid w:val="007A6793"/>
    <w:rsid w:val="007A71F7"/>
    <w:rsid w:val="007B006B"/>
    <w:rsid w:val="007B1413"/>
    <w:rsid w:val="007B231B"/>
    <w:rsid w:val="007B233D"/>
    <w:rsid w:val="007B595E"/>
    <w:rsid w:val="007B5E38"/>
    <w:rsid w:val="007B641E"/>
    <w:rsid w:val="007B7122"/>
    <w:rsid w:val="007B7F2E"/>
    <w:rsid w:val="007C0686"/>
    <w:rsid w:val="007C0935"/>
    <w:rsid w:val="007C0EFC"/>
    <w:rsid w:val="007C131A"/>
    <w:rsid w:val="007C1B75"/>
    <w:rsid w:val="007C1F65"/>
    <w:rsid w:val="007C33DB"/>
    <w:rsid w:val="007C355B"/>
    <w:rsid w:val="007C3A35"/>
    <w:rsid w:val="007C3B88"/>
    <w:rsid w:val="007C4522"/>
    <w:rsid w:val="007C4AC4"/>
    <w:rsid w:val="007C5B36"/>
    <w:rsid w:val="007C5C07"/>
    <w:rsid w:val="007C789C"/>
    <w:rsid w:val="007D1089"/>
    <w:rsid w:val="007D249A"/>
    <w:rsid w:val="007D25CF"/>
    <w:rsid w:val="007D2F96"/>
    <w:rsid w:val="007D4472"/>
    <w:rsid w:val="007D4D28"/>
    <w:rsid w:val="007D501C"/>
    <w:rsid w:val="007D63B3"/>
    <w:rsid w:val="007D6895"/>
    <w:rsid w:val="007D7AA9"/>
    <w:rsid w:val="007D7D5F"/>
    <w:rsid w:val="007E1E80"/>
    <w:rsid w:val="007E2D4E"/>
    <w:rsid w:val="007E51A1"/>
    <w:rsid w:val="007E5A47"/>
    <w:rsid w:val="007E5C28"/>
    <w:rsid w:val="007E6917"/>
    <w:rsid w:val="007E6CE3"/>
    <w:rsid w:val="007F0FF6"/>
    <w:rsid w:val="007F182D"/>
    <w:rsid w:val="007F1E5B"/>
    <w:rsid w:val="007F218B"/>
    <w:rsid w:val="007F4C44"/>
    <w:rsid w:val="007F4E93"/>
    <w:rsid w:val="007F5FAD"/>
    <w:rsid w:val="007F628C"/>
    <w:rsid w:val="007F689D"/>
    <w:rsid w:val="007F6FFA"/>
    <w:rsid w:val="0080279E"/>
    <w:rsid w:val="00802EB2"/>
    <w:rsid w:val="00803A89"/>
    <w:rsid w:val="008046D4"/>
    <w:rsid w:val="00805B15"/>
    <w:rsid w:val="00807D39"/>
    <w:rsid w:val="00807E5C"/>
    <w:rsid w:val="00807F05"/>
    <w:rsid w:val="00810218"/>
    <w:rsid w:val="00812CBC"/>
    <w:rsid w:val="00813271"/>
    <w:rsid w:val="0081360D"/>
    <w:rsid w:val="00815366"/>
    <w:rsid w:val="00815583"/>
    <w:rsid w:val="00817559"/>
    <w:rsid w:val="00820112"/>
    <w:rsid w:val="00820785"/>
    <w:rsid w:val="00822014"/>
    <w:rsid w:val="008232EE"/>
    <w:rsid w:val="00823329"/>
    <w:rsid w:val="00823620"/>
    <w:rsid w:val="00823EE7"/>
    <w:rsid w:val="008242D3"/>
    <w:rsid w:val="00826C51"/>
    <w:rsid w:val="008276AC"/>
    <w:rsid w:val="008277A6"/>
    <w:rsid w:val="00827BF0"/>
    <w:rsid w:val="00827D27"/>
    <w:rsid w:val="00830281"/>
    <w:rsid w:val="00830AE7"/>
    <w:rsid w:val="008314D5"/>
    <w:rsid w:val="00831D56"/>
    <w:rsid w:val="00831DDB"/>
    <w:rsid w:val="0083291B"/>
    <w:rsid w:val="00832B4A"/>
    <w:rsid w:val="00833792"/>
    <w:rsid w:val="008339ED"/>
    <w:rsid w:val="00833CE0"/>
    <w:rsid w:val="0083487D"/>
    <w:rsid w:val="00835357"/>
    <w:rsid w:val="00836058"/>
    <w:rsid w:val="00836461"/>
    <w:rsid w:val="00836CB2"/>
    <w:rsid w:val="00837D41"/>
    <w:rsid w:val="00842FB1"/>
    <w:rsid w:val="00845148"/>
    <w:rsid w:val="00851C54"/>
    <w:rsid w:val="00852F35"/>
    <w:rsid w:val="00852F92"/>
    <w:rsid w:val="0085328C"/>
    <w:rsid w:val="00853F1E"/>
    <w:rsid w:val="008544B9"/>
    <w:rsid w:val="00854C90"/>
    <w:rsid w:val="00855152"/>
    <w:rsid w:val="008559FC"/>
    <w:rsid w:val="00855A63"/>
    <w:rsid w:val="00857363"/>
    <w:rsid w:val="00857475"/>
    <w:rsid w:val="0085778F"/>
    <w:rsid w:val="00857F8E"/>
    <w:rsid w:val="008612DE"/>
    <w:rsid w:val="00862F70"/>
    <w:rsid w:val="008630C6"/>
    <w:rsid w:val="00864764"/>
    <w:rsid w:val="00864F84"/>
    <w:rsid w:val="0086651D"/>
    <w:rsid w:val="00866980"/>
    <w:rsid w:val="00867857"/>
    <w:rsid w:val="0087011A"/>
    <w:rsid w:val="00870790"/>
    <w:rsid w:val="00871B4B"/>
    <w:rsid w:val="00872CF7"/>
    <w:rsid w:val="0087307B"/>
    <w:rsid w:val="00873B68"/>
    <w:rsid w:val="0087500B"/>
    <w:rsid w:val="00880485"/>
    <w:rsid w:val="00881338"/>
    <w:rsid w:val="008821E8"/>
    <w:rsid w:val="00882225"/>
    <w:rsid w:val="00882E34"/>
    <w:rsid w:val="00883248"/>
    <w:rsid w:val="00883AFB"/>
    <w:rsid w:val="00883D08"/>
    <w:rsid w:val="008851E7"/>
    <w:rsid w:val="00885CE6"/>
    <w:rsid w:val="00886A77"/>
    <w:rsid w:val="00890445"/>
    <w:rsid w:val="008905C3"/>
    <w:rsid w:val="00894B22"/>
    <w:rsid w:val="00894EBD"/>
    <w:rsid w:val="00895815"/>
    <w:rsid w:val="00895F9F"/>
    <w:rsid w:val="00897787"/>
    <w:rsid w:val="008A0614"/>
    <w:rsid w:val="008A0A14"/>
    <w:rsid w:val="008A0F86"/>
    <w:rsid w:val="008A224D"/>
    <w:rsid w:val="008A305A"/>
    <w:rsid w:val="008A3A5E"/>
    <w:rsid w:val="008A3BA9"/>
    <w:rsid w:val="008A4CD1"/>
    <w:rsid w:val="008A517D"/>
    <w:rsid w:val="008A54BD"/>
    <w:rsid w:val="008A56C7"/>
    <w:rsid w:val="008A5B4D"/>
    <w:rsid w:val="008A683C"/>
    <w:rsid w:val="008A6ADA"/>
    <w:rsid w:val="008A7508"/>
    <w:rsid w:val="008A7E20"/>
    <w:rsid w:val="008B33E1"/>
    <w:rsid w:val="008B44F5"/>
    <w:rsid w:val="008B587F"/>
    <w:rsid w:val="008B68BB"/>
    <w:rsid w:val="008C0FA2"/>
    <w:rsid w:val="008C3038"/>
    <w:rsid w:val="008C30B9"/>
    <w:rsid w:val="008C31B3"/>
    <w:rsid w:val="008C3398"/>
    <w:rsid w:val="008C33B3"/>
    <w:rsid w:val="008C3A67"/>
    <w:rsid w:val="008C3C7A"/>
    <w:rsid w:val="008C47A1"/>
    <w:rsid w:val="008C4A1B"/>
    <w:rsid w:val="008C4F5A"/>
    <w:rsid w:val="008C5AB4"/>
    <w:rsid w:val="008C606D"/>
    <w:rsid w:val="008C738F"/>
    <w:rsid w:val="008C7DE5"/>
    <w:rsid w:val="008C7F55"/>
    <w:rsid w:val="008D0527"/>
    <w:rsid w:val="008D122E"/>
    <w:rsid w:val="008D1950"/>
    <w:rsid w:val="008D357F"/>
    <w:rsid w:val="008D43CF"/>
    <w:rsid w:val="008D4A34"/>
    <w:rsid w:val="008D4D3C"/>
    <w:rsid w:val="008D6B9E"/>
    <w:rsid w:val="008D734F"/>
    <w:rsid w:val="008E0141"/>
    <w:rsid w:val="008E0152"/>
    <w:rsid w:val="008E1024"/>
    <w:rsid w:val="008E18B7"/>
    <w:rsid w:val="008E1F36"/>
    <w:rsid w:val="008E2629"/>
    <w:rsid w:val="008E28DC"/>
    <w:rsid w:val="008E393E"/>
    <w:rsid w:val="008E3C93"/>
    <w:rsid w:val="008E62B8"/>
    <w:rsid w:val="008E7192"/>
    <w:rsid w:val="008EE32D"/>
    <w:rsid w:val="008F035F"/>
    <w:rsid w:val="008F1D8C"/>
    <w:rsid w:val="008F33A6"/>
    <w:rsid w:val="008F3786"/>
    <w:rsid w:val="008F3BF6"/>
    <w:rsid w:val="008F45B9"/>
    <w:rsid w:val="008F56B0"/>
    <w:rsid w:val="008F5808"/>
    <w:rsid w:val="008F5C80"/>
    <w:rsid w:val="008F6594"/>
    <w:rsid w:val="008F7609"/>
    <w:rsid w:val="008F7DF9"/>
    <w:rsid w:val="009009FD"/>
    <w:rsid w:val="00900F1B"/>
    <w:rsid w:val="00901062"/>
    <w:rsid w:val="00901BC7"/>
    <w:rsid w:val="00902439"/>
    <w:rsid w:val="00903032"/>
    <w:rsid w:val="00903A3E"/>
    <w:rsid w:val="00903FB5"/>
    <w:rsid w:val="00905FDC"/>
    <w:rsid w:val="0090663B"/>
    <w:rsid w:val="00906B36"/>
    <w:rsid w:val="00907D5A"/>
    <w:rsid w:val="00911C2D"/>
    <w:rsid w:val="009123CE"/>
    <w:rsid w:val="00912C03"/>
    <w:rsid w:val="00913BAB"/>
    <w:rsid w:val="00913D3E"/>
    <w:rsid w:val="00913ED0"/>
    <w:rsid w:val="00914155"/>
    <w:rsid w:val="00914D8A"/>
    <w:rsid w:val="00915465"/>
    <w:rsid w:val="00915B53"/>
    <w:rsid w:val="00916300"/>
    <w:rsid w:val="00917067"/>
    <w:rsid w:val="00917069"/>
    <w:rsid w:val="009206D0"/>
    <w:rsid w:val="0092106C"/>
    <w:rsid w:val="00922C31"/>
    <w:rsid w:val="00923AF1"/>
    <w:rsid w:val="00923EF3"/>
    <w:rsid w:val="00925699"/>
    <w:rsid w:val="00926010"/>
    <w:rsid w:val="00927650"/>
    <w:rsid w:val="00927DC7"/>
    <w:rsid w:val="00930A5E"/>
    <w:rsid w:val="00930F5D"/>
    <w:rsid w:val="009325DF"/>
    <w:rsid w:val="00934012"/>
    <w:rsid w:val="009345BE"/>
    <w:rsid w:val="009350AA"/>
    <w:rsid w:val="009354D9"/>
    <w:rsid w:val="009363C6"/>
    <w:rsid w:val="00937658"/>
    <w:rsid w:val="009415D3"/>
    <w:rsid w:val="00941B93"/>
    <w:rsid w:val="00942CB6"/>
    <w:rsid w:val="00942CE9"/>
    <w:rsid w:val="00945808"/>
    <w:rsid w:val="009507C8"/>
    <w:rsid w:val="009519DC"/>
    <w:rsid w:val="00952717"/>
    <w:rsid w:val="00952732"/>
    <w:rsid w:val="00953C9B"/>
    <w:rsid w:val="00954A7D"/>
    <w:rsid w:val="00954FF2"/>
    <w:rsid w:val="00955134"/>
    <w:rsid w:val="00956068"/>
    <w:rsid w:val="009575C3"/>
    <w:rsid w:val="00957FD3"/>
    <w:rsid w:val="009603D7"/>
    <w:rsid w:val="00960F67"/>
    <w:rsid w:val="00961408"/>
    <w:rsid w:val="009615D2"/>
    <w:rsid w:val="00961F35"/>
    <w:rsid w:val="0096205D"/>
    <w:rsid w:val="0096238E"/>
    <w:rsid w:val="00962543"/>
    <w:rsid w:val="00962676"/>
    <w:rsid w:val="00962BEA"/>
    <w:rsid w:val="00962EE8"/>
    <w:rsid w:val="00963F84"/>
    <w:rsid w:val="009644C9"/>
    <w:rsid w:val="00966A13"/>
    <w:rsid w:val="009670D2"/>
    <w:rsid w:val="009671C9"/>
    <w:rsid w:val="00967DD6"/>
    <w:rsid w:val="0097075E"/>
    <w:rsid w:val="009727D9"/>
    <w:rsid w:val="0097316A"/>
    <w:rsid w:val="00976B24"/>
    <w:rsid w:val="00976EE9"/>
    <w:rsid w:val="009771D1"/>
    <w:rsid w:val="0098019C"/>
    <w:rsid w:val="0098193B"/>
    <w:rsid w:val="0098324E"/>
    <w:rsid w:val="00984376"/>
    <w:rsid w:val="00985FAA"/>
    <w:rsid w:val="0098612C"/>
    <w:rsid w:val="00986595"/>
    <w:rsid w:val="00987133"/>
    <w:rsid w:val="009875E4"/>
    <w:rsid w:val="00991F55"/>
    <w:rsid w:val="00992D80"/>
    <w:rsid w:val="009942B7"/>
    <w:rsid w:val="00995541"/>
    <w:rsid w:val="0099715E"/>
    <w:rsid w:val="009A370C"/>
    <w:rsid w:val="009A3BEE"/>
    <w:rsid w:val="009A481C"/>
    <w:rsid w:val="009A56DC"/>
    <w:rsid w:val="009A57F7"/>
    <w:rsid w:val="009A6D9C"/>
    <w:rsid w:val="009A7587"/>
    <w:rsid w:val="009B05AE"/>
    <w:rsid w:val="009B13BC"/>
    <w:rsid w:val="009B1C19"/>
    <w:rsid w:val="009B3A60"/>
    <w:rsid w:val="009B3B83"/>
    <w:rsid w:val="009B3CBB"/>
    <w:rsid w:val="009B3FE4"/>
    <w:rsid w:val="009B5901"/>
    <w:rsid w:val="009B5EB0"/>
    <w:rsid w:val="009B64A6"/>
    <w:rsid w:val="009B6C77"/>
    <w:rsid w:val="009C1BDB"/>
    <w:rsid w:val="009C2ADB"/>
    <w:rsid w:val="009C3150"/>
    <w:rsid w:val="009C3890"/>
    <w:rsid w:val="009C471A"/>
    <w:rsid w:val="009C60F6"/>
    <w:rsid w:val="009C704D"/>
    <w:rsid w:val="009D05E7"/>
    <w:rsid w:val="009D0944"/>
    <w:rsid w:val="009D0952"/>
    <w:rsid w:val="009D1210"/>
    <w:rsid w:val="009D21FA"/>
    <w:rsid w:val="009D2406"/>
    <w:rsid w:val="009D2DBC"/>
    <w:rsid w:val="009D3354"/>
    <w:rsid w:val="009D3710"/>
    <w:rsid w:val="009D387D"/>
    <w:rsid w:val="009D4328"/>
    <w:rsid w:val="009D501E"/>
    <w:rsid w:val="009E062F"/>
    <w:rsid w:val="009E1471"/>
    <w:rsid w:val="009E1573"/>
    <w:rsid w:val="009E16A1"/>
    <w:rsid w:val="009E31AF"/>
    <w:rsid w:val="009E3AF0"/>
    <w:rsid w:val="009E4326"/>
    <w:rsid w:val="009E5DA7"/>
    <w:rsid w:val="009E7435"/>
    <w:rsid w:val="009F0889"/>
    <w:rsid w:val="009F28D8"/>
    <w:rsid w:val="009F2C06"/>
    <w:rsid w:val="009F3F69"/>
    <w:rsid w:val="009F4277"/>
    <w:rsid w:val="009F473C"/>
    <w:rsid w:val="009F4F51"/>
    <w:rsid w:val="009F5060"/>
    <w:rsid w:val="009F53B7"/>
    <w:rsid w:val="009F62F6"/>
    <w:rsid w:val="009F651C"/>
    <w:rsid w:val="009F6A0F"/>
    <w:rsid w:val="009F6C98"/>
    <w:rsid w:val="009F6D7F"/>
    <w:rsid w:val="00A007EB"/>
    <w:rsid w:val="00A008E6"/>
    <w:rsid w:val="00A00D13"/>
    <w:rsid w:val="00A01EB6"/>
    <w:rsid w:val="00A02AA3"/>
    <w:rsid w:val="00A02EB2"/>
    <w:rsid w:val="00A03DEF"/>
    <w:rsid w:val="00A05642"/>
    <w:rsid w:val="00A05DC0"/>
    <w:rsid w:val="00A05EFC"/>
    <w:rsid w:val="00A07CC8"/>
    <w:rsid w:val="00A07F1D"/>
    <w:rsid w:val="00A1010E"/>
    <w:rsid w:val="00A11186"/>
    <w:rsid w:val="00A12C83"/>
    <w:rsid w:val="00A132B3"/>
    <w:rsid w:val="00A13633"/>
    <w:rsid w:val="00A13C5E"/>
    <w:rsid w:val="00A14991"/>
    <w:rsid w:val="00A1520F"/>
    <w:rsid w:val="00A1549D"/>
    <w:rsid w:val="00A154B9"/>
    <w:rsid w:val="00A1672D"/>
    <w:rsid w:val="00A168FF"/>
    <w:rsid w:val="00A175CD"/>
    <w:rsid w:val="00A20448"/>
    <w:rsid w:val="00A21140"/>
    <w:rsid w:val="00A21841"/>
    <w:rsid w:val="00A22EDA"/>
    <w:rsid w:val="00A239A3"/>
    <w:rsid w:val="00A247B4"/>
    <w:rsid w:val="00A24944"/>
    <w:rsid w:val="00A25BA4"/>
    <w:rsid w:val="00A27DF0"/>
    <w:rsid w:val="00A27E83"/>
    <w:rsid w:val="00A326D7"/>
    <w:rsid w:val="00A3471F"/>
    <w:rsid w:val="00A34EBE"/>
    <w:rsid w:val="00A3596D"/>
    <w:rsid w:val="00A35C53"/>
    <w:rsid w:val="00A36842"/>
    <w:rsid w:val="00A4068F"/>
    <w:rsid w:val="00A406EE"/>
    <w:rsid w:val="00A41ECD"/>
    <w:rsid w:val="00A420B4"/>
    <w:rsid w:val="00A42BDE"/>
    <w:rsid w:val="00A44327"/>
    <w:rsid w:val="00A44738"/>
    <w:rsid w:val="00A45279"/>
    <w:rsid w:val="00A45A79"/>
    <w:rsid w:val="00A50417"/>
    <w:rsid w:val="00A507C4"/>
    <w:rsid w:val="00A528F5"/>
    <w:rsid w:val="00A54B46"/>
    <w:rsid w:val="00A55B2D"/>
    <w:rsid w:val="00A55FF6"/>
    <w:rsid w:val="00A5626B"/>
    <w:rsid w:val="00A570F0"/>
    <w:rsid w:val="00A571B4"/>
    <w:rsid w:val="00A61613"/>
    <w:rsid w:val="00A61888"/>
    <w:rsid w:val="00A61FA0"/>
    <w:rsid w:val="00A62636"/>
    <w:rsid w:val="00A62EF3"/>
    <w:rsid w:val="00A6322D"/>
    <w:rsid w:val="00A633A3"/>
    <w:rsid w:val="00A64979"/>
    <w:rsid w:val="00A65D84"/>
    <w:rsid w:val="00A6601A"/>
    <w:rsid w:val="00A66025"/>
    <w:rsid w:val="00A6661D"/>
    <w:rsid w:val="00A66E22"/>
    <w:rsid w:val="00A70C11"/>
    <w:rsid w:val="00A70D02"/>
    <w:rsid w:val="00A70D7A"/>
    <w:rsid w:val="00A7106E"/>
    <w:rsid w:val="00A71580"/>
    <w:rsid w:val="00A71F43"/>
    <w:rsid w:val="00A72642"/>
    <w:rsid w:val="00A7298C"/>
    <w:rsid w:val="00A73AF4"/>
    <w:rsid w:val="00A73D18"/>
    <w:rsid w:val="00A7405D"/>
    <w:rsid w:val="00A74370"/>
    <w:rsid w:val="00A75656"/>
    <w:rsid w:val="00A75887"/>
    <w:rsid w:val="00A76986"/>
    <w:rsid w:val="00A76AFF"/>
    <w:rsid w:val="00A76D7B"/>
    <w:rsid w:val="00A77F7A"/>
    <w:rsid w:val="00A80858"/>
    <w:rsid w:val="00A80CF3"/>
    <w:rsid w:val="00A82E3E"/>
    <w:rsid w:val="00A83F0C"/>
    <w:rsid w:val="00A83F55"/>
    <w:rsid w:val="00A83FE5"/>
    <w:rsid w:val="00A84A1C"/>
    <w:rsid w:val="00A85594"/>
    <w:rsid w:val="00A90365"/>
    <w:rsid w:val="00A90C61"/>
    <w:rsid w:val="00A918A7"/>
    <w:rsid w:val="00A91CCA"/>
    <w:rsid w:val="00A91F1C"/>
    <w:rsid w:val="00A9285F"/>
    <w:rsid w:val="00A92C39"/>
    <w:rsid w:val="00A94059"/>
    <w:rsid w:val="00A953A1"/>
    <w:rsid w:val="00A964CA"/>
    <w:rsid w:val="00AA12EC"/>
    <w:rsid w:val="00AA19FF"/>
    <w:rsid w:val="00AA1BA1"/>
    <w:rsid w:val="00AA1FC0"/>
    <w:rsid w:val="00AA2252"/>
    <w:rsid w:val="00AA32F1"/>
    <w:rsid w:val="00AA37F6"/>
    <w:rsid w:val="00AA3CAD"/>
    <w:rsid w:val="00AA4410"/>
    <w:rsid w:val="00AA5376"/>
    <w:rsid w:val="00AA5B4D"/>
    <w:rsid w:val="00AA62D6"/>
    <w:rsid w:val="00AA705F"/>
    <w:rsid w:val="00AA70FE"/>
    <w:rsid w:val="00AA7966"/>
    <w:rsid w:val="00AB04FB"/>
    <w:rsid w:val="00AB050E"/>
    <w:rsid w:val="00AB0931"/>
    <w:rsid w:val="00AB12F9"/>
    <w:rsid w:val="00AB3BC9"/>
    <w:rsid w:val="00AB3E40"/>
    <w:rsid w:val="00AB56DF"/>
    <w:rsid w:val="00AB5A85"/>
    <w:rsid w:val="00AB5B65"/>
    <w:rsid w:val="00AC09C9"/>
    <w:rsid w:val="00AC0D1A"/>
    <w:rsid w:val="00AC0FAC"/>
    <w:rsid w:val="00AC120A"/>
    <w:rsid w:val="00AC12B1"/>
    <w:rsid w:val="00AC148A"/>
    <w:rsid w:val="00AC1A7C"/>
    <w:rsid w:val="00AC2CDC"/>
    <w:rsid w:val="00AC33E9"/>
    <w:rsid w:val="00AC4E58"/>
    <w:rsid w:val="00AD0D97"/>
    <w:rsid w:val="00AD0FBB"/>
    <w:rsid w:val="00AD23F1"/>
    <w:rsid w:val="00AD43A2"/>
    <w:rsid w:val="00AD4547"/>
    <w:rsid w:val="00AD4D08"/>
    <w:rsid w:val="00AD7078"/>
    <w:rsid w:val="00AD7805"/>
    <w:rsid w:val="00AE003D"/>
    <w:rsid w:val="00AE013C"/>
    <w:rsid w:val="00AE28B9"/>
    <w:rsid w:val="00AE32D5"/>
    <w:rsid w:val="00AE3825"/>
    <w:rsid w:val="00AE3EBA"/>
    <w:rsid w:val="00AE4562"/>
    <w:rsid w:val="00AE502C"/>
    <w:rsid w:val="00AE5243"/>
    <w:rsid w:val="00AE659A"/>
    <w:rsid w:val="00AE7AAF"/>
    <w:rsid w:val="00AF006F"/>
    <w:rsid w:val="00AF0FD5"/>
    <w:rsid w:val="00AF10D6"/>
    <w:rsid w:val="00AF40C1"/>
    <w:rsid w:val="00AF4CD7"/>
    <w:rsid w:val="00AF67A5"/>
    <w:rsid w:val="00B005E4"/>
    <w:rsid w:val="00B0073B"/>
    <w:rsid w:val="00B009EE"/>
    <w:rsid w:val="00B00C86"/>
    <w:rsid w:val="00B011E2"/>
    <w:rsid w:val="00B014B2"/>
    <w:rsid w:val="00B026B3"/>
    <w:rsid w:val="00B05BEE"/>
    <w:rsid w:val="00B05EB1"/>
    <w:rsid w:val="00B07CD6"/>
    <w:rsid w:val="00B100AD"/>
    <w:rsid w:val="00B11811"/>
    <w:rsid w:val="00B11B3E"/>
    <w:rsid w:val="00B12334"/>
    <w:rsid w:val="00B131D2"/>
    <w:rsid w:val="00B141EE"/>
    <w:rsid w:val="00B14B19"/>
    <w:rsid w:val="00B151DF"/>
    <w:rsid w:val="00B17171"/>
    <w:rsid w:val="00B175C0"/>
    <w:rsid w:val="00B17C3E"/>
    <w:rsid w:val="00B20536"/>
    <w:rsid w:val="00B212BB"/>
    <w:rsid w:val="00B25538"/>
    <w:rsid w:val="00B25E01"/>
    <w:rsid w:val="00B25EA4"/>
    <w:rsid w:val="00B27B93"/>
    <w:rsid w:val="00B302C5"/>
    <w:rsid w:val="00B31D4D"/>
    <w:rsid w:val="00B329BB"/>
    <w:rsid w:val="00B32F5F"/>
    <w:rsid w:val="00B32FCD"/>
    <w:rsid w:val="00B337C1"/>
    <w:rsid w:val="00B33869"/>
    <w:rsid w:val="00B33AEC"/>
    <w:rsid w:val="00B34832"/>
    <w:rsid w:val="00B34E0A"/>
    <w:rsid w:val="00B34F85"/>
    <w:rsid w:val="00B35068"/>
    <w:rsid w:val="00B363E5"/>
    <w:rsid w:val="00B36EC3"/>
    <w:rsid w:val="00B40016"/>
    <w:rsid w:val="00B40290"/>
    <w:rsid w:val="00B40723"/>
    <w:rsid w:val="00B40A1F"/>
    <w:rsid w:val="00B431B4"/>
    <w:rsid w:val="00B449D0"/>
    <w:rsid w:val="00B45596"/>
    <w:rsid w:val="00B45634"/>
    <w:rsid w:val="00B45782"/>
    <w:rsid w:val="00B45B4F"/>
    <w:rsid w:val="00B45C37"/>
    <w:rsid w:val="00B469A4"/>
    <w:rsid w:val="00B46A2B"/>
    <w:rsid w:val="00B4725A"/>
    <w:rsid w:val="00B4737D"/>
    <w:rsid w:val="00B507A2"/>
    <w:rsid w:val="00B51C7D"/>
    <w:rsid w:val="00B5283A"/>
    <w:rsid w:val="00B541AD"/>
    <w:rsid w:val="00B5645B"/>
    <w:rsid w:val="00B566CF"/>
    <w:rsid w:val="00B56736"/>
    <w:rsid w:val="00B56D42"/>
    <w:rsid w:val="00B57968"/>
    <w:rsid w:val="00B60012"/>
    <w:rsid w:val="00B60390"/>
    <w:rsid w:val="00B606C9"/>
    <w:rsid w:val="00B616FA"/>
    <w:rsid w:val="00B6596F"/>
    <w:rsid w:val="00B66253"/>
    <w:rsid w:val="00B6679B"/>
    <w:rsid w:val="00B67E46"/>
    <w:rsid w:val="00B67EC4"/>
    <w:rsid w:val="00B703AA"/>
    <w:rsid w:val="00B70D3F"/>
    <w:rsid w:val="00B70EC6"/>
    <w:rsid w:val="00B71F69"/>
    <w:rsid w:val="00B72341"/>
    <w:rsid w:val="00B74EC9"/>
    <w:rsid w:val="00B7514D"/>
    <w:rsid w:val="00B75973"/>
    <w:rsid w:val="00B75985"/>
    <w:rsid w:val="00B76A0A"/>
    <w:rsid w:val="00B77A9D"/>
    <w:rsid w:val="00B80E30"/>
    <w:rsid w:val="00B81B7E"/>
    <w:rsid w:val="00B81E1D"/>
    <w:rsid w:val="00B82CC1"/>
    <w:rsid w:val="00B83771"/>
    <w:rsid w:val="00B83F3B"/>
    <w:rsid w:val="00B84771"/>
    <w:rsid w:val="00B861E2"/>
    <w:rsid w:val="00B8691F"/>
    <w:rsid w:val="00B874F3"/>
    <w:rsid w:val="00B9081E"/>
    <w:rsid w:val="00B926BC"/>
    <w:rsid w:val="00B9590A"/>
    <w:rsid w:val="00B9613C"/>
    <w:rsid w:val="00B97014"/>
    <w:rsid w:val="00B97B2C"/>
    <w:rsid w:val="00B97F81"/>
    <w:rsid w:val="00BA14A2"/>
    <w:rsid w:val="00BA1AC2"/>
    <w:rsid w:val="00BA4A5F"/>
    <w:rsid w:val="00BA4B9C"/>
    <w:rsid w:val="00BA68A0"/>
    <w:rsid w:val="00BA6B3C"/>
    <w:rsid w:val="00BA7E70"/>
    <w:rsid w:val="00BB0714"/>
    <w:rsid w:val="00BB09C6"/>
    <w:rsid w:val="00BB0D4E"/>
    <w:rsid w:val="00BB1012"/>
    <w:rsid w:val="00BB1155"/>
    <w:rsid w:val="00BB1526"/>
    <w:rsid w:val="00BB1FB8"/>
    <w:rsid w:val="00BB2D58"/>
    <w:rsid w:val="00BB37FB"/>
    <w:rsid w:val="00BB3892"/>
    <w:rsid w:val="00BB415E"/>
    <w:rsid w:val="00BB4452"/>
    <w:rsid w:val="00BB4B8C"/>
    <w:rsid w:val="00BB55AE"/>
    <w:rsid w:val="00BB66D8"/>
    <w:rsid w:val="00BB6DC4"/>
    <w:rsid w:val="00BB6FB6"/>
    <w:rsid w:val="00BB76C1"/>
    <w:rsid w:val="00BC0CAA"/>
    <w:rsid w:val="00BC115D"/>
    <w:rsid w:val="00BC157B"/>
    <w:rsid w:val="00BC1F18"/>
    <w:rsid w:val="00BC2DBC"/>
    <w:rsid w:val="00BC34F2"/>
    <w:rsid w:val="00BC392D"/>
    <w:rsid w:val="00BC3D0E"/>
    <w:rsid w:val="00BC46D9"/>
    <w:rsid w:val="00BC56B1"/>
    <w:rsid w:val="00BC5EFA"/>
    <w:rsid w:val="00BC62CE"/>
    <w:rsid w:val="00BC6536"/>
    <w:rsid w:val="00BC770F"/>
    <w:rsid w:val="00BD0C95"/>
    <w:rsid w:val="00BD0ED8"/>
    <w:rsid w:val="00BD0FF1"/>
    <w:rsid w:val="00BD171D"/>
    <w:rsid w:val="00BD2241"/>
    <w:rsid w:val="00BD2B6D"/>
    <w:rsid w:val="00BD36BE"/>
    <w:rsid w:val="00BD3B11"/>
    <w:rsid w:val="00BD4415"/>
    <w:rsid w:val="00BD57F5"/>
    <w:rsid w:val="00BE0C42"/>
    <w:rsid w:val="00BE0CC4"/>
    <w:rsid w:val="00BE1062"/>
    <w:rsid w:val="00BE1453"/>
    <w:rsid w:val="00BE187F"/>
    <w:rsid w:val="00BE1E75"/>
    <w:rsid w:val="00BE39BB"/>
    <w:rsid w:val="00BE48A4"/>
    <w:rsid w:val="00BE4C7D"/>
    <w:rsid w:val="00BE50F2"/>
    <w:rsid w:val="00BE56F0"/>
    <w:rsid w:val="00BE626D"/>
    <w:rsid w:val="00BE68E4"/>
    <w:rsid w:val="00BE790B"/>
    <w:rsid w:val="00BF03BF"/>
    <w:rsid w:val="00BF057C"/>
    <w:rsid w:val="00BF1A61"/>
    <w:rsid w:val="00BF2885"/>
    <w:rsid w:val="00BF2916"/>
    <w:rsid w:val="00BF2AA9"/>
    <w:rsid w:val="00BF4C23"/>
    <w:rsid w:val="00BF4D6C"/>
    <w:rsid w:val="00BF527F"/>
    <w:rsid w:val="00C0112B"/>
    <w:rsid w:val="00C0148A"/>
    <w:rsid w:val="00C018DB"/>
    <w:rsid w:val="00C0218B"/>
    <w:rsid w:val="00C0391B"/>
    <w:rsid w:val="00C05C3B"/>
    <w:rsid w:val="00C06362"/>
    <w:rsid w:val="00C0640B"/>
    <w:rsid w:val="00C07289"/>
    <w:rsid w:val="00C1010D"/>
    <w:rsid w:val="00C10234"/>
    <w:rsid w:val="00C10A32"/>
    <w:rsid w:val="00C10F73"/>
    <w:rsid w:val="00C120B8"/>
    <w:rsid w:val="00C12D35"/>
    <w:rsid w:val="00C144CF"/>
    <w:rsid w:val="00C14BC1"/>
    <w:rsid w:val="00C15091"/>
    <w:rsid w:val="00C15884"/>
    <w:rsid w:val="00C16171"/>
    <w:rsid w:val="00C16D98"/>
    <w:rsid w:val="00C16F03"/>
    <w:rsid w:val="00C2205E"/>
    <w:rsid w:val="00C23C36"/>
    <w:rsid w:val="00C242DE"/>
    <w:rsid w:val="00C243DF"/>
    <w:rsid w:val="00C27B97"/>
    <w:rsid w:val="00C27CC4"/>
    <w:rsid w:val="00C27DC8"/>
    <w:rsid w:val="00C27EA3"/>
    <w:rsid w:val="00C3007A"/>
    <w:rsid w:val="00C30CA0"/>
    <w:rsid w:val="00C310E5"/>
    <w:rsid w:val="00C320BF"/>
    <w:rsid w:val="00C32B66"/>
    <w:rsid w:val="00C33700"/>
    <w:rsid w:val="00C33BEC"/>
    <w:rsid w:val="00C33DB4"/>
    <w:rsid w:val="00C34CD2"/>
    <w:rsid w:val="00C354C7"/>
    <w:rsid w:val="00C3619D"/>
    <w:rsid w:val="00C3649A"/>
    <w:rsid w:val="00C36AC6"/>
    <w:rsid w:val="00C371A9"/>
    <w:rsid w:val="00C37974"/>
    <w:rsid w:val="00C40EB7"/>
    <w:rsid w:val="00C42DF1"/>
    <w:rsid w:val="00C44255"/>
    <w:rsid w:val="00C44EAC"/>
    <w:rsid w:val="00C46FA1"/>
    <w:rsid w:val="00C470BC"/>
    <w:rsid w:val="00C47620"/>
    <w:rsid w:val="00C512F1"/>
    <w:rsid w:val="00C52FC9"/>
    <w:rsid w:val="00C53191"/>
    <w:rsid w:val="00C535EC"/>
    <w:rsid w:val="00C53B2C"/>
    <w:rsid w:val="00C549AB"/>
    <w:rsid w:val="00C54E13"/>
    <w:rsid w:val="00C54E7F"/>
    <w:rsid w:val="00C55CD4"/>
    <w:rsid w:val="00C55ECF"/>
    <w:rsid w:val="00C56272"/>
    <w:rsid w:val="00C57343"/>
    <w:rsid w:val="00C6149A"/>
    <w:rsid w:val="00C61D53"/>
    <w:rsid w:val="00C628C0"/>
    <w:rsid w:val="00C6329F"/>
    <w:rsid w:val="00C63D17"/>
    <w:rsid w:val="00C64175"/>
    <w:rsid w:val="00C64400"/>
    <w:rsid w:val="00C649E6"/>
    <w:rsid w:val="00C64AE0"/>
    <w:rsid w:val="00C65491"/>
    <w:rsid w:val="00C67B42"/>
    <w:rsid w:val="00C67E4D"/>
    <w:rsid w:val="00C70947"/>
    <w:rsid w:val="00C710B4"/>
    <w:rsid w:val="00C71A27"/>
    <w:rsid w:val="00C72190"/>
    <w:rsid w:val="00C73C35"/>
    <w:rsid w:val="00C73D32"/>
    <w:rsid w:val="00C73DF6"/>
    <w:rsid w:val="00C73F3F"/>
    <w:rsid w:val="00C740C1"/>
    <w:rsid w:val="00C75E65"/>
    <w:rsid w:val="00C764E1"/>
    <w:rsid w:val="00C76B32"/>
    <w:rsid w:val="00C7748D"/>
    <w:rsid w:val="00C815D6"/>
    <w:rsid w:val="00C82A1F"/>
    <w:rsid w:val="00C82CDF"/>
    <w:rsid w:val="00C84020"/>
    <w:rsid w:val="00C86C7A"/>
    <w:rsid w:val="00C878A5"/>
    <w:rsid w:val="00C904BD"/>
    <w:rsid w:val="00C91612"/>
    <w:rsid w:val="00C92B3F"/>
    <w:rsid w:val="00C92C99"/>
    <w:rsid w:val="00C938BA"/>
    <w:rsid w:val="00C93C53"/>
    <w:rsid w:val="00C94514"/>
    <w:rsid w:val="00C95EC1"/>
    <w:rsid w:val="00C962A3"/>
    <w:rsid w:val="00C968DD"/>
    <w:rsid w:val="00CA1388"/>
    <w:rsid w:val="00CA14BC"/>
    <w:rsid w:val="00CA2703"/>
    <w:rsid w:val="00CA2725"/>
    <w:rsid w:val="00CA301C"/>
    <w:rsid w:val="00CA37B8"/>
    <w:rsid w:val="00CA5335"/>
    <w:rsid w:val="00CA7392"/>
    <w:rsid w:val="00CB04C0"/>
    <w:rsid w:val="00CB2C41"/>
    <w:rsid w:val="00CB367E"/>
    <w:rsid w:val="00CB5E06"/>
    <w:rsid w:val="00CB6373"/>
    <w:rsid w:val="00CB67D4"/>
    <w:rsid w:val="00CB705B"/>
    <w:rsid w:val="00CB70F9"/>
    <w:rsid w:val="00CC272A"/>
    <w:rsid w:val="00CC3110"/>
    <w:rsid w:val="00CC3D9E"/>
    <w:rsid w:val="00CC6110"/>
    <w:rsid w:val="00CC65B5"/>
    <w:rsid w:val="00CC75AC"/>
    <w:rsid w:val="00CD0C5B"/>
    <w:rsid w:val="00CD1E8D"/>
    <w:rsid w:val="00CD27D1"/>
    <w:rsid w:val="00CD2896"/>
    <w:rsid w:val="00CD2997"/>
    <w:rsid w:val="00CD3367"/>
    <w:rsid w:val="00CD3D09"/>
    <w:rsid w:val="00CD40C7"/>
    <w:rsid w:val="00CD4D5C"/>
    <w:rsid w:val="00CD5CB2"/>
    <w:rsid w:val="00CD6FD5"/>
    <w:rsid w:val="00CD7748"/>
    <w:rsid w:val="00CD7CC6"/>
    <w:rsid w:val="00CE08F1"/>
    <w:rsid w:val="00CE0918"/>
    <w:rsid w:val="00CE0CB7"/>
    <w:rsid w:val="00CE10EC"/>
    <w:rsid w:val="00CE2616"/>
    <w:rsid w:val="00CE2833"/>
    <w:rsid w:val="00CE4463"/>
    <w:rsid w:val="00CE463A"/>
    <w:rsid w:val="00CE5268"/>
    <w:rsid w:val="00CE65C7"/>
    <w:rsid w:val="00CE6EBC"/>
    <w:rsid w:val="00CE7A30"/>
    <w:rsid w:val="00CF1065"/>
    <w:rsid w:val="00CF1C91"/>
    <w:rsid w:val="00CF3100"/>
    <w:rsid w:val="00CF4639"/>
    <w:rsid w:val="00CF78CC"/>
    <w:rsid w:val="00D00A47"/>
    <w:rsid w:val="00D00F8F"/>
    <w:rsid w:val="00D02FEA"/>
    <w:rsid w:val="00D03799"/>
    <w:rsid w:val="00D03C00"/>
    <w:rsid w:val="00D04338"/>
    <w:rsid w:val="00D04E61"/>
    <w:rsid w:val="00D05743"/>
    <w:rsid w:val="00D078BC"/>
    <w:rsid w:val="00D07F84"/>
    <w:rsid w:val="00D1025D"/>
    <w:rsid w:val="00D10635"/>
    <w:rsid w:val="00D116FB"/>
    <w:rsid w:val="00D11809"/>
    <w:rsid w:val="00D132F2"/>
    <w:rsid w:val="00D13502"/>
    <w:rsid w:val="00D13A8D"/>
    <w:rsid w:val="00D13B1F"/>
    <w:rsid w:val="00D148C1"/>
    <w:rsid w:val="00D16D2C"/>
    <w:rsid w:val="00D17205"/>
    <w:rsid w:val="00D206D6"/>
    <w:rsid w:val="00D20819"/>
    <w:rsid w:val="00D22881"/>
    <w:rsid w:val="00D2294F"/>
    <w:rsid w:val="00D22EAF"/>
    <w:rsid w:val="00D22FCC"/>
    <w:rsid w:val="00D2301C"/>
    <w:rsid w:val="00D236BE"/>
    <w:rsid w:val="00D23824"/>
    <w:rsid w:val="00D23B9D"/>
    <w:rsid w:val="00D2431E"/>
    <w:rsid w:val="00D25092"/>
    <w:rsid w:val="00D251B6"/>
    <w:rsid w:val="00D25681"/>
    <w:rsid w:val="00D260A2"/>
    <w:rsid w:val="00D264D4"/>
    <w:rsid w:val="00D30340"/>
    <w:rsid w:val="00D305AE"/>
    <w:rsid w:val="00D30C5F"/>
    <w:rsid w:val="00D314D9"/>
    <w:rsid w:val="00D316B3"/>
    <w:rsid w:val="00D31C86"/>
    <w:rsid w:val="00D31E5D"/>
    <w:rsid w:val="00D33EBA"/>
    <w:rsid w:val="00D360FB"/>
    <w:rsid w:val="00D362BE"/>
    <w:rsid w:val="00D37129"/>
    <w:rsid w:val="00D379D2"/>
    <w:rsid w:val="00D40307"/>
    <w:rsid w:val="00D403B0"/>
    <w:rsid w:val="00D4046D"/>
    <w:rsid w:val="00D41018"/>
    <w:rsid w:val="00D428CA"/>
    <w:rsid w:val="00D42F9C"/>
    <w:rsid w:val="00D43436"/>
    <w:rsid w:val="00D43557"/>
    <w:rsid w:val="00D440DC"/>
    <w:rsid w:val="00D44303"/>
    <w:rsid w:val="00D45D32"/>
    <w:rsid w:val="00D46282"/>
    <w:rsid w:val="00D46B15"/>
    <w:rsid w:val="00D46BBC"/>
    <w:rsid w:val="00D47A15"/>
    <w:rsid w:val="00D500C1"/>
    <w:rsid w:val="00D50699"/>
    <w:rsid w:val="00D5175A"/>
    <w:rsid w:val="00D51793"/>
    <w:rsid w:val="00D51924"/>
    <w:rsid w:val="00D525B8"/>
    <w:rsid w:val="00D53E43"/>
    <w:rsid w:val="00D5438D"/>
    <w:rsid w:val="00D54D35"/>
    <w:rsid w:val="00D551BA"/>
    <w:rsid w:val="00D55354"/>
    <w:rsid w:val="00D5582E"/>
    <w:rsid w:val="00D55E7B"/>
    <w:rsid w:val="00D56B98"/>
    <w:rsid w:val="00D60052"/>
    <w:rsid w:val="00D601FB"/>
    <w:rsid w:val="00D60A0C"/>
    <w:rsid w:val="00D60A2F"/>
    <w:rsid w:val="00D61716"/>
    <w:rsid w:val="00D61CF8"/>
    <w:rsid w:val="00D64A61"/>
    <w:rsid w:val="00D65341"/>
    <w:rsid w:val="00D669E8"/>
    <w:rsid w:val="00D66AFE"/>
    <w:rsid w:val="00D7079C"/>
    <w:rsid w:val="00D707BA"/>
    <w:rsid w:val="00D71592"/>
    <w:rsid w:val="00D716D7"/>
    <w:rsid w:val="00D73EF6"/>
    <w:rsid w:val="00D748A8"/>
    <w:rsid w:val="00D76D51"/>
    <w:rsid w:val="00D76E38"/>
    <w:rsid w:val="00D80313"/>
    <w:rsid w:val="00D81A19"/>
    <w:rsid w:val="00D81EA2"/>
    <w:rsid w:val="00D83264"/>
    <w:rsid w:val="00D83653"/>
    <w:rsid w:val="00D84475"/>
    <w:rsid w:val="00D84521"/>
    <w:rsid w:val="00D846A5"/>
    <w:rsid w:val="00D84B6C"/>
    <w:rsid w:val="00D84CF2"/>
    <w:rsid w:val="00D850C1"/>
    <w:rsid w:val="00D86004"/>
    <w:rsid w:val="00D866B3"/>
    <w:rsid w:val="00D8704B"/>
    <w:rsid w:val="00D9059D"/>
    <w:rsid w:val="00D90B9F"/>
    <w:rsid w:val="00D9115F"/>
    <w:rsid w:val="00D933F7"/>
    <w:rsid w:val="00D938C5"/>
    <w:rsid w:val="00D93ECB"/>
    <w:rsid w:val="00D94567"/>
    <w:rsid w:val="00DA007B"/>
    <w:rsid w:val="00DA12E4"/>
    <w:rsid w:val="00DA18A2"/>
    <w:rsid w:val="00DA2A1B"/>
    <w:rsid w:val="00DA30DF"/>
    <w:rsid w:val="00DA32FD"/>
    <w:rsid w:val="00DA500A"/>
    <w:rsid w:val="00DA55EE"/>
    <w:rsid w:val="00DA5E34"/>
    <w:rsid w:val="00DA5F8A"/>
    <w:rsid w:val="00DA6AEE"/>
    <w:rsid w:val="00DA7F0A"/>
    <w:rsid w:val="00DB0B8E"/>
    <w:rsid w:val="00DB20D2"/>
    <w:rsid w:val="00DB22D4"/>
    <w:rsid w:val="00DB2EB0"/>
    <w:rsid w:val="00DB2F69"/>
    <w:rsid w:val="00DB3530"/>
    <w:rsid w:val="00DB35BB"/>
    <w:rsid w:val="00DB3ED9"/>
    <w:rsid w:val="00DB4F79"/>
    <w:rsid w:val="00DB58F7"/>
    <w:rsid w:val="00DB608F"/>
    <w:rsid w:val="00DC0713"/>
    <w:rsid w:val="00DC29C9"/>
    <w:rsid w:val="00DC35E0"/>
    <w:rsid w:val="00DC3D3D"/>
    <w:rsid w:val="00DC50CA"/>
    <w:rsid w:val="00DC6423"/>
    <w:rsid w:val="00DD0E60"/>
    <w:rsid w:val="00DD3914"/>
    <w:rsid w:val="00DD4371"/>
    <w:rsid w:val="00DD450F"/>
    <w:rsid w:val="00DD5164"/>
    <w:rsid w:val="00DD59FE"/>
    <w:rsid w:val="00DD663A"/>
    <w:rsid w:val="00DD7B43"/>
    <w:rsid w:val="00DD7E9A"/>
    <w:rsid w:val="00DE0B56"/>
    <w:rsid w:val="00DE0D1B"/>
    <w:rsid w:val="00DE1836"/>
    <w:rsid w:val="00DE19C1"/>
    <w:rsid w:val="00DE21E1"/>
    <w:rsid w:val="00DE33A6"/>
    <w:rsid w:val="00DE371C"/>
    <w:rsid w:val="00DE40CC"/>
    <w:rsid w:val="00DE451B"/>
    <w:rsid w:val="00DE5347"/>
    <w:rsid w:val="00DE57CF"/>
    <w:rsid w:val="00DE59B3"/>
    <w:rsid w:val="00DE6CD7"/>
    <w:rsid w:val="00DF21A0"/>
    <w:rsid w:val="00DF2F8D"/>
    <w:rsid w:val="00DF3C4B"/>
    <w:rsid w:val="00DF43F5"/>
    <w:rsid w:val="00DF4880"/>
    <w:rsid w:val="00DF498B"/>
    <w:rsid w:val="00DF4C06"/>
    <w:rsid w:val="00DF564F"/>
    <w:rsid w:val="00DF5A54"/>
    <w:rsid w:val="00DF71DE"/>
    <w:rsid w:val="00DF7C3D"/>
    <w:rsid w:val="00DF7F88"/>
    <w:rsid w:val="00E021B0"/>
    <w:rsid w:val="00E023DA"/>
    <w:rsid w:val="00E03120"/>
    <w:rsid w:val="00E03CB3"/>
    <w:rsid w:val="00E05FA4"/>
    <w:rsid w:val="00E07C7A"/>
    <w:rsid w:val="00E1087A"/>
    <w:rsid w:val="00E10C27"/>
    <w:rsid w:val="00E13F86"/>
    <w:rsid w:val="00E141EC"/>
    <w:rsid w:val="00E146E2"/>
    <w:rsid w:val="00E1565C"/>
    <w:rsid w:val="00E17DA7"/>
    <w:rsid w:val="00E201CD"/>
    <w:rsid w:val="00E224F4"/>
    <w:rsid w:val="00E22B68"/>
    <w:rsid w:val="00E269A8"/>
    <w:rsid w:val="00E26C1F"/>
    <w:rsid w:val="00E27346"/>
    <w:rsid w:val="00E2753F"/>
    <w:rsid w:val="00E3237A"/>
    <w:rsid w:val="00E327BD"/>
    <w:rsid w:val="00E33DD7"/>
    <w:rsid w:val="00E34598"/>
    <w:rsid w:val="00E372E0"/>
    <w:rsid w:val="00E372F3"/>
    <w:rsid w:val="00E37A8F"/>
    <w:rsid w:val="00E37BDD"/>
    <w:rsid w:val="00E40C26"/>
    <w:rsid w:val="00E41B14"/>
    <w:rsid w:val="00E4261B"/>
    <w:rsid w:val="00E42989"/>
    <w:rsid w:val="00E43A1B"/>
    <w:rsid w:val="00E43F93"/>
    <w:rsid w:val="00E442EC"/>
    <w:rsid w:val="00E44787"/>
    <w:rsid w:val="00E464E4"/>
    <w:rsid w:val="00E47495"/>
    <w:rsid w:val="00E50D09"/>
    <w:rsid w:val="00E51E7F"/>
    <w:rsid w:val="00E530C7"/>
    <w:rsid w:val="00E53AB5"/>
    <w:rsid w:val="00E55EB1"/>
    <w:rsid w:val="00E5672C"/>
    <w:rsid w:val="00E56A4E"/>
    <w:rsid w:val="00E62AC8"/>
    <w:rsid w:val="00E637D6"/>
    <w:rsid w:val="00E65399"/>
    <w:rsid w:val="00E6556B"/>
    <w:rsid w:val="00E6692B"/>
    <w:rsid w:val="00E67EE4"/>
    <w:rsid w:val="00E70019"/>
    <w:rsid w:val="00E7020C"/>
    <w:rsid w:val="00E719E9"/>
    <w:rsid w:val="00E7258A"/>
    <w:rsid w:val="00E72E24"/>
    <w:rsid w:val="00E738F0"/>
    <w:rsid w:val="00E73BD0"/>
    <w:rsid w:val="00E74242"/>
    <w:rsid w:val="00E755BF"/>
    <w:rsid w:val="00E75A23"/>
    <w:rsid w:val="00E75A89"/>
    <w:rsid w:val="00E75F89"/>
    <w:rsid w:val="00E76076"/>
    <w:rsid w:val="00E76A5E"/>
    <w:rsid w:val="00E77384"/>
    <w:rsid w:val="00E77AB7"/>
    <w:rsid w:val="00E77D7C"/>
    <w:rsid w:val="00E80B05"/>
    <w:rsid w:val="00E80D39"/>
    <w:rsid w:val="00E811BE"/>
    <w:rsid w:val="00E81BA4"/>
    <w:rsid w:val="00E8210B"/>
    <w:rsid w:val="00E82901"/>
    <w:rsid w:val="00E830E7"/>
    <w:rsid w:val="00E83B7C"/>
    <w:rsid w:val="00E84F06"/>
    <w:rsid w:val="00E9067A"/>
    <w:rsid w:val="00E909F4"/>
    <w:rsid w:val="00E90C01"/>
    <w:rsid w:val="00E92551"/>
    <w:rsid w:val="00E92AA6"/>
    <w:rsid w:val="00E948DB"/>
    <w:rsid w:val="00E94A32"/>
    <w:rsid w:val="00E9516C"/>
    <w:rsid w:val="00E964AA"/>
    <w:rsid w:val="00E96A03"/>
    <w:rsid w:val="00EA0376"/>
    <w:rsid w:val="00EA06D6"/>
    <w:rsid w:val="00EA07BC"/>
    <w:rsid w:val="00EA0F3A"/>
    <w:rsid w:val="00EA1DFD"/>
    <w:rsid w:val="00EA213A"/>
    <w:rsid w:val="00EA2184"/>
    <w:rsid w:val="00EA241E"/>
    <w:rsid w:val="00EA558C"/>
    <w:rsid w:val="00EA5AB6"/>
    <w:rsid w:val="00EA6E36"/>
    <w:rsid w:val="00EA6E46"/>
    <w:rsid w:val="00EB0557"/>
    <w:rsid w:val="00EB07B8"/>
    <w:rsid w:val="00EB0F4D"/>
    <w:rsid w:val="00EB1244"/>
    <w:rsid w:val="00EB1DF2"/>
    <w:rsid w:val="00EB2E7E"/>
    <w:rsid w:val="00EB3F3A"/>
    <w:rsid w:val="00EB449C"/>
    <w:rsid w:val="00EB4548"/>
    <w:rsid w:val="00EB5DD0"/>
    <w:rsid w:val="00EB6C54"/>
    <w:rsid w:val="00EB731B"/>
    <w:rsid w:val="00EB798D"/>
    <w:rsid w:val="00EB7DD2"/>
    <w:rsid w:val="00EC0A10"/>
    <w:rsid w:val="00EC0B60"/>
    <w:rsid w:val="00EC154E"/>
    <w:rsid w:val="00EC1757"/>
    <w:rsid w:val="00EC1A64"/>
    <w:rsid w:val="00EC1B33"/>
    <w:rsid w:val="00EC1FDD"/>
    <w:rsid w:val="00EC334E"/>
    <w:rsid w:val="00EC7808"/>
    <w:rsid w:val="00ED0697"/>
    <w:rsid w:val="00ED1274"/>
    <w:rsid w:val="00ED12EE"/>
    <w:rsid w:val="00ED1F56"/>
    <w:rsid w:val="00ED22C1"/>
    <w:rsid w:val="00ED2B00"/>
    <w:rsid w:val="00ED2D24"/>
    <w:rsid w:val="00ED37D3"/>
    <w:rsid w:val="00ED3FC1"/>
    <w:rsid w:val="00ED4759"/>
    <w:rsid w:val="00ED47F1"/>
    <w:rsid w:val="00ED7586"/>
    <w:rsid w:val="00ED79EA"/>
    <w:rsid w:val="00EE0624"/>
    <w:rsid w:val="00EE083B"/>
    <w:rsid w:val="00EE095B"/>
    <w:rsid w:val="00EE17E9"/>
    <w:rsid w:val="00EE1CA9"/>
    <w:rsid w:val="00EE31C5"/>
    <w:rsid w:val="00EE3EAB"/>
    <w:rsid w:val="00EE466E"/>
    <w:rsid w:val="00EE5E8A"/>
    <w:rsid w:val="00EE633C"/>
    <w:rsid w:val="00EE7562"/>
    <w:rsid w:val="00EE7C28"/>
    <w:rsid w:val="00EE7DBB"/>
    <w:rsid w:val="00EE7EB8"/>
    <w:rsid w:val="00EF02F3"/>
    <w:rsid w:val="00EF0960"/>
    <w:rsid w:val="00EF10CE"/>
    <w:rsid w:val="00EF23A6"/>
    <w:rsid w:val="00EF23D2"/>
    <w:rsid w:val="00EF3F3B"/>
    <w:rsid w:val="00EF4441"/>
    <w:rsid w:val="00EF5D0C"/>
    <w:rsid w:val="00EF61A5"/>
    <w:rsid w:val="00EF71A5"/>
    <w:rsid w:val="00F00401"/>
    <w:rsid w:val="00F00725"/>
    <w:rsid w:val="00F0164A"/>
    <w:rsid w:val="00F03073"/>
    <w:rsid w:val="00F030E6"/>
    <w:rsid w:val="00F0330A"/>
    <w:rsid w:val="00F041CA"/>
    <w:rsid w:val="00F05263"/>
    <w:rsid w:val="00F055D9"/>
    <w:rsid w:val="00F07A8E"/>
    <w:rsid w:val="00F07D92"/>
    <w:rsid w:val="00F10333"/>
    <w:rsid w:val="00F11313"/>
    <w:rsid w:val="00F11CBA"/>
    <w:rsid w:val="00F13C48"/>
    <w:rsid w:val="00F13D88"/>
    <w:rsid w:val="00F1401A"/>
    <w:rsid w:val="00F14222"/>
    <w:rsid w:val="00F1513B"/>
    <w:rsid w:val="00F15D31"/>
    <w:rsid w:val="00F16002"/>
    <w:rsid w:val="00F160D7"/>
    <w:rsid w:val="00F16354"/>
    <w:rsid w:val="00F16BDD"/>
    <w:rsid w:val="00F20DB5"/>
    <w:rsid w:val="00F238D7"/>
    <w:rsid w:val="00F23EE0"/>
    <w:rsid w:val="00F25027"/>
    <w:rsid w:val="00F26674"/>
    <w:rsid w:val="00F27B7F"/>
    <w:rsid w:val="00F30022"/>
    <w:rsid w:val="00F3148C"/>
    <w:rsid w:val="00F32EF7"/>
    <w:rsid w:val="00F333E5"/>
    <w:rsid w:val="00F34CCC"/>
    <w:rsid w:val="00F34EB0"/>
    <w:rsid w:val="00F35098"/>
    <w:rsid w:val="00F3543F"/>
    <w:rsid w:val="00F356F4"/>
    <w:rsid w:val="00F35ED1"/>
    <w:rsid w:val="00F361E2"/>
    <w:rsid w:val="00F36814"/>
    <w:rsid w:val="00F409E1"/>
    <w:rsid w:val="00F40A1B"/>
    <w:rsid w:val="00F40CFA"/>
    <w:rsid w:val="00F40D1E"/>
    <w:rsid w:val="00F41036"/>
    <w:rsid w:val="00F41B7D"/>
    <w:rsid w:val="00F426E6"/>
    <w:rsid w:val="00F42B7D"/>
    <w:rsid w:val="00F43162"/>
    <w:rsid w:val="00F4394A"/>
    <w:rsid w:val="00F43E6E"/>
    <w:rsid w:val="00F44200"/>
    <w:rsid w:val="00F4464D"/>
    <w:rsid w:val="00F4524A"/>
    <w:rsid w:val="00F4579C"/>
    <w:rsid w:val="00F45E17"/>
    <w:rsid w:val="00F4726C"/>
    <w:rsid w:val="00F4789E"/>
    <w:rsid w:val="00F505AE"/>
    <w:rsid w:val="00F517D1"/>
    <w:rsid w:val="00F5190F"/>
    <w:rsid w:val="00F52542"/>
    <w:rsid w:val="00F53896"/>
    <w:rsid w:val="00F53B9E"/>
    <w:rsid w:val="00F572B0"/>
    <w:rsid w:val="00F5749F"/>
    <w:rsid w:val="00F607C1"/>
    <w:rsid w:val="00F630E3"/>
    <w:rsid w:val="00F63BB5"/>
    <w:rsid w:val="00F64351"/>
    <w:rsid w:val="00F64C26"/>
    <w:rsid w:val="00F652B7"/>
    <w:rsid w:val="00F66078"/>
    <w:rsid w:val="00F66E01"/>
    <w:rsid w:val="00F71FCA"/>
    <w:rsid w:val="00F727DC"/>
    <w:rsid w:val="00F72EDA"/>
    <w:rsid w:val="00F731B8"/>
    <w:rsid w:val="00F755BB"/>
    <w:rsid w:val="00F75F8E"/>
    <w:rsid w:val="00F76EE2"/>
    <w:rsid w:val="00F778BD"/>
    <w:rsid w:val="00F8025E"/>
    <w:rsid w:val="00F82474"/>
    <w:rsid w:val="00F8247C"/>
    <w:rsid w:val="00F835E5"/>
    <w:rsid w:val="00F83728"/>
    <w:rsid w:val="00F84902"/>
    <w:rsid w:val="00F85104"/>
    <w:rsid w:val="00F862EB"/>
    <w:rsid w:val="00F86700"/>
    <w:rsid w:val="00F867FA"/>
    <w:rsid w:val="00F87586"/>
    <w:rsid w:val="00F87ADB"/>
    <w:rsid w:val="00F87D41"/>
    <w:rsid w:val="00F9010D"/>
    <w:rsid w:val="00F917EF"/>
    <w:rsid w:val="00F929E7"/>
    <w:rsid w:val="00F930E4"/>
    <w:rsid w:val="00F933AF"/>
    <w:rsid w:val="00F935CB"/>
    <w:rsid w:val="00F93764"/>
    <w:rsid w:val="00F9410B"/>
    <w:rsid w:val="00F94160"/>
    <w:rsid w:val="00F9471A"/>
    <w:rsid w:val="00F94A64"/>
    <w:rsid w:val="00F9578E"/>
    <w:rsid w:val="00F957C6"/>
    <w:rsid w:val="00F95BFA"/>
    <w:rsid w:val="00F95E75"/>
    <w:rsid w:val="00F966A4"/>
    <w:rsid w:val="00F968D6"/>
    <w:rsid w:val="00F9719B"/>
    <w:rsid w:val="00F97A60"/>
    <w:rsid w:val="00FA004A"/>
    <w:rsid w:val="00FA0D8B"/>
    <w:rsid w:val="00FA0E60"/>
    <w:rsid w:val="00FA19C5"/>
    <w:rsid w:val="00FA28FA"/>
    <w:rsid w:val="00FA2A4C"/>
    <w:rsid w:val="00FA3487"/>
    <w:rsid w:val="00FA60BD"/>
    <w:rsid w:val="00FB0C20"/>
    <w:rsid w:val="00FB0FEC"/>
    <w:rsid w:val="00FB1B01"/>
    <w:rsid w:val="00FB20B9"/>
    <w:rsid w:val="00FB2781"/>
    <w:rsid w:val="00FB4280"/>
    <w:rsid w:val="00FB4DF4"/>
    <w:rsid w:val="00FB582E"/>
    <w:rsid w:val="00FB5DC7"/>
    <w:rsid w:val="00FB60C2"/>
    <w:rsid w:val="00FB6B72"/>
    <w:rsid w:val="00FB70C0"/>
    <w:rsid w:val="00FB73DA"/>
    <w:rsid w:val="00FC0062"/>
    <w:rsid w:val="00FC04C7"/>
    <w:rsid w:val="00FC0600"/>
    <w:rsid w:val="00FC103A"/>
    <w:rsid w:val="00FC17EE"/>
    <w:rsid w:val="00FC4F05"/>
    <w:rsid w:val="00FC7A4D"/>
    <w:rsid w:val="00FC7AAC"/>
    <w:rsid w:val="00FD0C63"/>
    <w:rsid w:val="00FD0CD3"/>
    <w:rsid w:val="00FD1366"/>
    <w:rsid w:val="00FD1F63"/>
    <w:rsid w:val="00FD20A5"/>
    <w:rsid w:val="00FD222D"/>
    <w:rsid w:val="00FD2C22"/>
    <w:rsid w:val="00FD31B3"/>
    <w:rsid w:val="00FD3216"/>
    <w:rsid w:val="00FD34F2"/>
    <w:rsid w:val="00FD4159"/>
    <w:rsid w:val="00FD4414"/>
    <w:rsid w:val="00FD5F38"/>
    <w:rsid w:val="00FD716A"/>
    <w:rsid w:val="00FD7A0B"/>
    <w:rsid w:val="00FE0581"/>
    <w:rsid w:val="00FE0894"/>
    <w:rsid w:val="00FE0A9D"/>
    <w:rsid w:val="00FE1695"/>
    <w:rsid w:val="00FE1CE8"/>
    <w:rsid w:val="00FE2C7F"/>
    <w:rsid w:val="00FE2F2E"/>
    <w:rsid w:val="00FE3700"/>
    <w:rsid w:val="00FE38D2"/>
    <w:rsid w:val="00FE46C1"/>
    <w:rsid w:val="00FE55F8"/>
    <w:rsid w:val="00FE56D2"/>
    <w:rsid w:val="00FE60DA"/>
    <w:rsid w:val="00FE6CA1"/>
    <w:rsid w:val="00FE6F81"/>
    <w:rsid w:val="00FE776D"/>
    <w:rsid w:val="00FE7873"/>
    <w:rsid w:val="00FF0FD1"/>
    <w:rsid w:val="00FF25EC"/>
    <w:rsid w:val="00FF288B"/>
    <w:rsid w:val="00FF3763"/>
    <w:rsid w:val="00FF3D3E"/>
    <w:rsid w:val="00FF3DEE"/>
    <w:rsid w:val="00FF4DB5"/>
    <w:rsid w:val="00FF71BE"/>
    <w:rsid w:val="00FF75BA"/>
    <w:rsid w:val="01907916"/>
    <w:rsid w:val="020BCD47"/>
    <w:rsid w:val="02D82DE2"/>
    <w:rsid w:val="03377E8B"/>
    <w:rsid w:val="039920EF"/>
    <w:rsid w:val="04C76F34"/>
    <w:rsid w:val="04CEE6E0"/>
    <w:rsid w:val="057A0496"/>
    <w:rsid w:val="059A887D"/>
    <w:rsid w:val="0627C817"/>
    <w:rsid w:val="064F8DE0"/>
    <w:rsid w:val="06A4D41A"/>
    <w:rsid w:val="0729BED6"/>
    <w:rsid w:val="0768485B"/>
    <w:rsid w:val="076DF76B"/>
    <w:rsid w:val="07799E05"/>
    <w:rsid w:val="07B042CB"/>
    <w:rsid w:val="081F6F6F"/>
    <w:rsid w:val="08536C17"/>
    <w:rsid w:val="08A2093F"/>
    <w:rsid w:val="08A5C7E4"/>
    <w:rsid w:val="094033D3"/>
    <w:rsid w:val="09BBCAFF"/>
    <w:rsid w:val="09D36E8D"/>
    <w:rsid w:val="0A2D0D03"/>
    <w:rsid w:val="0A5D2A5E"/>
    <w:rsid w:val="0AA5982D"/>
    <w:rsid w:val="0B428906"/>
    <w:rsid w:val="0B886D73"/>
    <w:rsid w:val="0BFC65C6"/>
    <w:rsid w:val="0C087364"/>
    <w:rsid w:val="0C59FA89"/>
    <w:rsid w:val="0D31E53D"/>
    <w:rsid w:val="0D428EF1"/>
    <w:rsid w:val="0D53C107"/>
    <w:rsid w:val="0D68B26C"/>
    <w:rsid w:val="0DA2DB86"/>
    <w:rsid w:val="0DAEC934"/>
    <w:rsid w:val="0EB33B76"/>
    <w:rsid w:val="0ED3D56C"/>
    <w:rsid w:val="0F769124"/>
    <w:rsid w:val="0F7B27BA"/>
    <w:rsid w:val="0FDFDE32"/>
    <w:rsid w:val="1000A864"/>
    <w:rsid w:val="10119E3E"/>
    <w:rsid w:val="104BB660"/>
    <w:rsid w:val="10693EA3"/>
    <w:rsid w:val="10734CF3"/>
    <w:rsid w:val="111D38BB"/>
    <w:rsid w:val="113AD4D6"/>
    <w:rsid w:val="12077A9B"/>
    <w:rsid w:val="128D7E5B"/>
    <w:rsid w:val="129EC33D"/>
    <w:rsid w:val="12C4B3D2"/>
    <w:rsid w:val="130413C1"/>
    <w:rsid w:val="13176D91"/>
    <w:rsid w:val="13334E07"/>
    <w:rsid w:val="1339F23A"/>
    <w:rsid w:val="135A4528"/>
    <w:rsid w:val="13A61548"/>
    <w:rsid w:val="13BAC6EC"/>
    <w:rsid w:val="13F1507F"/>
    <w:rsid w:val="14595A34"/>
    <w:rsid w:val="146CA4D2"/>
    <w:rsid w:val="1471C764"/>
    <w:rsid w:val="147A07A0"/>
    <w:rsid w:val="149DF085"/>
    <w:rsid w:val="155DAA47"/>
    <w:rsid w:val="1586F56C"/>
    <w:rsid w:val="159D1E2F"/>
    <w:rsid w:val="1653F9BD"/>
    <w:rsid w:val="166E0BDD"/>
    <w:rsid w:val="168271B6"/>
    <w:rsid w:val="16B68C3A"/>
    <w:rsid w:val="1803364D"/>
    <w:rsid w:val="181DD550"/>
    <w:rsid w:val="18C3CD8D"/>
    <w:rsid w:val="18DB33F0"/>
    <w:rsid w:val="18E277DC"/>
    <w:rsid w:val="194FB526"/>
    <w:rsid w:val="1993A743"/>
    <w:rsid w:val="199C5287"/>
    <w:rsid w:val="19D4D6E9"/>
    <w:rsid w:val="1AD08A60"/>
    <w:rsid w:val="1B06BFA4"/>
    <w:rsid w:val="1B4F900D"/>
    <w:rsid w:val="1BE11E58"/>
    <w:rsid w:val="1C0F3601"/>
    <w:rsid w:val="1C2687D3"/>
    <w:rsid w:val="1C2978F4"/>
    <w:rsid w:val="1C71FA05"/>
    <w:rsid w:val="1CA0EAFA"/>
    <w:rsid w:val="1D06F674"/>
    <w:rsid w:val="1D6C406C"/>
    <w:rsid w:val="1D742B69"/>
    <w:rsid w:val="1DFF816A"/>
    <w:rsid w:val="1E50396C"/>
    <w:rsid w:val="1EB3828A"/>
    <w:rsid w:val="1F2008B6"/>
    <w:rsid w:val="1FE49A59"/>
    <w:rsid w:val="200351A5"/>
    <w:rsid w:val="2034FD84"/>
    <w:rsid w:val="207C074E"/>
    <w:rsid w:val="20E0D099"/>
    <w:rsid w:val="20EEDA4A"/>
    <w:rsid w:val="21B8E89E"/>
    <w:rsid w:val="223720AE"/>
    <w:rsid w:val="227CA0FA"/>
    <w:rsid w:val="22BC23D5"/>
    <w:rsid w:val="230109DF"/>
    <w:rsid w:val="231F0CF5"/>
    <w:rsid w:val="237A54DA"/>
    <w:rsid w:val="243C9764"/>
    <w:rsid w:val="24445482"/>
    <w:rsid w:val="24A65491"/>
    <w:rsid w:val="24DF956A"/>
    <w:rsid w:val="2555154F"/>
    <w:rsid w:val="255996D1"/>
    <w:rsid w:val="25B441BC"/>
    <w:rsid w:val="25E9CCBF"/>
    <w:rsid w:val="2660D40B"/>
    <w:rsid w:val="27881A88"/>
    <w:rsid w:val="27F9D45B"/>
    <w:rsid w:val="28722376"/>
    <w:rsid w:val="28C07657"/>
    <w:rsid w:val="28CC264A"/>
    <w:rsid w:val="28D4072C"/>
    <w:rsid w:val="291C5160"/>
    <w:rsid w:val="29A45FD4"/>
    <w:rsid w:val="29A93560"/>
    <w:rsid w:val="2A16BFD2"/>
    <w:rsid w:val="2A6067B7"/>
    <w:rsid w:val="2B21A4C8"/>
    <w:rsid w:val="2B4D7F70"/>
    <w:rsid w:val="2B5A6D9A"/>
    <w:rsid w:val="2B8911B3"/>
    <w:rsid w:val="2BBA0C1E"/>
    <w:rsid w:val="2BE37934"/>
    <w:rsid w:val="2C904370"/>
    <w:rsid w:val="2CE1D122"/>
    <w:rsid w:val="2D09B7A7"/>
    <w:rsid w:val="2D7E2832"/>
    <w:rsid w:val="2D877940"/>
    <w:rsid w:val="2DBF3B85"/>
    <w:rsid w:val="2E12E09C"/>
    <w:rsid w:val="2E278D27"/>
    <w:rsid w:val="2E378B14"/>
    <w:rsid w:val="2E60BC54"/>
    <w:rsid w:val="2ED8AF81"/>
    <w:rsid w:val="2EEAA37F"/>
    <w:rsid w:val="2F026286"/>
    <w:rsid w:val="2F4A9E96"/>
    <w:rsid w:val="2FE229E1"/>
    <w:rsid w:val="3066E466"/>
    <w:rsid w:val="308D8066"/>
    <w:rsid w:val="30987632"/>
    <w:rsid w:val="309E32E7"/>
    <w:rsid w:val="311FD929"/>
    <w:rsid w:val="31303486"/>
    <w:rsid w:val="317298D1"/>
    <w:rsid w:val="32D7C889"/>
    <w:rsid w:val="33E52D81"/>
    <w:rsid w:val="34295EFE"/>
    <w:rsid w:val="3430C35D"/>
    <w:rsid w:val="345ACD79"/>
    <w:rsid w:val="351780A0"/>
    <w:rsid w:val="351922CC"/>
    <w:rsid w:val="3563A554"/>
    <w:rsid w:val="356D6A94"/>
    <w:rsid w:val="356D6EED"/>
    <w:rsid w:val="35ABF811"/>
    <w:rsid w:val="362FF3C0"/>
    <w:rsid w:val="36765708"/>
    <w:rsid w:val="370D746B"/>
    <w:rsid w:val="3749A2D9"/>
    <w:rsid w:val="375F8D95"/>
    <w:rsid w:val="3773F432"/>
    <w:rsid w:val="377567EE"/>
    <w:rsid w:val="3789F3A1"/>
    <w:rsid w:val="38054E64"/>
    <w:rsid w:val="3840D07D"/>
    <w:rsid w:val="38DBBBA0"/>
    <w:rsid w:val="3ABB0216"/>
    <w:rsid w:val="3ABB4A11"/>
    <w:rsid w:val="3AF4B41B"/>
    <w:rsid w:val="3B21C3CA"/>
    <w:rsid w:val="3B2FD6C8"/>
    <w:rsid w:val="3BD611F3"/>
    <w:rsid w:val="3BE682F3"/>
    <w:rsid w:val="3BFCF11C"/>
    <w:rsid w:val="3C1FBA2E"/>
    <w:rsid w:val="3C6E7C25"/>
    <w:rsid w:val="3CE70746"/>
    <w:rsid w:val="3CFF3D8B"/>
    <w:rsid w:val="3D1441A0"/>
    <w:rsid w:val="3DC97E31"/>
    <w:rsid w:val="3DD52B4F"/>
    <w:rsid w:val="3ED520A9"/>
    <w:rsid w:val="3F243F48"/>
    <w:rsid w:val="3FA9FAE3"/>
    <w:rsid w:val="4082BA46"/>
    <w:rsid w:val="40F00365"/>
    <w:rsid w:val="4110E965"/>
    <w:rsid w:val="413A2493"/>
    <w:rsid w:val="41C5AEB5"/>
    <w:rsid w:val="41E7B2C3"/>
    <w:rsid w:val="424B2A8A"/>
    <w:rsid w:val="426F596B"/>
    <w:rsid w:val="42985E0F"/>
    <w:rsid w:val="429F1205"/>
    <w:rsid w:val="4344B82F"/>
    <w:rsid w:val="43838324"/>
    <w:rsid w:val="43C2A74F"/>
    <w:rsid w:val="44003D2E"/>
    <w:rsid w:val="44152959"/>
    <w:rsid w:val="442B92D1"/>
    <w:rsid w:val="44839C14"/>
    <w:rsid w:val="45917741"/>
    <w:rsid w:val="45CA2BDE"/>
    <w:rsid w:val="461CEECB"/>
    <w:rsid w:val="4662626A"/>
    <w:rsid w:val="46915EFE"/>
    <w:rsid w:val="46B0241C"/>
    <w:rsid w:val="46CB5EF6"/>
    <w:rsid w:val="471BA932"/>
    <w:rsid w:val="4728DFDA"/>
    <w:rsid w:val="476F4DBA"/>
    <w:rsid w:val="478B252B"/>
    <w:rsid w:val="47D8C45F"/>
    <w:rsid w:val="48228CA8"/>
    <w:rsid w:val="48704AFE"/>
    <w:rsid w:val="498CD672"/>
    <w:rsid w:val="49A63E02"/>
    <w:rsid w:val="49CA3183"/>
    <w:rsid w:val="49DFB9AA"/>
    <w:rsid w:val="4A04F46F"/>
    <w:rsid w:val="4A070589"/>
    <w:rsid w:val="4A2EF3F3"/>
    <w:rsid w:val="4A597E61"/>
    <w:rsid w:val="4AAF63C3"/>
    <w:rsid w:val="4B006050"/>
    <w:rsid w:val="4B35D38D"/>
    <w:rsid w:val="4B43DC9E"/>
    <w:rsid w:val="4B4BBA78"/>
    <w:rsid w:val="4C37DB09"/>
    <w:rsid w:val="4C43B998"/>
    <w:rsid w:val="4C65250A"/>
    <w:rsid w:val="4C868BED"/>
    <w:rsid w:val="4CBFBF26"/>
    <w:rsid w:val="4CD80F72"/>
    <w:rsid w:val="4D1D0BD0"/>
    <w:rsid w:val="4D412199"/>
    <w:rsid w:val="4D4B4774"/>
    <w:rsid w:val="4D83FC4A"/>
    <w:rsid w:val="4D9464AB"/>
    <w:rsid w:val="4E9559A8"/>
    <w:rsid w:val="4EC036E6"/>
    <w:rsid w:val="4ED7F775"/>
    <w:rsid w:val="4EF814DF"/>
    <w:rsid w:val="4FA448E4"/>
    <w:rsid w:val="4FF2C9AA"/>
    <w:rsid w:val="516C7F06"/>
    <w:rsid w:val="51EA79DC"/>
    <w:rsid w:val="51EBB314"/>
    <w:rsid w:val="521CA913"/>
    <w:rsid w:val="5229E453"/>
    <w:rsid w:val="52465D63"/>
    <w:rsid w:val="52E63287"/>
    <w:rsid w:val="532143DB"/>
    <w:rsid w:val="5327B27D"/>
    <w:rsid w:val="534F0FE4"/>
    <w:rsid w:val="5389A021"/>
    <w:rsid w:val="5393A809"/>
    <w:rsid w:val="54246A8B"/>
    <w:rsid w:val="54533AA9"/>
    <w:rsid w:val="551E737D"/>
    <w:rsid w:val="55CC9BEC"/>
    <w:rsid w:val="564A5932"/>
    <w:rsid w:val="566E3CAB"/>
    <w:rsid w:val="571CB9A4"/>
    <w:rsid w:val="573772AF"/>
    <w:rsid w:val="582703D9"/>
    <w:rsid w:val="5845ADED"/>
    <w:rsid w:val="585BC80A"/>
    <w:rsid w:val="58D1CB37"/>
    <w:rsid w:val="58DA82B6"/>
    <w:rsid w:val="5957FECD"/>
    <w:rsid w:val="596E1F1C"/>
    <w:rsid w:val="5A20DEF6"/>
    <w:rsid w:val="5A7E7E64"/>
    <w:rsid w:val="5A8ABB6D"/>
    <w:rsid w:val="5AEC0FA4"/>
    <w:rsid w:val="5B029293"/>
    <w:rsid w:val="5B2FF1B7"/>
    <w:rsid w:val="5B52B8E1"/>
    <w:rsid w:val="5BB639F0"/>
    <w:rsid w:val="5BDF22D4"/>
    <w:rsid w:val="5BF3527B"/>
    <w:rsid w:val="5C1E5599"/>
    <w:rsid w:val="5C1F03EA"/>
    <w:rsid w:val="5C669FF1"/>
    <w:rsid w:val="5CB307C0"/>
    <w:rsid w:val="5D8CEF11"/>
    <w:rsid w:val="5E0E7403"/>
    <w:rsid w:val="5E3D7043"/>
    <w:rsid w:val="5EF0DB37"/>
    <w:rsid w:val="5F28BF72"/>
    <w:rsid w:val="5FF72E9F"/>
    <w:rsid w:val="607B4F95"/>
    <w:rsid w:val="60DF144B"/>
    <w:rsid w:val="613047AD"/>
    <w:rsid w:val="61C86256"/>
    <w:rsid w:val="61FBF20A"/>
    <w:rsid w:val="624759FB"/>
    <w:rsid w:val="62606034"/>
    <w:rsid w:val="62FEC96C"/>
    <w:rsid w:val="636D9055"/>
    <w:rsid w:val="6414757C"/>
    <w:rsid w:val="649E307A"/>
    <w:rsid w:val="64BB6A1E"/>
    <w:rsid w:val="64D06A69"/>
    <w:rsid w:val="6591D7F4"/>
    <w:rsid w:val="659800F6"/>
    <w:rsid w:val="6599AF8E"/>
    <w:rsid w:val="65B34772"/>
    <w:rsid w:val="65D55721"/>
    <w:rsid w:val="66FE286B"/>
    <w:rsid w:val="6751E6B9"/>
    <w:rsid w:val="68EEBB0E"/>
    <w:rsid w:val="6957D78C"/>
    <w:rsid w:val="6977CA7A"/>
    <w:rsid w:val="69C49A54"/>
    <w:rsid w:val="69C80075"/>
    <w:rsid w:val="69C97763"/>
    <w:rsid w:val="6ADE5C6A"/>
    <w:rsid w:val="6AF3A7ED"/>
    <w:rsid w:val="6B2ED352"/>
    <w:rsid w:val="6B6C0DB5"/>
    <w:rsid w:val="6B8BEB2F"/>
    <w:rsid w:val="6C138010"/>
    <w:rsid w:val="6CCEA640"/>
    <w:rsid w:val="6D1A20F9"/>
    <w:rsid w:val="6E88570A"/>
    <w:rsid w:val="6FC9BEF1"/>
    <w:rsid w:val="7022D3B7"/>
    <w:rsid w:val="702D8E5E"/>
    <w:rsid w:val="7067B05E"/>
    <w:rsid w:val="70C943C0"/>
    <w:rsid w:val="70E0A496"/>
    <w:rsid w:val="714F8329"/>
    <w:rsid w:val="7179042D"/>
    <w:rsid w:val="71A82E03"/>
    <w:rsid w:val="7217E3BC"/>
    <w:rsid w:val="729AB1CC"/>
    <w:rsid w:val="7351AC91"/>
    <w:rsid w:val="74749705"/>
    <w:rsid w:val="74771721"/>
    <w:rsid w:val="756420D7"/>
    <w:rsid w:val="7579B850"/>
    <w:rsid w:val="75ABCE53"/>
    <w:rsid w:val="761A2512"/>
    <w:rsid w:val="76427EE5"/>
    <w:rsid w:val="7682C9E6"/>
    <w:rsid w:val="76877C6A"/>
    <w:rsid w:val="768F0EAD"/>
    <w:rsid w:val="7732CB9B"/>
    <w:rsid w:val="77846075"/>
    <w:rsid w:val="783750D8"/>
    <w:rsid w:val="78732B51"/>
    <w:rsid w:val="799C972B"/>
    <w:rsid w:val="7A68CFB8"/>
    <w:rsid w:val="7B1E37D7"/>
    <w:rsid w:val="7B39A047"/>
    <w:rsid w:val="7B6DBCCB"/>
    <w:rsid w:val="7B88BF91"/>
    <w:rsid w:val="7BBA984B"/>
    <w:rsid w:val="7BDD7F1E"/>
    <w:rsid w:val="7C5029D3"/>
    <w:rsid w:val="7C58397D"/>
    <w:rsid w:val="7D69643D"/>
    <w:rsid w:val="7E048B40"/>
    <w:rsid w:val="7E9EA4D6"/>
    <w:rsid w:val="7F17FC5D"/>
    <w:rsid w:val="7F43807E"/>
    <w:rsid w:val="7F43E15B"/>
    <w:rsid w:val="7F595170"/>
    <w:rsid w:val="7F80A563"/>
    <w:rsid w:val="7F8C9622"/>
    <w:rsid w:val="7FE0AA85"/>
    <w:rsid w:val="7FEDBE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8AF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qFormat/>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95541"/>
    <w:pPr>
      <w:spacing w:after="0" w:line="240" w:lineRule="auto"/>
    </w:pPr>
    <w:rPr>
      <w:rFonts w:ascii="Segoe UI" w:hAnsi="Segoe UI" w:cs="Segoe UI"/>
      <w:color w:val="FFFFFF" w:themeColor="background1"/>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aliases w:val="Body of text - Bullet point,Recommendation,L,List Paragraph1,List Paragraph11,NFP GP Bulleted List,FooterText,numbered,Paragraphe de liste1,Bulletr List Paragraph,列出段落,列出段落1,List Paragraph2,List Paragraph21,Listeafsnit1"/>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pPr>
  </w:style>
  <w:style w:type="paragraph" w:customStyle="1" w:styleId="NumberedList-Level1">
    <w:name w:val="Numbered List - Level 1"/>
    <w:basedOn w:val="ListParagraph"/>
    <w:uiPriority w:val="1"/>
    <w:qFormat/>
    <w:rsid w:val="00BD171D"/>
    <w:pPr>
      <w:numPr>
        <w:numId w:val="5"/>
      </w:numPr>
      <w:ind w:left="568"/>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paragraph" w:customStyle="1" w:styleId="EmphasisPanelBullet">
    <w:name w:val="Emphasis Panel Bullet"/>
    <w:uiPriority w:val="11"/>
    <w:qFormat/>
    <w:rsid w:val="0014151F"/>
    <w:pPr>
      <w:keepLines/>
      <w:numPr>
        <w:numId w:val="11"/>
      </w:numPr>
      <w:pBdr>
        <w:top w:val="single" w:sz="4" w:space="8" w:color="FFFFFF" w:themeColor="background2"/>
        <w:left w:val="single" w:sz="4" w:space="8" w:color="FFFFFF" w:themeColor="background2"/>
        <w:bottom w:val="single" w:sz="4" w:space="8" w:color="FFFFFF" w:themeColor="background2"/>
        <w:right w:val="single" w:sz="4" w:space="8" w:color="FFFFFF" w:themeColor="background2"/>
      </w:pBdr>
      <w:shd w:val="clear" w:color="auto" w:fill="FFFFFF" w:themeFill="background2"/>
      <w:spacing w:before="120" w:after="120" w:line="264" w:lineRule="auto"/>
      <w:ind w:right="215"/>
    </w:pPr>
    <w:rPr>
      <w:rFonts w:eastAsia="Times New Roman" w:cstheme="minorHAnsi"/>
      <w:color w:val="314A63" w:themeColor="text1" w:themeTint="D9"/>
      <w:sz w:val="20"/>
      <w:szCs w:val="22"/>
      <w:lang w:val="en-US"/>
    </w:rPr>
  </w:style>
  <w:style w:type="paragraph" w:customStyle="1" w:styleId="TableNumbering">
    <w:name w:val="Table Numbering"/>
    <w:uiPriority w:val="11"/>
    <w:qFormat/>
    <w:rsid w:val="002771EC"/>
    <w:pPr>
      <w:numPr>
        <w:numId w:val="12"/>
      </w:numPr>
      <w:spacing w:before="40" w:after="40" w:line="264" w:lineRule="auto"/>
    </w:pPr>
    <w:rPr>
      <w:rFonts w:eastAsiaTheme="minorHAnsi"/>
      <w:color w:val="1C2B39" w:themeColor="text1"/>
      <w:sz w:val="18"/>
      <w:szCs w:val="20"/>
    </w:rPr>
  </w:style>
  <w:style w:type="character" w:styleId="FollowedHyperlink">
    <w:name w:val="FollowedHyperlink"/>
    <w:basedOn w:val="DefaultParagraphFont"/>
    <w:uiPriority w:val="99"/>
    <w:semiHidden/>
    <w:unhideWhenUsed/>
    <w:rsid w:val="007E6917"/>
    <w:rPr>
      <w:color w:val="DE761C" w:themeColor="followedHyperlink"/>
      <w:u w:val="single"/>
    </w:rPr>
  </w:style>
  <w:style w:type="paragraph" w:styleId="ListBullet">
    <w:name w:val="List Bullet"/>
    <w:basedOn w:val="Normal"/>
    <w:uiPriority w:val="99"/>
    <w:unhideWhenUsed/>
    <w:rsid w:val="00A45279"/>
    <w:pPr>
      <w:numPr>
        <w:numId w:val="14"/>
      </w:numPr>
      <w:contextualSpacing/>
    </w:pPr>
  </w:style>
  <w:style w:type="character" w:customStyle="1" w:styleId="UnresolvedMention">
    <w:name w:val="Unresolved Mention"/>
    <w:basedOn w:val="DefaultParagraphFont"/>
    <w:uiPriority w:val="99"/>
    <w:semiHidden/>
    <w:unhideWhenUsed/>
    <w:rsid w:val="00F966A4"/>
    <w:rPr>
      <w:color w:val="605E5C"/>
      <w:shd w:val="clear" w:color="auto" w:fill="E1DFDD"/>
    </w:rPr>
  </w:style>
  <w:style w:type="paragraph" w:customStyle="1" w:styleId="paragraph">
    <w:name w:val="paragraph"/>
    <w:basedOn w:val="Normal"/>
    <w:rsid w:val="00B32F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32FCD"/>
  </w:style>
  <w:style w:type="character" w:customStyle="1" w:styleId="eop">
    <w:name w:val="eop"/>
    <w:basedOn w:val="DefaultParagraphFont"/>
    <w:rsid w:val="00B32FCD"/>
  </w:style>
  <w:style w:type="character" w:styleId="CommentReference">
    <w:name w:val="annotation reference"/>
    <w:basedOn w:val="DefaultParagraphFont"/>
    <w:uiPriority w:val="99"/>
    <w:semiHidden/>
    <w:unhideWhenUsed/>
    <w:rsid w:val="00D13A8D"/>
    <w:rPr>
      <w:sz w:val="16"/>
      <w:szCs w:val="16"/>
    </w:rPr>
  </w:style>
  <w:style w:type="paragraph" w:styleId="CommentText">
    <w:name w:val="annotation text"/>
    <w:basedOn w:val="Normal"/>
    <w:link w:val="CommentTextChar"/>
    <w:unhideWhenUsed/>
    <w:rsid w:val="00D13A8D"/>
    <w:pPr>
      <w:spacing w:line="240" w:lineRule="auto"/>
    </w:pPr>
    <w:rPr>
      <w:sz w:val="20"/>
      <w:szCs w:val="20"/>
    </w:rPr>
  </w:style>
  <w:style w:type="character" w:customStyle="1" w:styleId="CommentTextChar">
    <w:name w:val="Comment Text Char"/>
    <w:basedOn w:val="DefaultParagraphFont"/>
    <w:link w:val="CommentText"/>
    <w:rsid w:val="00D13A8D"/>
    <w:rPr>
      <w:sz w:val="20"/>
      <w:szCs w:val="20"/>
    </w:rPr>
  </w:style>
  <w:style w:type="paragraph" w:styleId="CommentSubject">
    <w:name w:val="annotation subject"/>
    <w:basedOn w:val="CommentText"/>
    <w:next w:val="CommentText"/>
    <w:link w:val="CommentSubjectChar"/>
    <w:uiPriority w:val="99"/>
    <w:semiHidden/>
    <w:unhideWhenUsed/>
    <w:rsid w:val="00D13A8D"/>
    <w:rPr>
      <w:b/>
      <w:bCs/>
    </w:rPr>
  </w:style>
  <w:style w:type="character" w:customStyle="1" w:styleId="CommentSubjectChar">
    <w:name w:val="Comment Subject Char"/>
    <w:basedOn w:val="CommentTextChar"/>
    <w:link w:val="CommentSubject"/>
    <w:uiPriority w:val="99"/>
    <w:semiHidden/>
    <w:rsid w:val="00D13A8D"/>
    <w:rPr>
      <w:b/>
      <w:bCs/>
      <w:sz w:val="20"/>
      <w:szCs w:val="20"/>
    </w:rPr>
  </w:style>
  <w:style w:type="paragraph" w:customStyle="1" w:styleId="Default">
    <w:name w:val="Default"/>
    <w:basedOn w:val="Normal"/>
    <w:uiPriority w:val="1"/>
    <w:rsid w:val="0097075E"/>
    <w:rPr>
      <w:rFonts w:ascii="Calibri" w:eastAsia="Cambria" w:hAnsi="Calibri" w:cs="Calibri"/>
      <w:color w:val="000000"/>
      <w:sz w:val="24"/>
      <w:szCs w:val="24"/>
    </w:rPr>
  </w:style>
  <w:style w:type="paragraph" w:styleId="Revision">
    <w:name w:val="Revision"/>
    <w:hidden/>
    <w:uiPriority w:val="99"/>
    <w:semiHidden/>
    <w:rsid w:val="0097075E"/>
    <w:pPr>
      <w:spacing w:after="0" w:line="240" w:lineRule="auto"/>
    </w:pPr>
    <w:rPr>
      <w:sz w:val="22"/>
    </w:rPr>
  </w:style>
  <w:style w:type="paragraph" w:customStyle="1" w:styleId="Normalsmall">
    <w:name w:val="Normal small"/>
    <w:qFormat/>
    <w:rsid w:val="0097075E"/>
    <w:pPr>
      <w:spacing w:after="120" w:line="276" w:lineRule="auto"/>
    </w:pPr>
    <w:rPr>
      <w:rFonts w:eastAsiaTheme="minorHAnsi"/>
      <w:sz w:val="18"/>
      <w:szCs w:val="18"/>
    </w:rPr>
  </w:style>
  <w:style w:type="character" w:customStyle="1" w:styleId="ListParagraphChar">
    <w:name w:val="List Paragraph Char"/>
    <w:aliases w:val="Body of text - Bullet point Char,Recommendation Char,L Char,List Paragraph1 Char,List Paragraph11 Char,NFP GP Bulleted List Char,FooterText Char,numbered Char,Paragraphe de liste1 Char,Bulletr List Paragraph Char,列出段落 Char,列出段落1 Char"/>
    <w:basedOn w:val="DefaultParagraphFont"/>
    <w:link w:val="ListParagraph"/>
    <w:uiPriority w:val="34"/>
    <w:rsid w:val="002A17D5"/>
    <w:rPr>
      <w:sz w:val="22"/>
    </w:rPr>
  </w:style>
  <w:style w:type="character" w:customStyle="1" w:styleId="Mention">
    <w:name w:val="Mention"/>
    <w:basedOn w:val="DefaultParagraphFont"/>
    <w:uiPriority w:val="99"/>
    <w:unhideWhenUsed/>
    <w:rsid w:val="00FD1366"/>
    <w:rPr>
      <w:color w:val="2B579A"/>
      <w:shd w:val="clear" w:color="auto" w:fill="E1DFDD"/>
    </w:rPr>
  </w:style>
  <w:style w:type="character" w:customStyle="1" w:styleId="cf01">
    <w:name w:val="cf01"/>
    <w:basedOn w:val="DefaultParagraphFont"/>
    <w:rsid w:val="0076426F"/>
    <w:rPr>
      <w:rFonts w:ascii="Segoe UI" w:hAnsi="Segoe UI" w:cs="Segoe UI" w:hint="default"/>
      <w:sz w:val="18"/>
      <w:szCs w:val="18"/>
    </w:rPr>
  </w:style>
  <w:style w:type="paragraph" w:customStyle="1" w:styleId="Address">
    <w:name w:val="Address"/>
    <w:basedOn w:val="Normal"/>
    <w:uiPriority w:val="1"/>
    <w:qFormat/>
    <w:rsid w:val="6C138010"/>
    <w:pPr>
      <w:spacing w:after="0"/>
    </w:pPr>
    <w:rPr>
      <w:color w:val="71BAAF"/>
      <w:sz w:val="24"/>
      <w:szCs w:val="24"/>
    </w:rPr>
  </w:style>
  <w:style w:type="paragraph" w:customStyle="1" w:styleId="TableText">
    <w:name w:val="TableText"/>
    <w:basedOn w:val="Normal"/>
    <w:uiPriority w:val="1"/>
    <w:qFormat/>
    <w:rsid w:val="6C138010"/>
    <w:pPr>
      <w:spacing w:before="120" w:after="120"/>
    </w:pPr>
    <w:rPr>
      <w:rFonts w:ascii="Arial" w:eastAsiaTheme="majorEastAsia" w:hAnsi="Arial" w:cs="Arial"/>
      <w:sz w:val="20"/>
      <w:szCs w:val="20"/>
    </w:rPr>
  </w:style>
  <w:style w:type="paragraph" w:styleId="BodyText">
    <w:name w:val="Body Text"/>
    <w:basedOn w:val="Normal"/>
    <w:link w:val="BodyTextChar"/>
    <w:uiPriority w:val="99"/>
    <w:unhideWhenUsed/>
    <w:rsid w:val="00C710B4"/>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C710B4"/>
    <w:rPr>
      <w:rFonts w:ascii="Arial" w:eastAsia="Courier New" w:hAnsi="Arial" w:cs="Courier New"/>
      <w:sz w:val="20"/>
      <w:szCs w:val="24"/>
      <w:lang w:val="en-US" w:eastAsia="en-IN"/>
    </w:rPr>
  </w:style>
  <w:style w:type="paragraph" w:styleId="FootnoteText">
    <w:name w:val="footnote text"/>
    <w:basedOn w:val="Normal"/>
    <w:link w:val="FootnoteTextChar"/>
    <w:uiPriority w:val="99"/>
    <w:semiHidden/>
    <w:unhideWhenUsed/>
    <w:rsid w:val="00F07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D92"/>
    <w:rPr>
      <w:sz w:val="20"/>
      <w:szCs w:val="20"/>
    </w:rPr>
  </w:style>
  <w:style w:type="character" w:styleId="FootnoteReference">
    <w:name w:val="footnote reference"/>
    <w:basedOn w:val="DefaultParagraphFont"/>
    <w:uiPriority w:val="99"/>
    <w:semiHidden/>
    <w:unhideWhenUsed/>
    <w:rsid w:val="00F07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0745">
      <w:bodyDiv w:val="1"/>
      <w:marLeft w:val="0"/>
      <w:marRight w:val="0"/>
      <w:marTop w:val="0"/>
      <w:marBottom w:val="0"/>
      <w:divBdr>
        <w:top w:val="none" w:sz="0" w:space="0" w:color="auto"/>
        <w:left w:val="none" w:sz="0" w:space="0" w:color="auto"/>
        <w:bottom w:val="none" w:sz="0" w:space="0" w:color="auto"/>
        <w:right w:val="none" w:sz="0" w:space="0" w:color="auto"/>
      </w:divBdr>
    </w:div>
    <w:div w:id="487787436">
      <w:bodyDiv w:val="1"/>
      <w:marLeft w:val="0"/>
      <w:marRight w:val="0"/>
      <w:marTop w:val="0"/>
      <w:marBottom w:val="0"/>
      <w:divBdr>
        <w:top w:val="none" w:sz="0" w:space="0" w:color="auto"/>
        <w:left w:val="none" w:sz="0" w:space="0" w:color="auto"/>
        <w:bottom w:val="none" w:sz="0" w:space="0" w:color="auto"/>
        <w:right w:val="none" w:sz="0" w:space="0" w:color="auto"/>
      </w:divBdr>
    </w:div>
    <w:div w:id="533154976">
      <w:bodyDiv w:val="1"/>
      <w:marLeft w:val="0"/>
      <w:marRight w:val="0"/>
      <w:marTop w:val="0"/>
      <w:marBottom w:val="0"/>
      <w:divBdr>
        <w:top w:val="none" w:sz="0" w:space="0" w:color="auto"/>
        <w:left w:val="none" w:sz="0" w:space="0" w:color="auto"/>
        <w:bottom w:val="none" w:sz="0" w:space="0" w:color="auto"/>
        <w:right w:val="none" w:sz="0" w:space="0" w:color="auto"/>
      </w:divBdr>
    </w:div>
    <w:div w:id="590165444">
      <w:bodyDiv w:val="1"/>
      <w:marLeft w:val="0"/>
      <w:marRight w:val="0"/>
      <w:marTop w:val="0"/>
      <w:marBottom w:val="0"/>
      <w:divBdr>
        <w:top w:val="none" w:sz="0" w:space="0" w:color="auto"/>
        <w:left w:val="none" w:sz="0" w:space="0" w:color="auto"/>
        <w:bottom w:val="none" w:sz="0" w:space="0" w:color="auto"/>
        <w:right w:val="none" w:sz="0" w:space="0" w:color="auto"/>
      </w:divBdr>
    </w:div>
    <w:div w:id="756752210">
      <w:bodyDiv w:val="1"/>
      <w:marLeft w:val="0"/>
      <w:marRight w:val="0"/>
      <w:marTop w:val="0"/>
      <w:marBottom w:val="0"/>
      <w:divBdr>
        <w:top w:val="none" w:sz="0" w:space="0" w:color="auto"/>
        <w:left w:val="none" w:sz="0" w:space="0" w:color="auto"/>
        <w:bottom w:val="none" w:sz="0" w:space="0" w:color="auto"/>
        <w:right w:val="none" w:sz="0" w:space="0" w:color="auto"/>
      </w:divBdr>
      <w:divsChild>
        <w:div w:id="138497711">
          <w:marLeft w:val="0"/>
          <w:marRight w:val="0"/>
          <w:marTop w:val="0"/>
          <w:marBottom w:val="0"/>
          <w:divBdr>
            <w:top w:val="none" w:sz="0" w:space="0" w:color="auto"/>
            <w:left w:val="none" w:sz="0" w:space="0" w:color="auto"/>
            <w:bottom w:val="none" w:sz="0" w:space="0" w:color="auto"/>
            <w:right w:val="none" w:sz="0" w:space="0" w:color="auto"/>
          </w:divBdr>
        </w:div>
        <w:div w:id="854539900">
          <w:marLeft w:val="0"/>
          <w:marRight w:val="0"/>
          <w:marTop w:val="0"/>
          <w:marBottom w:val="0"/>
          <w:divBdr>
            <w:top w:val="none" w:sz="0" w:space="0" w:color="auto"/>
            <w:left w:val="none" w:sz="0" w:space="0" w:color="auto"/>
            <w:bottom w:val="none" w:sz="0" w:space="0" w:color="auto"/>
            <w:right w:val="none" w:sz="0" w:space="0" w:color="auto"/>
          </w:divBdr>
        </w:div>
        <w:div w:id="1130704146">
          <w:marLeft w:val="0"/>
          <w:marRight w:val="0"/>
          <w:marTop w:val="0"/>
          <w:marBottom w:val="0"/>
          <w:divBdr>
            <w:top w:val="none" w:sz="0" w:space="0" w:color="auto"/>
            <w:left w:val="none" w:sz="0" w:space="0" w:color="auto"/>
            <w:bottom w:val="none" w:sz="0" w:space="0" w:color="auto"/>
            <w:right w:val="none" w:sz="0" w:space="0" w:color="auto"/>
          </w:divBdr>
        </w:div>
        <w:div w:id="1957562792">
          <w:marLeft w:val="0"/>
          <w:marRight w:val="0"/>
          <w:marTop w:val="0"/>
          <w:marBottom w:val="0"/>
          <w:divBdr>
            <w:top w:val="none" w:sz="0" w:space="0" w:color="auto"/>
            <w:left w:val="none" w:sz="0" w:space="0" w:color="auto"/>
            <w:bottom w:val="none" w:sz="0" w:space="0" w:color="auto"/>
            <w:right w:val="none" w:sz="0" w:space="0" w:color="auto"/>
          </w:divBdr>
        </w:div>
      </w:divsChild>
    </w:div>
    <w:div w:id="905534330">
      <w:bodyDiv w:val="1"/>
      <w:marLeft w:val="0"/>
      <w:marRight w:val="0"/>
      <w:marTop w:val="0"/>
      <w:marBottom w:val="0"/>
      <w:divBdr>
        <w:top w:val="none" w:sz="0" w:space="0" w:color="auto"/>
        <w:left w:val="none" w:sz="0" w:space="0" w:color="auto"/>
        <w:bottom w:val="none" w:sz="0" w:space="0" w:color="auto"/>
        <w:right w:val="none" w:sz="0" w:space="0" w:color="auto"/>
      </w:divBdr>
    </w:div>
    <w:div w:id="1128745371">
      <w:bodyDiv w:val="1"/>
      <w:marLeft w:val="0"/>
      <w:marRight w:val="0"/>
      <w:marTop w:val="0"/>
      <w:marBottom w:val="0"/>
      <w:divBdr>
        <w:top w:val="none" w:sz="0" w:space="0" w:color="auto"/>
        <w:left w:val="none" w:sz="0" w:space="0" w:color="auto"/>
        <w:bottom w:val="none" w:sz="0" w:space="0" w:color="auto"/>
        <w:right w:val="none" w:sz="0" w:space="0" w:color="auto"/>
      </w:divBdr>
    </w:div>
    <w:div w:id="1227112048">
      <w:bodyDiv w:val="1"/>
      <w:marLeft w:val="0"/>
      <w:marRight w:val="0"/>
      <w:marTop w:val="0"/>
      <w:marBottom w:val="0"/>
      <w:divBdr>
        <w:top w:val="none" w:sz="0" w:space="0" w:color="auto"/>
        <w:left w:val="none" w:sz="0" w:space="0" w:color="auto"/>
        <w:bottom w:val="none" w:sz="0" w:space="0" w:color="auto"/>
        <w:right w:val="none" w:sz="0" w:space="0" w:color="auto"/>
      </w:divBdr>
      <w:divsChild>
        <w:div w:id="543635578">
          <w:marLeft w:val="0"/>
          <w:marRight w:val="0"/>
          <w:marTop w:val="0"/>
          <w:marBottom w:val="0"/>
          <w:divBdr>
            <w:top w:val="none" w:sz="0" w:space="0" w:color="auto"/>
            <w:left w:val="none" w:sz="0" w:space="0" w:color="auto"/>
            <w:bottom w:val="none" w:sz="0" w:space="0" w:color="auto"/>
            <w:right w:val="none" w:sz="0" w:space="0" w:color="auto"/>
          </w:divBdr>
        </w:div>
        <w:div w:id="646976989">
          <w:marLeft w:val="0"/>
          <w:marRight w:val="0"/>
          <w:marTop w:val="0"/>
          <w:marBottom w:val="0"/>
          <w:divBdr>
            <w:top w:val="none" w:sz="0" w:space="0" w:color="auto"/>
            <w:left w:val="none" w:sz="0" w:space="0" w:color="auto"/>
            <w:bottom w:val="none" w:sz="0" w:space="0" w:color="auto"/>
            <w:right w:val="none" w:sz="0" w:space="0" w:color="auto"/>
          </w:divBdr>
        </w:div>
        <w:div w:id="1107694983">
          <w:marLeft w:val="0"/>
          <w:marRight w:val="0"/>
          <w:marTop w:val="0"/>
          <w:marBottom w:val="0"/>
          <w:divBdr>
            <w:top w:val="none" w:sz="0" w:space="0" w:color="auto"/>
            <w:left w:val="none" w:sz="0" w:space="0" w:color="auto"/>
            <w:bottom w:val="none" w:sz="0" w:space="0" w:color="auto"/>
            <w:right w:val="none" w:sz="0" w:space="0" w:color="auto"/>
          </w:divBdr>
        </w:div>
        <w:div w:id="1377774833">
          <w:marLeft w:val="0"/>
          <w:marRight w:val="0"/>
          <w:marTop w:val="0"/>
          <w:marBottom w:val="0"/>
          <w:divBdr>
            <w:top w:val="none" w:sz="0" w:space="0" w:color="auto"/>
            <w:left w:val="none" w:sz="0" w:space="0" w:color="auto"/>
            <w:bottom w:val="none" w:sz="0" w:space="0" w:color="auto"/>
            <w:right w:val="none" w:sz="0" w:space="0" w:color="auto"/>
          </w:divBdr>
        </w:div>
        <w:div w:id="1751806868">
          <w:marLeft w:val="0"/>
          <w:marRight w:val="0"/>
          <w:marTop w:val="0"/>
          <w:marBottom w:val="0"/>
          <w:divBdr>
            <w:top w:val="none" w:sz="0" w:space="0" w:color="auto"/>
            <w:left w:val="none" w:sz="0" w:space="0" w:color="auto"/>
            <w:bottom w:val="none" w:sz="0" w:space="0" w:color="auto"/>
            <w:right w:val="none" w:sz="0" w:space="0" w:color="auto"/>
          </w:divBdr>
        </w:div>
        <w:div w:id="1779134489">
          <w:marLeft w:val="0"/>
          <w:marRight w:val="0"/>
          <w:marTop w:val="0"/>
          <w:marBottom w:val="0"/>
          <w:divBdr>
            <w:top w:val="none" w:sz="0" w:space="0" w:color="auto"/>
            <w:left w:val="none" w:sz="0" w:space="0" w:color="auto"/>
            <w:bottom w:val="none" w:sz="0" w:space="0" w:color="auto"/>
            <w:right w:val="none" w:sz="0" w:space="0" w:color="auto"/>
          </w:divBdr>
        </w:div>
      </w:divsChild>
    </w:div>
    <w:div w:id="1452359418">
      <w:bodyDiv w:val="1"/>
      <w:marLeft w:val="0"/>
      <w:marRight w:val="0"/>
      <w:marTop w:val="0"/>
      <w:marBottom w:val="0"/>
      <w:divBdr>
        <w:top w:val="none" w:sz="0" w:space="0" w:color="auto"/>
        <w:left w:val="none" w:sz="0" w:space="0" w:color="auto"/>
        <w:bottom w:val="none" w:sz="0" w:space="0" w:color="auto"/>
        <w:right w:val="none" w:sz="0" w:space="0" w:color="auto"/>
      </w:divBdr>
      <w:divsChild>
        <w:div w:id="62218771">
          <w:marLeft w:val="0"/>
          <w:marRight w:val="0"/>
          <w:marTop w:val="0"/>
          <w:marBottom w:val="0"/>
          <w:divBdr>
            <w:top w:val="none" w:sz="0" w:space="0" w:color="auto"/>
            <w:left w:val="none" w:sz="0" w:space="0" w:color="auto"/>
            <w:bottom w:val="none" w:sz="0" w:space="0" w:color="auto"/>
            <w:right w:val="none" w:sz="0" w:space="0" w:color="auto"/>
          </w:divBdr>
        </w:div>
        <w:div w:id="280458003">
          <w:marLeft w:val="0"/>
          <w:marRight w:val="0"/>
          <w:marTop w:val="0"/>
          <w:marBottom w:val="0"/>
          <w:divBdr>
            <w:top w:val="none" w:sz="0" w:space="0" w:color="auto"/>
            <w:left w:val="none" w:sz="0" w:space="0" w:color="auto"/>
            <w:bottom w:val="none" w:sz="0" w:space="0" w:color="auto"/>
            <w:right w:val="none" w:sz="0" w:space="0" w:color="auto"/>
          </w:divBdr>
        </w:div>
      </w:divsChild>
    </w:div>
    <w:div w:id="1482621322">
      <w:bodyDiv w:val="1"/>
      <w:marLeft w:val="0"/>
      <w:marRight w:val="0"/>
      <w:marTop w:val="0"/>
      <w:marBottom w:val="0"/>
      <w:divBdr>
        <w:top w:val="none" w:sz="0" w:space="0" w:color="auto"/>
        <w:left w:val="none" w:sz="0" w:space="0" w:color="auto"/>
        <w:bottom w:val="none" w:sz="0" w:space="0" w:color="auto"/>
        <w:right w:val="none" w:sz="0" w:space="0" w:color="auto"/>
      </w:divBdr>
    </w:div>
    <w:div w:id="1552309638">
      <w:bodyDiv w:val="1"/>
      <w:marLeft w:val="0"/>
      <w:marRight w:val="0"/>
      <w:marTop w:val="0"/>
      <w:marBottom w:val="0"/>
      <w:divBdr>
        <w:top w:val="none" w:sz="0" w:space="0" w:color="auto"/>
        <w:left w:val="none" w:sz="0" w:space="0" w:color="auto"/>
        <w:bottom w:val="none" w:sz="0" w:space="0" w:color="auto"/>
        <w:right w:val="none" w:sz="0" w:space="0" w:color="auto"/>
      </w:divBdr>
    </w:div>
    <w:div w:id="1654750444">
      <w:bodyDiv w:val="1"/>
      <w:marLeft w:val="0"/>
      <w:marRight w:val="0"/>
      <w:marTop w:val="0"/>
      <w:marBottom w:val="0"/>
      <w:divBdr>
        <w:top w:val="none" w:sz="0" w:space="0" w:color="auto"/>
        <w:left w:val="none" w:sz="0" w:space="0" w:color="auto"/>
        <w:bottom w:val="none" w:sz="0" w:space="0" w:color="auto"/>
        <w:right w:val="none" w:sz="0" w:space="0" w:color="auto"/>
      </w:divBdr>
    </w:div>
    <w:div w:id="1674143453">
      <w:bodyDiv w:val="1"/>
      <w:marLeft w:val="0"/>
      <w:marRight w:val="0"/>
      <w:marTop w:val="0"/>
      <w:marBottom w:val="0"/>
      <w:divBdr>
        <w:top w:val="none" w:sz="0" w:space="0" w:color="auto"/>
        <w:left w:val="none" w:sz="0" w:space="0" w:color="auto"/>
        <w:bottom w:val="none" w:sz="0" w:space="0" w:color="auto"/>
        <w:right w:val="none" w:sz="0" w:space="0" w:color="auto"/>
      </w:divBdr>
      <w:divsChild>
        <w:div w:id="747965687">
          <w:marLeft w:val="0"/>
          <w:marRight w:val="0"/>
          <w:marTop w:val="0"/>
          <w:marBottom w:val="0"/>
          <w:divBdr>
            <w:top w:val="none" w:sz="0" w:space="0" w:color="auto"/>
            <w:left w:val="none" w:sz="0" w:space="0" w:color="auto"/>
            <w:bottom w:val="none" w:sz="0" w:space="0" w:color="auto"/>
            <w:right w:val="none" w:sz="0" w:space="0" w:color="auto"/>
          </w:divBdr>
        </w:div>
        <w:div w:id="1050301260">
          <w:marLeft w:val="0"/>
          <w:marRight w:val="0"/>
          <w:marTop w:val="0"/>
          <w:marBottom w:val="0"/>
          <w:divBdr>
            <w:top w:val="none" w:sz="0" w:space="0" w:color="auto"/>
            <w:left w:val="none" w:sz="0" w:space="0" w:color="auto"/>
            <w:bottom w:val="none" w:sz="0" w:space="0" w:color="auto"/>
            <w:right w:val="none" w:sz="0" w:space="0" w:color="auto"/>
          </w:divBdr>
        </w:div>
        <w:div w:id="1126507026">
          <w:marLeft w:val="0"/>
          <w:marRight w:val="0"/>
          <w:marTop w:val="0"/>
          <w:marBottom w:val="0"/>
          <w:divBdr>
            <w:top w:val="none" w:sz="0" w:space="0" w:color="auto"/>
            <w:left w:val="none" w:sz="0" w:space="0" w:color="auto"/>
            <w:bottom w:val="none" w:sz="0" w:space="0" w:color="auto"/>
            <w:right w:val="none" w:sz="0" w:space="0" w:color="auto"/>
          </w:divBdr>
        </w:div>
        <w:div w:id="1174033479">
          <w:marLeft w:val="0"/>
          <w:marRight w:val="0"/>
          <w:marTop w:val="0"/>
          <w:marBottom w:val="0"/>
          <w:divBdr>
            <w:top w:val="none" w:sz="0" w:space="0" w:color="auto"/>
            <w:left w:val="none" w:sz="0" w:space="0" w:color="auto"/>
            <w:bottom w:val="none" w:sz="0" w:space="0" w:color="auto"/>
            <w:right w:val="none" w:sz="0" w:space="0" w:color="auto"/>
          </w:divBdr>
        </w:div>
        <w:div w:id="1447235333">
          <w:marLeft w:val="0"/>
          <w:marRight w:val="0"/>
          <w:marTop w:val="0"/>
          <w:marBottom w:val="0"/>
          <w:divBdr>
            <w:top w:val="none" w:sz="0" w:space="0" w:color="auto"/>
            <w:left w:val="none" w:sz="0" w:space="0" w:color="auto"/>
            <w:bottom w:val="none" w:sz="0" w:space="0" w:color="auto"/>
            <w:right w:val="none" w:sz="0" w:space="0" w:color="auto"/>
          </w:divBdr>
        </w:div>
        <w:div w:id="1843079977">
          <w:marLeft w:val="0"/>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8877106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Abhayaratna@pmc.gov.au" TargetMode="External"/><Relationship Id="rId13" Type="http://schemas.openxmlformats.org/officeDocument/2006/relationships/header" Target="header2.xml"/><Relationship Id="rId18" Type="http://schemas.openxmlformats.org/officeDocument/2006/relationships/hyperlink" Target="https://cer.gov.au/schemes/national-greenhouse-and-energy-reporting-schem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er.gov.au/about-us/our-compliance-approach"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changeauthority.gov.au/sites/default/files/documents/2023-12/2023%20NGER%20Review%20-%20for%20publication.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consult.dcceew.gov.au/national-greenhouse-and-energy-reporting-nger-scheme-2024-proposed-updates" TargetMode="External"/><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yperlink" Target="https://cer.gov.au/document/estimating-emissions-and-energy-coal-mining-guidelin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cleanenergyregulator.gov.au/About/Policies-and-publications/Compliance-policy-for-education-monitoring-and-enforcement-activities" TargetMode="Externa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industry/industry-overview/australian-industry/latest-release" TargetMode="External"/><Relationship Id="rId1" Type="http://schemas.openxmlformats.org/officeDocument/2006/relationships/hyperlink" Target="https://www.abs.gov.au/statistics/industry/industry-overview/australian-industry/latest-relea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25E2-7056-4AFB-A50E-48524612B29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44850</CharactersWithSpaces>
  <SharedDoc>false</SharedDoc>
  <HLinks>
    <vt:vector size="42" baseType="variant">
      <vt:variant>
        <vt:i4>327702</vt:i4>
      </vt:variant>
      <vt:variant>
        <vt:i4>30</vt:i4>
      </vt:variant>
      <vt:variant>
        <vt:i4>0</vt:i4>
      </vt:variant>
      <vt:variant>
        <vt:i4>5</vt:i4>
      </vt:variant>
      <vt:variant>
        <vt:lpwstr>https://consult.dcceew.gov.au/national-greenhouse-and-energy-reporting-nger-scheme-2024-proposed-updates</vt:lpwstr>
      </vt:variant>
      <vt:variant>
        <vt:lpwstr/>
      </vt:variant>
      <vt:variant>
        <vt:i4>5767238</vt:i4>
      </vt:variant>
      <vt:variant>
        <vt:i4>27</vt:i4>
      </vt:variant>
      <vt:variant>
        <vt:i4>0</vt:i4>
      </vt:variant>
      <vt:variant>
        <vt:i4>5</vt:i4>
      </vt:variant>
      <vt:variant>
        <vt:lpwstr>https://www.cleanenergyregulator.gov.au/About/Policies-and-publications/Compliance-policy-for-education-monitoring-and-enforcement-activities</vt:lpwstr>
      </vt:variant>
      <vt:variant>
        <vt:lpwstr/>
      </vt:variant>
      <vt:variant>
        <vt:i4>7733364</vt:i4>
      </vt:variant>
      <vt:variant>
        <vt:i4>15</vt:i4>
      </vt:variant>
      <vt:variant>
        <vt:i4>0</vt:i4>
      </vt:variant>
      <vt:variant>
        <vt:i4>5</vt:i4>
      </vt:variant>
      <vt:variant>
        <vt:lpwstr>https://cer.gov.au/about-us/our-compliance-approach</vt:lpwstr>
      </vt:variant>
      <vt:variant>
        <vt:lpwstr/>
      </vt:variant>
      <vt:variant>
        <vt:i4>4980758</vt:i4>
      </vt:variant>
      <vt:variant>
        <vt:i4>12</vt:i4>
      </vt:variant>
      <vt:variant>
        <vt:i4>0</vt:i4>
      </vt:variant>
      <vt:variant>
        <vt:i4>5</vt:i4>
      </vt:variant>
      <vt:variant>
        <vt:lpwstr>https://cer.gov.au/document/estimating-emissions-and-energy-coal-mining-guideline</vt:lpwstr>
      </vt:variant>
      <vt:variant>
        <vt:lpwstr/>
      </vt:variant>
      <vt:variant>
        <vt:i4>2883643</vt:i4>
      </vt:variant>
      <vt:variant>
        <vt:i4>6</vt:i4>
      </vt:variant>
      <vt:variant>
        <vt:i4>0</vt:i4>
      </vt:variant>
      <vt:variant>
        <vt:i4>5</vt:i4>
      </vt:variant>
      <vt:variant>
        <vt:lpwstr>https://cer.gov.au/schemes/national-greenhouse-and-energy-reporting-scheme</vt:lpwstr>
      </vt:variant>
      <vt:variant>
        <vt:lpwstr/>
      </vt:variant>
      <vt:variant>
        <vt:i4>7471226</vt:i4>
      </vt:variant>
      <vt:variant>
        <vt:i4>3</vt:i4>
      </vt:variant>
      <vt:variant>
        <vt:i4>0</vt:i4>
      </vt:variant>
      <vt:variant>
        <vt:i4>5</vt:i4>
      </vt:variant>
      <vt:variant>
        <vt:lpwstr>https://www.climatechangeauthority.gov.au/sites/default/files/documents/2023-12/2023 NGER Review - for publication.pdf</vt:lpwstr>
      </vt:variant>
      <vt:variant>
        <vt:lpwstr/>
      </vt:variant>
      <vt:variant>
        <vt:i4>131132</vt:i4>
      </vt:variant>
      <vt:variant>
        <vt:i4>0</vt:i4>
      </vt:variant>
      <vt:variant>
        <vt:i4>0</vt:i4>
      </vt:variant>
      <vt:variant>
        <vt:i4>5</vt:i4>
      </vt:variant>
      <vt:variant>
        <vt:lpwstr>mailto:Helpdesk-OIA@pmc.gov.au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2024-07-04T04:32:00Z</dcterms:created>
  <dcterms:modified xsi:type="dcterms:W3CDTF">2024-07-04T04:32:00Z</dcterms:modified>
  <cp:category/>
</cp:coreProperties>
</file>