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E441690" w14:textId="70D49C29" w:rsidR="00612E57" w:rsidRPr="00C20287" w:rsidRDefault="0023294E" w:rsidP="003F50C0">
      <w:pPr>
        <w:pStyle w:val="BodyText"/>
        <w:rPr>
          <w:rFonts w:cs="Arial"/>
          <w:smallCaps/>
          <w:sz w:val="36"/>
          <w:szCs w:val="36"/>
        </w:rPr>
      </w:pPr>
      <w:r w:rsidRPr="00C20287">
        <w:rPr>
          <w:noProof/>
          <w:lang w:eastAsia="en-AU"/>
        </w:rPr>
        <mc:AlternateContent>
          <mc:Choice Requires="wps">
            <w:drawing>
              <wp:anchor distT="0" distB="0" distL="114300" distR="114300" simplePos="0" relativeHeight="251658240" behindDoc="0" locked="1" layoutInCell="1" allowOverlap="1" wp14:anchorId="6925EE86" wp14:editId="6F3C7826">
                <wp:simplePos x="0" y="0"/>
                <wp:positionH relativeFrom="page">
                  <wp:align>right</wp:align>
                </wp:positionH>
                <wp:positionV relativeFrom="page">
                  <wp:align>top</wp:align>
                </wp:positionV>
                <wp:extent cx="108000" cy="10710000"/>
                <wp:effectExtent l="0" t="0" r="6350" b="0"/>
                <wp:wrapNone/>
                <wp:docPr id="70" name="Rectangle 70"/>
                <wp:cNvGraphicFramePr/>
                <a:graphic xmlns:a="http://schemas.openxmlformats.org/drawingml/2006/main">
                  <a:graphicData uri="http://schemas.microsoft.com/office/word/2010/wordprocessingShape">
                    <wps:wsp>
                      <wps:cNvSpPr/>
                      <wps:spPr>
                        <a:xfrm>
                          <a:off x="0" y="0"/>
                          <a:ext cx="108000" cy="1071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36454" id="Rectangle 70" o:spid="_x0000_s1026" style="position:absolute;margin-left:-42.7pt;margin-top:0;width:8.5pt;height:843.3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" fillcolor="white [3212]" stroked="f" strokeweight="1pt">
                <w10:wrap anchorx="page" anchory="page"/>
                <w10:anchorlock/>
              </v:rect>
            </w:pict>
          </mc:Fallback>
        </mc:AlternateContent>
      </w:r>
      <w:r w:rsidRPr="00C20287">
        <w:rPr>
          <w:noProof/>
          <w:lang w:eastAsia="en-AU"/>
        </w:rPr>
        <mc:AlternateContent>
          <mc:Choice Requires="wps">
            <w:drawing>
              <wp:anchor distT="45720" distB="45720" distL="114300" distR="114300" simplePos="0" relativeHeight="251658241" behindDoc="1" locked="1" layoutInCell="1" allowOverlap="1" wp14:anchorId="7DDA321A" wp14:editId="36C109A7">
                <wp:simplePos x="0" y="0"/>
                <wp:positionH relativeFrom="page">
                  <wp:posOffset>0</wp:posOffset>
                </wp:positionH>
                <wp:positionV relativeFrom="page">
                  <wp:posOffset>9970770</wp:posOffset>
                </wp:positionV>
                <wp:extent cx="7560945" cy="719455"/>
                <wp:effectExtent l="0" t="0" r="1905" b="4445"/>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719455"/>
                        </a:xfrm>
                        <a:prstGeom prst="rect">
                          <a:avLst/>
                        </a:prstGeom>
                        <a:solidFill>
                          <a:sysClr val="window" lastClr="FFFFFF"/>
                        </a:solidFill>
                        <a:ln w="9525">
                          <a:noFill/>
                          <a:miter lim="800000"/>
                          <a:headEnd/>
                          <a:tailEnd/>
                        </a:ln>
                      </wps:spPr>
                      <wps:txbx>
                        <w:txbxContent>
                          <w:p w14:paraId="0360B3B7" w14:textId="77777777" w:rsidR="00EA20D1" w:rsidRPr="00543FDE" w:rsidRDefault="00EA20D1" w:rsidP="004616FF">
                            <w:pPr>
                              <w:pStyle w:val="ProtectiveMarking"/>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DA321A" id="_x0000_t202" coordsize="21600,21600" o:spt="202" path="m,l,21600r21600,l21600,xe">
                <v:stroke joinstyle="miter"/>
                <v:path gradientshapeok="t" o:connecttype="rect"/>
              </v:shapetype>
              <v:shape id="Text Box 2" o:spid="_x0000_s1026" type="#_x0000_t202" style="position:absolute;margin-left:0;margin-top:785.1pt;width:595.35pt;height:56.6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" fillcolor="window" stroked="f">
                <v:textbox inset="0,0,0,0">
                  <w:txbxContent>
                    <w:p w14:paraId="0360B3B7" w14:textId="77777777" w:rsidR="00EA20D1" w:rsidRPr="00543FDE" w:rsidRDefault="00EA20D1" w:rsidP="004616FF">
                      <w:pPr>
                        <w:pStyle w:val="ProtectiveMarking"/>
                      </w:pPr>
                    </w:p>
                  </w:txbxContent>
                </v:textbox>
                <w10:wrap anchorx="page" anchory="page"/>
                <w10:anchorlock/>
              </v:shape>
            </w:pict>
          </mc:Fallback>
        </mc:AlternateContent>
      </w:r>
    </w:p>
    <w:p w14:paraId="02DE4144" w14:textId="5FBC98CB" w:rsidR="00612E57" w:rsidRPr="00C20287" w:rsidRDefault="00612E57" w:rsidP="00245F35">
      <w:pPr>
        <w:pStyle w:val="Title"/>
        <w:jc w:val="both"/>
        <w:outlineLvl w:val="9"/>
        <w:rPr>
          <w:rFonts w:cs="Arial"/>
          <w:smallCaps/>
          <w:sz w:val="36"/>
          <w:szCs w:val="36"/>
        </w:rPr>
      </w:pPr>
      <w:bookmarkStart w:id="1" w:name="_Toc130753982"/>
      <w:bookmarkStart w:id="2" w:name="_Toc130754156"/>
      <w:bookmarkStart w:id="3" w:name="_Toc131356034"/>
      <w:bookmarkStart w:id="4" w:name="_Toc131364596"/>
      <w:bookmarkStart w:id="5" w:name="_Toc131364969"/>
      <w:bookmarkStart w:id="6" w:name="_Toc131445559"/>
      <w:bookmarkStart w:id="7" w:name="_Toc131450850"/>
      <w:bookmarkStart w:id="8" w:name="_Toc132192283"/>
      <w:bookmarkStart w:id="9" w:name="_Toc132273280"/>
      <w:bookmarkStart w:id="10" w:name="_Toc132284447"/>
      <w:bookmarkStart w:id="11" w:name="_Toc133840767"/>
      <w:bookmarkStart w:id="12" w:name="_Toc134009945"/>
      <w:bookmarkStart w:id="13" w:name="_Toc134426510"/>
      <w:bookmarkStart w:id="14" w:name="_Toc134426720"/>
      <w:bookmarkStart w:id="15" w:name="_Toc134441421"/>
      <w:r w:rsidRPr="00C20287">
        <w:rPr>
          <w:rFonts w:cs="Arial"/>
          <w:smallCaps/>
          <w:sz w:val="36"/>
          <w:szCs w:val="36"/>
        </w:rPr>
        <w:t xml:space="preserve">Impact </w:t>
      </w:r>
      <w:r w:rsidR="0054736A" w:rsidRPr="00C20287">
        <w:rPr>
          <w:rFonts w:cs="Arial"/>
          <w:smallCaps/>
          <w:sz w:val="36"/>
          <w:szCs w:val="36"/>
        </w:rPr>
        <w:t>A</w:t>
      </w:r>
      <w:r w:rsidR="00664043" w:rsidRPr="00C20287">
        <w:rPr>
          <w:rFonts w:cs="Arial"/>
          <w:smallCaps/>
          <w:sz w:val="36"/>
          <w:szCs w:val="36"/>
        </w:rPr>
        <w:t>nalysis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237A6FDF" w14:textId="77777777" w:rsidR="00612E57" w:rsidRPr="00C20287" w:rsidRDefault="00612E57" w:rsidP="003F50C0">
      <w:pPr>
        <w:pStyle w:val="BodyText"/>
        <w:rPr>
          <w:color w:val="014463" w:themeColor="text2"/>
        </w:rPr>
      </w:pPr>
    </w:p>
    <w:p w14:paraId="2B229143" w14:textId="35F765AB" w:rsidR="00612E57" w:rsidRPr="00C20287" w:rsidRDefault="00160AF9" w:rsidP="003F50C0">
      <w:pPr>
        <w:pStyle w:val="BodyText"/>
        <w:rPr>
          <w:rFonts w:cs="Arial"/>
          <w:b/>
          <w:smallCaps/>
          <w:color w:val="014463" w:themeColor="text2"/>
          <w:sz w:val="36"/>
          <w:szCs w:val="36"/>
        </w:rPr>
      </w:pPr>
      <w:bookmarkStart w:id="16" w:name="_Toc130753983"/>
      <w:r w:rsidRPr="00C20287">
        <w:rPr>
          <w:rFonts w:cs="Arial"/>
          <w:b/>
          <w:smallCaps/>
          <w:color w:val="014463" w:themeColor="text2"/>
          <w:sz w:val="36"/>
          <w:szCs w:val="36"/>
        </w:rPr>
        <w:t xml:space="preserve">Negotiation of New Community Pharmacy Agreement </w:t>
      </w:r>
      <w:bookmarkEnd w:id="16"/>
    </w:p>
    <w:p w14:paraId="682B7A40" w14:textId="77777777" w:rsidR="00612E57" w:rsidRPr="00C20287" w:rsidRDefault="00612E57" w:rsidP="003F50C0">
      <w:pPr>
        <w:pStyle w:val="BodyText"/>
        <w:rPr>
          <w:rFonts w:cs="Arial"/>
          <w:b/>
          <w:smallCaps/>
          <w:color w:val="014463" w:themeColor="text2"/>
          <w:sz w:val="36"/>
          <w:szCs w:val="36"/>
        </w:rPr>
      </w:pPr>
    </w:p>
    <w:p w14:paraId="1926639C" w14:textId="2E7F8AA2" w:rsidR="00160AF9" w:rsidRPr="00C20287" w:rsidRDefault="00612E57" w:rsidP="00160AF9">
      <w:pPr>
        <w:pStyle w:val="BodyText"/>
        <w:rPr>
          <w:rFonts w:cs="Arial"/>
          <w:b/>
          <w:smallCaps/>
          <w:color w:val="014463" w:themeColor="text2"/>
          <w:sz w:val="36"/>
          <w:szCs w:val="36"/>
        </w:rPr>
      </w:pPr>
      <w:r w:rsidRPr="00C20287">
        <w:rPr>
          <w:rFonts w:cs="Arial"/>
          <w:b/>
          <w:smallCaps/>
          <w:color w:val="014463" w:themeColor="text2"/>
          <w:sz w:val="36"/>
          <w:szCs w:val="36"/>
        </w:rPr>
        <w:t xml:space="preserve">Office of </w:t>
      </w:r>
      <w:r w:rsidR="0056439C" w:rsidRPr="00C20287">
        <w:rPr>
          <w:rFonts w:cs="Arial"/>
          <w:b/>
          <w:smallCaps/>
          <w:color w:val="014463" w:themeColor="text2"/>
          <w:sz w:val="36"/>
          <w:szCs w:val="36"/>
        </w:rPr>
        <w:t xml:space="preserve">Impact </w:t>
      </w:r>
      <w:r w:rsidR="00BB2EE5" w:rsidRPr="00C20287">
        <w:rPr>
          <w:rFonts w:cs="Arial"/>
          <w:b/>
          <w:smallCaps/>
          <w:color w:val="014463" w:themeColor="text2"/>
          <w:sz w:val="36"/>
          <w:szCs w:val="36"/>
        </w:rPr>
        <w:t>A</w:t>
      </w:r>
      <w:r w:rsidR="0039527B" w:rsidRPr="00C20287">
        <w:rPr>
          <w:rFonts w:cs="Arial"/>
          <w:b/>
          <w:smallCaps/>
          <w:color w:val="014463" w:themeColor="text2"/>
          <w:sz w:val="36"/>
          <w:szCs w:val="36"/>
        </w:rPr>
        <w:t>nalysis</w:t>
      </w:r>
      <w:r w:rsidR="00160AF9" w:rsidRPr="00C20287">
        <w:rPr>
          <w:rFonts w:cs="Arial"/>
          <w:b/>
          <w:smallCaps/>
          <w:color w:val="014463" w:themeColor="text2"/>
          <w:sz w:val="36"/>
          <w:szCs w:val="36"/>
        </w:rPr>
        <w:t xml:space="preserve"> ID: </w:t>
      </w:r>
      <w:r w:rsidR="009530AC" w:rsidRPr="00C20287">
        <w:rPr>
          <w:rFonts w:cs="Arial"/>
          <w:b/>
          <w:smallCaps/>
          <w:color w:val="014463" w:themeColor="text2"/>
          <w:sz w:val="36"/>
          <w:szCs w:val="36"/>
        </w:rPr>
        <w:t>OIA23-05019</w:t>
      </w:r>
    </w:p>
    <w:p w14:paraId="3F571AB9" w14:textId="21B0DD4C" w:rsidR="00612E57" w:rsidRPr="00C20287" w:rsidRDefault="00612E57" w:rsidP="00160AF9">
      <w:pPr>
        <w:pStyle w:val="BodyText"/>
        <w:rPr>
          <w:rFonts w:cs="Arial"/>
          <w:smallCaps/>
          <w:sz w:val="36"/>
          <w:szCs w:val="36"/>
        </w:rPr>
      </w:pPr>
      <w:r w:rsidRPr="00C20287">
        <w:rPr>
          <w:rFonts w:cs="Arial"/>
          <w:smallCaps/>
          <w:sz w:val="36"/>
          <w:szCs w:val="36"/>
        </w:rPr>
        <w:br w:type="page"/>
      </w:r>
    </w:p>
    <w:bookmarkStart w:id="17" w:name="_Toc134441422" w:displacedByCustomXml="next"/>
    <w:bookmarkStart w:id="18" w:name="_Toc134009946" w:displacedByCustomXml="next"/>
    <w:bookmarkStart w:id="19" w:name="_Toc132284448" w:displacedByCustomXml="next"/>
    <w:bookmarkStart w:id="20" w:name="_Toc132273281" w:displacedByCustomXml="next"/>
    <w:bookmarkStart w:id="21" w:name="_Toc132192284" w:displacedByCustomXml="next"/>
    <w:bookmarkStart w:id="22" w:name="_Toc131450851" w:displacedByCustomXml="next"/>
    <w:bookmarkStart w:id="23" w:name="_Toc133840768" w:displacedByCustomXml="next"/>
    <w:bookmarkStart w:id="24" w:name="_Toc134426511" w:displacedByCustomXml="next"/>
    <w:bookmarkStart w:id="25" w:name="_Toc134426721" w:displacedByCustomXml="next"/>
    <w:sdt>
      <w:sdtPr>
        <w:rPr>
          <w:b/>
        </w:rPr>
        <w:id w:val="157821423"/>
        <w:docPartObj>
          <w:docPartGallery w:val="Table of Contents"/>
          <w:docPartUnique/>
        </w:docPartObj>
      </w:sdtPr>
      <w:sdtEndPr>
        <w:rPr>
          <w:b w:val="0"/>
          <w:bCs/>
          <w:color w:val="0D0D0D" w:themeColor="text1" w:themeTint="F2"/>
        </w:rPr>
      </w:sdtEndPr>
      <w:sdtContent>
        <w:p w14:paraId="47F0A675" w14:textId="77777777" w:rsidR="008A3C48" w:rsidRDefault="00C51D1D">
          <w:pPr>
            <w:pStyle w:val="TOC1"/>
            <w:rPr>
              <w:noProof/>
            </w:rPr>
          </w:pPr>
          <w:r w:rsidRPr="008C59AD">
            <w:rPr>
              <w:b/>
              <w:sz w:val="52"/>
              <w:szCs w:val="52"/>
            </w:rPr>
            <w:t>Contents</w:t>
          </w:r>
          <w:bookmarkEnd w:id="25"/>
          <w:bookmarkEnd w:id="24"/>
          <w:bookmarkEnd w:id="23"/>
          <w:bookmarkEnd w:id="22"/>
          <w:bookmarkEnd w:id="21"/>
          <w:bookmarkEnd w:id="20"/>
          <w:bookmarkEnd w:id="19"/>
          <w:bookmarkEnd w:id="18"/>
          <w:bookmarkEnd w:id="17"/>
          <w:r w:rsidRPr="00C20287">
            <w:rPr>
              <w:rFonts w:asciiTheme="majorHAnsi" w:hAnsiTheme="majorHAnsi"/>
              <w:color w:val="0D0D0D" w:themeColor="text1" w:themeTint="F2"/>
              <w:sz w:val="60"/>
              <w:szCs w:val="60"/>
            </w:rPr>
            <w:fldChar w:fldCharType="begin"/>
          </w:r>
          <w:r w:rsidRPr="00C20287">
            <w:rPr>
              <w:color w:val="0D0D0D" w:themeColor="text1" w:themeTint="F2"/>
            </w:rPr>
            <w:instrText xml:space="preserve"> TOC \o "1-3" \h \z \u </w:instrText>
          </w:r>
          <w:r w:rsidRPr="00C20287">
            <w:rPr>
              <w:rFonts w:asciiTheme="majorHAnsi" w:hAnsiTheme="majorHAnsi"/>
              <w:color w:val="0D0D0D" w:themeColor="text1" w:themeTint="F2"/>
              <w:sz w:val="60"/>
              <w:szCs w:val="60"/>
            </w:rPr>
            <w:fldChar w:fldCharType="separate"/>
          </w:r>
        </w:p>
        <w:p w14:paraId="762EC432" w14:textId="5A3AD66F" w:rsidR="008A3C48" w:rsidRDefault="00A4667B">
          <w:pPr>
            <w:pStyle w:val="TOC1"/>
            <w:rPr>
              <w:rFonts w:eastAsiaTheme="minorEastAsia"/>
              <w:noProof/>
              <w:color w:val="auto"/>
              <w:sz w:val="22"/>
              <w:szCs w:val="22"/>
              <w:lang w:eastAsia="en-AU"/>
            </w:rPr>
          </w:pPr>
          <w:hyperlink w:anchor="_Toc168652724" w:history="1">
            <w:r w:rsidR="008A3C48" w:rsidRPr="00D96FB7">
              <w:rPr>
                <w:rStyle w:val="Hyperlink"/>
                <w:noProof/>
              </w:rPr>
              <w:t>Executive Summary</w:t>
            </w:r>
            <w:r w:rsidR="008A3C48">
              <w:rPr>
                <w:noProof/>
                <w:webHidden/>
              </w:rPr>
              <w:tab/>
            </w:r>
            <w:r w:rsidR="008A3C48">
              <w:rPr>
                <w:noProof/>
                <w:webHidden/>
              </w:rPr>
              <w:fldChar w:fldCharType="begin"/>
            </w:r>
            <w:r w:rsidR="008A3C48">
              <w:rPr>
                <w:noProof/>
                <w:webHidden/>
              </w:rPr>
              <w:instrText xml:space="preserve"> PAGEREF _Toc168652724 \h </w:instrText>
            </w:r>
            <w:r w:rsidR="008A3C48">
              <w:rPr>
                <w:noProof/>
                <w:webHidden/>
              </w:rPr>
            </w:r>
            <w:r w:rsidR="008A3C48">
              <w:rPr>
                <w:noProof/>
                <w:webHidden/>
              </w:rPr>
              <w:fldChar w:fldCharType="separate"/>
            </w:r>
            <w:r w:rsidR="008A3C48">
              <w:rPr>
                <w:noProof/>
                <w:webHidden/>
              </w:rPr>
              <w:t>4</w:t>
            </w:r>
            <w:r w:rsidR="008A3C48">
              <w:rPr>
                <w:noProof/>
                <w:webHidden/>
              </w:rPr>
              <w:fldChar w:fldCharType="end"/>
            </w:r>
          </w:hyperlink>
        </w:p>
        <w:p w14:paraId="7B29AF5E" w14:textId="24D81BAA" w:rsidR="008A3C48" w:rsidRDefault="00A4667B">
          <w:pPr>
            <w:pStyle w:val="TOC1"/>
            <w:rPr>
              <w:rFonts w:eastAsiaTheme="minorEastAsia"/>
              <w:noProof/>
              <w:color w:val="auto"/>
              <w:sz w:val="22"/>
              <w:szCs w:val="22"/>
              <w:lang w:eastAsia="en-AU"/>
            </w:rPr>
          </w:pPr>
          <w:hyperlink w:anchor="_Toc168652725" w:history="1">
            <w:r w:rsidR="008A3C48" w:rsidRPr="00D96FB7">
              <w:rPr>
                <w:rStyle w:val="Hyperlink"/>
                <w:noProof/>
              </w:rPr>
              <w:t>Background</w:t>
            </w:r>
            <w:r w:rsidR="008A3C48">
              <w:rPr>
                <w:noProof/>
                <w:webHidden/>
              </w:rPr>
              <w:tab/>
            </w:r>
            <w:r w:rsidR="008A3C48">
              <w:rPr>
                <w:noProof/>
                <w:webHidden/>
              </w:rPr>
              <w:fldChar w:fldCharType="begin"/>
            </w:r>
            <w:r w:rsidR="008A3C48">
              <w:rPr>
                <w:noProof/>
                <w:webHidden/>
              </w:rPr>
              <w:instrText xml:space="preserve"> PAGEREF _Toc168652725 \h </w:instrText>
            </w:r>
            <w:r w:rsidR="008A3C48">
              <w:rPr>
                <w:noProof/>
                <w:webHidden/>
              </w:rPr>
            </w:r>
            <w:r w:rsidR="008A3C48">
              <w:rPr>
                <w:noProof/>
                <w:webHidden/>
              </w:rPr>
              <w:fldChar w:fldCharType="separate"/>
            </w:r>
            <w:r w:rsidR="008A3C48">
              <w:rPr>
                <w:noProof/>
                <w:webHidden/>
              </w:rPr>
              <w:t>9</w:t>
            </w:r>
            <w:r w:rsidR="008A3C48">
              <w:rPr>
                <w:noProof/>
                <w:webHidden/>
              </w:rPr>
              <w:fldChar w:fldCharType="end"/>
            </w:r>
          </w:hyperlink>
        </w:p>
        <w:p w14:paraId="09399712" w14:textId="5AC1EFBD" w:rsidR="008A3C48" w:rsidRDefault="00A4667B">
          <w:pPr>
            <w:pStyle w:val="TOC3"/>
            <w:tabs>
              <w:tab w:val="left" w:pos="880"/>
              <w:tab w:val="right" w:leader="dot" w:pos="9016"/>
            </w:tabs>
            <w:rPr>
              <w:rFonts w:eastAsiaTheme="minorEastAsia"/>
              <w:noProof/>
              <w:color w:val="auto"/>
              <w:sz w:val="22"/>
              <w:szCs w:val="22"/>
              <w:lang w:eastAsia="en-AU"/>
            </w:rPr>
          </w:pPr>
          <w:hyperlink w:anchor="_Toc168652726" w:history="1">
            <w:r w:rsidR="008A3C48" w:rsidRPr="00D96FB7">
              <w:rPr>
                <w:rStyle w:val="Hyperlink"/>
                <w:noProof/>
              </w:rPr>
              <w:t>1.1</w:t>
            </w:r>
            <w:r w:rsidR="008A3C48">
              <w:rPr>
                <w:rFonts w:eastAsiaTheme="minorEastAsia"/>
                <w:noProof/>
                <w:color w:val="auto"/>
                <w:sz w:val="22"/>
                <w:szCs w:val="22"/>
                <w:lang w:eastAsia="en-AU"/>
              </w:rPr>
              <w:tab/>
            </w:r>
            <w:r w:rsidR="008A3C48" w:rsidRPr="00D96FB7">
              <w:rPr>
                <w:rStyle w:val="Hyperlink"/>
                <w:noProof/>
              </w:rPr>
              <w:t>Community pharmacy</w:t>
            </w:r>
            <w:r w:rsidR="008A3C48">
              <w:rPr>
                <w:noProof/>
                <w:webHidden/>
              </w:rPr>
              <w:tab/>
            </w:r>
            <w:r w:rsidR="008A3C48">
              <w:rPr>
                <w:noProof/>
                <w:webHidden/>
              </w:rPr>
              <w:fldChar w:fldCharType="begin"/>
            </w:r>
            <w:r w:rsidR="008A3C48">
              <w:rPr>
                <w:noProof/>
                <w:webHidden/>
              </w:rPr>
              <w:instrText xml:space="preserve"> PAGEREF _Toc168652726 \h </w:instrText>
            </w:r>
            <w:r w:rsidR="008A3C48">
              <w:rPr>
                <w:noProof/>
                <w:webHidden/>
              </w:rPr>
            </w:r>
            <w:r w:rsidR="008A3C48">
              <w:rPr>
                <w:noProof/>
                <w:webHidden/>
              </w:rPr>
              <w:fldChar w:fldCharType="separate"/>
            </w:r>
            <w:r w:rsidR="008A3C48">
              <w:rPr>
                <w:noProof/>
                <w:webHidden/>
              </w:rPr>
              <w:t>9</w:t>
            </w:r>
            <w:r w:rsidR="008A3C48">
              <w:rPr>
                <w:noProof/>
                <w:webHidden/>
              </w:rPr>
              <w:fldChar w:fldCharType="end"/>
            </w:r>
          </w:hyperlink>
        </w:p>
        <w:p w14:paraId="01655300" w14:textId="4D23B8F1" w:rsidR="008A3C48" w:rsidRDefault="00A4667B">
          <w:pPr>
            <w:pStyle w:val="TOC3"/>
            <w:tabs>
              <w:tab w:val="left" w:pos="880"/>
              <w:tab w:val="right" w:leader="dot" w:pos="9016"/>
            </w:tabs>
            <w:rPr>
              <w:rFonts w:eastAsiaTheme="minorEastAsia"/>
              <w:noProof/>
              <w:color w:val="auto"/>
              <w:sz w:val="22"/>
              <w:szCs w:val="22"/>
              <w:lang w:eastAsia="en-AU"/>
            </w:rPr>
          </w:pPr>
          <w:hyperlink w:anchor="_Toc168652727" w:history="1">
            <w:r w:rsidR="008A3C48" w:rsidRPr="00D96FB7">
              <w:rPr>
                <w:rStyle w:val="Hyperlink"/>
                <w:noProof/>
              </w:rPr>
              <w:t>1.2</w:t>
            </w:r>
            <w:r w:rsidR="008A3C48">
              <w:rPr>
                <w:rFonts w:eastAsiaTheme="minorEastAsia"/>
                <w:noProof/>
                <w:color w:val="auto"/>
                <w:sz w:val="22"/>
                <w:szCs w:val="22"/>
                <w:lang w:eastAsia="en-AU"/>
              </w:rPr>
              <w:tab/>
            </w:r>
            <w:r w:rsidR="008A3C48" w:rsidRPr="00D96FB7">
              <w:rPr>
                <w:rStyle w:val="Hyperlink"/>
                <w:noProof/>
              </w:rPr>
              <w:t>The PBS</w:t>
            </w:r>
            <w:r w:rsidR="008A3C48">
              <w:rPr>
                <w:noProof/>
                <w:webHidden/>
              </w:rPr>
              <w:tab/>
            </w:r>
            <w:r w:rsidR="008A3C48">
              <w:rPr>
                <w:noProof/>
                <w:webHidden/>
              </w:rPr>
              <w:fldChar w:fldCharType="begin"/>
            </w:r>
            <w:r w:rsidR="008A3C48">
              <w:rPr>
                <w:noProof/>
                <w:webHidden/>
              </w:rPr>
              <w:instrText xml:space="preserve"> PAGEREF _Toc168652727 \h </w:instrText>
            </w:r>
            <w:r w:rsidR="008A3C48">
              <w:rPr>
                <w:noProof/>
                <w:webHidden/>
              </w:rPr>
            </w:r>
            <w:r w:rsidR="008A3C48">
              <w:rPr>
                <w:noProof/>
                <w:webHidden/>
              </w:rPr>
              <w:fldChar w:fldCharType="separate"/>
            </w:r>
            <w:r w:rsidR="008A3C48">
              <w:rPr>
                <w:noProof/>
                <w:webHidden/>
              </w:rPr>
              <w:t>9</w:t>
            </w:r>
            <w:r w:rsidR="008A3C48">
              <w:rPr>
                <w:noProof/>
                <w:webHidden/>
              </w:rPr>
              <w:fldChar w:fldCharType="end"/>
            </w:r>
          </w:hyperlink>
        </w:p>
        <w:p w14:paraId="272DE917" w14:textId="7DAAB2B0" w:rsidR="008A3C48" w:rsidRDefault="00A4667B">
          <w:pPr>
            <w:pStyle w:val="TOC3"/>
            <w:tabs>
              <w:tab w:val="left" w:pos="880"/>
              <w:tab w:val="right" w:leader="dot" w:pos="9016"/>
            </w:tabs>
            <w:rPr>
              <w:rFonts w:eastAsiaTheme="minorEastAsia"/>
              <w:noProof/>
              <w:color w:val="auto"/>
              <w:sz w:val="22"/>
              <w:szCs w:val="22"/>
              <w:lang w:eastAsia="en-AU"/>
            </w:rPr>
          </w:pPr>
          <w:hyperlink w:anchor="_Toc168652728" w:history="1">
            <w:r w:rsidR="008A3C48" w:rsidRPr="00D96FB7">
              <w:rPr>
                <w:rStyle w:val="Hyperlink"/>
                <w:noProof/>
              </w:rPr>
              <w:t>1.3</w:t>
            </w:r>
            <w:r w:rsidR="008A3C48">
              <w:rPr>
                <w:rFonts w:eastAsiaTheme="minorEastAsia"/>
                <w:noProof/>
                <w:color w:val="auto"/>
                <w:sz w:val="22"/>
                <w:szCs w:val="22"/>
                <w:lang w:eastAsia="en-AU"/>
              </w:rPr>
              <w:tab/>
            </w:r>
            <w:r w:rsidR="008A3C48" w:rsidRPr="00D96FB7">
              <w:rPr>
                <w:rStyle w:val="Hyperlink"/>
                <w:noProof/>
              </w:rPr>
              <w:t>The History of CPAs</w:t>
            </w:r>
            <w:r w:rsidR="008A3C48">
              <w:rPr>
                <w:noProof/>
                <w:webHidden/>
              </w:rPr>
              <w:tab/>
            </w:r>
            <w:r w:rsidR="008A3C48">
              <w:rPr>
                <w:noProof/>
                <w:webHidden/>
              </w:rPr>
              <w:fldChar w:fldCharType="begin"/>
            </w:r>
            <w:r w:rsidR="008A3C48">
              <w:rPr>
                <w:noProof/>
                <w:webHidden/>
              </w:rPr>
              <w:instrText xml:space="preserve"> PAGEREF _Toc168652728 \h </w:instrText>
            </w:r>
            <w:r w:rsidR="008A3C48">
              <w:rPr>
                <w:noProof/>
                <w:webHidden/>
              </w:rPr>
            </w:r>
            <w:r w:rsidR="008A3C48">
              <w:rPr>
                <w:noProof/>
                <w:webHidden/>
              </w:rPr>
              <w:fldChar w:fldCharType="separate"/>
            </w:r>
            <w:r w:rsidR="008A3C48">
              <w:rPr>
                <w:noProof/>
                <w:webHidden/>
              </w:rPr>
              <w:t>11</w:t>
            </w:r>
            <w:r w:rsidR="008A3C48">
              <w:rPr>
                <w:noProof/>
                <w:webHidden/>
              </w:rPr>
              <w:fldChar w:fldCharType="end"/>
            </w:r>
          </w:hyperlink>
        </w:p>
        <w:p w14:paraId="2753D2C7" w14:textId="7FBA1D3D" w:rsidR="008A3C48" w:rsidRDefault="00A4667B">
          <w:pPr>
            <w:pStyle w:val="TOC3"/>
            <w:tabs>
              <w:tab w:val="left" w:pos="880"/>
              <w:tab w:val="right" w:leader="dot" w:pos="9016"/>
            </w:tabs>
            <w:rPr>
              <w:rFonts w:eastAsiaTheme="minorEastAsia"/>
              <w:noProof/>
              <w:color w:val="auto"/>
              <w:sz w:val="22"/>
              <w:szCs w:val="22"/>
              <w:lang w:eastAsia="en-AU"/>
            </w:rPr>
          </w:pPr>
          <w:hyperlink w:anchor="_Toc168652729" w:history="1">
            <w:r w:rsidR="008A3C48" w:rsidRPr="00D96FB7">
              <w:rPr>
                <w:rStyle w:val="Hyperlink"/>
                <w:noProof/>
              </w:rPr>
              <w:t>1.4</w:t>
            </w:r>
            <w:r w:rsidR="008A3C48">
              <w:rPr>
                <w:rFonts w:eastAsiaTheme="minorEastAsia"/>
                <w:noProof/>
                <w:color w:val="auto"/>
                <w:sz w:val="22"/>
                <w:szCs w:val="22"/>
                <w:lang w:eastAsia="en-AU"/>
              </w:rPr>
              <w:tab/>
            </w:r>
            <w:r w:rsidR="008A3C48" w:rsidRPr="00D96FB7">
              <w:rPr>
                <w:rStyle w:val="Hyperlink"/>
                <w:noProof/>
              </w:rPr>
              <w:t>Pharmacy regulation outside of the CPA</w:t>
            </w:r>
            <w:r w:rsidR="008A3C48">
              <w:rPr>
                <w:noProof/>
                <w:webHidden/>
              </w:rPr>
              <w:tab/>
            </w:r>
            <w:r w:rsidR="008A3C48">
              <w:rPr>
                <w:noProof/>
                <w:webHidden/>
              </w:rPr>
              <w:fldChar w:fldCharType="begin"/>
            </w:r>
            <w:r w:rsidR="008A3C48">
              <w:rPr>
                <w:noProof/>
                <w:webHidden/>
              </w:rPr>
              <w:instrText xml:space="preserve"> PAGEREF _Toc168652729 \h </w:instrText>
            </w:r>
            <w:r w:rsidR="008A3C48">
              <w:rPr>
                <w:noProof/>
                <w:webHidden/>
              </w:rPr>
            </w:r>
            <w:r w:rsidR="008A3C48">
              <w:rPr>
                <w:noProof/>
                <w:webHidden/>
              </w:rPr>
              <w:fldChar w:fldCharType="separate"/>
            </w:r>
            <w:r w:rsidR="008A3C48">
              <w:rPr>
                <w:noProof/>
                <w:webHidden/>
              </w:rPr>
              <w:t>16</w:t>
            </w:r>
            <w:r w:rsidR="008A3C48">
              <w:rPr>
                <w:noProof/>
                <w:webHidden/>
              </w:rPr>
              <w:fldChar w:fldCharType="end"/>
            </w:r>
          </w:hyperlink>
        </w:p>
        <w:p w14:paraId="55C9DCD8" w14:textId="0E7A4210" w:rsidR="008A3C48" w:rsidRDefault="00A4667B">
          <w:pPr>
            <w:pStyle w:val="TOC3"/>
            <w:tabs>
              <w:tab w:val="left" w:pos="880"/>
              <w:tab w:val="right" w:leader="dot" w:pos="9016"/>
            </w:tabs>
            <w:rPr>
              <w:rFonts w:eastAsiaTheme="minorEastAsia"/>
              <w:noProof/>
              <w:color w:val="auto"/>
              <w:sz w:val="22"/>
              <w:szCs w:val="22"/>
              <w:lang w:eastAsia="en-AU"/>
            </w:rPr>
          </w:pPr>
          <w:hyperlink w:anchor="_Toc168652730" w:history="1">
            <w:r w:rsidR="008A3C48" w:rsidRPr="00D96FB7">
              <w:rPr>
                <w:rStyle w:val="Hyperlink"/>
                <w:noProof/>
              </w:rPr>
              <w:t>1.6</w:t>
            </w:r>
            <w:r w:rsidR="008A3C48">
              <w:rPr>
                <w:rFonts w:eastAsiaTheme="minorEastAsia"/>
                <w:noProof/>
                <w:color w:val="auto"/>
                <w:sz w:val="22"/>
                <w:szCs w:val="22"/>
                <w:lang w:eastAsia="en-AU"/>
              </w:rPr>
              <w:tab/>
            </w:r>
            <w:r w:rsidR="008A3C48" w:rsidRPr="00D96FB7">
              <w:rPr>
                <w:rStyle w:val="Hyperlink"/>
                <w:noProof/>
              </w:rPr>
              <w:t xml:space="preserve"> 60 Day dispensing</w:t>
            </w:r>
            <w:r w:rsidR="008A3C48">
              <w:rPr>
                <w:noProof/>
                <w:webHidden/>
              </w:rPr>
              <w:tab/>
            </w:r>
            <w:r w:rsidR="008A3C48">
              <w:rPr>
                <w:noProof/>
                <w:webHidden/>
              </w:rPr>
              <w:fldChar w:fldCharType="begin"/>
            </w:r>
            <w:r w:rsidR="008A3C48">
              <w:rPr>
                <w:noProof/>
                <w:webHidden/>
              </w:rPr>
              <w:instrText xml:space="preserve"> PAGEREF _Toc168652730 \h </w:instrText>
            </w:r>
            <w:r w:rsidR="008A3C48">
              <w:rPr>
                <w:noProof/>
                <w:webHidden/>
              </w:rPr>
            </w:r>
            <w:r w:rsidR="008A3C48">
              <w:rPr>
                <w:noProof/>
                <w:webHidden/>
              </w:rPr>
              <w:fldChar w:fldCharType="separate"/>
            </w:r>
            <w:r w:rsidR="008A3C48">
              <w:rPr>
                <w:noProof/>
                <w:webHidden/>
              </w:rPr>
              <w:t>17</w:t>
            </w:r>
            <w:r w:rsidR="008A3C48">
              <w:rPr>
                <w:noProof/>
                <w:webHidden/>
              </w:rPr>
              <w:fldChar w:fldCharType="end"/>
            </w:r>
          </w:hyperlink>
        </w:p>
        <w:p w14:paraId="3C2A23AC" w14:textId="66D67218" w:rsidR="008A3C48" w:rsidRDefault="00A4667B">
          <w:pPr>
            <w:pStyle w:val="TOC3"/>
            <w:tabs>
              <w:tab w:val="left" w:pos="880"/>
              <w:tab w:val="right" w:leader="dot" w:pos="9016"/>
            </w:tabs>
            <w:rPr>
              <w:rFonts w:eastAsiaTheme="minorEastAsia"/>
              <w:noProof/>
              <w:color w:val="auto"/>
              <w:sz w:val="22"/>
              <w:szCs w:val="22"/>
              <w:lang w:eastAsia="en-AU"/>
            </w:rPr>
          </w:pPr>
          <w:hyperlink w:anchor="_Toc168652731" w:history="1">
            <w:r w:rsidR="008A3C48" w:rsidRPr="00D96FB7">
              <w:rPr>
                <w:rStyle w:val="Hyperlink"/>
                <w:noProof/>
              </w:rPr>
              <w:t>1.7</w:t>
            </w:r>
            <w:r w:rsidR="008A3C48">
              <w:rPr>
                <w:rFonts w:eastAsiaTheme="minorEastAsia"/>
                <w:noProof/>
                <w:color w:val="auto"/>
                <w:sz w:val="22"/>
                <w:szCs w:val="22"/>
                <w:lang w:eastAsia="en-AU"/>
              </w:rPr>
              <w:tab/>
            </w:r>
            <w:r w:rsidR="008A3C48" w:rsidRPr="00D96FB7">
              <w:rPr>
                <w:rStyle w:val="Hyperlink"/>
                <w:noProof/>
              </w:rPr>
              <w:t>The Review of Pharmacy Remuneration and Regulation</w:t>
            </w:r>
            <w:r w:rsidR="008A3C48">
              <w:rPr>
                <w:noProof/>
                <w:webHidden/>
              </w:rPr>
              <w:tab/>
            </w:r>
            <w:r w:rsidR="008A3C48">
              <w:rPr>
                <w:noProof/>
                <w:webHidden/>
              </w:rPr>
              <w:fldChar w:fldCharType="begin"/>
            </w:r>
            <w:r w:rsidR="008A3C48">
              <w:rPr>
                <w:noProof/>
                <w:webHidden/>
              </w:rPr>
              <w:instrText xml:space="preserve"> PAGEREF _Toc168652731 \h </w:instrText>
            </w:r>
            <w:r w:rsidR="008A3C48">
              <w:rPr>
                <w:noProof/>
                <w:webHidden/>
              </w:rPr>
            </w:r>
            <w:r w:rsidR="008A3C48">
              <w:rPr>
                <w:noProof/>
                <w:webHidden/>
              </w:rPr>
              <w:fldChar w:fldCharType="separate"/>
            </w:r>
            <w:r w:rsidR="008A3C48">
              <w:rPr>
                <w:noProof/>
                <w:webHidden/>
              </w:rPr>
              <w:t>18</w:t>
            </w:r>
            <w:r w:rsidR="008A3C48">
              <w:rPr>
                <w:noProof/>
                <w:webHidden/>
              </w:rPr>
              <w:fldChar w:fldCharType="end"/>
            </w:r>
          </w:hyperlink>
        </w:p>
        <w:p w14:paraId="37A74D82" w14:textId="166F7696" w:rsidR="008A3C48" w:rsidRDefault="00A4667B">
          <w:pPr>
            <w:pStyle w:val="TOC1"/>
            <w:rPr>
              <w:rFonts w:eastAsiaTheme="minorEastAsia"/>
              <w:noProof/>
              <w:color w:val="auto"/>
              <w:sz w:val="22"/>
              <w:szCs w:val="22"/>
              <w:lang w:eastAsia="en-AU"/>
            </w:rPr>
          </w:pPr>
          <w:hyperlink w:anchor="_Toc168652732" w:history="1">
            <w:r w:rsidR="008A3C48" w:rsidRPr="00D96FB7">
              <w:rPr>
                <w:rStyle w:val="Hyperlink"/>
                <w:noProof/>
              </w:rPr>
              <w:t>Impact Analysis</w:t>
            </w:r>
            <w:r w:rsidR="008A3C48">
              <w:rPr>
                <w:noProof/>
                <w:webHidden/>
              </w:rPr>
              <w:tab/>
            </w:r>
            <w:r w:rsidR="008A3C48">
              <w:rPr>
                <w:noProof/>
                <w:webHidden/>
              </w:rPr>
              <w:fldChar w:fldCharType="begin"/>
            </w:r>
            <w:r w:rsidR="008A3C48">
              <w:rPr>
                <w:noProof/>
                <w:webHidden/>
              </w:rPr>
              <w:instrText xml:space="preserve"> PAGEREF _Toc168652732 \h </w:instrText>
            </w:r>
            <w:r w:rsidR="008A3C48">
              <w:rPr>
                <w:noProof/>
                <w:webHidden/>
              </w:rPr>
            </w:r>
            <w:r w:rsidR="008A3C48">
              <w:rPr>
                <w:noProof/>
                <w:webHidden/>
              </w:rPr>
              <w:fldChar w:fldCharType="separate"/>
            </w:r>
            <w:r w:rsidR="008A3C48">
              <w:rPr>
                <w:noProof/>
                <w:webHidden/>
              </w:rPr>
              <w:t>21</w:t>
            </w:r>
            <w:r w:rsidR="008A3C48">
              <w:rPr>
                <w:noProof/>
                <w:webHidden/>
              </w:rPr>
              <w:fldChar w:fldCharType="end"/>
            </w:r>
          </w:hyperlink>
        </w:p>
        <w:p w14:paraId="28554DC5" w14:textId="738E8C23" w:rsidR="008A3C48" w:rsidRDefault="00A4667B">
          <w:pPr>
            <w:pStyle w:val="TOC2"/>
            <w:tabs>
              <w:tab w:val="right" w:leader="dot" w:pos="9016"/>
            </w:tabs>
            <w:rPr>
              <w:rFonts w:eastAsiaTheme="minorEastAsia"/>
              <w:noProof/>
              <w:color w:val="auto"/>
              <w:sz w:val="22"/>
              <w:szCs w:val="22"/>
              <w:lang w:eastAsia="en-AU"/>
            </w:rPr>
          </w:pPr>
          <w:hyperlink w:anchor="_Toc168652733" w:history="1">
            <w:r w:rsidR="008A3C48" w:rsidRPr="00D96FB7">
              <w:rPr>
                <w:rStyle w:val="Hyperlink"/>
                <w:noProof/>
              </w:rPr>
              <w:t>1. What is the problem this proposal will solve?</w:t>
            </w:r>
            <w:r w:rsidR="008A3C48">
              <w:rPr>
                <w:noProof/>
                <w:webHidden/>
              </w:rPr>
              <w:tab/>
            </w:r>
            <w:r w:rsidR="008A3C48">
              <w:rPr>
                <w:noProof/>
                <w:webHidden/>
              </w:rPr>
              <w:fldChar w:fldCharType="begin"/>
            </w:r>
            <w:r w:rsidR="008A3C48">
              <w:rPr>
                <w:noProof/>
                <w:webHidden/>
              </w:rPr>
              <w:instrText xml:space="preserve"> PAGEREF _Toc168652733 \h </w:instrText>
            </w:r>
            <w:r w:rsidR="008A3C48">
              <w:rPr>
                <w:noProof/>
                <w:webHidden/>
              </w:rPr>
            </w:r>
            <w:r w:rsidR="008A3C48">
              <w:rPr>
                <w:noProof/>
                <w:webHidden/>
              </w:rPr>
              <w:fldChar w:fldCharType="separate"/>
            </w:r>
            <w:r w:rsidR="008A3C48">
              <w:rPr>
                <w:noProof/>
                <w:webHidden/>
              </w:rPr>
              <w:t>21</w:t>
            </w:r>
            <w:r w:rsidR="008A3C48">
              <w:rPr>
                <w:noProof/>
                <w:webHidden/>
              </w:rPr>
              <w:fldChar w:fldCharType="end"/>
            </w:r>
          </w:hyperlink>
        </w:p>
        <w:p w14:paraId="6B95345D" w14:textId="7870EFAD" w:rsidR="008A3C48" w:rsidRDefault="00A4667B">
          <w:pPr>
            <w:pStyle w:val="TOC3"/>
            <w:tabs>
              <w:tab w:val="right" w:leader="dot" w:pos="9016"/>
            </w:tabs>
            <w:rPr>
              <w:rFonts w:eastAsiaTheme="minorEastAsia"/>
              <w:noProof/>
              <w:color w:val="auto"/>
              <w:sz w:val="22"/>
              <w:szCs w:val="22"/>
              <w:lang w:eastAsia="en-AU"/>
            </w:rPr>
          </w:pPr>
          <w:hyperlink w:anchor="_Toc168652734" w:history="1">
            <w:r w:rsidR="008A3C48" w:rsidRPr="00D96FB7">
              <w:rPr>
                <w:rStyle w:val="Hyperlink"/>
                <w:noProof/>
              </w:rPr>
              <w:t>Commonwealth price</w:t>
            </w:r>
            <w:r w:rsidR="008A3C48">
              <w:rPr>
                <w:noProof/>
                <w:webHidden/>
              </w:rPr>
              <w:tab/>
            </w:r>
            <w:r w:rsidR="008A3C48">
              <w:rPr>
                <w:noProof/>
                <w:webHidden/>
              </w:rPr>
              <w:fldChar w:fldCharType="begin"/>
            </w:r>
            <w:r w:rsidR="008A3C48">
              <w:rPr>
                <w:noProof/>
                <w:webHidden/>
              </w:rPr>
              <w:instrText xml:space="preserve"> PAGEREF _Toc168652734 \h </w:instrText>
            </w:r>
            <w:r w:rsidR="008A3C48">
              <w:rPr>
                <w:noProof/>
                <w:webHidden/>
              </w:rPr>
            </w:r>
            <w:r w:rsidR="008A3C48">
              <w:rPr>
                <w:noProof/>
                <w:webHidden/>
              </w:rPr>
              <w:fldChar w:fldCharType="separate"/>
            </w:r>
            <w:r w:rsidR="008A3C48">
              <w:rPr>
                <w:noProof/>
                <w:webHidden/>
              </w:rPr>
              <w:t>21</w:t>
            </w:r>
            <w:r w:rsidR="008A3C48">
              <w:rPr>
                <w:noProof/>
                <w:webHidden/>
              </w:rPr>
              <w:fldChar w:fldCharType="end"/>
            </w:r>
          </w:hyperlink>
        </w:p>
        <w:p w14:paraId="5606BDA8" w14:textId="10065F09" w:rsidR="008A3C48" w:rsidRDefault="00A4667B">
          <w:pPr>
            <w:pStyle w:val="TOC3"/>
            <w:tabs>
              <w:tab w:val="right" w:leader="dot" w:pos="9016"/>
            </w:tabs>
            <w:rPr>
              <w:rFonts w:eastAsiaTheme="minorEastAsia"/>
              <w:noProof/>
              <w:color w:val="auto"/>
              <w:sz w:val="22"/>
              <w:szCs w:val="22"/>
              <w:lang w:eastAsia="en-AU"/>
            </w:rPr>
          </w:pPr>
          <w:hyperlink w:anchor="_Toc168652735" w:history="1">
            <w:r w:rsidR="008A3C48" w:rsidRPr="00D96FB7">
              <w:rPr>
                <w:rStyle w:val="Hyperlink"/>
                <w:noProof/>
              </w:rPr>
              <w:t>Maximising equitable and affordable access to medicines and pharmacy services</w:t>
            </w:r>
            <w:r w:rsidR="008A3C48">
              <w:rPr>
                <w:noProof/>
                <w:webHidden/>
              </w:rPr>
              <w:tab/>
            </w:r>
            <w:r w:rsidR="008A3C48">
              <w:rPr>
                <w:noProof/>
                <w:webHidden/>
              </w:rPr>
              <w:fldChar w:fldCharType="begin"/>
            </w:r>
            <w:r w:rsidR="008A3C48">
              <w:rPr>
                <w:noProof/>
                <w:webHidden/>
              </w:rPr>
              <w:instrText xml:space="preserve"> PAGEREF _Toc168652735 \h </w:instrText>
            </w:r>
            <w:r w:rsidR="008A3C48">
              <w:rPr>
                <w:noProof/>
                <w:webHidden/>
              </w:rPr>
            </w:r>
            <w:r w:rsidR="008A3C48">
              <w:rPr>
                <w:noProof/>
                <w:webHidden/>
              </w:rPr>
              <w:fldChar w:fldCharType="separate"/>
            </w:r>
            <w:r w:rsidR="008A3C48">
              <w:rPr>
                <w:noProof/>
                <w:webHidden/>
              </w:rPr>
              <w:t>23</w:t>
            </w:r>
            <w:r w:rsidR="008A3C48">
              <w:rPr>
                <w:noProof/>
                <w:webHidden/>
              </w:rPr>
              <w:fldChar w:fldCharType="end"/>
            </w:r>
          </w:hyperlink>
        </w:p>
        <w:p w14:paraId="5BA6C932" w14:textId="04BFCC6A" w:rsidR="008A3C48" w:rsidRDefault="00A4667B">
          <w:pPr>
            <w:pStyle w:val="TOC3"/>
            <w:tabs>
              <w:tab w:val="right" w:leader="dot" w:pos="9016"/>
            </w:tabs>
            <w:rPr>
              <w:rFonts w:eastAsiaTheme="minorEastAsia"/>
              <w:noProof/>
              <w:color w:val="auto"/>
              <w:sz w:val="22"/>
              <w:szCs w:val="22"/>
              <w:lang w:eastAsia="en-AU"/>
            </w:rPr>
          </w:pPr>
          <w:hyperlink w:anchor="_Toc168652736" w:history="1">
            <w:r w:rsidR="008A3C48" w:rsidRPr="00D96FB7">
              <w:rPr>
                <w:rStyle w:val="Hyperlink"/>
                <w:noProof/>
              </w:rPr>
              <w:t>Quality use of medicines and medicines safety</w:t>
            </w:r>
            <w:r w:rsidR="008A3C48">
              <w:rPr>
                <w:noProof/>
                <w:webHidden/>
              </w:rPr>
              <w:tab/>
            </w:r>
            <w:r w:rsidR="008A3C48">
              <w:rPr>
                <w:noProof/>
                <w:webHidden/>
              </w:rPr>
              <w:fldChar w:fldCharType="begin"/>
            </w:r>
            <w:r w:rsidR="008A3C48">
              <w:rPr>
                <w:noProof/>
                <w:webHidden/>
              </w:rPr>
              <w:instrText xml:space="preserve"> PAGEREF _Toc168652736 \h </w:instrText>
            </w:r>
            <w:r w:rsidR="008A3C48">
              <w:rPr>
                <w:noProof/>
                <w:webHidden/>
              </w:rPr>
            </w:r>
            <w:r w:rsidR="008A3C48">
              <w:rPr>
                <w:noProof/>
                <w:webHidden/>
              </w:rPr>
              <w:fldChar w:fldCharType="separate"/>
            </w:r>
            <w:r w:rsidR="008A3C48">
              <w:rPr>
                <w:noProof/>
                <w:webHidden/>
              </w:rPr>
              <w:t>34</w:t>
            </w:r>
            <w:r w:rsidR="008A3C48">
              <w:rPr>
                <w:noProof/>
                <w:webHidden/>
              </w:rPr>
              <w:fldChar w:fldCharType="end"/>
            </w:r>
          </w:hyperlink>
        </w:p>
        <w:p w14:paraId="288163F9" w14:textId="15E251F5" w:rsidR="008A3C48" w:rsidRDefault="00A4667B">
          <w:pPr>
            <w:pStyle w:val="TOC3"/>
            <w:tabs>
              <w:tab w:val="right" w:leader="dot" w:pos="9016"/>
            </w:tabs>
            <w:rPr>
              <w:rFonts w:eastAsiaTheme="minorEastAsia"/>
              <w:noProof/>
              <w:color w:val="auto"/>
              <w:sz w:val="22"/>
              <w:szCs w:val="22"/>
              <w:lang w:eastAsia="en-AU"/>
            </w:rPr>
          </w:pPr>
          <w:hyperlink w:anchor="_Toc168652737" w:history="1">
            <w:r w:rsidR="008A3C48" w:rsidRPr="00D96FB7">
              <w:rPr>
                <w:rStyle w:val="Hyperlink"/>
                <w:noProof/>
              </w:rPr>
              <w:t>Collaborative, innovative and sustainable pharmacy industry</w:t>
            </w:r>
            <w:r w:rsidR="008A3C48">
              <w:rPr>
                <w:noProof/>
                <w:webHidden/>
              </w:rPr>
              <w:tab/>
            </w:r>
            <w:r w:rsidR="008A3C48">
              <w:rPr>
                <w:noProof/>
                <w:webHidden/>
              </w:rPr>
              <w:fldChar w:fldCharType="begin"/>
            </w:r>
            <w:r w:rsidR="008A3C48">
              <w:rPr>
                <w:noProof/>
                <w:webHidden/>
              </w:rPr>
              <w:instrText xml:space="preserve"> PAGEREF _Toc168652737 \h </w:instrText>
            </w:r>
            <w:r w:rsidR="008A3C48">
              <w:rPr>
                <w:noProof/>
                <w:webHidden/>
              </w:rPr>
            </w:r>
            <w:r w:rsidR="008A3C48">
              <w:rPr>
                <w:noProof/>
                <w:webHidden/>
              </w:rPr>
              <w:fldChar w:fldCharType="separate"/>
            </w:r>
            <w:r w:rsidR="008A3C48">
              <w:rPr>
                <w:noProof/>
                <w:webHidden/>
              </w:rPr>
              <w:t>38</w:t>
            </w:r>
            <w:r w:rsidR="008A3C48">
              <w:rPr>
                <w:noProof/>
                <w:webHidden/>
              </w:rPr>
              <w:fldChar w:fldCharType="end"/>
            </w:r>
          </w:hyperlink>
        </w:p>
        <w:p w14:paraId="06E51503" w14:textId="4F464DEB" w:rsidR="008A3C48" w:rsidRDefault="00A4667B">
          <w:pPr>
            <w:pStyle w:val="TOC2"/>
            <w:tabs>
              <w:tab w:val="right" w:leader="dot" w:pos="9016"/>
            </w:tabs>
            <w:rPr>
              <w:rFonts w:eastAsiaTheme="minorEastAsia"/>
              <w:noProof/>
              <w:color w:val="auto"/>
              <w:sz w:val="22"/>
              <w:szCs w:val="22"/>
              <w:lang w:eastAsia="en-AU"/>
            </w:rPr>
          </w:pPr>
          <w:hyperlink w:anchor="_Toc168652738" w:history="1">
            <w:r w:rsidR="008A3C48" w:rsidRPr="00D96FB7">
              <w:rPr>
                <w:rStyle w:val="Hyperlink"/>
                <w:noProof/>
              </w:rPr>
              <w:t>2. Why is government action needed?</w:t>
            </w:r>
            <w:r w:rsidR="008A3C48">
              <w:rPr>
                <w:noProof/>
                <w:webHidden/>
              </w:rPr>
              <w:tab/>
            </w:r>
            <w:r w:rsidR="008A3C48">
              <w:rPr>
                <w:noProof/>
                <w:webHidden/>
              </w:rPr>
              <w:fldChar w:fldCharType="begin"/>
            </w:r>
            <w:r w:rsidR="008A3C48">
              <w:rPr>
                <w:noProof/>
                <w:webHidden/>
              </w:rPr>
              <w:instrText xml:space="preserve"> PAGEREF _Toc168652738 \h </w:instrText>
            </w:r>
            <w:r w:rsidR="008A3C48">
              <w:rPr>
                <w:noProof/>
                <w:webHidden/>
              </w:rPr>
            </w:r>
            <w:r w:rsidR="008A3C48">
              <w:rPr>
                <w:noProof/>
                <w:webHidden/>
              </w:rPr>
              <w:fldChar w:fldCharType="separate"/>
            </w:r>
            <w:r w:rsidR="008A3C48">
              <w:rPr>
                <w:noProof/>
                <w:webHidden/>
              </w:rPr>
              <w:t>40</w:t>
            </w:r>
            <w:r w:rsidR="008A3C48">
              <w:rPr>
                <w:noProof/>
                <w:webHidden/>
              </w:rPr>
              <w:fldChar w:fldCharType="end"/>
            </w:r>
          </w:hyperlink>
        </w:p>
        <w:p w14:paraId="1D63C77E" w14:textId="43503AE2" w:rsidR="008A3C48" w:rsidRDefault="00A4667B">
          <w:pPr>
            <w:pStyle w:val="TOC3"/>
            <w:tabs>
              <w:tab w:val="right" w:leader="dot" w:pos="9016"/>
            </w:tabs>
            <w:rPr>
              <w:rFonts w:eastAsiaTheme="minorEastAsia"/>
              <w:noProof/>
              <w:color w:val="auto"/>
              <w:sz w:val="22"/>
              <w:szCs w:val="22"/>
              <w:lang w:eastAsia="en-AU"/>
            </w:rPr>
          </w:pPr>
          <w:hyperlink w:anchor="_Toc168652739" w:history="1">
            <w:r w:rsidR="008A3C48" w:rsidRPr="00D96FB7">
              <w:rPr>
                <w:rStyle w:val="Hyperlink"/>
                <w:noProof/>
              </w:rPr>
              <w:t>Person-centred</w:t>
            </w:r>
            <w:r w:rsidR="008A3C48">
              <w:rPr>
                <w:noProof/>
                <w:webHidden/>
              </w:rPr>
              <w:tab/>
            </w:r>
            <w:r w:rsidR="008A3C48">
              <w:rPr>
                <w:noProof/>
                <w:webHidden/>
              </w:rPr>
              <w:fldChar w:fldCharType="begin"/>
            </w:r>
            <w:r w:rsidR="008A3C48">
              <w:rPr>
                <w:noProof/>
                <w:webHidden/>
              </w:rPr>
              <w:instrText xml:space="preserve"> PAGEREF _Toc168652739 \h </w:instrText>
            </w:r>
            <w:r w:rsidR="008A3C48">
              <w:rPr>
                <w:noProof/>
                <w:webHidden/>
              </w:rPr>
            </w:r>
            <w:r w:rsidR="008A3C48">
              <w:rPr>
                <w:noProof/>
                <w:webHidden/>
              </w:rPr>
              <w:fldChar w:fldCharType="separate"/>
            </w:r>
            <w:r w:rsidR="008A3C48">
              <w:rPr>
                <w:noProof/>
                <w:webHidden/>
              </w:rPr>
              <w:t>42</w:t>
            </w:r>
            <w:r w:rsidR="008A3C48">
              <w:rPr>
                <w:noProof/>
                <w:webHidden/>
              </w:rPr>
              <w:fldChar w:fldCharType="end"/>
            </w:r>
          </w:hyperlink>
        </w:p>
        <w:p w14:paraId="17E8F77B" w14:textId="7F2D78DB" w:rsidR="008A3C48" w:rsidRDefault="00A4667B">
          <w:pPr>
            <w:pStyle w:val="TOC3"/>
            <w:tabs>
              <w:tab w:val="right" w:leader="dot" w:pos="9016"/>
            </w:tabs>
            <w:rPr>
              <w:rFonts w:eastAsiaTheme="minorEastAsia"/>
              <w:noProof/>
              <w:color w:val="auto"/>
              <w:sz w:val="22"/>
              <w:szCs w:val="22"/>
              <w:lang w:eastAsia="en-AU"/>
            </w:rPr>
          </w:pPr>
          <w:hyperlink w:anchor="_Toc168652740" w:history="1">
            <w:r w:rsidR="008A3C48" w:rsidRPr="00D96FB7">
              <w:rPr>
                <w:rStyle w:val="Hyperlink"/>
                <w:noProof/>
              </w:rPr>
              <w:t>Equity, sustainability and access for consumers</w:t>
            </w:r>
            <w:r w:rsidR="008A3C48">
              <w:rPr>
                <w:noProof/>
                <w:webHidden/>
              </w:rPr>
              <w:tab/>
            </w:r>
            <w:r w:rsidR="008A3C48">
              <w:rPr>
                <w:noProof/>
                <w:webHidden/>
              </w:rPr>
              <w:fldChar w:fldCharType="begin"/>
            </w:r>
            <w:r w:rsidR="008A3C48">
              <w:rPr>
                <w:noProof/>
                <w:webHidden/>
              </w:rPr>
              <w:instrText xml:space="preserve"> PAGEREF _Toc168652740 \h </w:instrText>
            </w:r>
            <w:r w:rsidR="008A3C48">
              <w:rPr>
                <w:noProof/>
                <w:webHidden/>
              </w:rPr>
            </w:r>
            <w:r w:rsidR="008A3C48">
              <w:rPr>
                <w:noProof/>
                <w:webHidden/>
              </w:rPr>
              <w:fldChar w:fldCharType="separate"/>
            </w:r>
            <w:r w:rsidR="008A3C48">
              <w:rPr>
                <w:noProof/>
                <w:webHidden/>
              </w:rPr>
              <w:t>43</w:t>
            </w:r>
            <w:r w:rsidR="008A3C48">
              <w:rPr>
                <w:noProof/>
                <w:webHidden/>
              </w:rPr>
              <w:fldChar w:fldCharType="end"/>
            </w:r>
          </w:hyperlink>
        </w:p>
        <w:p w14:paraId="5F6AE0D4" w14:textId="6E0A4FC1" w:rsidR="008A3C48" w:rsidRDefault="00A4667B">
          <w:pPr>
            <w:pStyle w:val="TOC3"/>
            <w:tabs>
              <w:tab w:val="right" w:leader="dot" w:pos="9016"/>
            </w:tabs>
            <w:rPr>
              <w:rFonts w:eastAsiaTheme="minorEastAsia"/>
              <w:noProof/>
              <w:color w:val="auto"/>
              <w:sz w:val="22"/>
              <w:szCs w:val="22"/>
              <w:lang w:eastAsia="en-AU"/>
            </w:rPr>
          </w:pPr>
          <w:hyperlink w:anchor="_Toc168652741" w:history="1">
            <w:r w:rsidR="008A3C48" w:rsidRPr="00D96FB7">
              <w:rPr>
                <w:rStyle w:val="Hyperlink"/>
                <w:noProof/>
              </w:rPr>
              <w:t>Equity, sustainability and access for businesses</w:t>
            </w:r>
            <w:r w:rsidR="008A3C48">
              <w:rPr>
                <w:noProof/>
                <w:webHidden/>
              </w:rPr>
              <w:tab/>
            </w:r>
            <w:r w:rsidR="008A3C48">
              <w:rPr>
                <w:noProof/>
                <w:webHidden/>
              </w:rPr>
              <w:fldChar w:fldCharType="begin"/>
            </w:r>
            <w:r w:rsidR="008A3C48">
              <w:rPr>
                <w:noProof/>
                <w:webHidden/>
              </w:rPr>
              <w:instrText xml:space="preserve"> PAGEREF _Toc168652741 \h </w:instrText>
            </w:r>
            <w:r w:rsidR="008A3C48">
              <w:rPr>
                <w:noProof/>
                <w:webHidden/>
              </w:rPr>
            </w:r>
            <w:r w:rsidR="008A3C48">
              <w:rPr>
                <w:noProof/>
                <w:webHidden/>
              </w:rPr>
              <w:fldChar w:fldCharType="separate"/>
            </w:r>
            <w:r w:rsidR="008A3C48">
              <w:rPr>
                <w:noProof/>
                <w:webHidden/>
              </w:rPr>
              <w:t>43</w:t>
            </w:r>
            <w:r w:rsidR="008A3C48">
              <w:rPr>
                <w:noProof/>
                <w:webHidden/>
              </w:rPr>
              <w:fldChar w:fldCharType="end"/>
            </w:r>
          </w:hyperlink>
        </w:p>
        <w:p w14:paraId="2240193B" w14:textId="6572C7BD" w:rsidR="008A3C48" w:rsidRDefault="00A4667B">
          <w:pPr>
            <w:pStyle w:val="TOC3"/>
            <w:tabs>
              <w:tab w:val="right" w:leader="dot" w:pos="9016"/>
            </w:tabs>
            <w:rPr>
              <w:rFonts w:eastAsiaTheme="minorEastAsia"/>
              <w:noProof/>
              <w:color w:val="auto"/>
              <w:sz w:val="22"/>
              <w:szCs w:val="22"/>
              <w:lang w:eastAsia="en-AU"/>
            </w:rPr>
          </w:pPr>
          <w:hyperlink w:anchor="_Toc168652742" w:history="1">
            <w:r w:rsidR="008A3C48" w:rsidRPr="00D96FB7">
              <w:rPr>
                <w:rStyle w:val="Hyperlink"/>
                <w:noProof/>
              </w:rPr>
              <w:t>Accountability and Transparency</w:t>
            </w:r>
            <w:r w:rsidR="008A3C48">
              <w:rPr>
                <w:noProof/>
                <w:webHidden/>
              </w:rPr>
              <w:tab/>
            </w:r>
            <w:r w:rsidR="008A3C48">
              <w:rPr>
                <w:noProof/>
                <w:webHidden/>
              </w:rPr>
              <w:fldChar w:fldCharType="begin"/>
            </w:r>
            <w:r w:rsidR="008A3C48">
              <w:rPr>
                <w:noProof/>
                <w:webHidden/>
              </w:rPr>
              <w:instrText xml:space="preserve"> PAGEREF _Toc168652742 \h </w:instrText>
            </w:r>
            <w:r w:rsidR="008A3C48">
              <w:rPr>
                <w:noProof/>
                <w:webHidden/>
              </w:rPr>
            </w:r>
            <w:r w:rsidR="008A3C48">
              <w:rPr>
                <w:noProof/>
                <w:webHidden/>
              </w:rPr>
              <w:fldChar w:fldCharType="separate"/>
            </w:r>
            <w:r w:rsidR="008A3C48">
              <w:rPr>
                <w:noProof/>
                <w:webHidden/>
              </w:rPr>
              <w:t>45</w:t>
            </w:r>
            <w:r w:rsidR="008A3C48">
              <w:rPr>
                <w:noProof/>
                <w:webHidden/>
              </w:rPr>
              <w:fldChar w:fldCharType="end"/>
            </w:r>
          </w:hyperlink>
        </w:p>
        <w:p w14:paraId="1014BBB6" w14:textId="07BD5073" w:rsidR="008A3C48" w:rsidRDefault="00A4667B">
          <w:pPr>
            <w:pStyle w:val="TOC3"/>
            <w:tabs>
              <w:tab w:val="right" w:leader="dot" w:pos="9016"/>
            </w:tabs>
            <w:rPr>
              <w:rFonts w:eastAsiaTheme="minorEastAsia"/>
              <w:noProof/>
              <w:color w:val="auto"/>
              <w:sz w:val="22"/>
              <w:szCs w:val="22"/>
              <w:lang w:eastAsia="en-AU"/>
            </w:rPr>
          </w:pPr>
          <w:hyperlink w:anchor="_Toc168652743" w:history="1">
            <w:r w:rsidR="008A3C48" w:rsidRPr="00D96FB7">
              <w:rPr>
                <w:rStyle w:val="Hyperlink"/>
                <w:noProof/>
              </w:rPr>
              <w:t>Innovation and Continuous Improvement</w:t>
            </w:r>
            <w:r w:rsidR="008A3C48">
              <w:rPr>
                <w:noProof/>
                <w:webHidden/>
              </w:rPr>
              <w:tab/>
            </w:r>
            <w:r w:rsidR="008A3C48">
              <w:rPr>
                <w:noProof/>
                <w:webHidden/>
              </w:rPr>
              <w:fldChar w:fldCharType="begin"/>
            </w:r>
            <w:r w:rsidR="008A3C48">
              <w:rPr>
                <w:noProof/>
                <w:webHidden/>
              </w:rPr>
              <w:instrText xml:space="preserve"> PAGEREF _Toc168652743 \h </w:instrText>
            </w:r>
            <w:r w:rsidR="008A3C48">
              <w:rPr>
                <w:noProof/>
                <w:webHidden/>
              </w:rPr>
            </w:r>
            <w:r w:rsidR="008A3C48">
              <w:rPr>
                <w:noProof/>
                <w:webHidden/>
              </w:rPr>
              <w:fldChar w:fldCharType="separate"/>
            </w:r>
            <w:r w:rsidR="008A3C48">
              <w:rPr>
                <w:noProof/>
                <w:webHidden/>
              </w:rPr>
              <w:t>45</w:t>
            </w:r>
            <w:r w:rsidR="008A3C48">
              <w:rPr>
                <w:noProof/>
                <w:webHidden/>
              </w:rPr>
              <w:fldChar w:fldCharType="end"/>
            </w:r>
          </w:hyperlink>
        </w:p>
        <w:p w14:paraId="0671EF57" w14:textId="0A402BCD" w:rsidR="008A3C48" w:rsidRDefault="00A4667B">
          <w:pPr>
            <w:pStyle w:val="TOC3"/>
            <w:tabs>
              <w:tab w:val="right" w:leader="dot" w:pos="9016"/>
            </w:tabs>
            <w:rPr>
              <w:rFonts w:eastAsiaTheme="minorEastAsia"/>
              <w:noProof/>
              <w:color w:val="auto"/>
              <w:sz w:val="22"/>
              <w:szCs w:val="22"/>
              <w:lang w:eastAsia="en-AU"/>
            </w:rPr>
          </w:pPr>
          <w:hyperlink w:anchor="_Toc168652744" w:history="1">
            <w:r w:rsidR="008A3C48" w:rsidRPr="00D96FB7">
              <w:rPr>
                <w:rStyle w:val="Hyperlink"/>
                <w:noProof/>
              </w:rPr>
              <w:t>Potential Barriers to the Government Meeting its Objectives</w:t>
            </w:r>
            <w:r w:rsidR="008A3C48">
              <w:rPr>
                <w:noProof/>
                <w:webHidden/>
              </w:rPr>
              <w:tab/>
            </w:r>
            <w:r w:rsidR="008A3C48">
              <w:rPr>
                <w:noProof/>
                <w:webHidden/>
              </w:rPr>
              <w:fldChar w:fldCharType="begin"/>
            </w:r>
            <w:r w:rsidR="008A3C48">
              <w:rPr>
                <w:noProof/>
                <w:webHidden/>
              </w:rPr>
              <w:instrText xml:space="preserve"> PAGEREF _Toc168652744 \h </w:instrText>
            </w:r>
            <w:r w:rsidR="008A3C48">
              <w:rPr>
                <w:noProof/>
                <w:webHidden/>
              </w:rPr>
            </w:r>
            <w:r w:rsidR="008A3C48">
              <w:rPr>
                <w:noProof/>
                <w:webHidden/>
              </w:rPr>
              <w:fldChar w:fldCharType="separate"/>
            </w:r>
            <w:r w:rsidR="008A3C48">
              <w:rPr>
                <w:noProof/>
                <w:webHidden/>
              </w:rPr>
              <w:t>45</w:t>
            </w:r>
            <w:r w:rsidR="008A3C48">
              <w:rPr>
                <w:noProof/>
                <w:webHidden/>
              </w:rPr>
              <w:fldChar w:fldCharType="end"/>
            </w:r>
          </w:hyperlink>
        </w:p>
        <w:p w14:paraId="5BF79540" w14:textId="78277607" w:rsidR="008A3C48" w:rsidRDefault="00A4667B">
          <w:pPr>
            <w:pStyle w:val="TOC2"/>
            <w:tabs>
              <w:tab w:val="right" w:leader="dot" w:pos="9016"/>
            </w:tabs>
            <w:rPr>
              <w:rFonts w:eastAsiaTheme="minorEastAsia"/>
              <w:noProof/>
              <w:color w:val="auto"/>
              <w:sz w:val="22"/>
              <w:szCs w:val="22"/>
              <w:lang w:eastAsia="en-AU"/>
            </w:rPr>
          </w:pPr>
          <w:hyperlink w:anchor="_Toc168652745" w:history="1">
            <w:r w:rsidR="008A3C48" w:rsidRPr="00D96FB7">
              <w:rPr>
                <w:rStyle w:val="Hyperlink"/>
                <w:noProof/>
              </w:rPr>
              <w:t>3. What policy options are you considering?</w:t>
            </w:r>
            <w:r w:rsidR="008A3C48">
              <w:rPr>
                <w:noProof/>
                <w:webHidden/>
              </w:rPr>
              <w:tab/>
            </w:r>
            <w:r w:rsidR="008A3C48">
              <w:rPr>
                <w:noProof/>
                <w:webHidden/>
              </w:rPr>
              <w:fldChar w:fldCharType="begin"/>
            </w:r>
            <w:r w:rsidR="008A3C48">
              <w:rPr>
                <w:noProof/>
                <w:webHidden/>
              </w:rPr>
              <w:instrText xml:space="preserve"> PAGEREF _Toc168652745 \h </w:instrText>
            </w:r>
            <w:r w:rsidR="008A3C48">
              <w:rPr>
                <w:noProof/>
                <w:webHidden/>
              </w:rPr>
            </w:r>
            <w:r w:rsidR="008A3C48">
              <w:rPr>
                <w:noProof/>
                <w:webHidden/>
              </w:rPr>
              <w:fldChar w:fldCharType="separate"/>
            </w:r>
            <w:r w:rsidR="008A3C48">
              <w:rPr>
                <w:noProof/>
                <w:webHidden/>
              </w:rPr>
              <w:t>47</w:t>
            </w:r>
            <w:r w:rsidR="008A3C48">
              <w:rPr>
                <w:noProof/>
                <w:webHidden/>
              </w:rPr>
              <w:fldChar w:fldCharType="end"/>
            </w:r>
          </w:hyperlink>
        </w:p>
        <w:p w14:paraId="44259E61" w14:textId="0241E404" w:rsidR="008A3C48" w:rsidRDefault="00A4667B">
          <w:pPr>
            <w:pStyle w:val="TOC3"/>
            <w:tabs>
              <w:tab w:val="left" w:pos="1540"/>
              <w:tab w:val="right" w:leader="dot" w:pos="9016"/>
            </w:tabs>
            <w:rPr>
              <w:rFonts w:eastAsiaTheme="minorEastAsia"/>
              <w:noProof/>
              <w:color w:val="auto"/>
              <w:sz w:val="22"/>
              <w:szCs w:val="22"/>
              <w:lang w:eastAsia="en-AU"/>
            </w:rPr>
          </w:pPr>
          <w:hyperlink w:anchor="_Toc168652746" w:history="1">
            <w:r w:rsidR="008A3C48" w:rsidRPr="00D96FB7">
              <w:rPr>
                <w:rStyle w:val="Hyperlink"/>
                <w:noProof/>
              </w:rPr>
              <w:t>Option 1:</w:t>
            </w:r>
            <w:r w:rsidR="008A3C48">
              <w:rPr>
                <w:rFonts w:eastAsiaTheme="minorEastAsia"/>
                <w:noProof/>
                <w:color w:val="auto"/>
                <w:sz w:val="22"/>
                <w:szCs w:val="22"/>
                <w:lang w:eastAsia="en-AU"/>
              </w:rPr>
              <w:tab/>
            </w:r>
            <w:r w:rsidR="008A3C48" w:rsidRPr="00D96FB7">
              <w:rPr>
                <w:rStyle w:val="Hyperlink"/>
                <w:noProof/>
              </w:rPr>
              <w:t>Continuation of the 7CPA until 30 June 2025 and no new Community Pharmacy Agreement following its expiry (Status Quo)</w:t>
            </w:r>
            <w:r w:rsidR="008A3C48">
              <w:rPr>
                <w:noProof/>
                <w:webHidden/>
              </w:rPr>
              <w:tab/>
            </w:r>
            <w:r w:rsidR="008A3C48">
              <w:rPr>
                <w:noProof/>
                <w:webHidden/>
              </w:rPr>
              <w:fldChar w:fldCharType="begin"/>
            </w:r>
            <w:r w:rsidR="008A3C48">
              <w:rPr>
                <w:noProof/>
                <w:webHidden/>
              </w:rPr>
              <w:instrText xml:space="preserve"> PAGEREF _Toc168652746 \h </w:instrText>
            </w:r>
            <w:r w:rsidR="008A3C48">
              <w:rPr>
                <w:noProof/>
                <w:webHidden/>
              </w:rPr>
            </w:r>
            <w:r w:rsidR="008A3C48">
              <w:rPr>
                <w:noProof/>
                <w:webHidden/>
              </w:rPr>
              <w:fldChar w:fldCharType="separate"/>
            </w:r>
            <w:r w:rsidR="008A3C48">
              <w:rPr>
                <w:noProof/>
                <w:webHidden/>
              </w:rPr>
              <w:t>47</w:t>
            </w:r>
            <w:r w:rsidR="008A3C48">
              <w:rPr>
                <w:noProof/>
                <w:webHidden/>
              </w:rPr>
              <w:fldChar w:fldCharType="end"/>
            </w:r>
          </w:hyperlink>
        </w:p>
        <w:p w14:paraId="7239B8D1" w14:textId="2BADE4D7" w:rsidR="008A3C48" w:rsidRDefault="00A4667B">
          <w:pPr>
            <w:pStyle w:val="TOC3"/>
            <w:tabs>
              <w:tab w:val="left" w:pos="1540"/>
              <w:tab w:val="right" w:leader="dot" w:pos="9016"/>
            </w:tabs>
            <w:rPr>
              <w:rFonts w:eastAsiaTheme="minorEastAsia"/>
              <w:noProof/>
              <w:color w:val="auto"/>
              <w:sz w:val="22"/>
              <w:szCs w:val="22"/>
              <w:lang w:eastAsia="en-AU"/>
            </w:rPr>
          </w:pPr>
          <w:hyperlink w:anchor="_Toc168652747" w:history="1">
            <w:r w:rsidR="008A3C48" w:rsidRPr="00D96FB7">
              <w:rPr>
                <w:rStyle w:val="Hyperlink"/>
                <w:noProof/>
              </w:rPr>
              <w:t xml:space="preserve">Option 2: </w:t>
            </w:r>
            <w:r w:rsidR="008A3C48">
              <w:rPr>
                <w:rFonts w:eastAsiaTheme="minorEastAsia"/>
                <w:noProof/>
                <w:color w:val="auto"/>
                <w:sz w:val="22"/>
                <w:szCs w:val="22"/>
                <w:lang w:eastAsia="en-AU"/>
              </w:rPr>
              <w:tab/>
            </w:r>
            <w:r w:rsidR="008A3C48" w:rsidRPr="00D96FB7">
              <w:rPr>
                <w:rStyle w:val="Hyperlink"/>
                <w:noProof/>
              </w:rPr>
              <w:t>Establish an 8CPA that includes all existing pharmacy programs</w:t>
            </w:r>
            <w:r w:rsidR="008A3C48">
              <w:rPr>
                <w:noProof/>
                <w:webHidden/>
              </w:rPr>
              <w:tab/>
            </w:r>
            <w:r w:rsidR="008A3C48">
              <w:rPr>
                <w:noProof/>
                <w:webHidden/>
              </w:rPr>
              <w:fldChar w:fldCharType="begin"/>
            </w:r>
            <w:r w:rsidR="008A3C48">
              <w:rPr>
                <w:noProof/>
                <w:webHidden/>
              </w:rPr>
              <w:instrText xml:space="preserve"> PAGEREF _Toc168652747 \h </w:instrText>
            </w:r>
            <w:r w:rsidR="008A3C48">
              <w:rPr>
                <w:noProof/>
                <w:webHidden/>
              </w:rPr>
            </w:r>
            <w:r w:rsidR="008A3C48">
              <w:rPr>
                <w:noProof/>
                <w:webHidden/>
              </w:rPr>
              <w:fldChar w:fldCharType="separate"/>
            </w:r>
            <w:r w:rsidR="008A3C48">
              <w:rPr>
                <w:noProof/>
                <w:webHidden/>
              </w:rPr>
              <w:t>50</w:t>
            </w:r>
            <w:r w:rsidR="008A3C48">
              <w:rPr>
                <w:noProof/>
                <w:webHidden/>
              </w:rPr>
              <w:fldChar w:fldCharType="end"/>
            </w:r>
          </w:hyperlink>
        </w:p>
        <w:p w14:paraId="2B741201" w14:textId="0F63CFBA" w:rsidR="008A3C48" w:rsidRDefault="00A4667B">
          <w:pPr>
            <w:pStyle w:val="TOC3"/>
            <w:tabs>
              <w:tab w:val="left" w:pos="1540"/>
              <w:tab w:val="right" w:leader="dot" w:pos="9016"/>
            </w:tabs>
            <w:rPr>
              <w:rFonts w:eastAsiaTheme="minorEastAsia"/>
              <w:noProof/>
              <w:color w:val="auto"/>
              <w:sz w:val="22"/>
              <w:szCs w:val="22"/>
              <w:lang w:eastAsia="en-AU"/>
            </w:rPr>
          </w:pPr>
          <w:hyperlink w:anchor="_Toc168652748" w:history="1">
            <w:r w:rsidR="008A3C48" w:rsidRPr="00D96FB7">
              <w:rPr>
                <w:rStyle w:val="Hyperlink"/>
                <w:noProof/>
              </w:rPr>
              <w:t xml:space="preserve">Option 3: </w:t>
            </w:r>
            <w:r w:rsidR="008A3C48">
              <w:rPr>
                <w:rFonts w:eastAsiaTheme="minorEastAsia"/>
                <w:noProof/>
                <w:color w:val="auto"/>
                <w:sz w:val="22"/>
                <w:szCs w:val="22"/>
                <w:lang w:eastAsia="en-AU"/>
              </w:rPr>
              <w:tab/>
            </w:r>
            <w:r w:rsidR="008A3C48" w:rsidRPr="00D96FB7">
              <w:rPr>
                <w:rStyle w:val="Hyperlink"/>
                <w:noProof/>
              </w:rPr>
              <w:t>Establish an 8CPA for dispensing remuneration and only pharmacy programs delivered directly through community pharmacies</w:t>
            </w:r>
            <w:r w:rsidR="008A3C48">
              <w:rPr>
                <w:noProof/>
                <w:webHidden/>
              </w:rPr>
              <w:tab/>
            </w:r>
            <w:r w:rsidR="008A3C48">
              <w:rPr>
                <w:noProof/>
                <w:webHidden/>
              </w:rPr>
              <w:fldChar w:fldCharType="begin"/>
            </w:r>
            <w:r w:rsidR="008A3C48">
              <w:rPr>
                <w:noProof/>
                <w:webHidden/>
              </w:rPr>
              <w:instrText xml:space="preserve"> PAGEREF _Toc168652748 \h </w:instrText>
            </w:r>
            <w:r w:rsidR="008A3C48">
              <w:rPr>
                <w:noProof/>
                <w:webHidden/>
              </w:rPr>
            </w:r>
            <w:r w:rsidR="008A3C48">
              <w:rPr>
                <w:noProof/>
                <w:webHidden/>
              </w:rPr>
              <w:fldChar w:fldCharType="separate"/>
            </w:r>
            <w:r w:rsidR="008A3C48">
              <w:rPr>
                <w:noProof/>
                <w:webHidden/>
              </w:rPr>
              <w:t>52</w:t>
            </w:r>
            <w:r w:rsidR="008A3C48">
              <w:rPr>
                <w:noProof/>
                <w:webHidden/>
              </w:rPr>
              <w:fldChar w:fldCharType="end"/>
            </w:r>
          </w:hyperlink>
        </w:p>
        <w:p w14:paraId="1EE36F61" w14:textId="77002722" w:rsidR="008A3C48" w:rsidRDefault="00A4667B">
          <w:pPr>
            <w:pStyle w:val="TOC2"/>
            <w:tabs>
              <w:tab w:val="right" w:leader="dot" w:pos="9016"/>
            </w:tabs>
            <w:rPr>
              <w:rFonts w:eastAsiaTheme="minorEastAsia"/>
              <w:noProof/>
              <w:color w:val="auto"/>
              <w:sz w:val="22"/>
              <w:szCs w:val="22"/>
              <w:lang w:eastAsia="en-AU"/>
            </w:rPr>
          </w:pPr>
          <w:hyperlink w:anchor="_Toc168652749" w:history="1">
            <w:r w:rsidR="008A3C48" w:rsidRPr="00D96FB7">
              <w:rPr>
                <w:rStyle w:val="Hyperlink"/>
                <w:noProof/>
              </w:rPr>
              <w:t>4. What is the likely net benefit of each option?</w:t>
            </w:r>
            <w:r w:rsidR="008A3C48">
              <w:rPr>
                <w:noProof/>
                <w:webHidden/>
              </w:rPr>
              <w:tab/>
            </w:r>
            <w:r w:rsidR="008A3C48">
              <w:rPr>
                <w:noProof/>
                <w:webHidden/>
              </w:rPr>
              <w:fldChar w:fldCharType="begin"/>
            </w:r>
            <w:r w:rsidR="008A3C48">
              <w:rPr>
                <w:noProof/>
                <w:webHidden/>
              </w:rPr>
              <w:instrText xml:space="preserve"> PAGEREF _Toc168652749 \h </w:instrText>
            </w:r>
            <w:r w:rsidR="008A3C48">
              <w:rPr>
                <w:noProof/>
                <w:webHidden/>
              </w:rPr>
            </w:r>
            <w:r w:rsidR="008A3C48">
              <w:rPr>
                <w:noProof/>
                <w:webHidden/>
              </w:rPr>
              <w:fldChar w:fldCharType="separate"/>
            </w:r>
            <w:r w:rsidR="008A3C48">
              <w:rPr>
                <w:noProof/>
                <w:webHidden/>
              </w:rPr>
              <w:t>55</w:t>
            </w:r>
            <w:r w:rsidR="008A3C48">
              <w:rPr>
                <w:noProof/>
                <w:webHidden/>
              </w:rPr>
              <w:fldChar w:fldCharType="end"/>
            </w:r>
          </w:hyperlink>
        </w:p>
        <w:p w14:paraId="1634ACDD" w14:textId="2845CF7B" w:rsidR="008A3C48" w:rsidRDefault="00A4667B">
          <w:pPr>
            <w:pStyle w:val="TOC2"/>
            <w:tabs>
              <w:tab w:val="right" w:leader="dot" w:pos="9016"/>
            </w:tabs>
            <w:rPr>
              <w:rFonts w:eastAsiaTheme="minorEastAsia"/>
              <w:noProof/>
              <w:color w:val="auto"/>
              <w:sz w:val="22"/>
              <w:szCs w:val="22"/>
              <w:lang w:eastAsia="en-AU"/>
            </w:rPr>
          </w:pPr>
          <w:hyperlink w:anchor="_Toc168652750" w:history="1">
            <w:r w:rsidR="008A3C48" w:rsidRPr="00D96FB7">
              <w:rPr>
                <w:rStyle w:val="Hyperlink"/>
                <w:noProof/>
              </w:rPr>
              <w:t>5. Who will you consult about these options and how will you consult them?</w:t>
            </w:r>
            <w:r w:rsidR="008A3C48">
              <w:rPr>
                <w:noProof/>
                <w:webHidden/>
              </w:rPr>
              <w:tab/>
            </w:r>
            <w:r w:rsidR="008A3C48">
              <w:rPr>
                <w:noProof/>
                <w:webHidden/>
              </w:rPr>
              <w:fldChar w:fldCharType="begin"/>
            </w:r>
            <w:r w:rsidR="008A3C48">
              <w:rPr>
                <w:noProof/>
                <w:webHidden/>
              </w:rPr>
              <w:instrText xml:space="preserve"> PAGEREF _Toc168652750 \h </w:instrText>
            </w:r>
            <w:r w:rsidR="008A3C48">
              <w:rPr>
                <w:noProof/>
                <w:webHidden/>
              </w:rPr>
            </w:r>
            <w:r w:rsidR="008A3C48">
              <w:rPr>
                <w:noProof/>
                <w:webHidden/>
              </w:rPr>
              <w:fldChar w:fldCharType="separate"/>
            </w:r>
            <w:r w:rsidR="008A3C48">
              <w:rPr>
                <w:noProof/>
                <w:webHidden/>
              </w:rPr>
              <w:t>66</w:t>
            </w:r>
            <w:r w:rsidR="008A3C48">
              <w:rPr>
                <w:noProof/>
                <w:webHidden/>
              </w:rPr>
              <w:fldChar w:fldCharType="end"/>
            </w:r>
          </w:hyperlink>
        </w:p>
        <w:p w14:paraId="7DD85ED7" w14:textId="09AD3404" w:rsidR="008A3C48" w:rsidRDefault="00A4667B">
          <w:pPr>
            <w:pStyle w:val="TOC3"/>
            <w:tabs>
              <w:tab w:val="right" w:leader="dot" w:pos="9016"/>
            </w:tabs>
            <w:rPr>
              <w:rFonts w:eastAsiaTheme="minorEastAsia"/>
              <w:noProof/>
              <w:color w:val="auto"/>
              <w:sz w:val="22"/>
              <w:szCs w:val="22"/>
              <w:lang w:eastAsia="en-AU"/>
            </w:rPr>
          </w:pPr>
          <w:hyperlink w:anchor="_Toc168652751" w:history="1">
            <w:r w:rsidR="008A3C48" w:rsidRPr="00D96FB7">
              <w:rPr>
                <w:rStyle w:val="Hyperlink"/>
                <w:noProof/>
              </w:rPr>
              <w:t>Summary of feedback from consultations</w:t>
            </w:r>
            <w:r w:rsidR="008A3C48">
              <w:rPr>
                <w:noProof/>
                <w:webHidden/>
              </w:rPr>
              <w:tab/>
            </w:r>
            <w:r w:rsidR="008A3C48">
              <w:rPr>
                <w:noProof/>
                <w:webHidden/>
              </w:rPr>
              <w:fldChar w:fldCharType="begin"/>
            </w:r>
            <w:r w:rsidR="008A3C48">
              <w:rPr>
                <w:noProof/>
                <w:webHidden/>
              </w:rPr>
              <w:instrText xml:space="preserve"> PAGEREF _Toc168652751 \h </w:instrText>
            </w:r>
            <w:r w:rsidR="008A3C48">
              <w:rPr>
                <w:noProof/>
                <w:webHidden/>
              </w:rPr>
            </w:r>
            <w:r w:rsidR="008A3C48">
              <w:rPr>
                <w:noProof/>
                <w:webHidden/>
              </w:rPr>
              <w:fldChar w:fldCharType="separate"/>
            </w:r>
            <w:r w:rsidR="008A3C48">
              <w:rPr>
                <w:noProof/>
                <w:webHidden/>
              </w:rPr>
              <w:t>68</w:t>
            </w:r>
            <w:r w:rsidR="008A3C48">
              <w:rPr>
                <w:noProof/>
                <w:webHidden/>
              </w:rPr>
              <w:fldChar w:fldCharType="end"/>
            </w:r>
          </w:hyperlink>
        </w:p>
        <w:p w14:paraId="70BB6606" w14:textId="47A65802" w:rsidR="008A3C48" w:rsidRDefault="00A4667B">
          <w:pPr>
            <w:pStyle w:val="TOC3"/>
            <w:tabs>
              <w:tab w:val="right" w:leader="dot" w:pos="9016"/>
            </w:tabs>
            <w:rPr>
              <w:rFonts w:eastAsiaTheme="minorEastAsia"/>
              <w:noProof/>
              <w:color w:val="auto"/>
              <w:sz w:val="22"/>
              <w:szCs w:val="22"/>
              <w:lang w:eastAsia="en-AU"/>
            </w:rPr>
          </w:pPr>
          <w:hyperlink w:anchor="_Toc168652752" w:history="1">
            <w:r w:rsidR="008A3C48" w:rsidRPr="00D96FB7">
              <w:rPr>
                <w:rStyle w:val="Hyperlink"/>
                <w:noProof/>
              </w:rPr>
              <w:t>Ongoing consultations</w:t>
            </w:r>
            <w:r w:rsidR="008A3C48">
              <w:rPr>
                <w:noProof/>
                <w:webHidden/>
              </w:rPr>
              <w:tab/>
            </w:r>
            <w:r w:rsidR="008A3C48">
              <w:rPr>
                <w:noProof/>
                <w:webHidden/>
              </w:rPr>
              <w:fldChar w:fldCharType="begin"/>
            </w:r>
            <w:r w:rsidR="008A3C48">
              <w:rPr>
                <w:noProof/>
                <w:webHidden/>
              </w:rPr>
              <w:instrText xml:space="preserve"> PAGEREF _Toc168652752 \h </w:instrText>
            </w:r>
            <w:r w:rsidR="008A3C48">
              <w:rPr>
                <w:noProof/>
                <w:webHidden/>
              </w:rPr>
            </w:r>
            <w:r w:rsidR="008A3C48">
              <w:rPr>
                <w:noProof/>
                <w:webHidden/>
              </w:rPr>
              <w:fldChar w:fldCharType="separate"/>
            </w:r>
            <w:r w:rsidR="008A3C48">
              <w:rPr>
                <w:noProof/>
                <w:webHidden/>
              </w:rPr>
              <w:t>70</w:t>
            </w:r>
            <w:r w:rsidR="008A3C48">
              <w:rPr>
                <w:noProof/>
                <w:webHidden/>
              </w:rPr>
              <w:fldChar w:fldCharType="end"/>
            </w:r>
          </w:hyperlink>
        </w:p>
        <w:p w14:paraId="6045E133" w14:textId="444B7107" w:rsidR="008A3C48" w:rsidRDefault="00A4667B">
          <w:pPr>
            <w:pStyle w:val="TOC2"/>
            <w:tabs>
              <w:tab w:val="right" w:leader="dot" w:pos="9016"/>
            </w:tabs>
            <w:rPr>
              <w:rFonts w:eastAsiaTheme="minorEastAsia"/>
              <w:noProof/>
              <w:color w:val="auto"/>
              <w:sz w:val="22"/>
              <w:szCs w:val="22"/>
              <w:lang w:eastAsia="en-AU"/>
            </w:rPr>
          </w:pPr>
          <w:hyperlink w:anchor="_Toc168652753" w:history="1">
            <w:r w:rsidR="008A3C48" w:rsidRPr="00D96FB7">
              <w:rPr>
                <w:rStyle w:val="Hyperlink"/>
                <w:noProof/>
              </w:rPr>
              <w:t>6. What is the best option from those you have considered and how will it be implemented?</w:t>
            </w:r>
            <w:r w:rsidR="008A3C48">
              <w:rPr>
                <w:noProof/>
                <w:webHidden/>
              </w:rPr>
              <w:tab/>
            </w:r>
            <w:r w:rsidR="008A3C48">
              <w:rPr>
                <w:noProof/>
                <w:webHidden/>
              </w:rPr>
              <w:fldChar w:fldCharType="begin"/>
            </w:r>
            <w:r w:rsidR="008A3C48">
              <w:rPr>
                <w:noProof/>
                <w:webHidden/>
              </w:rPr>
              <w:instrText xml:space="preserve"> PAGEREF _Toc168652753 \h </w:instrText>
            </w:r>
            <w:r w:rsidR="008A3C48">
              <w:rPr>
                <w:noProof/>
                <w:webHidden/>
              </w:rPr>
            </w:r>
            <w:r w:rsidR="008A3C48">
              <w:rPr>
                <w:noProof/>
                <w:webHidden/>
              </w:rPr>
              <w:fldChar w:fldCharType="separate"/>
            </w:r>
            <w:r w:rsidR="008A3C48">
              <w:rPr>
                <w:noProof/>
                <w:webHidden/>
              </w:rPr>
              <w:t>71</w:t>
            </w:r>
            <w:r w:rsidR="008A3C48">
              <w:rPr>
                <w:noProof/>
                <w:webHidden/>
              </w:rPr>
              <w:fldChar w:fldCharType="end"/>
            </w:r>
          </w:hyperlink>
        </w:p>
        <w:p w14:paraId="73DD4674" w14:textId="5F40C4F5" w:rsidR="008A3C48" w:rsidRDefault="00A4667B">
          <w:pPr>
            <w:pStyle w:val="TOC3"/>
            <w:tabs>
              <w:tab w:val="right" w:leader="dot" w:pos="9016"/>
            </w:tabs>
            <w:rPr>
              <w:rFonts w:eastAsiaTheme="minorEastAsia"/>
              <w:noProof/>
              <w:color w:val="auto"/>
              <w:sz w:val="22"/>
              <w:szCs w:val="22"/>
              <w:lang w:eastAsia="en-AU"/>
            </w:rPr>
          </w:pPr>
          <w:hyperlink w:anchor="_Toc168652754" w:history="1">
            <w:r w:rsidR="008A3C48" w:rsidRPr="00D96FB7">
              <w:rPr>
                <w:rStyle w:val="Hyperlink"/>
                <w:noProof/>
              </w:rPr>
              <w:t>Preferred option</w:t>
            </w:r>
            <w:r w:rsidR="008A3C48">
              <w:rPr>
                <w:noProof/>
                <w:webHidden/>
              </w:rPr>
              <w:tab/>
            </w:r>
            <w:r w:rsidR="008A3C48">
              <w:rPr>
                <w:noProof/>
                <w:webHidden/>
              </w:rPr>
              <w:fldChar w:fldCharType="begin"/>
            </w:r>
            <w:r w:rsidR="008A3C48">
              <w:rPr>
                <w:noProof/>
                <w:webHidden/>
              </w:rPr>
              <w:instrText xml:space="preserve"> PAGEREF _Toc168652754 \h </w:instrText>
            </w:r>
            <w:r w:rsidR="008A3C48">
              <w:rPr>
                <w:noProof/>
                <w:webHidden/>
              </w:rPr>
            </w:r>
            <w:r w:rsidR="008A3C48">
              <w:rPr>
                <w:noProof/>
                <w:webHidden/>
              </w:rPr>
              <w:fldChar w:fldCharType="separate"/>
            </w:r>
            <w:r w:rsidR="008A3C48">
              <w:rPr>
                <w:noProof/>
                <w:webHidden/>
              </w:rPr>
              <w:t>71</w:t>
            </w:r>
            <w:r w:rsidR="008A3C48">
              <w:rPr>
                <w:noProof/>
                <w:webHidden/>
              </w:rPr>
              <w:fldChar w:fldCharType="end"/>
            </w:r>
          </w:hyperlink>
        </w:p>
        <w:p w14:paraId="0AE4C3AF" w14:textId="27ABE0CA" w:rsidR="008A3C48" w:rsidRDefault="00A4667B">
          <w:pPr>
            <w:pStyle w:val="TOC3"/>
            <w:tabs>
              <w:tab w:val="right" w:leader="dot" w:pos="9016"/>
            </w:tabs>
            <w:rPr>
              <w:rFonts w:eastAsiaTheme="minorEastAsia"/>
              <w:noProof/>
              <w:color w:val="auto"/>
              <w:sz w:val="22"/>
              <w:szCs w:val="22"/>
              <w:lang w:eastAsia="en-AU"/>
            </w:rPr>
          </w:pPr>
          <w:hyperlink w:anchor="_Toc168652755" w:history="1">
            <w:r w:rsidR="008A3C48" w:rsidRPr="00D96FB7">
              <w:rPr>
                <w:rStyle w:val="Hyperlink"/>
                <w:noProof/>
              </w:rPr>
              <w:t>Implementation</w:t>
            </w:r>
            <w:r w:rsidR="008A3C48">
              <w:rPr>
                <w:noProof/>
                <w:webHidden/>
              </w:rPr>
              <w:tab/>
            </w:r>
            <w:r w:rsidR="008A3C48">
              <w:rPr>
                <w:noProof/>
                <w:webHidden/>
              </w:rPr>
              <w:fldChar w:fldCharType="begin"/>
            </w:r>
            <w:r w:rsidR="008A3C48">
              <w:rPr>
                <w:noProof/>
                <w:webHidden/>
              </w:rPr>
              <w:instrText xml:space="preserve"> PAGEREF _Toc168652755 \h </w:instrText>
            </w:r>
            <w:r w:rsidR="008A3C48">
              <w:rPr>
                <w:noProof/>
                <w:webHidden/>
              </w:rPr>
            </w:r>
            <w:r w:rsidR="008A3C48">
              <w:rPr>
                <w:noProof/>
                <w:webHidden/>
              </w:rPr>
              <w:fldChar w:fldCharType="separate"/>
            </w:r>
            <w:r w:rsidR="008A3C48">
              <w:rPr>
                <w:noProof/>
                <w:webHidden/>
              </w:rPr>
              <w:t>73</w:t>
            </w:r>
            <w:r w:rsidR="008A3C48">
              <w:rPr>
                <w:noProof/>
                <w:webHidden/>
              </w:rPr>
              <w:fldChar w:fldCharType="end"/>
            </w:r>
          </w:hyperlink>
        </w:p>
        <w:p w14:paraId="0533C7A7" w14:textId="2CA0B40E" w:rsidR="008A3C48" w:rsidRDefault="00A4667B">
          <w:pPr>
            <w:pStyle w:val="TOC3"/>
            <w:tabs>
              <w:tab w:val="right" w:leader="dot" w:pos="9016"/>
            </w:tabs>
            <w:rPr>
              <w:rFonts w:eastAsiaTheme="minorEastAsia"/>
              <w:noProof/>
              <w:color w:val="auto"/>
              <w:sz w:val="22"/>
              <w:szCs w:val="22"/>
              <w:lang w:eastAsia="en-AU"/>
            </w:rPr>
          </w:pPr>
          <w:hyperlink w:anchor="_Toc168652756" w:history="1">
            <w:r w:rsidR="008A3C48" w:rsidRPr="00D96FB7">
              <w:rPr>
                <w:rStyle w:val="Hyperlink"/>
                <w:noProof/>
              </w:rPr>
              <w:t>Communications</w:t>
            </w:r>
            <w:r w:rsidR="008A3C48">
              <w:rPr>
                <w:noProof/>
                <w:webHidden/>
              </w:rPr>
              <w:tab/>
            </w:r>
            <w:r w:rsidR="008A3C48">
              <w:rPr>
                <w:noProof/>
                <w:webHidden/>
              </w:rPr>
              <w:fldChar w:fldCharType="begin"/>
            </w:r>
            <w:r w:rsidR="008A3C48">
              <w:rPr>
                <w:noProof/>
                <w:webHidden/>
              </w:rPr>
              <w:instrText xml:space="preserve"> PAGEREF _Toc168652756 \h </w:instrText>
            </w:r>
            <w:r w:rsidR="008A3C48">
              <w:rPr>
                <w:noProof/>
                <w:webHidden/>
              </w:rPr>
            </w:r>
            <w:r w:rsidR="008A3C48">
              <w:rPr>
                <w:noProof/>
                <w:webHidden/>
              </w:rPr>
              <w:fldChar w:fldCharType="separate"/>
            </w:r>
            <w:r w:rsidR="008A3C48">
              <w:rPr>
                <w:noProof/>
                <w:webHidden/>
              </w:rPr>
              <w:t>74</w:t>
            </w:r>
            <w:r w:rsidR="008A3C48">
              <w:rPr>
                <w:noProof/>
                <w:webHidden/>
              </w:rPr>
              <w:fldChar w:fldCharType="end"/>
            </w:r>
          </w:hyperlink>
        </w:p>
        <w:p w14:paraId="2E7EF230" w14:textId="68963603" w:rsidR="008A3C48" w:rsidRDefault="00A4667B">
          <w:pPr>
            <w:pStyle w:val="TOC2"/>
            <w:tabs>
              <w:tab w:val="right" w:leader="dot" w:pos="9016"/>
            </w:tabs>
            <w:rPr>
              <w:rFonts w:eastAsiaTheme="minorEastAsia"/>
              <w:noProof/>
              <w:color w:val="auto"/>
              <w:sz w:val="22"/>
              <w:szCs w:val="22"/>
              <w:lang w:eastAsia="en-AU"/>
            </w:rPr>
          </w:pPr>
          <w:hyperlink w:anchor="_Toc168652757" w:history="1">
            <w:r w:rsidR="008A3C48" w:rsidRPr="00D96FB7">
              <w:rPr>
                <w:rStyle w:val="Hyperlink"/>
                <w:noProof/>
              </w:rPr>
              <w:t>7. How will you evaluate the chosen option against the success metrics?</w:t>
            </w:r>
            <w:r w:rsidR="008A3C48">
              <w:rPr>
                <w:noProof/>
                <w:webHidden/>
              </w:rPr>
              <w:tab/>
            </w:r>
            <w:r w:rsidR="008A3C48">
              <w:rPr>
                <w:noProof/>
                <w:webHidden/>
              </w:rPr>
              <w:fldChar w:fldCharType="begin"/>
            </w:r>
            <w:r w:rsidR="008A3C48">
              <w:rPr>
                <w:noProof/>
                <w:webHidden/>
              </w:rPr>
              <w:instrText xml:space="preserve"> PAGEREF _Toc168652757 \h </w:instrText>
            </w:r>
            <w:r w:rsidR="008A3C48">
              <w:rPr>
                <w:noProof/>
                <w:webHidden/>
              </w:rPr>
            </w:r>
            <w:r w:rsidR="008A3C48">
              <w:rPr>
                <w:noProof/>
                <w:webHidden/>
              </w:rPr>
              <w:fldChar w:fldCharType="separate"/>
            </w:r>
            <w:r w:rsidR="008A3C48">
              <w:rPr>
                <w:noProof/>
                <w:webHidden/>
              </w:rPr>
              <w:t>75</w:t>
            </w:r>
            <w:r w:rsidR="008A3C48">
              <w:rPr>
                <w:noProof/>
                <w:webHidden/>
              </w:rPr>
              <w:fldChar w:fldCharType="end"/>
            </w:r>
          </w:hyperlink>
        </w:p>
        <w:p w14:paraId="571DEED5" w14:textId="11DB6D50" w:rsidR="008A3C48" w:rsidRDefault="00A4667B">
          <w:pPr>
            <w:pStyle w:val="TOC3"/>
            <w:tabs>
              <w:tab w:val="right" w:leader="dot" w:pos="9016"/>
            </w:tabs>
            <w:rPr>
              <w:rFonts w:eastAsiaTheme="minorEastAsia"/>
              <w:noProof/>
              <w:color w:val="auto"/>
              <w:sz w:val="22"/>
              <w:szCs w:val="22"/>
              <w:lang w:eastAsia="en-AU"/>
            </w:rPr>
          </w:pPr>
          <w:hyperlink w:anchor="_Toc168652758" w:history="1">
            <w:r w:rsidR="008A3C48" w:rsidRPr="00D96FB7">
              <w:rPr>
                <w:rStyle w:val="Hyperlink"/>
                <w:noProof/>
              </w:rPr>
              <w:t>Evaluation questions</w:t>
            </w:r>
            <w:r w:rsidR="008A3C48">
              <w:rPr>
                <w:noProof/>
                <w:webHidden/>
              </w:rPr>
              <w:tab/>
            </w:r>
            <w:r w:rsidR="008A3C48">
              <w:rPr>
                <w:noProof/>
                <w:webHidden/>
              </w:rPr>
              <w:fldChar w:fldCharType="begin"/>
            </w:r>
            <w:r w:rsidR="008A3C48">
              <w:rPr>
                <w:noProof/>
                <w:webHidden/>
              </w:rPr>
              <w:instrText xml:space="preserve"> PAGEREF _Toc168652758 \h </w:instrText>
            </w:r>
            <w:r w:rsidR="008A3C48">
              <w:rPr>
                <w:noProof/>
                <w:webHidden/>
              </w:rPr>
            </w:r>
            <w:r w:rsidR="008A3C48">
              <w:rPr>
                <w:noProof/>
                <w:webHidden/>
              </w:rPr>
              <w:fldChar w:fldCharType="separate"/>
            </w:r>
            <w:r w:rsidR="008A3C48">
              <w:rPr>
                <w:noProof/>
                <w:webHidden/>
              </w:rPr>
              <w:t>75</w:t>
            </w:r>
            <w:r w:rsidR="008A3C48">
              <w:rPr>
                <w:noProof/>
                <w:webHidden/>
              </w:rPr>
              <w:fldChar w:fldCharType="end"/>
            </w:r>
          </w:hyperlink>
        </w:p>
        <w:p w14:paraId="32604197" w14:textId="4A8C6DF5" w:rsidR="008A3C48" w:rsidRDefault="00A4667B">
          <w:pPr>
            <w:pStyle w:val="TOC3"/>
            <w:tabs>
              <w:tab w:val="right" w:leader="dot" w:pos="9016"/>
            </w:tabs>
            <w:rPr>
              <w:rFonts w:eastAsiaTheme="minorEastAsia"/>
              <w:noProof/>
              <w:color w:val="auto"/>
              <w:sz w:val="22"/>
              <w:szCs w:val="22"/>
              <w:lang w:eastAsia="en-AU"/>
            </w:rPr>
          </w:pPr>
          <w:hyperlink w:anchor="_Toc168652759" w:history="1">
            <w:r w:rsidR="008A3C48" w:rsidRPr="00D96FB7">
              <w:rPr>
                <w:rStyle w:val="Hyperlink"/>
                <w:noProof/>
              </w:rPr>
              <w:t>Evaluation framework for CPPs</w:t>
            </w:r>
            <w:r w:rsidR="008A3C48">
              <w:rPr>
                <w:noProof/>
                <w:webHidden/>
              </w:rPr>
              <w:tab/>
            </w:r>
            <w:r w:rsidR="008A3C48">
              <w:rPr>
                <w:noProof/>
                <w:webHidden/>
              </w:rPr>
              <w:fldChar w:fldCharType="begin"/>
            </w:r>
            <w:r w:rsidR="008A3C48">
              <w:rPr>
                <w:noProof/>
                <w:webHidden/>
              </w:rPr>
              <w:instrText xml:space="preserve"> PAGEREF _Toc168652759 \h </w:instrText>
            </w:r>
            <w:r w:rsidR="008A3C48">
              <w:rPr>
                <w:noProof/>
                <w:webHidden/>
              </w:rPr>
            </w:r>
            <w:r w:rsidR="008A3C48">
              <w:rPr>
                <w:noProof/>
                <w:webHidden/>
              </w:rPr>
              <w:fldChar w:fldCharType="separate"/>
            </w:r>
            <w:r w:rsidR="008A3C48">
              <w:rPr>
                <w:noProof/>
                <w:webHidden/>
              </w:rPr>
              <w:t>75</w:t>
            </w:r>
            <w:r w:rsidR="008A3C48">
              <w:rPr>
                <w:noProof/>
                <w:webHidden/>
              </w:rPr>
              <w:fldChar w:fldCharType="end"/>
            </w:r>
          </w:hyperlink>
        </w:p>
        <w:p w14:paraId="31C0FA06" w14:textId="2C0CCDF8" w:rsidR="008A3C48" w:rsidRDefault="00A4667B">
          <w:pPr>
            <w:pStyle w:val="TOC3"/>
            <w:tabs>
              <w:tab w:val="right" w:leader="dot" w:pos="9016"/>
            </w:tabs>
            <w:rPr>
              <w:rFonts w:eastAsiaTheme="minorEastAsia"/>
              <w:noProof/>
              <w:color w:val="auto"/>
              <w:sz w:val="22"/>
              <w:szCs w:val="22"/>
              <w:lang w:eastAsia="en-AU"/>
            </w:rPr>
          </w:pPr>
          <w:hyperlink w:anchor="_Toc168652760" w:history="1">
            <w:r w:rsidR="008A3C48" w:rsidRPr="00D96FB7">
              <w:rPr>
                <w:rStyle w:val="Hyperlink"/>
                <w:noProof/>
              </w:rPr>
              <w:t>Monitoring stakeholder impacts</w:t>
            </w:r>
            <w:r w:rsidR="008A3C48">
              <w:rPr>
                <w:noProof/>
                <w:webHidden/>
              </w:rPr>
              <w:tab/>
            </w:r>
            <w:r w:rsidR="008A3C48">
              <w:rPr>
                <w:noProof/>
                <w:webHidden/>
              </w:rPr>
              <w:fldChar w:fldCharType="begin"/>
            </w:r>
            <w:r w:rsidR="008A3C48">
              <w:rPr>
                <w:noProof/>
                <w:webHidden/>
              </w:rPr>
              <w:instrText xml:space="preserve"> PAGEREF _Toc168652760 \h </w:instrText>
            </w:r>
            <w:r w:rsidR="008A3C48">
              <w:rPr>
                <w:noProof/>
                <w:webHidden/>
              </w:rPr>
            </w:r>
            <w:r w:rsidR="008A3C48">
              <w:rPr>
                <w:noProof/>
                <w:webHidden/>
              </w:rPr>
              <w:fldChar w:fldCharType="separate"/>
            </w:r>
            <w:r w:rsidR="008A3C48">
              <w:rPr>
                <w:noProof/>
                <w:webHidden/>
              </w:rPr>
              <w:t>79</w:t>
            </w:r>
            <w:r w:rsidR="008A3C48">
              <w:rPr>
                <w:noProof/>
                <w:webHidden/>
              </w:rPr>
              <w:fldChar w:fldCharType="end"/>
            </w:r>
          </w:hyperlink>
        </w:p>
        <w:p w14:paraId="53448C8C" w14:textId="01799D1E" w:rsidR="008A3C48" w:rsidRDefault="00A4667B">
          <w:pPr>
            <w:pStyle w:val="TOC1"/>
            <w:rPr>
              <w:rFonts w:eastAsiaTheme="minorEastAsia"/>
              <w:noProof/>
              <w:color w:val="auto"/>
              <w:sz w:val="22"/>
              <w:szCs w:val="22"/>
              <w:lang w:eastAsia="en-AU"/>
            </w:rPr>
          </w:pPr>
          <w:hyperlink w:anchor="_Toc168652761" w:history="1">
            <w:r w:rsidR="008A3C48" w:rsidRPr="00D96FB7">
              <w:rPr>
                <w:rStyle w:val="Hyperlink"/>
                <w:noProof/>
              </w:rPr>
              <w:t>APPENDICES</w:t>
            </w:r>
            <w:r w:rsidR="008A3C48">
              <w:rPr>
                <w:noProof/>
                <w:webHidden/>
              </w:rPr>
              <w:tab/>
            </w:r>
            <w:r w:rsidR="008A3C48">
              <w:rPr>
                <w:noProof/>
                <w:webHidden/>
              </w:rPr>
              <w:fldChar w:fldCharType="begin"/>
            </w:r>
            <w:r w:rsidR="008A3C48">
              <w:rPr>
                <w:noProof/>
                <w:webHidden/>
              </w:rPr>
              <w:instrText xml:space="preserve"> PAGEREF _Toc168652761 \h </w:instrText>
            </w:r>
            <w:r w:rsidR="008A3C48">
              <w:rPr>
                <w:noProof/>
                <w:webHidden/>
              </w:rPr>
            </w:r>
            <w:r w:rsidR="008A3C48">
              <w:rPr>
                <w:noProof/>
                <w:webHidden/>
              </w:rPr>
              <w:fldChar w:fldCharType="separate"/>
            </w:r>
            <w:r w:rsidR="008A3C48">
              <w:rPr>
                <w:noProof/>
                <w:webHidden/>
              </w:rPr>
              <w:t>81</w:t>
            </w:r>
            <w:r w:rsidR="008A3C48">
              <w:rPr>
                <w:noProof/>
                <w:webHidden/>
              </w:rPr>
              <w:fldChar w:fldCharType="end"/>
            </w:r>
          </w:hyperlink>
        </w:p>
        <w:p w14:paraId="07D0C4EF" w14:textId="74C8CE1B" w:rsidR="008A3C48" w:rsidRDefault="00A4667B">
          <w:pPr>
            <w:pStyle w:val="TOC2"/>
            <w:tabs>
              <w:tab w:val="left" w:pos="660"/>
              <w:tab w:val="right" w:leader="dot" w:pos="9016"/>
            </w:tabs>
            <w:rPr>
              <w:rFonts w:eastAsiaTheme="minorEastAsia"/>
              <w:noProof/>
              <w:color w:val="auto"/>
              <w:sz w:val="22"/>
              <w:szCs w:val="22"/>
              <w:lang w:eastAsia="en-AU"/>
            </w:rPr>
          </w:pPr>
          <w:hyperlink w:anchor="_Toc168652762" w:history="1">
            <w:r w:rsidR="008A3C48" w:rsidRPr="00D96FB7">
              <w:rPr>
                <w:rStyle w:val="Hyperlink"/>
                <w:noProof/>
              </w:rPr>
              <w:t xml:space="preserve">1. </w:t>
            </w:r>
            <w:r w:rsidR="008A3C48">
              <w:rPr>
                <w:rFonts w:eastAsiaTheme="minorEastAsia"/>
                <w:noProof/>
                <w:color w:val="auto"/>
                <w:sz w:val="22"/>
                <w:szCs w:val="22"/>
                <w:lang w:eastAsia="en-AU"/>
              </w:rPr>
              <w:tab/>
            </w:r>
            <w:r w:rsidR="008A3C48" w:rsidRPr="00D96FB7">
              <w:rPr>
                <w:rStyle w:val="Hyperlink"/>
                <w:noProof/>
              </w:rPr>
              <w:t>Abbreviations</w:t>
            </w:r>
            <w:r w:rsidR="008A3C48">
              <w:rPr>
                <w:noProof/>
                <w:webHidden/>
              </w:rPr>
              <w:tab/>
            </w:r>
            <w:r w:rsidR="008A3C48">
              <w:rPr>
                <w:noProof/>
                <w:webHidden/>
              </w:rPr>
              <w:fldChar w:fldCharType="begin"/>
            </w:r>
            <w:r w:rsidR="008A3C48">
              <w:rPr>
                <w:noProof/>
                <w:webHidden/>
              </w:rPr>
              <w:instrText xml:space="preserve"> PAGEREF _Toc168652762 \h </w:instrText>
            </w:r>
            <w:r w:rsidR="008A3C48">
              <w:rPr>
                <w:noProof/>
                <w:webHidden/>
              </w:rPr>
            </w:r>
            <w:r w:rsidR="008A3C48">
              <w:rPr>
                <w:noProof/>
                <w:webHidden/>
              </w:rPr>
              <w:fldChar w:fldCharType="separate"/>
            </w:r>
            <w:r w:rsidR="008A3C48">
              <w:rPr>
                <w:noProof/>
                <w:webHidden/>
              </w:rPr>
              <w:t>81</w:t>
            </w:r>
            <w:r w:rsidR="008A3C48">
              <w:rPr>
                <w:noProof/>
                <w:webHidden/>
              </w:rPr>
              <w:fldChar w:fldCharType="end"/>
            </w:r>
          </w:hyperlink>
        </w:p>
        <w:p w14:paraId="6F1FB1C7" w14:textId="13D4D2D0" w:rsidR="008A3C48" w:rsidRDefault="00A4667B">
          <w:pPr>
            <w:pStyle w:val="TOC2"/>
            <w:tabs>
              <w:tab w:val="left" w:pos="660"/>
              <w:tab w:val="right" w:leader="dot" w:pos="9016"/>
            </w:tabs>
            <w:rPr>
              <w:rFonts w:eastAsiaTheme="minorEastAsia"/>
              <w:noProof/>
              <w:color w:val="auto"/>
              <w:sz w:val="22"/>
              <w:szCs w:val="22"/>
              <w:lang w:eastAsia="en-AU"/>
            </w:rPr>
          </w:pPr>
          <w:hyperlink w:anchor="_Toc168652763" w:history="1">
            <w:r w:rsidR="008A3C48" w:rsidRPr="00D96FB7">
              <w:rPr>
                <w:rStyle w:val="Hyperlink"/>
                <w:noProof/>
              </w:rPr>
              <w:t xml:space="preserve">2. </w:t>
            </w:r>
            <w:r w:rsidR="008A3C48">
              <w:rPr>
                <w:rFonts w:eastAsiaTheme="minorEastAsia"/>
                <w:noProof/>
                <w:color w:val="auto"/>
                <w:sz w:val="22"/>
                <w:szCs w:val="22"/>
                <w:lang w:eastAsia="en-AU"/>
              </w:rPr>
              <w:tab/>
            </w:r>
            <w:r w:rsidR="008A3C48" w:rsidRPr="00D96FB7">
              <w:rPr>
                <w:rStyle w:val="Hyperlink"/>
                <w:noProof/>
              </w:rPr>
              <w:t>Glossary</w:t>
            </w:r>
            <w:r w:rsidR="008A3C48">
              <w:rPr>
                <w:noProof/>
                <w:webHidden/>
              </w:rPr>
              <w:tab/>
            </w:r>
            <w:r w:rsidR="008A3C48">
              <w:rPr>
                <w:noProof/>
                <w:webHidden/>
              </w:rPr>
              <w:fldChar w:fldCharType="begin"/>
            </w:r>
            <w:r w:rsidR="008A3C48">
              <w:rPr>
                <w:noProof/>
                <w:webHidden/>
              </w:rPr>
              <w:instrText xml:space="preserve"> PAGEREF _Toc168652763 \h </w:instrText>
            </w:r>
            <w:r w:rsidR="008A3C48">
              <w:rPr>
                <w:noProof/>
                <w:webHidden/>
              </w:rPr>
            </w:r>
            <w:r w:rsidR="008A3C48">
              <w:rPr>
                <w:noProof/>
                <w:webHidden/>
              </w:rPr>
              <w:fldChar w:fldCharType="separate"/>
            </w:r>
            <w:r w:rsidR="008A3C48">
              <w:rPr>
                <w:noProof/>
                <w:webHidden/>
              </w:rPr>
              <w:t>83</w:t>
            </w:r>
            <w:r w:rsidR="008A3C48">
              <w:rPr>
                <w:noProof/>
                <w:webHidden/>
              </w:rPr>
              <w:fldChar w:fldCharType="end"/>
            </w:r>
          </w:hyperlink>
        </w:p>
        <w:p w14:paraId="2DF41EE6" w14:textId="2E60D5DD" w:rsidR="008A3C48" w:rsidRDefault="00A4667B">
          <w:pPr>
            <w:pStyle w:val="TOC2"/>
            <w:tabs>
              <w:tab w:val="left" w:pos="660"/>
              <w:tab w:val="right" w:leader="dot" w:pos="9016"/>
            </w:tabs>
            <w:rPr>
              <w:rFonts w:eastAsiaTheme="minorEastAsia"/>
              <w:noProof/>
              <w:color w:val="auto"/>
              <w:sz w:val="22"/>
              <w:szCs w:val="22"/>
              <w:lang w:eastAsia="en-AU"/>
            </w:rPr>
          </w:pPr>
          <w:hyperlink w:anchor="_Toc168652764" w:history="1">
            <w:r w:rsidR="008A3C48" w:rsidRPr="00D96FB7">
              <w:rPr>
                <w:rStyle w:val="Hyperlink"/>
                <w:noProof/>
              </w:rPr>
              <w:t>3.</w:t>
            </w:r>
            <w:r w:rsidR="008A3C48">
              <w:rPr>
                <w:rFonts w:eastAsiaTheme="minorEastAsia"/>
                <w:noProof/>
                <w:color w:val="auto"/>
                <w:sz w:val="22"/>
                <w:szCs w:val="22"/>
                <w:lang w:eastAsia="en-AU"/>
              </w:rPr>
              <w:tab/>
            </w:r>
            <w:r w:rsidR="008A3C48" w:rsidRPr="00D96FB7">
              <w:rPr>
                <w:rStyle w:val="Hyperlink"/>
                <w:noProof/>
              </w:rPr>
              <w:t>Jurisdictional ownership rules</w:t>
            </w:r>
            <w:r w:rsidR="008A3C48">
              <w:rPr>
                <w:noProof/>
                <w:webHidden/>
              </w:rPr>
              <w:tab/>
            </w:r>
            <w:r w:rsidR="008A3C48">
              <w:rPr>
                <w:noProof/>
                <w:webHidden/>
              </w:rPr>
              <w:fldChar w:fldCharType="begin"/>
            </w:r>
            <w:r w:rsidR="008A3C48">
              <w:rPr>
                <w:noProof/>
                <w:webHidden/>
              </w:rPr>
              <w:instrText xml:space="preserve"> PAGEREF _Toc168652764 \h </w:instrText>
            </w:r>
            <w:r w:rsidR="008A3C48">
              <w:rPr>
                <w:noProof/>
                <w:webHidden/>
              </w:rPr>
            </w:r>
            <w:r w:rsidR="008A3C48">
              <w:rPr>
                <w:noProof/>
                <w:webHidden/>
              </w:rPr>
              <w:fldChar w:fldCharType="separate"/>
            </w:r>
            <w:r w:rsidR="008A3C48">
              <w:rPr>
                <w:noProof/>
                <w:webHidden/>
              </w:rPr>
              <w:t>86</w:t>
            </w:r>
            <w:r w:rsidR="008A3C48">
              <w:rPr>
                <w:noProof/>
                <w:webHidden/>
              </w:rPr>
              <w:fldChar w:fldCharType="end"/>
            </w:r>
          </w:hyperlink>
        </w:p>
        <w:p w14:paraId="09521DEC" w14:textId="600A7CCE" w:rsidR="008A3C48" w:rsidRDefault="00A4667B">
          <w:pPr>
            <w:pStyle w:val="TOC2"/>
            <w:tabs>
              <w:tab w:val="left" w:pos="660"/>
              <w:tab w:val="right" w:leader="dot" w:pos="9016"/>
            </w:tabs>
            <w:rPr>
              <w:rFonts w:eastAsiaTheme="minorEastAsia"/>
              <w:noProof/>
              <w:color w:val="auto"/>
              <w:sz w:val="22"/>
              <w:szCs w:val="22"/>
              <w:lang w:eastAsia="en-AU"/>
            </w:rPr>
          </w:pPr>
          <w:hyperlink w:anchor="_Toc168652765" w:history="1">
            <w:r w:rsidR="008A3C48" w:rsidRPr="00D96FB7">
              <w:rPr>
                <w:rStyle w:val="Hyperlink"/>
                <w:noProof/>
              </w:rPr>
              <w:t xml:space="preserve">4. </w:t>
            </w:r>
            <w:r w:rsidR="008A3C48">
              <w:rPr>
                <w:rFonts w:eastAsiaTheme="minorEastAsia"/>
                <w:noProof/>
                <w:color w:val="auto"/>
                <w:sz w:val="22"/>
                <w:szCs w:val="22"/>
                <w:lang w:eastAsia="en-AU"/>
              </w:rPr>
              <w:tab/>
            </w:r>
            <w:r w:rsidR="008A3C48" w:rsidRPr="00D96FB7">
              <w:rPr>
                <w:rStyle w:val="Hyperlink"/>
                <w:noProof/>
              </w:rPr>
              <w:t>Comparative Commonwealth price under previous CPAs</w:t>
            </w:r>
            <w:r w:rsidR="008A3C48">
              <w:rPr>
                <w:noProof/>
                <w:webHidden/>
              </w:rPr>
              <w:tab/>
            </w:r>
            <w:r w:rsidR="008A3C48">
              <w:rPr>
                <w:noProof/>
                <w:webHidden/>
              </w:rPr>
              <w:fldChar w:fldCharType="begin"/>
            </w:r>
            <w:r w:rsidR="008A3C48">
              <w:rPr>
                <w:noProof/>
                <w:webHidden/>
              </w:rPr>
              <w:instrText xml:space="preserve"> PAGEREF _Toc168652765 \h </w:instrText>
            </w:r>
            <w:r w:rsidR="008A3C48">
              <w:rPr>
                <w:noProof/>
                <w:webHidden/>
              </w:rPr>
            </w:r>
            <w:r w:rsidR="008A3C48">
              <w:rPr>
                <w:noProof/>
                <w:webHidden/>
              </w:rPr>
              <w:fldChar w:fldCharType="separate"/>
            </w:r>
            <w:r w:rsidR="008A3C48">
              <w:rPr>
                <w:noProof/>
                <w:webHidden/>
              </w:rPr>
              <w:t>88</w:t>
            </w:r>
            <w:r w:rsidR="008A3C48">
              <w:rPr>
                <w:noProof/>
                <w:webHidden/>
              </w:rPr>
              <w:fldChar w:fldCharType="end"/>
            </w:r>
          </w:hyperlink>
        </w:p>
        <w:p w14:paraId="2E529B56" w14:textId="55BAA948" w:rsidR="008A3C48" w:rsidRDefault="00A4667B">
          <w:pPr>
            <w:pStyle w:val="TOC2"/>
            <w:tabs>
              <w:tab w:val="left" w:pos="660"/>
              <w:tab w:val="right" w:leader="dot" w:pos="9016"/>
            </w:tabs>
            <w:rPr>
              <w:rFonts w:eastAsiaTheme="minorEastAsia"/>
              <w:noProof/>
              <w:color w:val="auto"/>
              <w:sz w:val="22"/>
              <w:szCs w:val="22"/>
              <w:lang w:eastAsia="en-AU"/>
            </w:rPr>
          </w:pPr>
          <w:hyperlink w:anchor="_Toc168652766" w:history="1">
            <w:r w:rsidR="008A3C48" w:rsidRPr="00D96FB7">
              <w:rPr>
                <w:rStyle w:val="Hyperlink"/>
                <w:noProof/>
              </w:rPr>
              <w:t>5.</w:t>
            </w:r>
            <w:r w:rsidR="008A3C48">
              <w:rPr>
                <w:rFonts w:eastAsiaTheme="minorEastAsia"/>
                <w:noProof/>
                <w:color w:val="auto"/>
                <w:sz w:val="22"/>
                <w:szCs w:val="22"/>
                <w:lang w:eastAsia="en-AU"/>
              </w:rPr>
              <w:tab/>
            </w:r>
            <w:r w:rsidR="008A3C48" w:rsidRPr="00D96FB7">
              <w:rPr>
                <w:rStyle w:val="Hyperlink"/>
                <w:noProof/>
              </w:rPr>
              <w:t>Community Pharmacy Programs in the 7CPA</w:t>
            </w:r>
            <w:r w:rsidR="008A3C48">
              <w:rPr>
                <w:noProof/>
                <w:webHidden/>
              </w:rPr>
              <w:tab/>
            </w:r>
            <w:r w:rsidR="008A3C48">
              <w:rPr>
                <w:noProof/>
                <w:webHidden/>
              </w:rPr>
              <w:fldChar w:fldCharType="begin"/>
            </w:r>
            <w:r w:rsidR="008A3C48">
              <w:rPr>
                <w:noProof/>
                <w:webHidden/>
              </w:rPr>
              <w:instrText xml:space="preserve"> PAGEREF _Toc168652766 \h </w:instrText>
            </w:r>
            <w:r w:rsidR="008A3C48">
              <w:rPr>
                <w:noProof/>
                <w:webHidden/>
              </w:rPr>
            </w:r>
            <w:r w:rsidR="008A3C48">
              <w:rPr>
                <w:noProof/>
                <w:webHidden/>
              </w:rPr>
              <w:fldChar w:fldCharType="separate"/>
            </w:r>
            <w:r w:rsidR="008A3C48">
              <w:rPr>
                <w:noProof/>
                <w:webHidden/>
              </w:rPr>
              <w:t>92</w:t>
            </w:r>
            <w:r w:rsidR="008A3C48">
              <w:rPr>
                <w:noProof/>
                <w:webHidden/>
              </w:rPr>
              <w:fldChar w:fldCharType="end"/>
            </w:r>
          </w:hyperlink>
        </w:p>
        <w:p w14:paraId="321DF95A" w14:textId="2B522D14" w:rsidR="008A3C48" w:rsidRDefault="00A4667B">
          <w:pPr>
            <w:pStyle w:val="TOC2"/>
            <w:tabs>
              <w:tab w:val="left" w:pos="660"/>
              <w:tab w:val="right" w:leader="dot" w:pos="9016"/>
            </w:tabs>
            <w:rPr>
              <w:rFonts w:eastAsiaTheme="minorEastAsia"/>
              <w:noProof/>
              <w:color w:val="auto"/>
              <w:sz w:val="22"/>
              <w:szCs w:val="22"/>
              <w:lang w:eastAsia="en-AU"/>
            </w:rPr>
          </w:pPr>
          <w:hyperlink w:anchor="_Toc168652767" w:history="1">
            <w:r w:rsidR="008A3C48" w:rsidRPr="00D96FB7">
              <w:rPr>
                <w:rStyle w:val="Hyperlink"/>
                <w:noProof/>
              </w:rPr>
              <w:t>6.</w:t>
            </w:r>
            <w:r w:rsidR="008A3C48">
              <w:rPr>
                <w:rFonts w:eastAsiaTheme="minorEastAsia"/>
                <w:noProof/>
                <w:color w:val="auto"/>
                <w:sz w:val="22"/>
                <w:szCs w:val="22"/>
                <w:lang w:eastAsia="en-AU"/>
              </w:rPr>
              <w:tab/>
            </w:r>
            <w:r w:rsidR="008A3C48" w:rsidRPr="00D96FB7">
              <w:rPr>
                <w:rStyle w:val="Hyperlink"/>
                <w:noProof/>
              </w:rPr>
              <w:t>M</w:t>
            </w:r>
            <w:r w:rsidR="008A3C48" w:rsidRPr="00D96FB7">
              <w:rPr>
                <w:rStyle w:val="Hyperlink"/>
                <w:rFonts w:cstheme="minorHAnsi"/>
                <w:noProof/>
              </w:rPr>
              <w:t>ethod and assumptions made in calculating the Regulatory Burden Estimates</w:t>
            </w:r>
            <w:r w:rsidR="008A3C48">
              <w:rPr>
                <w:noProof/>
                <w:webHidden/>
              </w:rPr>
              <w:tab/>
            </w:r>
            <w:r w:rsidR="008A3C48">
              <w:rPr>
                <w:noProof/>
                <w:webHidden/>
              </w:rPr>
              <w:fldChar w:fldCharType="begin"/>
            </w:r>
            <w:r w:rsidR="008A3C48">
              <w:rPr>
                <w:noProof/>
                <w:webHidden/>
              </w:rPr>
              <w:instrText xml:space="preserve"> PAGEREF _Toc168652767 \h </w:instrText>
            </w:r>
            <w:r w:rsidR="008A3C48">
              <w:rPr>
                <w:noProof/>
                <w:webHidden/>
              </w:rPr>
            </w:r>
            <w:r w:rsidR="008A3C48">
              <w:rPr>
                <w:noProof/>
                <w:webHidden/>
              </w:rPr>
              <w:fldChar w:fldCharType="separate"/>
            </w:r>
            <w:r w:rsidR="008A3C48">
              <w:rPr>
                <w:noProof/>
                <w:webHidden/>
              </w:rPr>
              <w:t>94</w:t>
            </w:r>
            <w:r w:rsidR="008A3C48">
              <w:rPr>
                <w:noProof/>
                <w:webHidden/>
              </w:rPr>
              <w:fldChar w:fldCharType="end"/>
            </w:r>
          </w:hyperlink>
        </w:p>
        <w:p w14:paraId="64FCB343" w14:textId="69E58685" w:rsidR="00C51D1D" w:rsidRPr="00C20287" w:rsidRDefault="00C51D1D">
          <w:r w:rsidRPr="00C20287">
            <w:rPr>
              <w:b/>
              <w:bCs/>
              <w:color w:val="0D0D0D" w:themeColor="text1" w:themeTint="F2"/>
            </w:rPr>
            <w:fldChar w:fldCharType="end"/>
          </w:r>
        </w:p>
      </w:sdtContent>
    </w:sdt>
    <w:p w14:paraId="05B0CC1C" w14:textId="77777777" w:rsidR="00C90277" w:rsidRPr="00B67885" w:rsidRDefault="00C90277">
      <w:pPr>
        <w:rPr>
          <w:rFonts w:cstheme="minorHAnsi"/>
          <w:b/>
          <w:color w:val="auto"/>
          <w:sz w:val="24"/>
          <w:szCs w:val="24"/>
        </w:rPr>
      </w:pPr>
      <w:bookmarkStart w:id="26" w:name="_Toc132192285"/>
      <w:r w:rsidRPr="00C20287">
        <w:br w:type="page"/>
      </w:r>
    </w:p>
    <w:p w14:paraId="571EBC87" w14:textId="4F021D0F" w:rsidR="0011200A" w:rsidRPr="00C20287" w:rsidRDefault="009970A6" w:rsidP="00867476">
      <w:pPr>
        <w:pStyle w:val="Heading1"/>
        <w:spacing w:after="360" w:line="240" w:lineRule="auto"/>
      </w:pPr>
      <w:bookmarkStart w:id="27" w:name="_Toc168652724"/>
      <w:r w:rsidRPr="00C20287">
        <w:lastRenderedPageBreak/>
        <w:t>Executive Summary</w:t>
      </w:r>
      <w:bookmarkEnd w:id="26"/>
      <w:bookmarkEnd w:id="27"/>
    </w:p>
    <w:p w14:paraId="1E2C8D74" w14:textId="29A4D858" w:rsidR="00A74037" w:rsidRPr="00C20287" w:rsidRDefault="00C21022" w:rsidP="00867476">
      <w:pPr>
        <w:pStyle w:val="CABNETParagraph"/>
        <w:spacing w:before="0"/>
        <w:rPr>
          <w:rFonts w:ascii="Calibri" w:eastAsiaTheme="majorEastAsia" w:hAnsi="Calibri" w:cs="Calibri"/>
          <w:bCs/>
          <w:color w:val="0D0D0D" w:themeColor="text1" w:themeTint="F2"/>
          <w:sz w:val="24"/>
          <w:szCs w:val="24"/>
        </w:rPr>
      </w:pPr>
      <w:r w:rsidRPr="00C20287">
        <w:rPr>
          <w:rFonts w:ascii="Calibri" w:eastAsiaTheme="majorEastAsia" w:hAnsi="Calibri" w:cs="Calibri"/>
          <w:bCs/>
          <w:color w:val="0D0D0D" w:themeColor="text1" w:themeTint="F2"/>
          <w:sz w:val="24"/>
          <w:szCs w:val="24"/>
        </w:rPr>
        <w:t>Th</w:t>
      </w:r>
      <w:r w:rsidR="00F84452" w:rsidRPr="00C20287">
        <w:rPr>
          <w:rFonts w:ascii="Calibri" w:eastAsiaTheme="majorEastAsia" w:hAnsi="Calibri" w:cs="Calibri"/>
          <w:bCs/>
          <w:color w:val="0D0D0D" w:themeColor="text1" w:themeTint="F2"/>
          <w:sz w:val="24"/>
          <w:szCs w:val="24"/>
        </w:rPr>
        <w:t>is</w:t>
      </w:r>
      <w:r w:rsidR="00B43C4B" w:rsidRPr="00C20287">
        <w:rPr>
          <w:rFonts w:ascii="Calibri" w:eastAsiaTheme="majorEastAsia" w:hAnsi="Calibri" w:cs="Calibri"/>
          <w:bCs/>
          <w:color w:val="0D0D0D" w:themeColor="text1" w:themeTint="F2"/>
          <w:sz w:val="24"/>
          <w:szCs w:val="24"/>
        </w:rPr>
        <w:t xml:space="preserve"> </w:t>
      </w:r>
      <w:r w:rsidR="009530AC" w:rsidRPr="00C20287">
        <w:rPr>
          <w:rFonts w:ascii="Calibri" w:eastAsiaTheme="majorEastAsia" w:hAnsi="Calibri" w:cs="Calibri"/>
          <w:bCs/>
          <w:color w:val="0D0D0D" w:themeColor="text1" w:themeTint="F2"/>
          <w:sz w:val="24"/>
          <w:szCs w:val="24"/>
        </w:rPr>
        <w:t>Impact Analysis</w:t>
      </w:r>
      <w:r w:rsidR="003B2F78" w:rsidRPr="00C20287">
        <w:rPr>
          <w:rFonts w:ascii="Calibri" w:eastAsiaTheme="majorEastAsia" w:hAnsi="Calibri" w:cs="Calibri"/>
          <w:bCs/>
          <w:color w:val="0D0D0D" w:themeColor="text1" w:themeTint="F2"/>
          <w:sz w:val="24"/>
          <w:szCs w:val="24"/>
        </w:rPr>
        <w:t xml:space="preserve"> </w:t>
      </w:r>
      <w:r w:rsidR="009530AC" w:rsidRPr="00C20287">
        <w:rPr>
          <w:rFonts w:ascii="Calibri" w:eastAsiaTheme="majorEastAsia" w:hAnsi="Calibri" w:cs="Calibri"/>
          <w:bCs/>
          <w:color w:val="0D0D0D" w:themeColor="text1" w:themeTint="F2"/>
          <w:sz w:val="24"/>
          <w:szCs w:val="24"/>
        </w:rPr>
        <w:t xml:space="preserve">(IA) </w:t>
      </w:r>
      <w:r w:rsidR="009C300C" w:rsidRPr="00C20287">
        <w:rPr>
          <w:rFonts w:ascii="Calibri" w:eastAsiaTheme="majorEastAsia" w:hAnsi="Calibri" w:cs="Calibri"/>
          <w:bCs/>
          <w:color w:val="0D0D0D" w:themeColor="text1" w:themeTint="F2"/>
          <w:sz w:val="24"/>
          <w:szCs w:val="24"/>
        </w:rPr>
        <w:t xml:space="preserve">has been prepared to </w:t>
      </w:r>
      <w:r w:rsidR="00C9437A" w:rsidRPr="00C20287">
        <w:rPr>
          <w:rFonts w:ascii="Calibri" w:eastAsiaTheme="majorEastAsia" w:hAnsi="Calibri" w:cs="Calibri"/>
          <w:bCs/>
          <w:color w:val="0D0D0D" w:themeColor="text1" w:themeTint="F2"/>
          <w:sz w:val="24"/>
          <w:szCs w:val="24"/>
        </w:rPr>
        <w:t xml:space="preserve">support Government </w:t>
      </w:r>
      <w:r w:rsidR="00F72668">
        <w:rPr>
          <w:rFonts w:ascii="Calibri" w:eastAsiaTheme="majorEastAsia" w:hAnsi="Calibri" w:cs="Calibri"/>
          <w:bCs/>
          <w:color w:val="0D0D0D" w:themeColor="text1" w:themeTint="F2"/>
          <w:sz w:val="24"/>
          <w:szCs w:val="24"/>
        </w:rPr>
        <w:t xml:space="preserve">consideration of </w:t>
      </w:r>
      <w:r w:rsidR="009C300C" w:rsidRPr="00C20287">
        <w:rPr>
          <w:rFonts w:ascii="Calibri" w:eastAsiaTheme="majorEastAsia" w:hAnsi="Calibri" w:cs="Calibri"/>
          <w:bCs/>
          <w:color w:val="0D0D0D" w:themeColor="text1" w:themeTint="F2"/>
          <w:sz w:val="24"/>
          <w:szCs w:val="24"/>
        </w:rPr>
        <w:t xml:space="preserve">a new </w:t>
      </w:r>
      <w:r w:rsidR="00AD5229">
        <w:rPr>
          <w:rFonts w:ascii="Calibri" w:eastAsiaTheme="majorEastAsia" w:hAnsi="Calibri" w:cs="Calibri"/>
          <w:bCs/>
          <w:color w:val="0D0D0D" w:themeColor="text1" w:themeTint="F2"/>
          <w:sz w:val="24"/>
          <w:szCs w:val="24"/>
        </w:rPr>
        <w:t>C</w:t>
      </w:r>
      <w:r w:rsidR="009C300C" w:rsidRPr="00C20287">
        <w:rPr>
          <w:rFonts w:ascii="Calibri" w:eastAsiaTheme="majorEastAsia" w:hAnsi="Calibri" w:cs="Calibri"/>
          <w:bCs/>
          <w:color w:val="0D0D0D" w:themeColor="text1" w:themeTint="F2"/>
          <w:sz w:val="24"/>
          <w:szCs w:val="24"/>
        </w:rPr>
        <w:t xml:space="preserve">ommunity </w:t>
      </w:r>
      <w:r w:rsidR="00AD5229">
        <w:rPr>
          <w:rFonts w:ascii="Calibri" w:eastAsiaTheme="majorEastAsia" w:hAnsi="Calibri" w:cs="Calibri"/>
          <w:bCs/>
          <w:color w:val="0D0D0D" w:themeColor="text1" w:themeTint="F2"/>
          <w:sz w:val="24"/>
          <w:szCs w:val="24"/>
        </w:rPr>
        <w:t>P</w:t>
      </w:r>
      <w:r w:rsidR="009C300C" w:rsidRPr="00C20287">
        <w:rPr>
          <w:rFonts w:ascii="Calibri" w:eastAsiaTheme="majorEastAsia" w:hAnsi="Calibri" w:cs="Calibri"/>
          <w:bCs/>
          <w:color w:val="0D0D0D" w:themeColor="text1" w:themeTint="F2"/>
          <w:sz w:val="24"/>
          <w:szCs w:val="24"/>
        </w:rPr>
        <w:t xml:space="preserve">harmacy </w:t>
      </w:r>
      <w:r w:rsidR="00AD5229">
        <w:rPr>
          <w:rFonts w:ascii="Calibri" w:eastAsiaTheme="majorEastAsia" w:hAnsi="Calibri" w:cs="Calibri"/>
          <w:bCs/>
          <w:color w:val="0D0D0D" w:themeColor="text1" w:themeTint="F2"/>
          <w:sz w:val="24"/>
          <w:szCs w:val="24"/>
        </w:rPr>
        <w:t>A</w:t>
      </w:r>
      <w:r w:rsidR="009C300C" w:rsidRPr="00C20287">
        <w:rPr>
          <w:rFonts w:ascii="Calibri" w:eastAsiaTheme="majorEastAsia" w:hAnsi="Calibri" w:cs="Calibri"/>
          <w:bCs/>
          <w:color w:val="0D0D0D" w:themeColor="text1" w:themeTint="F2"/>
          <w:sz w:val="24"/>
          <w:szCs w:val="24"/>
        </w:rPr>
        <w:t>greement</w:t>
      </w:r>
      <w:r w:rsidR="00776EAE">
        <w:rPr>
          <w:rFonts w:ascii="Calibri" w:eastAsiaTheme="majorEastAsia" w:hAnsi="Calibri" w:cs="Calibri"/>
          <w:bCs/>
          <w:color w:val="0D0D0D" w:themeColor="text1" w:themeTint="F2"/>
          <w:sz w:val="24"/>
          <w:szCs w:val="24"/>
        </w:rPr>
        <w:t xml:space="preserve"> (CPA)</w:t>
      </w:r>
      <w:r w:rsidR="009C300C" w:rsidRPr="00C20287">
        <w:rPr>
          <w:rFonts w:ascii="Calibri" w:eastAsiaTheme="majorEastAsia" w:hAnsi="Calibri" w:cs="Calibri"/>
          <w:bCs/>
          <w:color w:val="0D0D0D" w:themeColor="text1" w:themeTint="F2"/>
          <w:sz w:val="24"/>
          <w:szCs w:val="24"/>
        </w:rPr>
        <w:t xml:space="preserve"> relating to payments for</w:t>
      </w:r>
      <w:r w:rsidR="003F7C7E" w:rsidRPr="00C20287">
        <w:rPr>
          <w:rFonts w:ascii="Calibri" w:eastAsiaTheme="majorEastAsia" w:hAnsi="Calibri" w:cs="Calibri"/>
          <w:bCs/>
          <w:color w:val="0D0D0D" w:themeColor="text1" w:themeTint="F2"/>
          <w:sz w:val="24"/>
          <w:szCs w:val="24"/>
        </w:rPr>
        <w:t xml:space="preserve"> the </w:t>
      </w:r>
      <w:r w:rsidR="00C9437A" w:rsidRPr="00C20287">
        <w:rPr>
          <w:rFonts w:ascii="Calibri" w:eastAsiaTheme="majorEastAsia" w:hAnsi="Calibri" w:cs="Calibri"/>
          <w:bCs/>
          <w:color w:val="0D0D0D" w:themeColor="text1" w:themeTint="F2"/>
          <w:sz w:val="24"/>
          <w:szCs w:val="24"/>
        </w:rPr>
        <w:t xml:space="preserve">supply of subsidised </w:t>
      </w:r>
      <w:r w:rsidR="009248AB" w:rsidRPr="00C20287">
        <w:rPr>
          <w:rFonts w:ascii="Calibri" w:eastAsiaTheme="majorEastAsia" w:hAnsi="Calibri" w:cs="Calibri"/>
          <w:bCs/>
          <w:color w:val="0D0D0D" w:themeColor="text1" w:themeTint="F2"/>
          <w:sz w:val="24"/>
          <w:szCs w:val="24"/>
        </w:rPr>
        <w:t>Pharmaceutical Benefits Scheme (</w:t>
      </w:r>
      <w:r w:rsidR="00C9437A" w:rsidRPr="00C20287">
        <w:rPr>
          <w:rFonts w:ascii="Calibri" w:eastAsiaTheme="majorEastAsia" w:hAnsi="Calibri" w:cs="Calibri"/>
          <w:bCs/>
          <w:color w:val="0D0D0D" w:themeColor="text1" w:themeTint="F2"/>
          <w:sz w:val="24"/>
          <w:szCs w:val="24"/>
        </w:rPr>
        <w:t>PBS</w:t>
      </w:r>
      <w:r w:rsidR="009248AB" w:rsidRPr="00C20287">
        <w:rPr>
          <w:rFonts w:ascii="Calibri" w:eastAsiaTheme="majorEastAsia" w:hAnsi="Calibri" w:cs="Calibri"/>
          <w:bCs/>
          <w:color w:val="0D0D0D" w:themeColor="text1" w:themeTint="F2"/>
          <w:sz w:val="24"/>
          <w:szCs w:val="24"/>
        </w:rPr>
        <w:t>)</w:t>
      </w:r>
      <w:r w:rsidR="00C9437A" w:rsidRPr="00C20287">
        <w:rPr>
          <w:rFonts w:ascii="Calibri" w:eastAsiaTheme="majorEastAsia" w:hAnsi="Calibri" w:cs="Calibri"/>
          <w:bCs/>
          <w:color w:val="0D0D0D" w:themeColor="text1" w:themeTint="F2"/>
          <w:sz w:val="24"/>
          <w:szCs w:val="24"/>
        </w:rPr>
        <w:t xml:space="preserve"> medicines to Australians</w:t>
      </w:r>
      <w:r w:rsidR="009C300C" w:rsidRPr="00C20287">
        <w:rPr>
          <w:rFonts w:ascii="Calibri" w:eastAsiaTheme="majorEastAsia" w:hAnsi="Calibri" w:cs="Calibri"/>
          <w:bCs/>
          <w:color w:val="0D0D0D" w:themeColor="text1" w:themeTint="F2"/>
          <w:sz w:val="24"/>
          <w:szCs w:val="24"/>
        </w:rPr>
        <w:t>, and related matters,</w:t>
      </w:r>
      <w:r w:rsidR="00C9437A" w:rsidRPr="00C20287" w:rsidDel="00C9437A">
        <w:rPr>
          <w:rFonts w:ascii="Calibri" w:eastAsiaTheme="majorEastAsia" w:hAnsi="Calibri" w:cs="Calibri"/>
          <w:bCs/>
          <w:color w:val="0D0D0D" w:themeColor="text1" w:themeTint="F2"/>
          <w:sz w:val="24"/>
          <w:szCs w:val="24"/>
        </w:rPr>
        <w:t xml:space="preserve"> </w:t>
      </w:r>
      <w:r w:rsidR="009530AC" w:rsidRPr="00C20287">
        <w:rPr>
          <w:rFonts w:ascii="Calibri" w:eastAsiaTheme="majorEastAsia" w:hAnsi="Calibri" w:cs="Calibri"/>
          <w:bCs/>
          <w:color w:val="0D0D0D" w:themeColor="text1" w:themeTint="F2"/>
          <w:sz w:val="24"/>
          <w:szCs w:val="24"/>
        </w:rPr>
        <w:t xml:space="preserve">as </w:t>
      </w:r>
      <w:r w:rsidR="008033CF" w:rsidRPr="00C20287">
        <w:rPr>
          <w:rFonts w:ascii="Calibri" w:eastAsiaTheme="majorEastAsia" w:hAnsi="Calibri" w:cs="Calibri"/>
          <w:bCs/>
          <w:color w:val="0D0D0D" w:themeColor="text1" w:themeTint="F2"/>
          <w:sz w:val="24"/>
          <w:szCs w:val="24"/>
        </w:rPr>
        <w:t>required</w:t>
      </w:r>
      <w:r w:rsidR="009530AC" w:rsidRPr="00C20287">
        <w:rPr>
          <w:rFonts w:ascii="Calibri" w:eastAsiaTheme="majorEastAsia" w:hAnsi="Calibri" w:cs="Calibri"/>
          <w:bCs/>
          <w:color w:val="0D0D0D" w:themeColor="text1" w:themeTint="F2"/>
          <w:sz w:val="24"/>
          <w:szCs w:val="24"/>
        </w:rPr>
        <w:t xml:space="preserve"> </w:t>
      </w:r>
      <w:r w:rsidR="009248AB" w:rsidRPr="00C20287">
        <w:rPr>
          <w:rFonts w:ascii="Calibri" w:eastAsiaTheme="majorEastAsia" w:hAnsi="Calibri" w:cs="Calibri"/>
          <w:bCs/>
          <w:color w:val="0D0D0D" w:themeColor="text1" w:themeTint="F2"/>
          <w:sz w:val="24"/>
          <w:szCs w:val="24"/>
        </w:rPr>
        <w:t>under the Australian Government’s Policy Impact Analysis Framework</w:t>
      </w:r>
      <w:r w:rsidR="009530AC" w:rsidRPr="00C20287">
        <w:rPr>
          <w:rFonts w:ascii="Calibri" w:eastAsiaTheme="majorEastAsia" w:hAnsi="Calibri" w:cs="Calibri"/>
          <w:bCs/>
          <w:color w:val="0D0D0D" w:themeColor="text1" w:themeTint="F2"/>
          <w:sz w:val="24"/>
          <w:szCs w:val="24"/>
        </w:rPr>
        <w:t>. Th</w:t>
      </w:r>
      <w:r w:rsidR="008033CF" w:rsidRPr="00C20287">
        <w:rPr>
          <w:rFonts w:ascii="Calibri" w:eastAsiaTheme="majorEastAsia" w:hAnsi="Calibri" w:cs="Calibri"/>
          <w:bCs/>
          <w:color w:val="0D0D0D" w:themeColor="text1" w:themeTint="F2"/>
          <w:sz w:val="24"/>
          <w:szCs w:val="24"/>
        </w:rPr>
        <w:t>is</w:t>
      </w:r>
      <w:r w:rsidR="009530AC" w:rsidRPr="00C20287">
        <w:rPr>
          <w:rFonts w:ascii="Calibri" w:eastAsiaTheme="majorEastAsia" w:hAnsi="Calibri" w:cs="Calibri"/>
          <w:bCs/>
          <w:color w:val="0D0D0D" w:themeColor="text1" w:themeTint="F2"/>
          <w:sz w:val="24"/>
          <w:szCs w:val="24"/>
        </w:rPr>
        <w:t xml:space="preserve"> IA </w:t>
      </w:r>
      <w:r w:rsidR="00F72668">
        <w:rPr>
          <w:rFonts w:ascii="Calibri" w:eastAsiaTheme="majorEastAsia" w:hAnsi="Calibri" w:cs="Calibri"/>
          <w:bCs/>
          <w:color w:val="0D0D0D" w:themeColor="text1" w:themeTint="F2"/>
          <w:sz w:val="24"/>
          <w:szCs w:val="24"/>
        </w:rPr>
        <w:t>addresses</w:t>
      </w:r>
      <w:r w:rsidR="00EB5345" w:rsidRPr="00C20287">
        <w:rPr>
          <w:rFonts w:ascii="Calibri" w:eastAsiaTheme="majorEastAsia" w:hAnsi="Calibri" w:cs="Calibri"/>
          <w:bCs/>
          <w:color w:val="0D0D0D" w:themeColor="text1" w:themeTint="F2"/>
          <w:sz w:val="24"/>
          <w:szCs w:val="24"/>
        </w:rPr>
        <w:t xml:space="preserve"> </w:t>
      </w:r>
      <w:r w:rsidR="003F7C7E" w:rsidRPr="00C20287">
        <w:rPr>
          <w:rFonts w:ascii="Calibri" w:eastAsiaTheme="majorEastAsia" w:hAnsi="Calibri" w:cs="Calibri"/>
          <w:bCs/>
          <w:color w:val="0D0D0D" w:themeColor="text1" w:themeTint="F2"/>
          <w:sz w:val="24"/>
          <w:szCs w:val="24"/>
        </w:rPr>
        <w:t xml:space="preserve">all seven </w:t>
      </w:r>
      <w:r w:rsidR="009530AC" w:rsidRPr="00C20287">
        <w:rPr>
          <w:rFonts w:ascii="Calibri" w:eastAsiaTheme="majorEastAsia" w:hAnsi="Calibri" w:cs="Calibri"/>
          <w:bCs/>
          <w:color w:val="0D0D0D" w:themeColor="text1" w:themeTint="F2"/>
          <w:sz w:val="24"/>
          <w:szCs w:val="24"/>
        </w:rPr>
        <w:t xml:space="preserve">questions </w:t>
      </w:r>
      <w:r w:rsidR="0026515D" w:rsidRPr="00C20287">
        <w:rPr>
          <w:rFonts w:ascii="Calibri" w:eastAsiaTheme="majorEastAsia" w:hAnsi="Calibri" w:cs="Calibri"/>
          <w:bCs/>
          <w:color w:val="0D0D0D" w:themeColor="text1" w:themeTint="F2"/>
          <w:sz w:val="24"/>
          <w:szCs w:val="24"/>
        </w:rPr>
        <w:t>of the Australian Government Guide to Policy Impact Analysis</w:t>
      </w:r>
      <w:r w:rsidR="009530AC" w:rsidRPr="00C20287">
        <w:rPr>
          <w:rFonts w:ascii="Calibri" w:eastAsiaTheme="majorEastAsia" w:hAnsi="Calibri" w:cs="Calibri"/>
          <w:bCs/>
          <w:color w:val="0D0D0D" w:themeColor="text1" w:themeTint="F2"/>
          <w:sz w:val="24"/>
          <w:szCs w:val="24"/>
        </w:rPr>
        <w:t xml:space="preserve">. </w:t>
      </w:r>
    </w:p>
    <w:p w14:paraId="6CA64928" w14:textId="4C6EE475" w:rsidR="00B74395" w:rsidRPr="00C20287" w:rsidRDefault="006E2655" w:rsidP="00160AF9">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All</w:t>
      </w:r>
      <w:r w:rsidR="00B74395" w:rsidRPr="00C20287">
        <w:rPr>
          <w:rFonts w:asciiTheme="minorHAnsi" w:hAnsiTheme="minorHAnsi"/>
          <w:color w:val="0D0D0D" w:themeColor="text1" w:themeTint="F2"/>
          <w:sz w:val="24"/>
          <w:szCs w:val="24"/>
        </w:rPr>
        <w:t xml:space="preserve"> </w:t>
      </w:r>
      <w:r w:rsidR="004160E2" w:rsidRPr="00C20287">
        <w:rPr>
          <w:rFonts w:asciiTheme="minorHAnsi" w:hAnsiTheme="minorHAnsi"/>
          <w:color w:val="0D0D0D" w:themeColor="text1" w:themeTint="F2"/>
          <w:sz w:val="24"/>
          <w:szCs w:val="24"/>
        </w:rPr>
        <w:t xml:space="preserve">options considered for </w:t>
      </w:r>
      <w:r w:rsidR="009C300C" w:rsidRPr="00C20287">
        <w:rPr>
          <w:rFonts w:asciiTheme="minorHAnsi" w:hAnsiTheme="minorHAnsi"/>
          <w:color w:val="0D0D0D" w:themeColor="text1" w:themeTint="F2"/>
          <w:sz w:val="24"/>
          <w:szCs w:val="24"/>
        </w:rPr>
        <w:t>payments and policy related to</w:t>
      </w:r>
      <w:r w:rsidR="004160E2" w:rsidRPr="00C20287">
        <w:rPr>
          <w:rFonts w:asciiTheme="minorHAnsi" w:hAnsiTheme="minorHAnsi"/>
          <w:color w:val="0D0D0D" w:themeColor="text1" w:themeTint="F2"/>
          <w:sz w:val="24"/>
          <w:szCs w:val="24"/>
        </w:rPr>
        <w:t xml:space="preserve"> the supply of subsidised PBS medicines to Australians</w:t>
      </w:r>
      <w:r w:rsidR="004160E2" w:rsidRPr="00C20287" w:rsidDel="005806A3">
        <w:rPr>
          <w:rFonts w:asciiTheme="minorHAnsi" w:hAnsiTheme="minorHAnsi"/>
          <w:color w:val="0D0D0D" w:themeColor="text1" w:themeTint="F2"/>
          <w:sz w:val="24"/>
          <w:szCs w:val="24"/>
        </w:rPr>
        <w:t xml:space="preserve"> </w:t>
      </w:r>
      <w:r w:rsidR="004160E2" w:rsidRPr="00C20287">
        <w:rPr>
          <w:rFonts w:asciiTheme="minorHAnsi" w:hAnsiTheme="minorHAnsi"/>
          <w:color w:val="0D0D0D" w:themeColor="text1" w:themeTint="F2"/>
          <w:sz w:val="24"/>
          <w:szCs w:val="24"/>
        </w:rPr>
        <w:t>will be c</w:t>
      </w:r>
      <w:r w:rsidR="009C300C" w:rsidRPr="00C20287">
        <w:rPr>
          <w:rFonts w:asciiTheme="minorHAnsi" w:hAnsiTheme="minorHAnsi"/>
          <w:color w:val="0D0D0D" w:themeColor="text1" w:themeTint="F2"/>
          <w:sz w:val="24"/>
          <w:szCs w:val="24"/>
        </w:rPr>
        <w:t xml:space="preserve">onsidered in terms of their ability to support achieving the outcomes under </w:t>
      </w:r>
      <w:r w:rsidR="004160E2" w:rsidRPr="00C20287">
        <w:rPr>
          <w:rFonts w:asciiTheme="minorHAnsi" w:hAnsiTheme="minorHAnsi"/>
          <w:color w:val="0D0D0D" w:themeColor="text1" w:themeTint="F2"/>
          <w:sz w:val="24"/>
          <w:szCs w:val="24"/>
        </w:rPr>
        <w:t xml:space="preserve">the </w:t>
      </w:r>
      <w:r w:rsidR="00B74395" w:rsidRPr="00C20287">
        <w:rPr>
          <w:rFonts w:asciiTheme="minorHAnsi" w:hAnsiTheme="minorHAnsi"/>
          <w:color w:val="0D0D0D" w:themeColor="text1" w:themeTint="F2"/>
          <w:sz w:val="24"/>
          <w:szCs w:val="24"/>
        </w:rPr>
        <w:t xml:space="preserve">high-level framework </w:t>
      </w:r>
      <w:r w:rsidRPr="00C20287">
        <w:rPr>
          <w:rFonts w:asciiTheme="minorHAnsi" w:hAnsiTheme="minorHAnsi"/>
          <w:color w:val="0D0D0D" w:themeColor="text1" w:themeTint="F2"/>
          <w:sz w:val="24"/>
          <w:szCs w:val="24"/>
        </w:rPr>
        <w:t xml:space="preserve">established by </w:t>
      </w:r>
      <w:r w:rsidR="0026515D" w:rsidRPr="00C20287">
        <w:rPr>
          <w:rFonts w:asciiTheme="minorHAnsi" w:hAnsiTheme="minorHAnsi"/>
          <w:color w:val="0D0D0D" w:themeColor="text1" w:themeTint="F2"/>
          <w:sz w:val="24"/>
          <w:szCs w:val="24"/>
        </w:rPr>
        <w:t xml:space="preserve">the </w:t>
      </w:r>
      <w:r w:rsidR="004160E2" w:rsidRPr="00C20287">
        <w:rPr>
          <w:rFonts w:asciiTheme="minorHAnsi" w:hAnsiTheme="minorHAnsi"/>
          <w:color w:val="0D0D0D" w:themeColor="text1" w:themeTint="F2"/>
          <w:sz w:val="24"/>
          <w:szCs w:val="24"/>
        </w:rPr>
        <w:t>National Medicines Policy</w:t>
      </w:r>
      <w:r w:rsidR="004160E2" w:rsidRPr="00C20287">
        <w:rPr>
          <w:rStyle w:val="FootnoteReference"/>
          <w:rFonts w:asciiTheme="minorHAnsi" w:hAnsiTheme="minorHAnsi"/>
          <w:color w:val="0D0D0D" w:themeColor="text1" w:themeTint="F2"/>
          <w:sz w:val="24"/>
          <w:szCs w:val="24"/>
        </w:rPr>
        <w:footnoteReference w:id="2"/>
      </w:r>
      <w:r w:rsidR="004160E2" w:rsidRPr="00C20287">
        <w:rPr>
          <w:rFonts w:asciiTheme="minorHAnsi" w:hAnsiTheme="minorHAnsi"/>
          <w:color w:val="0D0D0D" w:themeColor="text1" w:themeTint="F2"/>
          <w:sz w:val="24"/>
          <w:szCs w:val="24"/>
        </w:rPr>
        <w:t xml:space="preserve"> (NMP)</w:t>
      </w:r>
      <w:r w:rsidR="00B74395" w:rsidRPr="00C20287">
        <w:rPr>
          <w:rFonts w:asciiTheme="minorHAnsi" w:hAnsiTheme="minorHAnsi"/>
          <w:color w:val="0D0D0D" w:themeColor="text1" w:themeTint="F2"/>
          <w:sz w:val="24"/>
          <w:szCs w:val="24"/>
        </w:rPr>
        <w:t xml:space="preserve">. The NMP promotes the quality use of medicines and medicines safety </w:t>
      </w:r>
      <w:r w:rsidR="00C20287">
        <w:rPr>
          <w:rFonts w:asciiTheme="minorHAnsi" w:hAnsiTheme="minorHAnsi"/>
          <w:color w:val="0D0D0D" w:themeColor="text1" w:themeTint="F2"/>
          <w:sz w:val="24"/>
          <w:szCs w:val="24"/>
        </w:rPr>
        <w:t>to meet</w:t>
      </w:r>
      <w:r w:rsidR="00B74395" w:rsidRPr="00C20287">
        <w:rPr>
          <w:rFonts w:asciiTheme="minorHAnsi" w:hAnsiTheme="minorHAnsi"/>
          <w:color w:val="0D0D0D" w:themeColor="text1" w:themeTint="F2"/>
          <w:sz w:val="24"/>
          <w:szCs w:val="24"/>
        </w:rPr>
        <w:t xml:space="preserve"> the current and future health needs of </w:t>
      </w:r>
      <w:r w:rsidR="009C300C" w:rsidRPr="00C20287">
        <w:rPr>
          <w:rFonts w:asciiTheme="minorHAnsi" w:hAnsiTheme="minorHAnsi"/>
          <w:color w:val="0D0D0D" w:themeColor="text1" w:themeTint="F2"/>
          <w:sz w:val="24"/>
          <w:szCs w:val="24"/>
        </w:rPr>
        <w:t xml:space="preserve">the community. It sets out </w:t>
      </w:r>
      <w:r w:rsidR="00B74395" w:rsidRPr="00C20287">
        <w:rPr>
          <w:rFonts w:asciiTheme="minorHAnsi" w:hAnsiTheme="minorHAnsi"/>
          <w:color w:val="0D0D0D" w:themeColor="text1" w:themeTint="F2"/>
          <w:sz w:val="24"/>
          <w:szCs w:val="24"/>
        </w:rPr>
        <w:t xml:space="preserve">the responsibilities of all partners </w:t>
      </w:r>
      <w:r w:rsidR="009C300C" w:rsidRPr="00C20287">
        <w:rPr>
          <w:rFonts w:asciiTheme="minorHAnsi" w:hAnsiTheme="minorHAnsi"/>
          <w:color w:val="0D0D0D" w:themeColor="text1" w:themeTint="F2"/>
          <w:sz w:val="24"/>
          <w:szCs w:val="24"/>
        </w:rPr>
        <w:t xml:space="preserve">involved in supplying medicines </w:t>
      </w:r>
      <w:r w:rsidR="00B74395" w:rsidRPr="00C20287">
        <w:rPr>
          <w:rFonts w:asciiTheme="minorHAnsi" w:hAnsiTheme="minorHAnsi"/>
          <w:color w:val="0D0D0D" w:themeColor="text1" w:themeTint="F2"/>
          <w:sz w:val="24"/>
          <w:szCs w:val="24"/>
        </w:rPr>
        <w:t>to achieve the best health, social and economic outcomes for all Australians.</w:t>
      </w:r>
      <w:r w:rsidR="004160E2" w:rsidRPr="00C20287">
        <w:rPr>
          <w:rFonts w:asciiTheme="minorHAnsi" w:hAnsiTheme="minorHAnsi"/>
          <w:color w:val="0D0D0D" w:themeColor="text1" w:themeTint="F2"/>
          <w:sz w:val="24"/>
          <w:szCs w:val="24"/>
        </w:rPr>
        <w:t xml:space="preserve"> It</w:t>
      </w:r>
      <w:r w:rsidRPr="00C20287">
        <w:rPr>
          <w:rFonts w:asciiTheme="minorHAnsi" w:hAnsiTheme="minorHAnsi"/>
          <w:color w:val="0D0D0D" w:themeColor="text1" w:themeTint="F2"/>
          <w:sz w:val="24"/>
          <w:szCs w:val="24"/>
        </w:rPr>
        <w:t xml:space="preserve"> a</w:t>
      </w:r>
      <w:r w:rsidR="00B74395" w:rsidRPr="00C20287">
        <w:rPr>
          <w:rFonts w:asciiTheme="minorHAnsi" w:hAnsiTheme="minorHAnsi"/>
          <w:color w:val="0D0D0D" w:themeColor="text1" w:themeTint="F2"/>
          <w:sz w:val="24"/>
          <w:szCs w:val="24"/>
        </w:rPr>
        <w:t>cknowledges the fundamental role of consumers in achieving the policy aim by placing the individual at the centre, and by responding to the needs of Australia’s diverse population.</w:t>
      </w:r>
      <w:r w:rsidR="0026515D" w:rsidRPr="00C20287">
        <w:rPr>
          <w:rFonts w:asciiTheme="minorHAnsi" w:hAnsiTheme="minorHAnsi"/>
          <w:color w:val="0D0D0D" w:themeColor="text1" w:themeTint="F2"/>
          <w:sz w:val="24"/>
          <w:szCs w:val="24"/>
        </w:rPr>
        <w:t xml:space="preserve"> The Department</w:t>
      </w:r>
      <w:r w:rsidR="00D03919">
        <w:rPr>
          <w:rFonts w:asciiTheme="minorHAnsi" w:hAnsiTheme="minorHAnsi"/>
          <w:color w:val="0D0D0D" w:themeColor="text1" w:themeTint="F2"/>
          <w:sz w:val="24"/>
          <w:szCs w:val="24"/>
        </w:rPr>
        <w:t xml:space="preserve"> of Health and Aged Care (the Department)</w:t>
      </w:r>
      <w:r w:rsidR="0026515D" w:rsidRPr="00C20287">
        <w:rPr>
          <w:rFonts w:asciiTheme="minorHAnsi" w:hAnsiTheme="minorHAnsi"/>
          <w:color w:val="0D0D0D" w:themeColor="text1" w:themeTint="F2"/>
          <w:sz w:val="24"/>
          <w:szCs w:val="24"/>
        </w:rPr>
        <w:t xml:space="preserve"> </w:t>
      </w:r>
      <w:r w:rsidR="00F72668">
        <w:rPr>
          <w:rFonts w:asciiTheme="minorHAnsi" w:hAnsiTheme="minorHAnsi"/>
          <w:color w:val="0D0D0D" w:themeColor="text1" w:themeTint="F2"/>
          <w:sz w:val="24"/>
          <w:szCs w:val="24"/>
        </w:rPr>
        <w:t xml:space="preserve">has undertaken </w:t>
      </w:r>
      <w:r w:rsidR="0026515D" w:rsidRPr="00C20287">
        <w:rPr>
          <w:rFonts w:asciiTheme="minorHAnsi" w:hAnsiTheme="minorHAnsi"/>
          <w:color w:val="0D0D0D" w:themeColor="text1" w:themeTint="F2"/>
          <w:sz w:val="24"/>
          <w:szCs w:val="24"/>
        </w:rPr>
        <w:t xml:space="preserve">extensive consultation with </w:t>
      </w:r>
      <w:r w:rsidR="00E93459" w:rsidRPr="00C20287">
        <w:rPr>
          <w:rFonts w:asciiTheme="minorHAnsi" w:hAnsiTheme="minorHAnsi"/>
          <w:color w:val="0D0D0D" w:themeColor="text1" w:themeTint="F2"/>
          <w:sz w:val="24"/>
          <w:szCs w:val="24"/>
        </w:rPr>
        <w:t xml:space="preserve">multiple </w:t>
      </w:r>
      <w:r w:rsidR="0026515D" w:rsidRPr="00C20287">
        <w:rPr>
          <w:rFonts w:asciiTheme="minorHAnsi" w:hAnsiTheme="minorHAnsi"/>
          <w:color w:val="0D0D0D" w:themeColor="text1" w:themeTint="F2"/>
          <w:sz w:val="24"/>
          <w:szCs w:val="24"/>
        </w:rPr>
        <w:t>consumer organisations</w:t>
      </w:r>
      <w:r w:rsidR="009C300C" w:rsidRPr="00C20287">
        <w:rPr>
          <w:rFonts w:asciiTheme="minorHAnsi" w:hAnsiTheme="minorHAnsi"/>
          <w:color w:val="0D0D0D" w:themeColor="text1" w:themeTint="F2"/>
          <w:sz w:val="24"/>
          <w:szCs w:val="24"/>
        </w:rPr>
        <w:t xml:space="preserve"> about issues that may be the subject of a new</w:t>
      </w:r>
      <w:r w:rsidR="00D2598A">
        <w:rPr>
          <w:rFonts w:asciiTheme="minorHAnsi" w:hAnsiTheme="minorHAnsi"/>
          <w:color w:val="0D0D0D" w:themeColor="text1" w:themeTint="F2"/>
          <w:sz w:val="24"/>
          <w:szCs w:val="24"/>
        </w:rPr>
        <w:t xml:space="preserve"> CPA</w:t>
      </w:r>
      <w:r w:rsidR="0026515D" w:rsidRPr="00C20287">
        <w:rPr>
          <w:rFonts w:asciiTheme="minorHAnsi" w:hAnsiTheme="minorHAnsi"/>
          <w:color w:val="0D0D0D" w:themeColor="text1" w:themeTint="F2"/>
          <w:sz w:val="24"/>
          <w:szCs w:val="24"/>
        </w:rPr>
        <w:t>.</w:t>
      </w:r>
    </w:p>
    <w:p w14:paraId="5E66B2EC" w14:textId="7B5DFDBE" w:rsidR="003B2F78" w:rsidRPr="00C20287" w:rsidRDefault="006E2655" w:rsidP="00160AF9">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The primary intent of entering</w:t>
      </w:r>
      <w:r w:rsidR="0026515D" w:rsidRPr="00C20287">
        <w:rPr>
          <w:rFonts w:asciiTheme="minorHAnsi" w:hAnsiTheme="minorHAnsi"/>
          <w:color w:val="0D0D0D" w:themeColor="text1" w:themeTint="F2"/>
          <w:sz w:val="24"/>
          <w:szCs w:val="24"/>
        </w:rPr>
        <w:t xml:space="preserve"> into</w:t>
      </w:r>
      <w:r w:rsidRPr="00C20287">
        <w:rPr>
          <w:rFonts w:asciiTheme="minorHAnsi" w:hAnsiTheme="minorHAnsi"/>
          <w:color w:val="0D0D0D" w:themeColor="text1" w:themeTint="F2"/>
          <w:sz w:val="24"/>
          <w:szCs w:val="24"/>
        </w:rPr>
        <w:t xml:space="preserve"> a</w:t>
      </w:r>
      <w:r w:rsidR="009C300C" w:rsidRPr="00C20287">
        <w:rPr>
          <w:rFonts w:asciiTheme="minorHAnsi" w:hAnsiTheme="minorHAnsi"/>
          <w:color w:val="0D0D0D" w:themeColor="text1" w:themeTint="F2"/>
          <w:sz w:val="24"/>
          <w:szCs w:val="24"/>
        </w:rPr>
        <w:t xml:space="preserve"> </w:t>
      </w:r>
      <w:r w:rsidR="00D2598A">
        <w:rPr>
          <w:rFonts w:asciiTheme="minorHAnsi" w:hAnsiTheme="minorHAnsi"/>
          <w:color w:val="0D0D0D" w:themeColor="text1" w:themeTint="F2"/>
          <w:sz w:val="24"/>
          <w:szCs w:val="24"/>
        </w:rPr>
        <w:t xml:space="preserve">CPA </w:t>
      </w:r>
      <w:r w:rsidRPr="00C20287">
        <w:rPr>
          <w:rFonts w:asciiTheme="minorHAnsi" w:hAnsiTheme="minorHAnsi"/>
          <w:color w:val="0D0D0D" w:themeColor="text1" w:themeTint="F2"/>
          <w:sz w:val="24"/>
          <w:szCs w:val="24"/>
        </w:rPr>
        <w:t>to re</w:t>
      </w:r>
      <w:r w:rsidR="009C300C" w:rsidRPr="00C20287">
        <w:rPr>
          <w:rFonts w:asciiTheme="minorHAnsi" w:hAnsiTheme="minorHAnsi"/>
          <w:color w:val="0D0D0D" w:themeColor="text1" w:themeTint="F2"/>
          <w:sz w:val="24"/>
          <w:szCs w:val="24"/>
        </w:rPr>
        <w:t>mun</w:t>
      </w:r>
      <w:r w:rsidRPr="00C20287">
        <w:rPr>
          <w:rFonts w:asciiTheme="minorHAnsi" w:hAnsiTheme="minorHAnsi"/>
          <w:color w:val="0D0D0D" w:themeColor="text1" w:themeTint="F2"/>
          <w:sz w:val="24"/>
          <w:szCs w:val="24"/>
        </w:rPr>
        <w:t>erate pharmacists for the dispensing of medicines</w:t>
      </w:r>
      <w:r w:rsidR="009C300C" w:rsidRPr="00C20287">
        <w:rPr>
          <w:rFonts w:asciiTheme="minorHAnsi" w:hAnsiTheme="minorHAnsi"/>
          <w:color w:val="0D0D0D" w:themeColor="text1" w:themeTint="F2"/>
          <w:sz w:val="24"/>
          <w:szCs w:val="24"/>
        </w:rPr>
        <w:t>, and potentially medicines-related services,</w:t>
      </w:r>
      <w:r w:rsidRPr="00C20287">
        <w:rPr>
          <w:rFonts w:asciiTheme="minorHAnsi" w:hAnsiTheme="minorHAnsi"/>
          <w:color w:val="0D0D0D" w:themeColor="text1" w:themeTint="F2"/>
          <w:sz w:val="24"/>
          <w:szCs w:val="24"/>
        </w:rPr>
        <w:t xml:space="preserve"> is to ensure all Australians have</w:t>
      </w:r>
      <w:r w:rsidR="009C300C" w:rsidRPr="00C20287">
        <w:rPr>
          <w:rFonts w:asciiTheme="minorHAnsi" w:hAnsiTheme="minorHAnsi"/>
          <w:color w:val="0D0D0D" w:themeColor="text1" w:themeTint="F2"/>
          <w:sz w:val="24"/>
          <w:szCs w:val="24"/>
        </w:rPr>
        <w:t xml:space="preserve"> optimised</w:t>
      </w:r>
      <w:r w:rsidRPr="00C20287">
        <w:rPr>
          <w:rFonts w:asciiTheme="minorHAnsi" w:hAnsiTheme="minorHAnsi"/>
          <w:color w:val="0D0D0D" w:themeColor="text1" w:themeTint="F2"/>
          <w:sz w:val="24"/>
          <w:szCs w:val="24"/>
        </w:rPr>
        <w:t xml:space="preserve"> access to timely, safe and affordable medicines. </w:t>
      </w:r>
      <w:r w:rsidRPr="00A640E2">
        <w:rPr>
          <w:rFonts w:asciiTheme="minorHAnsi" w:hAnsiTheme="minorHAnsi"/>
          <w:color w:val="0D0D0D" w:themeColor="text1" w:themeTint="F2"/>
          <w:sz w:val="24"/>
          <w:szCs w:val="24"/>
        </w:rPr>
        <w:t>Community pharmacies</w:t>
      </w:r>
      <w:r w:rsidR="00A640E2" w:rsidRPr="00A640E2">
        <w:rPr>
          <w:rFonts w:asciiTheme="minorHAnsi" w:hAnsiTheme="minorHAnsi"/>
          <w:sz w:val="24"/>
          <w:szCs w:val="24"/>
        </w:rPr>
        <w:t>, which are private sector (retail) pharmacies,</w:t>
      </w:r>
      <w:r w:rsidRPr="00C20287">
        <w:rPr>
          <w:rFonts w:asciiTheme="minorHAnsi" w:hAnsiTheme="minorHAnsi"/>
          <w:color w:val="0D0D0D" w:themeColor="text1" w:themeTint="F2"/>
          <w:sz w:val="24"/>
          <w:szCs w:val="24"/>
        </w:rPr>
        <w:t xml:space="preserve"> are a critical component of the Australian health system</w:t>
      </w:r>
      <w:r w:rsidR="007E5CB2" w:rsidRPr="00C20287">
        <w:rPr>
          <w:rFonts w:asciiTheme="minorHAnsi" w:hAnsiTheme="minorHAnsi"/>
          <w:color w:val="0D0D0D" w:themeColor="text1" w:themeTint="F2"/>
          <w:sz w:val="24"/>
          <w:szCs w:val="24"/>
        </w:rPr>
        <w:t xml:space="preserve">, </w:t>
      </w:r>
      <w:r w:rsidRPr="00C20287">
        <w:rPr>
          <w:rFonts w:asciiTheme="minorHAnsi" w:hAnsiTheme="minorHAnsi"/>
          <w:color w:val="0D0D0D" w:themeColor="text1" w:themeTint="F2"/>
          <w:sz w:val="24"/>
          <w:szCs w:val="24"/>
        </w:rPr>
        <w:t>provid</w:t>
      </w:r>
      <w:r w:rsidR="007E5CB2" w:rsidRPr="00C20287">
        <w:rPr>
          <w:rFonts w:asciiTheme="minorHAnsi" w:hAnsiTheme="minorHAnsi"/>
          <w:color w:val="0D0D0D" w:themeColor="text1" w:themeTint="F2"/>
          <w:sz w:val="24"/>
          <w:szCs w:val="24"/>
        </w:rPr>
        <w:t>ing</w:t>
      </w:r>
      <w:r w:rsidRPr="00C20287">
        <w:rPr>
          <w:rFonts w:asciiTheme="minorHAnsi" w:hAnsiTheme="minorHAnsi"/>
          <w:color w:val="0D0D0D" w:themeColor="text1" w:themeTint="F2"/>
          <w:sz w:val="24"/>
          <w:szCs w:val="24"/>
        </w:rPr>
        <w:t xml:space="preserve"> consumer access to PBS subsidised medicines and related services across Australia</w:t>
      </w:r>
      <w:r w:rsidR="004E74EF" w:rsidRPr="00C20287">
        <w:rPr>
          <w:rStyle w:val="FootnoteReference"/>
          <w:rFonts w:asciiTheme="minorHAnsi" w:hAnsiTheme="minorHAnsi"/>
          <w:color w:val="0D0D0D" w:themeColor="text1" w:themeTint="F2"/>
          <w:sz w:val="24"/>
          <w:szCs w:val="24"/>
        </w:rPr>
        <w:footnoteReference w:id="3"/>
      </w:r>
      <w:r w:rsidRPr="00C20287">
        <w:rPr>
          <w:rFonts w:asciiTheme="minorHAnsi" w:hAnsiTheme="minorHAnsi"/>
          <w:color w:val="0D0D0D" w:themeColor="text1" w:themeTint="F2"/>
          <w:sz w:val="24"/>
          <w:szCs w:val="24"/>
        </w:rPr>
        <w:t>.</w:t>
      </w:r>
      <w:r w:rsidR="003B2F78" w:rsidRPr="00C20287">
        <w:rPr>
          <w:rFonts w:asciiTheme="minorHAnsi" w:hAnsiTheme="minorHAnsi"/>
          <w:color w:val="0D0D0D" w:themeColor="text1" w:themeTint="F2"/>
          <w:sz w:val="24"/>
          <w:szCs w:val="24"/>
        </w:rPr>
        <w:t xml:space="preserve"> </w:t>
      </w:r>
    </w:p>
    <w:p w14:paraId="3EFD9193" w14:textId="5B99526C" w:rsidR="007E5CB2" w:rsidRPr="00C20287" w:rsidRDefault="00733580" w:rsidP="00B74395">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All areas of the pharmacy sector, including wholesalers, compounding pharmacies, hospital pharmacies, and</w:t>
      </w:r>
      <w:r w:rsidR="00A640E2">
        <w:rPr>
          <w:rFonts w:asciiTheme="minorHAnsi" w:hAnsiTheme="minorHAnsi"/>
          <w:color w:val="0D0D0D" w:themeColor="text1" w:themeTint="F2"/>
          <w:sz w:val="24"/>
          <w:szCs w:val="24"/>
        </w:rPr>
        <w:t xml:space="preserve"> other entities</w:t>
      </w:r>
      <w:r w:rsidRPr="00C20287">
        <w:rPr>
          <w:rFonts w:asciiTheme="minorHAnsi" w:hAnsiTheme="minorHAnsi"/>
          <w:color w:val="0D0D0D" w:themeColor="text1" w:themeTint="F2"/>
          <w:sz w:val="24"/>
          <w:szCs w:val="24"/>
        </w:rPr>
        <w:t xml:space="preserve">, are affected by the Commonwealth price of PBS subsidised medicines agreed through the CPA. </w:t>
      </w:r>
      <w:r w:rsidR="00715B3D" w:rsidRPr="00C20287">
        <w:rPr>
          <w:rFonts w:asciiTheme="minorHAnsi" w:hAnsiTheme="minorHAnsi"/>
          <w:color w:val="0D0D0D" w:themeColor="text1" w:themeTint="F2"/>
          <w:sz w:val="24"/>
          <w:szCs w:val="24"/>
        </w:rPr>
        <w:t xml:space="preserve">Since 1990 the Commonwealth has entered into </w:t>
      </w:r>
      <w:r w:rsidR="00D2598A">
        <w:rPr>
          <w:rFonts w:asciiTheme="minorHAnsi" w:hAnsiTheme="minorHAnsi"/>
          <w:color w:val="0D0D0D" w:themeColor="text1" w:themeTint="F2"/>
          <w:sz w:val="24"/>
          <w:szCs w:val="24"/>
        </w:rPr>
        <w:t xml:space="preserve">seven CPAs </w:t>
      </w:r>
      <w:r w:rsidR="008033CF" w:rsidRPr="00C20287">
        <w:rPr>
          <w:rFonts w:asciiTheme="minorHAnsi" w:hAnsiTheme="minorHAnsi"/>
          <w:color w:val="0D0D0D" w:themeColor="text1" w:themeTint="F2"/>
          <w:sz w:val="24"/>
          <w:szCs w:val="24"/>
        </w:rPr>
        <w:t>with the pharmacy sector</w:t>
      </w:r>
      <w:r w:rsidR="009C300C" w:rsidRPr="00C20287">
        <w:rPr>
          <w:rFonts w:asciiTheme="minorHAnsi" w:hAnsiTheme="minorHAnsi"/>
          <w:color w:val="0D0D0D" w:themeColor="text1" w:themeTint="F2"/>
          <w:sz w:val="24"/>
          <w:szCs w:val="24"/>
        </w:rPr>
        <w:t>, usually each operating for a term of 5 years</w:t>
      </w:r>
      <w:r w:rsidR="008033CF" w:rsidRPr="00C20287">
        <w:rPr>
          <w:rFonts w:asciiTheme="minorHAnsi" w:hAnsiTheme="minorHAnsi"/>
          <w:color w:val="0D0D0D" w:themeColor="text1" w:themeTint="F2"/>
          <w:sz w:val="24"/>
          <w:szCs w:val="24"/>
        </w:rPr>
        <w:t>.</w:t>
      </w:r>
      <w:r w:rsidR="0084158E" w:rsidRPr="00C20287">
        <w:rPr>
          <w:rFonts w:asciiTheme="minorHAnsi" w:hAnsiTheme="minorHAnsi"/>
          <w:color w:val="0D0D0D" w:themeColor="text1" w:themeTint="F2"/>
          <w:sz w:val="24"/>
          <w:szCs w:val="24"/>
        </w:rPr>
        <w:t xml:space="preserve"> </w:t>
      </w:r>
      <w:r w:rsidR="004E74EF" w:rsidRPr="00C20287">
        <w:rPr>
          <w:rFonts w:asciiTheme="minorHAnsi" w:hAnsiTheme="minorHAnsi"/>
          <w:color w:val="0D0D0D" w:themeColor="text1" w:themeTint="F2"/>
          <w:sz w:val="24"/>
          <w:szCs w:val="24"/>
        </w:rPr>
        <w:t>Initially the CPAs were restricted to establishing the p</w:t>
      </w:r>
      <w:r w:rsidR="00D57F0F">
        <w:rPr>
          <w:rFonts w:asciiTheme="minorHAnsi" w:hAnsiTheme="minorHAnsi"/>
          <w:color w:val="0D0D0D" w:themeColor="text1" w:themeTint="F2"/>
          <w:sz w:val="24"/>
          <w:szCs w:val="24"/>
        </w:rPr>
        <w:t>arameters for the Commonwealth p</w:t>
      </w:r>
      <w:r w:rsidR="004E74EF" w:rsidRPr="00C20287">
        <w:rPr>
          <w:rFonts w:asciiTheme="minorHAnsi" w:hAnsiTheme="minorHAnsi"/>
          <w:color w:val="0D0D0D" w:themeColor="text1" w:themeTint="F2"/>
          <w:sz w:val="24"/>
          <w:szCs w:val="24"/>
        </w:rPr>
        <w:t>rice</w:t>
      </w:r>
      <w:r w:rsidR="00B265DE" w:rsidRPr="00C20287">
        <w:rPr>
          <w:rFonts w:asciiTheme="minorHAnsi" w:hAnsiTheme="minorHAnsi"/>
          <w:color w:val="0D0D0D" w:themeColor="text1" w:themeTint="F2"/>
          <w:sz w:val="24"/>
          <w:szCs w:val="24"/>
        </w:rPr>
        <w:t xml:space="preserve"> paid to pharmacies for dispensing PBS medicines</w:t>
      </w:r>
      <w:r w:rsidR="009C300C" w:rsidRPr="00C20287">
        <w:rPr>
          <w:rFonts w:asciiTheme="minorHAnsi" w:hAnsiTheme="minorHAnsi"/>
          <w:color w:val="0D0D0D" w:themeColor="text1" w:themeTint="F2"/>
          <w:sz w:val="24"/>
          <w:szCs w:val="24"/>
        </w:rPr>
        <w:t xml:space="preserve">, as set out in the </w:t>
      </w:r>
      <w:r w:rsidR="009C300C" w:rsidRPr="00C20287">
        <w:rPr>
          <w:rFonts w:asciiTheme="minorHAnsi" w:hAnsiTheme="minorHAnsi"/>
          <w:i/>
          <w:color w:val="0D0D0D" w:themeColor="text1" w:themeTint="F2"/>
          <w:sz w:val="24"/>
          <w:szCs w:val="24"/>
        </w:rPr>
        <w:t>National Health Act 1953</w:t>
      </w:r>
      <w:r w:rsidR="00776EAE">
        <w:rPr>
          <w:rFonts w:asciiTheme="minorHAnsi" w:hAnsiTheme="minorHAnsi"/>
          <w:i/>
          <w:color w:val="0D0D0D" w:themeColor="text1" w:themeTint="F2"/>
          <w:sz w:val="24"/>
          <w:szCs w:val="24"/>
        </w:rPr>
        <w:t xml:space="preserve"> </w:t>
      </w:r>
      <w:r w:rsidR="00776EAE">
        <w:rPr>
          <w:rFonts w:asciiTheme="minorHAnsi" w:hAnsiTheme="minorHAnsi"/>
          <w:color w:val="0D0D0D" w:themeColor="text1" w:themeTint="F2"/>
          <w:sz w:val="24"/>
          <w:szCs w:val="24"/>
        </w:rPr>
        <w:t>(the Act)</w:t>
      </w:r>
      <w:r w:rsidR="009C300C" w:rsidRPr="00C20287">
        <w:rPr>
          <w:rFonts w:asciiTheme="minorHAnsi" w:hAnsiTheme="minorHAnsi"/>
          <w:color w:val="0D0D0D" w:themeColor="text1" w:themeTint="F2"/>
          <w:sz w:val="24"/>
          <w:szCs w:val="24"/>
        </w:rPr>
        <w:t>,</w:t>
      </w:r>
      <w:r w:rsidR="007E5CB2" w:rsidRPr="00C20287">
        <w:rPr>
          <w:rFonts w:asciiTheme="minorHAnsi" w:hAnsiTheme="minorHAnsi"/>
          <w:color w:val="0D0D0D" w:themeColor="text1" w:themeTint="F2"/>
          <w:sz w:val="24"/>
          <w:szCs w:val="24"/>
        </w:rPr>
        <w:t xml:space="preserve"> and were agreements between the Commonwealth of Australia</w:t>
      </w:r>
      <w:r w:rsidR="00CC4B72" w:rsidRPr="00C20287">
        <w:rPr>
          <w:rFonts w:asciiTheme="minorHAnsi" w:hAnsiTheme="minorHAnsi"/>
          <w:color w:val="0D0D0D" w:themeColor="text1" w:themeTint="F2"/>
          <w:sz w:val="24"/>
          <w:szCs w:val="24"/>
        </w:rPr>
        <w:t xml:space="preserve"> and </w:t>
      </w:r>
      <w:r w:rsidR="007E5CB2" w:rsidRPr="00C20287">
        <w:rPr>
          <w:rFonts w:asciiTheme="minorHAnsi" w:hAnsiTheme="minorHAnsi"/>
          <w:color w:val="0D0D0D" w:themeColor="text1" w:themeTint="F2"/>
          <w:sz w:val="24"/>
          <w:szCs w:val="24"/>
        </w:rPr>
        <w:t xml:space="preserve">the Pharmacy Guild of Australia (the Guild). </w:t>
      </w:r>
    </w:p>
    <w:p w14:paraId="41FCE10A" w14:textId="5275F7E8" w:rsidR="00CC4B72" w:rsidRPr="00C20287" w:rsidRDefault="007E5CB2" w:rsidP="00B74395">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 xml:space="preserve">CPAs have evolved over time to include a broader range of services to help achieve health outcomes for Australians, including </w:t>
      </w:r>
      <w:r w:rsidR="00CC4B72" w:rsidRPr="00C20287">
        <w:rPr>
          <w:rFonts w:asciiTheme="minorHAnsi" w:hAnsiTheme="minorHAnsi"/>
          <w:color w:val="0D0D0D" w:themeColor="text1" w:themeTint="F2"/>
          <w:sz w:val="24"/>
          <w:szCs w:val="24"/>
        </w:rPr>
        <w:t xml:space="preserve">public funding for </w:t>
      </w:r>
      <w:r w:rsidRPr="00C20287">
        <w:rPr>
          <w:rFonts w:asciiTheme="minorHAnsi" w:hAnsiTheme="minorHAnsi"/>
          <w:color w:val="0D0D0D" w:themeColor="text1" w:themeTint="F2"/>
          <w:sz w:val="24"/>
          <w:szCs w:val="24"/>
        </w:rPr>
        <w:t>medicine adherence programs, medic</w:t>
      </w:r>
      <w:r w:rsidR="00187E32" w:rsidRPr="00C20287">
        <w:rPr>
          <w:rFonts w:asciiTheme="minorHAnsi" w:hAnsiTheme="minorHAnsi"/>
          <w:color w:val="0D0D0D" w:themeColor="text1" w:themeTint="F2"/>
          <w:sz w:val="24"/>
          <w:szCs w:val="24"/>
        </w:rPr>
        <w:t>ine</w:t>
      </w:r>
      <w:r w:rsidRPr="00C20287">
        <w:rPr>
          <w:rFonts w:asciiTheme="minorHAnsi" w:hAnsiTheme="minorHAnsi"/>
          <w:color w:val="0D0D0D" w:themeColor="text1" w:themeTint="F2"/>
          <w:sz w:val="24"/>
          <w:szCs w:val="24"/>
        </w:rPr>
        <w:t xml:space="preserve"> management programs and specific programs to support Aboriginal and Torres Strait Islander peoples. </w:t>
      </w:r>
    </w:p>
    <w:p w14:paraId="713EA0C0" w14:textId="741A6C5B" w:rsidR="00776EAE" w:rsidRPr="004B692E" w:rsidRDefault="00EA7B74" w:rsidP="004B692E">
      <w:pPr>
        <w:pStyle w:val="CABNETParagraph"/>
        <w:rPr>
          <w:rFonts w:asciiTheme="minorHAnsi" w:hAnsiTheme="minorHAnsi"/>
          <w:b/>
          <w:color w:val="0D0D0D" w:themeColor="text1" w:themeTint="F2"/>
          <w:sz w:val="24"/>
          <w:szCs w:val="24"/>
        </w:rPr>
      </w:pPr>
      <w:r w:rsidRPr="00C20287">
        <w:rPr>
          <w:rFonts w:asciiTheme="minorHAnsi" w:hAnsiTheme="minorHAnsi"/>
          <w:color w:val="0D0D0D" w:themeColor="text1" w:themeTint="F2"/>
          <w:sz w:val="24"/>
          <w:szCs w:val="24"/>
        </w:rPr>
        <w:t xml:space="preserve">Section 98BAA of </w:t>
      </w:r>
      <w:r w:rsidR="00B74395" w:rsidRPr="00C20287">
        <w:rPr>
          <w:rFonts w:asciiTheme="minorHAnsi" w:hAnsiTheme="minorHAnsi"/>
          <w:color w:val="0D0D0D" w:themeColor="text1" w:themeTint="F2"/>
          <w:sz w:val="24"/>
          <w:szCs w:val="24"/>
        </w:rPr>
        <w:t>the</w:t>
      </w:r>
      <w:r w:rsidR="00A640E2">
        <w:rPr>
          <w:rFonts w:asciiTheme="minorHAnsi" w:hAnsiTheme="minorHAnsi"/>
          <w:color w:val="0D0D0D" w:themeColor="text1" w:themeTint="F2"/>
          <w:sz w:val="24"/>
          <w:szCs w:val="24"/>
        </w:rPr>
        <w:t xml:space="preserve"> Act</w:t>
      </w:r>
      <w:r w:rsidR="00B74395" w:rsidRPr="00C20287">
        <w:rPr>
          <w:rFonts w:asciiTheme="minorHAnsi" w:hAnsiTheme="minorHAnsi"/>
          <w:color w:val="0D0D0D" w:themeColor="text1" w:themeTint="F2"/>
          <w:sz w:val="24"/>
          <w:szCs w:val="24"/>
        </w:rPr>
        <w:t xml:space="preserve"> requir</w:t>
      </w:r>
      <w:r w:rsidRPr="00C20287">
        <w:rPr>
          <w:rFonts w:asciiTheme="minorHAnsi" w:hAnsiTheme="minorHAnsi"/>
          <w:color w:val="0D0D0D" w:themeColor="text1" w:themeTint="F2"/>
          <w:sz w:val="24"/>
          <w:szCs w:val="24"/>
        </w:rPr>
        <w:t>es</w:t>
      </w:r>
      <w:r w:rsidR="00B74395" w:rsidRPr="00C20287">
        <w:rPr>
          <w:rFonts w:asciiTheme="minorHAnsi" w:hAnsiTheme="minorHAnsi"/>
          <w:color w:val="0D0D0D" w:themeColor="text1" w:themeTint="F2"/>
          <w:sz w:val="24"/>
          <w:szCs w:val="24"/>
        </w:rPr>
        <w:t xml:space="preserve"> the Pharmaceutical Benefits Remuneration Tribunal (PBRT) </w:t>
      </w:r>
      <w:r w:rsidR="00187E32" w:rsidRPr="00C20287">
        <w:rPr>
          <w:rFonts w:asciiTheme="minorHAnsi" w:hAnsiTheme="minorHAnsi"/>
          <w:color w:val="0D0D0D" w:themeColor="text1" w:themeTint="F2"/>
          <w:sz w:val="24"/>
          <w:szCs w:val="24"/>
        </w:rPr>
        <w:t xml:space="preserve">to </w:t>
      </w:r>
      <w:r w:rsidR="00B74395" w:rsidRPr="00C20287">
        <w:rPr>
          <w:rFonts w:asciiTheme="minorHAnsi" w:hAnsiTheme="minorHAnsi"/>
          <w:color w:val="0D0D0D" w:themeColor="text1" w:themeTint="F2"/>
          <w:sz w:val="24"/>
          <w:szCs w:val="24"/>
        </w:rPr>
        <w:t xml:space="preserve">give </w:t>
      </w:r>
      <w:r w:rsidR="00187E32" w:rsidRPr="00C20287">
        <w:rPr>
          <w:rFonts w:asciiTheme="minorHAnsi" w:hAnsiTheme="minorHAnsi"/>
          <w:color w:val="0D0D0D" w:themeColor="text1" w:themeTint="F2"/>
          <w:sz w:val="24"/>
          <w:szCs w:val="24"/>
        </w:rPr>
        <w:t>e</w:t>
      </w:r>
      <w:r w:rsidR="00B74395" w:rsidRPr="00C20287">
        <w:rPr>
          <w:rFonts w:asciiTheme="minorHAnsi" w:hAnsiTheme="minorHAnsi"/>
          <w:color w:val="0D0D0D" w:themeColor="text1" w:themeTint="F2"/>
          <w:sz w:val="24"/>
          <w:szCs w:val="24"/>
        </w:rPr>
        <w:t>ffect to the terms of any pricing agreement between the Minister for Health</w:t>
      </w:r>
      <w:r w:rsidR="00776EAE">
        <w:rPr>
          <w:rFonts w:asciiTheme="minorHAnsi" w:hAnsiTheme="minorHAnsi"/>
          <w:color w:val="0D0D0D" w:themeColor="text1" w:themeTint="F2"/>
          <w:sz w:val="24"/>
          <w:szCs w:val="24"/>
        </w:rPr>
        <w:t xml:space="preserve"> and Aged Care (the Minister)</w:t>
      </w:r>
      <w:r w:rsidR="00B74395" w:rsidRPr="00C20287">
        <w:rPr>
          <w:rFonts w:asciiTheme="minorHAnsi" w:hAnsiTheme="minorHAnsi"/>
          <w:color w:val="0D0D0D" w:themeColor="text1" w:themeTint="F2"/>
          <w:sz w:val="24"/>
          <w:szCs w:val="24"/>
        </w:rPr>
        <w:t xml:space="preserve"> and the Guild, or other organisation representing a majority of </w:t>
      </w:r>
      <w:r w:rsidR="00B74395" w:rsidRPr="00C20287">
        <w:rPr>
          <w:rFonts w:asciiTheme="minorHAnsi" w:hAnsiTheme="minorHAnsi"/>
          <w:color w:val="0D0D0D" w:themeColor="text1" w:themeTint="F2"/>
          <w:sz w:val="24"/>
          <w:szCs w:val="24"/>
        </w:rPr>
        <w:lastRenderedPageBreak/>
        <w:t xml:space="preserve">community pharmacy owners approved to dispense PBS </w:t>
      </w:r>
      <w:r w:rsidR="00776EAE">
        <w:rPr>
          <w:rFonts w:asciiTheme="minorHAnsi" w:hAnsiTheme="minorHAnsi"/>
          <w:color w:val="0D0D0D" w:themeColor="text1" w:themeTint="F2"/>
          <w:sz w:val="24"/>
          <w:szCs w:val="24"/>
        </w:rPr>
        <w:t>medicines</w:t>
      </w:r>
      <w:r w:rsidR="00B74395" w:rsidRPr="00C20287">
        <w:rPr>
          <w:rFonts w:asciiTheme="minorHAnsi" w:hAnsiTheme="minorHAnsi"/>
          <w:color w:val="0D0D0D" w:themeColor="text1" w:themeTint="F2"/>
          <w:sz w:val="24"/>
          <w:szCs w:val="24"/>
        </w:rPr>
        <w:t>.</w:t>
      </w:r>
      <w:r w:rsidRPr="00C20287">
        <w:rPr>
          <w:rFonts w:asciiTheme="minorHAnsi" w:hAnsiTheme="minorHAnsi"/>
          <w:color w:val="0D0D0D" w:themeColor="text1" w:themeTint="F2"/>
          <w:sz w:val="24"/>
          <w:szCs w:val="24"/>
        </w:rPr>
        <w:t xml:space="preserve"> The CPA has </w:t>
      </w:r>
      <w:r w:rsidR="00CC4B72" w:rsidRPr="00C20287">
        <w:rPr>
          <w:rFonts w:asciiTheme="minorHAnsi" w:hAnsiTheme="minorHAnsi"/>
          <w:color w:val="0D0D0D" w:themeColor="text1" w:themeTint="F2"/>
          <w:sz w:val="24"/>
          <w:szCs w:val="24"/>
        </w:rPr>
        <w:t>operated as the pricing</w:t>
      </w:r>
      <w:r w:rsidRPr="00C20287">
        <w:rPr>
          <w:rFonts w:asciiTheme="minorHAnsi" w:hAnsiTheme="minorHAnsi"/>
          <w:color w:val="0D0D0D" w:themeColor="text1" w:themeTint="F2"/>
          <w:sz w:val="24"/>
          <w:szCs w:val="24"/>
        </w:rPr>
        <w:t xml:space="preserve"> agreement </w:t>
      </w:r>
      <w:r w:rsidR="00776EAE">
        <w:rPr>
          <w:rFonts w:asciiTheme="minorHAnsi" w:hAnsiTheme="minorHAnsi"/>
          <w:color w:val="0D0D0D" w:themeColor="text1" w:themeTint="F2"/>
          <w:sz w:val="24"/>
          <w:szCs w:val="24"/>
        </w:rPr>
        <w:t xml:space="preserve">which gives effect to </w:t>
      </w:r>
      <w:r w:rsidRPr="00C20287">
        <w:rPr>
          <w:rFonts w:asciiTheme="minorHAnsi" w:hAnsiTheme="minorHAnsi"/>
          <w:color w:val="0D0D0D" w:themeColor="text1" w:themeTint="F2"/>
          <w:sz w:val="24"/>
          <w:szCs w:val="24"/>
        </w:rPr>
        <w:t xml:space="preserve">that </w:t>
      </w:r>
      <w:r w:rsidR="00A640E2">
        <w:rPr>
          <w:rFonts w:asciiTheme="minorHAnsi" w:hAnsiTheme="minorHAnsi"/>
          <w:color w:val="0D0D0D" w:themeColor="text1" w:themeTint="F2"/>
          <w:sz w:val="24"/>
          <w:szCs w:val="24"/>
        </w:rPr>
        <w:t>section</w:t>
      </w:r>
      <w:r w:rsidRPr="00C20287">
        <w:rPr>
          <w:rFonts w:asciiTheme="minorHAnsi" w:hAnsiTheme="minorHAnsi"/>
          <w:color w:val="0D0D0D" w:themeColor="text1" w:themeTint="F2"/>
          <w:sz w:val="24"/>
          <w:szCs w:val="24"/>
        </w:rPr>
        <w:t xml:space="preserve"> of the Act.</w:t>
      </w:r>
      <w:r w:rsidR="00776EAE">
        <w:rPr>
          <w:rFonts w:asciiTheme="minorHAnsi" w:hAnsiTheme="minorHAnsi"/>
          <w:color w:val="0D0D0D" w:themeColor="text1" w:themeTint="F2"/>
          <w:sz w:val="24"/>
          <w:szCs w:val="24"/>
        </w:rPr>
        <w:t xml:space="preserve"> </w:t>
      </w:r>
    </w:p>
    <w:p w14:paraId="7C3CB0AD" w14:textId="04FE7668" w:rsidR="00EA7B74" w:rsidRPr="00C20287" w:rsidRDefault="00B74395" w:rsidP="00B74395">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The Guild</w:t>
      </w:r>
      <w:r w:rsidRPr="00C20287">
        <w:rPr>
          <w:rStyle w:val="FootnoteReference"/>
          <w:rFonts w:asciiTheme="minorHAnsi" w:hAnsiTheme="minorHAnsi"/>
          <w:color w:val="0D0D0D" w:themeColor="text1" w:themeTint="F2"/>
          <w:sz w:val="24"/>
          <w:szCs w:val="24"/>
        </w:rPr>
        <w:footnoteReference w:id="4"/>
      </w:r>
      <w:r w:rsidRPr="00C20287">
        <w:rPr>
          <w:rFonts w:asciiTheme="minorHAnsi" w:hAnsiTheme="minorHAnsi"/>
          <w:color w:val="0D0D0D" w:themeColor="text1" w:themeTint="F2"/>
          <w:sz w:val="24"/>
          <w:szCs w:val="24"/>
        </w:rPr>
        <w:t xml:space="preserve"> is </w:t>
      </w:r>
      <w:r w:rsidR="004153BE" w:rsidRPr="00C20287">
        <w:rPr>
          <w:rFonts w:asciiTheme="minorHAnsi" w:hAnsiTheme="minorHAnsi"/>
          <w:color w:val="0D0D0D" w:themeColor="text1" w:themeTint="F2"/>
          <w:sz w:val="24"/>
          <w:szCs w:val="24"/>
        </w:rPr>
        <w:t xml:space="preserve">the </w:t>
      </w:r>
      <w:r w:rsidRPr="00C20287">
        <w:rPr>
          <w:rFonts w:asciiTheme="minorHAnsi" w:hAnsiTheme="minorHAnsi"/>
          <w:color w:val="0D0D0D" w:themeColor="text1" w:themeTint="F2"/>
          <w:sz w:val="24"/>
          <w:szCs w:val="24"/>
        </w:rPr>
        <w:t>national employer organisation, which represents Australia’s community pharmacy owners. It seeks to serve the interests of its members and to support community pharmacy in its role of delivering quality health outcomes for all Australians.</w:t>
      </w:r>
      <w:r w:rsidR="00905E6C" w:rsidRPr="00C20287">
        <w:rPr>
          <w:rFonts w:asciiTheme="minorHAnsi" w:hAnsiTheme="minorHAnsi"/>
          <w:color w:val="0D0D0D" w:themeColor="text1" w:themeTint="F2"/>
          <w:sz w:val="24"/>
          <w:szCs w:val="24"/>
        </w:rPr>
        <w:t xml:space="preserve"> Data supplied to the Department by the Guild show that as of 30 June 2023 </w:t>
      </w:r>
      <w:r w:rsidR="00CC4B72" w:rsidRPr="00C20287">
        <w:rPr>
          <w:rFonts w:asciiTheme="minorHAnsi" w:hAnsiTheme="minorHAnsi"/>
          <w:color w:val="0D0D0D" w:themeColor="text1" w:themeTint="F2"/>
          <w:sz w:val="24"/>
          <w:szCs w:val="24"/>
        </w:rPr>
        <w:t>it</w:t>
      </w:r>
      <w:r w:rsidR="00905E6C" w:rsidRPr="00C20287">
        <w:rPr>
          <w:rFonts w:asciiTheme="minorHAnsi" w:hAnsiTheme="minorHAnsi"/>
          <w:color w:val="0D0D0D" w:themeColor="text1" w:themeTint="F2"/>
          <w:sz w:val="24"/>
          <w:szCs w:val="24"/>
        </w:rPr>
        <w:t xml:space="preserve"> had 4,154 member pharmacies. </w:t>
      </w:r>
      <w:r w:rsidR="00790925" w:rsidRPr="00C20287">
        <w:rPr>
          <w:rFonts w:asciiTheme="minorHAnsi" w:hAnsiTheme="minorHAnsi"/>
          <w:color w:val="0D0D0D" w:themeColor="text1" w:themeTint="F2"/>
          <w:sz w:val="24"/>
          <w:szCs w:val="24"/>
        </w:rPr>
        <w:t>This is equivalent to approximately 70% of pharmacies</w:t>
      </w:r>
      <w:r w:rsidR="00905E6C" w:rsidRPr="00C20287">
        <w:rPr>
          <w:rFonts w:asciiTheme="minorHAnsi" w:hAnsiTheme="minorHAnsi"/>
          <w:color w:val="0D0D0D" w:themeColor="text1" w:themeTint="F2"/>
          <w:sz w:val="24"/>
          <w:szCs w:val="24"/>
        </w:rPr>
        <w:t xml:space="preserve"> </w:t>
      </w:r>
      <w:r w:rsidR="00790925" w:rsidRPr="00C20287">
        <w:rPr>
          <w:rFonts w:asciiTheme="minorHAnsi" w:hAnsiTheme="minorHAnsi"/>
          <w:color w:val="0D0D0D" w:themeColor="text1" w:themeTint="F2"/>
          <w:sz w:val="24"/>
          <w:szCs w:val="24"/>
        </w:rPr>
        <w:t xml:space="preserve">and </w:t>
      </w:r>
      <w:r w:rsidR="00CC1C3E" w:rsidRPr="00C20287">
        <w:rPr>
          <w:rFonts w:asciiTheme="minorHAnsi" w:hAnsiTheme="minorHAnsi"/>
          <w:color w:val="0D0D0D" w:themeColor="text1" w:themeTint="F2"/>
          <w:sz w:val="24"/>
          <w:szCs w:val="24"/>
        </w:rPr>
        <w:t>demonstrate</w:t>
      </w:r>
      <w:r w:rsidR="00790925" w:rsidRPr="00C20287">
        <w:rPr>
          <w:rFonts w:asciiTheme="minorHAnsi" w:hAnsiTheme="minorHAnsi"/>
          <w:color w:val="0D0D0D" w:themeColor="text1" w:themeTint="F2"/>
          <w:sz w:val="24"/>
          <w:szCs w:val="24"/>
        </w:rPr>
        <w:t>s</w:t>
      </w:r>
      <w:r w:rsidR="00CC1C3E" w:rsidRPr="00C20287">
        <w:rPr>
          <w:rFonts w:asciiTheme="minorHAnsi" w:hAnsiTheme="minorHAnsi"/>
          <w:color w:val="0D0D0D" w:themeColor="text1" w:themeTint="F2"/>
          <w:sz w:val="24"/>
          <w:szCs w:val="24"/>
        </w:rPr>
        <w:t xml:space="preserve"> that the</w:t>
      </w:r>
      <w:r w:rsidR="00790925" w:rsidRPr="00C20287">
        <w:rPr>
          <w:rFonts w:asciiTheme="minorHAnsi" w:hAnsiTheme="minorHAnsi"/>
          <w:color w:val="0D0D0D" w:themeColor="text1" w:themeTint="F2"/>
          <w:sz w:val="24"/>
          <w:szCs w:val="24"/>
        </w:rPr>
        <w:t xml:space="preserve"> Guild</w:t>
      </w:r>
      <w:r w:rsidR="00CC1C3E" w:rsidRPr="00C20287">
        <w:rPr>
          <w:rFonts w:asciiTheme="minorHAnsi" w:hAnsiTheme="minorHAnsi"/>
          <w:color w:val="0D0D0D" w:themeColor="text1" w:themeTint="F2"/>
          <w:sz w:val="24"/>
          <w:szCs w:val="24"/>
        </w:rPr>
        <w:t xml:space="preserve"> </w:t>
      </w:r>
      <w:r w:rsidR="00473AE5" w:rsidRPr="00C20287">
        <w:rPr>
          <w:rFonts w:asciiTheme="minorHAnsi" w:hAnsiTheme="minorHAnsi"/>
          <w:color w:val="0D0D0D" w:themeColor="text1" w:themeTint="F2"/>
          <w:sz w:val="24"/>
          <w:szCs w:val="24"/>
        </w:rPr>
        <w:t>continue</w:t>
      </w:r>
      <w:r w:rsidR="004E363A">
        <w:rPr>
          <w:rFonts w:asciiTheme="minorHAnsi" w:hAnsiTheme="minorHAnsi"/>
          <w:color w:val="0D0D0D" w:themeColor="text1" w:themeTint="F2"/>
          <w:sz w:val="24"/>
          <w:szCs w:val="24"/>
        </w:rPr>
        <w:t>s</w:t>
      </w:r>
      <w:r w:rsidR="00473AE5" w:rsidRPr="00C20287">
        <w:rPr>
          <w:rFonts w:asciiTheme="minorHAnsi" w:hAnsiTheme="minorHAnsi"/>
          <w:color w:val="0D0D0D" w:themeColor="text1" w:themeTint="F2"/>
          <w:sz w:val="24"/>
          <w:szCs w:val="24"/>
        </w:rPr>
        <w:t xml:space="preserve"> to </w:t>
      </w:r>
      <w:r w:rsidR="00CC1C3E" w:rsidRPr="00C20287">
        <w:rPr>
          <w:rFonts w:asciiTheme="minorHAnsi" w:hAnsiTheme="minorHAnsi"/>
          <w:color w:val="0D0D0D" w:themeColor="text1" w:themeTint="F2"/>
          <w:sz w:val="24"/>
          <w:szCs w:val="24"/>
        </w:rPr>
        <w:t xml:space="preserve">represent the majority of approved pharmacists. </w:t>
      </w:r>
      <w:r w:rsidRPr="00C20287">
        <w:rPr>
          <w:rFonts w:asciiTheme="minorHAnsi" w:hAnsiTheme="minorHAnsi"/>
          <w:color w:val="0D0D0D" w:themeColor="text1" w:themeTint="F2"/>
          <w:sz w:val="24"/>
          <w:szCs w:val="24"/>
        </w:rPr>
        <w:t>To become a full member of the Guild, pharmacists must own</w:t>
      </w:r>
      <w:r w:rsidR="00CC1C3E" w:rsidRPr="00C20287">
        <w:rPr>
          <w:rFonts w:asciiTheme="minorHAnsi" w:hAnsiTheme="minorHAnsi"/>
          <w:color w:val="0D0D0D" w:themeColor="text1" w:themeTint="F2"/>
          <w:sz w:val="24"/>
          <w:szCs w:val="24"/>
        </w:rPr>
        <w:t xml:space="preserve"> or partially own</w:t>
      </w:r>
      <w:r w:rsidRPr="00C20287">
        <w:rPr>
          <w:rFonts w:asciiTheme="minorHAnsi" w:hAnsiTheme="minorHAnsi"/>
          <w:color w:val="0D0D0D" w:themeColor="text1" w:themeTint="F2"/>
          <w:sz w:val="24"/>
          <w:szCs w:val="24"/>
        </w:rPr>
        <w:t xml:space="preserve"> </w:t>
      </w:r>
      <w:r w:rsidR="00CC1C3E" w:rsidRPr="00C20287">
        <w:rPr>
          <w:rFonts w:asciiTheme="minorHAnsi" w:hAnsiTheme="minorHAnsi"/>
          <w:color w:val="0D0D0D" w:themeColor="text1" w:themeTint="F2"/>
          <w:sz w:val="24"/>
          <w:szCs w:val="24"/>
        </w:rPr>
        <w:t>a</w:t>
      </w:r>
      <w:r w:rsidRPr="00C20287">
        <w:rPr>
          <w:rFonts w:asciiTheme="minorHAnsi" w:hAnsiTheme="minorHAnsi"/>
          <w:color w:val="0D0D0D" w:themeColor="text1" w:themeTint="F2"/>
          <w:sz w:val="24"/>
          <w:szCs w:val="24"/>
        </w:rPr>
        <w:t xml:space="preserve"> pharmacy. Associate membership status is available to pharmacists who do not own a pharmacy. </w:t>
      </w:r>
    </w:p>
    <w:p w14:paraId="0D783E4A" w14:textId="4C5A886B" w:rsidR="0039380B" w:rsidRPr="00C20287" w:rsidRDefault="0039380B" w:rsidP="006B510E">
      <w:pPr>
        <w:pStyle w:val="BodyText"/>
        <w:rPr>
          <w:color w:val="0D0D0D" w:themeColor="text1" w:themeTint="F2"/>
          <w:sz w:val="24"/>
          <w:szCs w:val="24"/>
        </w:rPr>
      </w:pPr>
      <w:r w:rsidRPr="00C20287">
        <w:rPr>
          <w:color w:val="0D0D0D" w:themeColor="text1" w:themeTint="F2"/>
          <w:sz w:val="24"/>
          <w:szCs w:val="24"/>
        </w:rPr>
        <w:t>The</w:t>
      </w:r>
      <w:r w:rsidR="00EA1963">
        <w:rPr>
          <w:color w:val="0D0D0D" w:themeColor="text1" w:themeTint="F2"/>
          <w:sz w:val="24"/>
          <w:szCs w:val="24"/>
        </w:rPr>
        <w:t xml:space="preserve"> </w:t>
      </w:r>
      <w:r w:rsidR="00F77E92">
        <w:rPr>
          <w:color w:val="0D0D0D" w:themeColor="text1" w:themeTint="F2"/>
          <w:sz w:val="24"/>
          <w:szCs w:val="24"/>
        </w:rPr>
        <w:t xml:space="preserve">Hon Mark Butler MP, </w:t>
      </w:r>
      <w:r w:rsidR="00EA1963">
        <w:rPr>
          <w:color w:val="0D0D0D" w:themeColor="text1" w:themeTint="F2"/>
          <w:sz w:val="24"/>
          <w:szCs w:val="24"/>
        </w:rPr>
        <w:t>Minister</w:t>
      </w:r>
      <w:r w:rsidR="00F77E92">
        <w:rPr>
          <w:color w:val="0D0D0D" w:themeColor="text1" w:themeTint="F2"/>
          <w:sz w:val="24"/>
          <w:szCs w:val="24"/>
        </w:rPr>
        <w:t xml:space="preserve"> for Health and Aged Care</w:t>
      </w:r>
      <w:r w:rsidRPr="00C20287">
        <w:rPr>
          <w:color w:val="0D0D0D" w:themeColor="text1" w:themeTint="F2"/>
          <w:sz w:val="24"/>
          <w:szCs w:val="24"/>
        </w:rPr>
        <w:t xml:space="preserve"> announced the Government’s decision to enter into early negotiations for an 8CPA on 7 August 2023.</w:t>
      </w:r>
      <w:r w:rsidRPr="00C20287">
        <w:rPr>
          <w:rStyle w:val="FootnoteReference"/>
          <w:color w:val="0D0D0D" w:themeColor="text1" w:themeTint="F2"/>
          <w:sz w:val="24"/>
          <w:szCs w:val="24"/>
        </w:rPr>
        <w:footnoteReference w:id="5"/>
      </w:r>
      <w:r w:rsidRPr="00C20287">
        <w:rPr>
          <w:color w:val="0D0D0D" w:themeColor="text1" w:themeTint="F2"/>
          <w:sz w:val="24"/>
          <w:szCs w:val="24"/>
        </w:rPr>
        <w:t xml:space="preserve"> In his announcement the Minister also stated that consultations would include patient groups, medicines wholesalers and distributors, and others who have a stake in the growth and development of pharmacy services that benefit all Australians. </w:t>
      </w:r>
    </w:p>
    <w:p w14:paraId="1C160166" w14:textId="35BE939F" w:rsidR="00324F74" w:rsidRPr="00C20287" w:rsidRDefault="00CC4B72" w:rsidP="00160AF9">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Preparation of this</w:t>
      </w:r>
      <w:r w:rsidR="00324F74" w:rsidRPr="00C20287">
        <w:rPr>
          <w:rFonts w:asciiTheme="minorHAnsi" w:hAnsiTheme="minorHAnsi"/>
          <w:color w:val="0D0D0D" w:themeColor="text1" w:themeTint="F2"/>
          <w:sz w:val="24"/>
          <w:szCs w:val="24"/>
        </w:rPr>
        <w:t xml:space="preserve"> IA and stakeholder consultation commenced following the Minister</w:t>
      </w:r>
      <w:r w:rsidR="00EB5345" w:rsidRPr="00C20287">
        <w:rPr>
          <w:rFonts w:asciiTheme="minorHAnsi" w:hAnsiTheme="minorHAnsi"/>
          <w:color w:val="0D0D0D" w:themeColor="text1" w:themeTint="F2"/>
          <w:sz w:val="24"/>
          <w:szCs w:val="24"/>
        </w:rPr>
        <w:t>’</w:t>
      </w:r>
      <w:r w:rsidR="00324F74" w:rsidRPr="00C20287">
        <w:rPr>
          <w:rFonts w:asciiTheme="minorHAnsi" w:hAnsiTheme="minorHAnsi"/>
          <w:color w:val="0D0D0D" w:themeColor="text1" w:themeTint="F2"/>
          <w:sz w:val="24"/>
          <w:szCs w:val="24"/>
        </w:rPr>
        <w:t xml:space="preserve">s announcement. Drawing on stakeholder input, previous reviews and </w:t>
      </w:r>
      <w:r w:rsidRPr="00C20287">
        <w:rPr>
          <w:rFonts w:asciiTheme="minorHAnsi" w:hAnsiTheme="minorHAnsi"/>
          <w:color w:val="0D0D0D" w:themeColor="text1" w:themeTint="F2"/>
          <w:sz w:val="24"/>
          <w:szCs w:val="24"/>
        </w:rPr>
        <w:t xml:space="preserve">other </w:t>
      </w:r>
      <w:r w:rsidR="00324F74" w:rsidRPr="00C20287">
        <w:rPr>
          <w:rFonts w:asciiTheme="minorHAnsi" w:hAnsiTheme="minorHAnsi"/>
          <w:color w:val="0D0D0D" w:themeColor="text1" w:themeTint="F2"/>
          <w:sz w:val="24"/>
          <w:szCs w:val="24"/>
        </w:rPr>
        <w:t xml:space="preserve">evidence, the Department developed the proposed options outlined in this IA to respond to the identified problems. In October 2023, an early assessment IA supported Government’s decision in relation to a high-level negotiation framework for an 8CPA. </w:t>
      </w:r>
      <w:r w:rsidR="0020679E">
        <w:rPr>
          <w:rFonts w:ascii="Calibri" w:eastAsiaTheme="majorEastAsia" w:hAnsi="Calibri" w:cs="Calibri"/>
          <w:bCs/>
          <w:color w:val="0D0D0D" w:themeColor="text1" w:themeTint="F2"/>
          <w:sz w:val="24"/>
          <w:szCs w:val="24"/>
        </w:rPr>
        <w:t>In November 2023 a First Pass IA was</w:t>
      </w:r>
      <w:r w:rsidR="0020679E" w:rsidRPr="00C20287">
        <w:rPr>
          <w:rFonts w:ascii="Calibri" w:eastAsiaTheme="majorEastAsia" w:hAnsi="Calibri" w:cs="Calibri"/>
          <w:bCs/>
          <w:color w:val="0D0D0D" w:themeColor="text1" w:themeTint="F2"/>
          <w:sz w:val="24"/>
          <w:szCs w:val="24"/>
        </w:rPr>
        <w:t xml:space="preserve"> prepared to support Government</w:t>
      </w:r>
      <w:r w:rsidR="00A640E2">
        <w:rPr>
          <w:rFonts w:ascii="Calibri" w:eastAsiaTheme="majorEastAsia" w:hAnsi="Calibri" w:cs="Calibri"/>
          <w:bCs/>
          <w:color w:val="0D0D0D" w:themeColor="text1" w:themeTint="F2"/>
          <w:sz w:val="24"/>
          <w:szCs w:val="24"/>
        </w:rPr>
        <w:t>’</w:t>
      </w:r>
      <w:r w:rsidR="0020679E">
        <w:rPr>
          <w:rFonts w:ascii="Calibri" w:eastAsiaTheme="majorEastAsia" w:hAnsi="Calibri" w:cs="Calibri"/>
          <w:bCs/>
          <w:color w:val="0D0D0D" w:themeColor="text1" w:themeTint="F2"/>
          <w:sz w:val="24"/>
          <w:szCs w:val="24"/>
        </w:rPr>
        <w:t xml:space="preserve">s decision regarding the detailed negotiating parameters for a potential </w:t>
      </w:r>
      <w:r w:rsidR="0020679E" w:rsidRPr="00C20287">
        <w:rPr>
          <w:rFonts w:ascii="Calibri" w:eastAsiaTheme="majorEastAsia" w:hAnsi="Calibri" w:cs="Calibri"/>
          <w:bCs/>
          <w:color w:val="0D0D0D" w:themeColor="text1" w:themeTint="F2"/>
          <w:sz w:val="24"/>
          <w:szCs w:val="24"/>
        </w:rPr>
        <w:t>new community</w:t>
      </w:r>
      <w:r w:rsidR="0020679E">
        <w:rPr>
          <w:rFonts w:ascii="Calibri" w:eastAsiaTheme="majorEastAsia" w:hAnsi="Calibri" w:cs="Calibri"/>
          <w:bCs/>
          <w:color w:val="0D0D0D" w:themeColor="text1" w:themeTint="F2"/>
          <w:sz w:val="24"/>
          <w:szCs w:val="24"/>
        </w:rPr>
        <w:t xml:space="preserve">. </w:t>
      </w:r>
      <w:r w:rsidR="00324F74" w:rsidRPr="00C20287">
        <w:rPr>
          <w:rFonts w:asciiTheme="minorHAnsi" w:hAnsiTheme="minorHAnsi"/>
          <w:color w:val="0D0D0D" w:themeColor="text1" w:themeTint="F2"/>
          <w:sz w:val="24"/>
          <w:szCs w:val="24"/>
        </w:rPr>
        <w:t xml:space="preserve">This </w:t>
      </w:r>
      <w:r w:rsidR="0020679E">
        <w:rPr>
          <w:rFonts w:asciiTheme="minorHAnsi" w:hAnsiTheme="minorHAnsi"/>
          <w:color w:val="0D0D0D" w:themeColor="text1" w:themeTint="F2"/>
          <w:sz w:val="24"/>
          <w:szCs w:val="24"/>
        </w:rPr>
        <w:t xml:space="preserve">final </w:t>
      </w:r>
      <w:r w:rsidR="00324F74" w:rsidRPr="00C20287">
        <w:rPr>
          <w:rFonts w:asciiTheme="minorHAnsi" w:hAnsiTheme="minorHAnsi"/>
          <w:color w:val="0D0D0D" w:themeColor="text1" w:themeTint="F2"/>
          <w:sz w:val="24"/>
          <w:szCs w:val="24"/>
        </w:rPr>
        <w:t>version of the IA is intended to inform Government’s consideration of the</w:t>
      </w:r>
      <w:r w:rsidR="0020679E">
        <w:rPr>
          <w:rFonts w:asciiTheme="minorHAnsi" w:hAnsiTheme="minorHAnsi"/>
          <w:color w:val="0D0D0D" w:themeColor="text1" w:themeTint="F2"/>
          <w:sz w:val="24"/>
          <w:szCs w:val="24"/>
        </w:rPr>
        <w:t xml:space="preserve"> potential establishment of </w:t>
      </w:r>
      <w:r w:rsidR="00324F74" w:rsidRPr="00C20287">
        <w:rPr>
          <w:rFonts w:asciiTheme="minorHAnsi" w:hAnsiTheme="minorHAnsi"/>
          <w:color w:val="0D0D0D" w:themeColor="text1" w:themeTint="F2"/>
          <w:sz w:val="24"/>
          <w:szCs w:val="24"/>
        </w:rPr>
        <w:t>an 8CPA.</w:t>
      </w:r>
    </w:p>
    <w:p w14:paraId="1566BD8C" w14:textId="6B320922" w:rsidR="0084158E" w:rsidRPr="00C20287" w:rsidRDefault="0084158E" w:rsidP="00160AF9">
      <w:pPr>
        <w:pStyle w:val="CABNETParagraph"/>
        <w:rPr>
          <w:rFonts w:asciiTheme="minorHAnsi" w:hAnsiTheme="minorHAnsi"/>
          <w:color w:val="0D0D0D" w:themeColor="text1" w:themeTint="F2"/>
          <w:sz w:val="24"/>
          <w:szCs w:val="24"/>
        </w:rPr>
      </w:pPr>
      <w:r w:rsidRPr="00C20287">
        <w:rPr>
          <w:rFonts w:asciiTheme="minorHAnsi" w:hAnsiTheme="minorHAnsi"/>
          <w:color w:val="0D0D0D" w:themeColor="text1" w:themeTint="F2"/>
          <w:sz w:val="24"/>
          <w:szCs w:val="24"/>
        </w:rPr>
        <w:t xml:space="preserve">This proposal </w:t>
      </w:r>
      <w:r w:rsidR="00B6183D" w:rsidRPr="00C20287">
        <w:rPr>
          <w:rFonts w:asciiTheme="minorHAnsi" w:hAnsiTheme="minorHAnsi"/>
          <w:color w:val="0D0D0D" w:themeColor="text1" w:themeTint="F2"/>
          <w:sz w:val="24"/>
          <w:szCs w:val="24"/>
        </w:rPr>
        <w:t xml:space="preserve">considers three </w:t>
      </w:r>
      <w:r w:rsidR="00CB7361" w:rsidRPr="00C20287">
        <w:rPr>
          <w:rFonts w:asciiTheme="minorHAnsi" w:hAnsiTheme="minorHAnsi"/>
          <w:color w:val="0D0D0D" w:themeColor="text1" w:themeTint="F2"/>
          <w:sz w:val="24"/>
          <w:szCs w:val="24"/>
        </w:rPr>
        <w:t>o</w:t>
      </w:r>
      <w:r w:rsidR="00B6183D" w:rsidRPr="00C20287">
        <w:rPr>
          <w:rFonts w:asciiTheme="minorHAnsi" w:hAnsiTheme="minorHAnsi"/>
          <w:color w:val="0D0D0D" w:themeColor="text1" w:themeTint="F2"/>
          <w:sz w:val="24"/>
          <w:szCs w:val="24"/>
        </w:rPr>
        <w:t xml:space="preserve">ptions for </w:t>
      </w:r>
      <w:r w:rsidR="0068654B" w:rsidRPr="00C20287">
        <w:rPr>
          <w:rFonts w:asciiTheme="minorHAnsi" w:hAnsiTheme="minorHAnsi"/>
          <w:color w:val="0D0D0D" w:themeColor="text1" w:themeTint="F2"/>
          <w:sz w:val="24"/>
          <w:szCs w:val="24"/>
        </w:rPr>
        <w:t xml:space="preserve">the future </w:t>
      </w:r>
      <w:r w:rsidR="00B235B9" w:rsidRPr="00C20287">
        <w:rPr>
          <w:rFonts w:asciiTheme="minorHAnsi" w:hAnsiTheme="minorHAnsi"/>
          <w:color w:val="0D0D0D" w:themeColor="text1" w:themeTint="F2"/>
          <w:sz w:val="24"/>
          <w:szCs w:val="24"/>
        </w:rPr>
        <w:t xml:space="preserve">remuneration for </w:t>
      </w:r>
      <w:r w:rsidR="0068654B" w:rsidRPr="00C20287">
        <w:rPr>
          <w:rFonts w:asciiTheme="minorHAnsi" w:hAnsiTheme="minorHAnsi"/>
          <w:color w:val="0D0D0D" w:themeColor="text1" w:themeTint="F2"/>
          <w:sz w:val="24"/>
          <w:szCs w:val="24"/>
        </w:rPr>
        <w:t>delivery of PBS medicines to Australians</w:t>
      </w:r>
      <w:r w:rsidRPr="00C20287">
        <w:rPr>
          <w:rFonts w:asciiTheme="minorHAnsi" w:hAnsiTheme="minorHAnsi"/>
          <w:color w:val="0D0D0D" w:themeColor="text1" w:themeTint="F2"/>
          <w:sz w:val="24"/>
          <w:szCs w:val="24"/>
        </w:rPr>
        <w:t>:</w:t>
      </w:r>
    </w:p>
    <w:p w14:paraId="00804DA2" w14:textId="12B46928" w:rsidR="00B6183D" w:rsidRPr="00C20287" w:rsidRDefault="00B6183D" w:rsidP="005C3B94">
      <w:pPr>
        <w:pStyle w:val="BodyText"/>
        <w:ind w:left="2160" w:hanging="1440"/>
        <w:rPr>
          <w:sz w:val="24"/>
          <w:szCs w:val="24"/>
        </w:rPr>
      </w:pPr>
      <w:r w:rsidRPr="00C20287">
        <w:rPr>
          <w:sz w:val="24"/>
          <w:szCs w:val="24"/>
        </w:rPr>
        <w:t xml:space="preserve">Option 1: </w:t>
      </w:r>
      <w:r w:rsidRPr="00C20287">
        <w:rPr>
          <w:sz w:val="24"/>
          <w:szCs w:val="24"/>
        </w:rPr>
        <w:tab/>
        <w:t xml:space="preserve">Continuation of the 7CPA </w:t>
      </w:r>
      <w:r w:rsidR="00A41A3D" w:rsidRPr="00C20287">
        <w:rPr>
          <w:sz w:val="24"/>
          <w:szCs w:val="24"/>
        </w:rPr>
        <w:t>until 30 June 2025</w:t>
      </w:r>
      <w:r w:rsidRPr="00C20287">
        <w:rPr>
          <w:sz w:val="24"/>
          <w:szCs w:val="24"/>
        </w:rPr>
        <w:t xml:space="preserve"> and no new </w:t>
      </w:r>
      <w:r w:rsidR="00AD5229">
        <w:rPr>
          <w:sz w:val="24"/>
          <w:szCs w:val="24"/>
        </w:rPr>
        <w:t xml:space="preserve">CPA </w:t>
      </w:r>
      <w:r w:rsidRPr="00C20287">
        <w:rPr>
          <w:sz w:val="24"/>
          <w:szCs w:val="24"/>
        </w:rPr>
        <w:t>following its expiry</w:t>
      </w:r>
      <w:r w:rsidR="00EB5345" w:rsidRPr="00C20287">
        <w:rPr>
          <w:sz w:val="24"/>
          <w:szCs w:val="24"/>
        </w:rPr>
        <w:t>, unless one can be negotiated before this date</w:t>
      </w:r>
      <w:r w:rsidRPr="00C20287">
        <w:rPr>
          <w:sz w:val="24"/>
          <w:szCs w:val="24"/>
        </w:rPr>
        <w:t xml:space="preserve"> (Status Quo)</w:t>
      </w:r>
    </w:p>
    <w:p w14:paraId="552EEE02" w14:textId="5D616544" w:rsidR="00B6183D" w:rsidRPr="00C20287" w:rsidRDefault="00B6183D" w:rsidP="00B6183D">
      <w:pPr>
        <w:pStyle w:val="BodyText"/>
        <w:rPr>
          <w:sz w:val="24"/>
          <w:szCs w:val="24"/>
        </w:rPr>
      </w:pPr>
      <w:r w:rsidRPr="00C20287">
        <w:rPr>
          <w:sz w:val="24"/>
          <w:szCs w:val="24"/>
        </w:rPr>
        <w:tab/>
        <w:t>Option 2:</w:t>
      </w:r>
      <w:r w:rsidRPr="00C20287">
        <w:rPr>
          <w:sz w:val="24"/>
          <w:szCs w:val="24"/>
        </w:rPr>
        <w:tab/>
        <w:t>Establish an 8CPA that include</w:t>
      </w:r>
      <w:r w:rsidR="00EB5345" w:rsidRPr="00C20287">
        <w:rPr>
          <w:sz w:val="24"/>
          <w:szCs w:val="24"/>
        </w:rPr>
        <w:t>s</w:t>
      </w:r>
      <w:r w:rsidR="00A41A3D" w:rsidRPr="00C20287">
        <w:rPr>
          <w:sz w:val="24"/>
          <w:szCs w:val="24"/>
        </w:rPr>
        <w:t xml:space="preserve"> </w:t>
      </w:r>
      <w:r w:rsidR="00F45740">
        <w:rPr>
          <w:sz w:val="24"/>
          <w:szCs w:val="24"/>
        </w:rPr>
        <w:t xml:space="preserve">all </w:t>
      </w:r>
      <w:r w:rsidR="00A41A3D" w:rsidRPr="00C20287">
        <w:rPr>
          <w:sz w:val="24"/>
          <w:szCs w:val="24"/>
        </w:rPr>
        <w:t xml:space="preserve">existing pharmacy programs </w:t>
      </w:r>
    </w:p>
    <w:p w14:paraId="046D9860" w14:textId="44D12FCD" w:rsidR="00B6183D" w:rsidRPr="00C20287" w:rsidRDefault="00B6183D" w:rsidP="005C3B94">
      <w:pPr>
        <w:pStyle w:val="BodyText"/>
        <w:ind w:left="2160" w:hanging="1440"/>
        <w:rPr>
          <w:color w:val="0D0D0D" w:themeColor="text1" w:themeTint="F2"/>
          <w:sz w:val="24"/>
          <w:szCs w:val="24"/>
        </w:rPr>
      </w:pPr>
      <w:r w:rsidRPr="00C20287">
        <w:rPr>
          <w:sz w:val="24"/>
          <w:szCs w:val="24"/>
        </w:rPr>
        <w:t>Option 3:</w:t>
      </w:r>
      <w:r w:rsidRPr="00C20287">
        <w:rPr>
          <w:sz w:val="24"/>
          <w:szCs w:val="24"/>
        </w:rPr>
        <w:tab/>
        <w:t xml:space="preserve">Establish an 8CPA </w:t>
      </w:r>
      <w:r w:rsidR="00EB5345" w:rsidRPr="00C20287">
        <w:rPr>
          <w:sz w:val="24"/>
          <w:szCs w:val="24"/>
        </w:rPr>
        <w:t>for</w:t>
      </w:r>
      <w:r w:rsidR="00A41A3D" w:rsidRPr="00C20287">
        <w:rPr>
          <w:sz w:val="24"/>
          <w:szCs w:val="24"/>
        </w:rPr>
        <w:t xml:space="preserve"> dispensing remuneration</w:t>
      </w:r>
      <w:r w:rsidR="00EB5345" w:rsidRPr="00C20287">
        <w:rPr>
          <w:sz w:val="24"/>
          <w:szCs w:val="24"/>
        </w:rPr>
        <w:t xml:space="preserve"> </w:t>
      </w:r>
      <w:r w:rsidR="00F45740">
        <w:rPr>
          <w:sz w:val="24"/>
          <w:szCs w:val="24"/>
        </w:rPr>
        <w:t>and</w:t>
      </w:r>
      <w:r w:rsidR="00EB5345" w:rsidRPr="00C20287">
        <w:rPr>
          <w:sz w:val="24"/>
          <w:szCs w:val="24"/>
        </w:rPr>
        <w:t xml:space="preserve"> </w:t>
      </w:r>
      <w:r w:rsidR="005849F7">
        <w:rPr>
          <w:sz w:val="24"/>
          <w:szCs w:val="24"/>
        </w:rPr>
        <w:t xml:space="preserve">only </w:t>
      </w:r>
      <w:r w:rsidR="00EB5345" w:rsidRPr="00C20287">
        <w:rPr>
          <w:sz w:val="24"/>
          <w:szCs w:val="24"/>
        </w:rPr>
        <w:t xml:space="preserve">pharmacy programs </w:t>
      </w:r>
      <w:r w:rsidR="00F45740">
        <w:rPr>
          <w:sz w:val="24"/>
          <w:szCs w:val="24"/>
        </w:rPr>
        <w:t>delivered</w:t>
      </w:r>
      <w:r w:rsidR="008E5F04">
        <w:rPr>
          <w:sz w:val="24"/>
          <w:szCs w:val="24"/>
        </w:rPr>
        <w:t xml:space="preserve"> directly</w:t>
      </w:r>
      <w:r w:rsidR="00F45740">
        <w:rPr>
          <w:sz w:val="24"/>
          <w:szCs w:val="24"/>
        </w:rPr>
        <w:t xml:space="preserve"> through community pharmacies</w:t>
      </w:r>
    </w:p>
    <w:p w14:paraId="42E9C5CB" w14:textId="722D2297" w:rsidR="00CC4B72" w:rsidRPr="00C20287" w:rsidRDefault="00146F8E">
      <w:pPr>
        <w:pStyle w:val="BodyText"/>
        <w:rPr>
          <w:rFonts w:cstheme="minorHAnsi"/>
          <w:color w:val="0D0D0D" w:themeColor="text1" w:themeTint="F2"/>
          <w:sz w:val="24"/>
          <w:szCs w:val="24"/>
        </w:rPr>
      </w:pPr>
      <w:r w:rsidRPr="00C20287">
        <w:rPr>
          <w:rFonts w:cstheme="minorHAnsi"/>
          <w:color w:val="0D0D0D" w:themeColor="text1" w:themeTint="F2"/>
          <w:sz w:val="24"/>
          <w:szCs w:val="24"/>
        </w:rPr>
        <w:t>Option 1</w:t>
      </w:r>
      <w:r w:rsidR="00896B93" w:rsidRPr="00C20287">
        <w:rPr>
          <w:rFonts w:cstheme="minorHAnsi"/>
          <w:color w:val="0D0D0D" w:themeColor="text1" w:themeTint="F2"/>
          <w:sz w:val="24"/>
          <w:szCs w:val="24"/>
        </w:rPr>
        <w:t>,</w:t>
      </w:r>
      <w:r w:rsidRPr="00C20287">
        <w:rPr>
          <w:rFonts w:cstheme="minorHAnsi"/>
          <w:color w:val="0D0D0D" w:themeColor="text1" w:themeTint="F2"/>
          <w:sz w:val="24"/>
          <w:szCs w:val="24"/>
        </w:rPr>
        <w:t xml:space="preserve"> to not </w:t>
      </w:r>
      <w:r w:rsidR="00CC4B72" w:rsidRPr="00C20287">
        <w:rPr>
          <w:rFonts w:cstheme="minorHAnsi"/>
          <w:color w:val="0D0D0D" w:themeColor="text1" w:themeTint="F2"/>
          <w:sz w:val="24"/>
          <w:szCs w:val="24"/>
        </w:rPr>
        <w:t>negotiate</w:t>
      </w:r>
      <w:r w:rsidRPr="00C20287">
        <w:rPr>
          <w:rFonts w:cstheme="minorHAnsi"/>
          <w:color w:val="0D0D0D" w:themeColor="text1" w:themeTint="F2"/>
          <w:sz w:val="24"/>
          <w:szCs w:val="24"/>
        </w:rPr>
        <w:t xml:space="preserve"> a </w:t>
      </w:r>
      <w:r w:rsidR="007C4C31" w:rsidRPr="00C20287">
        <w:rPr>
          <w:rFonts w:cstheme="minorHAnsi"/>
          <w:color w:val="0D0D0D" w:themeColor="text1" w:themeTint="F2"/>
          <w:sz w:val="24"/>
          <w:szCs w:val="24"/>
        </w:rPr>
        <w:t xml:space="preserve">new </w:t>
      </w:r>
      <w:r w:rsidRPr="00C20287">
        <w:rPr>
          <w:rFonts w:cstheme="minorHAnsi"/>
          <w:color w:val="0D0D0D" w:themeColor="text1" w:themeTint="F2"/>
          <w:sz w:val="24"/>
          <w:szCs w:val="24"/>
        </w:rPr>
        <w:t>CPA</w:t>
      </w:r>
      <w:r w:rsidR="00896B93" w:rsidRPr="00C20287">
        <w:rPr>
          <w:rFonts w:cstheme="minorHAnsi"/>
          <w:color w:val="0D0D0D" w:themeColor="text1" w:themeTint="F2"/>
          <w:sz w:val="24"/>
          <w:szCs w:val="24"/>
        </w:rPr>
        <w:t>,</w:t>
      </w:r>
      <w:r w:rsidRPr="00C20287">
        <w:rPr>
          <w:rFonts w:cstheme="minorHAnsi"/>
          <w:color w:val="0D0D0D" w:themeColor="text1" w:themeTint="F2"/>
          <w:sz w:val="24"/>
          <w:szCs w:val="24"/>
        </w:rPr>
        <w:t xml:space="preserve"> would </w:t>
      </w:r>
      <w:r w:rsidR="00CC4B72" w:rsidRPr="00C20287">
        <w:rPr>
          <w:rFonts w:cstheme="minorHAnsi"/>
          <w:color w:val="0D0D0D" w:themeColor="text1" w:themeTint="F2"/>
          <w:sz w:val="24"/>
          <w:szCs w:val="24"/>
        </w:rPr>
        <w:t>not be supported by the community pharmacy sector, which is seeking certain (guaranteed)</w:t>
      </w:r>
      <w:r w:rsidR="0020679E">
        <w:rPr>
          <w:rFonts w:cstheme="minorHAnsi"/>
          <w:color w:val="0D0D0D" w:themeColor="text1" w:themeTint="F2"/>
          <w:sz w:val="24"/>
          <w:szCs w:val="24"/>
        </w:rPr>
        <w:t xml:space="preserve"> increased</w:t>
      </w:r>
      <w:r w:rsidR="00CC4B72" w:rsidRPr="00C20287">
        <w:rPr>
          <w:rFonts w:cstheme="minorHAnsi"/>
          <w:color w:val="0D0D0D" w:themeColor="text1" w:themeTint="F2"/>
          <w:sz w:val="24"/>
          <w:szCs w:val="24"/>
        </w:rPr>
        <w:t xml:space="preserve"> remuneration from the Government for dispensing medicines </w:t>
      </w:r>
      <w:r w:rsidR="004E363A">
        <w:rPr>
          <w:rFonts w:cstheme="minorHAnsi"/>
          <w:color w:val="0D0D0D" w:themeColor="text1" w:themeTint="F2"/>
          <w:sz w:val="24"/>
          <w:szCs w:val="24"/>
        </w:rPr>
        <w:t xml:space="preserve">prior to the 7CPA expiry on </w:t>
      </w:r>
      <w:r w:rsidR="00CC4B72" w:rsidRPr="00C20287">
        <w:rPr>
          <w:rFonts w:cstheme="minorHAnsi"/>
          <w:color w:val="0D0D0D" w:themeColor="text1" w:themeTint="F2"/>
          <w:sz w:val="24"/>
          <w:szCs w:val="24"/>
        </w:rPr>
        <w:t xml:space="preserve">30 June </w:t>
      </w:r>
      <w:r w:rsidR="00EA1963">
        <w:rPr>
          <w:rFonts w:cstheme="minorHAnsi"/>
          <w:color w:val="0D0D0D" w:themeColor="text1" w:themeTint="F2"/>
          <w:sz w:val="24"/>
          <w:szCs w:val="24"/>
        </w:rPr>
        <w:t>2025</w:t>
      </w:r>
      <w:r w:rsidR="00A867CC" w:rsidRPr="00C20287">
        <w:rPr>
          <w:rFonts w:cstheme="minorHAnsi"/>
          <w:color w:val="0D0D0D" w:themeColor="text1" w:themeTint="F2"/>
          <w:sz w:val="24"/>
          <w:szCs w:val="24"/>
        </w:rPr>
        <w:t>.</w:t>
      </w:r>
    </w:p>
    <w:p w14:paraId="0263693F" w14:textId="2E32F042" w:rsidR="00265ABF" w:rsidRPr="00C20287" w:rsidRDefault="00CC4B72">
      <w:pPr>
        <w:pStyle w:val="BodyText"/>
        <w:rPr>
          <w:rFonts w:cstheme="minorHAnsi"/>
          <w:color w:val="0D0D0D" w:themeColor="text1" w:themeTint="F2"/>
          <w:sz w:val="24"/>
          <w:szCs w:val="24"/>
        </w:rPr>
      </w:pPr>
      <w:r w:rsidRPr="00C20287">
        <w:rPr>
          <w:rFonts w:cstheme="minorHAnsi"/>
          <w:color w:val="0D0D0D" w:themeColor="text1" w:themeTint="F2"/>
          <w:sz w:val="24"/>
          <w:szCs w:val="24"/>
        </w:rPr>
        <w:t>Under this option, ongoing negotiations could produce a new CPA to operate when the current 7CPA expires on 30 June 2025. If no further agreement is able to be negotiated</w:t>
      </w:r>
      <w:r w:rsidR="00265ABF" w:rsidRPr="00C20287">
        <w:rPr>
          <w:rFonts w:cstheme="minorHAnsi"/>
          <w:color w:val="0D0D0D" w:themeColor="text1" w:themeTint="F2"/>
          <w:sz w:val="24"/>
          <w:szCs w:val="24"/>
        </w:rPr>
        <w:t xml:space="preserve"> </w:t>
      </w:r>
      <w:r w:rsidR="004E363A">
        <w:rPr>
          <w:rFonts w:cstheme="minorHAnsi"/>
          <w:color w:val="0D0D0D" w:themeColor="text1" w:themeTint="F2"/>
          <w:sz w:val="24"/>
          <w:szCs w:val="24"/>
        </w:rPr>
        <w:t xml:space="preserve">by 30 June 2025, </w:t>
      </w:r>
      <w:r w:rsidRPr="00C20287">
        <w:rPr>
          <w:rFonts w:cstheme="minorHAnsi"/>
          <w:color w:val="0D0D0D" w:themeColor="text1" w:themeTint="F2"/>
          <w:sz w:val="24"/>
          <w:szCs w:val="24"/>
        </w:rPr>
        <w:t>then after that date r</w:t>
      </w:r>
      <w:r w:rsidR="00146F8E" w:rsidRPr="00C20287">
        <w:rPr>
          <w:rFonts w:cstheme="minorHAnsi"/>
          <w:color w:val="0D0D0D" w:themeColor="text1" w:themeTint="F2"/>
          <w:sz w:val="24"/>
          <w:szCs w:val="24"/>
        </w:rPr>
        <w:t xml:space="preserve">emuneration for dispensing would be </w:t>
      </w:r>
      <w:r w:rsidR="008E7D5A" w:rsidRPr="00C20287">
        <w:rPr>
          <w:rFonts w:cstheme="minorHAnsi"/>
          <w:color w:val="0D0D0D" w:themeColor="text1" w:themeTint="F2"/>
          <w:sz w:val="24"/>
          <w:szCs w:val="24"/>
        </w:rPr>
        <w:t xml:space="preserve">set by the </w:t>
      </w:r>
      <w:r w:rsidR="008E7D5A" w:rsidRPr="00C20287">
        <w:rPr>
          <w:rFonts w:cstheme="minorHAnsi"/>
          <w:color w:val="0D0D0D" w:themeColor="text1" w:themeTint="F2"/>
          <w:sz w:val="24"/>
          <w:szCs w:val="24"/>
        </w:rPr>
        <w:lastRenderedPageBreak/>
        <w:t xml:space="preserve">independent PBRT </w:t>
      </w:r>
      <w:r w:rsidR="004153BE" w:rsidRPr="00C20287">
        <w:rPr>
          <w:rFonts w:cstheme="minorHAnsi"/>
          <w:color w:val="0D0D0D" w:themeColor="text1" w:themeTint="F2"/>
          <w:sz w:val="24"/>
          <w:szCs w:val="24"/>
        </w:rPr>
        <w:t xml:space="preserve">following </w:t>
      </w:r>
      <w:r w:rsidR="008E7D5A" w:rsidRPr="00C20287">
        <w:rPr>
          <w:rFonts w:cstheme="minorHAnsi"/>
          <w:color w:val="0D0D0D" w:themeColor="text1" w:themeTint="F2"/>
          <w:sz w:val="24"/>
          <w:szCs w:val="24"/>
        </w:rPr>
        <w:t>a</w:t>
      </w:r>
      <w:r w:rsidR="0068654B" w:rsidRPr="00C20287">
        <w:rPr>
          <w:rFonts w:cstheme="minorHAnsi"/>
          <w:color w:val="0D0D0D" w:themeColor="text1" w:themeTint="F2"/>
          <w:sz w:val="24"/>
          <w:szCs w:val="24"/>
        </w:rPr>
        <w:t xml:space="preserve"> public</w:t>
      </w:r>
      <w:r w:rsidR="008E7D5A" w:rsidRPr="00C20287">
        <w:rPr>
          <w:rFonts w:cstheme="minorHAnsi"/>
          <w:color w:val="0D0D0D" w:themeColor="text1" w:themeTint="F2"/>
          <w:sz w:val="24"/>
          <w:szCs w:val="24"/>
        </w:rPr>
        <w:t xml:space="preserve"> inquiry</w:t>
      </w:r>
      <w:r w:rsidR="007C4C31" w:rsidRPr="00C20287">
        <w:rPr>
          <w:rFonts w:cstheme="minorHAnsi"/>
          <w:color w:val="0D0D0D" w:themeColor="text1" w:themeTint="F2"/>
          <w:sz w:val="24"/>
          <w:szCs w:val="24"/>
        </w:rPr>
        <w:t xml:space="preserve"> </w:t>
      </w:r>
      <w:r w:rsidR="004153BE" w:rsidRPr="00C20287">
        <w:rPr>
          <w:rFonts w:cstheme="minorHAnsi"/>
          <w:color w:val="0D0D0D" w:themeColor="text1" w:themeTint="F2"/>
          <w:sz w:val="24"/>
          <w:szCs w:val="24"/>
        </w:rPr>
        <w:t xml:space="preserve">which would occur </w:t>
      </w:r>
      <w:r w:rsidR="007C4C31" w:rsidRPr="00C20287">
        <w:rPr>
          <w:rFonts w:cstheme="minorHAnsi"/>
          <w:color w:val="0D0D0D" w:themeColor="text1" w:themeTint="F2"/>
          <w:sz w:val="24"/>
          <w:szCs w:val="24"/>
        </w:rPr>
        <w:t xml:space="preserve">after the conclusion </w:t>
      </w:r>
      <w:r w:rsidR="00187E32" w:rsidRPr="00C20287">
        <w:rPr>
          <w:rFonts w:cstheme="minorHAnsi"/>
          <w:color w:val="0D0D0D" w:themeColor="text1" w:themeTint="F2"/>
          <w:sz w:val="24"/>
          <w:szCs w:val="24"/>
        </w:rPr>
        <w:t>of</w:t>
      </w:r>
      <w:r w:rsidR="007C4C31" w:rsidRPr="00C20287">
        <w:rPr>
          <w:rFonts w:cstheme="minorHAnsi"/>
          <w:color w:val="0D0D0D" w:themeColor="text1" w:themeTint="F2"/>
          <w:sz w:val="24"/>
          <w:szCs w:val="24"/>
        </w:rPr>
        <w:t xml:space="preserve"> the term of the 7CPA</w:t>
      </w:r>
      <w:r w:rsidR="00B265DE" w:rsidRPr="00C20287">
        <w:rPr>
          <w:rFonts w:cstheme="minorHAnsi"/>
          <w:color w:val="0D0D0D" w:themeColor="text1" w:themeTint="F2"/>
          <w:sz w:val="24"/>
          <w:szCs w:val="24"/>
        </w:rPr>
        <w:t xml:space="preserve">. </w:t>
      </w:r>
    </w:p>
    <w:p w14:paraId="331E40A1" w14:textId="43AB3C99" w:rsidR="00187E32" w:rsidRDefault="00187E32">
      <w:pPr>
        <w:pStyle w:val="BodyText"/>
        <w:rPr>
          <w:rFonts w:cstheme="minorHAnsi"/>
          <w:color w:val="0D0D0D" w:themeColor="text1" w:themeTint="F2"/>
          <w:sz w:val="24"/>
          <w:szCs w:val="24"/>
        </w:rPr>
      </w:pPr>
      <w:r w:rsidRPr="00C20287">
        <w:rPr>
          <w:rFonts w:cstheme="minorHAnsi"/>
          <w:color w:val="0D0D0D" w:themeColor="text1" w:themeTint="F2"/>
          <w:sz w:val="24"/>
          <w:szCs w:val="24"/>
        </w:rPr>
        <w:t>The PBRT operates independently of the Department</w:t>
      </w:r>
      <w:r w:rsidR="00F11C84">
        <w:rPr>
          <w:rFonts w:cstheme="minorHAnsi"/>
          <w:color w:val="0D0D0D" w:themeColor="text1" w:themeTint="F2"/>
          <w:sz w:val="24"/>
          <w:szCs w:val="24"/>
        </w:rPr>
        <w:t>. T</w:t>
      </w:r>
      <w:r w:rsidR="00C20287">
        <w:rPr>
          <w:rFonts w:cstheme="minorHAnsi"/>
          <w:color w:val="0D0D0D" w:themeColor="text1" w:themeTint="F2"/>
          <w:sz w:val="24"/>
          <w:szCs w:val="24"/>
        </w:rPr>
        <w:t>he D</w:t>
      </w:r>
      <w:r w:rsidRPr="00C20287">
        <w:rPr>
          <w:rFonts w:cstheme="minorHAnsi"/>
          <w:color w:val="0D0D0D" w:themeColor="text1" w:themeTint="F2"/>
          <w:sz w:val="24"/>
          <w:szCs w:val="24"/>
        </w:rPr>
        <w:t xml:space="preserve">epartment is unable to predict whether remuneration to pharmacies for </w:t>
      </w:r>
      <w:r w:rsidR="00265ABF" w:rsidRPr="00C20287">
        <w:rPr>
          <w:rFonts w:cstheme="minorHAnsi"/>
          <w:color w:val="0D0D0D" w:themeColor="text1" w:themeTint="F2"/>
          <w:sz w:val="24"/>
          <w:szCs w:val="24"/>
        </w:rPr>
        <w:t>dispensing</w:t>
      </w:r>
      <w:r w:rsidRPr="00C20287">
        <w:rPr>
          <w:rFonts w:cstheme="minorHAnsi"/>
          <w:color w:val="0D0D0D" w:themeColor="text1" w:themeTint="F2"/>
          <w:sz w:val="24"/>
          <w:szCs w:val="24"/>
        </w:rPr>
        <w:t xml:space="preserve"> prescriptions under the PBS might increase, decrease or remain the same. This IA document has not sought to model the possible regulatory or budgetary impact of different possible scenarios of remuneration which might be agreed by the PBRT in recognition of the independence of that entity and so as to not compromise or influence their inquiries, deliberations or negotiations.</w:t>
      </w:r>
    </w:p>
    <w:p w14:paraId="64AEB6AE" w14:textId="03D5F688" w:rsidR="00744F2A" w:rsidRPr="00744F2A" w:rsidRDefault="00744F2A" w:rsidP="00744F2A">
      <w:pPr>
        <w:pStyle w:val="CABNETParagraph"/>
        <w:rPr>
          <w:rFonts w:asciiTheme="minorHAnsi" w:hAnsiTheme="minorHAnsi"/>
          <w:color w:val="0D0D0D" w:themeColor="text1" w:themeTint="F2"/>
          <w:sz w:val="24"/>
          <w:szCs w:val="24"/>
        </w:rPr>
      </w:pPr>
      <w:r>
        <w:rPr>
          <w:rFonts w:asciiTheme="minorHAnsi" w:hAnsiTheme="minorHAnsi"/>
          <w:color w:val="0D0D0D" w:themeColor="text1" w:themeTint="F2"/>
          <w:sz w:val="24"/>
          <w:szCs w:val="24"/>
        </w:rPr>
        <w:t xml:space="preserve">In 1989 the PBRT concluded an enquiry into the efficient cost of dispensing medicines by </w:t>
      </w:r>
      <w:r w:rsidRPr="00744F2A">
        <w:rPr>
          <w:rFonts w:asciiTheme="minorHAnsi" w:hAnsiTheme="minorHAnsi"/>
          <w:color w:val="0D0D0D" w:themeColor="text1" w:themeTint="F2"/>
          <w:sz w:val="24"/>
          <w:szCs w:val="24"/>
        </w:rPr>
        <w:t>examining surveys into pharmacies’ dispensing costs, the PBRT concluded that pharmacy owners were being over-remunerated for dispensing PBS medicines. The PBRT decided to change pharmacy remuneration by abolishing the 25% mark-up then applying to PBS medicines, and reducing the dispensing fee</w:t>
      </w:r>
      <w:r w:rsidR="004D4EDA">
        <w:rPr>
          <w:rFonts w:asciiTheme="minorHAnsi" w:hAnsiTheme="minorHAnsi"/>
          <w:color w:val="0D0D0D" w:themeColor="text1" w:themeTint="F2"/>
          <w:sz w:val="24"/>
          <w:szCs w:val="24"/>
        </w:rPr>
        <w:t xml:space="preserve"> by 23%</w:t>
      </w:r>
      <w:r w:rsidRPr="00744F2A">
        <w:rPr>
          <w:rFonts w:asciiTheme="minorHAnsi" w:hAnsiTheme="minorHAnsi"/>
          <w:color w:val="0D0D0D" w:themeColor="text1" w:themeTint="F2"/>
          <w:sz w:val="24"/>
          <w:szCs w:val="24"/>
        </w:rPr>
        <w:t xml:space="preserve">. </w:t>
      </w:r>
      <w:r w:rsidR="004A10C8">
        <w:rPr>
          <w:rFonts w:asciiTheme="minorHAnsi" w:hAnsiTheme="minorHAnsi"/>
          <w:color w:val="0D0D0D" w:themeColor="text1" w:themeTint="F2"/>
          <w:sz w:val="24"/>
          <w:szCs w:val="24"/>
        </w:rPr>
        <w:t>Following this decision pharmacists took the exceptional action of holding public rallies with some owners closing their pharmacies</w:t>
      </w:r>
      <w:r w:rsidRPr="00744F2A">
        <w:rPr>
          <w:rFonts w:asciiTheme="minorHAnsi" w:hAnsiTheme="minorHAnsi"/>
          <w:color w:val="0D0D0D" w:themeColor="text1" w:themeTint="F2"/>
          <w:sz w:val="24"/>
          <w:szCs w:val="24"/>
        </w:rPr>
        <w:t>.</w:t>
      </w:r>
      <w:r w:rsidR="006F7114">
        <w:rPr>
          <w:rStyle w:val="FootnoteReference"/>
          <w:rFonts w:asciiTheme="minorHAnsi" w:hAnsiTheme="minorHAnsi"/>
          <w:color w:val="0D0D0D" w:themeColor="text1" w:themeTint="F2"/>
          <w:sz w:val="24"/>
          <w:szCs w:val="24"/>
        </w:rPr>
        <w:footnoteReference w:id="6"/>
      </w:r>
      <w:r w:rsidRPr="00744F2A">
        <w:rPr>
          <w:rFonts w:asciiTheme="minorHAnsi" w:hAnsiTheme="minorHAnsi"/>
          <w:color w:val="0D0D0D" w:themeColor="text1" w:themeTint="F2"/>
          <w:sz w:val="24"/>
          <w:szCs w:val="24"/>
        </w:rPr>
        <w:t xml:space="preserve"> The then Minister for Aged, Family and Health Services subsequently negotiated directly with the Guild, and on 6 December 1990, entered into what was to become the first CPA to establish set values for dispensing remuneration.</w:t>
      </w:r>
      <w:r>
        <w:rPr>
          <w:rFonts w:asciiTheme="minorHAnsi" w:hAnsiTheme="minorHAnsi"/>
          <w:color w:val="0D0D0D" w:themeColor="text1" w:themeTint="F2"/>
          <w:sz w:val="24"/>
          <w:szCs w:val="24"/>
        </w:rPr>
        <w:t xml:space="preserve"> </w:t>
      </w:r>
    </w:p>
    <w:p w14:paraId="1C160E00" w14:textId="7EC25037" w:rsidR="00265ABF" w:rsidRPr="00C20287" w:rsidRDefault="00B265DE">
      <w:pPr>
        <w:pStyle w:val="BodyText"/>
        <w:rPr>
          <w:rFonts w:cstheme="minorHAnsi"/>
          <w:color w:val="0D0D0D" w:themeColor="text1" w:themeTint="F2"/>
          <w:sz w:val="24"/>
          <w:szCs w:val="24"/>
        </w:rPr>
      </w:pPr>
      <w:r w:rsidRPr="00C20287">
        <w:rPr>
          <w:rFonts w:cstheme="minorHAnsi"/>
          <w:color w:val="0D0D0D" w:themeColor="text1" w:themeTint="F2"/>
          <w:sz w:val="24"/>
          <w:szCs w:val="24"/>
        </w:rPr>
        <w:t>Th</w:t>
      </w:r>
      <w:r w:rsidR="004153BE" w:rsidRPr="00C20287">
        <w:rPr>
          <w:rFonts w:cstheme="minorHAnsi"/>
          <w:color w:val="0D0D0D" w:themeColor="text1" w:themeTint="F2"/>
          <w:sz w:val="24"/>
          <w:szCs w:val="24"/>
        </w:rPr>
        <w:t>e PBRT</w:t>
      </w:r>
      <w:r w:rsidRPr="00C20287">
        <w:rPr>
          <w:rFonts w:cstheme="minorHAnsi"/>
          <w:color w:val="0D0D0D" w:themeColor="text1" w:themeTint="F2"/>
          <w:sz w:val="24"/>
          <w:szCs w:val="24"/>
        </w:rPr>
        <w:t xml:space="preserve"> would look at all aspects that make up the cost of efficient dispensing</w:t>
      </w:r>
      <w:r w:rsidR="008E7D5A" w:rsidRPr="00C20287">
        <w:rPr>
          <w:rFonts w:cstheme="minorHAnsi"/>
          <w:color w:val="0D0D0D" w:themeColor="text1" w:themeTint="F2"/>
          <w:sz w:val="24"/>
          <w:szCs w:val="24"/>
        </w:rPr>
        <w:t xml:space="preserve">. </w:t>
      </w:r>
      <w:r w:rsidR="00187E32" w:rsidRPr="00C20287">
        <w:rPr>
          <w:rFonts w:cstheme="minorHAnsi"/>
          <w:color w:val="0D0D0D" w:themeColor="text1" w:themeTint="F2"/>
          <w:sz w:val="24"/>
          <w:szCs w:val="24"/>
        </w:rPr>
        <w:t xml:space="preserve">Community Pharmacy Programs (CPPs) </w:t>
      </w:r>
      <w:r w:rsidR="00CD7708" w:rsidRPr="00CD7708">
        <w:rPr>
          <w:rFonts w:cstheme="minorHAnsi"/>
          <w:color w:val="0D0D0D" w:themeColor="text1" w:themeTint="F2"/>
          <w:sz w:val="24"/>
          <w:szCs w:val="24"/>
        </w:rPr>
        <w:t>which are covered under the 7CPA,</w:t>
      </w:r>
      <w:r w:rsidR="00A640E2">
        <w:rPr>
          <w:rFonts w:cstheme="minorHAnsi"/>
          <w:color w:val="0D0D0D" w:themeColor="text1" w:themeTint="F2"/>
          <w:sz w:val="24"/>
          <w:szCs w:val="24"/>
        </w:rPr>
        <w:t xml:space="preserve"> </w:t>
      </w:r>
      <w:r w:rsidR="00187E32" w:rsidRPr="00C20287">
        <w:rPr>
          <w:rFonts w:cstheme="minorHAnsi"/>
          <w:color w:val="0D0D0D" w:themeColor="text1" w:themeTint="F2"/>
          <w:sz w:val="24"/>
          <w:szCs w:val="24"/>
        </w:rPr>
        <w:t xml:space="preserve">would continue until such time as </w:t>
      </w:r>
      <w:r w:rsidR="00265ABF" w:rsidRPr="00C20287">
        <w:rPr>
          <w:rFonts w:cstheme="minorHAnsi"/>
          <w:color w:val="0D0D0D" w:themeColor="text1" w:themeTint="F2"/>
          <w:sz w:val="24"/>
          <w:szCs w:val="24"/>
        </w:rPr>
        <w:t xml:space="preserve">the Government makes further policy decisions to change or </w:t>
      </w:r>
      <w:r w:rsidR="00187E32" w:rsidRPr="00C20287">
        <w:rPr>
          <w:rFonts w:cstheme="minorHAnsi"/>
          <w:color w:val="0D0D0D" w:themeColor="text1" w:themeTint="F2"/>
          <w:sz w:val="24"/>
          <w:szCs w:val="24"/>
        </w:rPr>
        <w:t>reform</w:t>
      </w:r>
      <w:r w:rsidR="00265ABF" w:rsidRPr="00C20287">
        <w:rPr>
          <w:rFonts w:cstheme="minorHAnsi"/>
          <w:color w:val="0D0D0D" w:themeColor="text1" w:themeTint="F2"/>
          <w:sz w:val="24"/>
          <w:szCs w:val="24"/>
        </w:rPr>
        <w:t xml:space="preserve"> the programs, for instance to </w:t>
      </w:r>
      <w:r w:rsidR="00187E32" w:rsidRPr="00C20287">
        <w:rPr>
          <w:rFonts w:cstheme="minorHAnsi"/>
          <w:color w:val="0D0D0D" w:themeColor="text1" w:themeTint="F2"/>
          <w:sz w:val="24"/>
          <w:szCs w:val="24"/>
        </w:rPr>
        <w:t xml:space="preserve">enable implementation of Quality and Evaluation Frameworks </w:t>
      </w:r>
      <w:r w:rsidR="00265ABF" w:rsidRPr="00C20287">
        <w:rPr>
          <w:rFonts w:cstheme="minorHAnsi"/>
          <w:color w:val="0D0D0D" w:themeColor="text1" w:themeTint="F2"/>
          <w:sz w:val="24"/>
          <w:szCs w:val="24"/>
        </w:rPr>
        <w:t>developed in consultation</w:t>
      </w:r>
      <w:r w:rsidR="00187E32" w:rsidRPr="00C20287">
        <w:rPr>
          <w:rFonts w:cstheme="minorHAnsi"/>
          <w:color w:val="0D0D0D" w:themeColor="text1" w:themeTint="F2"/>
          <w:sz w:val="24"/>
          <w:szCs w:val="24"/>
        </w:rPr>
        <w:t xml:space="preserve"> with stakeholders.</w:t>
      </w:r>
      <w:r w:rsidR="00187E32" w:rsidRPr="00C20287" w:rsidDel="00187E32">
        <w:rPr>
          <w:rFonts w:cstheme="minorHAnsi"/>
          <w:color w:val="0D0D0D" w:themeColor="text1" w:themeTint="F2"/>
          <w:sz w:val="24"/>
          <w:szCs w:val="24"/>
        </w:rPr>
        <w:t xml:space="preserve"> </w:t>
      </w:r>
    </w:p>
    <w:p w14:paraId="70DF0E7C" w14:textId="3F85D145" w:rsidR="00896B93" w:rsidRPr="00C20287" w:rsidRDefault="00455069">
      <w:pPr>
        <w:pStyle w:val="BodyText"/>
        <w:rPr>
          <w:rFonts w:cstheme="minorHAnsi"/>
          <w:color w:val="0D0D0D" w:themeColor="text1" w:themeTint="F2"/>
          <w:sz w:val="24"/>
          <w:szCs w:val="24"/>
        </w:rPr>
      </w:pPr>
      <w:r w:rsidRPr="00C20287">
        <w:rPr>
          <w:rFonts w:cstheme="minorHAnsi"/>
          <w:color w:val="0D0D0D" w:themeColor="text1" w:themeTint="F2"/>
          <w:sz w:val="24"/>
          <w:szCs w:val="24"/>
        </w:rPr>
        <w:t xml:space="preserve">In addition to pharmacies, wholesalers </w:t>
      </w:r>
      <w:r w:rsidR="008E7D5A" w:rsidRPr="00C20287">
        <w:rPr>
          <w:rFonts w:cstheme="minorHAnsi"/>
          <w:color w:val="0D0D0D" w:themeColor="text1" w:themeTint="F2"/>
          <w:sz w:val="24"/>
          <w:szCs w:val="24"/>
        </w:rPr>
        <w:t xml:space="preserve">would be impacted by the expiry of current arrangements </w:t>
      </w:r>
      <w:r w:rsidR="00F07498" w:rsidRPr="00C20287">
        <w:rPr>
          <w:rFonts w:cstheme="minorHAnsi"/>
          <w:color w:val="0D0D0D" w:themeColor="text1" w:themeTint="F2"/>
          <w:sz w:val="24"/>
          <w:szCs w:val="24"/>
        </w:rPr>
        <w:t>with</w:t>
      </w:r>
      <w:r w:rsidR="00265ABF" w:rsidRPr="00C20287">
        <w:rPr>
          <w:rFonts w:cstheme="minorHAnsi"/>
          <w:color w:val="0D0D0D" w:themeColor="text1" w:themeTint="F2"/>
          <w:sz w:val="24"/>
          <w:szCs w:val="24"/>
        </w:rPr>
        <w:t>out</w:t>
      </w:r>
      <w:r w:rsidR="008E7D5A" w:rsidRPr="00C20287">
        <w:rPr>
          <w:rFonts w:cstheme="minorHAnsi"/>
          <w:color w:val="0D0D0D" w:themeColor="text1" w:themeTint="F2"/>
          <w:sz w:val="24"/>
          <w:szCs w:val="24"/>
        </w:rPr>
        <w:t xml:space="preserve"> certainty over </w:t>
      </w:r>
      <w:r w:rsidR="00265ABF" w:rsidRPr="00C20287">
        <w:rPr>
          <w:rFonts w:cstheme="minorHAnsi"/>
          <w:color w:val="0D0D0D" w:themeColor="text1" w:themeTint="F2"/>
          <w:sz w:val="24"/>
          <w:szCs w:val="24"/>
        </w:rPr>
        <w:t xml:space="preserve">future </w:t>
      </w:r>
      <w:r w:rsidR="0068654B" w:rsidRPr="00C20287">
        <w:rPr>
          <w:rFonts w:cstheme="minorHAnsi"/>
          <w:color w:val="0D0D0D" w:themeColor="text1" w:themeTint="F2"/>
          <w:sz w:val="24"/>
          <w:szCs w:val="24"/>
        </w:rPr>
        <w:t xml:space="preserve">wholesaler mark-ups </w:t>
      </w:r>
      <w:r w:rsidR="00265ABF" w:rsidRPr="00C20287">
        <w:rPr>
          <w:rFonts w:cstheme="minorHAnsi"/>
          <w:color w:val="0D0D0D" w:themeColor="text1" w:themeTint="F2"/>
          <w:sz w:val="24"/>
          <w:szCs w:val="24"/>
        </w:rPr>
        <w:t xml:space="preserve">included </w:t>
      </w:r>
      <w:r w:rsidR="0068654B" w:rsidRPr="00C20287">
        <w:rPr>
          <w:rFonts w:cstheme="minorHAnsi"/>
          <w:color w:val="0D0D0D" w:themeColor="text1" w:themeTint="F2"/>
          <w:sz w:val="24"/>
          <w:szCs w:val="24"/>
        </w:rPr>
        <w:t>in the Commonwealth price</w:t>
      </w:r>
      <w:r w:rsidR="00D548F8" w:rsidRPr="00C20287">
        <w:rPr>
          <w:rFonts w:cstheme="minorHAnsi"/>
          <w:color w:val="0D0D0D" w:themeColor="text1" w:themeTint="F2"/>
          <w:sz w:val="24"/>
          <w:szCs w:val="24"/>
        </w:rPr>
        <w:t xml:space="preserve">, </w:t>
      </w:r>
      <w:r w:rsidR="00265ABF" w:rsidRPr="00C20287">
        <w:rPr>
          <w:rFonts w:cstheme="minorHAnsi"/>
          <w:color w:val="0D0D0D" w:themeColor="text1" w:themeTint="F2"/>
          <w:sz w:val="24"/>
          <w:szCs w:val="24"/>
        </w:rPr>
        <w:t xml:space="preserve">of funding provided through the </w:t>
      </w:r>
      <w:r w:rsidR="00D548F8" w:rsidRPr="00C20287">
        <w:rPr>
          <w:rFonts w:cstheme="minorHAnsi"/>
          <w:color w:val="0D0D0D" w:themeColor="text1" w:themeTint="F2"/>
          <w:sz w:val="24"/>
          <w:szCs w:val="24"/>
        </w:rPr>
        <w:t>Community Service Obligation (CSO)</w:t>
      </w:r>
      <w:r w:rsidR="00306BC4">
        <w:rPr>
          <w:rFonts w:cstheme="minorHAnsi"/>
          <w:color w:val="0D0D0D" w:themeColor="text1" w:themeTint="F2"/>
          <w:sz w:val="24"/>
          <w:szCs w:val="24"/>
        </w:rPr>
        <w:t xml:space="preserve">, </w:t>
      </w:r>
      <w:r w:rsidR="00306BC4" w:rsidRPr="00306BC4">
        <w:rPr>
          <w:rFonts w:cstheme="minorHAnsi"/>
          <w:color w:val="0D0D0D" w:themeColor="text1" w:themeTint="F2"/>
          <w:sz w:val="24"/>
          <w:szCs w:val="24"/>
        </w:rPr>
        <w:t>which also forms part of the 7CPA</w:t>
      </w:r>
      <w:r w:rsidR="008E7D5A" w:rsidRPr="00C20287">
        <w:rPr>
          <w:rFonts w:cstheme="minorHAnsi"/>
          <w:color w:val="0D0D0D" w:themeColor="text1" w:themeTint="F2"/>
          <w:sz w:val="24"/>
          <w:szCs w:val="24"/>
        </w:rPr>
        <w:t>.</w:t>
      </w:r>
      <w:r w:rsidR="0039380B" w:rsidRPr="00C20287">
        <w:rPr>
          <w:rFonts w:cstheme="minorHAnsi"/>
          <w:color w:val="0D0D0D" w:themeColor="text1" w:themeTint="F2"/>
          <w:sz w:val="24"/>
          <w:szCs w:val="24"/>
        </w:rPr>
        <w:t xml:space="preserve"> </w:t>
      </w:r>
    </w:p>
    <w:p w14:paraId="2F30DFD8" w14:textId="02194F1F" w:rsidR="00896B93" w:rsidRPr="00C20287" w:rsidRDefault="00FA3D50"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 xml:space="preserve">Option </w:t>
      </w:r>
      <w:r w:rsidR="00877E80" w:rsidRPr="00C20287">
        <w:rPr>
          <w:rFonts w:cstheme="minorHAnsi"/>
          <w:color w:val="0D0D0D" w:themeColor="text1" w:themeTint="F2"/>
          <w:sz w:val="24"/>
          <w:szCs w:val="24"/>
        </w:rPr>
        <w:t>2 seeks to</w:t>
      </w:r>
      <w:r w:rsidR="0028172B" w:rsidRPr="00C20287">
        <w:rPr>
          <w:rFonts w:cstheme="minorHAnsi"/>
          <w:color w:val="0D0D0D" w:themeColor="text1" w:themeTint="F2"/>
          <w:sz w:val="24"/>
          <w:szCs w:val="24"/>
        </w:rPr>
        <w:t xml:space="preserve"> broadly</w:t>
      </w:r>
      <w:r w:rsidR="00877E80" w:rsidRPr="00C20287">
        <w:rPr>
          <w:rFonts w:cstheme="minorHAnsi"/>
          <w:color w:val="0D0D0D" w:themeColor="text1" w:themeTint="F2"/>
          <w:sz w:val="24"/>
          <w:szCs w:val="24"/>
        </w:rPr>
        <w:t xml:space="preserve"> maintain the </w:t>
      </w:r>
      <w:r w:rsidR="00187E32" w:rsidRPr="00C20287">
        <w:rPr>
          <w:rFonts w:cstheme="minorHAnsi"/>
          <w:color w:val="0D0D0D" w:themeColor="text1" w:themeTint="F2"/>
          <w:sz w:val="24"/>
          <w:szCs w:val="24"/>
        </w:rPr>
        <w:t>individual components of the existing CPA, but the Government would negotiate with the Guild on the level of remuneration for each component</w:t>
      </w:r>
      <w:r w:rsidR="00877E80" w:rsidRPr="00C20287">
        <w:rPr>
          <w:rFonts w:cstheme="minorHAnsi"/>
          <w:color w:val="0D0D0D" w:themeColor="text1" w:themeTint="F2"/>
          <w:sz w:val="24"/>
          <w:szCs w:val="24"/>
        </w:rPr>
        <w:t>. This</w:t>
      </w:r>
      <w:r w:rsidR="00265ABF" w:rsidRPr="00C20287">
        <w:rPr>
          <w:rFonts w:cstheme="minorHAnsi"/>
          <w:color w:val="0D0D0D" w:themeColor="text1" w:themeTint="F2"/>
          <w:sz w:val="24"/>
          <w:szCs w:val="24"/>
        </w:rPr>
        <w:t xml:space="preserve"> option</w:t>
      </w:r>
      <w:r w:rsidR="005B17C0" w:rsidRPr="00C20287">
        <w:rPr>
          <w:rFonts w:cstheme="minorHAnsi"/>
          <w:color w:val="0D0D0D" w:themeColor="text1" w:themeTint="F2"/>
          <w:sz w:val="24"/>
          <w:szCs w:val="24"/>
        </w:rPr>
        <w:t xml:space="preserve"> </w:t>
      </w:r>
      <w:r w:rsidR="00877E80" w:rsidRPr="00C20287">
        <w:rPr>
          <w:rFonts w:cstheme="minorHAnsi"/>
          <w:color w:val="0D0D0D" w:themeColor="text1" w:themeTint="F2"/>
          <w:sz w:val="24"/>
          <w:szCs w:val="24"/>
        </w:rPr>
        <w:t xml:space="preserve">presents </w:t>
      </w:r>
      <w:r w:rsidR="005B17C0" w:rsidRPr="00C20287">
        <w:rPr>
          <w:rFonts w:cstheme="minorHAnsi"/>
          <w:color w:val="0D0D0D" w:themeColor="text1" w:themeTint="F2"/>
          <w:sz w:val="24"/>
          <w:szCs w:val="24"/>
        </w:rPr>
        <w:t xml:space="preserve">little </w:t>
      </w:r>
      <w:r w:rsidRPr="00C20287">
        <w:rPr>
          <w:rFonts w:cstheme="minorHAnsi"/>
          <w:color w:val="0D0D0D" w:themeColor="text1" w:themeTint="F2"/>
          <w:sz w:val="24"/>
          <w:szCs w:val="24"/>
        </w:rPr>
        <w:t xml:space="preserve">scope for applying </w:t>
      </w:r>
      <w:r w:rsidR="007C4C31" w:rsidRPr="00C20287">
        <w:rPr>
          <w:rFonts w:cstheme="minorHAnsi"/>
          <w:color w:val="0D0D0D" w:themeColor="text1" w:themeTint="F2"/>
          <w:sz w:val="24"/>
          <w:szCs w:val="24"/>
        </w:rPr>
        <w:t xml:space="preserve">any </w:t>
      </w:r>
      <w:r w:rsidRPr="00C20287">
        <w:rPr>
          <w:rFonts w:cstheme="minorHAnsi"/>
          <w:color w:val="0D0D0D" w:themeColor="text1" w:themeTint="F2"/>
          <w:sz w:val="24"/>
          <w:szCs w:val="24"/>
        </w:rPr>
        <w:t>real</w:t>
      </w:r>
      <w:r w:rsidR="00877E80" w:rsidRPr="00C20287">
        <w:rPr>
          <w:rFonts w:cstheme="minorHAnsi"/>
          <w:color w:val="0D0D0D" w:themeColor="text1" w:themeTint="F2"/>
          <w:sz w:val="24"/>
          <w:szCs w:val="24"/>
        </w:rPr>
        <w:t xml:space="preserve"> and</w:t>
      </w:r>
      <w:r w:rsidRPr="00C20287">
        <w:rPr>
          <w:rFonts w:cstheme="minorHAnsi"/>
          <w:color w:val="0D0D0D" w:themeColor="text1" w:themeTint="F2"/>
          <w:sz w:val="24"/>
          <w:szCs w:val="24"/>
        </w:rPr>
        <w:t xml:space="preserve"> meaningful reforms to the </w:t>
      </w:r>
      <w:r w:rsidR="005324C9" w:rsidRPr="00C20287">
        <w:rPr>
          <w:rFonts w:cstheme="minorHAnsi"/>
          <w:color w:val="0D0D0D" w:themeColor="text1" w:themeTint="F2"/>
          <w:sz w:val="24"/>
          <w:szCs w:val="24"/>
        </w:rPr>
        <w:t>agreement and programs that currently sit under the 7CPA</w:t>
      </w:r>
      <w:r w:rsidRPr="00C20287">
        <w:rPr>
          <w:rFonts w:cstheme="minorHAnsi"/>
          <w:color w:val="0D0D0D" w:themeColor="text1" w:themeTint="F2"/>
          <w:sz w:val="24"/>
          <w:szCs w:val="24"/>
        </w:rPr>
        <w:t xml:space="preserve">, </w:t>
      </w:r>
      <w:r w:rsidR="00877E80" w:rsidRPr="00C20287">
        <w:rPr>
          <w:rFonts w:cstheme="minorHAnsi"/>
          <w:color w:val="0D0D0D" w:themeColor="text1" w:themeTint="F2"/>
          <w:sz w:val="24"/>
          <w:szCs w:val="24"/>
        </w:rPr>
        <w:t xml:space="preserve">but </w:t>
      </w:r>
      <w:r w:rsidR="004E363A">
        <w:rPr>
          <w:rFonts w:cstheme="minorHAnsi"/>
          <w:color w:val="0D0D0D" w:themeColor="text1" w:themeTint="F2"/>
          <w:sz w:val="24"/>
          <w:szCs w:val="24"/>
        </w:rPr>
        <w:t>would</w:t>
      </w:r>
      <w:r w:rsidRPr="00C20287">
        <w:rPr>
          <w:rFonts w:cstheme="minorHAnsi"/>
          <w:color w:val="0D0D0D" w:themeColor="text1" w:themeTint="F2"/>
          <w:sz w:val="24"/>
          <w:szCs w:val="24"/>
        </w:rPr>
        <w:t xml:space="preserve"> provid</w:t>
      </w:r>
      <w:r w:rsidR="00877E80" w:rsidRPr="00C20287">
        <w:rPr>
          <w:rFonts w:cstheme="minorHAnsi"/>
          <w:color w:val="0D0D0D" w:themeColor="text1" w:themeTint="F2"/>
          <w:sz w:val="24"/>
          <w:szCs w:val="24"/>
        </w:rPr>
        <w:t>e</w:t>
      </w:r>
      <w:r w:rsidRPr="00C20287">
        <w:rPr>
          <w:rFonts w:cstheme="minorHAnsi"/>
          <w:color w:val="0D0D0D" w:themeColor="text1" w:themeTint="F2"/>
          <w:sz w:val="24"/>
          <w:szCs w:val="24"/>
        </w:rPr>
        <w:t xml:space="preserve"> assurance of remuneration for dispensing PBS medicines</w:t>
      </w:r>
      <w:r w:rsidR="005B17C0" w:rsidRPr="00C20287">
        <w:rPr>
          <w:rFonts w:cstheme="minorHAnsi"/>
          <w:color w:val="0D0D0D" w:themeColor="text1" w:themeTint="F2"/>
          <w:sz w:val="24"/>
          <w:szCs w:val="24"/>
        </w:rPr>
        <w:t xml:space="preserve"> and continuation of existing programs</w:t>
      </w:r>
      <w:r w:rsidR="00B411FB" w:rsidRPr="00C20287">
        <w:rPr>
          <w:rFonts w:cstheme="minorHAnsi"/>
          <w:color w:val="0D0D0D" w:themeColor="text1" w:themeTint="F2"/>
          <w:sz w:val="24"/>
          <w:szCs w:val="24"/>
        </w:rPr>
        <w:t xml:space="preserve">. </w:t>
      </w:r>
    </w:p>
    <w:p w14:paraId="38AF25D6" w14:textId="1758E86D" w:rsidR="00C52C97" w:rsidRPr="00C20287" w:rsidRDefault="00FA3D50"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 xml:space="preserve">Option </w:t>
      </w:r>
      <w:r w:rsidR="00877E80" w:rsidRPr="00C20287">
        <w:rPr>
          <w:rFonts w:cstheme="minorHAnsi"/>
          <w:color w:val="0D0D0D" w:themeColor="text1" w:themeTint="F2"/>
          <w:sz w:val="24"/>
          <w:szCs w:val="24"/>
        </w:rPr>
        <w:t>3</w:t>
      </w:r>
      <w:r w:rsidRPr="00C20287">
        <w:rPr>
          <w:rFonts w:cstheme="minorHAnsi"/>
          <w:color w:val="0D0D0D" w:themeColor="text1" w:themeTint="F2"/>
          <w:sz w:val="24"/>
          <w:szCs w:val="24"/>
        </w:rPr>
        <w:t xml:space="preserve"> </w:t>
      </w:r>
      <w:r w:rsidR="00265ABF" w:rsidRPr="00C20287">
        <w:rPr>
          <w:rFonts w:cstheme="minorHAnsi"/>
          <w:color w:val="0D0D0D" w:themeColor="text1" w:themeTint="F2"/>
          <w:sz w:val="24"/>
          <w:szCs w:val="24"/>
        </w:rPr>
        <w:t>would</w:t>
      </w:r>
      <w:r w:rsidR="005B17C0" w:rsidRPr="00C20287">
        <w:rPr>
          <w:rFonts w:cstheme="minorHAnsi"/>
          <w:color w:val="0D0D0D" w:themeColor="text1" w:themeTint="F2"/>
          <w:sz w:val="24"/>
          <w:szCs w:val="24"/>
        </w:rPr>
        <w:t xml:space="preserve"> e</w:t>
      </w:r>
      <w:r w:rsidR="005324C9" w:rsidRPr="00C20287">
        <w:rPr>
          <w:rFonts w:cstheme="minorHAnsi"/>
          <w:color w:val="0D0D0D" w:themeColor="text1" w:themeTint="F2"/>
          <w:sz w:val="24"/>
          <w:szCs w:val="24"/>
        </w:rPr>
        <w:t xml:space="preserve">nable the </w:t>
      </w:r>
      <w:r w:rsidR="00265ABF" w:rsidRPr="00C20287">
        <w:rPr>
          <w:rFonts w:cstheme="minorHAnsi"/>
          <w:color w:val="0D0D0D" w:themeColor="text1" w:themeTint="F2"/>
          <w:sz w:val="24"/>
          <w:szCs w:val="24"/>
        </w:rPr>
        <w:t>Government</w:t>
      </w:r>
      <w:r w:rsidR="005324C9" w:rsidRPr="00C20287">
        <w:rPr>
          <w:rFonts w:cstheme="minorHAnsi"/>
          <w:color w:val="0D0D0D" w:themeColor="text1" w:themeTint="F2"/>
          <w:sz w:val="24"/>
          <w:szCs w:val="24"/>
        </w:rPr>
        <w:t xml:space="preserve"> to work with a wide</w:t>
      </w:r>
      <w:r w:rsidR="00265ABF" w:rsidRPr="00C20287">
        <w:rPr>
          <w:rFonts w:cstheme="minorHAnsi"/>
          <w:color w:val="0D0D0D" w:themeColor="text1" w:themeTint="F2"/>
          <w:sz w:val="24"/>
          <w:szCs w:val="24"/>
        </w:rPr>
        <w:t>r</w:t>
      </w:r>
      <w:r w:rsidR="005324C9" w:rsidRPr="00C20287">
        <w:rPr>
          <w:rFonts w:cstheme="minorHAnsi"/>
          <w:color w:val="0D0D0D" w:themeColor="text1" w:themeTint="F2"/>
          <w:sz w:val="24"/>
          <w:szCs w:val="24"/>
        </w:rPr>
        <w:t xml:space="preserve"> range of stakeholders, including</w:t>
      </w:r>
      <w:r w:rsidR="00265ABF" w:rsidRPr="00C20287">
        <w:rPr>
          <w:rFonts w:cstheme="minorHAnsi"/>
          <w:color w:val="0D0D0D" w:themeColor="text1" w:themeTint="F2"/>
          <w:sz w:val="24"/>
          <w:szCs w:val="24"/>
        </w:rPr>
        <w:t xml:space="preserve"> but not limited to</w:t>
      </w:r>
      <w:r w:rsidR="005324C9" w:rsidRPr="00C20287">
        <w:rPr>
          <w:rFonts w:cstheme="minorHAnsi"/>
          <w:color w:val="0D0D0D" w:themeColor="text1" w:themeTint="F2"/>
          <w:sz w:val="24"/>
          <w:szCs w:val="24"/>
        </w:rPr>
        <w:t xml:space="preserve"> the Guild</w:t>
      </w:r>
      <w:r w:rsidR="00265ABF" w:rsidRPr="00C20287">
        <w:rPr>
          <w:rFonts w:cstheme="minorHAnsi"/>
          <w:color w:val="0D0D0D" w:themeColor="text1" w:themeTint="F2"/>
          <w:sz w:val="24"/>
          <w:szCs w:val="24"/>
        </w:rPr>
        <w:t xml:space="preserve"> and the PSA</w:t>
      </w:r>
      <w:r w:rsidR="005324C9" w:rsidRPr="00C20287">
        <w:rPr>
          <w:rFonts w:cstheme="minorHAnsi"/>
          <w:color w:val="0D0D0D" w:themeColor="text1" w:themeTint="F2"/>
          <w:sz w:val="24"/>
          <w:szCs w:val="24"/>
        </w:rPr>
        <w:t xml:space="preserve">, to </w:t>
      </w:r>
      <w:r w:rsidR="001C48B5" w:rsidRPr="00C20287">
        <w:rPr>
          <w:rFonts w:cstheme="minorHAnsi"/>
          <w:color w:val="0D0D0D" w:themeColor="text1" w:themeTint="F2"/>
          <w:sz w:val="24"/>
          <w:szCs w:val="24"/>
        </w:rPr>
        <w:t xml:space="preserve">develop and implement a comprehensive Quality and Evaluation Framework for </w:t>
      </w:r>
      <w:r w:rsidR="00265ABF" w:rsidRPr="00C20287">
        <w:rPr>
          <w:rFonts w:cstheme="minorHAnsi"/>
          <w:color w:val="0D0D0D" w:themeColor="text1" w:themeTint="F2"/>
          <w:sz w:val="24"/>
          <w:szCs w:val="24"/>
        </w:rPr>
        <w:t>pharmacy programs</w:t>
      </w:r>
      <w:r w:rsidR="00A640E2">
        <w:rPr>
          <w:rFonts w:cstheme="minorHAnsi"/>
          <w:color w:val="0D0D0D" w:themeColor="text1" w:themeTint="F2"/>
          <w:sz w:val="24"/>
          <w:szCs w:val="24"/>
        </w:rPr>
        <w:t>, by reducing</w:t>
      </w:r>
      <w:r w:rsidR="00A640E2" w:rsidRPr="00C20287">
        <w:rPr>
          <w:rFonts w:cstheme="minorHAnsi"/>
          <w:color w:val="0D0D0D" w:themeColor="text1" w:themeTint="F2"/>
          <w:sz w:val="24"/>
          <w:szCs w:val="24"/>
        </w:rPr>
        <w:t xml:space="preserve"> the scope of the next CPA to </w:t>
      </w:r>
      <w:r w:rsidR="00A640E2">
        <w:rPr>
          <w:rFonts w:cstheme="minorHAnsi"/>
          <w:color w:val="0D0D0D" w:themeColor="text1" w:themeTint="F2"/>
          <w:sz w:val="24"/>
          <w:szCs w:val="24"/>
        </w:rPr>
        <w:t xml:space="preserve">only </w:t>
      </w:r>
      <w:r w:rsidR="00A640E2" w:rsidRPr="00C20287">
        <w:rPr>
          <w:rFonts w:cstheme="minorHAnsi"/>
          <w:color w:val="0D0D0D" w:themeColor="text1" w:themeTint="F2"/>
          <w:sz w:val="24"/>
          <w:szCs w:val="24"/>
        </w:rPr>
        <w:t>those elements required under section 98BAA of the Act</w:t>
      </w:r>
      <w:r w:rsidR="00BA4F0F">
        <w:rPr>
          <w:rFonts w:cstheme="minorHAnsi"/>
          <w:color w:val="0D0D0D" w:themeColor="text1" w:themeTint="F2"/>
          <w:sz w:val="24"/>
          <w:szCs w:val="24"/>
        </w:rPr>
        <w:t xml:space="preserve"> and to CPPs that are delivered directly through community pharmacies</w:t>
      </w:r>
      <w:r w:rsidR="004B0946" w:rsidRPr="00C20287">
        <w:rPr>
          <w:rFonts w:cstheme="minorHAnsi"/>
          <w:color w:val="0D0D0D" w:themeColor="text1" w:themeTint="F2"/>
          <w:sz w:val="24"/>
          <w:szCs w:val="24"/>
        </w:rPr>
        <w:t xml:space="preserve">. Programs </w:t>
      </w:r>
      <w:r w:rsidR="00BA4F0F">
        <w:rPr>
          <w:rFonts w:cstheme="minorHAnsi"/>
          <w:color w:val="0D0D0D" w:themeColor="text1" w:themeTint="F2"/>
          <w:sz w:val="24"/>
          <w:szCs w:val="24"/>
        </w:rPr>
        <w:t xml:space="preserve">outside of the CPA </w:t>
      </w:r>
      <w:r w:rsidR="004B0946" w:rsidRPr="00C20287">
        <w:rPr>
          <w:rFonts w:cstheme="minorHAnsi"/>
          <w:color w:val="0D0D0D" w:themeColor="text1" w:themeTint="F2"/>
          <w:sz w:val="24"/>
          <w:szCs w:val="24"/>
        </w:rPr>
        <w:t>could be altered or replaced with new initiatives after stakeholder consultation</w:t>
      </w:r>
      <w:r w:rsidR="005B17C0" w:rsidRPr="00C20287">
        <w:rPr>
          <w:rFonts w:cstheme="minorHAnsi"/>
          <w:color w:val="0D0D0D" w:themeColor="text1" w:themeTint="F2"/>
          <w:sz w:val="24"/>
          <w:szCs w:val="24"/>
        </w:rPr>
        <w:t xml:space="preserve"> without </w:t>
      </w:r>
      <w:r w:rsidR="005B17C0" w:rsidRPr="00C20287">
        <w:rPr>
          <w:rFonts w:cstheme="minorHAnsi"/>
          <w:color w:val="0D0D0D" w:themeColor="text1" w:themeTint="F2"/>
          <w:sz w:val="24"/>
          <w:szCs w:val="24"/>
        </w:rPr>
        <w:lastRenderedPageBreak/>
        <w:t>being tied to CPA timeframes</w:t>
      </w:r>
      <w:r w:rsidR="00265ABF" w:rsidRPr="00C20287">
        <w:rPr>
          <w:rFonts w:cstheme="minorHAnsi"/>
          <w:color w:val="0D0D0D" w:themeColor="text1" w:themeTint="F2"/>
          <w:sz w:val="24"/>
          <w:szCs w:val="24"/>
        </w:rPr>
        <w:t xml:space="preserve"> or commitments not to make changes</w:t>
      </w:r>
      <w:r w:rsidR="004B0946" w:rsidRPr="00C20287">
        <w:rPr>
          <w:rFonts w:cstheme="minorHAnsi"/>
          <w:color w:val="0D0D0D" w:themeColor="text1" w:themeTint="F2"/>
          <w:sz w:val="24"/>
          <w:szCs w:val="24"/>
        </w:rPr>
        <w:t xml:space="preserve">. </w:t>
      </w:r>
      <w:r w:rsidR="00BA4F0F">
        <w:rPr>
          <w:rFonts w:cstheme="minorHAnsi"/>
          <w:color w:val="0D0D0D" w:themeColor="text1" w:themeTint="F2"/>
          <w:sz w:val="24"/>
          <w:szCs w:val="24"/>
        </w:rPr>
        <w:t>Those programs remaining in the CPA would be subject to establishment of individual evaluation frameworks.</w:t>
      </w:r>
    </w:p>
    <w:p w14:paraId="512D2AF7" w14:textId="480D5D37" w:rsidR="00265ABF" w:rsidRPr="00C20287" w:rsidRDefault="005B17C0"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C</w:t>
      </w:r>
      <w:r w:rsidR="004B0946" w:rsidRPr="00C20287">
        <w:rPr>
          <w:rFonts w:cstheme="minorHAnsi"/>
          <w:color w:val="0D0D0D" w:themeColor="text1" w:themeTint="F2"/>
          <w:sz w:val="24"/>
          <w:szCs w:val="24"/>
        </w:rPr>
        <w:t>onsultation with a wide range of stakeholders including pharmacy owners and pharmacist organisations, rural pharmacy organisations, wholesalers, consumer organisations and medical professional organisations has</w:t>
      </w:r>
      <w:r w:rsidRPr="00C20287">
        <w:rPr>
          <w:rFonts w:cstheme="minorHAnsi"/>
          <w:color w:val="0D0D0D" w:themeColor="text1" w:themeTint="F2"/>
          <w:sz w:val="24"/>
          <w:szCs w:val="24"/>
        </w:rPr>
        <w:t xml:space="preserve"> been undertaken</w:t>
      </w:r>
      <w:r w:rsidR="004B0946" w:rsidRPr="00C20287">
        <w:rPr>
          <w:rFonts w:cstheme="minorHAnsi"/>
          <w:color w:val="0D0D0D" w:themeColor="text1" w:themeTint="F2"/>
          <w:sz w:val="24"/>
          <w:szCs w:val="24"/>
        </w:rPr>
        <w:t>. The aim of the</w:t>
      </w:r>
      <w:r w:rsidR="00D41E62" w:rsidRPr="00C20287">
        <w:rPr>
          <w:rFonts w:cstheme="minorHAnsi"/>
          <w:color w:val="0D0D0D" w:themeColor="text1" w:themeTint="F2"/>
          <w:sz w:val="24"/>
          <w:szCs w:val="24"/>
        </w:rPr>
        <w:t>se</w:t>
      </w:r>
      <w:r w:rsidR="004B0946" w:rsidRPr="00C20287">
        <w:rPr>
          <w:rFonts w:cstheme="minorHAnsi"/>
          <w:color w:val="0D0D0D" w:themeColor="text1" w:themeTint="F2"/>
          <w:sz w:val="24"/>
          <w:szCs w:val="24"/>
        </w:rPr>
        <w:t xml:space="preserve"> </w:t>
      </w:r>
      <w:r w:rsidR="00D41E62" w:rsidRPr="00C20287">
        <w:rPr>
          <w:rFonts w:cstheme="minorHAnsi"/>
          <w:color w:val="0D0D0D" w:themeColor="text1" w:themeTint="F2"/>
          <w:sz w:val="24"/>
          <w:szCs w:val="24"/>
        </w:rPr>
        <w:t>consultations</w:t>
      </w:r>
      <w:r w:rsidR="004B0946" w:rsidRPr="00C20287">
        <w:rPr>
          <w:rFonts w:cstheme="minorHAnsi"/>
          <w:color w:val="0D0D0D" w:themeColor="text1" w:themeTint="F2"/>
          <w:sz w:val="24"/>
          <w:szCs w:val="24"/>
        </w:rPr>
        <w:t xml:space="preserve"> </w:t>
      </w:r>
      <w:r w:rsidR="008F1EDB" w:rsidRPr="00C20287">
        <w:rPr>
          <w:rFonts w:cstheme="minorHAnsi"/>
          <w:color w:val="0D0D0D" w:themeColor="text1" w:themeTint="F2"/>
          <w:sz w:val="24"/>
          <w:szCs w:val="24"/>
        </w:rPr>
        <w:t>wa</w:t>
      </w:r>
      <w:r w:rsidR="004B0946" w:rsidRPr="00C20287">
        <w:rPr>
          <w:rFonts w:cstheme="minorHAnsi"/>
          <w:color w:val="0D0D0D" w:themeColor="text1" w:themeTint="F2"/>
          <w:sz w:val="24"/>
          <w:szCs w:val="24"/>
        </w:rPr>
        <w:t xml:space="preserve">s to gain as wide as possible </w:t>
      </w:r>
      <w:r w:rsidR="00D41E62" w:rsidRPr="00C20287">
        <w:rPr>
          <w:rFonts w:cstheme="minorHAnsi"/>
          <w:color w:val="0D0D0D" w:themeColor="text1" w:themeTint="F2"/>
          <w:sz w:val="24"/>
          <w:szCs w:val="24"/>
        </w:rPr>
        <w:t xml:space="preserve">a reflection on what stakeholders want included in any new agreement and what can be ceased or </w:t>
      </w:r>
      <w:r w:rsidR="00D90AC3">
        <w:rPr>
          <w:rFonts w:cstheme="minorHAnsi"/>
          <w:color w:val="0D0D0D" w:themeColor="text1" w:themeTint="F2"/>
          <w:sz w:val="24"/>
          <w:szCs w:val="24"/>
        </w:rPr>
        <w:t xml:space="preserve">considered outside of </w:t>
      </w:r>
      <w:r w:rsidR="00D41E62" w:rsidRPr="00C20287">
        <w:rPr>
          <w:rFonts w:cstheme="minorHAnsi"/>
          <w:color w:val="0D0D0D" w:themeColor="text1" w:themeTint="F2"/>
          <w:sz w:val="24"/>
          <w:szCs w:val="24"/>
        </w:rPr>
        <w:t xml:space="preserve">a possible 8CPA. </w:t>
      </w:r>
      <w:r w:rsidRPr="00C20287">
        <w:rPr>
          <w:rFonts w:cstheme="minorHAnsi"/>
          <w:color w:val="0D0D0D" w:themeColor="text1" w:themeTint="F2"/>
          <w:sz w:val="24"/>
          <w:szCs w:val="24"/>
        </w:rPr>
        <w:t xml:space="preserve">Overall there </w:t>
      </w:r>
      <w:r w:rsidR="00D41E62" w:rsidRPr="00C20287">
        <w:rPr>
          <w:rFonts w:cstheme="minorHAnsi"/>
          <w:color w:val="0D0D0D" w:themeColor="text1" w:themeTint="F2"/>
          <w:sz w:val="24"/>
          <w:szCs w:val="24"/>
        </w:rPr>
        <w:t xml:space="preserve">was strong support to reform the structure and function of any new agreement to focus more on remuneration for dispensing PBS medicines and for other aspects such as CPP to be funded and negotiated outside of the agreement. </w:t>
      </w:r>
    </w:p>
    <w:p w14:paraId="63BA52E9" w14:textId="43BDE6D0" w:rsidR="004B0946" w:rsidRPr="00C20287" w:rsidRDefault="00D41E62"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 xml:space="preserve">Alongside this was strong support for </w:t>
      </w:r>
      <w:r w:rsidR="006D117B" w:rsidRPr="00C20287">
        <w:rPr>
          <w:rFonts w:cstheme="minorHAnsi"/>
          <w:color w:val="0D0D0D" w:themeColor="text1" w:themeTint="F2"/>
          <w:sz w:val="24"/>
          <w:szCs w:val="24"/>
        </w:rPr>
        <w:t>reform within the CPP space to embed evaluation of the clinical benefit and value for money into each program. Suggestions for new programs within the pharmacy space to be funded outside of any new 8CPA were also received from numerous stakeholders. Cons</w:t>
      </w:r>
      <w:r w:rsidR="000A2AA6" w:rsidRPr="00C20287">
        <w:rPr>
          <w:rFonts w:cstheme="minorHAnsi"/>
          <w:color w:val="0D0D0D" w:themeColor="text1" w:themeTint="F2"/>
          <w:sz w:val="24"/>
          <w:szCs w:val="24"/>
        </w:rPr>
        <w:t>u</w:t>
      </w:r>
      <w:r w:rsidR="006D117B" w:rsidRPr="00C20287">
        <w:rPr>
          <w:rFonts w:cstheme="minorHAnsi"/>
          <w:color w:val="0D0D0D" w:themeColor="text1" w:themeTint="F2"/>
          <w:sz w:val="24"/>
          <w:szCs w:val="24"/>
        </w:rPr>
        <w:t>l</w:t>
      </w:r>
      <w:r w:rsidR="000A2AA6" w:rsidRPr="00C20287">
        <w:rPr>
          <w:rFonts w:cstheme="minorHAnsi"/>
          <w:color w:val="0D0D0D" w:themeColor="text1" w:themeTint="F2"/>
          <w:sz w:val="24"/>
          <w:szCs w:val="24"/>
        </w:rPr>
        <w:t>t</w:t>
      </w:r>
      <w:r w:rsidR="006D117B" w:rsidRPr="00C20287">
        <w:rPr>
          <w:rFonts w:cstheme="minorHAnsi"/>
          <w:color w:val="0D0D0D" w:themeColor="text1" w:themeTint="F2"/>
          <w:sz w:val="24"/>
          <w:szCs w:val="24"/>
        </w:rPr>
        <w:t xml:space="preserve">ations with multiple stakeholders including the Guild and PSA will continue to inform any </w:t>
      </w:r>
      <w:r w:rsidR="00D90AC3">
        <w:rPr>
          <w:rFonts w:cstheme="minorHAnsi"/>
          <w:color w:val="0D0D0D" w:themeColor="text1" w:themeTint="F2"/>
          <w:sz w:val="24"/>
          <w:szCs w:val="24"/>
        </w:rPr>
        <w:t>separate</w:t>
      </w:r>
      <w:r w:rsidR="006D117B" w:rsidRPr="00C20287">
        <w:rPr>
          <w:rFonts w:cstheme="minorHAnsi"/>
          <w:color w:val="0D0D0D" w:themeColor="text1" w:themeTint="F2"/>
          <w:sz w:val="24"/>
          <w:szCs w:val="24"/>
        </w:rPr>
        <w:t xml:space="preserve"> agreement</w:t>
      </w:r>
      <w:r w:rsidR="00D90AC3">
        <w:rPr>
          <w:rFonts w:cstheme="minorHAnsi"/>
          <w:color w:val="0D0D0D" w:themeColor="text1" w:themeTint="F2"/>
          <w:sz w:val="24"/>
          <w:szCs w:val="24"/>
        </w:rPr>
        <w:t>s</w:t>
      </w:r>
      <w:r w:rsidR="006D117B" w:rsidRPr="00C20287">
        <w:rPr>
          <w:rFonts w:cstheme="minorHAnsi"/>
          <w:color w:val="0D0D0D" w:themeColor="text1" w:themeTint="F2"/>
          <w:sz w:val="24"/>
          <w:szCs w:val="24"/>
        </w:rPr>
        <w:t xml:space="preserve"> to be considered by Government.</w:t>
      </w:r>
    </w:p>
    <w:p w14:paraId="3AABC6BF" w14:textId="5BB6837B" w:rsidR="001B68E4" w:rsidRPr="00C20287" w:rsidRDefault="008F1EDB"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 xml:space="preserve">Taking into consideration the stakeholder feedback the </w:t>
      </w:r>
      <w:r w:rsidR="006D117B" w:rsidRPr="00C20287">
        <w:rPr>
          <w:rFonts w:cstheme="minorHAnsi"/>
          <w:color w:val="0D0D0D" w:themeColor="text1" w:themeTint="F2"/>
          <w:sz w:val="24"/>
          <w:szCs w:val="24"/>
        </w:rPr>
        <w:t>preferred option is Option 3 in that it provides the best platform in which to pursue reform to the programs currently funded through the 7CPA</w:t>
      </w:r>
      <w:r w:rsidR="00F7326B" w:rsidRPr="00C20287">
        <w:rPr>
          <w:rFonts w:cstheme="minorHAnsi"/>
          <w:color w:val="0D0D0D" w:themeColor="text1" w:themeTint="F2"/>
          <w:sz w:val="24"/>
          <w:szCs w:val="24"/>
        </w:rPr>
        <w:t xml:space="preserve"> and consider the establishment of new appropriately targeted programs</w:t>
      </w:r>
      <w:r w:rsidR="006D117B" w:rsidRPr="00C20287">
        <w:rPr>
          <w:rFonts w:cstheme="minorHAnsi"/>
          <w:color w:val="0D0D0D" w:themeColor="text1" w:themeTint="F2"/>
          <w:sz w:val="24"/>
          <w:szCs w:val="24"/>
        </w:rPr>
        <w:t xml:space="preserve">. An 8CPA agreed to through this option would be restricted to </w:t>
      </w:r>
      <w:r w:rsidR="00530F01" w:rsidRPr="00C20287">
        <w:rPr>
          <w:rFonts w:cstheme="minorHAnsi"/>
          <w:color w:val="0D0D0D" w:themeColor="text1" w:themeTint="F2"/>
          <w:sz w:val="24"/>
          <w:szCs w:val="24"/>
        </w:rPr>
        <w:t>defining the structure, initial values and indexation of the components that make up the Commonwealth price</w:t>
      </w:r>
      <w:r w:rsidR="00BA4F0F">
        <w:rPr>
          <w:rFonts w:cstheme="minorHAnsi"/>
          <w:color w:val="0D0D0D" w:themeColor="text1" w:themeTint="F2"/>
          <w:sz w:val="24"/>
          <w:szCs w:val="24"/>
        </w:rPr>
        <w:t xml:space="preserve"> and the CPPs delivered directly through community pharmacies</w:t>
      </w:r>
      <w:r w:rsidR="00530F01" w:rsidRPr="00C20287">
        <w:rPr>
          <w:rFonts w:cstheme="minorHAnsi"/>
          <w:color w:val="0D0D0D" w:themeColor="text1" w:themeTint="F2"/>
          <w:sz w:val="24"/>
          <w:szCs w:val="24"/>
        </w:rPr>
        <w:t xml:space="preserve">. </w:t>
      </w:r>
    </w:p>
    <w:p w14:paraId="4288756A" w14:textId="566F3BE6" w:rsidR="00AD5229" w:rsidRDefault="00530F01"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Other aspects currently covered under the 7CPA</w:t>
      </w:r>
      <w:r w:rsidR="00E611C4">
        <w:rPr>
          <w:rFonts w:cstheme="minorHAnsi"/>
          <w:color w:val="0D0D0D" w:themeColor="text1" w:themeTint="F2"/>
          <w:sz w:val="24"/>
          <w:szCs w:val="24"/>
        </w:rPr>
        <w:t xml:space="preserve">, </w:t>
      </w:r>
      <w:r w:rsidR="00E611C4" w:rsidRPr="00C20287">
        <w:rPr>
          <w:rFonts w:cstheme="minorHAnsi"/>
          <w:color w:val="0D0D0D" w:themeColor="text1" w:themeTint="F2"/>
          <w:sz w:val="24"/>
          <w:szCs w:val="24"/>
        </w:rPr>
        <w:t>only negotiated with pharmacy owners and pharmacist groups</w:t>
      </w:r>
      <w:r w:rsidR="00E611C4">
        <w:rPr>
          <w:rFonts w:cstheme="minorHAnsi"/>
          <w:color w:val="0D0D0D" w:themeColor="text1" w:themeTint="F2"/>
          <w:sz w:val="24"/>
          <w:szCs w:val="24"/>
        </w:rPr>
        <w:t>,</w:t>
      </w:r>
      <w:r w:rsidRPr="00C20287">
        <w:rPr>
          <w:rFonts w:cstheme="minorHAnsi"/>
          <w:color w:val="0D0D0D" w:themeColor="text1" w:themeTint="F2"/>
          <w:sz w:val="24"/>
          <w:szCs w:val="24"/>
        </w:rPr>
        <w:t xml:space="preserve"> would </w:t>
      </w:r>
      <w:r w:rsidR="001B68E4" w:rsidRPr="00C20287">
        <w:rPr>
          <w:rFonts w:cstheme="minorHAnsi"/>
          <w:color w:val="0D0D0D" w:themeColor="text1" w:themeTint="F2"/>
          <w:sz w:val="24"/>
          <w:szCs w:val="24"/>
        </w:rPr>
        <w:t>move outside of the CPA and could be developed, implemented, monitored, evaluated and reformed in consultation with a wider range of interested stakeholders</w:t>
      </w:r>
      <w:r w:rsidRPr="00C20287">
        <w:rPr>
          <w:rFonts w:cstheme="minorHAnsi"/>
          <w:color w:val="0D0D0D" w:themeColor="text1" w:themeTint="F2"/>
          <w:sz w:val="24"/>
          <w:szCs w:val="24"/>
        </w:rPr>
        <w:t>. This option wo</w:t>
      </w:r>
      <w:r w:rsidR="006C2ABA" w:rsidRPr="00C20287">
        <w:rPr>
          <w:rFonts w:cstheme="minorHAnsi"/>
          <w:color w:val="0D0D0D" w:themeColor="text1" w:themeTint="F2"/>
          <w:sz w:val="24"/>
          <w:szCs w:val="24"/>
        </w:rPr>
        <w:t>uld</w:t>
      </w:r>
      <w:r w:rsidRPr="00C20287">
        <w:rPr>
          <w:rFonts w:cstheme="minorHAnsi"/>
          <w:color w:val="0D0D0D" w:themeColor="text1" w:themeTint="F2"/>
          <w:sz w:val="24"/>
          <w:szCs w:val="24"/>
        </w:rPr>
        <w:t xml:space="preserve"> allow the Government to work with </w:t>
      </w:r>
      <w:r w:rsidR="006C2ABA" w:rsidRPr="00C20287">
        <w:rPr>
          <w:rFonts w:cstheme="minorHAnsi"/>
          <w:color w:val="0D0D0D" w:themeColor="text1" w:themeTint="F2"/>
          <w:sz w:val="24"/>
          <w:szCs w:val="24"/>
        </w:rPr>
        <w:t xml:space="preserve">relevant </w:t>
      </w:r>
      <w:r w:rsidRPr="00C20287">
        <w:rPr>
          <w:rFonts w:cstheme="minorHAnsi"/>
          <w:color w:val="0D0D0D" w:themeColor="text1" w:themeTint="F2"/>
          <w:sz w:val="24"/>
          <w:szCs w:val="24"/>
        </w:rPr>
        <w:t>stakeholders to develop robust evaluation frameworks</w:t>
      </w:r>
      <w:r w:rsidR="006C2ABA" w:rsidRPr="00C20287">
        <w:rPr>
          <w:rFonts w:cstheme="minorHAnsi"/>
          <w:color w:val="0D0D0D" w:themeColor="text1" w:themeTint="F2"/>
          <w:sz w:val="24"/>
          <w:szCs w:val="24"/>
        </w:rPr>
        <w:t xml:space="preserve"> for both existing and new CPPs</w:t>
      </w:r>
      <w:r w:rsidRPr="00C20287">
        <w:rPr>
          <w:rFonts w:cstheme="minorHAnsi"/>
          <w:color w:val="0D0D0D" w:themeColor="text1" w:themeTint="F2"/>
          <w:sz w:val="24"/>
          <w:szCs w:val="24"/>
        </w:rPr>
        <w:t xml:space="preserve">. </w:t>
      </w:r>
    </w:p>
    <w:p w14:paraId="656BF564" w14:textId="796F6868" w:rsidR="006D117B" w:rsidRPr="00C20287" w:rsidRDefault="00187E32" w:rsidP="00C261A9">
      <w:pPr>
        <w:pStyle w:val="BodyText"/>
        <w:rPr>
          <w:rFonts w:cstheme="minorHAnsi"/>
          <w:color w:val="0D0D0D" w:themeColor="text1" w:themeTint="F2"/>
          <w:sz w:val="24"/>
          <w:szCs w:val="24"/>
        </w:rPr>
      </w:pPr>
      <w:r w:rsidRPr="00C20287">
        <w:rPr>
          <w:rFonts w:cstheme="minorHAnsi"/>
          <w:color w:val="0D0D0D" w:themeColor="text1" w:themeTint="F2"/>
          <w:sz w:val="24"/>
          <w:szCs w:val="24"/>
        </w:rPr>
        <w:t>A number of current programs under the CPA lack the data collection and reporting capability to inform meaningful evaluation of their effectiveness. This limitation would be addressed under this option</w:t>
      </w:r>
      <w:r w:rsidR="00BA4F0F">
        <w:rPr>
          <w:rFonts w:cstheme="minorHAnsi"/>
          <w:color w:val="0D0D0D" w:themeColor="text1" w:themeTint="F2"/>
          <w:sz w:val="24"/>
          <w:szCs w:val="24"/>
        </w:rPr>
        <w:t xml:space="preserve"> both for programs under the CPA and those outside of it</w:t>
      </w:r>
      <w:r w:rsidRPr="00C20287">
        <w:rPr>
          <w:rFonts w:cstheme="minorHAnsi"/>
          <w:color w:val="0D0D0D" w:themeColor="text1" w:themeTint="F2"/>
          <w:sz w:val="24"/>
          <w:szCs w:val="24"/>
        </w:rPr>
        <w:t xml:space="preserve">. </w:t>
      </w:r>
      <w:r w:rsidR="00530F01" w:rsidRPr="00C20287">
        <w:rPr>
          <w:rFonts w:cstheme="minorHAnsi"/>
          <w:color w:val="0D0D0D" w:themeColor="text1" w:themeTint="F2"/>
          <w:sz w:val="24"/>
          <w:szCs w:val="24"/>
        </w:rPr>
        <w:t>This would bring these programs into line with best government practice w</w:t>
      </w:r>
      <w:r w:rsidR="001B68E4" w:rsidRPr="00C20287">
        <w:rPr>
          <w:rFonts w:cstheme="minorHAnsi"/>
          <w:color w:val="0D0D0D" w:themeColor="text1" w:themeTint="F2"/>
          <w:sz w:val="24"/>
          <w:szCs w:val="24"/>
        </w:rPr>
        <w:t>h</w:t>
      </w:r>
      <w:r w:rsidR="00530F01" w:rsidRPr="00C20287">
        <w:rPr>
          <w:rFonts w:cstheme="minorHAnsi"/>
          <w:color w:val="0D0D0D" w:themeColor="text1" w:themeTint="F2"/>
          <w:sz w:val="24"/>
          <w:szCs w:val="24"/>
        </w:rPr>
        <w:t>ere regular reviews of government funded programs</w:t>
      </w:r>
      <w:r w:rsidR="001B68E4" w:rsidRPr="00C20287">
        <w:rPr>
          <w:rFonts w:cstheme="minorHAnsi"/>
          <w:color w:val="0D0D0D" w:themeColor="text1" w:themeTint="F2"/>
          <w:sz w:val="24"/>
          <w:szCs w:val="24"/>
        </w:rPr>
        <w:t xml:space="preserve"> ensure </w:t>
      </w:r>
      <w:r w:rsidR="00903D39">
        <w:rPr>
          <w:rFonts w:cstheme="minorHAnsi"/>
          <w:color w:val="0D0D0D" w:themeColor="text1" w:themeTint="F2"/>
          <w:sz w:val="24"/>
          <w:szCs w:val="24"/>
        </w:rPr>
        <w:t>they</w:t>
      </w:r>
      <w:r w:rsidR="00530F01" w:rsidRPr="00C20287">
        <w:rPr>
          <w:rFonts w:cstheme="minorHAnsi"/>
          <w:color w:val="0D0D0D" w:themeColor="text1" w:themeTint="F2"/>
          <w:sz w:val="24"/>
          <w:szCs w:val="24"/>
        </w:rPr>
        <w:t xml:space="preserve"> demonstrate </w:t>
      </w:r>
      <w:r w:rsidR="000A2AA6" w:rsidRPr="00C20287">
        <w:rPr>
          <w:rFonts w:cstheme="minorHAnsi"/>
          <w:color w:val="0D0D0D" w:themeColor="text1" w:themeTint="F2"/>
          <w:sz w:val="24"/>
          <w:szCs w:val="24"/>
        </w:rPr>
        <w:t xml:space="preserve">the effective and efficient use of government resources under the </w:t>
      </w:r>
      <w:r w:rsidR="000A2AA6" w:rsidRPr="00C20287">
        <w:rPr>
          <w:rFonts w:cstheme="minorHAnsi"/>
          <w:i/>
          <w:color w:val="0D0D0D" w:themeColor="text1" w:themeTint="F2"/>
          <w:sz w:val="24"/>
          <w:szCs w:val="24"/>
        </w:rPr>
        <w:t>Public Governance, Performance and Accountability Act</w:t>
      </w:r>
      <w:r w:rsidR="00903D39">
        <w:rPr>
          <w:rFonts w:cstheme="minorHAnsi"/>
          <w:i/>
          <w:color w:val="0D0D0D" w:themeColor="text1" w:themeTint="F2"/>
          <w:sz w:val="24"/>
          <w:szCs w:val="24"/>
        </w:rPr>
        <w:t xml:space="preserve"> 2013 </w:t>
      </w:r>
      <w:r w:rsidR="00903D39" w:rsidRPr="00903D39">
        <w:rPr>
          <w:rFonts w:cstheme="minorHAnsi"/>
          <w:color w:val="0D0D0D" w:themeColor="text1" w:themeTint="F2"/>
          <w:sz w:val="24"/>
          <w:szCs w:val="24"/>
        </w:rPr>
        <w:t>(PGPA Act)</w:t>
      </w:r>
      <w:r w:rsidR="00CA72FA">
        <w:rPr>
          <w:rFonts w:cstheme="minorHAnsi"/>
          <w:color w:val="0D0D0D" w:themeColor="text1" w:themeTint="F2"/>
          <w:sz w:val="24"/>
          <w:szCs w:val="24"/>
        </w:rPr>
        <w:t>,</w:t>
      </w:r>
      <w:r w:rsidR="007C570C" w:rsidRPr="00C20287">
        <w:rPr>
          <w:rStyle w:val="FootnoteReference"/>
          <w:rFonts w:cstheme="minorHAnsi"/>
          <w:i/>
          <w:color w:val="0D0D0D" w:themeColor="text1" w:themeTint="F2"/>
          <w:sz w:val="24"/>
          <w:szCs w:val="24"/>
        </w:rPr>
        <w:footnoteReference w:id="7"/>
      </w:r>
      <w:r w:rsidR="001B68E4" w:rsidRPr="00C20287">
        <w:rPr>
          <w:rFonts w:cstheme="minorHAnsi"/>
          <w:color w:val="0D0D0D" w:themeColor="text1" w:themeTint="F2"/>
          <w:sz w:val="24"/>
          <w:szCs w:val="24"/>
        </w:rPr>
        <w:t xml:space="preserve"> and the Government is not restricted by negotiated commitments in its ability to evaluate and improve the operation of publicly funded programs, with the interests of the Australian community at the centre</w:t>
      </w:r>
      <w:r w:rsidR="000A2AA6" w:rsidRPr="00C20287">
        <w:rPr>
          <w:rFonts w:cstheme="minorHAnsi"/>
          <w:color w:val="0D0D0D" w:themeColor="text1" w:themeTint="F2"/>
          <w:sz w:val="24"/>
          <w:szCs w:val="24"/>
        </w:rPr>
        <w:t>.</w:t>
      </w:r>
    </w:p>
    <w:p w14:paraId="593D4C9F" w14:textId="1950A5AB" w:rsidR="00781119" w:rsidRPr="00C20287" w:rsidRDefault="00781119" w:rsidP="00031428">
      <w:pPr>
        <w:pStyle w:val="BodyText"/>
        <w:rPr>
          <w:rFonts w:cstheme="minorHAnsi"/>
          <w:color w:val="0D0D0D" w:themeColor="text1" w:themeTint="F2"/>
          <w:sz w:val="24"/>
          <w:szCs w:val="24"/>
        </w:rPr>
      </w:pPr>
      <w:r w:rsidRPr="00C20287">
        <w:rPr>
          <w:rFonts w:cstheme="minorHAnsi"/>
          <w:color w:val="0D0D0D" w:themeColor="text1" w:themeTint="F2"/>
          <w:sz w:val="24"/>
          <w:szCs w:val="24"/>
        </w:rPr>
        <w:t>In developing a</w:t>
      </w:r>
      <w:r w:rsidR="001B68E4" w:rsidRPr="00C20287">
        <w:rPr>
          <w:rFonts w:cstheme="minorHAnsi"/>
          <w:color w:val="0D0D0D" w:themeColor="text1" w:themeTint="F2"/>
          <w:sz w:val="24"/>
          <w:szCs w:val="24"/>
        </w:rPr>
        <w:t>n</w:t>
      </w:r>
      <w:r w:rsidRPr="00C20287">
        <w:rPr>
          <w:rFonts w:cstheme="minorHAnsi"/>
          <w:color w:val="0D0D0D" w:themeColor="text1" w:themeTint="F2"/>
          <w:sz w:val="24"/>
          <w:szCs w:val="24"/>
        </w:rPr>
        <w:t xml:space="preserve"> agreement on how to fund the future delivery of subsidised PBS medicines to Australians</w:t>
      </w:r>
      <w:r w:rsidR="006C2ABA" w:rsidRPr="00C20287">
        <w:rPr>
          <w:rFonts w:cstheme="minorHAnsi"/>
          <w:color w:val="0D0D0D" w:themeColor="text1" w:themeTint="F2"/>
          <w:sz w:val="24"/>
          <w:szCs w:val="24"/>
        </w:rPr>
        <w:t>,</w:t>
      </w:r>
      <w:r w:rsidRPr="00C20287">
        <w:rPr>
          <w:rFonts w:cstheme="minorHAnsi"/>
          <w:color w:val="0D0D0D" w:themeColor="text1" w:themeTint="F2"/>
          <w:sz w:val="24"/>
          <w:szCs w:val="24"/>
        </w:rPr>
        <w:t xml:space="preserve"> the Department will also </w:t>
      </w:r>
      <w:r w:rsidR="006C2ABA" w:rsidRPr="00C20287">
        <w:rPr>
          <w:rFonts w:cstheme="minorHAnsi"/>
          <w:color w:val="0D0D0D" w:themeColor="text1" w:themeTint="F2"/>
          <w:sz w:val="24"/>
          <w:szCs w:val="24"/>
        </w:rPr>
        <w:t xml:space="preserve">seek to </w:t>
      </w:r>
      <w:r w:rsidR="00031428" w:rsidRPr="00C20287">
        <w:rPr>
          <w:rFonts w:cstheme="minorHAnsi"/>
          <w:color w:val="0D0D0D" w:themeColor="text1" w:themeTint="F2"/>
          <w:sz w:val="24"/>
          <w:szCs w:val="24"/>
        </w:rPr>
        <w:t xml:space="preserve">develop metrics and evaluation plans to ensure that the final policy position delivers the objectives </w:t>
      </w:r>
      <w:r w:rsidR="002A1A1F">
        <w:rPr>
          <w:rFonts w:cstheme="minorHAnsi"/>
          <w:color w:val="0D0D0D" w:themeColor="text1" w:themeTint="F2"/>
          <w:sz w:val="24"/>
          <w:szCs w:val="24"/>
        </w:rPr>
        <w:t>of</w:t>
      </w:r>
      <w:r w:rsidR="00031428" w:rsidRPr="00C20287">
        <w:rPr>
          <w:rFonts w:cstheme="minorHAnsi"/>
          <w:color w:val="0D0D0D" w:themeColor="text1" w:themeTint="F2"/>
          <w:sz w:val="24"/>
          <w:szCs w:val="24"/>
        </w:rPr>
        <w:t xml:space="preserve"> the policy. The Department </w:t>
      </w:r>
      <w:r w:rsidR="00031428" w:rsidRPr="00C20287">
        <w:rPr>
          <w:rFonts w:cstheme="minorHAnsi"/>
          <w:color w:val="0D0D0D" w:themeColor="text1" w:themeTint="F2"/>
          <w:sz w:val="24"/>
          <w:szCs w:val="24"/>
        </w:rPr>
        <w:lastRenderedPageBreak/>
        <w:t>will aim to measure whether the implementation of the policy is maximising equitable and affordable access to PBS medicines</w:t>
      </w:r>
      <w:r w:rsidR="00187E32" w:rsidRPr="00C20287">
        <w:rPr>
          <w:rFonts w:cstheme="minorHAnsi"/>
          <w:color w:val="0D0D0D" w:themeColor="text1" w:themeTint="F2"/>
          <w:sz w:val="24"/>
          <w:szCs w:val="24"/>
        </w:rPr>
        <w:t xml:space="preserve"> as intended and</w:t>
      </w:r>
      <w:r w:rsidR="00031428" w:rsidRPr="00C20287">
        <w:rPr>
          <w:rFonts w:cstheme="minorHAnsi"/>
          <w:color w:val="0D0D0D" w:themeColor="text1" w:themeTint="F2"/>
          <w:sz w:val="24"/>
          <w:szCs w:val="24"/>
        </w:rPr>
        <w:t xml:space="preserve"> controlling spending on PBS dispensing remuneration</w:t>
      </w:r>
      <w:r w:rsidR="00187E32" w:rsidRPr="00C20287">
        <w:rPr>
          <w:rFonts w:cstheme="minorHAnsi"/>
          <w:color w:val="0D0D0D" w:themeColor="text1" w:themeTint="F2"/>
          <w:sz w:val="24"/>
          <w:szCs w:val="24"/>
        </w:rPr>
        <w:t>.</w:t>
      </w:r>
      <w:r w:rsidR="00031428" w:rsidRPr="00C20287">
        <w:rPr>
          <w:rFonts w:cstheme="minorHAnsi"/>
          <w:color w:val="0D0D0D" w:themeColor="text1" w:themeTint="F2"/>
          <w:sz w:val="24"/>
          <w:szCs w:val="24"/>
        </w:rPr>
        <w:t xml:space="preserve"> </w:t>
      </w:r>
      <w:r w:rsidR="00187E32" w:rsidRPr="00C20287">
        <w:rPr>
          <w:rFonts w:cstheme="minorHAnsi"/>
          <w:color w:val="0D0D0D" w:themeColor="text1" w:themeTint="F2"/>
          <w:sz w:val="24"/>
          <w:szCs w:val="24"/>
        </w:rPr>
        <w:t xml:space="preserve">Frameworks will also be developed to evaluate whether </w:t>
      </w:r>
      <w:r w:rsidR="001B68E4" w:rsidRPr="00C20287">
        <w:rPr>
          <w:rFonts w:cstheme="minorHAnsi"/>
          <w:color w:val="0D0D0D" w:themeColor="text1" w:themeTint="F2"/>
          <w:sz w:val="24"/>
          <w:szCs w:val="24"/>
        </w:rPr>
        <w:t>CPPs</w:t>
      </w:r>
      <w:r w:rsidR="006120EF" w:rsidRPr="00C20287">
        <w:rPr>
          <w:rFonts w:cstheme="minorHAnsi"/>
          <w:color w:val="0D0D0D" w:themeColor="text1" w:themeTint="F2"/>
          <w:sz w:val="24"/>
          <w:szCs w:val="24"/>
        </w:rPr>
        <w:t xml:space="preserve"> are </w:t>
      </w:r>
      <w:r w:rsidR="00187E32" w:rsidRPr="00C20287">
        <w:rPr>
          <w:rFonts w:cstheme="minorHAnsi"/>
          <w:color w:val="0D0D0D" w:themeColor="text1" w:themeTint="F2"/>
          <w:sz w:val="24"/>
          <w:szCs w:val="24"/>
        </w:rPr>
        <w:t xml:space="preserve">providing </w:t>
      </w:r>
      <w:r w:rsidR="00031428" w:rsidRPr="00C20287">
        <w:rPr>
          <w:rFonts w:cstheme="minorHAnsi"/>
          <w:color w:val="0D0D0D" w:themeColor="text1" w:themeTint="F2"/>
          <w:sz w:val="24"/>
          <w:szCs w:val="24"/>
        </w:rPr>
        <w:t xml:space="preserve">clinical benefit </w:t>
      </w:r>
      <w:r w:rsidR="006120EF" w:rsidRPr="00C20287">
        <w:rPr>
          <w:rFonts w:cstheme="minorHAnsi"/>
          <w:color w:val="0D0D0D" w:themeColor="text1" w:themeTint="F2"/>
          <w:sz w:val="24"/>
          <w:szCs w:val="24"/>
        </w:rPr>
        <w:t>to consumers</w:t>
      </w:r>
      <w:r w:rsidR="00187E32" w:rsidRPr="00C20287">
        <w:rPr>
          <w:rFonts w:cstheme="minorHAnsi"/>
          <w:color w:val="0D0D0D" w:themeColor="text1" w:themeTint="F2"/>
          <w:sz w:val="24"/>
          <w:szCs w:val="24"/>
        </w:rPr>
        <w:t xml:space="preserve">, provide value for money and </w:t>
      </w:r>
      <w:r w:rsidR="006120EF" w:rsidRPr="00C20287">
        <w:rPr>
          <w:rFonts w:cstheme="minorHAnsi"/>
          <w:color w:val="0D0D0D" w:themeColor="text1" w:themeTint="F2"/>
          <w:sz w:val="24"/>
          <w:szCs w:val="24"/>
        </w:rPr>
        <w:t xml:space="preserve">enhance the other work of the Department in maximising the </w:t>
      </w:r>
      <w:r w:rsidR="00A640E2">
        <w:rPr>
          <w:rFonts w:cstheme="minorHAnsi"/>
          <w:color w:val="0D0D0D" w:themeColor="text1" w:themeTint="F2"/>
          <w:sz w:val="24"/>
          <w:szCs w:val="24"/>
        </w:rPr>
        <w:t>quality use of m</w:t>
      </w:r>
      <w:r w:rsidR="00A640E2" w:rsidRPr="00C20287">
        <w:rPr>
          <w:rFonts w:cstheme="minorHAnsi"/>
          <w:color w:val="0D0D0D" w:themeColor="text1" w:themeTint="F2"/>
          <w:sz w:val="24"/>
          <w:szCs w:val="24"/>
        </w:rPr>
        <w:t>edicines</w:t>
      </w:r>
      <w:r w:rsidR="00A640E2">
        <w:rPr>
          <w:rFonts w:cstheme="minorHAnsi"/>
          <w:color w:val="0D0D0D" w:themeColor="text1" w:themeTint="F2"/>
          <w:sz w:val="24"/>
          <w:szCs w:val="24"/>
        </w:rPr>
        <w:t>.</w:t>
      </w:r>
    </w:p>
    <w:p w14:paraId="7B092C23" w14:textId="759F5D1E" w:rsidR="0011200A" w:rsidRPr="00C20287" w:rsidRDefault="0011200A" w:rsidP="0016162F">
      <w:pPr>
        <w:pStyle w:val="Heading1"/>
        <w:pageBreakBefore/>
      </w:pPr>
      <w:bookmarkStart w:id="28" w:name="_Toc132192286"/>
      <w:bookmarkStart w:id="29" w:name="_Toc168652725"/>
      <w:r w:rsidRPr="00C20287">
        <w:lastRenderedPageBreak/>
        <w:t>Background</w:t>
      </w:r>
      <w:bookmarkEnd w:id="28"/>
      <w:bookmarkEnd w:id="29"/>
      <w:r w:rsidRPr="00C20287">
        <w:t xml:space="preserve"> </w:t>
      </w:r>
    </w:p>
    <w:p w14:paraId="46787158" w14:textId="77777777" w:rsidR="005A3D69" w:rsidRPr="00C20287" w:rsidRDefault="005A3D69" w:rsidP="0095671A">
      <w:pPr>
        <w:pStyle w:val="Heading3"/>
        <w:numPr>
          <w:ilvl w:val="1"/>
          <w:numId w:val="15"/>
        </w:numPr>
      </w:pPr>
      <w:bookmarkStart w:id="30" w:name="_Toc168652726"/>
      <w:bookmarkStart w:id="31" w:name="_Toc132192287"/>
      <w:r w:rsidRPr="00C20287">
        <w:t>Community pharmacy</w:t>
      </w:r>
      <w:bookmarkEnd w:id="30"/>
    </w:p>
    <w:p w14:paraId="7CEBE3D9" w14:textId="77777777" w:rsidR="00DF3D29" w:rsidRPr="00C20287" w:rsidRDefault="00DF3D29" w:rsidP="005C3B94">
      <w:pPr>
        <w:pStyle w:val="BodyText"/>
        <w:rPr>
          <w:sz w:val="24"/>
          <w:szCs w:val="24"/>
        </w:rPr>
      </w:pPr>
      <w:r w:rsidRPr="00C20287">
        <w:rPr>
          <w:sz w:val="24"/>
          <w:szCs w:val="24"/>
        </w:rPr>
        <w:t>Community pharmacies are among the most accessible of health care destinations in Australia, with 97 per cent of people in capital cities and 66 per cent of people in the rest of the country living within 2.5 kilometres of their nearest pharmacy.</w:t>
      </w:r>
      <w:r w:rsidRPr="00C20287">
        <w:rPr>
          <w:rStyle w:val="FootnoteReference"/>
          <w:sz w:val="24"/>
          <w:szCs w:val="24"/>
        </w:rPr>
        <w:footnoteReference w:id="8"/>
      </w:r>
      <w:r w:rsidRPr="00C20287">
        <w:rPr>
          <w:sz w:val="24"/>
          <w:szCs w:val="24"/>
        </w:rPr>
        <w:t xml:space="preserve"> On average, Australians visit a pharmacy 18 times a year,</w:t>
      </w:r>
      <w:r w:rsidRPr="00C20287">
        <w:rPr>
          <w:rStyle w:val="FootnoteReference"/>
          <w:sz w:val="24"/>
          <w:szCs w:val="24"/>
        </w:rPr>
        <w:footnoteReference w:id="9"/>
      </w:r>
      <w:r w:rsidRPr="00C20287">
        <w:rPr>
          <w:sz w:val="24"/>
          <w:szCs w:val="24"/>
        </w:rPr>
        <w:t xml:space="preserve"> with pharmacies dispensing more than 200 million PBS prescriptions each year.</w:t>
      </w:r>
      <w:r w:rsidRPr="00C20287">
        <w:rPr>
          <w:rStyle w:val="FootnoteReference"/>
          <w:sz w:val="24"/>
          <w:szCs w:val="24"/>
        </w:rPr>
        <w:footnoteReference w:id="10"/>
      </w:r>
    </w:p>
    <w:p w14:paraId="6230DB22" w14:textId="7278ADCF" w:rsidR="005A3D69" w:rsidRPr="00C20287" w:rsidRDefault="005A3D69" w:rsidP="005A3D69">
      <w:pPr>
        <w:pStyle w:val="BodyText"/>
        <w:rPr>
          <w:sz w:val="24"/>
          <w:szCs w:val="24"/>
        </w:rPr>
      </w:pPr>
      <w:r w:rsidRPr="00C20287">
        <w:rPr>
          <w:sz w:val="24"/>
          <w:szCs w:val="24"/>
        </w:rPr>
        <w:t xml:space="preserve">Community pharmacy and pharmacists </w:t>
      </w:r>
      <w:r w:rsidR="00DF3D29" w:rsidRPr="00C20287">
        <w:rPr>
          <w:sz w:val="24"/>
          <w:szCs w:val="24"/>
        </w:rPr>
        <w:t xml:space="preserve">therefore </w:t>
      </w:r>
      <w:r w:rsidRPr="00C20287">
        <w:rPr>
          <w:sz w:val="24"/>
          <w:szCs w:val="24"/>
        </w:rPr>
        <w:t xml:space="preserve">play a key role in primary health care in Australia </w:t>
      </w:r>
      <w:r w:rsidR="009F6F01" w:rsidRPr="00C20287">
        <w:rPr>
          <w:sz w:val="24"/>
          <w:szCs w:val="24"/>
        </w:rPr>
        <w:t xml:space="preserve">providing access to </w:t>
      </w:r>
      <w:r w:rsidRPr="00C20287">
        <w:rPr>
          <w:sz w:val="24"/>
          <w:szCs w:val="24"/>
        </w:rPr>
        <w:t>PBS medicines and related professional pharmacy services to the community.</w:t>
      </w:r>
      <w:r w:rsidR="00DF3D29" w:rsidRPr="00C20287">
        <w:rPr>
          <w:sz w:val="24"/>
          <w:szCs w:val="24"/>
        </w:rPr>
        <w:t xml:space="preserve"> </w:t>
      </w:r>
      <w:r w:rsidRPr="00C20287">
        <w:rPr>
          <w:sz w:val="24"/>
          <w:szCs w:val="24"/>
        </w:rPr>
        <w:t>For most Australians, a community pharmacy is their preferred access point for a range of medicines and health care products</w:t>
      </w:r>
      <w:r w:rsidR="008033CF" w:rsidRPr="00C20287">
        <w:rPr>
          <w:sz w:val="24"/>
          <w:szCs w:val="24"/>
        </w:rPr>
        <w:t>,</w:t>
      </w:r>
      <w:r w:rsidRPr="00C20287">
        <w:rPr>
          <w:sz w:val="24"/>
          <w:szCs w:val="24"/>
        </w:rPr>
        <w:t xml:space="preserve"> such as:</w:t>
      </w:r>
    </w:p>
    <w:p w14:paraId="075398A6" w14:textId="1AB0C06F" w:rsidR="005A3D69" w:rsidRPr="00C20287" w:rsidRDefault="005A3D69" w:rsidP="0095671A">
      <w:pPr>
        <w:pStyle w:val="BodyText"/>
        <w:numPr>
          <w:ilvl w:val="0"/>
          <w:numId w:val="27"/>
        </w:numPr>
        <w:spacing w:after="0"/>
        <w:rPr>
          <w:sz w:val="24"/>
          <w:szCs w:val="24"/>
        </w:rPr>
      </w:pPr>
      <w:r w:rsidRPr="00C20287">
        <w:rPr>
          <w:sz w:val="24"/>
          <w:szCs w:val="24"/>
        </w:rPr>
        <w:t>prescription medicines, including those supplied through the PBS</w:t>
      </w:r>
    </w:p>
    <w:p w14:paraId="2D13BDFF" w14:textId="09D31AE6" w:rsidR="005A3D69" w:rsidRPr="00C20287" w:rsidRDefault="005A3D69" w:rsidP="0095671A">
      <w:pPr>
        <w:pStyle w:val="BodyText"/>
        <w:numPr>
          <w:ilvl w:val="0"/>
          <w:numId w:val="27"/>
        </w:numPr>
        <w:spacing w:after="0"/>
        <w:rPr>
          <w:sz w:val="24"/>
          <w:szCs w:val="24"/>
        </w:rPr>
      </w:pPr>
      <w:r w:rsidRPr="00C20287">
        <w:rPr>
          <w:sz w:val="24"/>
          <w:szCs w:val="24"/>
        </w:rPr>
        <w:t>over-the-counter medicines, including those only available when supplied by a pharmacist</w:t>
      </w:r>
      <w:r w:rsidR="005C63BC" w:rsidRPr="00C20287">
        <w:rPr>
          <w:sz w:val="24"/>
          <w:szCs w:val="24"/>
        </w:rPr>
        <w:t>,</w:t>
      </w:r>
      <w:r w:rsidRPr="00C20287">
        <w:rPr>
          <w:sz w:val="24"/>
          <w:szCs w:val="24"/>
        </w:rPr>
        <w:t xml:space="preserve"> and</w:t>
      </w:r>
    </w:p>
    <w:p w14:paraId="076E1907" w14:textId="1F700541" w:rsidR="005A3D69" w:rsidRDefault="005A3D69" w:rsidP="0095671A">
      <w:pPr>
        <w:pStyle w:val="BodyText"/>
        <w:numPr>
          <w:ilvl w:val="0"/>
          <w:numId w:val="27"/>
        </w:numPr>
        <w:spacing w:after="0"/>
        <w:rPr>
          <w:sz w:val="24"/>
          <w:szCs w:val="24"/>
        </w:rPr>
      </w:pPr>
      <w:r w:rsidRPr="00C20287">
        <w:rPr>
          <w:sz w:val="24"/>
          <w:szCs w:val="24"/>
        </w:rPr>
        <w:t>non-scheduled medicines</w:t>
      </w:r>
      <w:r w:rsidR="00F81890">
        <w:rPr>
          <w:rStyle w:val="FootnoteReference"/>
          <w:sz w:val="24"/>
          <w:szCs w:val="24"/>
        </w:rPr>
        <w:footnoteReference w:id="11"/>
      </w:r>
      <w:r w:rsidRPr="00C20287">
        <w:rPr>
          <w:sz w:val="24"/>
          <w:szCs w:val="24"/>
        </w:rPr>
        <w:t>, healthcare, and other products, such as cosmetics, that are also available from retail outlets</w:t>
      </w:r>
      <w:r w:rsidR="008033CF" w:rsidRPr="00C20287">
        <w:rPr>
          <w:sz w:val="24"/>
          <w:szCs w:val="24"/>
        </w:rPr>
        <w:t>, including supermarkets</w:t>
      </w:r>
      <w:r w:rsidRPr="00C20287">
        <w:rPr>
          <w:sz w:val="24"/>
          <w:szCs w:val="24"/>
        </w:rPr>
        <w:t>.</w:t>
      </w:r>
    </w:p>
    <w:p w14:paraId="4AEE6DE0" w14:textId="0CD4D27A" w:rsidR="001C670B" w:rsidRPr="00C20287" w:rsidRDefault="001C670B" w:rsidP="0095671A">
      <w:pPr>
        <w:pStyle w:val="Heading3"/>
        <w:numPr>
          <w:ilvl w:val="1"/>
          <w:numId w:val="15"/>
        </w:numPr>
      </w:pPr>
      <w:bookmarkStart w:id="32" w:name="_Toc168652727"/>
      <w:r w:rsidRPr="00C20287">
        <w:t>The PBS</w:t>
      </w:r>
      <w:bookmarkEnd w:id="32"/>
    </w:p>
    <w:p w14:paraId="37FA16F2" w14:textId="1E491237" w:rsidR="001C670B" w:rsidRPr="00C20287" w:rsidRDefault="001C670B" w:rsidP="001C670B">
      <w:pPr>
        <w:rPr>
          <w:color w:val="auto"/>
          <w:sz w:val="24"/>
          <w:szCs w:val="24"/>
        </w:rPr>
      </w:pPr>
      <w:r w:rsidRPr="00C20287">
        <w:rPr>
          <w:color w:val="auto"/>
          <w:sz w:val="24"/>
          <w:szCs w:val="24"/>
        </w:rPr>
        <w:t>The PBS is a national, government-funded scheme that</w:t>
      </w:r>
      <w:r>
        <w:rPr>
          <w:color w:val="auto"/>
          <w:sz w:val="24"/>
          <w:szCs w:val="24"/>
        </w:rPr>
        <w:t>, as at November 2023</w:t>
      </w:r>
      <w:r w:rsidRPr="00C20287">
        <w:rPr>
          <w:color w:val="auto"/>
          <w:sz w:val="24"/>
          <w:szCs w:val="24"/>
        </w:rPr>
        <w:t xml:space="preserve">, subsidises the cost of </w:t>
      </w:r>
      <w:r>
        <w:rPr>
          <w:color w:val="auto"/>
          <w:sz w:val="24"/>
          <w:szCs w:val="24"/>
        </w:rPr>
        <w:t>932</w:t>
      </w:r>
      <w:r w:rsidRPr="00C20287">
        <w:rPr>
          <w:color w:val="auto"/>
          <w:sz w:val="24"/>
          <w:szCs w:val="24"/>
        </w:rPr>
        <w:t xml:space="preserve"> different medicines </w:t>
      </w:r>
      <w:r w:rsidRPr="00BB25C3">
        <w:rPr>
          <w:color w:val="auto"/>
          <w:sz w:val="24"/>
          <w:szCs w:val="24"/>
        </w:rPr>
        <w:t xml:space="preserve">available in 2,470 forms, 5,311 items and marketed as 5,282 brands </w:t>
      </w:r>
      <w:r w:rsidRPr="00C20287">
        <w:rPr>
          <w:color w:val="auto"/>
          <w:sz w:val="24"/>
          <w:szCs w:val="24"/>
        </w:rPr>
        <w:t xml:space="preserve">across a wide range of diseases for all Australians to help them afford effective, safe and cost effective treatments. Medicines available under the </w:t>
      </w:r>
      <w:r w:rsidR="001C1660">
        <w:rPr>
          <w:color w:val="auto"/>
          <w:sz w:val="24"/>
          <w:szCs w:val="24"/>
        </w:rPr>
        <w:t>PBS</w:t>
      </w:r>
      <w:r w:rsidR="001C1660" w:rsidRPr="00C20287">
        <w:rPr>
          <w:color w:val="auto"/>
          <w:sz w:val="24"/>
          <w:szCs w:val="24"/>
        </w:rPr>
        <w:t xml:space="preserve"> </w:t>
      </w:r>
      <w:r w:rsidRPr="00C20287">
        <w:rPr>
          <w:color w:val="auto"/>
          <w:sz w:val="24"/>
          <w:szCs w:val="24"/>
        </w:rPr>
        <w:t>are subsidised for conditions for which evidence supports their effective, safe and cost effective use.</w:t>
      </w:r>
      <w:r w:rsidRPr="00C20287">
        <w:rPr>
          <w:rStyle w:val="FootnoteReference"/>
          <w:color w:val="auto"/>
          <w:sz w:val="24"/>
          <w:szCs w:val="24"/>
        </w:rPr>
        <w:footnoteReference w:id="12"/>
      </w:r>
    </w:p>
    <w:p w14:paraId="104F2353" w14:textId="0F02E1BE" w:rsidR="001C670B" w:rsidRPr="00C20287" w:rsidRDefault="001C670B" w:rsidP="001C670B">
      <w:pPr>
        <w:rPr>
          <w:color w:val="auto"/>
          <w:sz w:val="24"/>
          <w:szCs w:val="24"/>
        </w:rPr>
      </w:pPr>
      <w:r w:rsidRPr="00C20287">
        <w:rPr>
          <w:color w:val="auto"/>
          <w:sz w:val="24"/>
          <w:szCs w:val="24"/>
        </w:rPr>
        <w:t xml:space="preserve">The PBS is a key </w:t>
      </w:r>
      <w:r w:rsidRPr="00C20287">
        <w:rPr>
          <w:color w:val="0D0D0D" w:themeColor="text1" w:themeTint="F2"/>
          <w:sz w:val="24"/>
          <w:szCs w:val="24"/>
        </w:rPr>
        <w:t xml:space="preserve">program supporting delivery of the </w:t>
      </w:r>
      <w:r w:rsidRPr="00C20287">
        <w:rPr>
          <w:color w:val="auto"/>
          <w:sz w:val="24"/>
          <w:szCs w:val="24"/>
        </w:rPr>
        <w:t>Government’s NMP</w:t>
      </w:r>
      <w:r w:rsidRPr="00C20287">
        <w:rPr>
          <w:rStyle w:val="FootnoteReference"/>
          <w:color w:val="auto"/>
          <w:sz w:val="24"/>
          <w:szCs w:val="24"/>
        </w:rPr>
        <w:footnoteReference w:id="13"/>
      </w:r>
      <w:r w:rsidRPr="00C20287">
        <w:rPr>
          <w:color w:val="auto"/>
          <w:sz w:val="24"/>
          <w:szCs w:val="24"/>
        </w:rPr>
        <w:t xml:space="preserve"> which aims to “focus on </w:t>
      </w:r>
      <w:r w:rsidRPr="00C20287" w:rsidDel="08A71801">
        <w:rPr>
          <w:color w:val="auto"/>
          <w:sz w:val="24"/>
          <w:szCs w:val="24"/>
        </w:rPr>
        <w:t xml:space="preserve">achieving </w:t>
      </w:r>
      <w:r w:rsidRPr="00C20287">
        <w:rPr>
          <w:color w:val="auto"/>
          <w:sz w:val="24"/>
          <w:szCs w:val="24"/>
        </w:rPr>
        <w:t xml:space="preserve">positive health results that matter to people and their communities and make sure all Australians have timely, safe and reliable access to effective, high-quality medicines.” The PBS is available to all Australian residents who hold a current Medicare card. Overseas visitors from countries with which Australia has a Reciprocal Health Care Agreement also </w:t>
      </w:r>
      <w:r w:rsidR="001C1660">
        <w:rPr>
          <w:color w:val="auto"/>
          <w:sz w:val="24"/>
          <w:szCs w:val="24"/>
        </w:rPr>
        <w:t>have</w:t>
      </w:r>
      <w:r w:rsidRPr="00C20287">
        <w:rPr>
          <w:color w:val="auto"/>
          <w:sz w:val="24"/>
          <w:szCs w:val="24"/>
        </w:rPr>
        <w:t xml:space="preserve"> access. </w:t>
      </w:r>
    </w:p>
    <w:p w14:paraId="470ADFB9" w14:textId="41B14F50" w:rsidR="001C670B" w:rsidRPr="004205D9" w:rsidRDefault="001C670B" w:rsidP="001C670B">
      <w:pPr>
        <w:pStyle w:val="BodyText"/>
        <w:shd w:val="clear" w:color="auto" w:fill="FFFFFF"/>
        <w:rPr>
          <w:sz w:val="24"/>
          <w:szCs w:val="24"/>
        </w:rPr>
      </w:pPr>
      <w:r w:rsidRPr="00C20287">
        <w:rPr>
          <w:color w:val="auto"/>
          <w:sz w:val="24"/>
          <w:szCs w:val="24"/>
        </w:rPr>
        <w:lastRenderedPageBreak/>
        <w:t xml:space="preserve">The PBS </w:t>
      </w:r>
      <w:r>
        <w:rPr>
          <w:color w:val="auto"/>
          <w:sz w:val="24"/>
          <w:szCs w:val="24"/>
        </w:rPr>
        <w:t xml:space="preserve">and </w:t>
      </w:r>
      <w:r w:rsidRPr="00C20287">
        <w:rPr>
          <w:color w:val="auto"/>
          <w:sz w:val="24"/>
          <w:szCs w:val="24"/>
        </w:rPr>
        <w:t xml:space="preserve">the </w:t>
      </w:r>
      <w:r w:rsidR="00E611C4">
        <w:rPr>
          <w:color w:val="auto"/>
          <w:sz w:val="24"/>
          <w:szCs w:val="24"/>
        </w:rPr>
        <w:t>functions</w:t>
      </w:r>
      <w:r w:rsidRPr="00C20287">
        <w:rPr>
          <w:color w:val="auto"/>
          <w:sz w:val="24"/>
          <w:szCs w:val="24"/>
        </w:rPr>
        <w:t xml:space="preserve"> of the Pharmaceutical Benefits Advisory Committee (PBAC)</w:t>
      </w:r>
      <w:r>
        <w:rPr>
          <w:color w:val="auto"/>
          <w:sz w:val="24"/>
          <w:szCs w:val="24"/>
        </w:rPr>
        <w:t xml:space="preserve"> </w:t>
      </w:r>
      <w:r w:rsidR="00E611C4">
        <w:rPr>
          <w:color w:val="auto"/>
          <w:sz w:val="24"/>
          <w:szCs w:val="24"/>
        </w:rPr>
        <w:t xml:space="preserve">are </w:t>
      </w:r>
      <w:r>
        <w:rPr>
          <w:color w:val="auto"/>
          <w:sz w:val="24"/>
          <w:szCs w:val="24"/>
        </w:rPr>
        <w:t xml:space="preserve">established by the Act. </w:t>
      </w:r>
      <w:r w:rsidR="00E611C4">
        <w:rPr>
          <w:color w:val="auto"/>
          <w:sz w:val="24"/>
          <w:szCs w:val="24"/>
        </w:rPr>
        <w:t xml:space="preserve">The </w:t>
      </w:r>
      <w:r>
        <w:rPr>
          <w:color w:val="auto"/>
          <w:sz w:val="24"/>
          <w:szCs w:val="24"/>
        </w:rPr>
        <w:t>PBAC is a</w:t>
      </w:r>
      <w:r w:rsidR="00BA1DEE">
        <w:rPr>
          <w:color w:val="auto"/>
          <w:sz w:val="24"/>
          <w:szCs w:val="24"/>
        </w:rPr>
        <w:t xml:space="preserve"> statutorily</w:t>
      </w:r>
      <w:r>
        <w:rPr>
          <w:color w:val="auto"/>
          <w:sz w:val="24"/>
          <w:szCs w:val="24"/>
        </w:rPr>
        <w:t xml:space="preserve"> </w:t>
      </w:r>
      <w:r w:rsidRPr="00C20287">
        <w:rPr>
          <w:color w:val="auto"/>
          <w:sz w:val="24"/>
          <w:szCs w:val="24"/>
        </w:rPr>
        <w:t>indepen</w:t>
      </w:r>
      <w:r>
        <w:rPr>
          <w:color w:val="auto"/>
          <w:sz w:val="24"/>
          <w:szCs w:val="24"/>
        </w:rPr>
        <w:t xml:space="preserve">dent expert advisory committee with the </w:t>
      </w:r>
      <w:r w:rsidRPr="00C20287">
        <w:rPr>
          <w:color w:val="auto"/>
          <w:sz w:val="24"/>
          <w:szCs w:val="24"/>
        </w:rPr>
        <w:t>primary role of</w:t>
      </w:r>
      <w:r>
        <w:rPr>
          <w:color w:val="auto"/>
          <w:sz w:val="24"/>
          <w:szCs w:val="24"/>
        </w:rPr>
        <w:t xml:space="preserve"> </w:t>
      </w:r>
      <w:r w:rsidRPr="00C20287">
        <w:rPr>
          <w:color w:val="auto"/>
          <w:sz w:val="24"/>
          <w:szCs w:val="24"/>
        </w:rPr>
        <w:t>recommen</w:t>
      </w:r>
      <w:r>
        <w:rPr>
          <w:color w:val="auto"/>
          <w:sz w:val="24"/>
          <w:szCs w:val="24"/>
        </w:rPr>
        <w:t>ding</w:t>
      </w:r>
      <w:r w:rsidRPr="00C20287">
        <w:rPr>
          <w:color w:val="auto"/>
          <w:sz w:val="24"/>
          <w:szCs w:val="24"/>
        </w:rPr>
        <w:t xml:space="preserve"> to the Minister, which medicines and medicinal preparations should be subsidised under the PBS and which vaccines should be subsidised under the National Immunisation Program. </w:t>
      </w:r>
      <w:r>
        <w:rPr>
          <w:color w:val="auto"/>
          <w:sz w:val="24"/>
          <w:szCs w:val="24"/>
        </w:rPr>
        <w:t xml:space="preserve">In making a recommendation </w:t>
      </w:r>
      <w:r w:rsidRPr="00496A78">
        <w:rPr>
          <w:color w:val="auto"/>
          <w:sz w:val="24"/>
          <w:szCs w:val="24"/>
        </w:rPr>
        <w:t xml:space="preserve">PBAC must take into account </w:t>
      </w:r>
      <w:r w:rsidRPr="006B4286">
        <w:rPr>
          <w:color w:val="auto"/>
          <w:sz w:val="24"/>
          <w:szCs w:val="24"/>
        </w:rPr>
        <w:t xml:space="preserve">the </w:t>
      </w:r>
      <w:r w:rsidR="00BA1DEE">
        <w:rPr>
          <w:color w:val="auto"/>
          <w:sz w:val="24"/>
          <w:szCs w:val="24"/>
        </w:rPr>
        <w:t xml:space="preserve">safety, </w:t>
      </w:r>
      <w:r w:rsidRPr="006B4286">
        <w:rPr>
          <w:color w:val="auto"/>
          <w:sz w:val="24"/>
          <w:szCs w:val="24"/>
        </w:rPr>
        <w:t>cost and clinical effectiveness of the medicine when compared with other treatments for the same condition. Under the PBS, the Australian Government subsidises the cost of medicine</w:t>
      </w:r>
      <w:r w:rsidR="00BA1DEE">
        <w:rPr>
          <w:color w:val="auto"/>
          <w:sz w:val="24"/>
          <w:szCs w:val="24"/>
        </w:rPr>
        <w:t>s to treat</w:t>
      </w:r>
      <w:r w:rsidRPr="006B4286">
        <w:rPr>
          <w:color w:val="auto"/>
          <w:sz w:val="24"/>
          <w:szCs w:val="24"/>
        </w:rPr>
        <w:t xml:space="preserve"> most medical conditions. </w:t>
      </w:r>
    </w:p>
    <w:p w14:paraId="07359B5F" w14:textId="1726B182" w:rsidR="001C670B" w:rsidRPr="004205D9" w:rsidRDefault="001C670B" w:rsidP="001C670B">
      <w:pPr>
        <w:shd w:val="clear" w:color="auto" w:fill="FFFFFF"/>
        <w:rPr>
          <w:color w:val="auto"/>
          <w:sz w:val="24"/>
          <w:szCs w:val="24"/>
        </w:rPr>
      </w:pPr>
      <w:r w:rsidRPr="004205D9">
        <w:rPr>
          <w:color w:val="auto"/>
          <w:sz w:val="24"/>
          <w:szCs w:val="24"/>
        </w:rPr>
        <w:t>Before a medicine can be listed on the PBS, it must first be approved for use in Australia by the</w:t>
      </w:r>
      <w:r w:rsidRPr="004205D9">
        <w:rPr>
          <w:rFonts w:hint="eastAsia"/>
          <w:color w:val="auto"/>
          <w:sz w:val="24"/>
          <w:szCs w:val="24"/>
        </w:rPr>
        <w:t> </w:t>
      </w:r>
      <w:hyperlink r:id="rId7" w:history="1">
        <w:r w:rsidRPr="004205D9">
          <w:rPr>
            <w:color w:val="auto"/>
            <w:sz w:val="24"/>
            <w:szCs w:val="24"/>
          </w:rPr>
          <w:t>Therapeutic Goods Administration</w:t>
        </w:r>
      </w:hyperlink>
      <w:r w:rsidRPr="004205D9">
        <w:rPr>
          <w:rFonts w:hint="eastAsia"/>
          <w:color w:val="auto"/>
          <w:sz w:val="24"/>
          <w:szCs w:val="24"/>
        </w:rPr>
        <w:t> </w:t>
      </w:r>
      <w:r w:rsidRPr="004205D9">
        <w:rPr>
          <w:color w:val="auto"/>
          <w:sz w:val="24"/>
          <w:szCs w:val="24"/>
        </w:rPr>
        <w:t xml:space="preserve">(TGA). </w:t>
      </w:r>
      <w:r>
        <w:rPr>
          <w:color w:val="auto"/>
          <w:sz w:val="24"/>
          <w:szCs w:val="24"/>
        </w:rPr>
        <w:t xml:space="preserve">The TGA is responsible for ensuring that the </w:t>
      </w:r>
      <w:r w:rsidRPr="004205D9">
        <w:rPr>
          <w:color w:val="auto"/>
          <w:sz w:val="24"/>
          <w:szCs w:val="24"/>
        </w:rPr>
        <w:t>medicine meets the required standards of quality, safety and eff</w:t>
      </w:r>
      <w:r w:rsidR="00E611C4">
        <w:rPr>
          <w:color w:val="auto"/>
          <w:sz w:val="24"/>
          <w:szCs w:val="24"/>
        </w:rPr>
        <w:t>icacy</w:t>
      </w:r>
      <w:r w:rsidRPr="004205D9">
        <w:rPr>
          <w:color w:val="auto"/>
          <w:sz w:val="24"/>
          <w:szCs w:val="24"/>
        </w:rPr>
        <w:t xml:space="preserve"> for the intended use.</w:t>
      </w:r>
      <w:r>
        <w:rPr>
          <w:color w:val="auto"/>
          <w:sz w:val="24"/>
          <w:szCs w:val="24"/>
        </w:rPr>
        <w:t xml:space="preserve"> </w:t>
      </w:r>
      <w:r w:rsidRPr="004205D9">
        <w:rPr>
          <w:color w:val="auto"/>
          <w:sz w:val="24"/>
          <w:szCs w:val="24"/>
        </w:rPr>
        <w:t>A medicine that</w:t>
      </w:r>
      <w:r>
        <w:rPr>
          <w:color w:val="auto"/>
          <w:sz w:val="24"/>
          <w:szCs w:val="24"/>
        </w:rPr>
        <w:t xml:space="preserve"> is assessed by the TGA as meeting these requirements</w:t>
      </w:r>
      <w:r w:rsidRPr="004205D9">
        <w:rPr>
          <w:color w:val="auto"/>
          <w:sz w:val="24"/>
          <w:szCs w:val="24"/>
        </w:rPr>
        <w:t xml:space="preserve"> is listed on the</w:t>
      </w:r>
      <w:r w:rsidR="0017395B">
        <w:rPr>
          <w:color w:val="auto"/>
          <w:sz w:val="24"/>
          <w:szCs w:val="24"/>
        </w:rPr>
        <w:t xml:space="preserve"> Australian Register of Therapeutic Goods</w:t>
      </w:r>
      <w:r w:rsidRPr="004205D9">
        <w:rPr>
          <w:color w:val="auto"/>
          <w:sz w:val="24"/>
          <w:szCs w:val="24"/>
        </w:rPr>
        <w:t xml:space="preserve"> </w:t>
      </w:r>
      <w:r w:rsidR="0017395B">
        <w:rPr>
          <w:color w:val="auto"/>
          <w:sz w:val="24"/>
          <w:szCs w:val="24"/>
        </w:rPr>
        <w:t>(</w:t>
      </w:r>
      <w:r w:rsidRPr="004205D9">
        <w:rPr>
          <w:color w:val="auto"/>
          <w:sz w:val="24"/>
          <w:szCs w:val="24"/>
        </w:rPr>
        <w:t>ARTG</w:t>
      </w:r>
      <w:r w:rsidR="0017395B">
        <w:rPr>
          <w:color w:val="auto"/>
          <w:sz w:val="24"/>
          <w:szCs w:val="24"/>
        </w:rPr>
        <w:t>)</w:t>
      </w:r>
      <w:r w:rsidRPr="004205D9">
        <w:rPr>
          <w:color w:val="auto"/>
          <w:sz w:val="24"/>
          <w:szCs w:val="24"/>
        </w:rPr>
        <w:t xml:space="preserve"> </w:t>
      </w:r>
      <w:r>
        <w:rPr>
          <w:color w:val="auto"/>
          <w:sz w:val="24"/>
          <w:szCs w:val="24"/>
        </w:rPr>
        <w:t xml:space="preserve">and </w:t>
      </w:r>
      <w:r w:rsidRPr="004205D9">
        <w:rPr>
          <w:color w:val="auto"/>
          <w:sz w:val="24"/>
          <w:szCs w:val="24"/>
        </w:rPr>
        <w:t>can be marketed in Australia. However, the medicine will not attract an Australian Governm</w:t>
      </w:r>
      <w:r>
        <w:rPr>
          <w:color w:val="auto"/>
          <w:sz w:val="24"/>
          <w:szCs w:val="24"/>
        </w:rPr>
        <w:t xml:space="preserve">ent subsidy unless it is also listed </w:t>
      </w:r>
      <w:r w:rsidRPr="004205D9">
        <w:rPr>
          <w:color w:val="auto"/>
          <w:sz w:val="24"/>
          <w:szCs w:val="24"/>
        </w:rPr>
        <w:t>on the PBS</w:t>
      </w:r>
      <w:r w:rsidR="00BA1DEE">
        <w:rPr>
          <w:color w:val="auto"/>
          <w:sz w:val="24"/>
          <w:szCs w:val="24"/>
        </w:rPr>
        <w:t>, following an assessment by the PBAC of its comparative safety, effectiveness and cost effectiveness (that is, compared with other treatments available to treat a specific condition)</w:t>
      </w:r>
      <w:r w:rsidRPr="004205D9">
        <w:rPr>
          <w:color w:val="auto"/>
          <w:sz w:val="24"/>
          <w:szCs w:val="24"/>
        </w:rPr>
        <w:t xml:space="preserve">. Without the </w:t>
      </w:r>
      <w:r w:rsidR="00BA1DEE">
        <w:rPr>
          <w:color w:val="auto"/>
          <w:sz w:val="24"/>
          <w:szCs w:val="24"/>
        </w:rPr>
        <w:t xml:space="preserve">PBS </w:t>
      </w:r>
      <w:r w:rsidRPr="004205D9">
        <w:rPr>
          <w:color w:val="auto"/>
          <w:sz w:val="24"/>
          <w:szCs w:val="24"/>
        </w:rPr>
        <w:t xml:space="preserve">subsidy, patients </w:t>
      </w:r>
      <w:r w:rsidR="00BA1DEE">
        <w:rPr>
          <w:color w:val="auto"/>
          <w:sz w:val="24"/>
          <w:szCs w:val="24"/>
        </w:rPr>
        <w:t xml:space="preserve">may </w:t>
      </w:r>
      <w:r w:rsidRPr="004205D9">
        <w:rPr>
          <w:color w:val="auto"/>
          <w:sz w:val="24"/>
          <w:szCs w:val="24"/>
        </w:rPr>
        <w:t>have to pay the full cost of the medicine.</w:t>
      </w:r>
    </w:p>
    <w:p w14:paraId="2E9632DA" w14:textId="6C97E676" w:rsidR="001C670B" w:rsidRPr="00C20287" w:rsidRDefault="001C670B" w:rsidP="001C670B">
      <w:pPr>
        <w:rPr>
          <w:color w:val="auto"/>
          <w:sz w:val="24"/>
          <w:szCs w:val="24"/>
        </w:rPr>
      </w:pPr>
      <w:r w:rsidRPr="00C20287">
        <w:rPr>
          <w:color w:val="auto"/>
          <w:sz w:val="24"/>
          <w:szCs w:val="24"/>
        </w:rPr>
        <w:t xml:space="preserve">The operation and function of the PBS is outside the scope of this proposal which considers the options to give effect </w:t>
      </w:r>
      <w:r w:rsidR="00903D39">
        <w:rPr>
          <w:color w:val="auto"/>
          <w:sz w:val="24"/>
          <w:szCs w:val="24"/>
        </w:rPr>
        <w:t xml:space="preserve">to </w:t>
      </w:r>
      <w:r w:rsidRPr="00C20287">
        <w:rPr>
          <w:color w:val="auto"/>
          <w:sz w:val="24"/>
          <w:szCs w:val="24"/>
        </w:rPr>
        <w:t xml:space="preserve">the Commonwealth </w:t>
      </w:r>
      <w:r w:rsidR="00B472A0">
        <w:rPr>
          <w:color w:val="auto"/>
          <w:sz w:val="24"/>
          <w:szCs w:val="24"/>
        </w:rPr>
        <w:t>p</w:t>
      </w:r>
      <w:r w:rsidRPr="00C20287">
        <w:rPr>
          <w:color w:val="auto"/>
          <w:sz w:val="24"/>
          <w:szCs w:val="24"/>
        </w:rPr>
        <w:t>rice for the dispensing of PBS medicines</w:t>
      </w:r>
      <w:r>
        <w:rPr>
          <w:color w:val="auto"/>
          <w:sz w:val="24"/>
          <w:szCs w:val="24"/>
        </w:rPr>
        <w:t xml:space="preserve"> and certain other pharmacy services, such as CPPs which may come under the CPA</w:t>
      </w:r>
      <w:r w:rsidRPr="00C20287">
        <w:rPr>
          <w:color w:val="auto"/>
          <w:sz w:val="24"/>
          <w:szCs w:val="24"/>
        </w:rPr>
        <w:t>. This is achieved either as agreed between the Commonwealth and the Guild (then ratified by the PBRT), or following a decision of the PBRT if there is no agreement is in place, as required under section 98BAA of the Act. These are the only two legislated options for determining the payments approved pharmacists receive for dispensing PBS medicines.</w:t>
      </w:r>
    </w:p>
    <w:p w14:paraId="53299688" w14:textId="77777777" w:rsidR="001C670B" w:rsidRPr="00C20287" w:rsidRDefault="001C670B" w:rsidP="001C670B">
      <w:pPr>
        <w:rPr>
          <w:color w:val="0D0D0D" w:themeColor="text1" w:themeTint="F2"/>
          <w:sz w:val="24"/>
          <w:szCs w:val="24"/>
        </w:rPr>
      </w:pPr>
      <w:r w:rsidRPr="00C20287">
        <w:rPr>
          <w:color w:val="auto"/>
          <w:sz w:val="24"/>
          <w:szCs w:val="24"/>
        </w:rPr>
        <w:t xml:space="preserve">Most PBS medicines are dispensed by community pharmacies and used by patients at </w:t>
      </w:r>
      <w:r w:rsidRPr="00C20287">
        <w:rPr>
          <w:color w:val="0D0D0D" w:themeColor="text1" w:themeTint="F2"/>
          <w:sz w:val="24"/>
          <w:szCs w:val="24"/>
        </w:rPr>
        <w:t xml:space="preserve">home. These are known as ‘General Schedule’ or ‘section 85’ medicines because section 85 of the Act establishes the ability for the Minister to list medicines on the PBS and for the Commonwealth to supply these as a pharmaceutical benefit. </w:t>
      </w:r>
    </w:p>
    <w:p w14:paraId="7D80C83A" w14:textId="7079D9D8" w:rsidR="001C670B" w:rsidRPr="00C20287" w:rsidRDefault="001C670B" w:rsidP="001C670B">
      <w:pPr>
        <w:rPr>
          <w:color w:val="0D0D0D" w:themeColor="text1" w:themeTint="F2"/>
          <w:sz w:val="24"/>
          <w:szCs w:val="24"/>
        </w:rPr>
      </w:pPr>
      <w:r w:rsidRPr="00C20287">
        <w:rPr>
          <w:color w:val="0D0D0D" w:themeColor="text1" w:themeTint="F2"/>
          <w:sz w:val="24"/>
          <w:szCs w:val="24"/>
        </w:rPr>
        <w:t>In addition to medicines and medicinal preparations available under general (section 85) PBS arrangements, a number of medicines also available as pharmaceutical benefits are distributed under alternative arrangements. Section 100 of the Act provides for alternative ways of providing a medicine when the usual supply through community pharmacies may be unsuitable. There are several programs funded under this provision including</w:t>
      </w:r>
      <w:r w:rsidR="00903D39">
        <w:rPr>
          <w:color w:val="0D0D0D" w:themeColor="text1" w:themeTint="F2"/>
          <w:sz w:val="24"/>
          <w:szCs w:val="24"/>
        </w:rPr>
        <w:t>:</w:t>
      </w:r>
      <w:r w:rsidRPr="00C20287">
        <w:rPr>
          <w:color w:val="0D0D0D" w:themeColor="text1" w:themeTint="F2"/>
          <w:sz w:val="24"/>
          <w:szCs w:val="24"/>
        </w:rPr>
        <w:t xml:space="preserve"> the Highly Specialised Drugs Program; the Efficient Funding of Chemotherapy Program; the Botulinum Toxin Program; the Human Growth Hormone Program; and the IVF program.</w:t>
      </w:r>
    </w:p>
    <w:p w14:paraId="3CEE6F4F" w14:textId="4D6DFB88" w:rsidR="001615AB" w:rsidRPr="00C20287" w:rsidRDefault="001615AB" w:rsidP="0095671A">
      <w:pPr>
        <w:pStyle w:val="Heading3"/>
        <w:numPr>
          <w:ilvl w:val="1"/>
          <w:numId w:val="15"/>
        </w:numPr>
      </w:pPr>
      <w:bookmarkStart w:id="33" w:name="_Toc168652728"/>
      <w:r w:rsidRPr="00C20287">
        <w:lastRenderedPageBreak/>
        <w:t>The History of CPAs</w:t>
      </w:r>
      <w:bookmarkEnd w:id="33"/>
    </w:p>
    <w:p w14:paraId="2230F587" w14:textId="77777777" w:rsidR="001615AB" w:rsidRPr="00C20287" w:rsidRDefault="001615AB" w:rsidP="001615AB">
      <w:pPr>
        <w:rPr>
          <w:sz w:val="24"/>
          <w:szCs w:val="24"/>
        </w:rPr>
      </w:pPr>
      <w:r w:rsidRPr="00C20287">
        <w:rPr>
          <w:sz w:val="24"/>
          <w:szCs w:val="24"/>
        </w:rPr>
        <w:t>The Government has reimbursed approved pharmacists, as the owners of community pharmacies,</w:t>
      </w:r>
      <w:r w:rsidRPr="00C20287" w:rsidDel="009C5D64">
        <w:rPr>
          <w:sz w:val="24"/>
          <w:szCs w:val="24"/>
        </w:rPr>
        <w:t xml:space="preserve"> </w:t>
      </w:r>
      <w:r w:rsidRPr="00C20287">
        <w:rPr>
          <w:sz w:val="24"/>
          <w:szCs w:val="24"/>
        </w:rPr>
        <w:t>for dispensing PBS medicines to the public since the PBS was initially established in 1948.</w:t>
      </w:r>
      <w:r w:rsidRPr="00C20287">
        <w:rPr>
          <w:sz w:val="24"/>
          <w:szCs w:val="24"/>
          <w:vertAlign w:val="superscript"/>
        </w:rPr>
        <w:footnoteReference w:id="14"/>
      </w:r>
      <w:r w:rsidRPr="00C20287">
        <w:rPr>
          <w:sz w:val="24"/>
          <w:szCs w:val="24"/>
        </w:rPr>
        <w:t xml:space="preserve"> </w:t>
      </w:r>
    </w:p>
    <w:p w14:paraId="4B480EFD" w14:textId="572317AB" w:rsidR="001615AB" w:rsidRPr="00C20287" w:rsidRDefault="001615AB" w:rsidP="001615AB">
      <w:pPr>
        <w:widowControl w:val="0"/>
        <w:spacing w:after="0"/>
        <w:rPr>
          <w:sz w:val="24"/>
          <w:szCs w:val="24"/>
        </w:rPr>
      </w:pPr>
      <w:r w:rsidRPr="00C20287">
        <w:rPr>
          <w:sz w:val="24"/>
          <w:szCs w:val="24"/>
        </w:rPr>
        <w:t>From 1953 to 1976, the Minister for Health was empowered under section 99 of the Act to determine pharmacy remuneration for the dispensing of PBS medicines. In 1980, the Australian Parliament’s Joint Committee of Public Accounts recommended the establishment of an independent tribunal to determine pharmacy remuneration for PBS dispensing.</w:t>
      </w:r>
      <w:r w:rsidRPr="00C20287">
        <w:rPr>
          <w:sz w:val="24"/>
          <w:szCs w:val="24"/>
          <w:vertAlign w:val="superscript"/>
        </w:rPr>
        <w:footnoteReference w:id="15"/>
      </w:r>
      <w:r w:rsidRPr="00C20287">
        <w:rPr>
          <w:sz w:val="24"/>
          <w:szCs w:val="24"/>
        </w:rPr>
        <w:t xml:space="preserve"> In 1981, the PBRT was established under section 98A of the Act and operates independently of Government to determine the Commonwealth price</w:t>
      </w:r>
      <w:r w:rsidRPr="00C20287">
        <w:rPr>
          <w:rStyle w:val="FootnoteReference"/>
          <w:sz w:val="24"/>
          <w:szCs w:val="24"/>
        </w:rPr>
        <w:footnoteReference w:id="16"/>
      </w:r>
      <w:r w:rsidRPr="00C20287">
        <w:rPr>
          <w:sz w:val="24"/>
          <w:szCs w:val="24"/>
        </w:rPr>
        <w:t xml:space="preserve"> paid to approved pharmacists for dispensing PBS subsidised medicines. An approved pharmacist in this sense is a pharmacist who has sought and received from the Secretary of the Department, or their delegate, approval to supply pharmaceutical benefits at particular premises under section 90 of the Act. Other suppliers who can also claim PBS benefits controlled by the Commonwealth price include Friendly Society pharmacies and approved hospitals.</w:t>
      </w:r>
    </w:p>
    <w:p w14:paraId="2673DCAC" w14:textId="77777777" w:rsidR="001615AB" w:rsidRPr="00C20287" w:rsidRDefault="001615AB" w:rsidP="001615AB">
      <w:pPr>
        <w:pStyle w:val="Heading5"/>
        <w:spacing w:before="120"/>
        <w:rPr>
          <w:b/>
          <w:color w:val="014463" w:themeColor="text2"/>
          <w:sz w:val="28"/>
          <w:szCs w:val="28"/>
        </w:rPr>
      </w:pPr>
      <w:r w:rsidRPr="00C20287">
        <w:rPr>
          <w:b/>
          <w:color w:val="014463" w:themeColor="text2"/>
          <w:sz w:val="28"/>
          <w:szCs w:val="28"/>
        </w:rPr>
        <w:t>First Community Pharmacy Agreement</w:t>
      </w:r>
    </w:p>
    <w:p w14:paraId="45E58761" w14:textId="52A806AD" w:rsidR="001615AB" w:rsidRPr="00C20287" w:rsidRDefault="001615AB" w:rsidP="001615AB">
      <w:pPr>
        <w:rPr>
          <w:sz w:val="24"/>
          <w:szCs w:val="24"/>
        </w:rPr>
      </w:pPr>
      <w:r w:rsidRPr="00C20287">
        <w:rPr>
          <w:sz w:val="24"/>
          <w:szCs w:val="24"/>
        </w:rPr>
        <w:t>In 1989, after examining surveys into pharmacies’ dispensing costs, the PBRT concluded that pharmacy owners were being over-remunerated for dispensing PBS medicines.</w:t>
      </w:r>
      <w:r w:rsidRPr="00C20287">
        <w:rPr>
          <w:sz w:val="24"/>
          <w:szCs w:val="24"/>
          <w:vertAlign w:val="superscript"/>
        </w:rPr>
        <w:footnoteReference w:id="17"/>
      </w:r>
      <w:r w:rsidRPr="00C20287">
        <w:rPr>
          <w:sz w:val="24"/>
          <w:szCs w:val="24"/>
        </w:rPr>
        <w:t xml:space="preserve"> The PBRT decided to change pharmacy remuneration by abolishing the 25% mark-up then applying to PBS medicines, and reducing the dispensing fee</w:t>
      </w:r>
      <w:r>
        <w:rPr>
          <w:sz w:val="24"/>
          <w:szCs w:val="24"/>
        </w:rPr>
        <w:t xml:space="preserve"> by 23%</w:t>
      </w:r>
      <w:r w:rsidRPr="00C20287">
        <w:rPr>
          <w:sz w:val="24"/>
          <w:szCs w:val="24"/>
        </w:rPr>
        <w:t xml:space="preserve">. </w:t>
      </w:r>
      <w:r>
        <w:rPr>
          <w:sz w:val="24"/>
          <w:szCs w:val="24"/>
        </w:rPr>
        <w:t>Pharmacists and t</w:t>
      </w:r>
      <w:r w:rsidRPr="00C20287">
        <w:rPr>
          <w:sz w:val="24"/>
          <w:szCs w:val="24"/>
        </w:rPr>
        <w:t>he Guild opposed this decision</w:t>
      </w:r>
      <w:r>
        <w:rPr>
          <w:sz w:val="24"/>
          <w:szCs w:val="24"/>
        </w:rPr>
        <w:t xml:space="preserve"> and t</w:t>
      </w:r>
      <w:r w:rsidRPr="00C20287">
        <w:rPr>
          <w:sz w:val="24"/>
          <w:szCs w:val="24"/>
        </w:rPr>
        <w:t xml:space="preserve">he then Minister for Aged, Family and Health Services subsequently negotiated directly with the Guild </w:t>
      </w:r>
      <w:r>
        <w:rPr>
          <w:sz w:val="24"/>
          <w:szCs w:val="24"/>
        </w:rPr>
        <w:t>entering</w:t>
      </w:r>
      <w:r w:rsidRPr="00C20287">
        <w:rPr>
          <w:sz w:val="24"/>
          <w:szCs w:val="24"/>
        </w:rPr>
        <w:t xml:space="preserve"> into what was to become the first CPA</w:t>
      </w:r>
      <w:r>
        <w:rPr>
          <w:sz w:val="24"/>
          <w:szCs w:val="24"/>
        </w:rPr>
        <w:t xml:space="preserve"> on 6 December 1990</w:t>
      </w:r>
      <w:r w:rsidRPr="00C20287">
        <w:rPr>
          <w:sz w:val="24"/>
          <w:szCs w:val="24"/>
        </w:rPr>
        <w:t>.</w:t>
      </w:r>
      <w:r w:rsidRPr="00C20287">
        <w:rPr>
          <w:rStyle w:val="FootnoteReference"/>
          <w:sz w:val="24"/>
          <w:szCs w:val="24"/>
        </w:rPr>
        <w:footnoteReference w:id="18"/>
      </w:r>
      <w:r w:rsidRPr="00C20287">
        <w:rPr>
          <w:sz w:val="24"/>
          <w:szCs w:val="24"/>
        </w:rPr>
        <w:t xml:space="preserve"> Also, at this time, the Act was amended to require that the PBRT give effect to the terms of any pricing agreement between the Minister for Health and the Guild, or another pharmacists’ organisation that represents a majority of approved pharmacists.</w:t>
      </w:r>
    </w:p>
    <w:p w14:paraId="1187665D" w14:textId="77777777" w:rsidR="001615AB" w:rsidRPr="00C20287" w:rsidRDefault="001615AB" w:rsidP="001615AB">
      <w:pPr>
        <w:rPr>
          <w:sz w:val="24"/>
          <w:szCs w:val="24"/>
        </w:rPr>
      </w:pPr>
      <w:r w:rsidRPr="00C20287">
        <w:rPr>
          <w:sz w:val="24"/>
          <w:szCs w:val="24"/>
        </w:rPr>
        <w:t>Specifically, section 98BAA(1) of the</w:t>
      </w:r>
      <w:r w:rsidRPr="00C20287">
        <w:rPr>
          <w:i/>
          <w:iCs/>
          <w:sz w:val="24"/>
          <w:szCs w:val="24"/>
        </w:rPr>
        <w:t xml:space="preserve"> </w:t>
      </w:r>
      <w:r w:rsidRPr="00C20287">
        <w:rPr>
          <w:sz w:val="24"/>
          <w:szCs w:val="24"/>
        </w:rPr>
        <w:t xml:space="preserve">Act provides that: </w:t>
      </w:r>
    </w:p>
    <w:p w14:paraId="126EB443" w14:textId="77777777" w:rsidR="001615AB" w:rsidRPr="00C20287" w:rsidRDefault="001615AB" w:rsidP="001615AB">
      <w:pPr>
        <w:spacing w:line="259" w:lineRule="auto"/>
        <w:ind w:left="720"/>
        <w:rPr>
          <w:sz w:val="24"/>
          <w:szCs w:val="24"/>
        </w:rPr>
      </w:pPr>
      <w:r w:rsidRPr="00C20287">
        <w:rPr>
          <w:sz w:val="24"/>
          <w:szCs w:val="24"/>
        </w:rPr>
        <w:t xml:space="preserve">‘…where the Minister (acting on the Commonwealth's behalf) and the Pharmacy Guild of Australia or another pharmacists' organisation that represents a majority of approved pharmacists have entered into an agreement in relation to the manner in which the Commonwealth price of all or any pharmaceutical benefits is to be ascertained for the purpose of payments to approved pharmacists in respect of the supply by them of pharmaceutical benefits, the Tribunal, in making a determination </w:t>
      </w:r>
      <w:r w:rsidRPr="00C20287">
        <w:rPr>
          <w:sz w:val="24"/>
          <w:szCs w:val="24"/>
        </w:rPr>
        <w:lastRenderedPageBreak/>
        <w:t>under subsection 98B(1) while the agreement is in force, must give effect to the terms of that agreement.’</w:t>
      </w:r>
    </w:p>
    <w:p w14:paraId="3C0623D7" w14:textId="77777777" w:rsidR="001615AB" w:rsidRPr="00C20287" w:rsidRDefault="001615AB" w:rsidP="001615AB">
      <w:pPr>
        <w:spacing w:before="240"/>
        <w:rPr>
          <w:sz w:val="24"/>
          <w:szCs w:val="24"/>
        </w:rPr>
      </w:pPr>
      <w:r w:rsidRPr="00C20287">
        <w:rPr>
          <w:sz w:val="24"/>
          <w:szCs w:val="24"/>
        </w:rPr>
        <w:t>In the absence of there being such an agreement in force, the PBRT is otherwise empowered to hold an inquiry to ascertain whether the Commonwealth price of all or any pharmaceutical benefits should be varied (section 98BA (1)).</w:t>
      </w:r>
    </w:p>
    <w:p w14:paraId="5299BD1B" w14:textId="77777777" w:rsidR="001615AB" w:rsidRPr="00C20287" w:rsidRDefault="001615AB" w:rsidP="001615AB">
      <w:pPr>
        <w:rPr>
          <w:sz w:val="24"/>
          <w:szCs w:val="24"/>
        </w:rPr>
      </w:pPr>
      <w:r w:rsidRPr="00C20287">
        <w:rPr>
          <w:sz w:val="24"/>
          <w:szCs w:val="24"/>
        </w:rPr>
        <w:t>The first CPA (December 1990 – June 1995) was thus reached against a background where:</w:t>
      </w:r>
    </w:p>
    <w:p w14:paraId="6EF89204" w14:textId="77777777" w:rsidR="001615AB" w:rsidRPr="00C20287" w:rsidRDefault="001615AB" w:rsidP="0095671A">
      <w:pPr>
        <w:pStyle w:val="ListParagraph"/>
        <w:numPr>
          <w:ilvl w:val="0"/>
          <w:numId w:val="14"/>
        </w:numPr>
        <w:autoSpaceDE w:val="0"/>
        <w:autoSpaceDN w:val="0"/>
        <w:adjustRightInd w:val="0"/>
        <w:spacing w:after="0" w:line="259" w:lineRule="auto"/>
        <w:ind w:left="714" w:hanging="357"/>
        <w:contextualSpacing w:val="0"/>
        <w:rPr>
          <w:sz w:val="24"/>
          <w:szCs w:val="24"/>
        </w:rPr>
      </w:pPr>
      <w:r w:rsidRPr="00C20287">
        <w:rPr>
          <w:sz w:val="24"/>
          <w:szCs w:val="24"/>
        </w:rPr>
        <w:t>an inquiry conducted by the PBRT had indicated that pharmacists were being remunerated considerably more than the cost of dispensing;</w:t>
      </w:r>
    </w:p>
    <w:p w14:paraId="5106A228" w14:textId="77777777" w:rsidR="001615AB" w:rsidRPr="00C20287" w:rsidRDefault="001615AB" w:rsidP="0095671A">
      <w:pPr>
        <w:pStyle w:val="ListParagraph"/>
        <w:numPr>
          <w:ilvl w:val="0"/>
          <w:numId w:val="14"/>
        </w:numPr>
        <w:autoSpaceDE w:val="0"/>
        <w:autoSpaceDN w:val="0"/>
        <w:adjustRightInd w:val="0"/>
        <w:spacing w:after="0" w:line="259" w:lineRule="auto"/>
        <w:ind w:left="714" w:hanging="357"/>
        <w:contextualSpacing w:val="0"/>
        <w:rPr>
          <w:sz w:val="24"/>
          <w:szCs w:val="24"/>
        </w:rPr>
      </w:pPr>
      <w:r w:rsidRPr="00C20287">
        <w:rPr>
          <w:sz w:val="24"/>
          <w:szCs w:val="24"/>
        </w:rPr>
        <w:t>existing remuneration arrangements for community pharmacy included an “economy of scale factor”</w:t>
      </w:r>
      <w:r w:rsidRPr="00C20287">
        <w:rPr>
          <w:rStyle w:val="FootnoteReference"/>
          <w:sz w:val="24"/>
          <w:szCs w:val="24"/>
        </w:rPr>
        <w:footnoteReference w:id="19"/>
      </w:r>
      <w:r w:rsidRPr="00C20287">
        <w:rPr>
          <w:sz w:val="24"/>
          <w:szCs w:val="24"/>
        </w:rPr>
        <w:t xml:space="preserve"> which allowed for the remuneration per prescription to be lower the greater the number of prescriptions that a pharmacy dispensed, but also if the average prescription volumes decreased, the remuneration per prescription increased; and</w:t>
      </w:r>
    </w:p>
    <w:p w14:paraId="0687B85E" w14:textId="77777777" w:rsidR="001615AB" w:rsidRPr="00C20287" w:rsidRDefault="001615AB" w:rsidP="0095671A">
      <w:pPr>
        <w:pStyle w:val="ListParagraph"/>
        <w:numPr>
          <w:ilvl w:val="0"/>
          <w:numId w:val="14"/>
        </w:numPr>
        <w:autoSpaceDE w:val="0"/>
        <w:autoSpaceDN w:val="0"/>
        <w:adjustRightInd w:val="0"/>
        <w:spacing w:after="0" w:line="259" w:lineRule="auto"/>
        <w:ind w:left="714" w:hanging="357"/>
        <w:contextualSpacing w:val="0"/>
        <w:rPr>
          <w:sz w:val="24"/>
          <w:szCs w:val="24"/>
        </w:rPr>
      </w:pPr>
      <w:r w:rsidRPr="00C20287">
        <w:rPr>
          <w:sz w:val="24"/>
          <w:szCs w:val="24"/>
        </w:rPr>
        <w:t>the overall pharmacy to population ratio in Australia was, at the time, considered high compared to other developed countries.</w:t>
      </w:r>
    </w:p>
    <w:p w14:paraId="1FB8ADD7" w14:textId="7162AD67" w:rsidR="001615AB" w:rsidRPr="00C20287" w:rsidRDefault="001615AB" w:rsidP="001615AB">
      <w:pPr>
        <w:spacing w:before="240"/>
        <w:rPr>
          <w:sz w:val="24"/>
          <w:szCs w:val="24"/>
        </w:rPr>
      </w:pPr>
      <w:r w:rsidRPr="00C20287">
        <w:rPr>
          <w:sz w:val="24"/>
          <w:szCs w:val="24"/>
        </w:rPr>
        <w:t>Further, at the time of the introduction of the first iteration of the Pharmacy Location Rules (Location Rules) in 1990, there was concern about the unevenness of the distribution of pharmacies. The PBRT inquiry noted that many areas had pharmacies located within 10 metres of each other, 25 </w:t>
      </w:r>
      <w:r w:rsidR="007E3D18">
        <w:rPr>
          <w:sz w:val="24"/>
          <w:szCs w:val="24"/>
        </w:rPr>
        <w:t>%</w:t>
      </w:r>
      <w:r w:rsidRPr="00C20287">
        <w:rPr>
          <w:sz w:val="24"/>
          <w:szCs w:val="24"/>
        </w:rPr>
        <w:t xml:space="preserve"> of pharmacies were within 100 metres of another pharmacy and 62 </w:t>
      </w:r>
      <w:r w:rsidR="007E3D18">
        <w:rPr>
          <w:sz w:val="24"/>
          <w:szCs w:val="24"/>
        </w:rPr>
        <w:t>%</w:t>
      </w:r>
      <w:r w:rsidRPr="00C20287">
        <w:rPr>
          <w:sz w:val="24"/>
          <w:szCs w:val="24"/>
        </w:rPr>
        <w:t xml:space="preserve"> were within one kilometre of another pharmacy. </w:t>
      </w:r>
    </w:p>
    <w:p w14:paraId="0AF1D3B8" w14:textId="01B22ED8" w:rsidR="001615AB" w:rsidRPr="00C20287" w:rsidRDefault="001615AB" w:rsidP="001615AB">
      <w:pPr>
        <w:rPr>
          <w:sz w:val="24"/>
          <w:szCs w:val="24"/>
        </w:rPr>
      </w:pPr>
      <w:r w:rsidRPr="00C20287">
        <w:rPr>
          <w:sz w:val="24"/>
          <w:szCs w:val="24"/>
        </w:rPr>
        <w:t>In contrast, consumers in rural and remote areas had relatively poor access, with a significantly lower pharmacy to population ratio. Some rural and remote consumers experienced distance barriers to access</w:t>
      </w:r>
      <w:r w:rsidR="00903D39">
        <w:rPr>
          <w:sz w:val="24"/>
          <w:szCs w:val="24"/>
        </w:rPr>
        <w:t>ing</w:t>
      </w:r>
      <w:r w:rsidRPr="00C20287">
        <w:rPr>
          <w:sz w:val="24"/>
          <w:szCs w:val="24"/>
        </w:rPr>
        <w:t xml:space="preserve"> pharmacies, which made it difficult or expensive for consumers to access medicines. This </w:t>
      </w:r>
      <w:r w:rsidR="007E3D18">
        <w:rPr>
          <w:sz w:val="24"/>
          <w:szCs w:val="24"/>
        </w:rPr>
        <w:t xml:space="preserve">had the potential to </w:t>
      </w:r>
      <w:r w:rsidRPr="00C20287">
        <w:rPr>
          <w:sz w:val="24"/>
          <w:szCs w:val="24"/>
        </w:rPr>
        <w:t xml:space="preserve">contribute to poorer health outcomes for rural and remote Australians than for those in urban or near-urban areas. </w:t>
      </w:r>
    </w:p>
    <w:p w14:paraId="7A53FFAC" w14:textId="77777777" w:rsidR="001615AB" w:rsidRPr="00C20287" w:rsidRDefault="001615AB" w:rsidP="001615AB">
      <w:pPr>
        <w:rPr>
          <w:sz w:val="24"/>
          <w:szCs w:val="24"/>
        </w:rPr>
      </w:pPr>
      <w:r w:rsidRPr="00C20287">
        <w:rPr>
          <w:sz w:val="24"/>
          <w:szCs w:val="24"/>
        </w:rPr>
        <w:t xml:space="preserve">To address these issues, the Government and the Guild agreed to set out a new remuneration framework. This, coupled with the Location Rules, led to a more rational distribution of pharmacy services, resulting in industry restructuring that would lower pharmacy numbers and encourage greater efficiency, profitability and economies of scale in individual pharmacy businesses. </w:t>
      </w:r>
    </w:p>
    <w:p w14:paraId="038474C8" w14:textId="3AD55ACB" w:rsidR="001615AB" w:rsidRPr="00C20287" w:rsidRDefault="001615AB" w:rsidP="001615AB">
      <w:pPr>
        <w:rPr>
          <w:sz w:val="24"/>
          <w:szCs w:val="24"/>
        </w:rPr>
      </w:pPr>
      <w:r w:rsidRPr="00C20287">
        <w:rPr>
          <w:sz w:val="24"/>
          <w:szCs w:val="24"/>
        </w:rPr>
        <w:t>In the short term, the first CPA enabled two major policy objectives to be met: winding back of what was then considered unsustainable growth in PBS remuneration, and a rationalisation and reduction in</w:t>
      </w:r>
      <w:r w:rsidR="00903D39">
        <w:rPr>
          <w:sz w:val="24"/>
          <w:szCs w:val="24"/>
        </w:rPr>
        <w:t xml:space="preserve"> the</w:t>
      </w:r>
      <w:r w:rsidRPr="00C20287">
        <w:rPr>
          <w:sz w:val="24"/>
          <w:szCs w:val="24"/>
        </w:rPr>
        <w:t xml:space="preserve"> number of relatively inefficient pharmacies via the introduction of the Location Rules. </w:t>
      </w:r>
    </w:p>
    <w:p w14:paraId="0B80C38C" w14:textId="77777777" w:rsidR="001615AB" w:rsidRPr="00C20287" w:rsidRDefault="001615AB" w:rsidP="001615AB">
      <w:pPr>
        <w:pStyle w:val="Heading5"/>
        <w:spacing w:before="120"/>
        <w:rPr>
          <w:b/>
          <w:color w:val="014463" w:themeColor="text2"/>
          <w:sz w:val="28"/>
          <w:szCs w:val="28"/>
        </w:rPr>
      </w:pPr>
      <w:r w:rsidRPr="00C20287">
        <w:rPr>
          <w:b/>
          <w:color w:val="014463" w:themeColor="text2"/>
          <w:sz w:val="28"/>
          <w:szCs w:val="28"/>
        </w:rPr>
        <w:lastRenderedPageBreak/>
        <w:t>Second Community Pharmacy Agreement</w:t>
      </w:r>
    </w:p>
    <w:p w14:paraId="65DA8FC0" w14:textId="77777777" w:rsidR="001615AB" w:rsidRPr="00C20287" w:rsidRDefault="001615AB" w:rsidP="001615AB">
      <w:pPr>
        <w:rPr>
          <w:sz w:val="24"/>
          <w:szCs w:val="24"/>
        </w:rPr>
      </w:pPr>
      <w:r w:rsidRPr="00C20287">
        <w:rPr>
          <w:sz w:val="24"/>
          <w:szCs w:val="24"/>
        </w:rPr>
        <w:t>The second CPA (April 1995 – June 2000)</w:t>
      </w:r>
      <w:r w:rsidRPr="00C20287">
        <w:rPr>
          <w:rStyle w:val="FootnoteReference"/>
          <w:sz w:val="24"/>
          <w:szCs w:val="24"/>
        </w:rPr>
        <w:footnoteReference w:id="20"/>
      </w:r>
      <w:r w:rsidRPr="00C20287">
        <w:rPr>
          <w:sz w:val="24"/>
          <w:szCs w:val="24"/>
        </w:rPr>
        <w:t xml:space="preserve"> sought to consolidate the remuneration structure and efficiency gains of the first CPA. </w:t>
      </w:r>
    </w:p>
    <w:p w14:paraId="0CC993F1" w14:textId="5921C124" w:rsidR="001615AB" w:rsidRPr="00C20287" w:rsidRDefault="001615AB" w:rsidP="001615AB">
      <w:pPr>
        <w:rPr>
          <w:sz w:val="24"/>
          <w:szCs w:val="24"/>
        </w:rPr>
      </w:pPr>
      <w:r w:rsidRPr="00C20287">
        <w:rPr>
          <w:sz w:val="24"/>
          <w:szCs w:val="24"/>
        </w:rPr>
        <w:t>This</w:t>
      </w:r>
      <w:r w:rsidRPr="00C20287" w:rsidDel="007E3D18">
        <w:rPr>
          <w:sz w:val="24"/>
          <w:szCs w:val="24"/>
        </w:rPr>
        <w:t xml:space="preserve"> </w:t>
      </w:r>
      <w:r w:rsidR="007E3D18">
        <w:rPr>
          <w:sz w:val="24"/>
          <w:szCs w:val="24"/>
        </w:rPr>
        <w:t>Second CPA</w:t>
      </w:r>
      <w:r w:rsidR="007E3D18" w:rsidRPr="00C20287">
        <w:rPr>
          <w:sz w:val="24"/>
          <w:szCs w:val="24"/>
        </w:rPr>
        <w:t xml:space="preserve"> </w:t>
      </w:r>
      <w:r w:rsidRPr="00C20287">
        <w:rPr>
          <w:sz w:val="24"/>
          <w:szCs w:val="24"/>
        </w:rPr>
        <w:t xml:space="preserve">recognised the role of the newly formed Australian Community Pharmacy Authority (ACPA), empowered under the Act to make recommendations on the approval of pharmacists for the supply of pharmaceutical benefits from specific premises, so maintaining restrictions on the locations of PBS approved pharmacies. </w:t>
      </w:r>
    </w:p>
    <w:p w14:paraId="2C3D3A33" w14:textId="77777777" w:rsidR="001615AB" w:rsidRPr="00C20287" w:rsidRDefault="001615AB" w:rsidP="001615AB">
      <w:pPr>
        <w:rPr>
          <w:sz w:val="24"/>
          <w:szCs w:val="24"/>
        </w:rPr>
      </w:pPr>
      <w:r w:rsidRPr="00C20287">
        <w:rPr>
          <w:sz w:val="24"/>
          <w:szCs w:val="24"/>
        </w:rPr>
        <w:t xml:space="preserve">The Agreement also provided for a number of consumer access-linked allowances, including a Remote Pharmacy Allowance and Isolated Pharmacy Allowance, and a fee for service to accredited pharmacists conducting medication reviews for residents of aged care facilities. </w:t>
      </w:r>
    </w:p>
    <w:p w14:paraId="43EE9277" w14:textId="77777777" w:rsidR="001615AB" w:rsidRPr="00C20287" w:rsidRDefault="001615AB" w:rsidP="001615AB">
      <w:pPr>
        <w:pStyle w:val="Heading5"/>
        <w:spacing w:before="120"/>
        <w:rPr>
          <w:b/>
          <w:color w:val="014463" w:themeColor="text2"/>
          <w:sz w:val="28"/>
          <w:szCs w:val="28"/>
        </w:rPr>
      </w:pPr>
      <w:r w:rsidRPr="00C20287">
        <w:rPr>
          <w:b/>
          <w:color w:val="014463" w:themeColor="text2"/>
          <w:sz w:val="28"/>
          <w:szCs w:val="28"/>
        </w:rPr>
        <w:t>Third Community Pharmacy Agreement</w:t>
      </w:r>
    </w:p>
    <w:p w14:paraId="3275B433" w14:textId="77777777" w:rsidR="001615AB" w:rsidRPr="00C20287" w:rsidRDefault="001615AB" w:rsidP="001615AB">
      <w:pPr>
        <w:rPr>
          <w:sz w:val="24"/>
          <w:szCs w:val="24"/>
        </w:rPr>
      </w:pPr>
      <w:r w:rsidRPr="00C20287">
        <w:rPr>
          <w:sz w:val="24"/>
          <w:szCs w:val="24"/>
        </w:rPr>
        <w:t>The Third CPA (July 2000 – June 2005)</w:t>
      </w:r>
      <w:r w:rsidRPr="00C20287">
        <w:rPr>
          <w:rStyle w:val="FootnoteReference"/>
          <w:sz w:val="24"/>
          <w:szCs w:val="24"/>
        </w:rPr>
        <w:footnoteReference w:id="21"/>
      </w:r>
      <w:r w:rsidRPr="00C20287">
        <w:rPr>
          <w:sz w:val="24"/>
          <w:szCs w:val="24"/>
        </w:rPr>
        <w:t xml:space="preserve"> reduced the emphasis on prescription-based remuneration arrangements and included risk sharing provisions in response to the likelihood of prescription volumes and/or average prescription income exceeding or falling short of agreed estimates. </w:t>
      </w:r>
    </w:p>
    <w:p w14:paraId="688EE19D" w14:textId="77777777" w:rsidR="001615AB" w:rsidRPr="00C20287" w:rsidRDefault="001615AB" w:rsidP="001615AB">
      <w:pPr>
        <w:rPr>
          <w:sz w:val="24"/>
          <w:szCs w:val="24"/>
        </w:rPr>
      </w:pPr>
      <w:r w:rsidRPr="00C20287">
        <w:rPr>
          <w:sz w:val="24"/>
          <w:szCs w:val="24"/>
        </w:rPr>
        <w:t xml:space="preserve">The Location Rules were modified with relaxed requirements for both new and relocated pharmacy approvals, particularly in rural and remote areas. Enhanced financial incentives for pharmacists to relocate to, to continue working in, or to set up new businesses in rural and remote areas were also introduced. </w:t>
      </w:r>
    </w:p>
    <w:p w14:paraId="4C72431D" w14:textId="77777777" w:rsidR="001615AB" w:rsidRPr="00C20287" w:rsidRDefault="001615AB" w:rsidP="001615AB">
      <w:pPr>
        <w:rPr>
          <w:sz w:val="24"/>
          <w:szCs w:val="24"/>
        </w:rPr>
      </w:pPr>
      <w:r w:rsidRPr="00C20287">
        <w:rPr>
          <w:sz w:val="24"/>
          <w:szCs w:val="24"/>
        </w:rPr>
        <w:t xml:space="preserve">This CPA also introduced an enhanced medication management service to extend and improve assistance to elderly patients in managing their medications as well as remuneration for the supply of Highly Specialised Drugs for patients of private hospitals. </w:t>
      </w:r>
    </w:p>
    <w:p w14:paraId="56858BC5" w14:textId="0C3C81A4" w:rsidR="001615AB" w:rsidRPr="00C20287" w:rsidRDefault="001615AB" w:rsidP="001615AB">
      <w:pPr>
        <w:rPr>
          <w:sz w:val="24"/>
          <w:szCs w:val="24"/>
        </w:rPr>
      </w:pPr>
      <w:r w:rsidRPr="00C20287">
        <w:rPr>
          <w:sz w:val="24"/>
          <w:szCs w:val="24"/>
        </w:rPr>
        <w:t xml:space="preserve">Active management of the Third CPA was undertaken by an Agreement Management Committee comprised of membership from the </w:t>
      </w:r>
      <w:r>
        <w:rPr>
          <w:sz w:val="24"/>
          <w:szCs w:val="24"/>
        </w:rPr>
        <w:t>Department</w:t>
      </w:r>
      <w:r w:rsidRPr="00C20287">
        <w:rPr>
          <w:sz w:val="24"/>
          <w:szCs w:val="24"/>
        </w:rPr>
        <w:t>, the Guild, and the PSA. Administration of the Location Rules continued to be managed by the ACPA.</w:t>
      </w:r>
    </w:p>
    <w:p w14:paraId="5C4FF568" w14:textId="77777777" w:rsidR="001615AB" w:rsidRPr="00C20287" w:rsidRDefault="001615AB" w:rsidP="001615AB">
      <w:pPr>
        <w:pStyle w:val="Heading5"/>
        <w:spacing w:before="120"/>
        <w:rPr>
          <w:b/>
          <w:color w:val="014463" w:themeColor="text2"/>
          <w:sz w:val="28"/>
          <w:szCs w:val="28"/>
        </w:rPr>
      </w:pPr>
      <w:r w:rsidRPr="00C20287">
        <w:rPr>
          <w:b/>
          <w:color w:val="014463" w:themeColor="text2"/>
          <w:sz w:val="28"/>
          <w:szCs w:val="28"/>
        </w:rPr>
        <w:t>Fourth Community Pharmacy Agreement</w:t>
      </w:r>
    </w:p>
    <w:p w14:paraId="028685C1" w14:textId="72878892" w:rsidR="001615AB" w:rsidRPr="00C20287" w:rsidRDefault="001615AB" w:rsidP="001615AB">
      <w:pPr>
        <w:rPr>
          <w:sz w:val="24"/>
          <w:szCs w:val="24"/>
        </w:rPr>
      </w:pPr>
      <w:r w:rsidRPr="00C20287">
        <w:rPr>
          <w:sz w:val="24"/>
          <w:szCs w:val="24"/>
        </w:rPr>
        <w:t>The Fourth CPA (December 2005 – June 2010)</w:t>
      </w:r>
      <w:r w:rsidRPr="00C20287">
        <w:rPr>
          <w:rStyle w:val="FootnoteReference"/>
          <w:sz w:val="24"/>
          <w:szCs w:val="24"/>
        </w:rPr>
        <w:footnoteReference w:id="22"/>
      </w:r>
      <w:r w:rsidRPr="00C20287">
        <w:rPr>
          <w:sz w:val="24"/>
          <w:szCs w:val="24"/>
        </w:rPr>
        <w:t xml:space="preserve"> continued remuneration and risk share arrangements from the Third CPA and made amendments to the Location Rules in respect of relocating pharmacies </w:t>
      </w:r>
      <w:r w:rsidR="007E3D18">
        <w:rPr>
          <w:sz w:val="24"/>
          <w:szCs w:val="24"/>
        </w:rPr>
        <w:t xml:space="preserve">in </w:t>
      </w:r>
      <w:r w:rsidRPr="00C20287">
        <w:rPr>
          <w:sz w:val="24"/>
          <w:szCs w:val="24"/>
        </w:rPr>
        <w:t>large medical centres, small shopping centres, single pharmacy towns and high growth single pharmacy urban areas.</w:t>
      </w:r>
    </w:p>
    <w:p w14:paraId="7DC5F0F6" w14:textId="77777777" w:rsidR="001615AB" w:rsidRPr="00C20287" w:rsidRDefault="001615AB" w:rsidP="001615AB">
      <w:pPr>
        <w:rPr>
          <w:sz w:val="24"/>
          <w:szCs w:val="24"/>
        </w:rPr>
      </w:pPr>
      <w:r w:rsidRPr="00C20287">
        <w:rPr>
          <w:sz w:val="24"/>
          <w:szCs w:val="24"/>
        </w:rPr>
        <w:t>Consultation and governance arrangements included an Agreement Consultative Committee and a separate Professional Programs and Services Advisory Committee to consider issues relating to professional pharmacy programs and services funded under the CPA. Funding for professional pharmacy programs and services totalled $500 million under the Fourth CPA compared to $400 million under the Third CPA.</w:t>
      </w:r>
    </w:p>
    <w:p w14:paraId="2DBA01E2" w14:textId="2D57E543" w:rsidR="001615AB" w:rsidRPr="00C20287" w:rsidRDefault="001615AB" w:rsidP="001615AB">
      <w:pPr>
        <w:rPr>
          <w:sz w:val="24"/>
          <w:szCs w:val="24"/>
        </w:rPr>
      </w:pPr>
      <w:r w:rsidRPr="00C20287">
        <w:rPr>
          <w:sz w:val="24"/>
          <w:szCs w:val="24"/>
        </w:rPr>
        <w:lastRenderedPageBreak/>
        <w:t>Significantly, the Fourth CPA also introduced the</w:t>
      </w:r>
      <w:r w:rsidR="00BD4A91">
        <w:rPr>
          <w:sz w:val="24"/>
          <w:szCs w:val="24"/>
        </w:rPr>
        <w:t xml:space="preserve"> </w:t>
      </w:r>
      <w:r w:rsidRPr="00C20287">
        <w:rPr>
          <w:sz w:val="24"/>
          <w:szCs w:val="24"/>
        </w:rPr>
        <w:t xml:space="preserve">CSO Funding Pool, of $150 million per annum, for payments to eligible wholesale distributors of PBS medicines to support their timely provision of the full range of PBS medicines to pharmacies across Australia within specified service standards, including for sales of low volume PBS medicines and sales to rural and remote pharmacies. </w:t>
      </w:r>
    </w:p>
    <w:p w14:paraId="53E716E3" w14:textId="77777777" w:rsidR="001615AB" w:rsidRPr="00C20287" w:rsidRDefault="001615AB" w:rsidP="001615AB">
      <w:pPr>
        <w:pStyle w:val="Heading5"/>
        <w:spacing w:before="120"/>
        <w:rPr>
          <w:b/>
          <w:color w:val="014463" w:themeColor="text2"/>
          <w:sz w:val="28"/>
          <w:szCs w:val="28"/>
        </w:rPr>
      </w:pPr>
      <w:r w:rsidRPr="00C20287">
        <w:rPr>
          <w:b/>
          <w:color w:val="014463" w:themeColor="text2"/>
          <w:sz w:val="28"/>
          <w:szCs w:val="28"/>
        </w:rPr>
        <w:t>Fifth Community Pharmacy Agreement</w:t>
      </w:r>
    </w:p>
    <w:p w14:paraId="6365EFDC" w14:textId="77777777" w:rsidR="001615AB" w:rsidRPr="00C20287" w:rsidRDefault="001615AB" w:rsidP="001615AB">
      <w:pPr>
        <w:rPr>
          <w:sz w:val="24"/>
          <w:szCs w:val="24"/>
        </w:rPr>
      </w:pPr>
      <w:r w:rsidRPr="00C20287">
        <w:rPr>
          <w:sz w:val="24"/>
          <w:szCs w:val="24"/>
        </w:rPr>
        <w:t>The Fifth CPA (July 2010 – June 2015)</w:t>
      </w:r>
      <w:r w:rsidRPr="00C20287">
        <w:rPr>
          <w:rStyle w:val="FootnoteReference"/>
          <w:sz w:val="24"/>
          <w:szCs w:val="24"/>
        </w:rPr>
        <w:footnoteReference w:id="23"/>
      </w:r>
      <w:r w:rsidRPr="00C20287">
        <w:rPr>
          <w:sz w:val="24"/>
          <w:szCs w:val="24"/>
        </w:rPr>
        <w:t xml:space="preserve"> provided for $15.4 billion over five years, comprising $13.8 billion in pharmacy remuneration, $663.4 million for professional pharmacy programs and related services, and $949.5 million for continuation of CSO Funding Pool arrangements with pharmaceutical wholesalers. In addition, a commitment was also included for retention of Location Rules over the life of the CPA.</w:t>
      </w:r>
    </w:p>
    <w:p w14:paraId="58AFAC41" w14:textId="77777777" w:rsidR="001615AB" w:rsidRPr="00C20287" w:rsidRDefault="001615AB" w:rsidP="001615AB">
      <w:pPr>
        <w:rPr>
          <w:sz w:val="24"/>
          <w:szCs w:val="24"/>
        </w:rPr>
      </w:pPr>
      <w:r w:rsidRPr="00C20287">
        <w:rPr>
          <w:sz w:val="24"/>
          <w:szCs w:val="24"/>
        </w:rPr>
        <w:t>Consultation and governance arrangements under the Fifth CPA included: an Agreement Consultative Committee (ACC) as the mechanism for consultation between the parties (Commonwealth and Guild) on implementation of all aspects of the CPA, including issues relating to pharmacist remuneration, CSO Funding Pool arrangements, Location Rules, and Programs; and a Programs Reference Group to provide advice to the Minister and the ACC, when requested, on new and continuing programs funded under the CPA.</w:t>
      </w:r>
    </w:p>
    <w:p w14:paraId="66701194" w14:textId="77777777" w:rsidR="001615AB" w:rsidRPr="00C20287" w:rsidRDefault="001615AB" w:rsidP="001615AB">
      <w:pPr>
        <w:pStyle w:val="Heading5"/>
        <w:spacing w:before="120"/>
        <w:rPr>
          <w:b/>
          <w:color w:val="014463" w:themeColor="text2"/>
          <w:sz w:val="28"/>
          <w:szCs w:val="28"/>
        </w:rPr>
      </w:pPr>
      <w:r w:rsidRPr="00C20287">
        <w:rPr>
          <w:b/>
          <w:color w:val="014463" w:themeColor="text2"/>
          <w:sz w:val="28"/>
          <w:szCs w:val="28"/>
        </w:rPr>
        <w:t>Sixth Community Pharmacy Agreement</w:t>
      </w:r>
    </w:p>
    <w:p w14:paraId="745F3E0B" w14:textId="77777777" w:rsidR="001615AB" w:rsidRPr="00C20287" w:rsidRDefault="001615AB" w:rsidP="001615AB">
      <w:pPr>
        <w:rPr>
          <w:sz w:val="24"/>
          <w:szCs w:val="24"/>
        </w:rPr>
      </w:pPr>
      <w:r w:rsidRPr="00C20287">
        <w:rPr>
          <w:sz w:val="24"/>
          <w:szCs w:val="24"/>
        </w:rPr>
        <w:t>The Sixth CPA (6CPA) (July 2015 – June 2020)</w:t>
      </w:r>
      <w:r w:rsidRPr="00C20287">
        <w:rPr>
          <w:rStyle w:val="FootnoteReference"/>
          <w:sz w:val="24"/>
          <w:szCs w:val="24"/>
        </w:rPr>
        <w:footnoteReference w:id="24"/>
      </w:r>
      <w:r w:rsidRPr="00C20287">
        <w:rPr>
          <w:sz w:val="24"/>
          <w:szCs w:val="24"/>
        </w:rPr>
        <w:t xml:space="preserve"> was a key element of the </w:t>
      </w:r>
      <w:r w:rsidRPr="00C20287">
        <w:rPr>
          <w:i/>
          <w:iCs/>
          <w:sz w:val="24"/>
          <w:szCs w:val="24"/>
        </w:rPr>
        <w:t>PBS Access and Sustainability Package,</w:t>
      </w:r>
      <w:r w:rsidRPr="00C20287">
        <w:rPr>
          <w:rStyle w:val="FootnoteReference"/>
          <w:sz w:val="24"/>
          <w:szCs w:val="24"/>
        </w:rPr>
        <w:footnoteReference w:id="25"/>
      </w:r>
      <w:r w:rsidRPr="00C20287">
        <w:rPr>
          <w:sz w:val="24"/>
          <w:szCs w:val="24"/>
        </w:rPr>
        <w:t xml:space="preserve"> announced as part of the 2015-16 Budget. </w:t>
      </w:r>
    </w:p>
    <w:p w14:paraId="04DC1FB0" w14:textId="77777777" w:rsidR="001615AB" w:rsidRPr="00C20287" w:rsidRDefault="001615AB" w:rsidP="001615AB">
      <w:pPr>
        <w:rPr>
          <w:sz w:val="24"/>
          <w:szCs w:val="24"/>
        </w:rPr>
      </w:pPr>
      <w:r w:rsidRPr="00C20287">
        <w:rPr>
          <w:sz w:val="24"/>
          <w:szCs w:val="24"/>
        </w:rPr>
        <w:t xml:space="preserve">The 6CPA was developed following broad consultation with a range of stakeholder groups across the pharmaceutical industry, pharmacy and pharmacists, consumers, peak groups, and other organisations. In addition, the 6CPA was developed with particular consideration towards findings and recommendations of the Australian National Audit Office’s audit of the </w:t>
      </w:r>
      <w:r w:rsidRPr="00C20287">
        <w:rPr>
          <w:i/>
          <w:iCs/>
          <w:sz w:val="24"/>
          <w:szCs w:val="24"/>
        </w:rPr>
        <w:t>Administration of the Fifth Community Pharmacy Agreement</w:t>
      </w:r>
      <w:r w:rsidRPr="00C20287">
        <w:rPr>
          <w:sz w:val="24"/>
          <w:szCs w:val="24"/>
          <w:vertAlign w:val="superscript"/>
        </w:rPr>
        <w:footnoteReference w:id="26"/>
      </w:r>
      <w:r w:rsidRPr="00C20287">
        <w:rPr>
          <w:sz w:val="24"/>
          <w:szCs w:val="24"/>
        </w:rPr>
        <w:t xml:space="preserve"> (ANAO Audit); the objective of which had been to assess the effectiveness of development and administration of the Fifth CPA and the extent to which the Fifth CPA had met its objectives.</w:t>
      </w:r>
    </w:p>
    <w:p w14:paraId="0BB867CD" w14:textId="5212EFD0" w:rsidR="001615AB" w:rsidRPr="00C20287" w:rsidRDefault="001615AB" w:rsidP="001615AB">
      <w:pPr>
        <w:rPr>
          <w:sz w:val="24"/>
          <w:szCs w:val="24"/>
        </w:rPr>
      </w:pPr>
      <w:r w:rsidRPr="00C20287">
        <w:rPr>
          <w:sz w:val="24"/>
          <w:szCs w:val="24"/>
        </w:rPr>
        <w:t>The 6CPA provided approximately $18.9 billion over five years, comprising: $16.6 billion for pharmacy remuneration, $1.26 billion for CPPs, and $1.03 billion for CSO Funding Pool and National Diabetes Service Scheme (NDSS) product support arrangements through community pharmacy. In addition, a further $372 million was provided in compounding fees paid directly to compounders of chemotherapy medications. The 6CPA also provided for continuation of the Location Rules over the term of the CPA. Indexation of components of the dispensing remuneration were changed from being based on wage cost index 9 to consumer price index (CPI).</w:t>
      </w:r>
    </w:p>
    <w:p w14:paraId="3C72D42D" w14:textId="77777777" w:rsidR="001615AB" w:rsidRPr="00C20287" w:rsidRDefault="001615AB" w:rsidP="001615AB">
      <w:pPr>
        <w:rPr>
          <w:sz w:val="24"/>
          <w:szCs w:val="24"/>
        </w:rPr>
      </w:pPr>
      <w:r w:rsidRPr="00C20287">
        <w:rPr>
          <w:sz w:val="24"/>
          <w:szCs w:val="24"/>
        </w:rPr>
        <w:lastRenderedPageBreak/>
        <w:t>Formal consultation arrangements under the 6CPA included an Agreement Oversight Committee (AOC), composed of equal representation from the Department and the Guild, and the Community Pharmacy Stakeholder Forum (CPSF) as an additional element allowing for communication with a broad range of stakeholders with an interest in the provision of pharmaceutical benefits and related matters and issues, including under the 6CPA.</w:t>
      </w:r>
    </w:p>
    <w:p w14:paraId="1C429EBD" w14:textId="77777777" w:rsidR="001615AB" w:rsidRPr="00C20287" w:rsidRDefault="001615AB" w:rsidP="001615AB">
      <w:pPr>
        <w:rPr>
          <w:sz w:val="24"/>
          <w:szCs w:val="24"/>
        </w:rPr>
      </w:pPr>
      <w:r w:rsidRPr="00C20287">
        <w:rPr>
          <w:sz w:val="24"/>
          <w:szCs w:val="24"/>
        </w:rPr>
        <w:t xml:space="preserve">In light of the ANAO Audit’s criticism of aspects of the negotiation and administration of the Fifth CPA, the 6CPA also provided for an independent </w:t>
      </w:r>
      <w:hyperlink r:id="rId8" w:history="1">
        <w:r w:rsidRPr="00C20287">
          <w:rPr>
            <w:sz w:val="24"/>
            <w:szCs w:val="24"/>
          </w:rPr>
          <w:t>Review of Pharmacy Remuneration and Regulation</w:t>
        </w:r>
      </w:hyperlink>
      <w:r w:rsidRPr="00C20287">
        <w:rPr>
          <w:sz w:val="24"/>
          <w:szCs w:val="24"/>
        </w:rPr>
        <w:t>, to be conducted within the first two years of the CPA.</w:t>
      </w:r>
    </w:p>
    <w:p w14:paraId="42D06AB6" w14:textId="77777777" w:rsidR="001615AB" w:rsidRPr="00C20287" w:rsidRDefault="001615AB" w:rsidP="001615AB">
      <w:pPr>
        <w:pStyle w:val="Heading5"/>
        <w:rPr>
          <w:b/>
          <w:color w:val="014463" w:themeColor="text2"/>
          <w:sz w:val="28"/>
          <w:szCs w:val="28"/>
        </w:rPr>
      </w:pPr>
      <w:r w:rsidRPr="00C20287">
        <w:rPr>
          <w:b/>
          <w:color w:val="014463" w:themeColor="text2"/>
          <w:sz w:val="28"/>
          <w:szCs w:val="28"/>
        </w:rPr>
        <w:t>Amended and Restated Sixth Community Pharmacy Agreement</w:t>
      </w:r>
    </w:p>
    <w:p w14:paraId="509AAED8" w14:textId="77777777" w:rsidR="001615AB" w:rsidRPr="00C20287" w:rsidRDefault="001615AB" w:rsidP="001615AB">
      <w:pPr>
        <w:rPr>
          <w:sz w:val="24"/>
          <w:szCs w:val="24"/>
        </w:rPr>
      </w:pPr>
      <w:r w:rsidRPr="00C20287">
        <w:rPr>
          <w:sz w:val="24"/>
          <w:szCs w:val="24"/>
        </w:rPr>
        <w:t xml:space="preserve">The </w:t>
      </w:r>
      <w:r w:rsidRPr="00C20287">
        <w:rPr>
          <w:i/>
          <w:iCs/>
          <w:sz w:val="24"/>
          <w:szCs w:val="24"/>
        </w:rPr>
        <w:t>2017 Strengthening PBS Compact</w:t>
      </w:r>
      <w:r w:rsidRPr="00C20287">
        <w:rPr>
          <w:sz w:val="24"/>
          <w:szCs w:val="24"/>
        </w:rPr>
        <w:t xml:space="preserve"> (Compact) was agreed between the Government and the Guild in May 2017 in response to an identified shortfall in the volume of dispensed PBS medicines against forecasts in the first year of the 6CPA. The Compact recognised the Government’s commitment to ensuring the implementation of obligations under the 6CPA and secured the support of community pharmacy in making further PBS reforms.</w:t>
      </w:r>
    </w:p>
    <w:p w14:paraId="59326F6E" w14:textId="77777777" w:rsidR="001615AB" w:rsidRPr="00C20287" w:rsidRDefault="001615AB" w:rsidP="001615AB">
      <w:pPr>
        <w:rPr>
          <w:sz w:val="24"/>
          <w:szCs w:val="24"/>
        </w:rPr>
      </w:pPr>
      <w:r w:rsidRPr="00C20287">
        <w:rPr>
          <w:sz w:val="24"/>
          <w:szCs w:val="24"/>
        </w:rPr>
        <w:t>This gave rise to the Amended and Restated Sixth Community Pharmacy Agreement (6CPA),</w:t>
      </w:r>
      <w:r w:rsidRPr="00C20287">
        <w:rPr>
          <w:rStyle w:val="FootnoteReference"/>
          <w:sz w:val="24"/>
          <w:szCs w:val="24"/>
        </w:rPr>
        <w:footnoteReference w:id="27"/>
      </w:r>
      <w:r w:rsidRPr="00C20287">
        <w:rPr>
          <w:sz w:val="24"/>
          <w:szCs w:val="24"/>
        </w:rPr>
        <w:t xml:space="preserve"> agreed between the Commonwealth and the Guild, which came into effect from 1 July 2017.</w:t>
      </w:r>
    </w:p>
    <w:p w14:paraId="7EE9BC6D" w14:textId="2608FD5C" w:rsidR="001615AB" w:rsidRPr="00C20287" w:rsidRDefault="001615AB" w:rsidP="001615AB">
      <w:pPr>
        <w:rPr>
          <w:sz w:val="24"/>
          <w:szCs w:val="24"/>
        </w:rPr>
      </w:pPr>
      <w:r w:rsidRPr="00C20287">
        <w:rPr>
          <w:sz w:val="24"/>
          <w:szCs w:val="24"/>
        </w:rPr>
        <w:t xml:space="preserve">The Amended and Restated 6CPA provided an additional $225 million in pharmacy remuneration through an adjustment to per-script remuneration applied over the remaining three years of the CPA. An additional investment of $600 million was also made for new and expanded </w:t>
      </w:r>
      <w:r w:rsidR="00903D39">
        <w:rPr>
          <w:sz w:val="24"/>
          <w:szCs w:val="24"/>
        </w:rPr>
        <w:t xml:space="preserve">CPPs </w:t>
      </w:r>
      <w:r w:rsidRPr="00C20287">
        <w:rPr>
          <w:sz w:val="24"/>
          <w:szCs w:val="24"/>
        </w:rPr>
        <w:t>through the release of funding held in the Contingency Reserve, thus committing Government to delivering the full $1.26 billion allocated to programs fund</w:t>
      </w:r>
      <w:r w:rsidR="001346EB">
        <w:rPr>
          <w:sz w:val="24"/>
          <w:szCs w:val="24"/>
        </w:rPr>
        <w:t>ed</w:t>
      </w:r>
      <w:r w:rsidRPr="00C20287">
        <w:rPr>
          <w:sz w:val="24"/>
          <w:szCs w:val="24"/>
        </w:rPr>
        <w:t xml:space="preserve"> under the 6CPA.</w:t>
      </w:r>
    </w:p>
    <w:p w14:paraId="67EEB042" w14:textId="77777777" w:rsidR="001615AB" w:rsidRPr="00C20287" w:rsidRDefault="001615AB" w:rsidP="001615AB">
      <w:pPr>
        <w:rPr>
          <w:sz w:val="24"/>
          <w:szCs w:val="24"/>
        </w:rPr>
      </w:pPr>
      <w:r w:rsidRPr="00C20287">
        <w:rPr>
          <w:sz w:val="24"/>
          <w:szCs w:val="24"/>
        </w:rPr>
        <w:t>Further, the Amended and Restated 6CPA provided a commitment by Government to the continuation of Location Rules beyond the term of the 6CPA through an amendment to the relevant sections of the Act to remove the sunset clause which would have otherwise seen the Location Rules cease upon expiry of the 6CPA (30 June 2020).</w:t>
      </w:r>
      <w:r w:rsidRPr="00C20287">
        <w:rPr>
          <w:sz w:val="24"/>
          <w:szCs w:val="24"/>
          <w:vertAlign w:val="superscript"/>
        </w:rPr>
        <w:footnoteReference w:id="28"/>
      </w:r>
    </w:p>
    <w:p w14:paraId="4AECCE2F" w14:textId="77777777" w:rsidR="001615AB" w:rsidRPr="00C20287" w:rsidRDefault="001615AB" w:rsidP="001615AB">
      <w:pPr>
        <w:pStyle w:val="Heading5"/>
        <w:rPr>
          <w:b/>
          <w:color w:val="014463" w:themeColor="text2"/>
          <w:sz w:val="28"/>
          <w:szCs w:val="28"/>
        </w:rPr>
      </w:pPr>
      <w:r w:rsidRPr="00C20287">
        <w:rPr>
          <w:b/>
          <w:color w:val="014463" w:themeColor="text2"/>
          <w:sz w:val="28"/>
          <w:szCs w:val="28"/>
        </w:rPr>
        <w:t>Seventh Community Pharmacy Agreement</w:t>
      </w:r>
    </w:p>
    <w:p w14:paraId="79AEC4BA" w14:textId="25785572" w:rsidR="001615AB" w:rsidRPr="00C20287" w:rsidRDefault="001615AB" w:rsidP="001615AB">
      <w:pPr>
        <w:rPr>
          <w:color w:val="0D0D0D" w:themeColor="text1" w:themeTint="F2"/>
          <w:sz w:val="24"/>
          <w:szCs w:val="24"/>
        </w:rPr>
      </w:pPr>
      <w:r w:rsidRPr="00C20287">
        <w:rPr>
          <w:sz w:val="24"/>
          <w:szCs w:val="24"/>
        </w:rPr>
        <w:t>The Seventh CPA (7CPA) (July 2020 – June 2025)</w:t>
      </w:r>
      <w:r w:rsidRPr="00C20287">
        <w:rPr>
          <w:rStyle w:val="FootnoteReference"/>
          <w:sz w:val="24"/>
          <w:szCs w:val="24"/>
        </w:rPr>
        <w:footnoteReference w:id="29"/>
      </w:r>
      <w:r w:rsidRPr="00C20287">
        <w:rPr>
          <w:sz w:val="24"/>
          <w:szCs w:val="24"/>
        </w:rPr>
        <w:t xml:space="preserve"> was developed to continue the work undertaken under the 6CPA and through consultation with multiple stakeholders similar to those in the 6CPA to expand the agreement’s benefits to the community. The 7CPA </w:t>
      </w:r>
      <w:r w:rsidR="00E611C4">
        <w:rPr>
          <w:sz w:val="24"/>
          <w:szCs w:val="24"/>
        </w:rPr>
        <w:t xml:space="preserve">was </w:t>
      </w:r>
      <w:r w:rsidRPr="00C20287">
        <w:rPr>
          <w:sz w:val="24"/>
          <w:szCs w:val="24"/>
        </w:rPr>
        <w:t>the first agreement with the community pharmacy sector to include the PSA as a co-signatory alongside the Commonwealth and the Guild for part of the CPA.</w:t>
      </w:r>
      <w:r w:rsidRPr="00C20287">
        <w:rPr>
          <w:color w:val="0D0D0D" w:themeColor="text1" w:themeTint="F2"/>
          <w:sz w:val="24"/>
          <w:szCs w:val="24"/>
        </w:rPr>
        <w:t xml:space="preserve"> PSA</w:t>
      </w:r>
      <w:r w:rsidRPr="00C20287">
        <w:rPr>
          <w:rStyle w:val="FootnoteReference"/>
          <w:color w:val="0D0D0D" w:themeColor="text1" w:themeTint="F2"/>
          <w:sz w:val="24"/>
          <w:szCs w:val="24"/>
        </w:rPr>
        <w:footnoteReference w:id="30"/>
      </w:r>
      <w:r w:rsidRPr="00C20287">
        <w:rPr>
          <w:color w:val="0D0D0D" w:themeColor="text1" w:themeTint="F2"/>
          <w:sz w:val="24"/>
          <w:szCs w:val="24"/>
        </w:rPr>
        <w:t xml:space="preserve"> is the peak national </w:t>
      </w:r>
      <w:r w:rsidRPr="00C20287">
        <w:rPr>
          <w:color w:val="0D0D0D" w:themeColor="text1" w:themeTint="F2"/>
          <w:sz w:val="24"/>
          <w:szCs w:val="24"/>
        </w:rPr>
        <w:lastRenderedPageBreak/>
        <w:t>professional pharmacy organisation representing all of Australia’s 36,000 pharmacists working in all sectors and across all locations.</w:t>
      </w:r>
    </w:p>
    <w:p w14:paraId="40BE03BD" w14:textId="0F4B4FE5" w:rsidR="001615AB" w:rsidRPr="00C20287" w:rsidRDefault="001615AB" w:rsidP="001615AB">
      <w:pPr>
        <w:rPr>
          <w:color w:val="0D0D0D" w:themeColor="text1" w:themeTint="F2"/>
          <w:sz w:val="24"/>
          <w:szCs w:val="24"/>
        </w:rPr>
      </w:pPr>
      <w:r w:rsidRPr="00C20287">
        <w:rPr>
          <w:color w:val="0D0D0D" w:themeColor="text1" w:themeTint="F2"/>
          <w:sz w:val="24"/>
          <w:szCs w:val="24"/>
        </w:rPr>
        <w:t xml:space="preserve">The 7CPA provides for approximately $18.35 billion over five years, comprising: $16.00 billion for pharmacy remuneration, $1.20 billion for </w:t>
      </w:r>
      <w:r w:rsidR="001346EB">
        <w:rPr>
          <w:color w:val="0D0D0D" w:themeColor="text1" w:themeTint="F2"/>
          <w:sz w:val="24"/>
          <w:szCs w:val="24"/>
        </w:rPr>
        <w:t>CPP</w:t>
      </w:r>
      <w:r w:rsidRPr="00C20287">
        <w:rPr>
          <w:color w:val="0D0D0D" w:themeColor="text1" w:themeTint="F2"/>
          <w:sz w:val="24"/>
          <w:szCs w:val="24"/>
        </w:rPr>
        <w:t>s (which was increased to $1.4 billion during the 7CPA), and $1.15 billion for CSO Funding Pool and NDSS product support arrangements through community pharmacy. Indexation of components of the dispensing remuneration w</w:t>
      </w:r>
      <w:r w:rsidR="001346EB">
        <w:rPr>
          <w:color w:val="0D0D0D" w:themeColor="text1" w:themeTint="F2"/>
          <w:sz w:val="24"/>
          <w:szCs w:val="24"/>
        </w:rPr>
        <w:t>as</w:t>
      </w:r>
      <w:r w:rsidRPr="00C20287">
        <w:rPr>
          <w:color w:val="0D0D0D" w:themeColor="text1" w:themeTint="F2"/>
          <w:sz w:val="24"/>
          <w:szCs w:val="24"/>
        </w:rPr>
        <w:t xml:space="preserve"> fixed at 0.5% for the first two years of the agreement and then reverted back to changes in CPI for the final two years</w:t>
      </w:r>
      <w:r w:rsidR="00903D39">
        <w:rPr>
          <w:color w:val="0D0D0D" w:themeColor="text1" w:themeTint="F2"/>
          <w:sz w:val="24"/>
          <w:szCs w:val="24"/>
        </w:rPr>
        <w:t>,</w:t>
      </w:r>
      <w:r w:rsidRPr="00C20287">
        <w:rPr>
          <w:color w:val="0D0D0D" w:themeColor="text1" w:themeTint="F2"/>
          <w:sz w:val="24"/>
          <w:szCs w:val="24"/>
        </w:rPr>
        <w:t xml:space="preserve"> similar to that introduced in the 6CPA.</w:t>
      </w:r>
    </w:p>
    <w:p w14:paraId="54A2405A" w14:textId="77777777" w:rsidR="001615AB" w:rsidRPr="00C20287" w:rsidRDefault="001615AB" w:rsidP="001615AB">
      <w:pPr>
        <w:rPr>
          <w:color w:val="0D0D0D" w:themeColor="text1" w:themeTint="F2"/>
          <w:sz w:val="24"/>
          <w:szCs w:val="24"/>
        </w:rPr>
      </w:pPr>
      <w:r w:rsidRPr="00C20287">
        <w:rPr>
          <w:color w:val="0D0D0D" w:themeColor="text1" w:themeTint="F2"/>
          <w:sz w:val="24"/>
          <w:szCs w:val="24"/>
        </w:rPr>
        <w:t>New or revised activities within the 7CPA included:</w:t>
      </w:r>
    </w:p>
    <w:p w14:paraId="6F8B9C9A" w14:textId="77777777" w:rsidR="001615AB" w:rsidRPr="00C20287" w:rsidRDefault="001615AB" w:rsidP="0095671A">
      <w:pPr>
        <w:pStyle w:val="ListParagraph"/>
        <w:numPr>
          <w:ilvl w:val="0"/>
          <w:numId w:val="24"/>
        </w:numPr>
        <w:spacing w:after="0"/>
        <w:rPr>
          <w:color w:val="0D0D0D" w:themeColor="text1" w:themeTint="F2"/>
          <w:sz w:val="24"/>
          <w:szCs w:val="24"/>
        </w:rPr>
      </w:pPr>
      <w:r w:rsidRPr="00C20287">
        <w:rPr>
          <w:color w:val="0D0D0D" w:themeColor="text1" w:themeTint="F2"/>
          <w:sz w:val="24"/>
          <w:szCs w:val="24"/>
        </w:rPr>
        <w:t>continued government investment in professional pharmacy programs aimed at supporting the quality use of medicines, including the safe and effective use of medicines</w:t>
      </w:r>
    </w:p>
    <w:p w14:paraId="5A03ACF7" w14:textId="1472AA6B" w:rsidR="001615AB" w:rsidRPr="00C20287" w:rsidRDefault="001615AB" w:rsidP="0095671A">
      <w:pPr>
        <w:pStyle w:val="ListParagraph"/>
        <w:numPr>
          <w:ilvl w:val="1"/>
          <w:numId w:val="24"/>
        </w:numPr>
        <w:spacing w:after="0"/>
        <w:rPr>
          <w:color w:val="0D0D0D" w:themeColor="text1" w:themeTint="F2"/>
          <w:sz w:val="24"/>
          <w:szCs w:val="24"/>
        </w:rPr>
      </w:pPr>
      <w:r w:rsidRPr="00C20287">
        <w:rPr>
          <w:color w:val="0D0D0D" w:themeColor="text1" w:themeTint="F2"/>
          <w:sz w:val="24"/>
          <w:szCs w:val="24"/>
        </w:rPr>
        <w:t>the professional pharmacy programs known as the CPP can largely be classified across the following categories: Medication Adherence programs, Medication Management programs, Rural Support programs, and Aboriginal and Torres Strait Islander specific programs</w:t>
      </w:r>
    </w:p>
    <w:p w14:paraId="5A0F64A8" w14:textId="77777777" w:rsidR="001615AB" w:rsidRPr="00C20287" w:rsidRDefault="001615AB" w:rsidP="0095671A">
      <w:pPr>
        <w:pStyle w:val="ListParagraph"/>
        <w:numPr>
          <w:ilvl w:val="0"/>
          <w:numId w:val="24"/>
        </w:numPr>
        <w:spacing w:after="0"/>
        <w:rPr>
          <w:color w:val="0D0D0D" w:themeColor="text1" w:themeTint="F2"/>
          <w:sz w:val="24"/>
          <w:szCs w:val="24"/>
        </w:rPr>
      </w:pPr>
      <w:r w:rsidRPr="00C20287">
        <w:rPr>
          <w:color w:val="0D0D0D" w:themeColor="text1" w:themeTint="F2"/>
          <w:sz w:val="24"/>
          <w:szCs w:val="24"/>
        </w:rPr>
        <w:t>increased government investment, program reform and increased access to PBS medicines and pharmacy services for Aboriginal and Torres Strait Islander people and older Australians</w:t>
      </w:r>
    </w:p>
    <w:p w14:paraId="1B957493" w14:textId="77777777" w:rsidR="001615AB" w:rsidRPr="00C20287" w:rsidRDefault="001615AB" w:rsidP="0095671A">
      <w:pPr>
        <w:pStyle w:val="ListParagraph"/>
        <w:numPr>
          <w:ilvl w:val="0"/>
          <w:numId w:val="24"/>
        </w:numPr>
        <w:spacing w:after="0"/>
        <w:rPr>
          <w:color w:val="0D0D0D" w:themeColor="text1" w:themeTint="F2"/>
          <w:sz w:val="24"/>
          <w:szCs w:val="24"/>
        </w:rPr>
      </w:pPr>
      <w:r w:rsidRPr="00C20287">
        <w:rPr>
          <w:color w:val="0D0D0D" w:themeColor="text1" w:themeTint="F2"/>
          <w:sz w:val="24"/>
          <w:szCs w:val="24"/>
        </w:rPr>
        <w:t xml:space="preserve">increased support for the rural and remote pharmacy network </w:t>
      </w:r>
    </w:p>
    <w:p w14:paraId="4FA5E253" w14:textId="0E008099" w:rsidR="001615AB" w:rsidRPr="00C20287" w:rsidRDefault="001615AB" w:rsidP="0095671A">
      <w:pPr>
        <w:pStyle w:val="ListParagraph"/>
        <w:numPr>
          <w:ilvl w:val="0"/>
          <w:numId w:val="24"/>
        </w:numPr>
        <w:spacing w:after="0"/>
      </w:pPr>
      <w:r w:rsidRPr="00C20287">
        <w:rPr>
          <w:color w:val="0D0D0D" w:themeColor="text1" w:themeTint="F2"/>
          <w:sz w:val="24"/>
          <w:szCs w:val="24"/>
        </w:rPr>
        <w:t xml:space="preserve">greater transparency in program administration, governance and the use of public funds and a more </w:t>
      </w:r>
      <w:r w:rsidRPr="009B5036">
        <w:rPr>
          <w:color w:val="0D0D0D" w:themeColor="text1" w:themeTint="F2"/>
          <w:sz w:val="24"/>
          <w:szCs w:val="24"/>
        </w:rPr>
        <w:t>inclusive level of representation across stakeholder groups in addition to the pharmacy sector</w:t>
      </w:r>
      <w:r w:rsidR="009B5036" w:rsidRPr="009B5036">
        <w:rPr>
          <w:sz w:val="24"/>
          <w:szCs w:val="24"/>
        </w:rPr>
        <w:t xml:space="preserve"> and</w:t>
      </w:r>
    </w:p>
    <w:p w14:paraId="29E86976" w14:textId="77777777" w:rsidR="001615AB" w:rsidRPr="00C20287" w:rsidRDefault="001615AB" w:rsidP="0095671A">
      <w:pPr>
        <w:pStyle w:val="ListParagraph"/>
        <w:numPr>
          <w:ilvl w:val="0"/>
          <w:numId w:val="24"/>
        </w:numPr>
        <w:ind w:left="714" w:hanging="357"/>
        <w:contextualSpacing w:val="0"/>
      </w:pPr>
      <w:r w:rsidRPr="00C20287">
        <w:rPr>
          <w:color w:val="0D0D0D" w:themeColor="text1" w:themeTint="F2"/>
          <w:sz w:val="24"/>
          <w:szCs w:val="24"/>
        </w:rPr>
        <w:t>a risk-share mechanism to provide a level of certainty and predictability for</w:t>
      </w:r>
      <w:r>
        <w:rPr>
          <w:color w:val="0D0D0D" w:themeColor="text1" w:themeTint="F2"/>
          <w:sz w:val="24"/>
          <w:szCs w:val="24"/>
        </w:rPr>
        <w:t xml:space="preserve"> the</w:t>
      </w:r>
      <w:r w:rsidRPr="00C20287">
        <w:rPr>
          <w:color w:val="0D0D0D" w:themeColor="text1" w:themeTint="F2"/>
          <w:sz w:val="24"/>
          <w:szCs w:val="24"/>
        </w:rPr>
        <w:t xml:space="preserve"> pharmacy sector for PBS dispensing remuneration and some budget certainty for the Commonwealth.</w:t>
      </w:r>
    </w:p>
    <w:p w14:paraId="44F7CB27" w14:textId="0F577CD5" w:rsidR="001615AB" w:rsidRPr="00EE1495" w:rsidRDefault="00FC0E4B" w:rsidP="00EE1495">
      <w:r>
        <w:rPr>
          <w:sz w:val="24"/>
          <w:szCs w:val="24"/>
        </w:rPr>
        <w:t>T</w:t>
      </w:r>
      <w:r w:rsidR="001615AB" w:rsidRPr="00C20287">
        <w:rPr>
          <w:sz w:val="24"/>
          <w:szCs w:val="24"/>
        </w:rPr>
        <w:t xml:space="preserve">he 7CPA </w:t>
      </w:r>
      <w:r>
        <w:rPr>
          <w:sz w:val="24"/>
          <w:szCs w:val="24"/>
        </w:rPr>
        <w:t>did not include</w:t>
      </w:r>
      <w:r w:rsidR="001615AB" w:rsidRPr="00C20287">
        <w:rPr>
          <w:sz w:val="24"/>
          <w:szCs w:val="24"/>
        </w:rPr>
        <w:t xml:space="preserve"> Location R</w:t>
      </w:r>
      <w:r>
        <w:rPr>
          <w:sz w:val="24"/>
          <w:szCs w:val="24"/>
        </w:rPr>
        <w:t xml:space="preserve">ules but </w:t>
      </w:r>
      <w:r w:rsidRPr="00C20287">
        <w:rPr>
          <w:sz w:val="24"/>
          <w:szCs w:val="24"/>
        </w:rPr>
        <w:t>contains an undertaking that the Commonwealth has no intention to change the Location Rules during the 7CPA term.</w:t>
      </w:r>
      <w:r>
        <w:rPr>
          <w:sz w:val="24"/>
          <w:szCs w:val="24"/>
        </w:rPr>
        <w:t xml:space="preserve"> This was in recognition of the</w:t>
      </w:r>
      <w:r w:rsidR="001615AB" w:rsidRPr="00C20287">
        <w:rPr>
          <w:sz w:val="24"/>
          <w:szCs w:val="24"/>
        </w:rPr>
        <w:t xml:space="preserve"> sunsetting arrangements </w:t>
      </w:r>
      <w:r>
        <w:rPr>
          <w:sz w:val="24"/>
          <w:szCs w:val="24"/>
        </w:rPr>
        <w:t>for Location Rules having been r</w:t>
      </w:r>
      <w:r w:rsidR="001615AB" w:rsidRPr="00C20287">
        <w:rPr>
          <w:sz w:val="24"/>
          <w:szCs w:val="24"/>
        </w:rPr>
        <w:t>emoved under the National Health (Australian Community Pharmacy Authority Rules) Determination 2018 (PB 46 of 2018), made under section 99L of the Act during the term of the 6CPA.</w:t>
      </w:r>
      <w:r w:rsidR="00204547">
        <w:rPr>
          <w:sz w:val="24"/>
          <w:szCs w:val="24"/>
        </w:rPr>
        <w:t xml:space="preserve"> </w:t>
      </w:r>
    </w:p>
    <w:p w14:paraId="71DEFCD6" w14:textId="3D15ECAF" w:rsidR="00B71E77" w:rsidRPr="00EE1495" w:rsidRDefault="00B71E77" w:rsidP="0095671A">
      <w:pPr>
        <w:pStyle w:val="Heading3"/>
        <w:numPr>
          <w:ilvl w:val="1"/>
          <w:numId w:val="15"/>
        </w:numPr>
      </w:pPr>
      <w:bookmarkStart w:id="34" w:name="_Toc168652729"/>
      <w:r>
        <w:t>Pharmacy r</w:t>
      </w:r>
      <w:r w:rsidRPr="00C20287">
        <w:t xml:space="preserve">egulation </w:t>
      </w:r>
      <w:r>
        <w:t xml:space="preserve">outside of the </w:t>
      </w:r>
      <w:r w:rsidRPr="00C20287">
        <w:t>CPA</w:t>
      </w:r>
      <w:bookmarkEnd w:id="34"/>
    </w:p>
    <w:p w14:paraId="129695EE" w14:textId="42099825" w:rsidR="00B71E77" w:rsidRPr="00EE1495" w:rsidRDefault="000B4026" w:rsidP="00B71E77">
      <w:pPr>
        <w:rPr>
          <w:sz w:val="24"/>
          <w:szCs w:val="24"/>
        </w:rPr>
      </w:pPr>
      <w:r>
        <w:rPr>
          <w:sz w:val="24"/>
          <w:szCs w:val="24"/>
        </w:rPr>
        <w:t>C</w:t>
      </w:r>
      <w:r w:rsidRPr="00654772">
        <w:rPr>
          <w:sz w:val="24"/>
          <w:szCs w:val="24"/>
        </w:rPr>
        <w:t>ommunity pharmacies operate in a complex regulatory</w:t>
      </w:r>
      <w:r>
        <w:rPr>
          <w:sz w:val="24"/>
          <w:szCs w:val="24"/>
        </w:rPr>
        <w:t xml:space="preserve"> </w:t>
      </w:r>
      <w:r w:rsidRPr="00654772">
        <w:rPr>
          <w:sz w:val="24"/>
          <w:szCs w:val="24"/>
        </w:rPr>
        <w:t>environment with longstanding restrictions on location, ownership, and pricing of PBS</w:t>
      </w:r>
      <w:r>
        <w:rPr>
          <w:sz w:val="24"/>
          <w:szCs w:val="24"/>
        </w:rPr>
        <w:t xml:space="preserve"> </w:t>
      </w:r>
      <w:r w:rsidRPr="00654772">
        <w:rPr>
          <w:sz w:val="24"/>
          <w:szCs w:val="24"/>
        </w:rPr>
        <w:t>medicines.</w:t>
      </w:r>
      <w:r>
        <w:rPr>
          <w:sz w:val="24"/>
          <w:szCs w:val="24"/>
        </w:rPr>
        <w:t xml:space="preserve"> </w:t>
      </w:r>
      <w:r w:rsidR="00D01D7F">
        <w:rPr>
          <w:color w:val="0D0D0D" w:themeColor="text1" w:themeTint="F2"/>
          <w:sz w:val="24"/>
          <w:szCs w:val="24"/>
        </w:rPr>
        <w:t>T</w:t>
      </w:r>
      <w:r w:rsidR="00B71E77" w:rsidRPr="00C20287">
        <w:rPr>
          <w:color w:val="0D0D0D" w:themeColor="text1" w:themeTint="F2"/>
          <w:sz w:val="24"/>
          <w:szCs w:val="24"/>
        </w:rPr>
        <w:t>wo significant areas of regulation relating to community pharmacy</w:t>
      </w:r>
      <w:r w:rsidR="009D1112">
        <w:rPr>
          <w:color w:val="0D0D0D" w:themeColor="text1" w:themeTint="F2"/>
          <w:sz w:val="24"/>
          <w:szCs w:val="24"/>
        </w:rPr>
        <w:t>, that do not from part of the CPA</w:t>
      </w:r>
      <w:r w:rsidR="00B71E77" w:rsidRPr="00C20287">
        <w:rPr>
          <w:color w:val="0D0D0D" w:themeColor="text1" w:themeTint="F2"/>
          <w:sz w:val="24"/>
          <w:szCs w:val="24"/>
        </w:rPr>
        <w:t xml:space="preserve"> are pharmacy ownership rules, which are regulated by state and territory governments under state and territory legislation, and location rules which </w:t>
      </w:r>
      <w:r w:rsidR="00721A40">
        <w:rPr>
          <w:color w:val="0D0D0D" w:themeColor="text1" w:themeTint="F2"/>
          <w:sz w:val="24"/>
          <w:szCs w:val="24"/>
        </w:rPr>
        <w:t xml:space="preserve">since 2018 </w:t>
      </w:r>
      <w:r w:rsidR="00B71E77" w:rsidRPr="00C20287">
        <w:rPr>
          <w:color w:val="0D0D0D" w:themeColor="text1" w:themeTint="F2"/>
          <w:sz w:val="24"/>
          <w:szCs w:val="24"/>
        </w:rPr>
        <w:t xml:space="preserve">are legislated under Commonwealth laws. </w:t>
      </w:r>
      <w:r w:rsidR="009E4CD2">
        <w:rPr>
          <w:color w:val="0D0D0D" w:themeColor="text1" w:themeTint="F2"/>
          <w:sz w:val="24"/>
          <w:szCs w:val="24"/>
        </w:rPr>
        <w:t>T</w:t>
      </w:r>
      <w:r w:rsidR="009D1112">
        <w:rPr>
          <w:color w:val="0D0D0D" w:themeColor="text1" w:themeTint="F2"/>
          <w:sz w:val="24"/>
          <w:szCs w:val="24"/>
        </w:rPr>
        <w:t>he</w:t>
      </w:r>
      <w:r w:rsidR="002A31E3">
        <w:rPr>
          <w:color w:val="0D0D0D" w:themeColor="text1" w:themeTint="F2"/>
          <w:sz w:val="24"/>
          <w:szCs w:val="24"/>
        </w:rPr>
        <w:t>se</w:t>
      </w:r>
      <w:r w:rsidR="009D1112">
        <w:rPr>
          <w:color w:val="0D0D0D" w:themeColor="text1" w:themeTint="F2"/>
          <w:sz w:val="24"/>
          <w:szCs w:val="24"/>
        </w:rPr>
        <w:t xml:space="preserve"> a</w:t>
      </w:r>
      <w:r w:rsidR="002A31E3">
        <w:rPr>
          <w:color w:val="0D0D0D" w:themeColor="text1" w:themeTint="F2"/>
          <w:sz w:val="24"/>
          <w:szCs w:val="24"/>
        </w:rPr>
        <w:t>rrangements o</w:t>
      </w:r>
      <w:r w:rsidR="009D1112">
        <w:rPr>
          <w:color w:val="0D0D0D" w:themeColor="text1" w:themeTint="F2"/>
          <w:sz w:val="24"/>
          <w:szCs w:val="24"/>
        </w:rPr>
        <w:t xml:space="preserve">perate independently of the CPA </w:t>
      </w:r>
      <w:r w:rsidR="009E4CD2">
        <w:rPr>
          <w:color w:val="0D0D0D" w:themeColor="text1" w:themeTint="F2"/>
          <w:sz w:val="24"/>
          <w:szCs w:val="24"/>
        </w:rPr>
        <w:t xml:space="preserve">and </w:t>
      </w:r>
      <w:r w:rsidR="002A31E3">
        <w:rPr>
          <w:color w:val="0D0D0D" w:themeColor="text1" w:themeTint="F2"/>
          <w:sz w:val="24"/>
          <w:szCs w:val="24"/>
        </w:rPr>
        <w:t>are not considered in the options for this proposal.</w:t>
      </w:r>
    </w:p>
    <w:p w14:paraId="36028C6D" w14:textId="77777777" w:rsidR="00B71E77" w:rsidRPr="00C20287" w:rsidRDefault="00B71E77" w:rsidP="00B71E77">
      <w:pPr>
        <w:pStyle w:val="Heading5"/>
        <w:rPr>
          <w:b/>
          <w:color w:val="014463" w:themeColor="text2"/>
          <w:sz w:val="28"/>
          <w:szCs w:val="28"/>
        </w:rPr>
      </w:pPr>
      <w:r w:rsidRPr="00C20287">
        <w:rPr>
          <w:b/>
          <w:color w:val="014463" w:themeColor="text2"/>
          <w:sz w:val="28"/>
          <w:szCs w:val="28"/>
        </w:rPr>
        <w:lastRenderedPageBreak/>
        <w:t>Community pharmacy ownership rules</w:t>
      </w:r>
    </w:p>
    <w:p w14:paraId="1AD1F795" w14:textId="196021F4" w:rsidR="00B71E77" w:rsidRPr="00C20287" w:rsidRDefault="00B71E77" w:rsidP="00B71E77">
      <w:r w:rsidRPr="00C20287">
        <w:rPr>
          <w:color w:val="0D0D0D" w:themeColor="text1" w:themeTint="F2"/>
          <w:sz w:val="24"/>
          <w:szCs w:val="24"/>
        </w:rPr>
        <w:t xml:space="preserve">Each state and territory government is responsible for determining the laws relating to the establishment and operation of pharmacies, including who may own a pharmacy. As these are not areas of Commonwealth legislative authority or responsibility, they have not featured in CPAs. A summary of the </w:t>
      </w:r>
      <w:r w:rsidR="002B1662">
        <w:rPr>
          <w:color w:val="0D0D0D" w:themeColor="text1" w:themeTint="F2"/>
          <w:sz w:val="24"/>
          <w:szCs w:val="24"/>
        </w:rPr>
        <w:t xml:space="preserve">existing </w:t>
      </w:r>
      <w:r w:rsidRPr="00C20287">
        <w:rPr>
          <w:color w:val="0D0D0D" w:themeColor="text1" w:themeTint="F2"/>
          <w:sz w:val="24"/>
          <w:szCs w:val="24"/>
        </w:rPr>
        <w:t>ownership rules including who can have a pecuniary interest in a pharmacy and how many an individual or company can own or have a financial in</w:t>
      </w:r>
      <w:r w:rsidR="00E97F25">
        <w:rPr>
          <w:color w:val="0D0D0D" w:themeColor="text1" w:themeTint="F2"/>
          <w:sz w:val="24"/>
          <w:szCs w:val="24"/>
        </w:rPr>
        <w:t>terest is included at Appendix 3</w:t>
      </w:r>
      <w:r w:rsidRPr="00C20287">
        <w:rPr>
          <w:color w:val="0D0D0D" w:themeColor="text1" w:themeTint="F2"/>
          <w:sz w:val="24"/>
          <w:szCs w:val="24"/>
        </w:rPr>
        <w:t>.</w:t>
      </w:r>
    </w:p>
    <w:p w14:paraId="0413DBA2" w14:textId="77777777" w:rsidR="00B71E77" w:rsidRPr="00C20287" w:rsidRDefault="00B71E77" w:rsidP="00B71E77">
      <w:pPr>
        <w:pStyle w:val="Heading5"/>
        <w:rPr>
          <w:b/>
          <w:color w:val="014463" w:themeColor="text2"/>
          <w:sz w:val="28"/>
          <w:szCs w:val="28"/>
        </w:rPr>
      </w:pPr>
      <w:r w:rsidRPr="00C20287">
        <w:rPr>
          <w:b/>
          <w:color w:val="014463" w:themeColor="text2"/>
          <w:sz w:val="28"/>
          <w:szCs w:val="28"/>
        </w:rPr>
        <w:t>Community pharmacy location rules</w:t>
      </w:r>
    </w:p>
    <w:p w14:paraId="3887EF0E" w14:textId="6F35A03F" w:rsidR="00B71E77" w:rsidRPr="00C20287" w:rsidRDefault="00B71E77" w:rsidP="00B71E77">
      <w:pPr>
        <w:rPr>
          <w:sz w:val="24"/>
          <w:szCs w:val="24"/>
        </w:rPr>
      </w:pPr>
      <w:r w:rsidRPr="00C20287">
        <w:rPr>
          <w:sz w:val="24"/>
          <w:szCs w:val="24"/>
        </w:rPr>
        <w:t xml:space="preserve">All community pharmacies (approved pharmacies) are subject to a set of location rules which govern where individual pharmacies can be established or relocated. Section 90 of the Act provides for the Secretary of the Department (or their delegate) to approve a pharmacist to supply </w:t>
      </w:r>
      <w:r w:rsidR="00721A40">
        <w:rPr>
          <w:sz w:val="24"/>
          <w:szCs w:val="24"/>
        </w:rPr>
        <w:t xml:space="preserve">PBS medicines </w:t>
      </w:r>
      <w:r w:rsidRPr="00C20287">
        <w:rPr>
          <w:sz w:val="24"/>
          <w:szCs w:val="24"/>
        </w:rPr>
        <w:t xml:space="preserve">at particular premises. </w:t>
      </w:r>
      <w:r w:rsidR="00721A40">
        <w:rPr>
          <w:sz w:val="24"/>
          <w:szCs w:val="24"/>
        </w:rPr>
        <w:t xml:space="preserve">PBS medicines </w:t>
      </w:r>
      <w:r w:rsidRPr="00C20287">
        <w:rPr>
          <w:sz w:val="24"/>
          <w:szCs w:val="24"/>
        </w:rPr>
        <w:t>are drugs or medicinal preparations for which benefits will be paid by the Commonwealth. The Secretary can generally only approve a pharmacist if the Australian Community Pharmacy Authority (the Authority) has recommended approval, and the pharmacist is permitted under the relevant State or Territory law to carry on business as a pharmacist.</w:t>
      </w:r>
      <w:r w:rsidRPr="00C20287">
        <w:rPr>
          <w:rStyle w:val="FootnoteReference"/>
          <w:sz w:val="24"/>
          <w:szCs w:val="24"/>
        </w:rPr>
        <w:footnoteReference w:id="31"/>
      </w:r>
      <w:r w:rsidRPr="00C20287">
        <w:rPr>
          <w:sz w:val="24"/>
          <w:szCs w:val="24"/>
        </w:rPr>
        <w:t xml:space="preserve"> The Authority makes its recommendations based on the Pharmacy Location Rules (the Rules) as outlined below.</w:t>
      </w:r>
    </w:p>
    <w:p w14:paraId="51EAC45A" w14:textId="775173DD" w:rsidR="00B71E77" w:rsidRPr="00C20287" w:rsidRDefault="00B71E77" w:rsidP="00B71E77">
      <w:pPr>
        <w:rPr>
          <w:sz w:val="24"/>
          <w:szCs w:val="24"/>
        </w:rPr>
      </w:pPr>
      <w:r w:rsidRPr="00C20287">
        <w:rPr>
          <w:sz w:val="24"/>
          <w:szCs w:val="24"/>
        </w:rPr>
        <w:t xml:space="preserve">The Rules are legislated under the </w:t>
      </w:r>
      <w:r w:rsidRPr="00C20287">
        <w:rPr>
          <w:i/>
          <w:sz w:val="24"/>
          <w:szCs w:val="24"/>
        </w:rPr>
        <w:t>National Health (Australian Community Pharmacy Authority Rules) Determination 2018 (PB 46 of 2018)</w:t>
      </w:r>
      <w:r w:rsidRPr="00C20287">
        <w:rPr>
          <w:rStyle w:val="FootnoteReference"/>
          <w:sz w:val="24"/>
          <w:szCs w:val="24"/>
        </w:rPr>
        <w:footnoteReference w:id="32"/>
      </w:r>
      <w:r w:rsidRPr="00C20287">
        <w:rPr>
          <w:sz w:val="24"/>
          <w:szCs w:val="24"/>
        </w:rPr>
        <w:t xml:space="preserve"> (the Rules), made under section 99L of the Act. Prior to the passing of legislation the Rules were included in successive CPAs from the first CPA in 1990.</w:t>
      </w:r>
    </w:p>
    <w:p w14:paraId="367B897C" w14:textId="77777777" w:rsidR="00B71E77" w:rsidRPr="00C20287" w:rsidRDefault="00B71E77" w:rsidP="00B71E77">
      <w:pPr>
        <w:rPr>
          <w:sz w:val="24"/>
          <w:szCs w:val="24"/>
        </w:rPr>
      </w:pPr>
      <w:r w:rsidRPr="00C20287">
        <w:rPr>
          <w:sz w:val="24"/>
          <w:szCs w:val="24"/>
        </w:rPr>
        <w:t>The Rules set out location-based criteria which must be met in order for the Authority to recommend approval of a pharmacist. The Authority cannot override the requirements of the Rules. It can only recommend that an application be approved if it is satisfied that all of the requirements of the item of the Rules, under which the application was made, have been met. Similarly, the Authority is unable to recommend that an application be approved if it is not satisfied that each of the requirements has been met.</w:t>
      </w:r>
    </w:p>
    <w:p w14:paraId="3C563D41" w14:textId="5E218C81" w:rsidR="00B71E77" w:rsidRPr="00C20287" w:rsidRDefault="00B71E77" w:rsidP="00B71E77">
      <w:pPr>
        <w:rPr>
          <w:sz w:val="24"/>
          <w:szCs w:val="24"/>
        </w:rPr>
      </w:pPr>
      <w:r w:rsidRPr="00C20287">
        <w:rPr>
          <w:sz w:val="24"/>
          <w:szCs w:val="24"/>
        </w:rPr>
        <w:t xml:space="preserve">The Rules remain consistent with the overall objective of the </w:t>
      </w:r>
      <w:r w:rsidR="001346EB">
        <w:rPr>
          <w:sz w:val="24"/>
          <w:szCs w:val="24"/>
        </w:rPr>
        <w:t>NPP</w:t>
      </w:r>
      <w:r w:rsidRPr="00C20287">
        <w:rPr>
          <w:sz w:val="24"/>
          <w:szCs w:val="24"/>
        </w:rPr>
        <w:t xml:space="preserve"> to improve the health outcomes of all Australians through equitable access to and quality use of medicines.</w:t>
      </w:r>
    </w:p>
    <w:p w14:paraId="002B768B" w14:textId="181B7A47" w:rsidR="003A0EA8" w:rsidRPr="002F3FBC" w:rsidRDefault="003A0EA8" w:rsidP="003A0EA8">
      <w:pPr>
        <w:pStyle w:val="Heading3"/>
      </w:pPr>
      <w:bookmarkStart w:id="35" w:name="_Toc168652730"/>
      <w:bookmarkEnd w:id="31"/>
      <w:r w:rsidRPr="002F3FBC">
        <w:t>1.</w:t>
      </w:r>
      <w:r w:rsidR="00793FC4">
        <w:t>6</w:t>
      </w:r>
      <w:r>
        <w:tab/>
      </w:r>
      <w:r w:rsidRPr="002F3FBC">
        <w:t xml:space="preserve"> 60 Day dispensing</w:t>
      </w:r>
      <w:bookmarkEnd w:id="35"/>
    </w:p>
    <w:p w14:paraId="1E6F67FF" w14:textId="74B30933" w:rsidR="003A0EA8" w:rsidRPr="00626CD9" w:rsidRDefault="003A0EA8" w:rsidP="003A0EA8">
      <w:pPr>
        <w:rPr>
          <w:sz w:val="24"/>
          <w:szCs w:val="24"/>
        </w:rPr>
      </w:pPr>
      <w:r>
        <w:rPr>
          <w:sz w:val="24"/>
          <w:szCs w:val="24"/>
        </w:rPr>
        <w:t xml:space="preserve">On 1 September 2023 </w:t>
      </w:r>
      <w:r w:rsidRPr="00626CD9">
        <w:rPr>
          <w:sz w:val="24"/>
          <w:szCs w:val="24"/>
        </w:rPr>
        <w:t xml:space="preserve">reforms to the maximum dispensing quantities </w:t>
      </w:r>
      <w:r w:rsidR="00267A5A">
        <w:rPr>
          <w:sz w:val="24"/>
          <w:szCs w:val="24"/>
        </w:rPr>
        <w:t xml:space="preserve">(MDQ) </w:t>
      </w:r>
      <w:r w:rsidRPr="00626CD9">
        <w:rPr>
          <w:sz w:val="24"/>
          <w:szCs w:val="24"/>
        </w:rPr>
        <w:t>of certain medicines to PBS listings recommended by the PBAC (also known as 60 day prescribing or 60</w:t>
      </w:r>
      <w:r w:rsidR="002F2F9E">
        <w:rPr>
          <w:sz w:val="24"/>
          <w:szCs w:val="24"/>
        </w:rPr>
        <w:t> </w:t>
      </w:r>
      <w:r w:rsidRPr="00626CD9">
        <w:rPr>
          <w:sz w:val="24"/>
          <w:szCs w:val="24"/>
        </w:rPr>
        <w:t>day dispensing)</w:t>
      </w:r>
      <w:r>
        <w:rPr>
          <w:sz w:val="24"/>
          <w:szCs w:val="24"/>
        </w:rPr>
        <w:t xml:space="preserve"> were implemented</w:t>
      </w:r>
      <w:r w:rsidRPr="00626CD9">
        <w:rPr>
          <w:sz w:val="24"/>
          <w:szCs w:val="24"/>
        </w:rPr>
        <w:t>.</w:t>
      </w:r>
      <w:r>
        <w:rPr>
          <w:sz w:val="24"/>
          <w:szCs w:val="24"/>
        </w:rPr>
        <w:t xml:space="preserve"> This change will reduce the amount people pay for medicines and mean fewer visits to the doctor and pharmacist. </w:t>
      </w:r>
      <w:r w:rsidRPr="00C20287">
        <w:rPr>
          <w:rFonts w:eastAsiaTheme="majorEastAsia" w:cs="Arial"/>
          <w:bCs/>
          <w:color w:val="0D0D0D" w:themeColor="text1" w:themeTint="F2"/>
          <w:sz w:val="24"/>
          <w:szCs w:val="24"/>
        </w:rPr>
        <w:t>The implementation of 60-day dispensing is occurring over three phases in 12 months</w:t>
      </w:r>
      <w:r w:rsidR="00204547">
        <w:rPr>
          <w:rFonts w:eastAsiaTheme="majorEastAsia" w:cs="Arial"/>
          <w:bCs/>
          <w:color w:val="0D0D0D" w:themeColor="text1" w:themeTint="F2"/>
          <w:sz w:val="24"/>
          <w:szCs w:val="24"/>
        </w:rPr>
        <w:t>.</w:t>
      </w:r>
    </w:p>
    <w:p w14:paraId="32F56FA4" w14:textId="7FD003F5" w:rsidR="003A0EA8" w:rsidRPr="00C20287" w:rsidRDefault="003A0EA8" w:rsidP="003A0EA8">
      <w:pPr>
        <w:rPr>
          <w:rFonts w:eastAsiaTheme="majorEastAsia" w:cs="Arial"/>
          <w:bCs/>
          <w:color w:val="0D0D0D" w:themeColor="text1" w:themeTint="F2"/>
          <w:sz w:val="24"/>
          <w:szCs w:val="24"/>
        </w:rPr>
      </w:pPr>
      <w:r w:rsidRPr="00C20287">
        <w:rPr>
          <w:color w:val="0D0D0D" w:themeColor="text1" w:themeTint="F2"/>
          <w:sz w:val="24"/>
          <w:szCs w:val="24"/>
        </w:rPr>
        <w:t>In the 2023-24 Budget, alo</w:t>
      </w:r>
      <w:r>
        <w:rPr>
          <w:color w:val="0D0D0D" w:themeColor="text1" w:themeTint="F2"/>
          <w:sz w:val="24"/>
          <w:szCs w:val="24"/>
        </w:rPr>
        <w:t>ng with the dispensing changes,</w:t>
      </w:r>
      <w:r w:rsidRPr="00C20287">
        <w:rPr>
          <w:color w:val="0D0D0D" w:themeColor="text1" w:themeTint="F2"/>
          <w:sz w:val="24"/>
          <w:szCs w:val="24"/>
        </w:rPr>
        <w:t xml:space="preserve"> the Government committed an additional $654.9 million over four years</w:t>
      </w:r>
      <w:r w:rsidRPr="00C20287">
        <w:rPr>
          <w:rFonts w:eastAsiaTheme="majorEastAsia" w:cs="Arial"/>
          <w:bCs/>
          <w:color w:val="0D0D0D" w:themeColor="text1" w:themeTint="F2"/>
          <w:sz w:val="24"/>
          <w:szCs w:val="24"/>
        </w:rPr>
        <w:t xml:space="preserve"> for </w:t>
      </w:r>
      <w:r w:rsidR="001346EB">
        <w:rPr>
          <w:rFonts w:eastAsiaTheme="majorEastAsia" w:cs="Arial"/>
          <w:bCs/>
          <w:color w:val="0D0D0D" w:themeColor="text1" w:themeTint="F2"/>
          <w:sz w:val="24"/>
          <w:szCs w:val="24"/>
        </w:rPr>
        <w:t>CPPs</w:t>
      </w:r>
      <w:r w:rsidRPr="00C20287">
        <w:rPr>
          <w:rFonts w:eastAsiaTheme="majorEastAsia" w:cs="Arial"/>
          <w:bCs/>
          <w:color w:val="0D0D0D" w:themeColor="text1" w:themeTint="F2"/>
          <w:sz w:val="24"/>
          <w:szCs w:val="24"/>
        </w:rPr>
        <w:t xml:space="preserve">. This included increasing the total budget </w:t>
      </w:r>
      <w:r w:rsidRPr="00C20287">
        <w:rPr>
          <w:rFonts w:eastAsiaTheme="majorEastAsia" w:cs="Arial"/>
          <w:bCs/>
          <w:color w:val="0D0D0D" w:themeColor="text1" w:themeTint="F2"/>
          <w:sz w:val="24"/>
          <w:szCs w:val="24"/>
        </w:rPr>
        <w:lastRenderedPageBreak/>
        <w:t xml:space="preserve">for existing Programs under the 7CPA from $1.2 billion to $1.4 billion, as well as securing funding for these programs to continue beyond the expiry date of the 7CPA. </w:t>
      </w:r>
    </w:p>
    <w:p w14:paraId="0CC8ABD1" w14:textId="77777777" w:rsidR="003A0EA8" w:rsidRPr="00C20287" w:rsidRDefault="003A0EA8" w:rsidP="003A0EA8">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In addition to the further investment in existing programs the following was provided:</w:t>
      </w:r>
    </w:p>
    <w:p w14:paraId="09741E1C" w14:textId="76ECBDCD" w:rsidR="003A0EA8" w:rsidRPr="00C20287" w:rsidRDefault="003A0EA8" w:rsidP="0095671A">
      <w:pPr>
        <w:pStyle w:val="ListParagraph"/>
        <w:numPr>
          <w:ilvl w:val="0"/>
          <w:numId w:val="29"/>
        </w:num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$377.3 million over four years for a nationally consistent, Commonwealth funded Opioid Dependen</w:t>
      </w:r>
      <w:r w:rsidR="00DC659C">
        <w:rPr>
          <w:rFonts w:eastAsiaTheme="majorEastAsia" w:cs="Arial"/>
          <w:bCs/>
          <w:color w:val="0D0D0D" w:themeColor="text1" w:themeTint="F2"/>
          <w:sz w:val="24"/>
          <w:szCs w:val="24"/>
        </w:rPr>
        <w:t>ce</w:t>
      </w:r>
      <w:r w:rsidRPr="00C20287">
        <w:rPr>
          <w:rFonts w:eastAsiaTheme="majorEastAsia" w:cs="Arial"/>
          <w:bCs/>
          <w:color w:val="0D0D0D" w:themeColor="text1" w:themeTint="F2"/>
          <w:sz w:val="24"/>
          <w:szCs w:val="24"/>
        </w:rPr>
        <w:t xml:space="preserve"> Treatment Program, which commenced 1 July 2023. </w:t>
      </w:r>
    </w:p>
    <w:p w14:paraId="46B3DFF4" w14:textId="77777777" w:rsidR="003A0EA8" w:rsidRPr="00C20287" w:rsidRDefault="003A0EA8" w:rsidP="0095671A">
      <w:pPr>
        <w:pStyle w:val="ListParagraph"/>
        <w:numPr>
          <w:ilvl w:val="0"/>
          <w:numId w:val="29"/>
        </w:num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 xml:space="preserve">$114.1 million over four years to fund pharmacists to administer vaccines under the </w:t>
      </w:r>
    </w:p>
    <w:p w14:paraId="7DA36DED" w14:textId="77777777" w:rsidR="003A0EA8" w:rsidRPr="00C20287" w:rsidRDefault="003A0EA8" w:rsidP="003A0EA8">
      <w:pPr>
        <w:pStyle w:val="ListParagraph"/>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National Immunisation Program.</w:t>
      </w:r>
    </w:p>
    <w:p w14:paraId="01BD1895" w14:textId="77777777" w:rsidR="003A0EA8" w:rsidRPr="00C20287" w:rsidRDefault="003A0EA8" w:rsidP="0095671A">
      <w:pPr>
        <w:pStyle w:val="ListParagraph"/>
        <w:numPr>
          <w:ilvl w:val="0"/>
          <w:numId w:val="29"/>
        </w:num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$79.5 million over four years to double the total annual budget for the Regional Pharmacy Maintenance Allowance, ensuring regional, rural and remote Australians have continued access to their local pharmacy.</w:t>
      </w:r>
    </w:p>
    <w:p w14:paraId="4E64CCCB" w14:textId="77777777" w:rsidR="003A0EA8" w:rsidRPr="00C20287" w:rsidRDefault="003A0EA8" w:rsidP="0095671A">
      <w:pPr>
        <w:pStyle w:val="ListParagraph"/>
        <w:numPr>
          <w:ilvl w:val="0"/>
          <w:numId w:val="29"/>
        </w:num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$148.2 million over four years for the Regional Pharmacy Transition Allowance. This allowance will assist some pharmacies in regional, rural and remote Australia in transitioning their business arrangements to account for the new increased dispensing quantities.</w:t>
      </w:r>
    </w:p>
    <w:p w14:paraId="2D8D0994" w14:textId="0DBBF390" w:rsidR="003A0EA8" w:rsidRPr="002F2F9E" w:rsidRDefault="003A0EA8" w:rsidP="003A0EA8">
      <w:pPr>
        <w:rPr>
          <w:color w:val="auto"/>
          <w:sz w:val="24"/>
          <w:szCs w:val="24"/>
        </w:rPr>
      </w:pPr>
      <w:r w:rsidRPr="002F2F9E">
        <w:rPr>
          <w:color w:val="auto"/>
          <w:sz w:val="24"/>
          <w:szCs w:val="24"/>
        </w:rPr>
        <w:t>The Government is committed to supporting the community pharmacy sector and through the above</w:t>
      </w:r>
      <w:r w:rsidR="00DC659C">
        <w:rPr>
          <w:color w:val="auto"/>
          <w:sz w:val="24"/>
          <w:szCs w:val="24"/>
        </w:rPr>
        <w:t>,</w:t>
      </w:r>
      <w:r w:rsidRPr="002F2F9E">
        <w:rPr>
          <w:color w:val="auto"/>
          <w:sz w:val="24"/>
          <w:szCs w:val="24"/>
        </w:rPr>
        <w:t xml:space="preserve"> all of the Government savings anticipated from the introduction of 60-Day dispensing are being reinvested back into community pharmacy, funding pharmacy services that directly benefit patients. </w:t>
      </w:r>
    </w:p>
    <w:p w14:paraId="7B03602F" w14:textId="57ECABF0" w:rsidR="003A0EA8" w:rsidRPr="002F2F9E" w:rsidRDefault="003A0EA8" w:rsidP="003A0EA8">
      <w:pPr>
        <w:rPr>
          <w:color w:val="auto"/>
          <w:sz w:val="24"/>
          <w:szCs w:val="24"/>
        </w:rPr>
      </w:pPr>
      <w:r w:rsidRPr="002F2F9E">
        <w:rPr>
          <w:color w:val="auto"/>
          <w:sz w:val="24"/>
          <w:szCs w:val="24"/>
        </w:rPr>
        <w:t>The 60 day dispensing measure, and the additional funding outlined above, is separate to the CPA and was the subject of a separate impact analysis</w:t>
      </w:r>
      <w:r w:rsidRPr="002F2F9E">
        <w:rPr>
          <w:color w:val="auto"/>
          <w:vertAlign w:val="superscript"/>
        </w:rPr>
        <w:footnoteReference w:id="33"/>
      </w:r>
      <w:r w:rsidRPr="002F2F9E">
        <w:rPr>
          <w:color w:val="auto"/>
          <w:sz w:val="24"/>
          <w:szCs w:val="24"/>
        </w:rPr>
        <w:t>. This IA does not re-explore the previous policy decision.</w:t>
      </w:r>
    </w:p>
    <w:p w14:paraId="7CB9CA4E" w14:textId="636972D1" w:rsidR="00160AF9" w:rsidRPr="00C20287" w:rsidRDefault="00C90277" w:rsidP="00160AF9">
      <w:pPr>
        <w:pStyle w:val="Heading3"/>
        <w:rPr>
          <w:color w:val="auto"/>
          <w:sz w:val="24"/>
          <w:szCs w:val="24"/>
        </w:rPr>
      </w:pPr>
      <w:bookmarkStart w:id="36" w:name="_Toc132192290"/>
      <w:bookmarkStart w:id="37" w:name="_Toc168652731"/>
      <w:r w:rsidRPr="00C20287">
        <w:t>1.</w:t>
      </w:r>
      <w:r w:rsidR="00793FC4">
        <w:t>7</w:t>
      </w:r>
      <w:r w:rsidR="00095F74" w:rsidRPr="00C20287">
        <w:tab/>
      </w:r>
      <w:r w:rsidR="008F73EF" w:rsidRPr="00C20287">
        <w:t>The Review of Pharmacy Remuneration and Regulation</w:t>
      </w:r>
      <w:bookmarkEnd w:id="36"/>
      <w:bookmarkEnd w:id="37"/>
    </w:p>
    <w:p w14:paraId="42B17486" w14:textId="1DD6FBAF" w:rsidR="008F73EF" w:rsidRPr="00C20287" w:rsidRDefault="008F73EF" w:rsidP="008F73EF">
      <w:pPr>
        <w:rPr>
          <w:sz w:val="24"/>
          <w:szCs w:val="24"/>
        </w:rPr>
      </w:pPr>
      <w:r w:rsidRPr="00C20287">
        <w:rPr>
          <w:sz w:val="24"/>
          <w:szCs w:val="24"/>
        </w:rPr>
        <w:t xml:space="preserve">The </w:t>
      </w:r>
      <w:r w:rsidR="00200BBE" w:rsidRPr="00C20287">
        <w:rPr>
          <w:sz w:val="24"/>
          <w:szCs w:val="24"/>
        </w:rPr>
        <w:t>most recent review of community pharmacies</w:t>
      </w:r>
      <w:r w:rsidR="002B5186" w:rsidRPr="00C20287">
        <w:rPr>
          <w:sz w:val="24"/>
          <w:szCs w:val="24"/>
        </w:rPr>
        <w:t xml:space="preserve">, </w:t>
      </w:r>
      <w:r w:rsidR="00200BBE" w:rsidRPr="00C20287">
        <w:rPr>
          <w:sz w:val="24"/>
          <w:szCs w:val="24"/>
        </w:rPr>
        <w:t xml:space="preserve">the </w:t>
      </w:r>
      <w:r w:rsidRPr="00C20287">
        <w:rPr>
          <w:sz w:val="24"/>
          <w:szCs w:val="24"/>
        </w:rPr>
        <w:t xml:space="preserve">Review of </w:t>
      </w:r>
      <w:bookmarkStart w:id="38" w:name="_Hlk102728327"/>
      <w:r w:rsidRPr="00C20287">
        <w:rPr>
          <w:sz w:val="24"/>
          <w:szCs w:val="24"/>
        </w:rPr>
        <w:t xml:space="preserve">Pharmacy Remuneration and Regulation (Pharmacy Review) </w:t>
      </w:r>
      <w:bookmarkEnd w:id="38"/>
      <w:r w:rsidRPr="00C20287">
        <w:rPr>
          <w:sz w:val="24"/>
          <w:szCs w:val="24"/>
        </w:rPr>
        <w:t xml:space="preserve">was undertaken from November 2015 to September 2017 as a key component of the 6CPA. It represented the first independent, comprehensive review of the Australian community pharmacy sector in over two decades and upheld a commitment between Government and the Guild agreed to as part of the 6CPA. The Review was based on specific Terms of Reference determined by the Minister for Health following consultation with the Guild and other stakeholders. </w:t>
      </w:r>
    </w:p>
    <w:p w14:paraId="2CD013DE" w14:textId="77777777" w:rsidR="008F73EF" w:rsidRPr="00C20287" w:rsidRDefault="008F73EF" w:rsidP="008F73EF">
      <w:pPr>
        <w:rPr>
          <w:sz w:val="24"/>
          <w:szCs w:val="24"/>
        </w:rPr>
      </w:pPr>
      <w:r w:rsidRPr="00C20287">
        <w:rPr>
          <w:sz w:val="24"/>
          <w:szCs w:val="24"/>
        </w:rPr>
        <w:t>The purpose of the Review was to provide recommendations on future remuneration, regulation (including the Location Rules) and other arrangements that apply to community pharmacies and wholesalers for the dispensing of PBS medicines and other services.</w:t>
      </w:r>
    </w:p>
    <w:p w14:paraId="459707A9" w14:textId="28D0399A" w:rsidR="008F73EF" w:rsidRPr="00C20287" w:rsidRDefault="008F73EF" w:rsidP="008F73EF">
      <w:pPr>
        <w:rPr>
          <w:sz w:val="24"/>
          <w:szCs w:val="24"/>
        </w:rPr>
      </w:pPr>
      <w:r w:rsidRPr="00C20287">
        <w:rPr>
          <w:sz w:val="24"/>
          <w:szCs w:val="24"/>
        </w:rPr>
        <w:t xml:space="preserve">The Review was conducted by an independent three-member panel, which consulted broadly with consumers and peak industry bodies representing the pharmacy and healthcare sectors. The Panel undertook an extensive public consultation process with public forums in major population centres, and visited individual pharmacies, while commissioning research into overseas arrangements, as well as a financial analysis of the sector. The Panel developed a number of recommendations with the intention of removing </w:t>
      </w:r>
      <w:r w:rsidRPr="00C20287">
        <w:rPr>
          <w:sz w:val="24"/>
          <w:szCs w:val="24"/>
        </w:rPr>
        <w:lastRenderedPageBreak/>
        <w:t>unnecessary regulation and su</w:t>
      </w:r>
      <w:r w:rsidR="00C30BB0" w:rsidRPr="00C20287">
        <w:rPr>
          <w:sz w:val="24"/>
          <w:szCs w:val="24"/>
        </w:rPr>
        <w:t>pporting</w:t>
      </w:r>
      <w:r w:rsidRPr="00C20287">
        <w:rPr>
          <w:sz w:val="24"/>
          <w:szCs w:val="24"/>
        </w:rPr>
        <w:t xml:space="preserve"> both consumer access to pharmacy and government value for money, while also maintaining the viability of the sector.</w:t>
      </w:r>
    </w:p>
    <w:p w14:paraId="4E0DBA55" w14:textId="64AC90F5" w:rsidR="008F73EF" w:rsidRPr="00C20287" w:rsidRDefault="008F73EF" w:rsidP="008F73EF">
      <w:pPr>
        <w:rPr>
          <w:sz w:val="24"/>
          <w:szCs w:val="24"/>
        </w:rPr>
      </w:pPr>
      <w:r w:rsidRPr="00C20287">
        <w:rPr>
          <w:sz w:val="24"/>
          <w:szCs w:val="24"/>
        </w:rPr>
        <w:t>The Review’s final report</w:t>
      </w:r>
      <w:r w:rsidR="00F3112C" w:rsidRPr="00C20287">
        <w:rPr>
          <w:rStyle w:val="FootnoteReference"/>
          <w:sz w:val="24"/>
          <w:szCs w:val="24"/>
        </w:rPr>
        <w:footnoteReference w:id="34"/>
      </w:r>
      <w:r w:rsidRPr="00C20287">
        <w:rPr>
          <w:sz w:val="24"/>
          <w:szCs w:val="24"/>
        </w:rPr>
        <w:t xml:space="preserve"> was provided to the Minister for Health in September 2017 and contained 45</w:t>
      </w:r>
      <w:r w:rsidR="00432D92">
        <w:rPr>
          <w:sz w:val="24"/>
          <w:szCs w:val="24"/>
        </w:rPr>
        <w:t> </w:t>
      </w:r>
      <w:r w:rsidRPr="00C20287">
        <w:rPr>
          <w:sz w:val="24"/>
          <w:szCs w:val="24"/>
        </w:rPr>
        <w:t>recommendations framed around four key areas for reform: Minimum Pharmacy Services</w:t>
      </w:r>
      <w:r w:rsidR="00ED15EC" w:rsidRPr="00C20287">
        <w:rPr>
          <w:sz w:val="24"/>
          <w:szCs w:val="24"/>
        </w:rPr>
        <w:t>,</w:t>
      </w:r>
      <w:r w:rsidRPr="00C20287">
        <w:rPr>
          <w:sz w:val="24"/>
          <w:szCs w:val="24"/>
        </w:rPr>
        <w:t xml:space="preserve"> Electronic Prescriptions</w:t>
      </w:r>
      <w:r w:rsidR="00ED15EC" w:rsidRPr="00C20287">
        <w:rPr>
          <w:sz w:val="24"/>
          <w:szCs w:val="24"/>
        </w:rPr>
        <w:t>,</w:t>
      </w:r>
      <w:r w:rsidRPr="00C20287">
        <w:rPr>
          <w:sz w:val="24"/>
          <w:szCs w:val="24"/>
        </w:rPr>
        <w:t xml:space="preserve"> Pharmacy Accounting Information</w:t>
      </w:r>
      <w:r w:rsidR="00ED15EC" w:rsidRPr="00C20287">
        <w:rPr>
          <w:sz w:val="24"/>
          <w:szCs w:val="24"/>
        </w:rPr>
        <w:t>,</w:t>
      </w:r>
      <w:r w:rsidRPr="00C20287">
        <w:rPr>
          <w:sz w:val="24"/>
          <w:szCs w:val="24"/>
        </w:rPr>
        <w:t xml:space="preserve"> and Future </w:t>
      </w:r>
      <w:r w:rsidR="001346EB">
        <w:rPr>
          <w:sz w:val="24"/>
          <w:szCs w:val="24"/>
        </w:rPr>
        <w:t>CPA</w:t>
      </w:r>
      <w:r w:rsidRPr="00C20287">
        <w:rPr>
          <w:sz w:val="24"/>
          <w:szCs w:val="24"/>
        </w:rPr>
        <w:t xml:space="preserve"> Processes.</w:t>
      </w:r>
    </w:p>
    <w:p w14:paraId="7FB223D8" w14:textId="1853F211" w:rsidR="008F73EF" w:rsidRPr="00C20287" w:rsidRDefault="008F73EF" w:rsidP="008F73EF">
      <w:pPr>
        <w:rPr>
          <w:sz w:val="24"/>
          <w:szCs w:val="24"/>
        </w:rPr>
      </w:pPr>
      <w:r w:rsidRPr="00C20287">
        <w:rPr>
          <w:sz w:val="24"/>
          <w:szCs w:val="24"/>
        </w:rPr>
        <w:t>The Government Response to the Review</w:t>
      </w:r>
      <w:r w:rsidRPr="00C20287">
        <w:rPr>
          <w:rStyle w:val="FootnoteReference"/>
          <w:sz w:val="24"/>
          <w:szCs w:val="24"/>
        </w:rPr>
        <w:footnoteReference w:id="35"/>
      </w:r>
      <w:r w:rsidRPr="00C20287">
        <w:rPr>
          <w:sz w:val="24"/>
          <w:szCs w:val="24"/>
        </w:rPr>
        <w:t xml:space="preserve"> was released by the </w:t>
      </w:r>
      <w:r w:rsidR="009E6680" w:rsidRPr="00C20287">
        <w:rPr>
          <w:sz w:val="24"/>
          <w:szCs w:val="24"/>
        </w:rPr>
        <w:t xml:space="preserve">then </w:t>
      </w:r>
      <w:r w:rsidR="00C30BB0" w:rsidRPr="00C20287">
        <w:rPr>
          <w:sz w:val="24"/>
          <w:szCs w:val="24"/>
        </w:rPr>
        <w:t>M</w:t>
      </w:r>
      <w:r w:rsidR="00DC1B59" w:rsidRPr="00C20287">
        <w:rPr>
          <w:sz w:val="24"/>
          <w:szCs w:val="24"/>
        </w:rPr>
        <w:t xml:space="preserve">inister for </w:t>
      </w:r>
      <w:r w:rsidR="00C30BB0" w:rsidRPr="00C20287">
        <w:rPr>
          <w:sz w:val="24"/>
          <w:szCs w:val="24"/>
        </w:rPr>
        <w:t>H</w:t>
      </w:r>
      <w:r w:rsidRPr="00C20287">
        <w:rPr>
          <w:sz w:val="24"/>
          <w:szCs w:val="24"/>
        </w:rPr>
        <w:t>ealth in May 2018. Of the Review’s 45 recommendations, the Government response:</w:t>
      </w:r>
    </w:p>
    <w:p w14:paraId="701614EB" w14:textId="77777777" w:rsidR="008F73EF" w:rsidRPr="00C20287" w:rsidRDefault="008F73EF" w:rsidP="0095671A">
      <w:pPr>
        <w:pStyle w:val="ListParagraph"/>
        <w:numPr>
          <w:ilvl w:val="0"/>
          <w:numId w:val="16"/>
        </w:numPr>
        <w:autoSpaceDE w:val="0"/>
        <w:autoSpaceDN w:val="0"/>
        <w:adjustRightInd w:val="0"/>
        <w:spacing w:before="120" w:line="259" w:lineRule="auto"/>
        <w:ind w:hanging="357"/>
        <w:rPr>
          <w:sz w:val="24"/>
          <w:szCs w:val="24"/>
        </w:rPr>
      </w:pPr>
      <w:r w:rsidRPr="00C20287">
        <w:rPr>
          <w:i/>
          <w:iCs/>
          <w:sz w:val="24"/>
          <w:szCs w:val="24"/>
        </w:rPr>
        <w:t>accepted</w:t>
      </w:r>
      <w:r w:rsidRPr="00C20287">
        <w:rPr>
          <w:sz w:val="24"/>
          <w:szCs w:val="24"/>
        </w:rPr>
        <w:t xml:space="preserve"> four recommendations including:</w:t>
      </w:r>
    </w:p>
    <w:p w14:paraId="1A2D7A87" w14:textId="733A4FB0"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increased access to medicines programs for Aboriginal and Torres Strait Islander people regardless of where a prescription is written or dispensed;</w:t>
      </w:r>
    </w:p>
    <w:p w14:paraId="5DC249F5" w14:textId="539C3158"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 xml:space="preserve">transparency regarding the funding of </w:t>
      </w:r>
      <w:r w:rsidR="001346EB">
        <w:rPr>
          <w:sz w:val="24"/>
          <w:szCs w:val="24"/>
        </w:rPr>
        <w:t>CPP</w:t>
      </w:r>
      <w:r w:rsidRPr="00C20287">
        <w:rPr>
          <w:sz w:val="24"/>
          <w:szCs w:val="24"/>
        </w:rPr>
        <w:t>s;</w:t>
      </w:r>
    </w:p>
    <w:p w14:paraId="019C2FB3"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one electronic personal medication records system; and</w:t>
      </w:r>
    </w:p>
    <w:p w14:paraId="5FDE8486" w14:textId="77777777" w:rsidR="008F73EF" w:rsidRPr="00C20287" w:rsidRDefault="008F73EF" w:rsidP="0095671A">
      <w:pPr>
        <w:pStyle w:val="ListParagraph"/>
        <w:numPr>
          <w:ilvl w:val="0"/>
          <w:numId w:val="17"/>
        </w:numPr>
        <w:spacing w:before="80" w:after="80" w:line="259" w:lineRule="auto"/>
        <w:ind w:left="1083" w:hanging="357"/>
        <w:rPr>
          <w:sz w:val="24"/>
          <w:szCs w:val="24"/>
        </w:rPr>
      </w:pPr>
      <w:r w:rsidRPr="00C20287">
        <w:rPr>
          <w:sz w:val="24"/>
          <w:szCs w:val="24"/>
        </w:rPr>
        <w:t>improvements to the availability of Consumer Medicines Information.</w:t>
      </w:r>
    </w:p>
    <w:p w14:paraId="768EDFBF" w14:textId="77777777" w:rsidR="008F73EF" w:rsidRPr="00C20287" w:rsidRDefault="008F73EF" w:rsidP="0095671A">
      <w:pPr>
        <w:pStyle w:val="ListParagraph"/>
        <w:numPr>
          <w:ilvl w:val="0"/>
          <w:numId w:val="16"/>
        </w:numPr>
        <w:autoSpaceDE w:val="0"/>
        <w:autoSpaceDN w:val="0"/>
        <w:adjustRightInd w:val="0"/>
        <w:spacing w:before="120" w:line="259" w:lineRule="auto"/>
        <w:ind w:hanging="357"/>
        <w:rPr>
          <w:sz w:val="24"/>
          <w:szCs w:val="24"/>
        </w:rPr>
      </w:pPr>
      <w:r w:rsidRPr="00C20287">
        <w:rPr>
          <w:i/>
          <w:iCs/>
          <w:sz w:val="24"/>
          <w:szCs w:val="24"/>
        </w:rPr>
        <w:t>accepted-in-principle</w:t>
      </w:r>
      <w:r w:rsidRPr="00C20287">
        <w:rPr>
          <w:sz w:val="24"/>
          <w:szCs w:val="24"/>
        </w:rPr>
        <w:t xml:space="preserve"> four recommendations including:</w:t>
      </w:r>
    </w:p>
    <w:p w14:paraId="622A8A3C"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changes to payment administration for high-cost medicines to improve patient access through community pharmacy and address pharmacy cash flow concerns;</w:t>
      </w:r>
    </w:p>
    <w:p w14:paraId="150616B6"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implementation of an automated PBS Safety Net recording system;</w:t>
      </w:r>
    </w:p>
    <w:p w14:paraId="25A201B6"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implementation of a system for integrated electronic prescriptions and medicines records; and</w:t>
      </w:r>
    </w:p>
    <w:p w14:paraId="5328626E"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development of key principles that underpin the range of programs offered by community pharmacy.</w:t>
      </w:r>
    </w:p>
    <w:p w14:paraId="4F550275" w14:textId="77777777" w:rsidR="008F73EF" w:rsidRPr="00C20287" w:rsidRDefault="008F73EF" w:rsidP="0095671A">
      <w:pPr>
        <w:pStyle w:val="ListParagraph"/>
        <w:numPr>
          <w:ilvl w:val="0"/>
          <w:numId w:val="16"/>
        </w:numPr>
        <w:autoSpaceDE w:val="0"/>
        <w:autoSpaceDN w:val="0"/>
        <w:adjustRightInd w:val="0"/>
        <w:spacing w:before="120" w:line="259" w:lineRule="auto"/>
        <w:ind w:hanging="357"/>
        <w:rPr>
          <w:sz w:val="24"/>
          <w:szCs w:val="24"/>
        </w:rPr>
      </w:pPr>
      <w:r w:rsidRPr="00C20287">
        <w:rPr>
          <w:i/>
          <w:iCs/>
          <w:sz w:val="24"/>
          <w:szCs w:val="24"/>
        </w:rPr>
        <w:t>did not support</w:t>
      </w:r>
      <w:r w:rsidRPr="00C20287">
        <w:rPr>
          <w:sz w:val="24"/>
          <w:szCs w:val="24"/>
        </w:rPr>
        <w:t xml:space="preserve"> three recommendations, namely:</w:t>
      </w:r>
    </w:p>
    <w:p w14:paraId="0B4C1CF2"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abolition of the optional $1 discount on the patient PBS co-payment,</w:t>
      </w:r>
      <w:r w:rsidRPr="00C20287">
        <w:rPr>
          <w:rStyle w:val="FootnoteReference"/>
          <w:sz w:val="24"/>
          <w:szCs w:val="24"/>
        </w:rPr>
        <w:footnoteReference w:id="36"/>
      </w:r>
      <w:r w:rsidRPr="00C20287">
        <w:rPr>
          <w:sz w:val="24"/>
          <w:szCs w:val="24"/>
        </w:rPr>
        <w:t xml:space="preserve"> </w:t>
      </w:r>
    </w:p>
    <w:p w14:paraId="01FF2C9C" w14:textId="77777777"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machine dispensing of PBS medicines in communities not served by a community pharmacy; and</w:t>
      </w:r>
    </w:p>
    <w:p w14:paraId="355F1518" w14:textId="0AD8EB09" w:rsidR="008F73EF" w:rsidRPr="00C20287" w:rsidRDefault="008F73EF" w:rsidP="0095671A">
      <w:pPr>
        <w:pStyle w:val="ListParagraph"/>
        <w:numPr>
          <w:ilvl w:val="0"/>
          <w:numId w:val="17"/>
        </w:numPr>
        <w:autoSpaceDE w:val="0"/>
        <w:autoSpaceDN w:val="0"/>
        <w:adjustRightInd w:val="0"/>
        <w:spacing w:before="80" w:after="80" w:line="259" w:lineRule="auto"/>
        <w:ind w:left="1083" w:hanging="357"/>
        <w:rPr>
          <w:sz w:val="24"/>
          <w:szCs w:val="24"/>
        </w:rPr>
      </w:pPr>
      <w:r w:rsidRPr="00C20287">
        <w:rPr>
          <w:sz w:val="24"/>
          <w:szCs w:val="24"/>
        </w:rPr>
        <w:t>tightening the listing of generic medicines (tendering and limiting the number of generic brands of a medicine listed on the PBS)</w:t>
      </w:r>
      <w:r w:rsidR="00F86906">
        <w:rPr>
          <w:sz w:val="24"/>
          <w:szCs w:val="24"/>
        </w:rPr>
        <w:t>.</w:t>
      </w:r>
    </w:p>
    <w:p w14:paraId="1BB90AF2" w14:textId="1888BE50" w:rsidR="008F73EF" w:rsidRPr="00C20287" w:rsidRDefault="008F73EF" w:rsidP="0095671A">
      <w:pPr>
        <w:pStyle w:val="ListParagraph"/>
        <w:numPr>
          <w:ilvl w:val="0"/>
          <w:numId w:val="16"/>
        </w:numPr>
        <w:autoSpaceDE w:val="0"/>
        <w:autoSpaceDN w:val="0"/>
        <w:adjustRightInd w:val="0"/>
        <w:spacing w:before="120" w:line="259" w:lineRule="auto"/>
        <w:ind w:hanging="357"/>
        <w:rPr>
          <w:sz w:val="24"/>
          <w:szCs w:val="24"/>
        </w:rPr>
      </w:pPr>
      <w:r w:rsidRPr="00C20287">
        <w:rPr>
          <w:i/>
          <w:sz w:val="24"/>
          <w:szCs w:val="24"/>
        </w:rPr>
        <w:t>noted</w:t>
      </w:r>
      <w:r w:rsidRPr="00C20287">
        <w:rPr>
          <w:iCs/>
          <w:sz w:val="24"/>
          <w:szCs w:val="24"/>
        </w:rPr>
        <w:t xml:space="preserve"> the remaining 34</w:t>
      </w:r>
      <w:r w:rsidRPr="00C20287">
        <w:rPr>
          <w:i/>
          <w:sz w:val="24"/>
          <w:szCs w:val="24"/>
        </w:rPr>
        <w:t xml:space="preserve"> </w:t>
      </w:r>
      <w:r w:rsidRPr="00C20287">
        <w:rPr>
          <w:sz w:val="24"/>
          <w:szCs w:val="24"/>
        </w:rPr>
        <w:t xml:space="preserve">recommendations, including those of relevance to negotiations of future </w:t>
      </w:r>
      <w:r w:rsidR="001346EB">
        <w:rPr>
          <w:sz w:val="24"/>
          <w:szCs w:val="24"/>
        </w:rPr>
        <w:t>CPA</w:t>
      </w:r>
      <w:r w:rsidRPr="00C20287">
        <w:rPr>
          <w:sz w:val="24"/>
          <w:szCs w:val="24"/>
        </w:rPr>
        <w:t>s.</w:t>
      </w:r>
    </w:p>
    <w:p w14:paraId="0E184A83" w14:textId="77777777" w:rsidR="008F73EF" w:rsidRPr="00C20287" w:rsidRDefault="008F73EF" w:rsidP="008F73EF">
      <w:pPr>
        <w:spacing w:before="240"/>
        <w:rPr>
          <w:color w:val="auto"/>
          <w:sz w:val="24"/>
          <w:szCs w:val="24"/>
        </w:rPr>
      </w:pPr>
      <w:r w:rsidRPr="00C20287">
        <w:rPr>
          <w:color w:val="auto"/>
          <w:sz w:val="24"/>
          <w:szCs w:val="24"/>
        </w:rPr>
        <w:t>The Review noted that successive CPAs had increased in scope beyond the requirement for an agreement on pharmacy remuneration to include funding for: professional programs and other services delivered through community pharmacy, consultant pharmacists, remuneration to wholesalers, the CSO Funding Pool, supply arrangements for products provided on the NDSS and payments to support the preparation of infusions or injections for chemotherapy provided under the PBS.</w:t>
      </w:r>
    </w:p>
    <w:p w14:paraId="54EF3E42" w14:textId="554095F8" w:rsidR="008F73EF" w:rsidRPr="00C20287" w:rsidRDefault="008F73EF" w:rsidP="008F73EF">
      <w:pPr>
        <w:rPr>
          <w:color w:val="auto"/>
          <w:sz w:val="24"/>
          <w:szCs w:val="24"/>
        </w:rPr>
      </w:pPr>
      <w:r w:rsidRPr="00C20287">
        <w:rPr>
          <w:color w:val="auto"/>
          <w:sz w:val="24"/>
          <w:szCs w:val="24"/>
        </w:rPr>
        <w:lastRenderedPageBreak/>
        <w:t>The Review further noted that the Guild had been the only signatory party to each successive agreement with the Government and noted broad concern among the sector and consumers that this had translated to successive CPAs having been negotiated only between Government and a body representi</w:t>
      </w:r>
      <w:r w:rsidR="00C30BB0" w:rsidRPr="00C20287">
        <w:rPr>
          <w:color w:val="auto"/>
          <w:sz w:val="24"/>
          <w:szCs w:val="24"/>
        </w:rPr>
        <w:t>ng the interests</w:t>
      </w:r>
      <w:r w:rsidRPr="00C20287">
        <w:rPr>
          <w:color w:val="auto"/>
          <w:sz w:val="24"/>
          <w:szCs w:val="24"/>
        </w:rPr>
        <w:t xml:space="preserve"> of pharmacy owners. </w:t>
      </w:r>
    </w:p>
    <w:p w14:paraId="79344C6E" w14:textId="77777777" w:rsidR="008F73EF" w:rsidRPr="00C20287" w:rsidRDefault="008F73EF" w:rsidP="008F73EF">
      <w:pPr>
        <w:rPr>
          <w:color w:val="auto"/>
          <w:sz w:val="24"/>
          <w:szCs w:val="24"/>
        </w:rPr>
      </w:pPr>
      <w:r w:rsidRPr="00C20287">
        <w:rPr>
          <w:color w:val="auto"/>
          <w:sz w:val="24"/>
          <w:szCs w:val="24"/>
        </w:rPr>
        <w:t xml:space="preserve">Noting that CPAs affect all community pharmacists, not just pharmacy owners, and that they also directly affect all consumers of PBS medicines, the Review suggested: </w:t>
      </w:r>
    </w:p>
    <w:p w14:paraId="66650BB9" w14:textId="77777777" w:rsidR="008F73EF" w:rsidRPr="00C20287" w:rsidDel="003B42FA" w:rsidRDefault="008F73EF" w:rsidP="008F73EF">
      <w:pPr>
        <w:spacing w:line="259" w:lineRule="auto"/>
        <w:ind w:left="720"/>
        <w:rPr>
          <w:color w:val="auto"/>
          <w:sz w:val="24"/>
          <w:szCs w:val="24"/>
        </w:rPr>
      </w:pPr>
      <w:r w:rsidRPr="00C20287">
        <w:rPr>
          <w:color w:val="auto"/>
          <w:sz w:val="24"/>
          <w:szCs w:val="24"/>
        </w:rPr>
        <w:t>“…the value of the CPA process would be maximised if CPAs were more closely focused on the dispensing of PBS medicines, those services directly related to the dispensing function and responsibilities, and the pricing to consumers for such dispensing.”</w:t>
      </w:r>
    </w:p>
    <w:p w14:paraId="4D7FAA79" w14:textId="77777777" w:rsidR="008F73EF" w:rsidRPr="00C20287" w:rsidRDefault="008F73EF" w:rsidP="008F73EF">
      <w:pPr>
        <w:spacing w:before="240"/>
        <w:rPr>
          <w:color w:val="auto"/>
          <w:sz w:val="24"/>
          <w:szCs w:val="24"/>
        </w:rPr>
      </w:pPr>
      <w:r w:rsidRPr="00C20287">
        <w:rPr>
          <w:color w:val="auto"/>
          <w:sz w:val="24"/>
          <w:szCs w:val="24"/>
        </w:rPr>
        <w:t xml:space="preserve">Further, the Review suggested: </w:t>
      </w:r>
    </w:p>
    <w:p w14:paraId="35BBBDDF" w14:textId="77777777" w:rsidR="008F73EF" w:rsidRPr="00C20287" w:rsidRDefault="008F73EF" w:rsidP="008F73EF">
      <w:pPr>
        <w:spacing w:line="259" w:lineRule="auto"/>
        <w:ind w:left="720"/>
        <w:rPr>
          <w:color w:val="auto"/>
          <w:sz w:val="24"/>
          <w:szCs w:val="24"/>
        </w:rPr>
      </w:pPr>
      <w:r w:rsidRPr="00C20287">
        <w:rPr>
          <w:color w:val="auto"/>
          <w:sz w:val="24"/>
          <w:szCs w:val="24"/>
        </w:rPr>
        <w:t>“The CPA is not the right mechanism to attempt to capture broader health programs and services or supply chain activities. These involve multiple key stakeholder groups and extend beyond the funding of PBS-related services.”</w:t>
      </w:r>
    </w:p>
    <w:p w14:paraId="09B7CC17" w14:textId="37ECF0A2" w:rsidR="00095F74" w:rsidRPr="00EE1495" w:rsidRDefault="000615C1" w:rsidP="00095F74">
      <w:pPr>
        <w:rPr>
          <w:color w:val="auto"/>
          <w:sz w:val="24"/>
          <w:szCs w:val="24"/>
        </w:rPr>
      </w:pPr>
      <w:r>
        <w:rPr>
          <w:color w:val="auto"/>
          <w:sz w:val="24"/>
          <w:szCs w:val="24"/>
        </w:rPr>
        <w:t>T</w:t>
      </w:r>
      <w:r w:rsidRPr="00EE1495">
        <w:rPr>
          <w:color w:val="auto"/>
          <w:sz w:val="24"/>
          <w:szCs w:val="24"/>
        </w:rPr>
        <w:t xml:space="preserve">he recommendations of the Review which were accepted by government </w:t>
      </w:r>
      <w:r>
        <w:rPr>
          <w:color w:val="auto"/>
          <w:sz w:val="24"/>
          <w:szCs w:val="24"/>
        </w:rPr>
        <w:t xml:space="preserve">informed the </w:t>
      </w:r>
      <w:r w:rsidRPr="00EE1495">
        <w:rPr>
          <w:color w:val="auto"/>
          <w:sz w:val="24"/>
          <w:szCs w:val="24"/>
        </w:rPr>
        <w:t xml:space="preserve">7CPA. </w:t>
      </w:r>
      <w:r>
        <w:rPr>
          <w:color w:val="auto"/>
          <w:sz w:val="24"/>
          <w:szCs w:val="24"/>
        </w:rPr>
        <w:t>Past findings and recommendations of reviews into the sector including those above will continue to inform the development of any potential new agreements.</w:t>
      </w:r>
    </w:p>
    <w:p w14:paraId="0350E47E" w14:textId="14B54CBF" w:rsidR="0097798F" w:rsidRPr="00C20287" w:rsidRDefault="0097798F" w:rsidP="00290876">
      <w:pPr>
        <w:pStyle w:val="Heading1"/>
        <w:pageBreakBefore/>
      </w:pPr>
      <w:bookmarkStart w:id="39" w:name="_Toc132192295"/>
      <w:bookmarkStart w:id="40" w:name="_Toc168652732"/>
      <w:r w:rsidRPr="00C20287">
        <w:lastRenderedPageBreak/>
        <w:t xml:space="preserve">Impact </w:t>
      </w:r>
      <w:bookmarkEnd w:id="39"/>
      <w:r w:rsidR="00705663" w:rsidRPr="00C20287">
        <w:t>Analysis</w:t>
      </w:r>
      <w:bookmarkEnd w:id="40"/>
    </w:p>
    <w:p w14:paraId="29EF3C58" w14:textId="14BEA160" w:rsidR="00C51551" w:rsidRPr="00C20287" w:rsidRDefault="000D0C1E" w:rsidP="000D0C1E">
      <w:pPr>
        <w:pStyle w:val="Heading2"/>
      </w:pPr>
      <w:bookmarkStart w:id="41" w:name="_Toc132192296"/>
      <w:bookmarkStart w:id="42" w:name="_Toc168652733"/>
      <w:r w:rsidRPr="00C20287">
        <w:t xml:space="preserve">1. </w:t>
      </w:r>
      <w:r w:rsidR="00663F85" w:rsidRPr="00C20287">
        <w:t xml:space="preserve">What is the problem </w:t>
      </w:r>
      <w:r w:rsidR="00774EAC" w:rsidRPr="00C20287">
        <w:t>this proposal will solve</w:t>
      </w:r>
      <w:r w:rsidR="00663F85" w:rsidRPr="00C20287">
        <w:t>?</w:t>
      </w:r>
      <w:bookmarkEnd w:id="41"/>
      <w:bookmarkEnd w:id="42"/>
    </w:p>
    <w:p w14:paraId="38692CE2" w14:textId="0F6BEFC1" w:rsidR="00793FC4" w:rsidRPr="00330CE0" w:rsidRDefault="00793FC4" w:rsidP="00793FC4">
      <w:pPr>
        <w:rPr>
          <w:sz w:val="24"/>
          <w:szCs w:val="24"/>
        </w:rPr>
      </w:pPr>
      <w:r>
        <w:rPr>
          <w:sz w:val="24"/>
          <w:szCs w:val="24"/>
        </w:rPr>
        <w:t xml:space="preserve">The Act ensures that the Commonwealth will provide remuneration to pharmacies for the dispensing of PBS medicines, regardless of whether the Commonwealth price is outlined in a CPA </w:t>
      </w:r>
      <w:r w:rsidR="002716A9" w:rsidRPr="00C20287">
        <w:rPr>
          <w:color w:val="auto"/>
          <w:sz w:val="24"/>
          <w:szCs w:val="24"/>
        </w:rPr>
        <w:t xml:space="preserve">(then ratified by the PBRT), </w:t>
      </w:r>
      <w:r>
        <w:rPr>
          <w:sz w:val="24"/>
          <w:szCs w:val="24"/>
        </w:rPr>
        <w:t>or determined by the PBRT. The assumption is therefore made throughout this IA that pharmacies will continue to be remunerated by the Commonwealth for dispensing of PBS medicines.</w:t>
      </w:r>
    </w:p>
    <w:p w14:paraId="2D5D8C3B" w14:textId="77777777" w:rsidR="00C8612E" w:rsidRPr="001A54E4" w:rsidRDefault="00C8612E" w:rsidP="00EE1495">
      <w:pPr>
        <w:pStyle w:val="Heading3"/>
      </w:pPr>
      <w:bookmarkStart w:id="43" w:name="_Toc168652734"/>
      <w:r w:rsidRPr="001A54E4">
        <w:t>Commonwealth price</w:t>
      </w:r>
      <w:bookmarkEnd w:id="43"/>
    </w:p>
    <w:p w14:paraId="78D9857A" w14:textId="033DEA77" w:rsidR="00C8612E" w:rsidRPr="00C20287" w:rsidRDefault="00C8612E" w:rsidP="00C8612E">
      <w:pPr>
        <w:rPr>
          <w:color w:val="0D0D0D" w:themeColor="text1" w:themeTint="F2"/>
          <w:sz w:val="24"/>
          <w:szCs w:val="24"/>
        </w:rPr>
      </w:pPr>
      <w:r w:rsidRPr="00C20287">
        <w:rPr>
          <w:color w:val="0D0D0D" w:themeColor="text1" w:themeTint="F2"/>
          <w:sz w:val="24"/>
          <w:szCs w:val="24"/>
        </w:rPr>
        <w:t xml:space="preserve">The Government pays pharmacists to procure, supply and dispense all PBS medicines to consumers throughout Australia through the Commonwealth </w:t>
      </w:r>
      <w:r w:rsidR="00B472A0">
        <w:rPr>
          <w:color w:val="0D0D0D" w:themeColor="text1" w:themeTint="F2"/>
          <w:sz w:val="24"/>
          <w:szCs w:val="24"/>
        </w:rPr>
        <w:t>p</w:t>
      </w:r>
      <w:r w:rsidRPr="00C20287">
        <w:rPr>
          <w:color w:val="0D0D0D" w:themeColor="text1" w:themeTint="F2"/>
          <w:sz w:val="24"/>
          <w:szCs w:val="24"/>
        </w:rPr>
        <w:t xml:space="preserve">rice. The Commonwealth </w:t>
      </w:r>
      <w:r w:rsidR="00B472A0">
        <w:rPr>
          <w:color w:val="0D0D0D" w:themeColor="text1" w:themeTint="F2"/>
          <w:sz w:val="24"/>
          <w:szCs w:val="24"/>
        </w:rPr>
        <w:t>p</w:t>
      </w:r>
      <w:r w:rsidRPr="00C20287">
        <w:rPr>
          <w:color w:val="0D0D0D" w:themeColor="text1" w:themeTint="F2"/>
          <w:sz w:val="24"/>
          <w:szCs w:val="24"/>
        </w:rPr>
        <w:t xml:space="preserve">rice </w:t>
      </w:r>
      <w:r>
        <w:rPr>
          <w:color w:val="0D0D0D" w:themeColor="text1" w:themeTint="F2"/>
          <w:sz w:val="24"/>
          <w:szCs w:val="24"/>
        </w:rPr>
        <w:t xml:space="preserve">is currently agreed through the CPA and </w:t>
      </w:r>
      <w:r w:rsidRPr="00C20287">
        <w:rPr>
          <w:color w:val="0D0D0D" w:themeColor="text1" w:themeTint="F2"/>
          <w:sz w:val="24"/>
          <w:szCs w:val="24"/>
        </w:rPr>
        <w:t>consists of:</w:t>
      </w:r>
    </w:p>
    <w:p w14:paraId="4BE2958D" w14:textId="3B4ECD68" w:rsidR="00C8612E" w:rsidRPr="00C20287" w:rsidRDefault="00432D92" w:rsidP="0095671A">
      <w:pPr>
        <w:pStyle w:val="ListParagraph"/>
        <w:numPr>
          <w:ilvl w:val="0"/>
          <w:numId w:val="22"/>
        </w:numPr>
        <w:rPr>
          <w:color w:val="0D0D0D" w:themeColor="text1" w:themeTint="F2"/>
          <w:sz w:val="24"/>
          <w:szCs w:val="24"/>
        </w:rPr>
      </w:pPr>
      <w:r>
        <w:rPr>
          <w:color w:val="0D0D0D" w:themeColor="text1" w:themeTint="F2"/>
          <w:sz w:val="24"/>
          <w:szCs w:val="24"/>
        </w:rPr>
        <w:t>a</w:t>
      </w:r>
      <w:r w:rsidR="00C8612E" w:rsidRPr="00C20287">
        <w:rPr>
          <w:color w:val="0D0D0D" w:themeColor="text1" w:themeTint="F2"/>
          <w:sz w:val="24"/>
          <w:szCs w:val="24"/>
        </w:rPr>
        <w:t xml:space="preserve"> Dispensing Fee, paid per prescription dispensed</w:t>
      </w:r>
      <w:r w:rsidR="003B412F">
        <w:rPr>
          <w:color w:val="0D0D0D" w:themeColor="text1" w:themeTint="F2"/>
          <w:sz w:val="24"/>
          <w:szCs w:val="24"/>
        </w:rPr>
        <w:t>,</w:t>
      </w:r>
    </w:p>
    <w:p w14:paraId="4E90225B" w14:textId="3AD96913" w:rsidR="00C8612E" w:rsidRPr="00C20287" w:rsidRDefault="00432D92" w:rsidP="0095671A">
      <w:pPr>
        <w:pStyle w:val="ListParagraph"/>
        <w:numPr>
          <w:ilvl w:val="0"/>
          <w:numId w:val="22"/>
        </w:numPr>
        <w:rPr>
          <w:color w:val="0D0D0D" w:themeColor="text1" w:themeTint="F2"/>
          <w:sz w:val="24"/>
          <w:szCs w:val="24"/>
        </w:rPr>
      </w:pPr>
      <w:r>
        <w:rPr>
          <w:color w:val="0D0D0D" w:themeColor="text1" w:themeTint="F2"/>
          <w:sz w:val="24"/>
          <w:szCs w:val="24"/>
        </w:rPr>
        <w:t>a</w:t>
      </w:r>
      <w:r w:rsidR="00C8612E" w:rsidRPr="00C20287">
        <w:rPr>
          <w:color w:val="0D0D0D" w:themeColor="text1" w:themeTint="F2"/>
          <w:sz w:val="24"/>
          <w:szCs w:val="24"/>
        </w:rPr>
        <w:t xml:space="preserve">n Administration, Handling, and Infrastructure (AHI) Fee, which is based on the cost of the drug (known as the Approved Ex-Manufacturer Price (AEMP)), and </w:t>
      </w:r>
    </w:p>
    <w:p w14:paraId="0A82D8A0" w14:textId="7C918771" w:rsidR="00C8612E" w:rsidRPr="00C20287" w:rsidRDefault="00432D92" w:rsidP="0095671A">
      <w:pPr>
        <w:pStyle w:val="ListParagraph"/>
        <w:numPr>
          <w:ilvl w:val="0"/>
          <w:numId w:val="22"/>
        </w:numPr>
        <w:rPr>
          <w:color w:val="0D0D0D" w:themeColor="text1" w:themeTint="F2"/>
          <w:sz w:val="24"/>
          <w:szCs w:val="24"/>
        </w:rPr>
      </w:pPr>
      <w:r>
        <w:rPr>
          <w:color w:val="0D0D0D" w:themeColor="text1" w:themeTint="F2"/>
          <w:sz w:val="24"/>
          <w:szCs w:val="24"/>
        </w:rPr>
        <w:t>t</w:t>
      </w:r>
      <w:r w:rsidR="00C8612E" w:rsidRPr="00C20287">
        <w:rPr>
          <w:color w:val="0D0D0D" w:themeColor="text1" w:themeTint="F2"/>
          <w:sz w:val="24"/>
          <w:szCs w:val="24"/>
        </w:rPr>
        <w:t>he Wholesale Mark-Up, which is also based on the AEMP.</w:t>
      </w:r>
    </w:p>
    <w:p w14:paraId="58BD2440" w14:textId="79589245" w:rsidR="00C8612E" w:rsidRPr="00C20287" w:rsidRDefault="00C8612E" w:rsidP="00C8612E">
      <w:pPr>
        <w:rPr>
          <w:color w:val="0D0D0D" w:themeColor="text1" w:themeTint="F2"/>
          <w:sz w:val="24"/>
          <w:szCs w:val="24"/>
        </w:rPr>
      </w:pPr>
      <w:r w:rsidRPr="00C20287">
        <w:rPr>
          <w:color w:val="0D0D0D" w:themeColor="text1" w:themeTint="F2"/>
          <w:sz w:val="24"/>
          <w:szCs w:val="24"/>
        </w:rPr>
        <w:t xml:space="preserve">In some instances there are additional components of the Commonwealth </w:t>
      </w:r>
      <w:r w:rsidR="00B472A0">
        <w:rPr>
          <w:color w:val="0D0D0D" w:themeColor="text1" w:themeTint="F2"/>
          <w:sz w:val="24"/>
          <w:szCs w:val="24"/>
        </w:rPr>
        <w:t>p</w:t>
      </w:r>
      <w:r w:rsidRPr="00C20287">
        <w:rPr>
          <w:color w:val="0D0D0D" w:themeColor="text1" w:themeTint="F2"/>
          <w:sz w:val="24"/>
          <w:szCs w:val="24"/>
        </w:rPr>
        <w:t>rice, such as the Dangerous Drug Fee, that are paid where applicable. The Dangerous Drug Fee is for highly regulated medicines, such as opioids.</w:t>
      </w:r>
    </w:p>
    <w:p w14:paraId="6B2498F1" w14:textId="55F0665D" w:rsidR="00C8612E" w:rsidRDefault="00C8612E" w:rsidP="00C8612E">
      <w:pPr>
        <w:rPr>
          <w:color w:val="0D0D0D" w:themeColor="text1" w:themeTint="F2"/>
          <w:sz w:val="24"/>
          <w:szCs w:val="24"/>
        </w:rPr>
      </w:pPr>
      <w:r w:rsidRPr="00C20287">
        <w:rPr>
          <w:color w:val="0D0D0D" w:themeColor="text1" w:themeTint="F2"/>
          <w:sz w:val="24"/>
          <w:szCs w:val="24"/>
        </w:rPr>
        <w:t xml:space="preserve">The Dispensing Fee and the AHI fee are currently indexed annually on 1 July, in line with the indexation parameters agreed through the </w:t>
      </w:r>
      <w:r w:rsidR="001346EB">
        <w:rPr>
          <w:color w:val="0D0D0D" w:themeColor="text1" w:themeTint="F2"/>
          <w:sz w:val="24"/>
          <w:szCs w:val="24"/>
        </w:rPr>
        <w:t>CPA</w:t>
      </w:r>
      <w:r w:rsidRPr="00C20287">
        <w:rPr>
          <w:color w:val="0D0D0D" w:themeColor="text1" w:themeTint="F2"/>
          <w:sz w:val="24"/>
          <w:szCs w:val="24"/>
        </w:rPr>
        <w:t xml:space="preserve">. The current values of each of the components of the Commonwealth </w:t>
      </w:r>
      <w:r w:rsidR="00B472A0">
        <w:rPr>
          <w:color w:val="0D0D0D" w:themeColor="text1" w:themeTint="F2"/>
          <w:sz w:val="24"/>
          <w:szCs w:val="24"/>
        </w:rPr>
        <w:t>p</w:t>
      </w:r>
      <w:r w:rsidRPr="00C20287">
        <w:rPr>
          <w:color w:val="0D0D0D" w:themeColor="text1" w:themeTint="F2"/>
          <w:sz w:val="24"/>
          <w:szCs w:val="24"/>
        </w:rPr>
        <w:t>rice are included in</w:t>
      </w:r>
      <w:r>
        <w:rPr>
          <w:color w:val="0D0D0D" w:themeColor="text1" w:themeTint="F2"/>
          <w:sz w:val="24"/>
          <w:szCs w:val="24"/>
        </w:rPr>
        <w:t xml:space="preserve"> the blue cells </w:t>
      </w:r>
      <w:r w:rsidRPr="003B412F">
        <w:rPr>
          <w:color w:val="0D0D0D" w:themeColor="text1" w:themeTint="F2"/>
          <w:sz w:val="24"/>
          <w:szCs w:val="24"/>
        </w:rPr>
        <w:t xml:space="preserve">of </w:t>
      </w:r>
      <w:r w:rsidR="003B412F" w:rsidRPr="003B412F">
        <w:rPr>
          <w:color w:val="0D0D0D" w:themeColor="text1" w:themeTint="F2"/>
          <w:sz w:val="24"/>
          <w:szCs w:val="24"/>
        </w:rPr>
        <w:fldChar w:fldCharType="begin"/>
      </w:r>
      <w:r w:rsidR="003B412F" w:rsidRPr="003B412F">
        <w:rPr>
          <w:color w:val="0D0D0D" w:themeColor="text1" w:themeTint="F2"/>
          <w:sz w:val="24"/>
          <w:szCs w:val="24"/>
        </w:rPr>
        <w:instrText xml:space="preserve"> REF _Ref159401726 \h </w:instrText>
      </w:r>
      <w:r w:rsidR="003B412F">
        <w:rPr>
          <w:color w:val="0D0D0D" w:themeColor="text1" w:themeTint="F2"/>
          <w:sz w:val="24"/>
          <w:szCs w:val="24"/>
        </w:rPr>
        <w:instrText xml:space="preserve"> \* MERGEFORMAT </w:instrText>
      </w:r>
      <w:r w:rsidR="003B412F" w:rsidRPr="003B412F">
        <w:rPr>
          <w:color w:val="0D0D0D" w:themeColor="text1" w:themeTint="F2"/>
          <w:sz w:val="24"/>
          <w:szCs w:val="24"/>
        </w:rPr>
      </w:r>
      <w:r w:rsidR="003B412F" w:rsidRPr="003B412F">
        <w:rPr>
          <w:color w:val="0D0D0D" w:themeColor="text1" w:themeTint="F2"/>
          <w:sz w:val="24"/>
          <w:szCs w:val="24"/>
        </w:rPr>
        <w:fldChar w:fldCharType="separate"/>
      </w:r>
      <w:r w:rsidR="003B412F" w:rsidRPr="003B412F">
        <w:rPr>
          <w:sz w:val="24"/>
          <w:szCs w:val="24"/>
        </w:rPr>
        <w:t xml:space="preserve">Table </w:t>
      </w:r>
      <w:r w:rsidR="003B412F" w:rsidRPr="003B412F">
        <w:rPr>
          <w:noProof/>
          <w:sz w:val="24"/>
          <w:szCs w:val="24"/>
        </w:rPr>
        <w:t>1</w:t>
      </w:r>
      <w:r w:rsidR="003B412F" w:rsidRPr="003B412F">
        <w:rPr>
          <w:color w:val="0D0D0D" w:themeColor="text1" w:themeTint="F2"/>
          <w:sz w:val="24"/>
          <w:szCs w:val="24"/>
        </w:rPr>
        <w:fldChar w:fldCharType="end"/>
      </w:r>
      <w:r w:rsidRPr="00C20287">
        <w:rPr>
          <w:color w:val="0D0D0D" w:themeColor="text1" w:themeTint="F2"/>
          <w:sz w:val="24"/>
          <w:szCs w:val="24"/>
        </w:rPr>
        <w:fldChar w:fldCharType="begin"/>
      </w:r>
      <w:r w:rsidRPr="00C20287">
        <w:rPr>
          <w:color w:val="0D0D0D" w:themeColor="text1" w:themeTint="F2"/>
          <w:sz w:val="24"/>
          <w:szCs w:val="24"/>
        </w:rPr>
        <w:instrText xml:space="preserve"> REF _Ref150276248 \h  \* MERGEFORMAT </w:instrText>
      </w:r>
      <w:r w:rsidRPr="00C20287">
        <w:rPr>
          <w:color w:val="0D0D0D" w:themeColor="text1" w:themeTint="F2"/>
          <w:sz w:val="24"/>
          <w:szCs w:val="24"/>
        </w:rPr>
      </w:r>
      <w:r w:rsidRPr="00C20287">
        <w:rPr>
          <w:color w:val="0D0D0D" w:themeColor="text1" w:themeTint="F2"/>
          <w:sz w:val="24"/>
          <w:szCs w:val="24"/>
        </w:rPr>
        <w:fldChar w:fldCharType="end"/>
      </w:r>
      <w:r w:rsidRPr="00C20287">
        <w:rPr>
          <w:color w:val="0D0D0D" w:themeColor="text1" w:themeTint="F2"/>
          <w:sz w:val="24"/>
          <w:szCs w:val="24"/>
        </w:rPr>
        <w:t xml:space="preserve"> below.</w:t>
      </w:r>
      <w:r>
        <w:rPr>
          <w:color w:val="0D0D0D" w:themeColor="text1" w:themeTint="F2"/>
          <w:sz w:val="24"/>
          <w:szCs w:val="24"/>
        </w:rPr>
        <w:t xml:space="preserve"> Table 1 also outlines the additional fees as well as the patient co-payment amounts and </w:t>
      </w:r>
      <w:r w:rsidR="001346EB">
        <w:rPr>
          <w:color w:val="0D0D0D" w:themeColor="text1" w:themeTint="F2"/>
          <w:sz w:val="24"/>
          <w:szCs w:val="24"/>
        </w:rPr>
        <w:t>S</w:t>
      </w:r>
      <w:r>
        <w:rPr>
          <w:color w:val="0D0D0D" w:themeColor="text1" w:themeTint="F2"/>
          <w:sz w:val="24"/>
          <w:szCs w:val="24"/>
        </w:rPr>
        <w:t xml:space="preserve">afety </w:t>
      </w:r>
      <w:r w:rsidR="001346EB">
        <w:rPr>
          <w:color w:val="0D0D0D" w:themeColor="text1" w:themeTint="F2"/>
          <w:sz w:val="24"/>
          <w:szCs w:val="24"/>
        </w:rPr>
        <w:t>N</w:t>
      </w:r>
      <w:r>
        <w:rPr>
          <w:color w:val="0D0D0D" w:themeColor="text1" w:themeTint="F2"/>
          <w:sz w:val="24"/>
          <w:szCs w:val="24"/>
        </w:rPr>
        <w:t>et thresholds as at 1 January 2024.</w:t>
      </w:r>
    </w:p>
    <w:p w14:paraId="760C52C1" w14:textId="77777777" w:rsidR="00C8612E" w:rsidRDefault="00C8612E" w:rsidP="00C8612E">
      <w:pPr>
        <w:rPr>
          <w:color w:val="0D0D0D" w:themeColor="text1" w:themeTint="F2"/>
          <w:sz w:val="24"/>
          <w:szCs w:val="24"/>
        </w:rPr>
      </w:pPr>
      <w:r>
        <w:rPr>
          <w:color w:val="0D0D0D" w:themeColor="text1" w:themeTint="F2"/>
          <w:sz w:val="24"/>
          <w:szCs w:val="24"/>
        </w:rPr>
        <w:br w:type="page"/>
      </w:r>
    </w:p>
    <w:p w14:paraId="51CFA408" w14:textId="1CB3F15E" w:rsidR="00C8612E" w:rsidRPr="00C20287" w:rsidRDefault="00C8612E" w:rsidP="00C8612E">
      <w:pPr>
        <w:pStyle w:val="Caption"/>
        <w:ind w:left="0" w:firstLine="0"/>
      </w:pPr>
      <w:bookmarkStart w:id="44" w:name="_Ref159401726"/>
      <w:r w:rsidRPr="00C20287">
        <w:lastRenderedPageBreak/>
        <w:t xml:space="preserve">Table </w:t>
      </w:r>
      <w:fldSimple w:instr=" SEQ Table \* ARABIC ">
        <w:r w:rsidR="005B7A17">
          <w:rPr>
            <w:noProof/>
          </w:rPr>
          <w:t>1</w:t>
        </w:r>
      </w:fldSimple>
      <w:bookmarkEnd w:id="44"/>
      <w:r w:rsidRPr="00C20287">
        <w:t xml:space="preserve"> PBS Fees, Patient Contributions and Safety Net Thresholds as at </w:t>
      </w:r>
      <w:r>
        <w:t>1January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51"/>
        <w:gridCol w:w="1011"/>
        <w:gridCol w:w="2912"/>
        <w:gridCol w:w="3642"/>
      </w:tblGrid>
      <w:tr w:rsidR="00C8612E" w:rsidRPr="00C20287" w14:paraId="39E1C812" w14:textId="77777777" w:rsidTr="00EE1495">
        <w:tc>
          <w:tcPr>
            <w:tcW w:w="1291" w:type="pct"/>
            <w:gridSpan w:val="2"/>
            <w:vMerge w:val="restart"/>
            <w:shd w:val="clear" w:color="auto" w:fill="D5F1FE" w:themeFill="accent2" w:themeFillTint="1A"/>
            <w:tcMar>
              <w:top w:w="75" w:type="dxa"/>
              <w:left w:w="75" w:type="dxa"/>
              <w:bottom w:w="75" w:type="dxa"/>
              <w:right w:w="75" w:type="dxa"/>
            </w:tcMar>
            <w:hideMark/>
          </w:tcPr>
          <w:p w14:paraId="25D4B2BB" w14:textId="77777777" w:rsidR="00C8612E" w:rsidRPr="00C20287" w:rsidRDefault="00C8612E" w:rsidP="00EE1495">
            <w:pPr>
              <w:pStyle w:val="BodyText"/>
              <w:spacing w:after="0" w:line="240" w:lineRule="auto"/>
            </w:pPr>
            <w:r w:rsidRPr="00C20287">
              <w:rPr>
                <w:b/>
                <w:bCs/>
              </w:rPr>
              <w:t>Dispensing Fees:</w:t>
            </w:r>
          </w:p>
        </w:tc>
        <w:tc>
          <w:tcPr>
            <w:tcW w:w="1652" w:type="pct"/>
            <w:shd w:val="clear" w:color="auto" w:fill="D5F1FE" w:themeFill="accent2" w:themeFillTint="1A"/>
            <w:tcMar>
              <w:top w:w="75" w:type="dxa"/>
              <w:left w:w="75" w:type="dxa"/>
              <w:bottom w:w="75" w:type="dxa"/>
              <w:right w:w="75" w:type="dxa"/>
            </w:tcMar>
            <w:hideMark/>
          </w:tcPr>
          <w:p w14:paraId="6BD97205" w14:textId="77777777" w:rsidR="00C8612E" w:rsidRPr="00C20287" w:rsidRDefault="00C8612E" w:rsidP="00EE1495">
            <w:pPr>
              <w:pStyle w:val="BodyText"/>
              <w:spacing w:after="0" w:line="240" w:lineRule="auto"/>
            </w:pPr>
            <w:r w:rsidRPr="00C20287">
              <w:t>Ready-prepared</w:t>
            </w:r>
          </w:p>
        </w:tc>
        <w:tc>
          <w:tcPr>
            <w:tcW w:w="2057" w:type="pct"/>
            <w:shd w:val="clear" w:color="auto" w:fill="D5F1FE" w:themeFill="accent2" w:themeFillTint="1A"/>
            <w:tcMar>
              <w:top w:w="75" w:type="dxa"/>
              <w:left w:w="75" w:type="dxa"/>
              <w:bottom w:w="75" w:type="dxa"/>
              <w:right w:w="75" w:type="dxa"/>
            </w:tcMar>
            <w:hideMark/>
          </w:tcPr>
          <w:p w14:paraId="0FF80B9A" w14:textId="77777777" w:rsidR="00C8612E" w:rsidRPr="00C20287" w:rsidRDefault="00C8612E" w:rsidP="00EE1495">
            <w:pPr>
              <w:pStyle w:val="BodyText"/>
              <w:spacing w:after="0" w:line="240" w:lineRule="auto"/>
            </w:pPr>
            <w:r w:rsidRPr="00C20287">
              <w:t>$8.37</w:t>
            </w:r>
          </w:p>
        </w:tc>
      </w:tr>
      <w:tr w:rsidR="00C8612E" w:rsidRPr="00C20287" w14:paraId="6DCF42FC" w14:textId="77777777" w:rsidTr="00EE1495">
        <w:tc>
          <w:tcPr>
            <w:tcW w:w="1291" w:type="pct"/>
            <w:gridSpan w:val="2"/>
            <w:vMerge/>
            <w:shd w:val="clear" w:color="auto" w:fill="D5F1FE" w:themeFill="accent2" w:themeFillTint="1A"/>
            <w:vAlign w:val="center"/>
            <w:hideMark/>
          </w:tcPr>
          <w:p w14:paraId="25C52C10" w14:textId="77777777" w:rsidR="00C8612E" w:rsidRPr="00C20287" w:rsidRDefault="00C8612E" w:rsidP="00EE1495">
            <w:pPr>
              <w:pStyle w:val="BodyText"/>
              <w:spacing w:after="0" w:line="240" w:lineRule="auto"/>
            </w:pPr>
          </w:p>
        </w:tc>
        <w:tc>
          <w:tcPr>
            <w:tcW w:w="1652" w:type="pct"/>
            <w:shd w:val="clear" w:color="auto" w:fill="D5F1FE" w:themeFill="accent2" w:themeFillTint="1A"/>
            <w:tcMar>
              <w:top w:w="75" w:type="dxa"/>
              <w:left w:w="75" w:type="dxa"/>
              <w:bottom w:w="75" w:type="dxa"/>
              <w:right w:w="75" w:type="dxa"/>
            </w:tcMar>
            <w:hideMark/>
          </w:tcPr>
          <w:p w14:paraId="18382D45" w14:textId="77777777" w:rsidR="00C8612E" w:rsidRPr="00C20287" w:rsidRDefault="00C8612E" w:rsidP="00EE1495">
            <w:pPr>
              <w:pStyle w:val="BodyText"/>
              <w:spacing w:after="0" w:line="240" w:lineRule="auto"/>
            </w:pPr>
            <w:r w:rsidRPr="00C20287">
              <w:t>Dangerous drug fee</w:t>
            </w:r>
          </w:p>
        </w:tc>
        <w:tc>
          <w:tcPr>
            <w:tcW w:w="2057" w:type="pct"/>
            <w:shd w:val="clear" w:color="auto" w:fill="D5F1FE" w:themeFill="accent2" w:themeFillTint="1A"/>
            <w:tcMar>
              <w:top w:w="75" w:type="dxa"/>
              <w:left w:w="75" w:type="dxa"/>
              <w:bottom w:w="75" w:type="dxa"/>
              <w:right w:w="75" w:type="dxa"/>
            </w:tcMar>
            <w:hideMark/>
          </w:tcPr>
          <w:p w14:paraId="3E2D602C" w14:textId="77777777" w:rsidR="00C8612E" w:rsidRPr="00C20287" w:rsidRDefault="00C8612E" w:rsidP="00EE1495">
            <w:pPr>
              <w:pStyle w:val="BodyText"/>
              <w:spacing w:after="0" w:line="240" w:lineRule="auto"/>
            </w:pPr>
            <w:r w:rsidRPr="00C20287">
              <w:t>$5.18</w:t>
            </w:r>
          </w:p>
        </w:tc>
      </w:tr>
      <w:tr w:rsidR="00C8612E" w:rsidRPr="00C20287" w14:paraId="7BFB6E0B" w14:textId="77777777" w:rsidTr="00EE1495">
        <w:tc>
          <w:tcPr>
            <w:tcW w:w="1291" w:type="pct"/>
            <w:gridSpan w:val="2"/>
            <w:vMerge/>
            <w:shd w:val="clear" w:color="auto" w:fill="D5F1FE" w:themeFill="accent2" w:themeFillTint="1A"/>
            <w:vAlign w:val="center"/>
            <w:hideMark/>
          </w:tcPr>
          <w:p w14:paraId="4349B6EE" w14:textId="77777777" w:rsidR="00C8612E" w:rsidRPr="00C20287" w:rsidRDefault="00C8612E" w:rsidP="00EE1495">
            <w:pPr>
              <w:pStyle w:val="BodyText"/>
              <w:spacing w:after="0" w:line="240" w:lineRule="auto"/>
            </w:pPr>
          </w:p>
        </w:tc>
        <w:tc>
          <w:tcPr>
            <w:tcW w:w="1652" w:type="pct"/>
            <w:shd w:val="clear" w:color="auto" w:fill="D5F1FE" w:themeFill="accent2" w:themeFillTint="1A"/>
            <w:tcMar>
              <w:top w:w="75" w:type="dxa"/>
              <w:left w:w="75" w:type="dxa"/>
              <w:bottom w:w="75" w:type="dxa"/>
              <w:right w:w="75" w:type="dxa"/>
            </w:tcMar>
            <w:hideMark/>
          </w:tcPr>
          <w:p w14:paraId="7DFBAC30" w14:textId="77777777" w:rsidR="00C8612E" w:rsidRPr="00C20287" w:rsidRDefault="00C8612E" w:rsidP="00EE1495">
            <w:pPr>
              <w:pStyle w:val="BodyText"/>
              <w:spacing w:after="0" w:line="240" w:lineRule="auto"/>
            </w:pPr>
            <w:r w:rsidRPr="00C20287">
              <w:t>Extemporaneously-prepared</w:t>
            </w:r>
          </w:p>
        </w:tc>
        <w:tc>
          <w:tcPr>
            <w:tcW w:w="2057" w:type="pct"/>
            <w:shd w:val="clear" w:color="auto" w:fill="D5F1FE" w:themeFill="accent2" w:themeFillTint="1A"/>
            <w:tcMar>
              <w:top w:w="75" w:type="dxa"/>
              <w:left w:w="75" w:type="dxa"/>
              <w:bottom w:w="75" w:type="dxa"/>
              <w:right w:w="75" w:type="dxa"/>
            </w:tcMar>
            <w:hideMark/>
          </w:tcPr>
          <w:p w14:paraId="3B09A493" w14:textId="77777777" w:rsidR="00C8612E" w:rsidRPr="00C20287" w:rsidRDefault="00C8612E" w:rsidP="00EE1495">
            <w:pPr>
              <w:pStyle w:val="BodyText"/>
              <w:spacing w:after="0" w:line="240" w:lineRule="auto"/>
            </w:pPr>
            <w:r w:rsidRPr="00C20287">
              <w:t>$10.41</w:t>
            </w:r>
          </w:p>
        </w:tc>
      </w:tr>
      <w:tr w:rsidR="00C8612E" w:rsidRPr="00C20287" w14:paraId="7BC9E88A" w14:textId="77777777" w:rsidTr="00EE1495">
        <w:tc>
          <w:tcPr>
            <w:tcW w:w="1291" w:type="pct"/>
            <w:gridSpan w:val="2"/>
            <w:vMerge/>
            <w:shd w:val="clear" w:color="auto" w:fill="D5F1FE" w:themeFill="accent2" w:themeFillTint="1A"/>
            <w:vAlign w:val="center"/>
            <w:hideMark/>
          </w:tcPr>
          <w:p w14:paraId="77B9A99C" w14:textId="77777777" w:rsidR="00C8612E" w:rsidRPr="00C20287" w:rsidRDefault="00C8612E" w:rsidP="00EE1495">
            <w:pPr>
              <w:pStyle w:val="BodyText"/>
              <w:spacing w:after="0" w:line="240" w:lineRule="auto"/>
            </w:pPr>
          </w:p>
        </w:tc>
        <w:tc>
          <w:tcPr>
            <w:tcW w:w="1652" w:type="pct"/>
            <w:shd w:val="clear" w:color="auto" w:fill="D5F1FE" w:themeFill="accent2" w:themeFillTint="1A"/>
            <w:tcMar>
              <w:top w:w="75" w:type="dxa"/>
              <w:left w:w="75" w:type="dxa"/>
              <w:bottom w:w="75" w:type="dxa"/>
              <w:right w:w="75" w:type="dxa"/>
            </w:tcMar>
            <w:hideMark/>
          </w:tcPr>
          <w:p w14:paraId="28ACAB34" w14:textId="77777777" w:rsidR="00C8612E" w:rsidRPr="00C20287" w:rsidRDefault="00C8612E" w:rsidP="00EE1495">
            <w:pPr>
              <w:pStyle w:val="BodyText"/>
              <w:spacing w:after="0" w:line="240" w:lineRule="auto"/>
            </w:pPr>
            <w:r w:rsidRPr="00C20287">
              <w:t>Allowable additional patient charge*</w:t>
            </w:r>
          </w:p>
        </w:tc>
        <w:tc>
          <w:tcPr>
            <w:tcW w:w="2057" w:type="pct"/>
            <w:shd w:val="clear" w:color="auto" w:fill="D5F1FE" w:themeFill="accent2" w:themeFillTint="1A"/>
            <w:tcMar>
              <w:top w:w="75" w:type="dxa"/>
              <w:left w:w="75" w:type="dxa"/>
              <w:bottom w:w="75" w:type="dxa"/>
              <w:right w:w="75" w:type="dxa"/>
            </w:tcMar>
            <w:hideMark/>
          </w:tcPr>
          <w:p w14:paraId="0330A22A" w14:textId="77777777" w:rsidR="00C8612E" w:rsidRPr="00C20287" w:rsidRDefault="00C8612E" w:rsidP="00EE1495">
            <w:pPr>
              <w:pStyle w:val="BodyText"/>
              <w:spacing w:after="0" w:line="240" w:lineRule="auto"/>
            </w:pPr>
            <w:r w:rsidRPr="00C20287">
              <w:t>$</w:t>
            </w:r>
            <w:r>
              <w:t>3.45</w:t>
            </w:r>
          </w:p>
        </w:tc>
      </w:tr>
      <w:tr w:rsidR="00C8612E" w:rsidRPr="00C20287" w14:paraId="30D4637A" w14:textId="77777777" w:rsidTr="00EE1495">
        <w:tc>
          <w:tcPr>
            <w:tcW w:w="1291" w:type="pct"/>
            <w:gridSpan w:val="2"/>
            <w:shd w:val="clear" w:color="auto" w:fill="D5F1FE" w:themeFill="accent2" w:themeFillTint="1A"/>
            <w:tcMar>
              <w:top w:w="75" w:type="dxa"/>
              <w:left w:w="75" w:type="dxa"/>
              <w:bottom w:w="75" w:type="dxa"/>
              <w:right w:w="75" w:type="dxa"/>
            </w:tcMar>
            <w:hideMark/>
          </w:tcPr>
          <w:p w14:paraId="0BEAFAB0" w14:textId="77777777" w:rsidR="00C8612E" w:rsidRPr="00C20287" w:rsidRDefault="00C8612E" w:rsidP="00EE1495">
            <w:pPr>
              <w:pStyle w:val="BodyText"/>
              <w:spacing w:after="0" w:line="240" w:lineRule="auto"/>
            </w:pPr>
            <w:r w:rsidRPr="00C20287">
              <w:rPr>
                <w:b/>
                <w:bCs/>
              </w:rPr>
              <w:t>Wholesale Mark-Up (for Ready Prepared Pharmaceutical Benefits)***</w:t>
            </w:r>
          </w:p>
        </w:tc>
        <w:tc>
          <w:tcPr>
            <w:tcW w:w="1652" w:type="pct"/>
            <w:shd w:val="clear" w:color="auto" w:fill="D5F1FE" w:themeFill="accent2" w:themeFillTint="1A"/>
            <w:tcMar>
              <w:top w:w="75" w:type="dxa"/>
              <w:left w:w="75" w:type="dxa"/>
              <w:bottom w:w="75" w:type="dxa"/>
              <w:right w:w="75" w:type="dxa"/>
            </w:tcMar>
            <w:hideMark/>
          </w:tcPr>
          <w:p w14:paraId="509FE26A" w14:textId="77777777" w:rsidR="00C8612E" w:rsidRPr="00C20287" w:rsidRDefault="00C8612E" w:rsidP="00EE1495">
            <w:pPr>
              <w:pStyle w:val="BodyText"/>
              <w:spacing w:after="0" w:line="240" w:lineRule="auto"/>
            </w:pPr>
            <w:r w:rsidRPr="00C20287">
              <w:t>When the Ex-Manufacturer Price is up to and including $5.50</w:t>
            </w:r>
          </w:p>
        </w:tc>
        <w:tc>
          <w:tcPr>
            <w:tcW w:w="2057" w:type="pct"/>
            <w:shd w:val="clear" w:color="auto" w:fill="D5F1FE" w:themeFill="accent2" w:themeFillTint="1A"/>
            <w:tcMar>
              <w:top w:w="75" w:type="dxa"/>
              <w:left w:w="75" w:type="dxa"/>
              <w:bottom w:w="75" w:type="dxa"/>
              <w:right w:w="75" w:type="dxa"/>
            </w:tcMar>
            <w:hideMark/>
          </w:tcPr>
          <w:p w14:paraId="20BDEA5B" w14:textId="77777777" w:rsidR="00C8612E" w:rsidRPr="00C20287" w:rsidRDefault="00C8612E" w:rsidP="00EE1495">
            <w:pPr>
              <w:pStyle w:val="BodyText"/>
              <w:spacing w:after="0" w:line="240" w:lineRule="auto"/>
            </w:pPr>
            <w:r w:rsidRPr="00C20287">
              <w:t>$0.41 per dispense</w:t>
            </w:r>
          </w:p>
        </w:tc>
      </w:tr>
      <w:tr w:rsidR="00C8612E" w:rsidRPr="00C20287" w14:paraId="62AA896B" w14:textId="77777777" w:rsidTr="00EE1495">
        <w:tc>
          <w:tcPr>
            <w:tcW w:w="1291" w:type="pct"/>
            <w:gridSpan w:val="2"/>
            <w:shd w:val="clear" w:color="auto" w:fill="D5F1FE" w:themeFill="accent2" w:themeFillTint="1A"/>
            <w:tcMar>
              <w:top w:w="75" w:type="dxa"/>
              <w:left w:w="75" w:type="dxa"/>
              <w:bottom w:w="75" w:type="dxa"/>
              <w:right w:w="75" w:type="dxa"/>
            </w:tcMar>
            <w:hideMark/>
          </w:tcPr>
          <w:p w14:paraId="5EF8FE8F" w14:textId="77777777" w:rsidR="00C8612E" w:rsidRPr="00C20287" w:rsidRDefault="00C8612E" w:rsidP="00EE1495">
            <w:pPr>
              <w:pStyle w:val="BodyText"/>
              <w:spacing w:after="0" w:line="240" w:lineRule="auto"/>
            </w:pPr>
            <w:r w:rsidRPr="00C20287">
              <w:t> </w:t>
            </w:r>
          </w:p>
        </w:tc>
        <w:tc>
          <w:tcPr>
            <w:tcW w:w="1652" w:type="pct"/>
            <w:shd w:val="clear" w:color="auto" w:fill="D5F1FE" w:themeFill="accent2" w:themeFillTint="1A"/>
            <w:tcMar>
              <w:top w:w="75" w:type="dxa"/>
              <w:left w:w="75" w:type="dxa"/>
              <w:bottom w:w="75" w:type="dxa"/>
              <w:right w:w="75" w:type="dxa"/>
            </w:tcMar>
            <w:hideMark/>
          </w:tcPr>
          <w:p w14:paraId="114A997B" w14:textId="77777777" w:rsidR="00C8612E" w:rsidRPr="00C20287" w:rsidRDefault="00C8612E" w:rsidP="00EE1495">
            <w:pPr>
              <w:pStyle w:val="BodyText"/>
              <w:spacing w:after="0" w:line="240" w:lineRule="auto"/>
            </w:pPr>
            <w:r w:rsidRPr="00C20287">
              <w:t>Where the Ex-Manufacturer Price is over $5.50 and up to and including $720</w:t>
            </w:r>
          </w:p>
        </w:tc>
        <w:tc>
          <w:tcPr>
            <w:tcW w:w="2057" w:type="pct"/>
            <w:shd w:val="clear" w:color="auto" w:fill="D5F1FE" w:themeFill="accent2" w:themeFillTint="1A"/>
            <w:tcMar>
              <w:top w:w="75" w:type="dxa"/>
              <w:left w:w="75" w:type="dxa"/>
              <w:bottom w:w="75" w:type="dxa"/>
              <w:right w:w="75" w:type="dxa"/>
            </w:tcMar>
            <w:hideMark/>
          </w:tcPr>
          <w:p w14:paraId="75EEBBE0" w14:textId="77777777" w:rsidR="00C8612E" w:rsidRPr="00C20287" w:rsidRDefault="00C8612E" w:rsidP="00EE1495">
            <w:pPr>
              <w:pStyle w:val="BodyText"/>
              <w:spacing w:after="0" w:line="240" w:lineRule="auto"/>
            </w:pPr>
            <w:r w:rsidRPr="00C20287">
              <w:t>7.52 per cent of the Ex-Manufacturer Price per dispense</w:t>
            </w:r>
          </w:p>
        </w:tc>
      </w:tr>
      <w:tr w:rsidR="00C8612E" w:rsidRPr="00C20287" w14:paraId="15326946" w14:textId="77777777" w:rsidTr="00EE1495">
        <w:tc>
          <w:tcPr>
            <w:tcW w:w="1291" w:type="pct"/>
            <w:gridSpan w:val="2"/>
            <w:shd w:val="clear" w:color="auto" w:fill="D5F1FE" w:themeFill="accent2" w:themeFillTint="1A"/>
            <w:tcMar>
              <w:top w:w="75" w:type="dxa"/>
              <w:left w:w="75" w:type="dxa"/>
              <w:bottom w:w="75" w:type="dxa"/>
              <w:right w:w="75" w:type="dxa"/>
            </w:tcMar>
            <w:hideMark/>
          </w:tcPr>
          <w:p w14:paraId="4366B041" w14:textId="77777777" w:rsidR="00C8612E" w:rsidRPr="00C20287" w:rsidRDefault="00C8612E" w:rsidP="00EE1495">
            <w:pPr>
              <w:pStyle w:val="BodyText"/>
              <w:spacing w:after="0" w:line="240" w:lineRule="auto"/>
            </w:pPr>
            <w:r w:rsidRPr="00C20287">
              <w:t> </w:t>
            </w:r>
          </w:p>
        </w:tc>
        <w:tc>
          <w:tcPr>
            <w:tcW w:w="1652" w:type="pct"/>
            <w:shd w:val="clear" w:color="auto" w:fill="D5F1FE" w:themeFill="accent2" w:themeFillTint="1A"/>
            <w:tcMar>
              <w:top w:w="75" w:type="dxa"/>
              <w:left w:w="75" w:type="dxa"/>
              <w:bottom w:w="75" w:type="dxa"/>
              <w:right w:w="75" w:type="dxa"/>
            </w:tcMar>
            <w:hideMark/>
          </w:tcPr>
          <w:p w14:paraId="5584740B" w14:textId="77777777" w:rsidR="00C8612E" w:rsidRPr="00C20287" w:rsidRDefault="00C8612E" w:rsidP="00EE1495">
            <w:pPr>
              <w:pStyle w:val="BodyText"/>
              <w:spacing w:after="0" w:line="240" w:lineRule="auto"/>
            </w:pPr>
            <w:r w:rsidRPr="00C20287">
              <w:t>Where the Ex-Manufacturer Price is over $720</w:t>
            </w:r>
          </w:p>
        </w:tc>
        <w:tc>
          <w:tcPr>
            <w:tcW w:w="2057" w:type="pct"/>
            <w:shd w:val="clear" w:color="auto" w:fill="D5F1FE" w:themeFill="accent2" w:themeFillTint="1A"/>
            <w:tcMar>
              <w:top w:w="75" w:type="dxa"/>
              <w:left w:w="75" w:type="dxa"/>
              <w:bottom w:w="75" w:type="dxa"/>
              <w:right w:w="75" w:type="dxa"/>
            </w:tcMar>
            <w:hideMark/>
          </w:tcPr>
          <w:p w14:paraId="5564C04F" w14:textId="77777777" w:rsidR="00C8612E" w:rsidRPr="00C20287" w:rsidRDefault="00C8612E" w:rsidP="00EE1495">
            <w:pPr>
              <w:pStyle w:val="BodyText"/>
              <w:spacing w:after="0" w:line="240" w:lineRule="auto"/>
            </w:pPr>
            <w:r w:rsidRPr="00C20287">
              <w:t>$54.14 per dispense</w:t>
            </w:r>
          </w:p>
        </w:tc>
      </w:tr>
      <w:tr w:rsidR="00C8612E" w:rsidRPr="00C20287" w14:paraId="20C022D7" w14:textId="77777777" w:rsidTr="00FF4C3F">
        <w:trPr>
          <w:cantSplit/>
        </w:trPr>
        <w:tc>
          <w:tcPr>
            <w:tcW w:w="693" w:type="pct"/>
            <w:vMerge w:val="restart"/>
            <w:shd w:val="clear" w:color="auto" w:fill="D5F1FE" w:themeFill="accent2" w:themeFillTint="1A"/>
            <w:tcMar>
              <w:top w:w="75" w:type="dxa"/>
              <w:left w:w="75" w:type="dxa"/>
              <w:bottom w:w="75" w:type="dxa"/>
              <w:right w:w="75" w:type="dxa"/>
            </w:tcMar>
            <w:hideMark/>
          </w:tcPr>
          <w:p w14:paraId="49FD5C59" w14:textId="77777777" w:rsidR="00C8612E" w:rsidRPr="00C20287" w:rsidRDefault="00C8612E" w:rsidP="00EE1495">
            <w:pPr>
              <w:pStyle w:val="BodyText"/>
              <w:spacing w:after="0" w:line="240" w:lineRule="auto"/>
            </w:pPr>
            <w:r w:rsidRPr="00C20287">
              <w:rPr>
                <w:b/>
                <w:bCs/>
              </w:rPr>
              <w:t>Administration, Handling and Infrastructure Fee (AHI Fee)</w:t>
            </w:r>
          </w:p>
        </w:tc>
        <w:tc>
          <w:tcPr>
            <w:tcW w:w="598" w:type="pct"/>
            <w:shd w:val="clear" w:color="auto" w:fill="D5F1FE" w:themeFill="accent2" w:themeFillTint="1A"/>
            <w:tcMar>
              <w:top w:w="75" w:type="dxa"/>
              <w:left w:w="75" w:type="dxa"/>
              <w:bottom w:w="75" w:type="dxa"/>
              <w:right w:w="75" w:type="dxa"/>
            </w:tcMar>
            <w:textDirection w:val="btLr"/>
            <w:hideMark/>
          </w:tcPr>
          <w:p w14:paraId="17CCABD5" w14:textId="77777777" w:rsidR="00C8612E" w:rsidRPr="00C20287" w:rsidRDefault="00C8612E" w:rsidP="00FF4C3F">
            <w:pPr>
              <w:pStyle w:val="BodyText"/>
              <w:spacing w:after="0" w:line="240" w:lineRule="auto"/>
              <w:ind w:left="113" w:right="113"/>
              <w:jc w:val="center"/>
            </w:pPr>
            <w:r w:rsidRPr="00C20287">
              <w:t>Tier One AHI Fee</w:t>
            </w:r>
          </w:p>
        </w:tc>
        <w:tc>
          <w:tcPr>
            <w:tcW w:w="1652" w:type="pct"/>
            <w:shd w:val="clear" w:color="auto" w:fill="D5F1FE" w:themeFill="accent2" w:themeFillTint="1A"/>
            <w:tcMar>
              <w:top w:w="75" w:type="dxa"/>
              <w:left w:w="75" w:type="dxa"/>
              <w:bottom w:w="75" w:type="dxa"/>
              <w:right w:w="75" w:type="dxa"/>
            </w:tcMar>
            <w:hideMark/>
          </w:tcPr>
          <w:p w14:paraId="21E8DAA1" w14:textId="77777777" w:rsidR="00C8612E" w:rsidRPr="00C20287" w:rsidRDefault="00C8612E" w:rsidP="00EE1495">
            <w:pPr>
              <w:pStyle w:val="BodyText"/>
              <w:spacing w:after="0" w:line="240" w:lineRule="auto"/>
            </w:pPr>
            <w:r w:rsidRPr="00C20287">
              <w:t>For a Listed Brand with a Price to Pharmacists for Maximum Quantity less than $100</w:t>
            </w:r>
          </w:p>
        </w:tc>
        <w:tc>
          <w:tcPr>
            <w:tcW w:w="2057" w:type="pct"/>
            <w:shd w:val="clear" w:color="auto" w:fill="D5F1FE" w:themeFill="accent2" w:themeFillTint="1A"/>
            <w:tcMar>
              <w:top w:w="75" w:type="dxa"/>
              <w:left w:w="75" w:type="dxa"/>
              <w:bottom w:w="75" w:type="dxa"/>
              <w:right w:w="75" w:type="dxa"/>
            </w:tcMar>
            <w:hideMark/>
          </w:tcPr>
          <w:p w14:paraId="7D181A91" w14:textId="77777777" w:rsidR="00C8612E" w:rsidRPr="00C20287" w:rsidRDefault="00C8612E" w:rsidP="00EE1495">
            <w:pPr>
              <w:pStyle w:val="BodyText"/>
              <w:spacing w:after="0" w:line="240" w:lineRule="auto"/>
            </w:pPr>
            <w:r w:rsidRPr="00C20287">
              <w:t>$4.62 per dispense of Maximum Quantity</w:t>
            </w:r>
          </w:p>
        </w:tc>
      </w:tr>
      <w:tr w:rsidR="00C8612E" w:rsidRPr="00C20287" w14:paraId="13428F37" w14:textId="77777777" w:rsidTr="00FF4C3F">
        <w:trPr>
          <w:cantSplit/>
        </w:trPr>
        <w:tc>
          <w:tcPr>
            <w:tcW w:w="693" w:type="pct"/>
            <w:vMerge/>
            <w:shd w:val="clear" w:color="auto" w:fill="D5F1FE" w:themeFill="accent2" w:themeFillTint="1A"/>
            <w:vAlign w:val="center"/>
            <w:hideMark/>
          </w:tcPr>
          <w:p w14:paraId="060556D2" w14:textId="77777777" w:rsidR="00C8612E" w:rsidRPr="00C20287" w:rsidRDefault="00C8612E" w:rsidP="00EE1495">
            <w:pPr>
              <w:pStyle w:val="BodyText"/>
              <w:spacing w:after="0" w:line="240" w:lineRule="auto"/>
            </w:pPr>
          </w:p>
        </w:tc>
        <w:tc>
          <w:tcPr>
            <w:tcW w:w="598" w:type="pct"/>
            <w:shd w:val="clear" w:color="auto" w:fill="D5F1FE" w:themeFill="accent2" w:themeFillTint="1A"/>
            <w:tcMar>
              <w:top w:w="75" w:type="dxa"/>
              <w:left w:w="75" w:type="dxa"/>
              <w:bottom w:w="75" w:type="dxa"/>
              <w:right w:w="75" w:type="dxa"/>
            </w:tcMar>
            <w:textDirection w:val="btLr"/>
            <w:hideMark/>
          </w:tcPr>
          <w:p w14:paraId="15E0590F" w14:textId="77777777" w:rsidR="00C8612E" w:rsidRPr="00C20287" w:rsidRDefault="00C8612E" w:rsidP="00FF4C3F">
            <w:pPr>
              <w:pStyle w:val="BodyText"/>
              <w:spacing w:after="0" w:line="240" w:lineRule="auto"/>
              <w:ind w:left="113" w:right="113"/>
              <w:jc w:val="center"/>
            </w:pPr>
            <w:r w:rsidRPr="00C20287">
              <w:t>Tier Two AHI Fee</w:t>
            </w:r>
          </w:p>
        </w:tc>
        <w:tc>
          <w:tcPr>
            <w:tcW w:w="1652" w:type="pct"/>
            <w:shd w:val="clear" w:color="auto" w:fill="D5F1FE" w:themeFill="accent2" w:themeFillTint="1A"/>
            <w:tcMar>
              <w:top w:w="75" w:type="dxa"/>
              <w:left w:w="75" w:type="dxa"/>
              <w:bottom w:w="75" w:type="dxa"/>
              <w:right w:w="75" w:type="dxa"/>
            </w:tcMar>
            <w:hideMark/>
          </w:tcPr>
          <w:p w14:paraId="5AC552B7" w14:textId="77777777" w:rsidR="00C8612E" w:rsidRPr="00C20287" w:rsidRDefault="00C8612E" w:rsidP="00EE1495">
            <w:pPr>
              <w:pStyle w:val="BodyText"/>
              <w:spacing w:after="0" w:line="240" w:lineRule="auto"/>
            </w:pPr>
            <w:r w:rsidRPr="00C20287">
              <w:t>For a Listed Brand with a Price to Pharmacists for Maximum Quantity from $100 and up to and including $2,000</w:t>
            </w:r>
          </w:p>
        </w:tc>
        <w:tc>
          <w:tcPr>
            <w:tcW w:w="2057" w:type="pct"/>
            <w:shd w:val="clear" w:color="auto" w:fill="D5F1FE" w:themeFill="accent2" w:themeFillTint="1A"/>
            <w:tcMar>
              <w:top w:w="75" w:type="dxa"/>
              <w:left w:w="75" w:type="dxa"/>
              <w:bottom w:w="75" w:type="dxa"/>
              <w:right w:w="75" w:type="dxa"/>
            </w:tcMar>
            <w:hideMark/>
          </w:tcPr>
          <w:p w14:paraId="5F030E25" w14:textId="77777777" w:rsidR="00C8612E" w:rsidRPr="00C20287" w:rsidRDefault="00C8612E" w:rsidP="00EE1495">
            <w:pPr>
              <w:pStyle w:val="BodyText"/>
              <w:spacing w:after="0" w:line="240" w:lineRule="auto"/>
            </w:pPr>
            <w:r w:rsidRPr="00C20287">
              <w:t>Tier One AHI Fee plus 5% of the amount by which the Price to Pharmacists for Maximum Quantity exceeds $100, per dispense of Maximum Quantity</w:t>
            </w:r>
          </w:p>
        </w:tc>
      </w:tr>
      <w:tr w:rsidR="00C8612E" w:rsidRPr="00C20287" w14:paraId="3FE8FCAB" w14:textId="77777777" w:rsidTr="00FF4C3F">
        <w:trPr>
          <w:cantSplit/>
        </w:trPr>
        <w:tc>
          <w:tcPr>
            <w:tcW w:w="693" w:type="pct"/>
            <w:vMerge/>
            <w:shd w:val="clear" w:color="auto" w:fill="D5F1FE" w:themeFill="accent2" w:themeFillTint="1A"/>
            <w:vAlign w:val="center"/>
            <w:hideMark/>
          </w:tcPr>
          <w:p w14:paraId="7B7CE86D" w14:textId="77777777" w:rsidR="00C8612E" w:rsidRPr="00C20287" w:rsidRDefault="00C8612E" w:rsidP="00EE1495">
            <w:pPr>
              <w:pStyle w:val="BodyText"/>
              <w:spacing w:after="0" w:line="240" w:lineRule="auto"/>
            </w:pPr>
          </w:p>
        </w:tc>
        <w:tc>
          <w:tcPr>
            <w:tcW w:w="598" w:type="pct"/>
            <w:shd w:val="clear" w:color="auto" w:fill="D5F1FE" w:themeFill="accent2" w:themeFillTint="1A"/>
            <w:tcMar>
              <w:top w:w="75" w:type="dxa"/>
              <w:left w:w="75" w:type="dxa"/>
              <w:bottom w:w="75" w:type="dxa"/>
              <w:right w:w="75" w:type="dxa"/>
            </w:tcMar>
            <w:textDirection w:val="btLr"/>
            <w:hideMark/>
          </w:tcPr>
          <w:p w14:paraId="01ED8753" w14:textId="77777777" w:rsidR="00C8612E" w:rsidRPr="00C20287" w:rsidRDefault="00C8612E" w:rsidP="00FF4C3F">
            <w:pPr>
              <w:pStyle w:val="BodyText"/>
              <w:spacing w:after="0" w:line="240" w:lineRule="auto"/>
              <w:ind w:left="113" w:right="113"/>
              <w:jc w:val="center"/>
            </w:pPr>
            <w:r w:rsidRPr="00C20287">
              <w:t>Tier Three AHI Fee</w:t>
            </w:r>
          </w:p>
        </w:tc>
        <w:tc>
          <w:tcPr>
            <w:tcW w:w="1652" w:type="pct"/>
            <w:shd w:val="clear" w:color="auto" w:fill="D5F1FE" w:themeFill="accent2" w:themeFillTint="1A"/>
            <w:tcMar>
              <w:top w:w="75" w:type="dxa"/>
              <w:left w:w="75" w:type="dxa"/>
              <w:bottom w:w="75" w:type="dxa"/>
              <w:right w:w="75" w:type="dxa"/>
            </w:tcMar>
            <w:hideMark/>
          </w:tcPr>
          <w:p w14:paraId="106D3A05" w14:textId="77777777" w:rsidR="00C8612E" w:rsidRPr="00C20287" w:rsidRDefault="00C8612E" w:rsidP="00EE1495">
            <w:pPr>
              <w:pStyle w:val="BodyText"/>
              <w:spacing w:after="0" w:line="240" w:lineRule="auto"/>
            </w:pPr>
            <w:r w:rsidRPr="00C20287">
              <w:t>For a Listed Brand with a Price to Pharmacists for Maximum Quantity over $2,000</w:t>
            </w:r>
          </w:p>
        </w:tc>
        <w:tc>
          <w:tcPr>
            <w:tcW w:w="2057" w:type="pct"/>
            <w:shd w:val="clear" w:color="auto" w:fill="D5F1FE" w:themeFill="accent2" w:themeFillTint="1A"/>
            <w:tcMar>
              <w:top w:w="75" w:type="dxa"/>
              <w:left w:w="75" w:type="dxa"/>
              <w:bottom w:w="75" w:type="dxa"/>
              <w:right w:w="75" w:type="dxa"/>
            </w:tcMar>
            <w:hideMark/>
          </w:tcPr>
          <w:p w14:paraId="49579481" w14:textId="77777777" w:rsidR="00C8612E" w:rsidRPr="00C20287" w:rsidRDefault="00C8612E" w:rsidP="00EE1495">
            <w:pPr>
              <w:pStyle w:val="BodyText"/>
              <w:spacing w:after="0" w:line="240" w:lineRule="auto"/>
            </w:pPr>
            <w:r w:rsidRPr="00C20287">
              <w:t>Tier One AHI Fee and $95 per dispense of Maximum Quantity.</w:t>
            </w:r>
          </w:p>
        </w:tc>
      </w:tr>
      <w:tr w:rsidR="00C8612E" w:rsidRPr="00C20287" w14:paraId="0938C3BB" w14:textId="77777777" w:rsidTr="00EE1495">
        <w:tc>
          <w:tcPr>
            <w:tcW w:w="1291" w:type="pct"/>
            <w:gridSpan w:val="2"/>
            <w:shd w:val="clear" w:color="auto" w:fill="FFFFFF"/>
            <w:tcMar>
              <w:top w:w="75" w:type="dxa"/>
              <w:left w:w="75" w:type="dxa"/>
              <w:bottom w:w="75" w:type="dxa"/>
              <w:right w:w="75" w:type="dxa"/>
            </w:tcMar>
            <w:hideMark/>
          </w:tcPr>
          <w:p w14:paraId="683203DC" w14:textId="77777777" w:rsidR="00C8612E" w:rsidRPr="00C20287" w:rsidRDefault="00C8612E" w:rsidP="00EE1495">
            <w:pPr>
              <w:pStyle w:val="BodyText"/>
              <w:spacing w:after="0" w:line="240" w:lineRule="auto"/>
            </w:pPr>
            <w:r w:rsidRPr="00C20287">
              <w:rPr>
                <w:b/>
                <w:bCs/>
              </w:rPr>
              <w:t>Additional Fees (for Safety Net prices):</w:t>
            </w:r>
          </w:p>
        </w:tc>
        <w:tc>
          <w:tcPr>
            <w:tcW w:w="1652" w:type="pct"/>
            <w:shd w:val="clear" w:color="auto" w:fill="FFFFFF"/>
            <w:tcMar>
              <w:top w:w="75" w:type="dxa"/>
              <w:left w:w="75" w:type="dxa"/>
              <w:bottom w:w="75" w:type="dxa"/>
              <w:right w:w="75" w:type="dxa"/>
            </w:tcMar>
            <w:hideMark/>
          </w:tcPr>
          <w:p w14:paraId="61CB03A9" w14:textId="77777777" w:rsidR="00C8612E" w:rsidRPr="00C20287" w:rsidRDefault="00C8612E" w:rsidP="00EE1495">
            <w:pPr>
              <w:pStyle w:val="BodyText"/>
              <w:spacing w:after="0" w:line="240" w:lineRule="auto"/>
            </w:pPr>
            <w:r w:rsidRPr="00C20287">
              <w:t>Ready-prepared</w:t>
            </w:r>
          </w:p>
        </w:tc>
        <w:tc>
          <w:tcPr>
            <w:tcW w:w="2057" w:type="pct"/>
            <w:shd w:val="clear" w:color="auto" w:fill="FFFFFF"/>
            <w:tcMar>
              <w:top w:w="75" w:type="dxa"/>
              <w:left w:w="75" w:type="dxa"/>
              <w:bottom w:w="75" w:type="dxa"/>
              <w:right w:w="75" w:type="dxa"/>
            </w:tcMar>
            <w:hideMark/>
          </w:tcPr>
          <w:p w14:paraId="44584415" w14:textId="77777777" w:rsidR="00C8612E" w:rsidRPr="00C20287" w:rsidRDefault="00C8612E" w:rsidP="00EE1495">
            <w:pPr>
              <w:pStyle w:val="BodyText"/>
              <w:spacing w:after="0" w:line="240" w:lineRule="auto"/>
            </w:pPr>
            <w:r w:rsidRPr="00C20287">
              <w:t>$1.40</w:t>
            </w:r>
          </w:p>
        </w:tc>
      </w:tr>
      <w:tr w:rsidR="00C8612E" w:rsidRPr="00C20287" w14:paraId="012AAABE" w14:textId="77777777" w:rsidTr="00EE1495">
        <w:tc>
          <w:tcPr>
            <w:tcW w:w="1291" w:type="pct"/>
            <w:gridSpan w:val="2"/>
            <w:shd w:val="clear" w:color="auto" w:fill="FFFFFF"/>
            <w:tcMar>
              <w:top w:w="75" w:type="dxa"/>
              <w:left w:w="75" w:type="dxa"/>
              <w:bottom w:w="75" w:type="dxa"/>
              <w:right w:w="75" w:type="dxa"/>
            </w:tcMar>
            <w:hideMark/>
          </w:tcPr>
          <w:p w14:paraId="61B99833" w14:textId="77777777" w:rsidR="00C8612E" w:rsidRPr="00C20287" w:rsidRDefault="00C8612E" w:rsidP="00EE1495">
            <w:pPr>
              <w:pStyle w:val="BodyText"/>
              <w:spacing w:after="0" w:line="240" w:lineRule="auto"/>
            </w:pPr>
            <w:r w:rsidRPr="00C20287">
              <w:t> </w:t>
            </w:r>
          </w:p>
        </w:tc>
        <w:tc>
          <w:tcPr>
            <w:tcW w:w="1652" w:type="pct"/>
            <w:shd w:val="clear" w:color="auto" w:fill="FFFFFF"/>
            <w:tcMar>
              <w:top w:w="75" w:type="dxa"/>
              <w:left w:w="75" w:type="dxa"/>
              <w:bottom w:w="75" w:type="dxa"/>
              <w:right w:w="75" w:type="dxa"/>
            </w:tcMar>
            <w:hideMark/>
          </w:tcPr>
          <w:p w14:paraId="2810D05E" w14:textId="77777777" w:rsidR="00C8612E" w:rsidRPr="00C20287" w:rsidRDefault="00C8612E" w:rsidP="00EE1495">
            <w:pPr>
              <w:pStyle w:val="BodyText"/>
              <w:spacing w:after="0" w:line="240" w:lineRule="auto"/>
            </w:pPr>
            <w:r w:rsidRPr="00C20287">
              <w:t>Extemporaneously-prepared</w:t>
            </w:r>
          </w:p>
        </w:tc>
        <w:tc>
          <w:tcPr>
            <w:tcW w:w="2057" w:type="pct"/>
            <w:shd w:val="clear" w:color="auto" w:fill="FFFFFF"/>
            <w:tcMar>
              <w:top w:w="75" w:type="dxa"/>
              <w:left w:w="75" w:type="dxa"/>
              <w:bottom w:w="75" w:type="dxa"/>
              <w:right w:w="75" w:type="dxa"/>
            </w:tcMar>
            <w:hideMark/>
          </w:tcPr>
          <w:p w14:paraId="281678F2" w14:textId="77777777" w:rsidR="00C8612E" w:rsidRPr="00C20287" w:rsidRDefault="00C8612E" w:rsidP="00EE1495">
            <w:pPr>
              <w:pStyle w:val="BodyText"/>
              <w:spacing w:after="0" w:line="240" w:lineRule="auto"/>
            </w:pPr>
            <w:r w:rsidRPr="00C20287">
              <w:t>$1.80</w:t>
            </w:r>
          </w:p>
        </w:tc>
      </w:tr>
      <w:tr w:rsidR="00C8612E" w:rsidRPr="00C20287" w14:paraId="274F793D" w14:textId="77777777" w:rsidTr="00EE1495">
        <w:tc>
          <w:tcPr>
            <w:tcW w:w="1291" w:type="pct"/>
            <w:gridSpan w:val="2"/>
            <w:shd w:val="clear" w:color="auto" w:fill="FFFFFF"/>
            <w:tcMar>
              <w:top w:w="75" w:type="dxa"/>
              <w:left w:w="75" w:type="dxa"/>
              <w:bottom w:w="75" w:type="dxa"/>
              <w:right w:w="75" w:type="dxa"/>
            </w:tcMar>
            <w:hideMark/>
          </w:tcPr>
          <w:p w14:paraId="5CE4F1CB" w14:textId="77777777" w:rsidR="00C8612E" w:rsidRPr="00C20287" w:rsidRDefault="00C8612E" w:rsidP="00EE1495">
            <w:pPr>
              <w:pStyle w:val="BodyText"/>
              <w:spacing w:after="0" w:line="240" w:lineRule="auto"/>
            </w:pPr>
            <w:r w:rsidRPr="00C20287">
              <w:rPr>
                <w:b/>
                <w:bCs/>
              </w:rPr>
              <w:t>Efficient Funding of Chemotherapy (EFC)**</w:t>
            </w:r>
          </w:p>
        </w:tc>
        <w:tc>
          <w:tcPr>
            <w:tcW w:w="1652" w:type="pct"/>
            <w:shd w:val="clear" w:color="auto" w:fill="FFFFFF"/>
            <w:tcMar>
              <w:top w:w="75" w:type="dxa"/>
              <w:left w:w="75" w:type="dxa"/>
              <w:bottom w:w="75" w:type="dxa"/>
              <w:right w:w="75" w:type="dxa"/>
            </w:tcMar>
            <w:hideMark/>
          </w:tcPr>
          <w:p w14:paraId="561CF07B" w14:textId="77777777" w:rsidR="00C8612E" w:rsidRPr="00C20287" w:rsidRDefault="00C8612E" w:rsidP="00EE1495">
            <w:pPr>
              <w:pStyle w:val="BodyText"/>
              <w:spacing w:after="0" w:line="240" w:lineRule="auto"/>
            </w:pPr>
            <w:r w:rsidRPr="00C20287">
              <w:t>Preparation fee</w:t>
            </w:r>
          </w:p>
        </w:tc>
        <w:tc>
          <w:tcPr>
            <w:tcW w:w="2057" w:type="pct"/>
            <w:shd w:val="clear" w:color="auto" w:fill="FFFFFF"/>
            <w:tcMar>
              <w:top w:w="75" w:type="dxa"/>
              <w:left w:w="75" w:type="dxa"/>
              <w:bottom w:w="75" w:type="dxa"/>
              <w:right w:w="75" w:type="dxa"/>
            </w:tcMar>
            <w:hideMark/>
          </w:tcPr>
          <w:p w14:paraId="2F428E07" w14:textId="77777777" w:rsidR="00C8612E" w:rsidRPr="00C20287" w:rsidRDefault="00C8612E" w:rsidP="00EE1495">
            <w:pPr>
              <w:pStyle w:val="BodyText"/>
              <w:spacing w:after="0" w:line="240" w:lineRule="auto"/>
            </w:pPr>
            <w:r w:rsidRPr="00C20287">
              <w:t>$88.62</w:t>
            </w:r>
          </w:p>
        </w:tc>
      </w:tr>
      <w:tr w:rsidR="00C8612E" w:rsidRPr="00C20287" w14:paraId="0A20F336" w14:textId="77777777" w:rsidTr="00EE1495">
        <w:tc>
          <w:tcPr>
            <w:tcW w:w="1291" w:type="pct"/>
            <w:gridSpan w:val="2"/>
            <w:shd w:val="clear" w:color="auto" w:fill="FFFFFF"/>
            <w:tcMar>
              <w:top w:w="75" w:type="dxa"/>
              <w:left w:w="75" w:type="dxa"/>
              <w:bottom w:w="75" w:type="dxa"/>
              <w:right w:w="75" w:type="dxa"/>
            </w:tcMar>
            <w:hideMark/>
          </w:tcPr>
          <w:p w14:paraId="2EEAD2B5" w14:textId="77777777" w:rsidR="00C8612E" w:rsidRPr="00C20287" w:rsidRDefault="00C8612E" w:rsidP="00EE1495">
            <w:pPr>
              <w:pStyle w:val="BodyText"/>
              <w:spacing w:after="0" w:line="240" w:lineRule="auto"/>
            </w:pPr>
            <w:r w:rsidRPr="00C20287">
              <w:t> </w:t>
            </w:r>
          </w:p>
        </w:tc>
        <w:tc>
          <w:tcPr>
            <w:tcW w:w="1652" w:type="pct"/>
            <w:shd w:val="clear" w:color="auto" w:fill="FFFFFF"/>
            <w:tcMar>
              <w:top w:w="75" w:type="dxa"/>
              <w:left w:w="75" w:type="dxa"/>
              <w:bottom w:w="75" w:type="dxa"/>
              <w:right w:w="75" w:type="dxa"/>
            </w:tcMar>
            <w:hideMark/>
          </w:tcPr>
          <w:p w14:paraId="01A2306A" w14:textId="77777777" w:rsidR="00C8612E" w:rsidRPr="00C20287" w:rsidRDefault="00C8612E" w:rsidP="00EE1495">
            <w:pPr>
              <w:pStyle w:val="BodyText"/>
              <w:spacing w:after="0" w:line="240" w:lineRule="auto"/>
            </w:pPr>
            <w:r w:rsidRPr="00C20287">
              <w:t>Distribution fee</w:t>
            </w:r>
          </w:p>
        </w:tc>
        <w:tc>
          <w:tcPr>
            <w:tcW w:w="2057" w:type="pct"/>
            <w:shd w:val="clear" w:color="auto" w:fill="FFFFFF"/>
            <w:tcMar>
              <w:top w:w="75" w:type="dxa"/>
              <w:left w:w="75" w:type="dxa"/>
              <w:bottom w:w="75" w:type="dxa"/>
              <w:right w:w="75" w:type="dxa"/>
            </w:tcMar>
            <w:hideMark/>
          </w:tcPr>
          <w:p w14:paraId="462810FF" w14:textId="77777777" w:rsidR="00C8612E" w:rsidRPr="00C20287" w:rsidRDefault="00C8612E" w:rsidP="00EE1495">
            <w:pPr>
              <w:pStyle w:val="BodyText"/>
              <w:spacing w:after="0" w:line="240" w:lineRule="auto"/>
            </w:pPr>
            <w:r w:rsidRPr="00C20287">
              <w:t>$29.15</w:t>
            </w:r>
          </w:p>
        </w:tc>
      </w:tr>
      <w:tr w:rsidR="00C8612E" w:rsidRPr="00C20287" w14:paraId="4D6AE992" w14:textId="77777777" w:rsidTr="00EE1495">
        <w:tc>
          <w:tcPr>
            <w:tcW w:w="1291" w:type="pct"/>
            <w:gridSpan w:val="2"/>
            <w:shd w:val="clear" w:color="auto" w:fill="FFFFFF"/>
            <w:tcMar>
              <w:top w:w="75" w:type="dxa"/>
              <w:left w:w="75" w:type="dxa"/>
              <w:bottom w:w="75" w:type="dxa"/>
              <w:right w:w="75" w:type="dxa"/>
            </w:tcMar>
            <w:hideMark/>
          </w:tcPr>
          <w:p w14:paraId="2D1F2520" w14:textId="77777777" w:rsidR="00C8612E" w:rsidRPr="00C20287" w:rsidRDefault="00C8612E" w:rsidP="00EE1495">
            <w:pPr>
              <w:pStyle w:val="BodyText"/>
              <w:spacing w:after="0" w:line="240" w:lineRule="auto"/>
            </w:pPr>
            <w:r w:rsidRPr="00C20287">
              <w:t> </w:t>
            </w:r>
          </w:p>
        </w:tc>
        <w:tc>
          <w:tcPr>
            <w:tcW w:w="1652" w:type="pct"/>
            <w:shd w:val="clear" w:color="auto" w:fill="FFFFFF"/>
            <w:tcMar>
              <w:top w:w="75" w:type="dxa"/>
              <w:left w:w="75" w:type="dxa"/>
              <w:bottom w:w="75" w:type="dxa"/>
              <w:right w:w="75" w:type="dxa"/>
            </w:tcMar>
            <w:hideMark/>
          </w:tcPr>
          <w:p w14:paraId="1EE0138B" w14:textId="77777777" w:rsidR="00C8612E" w:rsidRPr="00C20287" w:rsidRDefault="00C8612E" w:rsidP="00EE1495">
            <w:pPr>
              <w:pStyle w:val="BodyText"/>
              <w:spacing w:after="0" w:line="240" w:lineRule="auto"/>
            </w:pPr>
            <w:r w:rsidRPr="00C20287">
              <w:t>Diluent fee</w:t>
            </w:r>
          </w:p>
        </w:tc>
        <w:tc>
          <w:tcPr>
            <w:tcW w:w="2057" w:type="pct"/>
            <w:shd w:val="clear" w:color="auto" w:fill="FFFFFF"/>
            <w:tcMar>
              <w:top w:w="75" w:type="dxa"/>
              <w:left w:w="75" w:type="dxa"/>
              <w:bottom w:w="75" w:type="dxa"/>
              <w:right w:w="75" w:type="dxa"/>
            </w:tcMar>
            <w:hideMark/>
          </w:tcPr>
          <w:p w14:paraId="155A89F3" w14:textId="77777777" w:rsidR="00C8612E" w:rsidRPr="00C20287" w:rsidRDefault="00C8612E" w:rsidP="00EE1495">
            <w:pPr>
              <w:pStyle w:val="BodyText"/>
              <w:spacing w:after="0" w:line="240" w:lineRule="auto"/>
            </w:pPr>
            <w:r w:rsidRPr="00C20287">
              <w:t>$5.77</w:t>
            </w:r>
          </w:p>
        </w:tc>
      </w:tr>
      <w:tr w:rsidR="00C8612E" w:rsidRPr="00C20287" w14:paraId="019FA3D9" w14:textId="77777777" w:rsidTr="00EE1495">
        <w:tc>
          <w:tcPr>
            <w:tcW w:w="1291" w:type="pct"/>
            <w:gridSpan w:val="2"/>
            <w:shd w:val="clear" w:color="auto" w:fill="FFFFFF"/>
            <w:tcMar>
              <w:top w:w="75" w:type="dxa"/>
              <w:left w:w="75" w:type="dxa"/>
              <w:bottom w:w="75" w:type="dxa"/>
              <w:right w:w="75" w:type="dxa"/>
            </w:tcMar>
            <w:hideMark/>
          </w:tcPr>
          <w:p w14:paraId="198F6C05" w14:textId="77777777" w:rsidR="00C8612E" w:rsidRPr="00C20287" w:rsidRDefault="00C8612E" w:rsidP="00EE1495">
            <w:pPr>
              <w:pStyle w:val="BodyText"/>
              <w:spacing w:after="0" w:line="240" w:lineRule="auto"/>
            </w:pPr>
            <w:r w:rsidRPr="00C20287">
              <w:rPr>
                <w:b/>
                <w:bCs/>
              </w:rPr>
              <w:t>Patient Co-payment Amounts</w:t>
            </w:r>
          </w:p>
        </w:tc>
        <w:tc>
          <w:tcPr>
            <w:tcW w:w="1652" w:type="pct"/>
            <w:shd w:val="clear" w:color="auto" w:fill="FFFFFF"/>
            <w:tcMar>
              <w:top w:w="75" w:type="dxa"/>
              <w:left w:w="75" w:type="dxa"/>
              <w:bottom w:w="75" w:type="dxa"/>
              <w:right w:w="75" w:type="dxa"/>
            </w:tcMar>
            <w:hideMark/>
          </w:tcPr>
          <w:p w14:paraId="2E2FB776" w14:textId="77777777" w:rsidR="00C8612E" w:rsidRPr="00C20287" w:rsidRDefault="00C8612E" w:rsidP="00EE1495">
            <w:pPr>
              <w:pStyle w:val="BodyText"/>
              <w:spacing w:after="0" w:line="240" w:lineRule="auto"/>
            </w:pPr>
            <w:r w:rsidRPr="00C20287">
              <w:t>General</w:t>
            </w:r>
          </w:p>
        </w:tc>
        <w:tc>
          <w:tcPr>
            <w:tcW w:w="2057" w:type="pct"/>
            <w:shd w:val="clear" w:color="auto" w:fill="FFFFFF"/>
            <w:tcMar>
              <w:top w:w="75" w:type="dxa"/>
              <w:left w:w="75" w:type="dxa"/>
              <w:bottom w:w="75" w:type="dxa"/>
              <w:right w:w="75" w:type="dxa"/>
            </w:tcMar>
            <w:hideMark/>
          </w:tcPr>
          <w:p w14:paraId="779DF3D1" w14:textId="77777777" w:rsidR="00C8612E" w:rsidRPr="00C20287" w:rsidRDefault="00C8612E" w:rsidP="00EE1495">
            <w:pPr>
              <w:pStyle w:val="BodyText"/>
              <w:spacing w:after="0" w:line="240" w:lineRule="auto"/>
            </w:pPr>
            <w:r w:rsidRPr="00C20287">
              <w:t>$</w:t>
            </w:r>
            <w:r>
              <w:t>31.60</w:t>
            </w:r>
          </w:p>
        </w:tc>
      </w:tr>
      <w:tr w:rsidR="00C8612E" w:rsidRPr="00C20287" w14:paraId="3305542D" w14:textId="77777777" w:rsidTr="00EE1495">
        <w:tc>
          <w:tcPr>
            <w:tcW w:w="1291" w:type="pct"/>
            <w:gridSpan w:val="2"/>
            <w:shd w:val="clear" w:color="auto" w:fill="FFFFFF"/>
            <w:tcMar>
              <w:top w:w="75" w:type="dxa"/>
              <w:left w:w="75" w:type="dxa"/>
              <w:bottom w:w="75" w:type="dxa"/>
              <w:right w:w="75" w:type="dxa"/>
            </w:tcMar>
            <w:hideMark/>
          </w:tcPr>
          <w:p w14:paraId="645D6651" w14:textId="77777777" w:rsidR="00C8612E" w:rsidRPr="00C20287" w:rsidRDefault="00C8612E" w:rsidP="00EE1495">
            <w:pPr>
              <w:pStyle w:val="BodyText"/>
              <w:spacing w:after="0" w:line="240" w:lineRule="auto"/>
            </w:pPr>
            <w:r w:rsidRPr="00C20287">
              <w:t> </w:t>
            </w:r>
          </w:p>
        </w:tc>
        <w:tc>
          <w:tcPr>
            <w:tcW w:w="1652" w:type="pct"/>
            <w:shd w:val="clear" w:color="auto" w:fill="FFFFFF"/>
            <w:tcMar>
              <w:top w:w="75" w:type="dxa"/>
              <w:left w:w="75" w:type="dxa"/>
              <w:bottom w:w="75" w:type="dxa"/>
              <w:right w:w="75" w:type="dxa"/>
            </w:tcMar>
            <w:hideMark/>
          </w:tcPr>
          <w:p w14:paraId="6E2B0AE4" w14:textId="77777777" w:rsidR="00C8612E" w:rsidRPr="00C20287" w:rsidRDefault="00C8612E" w:rsidP="00EE1495">
            <w:pPr>
              <w:pStyle w:val="BodyText"/>
              <w:spacing w:after="0" w:line="240" w:lineRule="auto"/>
            </w:pPr>
            <w:r w:rsidRPr="00C20287">
              <w:t>Concessional</w:t>
            </w:r>
          </w:p>
        </w:tc>
        <w:tc>
          <w:tcPr>
            <w:tcW w:w="2057" w:type="pct"/>
            <w:shd w:val="clear" w:color="auto" w:fill="FFFFFF"/>
            <w:tcMar>
              <w:top w:w="75" w:type="dxa"/>
              <w:left w:w="75" w:type="dxa"/>
              <w:bottom w:w="75" w:type="dxa"/>
              <w:right w:w="75" w:type="dxa"/>
            </w:tcMar>
            <w:hideMark/>
          </w:tcPr>
          <w:p w14:paraId="044DAD7D" w14:textId="77777777" w:rsidR="00C8612E" w:rsidRPr="00C20287" w:rsidRDefault="00C8612E" w:rsidP="00EE1495">
            <w:pPr>
              <w:pStyle w:val="BodyText"/>
              <w:spacing w:after="0" w:line="240" w:lineRule="auto"/>
            </w:pPr>
            <w:r w:rsidRPr="00C20287">
              <w:t>$</w:t>
            </w:r>
            <w:r>
              <w:t>7.70</w:t>
            </w:r>
          </w:p>
        </w:tc>
      </w:tr>
      <w:tr w:rsidR="00C8612E" w:rsidRPr="00C20287" w14:paraId="5C7D2C68" w14:textId="77777777" w:rsidTr="00EE1495">
        <w:tc>
          <w:tcPr>
            <w:tcW w:w="1291" w:type="pct"/>
            <w:gridSpan w:val="2"/>
            <w:shd w:val="clear" w:color="auto" w:fill="FFFFFF"/>
            <w:tcMar>
              <w:top w:w="75" w:type="dxa"/>
              <w:left w:w="75" w:type="dxa"/>
              <w:bottom w:w="75" w:type="dxa"/>
              <w:right w:w="75" w:type="dxa"/>
            </w:tcMar>
            <w:hideMark/>
          </w:tcPr>
          <w:p w14:paraId="6E7B0BED" w14:textId="77777777" w:rsidR="00C8612E" w:rsidRPr="00C20287" w:rsidRDefault="00C8612E" w:rsidP="00EE1495">
            <w:pPr>
              <w:pStyle w:val="BodyText"/>
              <w:spacing w:after="0" w:line="240" w:lineRule="auto"/>
            </w:pPr>
            <w:r w:rsidRPr="00C20287">
              <w:rPr>
                <w:b/>
                <w:bCs/>
              </w:rPr>
              <w:t>Safety Net Thresholds</w:t>
            </w:r>
          </w:p>
        </w:tc>
        <w:tc>
          <w:tcPr>
            <w:tcW w:w="1652" w:type="pct"/>
            <w:shd w:val="clear" w:color="auto" w:fill="FFFFFF"/>
            <w:tcMar>
              <w:top w:w="75" w:type="dxa"/>
              <w:left w:w="75" w:type="dxa"/>
              <w:bottom w:w="75" w:type="dxa"/>
              <w:right w:w="75" w:type="dxa"/>
            </w:tcMar>
            <w:hideMark/>
          </w:tcPr>
          <w:p w14:paraId="01856B2D" w14:textId="77777777" w:rsidR="00C8612E" w:rsidRPr="00C20287" w:rsidRDefault="00C8612E" w:rsidP="00EE1495">
            <w:pPr>
              <w:pStyle w:val="BodyText"/>
              <w:spacing w:after="0" w:line="240" w:lineRule="auto"/>
            </w:pPr>
            <w:r w:rsidRPr="00C20287">
              <w:t>General</w:t>
            </w:r>
          </w:p>
        </w:tc>
        <w:tc>
          <w:tcPr>
            <w:tcW w:w="2057" w:type="pct"/>
            <w:shd w:val="clear" w:color="auto" w:fill="FFFFFF"/>
            <w:tcMar>
              <w:top w:w="75" w:type="dxa"/>
              <w:left w:w="75" w:type="dxa"/>
              <w:bottom w:w="75" w:type="dxa"/>
              <w:right w:w="75" w:type="dxa"/>
            </w:tcMar>
            <w:hideMark/>
          </w:tcPr>
          <w:p w14:paraId="766D5C5C" w14:textId="77777777" w:rsidR="00C8612E" w:rsidRPr="00C20287" w:rsidRDefault="00C8612E" w:rsidP="00EE1495">
            <w:pPr>
              <w:pStyle w:val="BodyText"/>
              <w:spacing w:after="0" w:line="240" w:lineRule="auto"/>
            </w:pPr>
            <w:r w:rsidRPr="00C20287">
              <w:t>$</w:t>
            </w:r>
            <w:r>
              <w:t>1,647.90</w:t>
            </w:r>
          </w:p>
        </w:tc>
      </w:tr>
      <w:tr w:rsidR="00C8612E" w:rsidRPr="00C20287" w14:paraId="53C13B29" w14:textId="77777777" w:rsidTr="00EE1495">
        <w:tc>
          <w:tcPr>
            <w:tcW w:w="1291" w:type="pct"/>
            <w:gridSpan w:val="2"/>
            <w:shd w:val="clear" w:color="auto" w:fill="FFFFFF"/>
            <w:tcMar>
              <w:top w:w="75" w:type="dxa"/>
              <w:left w:w="75" w:type="dxa"/>
              <w:bottom w:w="75" w:type="dxa"/>
              <w:right w:w="75" w:type="dxa"/>
            </w:tcMar>
            <w:hideMark/>
          </w:tcPr>
          <w:p w14:paraId="491D883E" w14:textId="77777777" w:rsidR="00C8612E" w:rsidRPr="00C20287" w:rsidRDefault="00C8612E" w:rsidP="00EE1495">
            <w:pPr>
              <w:pStyle w:val="BodyText"/>
              <w:spacing w:after="0" w:line="240" w:lineRule="auto"/>
            </w:pPr>
            <w:r w:rsidRPr="00C20287">
              <w:rPr>
                <w:i/>
                <w:iCs/>
              </w:rPr>
              <w:t> </w:t>
            </w:r>
          </w:p>
        </w:tc>
        <w:tc>
          <w:tcPr>
            <w:tcW w:w="1652" w:type="pct"/>
            <w:shd w:val="clear" w:color="auto" w:fill="FFFFFF"/>
            <w:tcMar>
              <w:top w:w="75" w:type="dxa"/>
              <w:left w:w="75" w:type="dxa"/>
              <w:bottom w:w="75" w:type="dxa"/>
              <w:right w:w="75" w:type="dxa"/>
            </w:tcMar>
            <w:hideMark/>
          </w:tcPr>
          <w:p w14:paraId="0D009309" w14:textId="77777777" w:rsidR="00C8612E" w:rsidRPr="00C20287" w:rsidRDefault="00C8612E" w:rsidP="00EE1495">
            <w:pPr>
              <w:pStyle w:val="BodyText"/>
              <w:spacing w:after="0" w:line="240" w:lineRule="auto"/>
            </w:pPr>
            <w:r w:rsidRPr="00C20287">
              <w:t>Concessional</w:t>
            </w:r>
          </w:p>
        </w:tc>
        <w:tc>
          <w:tcPr>
            <w:tcW w:w="2057" w:type="pct"/>
            <w:shd w:val="clear" w:color="auto" w:fill="FFFFFF"/>
            <w:tcMar>
              <w:top w:w="75" w:type="dxa"/>
              <w:left w:w="75" w:type="dxa"/>
              <w:bottom w:w="75" w:type="dxa"/>
              <w:right w:w="75" w:type="dxa"/>
            </w:tcMar>
            <w:hideMark/>
          </w:tcPr>
          <w:p w14:paraId="6A1571F2" w14:textId="77777777" w:rsidR="00C8612E" w:rsidRPr="00C20287" w:rsidRDefault="00C8612E" w:rsidP="00EE1495">
            <w:pPr>
              <w:pStyle w:val="BodyText"/>
              <w:spacing w:after="0" w:line="240" w:lineRule="auto"/>
            </w:pPr>
            <w:r w:rsidRPr="00C20287">
              <w:t>$</w:t>
            </w:r>
            <w:r>
              <w:t>277.20</w:t>
            </w:r>
          </w:p>
        </w:tc>
      </w:tr>
      <w:tr w:rsidR="00C8612E" w:rsidRPr="00C20287" w14:paraId="35741B13" w14:textId="77777777" w:rsidTr="00EE1495">
        <w:tc>
          <w:tcPr>
            <w:tcW w:w="1291" w:type="pct"/>
            <w:gridSpan w:val="2"/>
            <w:shd w:val="clear" w:color="auto" w:fill="FFFFFF"/>
            <w:tcMar>
              <w:top w:w="75" w:type="dxa"/>
              <w:left w:w="75" w:type="dxa"/>
              <w:bottom w:w="75" w:type="dxa"/>
              <w:right w:w="75" w:type="dxa"/>
            </w:tcMar>
            <w:hideMark/>
          </w:tcPr>
          <w:p w14:paraId="37078377" w14:textId="77777777" w:rsidR="00C8612E" w:rsidRPr="00C20287" w:rsidRDefault="00C8612E" w:rsidP="00EE1495">
            <w:pPr>
              <w:pStyle w:val="BodyText"/>
              <w:spacing w:after="0" w:line="240" w:lineRule="auto"/>
            </w:pPr>
            <w:r w:rsidRPr="00C20287">
              <w:rPr>
                <w:b/>
                <w:bCs/>
              </w:rPr>
              <w:t>Safety Net Card Issue Fee</w:t>
            </w:r>
          </w:p>
        </w:tc>
        <w:tc>
          <w:tcPr>
            <w:tcW w:w="1652" w:type="pct"/>
            <w:shd w:val="clear" w:color="auto" w:fill="FFFFFF"/>
            <w:tcMar>
              <w:top w:w="75" w:type="dxa"/>
              <w:left w:w="75" w:type="dxa"/>
              <w:bottom w:w="75" w:type="dxa"/>
              <w:right w:w="75" w:type="dxa"/>
            </w:tcMar>
            <w:hideMark/>
          </w:tcPr>
          <w:p w14:paraId="364B3177" w14:textId="77777777" w:rsidR="00C8612E" w:rsidRPr="00C20287" w:rsidRDefault="00C8612E" w:rsidP="00EE1495">
            <w:pPr>
              <w:pStyle w:val="BodyText"/>
              <w:spacing w:after="0" w:line="240" w:lineRule="auto"/>
            </w:pPr>
            <w:r w:rsidRPr="00C20287">
              <w:t> </w:t>
            </w:r>
          </w:p>
        </w:tc>
        <w:tc>
          <w:tcPr>
            <w:tcW w:w="2057" w:type="pct"/>
            <w:shd w:val="clear" w:color="auto" w:fill="FFFFFF"/>
            <w:tcMar>
              <w:top w:w="75" w:type="dxa"/>
              <w:left w:w="75" w:type="dxa"/>
              <w:bottom w:w="75" w:type="dxa"/>
              <w:right w:w="75" w:type="dxa"/>
            </w:tcMar>
            <w:hideMark/>
          </w:tcPr>
          <w:p w14:paraId="7DB575C6" w14:textId="77777777" w:rsidR="00C8612E" w:rsidRPr="00C20287" w:rsidRDefault="00C8612E" w:rsidP="00EE1495">
            <w:pPr>
              <w:pStyle w:val="BodyText"/>
              <w:spacing w:after="0" w:line="240" w:lineRule="auto"/>
            </w:pPr>
            <w:r w:rsidRPr="00C20287">
              <w:t>$</w:t>
            </w:r>
            <w:r>
              <w:t>12.04</w:t>
            </w:r>
          </w:p>
        </w:tc>
      </w:tr>
    </w:tbl>
    <w:p w14:paraId="423F8257" w14:textId="77777777" w:rsidR="00C8612E" w:rsidRPr="00C20287" w:rsidRDefault="00C8612E" w:rsidP="00EE1495">
      <w:pPr>
        <w:pStyle w:val="BodyText"/>
        <w:spacing w:after="0"/>
        <w:contextualSpacing/>
      </w:pPr>
      <w:r w:rsidRPr="00C20287">
        <w:t>*The allowable additional patient charge is a discretionary charge to general patients if a pharmaceutical item has a dispensed price for maximum quantity less than the general patient co-payment amount. The pharmacist may charge general patients the allowable additional fee but the fee cannot take the cost of the prescription above the general patient co-payment amount for the medicine</w:t>
      </w:r>
    </w:p>
    <w:p w14:paraId="197826AA" w14:textId="77777777" w:rsidR="00C8612E" w:rsidRPr="00C20287" w:rsidRDefault="00C8612E" w:rsidP="00EE1495">
      <w:pPr>
        <w:pStyle w:val="BodyText"/>
        <w:spacing w:after="0"/>
        <w:contextualSpacing/>
      </w:pPr>
      <w:r w:rsidRPr="00C20287">
        <w:lastRenderedPageBreak/>
        <w:t>**Public hospital pharmacies which are authorised to supply PBS-subsidised chemotherapy medicines are only eligible for the preparation fee (i.e. not the distribution or diluent fees)</w:t>
      </w:r>
    </w:p>
    <w:p w14:paraId="3170002E" w14:textId="77777777" w:rsidR="00C8612E" w:rsidRPr="00C20287" w:rsidRDefault="00C8612E" w:rsidP="00EE1495">
      <w:pPr>
        <w:pStyle w:val="BodyText"/>
        <w:spacing w:after="0"/>
        <w:contextualSpacing/>
      </w:pPr>
      <w:r w:rsidRPr="00C20287">
        <w:t>***The wholesale mark-up for a Pack Quantity of a Listed Brand is calculated using the Relevant Quantity.</w:t>
      </w:r>
    </w:p>
    <w:p w14:paraId="30C3B5EF" w14:textId="77777777" w:rsidR="00C8612E" w:rsidRPr="00C20287" w:rsidRDefault="00C8612E" w:rsidP="00EE1495">
      <w:pPr>
        <w:pStyle w:val="FootnoteText"/>
        <w:keepNext/>
        <w:keepLines/>
        <w:contextualSpacing/>
        <w:rPr>
          <w:rFonts w:ascii="Calibri" w:hAnsi="Calibri" w:cs="Calibri"/>
        </w:rPr>
      </w:pPr>
      <w:r w:rsidRPr="00C20287">
        <w:rPr>
          <w:rFonts w:ascii="Calibri" w:hAnsi="Calibri" w:cs="Calibri"/>
          <w:color w:val="0D0D0D" w:themeColor="text1" w:themeTint="F2"/>
        </w:rPr>
        <w:t xml:space="preserve">Source: </w:t>
      </w:r>
      <w:hyperlink r:id="rId9" w:history="1">
        <w:r w:rsidRPr="00C20287">
          <w:rPr>
            <w:rStyle w:val="Hyperlink"/>
            <w:rFonts w:ascii="Calibri" w:hAnsi="Calibri" w:cs="Calibri"/>
          </w:rPr>
          <w:t>http://www.pbs.gov.au/info/healthpro/explanatory-notes/front/fee</w:t>
        </w:r>
      </w:hyperlink>
    </w:p>
    <w:p w14:paraId="5A4F344D" w14:textId="77777777" w:rsidR="00C8612E" w:rsidRDefault="00C8612E" w:rsidP="005F7D27">
      <w:pPr>
        <w:rPr>
          <w:sz w:val="24"/>
          <w:szCs w:val="24"/>
        </w:rPr>
      </w:pPr>
    </w:p>
    <w:p w14:paraId="6D95840C" w14:textId="527820CB" w:rsidR="00B74395" w:rsidRPr="00C20287" w:rsidRDefault="00622FCD" w:rsidP="005F7D27">
      <w:pPr>
        <w:rPr>
          <w:sz w:val="24"/>
          <w:szCs w:val="24"/>
        </w:rPr>
      </w:pPr>
      <w:r w:rsidRPr="00C20287">
        <w:rPr>
          <w:sz w:val="24"/>
          <w:szCs w:val="24"/>
        </w:rPr>
        <w:t xml:space="preserve">This proposal </w:t>
      </w:r>
      <w:r w:rsidR="00E91D5D">
        <w:rPr>
          <w:color w:val="auto"/>
          <w:sz w:val="24"/>
          <w:szCs w:val="24"/>
        </w:rPr>
        <w:t>c</w:t>
      </w:r>
      <w:r w:rsidR="00E91D5D" w:rsidRPr="00C20287">
        <w:rPr>
          <w:color w:val="auto"/>
          <w:sz w:val="24"/>
          <w:szCs w:val="24"/>
        </w:rPr>
        <w:t>onsiders</w:t>
      </w:r>
      <w:r w:rsidR="00E91D5D">
        <w:rPr>
          <w:color w:val="auto"/>
          <w:sz w:val="24"/>
          <w:szCs w:val="24"/>
        </w:rPr>
        <w:t xml:space="preserve"> </w:t>
      </w:r>
      <w:r w:rsidR="00E91D5D" w:rsidRPr="00C20287">
        <w:rPr>
          <w:color w:val="auto"/>
          <w:sz w:val="24"/>
          <w:szCs w:val="24"/>
        </w:rPr>
        <w:t>the</w:t>
      </w:r>
      <w:r w:rsidR="00E91D5D">
        <w:rPr>
          <w:color w:val="auto"/>
          <w:sz w:val="24"/>
          <w:szCs w:val="24"/>
        </w:rPr>
        <w:t xml:space="preserve"> available options </w:t>
      </w:r>
      <w:r w:rsidR="00595970">
        <w:rPr>
          <w:color w:val="auto"/>
          <w:sz w:val="24"/>
          <w:szCs w:val="24"/>
        </w:rPr>
        <w:t xml:space="preserve">for establishing the </w:t>
      </w:r>
      <w:r w:rsidR="001346EB">
        <w:rPr>
          <w:color w:val="auto"/>
          <w:sz w:val="24"/>
          <w:szCs w:val="24"/>
        </w:rPr>
        <w:t>C</w:t>
      </w:r>
      <w:r w:rsidR="00595970">
        <w:rPr>
          <w:color w:val="auto"/>
          <w:sz w:val="24"/>
          <w:szCs w:val="24"/>
        </w:rPr>
        <w:t xml:space="preserve">ommonwealth price and </w:t>
      </w:r>
      <w:r w:rsidR="001D1BDC" w:rsidRPr="00C20287">
        <w:rPr>
          <w:sz w:val="24"/>
          <w:szCs w:val="24"/>
        </w:rPr>
        <w:t xml:space="preserve">the parameters </w:t>
      </w:r>
      <w:r w:rsidRPr="00C20287">
        <w:rPr>
          <w:sz w:val="24"/>
          <w:szCs w:val="24"/>
        </w:rPr>
        <w:t xml:space="preserve">that </w:t>
      </w:r>
      <w:r w:rsidR="00CD337B" w:rsidRPr="00C20287">
        <w:rPr>
          <w:sz w:val="24"/>
          <w:szCs w:val="24"/>
        </w:rPr>
        <w:t>will</w:t>
      </w:r>
      <w:r w:rsidR="006E5ECA">
        <w:rPr>
          <w:sz w:val="24"/>
          <w:szCs w:val="24"/>
        </w:rPr>
        <w:t xml:space="preserve"> best</w:t>
      </w:r>
      <w:r w:rsidR="00CD337B" w:rsidRPr="00C20287">
        <w:rPr>
          <w:sz w:val="24"/>
          <w:szCs w:val="24"/>
        </w:rPr>
        <w:t xml:space="preserve"> </w:t>
      </w:r>
      <w:r w:rsidR="00214DDC" w:rsidRPr="00C20287">
        <w:rPr>
          <w:sz w:val="24"/>
          <w:szCs w:val="24"/>
        </w:rPr>
        <w:t>support</w:t>
      </w:r>
      <w:r w:rsidR="008D755A">
        <w:rPr>
          <w:sz w:val="24"/>
          <w:szCs w:val="24"/>
        </w:rPr>
        <w:t xml:space="preserve"> </w:t>
      </w:r>
      <w:r w:rsidR="008D755A" w:rsidRPr="00C20287">
        <w:rPr>
          <w:color w:val="0D0D0D" w:themeColor="text1" w:themeTint="F2"/>
          <w:sz w:val="24"/>
          <w:szCs w:val="24"/>
        </w:rPr>
        <w:t xml:space="preserve">access to timely, safe and affordable </w:t>
      </w:r>
      <w:r w:rsidR="008D755A">
        <w:rPr>
          <w:color w:val="0D0D0D" w:themeColor="text1" w:themeTint="F2"/>
          <w:sz w:val="24"/>
          <w:szCs w:val="24"/>
        </w:rPr>
        <w:t xml:space="preserve">PBS </w:t>
      </w:r>
      <w:r w:rsidR="008D755A" w:rsidRPr="00C20287">
        <w:rPr>
          <w:color w:val="0D0D0D" w:themeColor="text1" w:themeTint="F2"/>
          <w:sz w:val="24"/>
          <w:szCs w:val="24"/>
        </w:rPr>
        <w:t>medicines</w:t>
      </w:r>
      <w:r w:rsidR="00B74395" w:rsidRPr="00C20287">
        <w:rPr>
          <w:sz w:val="24"/>
          <w:szCs w:val="24"/>
        </w:rPr>
        <w:t xml:space="preserve"> </w:t>
      </w:r>
      <w:r w:rsidR="00DE6513">
        <w:rPr>
          <w:sz w:val="24"/>
          <w:szCs w:val="24"/>
        </w:rPr>
        <w:t xml:space="preserve">for </w:t>
      </w:r>
      <w:r w:rsidRPr="00C20287">
        <w:rPr>
          <w:sz w:val="24"/>
          <w:szCs w:val="24"/>
        </w:rPr>
        <w:t>all Australians</w:t>
      </w:r>
      <w:r w:rsidR="00B74395" w:rsidRPr="00C20287">
        <w:rPr>
          <w:sz w:val="24"/>
          <w:szCs w:val="24"/>
        </w:rPr>
        <w:t xml:space="preserve"> through</w:t>
      </w:r>
      <w:r w:rsidR="00A332B1">
        <w:rPr>
          <w:sz w:val="24"/>
          <w:szCs w:val="24"/>
        </w:rPr>
        <w:t xml:space="preserve"> </w:t>
      </w:r>
      <w:r w:rsidRPr="00C20287">
        <w:rPr>
          <w:sz w:val="24"/>
          <w:szCs w:val="24"/>
        </w:rPr>
        <w:t xml:space="preserve">community </w:t>
      </w:r>
      <w:r w:rsidR="00B74395" w:rsidRPr="00C20287">
        <w:rPr>
          <w:sz w:val="24"/>
          <w:szCs w:val="24"/>
        </w:rPr>
        <w:t>pharmacies,</w:t>
      </w:r>
      <w:r w:rsidR="00457AD3">
        <w:rPr>
          <w:sz w:val="24"/>
          <w:szCs w:val="24"/>
        </w:rPr>
        <w:t xml:space="preserve"> </w:t>
      </w:r>
      <w:r w:rsidR="00622265" w:rsidRPr="00C20287">
        <w:rPr>
          <w:sz w:val="24"/>
          <w:szCs w:val="24"/>
        </w:rPr>
        <w:t>as well as</w:t>
      </w:r>
      <w:r w:rsidR="00B74395" w:rsidRPr="00C20287">
        <w:rPr>
          <w:sz w:val="24"/>
          <w:szCs w:val="24"/>
        </w:rPr>
        <w:t xml:space="preserve"> </w:t>
      </w:r>
      <w:r w:rsidR="005E7138">
        <w:rPr>
          <w:sz w:val="24"/>
          <w:szCs w:val="24"/>
        </w:rPr>
        <w:t xml:space="preserve">arrangements for </w:t>
      </w:r>
      <w:r w:rsidR="00214DDC" w:rsidRPr="00C20287">
        <w:rPr>
          <w:sz w:val="24"/>
          <w:szCs w:val="24"/>
        </w:rPr>
        <w:t xml:space="preserve">related </w:t>
      </w:r>
      <w:r w:rsidR="00F226BF">
        <w:rPr>
          <w:sz w:val="24"/>
          <w:szCs w:val="24"/>
        </w:rPr>
        <w:t xml:space="preserve">pharmacy </w:t>
      </w:r>
      <w:r w:rsidR="00B74395" w:rsidRPr="00C20287">
        <w:rPr>
          <w:sz w:val="24"/>
          <w:szCs w:val="24"/>
        </w:rPr>
        <w:t>services</w:t>
      </w:r>
      <w:r w:rsidRPr="00C20287">
        <w:rPr>
          <w:sz w:val="24"/>
          <w:szCs w:val="24"/>
        </w:rPr>
        <w:t>,</w:t>
      </w:r>
      <w:r w:rsidR="00B74395" w:rsidRPr="00C20287">
        <w:rPr>
          <w:sz w:val="24"/>
          <w:szCs w:val="24"/>
        </w:rPr>
        <w:t xml:space="preserve"> </w:t>
      </w:r>
      <w:r w:rsidR="006E5ECA">
        <w:rPr>
          <w:sz w:val="24"/>
          <w:szCs w:val="24"/>
        </w:rPr>
        <w:t>consistent with t</w:t>
      </w:r>
      <w:r w:rsidR="001346EB">
        <w:rPr>
          <w:sz w:val="24"/>
          <w:szCs w:val="24"/>
        </w:rPr>
        <w:t>he</w:t>
      </w:r>
      <w:r w:rsidR="006E5ECA">
        <w:rPr>
          <w:sz w:val="24"/>
          <w:szCs w:val="24"/>
        </w:rPr>
        <w:t xml:space="preserve"> four pillars of the </w:t>
      </w:r>
      <w:r w:rsidR="00EA5477">
        <w:rPr>
          <w:sz w:val="24"/>
          <w:szCs w:val="24"/>
        </w:rPr>
        <w:t xml:space="preserve">NMP </w:t>
      </w:r>
      <w:r w:rsidR="00B74395" w:rsidRPr="00C20287">
        <w:rPr>
          <w:sz w:val="24"/>
          <w:szCs w:val="24"/>
        </w:rPr>
        <w:t>objectives</w:t>
      </w:r>
      <w:r w:rsidR="006E5ECA">
        <w:rPr>
          <w:sz w:val="24"/>
          <w:szCs w:val="24"/>
        </w:rPr>
        <w:t xml:space="preserve"> as updated in 2022</w:t>
      </w:r>
      <w:r w:rsidR="00B74395" w:rsidRPr="00C20287">
        <w:rPr>
          <w:sz w:val="24"/>
          <w:szCs w:val="24"/>
        </w:rPr>
        <w:t>:</w:t>
      </w:r>
    </w:p>
    <w:p w14:paraId="1090C3EF" w14:textId="451BA250" w:rsidR="00B74395" w:rsidRPr="00C20287" w:rsidRDefault="00B74395" w:rsidP="0095671A">
      <w:pPr>
        <w:pStyle w:val="ListParagraph"/>
        <w:numPr>
          <w:ilvl w:val="0"/>
          <w:numId w:val="25"/>
        </w:numPr>
        <w:rPr>
          <w:sz w:val="24"/>
          <w:szCs w:val="24"/>
        </w:rPr>
      </w:pPr>
      <w:r w:rsidRPr="00C20287">
        <w:rPr>
          <w:sz w:val="24"/>
          <w:szCs w:val="24"/>
        </w:rPr>
        <w:t>equitable, timely, safe and reliable access to medicines and pharmacy services</w:t>
      </w:r>
      <w:r w:rsidR="00D367AC">
        <w:rPr>
          <w:sz w:val="24"/>
          <w:szCs w:val="24"/>
        </w:rPr>
        <w:t xml:space="preserve"> </w:t>
      </w:r>
      <w:r w:rsidRPr="00EE1495">
        <w:rPr>
          <w:sz w:val="24"/>
          <w:szCs w:val="24"/>
        </w:rPr>
        <w:t xml:space="preserve">at a cost that individuals </w:t>
      </w:r>
      <w:r w:rsidR="006E5ECA" w:rsidRPr="00EE1495">
        <w:rPr>
          <w:sz w:val="24"/>
          <w:szCs w:val="24"/>
        </w:rPr>
        <w:t xml:space="preserve">and the community </w:t>
      </w:r>
      <w:r w:rsidRPr="00EE1495">
        <w:rPr>
          <w:sz w:val="24"/>
          <w:szCs w:val="24"/>
        </w:rPr>
        <w:t xml:space="preserve">can afford </w:t>
      </w:r>
    </w:p>
    <w:p w14:paraId="1CB95CF3" w14:textId="502EBBFE" w:rsidR="00B74395" w:rsidRPr="00C20287" w:rsidRDefault="00B74395" w:rsidP="0095671A">
      <w:pPr>
        <w:pStyle w:val="ListParagraph"/>
        <w:numPr>
          <w:ilvl w:val="0"/>
          <w:numId w:val="25"/>
        </w:numPr>
        <w:rPr>
          <w:sz w:val="24"/>
          <w:szCs w:val="24"/>
        </w:rPr>
      </w:pPr>
      <w:r w:rsidRPr="00C20287">
        <w:rPr>
          <w:sz w:val="24"/>
          <w:szCs w:val="24"/>
        </w:rPr>
        <w:t>medicines meet the required standards of safety, quality and efficacy</w:t>
      </w:r>
    </w:p>
    <w:p w14:paraId="0E2FA7CD" w14:textId="60F3B67F" w:rsidR="00B74395" w:rsidRPr="00C20287" w:rsidRDefault="00B74395" w:rsidP="0095671A">
      <w:pPr>
        <w:pStyle w:val="ListParagraph"/>
        <w:numPr>
          <w:ilvl w:val="0"/>
          <w:numId w:val="25"/>
        </w:numPr>
        <w:rPr>
          <w:sz w:val="24"/>
          <w:szCs w:val="24"/>
        </w:rPr>
      </w:pPr>
      <w:r w:rsidRPr="00C20287">
        <w:rPr>
          <w:sz w:val="24"/>
          <w:szCs w:val="24"/>
        </w:rPr>
        <w:t>quality use of medicines and medicines safety, and</w:t>
      </w:r>
    </w:p>
    <w:p w14:paraId="55452EED" w14:textId="52B66432" w:rsidR="00B74395" w:rsidRPr="00C20287" w:rsidRDefault="00B74395" w:rsidP="0095671A">
      <w:pPr>
        <w:pStyle w:val="ListParagraph"/>
        <w:numPr>
          <w:ilvl w:val="0"/>
          <w:numId w:val="25"/>
        </w:numPr>
        <w:rPr>
          <w:sz w:val="24"/>
          <w:szCs w:val="24"/>
        </w:rPr>
      </w:pPr>
      <w:r w:rsidRPr="00C20287">
        <w:rPr>
          <w:sz w:val="24"/>
          <w:szCs w:val="24"/>
        </w:rPr>
        <w:t xml:space="preserve">collaborative, innovative and sustainable </w:t>
      </w:r>
      <w:r w:rsidR="006E5ECA">
        <w:rPr>
          <w:sz w:val="24"/>
          <w:szCs w:val="24"/>
        </w:rPr>
        <w:t xml:space="preserve">medicines </w:t>
      </w:r>
      <w:r w:rsidRPr="00C20287">
        <w:rPr>
          <w:sz w:val="24"/>
          <w:szCs w:val="24"/>
        </w:rPr>
        <w:t>industry</w:t>
      </w:r>
      <w:r w:rsidR="006E5ECA">
        <w:rPr>
          <w:sz w:val="24"/>
          <w:szCs w:val="24"/>
        </w:rPr>
        <w:t xml:space="preserve"> and research sectors</w:t>
      </w:r>
      <w:r w:rsidRPr="00C20287">
        <w:rPr>
          <w:sz w:val="24"/>
          <w:szCs w:val="24"/>
        </w:rPr>
        <w:t xml:space="preserve"> with the capability, capacity and expertise to respond to current and future health needs.</w:t>
      </w:r>
    </w:p>
    <w:p w14:paraId="72E50629" w14:textId="2BEECC73" w:rsidR="00B74395" w:rsidRPr="00C20287" w:rsidRDefault="00EA5477" w:rsidP="00B74395">
      <w:pPr>
        <w:rPr>
          <w:sz w:val="24"/>
          <w:szCs w:val="24"/>
        </w:rPr>
      </w:pPr>
      <w:r>
        <w:rPr>
          <w:sz w:val="24"/>
          <w:szCs w:val="24"/>
        </w:rPr>
        <w:t xml:space="preserve">While strongly aligned with the first pillar, </w:t>
      </w:r>
      <w:r w:rsidR="00B74395" w:rsidRPr="00C20287">
        <w:rPr>
          <w:sz w:val="24"/>
          <w:szCs w:val="24"/>
        </w:rPr>
        <w:t>ensuring access to medicines at a cost that both individual patients and the broader community can afford,</w:t>
      </w:r>
      <w:r>
        <w:rPr>
          <w:sz w:val="24"/>
          <w:szCs w:val="24"/>
        </w:rPr>
        <w:t xml:space="preserve"> pharmacy services considered through this proposal also support the pillars of, </w:t>
      </w:r>
      <w:r w:rsidR="00B74395" w:rsidRPr="00C20287">
        <w:rPr>
          <w:sz w:val="24"/>
          <w:szCs w:val="24"/>
        </w:rPr>
        <w:t>quality use of medicines</w:t>
      </w:r>
      <w:r>
        <w:rPr>
          <w:sz w:val="24"/>
          <w:szCs w:val="24"/>
        </w:rPr>
        <w:t xml:space="preserve"> and medicines safety</w:t>
      </w:r>
      <w:r w:rsidR="00B74395" w:rsidRPr="00C20287">
        <w:rPr>
          <w:sz w:val="24"/>
          <w:szCs w:val="24"/>
        </w:rPr>
        <w:t xml:space="preserve">, and supporting a </w:t>
      </w:r>
      <w:r w:rsidR="00BB2701">
        <w:rPr>
          <w:sz w:val="24"/>
          <w:szCs w:val="24"/>
        </w:rPr>
        <w:t xml:space="preserve">collaborative, innovative and </w:t>
      </w:r>
      <w:r w:rsidR="00D367AC">
        <w:rPr>
          <w:sz w:val="24"/>
          <w:szCs w:val="24"/>
        </w:rPr>
        <w:t xml:space="preserve">sustainable </w:t>
      </w:r>
      <w:r w:rsidR="00BB2701">
        <w:rPr>
          <w:sz w:val="24"/>
          <w:szCs w:val="24"/>
        </w:rPr>
        <w:t>pharmacy</w:t>
      </w:r>
      <w:r w:rsidR="00B74395" w:rsidRPr="00C20287">
        <w:rPr>
          <w:sz w:val="24"/>
          <w:szCs w:val="24"/>
        </w:rPr>
        <w:t xml:space="preserve"> industry.</w:t>
      </w:r>
      <w:r w:rsidR="00C1161E">
        <w:rPr>
          <w:sz w:val="24"/>
          <w:szCs w:val="24"/>
        </w:rPr>
        <w:t xml:space="preserve"> </w:t>
      </w:r>
      <w:r w:rsidR="00D367AC">
        <w:rPr>
          <w:sz w:val="24"/>
          <w:szCs w:val="24"/>
        </w:rPr>
        <w:t>Pillar</w:t>
      </w:r>
      <w:r w:rsidR="00C1161E">
        <w:rPr>
          <w:sz w:val="24"/>
          <w:szCs w:val="24"/>
        </w:rPr>
        <w:t xml:space="preserve"> 2 of the </w:t>
      </w:r>
      <w:r>
        <w:rPr>
          <w:sz w:val="24"/>
          <w:szCs w:val="24"/>
        </w:rPr>
        <w:t xml:space="preserve">NMP </w:t>
      </w:r>
      <w:r w:rsidR="00C1161E">
        <w:rPr>
          <w:sz w:val="24"/>
          <w:szCs w:val="24"/>
        </w:rPr>
        <w:t xml:space="preserve">is </w:t>
      </w:r>
      <w:r w:rsidR="0013783F">
        <w:rPr>
          <w:sz w:val="24"/>
          <w:szCs w:val="24"/>
        </w:rPr>
        <w:t>specific to the</w:t>
      </w:r>
      <w:r w:rsidR="00C1161E">
        <w:rPr>
          <w:sz w:val="24"/>
          <w:szCs w:val="24"/>
        </w:rPr>
        <w:t xml:space="preserve"> function</w:t>
      </w:r>
      <w:r w:rsidR="0013783F">
        <w:rPr>
          <w:sz w:val="24"/>
          <w:szCs w:val="24"/>
        </w:rPr>
        <w:t>s</w:t>
      </w:r>
      <w:r w:rsidR="00C1161E">
        <w:rPr>
          <w:sz w:val="24"/>
          <w:szCs w:val="24"/>
        </w:rPr>
        <w:t xml:space="preserve"> of the TGA </w:t>
      </w:r>
      <w:r w:rsidR="0013783F">
        <w:rPr>
          <w:sz w:val="24"/>
          <w:szCs w:val="24"/>
        </w:rPr>
        <w:t xml:space="preserve">which is responsible for the regulation of all medicines supplied in Australia </w:t>
      </w:r>
      <w:r w:rsidR="00C1161E">
        <w:rPr>
          <w:sz w:val="24"/>
          <w:szCs w:val="24"/>
        </w:rPr>
        <w:t>and is</w:t>
      </w:r>
      <w:r w:rsidR="0013783F">
        <w:rPr>
          <w:sz w:val="24"/>
          <w:szCs w:val="24"/>
        </w:rPr>
        <w:t xml:space="preserve"> therefore</w:t>
      </w:r>
      <w:r w:rsidR="00C1161E">
        <w:rPr>
          <w:sz w:val="24"/>
          <w:szCs w:val="24"/>
        </w:rPr>
        <w:t xml:space="preserve"> outside the scope of a</w:t>
      </w:r>
      <w:r>
        <w:rPr>
          <w:sz w:val="24"/>
          <w:szCs w:val="24"/>
        </w:rPr>
        <w:t xml:space="preserve"> </w:t>
      </w:r>
      <w:r w:rsidR="00C1161E">
        <w:rPr>
          <w:sz w:val="24"/>
          <w:szCs w:val="24"/>
        </w:rPr>
        <w:t>CPA</w:t>
      </w:r>
      <w:r>
        <w:rPr>
          <w:sz w:val="24"/>
          <w:szCs w:val="24"/>
        </w:rPr>
        <w:t xml:space="preserve"> and is not considered further in this IA</w:t>
      </w:r>
      <w:r w:rsidR="00C1161E">
        <w:rPr>
          <w:sz w:val="24"/>
          <w:szCs w:val="24"/>
        </w:rPr>
        <w:t>.</w:t>
      </w:r>
    </w:p>
    <w:p w14:paraId="0A69AD8C" w14:textId="6A4F3217" w:rsidR="005E7138" w:rsidRPr="00EE1495" w:rsidRDefault="00214DDC" w:rsidP="00EE1495">
      <w:pPr>
        <w:rPr>
          <w:sz w:val="24"/>
          <w:szCs w:val="24"/>
        </w:rPr>
      </w:pPr>
      <w:r w:rsidRPr="00EE1495">
        <w:rPr>
          <w:sz w:val="24"/>
          <w:szCs w:val="24"/>
        </w:rPr>
        <w:t>T</w:t>
      </w:r>
      <w:r w:rsidR="00B77D8D" w:rsidRPr="00EE1495">
        <w:rPr>
          <w:sz w:val="24"/>
          <w:szCs w:val="24"/>
        </w:rPr>
        <w:t xml:space="preserve">he </w:t>
      </w:r>
      <w:r w:rsidR="00457AD3" w:rsidRPr="00EE1495">
        <w:rPr>
          <w:sz w:val="24"/>
          <w:szCs w:val="24"/>
        </w:rPr>
        <w:t xml:space="preserve">IA will support </w:t>
      </w:r>
      <w:r w:rsidR="00B77D8D" w:rsidRPr="00EE1495">
        <w:rPr>
          <w:sz w:val="24"/>
          <w:szCs w:val="24"/>
        </w:rPr>
        <w:t>Government</w:t>
      </w:r>
      <w:r w:rsidRPr="00EE1495">
        <w:rPr>
          <w:sz w:val="24"/>
          <w:szCs w:val="24"/>
        </w:rPr>
        <w:t>, in</w:t>
      </w:r>
      <w:r w:rsidR="00B77D8D" w:rsidRPr="00EE1495">
        <w:rPr>
          <w:sz w:val="24"/>
          <w:szCs w:val="24"/>
        </w:rPr>
        <w:t xml:space="preserve"> mak</w:t>
      </w:r>
      <w:r w:rsidRPr="00EE1495">
        <w:rPr>
          <w:sz w:val="24"/>
          <w:szCs w:val="24"/>
        </w:rPr>
        <w:t>ing</w:t>
      </w:r>
      <w:r w:rsidR="00B77D8D" w:rsidRPr="00EE1495">
        <w:rPr>
          <w:sz w:val="24"/>
          <w:szCs w:val="24"/>
        </w:rPr>
        <w:t xml:space="preserve"> a decision to </w:t>
      </w:r>
      <w:r w:rsidRPr="00EE1495">
        <w:rPr>
          <w:sz w:val="24"/>
          <w:szCs w:val="24"/>
        </w:rPr>
        <w:t xml:space="preserve">either </w:t>
      </w:r>
      <w:r w:rsidR="00B77D8D" w:rsidRPr="00EE1495">
        <w:rPr>
          <w:sz w:val="24"/>
          <w:szCs w:val="24"/>
        </w:rPr>
        <w:t>enter into a new CPA with respect to setting the parameters for the Commonwealth price</w:t>
      </w:r>
      <w:r w:rsidRPr="00EE1495">
        <w:rPr>
          <w:sz w:val="24"/>
          <w:szCs w:val="24"/>
        </w:rPr>
        <w:t>,</w:t>
      </w:r>
      <w:r w:rsidR="00B77D8D" w:rsidRPr="00EE1495">
        <w:rPr>
          <w:sz w:val="24"/>
          <w:szCs w:val="24"/>
        </w:rPr>
        <w:t xml:space="preserve"> or </w:t>
      </w:r>
      <w:r w:rsidR="00A36FB6" w:rsidRPr="00EE1495">
        <w:rPr>
          <w:sz w:val="24"/>
          <w:szCs w:val="24"/>
        </w:rPr>
        <w:t xml:space="preserve">to </w:t>
      </w:r>
      <w:r w:rsidR="00B77D8D" w:rsidRPr="00EE1495">
        <w:rPr>
          <w:sz w:val="24"/>
          <w:szCs w:val="24"/>
        </w:rPr>
        <w:t>allow the PBRT to hold an inquiry to ascertain whether the Commonwealth price should be varied</w:t>
      </w:r>
      <w:r w:rsidRPr="00EE1495">
        <w:rPr>
          <w:sz w:val="24"/>
          <w:szCs w:val="24"/>
        </w:rPr>
        <w:t xml:space="preserve">, to have regard to the </w:t>
      </w:r>
      <w:r w:rsidR="0013783F">
        <w:rPr>
          <w:sz w:val="24"/>
          <w:szCs w:val="24"/>
        </w:rPr>
        <w:t xml:space="preserve">pillars and principles </w:t>
      </w:r>
      <w:r w:rsidRPr="00EE1495">
        <w:rPr>
          <w:sz w:val="24"/>
          <w:szCs w:val="24"/>
        </w:rPr>
        <w:t>of the NMP</w:t>
      </w:r>
      <w:r w:rsidR="00B77D8D" w:rsidRPr="00EE1495">
        <w:rPr>
          <w:sz w:val="24"/>
          <w:szCs w:val="24"/>
        </w:rPr>
        <w:t>.</w:t>
      </w:r>
    </w:p>
    <w:p w14:paraId="506B4D9F" w14:textId="7C6B8B1E" w:rsidR="00242386" w:rsidRPr="00C20287" w:rsidRDefault="00A36FB6" w:rsidP="00500574">
      <w:pPr>
        <w:pStyle w:val="Heading3"/>
      </w:pPr>
      <w:bookmarkStart w:id="45" w:name="_Toc168652735"/>
      <w:r w:rsidRPr="00C20287">
        <w:t>Maximising e</w:t>
      </w:r>
      <w:r w:rsidR="00242386" w:rsidRPr="00C20287">
        <w:t>quitable and affordable access to medicines</w:t>
      </w:r>
      <w:r w:rsidR="000E6871" w:rsidRPr="00C20287">
        <w:t xml:space="preserve"> and pharmacy services</w:t>
      </w:r>
      <w:bookmarkEnd w:id="45"/>
    </w:p>
    <w:p w14:paraId="5AFA3844" w14:textId="44193A05" w:rsidR="002F0779" w:rsidRPr="00C20287" w:rsidRDefault="00EC550B" w:rsidP="00952115">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E</w:t>
      </w:r>
      <w:r w:rsidR="002F0779" w:rsidRPr="00C20287">
        <w:rPr>
          <w:rFonts w:eastAsiaTheme="majorEastAsia" w:cs="Arial"/>
          <w:bCs/>
          <w:color w:val="0D0D0D" w:themeColor="text1" w:themeTint="F2"/>
          <w:sz w:val="24"/>
          <w:szCs w:val="24"/>
        </w:rPr>
        <w:t>nsur</w:t>
      </w:r>
      <w:r w:rsidR="00D55B68" w:rsidRPr="00C20287">
        <w:rPr>
          <w:rFonts w:eastAsiaTheme="majorEastAsia" w:cs="Arial"/>
          <w:bCs/>
          <w:color w:val="0D0D0D" w:themeColor="text1" w:themeTint="F2"/>
          <w:sz w:val="24"/>
          <w:szCs w:val="24"/>
        </w:rPr>
        <w:t>ing</w:t>
      </w:r>
      <w:r w:rsidR="002F0779" w:rsidRPr="00C20287">
        <w:rPr>
          <w:rFonts w:eastAsiaTheme="majorEastAsia" w:cs="Arial"/>
          <w:bCs/>
          <w:color w:val="0D0D0D" w:themeColor="text1" w:themeTint="F2"/>
          <w:sz w:val="24"/>
          <w:szCs w:val="24"/>
        </w:rPr>
        <w:t xml:space="preserve"> </w:t>
      </w:r>
      <w:r w:rsidR="001A480C" w:rsidRPr="00C20287">
        <w:rPr>
          <w:rFonts w:eastAsiaTheme="majorEastAsia" w:cs="Arial"/>
          <w:bCs/>
          <w:color w:val="0D0D0D" w:themeColor="text1" w:themeTint="F2"/>
          <w:sz w:val="24"/>
          <w:szCs w:val="24"/>
        </w:rPr>
        <w:t xml:space="preserve">that the Government maximises </w:t>
      </w:r>
      <w:r w:rsidR="002F0779" w:rsidRPr="00C20287">
        <w:rPr>
          <w:rFonts w:eastAsiaTheme="majorEastAsia" w:cs="Arial"/>
          <w:bCs/>
          <w:color w:val="0D0D0D" w:themeColor="text1" w:themeTint="F2"/>
          <w:sz w:val="24"/>
          <w:szCs w:val="24"/>
        </w:rPr>
        <w:t>equitable and affordable access to PBS medicines for all Australians</w:t>
      </w:r>
      <w:r w:rsidRPr="00C20287">
        <w:rPr>
          <w:rFonts w:eastAsiaTheme="majorEastAsia" w:cs="Arial"/>
          <w:bCs/>
          <w:color w:val="0D0D0D" w:themeColor="text1" w:themeTint="F2"/>
          <w:sz w:val="24"/>
          <w:szCs w:val="24"/>
        </w:rPr>
        <w:t xml:space="preserve"> is fundamental to the Australian health system</w:t>
      </w:r>
      <w:r w:rsidR="002F0779" w:rsidRPr="00C20287">
        <w:rPr>
          <w:rFonts w:eastAsiaTheme="majorEastAsia" w:cs="Arial"/>
          <w:bCs/>
          <w:color w:val="0D0D0D" w:themeColor="text1" w:themeTint="F2"/>
          <w:sz w:val="24"/>
          <w:szCs w:val="24"/>
        </w:rPr>
        <w:t xml:space="preserve">. </w:t>
      </w:r>
      <w:r w:rsidR="00214DDC" w:rsidRPr="00C20287">
        <w:rPr>
          <w:rFonts w:eastAsiaTheme="majorEastAsia" w:cs="Arial"/>
          <w:bCs/>
          <w:color w:val="0D0D0D" w:themeColor="text1" w:themeTint="F2"/>
          <w:sz w:val="24"/>
          <w:szCs w:val="24"/>
        </w:rPr>
        <w:t>This currently occurs through the Australian network of community pharmacies, at least for general schedule medicines</w:t>
      </w:r>
      <w:r w:rsidR="007612DE">
        <w:rPr>
          <w:rFonts w:eastAsiaTheme="majorEastAsia" w:cs="Arial"/>
          <w:bCs/>
          <w:color w:val="0D0D0D" w:themeColor="text1" w:themeTint="F2"/>
          <w:sz w:val="24"/>
          <w:szCs w:val="24"/>
        </w:rPr>
        <w:t xml:space="preserve"> which </w:t>
      </w:r>
      <w:r w:rsidR="007612DE" w:rsidRPr="007612DE">
        <w:rPr>
          <w:rFonts w:eastAsiaTheme="majorEastAsia" w:cs="Arial"/>
          <w:bCs/>
          <w:color w:val="0D0D0D" w:themeColor="text1" w:themeTint="F2"/>
          <w:sz w:val="24"/>
          <w:szCs w:val="24"/>
        </w:rPr>
        <w:t xml:space="preserve">are </w:t>
      </w:r>
      <w:r w:rsidR="007612DE">
        <w:rPr>
          <w:rFonts w:eastAsiaTheme="majorEastAsia" w:cs="Arial"/>
          <w:bCs/>
          <w:color w:val="0D0D0D" w:themeColor="text1" w:themeTint="F2"/>
          <w:sz w:val="24"/>
          <w:szCs w:val="24"/>
        </w:rPr>
        <w:t xml:space="preserve">medicines </w:t>
      </w:r>
      <w:r w:rsidR="007612DE" w:rsidRPr="007612DE">
        <w:rPr>
          <w:rFonts w:eastAsiaTheme="majorEastAsia" w:cs="Arial"/>
          <w:bCs/>
          <w:color w:val="0D0D0D" w:themeColor="text1" w:themeTint="F2"/>
          <w:sz w:val="24"/>
          <w:szCs w:val="24"/>
        </w:rPr>
        <w:t>dispensed by community pharmacies and used by patients at home</w:t>
      </w:r>
      <w:r w:rsidR="00214DDC" w:rsidRPr="00C20287">
        <w:rPr>
          <w:rFonts w:eastAsiaTheme="majorEastAsia" w:cs="Arial"/>
          <w:bCs/>
          <w:color w:val="0D0D0D" w:themeColor="text1" w:themeTint="F2"/>
          <w:sz w:val="24"/>
          <w:szCs w:val="24"/>
        </w:rPr>
        <w:t xml:space="preserve">. </w:t>
      </w:r>
    </w:p>
    <w:p w14:paraId="4E53B1F8" w14:textId="01AC77B9" w:rsidR="00C21200" w:rsidRPr="001408E9" w:rsidRDefault="00C21200" w:rsidP="00C21200">
      <w:pPr>
        <w:rPr>
          <w:rFonts w:cstheme="minorHAnsi"/>
          <w:color w:val="0D0D0D" w:themeColor="text1" w:themeTint="F2"/>
          <w:sz w:val="24"/>
          <w:szCs w:val="24"/>
        </w:rPr>
      </w:pPr>
      <w:r w:rsidRPr="001408E9">
        <w:rPr>
          <w:rFonts w:cstheme="minorHAnsi"/>
          <w:color w:val="0D0D0D" w:themeColor="text1" w:themeTint="F2"/>
          <w:sz w:val="24"/>
          <w:szCs w:val="24"/>
        </w:rPr>
        <w:t xml:space="preserve">The remuneration provided to approved community pharmacies under the CPA for the dispensing of PBS subsidised medicines is a key component of supporting timely and efficient patient access to affordable medicines, and a vital component in the Government’s continued delivery of the PBS. Existing arrangements provide a level of assurance in relation to availability and costs for consumers, industry and government. </w:t>
      </w:r>
      <w:r w:rsidR="00813F69" w:rsidRPr="00C20287">
        <w:rPr>
          <w:rFonts w:eastAsiaTheme="majorEastAsia" w:cs="Arial"/>
          <w:bCs/>
          <w:color w:val="0D0D0D" w:themeColor="text1" w:themeTint="F2"/>
          <w:sz w:val="24"/>
          <w:szCs w:val="24"/>
        </w:rPr>
        <w:t xml:space="preserve">A range of other </w:t>
      </w:r>
      <w:r w:rsidR="00813F69" w:rsidRPr="00C20287">
        <w:rPr>
          <w:rFonts w:eastAsiaTheme="majorEastAsia" w:cs="Arial"/>
          <w:bCs/>
          <w:color w:val="0D0D0D" w:themeColor="text1" w:themeTint="F2"/>
          <w:sz w:val="24"/>
          <w:szCs w:val="24"/>
        </w:rPr>
        <w:lastRenderedPageBreak/>
        <w:t>important public health services can also be delivered through pharmacies, including access to non-PBS medicines and health related services provided by pharmacists</w:t>
      </w:r>
      <w:r w:rsidR="00813F69">
        <w:rPr>
          <w:rFonts w:eastAsiaTheme="majorEastAsia" w:cs="Arial"/>
          <w:bCs/>
          <w:color w:val="0D0D0D" w:themeColor="text1" w:themeTint="F2"/>
          <w:sz w:val="24"/>
          <w:szCs w:val="24"/>
        </w:rPr>
        <w:t xml:space="preserve"> some of which are funded by the Commonwealth</w:t>
      </w:r>
      <w:r w:rsidR="00813F69" w:rsidRPr="00C20287">
        <w:rPr>
          <w:rFonts w:eastAsiaTheme="majorEastAsia" w:cs="Arial"/>
          <w:bCs/>
          <w:color w:val="0D0D0D" w:themeColor="text1" w:themeTint="F2"/>
          <w:sz w:val="24"/>
          <w:szCs w:val="24"/>
        </w:rPr>
        <w:t>.</w:t>
      </w:r>
    </w:p>
    <w:p w14:paraId="62F2D582" w14:textId="2E2BF6A3" w:rsidR="00D23776" w:rsidRPr="004326DE" w:rsidRDefault="00C21200" w:rsidP="00EE1495">
      <w:pPr>
        <w:rPr>
          <w:rFonts w:eastAsiaTheme="majorEastAsia" w:cstheme="minorHAnsi"/>
          <w:bCs/>
          <w:color w:val="0D0D0D" w:themeColor="text1" w:themeTint="F2"/>
        </w:rPr>
      </w:pPr>
      <w:r>
        <w:rPr>
          <w:rFonts w:eastAsiaTheme="majorEastAsia" w:cs="Arial"/>
          <w:bCs/>
          <w:color w:val="0D0D0D" w:themeColor="text1" w:themeTint="F2"/>
          <w:sz w:val="24"/>
          <w:szCs w:val="24"/>
        </w:rPr>
        <w:t>Consumers</w:t>
      </w:r>
      <w:r w:rsidR="00D23776" w:rsidRPr="00952115">
        <w:rPr>
          <w:rFonts w:eastAsiaTheme="majorEastAsia" w:cs="Arial"/>
          <w:bCs/>
          <w:color w:val="0D0D0D" w:themeColor="text1" w:themeTint="F2"/>
          <w:sz w:val="24"/>
          <w:szCs w:val="24"/>
        </w:rPr>
        <w:t xml:space="preserve"> generally pay a co-payment towards the cost of PBS medicines, though many PBS medicines cost significantly more than</w:t>
      </w:r>
      <w:r>
        <w:rPr>
          <w:rFonts w:eastAsiaTheme="majorEastAsia" w:cs="Arial"/>
          <w:bCs/>
          <w:color w:val="0D0D0D" w:themeColor="text1" w:themeTint="F2"/>
          <w:sz w:val="24"/>
          <w:szCs w:val="24"/>
        </w:rPr>
        <w:t xml:space="preserve"> </w:t>
      </w:r>
      <w:r w:rsidR="00D23776" w:rsidRPr="00952115">
        <w:rPr>
          <w:rFonts w:eastAsiaTheme="majorEastAsia" w:cs="Arial"/>
          <w:bCs/>
          <w:color w:val="0D0D0D" w:themeColor="text1" w:themeTint="F2"/>
          <w:sz w:val="24"/>
          <w:szCs w:val="24"/>
        </w:rPr>
        <w:t>the co-payment amount. From 1 January 2024, patients may pay up to $</w:t>
      </w:r>
      <w:r w:rsidR="00D23776" w:rsidRPr="00EE1495">
        <w:rPr>
          <w:rFonts w:eastAsiaTheme="majorEastAsia" w:cstheme="minorHAnsi"/>
          <w:bCs/>
          <w:color w:val="0D0D0D" w:themeColor="text1" w:themeTint="F2"/>
          <w:sz w:val="24"/>
          <w:szCs w:val="24"/>
        </w:rPr>
        <w:t>31.60 for most PBS medicines, or $7.70 if they have a concession card. The Government pays the remaining cost (with the exception of brand premiums and certain other allowable charges). Under the Closing the Gap PBS Co-Payment Program</w:t>
      </w:r>
      <w:r w:rsidRPr="00EE1495">
        <w:rPr>
          <w:rFonts w:eastAsiaTheme="majorEastAsia" w:cstheme="minorHAnsi"/>
          <w:bCs/>
          <w:color w:val="0D0D0D" w:themeColor="text1" w:themeTint="F2"/>
          <w:sz w:val="24"/>
          <w:szCs w:val="24"/>
        </w:rPr>
        <w:t>,</w:t>
      </w:r>
      <w:r w:rsidR="00D23776" w:rsidRPr="00EE1495">
        <w:rPr>
          <w:rFonts w:eastAsiaTheme="majorEastAsia" w:cstheme="minorHAnsi"/>
          <w:bCs/>
          <w:color w:val="0D0D0D" w:themeColor="text1" w:themeTint="F2"/>
          <w:sz w:val="24"/>
          <w:szCs w:val="24"/>
          <w:vertAlign w:val="superscript"/>
        </w:rPr>
        <w:footnoteReference w:id="37"/>
      </w:r>
      <w:r w:rsidR="00D23776" w:rsidRPr="00E56F41">
        <w:rPr>
          <w:rFonts w:eastAsiaTheme="majorEastAsia" w:cstheme="minorHAnsi"/>
          <w:bCs/>
          <w:color w:val="0D0D0D" w:themeColor="text1" w:themeTint="F2"/>
          <w:sz w:val="24"/>
          <w:szCs w:val="24"/>
        </w:rPr>
        <w:t xml:space="preserve"> eligible</w:t>
      </w:r>
      <w:r w:rsidR="00D23776" w:rsidRPr="00EE1495">
        <w:rPr>
          <w:rFonts w:eastAsiaTheme="majorEastAsia" w:cstheme="minorHAnsi"/>
          <w:bCs/>
          <w:color w:val="0D0D0D" w:themeColor="text1" w:themeTint="F2"/>
          <w:sz w:val="24"/>
          <w:szCs w:val="24"/>
        </w:rPr>
        <w:t xml:space="preserve"> Aboriginal and Torres Strait people who would normally pay the full co-payment pay the concessional rate, and those who would normally pay the concessional rate are not required to pay the PBS co-payment. Where the cost of a medicine, including the dispensing fee, is below the relevant patient co-payment amount the patient pays the full amount.  </w:t>
      </w:r>
    </w:p>
    <w:p w14:paraId="2771F1C2" w14:textId="77777777" w:rsidR="007868A5" w:rsidRPr="007868A5" w:rsidRDefault="007868A5" w:rsidP="007868A5">
      <w:pPr>
        <w:pStyle w:val="NormalWeb"/>
        <w:shd w:val="clear" w:color="auto" w:fill="FFFFFF"/>
        <w:spacing w:before="0" w:beforeAutospacing="0" w:after="120" w:afterAutospacing="0" w:line="264" w:lineRule="auto"/>
        <w:rPr>
          <w:rFonts w:asciiTheme="minorHAnsi" w:eastAsiaTheme="majorEastAsia" w:hAnsiTheme="minorHAnsi" w:cstheme="minorHAnsi"/>
          <w:bCs/>
          <w:color w:val="0D0D0D" w:themeColor="text1" w:themeTint="F2"/>
        </w:rPr>
      </w:pPr>
      <w:r w:rsidRPr="007868A5">
        <w:rPr>
          <w:rFonts w:asciiTheme="minorHAnsi" w:eastAsiaTheme="majorEastAsia" w:hAnsiTheme="minorHAnsi" w:cstheme="minorHAnsi"/>
          <w:bCs/>
          <w:color w:val="0D0D0D" w:themeColor="text1" w:themeTint="F2"/>
        </w:rPr>
        <w:t>There are a number of different types of concession cards that provide access to PBS medicines at cheaper rates. Some cards and concessions are administered by the Commonwealth Government, while others are administered by state, territory and local governments and some private organisations.</w:t>
      </w:r>
    </w:p>
    <w:p w14:paraId="595473D8" w14:textId="77777777" w:rsidR="007868A5" w:rsidRPr="007868A5" w:rsidRDefault="007868A5" w:rsidP="007868A5">
      <w:pPr>
        <w:pStyle w:val="NormalWeb"/>
        <w:shd w:val="clear" w:color="auto" w:fill="FFFFFF"/>
        <w:spacing w:before="0" w:beforeAutospacing="0" w:after="120" w:afterAutospacing="0" w:line="264" w:lineRule="auto"/>
        <w:rPr>
          <w:rFonts w:asciiTheme="minorHAnsi" w:eastAsiaTheme="majorEastAsia" w:hAnsiTheme="minorHAnsi" w:cstheme="minorHAnsi"/>
          <w:bCs/>
          <w:color w:val="0D0D0D" w:themeColor="text1" w:themeTint="F2"/>
        </w:rPr>
      </w:pPr>
      <w:r w:rsidRPr="007868A5">
        <w:rPr>
          <w:rFonts w:asciiTheme="minorHAnsi" w:eastAsiaTheme="majorEastAsia" w:hAnsiTheme="minorHAnsi" w:cstheme="minorHAnsi"/>
          <w:bCs/>
          <w:color w:val="0D0D0D" w:themeColor="text1" w:themeTint="F2"/>
        </w:rPr>
        <w:t>The concession cards that are issued by the Commonwealth Government include:</w:t>
      </w:r>
    </w:p>
    <w:p w14:paraId="17ED138B" w14:textId="03263511" w:rsidR="007868A5" w:rsidRPr="007868A5" w:rsidRDefault="007868A5" w:rsidP="0095671A">
      <w:pPr>
        <w:numPr>
          <w:ilvl w:val="0"/>
          <w:numId w:val="38"/>
        </w:numPr>
        <w:shd w:val="clear" w:color="auto" w:fill="FFFFFF"/>
        <w:ind w:left="1020"/>
        <w:rPr>
          <w:rFonts w:eastAsiaTheme="majorEastAsia" w:cstheme="minorHAnsi"/>
          <w:bCs/>
          <w:color w:val="0D0D0D" w:themeColor="text1" w:themeTint="F2"/>
          <w:sz w:val="24"/>
          <w:szCs w:val="24"/>
          <w:lang w:eastAsia="en-AU"/>
        </w:rPr>
      </w:pPr>
      <w:r w:rsidRPr="007868A5">
        <w:rPr>
          <w:rFonts w:eastAsiaTheme="majorEastAsia" w:cstheme="minorHAnsi"/>
          <w:bCs/>
          <w:color w:val="0D0D0D" w:themeColor="text1" w:themeTint="F2"/>
          <w:sz w:val="24"/>
          <w:szCs w:val="24"/>
          <w:lang w:eastAsia="en-AU"/>
        </w:rPr>
        <w:t>the </w:t>
      </w:r>
      <w:hyperlink r:id="rId10" w:history="1">
        <w:r w:rsidRPr="007868A5">
          <w:rPr>
            <w:rFonts w:eastAsiaTheme="majorEastAsia" w:cstheme="minorHAnsi"/>
            <w:bCs/>
            <w:color w:val="0D0D0D" w:themeColor="text1" w:themeTint="F2"/>
            <w:sz w:val="24"/>
            <w:szCs w:val="24"/>
            <w:lang w:eastAsia="en-AU"/>
          </w:rPr>
          <w:t>Pensioner Concession Card</w:t>
        </w:r>
      </w:hyperlink>
      <w:r w:rsidRPr="007868A5">
        <w:rPr>
          <w:rFonts w:eastAsiaTheme="majorEastAsia" w:cstheme="minorHAnsi"/>
          <w:bCs/>
          <w:color w:val="0D0D0D" w:themeColor="text1" w:themeTint="F2"/>
          <w:sz w:val="24"/>
          <w:szCs w:val="24"/>
          <w:lang w:eastAsia="en-AU"/>
        </w:rPr>
        <w:t> (for all pensioners and certain social security allowance recipients under specific conditions)</w:t>
      </w:r>
    </w:p>
    <w:p w14:paraId="7D136873" w14:textId="6BCE861E" w:rsidR="007868A5" w:rsidRPr="007868A5" w:rsidRDefault="007868A5" w:rsidP="0095671A">
      <w:pPr>
        <w:numPr>
          <w:ilvl w:val="0"/>
          <w:numId w:val="38"/>
        </w:numPr>
        <w:shd w:val="clear" w:color="auto" w:fill="FFFFFF"/>
        <w:ind w:left="1020"/>
        <w:rPr>
          <w:rFonts w:eastAsiaTheme="majorEastAsia" w:cstheme="minorHAnsi"/>
          <w:bCs/>
          <w:color w:val="0D0D0D" w:themeColor="text1" w:themeTint="F2"/>
          <w:sz w:val="24"/>
          <w:szCs w:val="24"/>
          <w:lang w:eastAsia="en-AU"/>
        </w:rPr>
      </w:pPr>
      <w:r w:rsidRPr="007868A5">
        <w:rPr>
          <w:rFonts w:eastAsiaTheme="majorEastAsia" w:cstheme="minorHAnsi"/>
          <w:bCs/>
          <w:color w:val="0D0D0D" w:themeColor="text1" w:themeTint="F2"/>
          <w:sz w:val="24"/>
          <w:szCs w:val="24"/>
          <w:lang w:eastAsia="en-AU"/>
        </w:rPr>
        <w:t>the </w:t>
      </w:r>
      <w:hyperlink r:id="rId11" w:history="1">
        <w:r w:rsidRPr="007868A5">
          <w:rPr>
            <w:rFonts w:eastAsiaTheme="majorEastAsia" w:cstheme="minorHAnsi"/>
            <w:bCs/>
            <w:color w:val="0D0D0D" w:themeColor="text1" w:themeTint="F2"/>
            <w:sz w:val="24"/>
            <w:szCs w:val="24"/>
            <w:lang w:eastAsia="en-AU"/>
          </w:rPr>
          <w:t>Health Care Card</w:t>
        </w:r>
      </w:hyperlink>
      <w:r w:rsidRPr="007868A5">
        <w:rPr>
          <w:rFonts w:eastAsiaTheme="majorEastAsia" w:cstheme="minorHAnsi"/>
          <w:bCs/>
          <w:color w:val="0D0D0D" w:themeColor="text1" w:themeTint="F2"/>
          <w:sz w:val="24"/>
          <w:szCs w:val="24"/>
          <w:lang w:eastAsia="en-AU"/>
        </w:rPr>
        <w:t xml:space="preserve"> (generally for social security </w:t>
      </w:r>
      <w:r w:rsidR="008C1F01">
        <w:rPr>
          <w:rFonts w:eastAsiaTheme="majorEastAsia" w:cstheme="minorHAnsi"/>
          <w:bCs/>
          <w:color w:val="0D0D0D" w:themeColor="text1" w:themeTint="F2"/>
          <w:sz w:val="24"/>
          <w:szCs w:val="24"/>
          <w:lang w:eastAsia="en-AU"/>
        </w:rPr>
        <w:t>recipient</w:t>
      </w:r>
      <w:r w:rsidRPr="007868A5">
        <w:rPr>
          <w:rFonts w:eastAsiaTheme="majorEastAsia" w:cstheme="minorHAnsi"/>
          <w:bCs/>
          <w:color w:val="0D0D0D" w:themeColor="text1" w:themeTint="F2"/>
          <w:sz w:val="24"/>
          <w:szCs w:val="24"/>
          <w:lang w:eastAsia="en-AU"/>
        </w:rPr>
        <w:t>s and low paid workers)</w:t>
      </w:r>
      <w:r w:rsidR="009B5036">
        <w:rPr>
          <w:rFonts w:eastAsiaTheme="majorEastAsia" w:cstheme="minorHAnsi"/>
          <w:bCs/>
          <w:color w:val="0D0D0D" w:themeColor="text1" w:themeTint="F2"/>
          <w:sz w:val="24"/>
          <w:szCs w:val="24"/>
          <w:lang w:eastAsia="en-AU"/>
        </w:rPr>
        <w:t>,</w:t>
      </w:r>
      <w:r w:rsidRPr="007868A5">
        <w:rPr>
          <w:rFonts w:eastAsiaTheme="majorEastAsia" w:cstheme="minorHAnsi"/>
          <w:bCs/>
          <w:color w:val="0D0D0D" w:themeColor="text1" w:themeTint="F2"/>
          <w:sz w:val="24"/>
          <w:szCs w:val="24"/>
          <w:lang w:eastAsia="en-AU"/>
        </w:rPr>
        <w:t xml:space="preserve"> and</w:t>
      </w:r>
    </w:p>
    <w:p w14:paraId="6C9B0361" w14:textId="6CFC2EE6" w:rsidR="007868A5" w:rsidRPr="007868A5" w:rsidRDefault="007868A5" w:rsidP="0095671A">
      <w:pPr>
        <w:numPr>
          <w:ilvl w:val="0"/>
          <w:numId w:val="38"/>
        </w:numPr>
        <w:shd w:val="clear" w:color="auto" w:fill="FFFFFF"/>
        <w:ind w:left="1020"/>
        <w:rPr>
          <w:rFonts w:eastAsiaTheme="majorEastAsia" w:cstheme="minorHAnsi"/>
          <w:bCs/>
          <w:color w:val="0D0D0D" w:themeColor="text1" w:themeTint="F2"/>
          <w:sz w:val="24"/>
          <w:szCs w:val="24"/>
          <w:lang w:eastAsia="en-AU"/>
        </w:rPr>
      </w:pPr>
      <w:r w:rsidRPr="007868A5">
        <w:rPr>
          <w:rFonts w:eastAsiaTheme="majorEastAsia" w:cstheme="minorHAnsi"/>
          <w:bCs/>
          <w:color w:val="0D0D0D" w:themeColor="text1" w:themeTint="F2"/>
          <w:sz w:val="24"/>
          <w:szCs w:val="24"/>
          <w:lang w:eastAsia="en-AU"/>
        </w:rPr>
        <w:t>the </w:t>
      </w:r>
      <w:hyperlink r:id="rId12" w:history="1">
        <w:r w:rsidRPr="007868A5">
          <w:rPr>
            <w:rFonts w:eastAsiaTheme="majorEastAsia" w:cstheme="minorHAnsi"/>
            <w:bCs/>
            <w:color w:val="0D0D0D" w:themeColor="text1" w:themeTint="F2"/>
            <w:sz w:val="24"/>
            <w:szCs w:val="24"/>
            <w:lang w:eastAsia="en-AU"/>
          </w:rPr>
          <w:t>Commonwealth Seniors Health Card</w:t>
        </w:r>
      </w:hyperlink>
      <w:r w:rsidRPr="007868A5">
        <w:rPr>
          <w:rFonts w:eastAsiaTheme="majorEastAsia" w:cstheme="minorHAnsi"/>
          <w:bCs/>
          <w:color w:val="0D0D0D" w:themeColor="text1" w:themeTint="F2"/>
          <w:sz w:val="24"/>
          <w:szCs w:val="24"/>
          <w:lang w:eastAsia="en-AU"/>
        </w:rPr>
        <w:t xml:space="preserve"> (for eligible self-funded retirees who have reached </w:t>
      </w:r>
      <w:r w:rsidR="007E2696">
        <w:rPr>
          <w:rFonts w:eastAsiaTheme="majorEastAsia" w:cstheme="minorHAnsi"/>
          <w:bCs/>
          <w:color w:val="0D0D0D" w:themeColor="text1" w:themeTint="F2"/>
          <w:sz w:val="24"/>
          <w:szCs w:val="24"/>
          <w:lang w:eastAsia="en-AU"/>
        </w:rPr>
        <w:t xml:space="preserve">the </w:t>
      </w:r>
      <w:r w:rsidRPr="007868A5">
        <w:rPr>
          <w:rFonts w:eastAsiaTheme="majorEastAsia" w:cstheme="minorHAnsi"/>
          <w:bCs/>
          <w:color w:val="0D0D0D" w:themeColor="text1" w:themeTint="F2"/>
          <w:sz w:val="24"/>
          <w:szCs w:val="24"/>
          <w:lang w:eastAsia="en-AU"/>
        </w:rPr>
        <w:t>qualifying age for Age Pension)</w:t>
      </w:r>
      <w:r w:rsidR="007E2696">
        <w:rPr>
          <w:rFonts w:eastAsiaTheme="majorEastAsia" w:cstheme="minorHAnsi"/>
          <w:bCs/>
          <w:color w:val="0D0D0D" w:themeColor="text1" w:themeTint="F2"/>
          <w:sz w:val="24"/>
          <w:szCs w:val="24"/>
          <w:lang w:eastAsia="en-AU"/>
        </w:rPr>
        <w:t>.</w:t>
      </w:r>
    </w:p>
    <w:p w14:paraId="5C7936DA" w14:textId="0DBCCA63" w:rsidR="005E0B8B" w:rsidRDefault="00D23776" w:rsidP="007868A5">
      <w:pPr>
        <w:pStyle w:val="NormalWeb"/>
        <w:shd w:val="clear" w:color="auto" w:fill="FFFFFF"/>
        <w:spacing w:before="0" w:beforeAutospacing="0" w:after="120" w:afterAutospacing="0" w:line="264" w:lineRule="auto"/>
        <w:rPr>
          <w:rFonts w:asciiTheme="minorHAnsi" w:eastAsiaTheme="majorEastAsia" w:hAnsiTheme="minorHAnsi" w:cstheme="minorHAnsi"/>
          <w:bCs/>
          <w:color w:val="0D0D0D" w:themeColor="text1" w:themeTint="F2"/>
        </w:rPr>
      </w:pPr>
      <w:r w:rsidRPr="00EE1495">
        <w:rPr>
          <w:rFonts w:asciiTheme="minorHAnsi" w:eastAsiaTheme="majorEastAsia" w:hAnsiTheme="minorHAnsi" w:cstheme="minorHAnsi"/>
          <w:bCs/>
          <w:color w:val="0D0D0D" w:themeColor="text1" w:themeTint="F2"/>
        </w:rPr>
        <w:t xml:space="preserve">When the Commonwealth </w:t>
      </w:r>
      <w:r w:rsidR="00B472A0">
        <w:rPr>
          <w:rFonts w:asciiTheme="minorHAnsi" w:eastAsiaTheme="majorEastAsia" w:hAnsiTheme="minorHAnsi" w:cstheme="minorHAnsi"/>
          <w:bCs/>
          <w:color w:val="0D0D0D" w:themeColor="text1" w:themeTint="F2"/>
        </w:rPr>
        <w:t>p</w:t>
      </w:r>
      <w:r w:rsidRPr="00EE1495">
        <w:rPr>
          <w:rFonts w:asciiTheme="minorHAnsi" w:eastAsiaTheme="majorEastAsia" w:hAnsiTheme="minorHAnsi" w:cstheme="minorHAnsi"/>
          <w:bCs/>
          <w:color w:val="0D0D0D" w:themeColor="text1" w:themeTint="F2"/>
        </w:rPr>
        <w:t xml:space="preserve">rice increases, including for example if the Government agrees to increase the dispensing fee component, then the cost to patients increases for medicines priced below the patient co-payment. If the Commonwealth </w:t>
      </w:r>
      <w:r w:rsidR="00B472A0">
        <w:rPr>
          <w:rFonts w:asciiTheme="minorHAnsi" w:eastAsiaTheme="majorEastAsia" w:hAnsiTheme="minorHAnsi" w:cstheme="minorHAnsi"/>
          <w:bCs/>
          <w:color w:val="0D0D0D" w:themeColor="text1" w:themeTint="F2"/>
        </w:rPr>
        <w:t>p</w:t>
      </w:r>
      <w:r w:rsidRPr="00EE1495">
        <w:rPr>
          <w:rFonts w:asciiTheme="minorHAnsi" w:eastAsiaTheme="majorEastAsia" w:hAnsiTheme="minorHAnsi" w:cstheme="minorHAnsi"/>
          <w:bCs/>
          <w:color w:val="0D0D0D" w:themeColor="text1" w:themeTint="F2"/>
        </w:rPr>
        <w:t xml:space="preserve">rice is above the relevant co-payment, then the government bears the additional cost </w:t>
      </w:r>
      <w:r w:rsidR="00B4588D" w:rsidRPr="00EE1495">
        <w:rPr>
          <w:rFonts w:asciiTheme="minorHAnsi" w:eastAsiaTheme="majorEastAsia" w:hAnsiTheme="minorHAnsi" w:cstheme="minorHAnsi"/>
          <w:bCs/>
          <w:color w:val="0D0D0D" w:themeColor="text1" w:themeTint="F2"/>
        </w:rPr>
        <w:t>(see example below</w:t>
      </w:r>
      <w:r w:rsidR="007E2696">
        <w:rPr>
          <w:rFonts w:asciiTheme="minorHAnsi" w:eastAsiaTheme="majorEastAsia" w:hAnsiTheme="minorHAnsi" w:cstheme="minorHAnsi"/>
          <w:bCs/>
          <w:color w:val="0D0D0D" w:themeColor="text1" w:themeTint="F2"/>
        </w:rPr>
        <w:t xml:space="preserve"> in</w:t>
      </w:r>
      <w:r w:rsidR="00650529">
        <w:rPr>
          <w:rFonts w:asciiTheme="minorHAnsi" w:eastAsiaTheme="majorEastAsia" w:hAnsiTheme="minorHAnsi" w:cstheme="minorHAnsi"/>
          <w:bCs/>
          <w:color w:val="0D0D0D" w:themeColor="text1" w:themeTint="F2"/>
        </w:rPr>
        <w:t xml:space="preserve"> </w:t>
      </w:r>
      <w:r w:rsidR="00650529">
        <w:rPr>
          <w:rFonts w:asciiTheme="minorHAnsi" w:eastAsiaTheme="majorEastAsia" w:hAnsiTheme="minorHAnsi" w:cstheme="minorHAnsi"/>
          <w:bCs/>
          <w:color w:val="0D0D0D" w:themeColor="text1" w:themeTint="F2"/>
        </w:rPr>
        <w:fldChar w:fldCharType="begin"/>
      </w:r>
      <w:r w:rsidR="00650529" w:rsidRPr="00650529">
        <w:rPr>
          <w:rFonts w:asciiTheme="minorHAnsi" w:eastAsiaTheme="majorEastAsia" w:hAnsiTheme="minorHAnsi" w:cstheme="minorHAnsi"/>
          <w:bCs/>
          <w:color w:val="0D0D0D" w:themeColor="text1" w:themeTint="F2"/>
        </w:rPr>
        <w:instrText xml:space="preserve"> REF _Ref155784354 \h </w:instrText>
      </w:r>
      <w:r w:rsidR="00650529">
        <w:rPr>
          <w:rFonts w:asciiTheme="minorHAnsi" w:eastAsiaTheme="majorEastAsia" w:hAnsiTheme="minorHAnsi" w:cstheme="minorHAnsi"/>
          <w:bCs/>
          <w:color w:val="0D0D0D" w:themeColor="text1" w:themeTint="F2"/>
        </w:rPr>
        <w:instrText xml:space="preserve"> \* MERGEFORMAT </w:instrText>
      </w:r>
      <w:r w:rsidR="00650529">
        <w:rPr>
          <w:rFonts w:asciiTheme="minorHAnsi" w:eastAsiaTheme="majorEastAsia" w:hAnsiTheme="minorHAnsi" w:cstheme="minorHAnsi"/>
          <w:bCs/>
          <w:color w:val="0D0D0D" w:themeColor="text1" w:themeTint="F2"/>
        </w:rPr>
      </w:r>
      <w:r w:rsidR="00650529">
        <w:rPr>
          <w:rFonts w:asciiTheme="minorHAnsi" w:eastAsiaTheme="majorEastAsia" w:hAnsiTheme="minorHAnsi" w:cstheme="minorHAnsi"/>
          <w:bCs/>
          <w:color w:val="0D0D0D" w:themeColor="text1" w:themeTint="F2"/>
        </w:rPr>
        <w:fldChar w:fldCharType="separate"/>
      </w:r>
      <w:r w:rsidR="00D94397" w:rsidRPr="00D94397">
        <w:rPr>
          <w:rFonts w:asciiTheme="minorHAnsi" w:eastAsiaTheme="majorEastAsia" w:hAnsiTheme="minorHAnsi" w:cstheme="minorHAnsi"/>
          <w:bCs/>
          <w:color w:val="0D0D0D" w:themeColor="text1" w:themeTint="F2"/>
        </w:rPr>
        <w:t>Table 2</w:t>
      </w:r>
      <w:r w:rsidR="00650529">
        <w:rPr>
          <w:rFonts w:asciiTheme="minorHAnsi" w:eastAsiaTheme="majorEastAsia" w:hAnsiTheme="minorHAnsi" w:cstheme="minorHAnsi"/>
          <w:bCs/>
          <w:color w:val="0D0D0D" w:themeColor="text1" w:themeTint="F2"/>
        </w:rPr>
        <w:fldChar w:fldCharType="end"/>
      </w:r>
      <w:r w:rsidR="00B4588D" w:rsidRPr="00EE1495">
        <w:rPr>
          <w:rFonts w:asciiTheme="minorHAnsi" w:eastAsiaTheme="majorEastAsia" w:hAnsiTheme="minorHAnsi" w:cstheme="minorHAnsi"/>
          <w:bCs/>
          <w:color w:val="0D0D0D" w:themeColor="text1" w:themeTint="F2"/>
        </w:rPr>
        <w:t>).</w:t>
      </w:r>
      <w:r w:rsidR="00813F69" w:rsidRPr="00B4786D">
        <w:rPr>
          <w:rFonts w:asciiTheme="minorHAnsi" w:eastAsiaTheme="majorEastAsia" w:hAnsiTheme="minorHAnsi" w:cstheme="minorHAnsi"/>
          <w:bCs/>
          <w:color w:val="0D0D0D" w:themeColor="text1" w:themeTint="F2"/>
        </w:rPr>
        <w:t xml:space="preserve"> </w:t>
      </w:r>
      <w:r w:rsidR="009C62AF" w:rsidRPr="00296FCC">
        <w:rPr>
          <w:rFonts w:asciiTheme="minorHAnsi" w:eastAsiaTheme="majorEastAsia" w:hAnsiTheme="minorHAnsi" w:cstheme="minorHAnsi"/>
          <w:bCs/>
          <w:color w:val="0D0D0D" w:themeColor="text1" w:themeTint="F2"/>
        </w:rPr>
        <w:t>Safety</w:t>
      </w:r>
      <w:r w:rsidR="009C62AF">
        <w:rPr>
          <w:rFonts w:asciiTheme="minorHAnsi" w:eastAsiaTheme="majorEastAsia" w:hAnsiTheme="minorHAnsi" w:cstheme="minorHAnsi"/>
          <w:bCs/>
          <w:color w:val="0D0D0D" w:themeColor="text1" w:themeTint="F2"/>
        </w:rPr>
        <w:t xml:space="preserve"> </w:t>
      </w:r>
      <w:r w:rsidR="009C62AF" w:rsidRPr="00296FCC">
        <w:rPr>
          <w:rFonts w:asciiTheme="minorHAnsi" w:eastAsiaTheme="majorEastAsia" w:hAnsiTheme="minorHAnsi" w:cstheme="minorHAnsi"/>
          <w:bCs/>
          <w:color w:val="0D0D0D" w:themeColor="text1" w:themeTint="F2"/>
        </w:rPr>
        <w:t>Net</w:t>
      </w:r>
      <w:r w:rsidR="00296FCC" w:rsidRPr="00296FCC">
        <w:rPr>
          <w:rFonts w:asciiTheme="minorHAnsi" w:eastAsiaTheme="majorEastAsia" w:hAnsiTheme="minorHAnsi" w:cstheme="minorHAnsi"/>
          <w:bCs/>
          <w:color w:val="0D0D0D" w:themeColor="text1" w:themeTint="F2"/>
        </w:rPr>
        <w:t xml:space="preserve"> thresholds are also in place and once a patient reaches the relevant </w:t>
      </w:r>
      <w:r w:rsidR="009C62AF">
        <w:rPr>
          <w:rFonts w:asciiTheme="minorHAnsi" w:eastAsiaTheme="majorEastAsia" w:hAnsiTheme="minorHAnsi" w:cstheme="minorHAnsi"/>
          <w:bCs/>
          <w:color w:val="0D0D0D" w:themeColor="text1" w:themeTint="F2"/>
        </w:rPr>
        <w:t>S</w:t>
      </w:r>
      <w:r w:rsidR="009C62AF" w:rsidRPr="00296FCC">
        <w:rPr>
          <w:rFonts w:asciiTheme="minorHAnsi" w:eastAsiaTheme="majorEastAsia" w:hAnsiTheme="minorHAnsi" w:cstheme="minorHAnsi"/>
          <w:bCs/>
          <w:color w:val="0D0D0D" w:themeColor="text1" w:themeTint="F2"/>
        </w:rPr>
        <w:t>afety</w:t>
      </w:r>
      <w:r w:rsidR="009C62AF">
        <w:rPr>
          <w:rFonts w:asciiTheme="minorHAnsi" w:eastAsiaTheme="majorEastAsia" w:hAnsiTheme="minorHAnsi" w:cstheme="minorHAnsi"/>
          <w:bCs/>
          <w:color w:val="0D0D0D" w:themeColor="text1" w:themeTint="F2"/>
        </w:rPr>
        <w:t xml:space="preserve"> </w:t>
      </w:r>
      <w:r w:rsidR="009C62AF" w:rsidRPr="00296FCC">
        <w:rPr>
          <w:rFonts w:asciiTheme="minorHAnsi" w:eastAsiaTheme="majorEastAsia" w:hAnsiTheme="minorHAnsi" w:cstheme="minorHAnsi"/>
          <w:bCs/>
          <w:color w:val="0D0D0D" w:themeColor="text1" w:themeTint="F2"/>
        </w:rPr>
        <w:t>Net</w:t>
      </w:r>
      <w:r w:rsidR="00296FCC" w:rsidRPr="00296FCC">
        <w:rPr>
          <w:rFonts w:asciiTheme="minorHAnsi" w:eastAsiaTheme="majorEastAsia" w:hAnsiTheme="minorHAnsi" w:cstheme="minorHAnsi"/>
          <w:bCs/>
          <w:color w:val="0D0D0D" w:themeColor="text1" w:themeTint="F2"/>
        </w:rPr>
        <w:t xml:space="preserve"> they pay the concession co-payment for the rest of the year or for concession </w:t>
      </w:r>
      <w:r w:rsidR="007612DE" w:rsidRPr="00296FCC">
        <w:rPr>
          <w:rFonts w:asciiTheme="minorHAnsi" w:eastAsiaTheme="majorEastAsia" w:hAnsiTheme="minorHAnsi" w:cstheme="minorHAnsi"/>
          <w:bCs/>
          <w:color w:val="0D0D0D" w:themeColor="text1" w:themeTint="F2"/>
        </w:rPr>
        <w:t>patients</w:t>
      </w:r>
      <w:r w:rsidR="00296FCC" w:rsidRPr="00296FCC">
        <w:rPr>
          <w:rFonts w:asciiTheme="minorHAnsi" w:eastAsiaTheme="majorEastAsia" w:hAnsiTheme="minorHAnsi" w:cstheme="minorHAnsi"/>
          <w:bCs/>
          <w:color w:val="0D0D0D" w:themeColor="text1" w:themeTint="F2"/>
        </w:rPr>
        <w:t xml:space="preserve"> no co-payment for the rest of the year.</w:t>
      </w:r>
      <w:r w:rsidR="007868A5">
        <w:rPr>
          <w:rFonts w:asciiTheme="minorHAnsi" w:eastAsiaTheme="majorEastAsia" w:hAnsiTheme="minorHAnsi" w:cstheme="minorHAnsi"/>
          <w:bCs/>
          <w:color w:val="0D0D0D" w:themeColor="text1" w:themeTint="F2"/>
        </w:rPr>
        <w:t xml:space="preserve"> This helps people who need more medicines to keep costs down.</w:t>
      </w:r>
    </w:p>
    <w:p w14:paraId="008E688C" w14:textId="77777777" w:rsidR="005E0B8B" w:rsidRDefault="005E0B8B">
      <w:pPr>
        <w:rPr>
          <w:rFonts w:eastAsiaTheme="majorEastAsia" w:cstheme="minorHAnsi"/>
          <w:bCs/>
          <w:color w:val="0D0D0D" w:themeColor="text1" w:themeTint="F2"/>
          <w:sz w:val="24"/>
          <w:szCs w:val="24"/>
          <w:lang w:eastAsia="en-AU"/>
        </w:rPr>
      </w:pPr>
      <w:r>
        <w:rPr>
          <w:rFonts w:eastAsiaTheme="majorEastAsia" w:cstheme="minorHAnsi"/>
          <w:bCs/>
          <w:color w:val="0D0D0D" w:themeColor="text1" w:themeTint="F2"/>
        </w:rPr>
        <w:br w:type="page"/>
      </w:r>
    </w:p>
    <w:p w14:paraId="6877131C" w14:textId="2CAA3758" w:rsidR="00650529" w:rsidRDefault="00650529" w:rsidP="00650529">
      <w:pPr>
        <w:pStyle w:val="Caption"/>
      </w:pPr>
      <w:bookmarkStart w:id="46" w:name="_Ref155784354"/>
      <w:r>
        <w:lastRenderedPageBreak/>
        <w:t xml:space="preserve">Table </w:t>
      </w:r>
      <w:fldSimple w:instr=" SEQ Table \* ARABIC ">
        <w:r w:rsidR="005B7A17">
          <w:rPr>
            <w:noProof/>
          </w:rPr>
          <w:t>2</w:t>
        </w:r>
      </w:fldSimple>
      <w:bookmarkEnd w:id="46"/>
      <w:r>
        <w:t xml:space="preserve">. </w:t>
      </w:r>
      <w:r w:rsidRPr="007F3FE3">
        <w:t>Example: Rosuvastatin 10mg Tablet, 30 x 2 packs (60-day prescription) (PBS item code 13586C</w:t>
      </w:r>
      <w:r>
        <w:t>)</w:t>
      </w:r>
    </w:p>
    <w:tbl>
      <w:tblPr>
        <w:tblW w:w="9075" w:type="dxa"/>
        <w:tblLook w:val="04A0" w:firstRow="1" w:lastRow="0" w:firstColumn="1" w:lastColumn="0" w:noHBand="0" w:noVBand="1"/>
      </w:tblPr>
      <w:tblGrid>
        <w:gridCol w:w="1941"/>
        <w:gridCol w:w="4474"/>
        <w:gridCol w:w="2660"/>
      </w:tblGrid>
      <w:tr w:rsidR="00F730DF" w:rsidRPr="00F730DF" w14:paraId="384C6D5E" w14:textId="77777777" w:rsidTr="00F730DF">
        <w:trPr>
          <w:trHeight w:val="482"/>
        </w:trPr>
        <w:tc>
          <w:tcPr>
            <w:tcW w:w="1941" w:type="dxa"/>
            <w:tcBorders>
              <w:top w:val="nil"/>
              <w:left w:val="nil"/>
              <w:bottom w:val="nil"/>
              <w:right w:val="nil"/>
            </w:tcBorders>
            <w:shd w:val="clear" w:color="auto" w:fill="auto"/>
            <w:noWrap/>
            <w:vAlign w:val="bottom"/>
            <w:hideMark/>
          </w:tcPr>
          <w:p w14:paraId="6974E98E" w14:textId="77777777" w:rsidR="00D23776" w:rsidRPr="000F6CAC" w:rsidRDefault="00D23776" w:rsidP="00E14567">
            <w:pPr>
              <w:spacing w:after="0" w:line="240" w:lineRule="auto"/>
              <w:rPr>
                <w:rFonts w:eastAsia="Times New Roman"/>
                <w:lang w:eastAsia="en-AU"/>
              </w:rPr>
            </w:pPr>
          </w:p>
        </w:tc>
        <w:tc>
          <w:tcPr>
            <w:tcW w:w="4474" w:type="dxa"/>
            <w:tcBorders>
              <w:top w:val="nil"/>
              <w:left w:val="nil"/>
              <w:bottom w:val="nil"/>
              <w:right w:val="single" w:sz="4" w:space="0" w:color="auto"/>
            </w:tcBorders>
            <w:shd w:val="clear" w:color="auto" w:fill="auto"/>
            <w:noWrap/>
            <w:vAlign w:val="bottom"/>
            <w:hideMark/>
          </w:tcPr>
          <w:p w14:paraId="4530CBF8" w14:textId="77777777" w:rsidR="00D23776" w:rsidRPr="000F6CAC" w:rsidRDefault="00D23776" w:rsidP="00E14567">
            <w:pPr>
              <w:spacing w:after="0" w:line="240" w:lineRule="auto"/>
              <w:rPr>
                <w:rFonts w:eastAsia="Times New Roman"/>
                <w:lang w:eastAsia="en-AU"/>
              </w:rPr>
            </w:pPr>
          </w:p>
        </w:tc>
        <w:tc>
          <w:tcPr>
            <w:tcW w:w="2660" w:type="dxa"/>
            <w:tcBorders>
              <w:top w:val="single" w:sz="4" w:space="0" w:color="auto"/>
              <w:left w:val="single" w:sz="4" w:space="0" w:color="auto"/>
              <w:bottom w:val="single" w:sz="4" w:space="0" w:color="auto"/>
              <w:right w:val="single" w:sz="4" w:space="0" w:color="auto"/>
            </w:tcBorders>
            <w:shd w:val="clear" w:color="auto" w:fill="0289C8" w:themeFill="text2" w:themeFillTint="BF"/>
            <w:vAlign w:val="bottom"/>
            <w:hideMark/>
          </w:tcPr>
          <w:p w14:paraId="7C0DCBB2" w14:textId="77777777" w:rsidR="00D23776" w:rsidRPr="00EE1495" w:rsidRDefault="00D23776" w:rsidP="00E14567">
            <w:pPr>
              <w:spacing w:after="0" w:line="240" w:lineRule="auto"/>
              <w:jc w:val="center"/>
              <w:rPr>
                <w:rFonts w:ascii="Calibri" w:eastAsia="Times New Roman" w:hAnsi="Calibri" w:cs="Calibri"/>
                <w:b/>
                <w:bCs/>
                <w:color w:val="FFFFFF" w:themeColor="background1"/>
                <w:sz w:val="22"/>
                <w:szCs w:val="22"/>
                <w:lang w:eastAsia="en-AU"/>
              </w:rPr>
            </w:pPr>
            <w:r w:rsidRPr="00EE1495">
              <w:rPr>
                <w:rFonts w:ascii="Calibri" w:eastAsia="Times New Roman" w:hAnsi="Calibri" w:cs="Calibri"/>
                <w:b/>
                <w:bCs/>
                <w:color w:val="FFFFFF" w:themeColor="background1"/>
                <w:sz w:val="22"/>
                <w:szCs w:val="22"/>
                <w:lang w:eastAsia="en-AU"/>
              </w:rPr>
              <w:t xml:space="preserve">January 2024 Price </w:t>
            </w:r>
          </w:p>
        </w:tc>
      </w:tr>
      <w:tr w:rsidR="00D23776" w:rsidRPr="000F6CAC" w14:paraId="18BBD487" w14:textId="77777777" w:rsidTr="00E14567">
        <w:trPr>
          <w:trHeight w:val="241"/>
        </w:trPr>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C72CE" w14:textId="77777777" w:rsidR="00D23776" w:rsidRPr="000F6CAC" w:rsidRDefault="00D23776" w:rsidP="00E14567">
            <w:pPr>
              <w:spacing w:after="0" w:line="240" w:lineRule="auto"/>
              <w:jc w:val="center"/>
              <w:rPr>
                <w:rFonts w:ascii="Calibri" w:eastAsia="Times New Roman" w:hAnsi="Calibri" w:cs="Calibri"/>
                <w:b/>
                <w:bCs/>
                <w:color w:val="000000"/>
                <w:sz w:val="22"/>
                <w:szCs w:val="22"/>
                <w:lang w:eastAsia="en-AU"/>
              </w:rPr>
            </w:pPr>
            <w:r w:rsidRPr="000F6CAC">
              <w:rPr>
                <w:rFonts w:ascii="Calibri" w:eastAsia="Times New Roman" w:hAnsi="Calibri" w:cs="Calibri"/>
                <w:b/>
                <w:bCs/>
                <w:color w:val="000000"/>
                <w:sz w:val="22"/>
                <w:szCs w:val="22"/>
                <w:lang w:eastAsia="en-AU"/>
              </w:rPr>
              <w:t xml:space="preserve">Commonwealth Price Components </w:t>
            </w:r>
          </w:p>
        </w:tc>
        <w:tc>
          <w:tcPr>
            <w:tcW w:w="4474" w:type="dxa"/>
            <w:tcBorders>
              <w:top w:val="single" w:sz="4" w:space="0" w:color="auto"/>
              <w:left w:val="nil"/>
              <w:bottom w:val="single" w:sz="4" w:space="0" w:color="auto"/>
              <w:right w:val="single" w:sz="4" w:space="0" w:color="auto"/>
            </w:tcBorders>
            <w:shd w:val="clear" w:color="auto" w:fill="auto"/>
            <w:noWrap/>
            <w:vAlign w:val="bottom"/>
            <w:hideMark/>
          </w:tcPr>
          <w:p w14:paraId="639D49DC"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Cost of Medicine (Approved Ex-Manufacturer Price)</w:t>
            </w:r>
          </w:p>
        </w:tc>
        <w:tc>
          <w:tcPr>
            <w:tcW w:w="2660" w:type="dxa"/>
            <w:tcBorders>
              <w:top w:val="nil"/>
              <w:left w:val="nil"/>
              <w:bottom w:val="single" w:sz="4" w:space="0" w:color="auto"/>
              <w:right w:val="single" w:sz="4" w:space="0" w:color="auto"/>
            </w:tcBorders>
            <w:shd w:val="clear" w:color="auto" w:fill="auto"/>
            <w:noWrap/>
            <w:vAlign w:val="bottom"/>
            <w:hideMark/>
          </w:tcPr>
          <w:p w14:paraId="242774E2"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$7.00</w:t>
            </w:r>
          </w:p>
        </w:tc>
      </w:tr>
      <w:tr w:rsidR="00D23776" w:rsidRPr="000F6CAC" w14:paraId="65A34BA9"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78D4EB06"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1B4936EC"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Wholesale Mark-up</w:t>
            </w:r>
          </w:p>
        </w:tc>
        <w:tc>
          <w:tcPr>
            <w:tcW w:w="2660" w:type="dxa"/>
            <w:tcBorders>
              <w:top w:val="nil"/>
              <w:left w:val="nil"/>
              <w:bottom w:val="single" w:sz="4" w:space="0" w:color="auto"/>
              <w:right w:val="single" w:sz="4" w:space="0" w:color="auto"/>
            </w:tcBorders>
            <w:shd w:val="clear" w:color="auto" w:fill="auto"/>
            <w:noWrap/>
            <w:vAlign w:val="bottom"/>
            <w:hideMark/>
          </w:tcPr>
          <w:p w14:paraId="62CCCB62"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$0.52</w:t>
            </w:r>
          </w:p>
        </w:tc>
      </w:tr>
      <w:tr w:rsidR="00D23776" w:rsidRPr="000F6CAC" w14:paraId="486C16E5"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449A8329"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76A6A3E4"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Administration, Handling and Infrastructure Fee (AHI)</w:t>
            </w:r>
          </w:p>
        </w:tc>
        <w:tc>
          <w:tcPr>
            <w:tcW w:w="2660" w:type="dxa"/>
            <w:tcBorders>
              <w:top w:val="nil"/>
              <w:left w:val="nil"/>
              <w:bottom w:val="single" w:sz="4" w:space="0" w:color="auto"/>
              <w:right w:val="single" w:sz="4" w:space="0" w:color="auto"/>
            </w:tcBorders>
            <w:shd w:val="clear" w:color="auto" w:fill="auto"/>
            <w:noWrap/>
            <w:vAlign w:val="bottom"/>
            <w:hideMark/>
          </w:tcPr>
          <w:p w14:paraId="71EA6686"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$4.62</w:t>
            </w:r>
          </w:p>
        </w:tc>
      </w:tr>
      <w:tr w:rsidR="00D23776" w:rsidRPr="000F6CAC" w14:paraId="1EB12C1D"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75B71E8A"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0D1B7BB0"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Dispensing Fee</w:t>
            </w:r>
          </w:p>
        </w:tc>
        <w:tc>
          <w:tcPr>
            <w:tcW w:w="2660" w:type="dxa"/>
            <w:tcBorders>
              <w:top w:val="nil"/>
              <w:left w:val="nil"/>
              <w:bottom w:val="single" w:sz="4" w:space="0" w:color="auto"/>
              <w:right w:val="single" w:sz="4" w:space="0" w:color="auto"/>
            </w:tcBorders>
            <w:shd w:val="clear" w:color="auto" w:fill="auto"/>
            <w:noWrap/>
            <w:vAlign w:val="bottom"/>
            <w:hideMark/>
          </w:tcPr>
          <w:p w14:paraId="7264C39C"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$8.37</w:t>
            </w:r>
          </w:p>
        </w:tc>
      </w:tr>
      <w:tr w:rsidR="00D23776" w:rsidRPr="000F6CAC" w14:paraId="5E72980B"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0DF61281"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34309AA8"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Other fees (e.g. dangerous drug fee) when applicable</w:t>
            </w:r>
          </w:p>
        </w:tc>
        <w:tc>
          <w:tcPr>
            <w:tcW w:w="2660" w:type="dxa"/>
            <w:tcBorders>
              <w:top w:val="nil"/>
              <w:left w:val="nil"/>
              <w:bottom w:val="single" w:sz="4" w:space="0" w:color="auto"/>
              <w:right w:val="single" w:sz="4" w:space="0" w:color="auto"/>
            </w:tcBorders>
            <w:shd w:val="clear" w:color="auto" w:fill="auto"/>
            <w:noWrap/>
            <w:vAlign w:val="bottom"/>
            <w:hideMark/>
          </w:tcPr>
          <w:p w14:paraId="47A9F6EC"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$0</w:t>
            </w:r>
          </w:p>
        </w:tc>
      </w:tr>
      <w:tr w:rsidR="00D23776" w:rsidRPr="000F6CAC" w14:paraId="74B013A0"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6D3FD5CE"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44FA2AAF"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r w:rsidRPr="000F6CAC">
              <w:rPr>
                <w:rFonts w:ascii="Calibri" w:eastAsia="Times New Roman" w:hAnsi="Calibri" w:cs="Calibri"/>
                <w:b/>
                <w:bCs/>
                <w:color w:val="000000"/>
                <w:sz w:val="22"/>
                <w:szCs w:val="22"/>
                <w:lang w:eastAsia="en-AU"/>
              </w:rPr>
              <w:t>Commonwealth Price</w:t>
            </w:r>
          </w:p>
        </w:tc>
        <w:tc>
          <w:tcPr>
            <w:tcW w:w="2660" w:type="dxa"/>
            <w:tcBorders>
              <w:top w:val="nil"/>
              <w:left w:val="nil"/>
              <w:bottom w:val="single" w:sz="4" w:space="0" w:color="auto"/>
              <w:right w:val="single" w:sz="4" w:space="0" w:color="auto"/>
            </w:tcBorders>
            <w:shd w:val="clear" w:color="auto" w:fill="auto"/>
            <w:noWrap/>
            <w:vAlign w:val="bottom"/>
            <w:hideMark/>
          </w:tcPr>
          <w:p w14:paraId="4C445650" w14:textId="77777777" w:rsidR="00D23776" w:rsidRPr="000F6CAC" w:rsidRDefault="00D23776" w:rsidP="00E14567">
            <w:pPr>
              <w:spacing w:after="0" w:line="240" w:lineRule="auto"/>
              <w:jc w:val="center"/>
              <w:rPr>
                <w:rFonts w:ascii="Calibri" w:eastAsia="Times New Roman" w:hAnsi="Calibri" w:cs="Calibri"/>
                <w:b/>
                <w:bCs/>
                <w:color w:val="000000"/>
                <w:sz w:val="22"/>
                <w:szCs w:val="22"/>
                <w:lang w:eastAsia="en-AU"/>
              </w:rPr>
            </w:pPr>
            <w:r>
              <w:rPr>
                <w:rFonts w:ascii="Calibri" w:eastAsia="Times New Roman" w:hAnsi="Calibri" w:cs="Calibri"/>
                <w:b/>
                <w:bCs/>
                <w:color w:val="000000"/>
                <w:sz w:val="22"/>
                <w:szCs w:val="22"/>
                <w:lang w:eastAsia="en-AU"/>
              </w:rPr>
              <w:t>$20.51</w:t>
            </w:r>
          </w:p>
        </w:tc>
      </w:tr>
      <w:tr w:rsidR="00D23776" w:rsidRPr="000F6CAC" w14:paraId="72766CE7" w14:textId="77777777" w:rsidTr="00E14567">
        <w:trPr>
          <w:trHeight w:val="241"/>
        </w:trPr>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EDD5CA" w14:textId="77777777" w:rsidR="00D23776" w:rsidRPr="000F6CAC" w:rsidRDefault="00D23776" w:rsidP="00E14567">
            <w:pPr>
              <w:spacing w:after="0" w:line="240" w:lineRule="auto"/>
              <w:jc w:val="center"/>
              <w:rPr>
                <w:rFonts w:ascii="Calibri" w:eastAsia="Times New Roman" w:hAnsi="Calibri" w:cs="Calibri"/>
                <w:b/>
                <w:bCs/>
                <w:color w:val="000000"/>
                <w:sz w:val="22"/>
                <w:szCs w:val="22"/>
                <w:lang w:eastAsia="en-AU"/>
              </w:rPr>
            </w:pPr>
            <w:r w:rsidRPr="000F6CAC">
              <w:rPr>
                <w:rFonts w:ascii="Calibri" w:eastAsia="Times New Roman" w:hAnsi="Calibri" w:cs="Calibri"/>
                <w:b/>
                <w:bCs/>
                <w:color w:val="000000"/>
                <w:sz w:val="22"/>
                <w:szCs w:val="22"/>
                <w:lang w:eastAsia="en-AU"/>
              </w:rPr>
              <w:t>Concession Card Holder</w:t>
            </w:r>
          </w:p>
        </w:tc>
        <w:tc>
          <w:tcPr>
            <w:tcW w:w="4474" w:type="dxa"/>
            <w:tcBorders>
              <w:top w:val="single" w:sz="4" w:space="0" w:color="auto"/>
              <w:left w:val="nil"/>
              <w:bottom w:val="single" w:sz="4" w:space="0" w:color="auto"/>
              <w:right w:val="single" w:sz="4" w:space="0" w:color="auto"/>
            </w:tcBorders>
            <w:shd w:val="clear" w:color="auto" w:fill="auto"/>
            <w:noWrap/>
            <w:vAlign w:val="bottom"/>
            <w:hideMark/>
          </w:tcPr>
          <w:p w14:paraId="3C2F792E"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 xml:space="preserve">Price to </w:t>
            </w:r>
            <w:r>
              <w:rPr>
                <w:rFonts w:ascii="Calibri" w:eastAsia="Times New Roman" w:hAnsi="Calibri" w:cs="Calibri"/>
                <w:color w:val="000000"/>
                <w:sz w:val="22"/>
                <w:szCs w:val="22"/>
                <w:lang w:eastAsia="en-AU"/>
              </w:rPr>
              <w:t>Concessional Patient - Patient Co-payment</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0448A88A"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$7.70</w:t>
            </w:r>
          </w:p>
        </w:tc>
      </w:tr>
      <w:tr w:rsidR="00D23776" w:rsidRPr="000F6CAC" w14:paraId="59302339"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443CD1A7" w14:textId="77777777" w:rsidR="00D23776" w:rsidRPr="000F6CAC"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6C43D7B2" w14:textId="77777777" w:rsidR="00D23776" w:rsidRPr="000F6CAC" w:rsidRDefault="00D23776" w:rsidP="00E14567">
            <w:pPr>
              <w:spacing w:after="0" w:line="240" w:lineRule="auto"/>
              <w:rPr>
                <w:rFonts w:ascii="Calibri" w:eastAsia="Times New Roman" w:hAnsi="Calibri" w:cs="Calibri"/>
                <w:color w:val="000000"/>
                <w:sz w:val="22"/>
                <w:szCs w:val="22"/>
                <w:lang w:eastAsia="en-AU"/>
              </w:rPr>
            </w:pPr>
            <w:r w:rsidRPr="000F6CAC">
              <w:rPr>
                <w:rFonts w:ascii="Calibri" w:eastAsia="Times New Roman" w:hAnsi="Calibri" w:cs="Calibri"/>
                <w:color w:val="000000"/>
                <w:sz w:val="22"/>
                <w:szCs w:val="22"/>
                <w:lang w:eastAsia="en-AU"/>
              </w:rPr>
              <w:t>Government Cost - Commonwealth Price</w:t>
            </w:r>
          </w:p>
        </w:tc>
        <w:tc>
          <w:tcPr>
            <w:tcW w:w="2660" w:type="dxa"/>
            <w:tcBorders>
              <w:top w:val="nil"/>
              <w:left w:val="nil"/>
              <w:bottom w:val="single" w:sz="4" w:space="0" w:color="auto"/>
              <w:right w:val="single" w:sz="4" w:space="0" w:color="auto"/>
            </w:tcBorders>
            <w:shd w:val="clear" w:color="auto" w:fill="auto"/>
            <w:noWrap/>
            <w:vAlign w:val="bottom"/>
            <w:hideMark/>
          </w:tcPr>
          <w:p w14:paraId="01B6B450" w14:textId="77777777" w:rsidR="00D23776" w:rsidRPr="000F6CAC" w:rsidRDefault="00D23776" w:rsidP="00E14567">
            <w:pPr>
              <w:spacing w:after="0" w:line="240" w:lineRule="auto"/>
              <w:jc w:val="center"/>
              <w:rPr>
                <w:rFonts w:ascii="Calibri" w:eastAsia="Times New Roman" w:hAnsi="Calibri" w:cs="Calibri"/>
                <w:color w:val="000000"/>
                <w:sz w:val="22"/>
                <w:szCs w:val="22"/>
                <w:lang w:eastAsia="en-AU"/>
              </w:rPr>
            </w:pPr>
            <w:r>
              <w:rPr>
                <w:rFonts w:ascii="Calibri" w:eastAsia="Times New Roman" w:hAnsi="Calibri" w:cs="Calibri"/>
                <w:color w:val="000000"/>
                <w:sz w:val="22"/>
                <w:szCs w:val="22"/>
                <w:lang w:eastAsia="en-AU"/>
              </w:rPr>
              <w:t>$12.81</w:t>
            </w:r>
          </w:p>
        </w:tc>
      </w:tr>
      <w:tr w:rsidR="00D23776" w:rsidRPr="001D1F53" w14:paraId="60AE7A1E" w14:textId="77777777" w:rsidTr="00E14567">
        <w:trPr>
          <w:trHeight w:val="241"/>
        </w:trPr>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42A76" w14:textId="77777777" w:rsidR="00D23776" w:rsidRPr="001D1F53" w:rsidRDefault="00D23776" w:rsidP="00E14567">
            <w:pPr>
              <w:spacing w:after="0" w:line="240" w:lineRule="auto"/>
              <w:jc w:val="center"/>
              <w:rPr>
                <w:rFonts w:ascii="Calibri" w:eastAsia="Times New Roman" w:hAnsi="Calibri" w:cs="Calibri"/>
                <w:b/>
                <w:bCs/>
                <w:color w:val="000000"/>
                <w:sz w:val="22"/>
                <w:szCs w:val="22"/>
                <w:lang w:eastAsia="en-AU"/>
              </w:rPr>
            </w:pPr>
            <w:r w:rsidRPr="001D1F53">
              <w:rPr>
                <w:rFonts w:ascii="Calibri" w:eastAsia="Times New Roman" w:hAnsi="Calibri" w:cs="Calibri"/>
                <w:b/>
                <w:bCs/>
                <w:color w:val="000000"/>
                <w:sz w:val="22"/>
                <w:szCs w:val="22"/>
                <w:lang w:eastAsia="en-AU"/>
              </w:rPr>
              <w:t>General Patient</w:t>
            </w:r>
          </w:p>
        </w:tc>
        <w:tc>
          <w:tcPr>
            <w:tcW w:w="4474" w:type="dxa"/>
            <w:tcBorders>
              <w:top w:val="single" w:sz="4" w:space="0" w:color="auto"/>
              <w:left w:val="nil"/>
              <w:bottom w:val="single" w:sz="4" w:space="0" w:color="auto"/>
              <w:right w:val="single" w:sz="4" w:space="0" w:color="auto"/>
            </w:tcBorders>
            <w:shd w:val="clear" w:color="auto" w:fill="auto"/>
            <w:noWrap/>
            <w:vAlign w:val="bottom"/>
            <w:hideMark/>
          </w:tcPr>
          <w:p w14:paraId="4E9DB8CC" w14:textId="47DA90E4" w:rsidR="00D23776" w:rsidRPr="001D1F53" w:rsidRDefault="00D23776" w:rsidP="00E14567">
            <w:pPr>
              <w:spacing w:after="0" w:line="240" w:lineRule="auto"/>
              <w:rPr>
                <w:rFonts w:ascii="Calibri" w:eastAsia="Times New Roman" w:hAnsi="Calibri" w:cs="Calibri"/>
                <w:color w:val="000000"/>
                <w:sz w:val="22"/>
                <w:szCs w:val="22"/>
                <w:lang w:eastAsia="en-AU"/>
              </w:rPr>
            </w:pPr>
            <w:r w:rsidRPr="001D1F53">
              <w:rPr>
                <w:rFonts w:ascii="Calibri" w:eastAsia="Times New Roman" w:hAnsi="Calibri" w:cs="Calibri"/>
                <w:color w:val="000000"/>
                <w:sz w:val="22"/>
                <w:szCs w:val="22"/>
                <w:lang w:eastAsia="en-AU"/>
              </w:rPr>
              <w:t xml:space="preserve">Price to </w:t>
            </w:r>
            <w:r>
              <w:rPr>
                <w:rFonts w:ascii="Calibri" w:eastAsia="Times New Roman" w:hAnsi="Calibri" w:cs="Calibri"/>
                <w:color w:val="000000"/>
                <w:sz w:val="22"/>
                <w:szCs w:val="22"/>
                <w:lang w:eastAsia="en-AU"/>
              </w:rPr>
              <w:t xml:space="preserve">General </w:t>
            </w:r>
            <w:r w:rsidRPr="001D1F53">
              <w:rPr>
                <w:rFonts w:ascii="Calibri" w:eastAsia="Times New Roman" w:hAnsi="Calibri" w:cs="Calibri"/>
                <w:color w:val="000000"/>
                <w:sz w:val="22"/>
                <w:szCs w:val="22"/>
                <w:lang w:eastAsia="en-AU"/>
              </w:rPr>
              <w:t>Patient*</w:t>
            </w:r>
          </w:p>
        </w:tc>
        <w:tc>
          <w:tcPr>
            <w:tcW w:w="2660" w:type="dxa"/>
            <w:tcBorders>
              <w:top w:val="single" w:sz="4" w:space="0" w:color="auto"/>
              <w:left w:val="nil"/>
              <w:bottom w:val="single" w:sz="4" w:space="0" w:color="auto"/>
              <w:right w:val="single" w:sz="4" w:space="0" w:color="auto"/>
            </w:tcBorders>
            <w:shd w:val="clear" w:color="auto" w:fill="auto"/>
            <w:noWrap/>
            <w:vAlign w:val="bottom"/>
            <w:hideMark/>
          </w:tcPr>
          <w:p w14:paraId="13C75256" w14:textId="77777777" w:rsidR="00D23776" w:rsidRPr="001D1F53" w:rsidRDefault="00D23776" w:rsidP="00E14567">
            <w:pPr>
              <w:spacing w:after="0" w:line="240" w:lineRule="auto"/>
              <w:jc w:val="center"/>
              <w:rPr>
                <w:rFonts w:ascii="Calibri" w:eastAsia="Times New Roman" w:hAnsi="Calibri" w:cs="Calibri"/>
                <w:b/>
                <w:bCs/>
                <w:color w:val="000000"/>
                <w:sz w:val="22"/>
                <w:szCs w:val="22"/>
                <w:lang w:eastAsia="en-AU"/>
              </w:rPr>
            </w:pPr>
            <w:r>
              <w:rPr>
                <w:rFonts w:ascii="Calibri" w:eastAsia="Times New Roman" w:hAnsi="Calibri" w:cs="Calibri"/>
                <w:b/>
                <w:bCs/>
                <w:color w:val="000000"/>
                <w:sz w:val="22"/>
                <w:szCs w:val="22"/>
                <w:lang w:eastAsia="en-AU"/>
              </w:rPr>
              <w:t>$20.51</w:t>
            </w:r>
          </w:p>
        </w:tc>
      </w:tr>
      <w:tr w:rsidR="00D23776" w:rsidRPr="001D1F53" w14:paraId="31987F02" w14:textId="77777777" w:rsidTr="00E14567">
        <w:trPr>
          <w:trHeight w:val="241"/>
        </w:trPr>
        <w:tc>
          <w:tcPr>
            <w:tcW w:w="1941" w:type="dxa"/>
            <w:vMerge/>
            <w:tcBorders>
              <w:top w:val="single" w:sz="4" w:space="0" w:color="auto"/>
              <w:left w:val="single" w:sz="4" w:space="0" w:color="auto"/>
              <w:bottom w:val="single" w:sz="4" w:space="0" w:color="auto"/>
              <w:right w:val="single" w:sz="4" w:space="0" w:color="auto"/>
            </w:tcBorders>
            <w:vAlign w:val="center"/>
            <w:hideMark/>
          </w:tcPr>
          <w:p w14:paraId="208FB8AD" w14:textId="77777777" w:rsidR="00D23776" w:rsidRPr="001D1F53" w:rsidRDefault="00D23776" w:rsidP="00E14567">
            <w:pPr>
              <w:spacing w:after="0" w:line="240" w:lineRule="auto"/>
              <w:rPr>
                <w:rFonts w:ascii="Calibri" w:eastAsia="Times New Roman" w:hAnsi="Calibri" w:cs="Calibri"/>
                <w:b/>
                <w:bCs/>
                <w:color w:val="000000"/>
                <w:sz w:val="22"/>
                <w:szCs w:val="22"/>
                <w:lang w:eastAsia="en-AU"/>
              </w:rPr>
            </w:pPr>
          </w:p>
        </w:tc>
        <w:tc>
          <w:tcPr>
            <w:tcW w:w="4474" w:type="dxa"/>
            <w:tcBorders>
              <w:top w:val="nil"/>
              <w:left w:val="nil"/>
              <w:bottom w:val="single" w:sz="4" w:space="0" w:color="auto"/>
              <w:right w:val="single" w:sz="4" w:space="0" w:color="auto"/>
            </w:tcBorders>
            <w:shd w:val="clear" w:color="auto" w:fill="auto"/>
            <w:noWrap/>
            <w:vAlign w:val="bottom"/>
            <w:hideMark/>
          </w:tcPr>
          <w:p w14:paraId="44AC8E47" w14:textId="77777777" w:rsidR="00D23776" w:rsidRPr="001D1F53" w:rsidRDefault="00D23776" w:rsidP="00E14567">
            <w:pPr>
              <w:spacing w:after="0" w:line="240" w:lineRule="auto"/>
              <w:rPr>
                <w:rFonts w:ascii="Calibri" w:eastAsia="Times New Roman" w:hAnsi="Calibri" w:cs="Calibri"/>
                <w:color w:val="000000"/>
                <w:sz w:val="22"/>
                <w:szCs w:val="22"/>
                <w:lang w:eastAsia="en-AU"/>
              </w:rPr>
            </w:pPr>
            <w:r w:rsidRPr="001D1F53">
              <w:rPr>
                <w:rFonts w:ascii="Calibri" w:eastAsia="Times New Roman" w:hAnsi="Calibri" w:cs="Calibri"/>
                <w:color w:val="000000"/>
                <w:sz w:val="22"/>
                <w:szCs w:val="22"/>
                <w:lang w:eastAsia="en-AU"/>
              </w:rPr>
              <w:t>Government Cost - Commonwealth Price</w:t>
            </w:r>
          </w:p>
        </w:tc>
        <w:tc>
          <w:tcPr>
            <w:tcW w:w="2660" w:type="dxa"/>
            <w:tcBorders>
              <w:top w:val="nil"/>
              <w:left w:val="nil"/>
              <w:bottom w:val="single" w:sz="4" w:space="0" w:color="auto"/>
              <w:right w:val="single" w:sz="4" w:space="0" w:color="auto"/>
            </w:tcBorders>
            <w:shd w:val="clear" w:color="auto" w:fill="auto"/>
            <w:vAlign w:val="bottom"/>
            <w:hideMark/>
          </w:tcPr>
          <w:p w14:paraId="2ADB13EF" w14:textId="77777777" w:rsidR="00D23776" w:rsidRPr="001D1F53" w:rsidRDefault="00D23776" w:rsidP="00E14567">
            <w:pPr>
              <w:spacing w:after="0" w:line="240" w:lineRule="auto"/>
              <w:jc w:val="center"/>
              <w:rPr>
                <w:rFonts w:ascii="Calibri" w:eastAsia="Times New Roman" w:hAnsi="Calibri" w:cs="Calibri"/>
                <w:color w:val="000000"/>
                <w:sz w:val="22"/>
                <w:szCs w:val="22"/>
                <w:lang w:eastAsia="en-AU"/>
              </w:rPr>
            </w:pPr>
            <w:r w:rsidRPr="001D1F53">
              <w:rPr>
                <w:rFonts w:ascii="Calibri" w:eastAsia="Times New Roman" w:hAnsi="Calibri" w:cs="Calibri"/>
                <w:color w:val="000000"/>
                <w:sz w:val="22"/>
                <w:szCs w:val="22"/>
                <w:lang w:eastAsia="en-AU"/>
              </w:rPr>
              <w:t>Nil</w:t>
            </w:r>
          </w:p>
        </w:tc>
      </w:tr>
    </w:tbl>
    <w:p w14:paraId="2DAD7A9E" w14:textId="65D517B8" w:rsidR="004806D0" w:rsidRPr="00A4446B" w:rsidRDefault="00A4446B" w:rsidP="00D23776">
      <w:pPr>
        <w:tabs>
          <w:tab w:val="left" w:pos="1350"/>
        </w:tabs>
      </w:pPr>
      <w:r>
        <w:t>*</w:t>
      </w:r>
      <w:r w:rsidRPr="00FE30E1">
        <w:rPr>
          <w:rFonts w:ascii="Calibri" w:hAnsi="Calibri" w:cs="Calibri"/>
          <w:color w:val="000000"/>
          <w:sz w:val="18"/>
          <w:szCs w:val="18"/>
        </w:rPr>
        <w:t xml:space="preserve"> </w:t>
      </w:r>
      <w:r w:rsidRPr="00CA72FA">
        <w:rPr>
          <w:rFonts w:ascii="Calibri" w:hAnsi="Calibri" w:cs="Calibri"/>
          <w:color w:val="000000"/>
        </w:rPr>
        <w:t>Price to patient for under co-payment scripts varies due to allowable discounting or additional charges. This represents the price to patient based on the legislated Commonwealth Price.</w:t>
      </w:r>
    </w:p>
    <w:p w14:paraId="0961C761" w14:textId="45B01E49" w:rsidR="00400F66" w:rsidRPr="001408E9" w:rsidRDefault="00400F66" w:rsidP="00400F66">
      <w:pPr>
        <w:shd w:val="clear" w:color="auto" w:fill="FFFFFF"/>
        <w:spacing w:line="300" w:lineRule="atLeast"/>
        <w:rPr>
          <w:rFonts w:eastAsiaTheme="majorEastAsia" w:cstheme="minorHAnsi"/>
          <w:bCs/>
          <w:color w:val="0D0D0D" w:themeColor="text1" w:themeTint="F2"/>
          <w:sz w:val="24"/>
          <w:szCs w:val="24"/>
          <w:lang w:eastAsia="en-AU"/>
        </w:rPr>
      </w:pPr>
      <w:r w:rsidRPr="001408E9">
        <w:rPr>
          <w:rFonts w:eastAsiaTheme="majorEastAsia" w:cstheme="minorHAnsi"/>
          <w:bCs/>
          <w:color w:val="0D0D0D" w:themeColor="text1" w:themeTint="F2"/>
          <w:sz w:val="24"/>
          <w:szCs w:val="24"/>
          <w:lang w:eastAsia="en-AU"/>
        </w:rPr>
        <w:t xml:space="preserve">In 2022-23, PBS Government expenditure on a cash accounting basis for the supply of medicines under Section 85 and Section 100 </w:t>
      </w:r>
      <w:r w:rsidR="007E2696">
        <w:rPr>
          <w:rFonts w:eastAsiaTheme="majorEastAsia" w:cstheme="minorHAnsi"/>
          <w:bCs/>
          <w:color w:val="0D0D0D" w:themeColor="text1" w:themeTint="F2"/>
          <w:sz w:val="24"/>
          <w:szCs w:val="24"/>
          <w:lang w:eastAsia="en-AU"/>
        </w:rPr>
        <w:t xml:space="preserve">of the Act </w:t>
      </w:r>
      <w:r w:rsidRPr="001408E9">
        <w:rPr>
          <w:rFonts w:eastAsiaTheme="majorEastAsia" w:cstheme="minorHAnsi"/>
          <w:bCs/>
          <w:color w:val="0D0D0D" w:themeColor="text1" w:themeTint="F2"/>
          <w:sz w:val="24"/>
          <w:szCs w:val="24"/>
          <w:lang w:eastAsia="en-AU"/>
        </w:rPr>
        <w:t>was $16.7 billion (excluding rebates) which is 91.4% of the total cost of PBS prescriptions. The remainder was patient contributions, which amounted to $1.6 billion. The majority of Government expenditure in 2022-23 on PBS Section 85 and Section 100 prescriptions was directed towards concessional cardholders ($10.5 billion, 62.6% of the total).</w:t>
      </w:r>
      <w:r>
        <w:rPr>
          <w:rStyle w:val="FootnoteReference"/>
          <w:rFonts w:eastAsiaTheme="majorEastAsia" w:cstheme="minorHAnsi"/>
          <w:bCs/>
          <w:color w:val="0D0D0D" w:themeColor="text1" w:themeTint="F2"/>
          <w:sz w:val="24"/>
          <w:szCs w:val="24"/>
          <w:lang w:eastAsia="en-AU"/>
        </w:rPr>
        <w:footnoteReference w:id="38"/>
      </w:r>
    </w:p>
    <w:p w14:paraId="20C92EB8" w14:textId="77777777" w:rsidR="003D63D7" w:rsidRDefault="00400F66" w:rsidP="00400F66">
      <w:pPr>
        <w:pStyle w:val="NormalWeb"/>
        <w:shd w:val="clear" w:color="auto" w:fill="FFFFFF"/>
        <w:spacing w:before="0" w:beforeAutospacing="0" w:after="120" w:afterAutospacing="0"/>
        <w:rPr>
          <w:rFonts w:asciiTheme="minorHAnsi" w:eastAsiaTheme="majorEastAsia" w:hAnsiTheme="minorHAnsi" w:cstheme="minorHAnsi"/>
          <w:bCs/>
          <w:color w:val="0D0D0D" w:themeColor="text1" w:themeTint="F2"/>
          <w:lang w:eastAsia="en-US"/>
        </w:rPr>
      </w:pPr>
      <w:r w:rsidRPr="00E56F41">
        <w:rPr>
          <w:rFonts w:asciiTheme="minorHAnsi" w:eastAsiaTheme="majorEastAsia" w:hAnsiTheme="minorHAnsi" w:cstheme="minorHAnsi"/>
          <w:bCs/>
          <w:color w:val="0D0D0D" w:themeColor="text1" w:themeTint="F2"/>
          <w:lang w:eastAsia="en-US"/>
        </w:rPr>
        <w:t>An Australian Bureau of Statistics survey of patient experiences over the 2022-23 financial year found that the proportion of people who delayed or did not get prescription medication when needed due to cost increased to 7.6% in 2022-23, from 5.6% in 2021-22.</w:t>
      </w:r>
      <w:r w:rsidRPr="00B4786D">
        <w:rPr>
          <w:rStyle w:val="FootnoteReference"/>
          <w:rFonts w:asciiTheme="minorHAnsi" w:eastAsiaTheme="majorEastAsia" w:hAnsiTheme="minorHAnsi" w:cstheme="minorHAnsi"/>
          <w:bCs/>
          <w:color w:val="0D0D0D" w:themeColor="text1" w:themeTint="F2"/>
          <w:lang w:eastAsia="en-US"/>
        </w:rPr>
        <w:footnoteReference w:id="39"/>
      </w:r>
      <w:r w:rsidRPr="00B4786D">
        <w:rPr>
          <w:rFonts w:asciiTheme="minorHAnsi" w:eastAsiaTheme="majorEastAsia" w:hAnsiTheme="minorHAnsi" w:cstheme="minorHAnsi"/>
          <w:bCs/>
          <w:color w:val="0D0D0D" w:themeColor="text1" w:themeTint="F2"/>
          <w:lang w:eastAsia="en-US"/>
        </w:rPr>
        <w:t xml:space="preserve"> </w:t>
      </w:r>
    </w:p>
    <w:p w14:paraId="2ABBDD58" w14:textId="3ED28702" w:rsidR="00400F66" w:rsidRPr="00B4786D" w:rsidRDefault="003D63D7" w:rsidP="00400F66">
      <w:pPr>
        <w:pStyle w:val="NormalWeb"/>
        <w:shd w:val="clear" w:color="auto" w:fill="FFFFFF"/>
        <w:spacing w:before="0" w:beforeAutospacing="0" w:after="120" w:afterAutospacing="0"/>
        <w:rPr>
          <w:rFonts w:asciiTheme="minorHAnsi" w:eastAsiaTheme="majorEastAsia" w:hAnsiTheme="minorHAnsi" w:cstheme="minorHAnsi"/>
          <w:bCs/>
          <w:color w:val="0D0D0D" w:themeColor="text1" w:themeTint="F2"/>
          <w:lang w:eastAsia="en-US"/>
        </w:rPr>
      </w:pPr>
      <w:r>
        <w:rPr>
          <w:rFonts w:asciiTheme="minorHAnsi" w:eastAsiaTheme="majorEastAsia" w:hAnsiTheme="minorHAnsi" w:cstheme="minorHAnsi"/>
          <w:bCs/>
          <w:color w:val="0D0D0D" w:themeColor="text1" w:themeTint="F2"/>
        </w:rPr>
        <w:t>T</w:t>
      </w:r>
      <w:r w:rsidR="00400F66" w:rsidRPr="00E56F41">
        <w:rPr>
          <w:rFonts w:asciiTheme="minorHAnsi" w:eastAsiaTheme="majorEastAsia" w:hAnsiTheme="minorHAnsi" w:cstheme="minorHAnsi"/>
          <w:bCs/>
          <w:color w:val="0D0D0D" w:themeColor="text1" w:themeTint="F2"/>
        </w:rPr>
        <w:t xml:space="preserve">he policy objective </w:t>
      </w:r>
      <w:r>
        <w:rPr>
          <w:rFonts w:asciiTheme="minorHAnsi" w:eastAsiaTheme="majorEastAsia" w:hAnsiTheme="minorHAnsi" w:cstheme="minorHAnsi"/>
          <w:bCs/>
          <w:color w:val="0D0D0D" w:themeColor="text1" w:themeTint="F2"/>
        </w:rPr>
        <w:t xml:space="preserve">is </w:t>
      </w:r>
      <w:r w:rsidR="00400F66" w:rsidRPr="00E56F41">
        <w:rPr>
          <w:rFonts w:asciiTheme="minorHAnsi" w:eastAsiaTheme="majorEastAsia" w:hAnsiTheme="minorHAnsi" w:cstheme="minorHAnsi"/>
          <w:bCs/>
          <w:color w:val="0D0D0D" w:themeColor="text1" w:themeTint="F2"/>
        </w:rPr>
        <w:t xml:space="preserve">to make medicines as affordable and accessible as possible </w:t>
      </w:r>
      <w:r w:rsidR="00400F66" w:rsidRPr="00B4786D">
        <w:rPr>
          <w:rFonts w:asciiTheme="minorHAnsi" w:eastAsiaTheme="majorEastAsia" w:hAnsiTheme="minorHAnsi" w:cstheme="minorHAnsi"/>
          <w:bCs/>
          <w:color w:val="0D0D0D" w:themeColor="text1" w:themeTint="F2"/>
        </w:rPr>
        <w:t>in order to encourage consumers to use medicines prescribed to treat their health conditions. This can also be important fr</w:t>
      </w:r>
      <w:r w:rsidR="00BF1AA4">
        <w:rPr>
          <w:rFonts w:asciiTheme="minorHAnsi" w:eastAsiaTheme="majorEastAsia" w:hAnsiTheme="minorHAnsi" w:cstheme="minorHAnsi"/>
          <w:bCs/>
          <w:color w:val="0D0D0D" w:themeColor="text1" w:themeTint="F2"/>
        </w:rPr>
        <w:t>o</w:t>
      </w:r>
      <w:r w:rsidR="00400F66" w:rsidRPr="00B4786D">
        <w:rPr>
          <w:rFonts w:asciiTheme="minorHAnsi" w:eastAsiaTheme="majorEastAsia" w:hAnsiTheme="minorHAnsi" w:cstheme="minorHAnsi"/>
          <w:bCs/>
          <w:color w:val="0D0D0D" w:themeColor="text1" w:themeTint="F2"/>
        </w:rPr>
        <w:t>m an economic perspective as there can be more significant health system im</w:t>
      </w:r>
      <w:r w:rsidR="00400F66" w:rsidRPr="00E56F41">
        <w:rPr>
          <w:rFonts w:asciiTheme="minorHAnsi" w:eastAsiaTheme="majorEastAsia" w:hAnsiTheme="minorHAnsi" w:cstheme="minorHAnsi"/>
          <w:bCs/>
          <w:color w:val="0D0D0D" w:themeColor="text1" w:themeTint="F2"/>
        </w:rPr>
        <w:t xml:space="preserve">plications if treatments are delayed or not used as intended. </w:t>
      </w:r>
    </w:p>
    <w:p w14:paraId="3FC243E3" w14:textId="123D2162" w:rsidR="00FE1571" w:rsidRPr="00952115" w:rsidRDefault="00650529" w:rsidP="00952115">
      <w:pPr>
        <w:rPr>
          <w:rFonts w:cstheme="minorHAnsi"/>
          <w:color w:val="0D0D0D" w:themeColor="text1" w:themeTint="F2"/>
          <w:sz w:val="24"/>
          <w:szCs w:val="24"/>
        </w:rPr>
      </w:pPr>
      <w:r w:rsidRPr="00650529">
        <w:rPr>
          <w:rFonts w:cstheme="minorHAnsi"/>
          <w:color w:val="0D0D0D" w:themeColor="text1" w:themeTint="F2"/>
          <w:sz w:val="24"/>
          <w:szCs w:val="24"/>
        </w:rPr>
        <w:fldChar w:fldCharType="begin"/>
      </w:r>
      <w:r w:rsidRPr="00650529">
        <w:rPr>
          <w:rFonts w:cstheme="minorHAnsi"/>
          <w:color w:val="0D0D0D" w:themeColor="text1" w:themeTint="F2"/>
          <w:sz w:val="24"/>
          <w:szCs w:val="24"/>
        </w:rPr>
        <w:instrText xml:space="preserve"> REF _Ref155784425 \h </w:instrText>
      </w:r>
      <w:r>
        <w:rPr>
          <w:rFonts w:cstheme="minorHAnsi"/>
          <w:color w:val="0D0D0D" w:themeColor="text1" w:themeTint="F2"/>
          <w:sz w:val="24"/>
          <w:szCs w:val="24"/>
        </w:rPr>
        <w:instrText xml:space="preserve"> \* MERGEFORMAT </w:instrText>
      </w:r>
      <w:r w:rsidRPr="00650529">
        <w:rPr>
          <w:rFonts w:cstheme="minorHAnsi"/>
          <w:color w:val="0D0D0D" w:themeColor="text1" w:themeTint="F2"/>
          <w:sz w:val="24"/>
          <w:szCs w:val="24"/>
        </w:rPr>
      </w:r>
      <w:r w:rsidRPr="00650529">
        <w:rPr>
          <w:rFonts w:cstheme="minorHAnsi"/>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3</w:t>
      </w:r>
      <w:r w:rsidRPr="00650529">
        <w:rPr>
          <w:rFonts w:cstheme="minorHAnsi"/>
          <w:color w:val="0D0D0D" w:themeColor="text1" w:themeTint="F2"/>
          <w:sz w:val="24"/>
          <w:szCs w:val="24"/>
        </w:rPr>
        <w:fldChar w:fldCharType="end"/>
      </w:r>
      <w:r w:rsidR="00F44B8E" w:rsidRPr="00650529">
        <w:rPr>
          <w:rFonts w:cstheme="minorHAnsi"/>
          <w:color w:val="0D0D0D" w:themeColor="text1" w:themeTint="F2"/>
          <w:sz w:val="24"/>
          <w:szCs w:val="24"/>
        </w:rPr>
        <w:t xml:space="preserve"> below summarises the </w:t>
      </w:r>
      <w:r w:rsidR="00612833" w:rsidRPr="00650529">
        <w:rPr>
          <w:rFonts w:eastAsia="Times New Roman" w:cstheme="minorHAnsi"/>
          <w:bCs/>
          <w:color w:val="auto"/>
          <w:sz w:val="24"/>
          <w:szCs w:val="24"/>
          <w:lang w:eastAsia="en-AU"/>
        </w:rPr>
        <w:t>Government Cost, patient contribution</w:t>
      </w:r>
      <w:r w:rsidR="00F67CEB">
        <w:rPr>
          <w:rFonts w:eastAsia="Times New Roman" w:cstheme="minorHAnsi"/>
          <w:bCs/>
          <w:color w:val="auto"/>
          <w:sz w:val="24"/>
          <w:szCs w:val="24"/>
          <w:lang w:eastAsia="en-AU"/>
        </w:rPr>
        <w:t xml:space="preserve"> </w:t>
      </w:r>
      <w:r w:rsidR="00612833" w:rsidRPr="00650529">
        <w:rPr>
          <w:rFonts w:eastAsia="Times New Roman" w:cstheme="minorHAnsi"/>
          <w:bCs/>
          <w:color w:val="auto"/>
          <w:sz w:val="24"/>
          <w:szCs w:val="24"/>
          <w:lang w:eastAsia="en-AU"/>
        </w:rPr>
        <w:t>and average p</w:t>
      </w:r>
      <w:r w:rsidR="00F44B8E" w:rsidRPr="00650529">
        <w:rPr>
          <w:rFonts w:eastAsia="Times New Roman" w:cstheme="minorHAnsi"/>
          <w:bCs/>
          <w:color w:val="auto"/>
          <w:sz w:val="24"/>
          <w:szCs w:val="24"/>
          <w:lang w:eastAsia="en-AU"/>
        </w:rPr>
        <w:t xml:space="preserve">rice for </w:t>
      </w:r>
      <w:r w:rsidR="007E2696">
        <w:rPr>
          <w:rFonts w:eastAsia="Times New Roman" w:cstheme="minorHAnsi"/>
          <w:bCs/>
          <w:color w:val="auto"/>
          <w:sz w:val="24"/>
          <w:szCs w:val="24"/>
          <w:lang w:eastAsia="en-AU"/>
        </w:rPr>
        <w:t xml:space="preserve">the </w:t>
      </w:r>
      <w:r w:rsidR="00F44B8E" w:rsidRPr="00650529">
        <w:rPr>
          <w:rFonts w:eastAsia="Times New Roman" w:cstheme="minorHAnsi"/>
          <w:bCs/>
          <w:color w:val="auto"/>
          <w:sz w:val="24"/>
          <w:szCs w:val="24"/>
          <w:lang w:eastAsia="en-AU"/>
        </w:rPr>
        <w:t>2005-06,</w:t>
      </w:r>
      <w:r w:rsidR="00F44B8E" w:rsidRPr="00EE1495">
        <w:rPr>
          <w:rFonts w:eastAsia="Times New Roman" w:cstheme="minorHAnsi"/>
          <w:bCs/>
          <w:color w:val="auto"/>
          <w:sz w:val="24"/>
          <w:szCs w:val="24"/>
          <w:lang w:eastAsia="en-AU"/>
        </w:rPr>
        <w:t xml:space="preserve"> 2010-11, 2015-16 and 2020-21 years</w:t>
      </w:r>
      <w:r w:rsidR="00612833" w:rsidRPr="00EE1495">
        <w:rPr>
          <w:rFonts w:eastAsia="Times New Roman" w:cstheme="minorHAnsi"/>
          <w:bCs/>
          <w:color w:val="auto"/>
          <w:sz w:val="24"/>
          <w:szCs w:val="24"/>
          <w:lang w:eastAsia="en-AU"/>
        </w:rPr>
        <w:t>.</w:t>
      </w:r>
      <w:r w:rsidR="005F7D27" w:rsidRPr="00EE1495">
        <w:rPr>
          <w:rFonts w:eastAsia="Times New Roman" w:cstheme="minorHAnsi"/>
          <w:bCs/>
          <w:color w:val="auto"/>
          <w:sz w:val="24"/>
          <w:szCs w:val="24"/>
          <w:lang w:eastAsia="en-AU"/>
        </w:rPr>
        <w:t xml:space="preserve"> </w:t>
      </w:r>
      <w:r w:rsidR="005F7D27" w:rsidRPr="00952115">
        <w:rPr>
          <w:rFonts w:eastAsiaTheme="majorEastAsia" w:cstheme="minorHAnsi"/>
          <w:bCs/>
          <w:color w:val="0D0D0D" w:themeColor="text1" w:themeTint="F2"/>
          <w:sz w:val="24"/>
          <w:szCs w:val="24"/>
        </w:rPr>
        <w:t>In addition</w:t>
      </w:r>
      <w:r w:rsidR="00296FCC">
        <w:rPr>
          <w:rFonts w:eastAsiaTheme="majorEastAsia" w:cstheme="minorHAnsi"/>
          <w:bCs/>
          <w:color w:val="0D0D0D" w:themeColor="text1" w:themeTint="F2"/>
          <w:sz w:val="24"/>
          <w:szCs w:val="24"/>
        </w:rPr>
        <w:t>,</w:t>
      </w:r>
      <w:r w:rsidR="005F7D27" w:rsidRPr="00952115">
        <w:rPr>
          <w:rFonts w:eastAsiaTheme="majorEastAsia" w:cstheme="minorHAnsi"/>
          <w:bCs/>
          <w:color w:val="0D0D0D" w:themeColor="text1" w:themeTint="F2"/>
          <w:sz w:val="24"/>
          <w:szCs w:val="24"/>
        </w:rPr>
        <w:t xml:space="preserve"> a</w:t>
      </w:r>
      <w:r w:rsidR="00BD6B21" w:rsidRPr="00952115">
        <w:rPr>
          <w:rFonts w:eastAsiaTheme="majorEastAsia" w:cstheme="minorHAnsi"/>
          <w:bCs/>
          <w:color w:val="0D0D0D" w:themeColor="text1" w:themeTint="F2"/>
          <w:sz w:val="24"/>
          <w:szCs w:val="24"/>
        </w:rPr>
        <w:t xml:space="preserve"> </w:t>
      </w:r>
      <w:r w:rsidR="005F7D27" w:rsidRPr="00EE1495">
        <w:rPr>
          <w:rFonts w:eastAsiaTheme="majorEastAsia" w:cstheme="minorHAnsi"/>
          <w:bCs/>
          <w:color w:val="0D0D0D" w:themeColor="text1" w:themeTint="F2"/>
          <w:sz w:val="24"/>
          <w:szCs w:val="24"/>
        </w:rPr>
        <w:t>table summarising the Commonwealth price components as outlined in successive CPAs from 2010 is provided at App</w:t>
      </w:r>
      <w:r w:rsidR="00E97F25">
        <w:rPr>
          <w:rFonts w:eastAsiaTheme="majorEastAsia" w:cstheme="minorHAnsi"/>
          <w:bCs/>
          <w:color w:val="0D0D0D" w:themeColor="text1" w:themeTint="F2"/>
          <w:sz w:val="24"/>
          <w:szCs w:val="24"/>
        </w:rPr>
        <w:t>endix 4</w:t>
      </w:r>
      <w:r w:rsidR="005F7D27" w:rsidRPr="00EE1495">
        <w:rPr>
          <w:rFonts w:eastAsiaTheme="majorEastAsia" w:cstheme="minorHAnsi"/>
          <w:bCs/>
          <w:color w:val="0D0D0D" w:themeColor="text1" w:themeTint="F2"/>
          <w:sz w:val="24"/>
          <w:szCs w:val="24"/>
        </w:rPr>
        <w:t>.</w:t>
      </w:r>
      <w:r w:rsidR="005F7D27" w:rsidRPr="00EE1495" w:rsidDel="007E00C8">
        <w:rPr>
          <w:rFonts w:eastAsiaTheme="majorEastAsia" w:cstheme="minorHAnsi"/>
          <w:bCs/>
          <w:color w:val="0D0D0D" w:themeColor="text1" w:themeTint="F2"/>
          <w:sz w:val="24"/>
          <w:szCs w:val="24"/>
        </w:rPr>
        <w:t xml:space="preserve"> </w:t>
      </w:r>
    </w:p>
    <w:p w14:paraId="693EFCBB" w14:textId="77777777" w:rsidR="00F43B63" w:rsidRDefault="00F43B63" w:rsidP="00952115">
      <w:pPr>
        <w:rPr>
          <w:rFonts w:cstheme="minorHAnsi"/>
          <w:color w:val="0D0D0D" w:themeColor="text1" w:themeTint="F2"/>
          <w:sz w:val="24"/>
          <w:szCs w:val="24"/>
        </w:rPr>
        <w:sectPr w:rsidR="00F43B63" w:rsidSect="00163D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7" w:gutter="0"/>
          <w:cols w:space="708"/>
          <w:titlePg/>
          <w:docGrid w:linePitch="360"/>
        </w:sectPr>
      </w:pPr>
    </w:p>
    <w:p w14:paraId="4A1D8584" w14:textId="05C171FF" w:rsidR="00E2171E" w:rsidRPr="00952115" w:rsidRDefault="00E2171E" w:rsidP="00952115">
      <w:pPr>
        <w:rPr>
          <w:rFonts w:cstheme="minorHAnsi"/>
          <w:color w:val="0D0D0D" w:themeColor="text1" w:themeTint="F2"/>
          <w:sz w:val="24"/>
          <w:szCs w:val="24"/>
        </w:rPr>
      </w:pPr>
    </w:p>
    <w:p w14:paraId="7D0F4134" w14:textId="57663C3B" w:rsidR="00650529" w:rsidRDefault="00650529" w:rsidP="00650529">
      <w:pPr>
        <w:pStyle w:val="Caption"/>
      </w:pPr>
      <w:bookmarkStart w:id="47" w:name="_Ref155784425"/>
      <w:r>
        <w:t xml:space="preserve">Table </w:t>
      </w:r>
      <w:fldSimple w:instr=" SEQ Table \* ARABIC ">
        <w:r w:rsidR="005B7A17">
          <w:rPr>
            <w:noProof/>
          </w:rPr>
          <w:t>3</w:t>
        </w:r>
      </w:fldSimple>
      <w:bookmarkEnd w:id="47"/>
      <w:r>
        <w:t xml:space="preserve">. </w:t>
      </w:r>
      <w:r w:rsidRPr="00731707">
        <w:t>PBS Subsidised Prescriptions, Government Cost, Patient Contribution and Average Price* 2005-2021</w:t>
      </w:r>
    </w:p>
    <w:tbl>
      <w:tblPr>
        <w:tblW w:w="5468" w:type="pct"/>
        <w:tblLook w:val="04A0" w:firstRow="1" w:lastRow="0" w:firstColumn="1" w:lastColumn="0" w:noHBand="0" w:noVBand="1"/>
      </w:tblPr>
      <w:tblGrid>
        <w:gridCol w:w="1156"/>
        <w:gridCol w:w="1317"/>
        <w:gridCol w:w="1318"/>
        <w:gridCol w:w="724"/>
        <w:gridCol w:w="1321"/>
        <w:gridCol w:w="1321"/>
        <w:gridCol w:w="798"/>
        <w:gridCol w:w="1321"/>
        <w:gridCol w:w="1321"/>
        <w:gridCol w:w="801"/>
        <w:gridCol w:w="1321"/>
        <w:gridCol w:w="1321"/>
        <w:gridCol w:w="798"/>
      </w:tblGrid>
      <w:tr w:rsidR="00BB2701" w:rsidRPr="00287CE1" w14:paraId="28964AB8" w14:textId="77777777" w:rsidTr="00EE1495">
        <w:trPr>
          <w:trHeight w:val="663"/>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tcPr>
          <w:p w14:paraId="67816695" w14:textId="77777777" w:rsidR="00BB2701" w:rsidRPr="00EE1495" w:rsidRDefault="00BB2701" w:rsidP="00744F2A">
            <w:pPr>
              <w:spacing w:after="0" w:line="240" w:lineRule="auto"/>
              <w:jc w:val="center"/>
              <w:rPr>
                <w:rFonts w:eastAsia="Times New Roman" w:cstheme="minorHAnsi"/>
                <w:b/>
                <w:bCs/>
                <w:color w:val="FFFFFF" w:themeColor="background1"/>
                <w:sz w:val="16"/>
                <w:szCs w:val="16"/>
                <w:lang w:eastAsia="en-AU"/>
              </w:rPr>
            </w:pPr>
          </w:p>
        </w:tc>
        <w:tc>
          <w:tcPr>
            <w:tcW w:w="1132" w:type="pct"/>
            <w:gridSpan w:val="3"/>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6A495A89"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2005-06</w:t>
            </w:r>
          </w:p>
        </w:tc>
        <w:tc>
          <w:tcPr>
            <w:tcW w:w="1159" w:type="pct"/>
            <w:gridSpan w:val="3"/>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1B233601"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2010-11</w:t>
            </w:r>
          </w:p>
        </w:tc>
        <w:tc>
          <w:tcPr>
            <w:tcW w:w="1160" w:type="pct"/>
            <w:gridSpan w:val="3"/>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30DB7DFC"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2015-16</w:t>
            </w:r>
          </w:p>
        </w:tc>
        <w:tc>
          <w:tcPr>
            <w:tcW w:w="1159" w:type="pct"/>
            <w:gridSpan w:val="3"/>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6F7CFA2C"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2020-21</w:t>
            </w:r>
          </w:p>
        </w:tc>
      </w:tr>
      <w:tr w:rsidR="00BB2701" w:rsidRPr="00287CE1" w14:paraId="0559915E" w14:textId="77777777" w:rsidTr="00650529">
        <w:trPr>
          <w:trHeight w:val="663"/>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28BD3B81"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Patient Category</w:t>
            </w:r>
          </w:p>
        </w:tc>
        <w:tc>
          <w:tcPr>
            <w:tcW w:w="444"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7EA0825A"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 xml:space="preserve">Government Cost </w:t>
            </w:r>
          </w:p>
        </w:tc>
        <w:tc>
          <w:tcPr>
            <w:tcW w:w="444"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6EB5A344"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Patient Payments</w:t>
            </w:r>
          </w:p>
        </w:tc>
        <w:tc>
          <w:tcPr>
            <w:tcW w:w="244"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4945492F"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Ave Price</w:t>
            </w:r>
          </w:p>
        </w:tc>
        <w:tc>
          <w:tcPr>
            <w:tcW w:w="445"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0215760E"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 xml:space="preserve">Government Cost </w:t>
            </w:r>
          </w:p>
        </w:tc>
        <w:tc>
          <w:tcPr>
            <w:tcW w:w="445"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0C5EB2BB"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Patient Payments</w:t>
            </w:r>
          </w:p>
        </w:tc>
        <w:tc>
          <w:tcPr>
            <w:tcW w:w="269"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27FB79E4"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Ave Price</w:t>
            </w:r>
          </w:p>
        </w:tc>
        <w:tc>
          <w:tcPr>
            <w:tcW w:w="445"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757FF502"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Government Cost</w:t>
            </w:r>
          </w:p>
        </w:tc>
        <w:tc>
          <w:tcPr>
            <w:tcW w:w="445"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48E752D6"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Patient Payments</w:t>
            </w:r>
          </w:p>
        </w:tc>
        <w:tc>
          <w:tcPr>
            <w:tcW w:w="27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6D61BCC6"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Ave. Price</w:t>
            </w:r>
          </w:p>
        </w:tc>
        <w:tc>
          <w:tcPr>
            <w:tcW w:w="445"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hideMark/>
          </w:tcPr>
          <w:p w14:paraId="5993DA62"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Government Cost</w:t>
            </w:r>
          </w:p>
        </w:tc>
        <w:tc>
          <w:tcPr>
            <w:tcW w:w="445"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hideMark/>
          </w:tcPr>
          <w:p w14:paraId="182DD585"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Patient Contribution</w:t>
            </w:r>
          </w:p>
          <w:p w14:paraId="316502B8"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w:t>
            </w:r>
          </w:p>
        </w:tc>
        <w:tc>
          <w:tcPr>
            <w:tcW w:w="269"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hideMark/>
          </w:tcPr>
          <w:p w14:paraId="0B26178D"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Ave. Price</w:t>
            </w:r>
          </w:p>
          <w:p w14:paraId="4F62335F" w14:textId="77777777" w:rsidR="00BB2701" w:rsidRPr="00EE1495" w:rsidRDefault="00BB2701" w:rsidP="00744F2A">
            <w:pPr>
              <w:spacing w:after="0" w:line="240" w:lineRule="auto"/>
              <w:jc w:val="center"/>
              <w:rPr>
                <w:rFonts w:cstheme="minorHAnsi"/>
                <w:b/>
                <w:bCs/>
                <w:color w:val="FFFFFF" w:themeColor="background1"/>
                <w:sz w:val="16"/>
                <w:szCs w:val="16"/>
              </w:rPr>
            </w:pPr>
            <w:r w:rsidRPr="00EE1495">
              <w:rPr>
                <w:rFonts w:cstheme="minorHAnsi"/>
                <w:b/>
                <w:bCs/>
                <w:color w:val="FFFFFF" w:themeColor="background1"/>
                <w:sz w:val="16"/>
                <w:szCs w:val="16"/>
              </w:rPr>
              <w:t>**</w:t>
            </w:r>
          </w:p>
        </w:tc>
      </w:tr>
      <w:tr w:rsidR="00BB2701" w:rsidRPr="00287CE1" w14:paraId="4A0FAED9"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582A6C0F" w14:textId="77777777" w:rsidR="00BB2701" w:rsidRPr="0097531B" w:rsidRDefault="00BB2701" w:rsidP="00377E35">
            <w:pPr>
              <w:spacing w:after="0" w:line="240" w:lineRule="auto"/>
              <w:jc w:val="center"/>
              <w:rPr>
                <w:rFonts w:cstheme="minorHAnsi"/>
                <w:b/>
                <w:color w:val="FFFFFF" w:themeColor="background1"/>
                <w:sz w:val="16"/>
                <w:szCs w:val="16"/>
              </w:rPr>
            </w:pPr>
            <w:r w:rsidRPr="0097531B">
              <w:rPr>
                <w:rFonts w:cstheme="minorHAnsi"/>
                <w:b/>
                <w:color w:val="FFFFFF" w:themeColor="background1"/>
                <w:sz w:val="16"/>
                <w:szCs w:val="16"/>
              </w:rPr>
              <w:t>Concessional Non-Safety Net</w:t>
            </w:r>
          </w:p>
        </w:tc>
        <w:tc>
          <w:tcPr>
            <w:tcW w:w="444" w:type="pct"/>
            <w:tcBorders>
              <w:top w:val="single" w:sz="4" w:space="0" w:color="auto"/>
              <w:left w:val="single" w:sz="4" w:space="0" w:color="auto"/>
              <w:bottom w:val="single" w:sz="4" w:space="0" w:color="auto"/>
              <w:right w:val="single" w:sz="4" w:space="0" w:color="auto"/>
            </w:tcBorders>
            <w:vAlign w:val="center"/>
          </w:tcPr>
          <w:p w14:paraId="6E805C07" w14:textId="77777777" w:rsidR="00BB2701" w:rsidRPr="00E926DB" w:rsidRDefault="00BB2701" w:rsidP="005C3D5C">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3,145,480,431</w:t>
            </w:r>
          </w:p>
        </w:tc>
        <w:tc>
          <w:tcPr>
            <w:tcW w:w="444" w:type="pct"/>
            <w:tcBorders>
              <w:top w:val="single" w:sz="4" w:space="0" w:color="auto"/>
              <w:left w:val="single" w:sz="4" w:space="0" w:color="auto"/>
              <w:bottom w:val="single" w:sz="4" w:space="0" w:color="auto"/>
              <w:right w:val="single" w:sz="4" w:space="0" w:color="auto"/>
            </w:tcBorders>
            <w:vAlign w:val="center"/>
          </w:tcPr>
          <w:p w14:paraId="4D577DEA" w14:textId="77777777" w:rsidR="00BB2701" w:rsidRPr="00E926DB" w:rsidRDefault="00BB2701" w:rsidP="001C7EC7">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489,173,277</w:t>
            </w:r>
          </w:p>
        </w:tc>
        <w:tc>
          <w:tcPr>
            <w:tcW w:w="244" w:type="pct"/>
            <w:tcBorders>
              <w:top w:val="single" w:sz="4" w:space="0" w:color="auto"/>
              <w:left w:val="single" w:sz="4" w:space="0" w:color="auto"/>
              <w:bottom w:val="single" w:sz="4" w:space="0" w:color="auto"/>
              <w:right w:val="single" w:sz="4" w:space="0" w:color="auto"/>
            </w:tcBorders>
            <w:vAlign w:val="center"/>
          </w:tcPr>
          <w:p w14:paraId="30866023" w14:textId="77777777" w:rsidR="00BB2701" w:rsidRPr="00E926DB" w:rsidRDefault="00BB2701">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34.57</w:t>
            </w:r>
          </w:p>
        </w:tc>
        <w:tc>
          <w:tcPr>
            <w:tcW w:w="445" w:type="pct"/>
            <w:tcBorders>
              <w:top w:val="single" w:sz="4" w:space="0" w:color="auto"/>
              <w:left w:val="single" w:sz="4" w:space="0" w:color="auto"/>
              <w:bottom w:val="single" w:sz="4" w:space="0" w:color="auto"/>
              <w:right w:val="single" w:sz="4" w:space="0" w:color="auto"/>
            </w:tcBorders>
            <w:vAlign w:val="center"/>
          </w:tcPr>
          <w:p w14:paraId="2E22E84C"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4,367,739,898</w:t>
            </w:r>
          </w:p>
        </w:tc>
        <w:tc>
          <w:tcPr>
            <w:tcW w:w="445" w:type="pct"/>
            <w:tcBorders>
              <w:top w:val="single" w:sz="4" w:space="0" w:color="auto"/>
              <w:left w:val="single" w:sz="4" w:space="0" w:color="auto"/>
              <w:bottom w:val="single" w:sz="4" w:space="0" w:color="auto"/>
              <w:right w:val="single" w:sz="4" w:space="0" w:color="auto"/>
            </w:tcBorders>
            <w:vAlign w:val="center"/>
          </w:tcPr>
          <w:p w14:paraId="0C366D53"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689,108,592</w:t>
            </w:r>
          </w:p>
        </w:tc>
        <w:tc>
          <w:tcPr>
            <w:tcW w:w="269" w:type="pct"/>
            <w:tcBorders>
              <w:top w:val="single" w:sz="4" w:space="0" w:color="auto"/>
              <w:left w:val="single" w:sz="4" w:space="0" w:color="auto"/>
              <w:bottom w:val="single" w:sz="4" w:space="0" w:color="auto"/>
              <w:right w:val="single" w:sz="4" w:space="0" w:color="auto"/>
            </w:tcBorders>
            <w:vAlign w:val="center"/>
          </w:tcPr>
          <w:p w14:paraId="1F0CC818"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40.31</w:t>
            </w:r>
          </w:p>
        </w:tc>
        <w:tc>
          <w:tcPr>
            <w:tcW w:w="445" w:type="pct"/>
            <w:tcBorders>
              <w:top w:val="single" w:sz="4" w:space="0" w:color="auto"/>
              <w:left w:val="single" w:sz="4" w:space="0" w:color="auto"/>
              <w:bottom w:val="single" w:sz="4" w:space="0" w:color="auto"/>
              <w:right w:val="single" w:sz="4" w:space="0" w:color="auto"/>
            </w:tcBorders>
            <w:vAlign w:val="center"/>
          </w:tcPr>
          <w:p w14:paraId="48650A60"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$4,630,980,302</w:t>
            </w:r>
          </w:p>
        </w:tc>
        <w:tc>
          <w:tcPr>
            <w:tcW w:w="445" w:type="pct"/>
            <w:tcBorders>
              <w:top w:val="single" w:sz="4" w:space="0" w:color="auto"/>
              <w:left w:val="single" w:sz="4" w:space="0" w:color="auto"/>
              <w:bottom w:val="single" w:sz="4" w:space="0" w:color="auto"/>
              <w:right w:val="single" w:sz="4" w:space="0" w:color="auto"/>
            </w:tcBorders>
            <w:vAlign w:val="center"/>
          </w:tcPr>
          <w:p w14:paraId="674BCD8E"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$880,965,644</w:t>
            </w:r>
          </w:p>
        </w:tc>
        <w:tc>
          <w:tcPr>
            <w:tcW w:w="270" w:type="pct"/>
            <w:tcBorders>
              <w:top w:val="single" w:sz="4" w:space="0" w:color="auto"/>
              <w:left w:val="single" w:sz="4" w:space="0" w:color="auto"/>
              <w:bottom w:val="single" w:sz="4" w:space="0" w:color="auto"/>
              <w:right w:val="single" w:sz="4" w:space="0" w:color="auto"/>
            </w:tcBorders>
            <w:vAlign w:val="center"/>
          </w:tcPr>
          <w:p w14:paraId="6219A1C4"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$37.62</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FCC99"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$4,966,909,221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8CEBD"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$911,124,052</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01B99"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$41.21</w:t>
            </w:r>
          </w:p>
        </w:tc>
      </w:tr>
      <w:tr w:rsidR="00BB2701" w:rsidRPr="00287CE1" w14:paraId="6FA5F4F1"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56B394BF"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Concessional Safety Net</w:t>
            </w:r>
          </w:p>
        </w:tc>
        <w:tc>
          <w:tcPr>
            <w:tcW w:w="444" w:type="pct"/>
            <w:tcBorders>
              <w:top w:val="single" w:sz="4" w:space="0" w:color="auto"/>
              <w:left w:val="single" w:sz="4" w:space="0" w:color="auto"/>
              <w:bottom w:val="single" w:sz="4" w:space="0" w:color="auto"/>
              <w:right w:val="single" w:sz="4" w:space="0" w:color="auto"/>
            </w:tcBorders>
            <w:vAlign w:val="center"/>
          </w:tcPr>
          <w:p w14:paraId="425E3C07" w14:textId="77777777" w:rsidR="00BB2701" w:rsidRPr="00E926DB" w:rsidRDefault="00BB2701" w:rsidP="00CA72FA">
            <w:pPr>
              <w:spacing w:after="0"/>
              <w:jc w:val="right"/>
              <w:rPr>
                <w:rFonts w:cstheme="minorHAnsi"/>
                <w:sz w:val="16"/>
                <w:szCs w:val="16"/>
              </w:rPr>
            </w:pPr>
            <w:r>
              <w:rPr>
                <w:rFonts w:eastAsia="Arial" w:cstheme="minorHAnsi"/>
                <w:sz w:val="16"/>
                <w:szCs w:val="16"/>
              </w:rPr>
              <w:t>$</w:t>
            </w:r>
            <w:r w:rsidRPr="00E926DB">
              <w:rPr>
                <w:rFonts w:eastAsia="Arial" w:cstheme="minorHAnsi"/>
                <w:sz w:val="16"/>
                <w:szCs w:val="16"/>
              </w:rPr>
              <w:t>1,172,502,111</w:t>
            </w:r>
          </w:p>
        </w:tc>
        <w:tc>
          <w:tcPr>
            <w:tcW w:w="444" w:type="pct"/>
            <w:tcBorders>
              <w:top w:val="single" w:sz="4" w:space="0" w:color="auto"/>
              <w:left w:val="single" w:sz="4" w:space="0" w:color="auto"/>
              <w:bottom w:val="single" w:sz="4" w:space="0" w:color="auto"/>
              <w:right w:val="single" w:sz="4" w:space="0" w:color="auto"/>
            </w:tcBorders>
            <w:vAlign w:val="center"/>
          </w:tcPr>
          <w:p w14:paraId="3431ADD0" w14:textId="77777777" w:rsidR="00BB2701" w:rsidRPr="00E926DB" w:rsidRDefault="00BB2701" w:rsidP="005C3D5C">
            <w:pPr>
              <w:spacing w:after="0" w:line="240" w:lineRule="auto"/>
              <w:jc w:val="right"/>
              <w:rPr>
                <w:rFonts w:eastAsia="Arial" w:cstheme="minorHAnsi"/>
                <w:sz w:val="16"/>
                <w:szCs w:val="16"/>
              </w:rPr>
            </w:pPr>
            <w:r>
              <w:rPr>
                <w:rFonts w:eastAsia="Arial" w:cstheme="minorHAnsi"/>
                <w:w w:val="95"/>
                <w:sz w:val="16"/>
                <w:szCs w:val="16"/>
              </w:rPr>
              <w:t>$</w:t>
            </w:r>
            <w:r w:rsidRPr="00E926DB">
              <w:rPr>
                <w:rFonts w:eastAsia="Arial" w:cstheme="minorHAnsi"/>
                <w:w w:val="95"/>
                <w:sz w:val="16"/>
                <w:szCs w:val="16"/>
              </w:rPr>
              <w:t>0</w:t>
            </w:r>
          </w:p>
        </w:tc>
        <w:tc>
          <w:tcPr>
            <w:tcW w:w="244" w:type="pct"/>
            <w:tcBorders>
              <w:top w:val="single" w:sz="4" w:space="0" w:color="auto"/>
              <w:left w:val="single" w:sz="4" w:space="0" w:color="auto"/>
              <w:bottom w:val="single" w:sz="4" w:space="0" w:color="auto"/>
              <w:right w:val="single" w:sz="4" w:space="0" w:color="auto"/>
            </w:tcBorders>
            <w:vAlign w:val="center"/>
          </w:tcPr>
          <w:p w14:paraId="70E5D329" w14:textId="77777777" w:rsidR="00BB2701" w:rsidRPr="00E926DB" w:rsidRDefault="00BB2701" w:rsidP="001C7EC7">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32.62</w:t>
            </w:r>
          </w:p>
        </w:tc>
        <w:tc>
          <w:tcPr>
            <w:tcW w:w="445" w:type="pct"/>
            <w:tcBorders>
              <w:top w:val="single" w:sz="4" w:space="0" w:color="auto"/>
              <w:left w:val="single" w:sz="4" w:space="0" w:color="auto"/>
              <w:bottom w:val="single" w:sz="4" w:space="0" w:color="auto"/>
              <w:right w:val="single" w:sz="4" w:space="0" w:color="auto"/>
            </w:tcBorders>
            <w:vAlign w:val="center"/>
          </w:tcPr>
          <w:p w14:paraId="3BE2BA7D"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1,330,682,636</w:t>
            </w:r>
          </w:p>
        </w:tc>
        <w:tc>
          <w:tcPr>
            <w:tcW w:w="445" w:type="pct"/>
            <w:tcBorders>
              <w:top w:val="single" w:sz="4" w:space="0" w:color="auto"/>
              <w:left w:val="single" w:sz="4" w:space="0" w:color="auto"/>
              <w:bottom w:val="single" w:sz="4" w:space="0" w:color="auto"/>
              <w:right w:val="single" w:sz="4" w:space="0" w:color="auto"/>
            </w:tcBorders>
            <w:vAlign w:val="center"/>
          </w:tcPr>
          <w:p w14:paraId="04192B26"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0</w:t>
            </w:r>
          </w:p>
        </w:tc>
        <w:tc>
          <w:tcPr>
            <w:tcW w:w="269" w:type="pct"/>
            <w:tcBorders>
              <w:top w:val="single" w:sz="4" w:space="0" w:color="auto"/>
              <w:left w:val="single" w:sz="4" w:space="0" w:color="auto"/>
              <w:bottom w:val="single" w:sz="4" w:space="0" w:color="auto"/>
              <w:right w:val="single" w:sz="4" w:space="0" w:color="auto"/>
            </w:tcBorders>
            <w:vAlign w:val="center"/>
          </w:tcPr>
          <w:p w14:paraId="54990D32"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36.58</w:t>
            </w:r>
          </w:p>
        </w:tc>
        <w:tc>
          <w:tcPr>
            <w:tcW w:w="445" w:type="pct"/>
            <w:tcBorders>
              <w:top w:val="single" w:sz="4" w:space="0" w:color="auto"/>
              <w:left w:val="single" w:sz="4" w:space="0" w:color="auto"/>
              <w:bottom w:val="single" w:sz="4" w:space="0" w:color="auto"/>
              <w:right w:val="single" w:sz="4" w:space="0" w:color="auto"/>
            </w:tcBorders>
            <w:vAlign w:val="center"/>
          </w:tcPr>
          <w:p w14:paraId="0E9C2071"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$1,413,858,158</w:t>
            </w:r>
          </w:p>
        </w:tc>
        <w:tc>
          <w:tcPr>
            <w:tcW w:w="445" w:type="pct"/>
            <w:tcBorders>
              <w:top w:val="single" w:sz="4" w:space="0" w:color="auto"/>
              <w:left w:val="single" w:sz="4" w:space="0" w:color="auto"/>
              <w:bottom w:val="single" w:sz="4" w:space="0" w:color="auto"/>
              <w:right w:val="single" w:sz="4" w:space="0" w:color="auto"/>
            </w:tcBorders>
            <w:vAlign w:val="center"/>
          </w:tcPr>
          <w:p w14:paraId="16954A66"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$0</w:t>
            </w:r>
          </w:p>
        </w:tc>
        <w:tc>
          <w:tcPr>
            <w:tcW w:w="270" w:type="pct"/>
            <w:tcBorders>
              <w:top w:val="single" w:sz="4" w:space="0" w:color="auto"/>
              <w:left w:val="single" w:sz="4" w:space="0" w:color="auto"/>
              <w:bottom w:val="single" w:sz="4" w:space="0" w:color="auto"/>
              <w:right w:val="single" w:sz="4" w:space="0" w:color="auto"/>
            </w:tcBorders>
            <w:vAlign w:val="center"/>
          </w:tcPr>
          <w:p w14:paraId="7853D922"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$32.05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DE264"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$1,787,793,797</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E5AD"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0567"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$35.35</w:t>
            </w:r>
          </w:p>
        </w:tc>
      </w:tr>
      <w:tr w:rsidR="00BB2701" w:rsidRPr="00287CE1" w14:paraId="4BF164B9"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4CB2A80D"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Total Concessional</w:t>
            </w:r>
          </w:p>
        </w:tc>
        <w:tc>
          <w:tcPr>
            <w:tcW w:w="4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7CE5E724" w14:textId="77777777" w:rsidR="00BB2701" w:rsidRPr="003404B0" w:rsidRDefault="00BB2701" w:rsidP="005C3D5C">
            <w:pPr>
              <w:spacing w:after="0" w:line="240" w:lineRule="auto"/>
              <w:jc w:val="right"/>
              <w:rPr>
                <w:rFonts w:cstheme="minorHAnsi"/>
                <w:b/>
                <w:bCs/>
                <w:color w:val="000000"/>
                <w:sz w:val="16"/>
                <w:szCs w:val="16"/>
              </w:rPr>
            </w:pPr>
            <w:r w:rsidRPr="003404B0">
              <w:rPr>
                <w:rFonts w:eastAsia="Arial" w:cstheme="minorHAnsi"/>
                <w:b/>
                <w:bCs/>
                <w:sz w:val="16"/>
                <w:szCs w:val="16"/>
              </w:rPr>
              <w:t>$4,317,982,542</w:t>
            </w:r>
          </w:p>
        </w:tc>
        <w:tc>
          <w:tcPr>
            <w:tcW w:w="4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AE149EA" w14:textId="77777777" w:rsidR="00BB2701" w:rsidRPr="003404B0" w:rsidRDefault="00BB2701" w:rsidP="001C7EC7">
            <w:pPr>
              <w:spacing w:after="0" w:line="240" w:lineRule="auto"/>
              <w:jc w:val="right"/>
              <w:rPr>
                <w:rFonts w:eastAsia="Arial" w:cstheme="minorHAnsi"/>
                <w:b/>
                <w:bCs/>
                <w:sz w:val="16"/>
                <w:szCs w:val="16"/>
              </w:rPr>
            </w:pPr>
            <w:r w:rsidRPr="003404B0">
              <w:rPr>
                <w:rFonts w:eastAsia="Arial" w:cstheme="minorHAnsi"/>
                <w:b/>
                <w:bCs/>
                <w:sz w:val="16"/>
                <w:szCs w:val="16"/>
              </w:rPr>
              <w:t>$489,173,277</w:t>
            </w:r>
          </w:p>
        </w:tc>
        <w:tc>
          <w:tcPr>
            <w:tcW w:w="2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4FDD56F8" w14:textId="77777777" w:rsidR="00BB2701" w:rsidRPr="003404B0" w:rsidRDefault="00BB2701">
            <w:pPr>
              <w:spacing w:after="0" w:line="240" w:lineRule="auto"/>
              <w:jc w:val="right"/>
              <w:rPr>
                <w:rFonts w:eastAsia="Arial" w:cstheme="minorHAnsi"/>
                <w:b/>
                <w:bCs/>
                <w:sz w:val="16"/>
                <w:szCs w:val="16"/>
              </w:rPr>
            </w:pPr>
            <w:r w:rsidRPr="003404B0">
              <w:rPr>
                <w:rFonts w:eastAsia="Arial" w:cstheme="minorHAnsi"/>
                <w:b/>
                <w:bCs/>
                <w:sz w:val="16"/>
                <w:szCs w:val="16"/>
              </w:rPr>
              <w:t>$34.07</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795E5470" w14:textId="77777777" w:rsidR="00BB2701" w:rsidRPr="003404B0" w:rsidRDefault="00BB2701">
            <w:pPr>
              <w:spacing w:after="0" w:line="240" w:lineRule="auto"/>
              <w:jc w:val="right"/>
              <w:rPr>
                <w:rFonts w:cstheme="minorHAnsi"/>
                <w:b/>
                <w:bCs/>
                <w:color w:val="000000"/>
                <w:sz w:val="16"/>
                <w:szCs w:val="16"/>
              </w:rPr>
            </w:pPr>
            <w:r w:rsidRPr="003404B0">
              <w:rPr>
                <w:rFonts w:eastAsia="Arial" w:cstheme="minorHAnsi"/>
                <w:b/>
                <w:bCs/>
                <w:sz w:val="16"/>
                <w:szCs w:val="16"/>
              </w:rPr>
              <w:t>$5,698,422,533</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32DA3F8E" w14:textId="77777777" w:rsidR="00BB2701" w:rsidRPr="003404B0" w:rsidRDefault="00BB2701">
            <w:pPr>
              <w:spacing w:after="0" w:line="240" w:lineRule="auto"/>
              <w:jc w:val="right"/>
              <w:rPr>
                <w:rFonts w:cstheme="minorHAnsi"/>
                <w:b/>
                <w:bCs/>
                <w:color w:val="000000"/>
                <w:sz w:val="16"/>
                <w:szCs w:val="16"/>
              </w:rPr>
            </w:pPr>
            <w:r w:rsidRPr="003404B0">
              <w:rPr>
                <w:rFonts w:eastAsia="Arial" w:cstheme="minorHAnsi"/>
                <w:b/>
                <w:bCs/>
                <w:sz w:val="16"/>
                <w:szCs w:val="16"/>
              </w:rPr>
              <w:t>$689,108,592</w:t>
            </w:r>
          </w:p>
        </w:tc>
        <w:tc>
          <w:tcPr>
            <w:tcW w:w="269"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79C4EF97" w14:textId="77777777" w:rsidR="00BB2701" w:rsidRPr="003404B0" w:rsidRDefault="00BB2701">
            <w:pPr>
              <w:spacing w:after="0" w:line="240" w:lineRule="auto"/>
              <w:jc w:val="right"/>
              <w:rPr>
                <w:rFonts w:cstheme="minorHAnsi"/>
                <w:b/>
                <w:bCs/>
                <w:color w:val="000000"/>
                <w:sz w:val="16"/>
                <w:szCs w:val="16"/>
              </w:rPr>
            </w:pPr>
            <w:r w:rsidRPr="003404B0">
              <w:rPr>
                <w:rFonts w:eastAsia="Arial" w:cstheme="minorHAnsi"/>
                <w:b/>
                <w:bCs/>
                <w:sz w:val="16"/>
                <w:szCs w:val="16"/>
              </w:rPr>
              <w:t>$39.47</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3287F3A" w14:textId="77777777" w:rsidR="00BB2701" w:rsidRPr="003404B0" w:rsidRDefault="00BB2701">
            <w:pPr>
              <w:spacing w:after="0" w:line="240" w:lineRule="auto"/>
              <w:jc w:val="right"/>
              <w:rPr>
                <w:rFonts w:eastAsia="Times New Roman" w:cstheme="minorHAnsi"/>
                <w:b/>
                <w:bCs/>
                <w:sz w:val="16"/>
                <w:szCs w:val="16"/>
                <w:lang w:eastAsia="en-AU"/>
              </w:rPr>
            </w:pPr>
            <w:r w:rsidRPr="003404B0">
              <w:rPr>
                <w:rFonts w:cstheme="minorHAnsi"/>
                <w:b/>
                <w:bCs/>
                <w:color w:val="000000"/>
                <w:sz w:val="16"/>
                <w:szCs w:val="16"/>
              </w:rPr>
              <w:t>$6,044,838,460</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3A581DB" w14:textId="77777777" w:rsidR="00BB2701" w:rsidRPr="003404B0" w:rsidRDefault="00BB2701">
            <w:pPr>
              <w:spacing w:after="0" w:line="240" w:lineRule="auto"/>
              <w:jc w:val="right"/>
              <w:rPr>
                <w:rFonts w:eastAsia="Times New Roman" w:cstheme="minorHAnsi"/>
                <w:b/>
                <w:bCs/>
                <w:sz w:val="16"/>
                <w:szCs w:val="16"/>
                <w:lang w:eastAsia="en-AU"/>
              </w:rPr>
            </w:pPr>
            <w:r w:rsidRPr="003404B0">
              <w:rPr>
                <w:rFonts w:cstheme="minorHAnsi"/>
                <w:b/>
                <w:bCs/>
                <w:color w:val="000000"/>
                <w:sz w:val="16"/>
                <w:szCs w:val="16"/>
              </w:rPr>
              <w:t>$880,965,644</w:t>
            </w:r>
          </w:p>
        </w:tc>
        <w:tc>
          <w:tcPr>
            <w:tcW w:w="270"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4F73615C" w14:textId="77777777" w:rsidR="00BB2701" w:rsidRPr="003404B0" w:rsidRDefault="00BB2701">
            <w:pPr>
              <w:spacing w:after="0" w:line="240" w:lineRule="auto"/>
              <w:jc w:val="right"/>
              <w:rPr>
                <w:rFonts w:eastAsia="Times New Roman" w:cstheme="minorHAnsi"/>
                <w:b/>
                <w:bCs/>
                <w:sz w:val="16"/>
                <w:szCs w:val="16"/>
                <w:lang w:eastAsia="en-AU"/>
              </w:rPr>
            </w:pPr>
            <w:r w:rsidRPr="003404B0">
              <w:rPr>
                <w:rFonts w:cstheme="minorHAnsi"/>
                <w:b/>
                <w:bCs/>
                <w:color w:val="000000"/>
                <w:sz w:val="16"/>
                <w:szCs w:val="16"/>
              </w:rPr>
              <w:t>$36.33</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186AE61C"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$6,754,703,018</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580A71EC"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$911,124,052</w:t>
            </w:r>
          </w:p>
        </w:tc>
        <w:tc>
          <w:tcPr>
            <w:tcW w:w="269"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23C15BF4"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$39.68</w:t>
            </w:r>
          </w:p>
        </w:tc>
      </w:tr>
      <w:tr w:rsidR="00BB2701" w:rsidRPr="00287CE1" w14:paraId="2CC2F912"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06B1F92F"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General  Non-Safety Net</w:t>
            </w:r>
          </w:p>
        </w:tc>
        <w:tc>
          <w:tcPr>
            <w:tcW w:w="444" w:type="pct"/>
            <w:tcBorders>
              <w:top w:val="single" w:sz="4" w:space="0" w:color="auto"/>
              <w:left w:val="single" w:sz="4" w:space="0" w:color="auto"/>
              <w:bottom w:val="single" w:sz="4" w:space="0" w:color="auto"/>
              <w:right w:val="single" w:sz="4" w:space="0" w:color="auto"/>
            </w:tcBorders>
            <w:vAlign w:val="center"/>
          </w:tcPr>
          <w:p w14:paraId="74B129BB" w14:textId="77777777" w:rsidR="00BB2701" w:rsidRPr="00E926DB" w:rsidRDefault="00BB2701" w:rsidP="005C3D5C">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850,095,680</w:t>
            </w:r>
          </w:p>
        </w:tc>
        <w:tc>
          <w:tcPr>
            <w:tcW w:w="444" w:type="pct"/>
            <w:tcBorders>
              <w:top w:val="single" w:sz="4" w:space="0" w:color="auto"/>
              <w:left w:val="single" w:sz="4" w:space="0" w:color="auto"/>
              <w:bottom w:val="single" w:sz="4" w:space="0" w:color="auto"/>
              <w:right w:val="single" w:sz="4" w:space="0" w:color="auto"/>
            </w:tcBorders>
            <w:vAlign w:val="center"/>
          </w:tcPr>
          <w:p w14:paraId="4B9AEAD6" w14:textId="77777777" w:rsidR="00BB2701" w:rsidRPr="00E926DB" w:rsidRDefault="00BB2701" w:rsidP="001C7EC7">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606,897,345</w:t>
            </w:r>
          </w:p>
        </w:tc>
        <w:tc>
          <w:tcPr>
            <w:tcW w:w="244" w:type="pct"/>
            <w:tcBorders>
              <w:top w:val="single" w:sz="4" w:space="0" w:color="auto"/>
              <w:left w:val="single" w:sz="4" w:space="0" w:color="auto"/>
              <w:bottom w:val="single" w:sz="4" w:space="0" w:color="auto"/>
              <w:right w:val="single" w:sz="4" w:space="0" w:color="auto"/>
            </w:tcBorders>
            <w:vAlign w:val="center"/>
          </w:tcPr>
          <w:p w14:paraId="112FEFFB" w14:textId="77777777" w:rsidR="00BB2701" w:rsidRPr="00E926DB" w:rsidRDefault="00BB2701">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69.65</w:t>
            </w:r>
          </w:p>
        </w:tc>
        <w:tc>
          <w:tcPr>
            <w:tcW w:w="445" w:type="pct"/>
            <w:tcBorders>
              <w:top w:val="single" w:sz="4" w:space="0" w:color="auto"/>
              <w:left w:val="single" w:sz="4" w:space="0" w:color="auto"/>
              <w:bottom w:val="single" w:sz="4" w:space="0" w:color="auto"/>
              <w:right w:val="single" w:sz="4" w:space="0" w:color="auto"/>
            </w:tcBorders>
            <w:vAlign w:val="center"/>
          </w:tcPr>
          <w:p w14:paraId="77163AA9"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1,412,781,352</w:t>
            </w:r>
          </w:p>
        </w:tc>
        <w:tc>
          <w:tcPr>
            <w:tcW w:w="445" w:type="pct"/>
            <w:tcBorders>
              <w:top w:val="single" w:sz="4" w:space="0" w:color="auto"/>
              <w:left w:val="single" w:sz="4" w:space="0" w:color="auto"/>
              <w:bottom w:val="single" w:sz="4" w:space="0" w:color="auto"/>
              <w:right w:val="single" w:sz="4" w:space="0" w:color="auto"/>
            </w:tcBorders>
            <w:vAlign w:val="center"/>
          </w:tcPr>
          <w:p w14:paraId="2AD5545D"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707,968,006</w:t>
            </w:r>
          </w:p>
        </w:tc>
        <w:tc>
          <w:tcPr>
            <w:tcW w:w="269" w:type="pct"/>
            <w:tcBorders>
              <w:top w:val="single" w:sz="4" w:space="0" w:color="auto"/>
              <w:left w:val="single" w:sz="4" w:space="0" w:color="auto"/>
              <w:bottom w:val="single" w:sz="4" w:space="0" w:color="auto"/>
              <w:right w:val="single" w:sz="4" w:space="0" w:color="auto"/>
            </w:tcBorders>
            <w:vAlign w:val="center"/>
          </w:tcPr>
          <w:p w14:paraId="55124E13"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100.83</w:t>
            </w:r>
          </w:p>
        </w:tc>
        <w:tc>
          <w:tcPr>
            <w:tcW w:w="445" w:type="pct"/>
            <w:tcBorders>
              <w:top w:val="single" w:sz="4" w:space="0" w:color="auto"/>
              <w:left w:val="single" w:sz="4" w:space="0" w:color="auto"/>
              <w:bottom w:val="single" w:sz="4" w:space="0" w:color="auto"/>
              <w:right w:val="single" w:sz="4" w:space="0" w:color="auto"/>
            </w:tcBorders>
            <w:vAlign w:val="center"/>
          </w:tcPr>
          <w:p w14:paraId="3A4A0406"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$1,785,357,915</w:t>
            </w:r>
          </w:p>
        </w:tc>
        <w:tc>
          <w:tcPr>
            <w:tcW w:w="445" w:type="pct"/>
            <w:tcBorders>
              <w:top w:val="single" w:sz="4" w:space="0" w:color="auto"/>
              <w:left w:val="single" w:sz="4" w:space="0" w:color="auto"/>
              <w:bottom w:val="single" w:sz="4" w:space="0" w:color="auto"/>
              <w:right w:val="single" w:sz="4" w:space="0" w:color="auto"/>
            </w:tcBorders>
            <w:vAlign w:val="center"/>
          </w:tcPr>
          <w:p w14:paraId="44891AD8"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$494,124,051</w:t>
            </w:r>
          </w:p>
        </w:tc>
        <w:tc>
          <w:tcPr>
            <w:tcW w:w="270" w:type="pct"/>
            <w:tcBorders>
              <w:top w:val="single" w:sz="4" w:space="0" w:color="auto"/>
              <w:left w:val="single" w:sz="4" w:space="0" w:color="auto"/>
              <w:bottom w:val="single" w:sz="4" w:space="0" w:color="auto"/>
              <w:right w:val="single" w:sz="4" w:space="0" w:color="auto"/>
            </w:tcBorders>
            <w:vAlign w:val="center"/>
          </w:tcPr>
          <w:p w14:paraId="5AD7A0F1"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$165.53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1A8A"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$2,247,741,985</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4E392"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$521,358,291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B1DCD"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$198.28</w:t>
            </w:r>
          </w:p>
        </w:tc>
      </w:tr>
      <w:tr w:rsidR="00BB2701" w:rsidRPr="00287CE1" w14:paraId="29782426"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4ED9F8D6"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General  Safety Net</w:t>
            </w:r>
          </w:p>
        </w:tc>
        <w:tc>
          <w:tcPr>
            <w:tcW w:w="444" w:type="pct"/>
            <w:tcBorders>
              <w:top w:val="single" w:sz="4" w:space="0" w:color="auto"/>
              <w:left w:val="single" w:sz="4" w:space="0" w:color="auto"/>
              <w:bottom w:val="single" w:sz="4" w:space="0" w:color="auto"/>
              <w:right w:val="single" w:sz="4" w:space="0" w:color="auto"/>
            </w:tcBorders>
            <w:vAlign w:val="center"/>
          </w:tcPr>
          <w:p w14:paraId="1B2C06A8" w14:textId="77777777" w:rsidR="00BB2701" w:rsidRPr="00E926DB" w:rsidRDefault="00BB2701" w:rsidP="005C3D5C">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216,246,563</w:t>
            </w:r>
          </w:p>
        </w:tc>
        <w:tc>
          <w:tcPr>
            <w:tcW w:w="444" w:type="pct"/>
            <w:tcBorders>
              <w:top w:val="single" w:sz="4" w:space="0" w:color="auto"/>
              <w:left w:val="single" w:sz="4" w:space="0" w:color="auto"/>
              <w:bottom w:val="single" w:sz="4" w:space="0" w:color="auto"/>
              <w:right w:val="single" w:sz="4" w:space="0" w:color="auto"/>
            </w:tcBorders>
            <w:vAlign w:val="center"/>
          </w:tcPr>
          <w:p w14:paraId="03081781" w14:textId="77777777" w:rsidR="00BB2701" w:rsidRPr="00E926DB" w:rsidRDefault="00BB2701" w:rsidP="001C7EC7">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27,199,070</w:t>
            </w:r>
          </w:p>
        </w:tc>
        <w:tc>
          <w:tcPr>
            <w:tcW w:w="244" w:type="pct"/>
            <w:tcBorders>
              <w:top w:val="single" w:sz="4" w:space="0" w:color="auto"/>
              <w:left w:val="single" w:sz="4" w:space="0" w:color="auto"/>
              <w:bottom w:val="single" w:sz="4" w:space="0" w:color="auto"/>
              <w:right w:val="single" w:sz="4" w:space="0" w:color="auto"/>
            </w:tcBorders>
            <w:vAlign w:val="center"/>
          </w:tcPr>
          <w:p w14:paraId="687A5361" w14:textId="77777777" w:rsidR="00BB2701" w:rsidRPr="00E926DB" w:rsidRDefault="00BB2701">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41.19</w:t>
            </w:r>
          </w:p>
        </w:tc>
        <w:tc>
          <w:tcPr>
            <w:tcW w:w="445" w:type="pct"/>
            <w:tcBorders>
              <w:top w:val="single" w:sz="4" w:space="0" w:color="auto"/>
              <w:left w:val="single" w:sz="4" w:space="0" w:color="auto"/>
              <w:bottom w:val="single" w:sz="4" w:space="0" w:color="auto"/>
              <w:right w:val="single" w:sz="4" w:space="0" w:color="auto"/>
            </w:tcBorders>
            <w:vAlign w:val="center"/>
          </w:tcPr>
          <w:p w14:paraId="37DD8DD4"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211,944,918</w:t>
            </w:r>
          </w:p>
        </w:tc>
        <w:tc>
          <w:tcPr>
            <w:tcW w:w="445" w:type="pct"/>
            <w:tcBorders>
              <w:top w:val="single" w:sz="4" w:space="0" w:color="auto"/>
              <w:left w:val="single" w:sz="4" w:space="0" w:color="auto"/>
              <w:bottom w:val="single" w:sz="4" w:space="0" w:color="auto"/>
              <w:right w:val="single" w:sz="4" w:space="0" w:color="auto"/>
            </w:tcBorders>
            <w:vAlign w:val="center"/>
          </w:tcPr>
          <w:p w14:paraId="4996C379"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26,706,262</w:t>
            </w:r>
          </w:p>
        </w:tc>
        <w:tc>
          <w:tcPr>
            <w:tcW w:w="269" w:type="pct"/>
            <w:tcBorders>
              <w:top w:val="single" w:sz="4" w:space="0" w:color="auto"/>
              <w:left w:val="single" w:sz="4" w:space="0" w:color="auto"/>
              <w:bottom w:val="single" w:sz="4" w:space="0" w:color="auto"/>
              <w:right w:val="single" w:sz="4" w:space="0" w:color="auto"/>
            </w:tcBorders>
            <w:vAlign w:val="center"/>
          </w:tcPr>
          <w:p w14:paraId="37D5E168"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48.28</w:t>
            </w:r>
          </w:p>
        </w:tc>
        <w:tc>
          <w:tcPr>
            <w:tcW w:w="445" w:type="pct"/>
            <w:tcBorders>
              <w:top w:val="single" w:sz="4" w:space="0" w:color="auto"/>
              <w:left w:val="single" w:sz="4" w:space="0" w:color="auto"/>
              <w:bottom w:val="single" w:sz="4" w:space="0" w:color="auto"/>
              <w:right w:val="single" w:sz="4" w:space="0" w:color="auto"/>
            </w:tcBorders>
            <w:vAlign w:val="center"/>
          </w:tcPr>
          <w:p w14:paraId="23353491"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$118,821,879</w:t>
            </w:r>
          </w:p>
        </w:tc>
        <w:tc>
          <w:tcPr>
            <w:tcW w:w="445" w:type="pct"/>
            <w:tcBorders>
              <w:top w:val="single" w:sz="4" w:space="0" w:color="auto"/>
              <w:left w:val="single" w:sz="4" w:space="0" w:color="auto"/>
              <w:bottom w:val="single" w:sz="4" w:space="0" w:color="auto"/>
              <w:right w:val="single" w:sz="4" w:space="0" w:color="auto"/>
            </w:tcBorders>
            <w:vAlign w:val="center"/>
          </w:tcPr>
          <w:p w14:paraId="4B2E53BA"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$19,115,443</w:t>
            </w:r>
          </w:p>
        </w:tc>
        <w:tc>
          <w:tcPr>
            <w:tcW w:w="270" w:type="pct"/>
            <w:tcBorders>
              <w:top w:val="single" w:sz="4" w:space="0" w:color="auto"/>
              <w:left w:val="single" w:sz="4" w:space="0" w:color="auto"/>
              <w:bottom w:val="single" w:sz="4" w:space="0" w:color="auto"/>
              <w:right w:val="single" w:sz="4" w:space="0" w:color="auto"/>
            </w:tcBorders>
            <w:vAlign w:val="center"/>
          </w:tcPr>
          <w:p w14:paraId="4B4ED120"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$43.36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8833"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$119,462,970</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AE29F"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$17,799,421</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4BC4A"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$49.24</w:t>
            </w:r>
          </w:p>
        </w:tc>
      </w:tr>
      <w:tr w:rsidR="00BB2701" w:rsidRPr="00287CE1" w14:paraId="4350CFB7"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010F814D"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Total General</w:t>
            </w:r>
          </w:p>
        </w:tc>
        <w:tc>
          <w:tcPr>
            <w:tcW w:w="4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4AE022FD" w14:textId="77777777" w:rsidR="00BB2701" w:rsidRPr="003404B0" w:rsidRDefault="00BB2701" w:rsidP="005C3D5C">
            <w:pPr>
              <w:spacing w:after="0" w:line="240" w:lineRule="auto"/>
              <w:jc w:val="right"/>
              <w:rPr>
                <w:rFonts w:cstheme="minorHAnsi"/>
                <w:b/>
                <w:bCs/>
                <w:color w:val="000000"/>
                <w:sz w:val="16"/>
                <w:szCs w:val="16"/>
              </w:rPr>
            </w:pPr>
            <w:r w:rsidRPr="003404B0">
              <w:rPr>
                <w:rFonts w:eastAsia="Arial" w:cstheme="minorHAnsi"/>
                <w:b/>
                <w:bCs/>
                <w:sz w:val="16"/>
                <w:szCs w:val="16"/>
              </w:rPr>
              <w:t>$1,066,342,242</w:t>
            </w:r>
          </w:p>
        </w:tc>
        <w:tc>
          <w:tcPr>
            <w:tcW w:w="4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3AB30B6" w14:textId="77777777" w:rsidR="00BB2701" w:rsidRPr="003404B0" w:rsidRDefault="00BB2701" w:rsidP="001C7EC7">
            <w:pPr>
              <w:spacing w:after="0" w:line="240" w:lineRule="auto"/>
              <w:jc w:val="right"/>
              <w:rPr>
                <w:rFonts w:eastAsia="Arial" w:cstheme="minorHAnsi"/>
                <w:b/>
                <w:bCs/>
                <w:sz w:val="16"/>
                <w:szCs w:val="16"/>
              </w:rPr>
            </w:pPr>
            <w:r w:rsidRPr="003404B0">
              <w:rPr>
                <w:rFonts w:eastAsia="Arial" w:cstheme="minorHAnsi"/>
                <w:b/>
                <w:bCs/>
                <w:sz w:val="16"/>
                <w:szCs w:val="16"/>
              </w:rPr>
              <w:t>$634,096,415</w:t>
            </w:r>
          </w:p>
        </w:tc>
        <w:tc>
          <w:tcPr>
            <w:tcW w:w="2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29786B2B" w14:textId="77777777" w:rsidR="00BB2701" w:rsidRPr="003404B0" w:rsidRDefault="00BB2701">
            <w:pPr>
              <w:spacing w:after="0" w:line="240" w:lineRule="auto"/>
              <w:jc w:val="right"/>
              <w:rPr>
                <w:rFonts w:eastAsia="Arial" w:cstheme="minorHAnsi"/>
                <w:b/>
                <w:bCs/>
                <w:sz w:val="16"/>
                <w:szCs w:val="16"/>
              </w:rPr>
            </w:pPr>
            <w:r w:rsidRPr="003404B0">
              <w:rPr>
                <w:rFonts w:eastAsia="Arial" w:cstheme="minorHAnsi"/>
                <w:b/>
                <w:bCs/>
                <w:sz w:val="16"/>
                <w:szCs w:val="16"/>
              </w:rPr>
              <w:t>$63.38</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0BB41B2E" w14:textId="77777777" w:rsidR="00BB2701" w:rsidRPr="003404B0" w:rsidRDefault="00BB2701">
            <w:pPr>
              <w:spacing w:after="0" w:line="240" w:lineRule="auto"/>
              <w:jc w:val="right"/>
              <w:rPr>
                <w:rFonts w:cstheme="minorHAnsi"/>
                <w:b/>
                <w:bCs/>
                <w:color w:val="000000"/>
                <w:sz w:val="16"/>
                <w:szCs w:val="16"/>
              </w:rPr>
            </w:pPr>
            <w:r w:rsidRPr="003404B0">
              <w:rPr>
                <w:rFonts w:eastAsia="Arial" w:cstheme="minorHAnsi"/>
                <w:b/>
                <w:bCs/>
                <w:sz w:val="16"/>
                <w:szCs w:val="16"/>
              </w:rPr>
              <w:t>$1,624,726,270</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7835CED" w14:textId="77777777" w:rsidR="00BB2701" w:rsidRPr="003404B0" w:rsidRDefault="00BB2701">
            <w:pPr>
              <w:spacing w:after="0" w:line="240" w:lineRule="auto"/>
              <w:jc w:val="right"/>
              <w:rPr>
                <w:rFonts w:cstheme="minorHAnsi"/>
                <w:b/>
                <w:bCs/>
                <w:color w:val="000000"/>
                <w:sz w:val="16"/>
                <w:szCs w:val="16"/>
              </w:rPr>
            </w:pPr>
            <w:r w:rsidRPr="003404B0">
              <w:rPr>
                <w:rFonts w:eastAsia="Arial" w:cstheme="minorHAnsi"/>
                <w:b/>
                <w:bCs/>
                <w:sz w:val="16"/>
                <w:szCs w:val="16"/>
              </w:rPr>
              <w:t>$734,674,267</w:t>
            </w:r>
          </w:p>
        </w:tc>
        <w:tc>
          <w:tcPr>
            <w:tcW w:w="269"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25909FD4" w14:textId="77777777" w:rsidR="00BB2701" w:rsidRPr="003404B0" w:rsidRDefault="00BB2701">
            <w:pPr>
              <w:spacing w:after="0" w:line="240" w:lineRule="auto"/>
              <w:jc w:val="right"/>
              <w:rPr>
                <w:rFonts w:cstheme="minorHAnsi"/>
                <w:b/>
                <w:bCs/>
                <w:color w:val="000000"/>
                <w:sz w:val="16"/>
                <w:szCs w:val="16"/>
              </w:rPr>
            </w:pPr>
            <w:r w:rsidRPr="003404B0">
              <w:rPr>
                <w:rFonts w:eastAsia="Arial" w:cstheme="minorHAnsi"/>
                <w:b/>
                <w:bCs/>
                <w:sz w:val="16"/>
                <w:szCs w:val="16"/>
              </w:rPr>
              <w:t>$90.83</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3850568B" w14:textId="77777777" w:rsidR="00BB2701" w:rsidRPr="003404B0" w:rsidRDefault="00BB2701">
            <w:pPr>
              <w:spacing w:after="0" w:line="240" w:lineRule="auto"/>
              <w:jc w:val="right"/>
              <w:rPr>
                <w:rFonts w:eastAsia="Times New Roman" w:cstheme="minorHAnsi"/>
                <w:b/>
                <w:bCs/>
                <w:sz w:val="16"/>
                <w:szCs w:val="16"/>
                <w:lang w:eastAsia="en-AU"/>
              </w:rPr>
            </w:pPr>
            <w:r w:rsidRPr="003404B0">
              <w:rPr>
                <w:rFonts w:cstheme="minorHAnsi"/>
                <w:b/>
                <w:bCs/>
                <w:color w:val="000000"/>
                <w:sz w:val="16"/>
                <w:szCs w:val="16"/>
              </w:rPr>
              <w:t>$1,904,179,793</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7D14D3C1" w14:textId="77777777" w:rsidR="00BB2701" w:rsidRPr="003404B0" w:rsidRDefault="00BB2701">
            <w:pPr>
              <w:spacing w:after="0" w:line="240" w:lineRule="auto"/>
              <w:jc w:val="right"/>
              <w:rPr>
                <w:rFonts w:eastAsia="Times New Roman" w:cstheme="minorHAnsi"/>
                <w:b/>
                <w:bCs/>
                <w:sz w:val="16"/>
                <w:szCs w:val="16"/>
                <w:lang w:eastAsia="en-AU"/>
              </w:rPr>
            </w:pPr>
            <w:r w:rsidRPr="003404B0">
              <w:rPr>
                <w:rFonts w:cstheme="minorHAnsi"/>
                <w:b/>
                <w:bCs/>
                <w:color w:val="000000"/>
                <w:sz w:val="16"/>
                <w:szCs w:val="16"/>
              </w:rPr>
              <w:t>$513,239,494</w:t>
            </w:r>
          </w:p>
        </w:tc>
        <w:tc>
          <w:tcPr>
            <w:tcW w:w="270"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230C9B56" w14:textId="77777777" w:rsidR="00BB2701" w:rsidRPr="003404B0" w:rsidRDefault="00BB2701">
            <w:pPr>
              <w:spacing w:after="0" w:line="240" w:lineRule="auto"/>
              <w:jc w:val="right"/>
              <w:rPr>
                <w:rFonts w:eastAsia="Times New Roman" w:cstheme="minorHAnsi"/>
                <w:b/>
                <w:bCs/>
                <w:sz w:val="16"/>
                <w:szCs w:val="16"/>
                <w:lang w:eastAsia="en-AU"/>
              </w:rPr>
            </w:pPr>
            <w:r w:rsidRPr="003404B0">
              <w:rPr>
                <w:rFonts w:cstheme="minorHAnsi"/>
                <w:b/>
                <w:bCs/>
                <w:color w:val="000000"/>
                <w:sz w:val="16"/>
                <w:szCs w:val="16"/>
              </w:rPr>
              <w:t>$142.60</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35AFEE69"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$2,367,204,956</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395A0684"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$539,157,712</w:t>
            </w:r>
          </w:p>
        </w:tc>
        <w:tc>
          <w:tcPr>
            <w:tcW w:w="269"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4DB8BDA9"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$173.48</w:t>
            </w:r>
          </w:p>
        </w:tc>
      </w:tr>
      <w:tr w:rsidR="00BB2701" w:rsidRPr="00287CE1" w14:paraId="3E052FC2"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0E3D78B9"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Total (excluding Drs Bag)</w:t>
            </w:r>
          </w:p>
        </w:tc>
        <w:tc>
          <w:tcPr>
            <w:tcW w:w="444" w:type="pct"/>
            <w:tcBorders>
              <w:top w:val="single" w:sz="4" w:space="0" w:color="auto"/>
              <w:left w:val="single" w:sz="4" w:space="0" w:color="auto"/>
              <w:bottom w:val="single" w:sz="4" w:space="0" w:color="auto"/>
              <w:right w:val="single" w:sz="4" w:space="0" w:color="auto"/>
            </w:tcBorders>
            <w:vAlign w:val="center"/>
          </w:tcPr>
          <w:p w14:paraId="674D117E" w14:textId="77777777" w:rsidR="00BB2701" w:rsidRPr="003404B0" w:rsidRDefault="00BB2701" w:rsidP="005C3D5C">
            <w:pPr>
              <w:spacing w:after="0" w:line="240" w:lineRule="auto"/>
              <w:jc w:val="right"/>
              <w:rPr>
                <w:rFonts w:cstheme="minorHAnsi"/>
                <w:color w:val="000000"/>
                <w:sz w:val="16"/>
                <w:szCs w:val="16"/>
              </w:rPr>
            </w:pPr>
            <w:r w:rsidRPr="003404B0">
              <w:rPr>
                <w:rFonts w:eastAsia="Arial" w:cstheme="minorHAnsi"/>
                <w:sz w:val="16"/>
                <w:szCs w:val="16"/>
              </w:rPr>
              <w:t>$5,384,324,784</w:t>
            </w:r>
          </w:p>
        </w:tc>
        <w:tc>
          <w:tcPr>
            <w:tcW w:w="444" w:type="pct"/>
            <w:tcBorders>
              <w:top w:val="single" w:sz="4" w:space="0" w:color="auto"/>
              <w:left w:val="single" w:sz="4" w:space="0" w:color="auto"/>
              <w:bottom w:val="single" w:sz="4" w:space="0" w:color="auto"/>
              <w:right w:val="single" w:sz="4" w:space="0" w:color="auto"/>
            </w:tcBorders>
            <w:vAlign w:val="center"/>
          </w:tcPr>
          <w:p w14:paraId="12A50922" w14:textId="77777777" w:rsidR="00BB2701" w:rsidRPr="003404B0" w:rsidRDefault="00BB2701" w:rsidP="001C7EC7">
            <w:pPr>
              <w:spacing w:after="0" w:line="240" w:lineRule="auto"/>
              <w:jc w:val="right"/>
              <w:rPr>
                <w:rFonts w:eastAsia="Arial" w:cstheme="minorHAnsi"/>
                <w:sz w:val="16"/>
                <w:szCs w:val="16"/>
              </w:rPr>
            </w:pPr>
            <w:r w:rsidRPr="003404B0">
              <w:rPr>
                <w:rFonts w:eastAsia="Arial" w:cstheme="minorHAnsi"/>
                <w:sz w:val="16"/>
                <w:szCs w:val="16"/>
              </w:rPr>
              <w:t>$1,123,269,692</w:t>
            </w:r>
          </w:p>
        </w:tc>
        <w:tc>
          <w:tcPr>
            <w:tcW w:w="244" w:type="pct"/>
            <w:tcBorders>
              <w:top w:val="single" w:sz="4" w:space="0" w:color="auto"/>
              <w:left w:val="single" w:sz="4" w:space="0" w:color="auto"/>
              <w:bottom w:val="single" w:sz="4" w:space="0" w:color="auto"/>
              <w:right w:val="single" w:sz="4" w:space="0" w:color="auto"/>
            </w:tcBorders>
            <w:vAlign w:val="center"/>
          </w:tcPr>
          <w:p w14:paraId="605C2894" w14:textId="77777777" w:rsidR="00BB2701" w:rsidRPr="003404B0" w:rsidRDefault="00BB2701">
            <w:pPr>
              <w:spacing w:after="0" w:line="240" w:lineRule="auto"/>
              <w:jc w:val="right"/>
              <w:rPr>
                <w:rFonts w:eastAsia="Arial" w:cstheme="minorHAnsi"/>
                <w:sz w:val="16"/>
                <w:szCs w:val="16"/>
              </w:rPr>
            </w:pPr>
            <w:r w:rsidRPr="003404B0">
              <w:rPr>
                <w:rFonts w:eastAsia="Arial" w:cstheme="minorHAnsi"/>
                <w:sz w:val="16"/>
                <w:szCs w:val="16"/>
              </w:rPr>
              <w:t>$38.75</w:t>
            </w:r>
          </w:p>
        </w:tc>
        <w:tc>
          <w:tcPr>
            <w:tcW w:w="445" w:type="pct"/>
            <w:tcBorders>
              <w:top w:val="single" w:sz="4" w:space="0" w:color="auto"/>
              <w:left w:val="single" w:sz="4" w:space="0" w:color="auto"/>
              <w:bottom w:val="single" w:sz="4" w:space="0" w:color="auto"/>
              <w:right w:val="single" w:sz="4" w:space="0" w:color="auto"/>
            </w:tcBorders>
            <w:vAlign w:val="center"/>
          </w:tcPr>
          <w:p w14:paraId="4A8D9DB1" w14:textId="77777777" w:rsidR="00BB2701" w:rsidRPr="003404B0" w:rsidRDefault="00BB2701">
            <w:pPr>
              <w:spacing w:after="0" w:line="240" w:lineRule="auto"/>
              <w:jc w:val="right"/>
              <w:rPr>
                <w:rFonts w:cstheme="minorHAnsi"/>
                <w:color w:val="000000"/>
                <w:sz w:val="16"/>
                <w:szCs w:val="16"/>
              </w:rPr>
            </w:pPr>
            <w:r w:rsidRPr="003404B0">
              <w:rPr>
                <w:rFonts w:eastAsia="Arial" w:cstheme="minorHAnsi"/>
                <w:sz w:val="16"/>
                <w:szCs w:val="16"/>
              </w:rPr>
              <w:t>$7,323,148,803</w:t>
            </w:r>
          </w:p>
        </w:tc>
        <w:tc>
          <w:tcPr>
            <w:tcW w:w="445" w:type="pct"/>
            <w:tcBorders>
              <w:top w:val="single" w:sz="4" w:space="0" w:color="auto"/>
              <w:left w:val="single" w:sz="4" w:space="0" w:color="auto"/>
              <w:bottom w:val="single" w:sz="4" w:space="0" w:color="auto"/>
              <w:right w:val="single" w:sz="4" w:space="0" w:color="auto"/>
            </w:tcBorders>
            <w:vAlign w:val="center"/>
          </w:tcPr>
          <w:p w14:paraId="35E766AB" w14:textId="77777777" w:rsidR="00BB2701" w:rsidRPr="003404B0" w:rsidRDefault="00BB2701">
            <w:pPr>
              <w:spacing w:after="0" w:line="240" w:lineRule="auto"/>
              <w:jc w:val="right"/>
              <w:rPr>
                <w:rFonts w:cstheme="minorHAnsi"/>
                <w:color w:val="000000"/>
                <w:sz w:val="16"/>
                <w:szCs w:val="16"/>
              </w:rPr>
            </w:pPr>
            <w:r w:rsidRPr="003404B0">
              <w:rPr>
                <w:rFonts w:eastAsia="Arial" w:cstheme="minorHAnsi"/>
                <w:sz w:val="16"/>
                <w:szCs w:val="16"/>
              </w:rPr>
              <w:t>$1,423,782,860</w:t>
            </w:r>
          </w:p>
        </w:tc>
        <w:tc>
          <w:tcPr>
            <w:tcW w:w="269" w:type="pct"/>
            <w:tcBorders>
              <w:top w:val="single" w:sz="4" w:space="0" w:color="auto"/>
              <w:left w:val="single" w:sz="4" w:space="0" w:color="auto"/>
              <w:bottom w:val="single" w:sz="4" w:space="0" w:color="auto"/>
              <w:right w:val="single" w:sz="4" w:space="0" w:color="auto"/>
            </w:tcBorders>
            <w:vAlign w:val="center"/>
          </w:tcPr>
          <w:p w14:paraId="095A8005" w14:textId="77777777" w:rsidR="00BB2701" w:rsidRPr="003404B0" w:rsidRDefault="00BB2701">
            <w:pPr>
              <w:spacing w:after="0" w:line="240" w:lineRule="auto"/>
              <w:jc w:val="right"/>
              <w:rPr>
                <w:rFonts w:cstheme="minorHAnsi"/>
                <w:color w:val="000000"/>
                <w:sz w:val="16"/>
                <w:szCs w:val="16"/>
              </w:rPr>
            </w:pPr>
            <w:r w:rsidRPr="003404B0">
              <w:rPr>
                <w:rFonts w:eastAsia="Arial" w:cstheme="minorHAnsi"/>
                <w:sz w:val="16"/>
                <w:szCs w:val="16"/>
              </w:rPr>
              <w:t>$46.57</w:t>
            </w:r>
          </w:p>
        </w:tc>
        <w:tc>
          <w:tcPr>
            <w:tcW w:w="445" w:type="pct"/>
            <w:tcBorders>
              <w:top w:val="single" w:sz="4" w:space="0" w:color="auto"/>
              <w:left w:val="single" w:sz="4" w:space="0" w:color="auto"/>
              <w:bottom w:val="single" w:sz="4" w:space="0" w:color="auto"/>
              <w:right w:val="single" w:sz="4" w:space="0" w:color="auto"/>
            </w:tcBorders>
            <w:vAlign w:val="center"/>
          </w:tcPr>
          <w:p w14:paraId="6FEE07BF" w14:textId="77777777" w:rsidR="00BB2701" w:rsidRPr="003404B0" w:rsidRDefault="00BB2701">
            <w:pPr>
              <w:spacing w:after="0" w:line="240" w:lineRule="auto"/>
              <w:jc w:val="right"/>
              <w:rPr>
                <w:rFonts w:eastAsia="Times New Roman" w:cstheme="minorHAnsi"/>
                <w:sz w:val="16"/>
                <w:szCs w:val="16"/>
                <w:lang w:eastAsia="en-AU"/>
              </w:rPr>
            </w:pPr>
            <w:r w:rsidRPr="003404B0">
              <w:rPr>
                <w:rFonts w:cstheme="minorHAnsi"/>
                <w:color w:val="000000"/>
                <w:sz w:val="16"/>
                <w:szCs w:val="16"/>
              </w:rPr>
              <w:t>$7,949,018,254</w:t>
            </w:r>
          </w:p>
        </w:tc>
        <w:tc>
          <w:tcPr>
            <w:tcW w:w="445" w:type="pct"/>
            <w:tcBorders>
              <w:top w:val="single" w:sz="4" w:space="0" w:color="auto"/>
              <w:left w:val="single" w:sz="4" w:space="0" w:color="auto"/>
              <w:bottom w:val="single" w:sz="4" w:space="0" w:color="auto"/>
              <w:right w:val="single" w:sz="4" w:space="0" w:color="auto"/>
            </w:tcBorders>
            <w:vAlign w:val="center"/>
          </w:tcPr>
          <w:p w14:paraId="19AC129D" w14:textId="77777777" w:rsidR="00BB2701" w:rsidRPr="003404B0" w:rsidRDefault="00BB2701">
            <w:pPr>
              <w:spacing w:after="0" w:line="240" w:lineRule="auto"/>
              <w:jc w:val="right"/>
              <w:rPr>
                <w:rFonts w:eastAsia="Times New Roman" w:cstheme="minorHAnsi"/>
                <w:sz w:val="16"/>
                <w:szCs w:val="16"/>
                <w:lang w:eastAsia="en-AU"/>
              </w:rPr>
            </w:pPr>
            <w:r w:rsidRPr="003404B0">
              <w:rPr>
                <w:rFonts w:cstheme="minorHAnsi"/>
                <w:color w:val="000000"/>
                <w:sz w:val="16"/>
                <w:szCs w:val="16"/>
              </w:rPr>
              <w:t>$1,394,205,138</w:t>
            </w:r>
          </w:p>
        </w:tc>
        <w:tc>
          <w:tcPr>
            <w:tcW w:w="270" w:type="pct"/>
            <w:tcBorders>
              <w:top w:val="single" w:sz="4" w:space="0" w:color="auto"/>
              <w:left w:val="single" w:sz="4" w:space="0" w:color="auto"/>
              <w:bottom w:val="single" w:sz="4" w:space="0" w:color="auto"/>
              <w:right w:val="single" w:sz="4" w:space="0" w:color="auto"/>
            </w:tcBorders>
            <w:vAlign w:val="center"/>
          </w:tcPr>
          <w:p w14:paraId="7952DDFC" w14:textId="77777777" w:rsidR="00BB2701" w:rsidRPr="003404B0" w:rsidRDefault="00BB2701">
            <w:pPr>
              <w:spacing w:after="0" w:line="240" w:lineRule="auto"/>
              <w:jc w:val="right"/>
              <w:rPr>
                <w:rFonts w:eastAsia="Times New Roman" w:cstheme="minorHAnsi"/>
                <w:sz w:val="16"/>
                <w:szCs w:val="16"/>
                <w:lang w:eastAsia="en-AU"/>
              </w:rPr>
            </w:pPr>
            <w:r w:rsidRPr="003404B0">
              <w:rPr>
                <w:rFonts w:cstheme="minorHAnsi"/>
                <w:color w:val="000000"/>
                <w:sz w:val="16"/>
                <w:szCs w:val="16"/>
              </w:rPr>
              <w:t>$45.01</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AFB4A"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$9,121,907,974</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31B4"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$1,450,281,764</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AAEEA"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$50.35</w:t>
            </w:r>
          </w:p>
        </w:tc>
      </w:tr>
      <w:tr w:rsidR="00BB2701" w:rsidRPr="00287CE1" w14:paraId="62C72B1B" w14:textId="77777777" w:rsidTr="00CA72FA">
        <w:trPr>
          <w:trHeight w:val="331"/>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6805FCC4"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Doctors Bag</w:t>
            </w:r>
          </w:p>
        </w:tc>
        <w:tc>
          <w:tcPr>
            <w:tcW w:w="444" w:type="pct"/>
            <w:tcBorders>
              <w:top w:val="single" w:sz="4" w:space="0" w:color="auto"/>
              <w:left w:val="single" w:sz="4" w:space="0" w:color="auto"/>
              <w:bottom w:val="single" w:sz="4" w:space="0" w:color="auto"/>
              <w:right w:val="single" w:sz="4" w:space="0" w:color="auto"/>
            </w:tcBorders>
            <w:vAlign w:val="center"/>
          </w:tcPr>
          <w:p w14:paraId="48BEDC7F" w14:textId="77777777" w:rsidR="00BB2701" w:rsidRPr="00E926DB" w:rsidRDefault="00BB2701" w:rsidP="005C3D5C">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10,063,803</w:t>
            </w:r>
          </w:p>
        </w:tc>
        <w:tc>
          <w:tcPr>
            <w:tcW w:w="444" w:type="pct"/>
            <w:tcBorders>
              <w:top w:val="single" w:sz="4" w:space="0" w:color="auto"/>
              <w:left w:val="single" w:sz="4" w:space="0" w:color="auto"/>
              <w:bottom w:val="single" w:sz="4" w:space="0" w:color="auto"/>
              <w:right w:val="single" w:sz="4" w:space="0" w:color="auto"/>
            </w:tcBorders>
            <w:vAlign w:val="center"/>
          </w:tcPr>
          <w:p w14:paraId="5D1DC030" w14:textId="77777777" w:rsidR="00BB2701" w:rsidRPr="00E926DB" w:rsidRDefault="00BB2701" w:rsidP="001C7EC7">
            <w:pPr>
              <w:spacing w:after="0" w:line="240" w:lineRule="auto"/>
              <w:jc w:val="right"/>
              <w:rPr>
                <w:rFonts w:eastAsia="Arial" w:cstheme="minorHAnsi"/>
                <w:sz w:val="16"/>
                <w:szCs w:val="16"/>
              </w:rPr>
            </w:pPr>
            <w:r>
              <w:rPr>
                <w:rFonts w:eastAsia="Arial" w:cstheme="minorHAnsi"/>
                <w:w w:val="95"/>
                <w:sz w:val="16"/>
                <w:szCs w:val="16"/>
              </w:rPr>
              <w:t>$</w:t>
            </w:r>
            <w:r w:rsidRPr="00E926DB">
              <w:rPr>
                <w:rFonts w:eastAsia="Arial" w:cstheme="minorHAnsi"/>
                <w:w w:val="95"/>
                <w:sz w:val="16"/>
                <w:szCs w:val="16"/>
              </w:rPr>
              <w:t>0</w:t>
            </w:r>
          </w:p>
        </w:tc>
        <w:tc>
          <w:tcPr>
            <w:tcW w:w="244" w:type="pct"/>
            <w:tcBorders>
              <w:top w:val="single" w:sz="4" w:space="0" w:color="auto"/>
              <w:left w:val="single" w:sz="4" w:space="0" w:color="auto"/>
              <w:bottom w:val="single" w:sz="4" w:space="0" w:color="auto"/>
              <w:right w:val="single" w:sz="4" w:space="0" w:color="auto"/>
            </w:tcBorders>
            <w:vAlign w:val="center"/>
          </w:tcPr>
          <w:p w14:paraId="5962D949" w14:textId="77777777" w:rsidR="00BB2701" w:rsidRPr="00E926DB" w:rsidRDefault="00BB2701">
            <w:pPr>
              <w:spacing w:after="0" w:line="240" w:lineRule="auto"/>
              <w:jc w:val="right"/>
              <w:rPr>
                <w:rFonts w:eastAsia="Arial" w:cstheme="minorHAnsi"/>
                <w:sz w:val="16"/>
                <w:szCs w:val="16"/>
              </w:rPr>
            </w:pPr>
            <w:r>
              <w:rPr>
                <w:rFonts w:eastAsia="Arial" w:cstheme="minorHAnsi"/>
                <w:sz w:val="16"/>
                <w:szCs w:val="16"/>
              </w:rPr>
              <w:t>$</w:t>
            </w:r>
            <w:r w:rsidRPr="00E926DB">
              <w:rPr>
                <w:rFonts w:eastAsia="Arial" w:cstheme="minorHAnsi"/>
                <w:sz w:val="16"/>
                <w:szCs w:val="16"/>
              </w:rPr>
              <w:t>25.41</w:t>
            </w:r>
          </w:p>
        </w:tc>
        <w:tc>
          <w:tcPr>
            <w:tcW w:w="445" w:type="pct"/>
            <w:tcBorders>
              <w:top w:val="single" w:sz="4" w:space="0" w:color="auto"/>
              <w:left w:val="single" w:sz="4" w:space="0" w:color="auto"/>
              <w:bottom w:val="single" w:sz="4" w:space="0" w:color="auto"/>
              <w:right w:val="single" w:sz="4" w:space="0" w:color="auto"/>
            </w:tcBorders>
            <w:vAlign w:val="center"/>
          </w:tcPr>
          <w:p w14:paraId="4036BC48"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14,228,520</w:t>
            </w:r>
          </w:p>
        </w:tc>
        <w:tc>
          <w:tcPr>
            <w:tcW w:w="445" w:type="pct"/>
            <w:tcBorders>
              <w:top w:val="single" w:sz="4" w:space="0" w:color="auto"/>
              <w:left w:val="single" w:sz="4" w:space="0" w:color="auto"/>
              <w:bottom w:val="single" w:sz="4" w:space="0" w:color="auto"/>
              <w:right w:val="single" w:sz="4" w:space="0" w:color="auto"/>
            </w:tcBorders>
            <w:vAlign w:val="center"/>
          </w:tcPr>
          <w:p w14:paraId="0EE1EC2D"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0</w:t>
            </w:r>
          </w:p>
        </w:tc>
        <w:tc>
          <w:tcPr>
            <w:tcW w:w="269" w:type="pct"/>
            <w:tcBorders>
              <w:top w:val="single" w:sz="4" w:space="0" w:color="auto"/>
              <w:left w:val="single" w:sz="4" w:space="0" w:color="auto"/>
              <w:bottom w:val="single" w:sz="4" w:space="0" w:color="auto"/>
              <w:right w:val="single" w:sz="4" w:space="0" w:color="auto"/>
            </w:tcBorders>
            <w:vAlign w:val="center"/>
          </w:tcPr>
          <w:p w14:paraId="0C2E41E8" w14:textId="77777777" w:rsidR="00BB2701" w:rsidRPr="00E926DB" w:rsidRDefault="00BB2701">
            <w:pPr>
              <w:spacing w:after="0" w:line="240" w:lineRule="auto"/>
              <w:jc w:val="right"/>
              <w:rPr>
                <w:rFonts w:cstheme="minorHAnsi"/>
                <w:color w:val="000000"/>
                <w:sz w:val="16"/>
                <w:szCs w:val="16"/>
              </w:rPr>
            </w:pPr>
            <w:r>
              <w:rPr>
                <w:rFonts w:eastAsia="Arial" w:cstheme="minorHAnsi"/>
                <w:sz w:val="16"/>
                <w:szCs w:val="16"/>
              </w:rPr>
              <w:t>$</w:t>
            </w:r>
            <w:r w:rsidRPr="00E926DB">
              <w:rPr>
                <w:rFonts w:eastAsia="Arial" w:cstheme="minorHAnsi"/>
                <w:sz w:val="16"/>
                <w:szCs w:val="16"/>
              </w:rPr>
              <w:t>42.13</w:t>
            </w:r>
          </w:p>
        </w:tc>
        <w:tc>
          <w:tcPr>
            <w:tcW w:w="445" w:type="pct"/>
            <w:tcBorders>
              <w:top w:val="single" w:sz="4" w:space="0" w:color="auto"/>
              <w:left w:val="single" w:sz="4" w:space="0" w:color="auto"/>
              <w:bottom w:val="single" w:sz="4" w:space="0" w:color="auto"/>
              <w:right w:val="single" w:sz="4" w:space="0" w:color="auto"/>
            </w:tcBorders>
            <w:vAlign w:val="center"/>
          </w:tcPr>
          <w:p w14:paraId="65A326AA"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$15,887,150</w:t>
            </w:r>
          </w:p>
        </w:tc>
        <w:tc>
          <w:tcPr>
            <w:tcW w:w="445" w:type="pct"/>
            <w:tcBorders>
              <w:top w:val="single" w:sz="4" w:space="0" w:color="auto"/>
              <w:left w:val="single" w:sz="4" w:space="0" w:color="auto"/>
              <w:bottom w:val="single" w:sz="4" w:space="0" w:color="auto"/>
              <w:right w:val="single" w:sz="4" w:space="0" w:color="auto"/>
            </w:tcBorders>
            <w:vAlign w:val="center"/>
          </w:tcPr>
          <w:p w14:paraId="3F0F293D"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$0</w:t>
            </w:r>
          </w:p>
        </w:tc>
        <w:tc>
          <w:tcPr>
            <w:tcW w:w="270" w:type="pct"/>
            <w:tcBorders>
              <w:top w:val="single" w:sz="4" w:space="0" w:color="auto"/>
              <w:left w:val="single" w:sz="4" w:space="0" w:color="auto"/>
              <w:bottom w:val="single" w:sz="4" w:space="0" w:color="auto"/>
              <w:right w:val="single" w:sz="4" w:space="0" w:color="auto"/>
            </w:tcBorders>
            <w:vAlign w:val="center"/>
          </w:tcPr>
          <w:p w14:paraId="43ADEF10" w14:textId="77777777" w:rsidR="00BB2701" w:rsidRPr="00E926DB" w:rsidRDefault="00BB2701">
            <w:pPr>
              <w:spacing w:after="0" w:line="240" w:lineRule="auto"/>
              <w:jc w:val="right"/>
              <w:rPr>
                <w:rFonts w:eastAsia="Times New Roman" w:cstheme="minorHAnsi"/>
                <w:sz w:val="16"/>
                <w:szCs w:val="16"/>
                <w:lang w:eastAsia="en-AU"/>
              </w:rPr>
            </w:pPr>
            <w:r w:rsidRPr="00E926DB">
              <w:rPr>
                <w:rFonts w:cstheme="minorHAnsi"/>
                <w:color w:val="000000"/>
                <w:sz w:val="16"/>
                <w:szCs w:val="16"/>
              </w:rPr>
              <w:t>$40.86</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913DB"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$14,971,053</w:t>
            </w:r>
          </w:p>
        </w:tc>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6046"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1B40" w14:textId="77777777" w:rsidR="00BB2701" w:rsidRPr="00984444" w:rsidRDefault="00BB2701">
            <w:pPr>
              <w:spacing w:after="0" w:line="240" w:lineRule="auto"/>
              <w:jc w:val="right"/>
              <w:rPr>
                <w:rFonts w:eastAsia="Times New Roman" w:cstheme="minorHAnsi"/>
                <w:sz w:val="16"/>
                <w:szCs w:val="16"/>
                <w:lang w:eastAsia="en-AU"/>
              </w:rPr>
            </w:pPr>
            <w:r w:rsidRPr="00984444">
              <w:rPr>
                <w:rFonts w:eastAsia="Times New Roman" w:cstheme="minorHAnsi"/>
                <w:sz w:val="16"/>
                <w:szCs w:val="16"/>
                <w:lang w:eastAsia="en-AU"/>
              </w:rPr>
              <w:t>$41.53</w:t>
            </w:r>
          </w:p>
        </w:tc>
      </w:tr>
      <w:tr w:rsidR="00BB2701" w:rsidRPr="00287CE1" w14:paraId="5B3CB965" w14:textId="77777777" w:rsidTr="00CA72FA">
        <w:trPr>
          <w:trHeight w:val="643"/>
        </w:trPr>
        <w:tc>
          <w:tcPr>
            <w:tcW w:w="390" w:type="pct"/>
            <w:tcBorders>
              <w:top w:val="single" w:sz="4" w:space="0" w:color="auto"/>
              <w:left w:val="single" w:sz="4" w:space="0" w:color="auto"/>
              <w:bottom w:val="single" w:sz="4" w:space="0" w:color="auto"/>
              <w:right w:val="single" w:sz="4" w:space="0" w:color="auto"/>
            </w:tcBorders>
            <w:shd w:val="clear" w:color="auto" w:fill="0289C8" w:themeFill="text2" w:themeFillTint="BF"/>
            <w:vAlign w:val="center"/>
          </w:tcPr>
          <w:p w14:paraId="0DCDA83E" w14:textId="77777777" w:rsidR="00BB2701" w:rsidRPr="00FF4C3F" w:rsidRDefault="00BB2701" w:rsidP="00377E35">
            <w:pPr>
              <w:spacing w:after="0" w:line="240" w:lineRule="auto"/>
              <w:jc w:val="center"/>
              <w:rPr>
                <w:rFonts w:cstheme="minorHAnsi"/>
                <w:b/>
                <w:color w:val="FFFFFF" w:themeColor="background1"/>
                <w:sz w:val="16"/>
                <w:szCs w:val="16"/>
              </w:rPr>
            </w:pPr>
            <w:r w:rsidRPr="00FF4C3F">
              <w:rPr>
                <w:rFonts w:cstheme="minorHAnsi"/>
                <w:b/>
                <w:color w:val="FFFFFF" w:themeColor="background1"/>
                <w:sz w:val="16"/>
                <w:szCs w:val="16"/>
              </w:rPr>
              <w:t>Total (including Drs Bag)</w:t>
            </w:r>
          </w:p>
        </w:tc>
        <w:tc>
          <w:tcPr>
            <w:tcW w:w="4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25BC088C" w14:textId="77777777" w:rsidR="00BB2701" w:rsidRPr="00E926DB" w:rsidRDefault="00BB2701" w:rsidP="005C3D5C">
            <w:pPr>
              <w:spacing w:after="0" w:line="240" w:lineRule="auto"/>
              <w:jc w:val="right"/>
              <w:rPr>
                <w:rFonts w:cstheme="minorHAnsi"/>
                <w:b/>
                <w:bCs/>
                <w:color w:val="000000"/>
                <w:sz w:val="16"/>
                <w:szCs w:val="16"/>
              </w:rPr>
            </w:pPr>
            <w:r>
              <w:rPr>
                <w:rFonts w:eastAsia="Arial" w:cstheme="minorHAnsi"/>
                <w:b/>
                <w:bCs/>
                <w:sz w:val="16"/>
                <w:szCs w:val="16"/>
              </w:rPr>
              <w:t>$</w:t>
            </w:r>
            <w:r w:rsidRPr="00E926DB">
              <w:rPr>
                <w:rFonts w:eastAsia="Arial" w:cstheme="minorHAnsi"/>
                <w:b/>
                <w:bCs/>
                <w:sz w:val="16"/>
                <w:szCs w:val="16"/>
              </w:rPr>
              <w:t>5,394,388,587</w:t>
            </w:r>
          </w:p>
        </w:tc>
        <w:tc>
          <w:tcPr>
            <w:tcW w:w="4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39A0BB47" w14:textId="77777777" w:rsidR="00BB2701" w:rsidRPr="00E926DB" w:rsidRDefault="00BB2701" w:rsidP="001C7EC7">
            <w:pPr>
              <w:spacing w:after="0" w:line="240" w:lineRule="auto"/>
              <w:jc w:val="right"/>
              <w:rPr>
                <w:rFonts w:eastAsia="Arial" w:cstheme="minorHAnsi"/>
                <w:b/>
                <w:bCs/>
                <w:sz w:val="16"/>
                <w:szCs w:val="16"/>
              </w:rPr>
            </w:pPr>
            <w:r>
              <w:rPr>
                <w:rFonts w:eastAsia="Arial" w:cstheme="minorHAnsi"/>
                <w:b/>
                <w:bCs/>
                <w:sz w:val="16"/>
                <w:szCs w:val="16"/>
              </w:rPr>
              <w:t>$</w:t>
            </w:r>
            <w:r w:rsidRPr="00E926DB">
              <w:rPr>
                <w:rFonts w:eastAsia="Arial" w:cstheme="minorHAnsi"/>
                <w:b/>
                <w:bCs/>
                <w:sz w:val="16"/>
                <w:szCs w:val="16"/>
              </w:rPr>
              <w:t>1,123,269,692</w:t>
            </w:r>
          </w:p>
        </w:tc>
        <w:tc>
          <w:tcPr>
            <w:tcW w:w="244"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663D5328" w14:textId="77777777" w:rsidR="00BB2701" w:rsidRPr="00E926DB" w:rsidRDefault="00BB2701">
            <w:pPr>
              <w:spacing w:after="0" w:line="240" w:lineRule="auto"/>
              <w:jc w:val="right"/>
              <w:rPr>
                <w:rFonts w:eastAsia="Arial" w:cstheme="minorHAnsi"/>
                <w:b/>
                <w:bCs/>
                <w:sz w:val="16"/>
                <w:szCs w:val="16"/>
              </w:rPr>
            </w:pPr>
            <w:r>
              <w:rPr>
                <w:rFonts w:eastAsia="Arial" w:cstheme="minorHAnsi"/>
                <w:b/>
                <w:bCs/>
                <w:sz w:val="16"/>
                <w:szCs w:val="16"/>
              </w:rPr>
              <w:t>$</w:t>
            </w:r>
            <w:r w:rsidRPr="00E926DB">
              <w:rPr>
                <w:rFonts w:eastAsia="Arial" w:cstheme="minorHAnsi"/>
                <w:b/>
                <w:bCs/>
                <w:sz w:val="16"/>
                <w:szCs w:val="16"/>
              </w:rPr>
              <w:t>38.72</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59AC007E" w14:textId="77777777" w:rsidR="00BB2701" w:rsidRPr="00E926DB" w:rsidRDefault="00BB2701">
            <w:pPr>
              <w:spacing w:after="0" w:line="240" w:lineRule="auto"/>
              <w:jc w:val="right"/>
              <w:rPr>
                <w:rFonts w:cstheme="minorHAnsi"/>
                <w:b/>
                <w:bCs/>
                <w:color w:val="000000"/>
                <w:sz w:val="16"/>
                <w:szCs w:val="16"/>
              </w:rPr>
            </w:pPr>
            <w:r>
              <w:rPr>
                <w:rFonts w:eastAsia="Arial" w:cstheme="minorHAnsi"/>
                <w:b/>
                <w:bCs/>
                <w:sz w:val="16"/>
                <w:szCs w:val="16"/>
              </w:rPr>
              <w:t>$</w:t>
            </w:r>
            <w:r w:rsidRPr="00E926DB">
              <w:rPr>
                <w:rFonts w:eastAsia="Arial" w:cstheme="minorHAnsi"/>
                <w:b/>
                <w:bCs/>
                <w:sz w:val="16"/>
                <w:szCs w:val="16"/>
              </w:rPr>
              <w:t>7,337,377,323</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369BCF3F" w14:textId="77777777" w:rsidR="00BB2701" w:rsidRPr="00E926DB" w:rsidRDefault="00BB2701">
            <w:pPr>
              <w:spacing w:after="0" w:line="240" w:lineRule="auto"/>
              <w:jc w:val="right"/>
              <w:rPr>
                <w:rFonts w:cstheme="minorHAnsi"/>
                <w:b/>
                <w:bCs/>
                <w:color w:val="000000"/>
                <w:sz w:val="16"/>
                <w:szCs w:val="16"/>
              </w:rPr>
            </w:pPr>
            <w:r>
              <w:rPr>
                <w:rFonts w:eastAsia="Arial" w:cstheme="minorHAnsi"/>
                <w:b/>
                <w:bCs/>
                <w:sz w:val="16"/>
                <w:szCs w:val="16"/>
              </w:rPr>
              <w:t>$</w:t>
            </w:r>
            <w:r w:rsidRPr="00E926DB">
              <w:rPr>
                <w:rFonts w:eastAsia="Arial" w:cstheme="minorHAnsi"/>
                <w:b/>
                <w:bCs/>
                <w:sz w:val="16"/>
                <w:szCs w:val="16"/>
              </w:rPr>
              <w:t>1,423,782,860</w:t>
            </w:r>
          </w:p>
        </w:tc>
        <w:tc>
          <w:tcPr>
            <w:tcW w:w="269"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26A65D4" w14:textId="77777777" w:rsidR="00BB2701" w:rsidRPr="00E926DB" w:rsidRDefault="00BB2701">
            <w:pPr>
              <w:spacing w:after="0" w:line="240" w:lineRule="auto"/>
              <w:jc w:val="right"/>
              <w:rPr>
                <w:rFonts w:cstheme="minorHAnsi"/>
                <w:b/>
                <w:bCs/>
                <w:color w:val="000000"/>
                <w:sz w:val="16"/>
                <w:szCs w:val="16"/>
              </w:rPr>
            </w:pPr>
            <w:r>
              <w:rPr>
                <w:rFonts w:eastAsia="Arial" w:cstheme="minorHAnsi"/>
                <w:b/>
                <w:bCs/>
                <w:sz w:val="16"/>
                <w:szCs w:val="16"/>
              </w:rPr>
              <w:t>$</w:t>
            </w:r>
            <w:r w:rsidRPr="00E926DB">
              <w:rPr>
                <w:rFonts w:eastAsia="Arial" w:cstheme="minorHAnsi"/>
                <w:b/>
                <w:bCs/>
                <w:sz w:val="16"/>
                <w:szCs w:val="16"/>
              </w:rPr>
              <w:t>46.57</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16D12380" w14:textId="77777777" w:rsidR="00BB2701" w:rsidRPr="00E926DB" w:rsidRDefault="00BB2701">
            <w:pPr>
              <w:spacing w:after="0" w:line="240" w:lineRule="auto"/>
              <w:jc w:val="right"/>
              <w:rPr>
                <w:rFonts w:eastAsia="Times New Roman" w:cstheme="minorHAnsi"/>
                <w:b/>
                <w:bCs/>
                <w:sz w:val="16"/>
                <w:szCs w:val="16"/>
                <w:lang w:eastAsia="en-AU"/>
              </w:rPr>
            </w:pPr>
            <w:r w:rsidRPr="00E926DB">
              <w:rPr>
                <w:rFonts w:cstheme="minorHAnsi"/>
                <w:b/>
                <w:bCs/>
                <w:color w:val="000000"/>
                <w:sz w:val="16"/>
                <w:szCs w:val="16"/>
              </w:rPr>
              <w:t>$7,964,905,404</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704BA2CA" w14:textId="77777777" w:rsidR="00BB2701" w:rsidRPr="00E926DB" w:rsidRDefault="00BB2701">
            <w:pPr>
              <w:spacing w:after="0" w:line="240" w:lineRule="auto"/>
              <w:jc w:val="right"/>
              <w:rPr>
                <w:rFonts w:eastAsia="Times New Roman" w:cstheme="minorHAnsi"/>
                <w:b/>
                <w:bCs/>
                <w:sz w:val="16"/>
                <w:szCs w:val="16"/>
                <w:lang w:eastAsia="en-AU"/>
              </w:rPr>
            </w:pPr>
            <w:r w:rsidRPr="00E926DB">
              <w:rPr>
                <w:rFonts w:cstheme="minorHAnsi"/>
                <w:b/>
                <w:bCs/>
                <w:color w:val="000000"/>
                <w:sz w:val="16"/>
                <w:szCs w:val="16"/>
              </w:rPr>
              <w:t>$1,394,205,138</w:t>
            </w:r>
          </w:p>
        </w:tc>
        <w:tc>
          <w:tcPr>
            <w:tcW w:w="270" w:type="pct"/>
            <w:tcBorders>
              <w:top w:val="single" w:sz="4" w:space="0" w:color="auto"/>
              <w:left w:val="single" w:sz="4" w:space="0" w:color="auto"/>
              <w:bottom w:val="single" w:sz="4" w:space="0" w:color="auto"/>
              <w:right w:val="single" w:sz="4" w:space="0" w:color="auto"/>
            </w:tcBorders>
            <w:shd w:val="clear" w:color="auto" w:fill="D5F1FE" w:themeFill="text2" w:themeFillTint="1A"/>
            <w:vAlign w:val="center"/>
          </w:tcPr>
          <w:p w14:paraId="20B10F8D" w14:textId="77777777" w:rsidR="00BB2701" w:rsidRPr="00E926DB" w:rsidRDefault="00BB2701">
            <w:pPr>
              <w:spacing w:after="0" w:line="240" w:lineRule="auto"/>
              <w:jc w:val="right"/>
              <w:rPr>
                <w:rFonts w:eastAsia="Times New Roman" w:cstheme="minorHAnsi"/>
                <w:b/>
                <w:bCs/>
                <w:sz w:val="16"/>
                <w:szCs w:val="16"/>
                <w:lang w:eastAsia="en-AU"/>
              </w:rPr>
            </w:pPr>
            <w:r w:rsidRPr="00E926DB">
              <w:rPr>
                <w:rFonts w:cstheme="minorHAnsi"/>
                <w:b/>
                <w:bCs/>
                <w:color w:val="000000"/>
                <w:sz w:val="16"/>
                <w:szCs w:val="16"/>
              </w:rPr>
              <w:t>$45.00</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43AE6AEA"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$9,136,879,027</w:t>
            </w:r>
          </w:p>
        </w:tc>
        <w:tc>
          <w:tcPr>
            <w:tcW w:w="445"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154872EB" w14:textId="77777777"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$1,450,281,764</w:t>
            </w:r>
          </w:p>
        </w:tc>
        <w:tc>
          <w:tcPr>
            <w:tcW w:w="269" w:type="pct"/>
            <w:tcBorders>
              <w:top w:val="single" w:sz="4" w:space="0" w:color="auto"/>
              <w:left w:val="single" w:sz="4" w:space="0" w:color="auto"/>
              <w:bottom w:val="single" w:sz="4" w:space="0" w:color="auto"/>
              <w:right w:val="single" w:sz="4" w:space="0" w:color="auto"/>
            </w:tcBorders>
            <w:shd w:val="clear" w:color="auto" w:fill="D5F1FE" w:themeFill="text2" w:themeFillTint="1A"/>
            <w:noWrap/>
            <w:vAlign w:val="center"/>
            <w:hideMark/>
          </w:tcPr>
          <w:p w14:paraId="176D6808" w14:textId="56D7BAFA" w:rsidR="00BB2701" w:rsidRPr="00984444" w:rsidRDefault="00BB2701">
            <w:pPr>
              <w:spacing w:after="0" w:line="240" w:lineRule="auto"/>
              <w:jc w:val="right"/>
              <w:rPr>
                <w:rFonts w:eastAsia="Times New Roman" w:cstheme="minorHAnsi"/>
                <w:b/>
                <w:bCs/>
                <w:sz w:val="16"/>
                <w:szCs w:val="16"/>
                <w:lang w:eastAsia="en-AU"/>
              </w:rPr>
            </w:pPr>
            <w:r w:rsidRPr="00984444">
              <w:rPr>
                <w:rFonts w:eastAsia="Times New Roman" w:cstheme="minorHAnsi"/>
                <w:b/>
                <w:bCs/>
                <w:sz w:val="16"/>
                <w:szCs w:val="16"/>
                <w:lang w:eastAsia="en-AU"/>
              </w:rPr>
              <w:t>$50.34</w:t>
            </w:r>
          </w:p>
        </w:tc>
      </w:tr>
    </w:tbl>
    <w:p w14:paraId="5268FF94" w14:textId="5AE62965" w:rsidR="00BF3FE9" w:rsidRPr="00BF3FE9" w:rsidRDefault="00BF3FE9" w:rsidP="00BF3FE9">
      <w:pPr>
        <w:spacing w:after="0" w:line="240" w:lineRule="auto"/>
        <w:rPr>
          <w:rFonts w:eastAsiaTheme="majorEastAsia" w:cstheme="minorHAnsi"/>
          <w:bCs/>
          <w:color w:val="0D0D0D" w:themeColor="text1" w:themeTint="F2"/>
          <w:sz w:val="16"/>
          <w:szCs w:val="16"/>
        </w:rPr>
      </w:pPr>
      <w:r w:rsidRPr="00BF3FE9">
        <w:rPr>
          <w:rFonts w:eastAsiaTheme="majorEastAsia" w:cstheme="minorHAnsi"/>
          <w:bCs/>
          <w:color w:val="0D0D0D" w:themeColor="text1" w:themeTint="F2"/>
          <w:sz w:val="16"/>
          <w:szCs w:val="16"/>
        </w:rPr>
        <w:t xml:space="preserve">* </w:t>
      </w:r>
      <w:r w:rsidRPr="009A2BF5">
        <w:rPr>
          <w:rFonts w:eastAsiaTheme="majorEastAsia" w:cstheme="minorHAnsi"/>
          <w:bCs/>
          <w:color w:val="0D0D0D" w:themeColor="text1" w:themeTint="F2"/>
          <w:sz w:val="16"/>
          <w:szCs w:val="16"/>
        </w:rPr>
        <w:t>Section 85</w:t>
      </w:r>
      <w:r w:rsidR="009A2BF5" w:rsidRPr="009A2BF5">
        <w:rPr>
          <w:rFonts w:eastAsiaTheme="majorEastAsia" w:cstheme="minorHAnsi"/>
          <w:bCs/>
          <w:color w:val="0D0D0D" w:themeColor="text1" w:themeTint="F2"/>
          <w:sz w:val="16"/>
          <w:szCs w:val="16"/>
        </w:rPr>
        <w:t>only</w:t>
      </w:r>
      <w:r w:rsidRPr="009A2BF5">
        <w:rPr>
          <w:rFonts w:eastAsiaTheme="majorEastAsia" w:cstheme="minorHAnsi"/>
          <w:bCs/>
          <w:color w:val="0D0D0D" w:themeColor="text1" w:themeTint="F2"/>
          <w:sz w:val="16"/>
          <w:szCs w:val="16"/>
        </w:rPr>
        <w:t>, including Drs</w:t>
      </w:r>
      <w:r w:rsidRPr="00BF3FE9">
        <w:rPr>
          <w:rFonts w:eastAsiaTheme="majorEastAsia" w:cstheme="minorHAnsi"/>
          <w:bCs/>
          <w:color w:val="0D0D0D" w:themeColor="text1" w:themeTint="F2"/>
          <w:sz w:val="16"/>
          <w:szCs w:val="16"/>
        </w:rPr>
        <w:t xml:space="preserve"> Bag, excluding under co-payment prescriptions</w:t>
      </w:r>
    </w:p>
    <w:p w14:paraId="561BCEEA" w14:textId="17C7BCAC" w:rsidR="00BF3FE9" w:rsidRPr="00E926DB" w:rsidRDefault="00BF3FE9" w:rsidP="00BF3FE9">
      <w:pPr>
        <w:spacing w:after="0" w:line="240" w:lineRule="auto"/>
        <w:rPr>
          <w:rFonts w:cstheme="minorHAnsi"/>
          <w:sz w:val="16"/>
          <w:szCs w:val="16"/>
        </w:rPr>
      </w:pPr>
      <w:r w:rsidRPr="00E926DB">
        <w:rPr>
          <w:rFonts w:cstheme="minorHAnsi"/>
          <w:sz w:val="16"/>
          <w:szCs w:val="16"/>
        </w:rPr>
        <w:t xml:space="preserve">** Average Price is Total Cost </w:t>
      </w:r>
      <w:r>
        <w:rPr>
          <w:rFonts w:cstheme="minorHAnsi"/>
          <w:sz w:val="16"/>
          <w:szCs w:val="16"/>
        </w:rPr>
        <w:t>(</w:t>
      </w:r>
      <w:r w:rsidRPr="00E926DB">
        <w:rPr>
          <w:rFonts w:cstheme="minorHAnsi"/>
          <w:sz w:val="16"/>
          <w:szCs w:val="16"/>
        </w:rPr>
        <w:t>cost to the patient and cost to the Government for PBS Subsidised Prescriptions</w:t>
      </w:r>
      <w:r>
        <w:rPr>
          <w:rFonts w:cstheme="minorHAnsi"/>
          <w:sz w:val="16"/>
          <w:szCs w:val="16"/>
        </w:rPr>
        <w:t>)</w:t>
      </w:r>
      <w:r w:rsidRPr="00E926DB">
        <w:rPr>
          <w:rFonts w:cstheme="minorHAnsi"/>
          <w:sz w:val="16"/>
          <w:szCs w:val="16"/>
        </w:rPr>
        <w:t xml:space="preserve"> divided by PBS Subsidised Prescriptions.</w:t>
      </w:r>
    </w:p>
    <w:p w14:paraId="26997904" w14:textId="7F737F31" w:rsidR="00EE1495" w:rsidRPr="00EE1495" w:rsidRDefault="00BF3FE9" w:rsidP="00FF4C3F">
      <w:pPr>
        <w:rPr>
          <w:lang w:eastAsia="en-AU"/>
        </w:rPr>
      </w:pPr>
      <w:r w:rsidRPr="00E926DB">
        <w:rPr>
          <w:rFonts w:cstheme="minorHAnsi"/>
          <w:sz w:val="16"/>
          <w:szCs w:val="16"/>
        </w:rPr>
        <w:t>*** The patient contribution does not include the effect of the $1 PBS patient co-payment discount.</w:t>
      </w:r>
    </w:p>
    <w:p w14:paraId="17EE8312" w14:textId="77777777" w:rsidR="00F43B63" w:rsidRDefault="00F43B63" w:rsidP="00EE1495">
      <w:pPr>
        <w:rPr>
          <w:lang w:eastAsia="en-AU"/>
        </w:rPr>
        <w:sectPr w:rsidR="00F43B63" w:rsidSect="00FF4C3F">
          <w:headerReference w:type="first" r:id="rId19"/>
          <w:pgSz w:w="16838" w:h="11906" w:orient="landscape"/>
          <w:pgMar w:top="851" w:right="1559" w:bottom="851" w:left="1701" w:header="567" w:footer="57" w:gutter="0"/>
          <w:cols w:space="708"/>
          <w:docGrid w:linePitch="360"/>
        </w:sectPr>
      </w:pPr>
    </w:p>
    <w:p w14:paraId="6D5DE7D4" w14:textId="77777777" w:rsidR="00C21200" w:rsidRPr="00C20287" w:rsidRDefault="00C21200" w:rsidP="00E56F41">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lastRenderedPageBreak/>
        <w:t>The dispensing fees determined by the Commonwealth price must balance the need to appropriately remunerate pharmacies for the services provided</w:t>
      </w:r>
      <w:r>
        <w:rPr>
          <w:rFonts w:eastAsiaTheme="majorEastAsia" w:cs="Arial"/>
          <w:bCs/>
          <w:color w:val="0D0D0D" w:themeColor="text1" w:themeTint="F2"/>
          <w:sz w:val="24"/>
          <w:szCs w:val="24"/>
        </w:rPr>
        <w:t>,</w:t>
      </w:r>
      <w:r w:rsidRPr="00C20287">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 xml:space="preserve">in dispensing a PBS medicine </w:t>
      </w:r>
      <w:r w:rsidRPr="00C20287">
        <w:rPr>
          <w:rFonts w:eastAsiaTheme="majorEastAsia" w:cs="Arial"/>
          <w:bCs/>
          <w:color w:val="0D0D0D" w:themeColor="text1" w:themeTint="F2"/>
          <w:sz w:val="24"/>
          <w:szCs w:val="24"/>
        </w:rPr>
        <w:t>and optimise access at an affordable cost, keeping in mind the importance of effectively managing public monies.</w:t>
      </w:r>
    </w:p>
    <w:p w14:paraId="285E02CD" w14:textId="051DD990" w:rsidR="00C21200" w:rsidRPr="00C20287" w:rsidRDefault="00C21200" w:rsidP="004334F1">
      <w:pPr>
        <w:rPr>
          <w:color w:val="0D0D0D" w:themeColor="text1" w:themeTint="F2"/>
          <w:sz w:val="24"/>
          <w:szCs w:val="24"/>
        </w:rPr>
      </w:pPr>
      <w:r w:rsidRPr="00C20287">
        <w:rPr>
          <w:color w:val="0D0D0D" w:themeColor="text1" w:themeTint="F2"/>
          <w:sz w:val="24"/>
          <w:szCs w:val="24"/>
        </w:rPr>
        <w:t>Dispensing remuneration, however, forms only part of the potential turnover achieved by pharmacy businesses and this proportion will vary from business to business. It is therefore not possible for the Department to accurately predict the viability of pharmacies based upon PBS dispensing remuneration alone</w:t>
      </w:r>
      <w:r w:rsidR="00400F66">
        <w:rPr>
          <w:color w:val="0D0D0D" w:themeColor="text1" w:themeTint="F2"/>
          <w:sz w:val="24"/>
          <w:szCs w:val="24"/>
        </w:rPr>
        <w:t>. T</w:t>
      </w:r>
      <w:r w:rsidR="004334F1">
        <w:rPr>
          <w:color w:val="0D0D0D" w:themeColor="text1" w:themeTint="F2"/>
          <w:sz w:val="24"/>
          <w:szCs w:val="24"/>
        </w:rPr>
        <w:t>his IA</w:t>
      </w:r>
      <w:r w:rsidR="004334F1" w:rsidRPr="00C20287" w:rsidDel="004334F1">
        <w:rPr>
          <w:color w:val="0D0D0D" w:themeColor="text1" w:themeTint="F2"/>
          <w:sz w:val="24"/>
          <w:szCs w:val="24"/>
        </w:rPr>
        <w:t xml:space="preserve"> </w:t>
      </w:r>
      <w:r w:rsidRPr="00C20287">
        <w:rPr>
          <w:color w:val="0D0D0D" w:themeColor="text1" w:themeTint="F2"/>
          <w:sz w:val="24"/>
          <w:szCs w:val="24"/>
        </w:rPr>
        <w:t xml:space="preserve">does not seek to quantify the level </w:t>
      </w:r>
      <w:r w:rsidR="00F67CEB">
        <w:rPr>
          <w:color w:val="0D0D0D" w:themeColor="text1" w:themeTint="F2"/>
          <w:sz w:val="24"/>
          <w:szCs w:val="24"/>
        </w:rPr>
        <w:t>of</w:t>
      </w:r>
      <w:r w:rsidRPr="00C20287">
        <w:rPr>
          <w:color w:val="0D0D0D" w:themeColor="text1" w:themeTint="F2"/>
          <w:sz w:val="24"/>
          <w:szCs w:val="24"/>
        </w:rPr>
        <w:t xml:space="preserve"> CPA remuneration which constitutes ‘viability’ for a pharmacy, either overall or in any particular set of circumstances. Nevertheless, funding under the CPA represents a key source of revenue for pharmacies and the viability of </w:t>
      </w:r>
      <w:r>
        <w:rPr>
          <w:color w:val="0D0D0D" w:themeColor="text1" w:themeTint="F2"/>
          <w:sz w:val="24"/>
          <w:szCs w:val="24"/>
        </w:rPr>
        <w:t>pharmacies</w:t>
      </w:r>
      <w:r w:rsidRPr="00C20287">
        <w:rPr>
          <w:color w:val="0D0D0D" w:themeColor="text1" w:themeTint="F2"/>
          <w:sz w:val="24"/>
          <w:szCs w:val="24"/>
        </w:rPr>
        <w:t>. It is also important</w:t>
      </w:r>
      <w:r w:rsidRPr="00C20287">
        <w:rPr>
          <w:rFonts w:eastAsiaTheme="majorEastAsia" w:cs="Arial"/>
          <w:bCs/>
          <w:color w:val="0D0D0D" w:themeColor="text1" w:themeTint="F2"/>
          <w:sz w:val="24"/>
          <w:szCs w:val="24"/>
        </w:rPr>
        <w:t xml:space="preserve"> to note that while Commonwealth remuneration is limited to PBS medicines and the </w:t>
      </w:r>
      <w:r w:rsidR="00951A96">
        <w:rPr>
          <w:rFonts w:eastAsiaTheme="majorEastAsia" w:cs="Arial"/>
          <w:bCs/>
          <w:color w:val="0D0D0D" w:themeColor="text1" w:themeTint="F2"/>
          <w:sz w:val="24"/>
          <w:szCs w:val="24"/>
        </w:rPr>
        <w:t xml:space="preserve">Commonwealth </w:t>
      </w:r>
      <w:r w:rsidRPr="00C20287">
        <w:rPr>
          <w:rFonts w:eastAsiaTheme="majorEastAsia" w:cs="Arial"/>
          <w:bCs/>
          <w:color w:val="0D0D0D" w:themeColor="text1" w:themeTint="F2"/>
          <w:sz w:val="24"/>
          <w:szCs w:val="24"/>
        </w:rPr>
        <w:t xml:space="preserve">funded pharmacy programs and services, </w:t>
      </w:r>
      <w:r>
        <w:rPr>
          <w:rFonts w:eastAsiaTheme="majorEastAsia" w:cs="Arial"/>
          <w:bCs/>
          <w:color w:val="0D0D0D" w:themeColor="text1" w:themeTint="F2"/>
          <w:sz w:val="24"/>
          <w:szCs w:val="24"/>
        </w:rPr>
        <w:t xml:space="preserve">supporting </w:t>
      </w:r>
      <w:r w:rsidRPr="00C20287">
        <w:rPr>
          <w:rFonts w:eastAsiaTheme="majorEastAsia" w:cs="Arial"/>
          <w:bCs/>
          <w:color w:val="0D0D0D" w:themeColor="text1" w:themeTint="F2"/>
          <w:sz w:val="24"/>
          <w:szCs w:val="24"/>
        </w:rPr>
        <w:t>the viability of community pharmacies also provides communities access</w:t>
      </w:r>
      <w:r>
        <w:rPr>
          <w:rFonts w:eastAsiaTheme="majorEastAsia" w:cs="Arial"/>
          <w:bCs/>
          <w:color w:val="0D0D0D" w:themeColor="text1" w:themeTint="F2"/>
          <w:sz w:val="24"/>
          <w:szCs w:val="24"/>
        </w:rPr>
        <w:t xml:space="preserve"> to</w:t>
      </w:r>
      <w:r w:rsidRPr="00C20287">
        <w:rPr>
          <w:rFonts w:eastAsiaTheme="majorEastAsia" w:cs="Arial"/>
          <w:bCs/>
          <w:color w:val="0D0D0D" w:themeColor="text1" w:themeTint="F2"/>
          <w:sz w:val="24"/>
          <w:szCs w:val="24"/>
        </w:rPr>
        <w:t xml:space="preserve"> other medicines, goods and services provided by the pharmacy</w:t>
      </w:r>
      <w:r w:rsidR="00951A96">
        <w:rPr>
          <w:rFonts w:eastAsiaTheme="majorEastAsia" w:cs="Arial"/>
          <w:bCs/>
          <w:color w:val="0D0D0D" w:themeColor="text1" w:themeTint="F2"/>
          <w:sz w:val="24"/>
          <w:szCs w:val="24"/>
        </w:rPr>
        <w:t xml:space="preserve"> not funded by the Commonwealth</w:t>
      </w:r>
      <w:r w:rsidRPr="00C20287">
        <w:rPr>
          <w:rFonts w:eastAsiaTheme="majorEastAsia" w:cs="Arial"/>
          <w:bCs/>
          <w:color w:val="0D0D0D" w:themeColor="text1" w:themeTint="F2"/>
          <w:sz w:val="24"/>
          <w:szCs w:val="24"/>
        </w:rPr>
        <w:t>.</w:t>
      </w:r>
    </w:p>
    <w:p w14:paraId="6C05B8E2" w14:textId="5DA3CC6A" w:rsidR="00A3277D" w:rsidRDefault="00813F69" w:rsidP="00EE1495">
      <w:pPr>
        <w:pStyle w:val="NormalWeb"/>
        <w:spacing w:before="0" w:beforeAutospacing="0" w:after="120" w:afterAutospacing="0" w:line="264" w:lineRule="auto"/>
        <w:rPr>
          <w:rFonts w:asciiTheme="minorHAnsi" w:eastAsiaTheme="majorEastAsia" w:hAnsiTheme="minorHAnsi" w:cstheme="minorHAnsi"/>
          <w:bCs/>
          <w:color w:val="0D0D0D" w:themeColor="text1" w:themeTint="F2"/>
          <w:lang w:eastAsia="en-US"/>
        </w:rPr>
      </w:pPr>
      <w:r>
        <w:rPr>
          <w:rFonts w:asciiTheme="minorHAnsi" w:eastAsiaTheme="majorEastAsia" w:hAnsiTheme="minorHAnsi" w:cs="Arial"/>
          <w:bCs/>
          <w:color w:val="0D0D0D" w:themeColor="text1" w:themeTint="F2"/>
          <w:lang w:eastAsia="en-US"/>
        </w:rPr>
        <w:t>Evidence indicates that dispensing revenue continues to form the largest portion of Community Pharmacy revenue (approximately 70%) and underpins the viability of most pharmacies.</w:t>
      </w:r>
      <w:r>
        <w:rPr>
          <w:rStyle w:val="FootnoteReference"/>
          <w:rFonts w:asciiTheme="minorHAnsi" w:eastAsiaTheme="majorEastAsia" w:hAnsiTheme="minorHAnsi" w:cs="Arial"/>
          <w:bCs/>
          <w:color w:val="0D0D0D" w:themeColor="text1" w:themeTint="F2"/>
          <w:lang w:eastAsia="en-US"/>
        </w:rPr>
        <w:footnoteReference w:id="40"/>
      </w:r>
      <w:r>
        <w:rPr>
          <w:rFonts w:asciiTheme="minorHAnsi" w:eastAsiaTheme="majorEastAsia" w:hAnsiTheme="minorHAnsi" w:cs="Arial"/>
          <w:bCs/>
          <w:color w:val="0D0D0D" w:themeColor="text1" w:themeTint="F2"/>
          <w:lang w:eastAsia="en-US"/>
        </w:rPr>
        <w:t xml:space="preserve"> </w:t>
      </w:r>
      <w:r w:rsidRPr="002024FA">
        <w:rPr>
          <w:rFonts w:asciiTheme="minorHAnsi" w:eastAsiaTheme="majorEastAsia" w:hAnsiTheme="minorHAnsi" w:cs="Arial"/>
          <w:bCs/>
          <w:color w:val="0D0D0D" w:themeColor="text1" w:themeTint="F2"/>
          <w:lang w:eastAsia="en-US"/>
        </w:rPr>
        <w:t>In addition to PBS prescription medicines, certain types of medicines and other health care products are</w:t>
      </w:r>
      <w:r>
        <w:rPr>
          <w:rFonts w:asciiTheme="minorHAnsi" w:eastAsiaTheme="majorEastAsia" w:hAnsiTheme="minorHAnsi" w:cs="Arial"/>
          <w:bCs/>
          <w:color w:val="0D0D0D" w:themeColor="text1" w:themeTint="F2"/>
          <w:lang w:eastAsia="en-US"/>
        </w:rPr>
        <w:t xml:space="preserve"> however</w:t>
      </w:r>
      <w:r w:rsidRPr="002024FA">
        <w:rPr>
          <w:rFonts w:asciiTheme="minorHAnsi" w:eastAsiaTheme="majorEastAsia" w:hAnsiTheme="minorHAnsi" w:cs="Arial"/>
          <w:bCs/>
          <w:color w:val="0D0D0D" w:themeColor="text1" w:themeTint="F2"/>
          <w:lang w:eastAsia="en-US"/>
        </w:rPr>
        <w:t xml:space="preserve"> generally available from community pharmacies, without a prescription</w:t>
      </w:r>
      <w:r>
        <w:rPr>
          <w:rFonts w:asciiTheme="minorHAnsi" w:eastAsiaTheme="majorEastAsia" w:hAnsiTheme="minorHAnsi" w:cs="Arial"/>
          <w:bCs/>
          <w:color w:val="0D0D0D" w:themeColor="text1" w:themeTint="F2"/>
          <w:lang w:eastAsia="en-US"/>
        </w:rPr>
        <w:t>, providing additional revenue</w:t>
      </w:r>
      <w:r w:rsidRPr="002024FA">
        <w:rPr>
          <w:rFonts w:asciiTheme="minorHAnsi" w:eastAsiaTheme="majorEastAsia" w:hAnsiTheme="minorHAnsi" w:cs="Arial"/>
          <w:bCs/>
          <w:color w:val="0D0D0D" w:themeColor="text1" w:themeTint="F2"/>
          <w:lang w:eastAsia="en-US"/>
        </w:rPr>
        <w:t xml:space="preserve">. </w:t>
      </w:r>
      <w:r w:rsidR="00A3277D" w:rsidRPr="007E2696">
        <w:rPr>
          <w:rFonts w:asciiTheme="minorHAnsi" w:eastAsiaTheme="majorEastAsia" w:hAnsiTheme="minorHAnsi" w:cs="Arial"/>
          <w:bCs/>
          <w:color w:val="0D0D0D" w:themeColor="text1" w:themeTint="F2"/>
          <w:lang w:eastAsia="en-US"/>
        </w:rPr>
        <w:t>An</w:t>
      </w:r>
      <w:r w:rsidR="007E2696" w:rsidRPr="007E2696">
        <w:rPr>
          <w:rFonts w:asciiTheme="minorHAnsi" w:eastAsiaTheme="majorEastAsia" w:hAnsiTheme="minorHAnsi" w:cs="Arial"/>
          <w:bCs/>
          <w:color w:val="0D0D0D" w:themeColor="text1" w:themeTint="F2"/>
          <w:lang w:eastAsia="en-US"/>
        </w:rPr>
        <w:t xml:space="preserve"> Australian Institute of Health and Welfare (AIHW)</w:t>
      </w:r>
      <w:r w:rsidR="00A3277D" w:rsidRPr="007E2696">
        <w:rPr>
          <w:rFonts w:asciiTheme="minorHAnsi" w:eastAsiaTheme="majorEastAsia" w:hAnsiTheme="minorHAnsi" w:cs="Arial"/>
          <w:bCs/>
          <w:color w:val="0D0D0D" w:themeColor="text1" w:themeTint="F2"/>
          <w:lang w:eastAsia="en-US"/>
        </w:rPr>
        <w:t xml:space="preserve"> study found that natural health products are </w:t>
      </w:r>
      <w:r w:rsidRPr="007E2696">
        <w:rPr>
          <w:rFonts w:asciiTheme="minorHAnsi" w:eastAsiaTheme="majorEastAsia" w:hAnsiTheme="minorHAnsi" w:cs="Arial"/>
          <w:bCs/>
          <w:color w:val="0D0D0D" w:themeColor="text1" w:themeTint="F2"/>
          <w:lang w:eastAsia="en-US"/>
        </w:rPr>
        <w:t xml:space="preserve">the largest-selling </w:t>
      </w:r>
      <w:r w:rsidR="00F257FA" w:rsidRPr="007E2696">
        <w:rPr>
          <w:rFonts w:asciiTheme="minorHAnsi" w:eastAsiaTheme="majorEastAsia" w:hAnsiTheme="minorHAnsi" w:cs="Arial"/>
          <w:bCs/>
          <w:color w:val="0D0D0D" w:themeColor="text1" w:themeTint="F2"/>
          <w:lang w:eastAsia="en-US"/>
        </w:rPr>
        <w:t xml:space="preserve">over the counter </w:t>
      </w:r>
      <w:r w:rsidRPr="007E2696">
        <w:rPr>
          <w:rFonts w:asciiTheme="minorHAnsi" w:eastAsiaTheme="majorEastAsia" w:hAnsiTheme="minorHAnsi" w:cs="Arial"/>
          <w:bCs/>
          <w:color w:val="0D0D0D" w:themeColor="text1" w:themeTint="F2"/>
          <w:lang w:eastAsia="en-US"/>
        </w:rPr>
        <w:t>items</w:t>
      </w:r>
      <w:r w:rsidR="00F257FA" w:rsidRPr="007E2696">
        <w:rPr>
          <w:rFonts w:asciiTheme="minorHAnsi" w:eastAsiaTheme="majorEastAsia" w:hAnsiTheme="minorHAnsi" w:cs="Arial"/>
          <w:bCs/>
          <w:color w:val="0D0D0D" w:themeColor="text1" w:themeTint="F2"/>
          <w:lang w:eastAsia="en-US"/>
        </w:rPr>
        <w:t xml:space="preserve"> in pharmacies</w:t>
      </w:r>
      <w:r w:rsidRPr="007E2696">
        <w:rPr>
          <w:rFonts w:asciiTheme="minorHAnsi" w:eastAsiaTheme="majorEastAsia" w:hAnsiTheme="minorHAnsi" w:cs="Arial"/>
          <w:bCs/>
          <w:color w:val="0D0D0D" w:themeColor="text1" w:themeTint="F2"/>
          <w:lang w:eastAsia="en-US"/>
        </w:rPr>
        <w:t>, with an estimated expenditure</w:t>
      </w:r>
      <w:r w:rsidRPr="00131121">
        <w:rPr>
          <w:rFonts w:asciiTheme="minorHAnsi" w:eastAsiaTheme="majorEastAsia" w:hAnsiTheme="minorHAnsi" w:cstheme="minorHAnsi"/>
          <w:bCs/>
          <w:color w:val="0D0D0D" w:themeColor="text1" w:themeTint="F2"/>
          <w:lang w:eastAsia="en-US"/>
        </w:rPr>
        <w:t xml:space="preserve"> in 2019–20 of $1.7 billion. </w:t>
      </w:r>
      <w:r w:rsidR="007E2696">
        <w:rPr>
          <w:rFonts w:asciiTheme="minorHAnsi" w:eastAsiaTheme="majorEastAsia" w:hAnsiTheme="minorHAnsi" w:cstheme="minorHAnsi"/>
          <w:bCs/>
          <w:color w:val="0D0D0D" w:themeColor="text1" w:themeTint="F2"/>
          <w:lang w:eastAsia="en-US"/>
        </w:rPr>
        <w:t xml:space="preserve">Across </w:t>
      </w:r>
      <w:r w:rsidRPr="00131121">
        <w:rPr>
          <w:rFonts w:asciiTheme="minorHAnsi" w:eastAsiaTheme="majorEastAsia" w:hAnsiTheme="minorHAnsi" w:cstheme="minorHAnsi"/>
          <w:bCs/>
          <w:color w:val="0D0D0D" w:themeColor="text1" w:themeTint="F2"/>
          <w:lang w:eastAsia="en-US"/>
        </w:rPr>
        <w:t>the 15 groups of over the cou</w:t>
      </w:r>
      <w:r w:rsidR="00F257FA">
        <w:rPr>
          <w:rFonts w:asciiTheme="minorHAnsi" w:eastAsiaTheme="majorEastAsia" w:hAnsiTheme="minorHAnsi" w:cstheme="minorHAnsi"/>
          <w:bCs/>
          <w:color w:val="0D0D0D" w:themeColor="text1" w:themeTint="F2"/>
          <w:lang w:eastAsia="en-US"/>
        </w:rPr>
        <w:t xml:space="preserve">nter products analysed </w:t>
      </w:r>
      <w:r w:rsidR="00A3277D">
        <w:rPr>
          <w:rFonts w:asciiTheme="minorHAnsi" w:eastAsiaTheme="majorEastAsia" w:hAnsiTheme="minorHAnsi" w:cstheme="minorHAnsi"/>
          <w:bCs/>
          <w:color w:val="0D0D0D" w:themeColor="text1" w:themeTint="F2"/>
          <w:lang w:eastAsia="en-US"/>
        </w:rPr>
        <w:t xml:space="preserve">by the AIHW </w:t>
      </w:r>
      <w:r w:rsidR="00F257FA">
        <w:rPr>
          <w:rFonts w:asciiTheme="minorHAnsi" w:eastAsiaTheme="majorEastAsia" w:hAnsiTheme="minorHAnsi" w:cstheme="minorHAnsi"/>
          <w:bCs/>
          <w:color w:val="0D0D0D" w:themeColor="text1" w:themeTint="F2"/>
          <w:lang w:eastAsia="en-US"/>
        </w:rPr>
        <w:t>a total</w:t>
      </w:r>
      <w:r w:rsidRPr="00D05697">
        <w:rPr>
          <w:rFonts w:asciiTheme="minorHAnsi" w:eastAsiaTheme="majorEastAsia" w:hAnsiTheme="minorHAnsi" w:cstheme="minorHAnsi"/>
          <w:bCs/>
          <w:color w:val="0D0D0D" w:themeColor="text1" w:themeTint="F2"/>
          <w:lang w:eastAsia="en-US"/>
        </w:rPr>
        <w:t xml:space="preserve"> expenditure of approximately $5 billion in 2019-20 was estimated.</w:t>
      </w:r>
      <w:r w:rsidRPr="009A6045">
        <w:rPr>
          <w:rFonts w:asciiTheme="minorHAnsi" w:eastAsiaTheme="majorEastAsia" w:hAnsiTheme="minorHAnsi" w:cstheme="minorHAnsi"/>
          <w:bCs/>
          <w:color w:val="0D0D0D" w:themeColor="text1" w:themeTint="F2"/>
          <w:lang w:eastAsia="en-US"/>
        </w:rPr>
        <w:t xml:space="preserve"> Medicines </w:t>
      </w:r>
      <w:r w:rsidR="00F257FA">
        <w:rPr>
          <w:rFonts w:asciiTheme="minorHAnsi" w:eastAsiaTheme="majorEastAsia" w:hAnsiTheme="minorHAnsi" w:cstheme="minorHAnsi"/>
          <w:bCs/>
          <w:color w:val="0D0D0D" w:themeColor="text1" w:themeTint="F2"/>
          <w:lang w:eastAsia="en-US"/>
        </w:rPr>
        <w:t xml:space="preserve">that </w:t>
      </w:r>
      <w:r w:rsidR="00F257FA" w:rsidRPr="009A6045">
        <w:rPr>
          <w:rFonts w:asciiTheme="minorHAnsi" w:eastAsiaTheme="majorEastAsia" w:hAnsiTheme="minorHAnsi" w:cstheme="minorHAnsi"/>
          <w:bCs/>
          <w:color w:val="0D0D0D" w:themeColor="text1" w:themeTint="F2"/>
          <w:lang w:eastAsia="en-US"/>
        </w:rPr>
        <w:t>require a prescription but are not eligible for subsidy under the PB</w:t>
      </w:r>
      <w:r w:rsidR="00F257FA">
        <w:rPr>
          <w:rFonts w:asciiTheme="minorHAnsi" w:eastAsiaTheme="majorEastAsia" w:hAnsiTheme="minorHAnsi" w:cstheme="minorHAnsi"/>
          <w:bCs/>
          <w:color w:val="0D0D0D" w:themeColor="text1" w:themeTint="F2"/>
          <w:lang w:eastAsia="en-US"/>
        </w:rPr>
        <w:t xml:space="preserve">S, </w:t>
      </w:r>
      <w:r w:rsidR="00F257FA" w:rsidRPr="009A6045">
        <w:rPr>
          <w:rFonts w:asciiTheme="minorHAnsi" w:eastAsiaTheme="majorEastAsia" w:hAnsiTheme="minorHAnsi" w:cstheme="minorHAnsi"/>
          <w:bCs/>
          <w:color w:val="0D0D0D" w:themeColor="text1" w:themeTint="F2"/>
          <w:lang w:eastAsia="en-US"/>
        </w:rPr>
        <w:t>known as private prescriptions</w:t>
      </w:r>
      <w:r w:rsidRPr="009A6045">
        <w:rPr>
          <w:rFonts w:asciiTheme="minorHAnsi" w:eastAsiaTheme="majorEastAsia" w:hAnsiTheme="minorHAnsi" w:cstheme="minorHAnsi"/>
          <w:bCs/>
          <w:color w:val="0D0D0D" w:themeColor="text1" w:themeTint="F2"/>
          <w:lang w:eastAsia="en-US"/>
        </w:rPr>
        <w:t xml:space="preserve">, </w:t>
      </w:r>
      <w:r w:rsidR="00F257FA">
        <w:rPr>
          <w:rFonts w:asciiTheme="minorHAnsi" w:eastAsiaTheme="majorEastAsia" w:hAnsiTheme="minorHAnsi" w:cstheme="minorHAnsi"/>
          <w:bCs/>
          <w:color w:val="0D0D0D" w:themeColor="text1" w:themeTint="F2"/>
          <w:lang w:eastAsia="en-US"/>
        </w:rPr>
        <w:t xml:space="preserve">were estimated to have a further expenditure of </w:t>
      </w:r>
      <w:r w:rsidRPr="00873130">
        <w:rPr>
          <w:rFonts w:asciiTheme="minorHAnsi" w:eastAsiaTheme="majorEastAsia" w:hAnsiTheme="minorHAnsi" w:cstheme="minorHAnsi"/>
          <w:bCs/>
          <w:color w:val="0D0D0D" w:themeColor="text1" w:themeTint="F2"/>
          <w:lang w:eastAsia="en-US"/>
        </w:rPr>
        <w:t>$836.0 million</w:t>
      </w:r>
      <w:r w:rsidR="00F257FA">
        <w:rPr>
          <w:rFonts w:asciiTheme="minorHAnsi" w:eastAsiaTheme="majorEastAsia" w:hAnsiTheme="minorHAnsi" w:cstheme="minorHAnsi"/>
          <w:bCs/>
          <w:color w:val="0D0D0D" w:themeColor="text1" w:themeTint="F2"/>
          <w:lang w:eastAsia="en-US"/>
        </w:rPr>
        <w:t xml:space="preserve"> in the same year</w:t>
      </w:r>
      <w:r w:rsidRPr="00873130">
        <w:rPr>
          <w:rFonts w:asciiTheme="minorHAnsi" w:eastAsiaTheme="majorEastAsia" w:hAnsiTheme="minorHAnsi" w:cstheme="minorHAnsi"/>
          <w:bCs/>
          <w:color w:val="0D0D0D" w:themeColor="text1" w:themeTint="F2"/>
          <w:lang w:eastAsia="en-US"/>
        </w:rPr>
        <w:t>.</w:t>
      </w:r>
      <w:r w:rsidRPr="00131121">
        <w:rPr>
          <w:rStyle w:val="FootnoteReference"/>
          <w:rFonts w:asciiTheme="minorHAnsi" w:eastAsiaTheme="majorEastAsia" w:hAnsiTheme="minorHAnsi" w:cstheme="minorHAnsi"/>
          <w:bCs/>
          <w:color w:val="0D0D0D" w:themeColor="text1" w:themeTint="F2"/>
          <w:lang w:eastAsia="en-US"/>
        </w:rPr>
        <w:footnoteReference w:id="41"/>
      </w:r>
      <w:r w:rsidRPr="00131121">
        <w:rPr>
          <w:rFonts w:asciiTheme="minorHAnsi" w:eastAsiaTheme="majorEastAsia" w:hAnsiTheme="minorHAnsi" w:cstheme="minorHAnsi"/>
          <w:bCs/>
          <w:color w:val="0D0D0D" w:themeColor="text1" w:themeTint="F2"/>
          <w:lang w:eastAsia="en-US"/>
        </w:rPr>
        <w:t xml:space="preserve"> </w:t>
      </w:r>
    </w:p>
    <w:p w14:paraId="32F22DE1" w14:textId="6113CFB5" w:rsidR="00813F69" w:rsidRPr="002F3FBC" w:rsidRDefault="00813F69" w:rsidP="00EE1495">
      <w:pPr>
        <w:pStyle w:val="NormalWeb"/>
        <w:spacing w:before="0" w:beforeAutospacing="0" w:after="120" w:afterAutospacing="0" w:line="264" w:lineRule="auto"/>
        <w:rPr>
          <w:rFonts w:asciiTheme="minorHAnsi" w:eastAsiaTheme="majorEastAsia" w:hAnsiTheme="minorHAnsi" w:cstheme="minorHAnsi"/>
          <w:color w:val="0D0D0D" w:themeColor="text1" w:themeTint="F2"/>
          <w:lang w:eastAsia="en-US"/>
        </w:rPr>
      </w:pPr>
      <w:r>
        <w:rPr>
          <w:rFonts w:asciiTheme="minorHAnsi" w:eastAsiaTheme="majorEastAsia" w:hAnsiTheme="minorHAnsi" w:cstheme="minorHAnsi"/>
          <w:bCs/>
          <w:color w:val="0D0D0D" w:themeColor="text1" w:themeTint="F2"/>
          <w:lang w:eastAsia="en-US"/>
        </w:rPr>
        <w:t>T</w:t>
      </w:r>
      <w:r w:rsidRPr="00131121">
        <w:rPr>
          <w:rFonts w:asciiTheme="minorHAnsi" w:eastAsiaTheme="majorEastAsia" w:hAnsiTheme="minorHAnsi" w:cstheme="minorHAnsi"/>
          <w:bCs/>
          <w:color w:val="0D0D0D" w:themeColor="text1" w:themeTint="F2"/>
          <w:lang w:eastAsia="en-US"/>
        </w:rPr>
        <w:t xml:space="preserve">he </w:t>
      </w:r>
      <w:r w:rsidR="007E2696">
        <w:rPr>
          <w:rFonts w:asciiTheme="minorHAnsi" w:eastAsiaTheme="majorEastAsia" w:hAnsiTheme="minorHAnsi" w:cstheme="minorHAnsi"/>
          <w:bCs/>
          <w:color w:val="0D0D0D" w:themeColor="text1" w:themeTint="F2"/>
          <w:lang w:eastAsia="en-US"/>
        </w:rPr>
        <w:t>Australian Taxation Office (ATO)</w:t>
      </w:r>
      <w:r w:rsidR="007E2696" w:rsidRPr="00131121">
        <w:rPr>
          <w:rFonts w:asciiTheme="minorHAnsi" w:eastAsiaTheme="majorEastAsia" w:hAnsiTheme="minorHAnsi" w:cstheme="minorHAnsi"/>
          <w:bCs/>
          <w:color w:val="0D0D0D" w:themeColor="text1" w:themeTint="F2"/>
          <w:lang w:eastAsia="en-US"/>
        </w:rPr>
        <w:t xml:space="preserve"> </w:t>
      </w:r>
      <w:r w:rsidRPr="00131121">
        <w:rPr>
          <w:rFonts w:asciiTheme="minorHAnsi" w:eastAsiaTheme="majorEastAsia" w:hAnsiTheme="minorHAnsi" w:cstheme="minorHAnsi"/>
          <w:bCs/>
          <w:color w:val="0D0D0D" w:themeColor="text1" w:themeTint="F2"/>
          <w:lang w:eastAsia="en-US"/>
        </w:rPr>
        <w:t>performance</w:t>
      </w:r>
      <w:r w:rsidRPr="00131121">
        <w:rPr>
          <w:rFonts w:asciiTheme="minorHAnsi" w:eastAsiaTheme="majorEastAsia" w:hAnsiTheme="minorHAnsi" w:cstheme="minorHAnsi"/>
          <w:bCs/>
          <w:color w:val="0D0D0D" w:themeColor="text1" w:themeTint="F2"/>
        </w:rPr>
        <w:t xml:space="preserve"> benchmarks for pharmacy for 2020-21</w:t>
      </w:r>
      <w:r w:rsidR="005269D1">
        <w:rPr>
          <w:rFonts w:asciiTheme="minorHAnsi" w:eastAsiaTheme="majorEastAsia" w:hAnsiTheme="minorHAnsi" w:cstheme="minorHAnsi"/>
          <w:bCs/>
          <w:color w:val="0D0D0D" w:themeColor="text1" w:themeTint="F2"/>
        </w:rPr>
        <w:t xml:space="preserve"> in analysing annual turnover</w:t>
      </w:r>
      <w:r w:rsidRPr="00131121">
        <w:rPr>
          <w:rFonts w:asciiTheme="minorHAnsi" w:eastAsiaTheme="majorEastAsia" w:hAnsiTheme="minorHAnsi" w:cstheme="minorHAnsi"/>
          <w:bCs/>
          <w:color w:val="0D0D0D" w:themeColor="text1" w:themeTint="F2"/>
        </w:rPr>
        <w:t xml:space="preserve"> </w:t>
      </w:r>
      <w:r>
        <w:rPr>
          <w:rFonts w:asciiTheme="minorHAnsi" w:eastAsiaTheme="majorEastAsia" w:hAnsiTheme="minorHAnsi" w:cstheme="minorHAnsi"/>
          <w:bCs/>
          <w:color w:val="0D0D0D" w:themeColor="text1" w:themeTint="F2"/>
        </w:rPr>
        <w:t xml:space="preserve">further </w:t>
      </w:r>
      <w:r w:rsidRPr="00131121">
        <w:rPr>
          <w:rFonts w:asciiTheme="minorHAnsi" w:eastAsiaTheme="majorEastAsia" w:hAnsiTheme="minorHAnsi" w:cstheme="minorHAnsi"/>
          <w:bCs/>
          <w:color w:val="0D0D0D" w:themeColor="text1" w:themeTint="F2"/>
        </w:rPr>
        <w:t xml:space="preserve">show an average of total expenses </w:t>
      </w:r>
      <w:r w:rsidR="005269D1">
        <w:rPr>
          <w:rFonts w:asciiTheme="minorHAnsi" w:eastAsiaTheme="majorEastAsia" w:hAnsiTheme="minorHAnsi" w:cstheme="minorHAnsi"/>
          <w:bCs/>
          <w:color w:val="0D0D0D" w:themeColor="text1" w:themeTint="F2"/>
        </w:rPr>
        <w:t xml:space="preserve">in the range of </w:t>
      </w:r>
      <w:r w:rsidRPr="00131121">
        <w:rPr>
          <w:rFonts w:asciiTheme="minorHAnsi" w:eastAsiaTheme="majorEastAsia" w:hAnsiTheme="minorHAnsi" w:cstheme="minorHAnsi"/>
          <w:bCs/>
          <w:color w:val="0D0D0D" w:themeColor="text1" w:themeTint="F2"/>
        </w:rPr>
        <w:t>89-92%.</w:t>
      </w:r>
      <w:r>
        <w:rPr>
          <w:rStyle w:val="FootnoteReference"/>
          <w:rFonts w:asciiTheme="minorHAnsi" w:eastAsiaTheme="majorEastAsia" w:hAnsiTheme="minorHAnsi" w:cstheme="minorHAnsi"/>
          <w:bCs/>
          <w:color w:val="0D0D0D" w:themeColor="text1" w:themeTint="F2"/>
        </w:rPr>
        <w:footnoteReference w:id="42"/>
      </w:r>
      <w:r>
        <w:rPr>
          <w:rFonts w:asciiTheme="minorHAnsi" w:eastAsiaTheme="majorEastAsia" w:hAnsiTheme="minorHAnsi" w:cstheme="minorHAnsi"/>
          <w:bCs/>
          <w:color w:val="0D0D0D" w:themeColor="text1" w:themeTint="F2"/>
        </w:rPr>
        <w:t xml:space="preserve"> </w:t>
      </w:r>
      <w:r w:rsidR="00A3277D">
        <w:rPr>
          <w:rFonts w:asciiTheme="minorHAnsi" w:eastAsiaTheme="majorEastAsia" w:hAnsiTheme="minorHAnsi" w:cstheme="minorHAnsi"/>
          <w:bCs/>
          <w:color w:val="0D0D0D" w:themeColor="text1" w:themeTint="F2"/>
        </w:rPr>
        <w:t xml:space="preserve">It is however noted that </w:t>
      </w:r>
      <w:r w:rsidR="00A3277D">
        <w:rPr>
          <w:rFonts w:asciiTheme="minorHAnsi" w:eastAsiaTheme="majorEastAsia" w:hAnsiTheme="minorHAnsi" w:cstheme="minorHAnsi"/>
          <w:color w:val="0D0D0D" w:themeColor="text1" w:themeTint="F2"/>
          <w:lang w:eastAsia="en-US"/>
        </w:rPr>
        <w:t>c</w:t>
      </w:r>
      <w:r w:rsidRPr="002F3FBC">
        <w:rPr>
          <w:rFonts w:asciiTheme="minorHAnsi" w:eastAsiaTheme="majorEastAsia" w:hAnsiTheme="minorHAnsi" w:cstheme="minorHAnsi"/>
          <w:color w:val="0D0D0D" w:themeColor="text1" w:themeTint="F2"/>
          <w:lang w:eastAsia="en-US"/>
        </w:rPr>
        <w:t>ost structures for individual pharmacies will vary depending on size, location and business model</w:t>
      </w:r>
      <w:r>
        <w:rPr>
          <w:rFonts w:asciiTheme="minorHAnsi" w:eastAsiaTheme="majorEastAsia" w:hAnsiTheme="minorHAnsi" w:cstheme="minorHAnsi"/>
          <w:color w:val="0D0D0D" w:themeColor="text1" w:themeTint="F2"/>
          <w:lang w:eastAsia="en-US"/>
        </w:rPr>
        <w:t>.</w:t>
      </w:r>
      <w:r w:rsidRPr="002F3FBC">
        <w:rPr>
          <w:rFonts w:asciiTheme="minorHAnsi" w:eastAsiaTheme="majorEastAsia" w:hAnsiTheme="minorHAnsi" w:cstheme="minorHAnsi"/>
          <w:color w:val="0D0D0D" w:themeColor="text1" w:themeTint="F2"/>
          <w:lang w:eastAsia="en-US"/>
        </w:rPr>
        <w:t xml:space="preserve"> </w:t>
      </w:r>
      <w:r w:rsidRPr="00131121">
        <w:rPr>
          <w:rFonts w:asciiTheme="minorHAnsi" w:eastAsiaTheme="majorEastAsia" w:hAnsiTheme="minorHAnsi" w:cstheme="minorHAnsi"/>
          <w:bCs/>
          <w:color w:val="0D0D0D" w:themeColor="text1" w:themeTint="F2"/>
          <w:lang w:eastAsia="en-US"/>
        </w:rPr>
        <w:t xml:space="preserve"> </w:t>
      </w:r>
    </w:p>
    <w:p w14:paraId="5B5D5778" w14:textId="308AA822" w:rsidR="00A55CED" w:rsidRPr="008E517D" w:rsidRDefault="00622265" w:rsidP="00EE1495">
      <w:pPr>
        <w:pStyle w:val="NormalWeb"/>
        <w:shd w:val="clear" w:color="auto" w:fill="FFFFFF"/>
        <w:spacing w:before="0" w:beforeAutospacing="0" w:after="120" w:afterAutospacing="0" w:line="264" w:lineRule="auto"/>
        <w:rPr>
          <w:rFonts w:asciiTheme="minorHAnsi" w:eastAsiaTheme="majorEastAsia" w:hAnsiTheme="minorHAnsi" w:cstheme="minorHAnsi"/>
          <w:bCs/>
          <w:color w:val="0D0D0D" w:themeColor="text1" w:themeTint="F2"/>
        </w:rPr>
      </w:pPr>
      <w:r w:rsidRPr="008E517D">
        <w:rPr>
          <w:rFonts w:asciiTheme="minorHAnsi" w:eastAsiaTheme="majorEastAsia" w:hAnsiTheme="minorHAnsi" w:cstheme="minorHAnsi"/>
          <w:bCs/>
          <w:color w:val="0D0D0D" w:themeColor="text1" w:themeTint="F2"/>
        </w:rPr>
        <w:t xml:space="preserve">Since 1990, </w:t>
      </w:r>
      <w:r w:rsidR="00C56A0C" w:rsidRPr="008E517D">
        <w:rPr>
          <w:rFonts w:asciiTheme="minorHAnsi" w:eastAsiaTheme="majorEastAsia" w:hAnsiTheme="minorHAnsi" w:cstheme="minorHAnsi"/>
          <w:bCs/>
          <w:color w:val="0D0D0D" w:themeColor="text1" w:themeTint="F2"/>
        </w:rPr>
        <w:t>CPAs have</w:t>
      </w:r>
      <w:r w:rsidRPr="008E517D">
        <w:rPr>
          <w:rFonts w:asciiTheme="minorHAnsi" w:eastAsiaTheme="majorEastAsia" w:hAnsiTheme="minorHAnsi" w:cstheme="minorHAnsi"/>
          <w:bCs/>
          <w:color w:val="0D0D0D" w:themeColor="text1" w:themeTint="F2"/>
        </w:rPr>
        <w:t xml:space="preserve"> sought</w:t>
      </w:r>
      <w:r w:rsidR="00C56A0C" w:rsidRPr="008E517D">
        <w:rPr>
          <w:rFonts w:asciiTheme="minorHAnsi" w:eastAsiaTheme="majorEastAsia" w:hAnsiTheme="minorHAnsi" w:cstheme="minorHAnsi"/>
          <w:bCs/>
          <w:color w:val="0D0D0D" w:themeColor="text1" w:themeTint="F2"/>
        </w:rPr>
        <w:t xml:space="preserve"> to ensure there is a fair and equitable distribution of community pharmacies within the population to enable access to PBS medicines. </w:t>
      </w:r>
      <w:r w:rsidR="00A55CED" w:rsidRPr="008E517D">
        <w:rPr>
          <w:rFonts w:asciiTheme="minorHAnsi" w:eastAsiaTheme="majorEastAsia" w:hAnsiTheme="minorHAnsi" w:cstheme="minorHAnsi"/>
          <w:bCs/>
          <w:color w:val="0D0D0D" w:themeColor="text1" w:themeTint="F2"/>
        </w:rPr>
        <w:t>A goal</w:t>
      </w:r>
      <w:r w:rsidR="00C56A0C" w:rsidRPr="008E517D">
        <w:rPr>
          <w:rFonts w:asciiTheme="minorHAnsi" w:eastAsiaTheme="majorEastAsia" w:hAnsiTheme="minorHAnsi" w:cstheme="minorHAnsi"/>
          <w:bCs/>
          <w:color w:val="0D0D0D" w:themeColor="text1" w:themeTint="F2"/>
        </w:rPr>
        <w:t xml:space="preserve"> for Government </w:t>
      </w:r>
      <w:r w:rsidR="00A55CED" w:rsidRPr="008E517D">
        <w:rPr>
          <w:rFonts w:asciiTheme="minorHAnsi" w:eastAsiaTheme="majorEastAsia" w:hAnsiTheme="minorHAnsi" w:cstheme="minorHAnsi"/>
          <w:bCs/>
          <w:color w:val="0D0D0D" w:themeColor="text1" w:themeTint="F2"/>
        </w:rPr>
        <w:t>in</w:t>
      </w:r>
      <w:r w:rsidR="00C56A0C" w:rsidRPr="008E517D">
        <w:rPr>
          <w:rFonts w:asciiTheme="minorHAnsi" w:eastAsiaTheme="majorEastAsia" w:hAnsiTheme="minorHAnsi" w:cstheme="minorHAnsi"/>
          <w:bCs/>
          <w:color w:val="0D0D0D" w:themeColor="text1" w:themeTint="F2"/>
        </w:rPr>
        <w:t xml:space="preserve"> enter</w:t>
      </w:r>
      <w:r w:rsidR="00A55CED" w:rsidRPr="008E517D">
        <w:rPr>
          <w:rFonts w:asciiTheme="minorHAnsi" w:eastAsiaTheme="majorEastAsia" w:hAnsiTheme="minorHAnsi" w:cstheme="minorHAnsi"/>
          <w:bCs/>
          <w:color w:val="0D0D0D" w:themeColor="text1" w:themeTint="F2"/>
        </w:rPr>
        <w:t>ing</w:t>
      </w:r>
      <w:r w:rsidR="00C56A0C" w:rsidRPr="008E517D">
        <w:rPr>
          <w:rFonts w:asciiTheme="minorHAnsi" w:eastAsiaTheme="majorEastAsia" w:hAnsiTheme="minorHAnsi" w:cstheme="minorHAnsi"/>
          <w:bCs/>
          <w:color w:val="0D0D0D" w:themeColor="text1" w:themeTint="F2"/>
        </w:rPr>
        <w:t xml:space="preserve"> into a CPA in 1990 was to reduce the abundance of pharmacies that were in close proximity to each other</w:t>
      </w:r>
      <w:r w:rsidRPr="008E517D">
        <w:rPr>
          <w:rFonts w:asciiTheme="minorHAnsi" w:eastAsiaTheme="majorEastAsia" w:hAnsiTheme="minorHAnsi" w:cstheme="minorHAnsi"/>
          <w:bCs/>
          <w:color w:val="0D0D0D" w:themeColor="text1" w:themeTint="F2"/>
        </w:rPr>
        <w:t>,</w:t>
      </w:r>
      <w:r w:rsidR="00C56A0C" w:rsidRPr="008E517D">
        <w:rPr>
          <w:rFonts w:asciiTheme="minorHAnsi" w:eastAsiaTheme="majorEastAsia" w:hAnsiTheme="minorHAnsi" w:cstheme="minorHAnsi"/>
          <w:bCs/>
          <w:color w:val="0D0D0D" w:themeColor="text1" w:themeTint="F2"/>
        </w:rPr>
        <w:t xml:space="preserve"> especially in major cities. </w:t>
      </w:r>
    </w:p>
    <w:p w14:paraId="3FE8C8AE" w14:textId="5970CF37" w:rsidR="00D201FE" w:rsidRDefault="00D201FE" w:rsidP="00B4786D">
      <w:pPr>
        <w:rPr>
          <w:rFonts w:eastAsiaTheme="majorEastAsia" w:cs="Arial"/>
          <w:bCs/>
          <w:color w:val="0D0D0D" w:themeColor="text1" w:themeTint="F2"/>
          <w:sz w:val="24"/>
          <w:szCs w:val="24"/>
        </w:rPr>
      </w:pPr>
      <w:r w:rsidRPr="00295848">
        <w:rPr>
          <w:rFonts w:eastAsiaTheme="majorEastAsia" w:cstheme="minorHAnsi"/>
          <w:bCs/>
          <w:color w:val="0D0D0D" w:themeColor="text1" w:themeTint="F2"/>
          <w:sz w:val="24"/>
          <w:szCs w:val="24"/>
        </w:rPr>
        <w:t xml:space="preserve">This </w:t>
      </w:r>
      <w:r w:rsidR="00A55CED" w:rsidRPr="00295848">
        <w:rPr>
          <w:rFonts w:eastAsiaTheme="majorEastAsia" w:cstheme="minorHAnsi"/>
          <w:bCs/>
          <w:color w:val="0D0D0D" w:themeColor="text1" w:themeTint="F2"/>
          <w:sz w:val="24"/>
          <w:szCs w:val="24"/>
        </w:rPr>
        <w:t>was sought to</w:t>
      </w:r>
      <w:r w:rsidRPr="00295848">
        <w:rPr>
          <w:rFonts w:eastAsiaTheme="majorEastAsia" w:cstheme="minorHAnsi"/>
          <w:bCs/>
          <w:color w:val="0D0D0D" w:themeColor="text1" w:themeTint="F2"/>
          <w:sz w:val="24"/>
          <w:szCs w:val="24"/>
        </w:rPr>
        <w:t xml:space="preserve"> reduce the cost to Government </w:t>
      </w:r>
      <w:r w:rsidR="00A55CED" w:rsidRPr="00295848">
        <w:rPr>
          <w:rFonts w:eastAsiaTheme="majorEastAsia" w:cstheme="minorHAnsi"/>
          <w:bCs/>
          <w:color w:val="0D0D0D" w:themeColor="text1" w:themeTint="F2"/>
          <w:sz w:val="24"/>
          <w:szCs w:val="24"/>
        </w:rPr>
        <w:t xml:space="preserve">of </w:t>
      </w:r>
      <w:r w:rsidRPr="00295848">
        <w:rPr>
          <w:rFonts w:eastAsiaTheme="majorEastAsia" w:cstheme="minorHAnsi"/>
          <w:bCs/>
          <w:color w:val="0D0D0D" w:themeColor="text1" w:themeTint="F2"/>
          <w:sz w:val="24"/>
          <w:szCs w:val="24"/>
        </w:rPr>
        <w:t>supporting</w:t>
      </w:r>
      <w:r w:rsidR="00A55CED" w:rsidRPr="00295848">
        <w:rPr>
          <w:rFonts w:eastAsiaTheme="majorEastAsia" w:cstheme="minorHAnsi"/>
          <w:bCs/>
          <w:color w:val="0D0D0D" w:themeColor="text1" w:themeTint="F2"/>
          <w:sz w:val="24"/>
          <w:szCs w:val="24"/>
        </w:rPr>
        <w:t xml:space="preserve"> viability of</w:t>
      </w:r>
      <w:r w:rsidRPr="00295848">
        <w:rPr>
          <w:rFonts w:eastAsiaTheme="majorEastAsia" w:cstheme="minorHAnsi"/>
          <w:bCs/>
          <w:color w:val="0D0D0D" w:themeColor="text1" w:themeTint="F2"/>
          <w:sz w:val="24"/>
          <w:szCs w:val="24"/>
        </w:rPr>
        <w:t xml:space="preserve"> all pharmacies</w:t>
      </w:r>
      <w:r w:rsidR="00214DDC" w:rsidRPr="00295848">
        <w:rPr>
          <w:rFonts w:eastAsiaTheme="majorEastAsia" w:cstheme="minorHAnsi"/>
          <w:bCs/>
          <w:color w:val="0D0D0D" w:themeColor="text1" w:themeTint="F2"/>
          <w:sz w:val="24"/>
          <w:szCs w:val="24"/>
        </w:rPr>
        <w:t>,</w:t>
      </w:r>
      <w:r w:rsidRPr="00295848">
        <w:rPr>
          <w:rFonts w:eastAsiaTheme="majorEastAsia" w:cstheme="minorHAnsi"/>
          <w:bCs/>
          <w:color w:val="0D0D0D" w:themeColor="text1" w:themeTint="F2"/>
          <w:sz w:val="24"/>
          <w:szCs w:val="24"/>
        </w:rPr>
        <w:t xml:space="preserve"> through </w:t>
      </w:r>
      <w:r w:rsidR="00214DDC" w:rsidRPr="004973C0">
        <w:rPr>
          <w:rFonts w:eastAsiaTheme="majorEastAsia" w:cstheme="minorHAnsi"/>
          <w:bCs/>
          <w:color w:val="0D0D0D" w:themeColor="text1" w:themeTint="F2"/>
          <w:sz w:val="24"/>
          <w:szCs w:val="24"/>
        </w:rPr>
        <w:t xml:space="preserve">achieving </w:t>
      </w:r>
      <w:r w:rsidRPr="004973C0">
        <w:rPr>
          <w:rFonts w:eastAsiaTheme="majorEastAsia" w:cstheme="minorHAnsi"/>
          <w:bCs/>
          <w:color w:val="0D0D0D" w:themeColor="text1" w:themeTint="F2"/>
          <w:sz w:val="24"/>
          <w:szCs w:val="24"/>
        </w:rPr>
        <w:t>econom</w:t>
      </w:r>
      <w:r w:rsidR="00A56B81" w:rsidRPr="004973C0">
        <w:rPr>
          <w:rFonts w:eastAsiaTheme="majorEastAsia" w:cstheme="minorHAnsi"/>
          <w:bCs/>
          <w:color w:val="0D0D0D" w:themeColor="text1" w:themeTint="F2"/>
          <w:sz w:val="24"/>
          <w:szCs w:val="24"/>
        </w:rPr>
        <w:t>ies</w:t>
      </w:r>
      <w:r w:rsidRPr="004973C0">
        <w:rPr>
          <w:rFonts w:eastAsiaTheme="majorEastAsia" w:cstheme="minorHAnsi"/>
          <w:bCs/>
          <w:color w:val="0D0D0D" w:themeColor="text1" w:themeTint="F2"/>
          <w:sz w:val="24"/>
          <w:szCs w:val="24"/>
        </w:rPr>
        <w:t xml:space="preserve"> of scale. </w:t>
      </w:r>
      <w:r w:rsidR="00C56A0C" w:rsidRPr="00F72ECB">
        <w:rPr>
          <w:rFonts w:eastAsiaTheme="majorEastAsia" w:cstheme="minorHAnsi"/>
          <w:bCs/>
          <w:color w:val="0D0D0D" w:themeColor="text1" w:themeTint="F2"/>
          <w:sz w:val="24"/>
          <w:szCs w:val="24"/>
        </w:rPr>
        <w:t>The number of approved pharmacies declined from 5,569 in 1989 to 4,958 in 1995</w:t>
      </w:r>
      <w:r w:rsidR="00A55CED" w:rsidRPr="008E517D">
        <w:rPr>
          <w:rFonts w:eastAsiaTheme="majorEastAsia" w:cstheme="minorHAnsi"/>
          <w:bCs/>
          <w:color w:val="0D0D0D" w:themeColor="text1" w:themeTint="F2"/>
          <w:sz w:val="24"/>
          <w:szCs w:val="24"/>
        </w:rPr>
        <w:t>,</w:t>
      </w:r>
      <w:r w:rsidR="00C56A0C" w:rsidRPr="008E517D">
        <w:rPr>
          <w:rFonts w:eastAsiaTheme="majorEastAsia" w:cstheme="minorHAnsi"/>
          <w:bCs/>
          <w:color w:val="0D0D0D" w:themeColor="text1" w:themeTint="F2"/>
          <w:sz w:val="24"/>
          <w:szCs w:val="24"/>
        </w:rPr>
        <w:t xml:space="preserve"> and stabilised</w:t>
      </w:r>
      <w:r w:rsidR="00C56A0C" w:rsidRPr="00C20287">
        <w:rPr>
          <w:rFonts w:eastAsiaTheme="majorEastAsia" w:cs="Arial"/>
          <w:bCs/>
          <w:color w:val="0D0D0D" w:themeColor="text1" w:themeTint="F2"/>
          <w:sz w:val="24"/>
          <w:szCs w:val="24"/>
        </w:rPr>
        <w:t xml:space="preserve"> around that level with 4,941 in 1996 and </w:t>
      </w:r>
      <w:r w:rsidR="00C56A0C" w:rsidRPr="00C20287">
        <w:rPr>
          <w:rFonts w:eastAsiaTheme="majorEastAsia" w:cs="Arial"/>
          <w:bCs/>
          <w:color w:val="0D0D0D" w:themeColor="text1" w:themeTint="F2"/>
          <w:sz w:val="24"/>
          <w:szCs w:val="24"/>
        </w:rPr>
        <w:lastRenderedPageBreak/>
        <w:t>4,951 in 1997.</w:t>
      </w:r>
      <w:r w:rsidR="00C56A0C" w:rsidRPr="00C20287">
        <w:rPr>
          <w:rStyle w:val="FootnoteReference"/>
          <w:rFonts w:eastAsiaTheme="majorEastAsia" w:cs="Arial"/>
          <w:bCs/>
          <w:color w:val="0D0D0D" w:themeColor="text1" w:themeTint="F2"/>
          <w:sz w:val="24"/>
          <w:szCs w:val="24"/>
        </w:rPr>
        <w:footnoteReference w:id="43"/>
      </w:r>
      <w:r w:rsidR="00C56A0C" w:rsidRPr="00C20287">
        <w:rPr>
          <w:rFonts w:eastAsiaTheme="majorEastAsia" w:cs="Arial"/>
          <w:bCs/>
          <w:color w:val="0D0D0D" w:themeColor="text1" w:themeTint="F2"/>
          <w:sz w:val="24"/>
          <w:szCs w:val="24"/>
        </w:rPr>
        <w:t xml:space="preserve"> The reduction in pharmacies allowed the remaining pharmacies to be </w:t>
      </w:r>
      <w:r w:rsidR="005269D1">
        <w:rPr>
          <w:rFonts w:eastAsiaTheme="majorEastAsia" w:cs="Arial"/>
          <w:bCs/>
          <w:color w:val="0D0D0D" w:themeColor="text1" w:themeTint="F2"/>
          <w:sz w:val="24"/>
          <w:szCs w:val="24"/>
        </w:rPr>
        <w:t xml:space="preserve">more </w:t>
      </w:r>
      <w:r w:rsidR="00C56A0C" w:rsidRPr="00C20287">
        <w:rPr>
          <w:rFonts w:eastAsiaTheme="majorEastAsia" w:cs="Arial"/>
          <w:bCs/>
          <w:color w:val="0D0D0D" w:themeColor="text1" w:themeTint="F2"/>
          <w:sz w:val="24"/>
          <w:szCs w:val="24"/>
        </w:rPr>
        <w:t>viable with a lower per unit dispensing cost</w:t>
      </w:r>
      <w:r w:rsidRPr="00C20287">
        <w:rPr>
          <w:rFonts w:eastAsiaTheme="majorEastAsia" w:cs="Arial"/>
          <w:bCs/>
          <w:color w:val="0D0D0D" w:themeColor="text1" w:themeTint="F2"/>
          <w:sz w:val="24"/>
          <w:szCs w:val="24"/>
        </w:rPr>
        <w:t xml:space="preserve"> as outlined in the agreement</w:t>
      </w:r>
      <w:r w:rsidR="00214DDC" w:rsidRPr="00C20287">
        <w:rPr>
          <w:rFonts w:eastAsiaTheme="majorEastAsia" w:cs="Arial"/>
          <w:bCs/>
          <w:color w:val="0D0D0D" w:themeColor="text1" w:themeTint="F2"/>
          <w:sz w:val="24"/>
          <w:szCs w:val="24"/>
        </w:rPr>
        <w:t>,</w:t>
      </w:r>
      <w:r w:rsidR="00A55CED" w:rsidRPr="00C20287">
        <w:rPr>
          <w:rFonts w:eastAsiaTheme="majorEastAsia" w:cs="Arial"/>
          <w:bCs/>
          <w:color w:val="0D0D0D" w:themeColor="text1" w:themeTint="F2"/>
          <w:sz w:val="24"/>
          <w:szCs w:val="24"/>
        </w:rPr>
        <w:t xml:space="preserve"> due to a likely increase in script volume per pharmacy</w:t>
      </w:r>
      <w:r w:rsidR="00C56A0C" w:rsidRPr="00C20287">
        <w:rPr>
          <w:rFonts w:eastAsiaTheme="majorEastAsia" w:cs="Arial"/>
          <w:bCs/>
          <w:color w:val="0D0D0D" w:themeColor="text1" w:themeTint="F2"/>
          <w:sz w:val="24"/>
          <w:szCs w:val="24"/>
        </w:rPr>
        <w:t>.</w:t>
      </w:r>
      <w:r w:rsidR="00C56A0C" w:rsidRPr="00C20287">
        <w:rPr>
          <w:rStyle w:val="FootnoteReference"/>
          <w:rFonts w:eastAsiaTheme="majorEastAsia" w:cs="Arial"/>
          <w:bCs/>
          <w:color w:val="0D0D0D" w:themeColor="text1" w:themeTint="F2"/>
          <w:sz w:val="24"/>
          <w:szCs w:val="24"/>
        </w:rPr>
        <w:footnoteReference w:id="44"/>
      </w:r>
      <w:r w:rsidRPr="00C20287">
        <w:rPr>
          <w:rFonts w:eastAsiaTheme="majorEastAsia" w:cs="Arial"/>
          <w:bCs/>
          <w:color w:val="0D0D0D" w:themeColor="text1" w:themeTint="F2"/>
          <w:sz w:val="24"/>
          <w:szCs w:val="24"/>
        </w:rPr>
        <w:t xml:space="preserve"> </w:t>
      </w:r>
      <w:r w:rsidR="006670F9" w:rsidRPr="00C20287">
        <w:rPr>
          <w:rFonts w:eastAsiaTheme="majorEastAsia" w:cs="Arial"/>
          <w:bCs/>
          <w:color w:val="0D0D0D" w:themeColor="text1" w:themeTint="F2"/>
          <w:sz w:val="24"/>
          <w:szCs w:val="24"/>
        </w:rPr>
        <w:t>Over the last 30+ years, there has been a steady increase in the total number of pharmacies</w:t>
      </w:r>
      <w:r w:rsidR="00B4786D">
        <w:rPr>
          <w:rFonts w:eastAsiaTheme="majorEastAsia" w:cs="Arial"/>
          <w:bCs/>
          <w:color w:val="0D0D0D" w:themeColor="text1" w:themeTint="F2"/>
          <w:sz w:val="24"/>
          <w:szCs w:val="24"/>
        </w:rPr>
        <w:t xml:space="preserve"> as the population has grown</w:t>
      </w:r>
      <w:r w:rsidR="006670F9" w:rsidRPr="00C20287">
        <w:rPr>
          <w:rFonts w:eastAsiaTheme="majorEastAsia" w:cs="Arial"/>
          <w:bCs/>
          <w:color w:val="0D0D0D" w:themeColor="text1" w:themeTint="F2"/>
          <w:sz w:val="24"/>
          <w:szCs w:val="24"/>
        </w:rPr>
        <w:t xml:space="preserve">. </w:t>
      </w:r>
      <w:r w:rsidR="00A55CED" w:rsidRPr="00C20287">
        <w:rPr>
          <w:rFonts w:eastAsiaTheme="majorEastAsia" w:cs="Arial"/>
          <w:bCs/>
          <w:color w:val="0D0D0D" w:themeColor="text1" w:themeTint="F2"/>
          <w:sz w:val="24"/>
          <w:szCs w:val="24"/>
        </w:rPr>
        <w:t xml:space="preserve">As at end of June 2023, there </w:t>
      </w:r>
      <w:r w:rsidR="00F67CEB">
        <w:rPr>
          <w:rFonts w:eastAsiaTheme="majorEastAsia" w:cs="Arial"/>
          <w:bCs/>
          <w:color w:val="0D0D0D" w:themeColor="text1" w:themeTint="F2"/>
          <w:sz w:val="24"/>
          <w:szCs w:val="24"/>
        </w:rPr>
        <w:t>we</w:t>
      </w:r>
      <w:r w:rsidR="00A55CED" w:rsidRPr="00C20287">
        <w:rPr>
          <w:rFonts w:eastAsiaTheme="majorEastAsia" w:cs="Arial"/>
          <w:bCs/>
          <w:color w:val="0D0D0D" w:themeColor="text1" w:themeTint="F2"/>
          <w:sz w:val="24"/>
          <w:szCs w:val="24"/>
        </w:rPr>
        <w:t>re 5,935 approved community pharmacies in Australia</w:t>
      </w:r>
      <w:r w:rsidR="006670F9" w:rsidRPr="00C20287">
        <w:rPr>
          <w:rFonts w:eastAsiaTheme="majorEastAsia" w:cs="Arial"/>
          <w:bCs/>
          <w:color w:val="0D0D0D" w:themeColor="text1" w:themeTint="F2"/>
          <w:sz w:val="24"/>
          <w:szCs w:val="24"/>
        </w:rPr>
        <w:t xml:space="preserve">. This continued growth </w:t>
      </w:r>
      <w:r w:rsidR="00B4786D">
        <w:rPr>
          <w:rFonts w:eastAsiaTheme="majorEastAsia" w:cs="Arial"/>
          <w:bCs/>
          <w:color w:val="0D0D0D" w:themeColor="text1" w:themeTint="F2"/>
          <w:sz w:val="24"/>
          <w:szCs w:val="24"/>
        </w:rPr>
        <w:t xml:space="preserve">is a further indicator of a strong </w:t>
      </w:r>
      <w:r w:rsidR="006670F9" w:rsidRPr="00C20287">
        <w:rPr>
          <w:rFonts w:eastAsiaTheme="majorEastAsia" w:cs="Arial"/>
          <w:bCs/>
          <w:color w:val="0D0D0D" w:themeColor="text1" w:themeTint="F2"/>
          <w:sz w:val="24"/>
          <w:szCs w:val="24"/>
        </w:rPr>
        <w:t>community pharmacy sector</w:t>
      </w:r>
      <w:r w:rsidR="00B4786D">
        <w:rPr>
          <w:rFonts w:eastAsiaTheme="majorEastAsia" w:cs="Arial"/>
          <w:bCs/>
          <w:color w:val="0D0D0D" w:themeColor="text1" w:themeTint="F2"/>
          <w:sz w:val="24"/>
          <w:szCs w:val="24"/>
        </w:rPr>
        <w:t>. T</w:t>
      </w:r>
      <w:r w:rsidR="00612A9F">
        <w:rPr>
          <w:rFonts w:eastAsiaTheme="majorEastAsia" w:cs="Arial"/>
          <w:bCs/>
          <w:color w:val="0D0D0D" w:themeColor="text1" w:themeTint="F2"/>
          <w:sz w:val="24"/>
          <w:szCs w:val="24"/>
        </w:rPr>
        <w:t>he number of pharmacies</w:t>
      </w:r>
      <w:r w:rsidR="003F4855">
        <w:rPr>
          <w:rFonts w:eastAsiaTheme="majorEastAsia" w:cs="Arial"/>
          <w:bCs/>
          <w:color w:val="0D0D0D" w:themeColor="text1" w:themeTint="F2"/>
          <w:sz w:val="24"/>
          <w:szCs w:val="24"/>
        </w:rPr>
        <w:t xml:space="preserve"> </w:t>
      </w:r>
      <w:r w:rsidR="00612A9F">
        <w:rPr>
          <w:rFonts w:eastAsiaTheme="majorEastAsia" w:cs="Arial"/>
          <w:bCs/>
          <w:color w:val="0D0D0D" w:themeColor="text1" w:themeTint="F2"/>
          <w:sz w:val="24"/>
          <w:szCs w:val="24"/>
        </w:rPr>
        <w:t>fr</w:t>
      </w:r>
      <w:r w:rsidR="003F4855">
        <w:rPr>
          <w:rFonts w:eastAsiaTheme="majorEastAsia" w:cs="Arial"/>
          <w:bCs/>
          <w:color w:val="0D0D0D" w:themeColor="text1" w:themeTint="F2"/>
          <w:sz w:val="24"/>
          <w:szCs w:val="24"/>
        </w:rPr>
        <w:t>o</w:t>
      </w:r>
      <w:r w:rsidR="00612A9F">
        <w:rPr>
          <w:rFonts w:eastAsiaTheme="majorEastAsia" w:cs="Arial"/>
          <w:bCs/>
          <w:color w:val="0D0D0D" w:themeColor="text1" w:themeTint="F2"/>
          <w:sz w:val="24"/>
          <w:szCs w:val="24"/>
        </w:rPr>
        <w:t xml:space="preserve">m 1995 </w:t>
      </w:r>
      <w:r w:rsidR="00B4786D">
        <w:rPr>
          <w:rFonts w:eastAsiaTheme="majorEastAsia" w:cs="Arial"/>
          <w:bCs/>
          <w:color w:val="0D0D0D" w:themeColor="text1" w:themeTint="F2"/>
          <w:sz w:val="24"/>
          <w:szCs w:val="24"/>
        </w:rPr>
        <w:t xml:space="preserve">increased </w:t>
      </w:r>
      <w:r w:rsidR="00612A9F">
        <w:rPr>
          <w:rFonts w:eastAsiaTheme="majorEastAsia" w:cs="Arial"/>
          <w:bCs/>
          <w:color w:val="0D0D0D" w:themeColor="text1" w:themeTint="F2"/>
          <w:sz w:val="24"/>
          <w:szCs w:val="24"/>
        </w:rPr>
        <w:t>by 16% while the Australian population in the same time period increas</w:t>
      </w:r>
      <w:r w:rsidR="00B4786D">
        <w:rPr>
          <w:rFonts w:eastAsiaTheme="majorEastAsia" w:cs="Arial"/>
          <w:bCs/>
          <w:color w:val="0D0D0D" w:themeColor="text1" w:themeTint="F2"/>
          <w:sz w:val="24"/>
          <w:szCs w:val="24"/>
        </w:rPr>
        <w:t>ed</w:t>
      </w:r>
      <w:r w:rsidR="00612A9F">
        <w:rPr>
          <w:rFonts w:eastAsiaTheme="majorEastAsia" w:cs="Arial"/>
          <w:bCs/>
          <w:color w:val="0D0D0D" w:themeColor="text1" w:themeTint="F2"/>
          <w:sz w:val="24"/>
          <w:szCs w:val="24"/>
        </w:rPr>
        <w:t xml:space="preserve"> by 32%</w:t>
      </w:r>
      <w:r w:rsidR="00B4786D">
        <w:rPr>
          <w:rFonts w:eastAsiaTheme="majorEastAsia" w:cs="Arial"/>
          <w:bCs/>
          <w:color w:val="0D0D0D" w:themeColor="text1" w:themeTint="F2"/>
          <w:sz w:val="24"/>
          <w:szCs w:val="24"/>
        </w:rPr>
        <w:t>.</w:t>
      </w:r>
      <w:r w:rsidR="00612A9F">
        <w:rPr>
          <w:rStyle w:val="FootnoteReference"/>
          <w:rFonts w:eastAsiaTheme="majorEastAsia" w:cs="Arial"/>
          <w:bCs/>
          <w:color w:val="0D0D0D" w:themeColor="text1" w:themeTint="F2"/>
          <w:sz w:val="24"/>
          <w:szCs w:val="24"/>
        </w:rPr>
        <w:footnoteReference w:id="45"/>
      </w:r>
      <w:r w:rsidR="00612A9F">
        <w:rPr>
          <w:rFonts w:eastAsiaTheme="majorEastAsia" w:cs="Arial"/>
          <w:bCs/>
          <w:color w:val="0D0D0D" w:themeColor="text1" w:themeTint="F2"/>
          <w:sz w:val="24"/>
          <w:szCs w:val="24"/>
        </w:rPr>
        <w:t xml:space="preserve"> </w:t>
      </w:r>
    </w:p>
    <w:p w14:paraId="11D79DE9" w14:textId="77777777" w:rsidR="00DC3A41" w:rsidRDefault="00A55CED" w:rsidP="002F0779">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While</w:t>
      </w:r>
      <w:r w:rsidR="00B77D8D" w:rsidRPr="00C20287">
        <w:rPr>
          <w:rFonts w:eastAsiaTheme="majorEastAsia" w:cs="Arial"/>
          <w:bCs/>
          <w:color w:val="0D0D0D" w:themeColor="text1" w:themeTint="F2"/>
          <w:sz w:val="24"/>
          <w:szCs w:val="24"/>
        </w:rPr>
        <w:t xml:space="preserve"> the original intent of consolidating suburban community pharmacies to reduce oversupply of pharmacies in major cities</w:t>
      </w:r>
      <w:r w:rsidRPr="00C20287">
        <w:rPr>
          <w:rFonts w:eastAsiaTheme="majorEastAsia" w:cs="Arial"/>
          <w:bCs/>
          <w:color w:val="0D0D0D" w:themeColor="text1" w:themeTint="F2"/>
          <w:sz w:val="24"/>
          <w:szCs w:val="24"/>
        </w:rPr>
        <w:t xml:space="preserve"> may have anecdotally been achieved across the early years of the 1CPA,</w:t>
      </w:r>
      <w:r w:rsidR="00B77D8D" w:rsidRPr="00C20287">
        <w:rPr>
          <w:rFonts w:eastAsiaTheme="majorEastAsia" w:cs="Arial"/>
          <w:bCs/>
          <w:color w:val="0D0D0D" w:themeColor="text1" w:themeTint="F2"/>
          <w:sz w:val="24"/>
          <w:szCs w:val="24"/>
        </w:rPr>
        <w:t xml:space="preserve"> there is no quantitative evidence available to definitely determine if </w:t>
      </w:r>
      <w:r w:rsidR="00214DDC" w:rsidRPr="00C20287">
        <w:rPr>
          <w:rFonts w:eastAsiaTheme="majorEastAsia" w:cs="Arial"/>
          <w:bCs/>
          <w:color w:val="0D0D0D" w:themeColor="text1" w:themeTint="F2"/>
          <w:sz w:val="24"/>
          <w:szCs w:val="24"/>
        </w:rPr>
        <w:t xml:space="preserve">this </w:t>
      </w:r>
      <w:r w:rsidR="00BA17C1" w:rsidRPr="00C20287">
        <w:rPr>
          <w:rFonts w:eastAsiaTheme="majorEastAsia" w:cs="Arial"/>
          <w:bCs/>
          <w:color w:val="0D0D0D" w:themeColor="text1" w:themeTint="F2"/>
          <w:sz w:val="24"/>
          <w:szCs w:val="24"/>
        </w:rPr>
        <w:t>realign</w:t>
      </w:r>
      <w:r w:rsidR="00214DDC" w:rsidRPr="00C20287">
        <w:rPr>
          <w:rFonts w:eastAsiaTheme="majorEastAsia" w:cs="Arial"/>
          <w:bCs/>
          <w:color w:val="0D0D0D" w:themeColor="text1" w:themeTint="F2"/>
          <w:sz w:val="24"/>
          <w:szCs w:val="24"/>
        </w:rPr>
        <w:t>ment</w:t>
      </w:r>
      <w:r w:rsidR="00BA17C1" w:rsidRPr="00C20287">
        <w:rPr>
          <w:rFonts w:eastAsiaTheme="majorEastAsia" w:cs="Arial"/>
          <w:bCs/>
          <w:color w:val="0D0D0D" w:themeColor="text1" w:themeTint="F2"/>
          <w:sz w:val="24"/>
          <w:szCs w:val="24"/>
        </w:rPr>
        <w:t xml:space="preserve"> of </w:t>
      </w:r>
      <w:r w:rsidR="00B77D8D" w:rsidRPr="00C20287">
        <w:rPr>
          <w:rFonts w:eastAsiaTheme="majorEastAsia" w:cs="Arial"/>
          <w:bCs/>
          <w:color w:val="0D0D0D" w:themeColor="text1" w:themeTint="F2"/>
          <w:sz w:val="24"/>
          <w:szCs w:val="24"/>
        </w:rPr>
        <w:t>pharmacies ha</w:t>
      </w:r>
      <w:r w:rsidR="00AD67B9" w:rsidRPr="00C20287">
        <w:rPr>
          <w:rFonts w:eastAsiaTheme="majorEastAsia" w:cs="Arial"/>
          <w:bCs/>
          <w:color w:val="0D0D0D" w:themeColor="text1" w:themeTint="F2"/>
          <w:sz w:val="24"/>
          <w:szCs w:val="24"/>
        </w:rPr>
        <w:t>s</w:t>
      </w:r>
      <w:r w:rsidR="00B77D8D" w:rsidRPr="00C20287">
        <w:rPr>
          <w:rFonts w:eastAsiaTheme="majorEastAsia" w:cs="Arial"/>
          <w:bCs/>
          <w:color w:val="0D0D0D" w:themeColor="text1" w:themeTint="F2"/>
          <w:sz w:val="24"/>
          <w:szCs w:val="24"/>
        </w:rPr>
        <w:t xml:space="preserve"> ensured equitable access for the public to PBS medicines. </w:t>
      </w:r>
    </w:p>
    <w:p w14:paraId="599103D3" w14:textId="2F337979" w:rsidR="001B288F" w:rsidRPr="00C20287" w:rsidRDefault="00036FFD" w:rsidP="002F0779">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A</w:t>
      </w:r>
      <w:r w:rsidR="001D3FAD">
        <w:rPr>
          <w:rFonts w:eastAsiaTheme="majorEastAsia" w:cs="Arial"/>
          <w:bCs/>
          <w:color w:val="0D0D0D" w:themeColor="text1" w:themeTint="F2"/>
          <w:sz w:val="24"/>
          <w:szCs w:val="24"/>
        </w:rPr>
        <w:t xml:space="preserve"> further</w:t>
      </w:r>
      <w:r w:rsidRPr="00C20287">
        <w:rPr>
          <w:rFonts w:eastAsiaTheme="majorEastAsia" w:cs="Arial"/>
          <w:bCs/>
          <w:color w:val="0D0D0D" w:themeColor="text1" w:themeTint="F2"/>
          <w:sz w:val="24"/>
          <w:szCs w:val="24"/>
        </w:rPr>
        <w:t xml:space="preserve"> purpose for subsequent CPAs has been to </w:t>
      </w:r>
      <w:r w:rsidR="00775A57" w:rsidRPr="00C20287">
        <w:rPr>
          <w:rFonts w:eastAsiaTheme="majorEastAsia" w:cs="Arial"/>
          <w:bCs/>
          <w:color w:val="0D0D0D" w:themeColor="text1" w:themeTint="F2"/>
          <w:sz w:val="24"/>
          <w:szCs w:val="24"/>
        </w:rPr>
        <w:t>maximise</w:t>
      </w:r>
      <w:r w:rsidRPr="00C20287">
        <w:rPr>
          <w:rFonts w:eastAsiaTheme="majorEastAsia" w:cs="Arial"/>
          <w:bCs/>
          <w:color w:val="0D0D0D" w:themeColor="text1" w:themeTint="F2"/>
          <w:sz w:val="24"/>
          <w:szCs w:val="24"/>
        </w:rPr>
        <w:t xml:space="preserve"> </w:t>
      </w:r>
      <w:r w:rsidR="000E6871" w:rsidRPr="00C20287">
        <w:rPr>
          <w:rFonts w:eastAsiaTheme="majorEastAsia" w:cs="Arial"/>
          <w:bCs/>
          <w:color w:val="0D0D0D" w:themeColor="text1" w:themeTint="F2"/>
          <w:sz w:val="24"/>
          <w:szCs w:val="24"/>
        </w:rPr>
        <w:t xml:space="preserve">timely and affordable </w:t>
      </w:r>
      <w:r w:rsidRPr="00C20287">
        <w:rPr>
          <w:rFonts w:eastAsiaTheme="majorEastAsia" w:cs="Arial"/>
          <w:bCs/>
          <w:color w:val="0D0D0D" w:themeColor="text1" w:themeTint="F2"/>
          <w:sz w:val="24"/>
          <w:szCs w:val="24"/>
        </w:rPr>
        <w:t xml:space="preserve">access to medicines </w:t>
      </w:r>
      <w:r w:rsidR="000E6871" w:rsidRPr="00C20287">
        <w:rPr>
          <w:rFonts w:eastAsiaTheme="majorEastAsia" w:cs="Arial"/>
          <w:bCs/>
          <w:color w:val="0D0D0D" w:themeColor="text1" w:themeTint="F2"/>
          <w:sz w:val="24"/>
          <w:szCs w:val="24"/>
        </w:rPr>
        <w:t xml:space="preserve">and pharmacy services </w:t>
      </w:r>
      <w:r w:rsidRPr="00C20287">
        <w:rPr>
          <w:rFonts w:eastAsiaTheme="majorEastAsia" w:cs="Arial"/>
          <w:bCs/>
          <w:color w:val="0D0D0D" w:themeColor="text1" w:themeTint="F2"/>
          <w:sz w:val="24"/>
          <w:szCs w:val="24"/>
        </w:rPr>
        <w:t xml:space="preserve">in </w:t>
      </w:r>
      <w:r w:rsidR="00B77D8D" w:rsidRPr="00C20287">
        <w:rPr>
          <w:rFonts w:eastAsiaTheme="majorEastAsia" w:cs="Arial"/>
          <w:bCs/>
          <w:color w:val="0D0D0D" w:themeColor="text1" w:themeTint="F2"/>
          <w:sz w:val="24"/>
          <w:szCs w:val="24"/>
        </w:rPr>
        <w:t>rural and remote regions where dispersed population</w:t>
      </w:r>
      <w:r w:rsidR="003A3007">
        <w:rPr>
          <w:rFonts w:eastAsiaTheme="majorEastAsia" w:cs="Arial"/>
          <w:bCs/>
          <w:color w:val="0D0D0D" w:themeColor="text1" w:themeTint="F2"/>
          <w:sz w:val="24"/>
          <w:szCs w:val="24"/>
        </w:rPr>
        <w:t xml:space="preserve"> may</w:t>
      </w:r>
      <w:r w:rsidR="00B77D8D" w:rsidRPr="00C20287">
        <w:rPr>
          <w:rFonts w:eastAsiaTheme="majorEastAsia" w:cs="Arial"/>
          <w:bCs/>
          <w:color w:val="0D0D0D" w:themeColor="text1" w:themeTint="F2"/>
          <w:sz w:val="24"/>
          <w:szCs w:val="24"/>
        </w:rPr>
        <w:t xml:space="preserve"> lessen the opportunities for pharmacies to profit from other activities outside of dispensing revenue. </w:t>
      </w:r>
      <w:r w:rsidR="00A55CED" w:rsidRPr="00C20287">
        <w:rPr>
          <w:rFonts w:eastAsiaTheme="majorEastAsia" w:cs="Arial"/>
          <w:bCs/>
          <w:color w:val="0D0D0D" w:themeColor="text1" w:themeTint="F2"/>
          <w:sz w:val="24"/>
          <w:szCs w:val="24"/>
        </w:rPr>
        <w:t xml:space="preserve">The </w:t>
      </w:r>
      <w:r w:rsidR="002A4E5E" w:rsidRPr="00C20287">
        <w:rPr>
          <w:rFonts w:eastAsiaTheme="majorEastAsia" w:cs="Arial"/>
          <w:bCs/>
          <w:color w:val="0D0D0D" w:themeColor="text1" w:themeTint="F2"/>
          <w:sz w:val="24"/>
          <w:szCs w:val="24"/>
        </w:rPr>
        <w:t xml:space="preserve">ongoing </w:t>
      </w:r>
      <w:r w:rsidR="00A55CED" w:rsidRPr="00C20287">
        <w:rPr>
          <w:rFonts w:eastAsiaTheme="majorEastAsia" w:cs="Arial"/>
          <w:bCs/>
          <w:color w:val="0D0D0D" w:themeColor="text1" w:themeTint="F2"/>
          <w:sz w:val="24"/>
          <w:szCs w:val="24"/>
        </w:rPr>
        <w:t xml:space="preserve">viability of community pharmacies is vital to ensure that </w:t>
      </w:r>
      <w:r w:rsidRPr="00C20287">
        <w:rPr>
          <w:rFonts w:eastAsiaTheme="majorEastAsia" w:cs="Arial"/>
          <w:bCs/>
          <w:color w:val="0D0D0D" w:themeColor="text1" w:themeTint="F2"/>
          <w:sz w:val="24"/>
          <w:szCs w:val="24"/>
        </w:rPr>
        <w:t xml:space="preserve">timely </w:t>
      </w:r>
      <w:r w:rsidR="00A55CED" w:rsidRPr="00C20287">
        <w:rPr>
          <w:rFonts w:eastAsiaTheme="majorEastAsia" w:cs="Arial"/>
          <w:bCs/>
          <w:color w:val="0D0D0D" w:themeColor="text1" w:themeTint="F2"/>
          <w:sz w:val="24"/>
          <w:szCs w:val="24"/>
        </w:rPr>
        <w:t xml:space="preserve">access to medicines </w:t>
      </w:r>
      <w:r w:rsidRPr="00C20287">
        <w:rPr>
          <w:rFonts w:eastAsiaTheme="majorEastAsia" w:cs="Arial"/>
          <w:bCs/>
          <w:color w:val="0D0D0D" w:themeColor="text1" w:themeTint="F2"/>
          <w:sz w:val="24"/>
          <w:szCs w:val="24"/>
        </w:rPr>
        <w:t>is possible in all communities across Australia</w:t>
      </w:r>
      <w:r w:rsidR="0024227F">
        <w:rPr>
          <w:rFonts w:eastAsiaTheme="majorEastAsia" w:cs="Arial"/>
          <w:bCs/>
          <w:color w:val="0D0D0D" w:themeColor="text1" w:themeTint="F2"/>
          <w:sz w:val="24"/>
          <w:szCs w:val="24"/>
        </w:rPr>
        <w:t xml:space="preserve"> and existing data</w:t>
      </w:r>
      <w:r w:rsidR="006130C6">
        <w:rPr>
          <w:rFonts w:eastAsiaTheme="majorEastAsia" w:cs="Arial"/>
          <w:bCs/>
          <w:color w:val="0D0D0D" w:themeColor="text1" w:themeTint="F2"/>
          <w:sz w:val="24"/>
          <w:szCs w:val="24"/>
        </w:rPr>
        <w:t xml:space="preserve"> on the number of </w:t>
      </w:r>
      <w:r w:rsidR="006130C6" w:rsidRPr="006130C6">
        <w:rPr>
          <w:rFonts w:eastAsiaTheme="majorEastAsia" w:cs="Arial"/>
          <w:bCs/>
          <w:color w:val="0D0D0D" w:themeColor="text1" w:themeTint="F2"/>
          <w:sz w:val="24"/>
          <w:szCs w:val="24"/>
        </w:rPr>
        <w:t>PBS approved pharmacies (see table</w:t>
      </w:r>
      <w:r w:rsidR="00AB253D">
        <w:rPr>
          <w:rFonts w:eastAsiaTheme="majorEastAsia" w:cs="Arial"/>
          <w:bCs/>
          <w:color w:val="0D0D0D" w:themeColor="text1" w:themeTint="F2"/>
          <w:sz w:val="24"/>
          <w:szCs w:val="24"/>
        </w:rPr>
        <w:t xml:space="preserve">s 4 and </w:t>
      </w:r>
      <w:r w:rsidR="006130C6" w:rsidRPr="006130C6">
        <w:rPr>
          <w:rFonts w:eastAsiaTheme="majorEastAsia" w:cs="Arial"/>
          <w:bCs/>
          <w:color w:val="0D0D0D" w:themeColor="text1" w:themeTint="F2"/>
          <w:sz w:val="24"/>
          <w:szCs w:val="24"/>
        </w:rPr>
        <w:t>6)</w:t>
      </w:r>
      <w:r w:rsidR="0024227F">
        <w:rPr>
          <w:rFonts w:eastAsiaTheme="majorEastAsia" w:cs="Arial"/>
          <w:bCs/>
          <w:color w:val="0D0D0D" w:themeColor="text1" w:themeTint="F2"/>
          <w:sz w:val="24"/>
          <w:szCs w:val="24"/>
        </w:rPr>
        <w:t xml:space="preserve"> suggest that current mechanisms</w:t>
      </w:r>
      <w:r w:rsidR="00DC3A41">
        <w:rPr>
          <w:rFonts w:eastAsiaTheme="majorEastAsia" w:cs="Arial"/>
          <w:bCs/>
          <w:color w:val="0D0D0D" w:themeColor="text1" w:themeTint="F2"/>
          <w:sz w:val="24"/>
          <w:szCs w:val="24"/>
        </w:rPr>
        <w:t xml:space="preserve"> of Government intervention</w:t>
      </w:r>
      <w:r w:rsidR="0024227F">
        <w:rPr>
          <w:rFonts w:eastAsiaTheme="majorEastAsia" w:cs="Arial"/>
          <w:bCs/>
          <w:color w:val="0D0D0D" w:themeColor="text1" w:themeTint="F2"/>
          <w:sz w:val="24"/>
          <w:szCs w:val="24"/>
        </w:rPr>
        <w:t xml:space="preserve">, including the 7CPA, have been effective in </w:t>
      </w:r>
      <w:r w:rsidR="002D7086">
        <w:rPr>
          <w:rFonts w:eastAsiaTheme="majorEastAsia" w:cs="Arial"/>
          <w:bCs/>
          <w:color w:val="0D0D0D" w:themeColor="text1" w:themeTint="F2"/>
          <w:sz w:val="24"/>
          <w:szCs w:val="24"/>
        </w:rPr>
        <w:t xml:space="preserve">supporting </w:t>
      </w:r>
      <w:r w:rsidR="0024227F">
        <w:rPr>
          <w:rFonts w:eastAsiaTheme="majorEastAsia" w:cs="Arial"/>
          <w:bCs/>
          <w:color w:val="0D0D0D" w:themeColor="text1" w:themeTint="F2"/>
          <w:sz w:val="24"/>
          <w:szCs w:val="24"/>
        </w:rPr>
        <w:t>both viability and distribution</w:t>
      </w:r>
      <w:r w:rsidR="00A55CED" w:rsidRPr="00C20287">
        <w:rPr>
          <w:rFonts w:eastAsiaTheme="majorEastAsia" w:cs="Arial"/>
          <w:bCs/>
          <w:color w:val="0D0D0D" w:themeColor="text1" w:themeTint="F2"/>
          <w:sz w:val="24"/>
          <w:szCs w:val="24"/>
        </w:rPr>
        <w:t>.</w:t>
      </w:r>
      <w:r w:rsidRPr="00C20287">
        <w:rPr>
          <w:rFonts w:eastAsiaTheme="majorEastAsia" w:cs="Arial"/>
          <w:bCs/>
          <w:color w:val="0D0D0D" w:themeColor="text1" w:themeTint="F2"/>
          <w:sz w:val="24"/>
          <w:szCs w:val="24"/>
        </w:rPr>
        <w:t xml:space="preserve"> </w:t>
      </w:r>
    </w:p>
    <w:p w14:paraId="499318A2" w14:textId="64C7DC30" w:rsidR="00813F69" w:rsidRPr="00C20287" w:rsidRDefault="00813F69" w:rsidP="00813F69">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Australia</w:t>
      </w:r>
      <w:r w:rsidR="002D7086">
        <w:rPr>
          <w:rFonts w:eastAsiaTheme="majorEastAsia" w:cs="Arial"/>
          <w:bCs/>
          <w:color w:val="0D0D0D" w:themeColor="text1" w:themeTint="F2"/>
          <w:sz w:val="24"/>
          <w:szCs w:val="24"/>
        </w:rPr>
        <w:t xml:space="preserve"> has a </w:t>
      </w:r>
      <w:r w:rsidRPr="00C20287">
        <w:rPr>
          <w:rFonts w:eastAsiaTheme="majorEastAsia" w:cs="Arial"/>
          <w:bCs/>
          <w:color w:val="0D0D0D" w:themeColor="text1" w:themeTint="F2"/>
          <w:sz w:val="24"/>
          <w:szCs w:val="24"/>
        </w:rPr>
        <w:t xml:space="preserve">geographically dispersed population with around 7 million people, or </w:t>
      </w:r>
      <w:r w:rsidR="0028439C">
        <w:rPr>
          <w:rFonts w:eastAsiaTheme="majorEastAsia" w:cs="Arial"/>
          <w:bCs/>
          <w:color w:val="0D0D0D" w:themeColor="text1" w:themeTint="F2"/>
          <w:sz w:val="24"/>
          <w:szCs w:val="24"/>
        </w:rPr>
        <w:t>around 3</w:t>
      </w:r>
      <w:r w:rsidR="0057540F">
        <w:rPr>
          <w:rFonts w:eastAsiaTheme="majorEastAsia" w:cs="Arial"/>
          <w:bCs/>
          <w:color w:val="0D0D0D" w:themeColor="text1" w:themeTint="F2"/>
          <w:sz w:val="24"/>
          <w:szCs w:val="24"/>
        </w:rPr>
        <w:t>0</w:t>
      </w:r>
      <w:r w:rsidRPr="00C20287">
        <w:rPr>
          <w:rFonts w:eastAsiaTheme="majorEastAsia" w:cs="Arial"/>
          <w:bCs/>
          <w:color w:val="0D0D0D" w:themeColor="text1" w:themeTint="F2"/>
          <w:sz w:val="24"/>
          <w:szCs w:val="24"/>
        </w:rPr>
        <w:t xml:space="preserve">% of the Australian population living in rural and remote </w:t>
      </w:r>
      <w:r w:rsidRPr="00A04A93">
        <w:rPr>
          <w:rFonts w:eastAsiaTheme="majorEastAsia" w:cs="Arial"/>
          <w:bCs/>
          <w:color w:val="0D0D0D" w:themeColor="text1" w:themeTint="F2"/>
          <w:sz w:val="24"/>
          <w:szCs w:val="24"/>
        </w:rPr>
        <w:t>areas (see</w:t>
      </w:r>
      <w:r w:rsidR="00A04A93" w:rsidRPr="00A04A93">
        <w:rPr>
          <w:rFonts w:eastAsiaTheme="majorEastAsia" w:cs="Arial"/>
          <w:bCs/>
          <w:color w:val="0D0D0D" w:themeColor="text1" w:themeTint="F2"/>
          <w:sz w:val="24"/>
          <w:szCs w:val="24"/>
        </w:rPr>
        <w:t xml:space="preserve"> </w:t>
      </w:r>
      <w:r w:rsidR="00A04A93" w:rsidRPr="00F76C0B">
        <w:rPr>
          <w:rFonts w:eastAsiaTheme="majorEastAsia" w:cs="Arial"/>
          <w:bCs/>
          <w:color w:val="0D0D0D" w:themeColor="text1" w:themeTint="F2"/>
          <w:sz w:val="24"/>
          <w:szCs w:val="24"/>
        </w:rPr>
        <w:fldChar w:fldCharType="begin"/>
      </w:r>
      <w:r w:rsidR="00A04A93" w:rsidRPr="00A04A93">
        <w:rPr>
          <w:rFonts w:eastAsiaTheme="majorEastAsia" w:cs="Arial"/>
          <w:bCs/>
          <w:color w:val="0D0D0D" w:themeColor="text1" w:themeTint="F2"/>
          <w:sz w:val="24"/>
          <w:szCs w:val="24"/>
        </w:rPr>
        <w:instrText xml:space="preserve"> REF _Ref155777041 \h </w:instrText>
      </w:r>
      <w:r w:rsidR="00A04A93">
        <w:rPr>
          <w:rFonts w:eastAsiaTheme="majorEastAsia" w:cs="Arial"/>
          <w:bCs/>
          <w:color w:val="0D0D0D" w:themeColor="text1" w:themeTint="F2"/>
          <w:sz w:val="24"/>
          <w:szCs w:val="24"/>
        </w:rPr>
        <w:instrText xml:space="preserve"> \* MERGEFORMAT </w:instrText>
      </w:r>
      <w:r w:rsidR="00A04A93" w:rsidRPr="00F76C0B">
        <w:rPr>
          <w:rFonts w:eastAsiaTheme="majorEastAsia" w:cs="Arial"/>
          <w:bCs/>
          <w:color w:val="0D0D0D" w:themeColor="text1" w:themeTint="F2"/>
          <w:sz w:val="24"/>
          <w:szCs w:val="24"/>
        </w:rPr>
      </w:r>
      <w:r w:rsidR="00A04A93" w:rsidRPr="00F76C0B">
        <w:rPr>
          <w:rFonts w:eastAsiaTheme="majorEastAsia" w:cs="Arial"/>
          <w:bCs/>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4</w:t>
      </w:r>
      <w:r w:rsidR="00A04A93" w:rsidRPr="00F76C0B">
        <w:rPr>
          <w:rFonts w:eastAsiaTheme="majorEastAsia" w:cs="Arial"/>
          <w:bCs/>
          <w:color w:val="0D0D0D" w:themeColor="text1" w:themeTint="F2"/>
          <w:sz w:val="24"/>
          <w:szCs w:val="24"/>
        </w:rPr>
        <w:fldChar w:fldCharType="end"/>
      </w:r>
      <w:r w:rsidRPr="00A04A93">
        <w:rPr>
          <w:rFonts w:eastAsiaTheme="majorEastAsia" w:cs="Arial"/>
          <w:bCs/>
          <w:color w:val="0D0D0D" w:themeColor="text1" w:themeTint="F2"/>
          <w:sz w:val="24"/>
          <w:szCs w:val="24"/>
        </w:rPr>
        <w:t xml:space="preserve"> for</w:t>
      </w:r>
      <w:r w:rsidR="005269D1">
        <w:rPr>
          <w:rFonts w:eastAsiaTheme="majorEastAsia" w:cs="Arial"/>
          <w:bCs/>
          <w:color w:val="0D0D0D" w:themeColor="text1" w:themeTint="F2"/>
          <w:sz w:val="24"/>
          <w:szCs w:val="24"/>
        </w:rPr>
        <w:t xml:space="preserve"> a</w:t>
      </w:r>
      <w:r w:rsidRPr="00A04A93">
        <w:rPr>
          <w:rFonts w:eastAsiaTheme="majorEastAsia" w:cs="Arial"/>
          <w:bCs/>
          <w:color w:val="0D0D0D" w:themeColor="text1" w:themeTint="F2"/>
          <w:sz w:val="24"/>
          <w:szCs w:val="24"/>
        </w:rPr>
        <w:t xml:space="preserve"> further</w:t>
      </w:r>
      <w:r w:rsidRPr="00C20287">
        <w:rPr>
          <w:rFonts w:eastAsiaTheme="majorEastAsia" w:cs="Arial"/>
          <w:bCs/>
          <w:color w:val="0D0D0D" w:themeColor="text1" w:themeTint="F2"/>
          <w:sz w:val="24"/>
          <w:szCs w:val="24"/>
        </w:rPr>
        <w:t xml:space="preserve"> breakdown of population distribution). Australia’s existing community pharmacy network continues to serve as the access system for PBS medicines in the community, with pharmaceutical wholesale distributors supporting the supply chain for this network. Mechanisms</w:t>
      </w:r>
      <w:r w:rsidR="0028439C">
        <w:rPr>
          <w:rFonts w:eastAsiaTheme="majorEastAsia" w:cs="Arial"/>
          <w:bCs/>
          <w:color w:val="0D0D0D" w:themeColor="text1" w:themeTint="F2"/>
          <w:sz w:val="24"/>
          <w:szCs w:val="24"/>
        </w:rPr>
        <w:t>,</w:t>
      </w:r>
      <w:r w:rsidRPr="00C20287">
        <w:rPr>
          <w:rFonts w:eastAsiaTheme="majorEastAsia" w:cs="Arial"/>
          <w:bCs/>
          <w:color w:val="0D0D0D" w:themeColor="text1" w:themeTint="F2"/>
          <w:sz w:val="24"/>
          <w:szCs w:val="24"/>
        </w:rPr>
        <w:t xml:space="preserve"> </w:t>
      </w:r>
      <w:r w:rsidR="0028439C">
        <w:rPr>
          <w:rFonts w:eastAsiaTheme="majorEastAsia" w:cs="Arial"/>
          <w:bCs/>
          <w:color w:val="0D0D0D" w:themeColor="text1" w:themeTint="F2"/>
          <w:sz w:val="24"/>
          <w:szCs w:val="24"/>
        </w:rPr>
        <w:t xml:space="preserve">such as the Community Service Obligation </w:t>
      </w:r>
      <w:r w:rsidR="00635030">
        <w:rPr>
          <w:rFonts w:eastAsiaTheme="majorEastAsia" w:cs="Arial"/>
          <w:bCs/>
          <w:color w:val="0D0D0D" w:themeColor="text1" w:themeTint="F2"/>
          <w:sz w:val="24"/>
          <w:szCs w:val="24"/>
        </w:rPr>
        <w:t>(CSO) F</w:t>
      </w:r>
      <w:r w:rsidR="0028439C">
        <w:rPr>
          <w:rFonts w:eastAsiaTheme="majorEastAsia" w:cs="Arial"/>
          <w:bCs/>
          <w:color w:val="0D0D0D" w:themeColor="text1" w:themeTint="F2"/>
          <w:sz w:val="24"/>
          <w:szCs w:val="24"/>
        </w:rPr>
        <w:t xml:space="preserve">unding </w:t>
      </w:r>
      <w:r w:rsidR="00635030">
        <w:rPr>
          <w:rFonts w:eastAsiaTheme="majorEastAsia" w:cs="Arial"/>
          <w:bCs/>
          <w:color w:val="0D0D0D" w:themeColor="text1" w:themeTint="F2"/>
          <w:sz w:val="24"/>
          <w:szCs w:val="24"/>
        </w:rPr>
        <w:t>P</w:t>
      </w:r>
      <w:r w:rsidR="0028439C">
        <w:rPr>
          <w:rFonts w:eastAsiaTheme="majorEastAsia" w:cs="Arial"/>
          <w:bCs/>
          <w:color w:val="0D0D0D" w:themeColor="text1" w:themeTint="F2"/>
          <w:sz w:val="24"/>
          <w:szCs w:val="24"/>
        </w:rPr>
        <w:t xml:space="preserve">ool, </w:t>
      </w:r>
      <w:r w:rsidRPr="00C20287">
        <w:rPr>
          <w:rFonts w:eastAsiaTheme="majorEastAsia" w:cs="Arial"/>
          <w:bCs/>
          <w:color w:val="0D0D0D" w:themeColor="text1" w:themeTint="F2"/>
          <w:sz w:val="24"/>
          <w:szCs w:val="24"/>
        </w:rPr>
        <w:t>are also in place to ensure that patients seeking access to medicines at pharmacies, even in the remotest areas, are assured of receiving medicines within reasonable timeframes.</w:t>
      </w:r>
    </w:p>
    <w:p w14:paraId="10E84272" w14:textId="6E5DB025" w:rsidR="007F1E0A" w:rsidRDefault="00472FF0" w:rsidP="000A5E7B">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 xml:space="preserve">The distribution of pharmacies to ensure equitable access is particularly important in rural and remote regions. A surrogate marker of </w:t>
      </w:r>
      <w:r w:rsidR="009323C8" w:rsidRPr="00C20287">
        <w:rPr>
          <w:rFonts w:eastAsiaTheme="majorEastAsia" w:cs="Arial"/>
          <w:bCs/>
          <w:color w:val="0D0D0D" w:themeColor="text1" w:themeTint="F2"/>
          <w:sz w:val="24"/>
          <w:szCs w:val="24"/>
        </w:rPr>
        <w:t xml:space="preserve">remoteness </w:t>
      </w:r>
      <w:r w:rsidRPr="00C20287">
        <w:rPr>
          <w:rFonts w:eastAsiaTheme="majorEastAsia" w:cs="Arial"/>
          <w:bCs/>
          <w:color w:val="0D0D0D" w:themeColor="text1" w:themeTint="F2"/>
          <w:sz w:val="24"/>
          <w:szCs w:val="24"/>
        </w:rPr>
        <w:t xml:space="preserve">is the Modified Monash </w:t>
      </w:r>
      <w:r w:rsidR="000A5E7B" w:rsidRPr="00C20287">
        <w:rPr>
          <w:rFonts w:eastAsiaTheme="majorEastAsia" w:cs="Arial"/>
          <w:bCs/>
          <w:color w:val="0D0D0D" w:themeColor="text1" w:themeTint="F2"/>
          <w:sz w:val="24"/>
          <w:szCs w:val="24"/>
        </w:rPr>
        <w:t xml:space="preserve">Model (MMM). </w:t>
      </w:r>
      <w:r w:rsidR="001E5F0C" w:rsidRPr="001E5F0C">
        <w:rPr>
          <w:rFonts w:eastAsiaTheme="majorEastAsia" w:cs="Arial"/>
          <w:bCs/>
          <w:color w:val="0D0D0D" w:themeColor="text1" w:themeTint="F2"/>
          <w:sz w:val="24"/>
          <w:szCs w:val="24"/>
        </w:rPr>
        <w:t>MMM classifications are based on the Australian Statistical Geography Standard – Remoteness Areas (ASGS-RA) framework, although ‘modified’ to include an overlay of town size, reflecting extensive research that the size of towns, as well as their geographic remoteness, impacts on the ability to attract and retain providers of health services.</w:t>
      </w:r>
      <w:r w:rsidR="001E5F0C">
        <w:rPr>
          <w:rFonts w:eastAsiaTheme="majorEastAsia" w:cs="Arial"/>
          <w:bCs/>
          <w:color w:val="0D0D0D" w:themeColor="text1" w:themeTint="F2"/>
          <w:sz w:val="24"/>
          <w:szCs w:val="24"/>
        </w:rPr>
        <w:t xml:space="preserve"> </w:t>
      </w:r>
      <w:r w:rsidR="000A5E7B" w:rsidRPr="00C20287">
        <w:rPr>
          <w:rFonts w:eastAsiaTheme="majorEastAsia" w:cs="Arial"/>
          <w:bCs/>
          <w:color w:val="0D0D0D" w:themeColor="text1" w:themeTint="F2"/>
          <w:sz w:val="24"/>
          <w:szCs w:val="24"/>
        </w:rPr>
        <w:t xml:space="preserve">The model measures remoteness and population size on a scale of Modified Monash (MM) </w:t>
      </w:r>
      <w:r w:rsidR="000A5E7B" w:rsidRPr="00C20287">
        <w:rPr>
          <w:rFonts w:eastAsiaTheme="majorEastAsia" w:cs="Arial"/>
          <w:bCs/>
          <w:color w:val="0D0D0D" w:themeColor="text1" w:themeTint="F2"/>
          <w:sz w:val="24"/>
          <w:szCs w:val="24"/>
        </w:rPr>
        <w:lastRenderedPageBreak/>
        <w:t>categories MM 1 to MM</w:t>
      </w:r>
      <w:r w:rsidR="009323C8" w:rsidRPr="00C20287">
        <w:rPr>
          <w:rFonts w:eastAsiaTheme="majorEastAsia" w:cs="Arial"/>
          <w:bCs/>
          <w:color w:val="0D0D0D" w:themeColor="text1" w:themeTint="F2"/>
          <w:sz w:val="24"/>
          <w:szCs w:val="24"/>
        </w:rPr>
        <w:t> </w:t>
      </w:r>
      <w:r w:rsidR="000A5E7B" w:rsidRPr="00C20287">
        <w:rPr>
          <w:rFonts w:eastAsiaTheme="majorEastAsia" w:cs="Arial"/>
          <w:bCs/>
          <w:color w:val="0D0D0D" w:themeColor="text1" w:themeTint="F2"/>
          <w:sz w:val="24"/>
          <w:szCs w:val="24"/>
        </w:rPr>
        <w:t xml:space="preserve">7. MM 1 is a major city and MM 7 is very remote as defined </w:t>
      </w:r>
      <w:r w:rsidR="000A5E7B" w:rsidRPr="00A04A93">
        <w:rPr>
          <w:rFonts w:eastAsiaTheme="majorEastAsia" w:cs="Arial"/>
          <w:bCs/>
          <w:color w:val="0D0D0D" w:themeColor="text1" w:themeTint="F2"/>
          <w:sz w:val="24"/>
          <w:szCs w:val="24"/>
        </w:rPr>
        <w:t xml:space="preserve">in </w:t>
      </w:r>
      <w:r w:rsidR="00A04A93" w:rsidRPr="00F76C0B">
        <w:rPr>
          <w:rFonts w:eastAsiaTheme="majorEastAsia" w:cs="Arial"/>
          <w:bCs/>
          <w:color w:val="0D0D0D" w:themeColor="text1" w:themeTint="F2"/>
          <w:sz w:val="24"/>
          <w:szCs w:val="24"/>
        </w:rPr>
        <w:fldChar w:fldCharType="begin"/>
      </w:r>
      <w:r w:rsidR="00A04A93" w:rsidRPr="00A04A93">
        <w:rPr>
          <w:rFonts w:eastAsiaTheme="majorEastAsia" w:cs="Arial"/>
          <w:bCs/>
          <w:color w:val="0D0D0D" w:themeColor="text1" w:themeTint="F2"/>
          <w:sz w:val="24"/>
          <w:szCs w:val="24"/>
        </w:rPr>
        <w:instrText xml:space="preserve"> REF _Ref155777041 \h </w:instrText>
      </w:r>
      <w:r w:rsidR="00A04A93">
        <w:rPr>
          <w:rFonts w:eastAsiaTheme="majorEastAsia" w:cs="Arial"/>
          <w:bCs/>
          <w:color w:val="0D0D0D" w:themeColor="text1" w:themeTint="F2"/>
          <w:sz w:val="24"/>
          <w:szCs w:val="24"/>
        </w:rPr>
        <w:instrText xml:space="preserve"> \* MERGEFORMAT </w:instrText>
      </w:r>
      <w:r w:rsidR="00A04A93" w:rsidRPr="00F76C0B">
        <w:rPr>
          <w:rFonts w:eastAsiaTheme="majorEastAsia" w:cs="Arial"/>
          <w:bCs/>
          <w:color w:val="0D0D0D" w:themeColor="text1" w:themeTint="F2"/>
          <w:sz w:val="24"/>
          <w:szCs w:val="24"/>
        </w:rPr>
      </w:r>
      <w:r w:rsidR="00A04A93" w:rsidRPr="00F76C0B">
        <w:rPr>
          <w:rFonts w:eastAsiaTheme="majorEastAsia" w:cs="Arial"/>
          <w:bCs/>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4</w:t>
      </w:r>
      <w:r w:rsidR="00A04A93" w:rsidRPr="00F76C0B">
        <w:rPr>
          <w:rFonts w:eastAsiaTheme="majorEastAsia" w:cs="Arial"/>
          <w:bCs/>
          <w:color w:val="0D0D0D" w:themeColor="text1" w:themeTint="F2"/>
          <w:sz w:val="24"/>
          <w:szCs w:val="24"/>
        </w:rPr>
        <w:fldChar w:fldCharType="end"/>
      </w:r>
      <w:r w:rsidR="000A5E7B" w:rsidRPr="00C20287">
        <w:rPr>
          <w:rFonts w:eastAsiaTheme="majorEastAsia" w:cs="Arial"/>
          <w:bCs/>
          <w:color w:val="0D0D0D" w:themeColor="text1" w:themeTint="F2"/>
          <w:sz w:val="24"/>
          <w:szCs w:val="24"/>
        </w:rPr>
        <w:t xml:space="preserve"> below</w:t>
      </w:r>
      <w:r w:rsidR="00190EEC" w:rsidRPr="00C20287">
        <w:rPr>
          <w:rFonts w:eastAsiaTheme="majorEastAsia" w:cs="Arial"/>
          <w:bCs/>
          <w:color w:val="0D0D0D" w:themeColor="text1" w:themeTint="F2"/>
          <w:sz w:val="24"/>
          <w:szCs w:val="24"/>
        </w:rPr>
        <w:t xml:space="preserve">. </w:t>
      </w:r>
    </w:p>
    <w:p w14:paraId="45BCB0C4" w14:textId="07D9899D" w:rsidR="00E2171E" w:rsidRDefault="00A04A93" w:rsidP="000A5E7B">
      <w:pPr>
        <w:rPr>
          <w:rFonts w:eastAsiaTheme="majorEastAsia" w:cs="Arial"/>
          <w:bCs/>
          <w:color w:val="0D0D0D" w:themeColor="text1" w:themeTint="F2"/>
          <w:sz w:val="24"/>
          <w:szCs w:val="24"/>
        </w:rPr>
      </w:pPr>
      <w:r w:rsidRPr="00F76C0B">
        <w:rPr>
          <w:rFonts w:eastAsiaTheme="majorEastAsia" w:cs="Arial"/>
          <w:bCs/>
          <w:color w:val="0D0D0D" w:themeColor="text1" w:themeTint="F2"/>
          <w:sz w:val="24"/>
          <w:szCs w:val="24"/>
        </w:rPr>
        <w:fldChar w:fldCharType="begin"/>
      </w:r>
      <w:r w:rsidRPr="00A04A93">
        <w:rPr>
          <w:rFonts w:eastAsiaTheme="majorEastAsia" w:cs="Arial"/>
          <w:bCs/>
          <w:color w:val="0D0D0D" w:themeColor="text1" w:themeTint="F2"/>
          <w:sz w:val="24"/>
          <w:szCs w:val="24"/>
        </w:rPr>
        <w:instrText xml:space="preserve"> REF _Ref155777041 \h </w:instrText>
      </w:r>
      <w:r>
        <w:rPr>
          <w:rFonts w:eastAsiaTheme="majorEastAsia" w:cs="Arial"/>
          <w:bCs/>
          <w:color w:val="0D0D0D" w:themeColor="text1" w:themeTint="F2"/>
          <w:sz w:val="24"/>
          <w:szCs w:val="24"/>
        </w:rPr>
        <w:instrText xml:space="preserve"> \* MERGEFORMAT </w:instrText>
      </w:r>
      <w:r w:rsidRPr="00F76C0B">
        <w:rPr>
          <w:rFonts w:eastAsiaTheme="majorEastAsia" w:cs="Arial"/>
          <w:bCs/>
          <w:color w:val="0D0D0D" w:themeColor="text1" w:themeTint="F2"/>
          <w:sz w:val="24"/>
          <w:szCs w:val="24"/>
        </w:rPr>
      </w:r>
      <w:r w:rsidRPr="00F76C0B">
        <w:rPr>
          <w:rFonts w:eastAsiaTheme="majorEastAsia" w:cs="Arial"/>
          <w:bCs/>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4</w:t>
      </w:r>
      <w:r w:rsidRPr="00F76C0B">
        <w:rPr>
          <w:rFonts w:eastAsiaTheme="majorEastAsia" w:cs="Arial"/>
          <w:bCs/>
          <w:color w:val="0D0D0D" w:themeColor="text1" w:themeTint="F2"/>
          <w:sz w:val="24"/>
          <w:szCs w:val="24"/>
        </w:rPr>
        <w:fldChar w:fldCharType="end"/>
      </w:r>
      <w:r w:rsidR="004E5470" w:rsidRPr="00A04A93">
        <w:rPr>
          <w:rFonts w:eastAsiaTheme="majorEastAsia" w:cs="Arial"/>
          <w:bCs/>
          <w:color w:val="0D0D0D" w:themeColor="text1" w:themeTint="F2"/>
          <w:sz w:val="24"/>
          <w:szCs w:val="24"/>
        </w:rPr>
        <w:t xml:space="preserve"> below </w:t>
      </w:r>
      <w:r w:rsidR="001E5F0C" w:rsidRPr="00A04A93">
        <w:rPr>
          <w:rFonts w:eastAsiaTheme="majorEastAsia" w:cs="Arial"/>
          <w:bCs/>
          <w:color w:val="0D0D0D" w:themeColor="text1" w:themeTint="F2"/>
          <w:sz w:val="24"/>
          <w:szCs w:val="24"/>
        </w:rPr>
        <w:t xml:space="preserve">compares the percentage of the Australian population with </w:t>
      </w:r>
      <w:r w:rsidR="004E5470" w:rsidRPr="00A04A93">
        <w:rPr>
          <w:rFonts w:eastAsiaTheme="majorEastAsia" w:cs="Arial"/>
          <w:bCs/>
          <w:color w:val="0D0D0D" w:themeColor="text1" w:themeTint="F2"/>
          <w:sz w:val="24"/>
          <w:szCs w:val="24"/>
        </w:rPr>
        <w:t>the percentage of community</w:t>
      </w:r>
      <w:r w:rsidR="004E5470" w:rsidRPr="00C20287">
        <w:rPr>
          <w:rFonts w:eastAsiaTheme="majorEastAsia" w:cs="Arial"/>
          <w:bCs/>
          <w:color w:val="0D0D0D" w:themeColor="text1" w:themeTint="F2"/>
          <w:sz w:val="24"/>
          <w:szCs w:val="24"/>
        </w:rPr>
        <w:t xml:space="preserve"> pharmacies currently in regional and remote areas and importantly these closely align with the Australian population distribution. </w:t>
      </w:r>
      <w:r w:rsidR="0019355C">
        <w:rPr>
          <w:rFonts w:eastAsiaTheme="majorEastAsia" w:cs="Arial"/>
          <w:bCs/>
          <w:color w:val="0D0D0D" w:themeColor="text1" w:themeTint="F2"/>
          <w:sz w:val="24"/>
          <w:szCs w:val="24"/>
        </w:rPr>
        <w:t xml:space="preserve">The </w:t>
      </w:r>
      <w:r w:rsidR="00B009F4">
        <w:rPr>
          <w:rFonts w:eastAsiaTheme="majorEastAsia" w:cs="Arial"/>
          <w:bCs/>
          <w:color w:val="0D0D0D" w:themeColor="text1" w:themeTint="F2"/>
          <w:sz w:val="24"/>
          <w:szCs w:val="24"/>
        </w:rPr>
        <w:t>geographical</w:t>
      </w:r>
      <w:r w:rsidR="0019355C">
        <w:rPr>
          <w:rFonts w:eastAsiaTheme="majorEastAsia" w:cs="Arial"/>
          <w:bCs/>
          <w:color w:val="0D0D0D" w:themeColor="text1" w:themeTint="F2"/>
          <w:sz w:val="24"/>
          <w:szCs w:val="24"/>
        </w:rPr>
        <w:t xml:space="preserve"> distribution of community pharmacies by MMM classification has been mapped in Figure 1 below.</w:t>
      </w:r>
      <w:r w:rsidR="00C966DD">
        <w:rPr>
          <w:rFonts w:eastAsiaTheme="majorEastAsia" w:cs="Arial"/>
          <w:bCs/>
          <w:color w:val="0D0D0D" w:themeColor="text1" w:themeTint="F2"/>
          <w:sz w:val="24"/>
          <w:szCs w:val="24"/>
        </w:rPr>
        <w:t xml:space="preserve"> </w:t>
      </w:r>
      <w:r w:rsidR="00C966DD" w:rsidRPr="004E38A2">
        <w:rPr>
          <w:rFonts w:eastAsiaTheme="majorEastAsia" w:cs="Arial"/>
          <w:bCs/>
          <w:color w:val="0D0D0D" w:themeColor="text1" w:themeTint="F2"/>
          <w:sz w:val="24"/>
          <w:szCs w:val="24"/>
        </w:rPr>
        <w:t xml:space="preserve">As can be seen </w:t>
      </w:r>
      <w:r w:rsidR="005269D1">
        <w:rPr>
          <w:rFonts w:eastAsiaTheme="majorEastAsia" w:cs="Arial"/>
          <w:bCs/>
          <w:color w:val="0D0D0D" w:themeColor="text1" w:themeTint="F2"/>
          <w:sz w:val="24"/>
          <w:szCs w:val="24"/>
        </w:rPr>
        <w:t>in this figure</w:t>
      </w:r>
      <w:r w:rsidR="00C966DD" w:rsidRPr="004E38A2">
        <w:rPr>
          <w:rFonts w:eastAsiaTheme="majorEastAsia" w:cs="Arial"/>
          <w:bCs/>
          <w:color w:val="0D0D0D" w:themeColor="text1" w:themeTint="F2"/>
          <w:sz w:val="24"/>
          <w:szCs w:val="24"/>
        </w:rPr>
        <w:t xml:space="preserve"> there </w:t>
      </w:r>
      <w:r w:rsidR="004E38A2">
        <w:rPr>
          <w:rFonts w:eastAsiaTheme="majorEastAsia" w:cs="Arial"/>
          <w:bCs/>
          <w:color w:val="0D0D0D" w:themeColor="text1" w:themeTint="F2"/>
          <w:sz w:val="24"/>
          <w:szCs w:val="24"/>
        </w:rPr>
        <w:t xml:space="preserve">is a strong correlation between </w:t>
      </w:r>
      <w:r w:rsidR="00584943">
        <w:rPr>
          <w:rFonts w:eastAsiaTheme="majorEastAsia" w:cs="Arial"/>
          <w:bCs/>
          <w:color w:val="0D0D0D" w:themeColor="text1" w:themeTint="F2"/>
          <w:sz w:val="24"/>
          <w:szCs w:val="24"/>
        </w:rPr>
        <w:t xml:space="preserve">major </w:t>
      </w:r>
      <w:r w:rsidR="004E38A2">
        <w:rPr>
          <w:rFonts w:eastAsiaTheme="majorEastAsia" w:cs="Arial"/>
          <w:bCs/>
          <w:color w:val="0D0D0D" w:themeColor="text1" w:themeTint="F2"/>
          <w:sz w:val="24"/>
          <w:szCs w:val="24"/>
        </w:rPr>
        <w:t xml:space="preserve">population centres and the location of pharmacies, however </w:t>
      </w:r>
      <w:r w:rsidR="00F67CEB">
        <w:rPr>
          <w:rFonts w:eastAsiaTheme="majorEastAsia" w:cs="Arial"/>
          <w:bCs/>
          <w:color w:val="0D0D0D" w:themeColor="text1" w:themeTint="F2"/>
          <w:sz w:val="24"/>
          <w:szCs w:val="24"/>
        </w:rPr>
        <w:t xml:space="preserve">it </w:t>
      </w:r>
      <w:r w:rsidR="004E38A2">
        <w:rPr>
          <w:rFonts w:eastAsiaTheme="majorEastAsia" w:cs="Arial"/>
          <w:bCs/>
          <w:color w:val="0D0D0D" w:themeColor="text1" w:themeTint="F2"/>
          <w:sz w:val="24"/>
          <w:szCs w:val="24"/>
        </w:rPr>
        <w:t xml:space="preserve">can also be seen that </w:t>
      </w:r>
      <w:r w:rsidR="00584943">
        <w:rPr>
          <w:rFonts w:eastAsiaTheme="majorEastAsia" w:cs="Arial"/>
          <w:bCs/>
          <w:color w:val="0D0D0D" w:themeColor="text1" w:themeTint="F2"/>
          <w:sz w:val="24"/>
          <w:szCs w:val="24"/>
        </w:rPr>
        <w:t xml:space="preserve">there is a </w:t>
      </w:r>
      <w:r w:rsidR="004E38A2">
        <w:rPr>
          <w:rFonts w:eastAsiaTheme="majorEastAsia" w:cs="Arial"/>
          <w:bCs/>
          <w:color w:val="0D0D0D" w:themeColor="text1" w:themeTint="F2"/>
          <w:sz w:val="24"/>
          <w:szCs w:val="24"/>
        </w:rPr>
        <w:t>widespread distribution of pharmacies outside of the urban centres.</w:t>
      </w:r>
    </w:p>
    <w:p w14:paraId="7371D89F" w14:textId="77777777" w:rsidR="00F43B63" w:rsidRDefault="00F43B63" w:rsidP="000A5E7B">
      <w:pPr>
        <w:rPr>
          <w:rFonts w:eastAsiaTheme="majorEastAsia" w:cs="Arial"/>
          <w:bCs/>
          <w:color w:val="0D0D0D" w:themeColor="text1" w:themeTint="F2"/>
          <w:sz w:val="24"/>
          <w:szCs w:val="24"/>
        </w:rPr>
        <w:sectPr w:rsidR="00F43B63" w:rsidSect="0095671A">
          <w:pgSz w:w="11906" w:h="16838"/>
          <w:pgMar w:top="1440" w:right="1440" w:bottom="1440" w:left="1440" w:header="567" w:footer="57" w:gutter="0"/>
          <w:cols w:space="708"/>
          <w:docGrid w:linePitch="360"/>
        </w:sectPr>
      </w:pPr>
    </w:p>
    <w:p w14:paraId="5F1D351B" w14:textId="36671D3B" w:rsidR="00A04A93" w:rsidRDefault="00A04A93" w:rsidP="00EE1495">
      <w:pPr>
        <w:pStyle w:val="Caption"/>
      </w:pPr>
      <w:bookmarkStart w:id="48" w:name="_Ref155777041"/>
      <w:r>
        <w:lastRenderedPageBreak/>
        <w:t xml:space="preserve">Table </w:t>
      </w:r>
      <w:fldSimple w:instr=" SEQ Table \* ARABIC ">
        <w:r w:rsidR="005B7A17">
          <w:rPr>
            <w:noProof/>
          </w:rPr>
          <w:t>4</w:t>
        </w:r>
      </w:fldSimple>
      <w:bookmarkEnd w:id="48"/>
      <w:r>
        <w:t xml:space="preserve">. </w:t>
      </w:r>
      <w:r w:rsidRPr="002E1B26">
        <w:t>Modified Mo</w:t>
      </w:r>
      <w:r>
        <w:t>nash Model classifications population and pharmacy distribution</w:t>
      </w: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35"/>
        <w:gridCol w:w="6379"/>
        <w:gridCol w:w="1276"/>
        <w:gridCol w:w="1417"/>
        <w:gridCol w:w="1418"/>
        <w:gridCol w:w="1293"/>
        <w:gridCol w:w="1293"/>
      </w:tblGrid>
      <w:tr w:rsidR="004326DE" w:rsidRPr="00C20287" w14:paraId="14DCCF58" w14:textId="3816F5A2" w:rsidTr="00EE1495">
        <w:trPr>
          <w:tblHeader/>
        </w:trPr>
        <w:tc>
          <w:tcPr>
            <w:tcW w:w="1835" w:type="dxa"/>
            <w:shd w:val="clear" w:color="auto" w:fill="0289C8" w:themeFill="text2" w:themeFillTint="BF"/>
            <w:hideMark/>
          </w:tcPr>
          <w:p w14:paraId="196CDDF7" w14:textId="77777777" w:rsidR="004326DE" w:rsidRPr="00EE1495" w:rsidRDefault="004326DE">
            <w:pPr>
              <w:pStyle w:val="NormalWeb"/>
              <w:spacing w:before="0" w:beforeAutospacing="0" w:after="0" w:afterAutospacing="0"/>
              <w:rPr>
                <w:rFonts w:asciiTheme="minorHAnsi" w:hAnsiTheme="minorHAnsi" w:cstheme="minorHAnsi"/>
                <w:b/>
                <w:bCs/>
                <w:color w:val="FFFFFF" w:themeColor="background1"/>
              </w:rPr>
            </w:pPr>
            <w:r w:rsidRPr="00EE1495">
              <w:rPr>
                <w:rFonts w:asciiTheme="minorHAnsi" w:hAnsiTheme="minorHAnsi" w:cstheme="minorHAnsi"/>
                <w:b/>
                <w:bCs/>
                <w:color w:val="FFFFFF" w:themeColor="background1"/>
              </w:rPr>
              <w:t>Modified Monash category</w:t>
            </w:r>
          </w:p>
        </w:tc>
        <w:tc>
          <w:tcPr>
            <w:tcW w:w="6379" w:type="dxa"/>
            <w:shd w:val="clear" w:color="auto" w:fill="0289C8" w:themeFill="text2" w:themeFillTint="BF"/>
            <w:hideMark/>
          </w:tcPr>
          <w:p w14:paraId="008BF904" w14:textId="77777777" w:rsidR="004326DE" w:rsidRPr="00EE1495" w:rsidRDefault="004326DE">
            <w:pPr>
              <w:pStyle w:val="NormalWeb"/>
              <w:spacing w:before="0" w:beforeAutospacing="0" w:after="0" w:afterAutospacing="0"/>
              <w:rPr>
                <w:rFonts w:asciiTheme="minorHAnsi" w:hAnsiTheme="minorHAnsi" w:cstheme="minorHAnsi"/>
                <w:b/>
                <w:bCs/>
                <w:color w:val="FFFFFF" w:themeColor="background1"/>
              </w:rPr>
            </w:pPr>
            <w:r w:rsidRPr="00EE1495">
              <w:rPr>
                <w:rFonts w:asciiTheme="minorHAnsi" w:hAnsiTheme="minorHAnsi" w:cstheme="minorHAnsi"/>
                <w:b/>
                <w:bCs/>
                <w:color w:val="FFFFFF" w:themeColor="background1"/>
              </w:rPr>
              <w:t>Inclusions</w:t>
            </w:r>
          </w:p>
        </w:tc>
        <w:tc>
          <w:tcPr>
            <w:tcW w:w="1276" w:type="dxa"/>
            <w:shd w:val="clear" w:color="auto" w:fill="0289C8" w:themeFill="text2" w:themeFillTint="BF"/>
          </w:tcPr>
          <w:p w14:paraId="56BA6ECF" w14:textId="3ECA76A5" w:rsidR="004326DE" w:rsidRPr="00CE4686" w:rsidRDefault="004326DE" w:rsidP="00CD5982">
            <w:pPr>
              <w:pStyle w:val="NormalWeb"/>
              <w:spacing w:before="0" w:beforeAutospacing="0" w:after="0" w:afterAutospacing="0"/>
              <w:rPr>
                <w:rFonts w:asciiTheme="minorHAnsi" w:hAnsiTheme="minorHAnsi" w:cstheme="minorHAnsi"/>
                <w:b/>
                <w:color w:val="FFFFFF" w:themeColor="background1"/>
              </w:rPr>
            </w:pPr>
            <w:r w:rsidRPr="00CE4686">
              <w:rPr>
                <w:rFonts w:asciiTheme="minorHAnsi" w:hAnsiTheme="minorHAnsi" w:cstheme="minorHAnsi"/>
                <w:b/>
                <w:color w:val="FFFFFF" w:themeColor="background1"/>
              </w:rPr>
              <w:t>Australian Population*</w:t>
            </w:r>
          </w:p>
        </w:tc>
        <w:tc>
          <w:tcPr>
            <w:tcW w:w="1417" w:type="dxa"/>
            <w:shd w:val="clear" w:color="auto" w:fill="0289C8" w:themeFill="text2" w:themeFillTint="BF"/>
          </w:tcPr>
          <w:p w14:paraId="3E007987" w14:textId="04FACBB5" w:rsidR="004326DE" w:rsidRPr="00CE4686" w:rsidRDefault="004326DE">
            <w:pPr>
              <w:pStyle w:val="NormalWeb"/>
              <w:spacing w:before="0" w:beforeAutospacing="0" w:after="0" w:afterAutospacing="0"/>
              <w:rPr>
                <w:rFonts w:asciiTheme="minorHAnsi" w:hAnsiTheme="minorHAnsi" w:cstheme="minorHAnsi"/>
                <w:b/>
                <w:color w:val="FFFFFF" w:themeColor="background1"/>
              </w:rPr>
            </w:pPr>
            <w:r w:rsidRPr="00CE4686">
              <w:rPr>
                <w:rFonts w:asciiTheme="minorHAnsi" w:hAnsiTheme="minorHAnsi" w:cstheme="minorHAnsi"/>
                <w:b/>
                <w:color w:val="FFFFFF" w:themeColor="background1"/>
              </w:rPr>
              <w:t>Percentage of population</w:t>
            </w:r>
          </w:p>
        </w:tc>
        <w:tc>
          <w:tcPr>
            <w:tcW w:w="1418" w:type="dxa"/>
            <w:shd w:val="clear" w:color="auto" w:fill="0289C8" w:themeFill="text2" w:themeFillTint="BF"/>
          </w:tcPr>
          <w:p w14:paraId="548C8634" w14:textId="5DD71662" w:rsidR="004326DE" w:rsidRPr="00EE1495" w:rsidRDefault="004326DE">
            <w:pPr>
              <w:pStyle w:val="NormalWeb"/>
              <w:spacing w:before="0" w:beforeAutospacing="0" w:after="0" w:afterAutospacing="0"/>
              <w:rPr>
                <w:rFonts w:asciiTheme="minorHAnsi" w:hAnsiTheme="minorHAnsi" w:cstheme="minorHAnsi"/>
                <w:b/>
                <w:bCs/>
                <w:color w:val="FFFFFF" w:themeColor="background1"/>
              </w:rPr>
            </w:pPr>
            <w:r w:rsidRPr="00EE1495">
              <w:rPr>
                <w:rFonts w:asciiTheme="minorHAnsi" w:hAnsiTheme="minorHAnsi" w:cstheme="minorHAnsi"/>
                <w:b/>
                <w:bCs/>
                <w:color w:val="FFFFFF" w:themeColor="background1"/>
              </w:rPr>
              <w:t>Number of community pharmacies (CP)**</w:t>
            </w:r>
          </w:p>
        </w:tc>
        <w:tc>
          <w:tcPr>
            <w:tcW w:w="1293" w:type="dxa"/>
            <w:shd w:val="clear" w:color="auto" w:fill="0289C8" w:themeFill="text2" w:themeFillTint="BF"/>
          </w:tcPr>
          <w:p w14:paraId="2E054D1D" w14:textId="7CFE54CB" w:rsidR="004326DE" w:rsidRPr="00EE1495" w:rsidRDefault="004326DE">
            <w:pPr>
              <w:pStyle w:val="NormalWeb"/>
              <w:spacing w:before="0" w:beforeAutospacing="0" w:after="0" w:afterAutospacing="0"/>
              <w:rPr>
                <w:rFonts w:asciiTheme="minorHAnsi" w:hAnsiTheme="minorHAnsi" w:cstheme="minorHAnsi"/>
                <w:b/>
                <w:bCs/>
                <w:color w:val="FFFFFF" w:themeColor="background1"/>
              </w:rPr>
            </w:pPr>
            <w:r w:rsidRPr="00EE1495">
              <w:rPr>
                <w:rFonts w:asciiTheme="minorHAnsi" w:hAnsiTheme="minorHAnsi" w:cstheme="minorHAnsi"/>
                <w:b/>
                <w:bCs/>
                <w:color w:val="FFFFFF" w:themeColor="background1"/>
              </w:rPr>
              <w:t>Percentage of CP</w:t>
            </w:r>
          </w:p>
        </w:tc>
        <w:tc>
          <w:tcPr>
            <w:tcW w:w="1293" w:type="dxa"/>
            <w:shd w:val="clear" w:color="auto" w:fill="0289C8" w:themeFill="text2" w:themeFillTint="BF"/>
          </w:tcPr>
          <w:p w14:paraId="63DA0FB5" w14:textId="4DDB896F" w:rsidR="004326DE" w:rsidRPr="00EE1495" w:rsidRDefault="004326DE">
            <w:pPr>
              <w:pStyle w:val="NormalWeb"/>
              <w:spacing w:before="0" w:beforeAutospacing="0" w:after="0" w:afterAutospacing="0"/>
              <w:rPr>
                <w:rFonts w:asciiTheme="minorHAnsi" w:hAnsiTheme="minorHAnsi" w:cstheme="minorHAnsi"/>
                <w:b/>
                <w:bCs/>
                <w:color w:val="FFFFFF" w:themeColor="background1"/>
              </w:rPr>
            </w:pPr>
            <w:r w:rsidRPr="00EE1495">
              <w:rPr>
                <w:rFonts w:asciiTheme="minorHAnsi" w:hAnsiTheme="minorHAnsi" w:cstheme="minorHAnsi"/>
                <w:b/>
                <w:bCs/>
                <w:color w:val="FFFFFF" w:themeColor="background1"/>
              </w:rPr>
              <w:t>Pharmacies per 1000 people</w:t>
            </w:r>
          </w:p>
        </w:tc>
      </w:tr>
      <w:tr w:rsidR="007C74E3" w:rsidRPr="00C20287" w14:paraId="4105E935" w14:textId="6EE2E564" w:rsidTr="00EE1495">
        <w:tc>
          <w:tcPr>
            <w:tcW w:w="1835" w:type="dxa"/>
            <w:shd w:val="clear" w:color="auto" w:fill="FFFFFF"/>
            <w:hideMark/>
          </w:tcPr>
          <w:p w14:paraId="760B21FB"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0" w:history="1">
              <w:r w:rsidR="007C74E3" w:rsidRPr="00C20287">
                <w:rPr>
                  <w:rStyle w:val="Hyperlink"/>
                  <w:rFonts w:asciiTheme="minorHAnsi" w:hAnsiTheme="minorHAnsi" w:cstheme="minorHAnsi"/>
                  <w:color w:val="006FB0"/>
                </w:rPr>
                <w:t>MM 1</w:t>
              </w:r>
            </w:hyperlink>
          </w:p>
        </w:tc>
        <w:tc>
          <w:tcPr>
            <w:tcW w:w="6379" w:type="dxa"/>
            <w:shd w:val="clear" w:color="auto" w:fill="FFFFFF"/>
            <w:hideMark/>
          </w:tcPr>
          <w:p w14:paraId="24239CAC" w14:textId="25F3A39A"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Metropolitan areas</w:t>
            </w:r>
            <w:r w:rsidRPr="00C20287">
              <w:rPr>
                <w:rFonts w:asciiTheme="minorHAnsi" w:hAnsiTheme="minorHAnsi" w:cstheme="minorHAnsi"/>
                <w:color w:val="313131"/>
              </w:rPr>
              <w:t xml:space="preserve">: Major cities accounting for </w:t>
            </w:r>
            <w:r w:rsidR="0028439C">
              <w:rPr>
                <w:rFonts w:asciiTheme="minorHAnsi" w:hAnsiTheme="minorHAnsi" w:cstheme="minorHAnsi"/>
                <w:color w:val="313131"/>
              </w:rPr>
              <w:t xml:space="preserve">around </w:t>
            </w:r>
            <w:r w:rsidRPr="00C20287">
              <w:rPr>
                <w:rFonts w:asciiTheme="minorHAnsi" w:hAnsiTheme="minorHAnsi" w:cstheme="minorHAnsi"/>
                <w:color w:val="313131"/>
              </w:rPr>
              <w:t>70% of Australia’s population.</w:t>
            </w:r>
          </w:p>
          <w:p w14:paraId="053E45BC" w14:textId="77777777" w:rsidR="007C74E3" w:rsidRPr="00C20287" w:rsidRDefault="007C74E3" w:rsidP="007C74E3">
            <w:pPr>
              <w:pStyle w:val="NormalWeb"/>
              <w:rPr>
                <w:rFonts w:asciiTheme="minorHAnsi" w:hAnsiTheme="minorHAnsi" w:cstheme="minorHAnsi"/>
                <w:color w:val="313131"/>
              </w:rPr>
            </w:pPr>
            <w:r w:rsidRPr="00C20287">
              <w:rPr>
                <w:rFonts w:asciiTheme="minorHAnsi" w:hAnsiTheme="minorHAnsi" w:cstheme="minorHAnsi"/>
                <w:color w:val="313131"/>
              </w:rPr>
              <w:t>All areas categorised ASGS-RA1.</w:t>
            </w:r>
          </w:p>
        </w:tc>
        <w:tc>
          <w:tcPr>
            <w:tcW w:w="1276" w:type="dxa"/>
            <w:shd w:val="clear" w:color="auto" w:fill="FFFFFF"/>
          </w:tcPr>
          <w:p w14:paraId="17D1F667" w14:textId="6F19E694"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18,411,148</w:t>
            </w:r>
          </w:p>
        </w:tc>
        <w:tc>
          <w:tcPr>
            <w:tcW w:w="1417" w:type="dxa"/>
            <w:shd w:val="clear" w:color="auto" w:fill="FFFFFF"/>
          </w:tcPr>
          <w:p w14:paraId="28400043" w14:textId="1ADC2B5E"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71.7%</w:t>
            </w:r>
          </w:p>
        </w:tc>
        <w:tc>
          <w:tcPr>
            <w:tcW w:w="1418" w:type="dxa"/>
            <w:shd w:val="clear" w:color="auto" w:fill="FFFFFF"/>
          </w:tcPr>
          <w:p w14:paraId="22B6FDC5" w14:textId="41C7C792"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4036</w:t>
            </w:r>
          </w:p>
        </w:tc>
        <w:tc>
          <w:tcPr>
            <w:tcW w:w="1293" w:type="dxa"/>
            <w:shd w:val="clear" w:color="auto" w:fill="FFFFFF"/>
          </w:tcPr>
          <w:p w14:paraId="61322603" w14:textId="254CC3BC"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68%</w:t>
            </w:r>
          </w:p>
        </w:tc>
        <w:tc>
          <w:tcPr>
            <w:tcW w:w="1293" w:type="dxa"/>
            <w:shd w:val="clear" w:color="auto" w:fill="FFFFFF"/>
          </w:tcPr>
          <w:p w14:paraId="11871F5F" w14:textId="0BDB85FF"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0.22 </w:t>
            </w:r>
          </w:p>
        </w:tc>
      </w:tr>
      <w:tr w:rsidR="007C74E3" w:rsidRPr="00C20287" w14:paraId="2D7BFAFD" w14:textId="1DB0FCB8" w:rsidTr="00EE1495">
        <w:tc>
          <w:tcPr>
            <w:tcW w:w="1835" w:type="dxa"/>
            <w:shd w:val="clear" w:color="auto" w:fill="FFFFFF"/>
            <w:hideMark/>
          </w:tcPr>
          <w:p w14:paraId="1AD05AAB"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1" w:history="1">
              <w:r w:rsidR="007C74E3" w:rsidRPr="00C20287">
                <w:rPr>
                  <w:rStyle w:val="Hyperlink"/>
                  <w:rFonts w:asciiTheme="minorHAnsi" w:hAnsiTheme="minorHAnsi" w:cstheme="minorHAnsi"/>
                  <w:color w:val="006FB0"/>
                </w:rPr>
                <w:t>MM 2</w:t>
              </w:r>
            </w:hyperlink>
          </w:p>
        </w:tc>
        <w:tc>
          <w:tcPr>
            <w:tcW w:w="6379" w:type="dxa"/>
            <w:shd w:val="clear" w:color="auto" w:fill="FFFFFF"/>
            <w:hideMark/>
          </w:tcPr>
          <w:p w14:paraId="4632FF61" w14:textId="77777777"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Regional centres</w:t>
            </w:r>
            <w:r w:rsidRPr="00C20287">
              <w:rPr>
                <w:rFonts w:asciiTheme="minorHAnsi" w:hAnsiTheme="minorHAnsi" w:cstheme="minorHAnsi"/>
                <w:color w:val="313131"/>
              </w:rPr>
              <w:t>: Areas categorised ASGS-RA 2 and ASGS-RA 3 that are in, or within 20km road distance, of a town with a population greater than 50,000.</w:t>
            </w:r>
          </w:p>
        </w:tc>
        <w:tc>
          <w:tcPr>
            <w:tcW w:w="1276" w:type="dxa"/>
            <w:shd w:val="clear" w:color="auto" w:fill="FFFFFF"/>
          </w:tcPr>
          <w:p w14:paraId="0216A790" w14:textId="13053512"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2,355,589</w:t>
            </w:r>
          </w:p>
        </w:tc>
        <w:tc>
          <w:tcPr>
            <w:tcW w:w="1417" w:type="dxa"/>
            <w:shd w:val="clear" w:color="auto" w:fill="FFFFFF"/>
          </w:tcPr>
          <w:p w14:paraId="127789B8" w14:textId="0B7865EE"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9.2%</w:t>
            </w:r>
          </w:p>
        </w:tc>
        <w:tc>
          <w:tcPr>
            <w:tcW w:w="1418" w:type="dxa"/>
            <w:shd w:val="clear" w:color="auto" w:fill="FFFFFF"/>
          </w:tcPr>
          <w:p w14:paraId="54211D3C" w14:textId="111CA1CA"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532</w:t>
            </w:r>
          </w:p>
        </w:tc>
        <w:tc>
          <w:tcPr>
            <w:tcW w:w="1293" w:type="dxa"/>
            <w:shd w:val="clear" w:color="auto" w:fill="FFFFFF"/>
          </w:tcPr>
          <w:p w14:paraId="156B673C" w14:textId="2B1A5178"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9%</w:t>
            </w:r>
          </w:p>
        </w:tc>
        <w:tc>
          <w:tcPr>
            <w:tcW w:w="1293" w:type="dxa"/>
            <w:shd w:val="clear" w:color="auto" w:fill="FFFFFF"/>
          </w:tcPr>
          <w:p w14:paraId="29DBD265" w14:textId="27069724"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0.23 </w:t>
            </w:r>
          </w:p>
        </w:tc>
      </w:tr>
      <w:tr w:rsidR="007C74E3" w:rsidRPr="00C20287" w14:paraId="28B69BFC" w14:textId="18AAB78F" w:rsidTr="00EE1495">
        <w:tc>
          <w:tcPr>
            <w:tcW w:w="1835" w:type="dxa"/>
            <w:shd w:val="clear" w:color="auto" w:fill="FFFFFF"/>
            <w:hideMark/>
          </w:tcPr>
          <w:p w14:paraId="08589215"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2" w:history="1">
              <w:r w:rsidR="007C74E3" w:rsidRPr="00C20287">
                <w:rPr>
                  <w:rStyle w:val="Hyperlink"/>
                  <w:rFonts w:asciiTheme="minorHAnsi" w:hAnsiTheme="minorHAnsi" w:cstheme="minorHAnsi"/>
                  <w:color w:val="006FB0"/>
                </w:rPr>
                <w:t>MM 3</w:t>
              </w:r>
            </w:hyperlink>
          </w:p>
        </w:tc>
        <w:tc>
          <w:tcPr>
            <w:tcW w:w="6379" w:type="dxa"/>
            <w:shd w:val="clear" w:color="auto" w:fill="FFFFFF"/>
            <w:hideMark/>
          </w:tcPr>
          <w:p w14:paraId="48E8DEC2" w14:textId="77777777"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Large rural towns</w:t>
            </w:r>
            <w:r w:rsidRPr="00C20287">
              <w:rPr>
                <w:rFonts w:asciiTheme="minorHAnsi" w:hAnsiTheme="minorHAnsi" w:cstheme="minorHAnsi"/>
                <w:color w:val="313131"/>
              </w:rPr>
              <w:t>: Areas categorised ASGS-RA 2 and ASGS-RA 3 that are not in MM 2 and are in, or within 15km road distance, of a town with a population between 15,000 and 50,000.</w:t>
            </w:r>
          </w:p>
        </w:tc>
        <w:tc>
          <w:tcPr>
            <w:tcW w:w="1276" w:type="dxa"/>
            <w:shd w:val="clear" w:color="auto" w:fill="FFFFFF"/>
          </w:tcPr>
          <w:p w14:paraId="69AF2979" w14:textId="5FE34EAB"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1,640,720</w:t>
            </w:r>
          </w:p>
        </w:tc>
        <w:tc>
          <w:tcPr>
            <w:tcW w:w="1417" w:type="dxa"/>
            <w:shd w:val="clear" w:color="auto" w:fill="FFFFFF"/>
          </w:tcPr>
          <w:p w14:paraId="6A45FC17" w14:textId="24EB1874"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6.4%</w:t>
            </w:r>
          </w:p>
        </w:tc>
        <w:tc>
          <w:tcPr>
            <w:tcW w:w="1418" w:type="dxa"/>
            <w:shd w:val="clear" w:color="auto" w:fill="FFFFFF"/>
          </w:tcPr>
          <w:p w14:paraId="4609D13E" w14:textId="64E96EA1"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400</w:t>
            </w:r>
          </w:p>
        </w:tc>
        <w:tc>
          <w:tcPr>
            <w:tcW w:w="1293" w:type="dxa"/>
            <w:shd w:val="clear" w:color="auto" w:fill="FFFFFF"/>
          </w:tcPr>
          <w:p w14:paraId="01AD1FAE" w14:textId="7CB5A193"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7%</w:t>
            </w:r>
          </w:p>
        </w:tc>
        <w:tc>
          <w:tcPr>
            <w:tcW w:w="1293" w:type="dxa"/>
            <w:shd w:val="clear" w:color="auto" w:fill="FFFFFF"/>
          </w:tcPr>
          <w:p w14:paraId="685098D4" w14:textId="4C7ECE27"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0.24 </w:t>
            </w:r>
          </w:p>
        </w:tc>
      </w:tr>
      <w:tr w:rsidR="007C74E3" w:rsidRPr="00C20287" w14:paraId="5244C957" w14:textId="457D6812" w:rsidTr="00EE1495">
        <w:tc>
          <w:tcPr>
            <w:tcW w:w="1835" w:type="dxa"/>
            <w:shd w:val="clear" w:color="auto" w:fill="FFFFFF"/>
            <w:hideMark/>
          </w:tcPr>
          <w:p w14:paraId="008ACE6B"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3" w:history="1">
              <w:r w:rsidR="007C74E3" w:rsidRPr="00C20287">
                <w:rPr>
                  <w:rStyle w:val="Hyperlink"/>
                  <w:rFonts w:asciiTheme="minorHAnsi" w:hAnsiTheme="minorHAnsi" w:cstheme="minorHAnsi"/>
                  <w:color w:val="006FB0"/>
                </w:rPr>
                <w:t>MM 4</w:t>
              </w:r>
            </w:hyperlink>
          </w:p>
        </w:tc>
        <w:tc>
          <w:tcPr>
            <w:tcW w:w="6379" w:type="dxa"/>
            <w:shd w:val="clear" w:color="auto" w:fill="FFFFFF"/>
            <w:hideMark/>
          </w:tcPr>
          <w:p w14:paraId="681D975D" w14:textId="77777777"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Medium rural towns</w:t>
            </w:r>
            <w:r w:rsidRPr="00C20287">
              <w:rPr>
                <w:rFonts w:asciiTheme="minorHAnsi" w:hAnsiTheme="minorHAnsi" w:cstheme="minorHAnsi"/>
                <w:color w:val="313131"/>
              </w:rPr>
              <w:t>: Areas categorised ASGS-RA 2 and ASGS-RA 3 that are not in MM 2 or MM 3 and are in, or within 10km road distance, of a town with a population between 5,000 and 15,000.</w:t>
            </w:r>
          </w:p>
        </w:tc>
        <w:tc>
          <w:tcPr>
            <w:tcW w:w="1276" w:type="dxa"/>
            <w:shd w:val="clear" w:color="auto" w:fill="FFFFFF"/>
          </w:tcPr>
          <w:p w14:paraId="26A58F10" w14:textId="7E016DB4"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991,520</w:t>
            </w:r>
          </w:p>
        </w:tc>
        <w:tc>
          <w:tcPr>
            <w:tcW w:w="1417" w:type="dxa"/>
            <w:shd w:val="clear" w:color="auto" w:fill="FFFFFF"/>
          </w:tcPr>
          <w:p w14:paraId="2C436449" w14:textId="6A15EE6F"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3.9%</w:t>
            </w:r>
          </w:p>
        </w:tc>
        <w:tc>
          <w:tcPr>
            <w:tcW w:w="1418" w:type="dxa"/>
            <w:shd w:val="clear" w:color="auto" w:fill="FFFFFF"/>
          </w:tcPr>
          <w:p w14:paraId="282F0E8D" w14:textId="1855BD14"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268</w:t>
            </w:r>
          </w:p>
        </w:tc>
        <w:tc>
          <w:tcPr>
            <w:tcW w:w="1293" w:type="dxa"/>
            <w:shd w:val="clear" w:color="auto" w:fill="FFFFFF"/>
          </w:tcPr>
          <w:p w14:paraId="304DFB69" w14:textId="3273F036"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5%</w:t>
            </w:r>
          </w:p>
        </w:tc>
        <w:tc>
          <w:tcPr>
            <w:tcW w:w="1293" w:type="dxa"/>
            <w:shd w:val="clear" w:color="auto" w:fill="FFFFFF"/>
          </w:tcPr>
          <w:p w14:paraId="770E5CD8" w14:textId="169EC9C4"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0.27 </w:t>
            </w:r>
          </w:p>
        </w:tc>
      </w:tr>
      <w:tr w:rsidR="007C74E3" w:rsidRPr="00C20287" w14:paraId="7A283F59" w14:textId="6805F05A" w:rsidTr="00EE1495">
        <w:tc>
          <w:tcPr>
            <w:tcW w:w="1835" w:type="dxa"/>
            <w:shd w:val="clear" w:color="auto" w:fill="FFFFFF"/>
            <w:hideMark/>
          </w:tcPr>
          <w:p w14:paraId="33ECEBE4"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4" w:history="1">
              <w:r w:rsidR="007C74E3" w:rsidRPr="00C20287">
                <w:rPr>
                  <w:rStyle w:val="Hyperlink"/>
                  <w:rFonts w:asciiTheme="minorHAnsi" w:hAnsiTheme="minorHAnsi" w:cstheme="minorHAnsi"/>
                  <w:color w:val="006FB0"/>
                </w:rPr>
                <w:t>MM 5</w:t>
              </w:r>
            </w:hyperlink>
          </w:p>
        </w:tc>
        <w:tc>
          <w:tcPr>
            <w:tcW w:w="6379" w:type="dxa"/>
            <w:shd w:val="clear" w:color="auto" w:fill="FFFFFF"/>
            <w:hideMark/>
          </w:tcPr>
          <w:p w14:paraId="23226924" w14:textId="77777777"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Small rural towns</w:t>
            </w:r>
            <w:r w:rsidRPr="00C20287">
              <w:rPr>
                <w:rFonts w:asciiTheme="minorHAnsi" w:hAnsiTheme="minorHAnsi" w:cstheme="minorHAnsi"/>
                <w:color w:val="313131"/>
              </w:rPr>
              <w:t>: All other areas in ASGS-RA 2 and 3.</w:t>
            </w:r>
          </w:p>
        </w:tc>
        <w:tc>
          <w:tcPr>
            <w:tcW w:w="1276" w:type="dxa"/>
            <w:shd w:val="clear" w:color="auto" w:fill="FFFFFF"/>
          </w:tcPr>
          <w:p w14:paraId="5212CDFC" w14:textId="7D7237E4"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1,789,344</w:t>
            </w:r>
          </w:p>
        </w:tc>
        <w:tc>
          <w:tcPr>
            <w:tcW w:w="1417" w:type="dxa"/>
            <w:shd w:val="clear" w:color="auto" w:fill="FFFFFF"/>
          </w:tcPr>
          <w:p w14:paraId="779B8EE1" w14:textId="6668FF6C"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7.0%</w:t>
            </w:r>
          </w:p>
        </w:tc>
        <w:tc>
          <w:tcPr>
            <w:tcW w:w="1418" w:type="dxa"/>
            <w:shd w:val="clear" w:color="auto" w:fill="FFFFFF"/>
          </w:tcPr>
          <w:p w14:paraId="275A8B33" w14:textId="50C02D6D"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525</w:t>
            </w:r>
          </w:p>
        </w:tc>
        <w:tc>
          <w:tcPr>
            <w:tcW w:w="1293" w:type="dxa"/>
            <w:shd w:val="clear" w:color="auto" w:fill="FFFFFF"/>
          </w:tcPr>
          <w:p w14:paraId="579AD8BA" w14:textId="471FC6A5"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9%</w:t>
            </w:r>
          </w:p>
        </w:tc>
        <w:tc>
          <w:tcPr>
            <w:tcW w:w="1293" w:type="dxa"/>
            <w:shd w:val="clear" w:color="auto" w:fill="FFFFFF"/>
          </w:tcPr>
          <w:p w14:paraId="46E2936C" w14:textId="2AEA4E5E"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0.29 </w:t>
            </w:r>
          </w:p>
        </w:tc>
      </w:tr>
      <w:tr w:rsidR="007C74E3" w:rsidRPr="00C20287" w14:paraId="50569636" w14:textId="37E5C73A" w:rsidTr="00EE1495">
        <w:tc>
          <w:tcPr>
            <w:tcW w:w="1835" w:type="dxa"/>
            <w:shd w:val="clear" w:color="auto" w:fill="FFFFFF"/>
            <w:hideMark/>
          </w:tcPr>
          <w:p w14:paraId="75133F27"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5" w:history="1">
              <w:r w:rsidR="007C74E3" w:rsidRPr="00C20287">
                <w:rPr>
                  <w:rStyle w:val="Hyperlink"/>
                  <w:rFonts w:asciiTheme="minorHAnsi" w:hAnsiTheme="minorHAnsi" w:cstheme="minorHAnsi"/>
                  <w:color w:val="006FB0"/>
                </w:rPr>
                <w:t>MM 6</w:t>
              </w:r>
            </w:hyperlink>
          </w:p>
        </w:tc>
        <w:tc>
          <w:tcPr>
            <w:tcW w:w="6379" w:type="dxa"/>
            <w:shd w:val="clear" w:color="auto" w:fill="FFFFFF"/>
            <w:hideMark/>
          </w:tcPr>
          <w:p w14:paraId="7E6AA4E3" w14:textId="225A8509"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Remote communities</w:t>
            </w:r>
            <w:r w:rsidRPr="00C20287">
              <w:rPr>
                <w:rFonts w:asciiTheme="minorHAnsi" w:hAnsiTheme="minorHAnsi" w:cstheme="minorHAnsi"/>
                <w:color w:val="313131"/>
              </w:rPr>
              <w:t>: All areas categorised ASGS-RA 4 </w:t>
            </w:r>
            <w:r w:rsidRPr="00C20287">
              <w:rPr>
                <w:rStyle w:val="Strong"/>
                <w:rFonts w:asciiTheme="minorHAnsi" w:hAnsiTheme="minorHAnsi" w:cstheme="minorHAnsi"/>
                <w:color w:val="313131"/>
              </w:rPr>
              <w:t>and </w:t>
            </w:r>
            <w:r w:rsidRPr="00C20287">
              <w:rPr>
                <w:rFonts w:asciiTheme="minorHAnsi" w:hAnsiTheme="minorHAnsi" w:cstheme="minorHAnsi"/>
                <w:color w:val="313131"/>
              </w:rPr>
              <w:t>islands that are separated from the mainland in the ABS geography and are less than 5km offshore.</w:t>
            </w:r>
          </w:p>
          <w:p w14:paraId="5C44A40E" w14:textId="77777777" w:rsidR="007C74E3" w:rsidRPr="00C20287" w:rsidRDefault="007C74E3" w:rsidP="007C74E3">
            <w:pPr>
              <w:pStyle w:val="NormalWeb"/>
              <w:rPr>
                <w:rFonts w:asciiTheme="minorHAnsi" w:hAnsiTheme="minorHAnsi" w:cstheme="minorHAnsi"/>
                <w:color w:val="313131"/>
              </w:rPr>
            </w:pPr>
            <w:r w:rsidRPr="00C20287">
              <w:rPr>
                <w:rFonts w:asciiTheme="minorHAnsi" w:hAnsiTheme="minorHAnsi" w:cstheme="minorHAnsi"/>
                <w:color w:val="313131"/>
              </w:rPr>
              <w:t>Islands that have an MM 5 classification with a population of less than 1,000 without bridges to the mainland (2019 Modified Monash Model classification only).</w:t>
            </w:r>
          </w:p>
        </w:tc>
        <w:tc>
          <w:tcPr>
            <w:tcW w:w="1276" w:type="dxa"/>
            <w:shd w:val="clear" w:color="auto" w:fill="FFFFFF"/>
          </w:tcPr>
          <w:p w14:paraId="7FDB12FF" w14:textId="5ACEF627"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290,660</w:t>
            </w:r>
          </w:p>
        </w:tc>
        <w:tc>
          <w:tcPr>
            <w:tcW w:w="1417" w:type="dxa"/>
            <w:shd w:val="clear" w:color="auto" w:fill="FFFFFF"/>
          </w:tcPr>
          <w:p w14:paraId="5A3C1BDE" w14:textId="651BD009"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1.1%</w:t>
            </w:r>
          </w:p>
        </w:tc>
        <w:tc>
          <w:tcPr>
            <w:tcW w:w="1418" w:type="dxa"/>
            <w:shd w:val="clear" w:color="auto" w:fill="FFFFFF"/>
          </w:tcPr>
          <w:p w14:paraId="03529701" w14:textId="7EC15739"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94</w:t>
            </w:r>
          </w:p>
        </w:tc>
        <w:tc>
          <w:tcPr>
            <w:tcW w:w="1293" w:type="dxa"/>
            <w:shd w:val="clear" w:color="auto" w:fill="FFFFFF"/>
          </w:tcPr>
          <w:p w14:paraId="1277BFC8" w14:textId="6C6AAF67"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2%</w:t>
            </w:r>
          </w:p>
        </w:tc>
        <w:tc>
          <w:tcPr>
            <w:tcW w:w="1293" w:type="dxa"/>
            <w:shd w:val="clear" w:color="auto" w:fill="FFFFFF"/>
          </w:tcPr>
          <w:p w14:paraId="0518D6E3" w14:textId="531F8B4A"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0.32 </w:t>
            </w:r>
          </w:p>
        </w:tc>
      </w:tr>
      <w:tr w:rsidR="007C74E3" w:rsidRPr="00C20287" w14:paraId="736DEF97" w14:textId="3CB283CA" w:rsidTr="00EE1495">
        <w:tc>
          <w:tcPr>
            <w:tcW w:w="1835" w:type="dxa"/>
            <w:shd w:val="clear" w:color="auto" w:fill="FFFFFF"/>
            <w:hideMark/>
          </w:tcPr>
          <w:p w14:paraId="24CD6964" w14:textId="77777777" w:rsidR="007C74E3" w:rsidRPr="00C20287" w:rsidRDefault="00A4667B" w:rsidP="007C74E3">
            <w:pPr>
              <w:pStyle w:val="NormalWeb"/>
              <w:spacing w:before="0" w:beforeAutospacing="0" w:after="0" w:afterAutospacing="0"/>
              <w:rPr>
                <w:rFonts w:asciiTheme="minorHAnsi" w:hAnsiTheme="minorHAnsi" w:cstheme="minorHAnsi"/>
                <w:color w:val="313131"/>
              </w:rPr>
            </w:pPr>
            <w:hyperlink r:id="rId26" w:history="1">
              <w:r w:rsidR="007C74E3" w:rsidRPr="00C20287">
                <w:rPr>
                  <w:rStyle w:val="Hyperlink"/>
                  <w:rFonts w:asciiTheme="minorHAnsi" w:hAnsiTheme="minorHAnsi" w:cstheme="minorHAnsi"/>
                  <w:color w:val="006FB0"/>
                </w:rPr>
                <w:t>MM 7</w:t>
              </w:r>
            </w:hyperlink>
          </w:p>
        </w:tc>
        <w:tc>
          <w:tcPr>
            <w:tcW w:w="6379" w:type="dxa"/>
            <w:shd w:val="clear" w:color="auto" w:fill="FFFFFF"/>
            <w:hideMark/>
          </w:tcPr>
          <w:p w14:paraId="7750D7A6" w14:textId="77777777" w:rsidR="007C74E3" w:rsidRPr="00C20287" w:rsidRDefault="007C74E3" w:rsidP="007C74E3">
            <w:pPr>
              <w:pStyle w:val="NormalWeb"/>
              <w:spacing w:before="0" w:beforeAutospacing="0" w:after="0" w:afterAutospacing="0"/>
              <w:rPr>
                <w:rFonts w:asciiTheme="minorHAnsi" w:hAnsiTheme="minorHAnsi" w:cstheme="minorHAnsi"/>
                <w:color w:val="313131"/>
              </w:rPr>
            </w:pPr>
            <w:r w:rsidRPr="00C20287">
              <w:rPr>
                <w:rStyle w:val="Strong"/>
                <w:rFonts w:asciiTheme="minorHAnsi" w:hAnsiTheme="minorHAnsi" w:cstheme="minorHAnsi"/>
                <w:color w:val="313131"/>
              </w:rPr>
              <w:t>Very remote communities</w:t>
            </w:r>
            <w:r w:rsidRPr="00C20287">
              <w:rPr>
                <w:rFonts w:asciiTheme="minorHAnsi" w:hAnsiTheme="minorHAnsi" w:cstheme="minorHAnsi"/>
                <w:color w:val="313131"/>
              </w:rPr>
              <w:t>: All other areas that are categorised ASGS-RA 5 </w:t>
            </w:r>
            <w:r w:rsidRPr="00C20287">
              <w:rPr>
                <w:rStyle w:val="Strong"/>
                <w:rFonts w:asciiTheme="minorHAnsi" w:hAnsiTheme="minorHAnsi" w:cstheme="minorHAnsi"/>
                <w:color w:val="313131"/>
              </w:rPr>
              <w:t>and</w:t>
            </w:r>
            <w:r w:rsidRPr="00C20287">
              <w:rPr>
                <w:rFonts w:asciiTheme="minorHAnsi" w:hAnsiTheme="minorHAnsi" w:cstheme="minorHAnsi"/>
                <w:color w:val="313131"/>
              </w:rPr>
              <w:t> populated islands separated from the mainland in the ABS geography that are more than 5km offshore.</w:t>
            </w:r>
          </w:p>
        </w:tc>
        <w:tc>
          <w:tcPr>
            <w:tcW w:w="1276" w:type="dxa"/>
            <w:shd w:val="clear" w:color="auto" w:fill="FFFFFF"/>
          </w:tcPr>
          <w:p w14:paraId="7AED6876" w14:textId="0C957F8E" w:rsidR="007C74E3" w:rsidRPr="00D24525" w:rsidRDefault="007C74E3" w:rsidP="007C74E3">
            <w:pPr>
              <w:pStyle w:val="NormalWeb"/>
              <w:spacing w:before="0" w:beforeAutospacing="0" w:after="0" w:afterAutospacing="0"/>
              <w:jc w:val="right"/>
              <w:rPr>
                <w:rFonts w:asciiTheme="minorHAnsi" w:hAnsiTheme="minorHAnsi" w:cstheme="minorHAnsi"/>
              </w:rPr>
            </w:pPr>
            <w:r w:rsidRPr="00D24525">
              <w:rPr>
                <w:rFonts w:asciiTheme="minorHAnsi" w:hAnsiTheme="minorHAnsi" w:cstheme="minorHAnsi"/>
              </w:rPr>
              <w:t>206,431</w:t>
            </w:r>
          </w:p>
        </w:tc>
        <w:tc>
          <w:tcPr>
            <w:tcW w:w="1417" w:type="dxa"/>
            <w:shd w:val="clear" w:color="auto" w:fill="FFFFFF"/>
          </w:tcPr>
          <w:p w14:paraId="136B95AE" w14:textId="7708E87F" w:rsidR="007C74E3" w:rsidRPr="00D24525" w:rsidRDefault="007C74E3" w:rsidP="007C74E3">
            <w:pPr>
              <w:pStyle w:val="NormalWeb"/>
              <w:spacing w:before="0" w:beforeAutospacing="0" w:after="0" w:afterAutospacing="0"/>
              <w:jc w:val="center"/>
              <w:rPr>
                <w:rFonts w:asciiTheme="minorHAnsi" w:hAnsiTheme="minorHAnsi" w:cstheme="minorHAnsi"/>
              </w:rPr>
            </w:pPr>
            <w:r w:rsidRPr="00D24525">
              <w:rPr>
                <w:rFonts w:asciiTheme="minorHAnsi" w:hAnsiTheme="minorHAnsi" w:cstheme="minorHAnsi"/>
              </w:rPr>
              <w:t>0.8%</w:t>
            </w:r>
          </w:p>
        </w:tc>
        <w:tc>
          <w:tcPr>
            <w:tcW w:w="1418" w:type="dxa"/>
            <w:shd w:val="clear" w:color="auto" w:fill="FFFFFF"/>
          </w:tcPr>
          <w:p w14:paraId="125D4389" w14:textId="76576FDE"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57</w:t>
            </w:r>
          </w:p>
        </w:tc>
        <w:tc>
          <w:tcPr>
            <w:tcW w:w="1293" w:type="dxa"/>
            <w:shd w:val="clear" w:color="auto" w:fill="FFFFFF"/>
          </w:tcPr>
          <w:p w14:paraId="1EF49AA4" w14:textId="1FC4009E" w:rsidR="007C74E3" w:rsidRPr="00C20287" w:rsidRDefault="007C74E3" w:rsidP="007C74E3">
            <w:pPr>
              <w:pStyle w:val="NormalWeb"/>
              <w:spacing w:before="0" w:beforeAutospacing="0" w:after="0" w:afterAutospacing="0"/>
              <w:jc w:val="center"/>
              <w:rPr>
                <w:rFonts w:asciiTheme="minorHAnsi" w:hAnsiTheme="minorHAnsi" w:cstheme="minorHAnsi"/>
              </w:rPr>
            </w:pPr>
            <w:r w:rsidRPr="00C20287">
              <w:rPr>
                <w:rFonts w:asciiTheme="minorHAnsi" w:hAnsiTheme="minorHAnsi" w:cstheme="minorHAnsi"/>
              </w:rPr>
              <w:t>1%</w:t>
            </w:r>
          </w:p>
        </w:tc>
        <w:tc>
          <w:tcPr>
            <w:tcW w:w="1293" w:type="dxa"/>
            <w:shd w:val="clear" w:color="auto" w:fill="FFFFFF"/>
          </w:tcPr>
          <w:p w14:paraId="2776A0CB" w14:textId="425F6392" w:rsidR="007C74E3" w:rsidRPr="007C74E3" w:rsidRDefault="007C74E3" w:rsidP="007C74E3">
            <w:pPr>
              <w:pStyle w:val="NormalWeb"/>
              <w:spacing w:before="0" w:beforeAutospacing="0" w:after="0" w:afterAutospacing="0"/>
              <w:jc w:val="center"/>
              <w:rPr>
                <w:rFonts w:asciiTheme="minorHAnsi" w:hAnsiTheme="minorHAnsi" w:cstheme="minorHAnsi"/>
              </w:rPr>
            </w:pPr>
            <w:r w:rsidRPr="007C74E3">
              <w:rPr>
                <w:rFonts w:asciiTheme="minorHAnsi" w:hAnsiTheme="minorHAnsi" w:cstheme="minorHAnsi"/>
              </w:rPr>
              <w:t xml:space="preserve"> 0.28 </w:t>
            </w:r>
          </w:p>
        </w:tc>
      </w:tr>
    </w:tbl>
    <w:p w14:paraId="40A6F28A" w14:textId="4AF99C08" w:rsidR="00CD5982" w:rsidRDefault="00CD5982" w:rsidP="000828EB">
      <w:pPr>
        <w:spacing w:after="0"/>
        <w:contextualSpacing/>
        <w:rPr>
          <w:rFonts w:eastAsiaTheme="majorEastAsia" w:cs="Arial"/>
          <w:bCs/>
          <w:color w:val="0D0D0D" w:themeColor="text1" w:themeTint="F2"/>
        </w:rPr>
      </w:pPr>
      <w:r>
        <w:rPr>
          <w:rFonts w:eastAsiaTheme="majorEastAsia" w:cs="Arial"/>
          <w:bCs/>
          <w:color w:val="0D0D0D" w:themeColor="text1" w:themeTint="F2"/>
        </w:rPr>
        <w:t xml:space="preserve">* population </w:t>
      </w:r>
      <w:r w:rsidR="00AB253D" w:rsidRPr="00AB253D">
        <w:rPr>
          <w:rFonts w:eastAsiaTheme="majorEastAsia" w:cs="Arial"/>
          <w:bCs/>
          <w:color w:val="0D0D0D" w:themeColor="text1" w:themeTint="F2"/>
        </w:rPr>
        <w:t>based on Australian Bureau of Statistics (ABS) Estimated Resident Population (ERP) 2022 data</w:t>
      </w:r>
    </w:p>
    <w:p w14:paraId="00BCA7D1" w14:textId="17D0CF21" w:rsidR="000A5E7B" w:rsidRPr="00C20287" w:rsidRDefault="00CD5982" w:rsidP="000828EB">
      <w:pPr>
        <w:spacing w:after="0"/>
        <w:contextualSpacing/>
        <w:rPr>
          <w:rFonts w:eastAsiaTheme="majorEastAsia" w:cs="Arial"/>
          <w:bCs/>
          <w:color w:val="0D0D0D" w:themeColor="text1" w:themeTint="F2"/>
        </w:rPr>
      </w:pPr>
      <w:r>
        <w:rPr>
          <w:rFonts w:eastAsiaTheme="majorEastAsia" w:cs="Arial"/>
          <w:bCs/>
          <w:color w:val="0D0D0D" w:themeColor="text1" w:themeTint="F2"/>
        </w:rPr>
        <w:t>*</w:t>
      </w:r>
      <w:r w:rsidR="006063F1" w:rsidRPr="00C20287">
        <w:rPr>
          <w:rFonts w:eastAsiaTheme="majorEastAsia" w:cs="Arial"/>
          <w:bCs/>
          <w:color w:val="0D0D0D" w:themeColor="text1" w:themeTint="F2"/>
        </w:rPr>
        <w:t xml:space="preserve">* number of pharmacies in each MM category as at 30 </w:t>
      </w:r>
      <w:r w:rsidR="006063F1" w:rsidRPr="00C20287" w:rsidDel="008B4BF8">
        <w:rPr>
          <w:rFonts w:eastAsiaTheme="majorEastAsia" w:cs="Arial"/>
          <w:bCs/>
          <w:color w:val="0D0D0D" w:themeColor="text1" w:themeTint="F2"/>
        </w:rPr>
        <w:t>April</w:t>
      </w:r>
      <w:r w:rsidR="006063F1" w:rsidRPr="00C20287">
        <w:rPr>
          <w:rFonts w:eastAsiaTheme="majorEastAsia" w:cs="Arial"/>
          <w:bCs/>
          <w:color w:val="0D0D0D" w:themeColor="text1" w:themeTint="F2"/>
        </w:rPr>
        <w:t xml:space="preserve"> 2023</w:t>
      </w:r>
    </w:p>
    <w:p w14:paraId="3DA08805" w14:textId="77777777" w:rsidR="00A04A93" w:rsidRDefault="00A04A93" w:rsidP="00A04A93">
      <w:pPr>
        <w:keepNext/>
      </w:pPr>
      <w:r>
        <w:rPr>
          <w:rFonts w:eastAsiaTheme="majorEastAsia" w:cs="Arial"/>
          <w:bCs/>
          <w:noProof/>
          <w:color w:val="0D0D0D" w:themeColor="text1" w:themeTint="F2"/>
          <w:sz w:val="24"/>
          <w:szCs w:val="24"/>
          <w:lang w:eastAsia="en-AU"/>
        </w:rPr>
        <w:lastRenderedPageBreak/>
        <w:drawing>
          <wp:inline distT="0" distB="0" distL="0" distR="0" wp14:anchorId="54CAD061" wp14:editId="03A90643">
            <wp:extent cx="9906000" cy="59759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unity pharmacies in Australia.PNG"/>
                    <pic:cNvPicPr/>
                  </pic:nvPicPr>
                  <pic:blipFill>
                    <a:blip r:embed="rId27">
                      <a:extLst>
                        <a:ext uri="{28A0092B-C50C-407E-A947-70E740481C1C}">
                          <a14:useLocalDpi xmlns:a14="http://schemas.microsoft.com/office/drawing/2010/main" val="0"/>
                        </a:ext>
                      </a:extLst>
                    </a:blip>
                    <a:stretch>
                      <a:fillRect/>
                    </a:stretch>
                  </pic:blipFill>
                  <pic:spPr>
                    <a:xfrm>
                      <a:off x="0" y="0"/>
                      <a:ext cx="9919399" cy="5984068"/>
                    </a:xfrm>
                    <a:prstGeom prst="rect">
                      <a:avLst/>
                    </a:prstGeom>
                  </pic:spPr>
                </pic:pic>
              </a:graphicData>
            </a:graphic>
          </wp:inline>
        </w:drawing>
      </w:r>
    </w:p>
    <w:p w14:paraId="3AB65A5F" w14:textId="7E0410F5" w:rsidR="00F43B63" w:rsidRDefault="00A04A93" w:rsidP="00A04A93">
      <w:pPr>
        <w:pStyle w:val="Caption"/>
        <w:sectPr w:rsidR="00F43B63" w:rsidSect="00FF4C3F">
          <w:pgSz w:w="16838" w:h="11906" w:orient="landscape"/>
          <w:pgMar w:top="851" w:right="1559" w:bottom="851" w:left="1701" w:header="567" w:footer="57" w:gutter="0"/>
          <w:cols w:space="708"/>
          <w:docGrid w:linePitch="360"/>
        </w:sectPr>
      </w:pPr>
      <w:r>
        <w:t xml:space="preserve">Figure </w:t>
      </w:r>
      <w:fldSimple w:instr=" SEQ Figure \* ARABIC ">
        <w:r w:rsidR="009A4475">
          <w:rPr>
            <w:noProof/>
          </w:rPr>
          <w:t>1</w:t>
        </w:r>
      </w:fldSimple>
      <w:r>
        <w:t>. Distribution of community pharmacies and MM classification</w:t>
      </w:r>
    </w:p>
    <w:p w14:paraId="4C36C06D" w14:textId="0760EF63" w:rsidR="00120019" w:rsidRDefault="00120019" w:rsidP="00120019">
      <w:pPr>
        <w:rPr>
          <w:rFonts w:eastAsiaTheme="majorEastAsia" w:cs="Arial"/>
          <w:color w:val="0D0D0D" w:themeColor="text1" w:themeTint="F2"/>
          <w:sz w:val="24"/>
          <w:szCs w:val="24"/>
        </w:rPr>
      </w:pPr>
      <w:r w:rsidRPr="00C20287">
        <w:rPr>
          <w:rFonts w:eastAsiaTheme="majorEastAsia" w:cs="Arial"/>
          <w:bCs/>
          <w:color w:val="0D0D0D" w:themeColor="text1" w:themeTint="F2"/>
          <w:sz w:val="24"/>
          <w:szCs w:val="24"/>
        </w:rPr>
        <w:lastRenderedPageBreak/>
        <w:t xml:space="preserve">Loss of pharmacies in rural and remote regions has a much more profound effect on access to PBS medicines </w:t>
      </w:r>
      <w:r>
        <w:rPr>
          <w:rFonts w:eastAsiaTheme="majorEastAsia" w:cs="Arial"/>
          <w:bCs/>
          <w:color w:val="0D0D0D" w:themeColor="text1" w:themeTint="F2"/>
          <w:sz w:val="24"/>
          <w:szCs w:val="24"/>
        </w:rPr>
        <w:t xml:space="preserve">compared to </w:t>
      </w:r>
      <w:r w:rsidRPr="00C20287">
        <w:rPr>
          <w:rFonts w:eastAsiaTheme="majorEastAsia" w:cs="Arial"/>
          <w:bCs/>
          <w:color w:val="0D0D0D" w:themeColor="text1" w:themeTint="F2"/>
          <w:sz w:val="24"/>
          <w:szCs w:val="24"/>
        </w:rPr>
        <w:t>metropolitan areas</w:t>
      </w:r>
      <w:r>
        <w:rPr>
          <w:rFonts w:eastAsiaTheme="majorEastAsia" w:cs="Arial"/>
          <w:bCs/>
          <w:color w:val="0D0D0D" w:themeColor="text1" w:themeTint="F2"/>
          <w:sz w:val="24"/>
          <w:szCs w:val="24"/>
        </w:rPr>
        <w:t xml:space="preserve"> where consumers can often easily access multiple pharmacies</w:t>
      </w:r>
      <w:r w:rsidRPr="00C20287">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In addition the National Health Survey found that in 2020-21, approximately o</w:t>
      </w:r>
      <w:r w:rsidRPr="002E1344">
        <w:rPr>
          <w:rFonts w:eastAsiaTheme="majorEastAsia" w:cs="Arial"/>
          <w:bCs/>
          <w:color w:val="0D0D0D" w:themeColor="text1" w:themeTint="F2"/>
          <w:sz w:val="24"/>
          <w:szCs w:val="24"/>
        </w:rPr>
        <w:t>ne quarter (24.5%) of people living in inner regional Australia were supplied with five or more medication types, compared to 17.4% living in major cities</w:t>
      </w:r>
      <w:r>
        <w:rPr>
          <w:rFonts w:eastAsiaTheme="majorEastAsia" w:cs="Arial"/>
          <w:bCs/>
          <w:color w:val="0D0D0D" w:themeColor="text1" w:themeTint="F2"/>
          <w:sz w:val="24"/>
          <w:szCs w:val="24"/>
        </w:rPr>
        <w:t>. The a</w:t>
      </w:r>
      <w:r w:rsidRPr="0024227F">
        <w:rPr>
          <w:rFonts w:eastAsiaTheme="majorEastAsia" w:cs="Arial"/>
          <w:bCs/>
          <w:color w:val="0D0D0D" w:themeColor="text1" w:themeTint="F2"/>
          <w:sz w:val="24"/>
          <w:szCs w:val="24"/>
        </w:rPr>
        <w:t xml:space="preserve">verage number of medications dispensed </w:t>
      </w:r>
      <w:r>
        <w:rPr>
          <w:rFonts w:eastAsiaTheme="majorEastAsia" w:cs="Arial"/>
          <w:bCs/>
          <w:color w:val="0D0D0D" w:themeColor="text1" w:themeTint="F2"/>
          <w:sz w:val="24"/>
          <w:szCs w:val="24"/>
        </w:rPr>
        <w:t xml:space="preserve">was similar </w:t>
      </w:r>
      <w:r w:rsidRPr="0024227F">
        <w:rPr>
          <w:rFonts w:eastAsiaTheme="majorEastAsia" w:cs="Arial"/>
          <w:bCs/>
          <w:color w:val="0D0D0D" w:themeColor="text1" w:themeTint="F2"/>
          <w:sz w:val="24"/>
          <w:szCs w:val="24"/>
        </w:rPr>
        <w:t xml:space="preserve">in major cities </w:t>
      </w:r>
      <w:r>
        <w:rPr>
          <w:rFonts w:eastAsiaTheme="majorEastAsia" w:cs="Arial"/>
          <w:bCs/>
          <w:color w:val="0D0D0D" w:themeColor="text1" w:themeTint="F2"/>
          <w:sz w:val="24"/>
          <w:szCs w:val="24"/>
        </w:rPr>
        <w:t>(</w:t>
      </w:r>
      <w:r w:rsidRPr="0024227F">
        <w:rPr>
          <w:rFonts w:eastAsiaTheme="majorEastAsia" w:cs="Arial"/>
          <w:bCs/>
          <w:color w:val="0D0D0D" w:themeColor="text1" w:themeTint="F2"/>
          <w:sz w:val="24"/>
          <w:szCs w:val="24"/>
        </w:rPr>
        <w:t>3.7</w:t>
      </w:r>
      <w:r>
        <w:rPr>
          <w:rFonts w:eastAsiaTheme="majorEastAsia" w:cs="Arial"/>
          <w:bCs/>
          <w:color w:val="0D0D0D" w:themeColor="text1" w:themeTint="F2"/>
          <w:sz w:val="24"/>
          <w:szCs w:val="24"/>
        </w:rPr>
        <w:t>), i</w:t>
      </w:r>
      <w:r w:rsidRPr="0024227F">
        <w:rPr>
          <w:rFonts w:eastAsiaTheme="majorEastAsia" w:cs="Arial"/>
          <w:bCs/>
          <w:color w:val="0D0D0D" w:themeColor="text1" w:themeTint="F2"/>
          <w:sz w:val="24"/>
          <w:szCs w:val="24"/>
        </w:rPr>
        <w:t xml:space="preserve">nner regional Australia </w:t>
      </w:r>
      <w:r>
        <w:rPr>
          <w:rFonts w:eastAsiaTheme="majorEastAsia" w:cs="Arial"/>
          <w:bCs/>
          <w:color w:val="0D0D0D" w:themeColor="text1" w:themeTint="F2"/>
          <w:sz w:val="24"/>
          <w:szCs w:val="24"/>
        </w:rPr>
        <w:t>(</w:t>
      </w:r>
      <w:r w:rsidRPr="0024227F">
        <w:rPr>
          <w:rFonts w:eastAsiaTheme="majorEastAsia" w:cs="Arial"/>
          <w:bCs/>
          <w:color w:val="0D0D0D" w:themeColor="text1" w:themeTint="F2"/>
          <w:sz w:val="24"/>
          <w:szCs w:val="24"/>
        </w:rPr>
        <w:t>4.2</w:t>
      </w:r>
      <w:r>
        <w:rPr>
          <w:rFonts w:eastAsiaTheme="majorEastAsia" w:cs="Arial"/>
          <w:bCs/>
          <w:color w:val="0D0D0D" w:themeColor="text1" w:themeTint="F2"/>
          <w:sz w:val="24"/>
          <w:szCs w:val="24"/>
        </w:rPr>
        <w:t>)</w:t>
      </w:r>
      <w:r w:rsidRPr="0024227F">
        <w:rPr>
          <w:rFonts w:eastAsiaTheme="majorEastAsia" w:cs="Arial"/>
          <w:bCs/>
          <w:color w:val="0D0D0D" w:themeColor="text1" w:themeTint="F2"/>
          <w:sz w:val="24"/>
          <w:szCs w:val="24"/>
        </w:rPr>
        <w:t xml:space="preserve">, outer regional and remote Australia </w:t>
      </w:r>
      <w:r>
        <w:rPr>
          <w:rFonts w:eastAsiaTheme="majorEastAsia" w:cs="Arial"/>
          <w:bCs/>
          <w:color w:val="0D0D0D" w:themeColor="text1" w:themeTint="F2"/>
          <w:sz w:val="24"/>
          <w:szCs w:val="24"/>
        </w:rPr>
        <w:t>(</w:t>
      </w:r>
      <w:r w:rsidRPr="0024227F">
        <w:rPr>
          <w:rFonts w:eastAsiaTheme="majorEastAsia" w:cs="Arial"/>
          <w:bCs/>
          <w:color w:val="0D0D0D" w:themeColor="text1" w:themeTint="F2"/>
          <w:sz w:val="24"/>
          <w:szCs w:val="24"/>
        </w:rPr>
        <w:t>4.0</w:t>
      </w:r>
      <w:r>
        <w:rPr>
          <w:rFonts w:eastAsiaTheme="majorEastAsia" w:cs="Arial"/>
          <w:bCs/>
          <w:color w:val="0D0D0D" w:themeColor="text1" w:themeTint="F2"/>
          <w:sz w:val="24"/>
          <w:szCs w:val="24"/>
        </w:rPr>
        <w:t>).</w:t>
      </w:r>
      <w:r>
        <w:rPr>
          <w:rStyle w:val="FootnoteReference"/>
          <w:rFonts w:eastAsiaTheme="majorEastAsia" w:cs="Arial"/>
          <w:bCs/>
          <w:color w:val="0D0D0D" w:themeColor="text1" w:themeTint="F2"/>
          <w:sz w:val="24"/>
          <w:szCs w:val="24"/>
        </w:rPr>
        <w:footnoteReference w:id="46"/>
      </w:r>
    </w:p>
    <w:p w14:paraId="4B23DC3B" w14:textId="48AE1B6D" w:rsidR="00120019" w:rsidRPr="002F3FBC" w:rsidRDefault="00120019" w:rsidP="00EE1495">
      <w:pPr>
        <w:rPr>
          <w:rFonts w:cstheme="minorHAnsi"/>
          <w:color w:val="313131"/>
          <w:sz w:val="24"/>
          <w:szCs w:val="24"/>
          <w:lang w:eastAsia="en-AU"/>
        </w:rPr>
      </w:pPr>
      <w:r>
        <w:rPr>
          <w:color w:val="0D0D0D" w:themeColor="text1" w:themeTint="F2"/>
          <w:sz w:val="24"/>
          <w:szCs w:val="24"/>
        </w:rPr>
        <w:t xml:space="preserve">Successive CPA agreements have provided specific funding for rural and remote pharmacy and pharmacists. </w:t>
      </w:r>
      <w:r w:rsidR="00F37CDB">
        <w:rPr>
          <w:rFonts w:cstheme="minorHAnsi"/>
          <w:color w:val="0D0D0D" w:themeColor="text1" w:themeTint="F2"/>
          <w:sz w:val="24"/>
          <w:szCs w:val="24"/>
        </w:rPr>
        <w:t>T</w:t>
      </w:r>
      <w:r w:rsidRPr="002F3FBC">
        <w:rPr>
          <w:rFonts w:cstheme="minorHAnsi"/>
          <w:color w:val="0D0D0D" w:themeColor="text1" w:themeTint="F2"/>
          <w:sz w:val="24"/>
          <w:szCs w:val="24"/>
        </w:rPr>
        <w:t xml:space="preserve">he 7CPA continues to support rural programs including the </w:t>
      </w:r>
      <w:r w:rsidRPr="002F3FBC">
        <w:rPr>
          <w:rFonts w:eastAsia="Times New Roman" w:cstheme="minorHAnsi"/>
          <w:sz w:val="24"/>
          <w:szCs w:val="24"/>
        </w:rPr>
        <w:t>Regional Pharmacy Maintenance Allowance</w:t>
      </w:r>
      <w:r w:rsidR="00934024">
        <w:rPr>
          <w:rFonts w:eastAsia="Times New Roman" w:cstheme="minorHAnsi"/>
          <w:sz w:val="24"/>
          <w:szCs w:val="24"/>
        </w:rPr>
        <w:t xml:space="preserve"> </w:t>
      </w:r>
      <w:r w:rsidRPr="002F3FBC">
        <w:rPr>
          <w:rFonts w:eastAsia="Times New Roman" w:cstheme="minorHAnsi"/>
          <w:sz w:val="24"/>
          <w:szCs w:val="24"/>
        </w:rPr>
        <w:t xml:space="preserve">(RPMA), which </w:t>
      </w:r>
      <w:r w:rsidRPr="002F3FBC">
        <w:rPr>
          <w:rFonts w:cstheme="minorHAnsi"/>
          <w:color w:val="313131"/>
          <w:sz w:val="24"/>
          <w:szCs w:val="24"/>
          <w:lang w:eastAsia="en-AU"/>
        </w:rPr>
        <w:t xml:space="preserve">provides funding to eligible pharmacies depending on </w:t>
      </w:r>
      <w:r w:rsidRPr="002F3FBC">
        <w:rPr>
          <w:rFonts w:eastAsia="Times New Roman" w:cstheme="minorHAnsi"/>
          <w:color w:val="313131"/>
          <w:sz w:val="24"/>
          <w:szCs w:val="24"/>
          <w:lang w:eastAsia="en-AU"/>
        </w:rPr>
        <w:t>their location and how many prescriptions they fill a</w:t>
      </w:r>
      <w:r w:rsidRPr="002F3FBC">
        <w:rPr>
          <w:rFonts w:cstheme="minorHAnsi"/>
          <w:color w:val="313131"/>
          <w:sz w:val="24"/>
          <w:szCs w:val="24"/>
          <w:lang w:eastAsia="en-AU"/>
        </w:rPr>
        <w:t xml:space="preserve">s well as the following </w:t>
      </w:r>
      <w:r w:rsidRPr="00BD4A70">
        <w:rPr>
          <w:rFonts w:cstheme="minorHAnsi"/>
          <w:color w:val="313131"/>
          <w:sz w:val="24"/>
          <w:szCs w:val="24"/>
          <w:lang w:eastAsia="en-AU"/>
        </w:rPr>
        <w:t xml:space="preserve">lower </w:t>
      </w:r>
      <w:r w:rsidRPr="00EE1495">
        <w:rPr>
          <w:rFonts w:cstheme="minorHAnsi"/>
          <w:iCs/>
          <w:sz w:val="24"/>
          <w:szCs w:val="24"/>
        </w:rPr>
        <w:t xml:space="preserve">volume programs: </w:t>
      </w:r>
    </w:p>
    <w:p w14:paraId="39C4AA76" w14:textId="77777777"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 xml:space="preserve">Rural Continuing Professional Education Allowance (CPE) </w:t>
      </w:r>
    </w:p>
    <w:p w14:paraId="48CC4157" w14:textId="77777777"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 xml:space="preserve">Emergency Locum Service (ELS) </w:t>
      </w:r>
    </w:p>
    <w:p w14:paraId="5EF38397" w14:textId="79AC93CB"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Rural Intern Training Allowance</w:t>
      </w:r>
      <w:r w:rsidR="001270D6">
        <w:rPr>
          <w:rFonts w:eastAsia="Times New Roman" w:cstheme="minorHAnsi"/>
          <w:sz w:val="24"/>
          <w:szCs w:val="24"/>
        </w:rPr>
        <w:t xml:space="preserve"> </w:t>
      </w:r>
      <w:r w:rsidRPr="002F3FBC">
        <w:rPr>
          <w:rFonts w:eastAsia="Times New Roman" w:cstheme="minorHAnsi"/>
          <w:sz w:val="24"/>
          <w:szCs w:val="24"/>
        </w:rPr>
        <w:t>(RITA)</w:t>
      </w:r>
    </w:p>
    <w:p w14:paraId="3F0C21A8" w14:textId="77777777"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Rural Pharmacy Scholarship Scheme (RPSS)</w:t>
      </w:r>
    </w:p>
    <w:p w14:paraId="4F73EFCA" w14:textId="77777777"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Rural Pharmacy Scholarship Mentor Scheme (RPSS-Mentor)</w:t>
      </w:r>
    </w:p>
    <w:p w14:paraId="2DC2F658" w14:textId="5672542C"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Rural Pharmacy Liaison Officer Program</w:t>
      </w:r>
      <w:r w:rsidR="001270D6">
        <w:rPr>
          <w:rFonts w:eastAsia="Times New Roman" w:cstheme="minorHAnsi"/>
          <w:sz w:val="24"/>
          <w:szCs w:val="24"/>
        </w:rPr>
        <w:t xml:space="preserve"> </w:t>
      </w:r>
      <w:r w:rsidRPr="002F3FBC">
        <w:rPr>
          <w:rFonts w:eastAsia="Times New Roman" w:cstheme="minorHAnsi"/>
          <w:sz w:val="24"/>
          <w:szCs w:val="24"/>
        </w:rPr>
        <w:t>(RPLO)</w:t>
      </w:r>
    </w:p>
    <w:p w14:paraId="2B715F44" w14:textId="3F810C66"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 xml:space="preserve">Rural Pharmacy Student Placement Allowance Program (RPSPA) </w:t>
      </w:r>
    </w:p>
    <w:p w14:paraId="3760909D" w14:textId="77777777"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 xml:space="preserve">Administrative Support to Pharmacy Schools Scheme (Admin) </w:t>
      </w:r>
    </w:p>
    <w:p w14:paraId="0E98B9DE" w14:textId="77777777" w:rsidR="00120019" w:rsidRPr="002F3FBC" w:rsidRDefault="00120019" w:rsidP="0095671A">
      <w:pPr>
        <w:numPr>
          <w:ilvl w:val="0"/>
          <w:numId w:val="34"/>
        </w:numPr>
        <w:spacing w:after="0" w:line="240" w:lineRule="auto"/>
        <w:textAlignment w:val="center"/>
        <w:rPr>
          <w:rFonts w:eastAsia="Times New Roman" w:cstheme="minorHAnsi"/>
          <w:sz w:val="24"/>
          <w:szCs w:val="24"/>
        </w:rPr>
      </w:pPr>
      <w:r w:rsidRPr="002F3FBC">
        <w:rPr>
          <w:rFonts w:eastAsia="Times New Roman" w:cstheme="minorHAnsi"/>
          <w:sz w:val="24"/>
          <w:szCs w:val="24"/>
        </w:rPr>
        <w:t>Intern Incentive Allowance for Rural Pharmacies (IIARP)</w:t>
      </w:r>
    </w:p>
    <w:p w14:paraId="141F4388" w14:textId="77777777" w:rsidR="00120019" w:rsidRPr="002F3FBC" w:rsidRDefault="00120019" w:rsidP="0095671A">
      <w:pPr>
        <w:numPr>
          <w:ilvl w:val="0"/>
          <w:numId w:val="34"/>
        </w:numPr>
        <w:spacing w:line="240" w:lineRule="auto"/>
        <w:ind w:left="714" w:hanging="357"/>
        <w:textAlignment w:val="center"/>
        <w:rPr>
          <w:rFonts w:eastAsia="Times New Roman" w:cstheme="minorHAnsi"/>
          <w:sz w:val="24"/>
          <w:szCs w:val="24"/>
        </w:rPr>
      </w:pPr>
      <w:r w:rsidRPr="002F3FBC">
        <w:rPr>
          <w:rFonts w:eastAsia="Times New Roman" w:cstheme="minorHAnsi"/>
          <w:sz w:val="24"/>
          <w:szCs w:val="24"/>
        </w:rPr>
        <w:t>Intern Incentive Allowance for Rural Pharmacies Extension program (IIARP-EP)</w:t>
      </w:r>
    </w:p>
    <w:p w14:paraId="4042D872" w14:textId="0D32B62F" w:rsidR="00BD4A70" w:rsidRPr="005269D1" w:rsidRDefault="00120019" w:rsidP="00296FCC">
      <w:pPr>
        <w:shd w:val="clear" w:color="auto" w:fill="FFFFFF"/>
        <w:rPr>
          <w:rFonts w:eastAsiaTheme="majorEastAsia" w:cstheme="minorHAnsi"/>
          <w:bCs/>
          <w:color w:val="auto"/>
          <w:sz w:val="24"/>
          <w:szCs w:val="24"/>
        </w:rPr>
      </w:pPr>
      <w:r w:rsidRPr="003C08BB">
        <w:rPr>
          <w:rFonts w:cstheme="minorHAnsi"/>
          <w:color w:val="0D0D0D" w:themeColor="text1" w:themeTint="F2"/>
          <w:sz w:val="24"/>
          <w:szCs w:val="24"/>
        </w:rPr>
        <w:t>For the first year of the agreement the funding allocated was $24.6 million for the rural support program to be increased year on year during the agreement. This is in addition to the funding for the Aboriginal and Torres Strait Islander Specific Programs which were allocated a further $12.6 million in the first year of the CPA.</w:t>
      </w:r>
      <w:r w:rsidR="00774509">
        <w:rPr>
          <w:rFonts w:cstheme="minorHAnsi"/>
          <w:color w:val="0D0D0D" w:themeColor="text1" w:themeTint="F2"/>
          <w:sz w:val="24"/>
          <w:szCs w:val="24"/>
        </w:rPr>
        <w:t xml:space="preserve"> </w:t>
      </w:r>
      <w:r w:rsidRPr="003C08BB">
        <w:rPr>
          <w:rFonts w:eastAsiaTheme="majorEastAsia" w:cstheme="minorHAnsi"/>
          <w:bCs/>
          <w:color w:val="0D0D0D" w:themeColor="text1" w:themeTint="F2"/>
          <w:sz w:val="24"/>
          <w:szCs w:val="24"/>
        </w:rPr>
        <w:t xml:space="preserve">In 2022-23 the total expenditure for the RPMA was almost $20 million and supported almost 1,100 pharmacies. </w:t>
      </w:r>
      <w:r w:rsidR="00650529" w:rsidRPr="00650529">
        <w:rPr>
          <w:rFonts w:eastAsiaTheme="majorEastAsia" w:cstheme="minorHAnsi"/>
          <w:bCs/>
          <w:color w:val="0D0D0D" w:themeColor="text1" w:themeTint="F2"/>
          <w:sz w:val="24"/>
          <w:szCs w:val="24"/>
        </w:rPr>
        <w:fldChar w:fldCharType="begin"/>
      </w:r>
      <w:r w:rsidR="00650529" w:rsidRPr="00650529">
        <w:rPr>
          <w:rFonts w:eastAsiaTheme="majorEastAsia" w:cstheme="minorHAnsi"/>
          <w:bCs/>
          <w:color w:val="0D0D0D" w:themeColor="text1" w:themeTint="F2"/>
          <w:sz w:val="24"/>
          <w:szCs w:val="24"/>
        </w:rPr>
        <w:instrText xml:space="preserve"> REF _Ref155784575 \h </w:instrText>
      </w:r>
      <w:r w:rsidR="00650529">
        <w:rPr>
          <w:rFonts w:eastAsiaTheme="majorEastAsia" w:cstheme="minorHAnsi"/>
          <w:bCs/>
          <w:color w:val="0D0D0D" w:themeColor="text1" w:themeTint="F2"/>
          <w:sz w:val="24"/>
          <w:szCs w:val="24"/>
        </w:rPr>
        <w:instrText xml:space="preserve"> \* MERGEFORMAT </w:instrText>
      </w:r>
      <w:r w:rsidR="00650529" w:rsidRPr="00650529">
        <w:rPr>
          <w:rFonts w:eastAsiaTheme="majorEastAsia" w:cstheme="minorHAnsi"/>
          <w:bCs/>
          <w:color w:val="0D0D0D" w:themeColor="text1" w:themeTint="F2"/>
          <w:sz w:val="24"/>
          <w:szCs w:val="24"/>
        </w:rPr>
      </w:r>
      <w:r w:rsidR="00650529" w:rsidRPr="00650529">
        <w:rPr>
          <w:rFonts w:eastAsiaTheme="majorEastAsia" w:cstheme="minorHAnsi"/>
          <w:bCs/>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5</w:t>
      </w:r>
      <w:r w:rsidR="00650529" w:rsidRPr="00650529">
        <w:rPr>
          <w:rFonts w:eastAsiaTheme="majorEastAsia" w:cstheme="minorHAnsi"/>
          <w:bCs/>
          <w:color w:val="0D0D0D" w:themeColor="text1" w:themeTint="F2"/>
          <w:sz w:val="24"/>
          <w:szCs w:val="24"/>
        </w:rPr>
        <w:fldChar w:fldCharType="end"/>
      </w:r>
      <w:r w:rsidRPr="00650529">
        <w:rPr>
          <w:rFonts w:eastAsiaTheme="majorEastAsia" w:cstheme="minorHAnsi"/>
          <w:bCs/>
          <w:color w:val="0D0D0D" w:themeColor="text1" w:themeTint="F2"/>
          <w:sz w:val="24"/>
          <w:szCs w:val="24"/>
        </w:rPr>
        <w:t xml:space="preserve"> </w:t>
      </w:r>
      <w:r w:rsidRPr="003C08BB">
        <w:rPr>
          <w:rFonts w:eastAsiaTheme="majorEastAsia" w:cstheme="minorHAnsi"/>
          <w:bCs/>
          <w:color w:val="0D0D0D" w:themeColor="text1" w:themeTint="F2"/>
          <w:sz w:val="24"/>
          <w:szCs w:val="24"/>
        </w:rPr>
        <w:t xml:space="preserve">below outlines the expenditure for the RPMA in 2022-23 in </w:t>
      </w:r>
      <w:r w:rsidRPr="005269D1">
        <w:rPr>
          <w:rFonts w:eastAsiaTheme="majorEastAsia" w:cstheme="minorHAnsi"/>
          <w:bCs/>
          <w:color w:val="auto"/>
          <w:sz w:val="24"/>
          <w:szCs w:val="24"/>
        </w:rPr>
        <w:t xml:space="preserve">more detail. </w:t>
      </w:r>
    </w:p>
    <w:p w14:paraId="3DBD484F" w14:textId="54C58004" w:rsidR="00120019" w:rsidRPr="005269D1" w:rsidRDefault="00120019" w:rsidP="00296FCC">
      <w:pPr>
        <w:shd w:val="clear" w:color="auto" w:fill="FFFFFF"/>
        <w:rPr>
          <w:rFonts w:cstheme="minorHAnsi"/>
          <w:color w:val="auto"/>
          <w:sz w:val="24"/>
          <w:szCs w:val="24"/>
          <w:lang w:eastAsia="en-AU"/>
        </w:rPr>
      </w:pPr>
      <w:r w:rsidRPr="005269D1">
        <w:rPr>
          <w:rFonts w:cstheme="minorHAnsi"/>
          <w:color w:val="auto"/>
          <w:sz w:val="24"/>
          <w:szCs w:val="24"/>
          <w:lang w:eastAsia="en-AU"/>
        </w:rPr>
        <w:t>From 1 July 2023, the budget for the</w:t>
      </w:r>
      <w:r w:rsidR="007868A5" w:rsidRPr="005269D1">
        <w:rPr>
          <w:rFonts w:cstheme="minorHAnsi"/>
          <w:color w:val="auto"/>
          <w:sz w:val="24"/>
          <w:szCs w:val="24"/>
          <w:lang w:eastAsia="en-AU"/>
        </w:rPr>
        <w:t xml:space="preserve"> </w:t>
      </w:r>
      <w:r w:rsidRPr="005269D1">
        <w:rPr>
          <w:rFonts w:cstheme="minorHAnsi"/>
          <w:color w:val="auto"/>
          <w:sz w:val="24"/>
          <w:szCs w:val="24"/>
          <w:lang w:eastAsia="en-AU"/>
        </w:rPr>
        <w:t xml:space="preserve">RPMA doubled to $39.8m per year. This represents $79.5 million over 4 years to </w:t>
      </w:r>
      <w:r w:rsidR="005269D1">
        <w:rPr>
          <w:rFonts w:cstheme="minorHAnsi"/>
          <w:color w:val="auto"/>
          <w:sz w:val="24"/>
          <w:szCs w:val="24"/>
          <w:lang w:eastAsia="en-AU"/>
        </w:rPr>
        <w:t xml:space="preserve">ensure </w:t>
      </w:r>
      <w:r w:rsidRPr="005269D1">
        <w:rPr>
          <w:rFonts w:cstheme="minorHAnsi"/>
          <w:color w:val="auto"/>
          <w:sz w:val="24"/>
          <w:szCs w:val="24"/>
          <w:lang w:eastAsia="en-AU"/>
        </w:rPr>
        <w:t>Australians in regional, rural, and remote locations have continued access to pharmacies and pharmacy services. The total number of active service providers</w:t>
      </w:r>
      <w:r w:rsidR="00305F41" w:rsidRPr="005269D1">
        <w:rPr>
          <w:rFonts w:cstheme="minorHAnsi"/>
          <w:color w:val="auto"/>
          <w:sz w:val="24"/>
          <w:szCs w:val="24"/>
          <w:lang w:eastAsia="en-AU"/>
        </w:rPr>
        <w:t xml:space="preserve"> receiving the RPMA</w:t>
      </w:r>
      <w:r w:rsidRPr="005269D1">
        <w:rPr>
          <w:rFonts w:cstheme="minorHAnsi"/>
          <w:color w:val="auto"/>
          <w:sz w:val="24"/>
          <w:szCs w:val="24"/>
          <w:lang w:eastAsia="en-AU"/>
        </w:rPr>
        <w:t xml:space="preserve"> has continue</w:t>
      </w:r>
      <w:r w:rsidR="00305F41" w:rsidRPr="005269D1">
        <w:rPr>
          <w:rFonts w:cstheme="minorHAnsi"/>
          <w:color w:val="auto"/>
          <w:sz w:val="24"/>
          <w:szCs w:val="24"/>
          <w:lang w:eastAsia="en-AU"/>
        </w:rPr>
        <w:t>d</w:t>
      </w:r>
      <w:r w:rsidRPr="005269D1">
        <w:rPr>
          <w:rFonts w:cstheme="minorHAnsi"/>
          <w:color w:val="auto"/>
          <w:sz w:val="24"/>
          <w:szCs w:val="24"/>
          <w:lang w:eastAsia="en-AU"/>
        </w:rPr>
        <w:t xml:space="preserve"> to slowly increase to 1,149 in November 2023</w:t>
      </w:r>
      <w:r w:rsidR="00305F41" w:rsidRPr="005269D1">
        <w:rPr>
          <w:rFonts w:cstheme="minorHAnsi"/>
          <w:color w:val="auto"/>
          <w:sz w:val="24"/>
          <w:szCs w:val="24"/>
          <w:lang w:eastAsia="en-AU"/>
        </w:rPr>
        <w:t xml:space="preserve"> from 1,068 in July 2022</w:t>
      </w:r>
      <w:r w:rsidRPr="005269D1">
        <w:rPr>
          <w:rFonts w:cstheme="minorHAnsi"/>
          <w:color w:val="auto"/>
          <w:sz w:val="24"/>
          <w:szCs w:val="24"/>
          <w:lang w:eastAsia="en-AU"/>
        </w:rPr>
        <w:t>.</w:t>
      </w:r>
    </w:p>
    <w:p w14:paraId="7F4D71FE" w14:textId="77777777" w:rsidR="0085343B" w:rsidRDefault="0085343B">
      <w:pPr>
        <w:rPr>
          <w:rFonts w:asciiTheme="majorHAnsi" w:hAnsiTheme="majorHAnsi"/>
          <w:b/>
          <w:iCs/>
          <w:color w:val="014463" w:themeColor="text2"/>
          <w:szCs w:val="18"/>
        </w:rPr>
      </w:pPr>
      <w:r>
        <w:br w:type="page"/>
      </w:r>
    </w:p>
    <w:p w14:paraId="7EF79955" w14:textId="47B8F8A1" w:rsidR="00650529" w:rsidRDefault="00650529" w:rsidP="00650529">
      <w:pPr>
        <w:pStyle w:val="Caption"/>
      </w:pPr>
      <w:bookmarkStart w:id="49" w:name="_Ref155784575"/>
      <w:r>
        <w:lastRenderedPageBreak/>
        <w:t xml:space="preserve">Table </w:t>
      </w:r>
      <w:fldSimple w:instr=" SEQ Table \* ARABIC ">
        <w:r w:rsidR="005B7A17">
          <w:rPr>
            <w:noProof/>
          </w:rPr>
          <w:t>5</w:t>
        </w:r>
      </w:fldSimple>
      <w:bookmarkEnd w:id="49"/>
      <w:r>
        <w:t xml:space="preserve">. </w:t>
      </w:r>
      <w:r w:rsidRPr="00603AD0">
        <w:t xml:space="preserve">RPMA expenditure 2022-23 </w:t>
      </w:r>
    </w:p>
    <w:tbl>
      <w:tblPr>
        <w:tblW w:w="7040" w:type="dxa"/>
        <w:tblLook w:val="04A0" w:firstRow="1" w:lastRow="0" w:firstColumn="1" w:lastColumn="0" w:noHBand="0" w:noVBand="1"/>
      </w:tblPr>
      <w:tblGrid>
        <w:gridCol w:w="1300"/>
        <w:gridCol w:w="1780"/>
        <w:gridCol w:w="1880"/>
        <w:gridCol w:w="2080"/>
      </w:tblGrid>
      <w:tr w:rsidR="00120019" w:rsidRPr="0096628D" w14:paraId="68598B19" w14:textId="77777777" w:rsidTr="00EE1495">
        <w:trPr>
          <w:trHeight w:val="900"/>
        </w:trPr>
        <w:tc>
          <w:tcPr>
            <w:tcW w:w="1300" w:type="dxa"/>
            <w:tcBorders>
              <w:top w:val="single" w:sz="4" w:space="0" w:color="auto"/>
              <w:left w:val="single" w:sz="8" w:space="0" w:color="auto"/>
              <w:bottom w:val="single" w:sz="4" w:space="0" w:color="auto"/>
              <w:right w:val="single" w:sz="4" w:space="0" w:color="auto"/>
            </w:tcBorders>
            <w:shd w:val="clear" w:color="auto" w:fill="0289C8" w:themeFill="text2" w:themeFillTint="BF"/>
            <w:noWrap/>
            <w:vAlign w:val="center"/>
            <w:hideMark/>
          </w:tcPr>
          <w:p w14:paraId="0ACB9128" w14:textId="77777777" w:rsidR="00120019" w:rsidRPr="00EE1495" w:rsidRDefault="00120019" w:rsidP="00120019">
            <w:pPr>
              <w:spacing w:after="0" w:line="240" w:lineRule="auto"/>
              <w:rPr>
                <w:rFonts w:ascii="Calibri" w:eastAsia="Times New Roman" w:hAnsi="Calibri" w:cs="Calibri"/>
                <w:b/>
                <w:bCs/>
                <w:color w:val="FFFFFF" w:themeColor="background1"/>
                <w:sz w:val="22"/>
                <w:szCs w:val="22"/>
                <w:lang w:eastAsia="en-AU"/>
              </w:rPr>
            </w:pPr>
            <w:r w:rsidRPr="00EE1495">
              <w:rPr>
                <w:rFonts w:ascii="Calibri" w:eastAsia="Times New Roman" w:hAnsi="Calibri" w:cs="Calibri"/>
                <w:b/>
                <w:bCs/>
                <w:color w:val="FFFFFF" w:themeColor="background1"/>
                <w:sz w:val="22"/>
                <w:szCs w:val="22"/>
                <w:lang w:eastAsia="en-AU"/>
              </w:rPr>
              <w:t>Year</w:t>
            </w:r>
          </w:p>
        </w:tc>
        <w:tc>
          <w:tcPr>
            <w:tcW w:w="1780" w:type="dxa"/>
            <w:tcBorders>
              <w:top w:val="single" w:sz="4" w:space="0" w:color="auto"/>
              <w:left w:val="nil"/>
              <w:bottom w:val="single" w:sz="4" w:space="0" w:color="auto"/>
              <w:right w:val="single" w:sz="4" w:space="0" w:color="auto"/>
            </w:tcBorders>
            <w:shd w:val="clear" w:color="auto" w:fill="0289C8" w:themeFill="text2" w:themeFillTint="BF"/>
            <w:noWrap/>
            <w:vAlign w:val="center"/>
            <w:hideMark/>
          </w:tcPr>
          <w:p w14:paraId="3E8C60A8" w14:textId="77777777" w:rsidR="00120019" w:rsidRPr="00EE1495" w:rsidRDefault="00120019" w:rsidP="00120019">
            <w:pPr>
              <w:spacing w:after="0" w:line="240" w:lineRule="auto"/>
              <w:rPr>
                <w:rFonts w:ascii="Calibri" w:eastAsia="Times New Roman" w:hAnsi="Calibri" w:cs="Calibri"/>
                <w:b/>
                <w:bCs/>
                <w:color w:val="FFFFFF" w:themeColor="background1"/>
                <w:sz w:val="22"/>
                <w:szCs w:val="22"/>
                <w:lang w:eastAsia="en-AU"/>
              </w:rPr>
            </w:pPr>
            <w:r w:rsidRPr="00EE1495">
              <w:rPr>
                <w:rFonts w:ascii="Calibri" w:eastAsia="Times New Roman" w:hAnsi="Calibri" w:cs="Calibri"/>
                <w:b/>
                <w:bCs/>
                <w:color w:val="FFFFFF" w:themeColor="background1"/>
                <w:sz w:val="22"/>
                <w:szCs w:val="22"/>
                <w:lang w:eastAsia="en-AU"/>
              </w:rPr>
              <w:t>Month</w:t>
            </w:r>
          </w:p>
        </w:tc>
        <w:tc>
          <w:tcPr>
            <w:tcW w:w="1880" w:type="dxa"/>
            <w:tcBorders>
              <w:top w:val="single" w:sz="4" w:space="0" w:color="auto"/>
              <w:left w:val="nil"/>
              <w:bottom w:val="single" w:sz="4" w:space="0" w:color="auto"/>
              <w:right w:val="single" w:sz="4" w:space="0" w:color="auto"/>
            </w:tcBorders>
            <w:shd w:val="clear" w:color="auto" w:fill="0289C8" w:themeFill="text2" w:themeFillTint="BF"/>
            <w:vAlign w:val="center"/>
            <w:hideMark/>
          </w:tcPr>
          <w:p w14:paraId="2A64DE8E" w14:textId="77777777" w:rsidR="00120019" w:rsidRPr="00EE1495" w:rsidRDefault="00120019" w:rsidP="00120019">
            <w:pPr>
              <w:spacing w:after="0" w:line="240" w:lineRule="auto"/>
              <w:jc w:val="center"/>
              <w:rPr>
                <w:rFonts w:ascii="Calibri" w:eastAsia="Times New Roman" w:hAnsi="Calibri" w:cs="Calibri"/>
                <w:b/>
                <w:bCs/>
                <w:color w:val="FFFFFF" w:themeColor="background1"/>
                <w:sz w:val="22"/>
                <w:szCs w:val="22"/>
                <w:lang w:eastAsia="en-AU"/>
              </w:rPr>
            </w:pPr>
            <w:r w:rsidRPr="00EE1495">
              <w:rPr>
                <w:rFonts w:ascii="Calibri" w:eastAsia="Times New Roman" w:hAnsi="Calibri" w:cs="Calibri"/>
                <w:b/>
                <w:bCs/>
                <w:color w:val="FFFFFF" w:themeColor="background1"/>
                <w:sz w:val="22"/>
                <w:szCs w:val="22"/>
                <w:lang w:eastAsia="en-AU"/>
              </w:rPr>
              <w:t>Total Number of Active Service Providers*</w:t>
            </w:r>
          </w:p>
        </w:tc>
        <w:tc>
          <w:tcPr>
            <w:tcW w:w="2080" w:type="dxa"/>
            <w:tcBorders>
              <w:top w:val="single" w:sz="4" w:space="0" w:color="auto"/>
              <w:left w:val="nil"/>
              <w:bottom w:val="single" w:sz="4" w:space="0" w:color="auto"/>
              <w:right w:val="single" w:sz="8" w:space="0" w:color="auto"/>
            </w:tcBorders>
            <w:shd w:val="clear" w:color="auto" w:fill="0289C8" w:themeFill="text2" w:themeFillTint="BF"/>
            <w:vAlign w:val="center"/>
            <w:hideMark/>
          </w:tcPr>
          <w:p w14:paraId="7ABAB909" w14:textId="77777777" w:rsidR="00120019" w:rsidRPr="00EE1495" w:rsidRDefault="00120019" w:rsidP="00120019">
            <w:pPr>
              <w:spacing w:after="0" w:line="240" w:lineRule="auto"/>
              <w:jc w:val="center"/>
              <w:rPr>
                <w:rFonts w:ascii="Calibri" w:eastAsia="Times New Roman" w:hAnsi="Calibri" w:cs="Calibri"/>
                <w:b/>
                <w:bCs/>
                <w:color w:val="FFFFFF" w:themeColor="background1"/>
                <w:sz w:val="22"/>
                <w:szCs w:val="22"/>
                <w:lang w:eastAsia="en-AU"/>
              </w:rPr>
            </w:pPr>
            <w:r w:rsidRPr="00EE1495">
              <w:rPr>
                <w:rFonts w:ascii="Calibri" w:eastAsia="Times New Roman" w:hAnsi="Calibri" w:cs="Calibri"/>
                <w:b/>
                <w:bCs/>
                <w:color w:val="FFFFFF" w:themeColor="background1"/>
                <w:sz w:val="22"/>
                <w:szCs w:val="22"/>
                <w:lang w:eastAsia="en-AU"/>
              </w:rPr>
              <w:t>Expenditure</w:t>
            </w:r>
          </w:p>
        </w:tc>
      </w:tr>
      <w:tr w:rsidR="00120019" w:rsidRPr="0096628D" w14:paraId="1F6BA2FA"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4E3A2F99"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2022</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2940E18A"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July </w:t>
            </w:r>
          </w:p>
        </w:tc>
        <w:tc>
          <w:tcPr>
            <w:tcW w:w="1880" w:type="dxa"/>
            <w:tcBorders>
              <w:top w:val="nil"/>
              <w:left w:val="nil"/>
              <w:bottom w:val="nil"/>
              <w:right w:val="single" w:sz="4" w:space="0" w:color="auto"/>
            </w:tcBorders>
            <w:shd w:val="clear" w:color="auto" w:fill="auto"/>
            <w:noWrap/>
            <w:vAlign w:val="center"/>
            <w:hideMark/>
          </w:tcPr>
          <w:p w14:paraId="3919469F"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1,068</w:t>
            </w:r>
          </w:p>
        </w:tc>
        <w:tc>
          <w:tcPr>
            <w:tcW w:w="2080" w:type="dxa"/>
            <w:tcBorders>
              <w:top w:val="nil"/>
              <w:left w:val="nil"/>
              <w:bottom w:val="nil"/>
              <w:right w:val="single" w:sz="8" w:space="0" w:color="auto"/>
            </w:tcBorders>
            <w:shd w:val="clear" w:color="auto" w:fill="auto"/>
            <w:noWrap/>
            <w:vAlign w:val="center"/>
            <w:hideMark/>
          </w:tcPr>
          <w:p w14:paraId="19B71349"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$1,653,082.40</w:t>
            </w:r>
          </w:p>
        </w:tc>
      </w:tr>
      <w:tr w:rsidR="00120019" w:rsidRPr="0096628D" w14:paraId="146DD2E7"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7F5800EC"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2022</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6E284F19"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August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1B6F6B8B"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1,076</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14:paraId="1C7D77E8"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$1,644,751.17</w:t>
            </w:r>
          </w:p>
        </w:tc>
      </w:tr>
      <w:tr w:rsidR="00120019" w:rsidRPr="0096628D" w14:paraId="6B6B0978"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5440B6AB"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2022</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51AC944A"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September </w:t>
            </w:r>
          </w:p>
        </w:tc>
        <w:tc>
          <w:tcPr>
            <w:tcW w:w="1880" w:type="dxa"/>
            <w:tcBorders>
              <w:top w:val="nil"/>
              <w:left w:val="nil"/>
              <w:bottom w:val="single" w:sz="4" w:space="0" w:color="auto"/>
              <w:right w:val="single" w:sz="4" w:space="0" w:color="auto"/>
            </w:tcBorders>
            <w:shd w:val="clear" w:color="auto" w:fill="auto"/>
            <w:noWrap/>
            <w:vAlign w:val="center"/>
            <w:hideMark/>
          </w:tcPr>
          <w:p w14:paraId="64C1B060"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1,080</w:t>
            </w:r>
          </w:p>
        </w:tc>
        <w:tc>
          <w:tcPr>
            <w:tcW w:w="2080" w:type="dxa"/>
            <w:tcBorders>
              <w:top w:val="nil"/>
              <w:left w:val="nil"/>
              <w:bottom w:val="single" w:sz="4" w:space="0" w:color="auto"/>
              <w:right w:val="single" w:sz="8" w:space="0" w:color="auto"/>
            </w:tcBorders>
            <w:shd w:val="clear" w:color="auto" w:fill="auto"/>
            <w:noWrap/>
            <w:vAlign w:val="center"/>
            <w:hideMark/>
          </w:tcPr>
          <w:p w14:paraId="75983660"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$1,645,780.53</w:t>
            </w:r>
          </w:p>
        </w:tc>
      </w:tr>
      <w:tr w:rsidR="00120019" w:rsidRPr="0096628D" w14:paraId="6A79119C"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04571F88"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2022</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1D615D47"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October </w:t>
            </w:r>
          </w:p>
        </w:tc>
        <w:tc>
          <w:tcPr>
            <w:tcW w:w="1880" w:type="dxa"/>
            <w:tcBorders>
              <w:top w:val="nil"/>
              <w:left w:val="nil"/>
              <w:bottom w:val="single" w:sz="4" w:space="0" w:color="auto"/>
              <w:right w:val="single" w:sz="4" w:space="0" w:color="auto"/>
            </w:tcBorders>
            <w:shd w:val="clear" w:color="auto" w:fill="auto"/>
            <w:noWrap/>
            <w:vAlign w:val="center"/>
            <w:hideMark/>
          </w:tcPr>
          <w:p w14:paraId="3B444176"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1,083</w:t>
            </w:r>
          </w:p>
        </w:tc>
        <w:tc>
          <w:tcPr>
            <w:tcW w:w="2080" w:type="dxa"/>
            <w:tcBorders>
              <w:top w:val="nil"/>
              <w:left w:val="nil"/>
              <w:bottom w:val="single" w:sz="4" w:space="0" w:color="auto"/>
              <w:right w:val="single" w:sz="8" w:space="0" w:color="auto"/>
            </w:tcBorders>
            <w:shd w:val="clear" w:color="auto" w:fill="auto"/>
            <w:noWrap/>
            <w:vAlign w:val="center"/>
            <w:hideMark/>
          </w:tcPr>
          <w:p w14:paraId="44902F72"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$1,651,483.95</w:t>
            </w:r>
          </w:p>
        </w:tc>
      </w:tr>
      <w:tr w:rsidR="00120019" w:rsidRPr="0096628D" w14:paraId="501C5B00"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41A58EC6"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2022</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07631A80"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November </w:t>
            </w:r>
          </w:p>
        </w:tc>
        <w:tc>
          <w:tcPr>
            <w:tcW w:w="1880" w:type="dxa"/>
            <w:tcBorders>
              <w:top w:val="nil"/>
              <w:left w:val="nil"/>
              <w:bottom w:val="single" w:sz="4" w:space="0" w:color="auto"/>
              <w:right w:val="single" w:sz="4" w:space="0" w:color="auto"/>
            </w:tcBorders>
            <w:shd w:val="clear" w:color="auto" w:fill="auto"/>
            <w:noWrap/>
            <w:vAlign w:val="center"/>
            <w:hideMark/>
          </w:tcPr>
          <w:p w14:paraId="7FFC486F"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1,081</w:t>
            </w:r>
          </w:p>
        </w:tc>
        <w:tc>
          <w:tcPr>
            <w:tcW w:w="2080" w:type="dxa"/>
            <w:tcBorders>
              <w:top w:val="nil"/>
              <w:left w:val="nil"/>
              <w:bottom w:val="single" w:sz="4" w:space="0" w:color="auto"/>
              <w:right w:val="single" w:sz="8" w:space="0" w:color="auto"/>
            </w:tcBorders>
            <w:shd w:val="clear" w:color="auto" w:fill="auto"/>
            <w:noWrap/>
            <w:vAlign w:val="center"/>
            <w:hideMark/>
          </w:tcPr>
          <w:p w14:paraId="0C73C369"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$1,642,522.36</w:t>
            </w:r>
          </w:p>
        </w:tc>
      </w:tr>
      <w:tr w:rsidR="00120019" w:rsidRPr="0096628D" w14:paraId="05659AA6"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6ADBF041"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2022</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129CE4FA"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December</w:t>
            </w:r>
          </w:p>
        </w:tc>
        <w:tc>
          <w:tcPr>
            <w:tcW w:w="1880" w:type="dxa"/>
            <w:tcBorders>
              <w:top w:val="nil"/>
              <w:left w:val="nil"/>
              <w:bottom w:val="single" w:sz="4" w:space="0" w:color="auto"/>
              <w:right w:val="single" w:sz="4" w:space="0" w:color="auto"/>
            </w:tcBorders>
            <w:shd w:val="clear" w:color="auto" w:fill="auto"/>
            <w:noWrap/>
            <w:vAlign w:val="center"/>
            <w:hideMark/>
          </w:tcPr>
          <w:p w14:paraId="28090BEF"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1,084</w:t>
            </w:r>
          </w:p>
        </w:tc>
        <w:tc>
          <w:tcPr>
            <w:tcW w:w="2080" w:type="dxa"/>
            <w:tcBorders>
              <w:top w:val="nil"/>
              <w:left w:val="nil"/>
              <w:bottom w:val="single" w:sz="4" w:space="0" w:color="auto"/>
              <w:right w:val="single" w:sz="8" w:space="0" w:color="auto"/>
            </w:tcBorders>
            <w:shd w:val="clear" w:color="auto" w:fill="auto"/>
            <w:noWrap/>
            <w:vAlign w:val="center"/>
            <w:hideMark/>
          </w:tcPr>
          <w:p w14:paraId="7E1BA3BE"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$1,651,232.93</w:t>
            </w:r>
          </w:p>
        </w:tc>
      </w:tr>
      <w:tr w:rsidR="00120019" w:rsidRPr="0096628D" w14:paraId="1EEC4504"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25EA9811"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2023</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33D87BC6"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January </w:t>
            </w:r>
          </w:p>
        </w:tc>
        <w:tc>
          <w:tcPr>
            <w:tcW w:w="1880" w:type="dxa"/>
            <w:tcBorders>
              <w:top w:val="nil"/>
              <w:left w:val="nil"/>
              <w:bottom w:val="single" w:sz="4" w:space="0" w:color="auto"/>
              <w:right w:val="single" w:sz="4" w:space="0" w:color="auto"/>
            </w:tcBorders>
            <w:shd w:val="clear" w:color="auto" w:fill="auto"/>
            <w:noWrap/>
            <w:vAlign w:val="center"/>
            <w:hideMark/>
          </w:tcPr>
          <w:p w14:paraId="13112C3B" w14:textId="77777777" w:rsidR="00120019" w:rsidRPr="0096628D" w:rsidRDefault="00120019" w:rsidP="00120019">
            <w:pPr>
              <w:spacing w:after="0" w:line="240" w:lineRule="auto"/>
              <w:jc w:val="center"/>
              <w:rPr>
                <w:rFonts w:ascii="Calibri" w:eastAsia="Times New Roman" w:hAnsi="Calibri" w:cs="Calibri"/>
                <w:color w:val="auto"/>
                <w:sz w:val="22"/>
                <w:szCs w:val="22"/>
                <w:lang w:eastAsia="en-AU"/>
              </w:rPr>
            </w:pPr>
            <w:r w:rsidRPr="0096628D">
              <w:rPr>
                <w:rFonts w:ascii="Calibri" w:eastAsia="Times New Roman" w:hAnsi="Calibri" w:cs="Calibri"/>
                <w:color w:val="auto"/>
                <w:sz w:val="22"/>
                <w:szCs w:val="22"/>
                <w:lang w:eastAsia="en-AU"/>
              </w:rPr>
              <w:t>1,081</w:t>
            </w:r>
          </w:p>
        </w:tc>
        <w:tc>
          <w:tcPr>
            <w:tcW w:w="2080" w:type="dxa"/>
            <w:tcBorders>
              <w:top w:val="nil"/>
              <w:left w:val="nil"/>
              <w:bottom w:val="single" w:sz="4" w:space="0" w:color="auto"/>
              <w:right w:val="single" w:sz="8" w:space="0" w:color="auto"/>
            </w:tcBorders>
            <w:shd w:val="clear" w:color="auto" w:fill="auto"/>
            <w:noWrap/>
            <w:vAlign w:val="center"/>
            <w:hideMark/>
          </w:tcPr>
          <w:p w14:paraId="14DA89FC"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$1,641,627.94</w:t>
            </w:r>
          </w:p>
        </w:tc>
      </w:tr>
      <w:tr w:rsidR="00120019" w:rsidRPr="0096628D" w14:paraId="3C274B55"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69207455"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2023</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1D1BBE78"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February </w:t>
            </w:r>
          </w:p>
        </w:tc>
        <w:tc>
          <w:tcPr>
            <w:tcW w:w="1880" w:type="dxa"/>
            <w:tcBorders>
              <w:top w:val="nil"/>
              <w:left w:val="nil"/>
              <w:bottom w:val="single" w:sz="4" w:space="0" w:color="auto"/>
              <w:right w:val="single" w:sz="4" w:space="0" w:color="auto"/>
            </w:tcBorders>
            <w:shd w:val="clear" w:color="auto" w:fill="auto"/>
            <w:noWrap/>
            <w:vAlign w:val="center"/>
            <w:hideMark/>
          </w:tcPr>
          <w:p w14:paraId="4C66B00D"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1,086</w:t>
            </w:r>
          </w:p>
        </w:tc>
        <w:tc>
          <w:tcPr>
            <w:tcW w:w="2080" w:type="dxa"/>
            <w:tcBorders>
              <w:top w:val="nil"/>
              <w:left w:val="nil"/>
              <w:bottom w:val="single" w:sz="4" w:space="0" w:color="auto"/>
              <w:right w:val="single" w:sz="8" w:space="0" w:color="auto"/>
            </w:tcBorders>
            <w:shd w:val="clear" w:color="auto" w:fill="auto"/>
            <w:noWrap/>
            <w:vAlign w:val="center"/>
            <w:hideMark/>
          </w:tcPr>
          <w:p w14:paraId="1A7CADE1"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$1,647,790.93</w:t>
            </w:r>
          </w:p>
        </w:tc>
      </w:tr>
      <w:tr w:rsidR="00120019" w:rsidRPr="0096628D" w14:paraId="162633E8"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4A81D75E"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2023</w:t>
            </w:r>
          </w:p>
        </w:tc>
        <w:tc>
          <w:tcPr>
            <w:tcW w:w="1780" w:type="dxa"/>
            <w:tcBorders>
              <w:top w:val="nil"/>
              <w:left w:val="nil"/>
              <w:bottom w:val="single" w:sz="4" w:space="0" w:color="auto"/>
              <w:right w:val="single" w:sz="4" w:space="0" w:color="auto"/>
            </w:tcBorders>
            <w:shd w:val="clear" w:color="auto" w:fill="0289C8" w:themeFill="text2" w:themeFillTint="BF"/>
            <w:noWrap/>
            <w:vAlign w:val="center"/>
            <w:hideMark/>
          </w:tcPr>
          <w:p w14:paraId="723002AB"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 xml:space="preserve">March </w:t>
            </w:r>
          </w:p>
        </w:tc>
        <w:tc>
          <w:tcPr>
            <w:tcW w:w="1880" w:type="dxa"/>
            <w:tcBorders>
              <w:top w:val="nil"/>
              <w:left w:val="nil"/>
              <w:bottom w:val="single" w:sz="4" w:space="0" w:color="auto"/>
              <w:right w:val="single" w:sz="4" w:space="0" w:color="auto"/>
            </w:tcBorders>
            <w:shd w:val="clear" w:color="auto" w:fill="auto"/>
            <w:noWrap/>
            <w:vAlign w:val="center"/>
            <w:hideMark/>
          </w:tcPr>
          <w:p w14:paraId="36E34BF0"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1,093</w:t>
            </w:r>
          </w:p>
        </w:tc>
        <w:tc>
          <w:tcPr>
            <w:tcW w:w="2080" w:type="dxa"/>
            <w:tcBorders>
              <w:top w:val="nil"/>
              <w:left w:val="nil"/>
              <w:bottom w:val="single" w:sz="4" w:space="0" w:color="auto"/>
              <w:right w:val="single" w:sz="8" w:space="0" w:color="auto"/>
            </w:tcBorders>
            <w:shd w:val="clear" w:color="auto" w:fill="auto"/>
            <w:noWrap/>
            <w:vAlign w:val="center"/>
            <w:hideMark/>
          </w:tcPr>
          <w:p w14:paraId="48E50CBB"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$1,658,719.60</w:t>
            </w:r>
          </w:p>
        </w:tc>
      </w:tr>
      <w:tr w:rsidR="00120019" w:rsidRPr="0096628D" w14:paraId="27494223"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52A21A2E"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2023</w:t>
            </w:r>
          </w:p>
        </w:tc>
        <w:tc>
          <w:tcPr>
            <w:tcW w:w="1780" w:type="dxa"/>
            <w:tcBorders>
              <w:top w:val="nil"/>
              <w:left w:val="nil"/>
              <w:bottom w:val="nil"/>
              <w:right w:val="single" w:sz="4" w:space="0" w:color="auto"/>
            </w:tcBorders>
            <w:shd w:val="clear" w:color="auto" w:fill="0289C8" w:themeFill="text2" w:themeFillTint="BF"/>
            <w:noWrap/>
            <w:vAlign w:val="center"/>
            <w:hideMark/>
          </w:tcPr>
          <w:p w14:paraId="2FD33AD1"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April</w:t>
            </w:r>
          </w:p>
        </w:tc>
        <w:tc>
          <w:tcPr>
            <w:tcW w:w="1880" w:type="dxa"/>
            <w:tcBorders>
              <w:top w:val="nil"/>
              <w:left w:val="nil"/>
              <w:bottom w:val="nil"/>
              <w:right w:val="single" w:sz="4" w:space="0" w:color="auto"/>
            </w:tcBorders>
            <w:shd w:val="clear" w:color="auto" w:fill="auto"/>
            <w:noWrap/>
            <w:vAlign w:val="center"/>
            <w:hideMark/>
          </w:tcPr>
          <w:p w14:paraId="5584312D"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1,095</w:t>
            </w:r>
          </w:p>
        </w:tc>
        <w:tc>
          <w:tcPr>
            <w:tcW w:w="2080" w:type="dxa"/>
            <w:tcBorders>
              <w:top w:val="nil"/>
              <w:left w:val="nil"/>
              <w:bottom w:val="nil"/>
              <w:right w:val="single" w:sz="8" w:space="0" w:color="auto"/>
            </w:tcBorders>
            <w:shd w:val="clear" w:color="auto" w:fill="auto"/>
            <w:noWrap/>
            <w:vAlign w:val="center"/>
            <w:hideMark/>
          </w:tcPr>
          <w:p w14:paraId="4B5F6F9A"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$1,661,084.02</w:t>
            </w:r>
          </w:p>
        </w:tc>
      </w:tr>
      <w:tr w:rsidR="00120019" w:rsidRPr="0096628D" w14:paraId="308F3F67"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407AEE5D"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2023</w:t>
            </w:r>
          </w:p>
        </w:tc>
        <w:tc>
          <w:tcPr>
            <w:tcW w:w="1780" w:type="dxa"/>
            <w:tcBorders>
              <w:top w:val="single" w:sz="4" w:space="0" w:color="auto"/>
              <w:left w:val="nil"/>
              <w:bottom w:val="nil"/>
              <w:right w:val="single" w:sz="4" w:space="0" w:color="auto"/>
            </w:tcBorders>
            <w:shd w:val="clear" w:color="auto" w:fill="0289C8" w:themeFill="text2" w:themeFillTint="BF"/>
            <w:noWrap/>
            <w:vAlign w:val="center"/>
            <w:hideMark/>
          </w:tcPr>
          <w:p w14:paraId="471741B9"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May</w:t>
            </w:r>
          </w:p>
        </w:tc>
        <w:tc>
          <w:tcPr>
            <w:tcW w:w="1880" w:type="dxa"/>
            <w:tcBorders>
              <w:top w:val="single" w:sz="4" w:space="0" w:color="auto"/>
              <w:left w:val="nil"/>
              <w:bottom w:val="nil"/>
              <w:right w:val="single" w:sz="4" w:space="0" w:color="auto"/>
            </w:tcBorders>
            <w:shd w:val="clear" w:color="auto" w:fill="auto"/>
            <w:noWrap/>
            <w:vAlign w:val="center"/>
            <w:hideMark/>
          </w:tcPr>
          <w:p w14:paraId="62412B2D"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1,098</w:t>
            </w:r>
          </w:p>
        </w:tc>
        <w:tc>
          <w:tcPr>
            <w:tcW w:w="2080" w:type="dxa"/>
            <w:tcBorders>
              <w:top w:val="single" w:sz="4" w:space="0" w:color="auto"/>
              <w:left w:val="nil"/>
              <w:bottom w:val="nil"/>
              <w:right w:val="single" w:sz="8" w:space="0" w:color="auto"/>
            </w:tcBorders>
            <w:shd w:val="clear" w:color="auto" w:fill="auto"/>
            <w:noWrap/>
            <w:vAlign w:val="center"/>
            <w:hideMark/>
          </w:tcPr>
          <w:p w14:paraId="7922366F"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$1,663,411.61</w:t>
            </w:r>
          </w:p>
        </w:tc>
      </w:tr>
      <w:tr w:rsidR="00120019" w:rsidRPr="0096628D" w14:paraId="6D9406B3" w14:textId="77777777" w:rsidTr="00EE1495">
        <w:trPr>
          <w:trHeight w:val="300"/>
        </w:trPr>
        <w:tc>
          <w:tcPr>
            <w:tcW w:w="1300" w:type="dxa"/>
            <w:tcBorders>
              <w:top w:val="nil"/>
              <w:left w:val="single" w:sz="8" w:space="0" w:color="auto"/>
              <w:bottom w:val="single" w:sz="4" w:space="0" w:color="auto"/>
              <w:right w:val="single" w:sz="4" w:space="0" w:color="auto"/>
            </w:tcBorders>
            <w:shd w:val="clear" w:color="auto" w:fill="0289C8" w:themeFill="text2" w:themeFillTint="BF"/>
            <w:noWrap/>
            <w:vAlign w:val="center"/>
            <w:hideMark/>
          </w:tcPr>
          <w:p w14:paraId="02802EA9"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2023</w:t>
            </w:r>
          </w:p>
        </w:tc>
        <w:tc>
          <w:tcPr>
            <w:tcW w:w="1780" w:type="dxa"/>
            <w:tcBorders>
              <w:top w:val="single" w:sz="4" w:space="0" w:color="auto"/>
              <w:left w:val="nil"/>
              <w:bottom w:val="nil"/>
              <w:right w:val="single" w:sz="4" w:space="0" w:color="auto"/>
            </w:tcBorders>
            <w:shd w:val="clear" w:color="auto" w:fill="0289C8" w:themeFill="text2" w:themeFillTint="BF"/>
            <w:noWrap/>
            <w:vAlign w:val="center"/>
            <w:hideMark/>
          </w:tcPr>
          <w:p w14:paraId="0A8AAD83" w14:textId="77777777" w:rsidR="00120019" w:rsidRPr="00EE1495" w:rsidRDefault="00120019" w:rsidP="00120019">
            <w:pPr>
              <w:spacing w:after="0" w:line="240" w:lineRule="auto"/>
              <w:rPr>
                <w:rFonts w:ascii="Calibri" w:eastAsia="Times New Roman" w:hAnsi="Calibri" w:cs="Calibri"/>
                <w:color w:val="FFFFFF" w:themeColor="background1"/>
                <w:sz w:val="22"/>
                <w:szCs w:val="22"/>
                <w:lang w:eastAsia="en-AU"/>
              </w:rPr>
            </w:pPr>
            <w:r w:rsidRPr="00EE1495">
              <w:rPr>
                <w:rFonts w:ascii="Calibri" w:eastAsia="Times New Roman" w:hAnsi="Calibri" w:cs="Calibri"/>
                <w:color w:val="FFFFFF" w:themeColor="background1"/>
                <w:sz w:val="22"/>
                <w:szCs w:val="22"/>
                <w:lang w:eastAsia="en-AU"/>
              </w:rPr>
              <w:t>June</w:t>
            </w:r>
          </w:p>
        </w:tc>
        <w:tc>
          <w:tcPr>
            <w:tcW w:w="1880" w:type="dxa"/>
            <w:tcBorders>
              <w:top w:val="single" w:sz="4" w:space="0" w:color="auto"/>
              <w:left w:val="nil"/>
              <w:bottom w:val="nil"/>
              <w:right w:val="single" w:sz="4" w:space="0" w:color="auto"/>
            </w:tcBorders>
            <w:shd w:val="clear" w:color="auto" w:fill="auto"/>
            <w:noWrap/>
            <w:vAlign w:val="center"/>
            <w:hideMark/>
          </w:tcPr>
          <w:p w14:paraId="052F4334" w14:textId="77777777" w:rsidR="00120019" w:rsidRPr="0096628D" w:rsidRDefault="00120019" w:rsidP="00120019">
            <w:pPr>
              <w:spacing w:after="0" w:line="240" w:lineRule="auto"/>
              <w:jc w:val="center"/>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1,097</w:t>
            </w:r>
          </w:p>
        </w:tc>
        <w:tc>
          <w:tcPr>
            <w:tcW w:w="2080" w:type="dxa"/>
            <w:tcBorders>
              <w:top w:val="single" w:sz="4" w:space="0" w:color="auto"/>
              <w:left w:val="nil"/>
              <w:bottom w:val="nil"/>
              <w:right w:val="single" w:sz="8" w:space="0" w:color="auto"/>
            </w:tcBorders>
            <w:shd w:val="clear" w:color="auto" w:fill="auto"/>
            <w:noWrap/>
            <w:vAlign w:val="center"/>
            <w:hideMark/>
          </w:tcPr>
          <w:p w14:paraId="0131C660" w14:textId="77777777" w:rsidR="00120019" w:rsidRPr="0096628D" w:rsidRDefault="00120019" w:rsidP="00CA72FA">
            <w:pPr>
              <w:spacing w:after="0" w:line="240" w:lineRule="auto"/>
              <w:jc w:val="right"/>
              <w:rPr>
                <w:rFonts w:ascii="Calibri" w:eastAsia="Times New Roman" w:hAnsi="Calibri" w:cs="Calibri"/>
                <w:color w:val="000000"/>
                <w:sz w:val="22"/>
                <w:szCs w:val="22"/>
                <w:lang w:eastAsia="en-AU"/>
              </w:rPr>
            </w:pPr>
            <w:r w:rsidRPr="0096628D">
              <w:rPr>
                <w:rFonts w:ascii="Calibri" w:eastAsia="Times New Roman" w:hAnsi="Calibri" w:cs="Calibri"/>
                <w:color w:val="000000"/>
                <w:sz w:val="22"/>
                <w:szCs w:val="22"/>
                <w:lang w:eastAsia="en-AU"/>
              </w:rPr>
              <w:t>$1,643,841.11</w:t>
            </w:r>
          </w:p>
        </w:tc>
      </w:tr>
      <w:tr w:rsidR="00120019" w:rsidRPr="0096628D" w14:paraId="6923C2D4" w14:textId="77777777" w:rsidTr="00EE1495">
        <w:trPr>
          <w:trHeight w:val="315"/>
        </w:trPr>
        <w:tc>
          <w:tcPr>
            <w:tcW w:w="3080" w:type="dxa"/>
            <w:gridSpan w:val="2"/>
            <w:tcBorders>
              <w:top w:val="single" w:sz="4" w:space="0" w:color="auto"/>
              <w:left w:val="single" w:sz="8" w:space="0" w:color="auto"/>
              <w:bottom w:val="single" w:sz="4" w:space="0" w:color="auto"/>
              <w:right w:val="single" w:sz="4" w:space="0" w:color="auto"/>
            </w:tcBorders>
            <w:shd w:val="clear" w:color="auto" w:fill="0289C8" w:themeFill="text2" w:themeFillTint="BF"/>
            <w:noWrap/>
            <w:vAlign w:val="center"/>
            <w:hideMark/>
          </w:tcPr>
          <w:p w14:paraId="62D1F24F" w14:textId="5DC89D3C" w:rsidR="00120019" w:rsidRPr="00EE1495" w:rsidRDefault="00120019" w:rsidP="001270D6">
            <w:pPr>
              <w:spacing w:after="0" w:line="240" w:lineRule="auto"/>
              <w:jc w:val="center"/>
              <w:rPr>
                <w:rFonts w:ascii="Calibri" w:eastAsia="Times New Roman" w:hAnsi="Calibri" w:cs="Calibri"/>
                <w:b/>
                <w:bCs/>
                <w:color w:val="FFFFFF" w:themeColor="background1"/>
                <w:sz w:val="22"/>
                <w:szCs w:val="22"/>
                <w:lang w:eastAsia="en-AU"/>
              </w:rPr>
            </w:pPr>
            <w:r w:rsidRPr="00EE1495">
              <w:rPr>
                <w:rFonts w:ascii="Calibri" w:eastAsia="Times New Roman" w:hAnsi="Calibri" w:cs="Calibri"/>
                <w:b/>
                <w:bCs/>
                <w:color w:val="FFFFFF" w:themeColor="background1"/>
                <w:sz w:val="22"/>
                <w:szCs w:val="22"/>
                <w:lang w:eastAsia="en-AU"/>
              </w:rPr>
              <w:t xml:space="preserve">Total Paid </w:t>
            </w:r>
            <w:r w:rsidR="001270D6">
              <w:rPr>
                <w:rFonts w:ascii="Calibri" w:eastAsia="Times New Roman" w:hAnsi="Calibri" w:cs="Calibri"/>
                <w:b/>
                <w:bCs/>
                <w:color w:val="FFFFFF" w:themeColor="background1"/>
                <w:sz w:val="22"/>
                <w:szCs w:val="22"/>
                <w:lang w:eastAsia="en-AU"/>
              </w:rPr>
              <w:t>20</w:t>
            </w:r>
            <w:r w:rsidR="002D58E6" w:rsidRPr="00EE1495">
              <w:rPr>
                <w:rFonts w:ascii="Calibri" w:eastAsia="Times New Roman" w:hAnsi="Calibri" w:cs="Calibri"/>
                <w:b/>
                <w:bCs/>
                <w:color w:val="FFFFFF" w:themeColor="background1"/>
                <w:sz w:val="22"/>
                <w:szCs w:val="22"/>
                <w:lang w:eastAsia="en-AU"/>
              </w:rPr>
              <w:t>22-23</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2B49AF5F" w14:textId="77777777" w:rsidR="00120019" w:rsidRPr="0096628D" w:rsidRDefault="00120019" w:rsidP="00120019">
            <w:pPr>
              <w:spacing w:after="0" w:line="240" w:lineRule="auto"/>
              <w:rPr>
                <w:rFonts w:ascii="Calibri" w:eastAsia="Times New Roman" w:hAnsi="Calibri" w:cs="Calibri"/>
                <w:b/>
                <w:bCs/>
                <w:color w:val="000000"/>
                <w:sz w:val="22"/>
                <w:szCs w:val="22"/>
                <w:lang w:eastAsia="en-AU"/>
              </w:rPr>
            </w:pPr>
            <w:r w:rsidRPr="0096628D">
              <w:rPr>
                <w:rFonts w:ascii="Calibri" w:eastAsia="Times New Roman" w:hAnsi="Calibri" w:cs="Calibri"/>
                <w:b/>
                <w:bCs/>
                <w:color w:val="000000"/>
                <w:sz w:val="22"/>
                <w:szCs w:val="22"/>
                <w:lang w:eastAsia="en-AU"/>
              </w:rPr>
              <w:t> </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14:paraId="44D98DDA" w14:textId="77777777" w:rsidR="00120019" w:rsidRPr="0096628D" w:rsidRDefault="00120019" w:rsidP="00CA72FA">
            <w:pPr>
              <w:spacing w:after="0" w:line="240" w:lineRule="auto"/>
              <w:jc w:val="right"/>
              <w:rPr>
                <w:rFonts w:ascii="Calibri" w:eastAsia="Times New Roman" w:hAnsi="Calibri" w:cs="Calibri"/>
                <w:b/>
                <w:bCs/>
                <w:color w:val="000000"/>
                <w:sz w:val="22"/>
                <w:szCs w:val="22"/>
                <w:lang w:eastAsia="en-AU"/>
              </w:rPr>
            </w:pPr>
            <w:r w:rsidRPr="0096628D">
              <w:rPr>
                <w:rFonts w:ascii="Calibri" w:eastAsia="Times New Roman" w:hAnsi="Calibri" w:cs="Calibri"/>
                <w:b/>
                <w:bCs/>
                <w:color w:val="000000"/>
                <w:sz w:val="22"/>
                <w:szCs w:val="22"/>
                <w:lang w:eastAsia="en-AU"/>
              </w:rPr>
              <w:t>$19,805,328.55</w:t>
            </w:r>
          </w:p>
        </w:tc>
      </w:tr>
    </w:tbl>
    <w:p w14:paraId="1BF628AB" w14:textId="4AA98E75" w:rsidR="00120019" w:rsidRDefault="00120019" w:rsidP="00120019">
      <w:pPr>
        <w:rPr>
          <w:rFonts w:eastAsiaTheme="majorEastAsia" w:cs="Arial"/>
          <w:bCs/>
          <w:color w:val="0D0D0D" w:themeColor="text1" w:themeTint="F2"/>
          <w:sz w:val="24"/>
          <w:szCs w:val="24"/>
        </w:rPr>
      </w:pPr>
      <w:r w:rsidRPr="003C08BB">
        <w:rPr>
          <w:rFonts w:eastAsiaTheme="majorEastAsia" w:cs="Arial"/>
          <w:bCs/>
          <w:color w:val="0D0D0D" w:themeColor="text1" w:themeTint="F2"/>
          <w:sz w:val="24"/>
          <w:szCs w:val="24"/>
        </w:rPr>
        <w:t xml:space="preserve">* </w:t>
      </w:r>
      <w:r w:rsidRPr="00EE1495">
        <w:rPr>
          <w:rFonts w:eastAsiaTheme="majorEastAsia" w:cs="Arial"/>
          <w:bCs/>
          <w:color w:val="0D0D0D" w:themeColor="text1" w:themeTint="F2"/>
        </w:rPr>
        <w:t>The total number of service providers is not cumulative. A service provider is considered 'active' if they submitted a claim in relation to the program during the month</w:t>
      </w:r>
    </w:p>
    <w:p w14:paraId="65CAEFCD" w14:textId="62571758" w:rsidR="002910C0" w:rsidRPr="001C670B" w:rsidRDefault="002910C0" w:rsidP="00120019">
      <w:pPr>
        <w:rPr>
          <w:rFonts w:eastAsiaTheme="majorEastAsia" w:cs="Arial"/>
          <w:bCs/>
          <w:color w:val="0D0D0D" w:themeColor="text1" w:themeTint="F2"/>
          <w:sz w:val="24"/>
          <w:szCs w:val="24"/>
        </w:rPr>
      </w:pPr>
      <w:r w:rsidRPr="00E83626">
        <w:rPr>
          <w:rFonts w:eastAsiaTheme="majorEastAsia" w:cs="Arial"/>
          <w:bCs/>
          <w:color w:val="0D0D0D" w:themeColor="text1" w:themeTint="F2"/>
          <w:sz w:val="24"/>
          <w:szCs w:val="24"/>
        </w:rPr>
        <w:t>Whil</w:t>
      </w:r>
      <w:r w:rsidRPr="001C670B">
        <w:rPr>
          <w:rFonts w:eastAsiaTheme="majorEastAsia" w:cs="Arial"/>
          <w:bCs/>
          <w:color w:val="0D0D0D" w:themeColor="text1" w:themeTint="F2"/>
          <w:sz w:val="24"/>
          <w:szCs w:val="24"/>
        </w:rPr>
        <w:t>e the number of approved pharmacists</w:t>
      </w:r>
      <w:r w:rsidR="00E83626" w:rsidRPr="001C670B">
        <w:rPr>
          <w:rFonts w:eastAsiaTheme="majorEastAsia" w:cs="Arial"/>
          <w:bCs/>
          <w:color w:val="0D0D0D" w:themeColor="text1" w:themeTint="F2"/>
          <w:sz w:val="24"/>
          <w:szCs w:val="24"/>
        </w:rPr>
        <w:t xml:space="preserve"> </w:t>
      </w:r>
      <w:r w:rsidRPr="001C670B">
        <w:rPr>
          <w:rFonts w:eastAsiaTheme="majorEastAsia" w:cs="Arial"/>
          <w:bCs/>
          <w:color w:val="0D0D0D" w:themeColor="text1" w:themeTint="F2"/>
          <w:sz w:val="24"/>
          <w:szCs w:val="24"/>
        </w:rPr>
        <w:t>increased year on year over the 6CPA and 7CPA the ratio of approved pharmacists in urban (MM1) versus rural areas (MM2-7) has shown little variation over this time</w:t>
      </w:r>
      <w:r w:rsidRPr="00DF6C03">
        <w:rPr>
          <w:rFonts w:eastAsiaTheme="majorEastAsia" w:cs="Arial"/>
          <w:bCs/>
          <w:color w:val="0D0D0D" w:themeColor="text1" w:themeTint="F2"/>
          <w:sz w:val="24"/>
          <w:szCs w:val="24"/>
        </w:rPr>
        <w:t xml:space="preserve">. </w:t>
      </w:r>
      <w:r w:rsidR="00E83626" w:rsidRPr="00951A96">
        <w:rPr>
          <w:rFonts w:eastAsiaTheme="majorEastAsia" w:cs="Arial"/>
          <w:bCs/>
          <w:color w:val="0D0D0D" w:themeColor="text1" w:themeTint="F2"/>
          <w:sz w:val="24"/>
          <w:szCs w:val="24"/>
        </w:rPr>
        <w:t>There is a very slight increase in the percentage of rural pharmacies over time</w:t>
      </w:r>
      <w:r w:rsidR="00E83626" w:rsidRPr="00E83626">
        <w:rPr>
          <w:rFonts w:eastAsiaTheme="majorEastAsia" w:cs="Arial"/>
          <w:bCs/>
          <w:color w:val="0D0D0D" w:themeColor="text1" w:themeTint="F2"/>
          <w:sz w:val="24"/>
          <w:szCs w:val="24"/>
        </w:rPr>
        <w:t xml:space="preserve"> (</w:t>
      </w:r>
      <w:r w:rsidR="00E83626" w:rsidRPr="001C670B">
        <w:rPr>
          <w:rFonts w:eastAsiaTheme="majorEastAsia" w:cs="Arial"/>
          <w:bCs/>
          <w:color w:val="0D0D0D" w:themeColor="text1" w:themeTint="F2"/>
          <w:sz w:val="24"/>
          <w:szCs w:val="24"/>
        </w:rPr>
        <w:fldChar w:fldCharType="begin"/>
      </w:r>
      <w:r w:rsidR="00E83626" w:rsidRPr="00E83626">
        <w:rPr>
          <w:rFonts w:eastAsiaTheme="majorEastAsia" w:cs="Arial"/>
          <w:bCs/>
          <w:color w:val="0D0D0D" w:themeColor="text1" w:themeTint="F2"/>
          <w:sz w:val="24"/>
          <w:szCs w:val="24"/>
        </w:rPr>
        <w:instrText xml:space="preserve"> REF _Ref155770562 \h </w:instrText>
      </w:r>
      <w:r w:rsidR="00E83626">
        <w:rPr>
          <w:rFonts w:eastAsiaTheme="majorEastAsia" w:cs="Arial"/>
          <w:bCs/>
          <w:color w:val="0D0D0D" w:themeColor="text1" w:themeTint="F2"/>
          <w:sz w:val="24"/>
          <w:szCs w:val="24"/>
        </w:rPr>
        <w:instrText xml:space="preserve"> \* MERGEFORMAT </w:instrText>
      </w:r>
      <w:r w:rsidR="00E83626" w:rsidRPr="001C670B">
        <w:rPr>
          <w:rFonts w:eastAsiaTheme="majorEastAsia" w:cs="Arial"/>
          <w:bCs/>
          <w:color w:val="0D0D0D" w:themeColor="text1" w:themeTint="F2"/>
          <w:sz w:val="24"/>
          <w:szCs w:val="24"/>
        </w:rPr>
      </w:r>
      <w:r w:rsidR="00E83626" w:rsidRPr="001C670B">
        <w:rPr>
          <w:rFonts w:eastAsiaTheme="majorEastAsia" w:cs="Arial"/>
          <w:bCs/>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6</w:t>
      </w:r>
      <w:r w:rsidR="00E83626" w:rsidRPr="001C670B">
        <w:rPr>
          <w:rFonts w:eastAsiaTheme="majorEastAsia" w:cs="Arial"/>
          <w:bCs/>
          <w:color w:val="0D0D0D" w:themeColor="text1" w:themeTint="F2"/>
          <w:sz w:val="24"/>
          <w:szCs w:val="24"/>
        </w:rPr>
        <w:fldChar w:fldCharType="end"/>
      </w:r>
      <w:r w:rsidR="00E83626" w:rsidRPr="00E83626">
        <w:rPr>
          <w:rFonts w:eastAsiaTheme="majorEastAsia" w:cs="Arial"/>
          <w:bCs/>
          <w:color w:val="0D0D0D" w:themeColor="text1" w:themeTint="F2"/>
          <w:sz w:val="24"/>
          <w:szCs w:val="24"/>
        </w:rPr>
        <w:t xml:space="preserve">) </w:t>
      </w:r>
      <w:r w:rsidR="00E83626" w:rsidRPr="001C670B">
        <w:rPr>
          <w:rFonts w:eastAsiaTheme="majorEastAsia" w:cs="Arial"/>
          <w:bCs/>
          <w:color w:val="0D0D0D" w:themeColor="text1" w:themeTint="F2"/>
          <w:sz w:val="24"/>
          <w:szCs w:val="24"/>
        </w:rPr>
        <w:t>however this data indicate that overall there has not been a</w:t>
      </w:r>
      <w:r w:rsidR="00305F41">
        <w:rPr>
          <w:rFonts w:eastAsiaTheme="majorEastAsia" w:cs="Arial"/>
          <w:bCs/>
          <w:color w:val="0D0D0D" w:themeColor="text1" w:themeTint="F2"/>
          <w:sz w:val="24"/>
          <w:szCs w:val="24"/>
        </w:rPr>
        <w:t>n increase</w:t>
      </w:r>
      <w:r w:rsidR="00E83626" w:rsidRPr="001C670B">
        <w:rPr>
          <w:rFonts w:eastAsiaTheme="majorEastAsia" w:cs="Arial"/>
          <w:bCs/>
          <w:color w:val="0D0D0D" w:themeColor="text1" w:themeTint="F2"/>
          <w:sz w:val="24"/>
          <w:szCs w:val="24"/>
        </w:rPr>
        <w:t xml:space="preserve"> in closures in rural and remote areas over time</w:t>
      </w:r>
      <w:r w:rsidR="00305F41">
        <w:rPr>
          <w:rFonts w:eastAsiaTheme="majorEastAsia" w:cs="Arial"/>
          <w:bCs/>
          <w:color w:val="0D0D0D" w:themeColor="text1" w:themeTint="F2"/>
          <w:sz w:val="24"/>
          <w:szCs w:val="24"/>
        </w:rPr>
        <w:t xml:space="preserve"> compared to urban areas</w:t>
      </w:r>
      <w:r w:rsidR="00E83626" w:rsidRPr="001C670B">
        <w:rPr>
          <w:rFonts w:eastAsiaTheme="majorEastAsia" w:cs="Arial"/>
          <w:bCs/>
          <w:color w:val="0D0D0D" w:themeColor="text1" w:themeTint="F2"/>
          <w:sz w:val="24"/>
          <w:szCs w:val="24"/>
        </w:rPr>
        <w:t xml:space="preserve">. </w:t>
      </w:r>
    </w:p>
    <w:p w14:paraId="6685B280" w14:textId="3D7EDB75" w:rsidR="00E83626" w:rsidRDefault="00E83626" w:rsidP="00EE1495">
      <w:pPr>
        <w:pStyle w:val="Caption"/>
      </w:pPr>
      <w:bookmarkStart w:id="50" w:name="_Ref155770562"/>
      <w:r>
        <w:t xml:space="preserve">Table </w:t>
      </w:r>
      <w:fldSimple w:instr=" SEQ Table \* ARABIC ">
        <w:r w:rsidR="005B7A17">
          <w:rPr>
            <w:noProof/>
          </w:rPr>
          <w:t>6</w:t>
        </w:r>
      </w:fldSimple>
      <w:bookmarkEnd w:id="50"/>
      <w:r>
        <w:t xml:space="preserve">. </w:t>
      </w:r>
      <w:r w:rsidRPr="00E83626">
        <w:t xml:space="preserve">PBS approved </w:t>
      </w:r>
      <w:r w:rsidR="006130C6">
        <w:t xml:space="preserve">pharmacies </w:t>
      </w:r>
      <w:r w:rsidRPr="00E83626">
        <w:t>in urban and rural areas as at 3</w:t>
      </w:r>
      <w:r>
        <w:t>1</w:t>
      </w:r>
      <w:r w:rsidRPr="00E83626">
        <w:t xml:space="preserve"> </w:t>
      </w:r>
      <w:r>
        <w:t>December 2017 – 2023</w:t>
      </w:r>
    </w:p>
    <w:tbl>
      <w:tblPr>
        <w:tblStyle w:val="TableGrid"/>
        <w:tblW w:w="0" w:type="auto"/>
        <w:tblLook w:val="04A0" w:firstRow="1" w:lastRow="0" w:firstColumn="1" w:lastColumn="0" w:noHBand="0" w:noVBand="1"/>
      </w:tblPr>
      <w:tblGrid>
        <w:gridCol w:w="1271"/>
        <w:gridCol w:w="1842"/>
        <w:gridCol w:w="1843"/>
        <w:gridCol w:w="1843"/>
        <w:gridCol w:w="1843"/>
      </w:tblGrid>
      <w:tr w:rsidR="002910C0" w:rsidRPr="00223B7A" w14:paraId="20679348" w14:textId="77777777" w:rsidTr="00BE167D">
        <w:trPr>
          <w:trHeight w:hRule="exact" w:val="667"/>
        </w:trPr>
        <w:tc>
          <w:tcPr>
            <w:tcW w:w="1271" w:type="dxa"/>
            <w:tcBorders>
              <w:bottom w:val="single" w:sz="4" w:space="0" w:color="FFFFFF"/>
              <w:right w:val="single" w:sz="4" w:space="0" w:color="FFFFFF"/>
            </w:tcBorders>
            <w:shd w:val="clear" w:color="auto" w:fill="0289C8" w:themeFill="text2" w:themeFillTint="BF"/>
            <w:vAlign w:val="center"/>
          </w:tcPr>
          <w:p w14:paraId="5904F74C" w14:textId="77777777"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Year</w:t>
            </w:r>
          </w:p>
        </w:tc>
        <w:tc>
          <w:tcPr>
            <w:tcW w:w="1842" w:type="dxa"/>
            <w:tcBorders>
              <w:left w:val="single" w:sz="4" w:space="0" w:color="FFFFFF"/>
              <w:bottom w:val="single" w:sz="4" w:space="0" w:color="FFFFFF"/>
              <w:right w:val="single" w:sz="4" w:space="0" w:color="FFFFFF"/>
            </w:tcBorders>
            <w:shd w:val="clear" w:color="auto" w:fill="0289C8" w:themeFill="text2" w:themeFillTint="BF"/>
            <w:vAlign w:val="center"/>
          </w:tcPr>
          <w:p w14:paraId="5AF567E2" w14:textId="77777777"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No. in Urban</w:t>
            </w:r>
          </w:p>
          <w:p w14:paraId="2E900B42" w14:textId="645A3AB1"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MM1</w:t>
            </w:r>
          </w:p>
        </w:tc>
        <w:tc>
          <w:tcPr>
            <w:tcW w:w="1843" w:type="dxa"/>
            <w:tcBorders>
              <w:left w:val="single" w:sz="4" w:space="0" w:color="FFFFFF"/>
              <w:bottom w:val="single" w:sz="4" w:space="0" w:color="FFFFFF"/>
              <w:right w:val="single" w:sz="4" w:space="0" w:color="FFFFFF"/>
            </w:tcBorders>
            <w:shd w:val="clear" w:color="auto" w:fill="0289C8" w:themeFill="text2" w:themeFillTint="BF"/>
            <w:vAlign w:val="center"/>
          </w:tcPr>
          <w:p w14:paraId="070A3370" w14:textId="77777777"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No. in Rural</w:t>
            </w:r>
          </w:p>
          <w:p w14:paraId="670CA4FD" w14:textId="797ACCBC"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MM 2-7</w:t>
            </w:r>
          </w:p>
        </w:tc>
        <w:tc>
          <w:tcPr>
            <w:tcW w:w="1843" w:type="dxa"/>
            <w:tcBorders>
              <w:left w:val="single" w:sz="4" w:space="0" w:color="FFFFFF"/>
              <w:bottom w:val="single" w:sz="4" w:space="0" w:color="FFFFFF"/>
              <w:right w:val="single" w:sz="4" w:space="0" w:color="FFFFFF"/>
            </w:tcBorders>
            <w:shd w:val="clear" w:color="auto" w:fill="0289C8" w:themeFill="text2" w:themeFillTint="BF"/>
            <w:vAlign w:val="center"/>
          </w:tcPr>
          <w:p w14:paraId="6B2258B9" w14:textId="77777777"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 Urban</w:t>
            </w:r>
          </w:p>
        </w:tc>
        <w:tc>
          <w:tcPr>
            <w:tcW w:w="1843" w:type="dxa"/>
            <w:tcBorders>
              <w:left w:val="single" w:sz="4" w:space="0" w:color="FFFFFF"/>
              <w:bottom w:val="single" w:sz="4" w:space="0" w:color="FFFFFF"/>
            </w:tcBorders>
            <w:shd w:val="clear" w:color="auto" w:fill="0289C8" w:themeFill="text2" w:themeFillTint="BF"/>
            <w:vAlign w:val="center"/>
          </w:tcPr>
          <w:p w14:paraId="1FB290BE" w14:textId="77777777" w:rsidR="002910C0" w:rsidRPr="00EE1495" w:rsidRDefault="002910C0" w:rsidP="00BE167D">
            <w:pPr>
              <w:overflowPunct w:val="0"/>
              <w:autoSpaceDE w:val="0"/>
              <w:autoSpaceDN w:val="0"/>
              <w:spacing w:after="120" w:line="264" w:lineRule="auto"/>
              <w:ind w:left="176" w:right="-27"/>
              <w:jc w:val="center"/>
              <w:textAlignment w:val="baseline"/>
              <w:rPr>
                <w:b/>
                <w:bCs/>
                <w:color w:val="FFFFFF" w:themeColor="background1"/>
              </w:rPr>
            </w:pPr>
            <w:r w:rsidRPr="00EE1495">
              <w:rPr>
                <w:b/>
                <w:bCs/>
                <w:color w:val="FFFFFF" w:themeColor="background1"/>
              </w:rPr>
              <w:t>% Rural</w:t>
            </w:r>
          </w:p>
        </w:tc>
      </w:tr>
      <w:tr w:rsidR="002910C0" w:rsidRPr="00223B7A" w14:paraId="423A5FB3" w14:textId="77777777" w:rsidTr="00EE1495">
        <w:trPr>
          <w:trHeight w:hRule="exact" w:val="340"/>
        </w:trPr>
        <w:tc>
          <w:tcPr>
            <w:tcW w:w="1271" w:type="dxa"/>
            <w:tcBorders>
              <w:top w:val="single" w:sz="4" w:space="0" w:color="FFFFFF"/>
              <w:bottom w:val="single" w:sz="4" w:space="0" w:color="FFFFFF"/>
              <w:right w:val="single" w:sz="4" w:space="0" w:color="FFFFFF"/>
            </w:tcBorders>
            <w:shd w:val="clear" w:color="auto" w:fill="0289C8" w:themeFill="text2" w:themeFillTint="BF"/>
            <w:vAlign w:val="center"/>
          </w:tcPr>
          <w:p w14:paraId="4089E4DB" w14:textId="75C818BE"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2023</w:t>
            </w:r>
          </w:p>
        </w:tc>
        <w:tc>
          <w:tcPr>
            <w:tcW w:w="1842" w:type="dxa"/>
            <w:tcBorders>
              <w:top w:val="single" w:sz="4" w:space="0" w:color="FFFFFF"/>
              <w:left w:val="single" w:sz="4" w:space="0" w:color="FFFFFF"/>
            </w:tcBorders>
          </w:tcPr>
          <w:p w14:paraId="051D8C24" w14:textId="5AA30BCC" w:rsidR="002910C0" w:rsidRPr="00223B7A" w:rsidRDefault="002910C0" w:rsidP="002910C0">
            <w:pPr>
              <w:keepNext/>
              <w:keepLines/>
              <w:widowControl w:val="0"/>
              <w:ind w:right="321"/>
              <w:jc w:val="right"/>
              <w:rPr>
                <w:rFonts w:cs="Arial"/>
                <w:color w:val="auto"/>
                <w:sz w:val="21"/>
                <w:szCs w:val="21"/>
              </w:rPr>
            </w:pPr>
            <w:r w:rsidRPr="0050331A">
              <w:t>4,050</w:t>
            </w:r>
          </w:p>
        </w:tc>
        <w:tc>
          <w:tcPr>
            <w:tcW w:w="1843" w:type="dxa"/>
            <w:tcBorders>
              <w:top w:val="single" w:sz="4" w:space="0" w:color="FFFFFF"/>
            </w:tcBorders>
          </w:tcPr>
          <w:p w14:paraId="5995E7BD" w14:textId="5D58B260" w:rsidR="002910C0" w:rsidRPr="00223B7A" w:rsidRDefault="002910C0" w:rsidP="002910C0">
            <w:pPr>
              <w:keepNext/>
              <w:keepLines/>
              <w:widowControl w:val="0"/>
              <w:ind w:right="321"/>
              <w:jc w:val="right"/>
              <w:rPr>
                <w:rFonts w:cs="Arial"/>
                <w:color w:val="auto"/>
                <w:sz w:val="21"/>
                <w:szCs w:val="21"/>
              </w:rPr>
            </w:pPr>
            <w:r>
              <w:t>1,885</w:t>
            </w:r>
          </w:p>
        </w:tc>
        <w:tc>
          <w:tcPr>
            <w:tcW w:w="1843" w:type="dxa"/>
            <w:tcBorders>
              <w:top w:val="single" w:sz="4" w:space="0" w:color="FFFFFF"/>
            </w:tcBorders>
            <w:vAlign w:val="center"/>
          </w:tcPr>
          <w:p w14:paraId="66E8335F" w14:textId="6F56FD4D"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68.24%</w:t>
            </w:r>
          </w:p>
        </w:tc>
        <w:tc>
          <w:tcPr>
            <w:tcW w:w="1843" w:type="dxa"/>
            <w:tcBorders>
              <w:top w:val="single" w:sz="4" w:space="0" w:color="FFFFFF"/>
            </w:tcBorders>
            <w:vAlign w:val="center"/>
          </w:tcPr>
          <w:p w14:paraId="7507AB0F" w14:textId="7B61DB9E"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31.76%</w:t>
            </w:r>
          </w:p>
        </w:tc>
      </w:tr>
      <w:tr w:rsidR="002910C0" w:rsidRPr="00223B7A" w14:paraId="54B9BB9F" w14:textId="77777777" w:rsidTr="00EE1495">
        <w:trPr>
          <w:trHeight w:hRule="exact" w:val="340"/>
        </w:trPr>
        <w:tc>
          <w:tcPr>
            <w:tcW w:w="1271" w:type="dxa"/>
            <w:tcBorders>
              <w:top w:val="single" w:sz="4" w:space="0" w:color="FFFFFF"/>
              <w:bottom w:val="single" w:sz="4" w:space="0" w:color="FFFFFF"/>
              <w:right w:val="single" w:sz="4" w:space="0" w:color="FFFFFF"/>
            </w:tcBorders>
            <w:shd w:val="clear" w:color="auto" w:fill="0289C8" w:themeFill="text2" w:themeFillTint="BF"/>
            <w:vAlign w:val="center"/>
          </w:tcPr>
          <w:p w14:paraId="54763C9A" w14:textId="4E02B670"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2022</w:t>
            </w:r>
          </w:p>
        </w:tc>
        <w:tc>
          <w:tcPr>
            <w:tcW w:w="1842" w:type="dxa"/>
            <w:tcBorders>
              <w:left w:val="single" w:sz="4" w:space="0" w:color="FFFFFF"/>
            </w:tcBorders>
          </w:tcPr>
          <w:p w14:paraId="56FFD355" w14:textId="23CE371C" w:rsidR="002910C0" w:rsidRPr="00223B7A" w:rsidRDefault="002910C0" w:rsidP="002910C0">
            <w:pPr>
              <w:keepNext/>
              <w:keepLines/>
              <w:widowControl w:val="0"/>
              <w:ind w:right="321"/>
              <w:jc w:val="right"/>
              <w:rPr>
                <w:rFonts w:cs="Arial"/>
                <w:color w:val="auto"/>
                <w:sz w:val="21"/>
                <w:szCs w:val="21"/>
              </w:rPr>
            </w:pPr>
            <w:r w:rsidRPr="0050331A">
              <w:t>4,029</w:t>
            </w:r>
          </w:p>
        </w:tc>
        <w:tc>
          <w:tcPr>
            <w:tcW w:w="1843" w:type="dxa"/>
          </w:tcPr>
          <w:p w14:paraId="2F5B5998" w14:textId="172D3C2D" w:rsidR="002910C0" w:rsidRPr="00223B7A" w:rsidRDefault="002910C0" w:rsidP="002910C0">
            <w:pPr>
              <w:keepNext/>
              <w:keepLines/>
              <w:widowControl w:val="0"/>
              <w:ind w:right="321"/>
              <w:jc w:val="right"/>
              <w:rPr>
                <w:rFonts w:cs="Arial"/>
                <w:color w:val="auto"/>
                <w:sz w:val="21"/>
                <w:szCs w:val="21"/>
              </w:rPr>
            </w:pPr>
            <w:r>
              <w:t>1,872</w:t>
            </w:r>
          </w:p>
        </w:tc>
        <w:tc>
          <w:tcPr>
            <w:tcW w:w="1843" w:type="dxa"/>
            <w:vAlign w:val="center"/>
          </w:tcPr>
          <w:p w14:paraId="5E88DD68" w14:textId="6927DA0A"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68.28%</w:t>
            </w:r>
          </w:p>
        </w:tc>
        <w:tc>
          <w:tcPr>
            <w:tcW w:w="1843" w:type="dxa"/>
            <w:vAlign w:val="center"/>
          </w:tcPr>
          <w:p w14:paraId="43A2B9AB" w14:textId="36BB451B"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31.72%</w:t>
            </w:r>
          </w:p>
        </w:tc>
      </w:tr>
      <w:tr w:rsidR="002910C0" w:rsidRPr="00223B7A" w14:paraId="053C3886" w14:textId="77777777" w:rsidTr="00EE1495">
        <w:trPr>
          <w:trHeight w:hRule="exact" w:val="340"/>
        </w:trPr>
        <w:tc>
          <w:tcPr>
            <w:tcW w:w="1271" w:type="dxa"/>
            <w:tcBorders>
              <w:top w:val="single" w:sz="4" w:space="0" w:color="FFFFFF"/>
              <w:bottom w:val="single" w:sz="4" w:space="0" w:color="FFFFFF"/>
              <w:right w:val="single" w:sz="4" w:space="0" w:color="FFFFFF"/>
            </w:tcBorders>
            <w:shd w:val="clear" w:color="auto" w:fill="0289C8" w:themeFill="text2" w:themeFillTint="BF"/>
            <w:vAlign w:val="center"/>
          </w:tcPr>
          <w:p w14:paraId="745FAF2E" w14:textId="5C767FED"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2021</w:t>
            </w:r>
          </w:p>
        </w:tc>
        <w:tc>
          <w:tcPr>
            <w:tcW w:w="1842" w:type="dxa"/>
            <w:tcBorders>
              <w:left w:val="single" w:sz="4" w:space="0" w:color="FFFFFF"/>
            </w:tcBorders>
          </w:tcPr>
          <w:p w14:paraId="15D0718C" w14:textId="1563D45F" w:rsidR="002910C0" w:rsidRPr="00223B7A" w:rsidRDefault="002910C0" w:rsidP="002910C0">
            <w:pPr>
              <w:keepNext/>
              <w:keepLines/>
              <w:widowControl w:val="0"/>
              <w:ind w:right="321"/>
              <w:jc w:val="right"/>
              <w:rPr>
                <w:rFonts w:cs="Arial"/>
                <w:color w:val="auto"/>
                <w:sz w:val="21"/>
                <w:szCs w:val="21"/>
              </w:rPr>
            </w:pPr>
            <w:r w:rsidRPr="0050331A">
              <w:t>4,010</w:t>
            </w:r>
          </w:p>
        </w:tc>
        <w:tc>
          <w:tcPr>
            <w:tcW w:w="1843" w:type="dxa"/>
          </w:tcPr>
          <w:p w14:paraId="78A0C8D2" w14:textId="3098F067" w:rsidR="002910C0" w:rsidRPr="00223B7A" w:rsidRDefault="002910C0" w:rsidP="002910C0">
            <w:pPr>
              <w:keepNext/>
              <w:keepLines/>
              <w:widowControl w:val="0"/>
              <w:ind w:right="321"/>
              <w:jc w:val="right"/>
              <w:rPr>
                <w:rFonts w:cs="Arial"/>
                <w:color w:val="auto"/>
                <w:sz w:val="21"/>
                <w:szCs w:val="21"/>
              </w:rPr>
            </w:pPr>
            <w:r>
              <w:t>1,865</w:t>
            </w:r>
          </w:p>
        </w:tc>
        <w:tc>
          <w:tcPr>
            <w:tcW w:w="1843" w:type="dxa"/>
            <w:vAlign w:val="center"/>
          </w:tcPr>
          <w:p w14:paraId="4B450CA3" w14:textId="2943C457"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68.26%</w:t>
            </w:r>
          </w:p>
        </w:tc>
        <w:tc>
          <w:tcPr>
            <w:tcW w:w="1843" w:type="dxa"/>
            <w:vAlign w:val="center"/>
          </w:tcPr>
          <w:p w14:paraId="330295DE" w14:textId="7137EF17"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31.74%</w:t>
            </w:r>
          </w:p>
        </w:tc>
      </w:tr>
      <w:tr w:rsidR="002910C0" w:rsidRPr="00223B7A" w14:paraId="03B7BCD5" w14:textId="77777777" w:rsidTr="00EE1495">
        <w:trPr>
          <w:trHeight w:hRule="exact" w:val="340"/>
        </w:trPr>
        <w:tc>
          <w:tcPr>
            <w:tcW w:w="1271" w:type="dxa"/>
            <w:tcBorders>
              <w:top w:val="single" w:sz="4" w:space="0" w:color="FFFFFF"/>
              <w:bottom w:val="single" w:sz="4" w:space="0" w:color="FFFFFF"/>
              <w:right w:val="single" w:sz="4" w:space="0" w:color="FFFFFF"/>
            </w:tcBorders>
            <w:shd w:val="clear" w:color="auto" w:fill="0289C8" w:themeFill="text2" w:themeFillTint="BF"/>
            <w:vAlign w:val="center"/>
          </w:tcPr>
          <w:p w14:paraId="72511C1B" w14:textId="5ACB46B0"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2020</w:t>
            </w:r>
          </w:p>
        </w:tc>
        <w:tc>
          <w:tcPr>
            <w:tcW w:w="1842" w:type="dxa"/>
            <w:tcBorders>
              <w:left w:val="single" w:sz="4" w:space="0" w:color="FFFFFF"/>
            </w:tcBorders>
          </w:tcPr>
          <w:p w14:paraId="2CB03730" w14:textId="320D5E2E" w:rsidR="002910C0" w:rsidRPr="00223B7A" w:rsidRDefault="002910C0" w:rsidP="002910C0">
            <w:pPr>
              <w:keepNext/>
              <w:keepLines/>
              <w:widowControl w:val="0"/>
              <w:ind w:right="321"/>
              <w:jc w:val="right"/>
              <w:rPr>
                <w:rFonts w:cs="Arial"/>
                <w:color w:val="auto"/>
                <w:sz w:val="21"/>
                <w:szCs w:val="21"/>
              </w:rPr>
            </w:pPr>
            <w:r w:rsidRPr="0050331A">
              <w:t>3,975</w:t>
            </w:r>
          </w:p>
        </w:tc>
        <w:tc>
          <w:tcPr>
            <w:tcW w:w="1843" w:type="dxa"/>
          </w:tcPr>
          <w:p w14:paraId="7F41FE2E" w14:textId="4607E6B6" w:rsidR="002910C0" w:rsidRPr="00223B7A" w:rsidRDefault="002910C0" w:rsidP="002910C0">
            <w:pPr>
              <w:keepNext/>
              <w:keepLines/>
              <w:widowControl w:val="0"/>
              <w:ind w:right="321"/>
              <w:jc w:val="right"/>
              <w:rPr>
                <w:rFonts w:cs="Arial"/>
                <w:color w:val="auto"/>
                <w:sz w:val="21"/>
                <w:szCs w:val="21"/>
              </w:rPr>
            </w:pPr>
            <w:r>
              <w:t>1,847</w:t>
            </w:r>
          </w:p>
        </w:tc>
        <w:tc>
          <w:tcPr>
            <w:tcW w:w="1843" w:type="dxa"/>
            <w:vAlign w:val="center"/>
          </w:tcPr>
          <w:p w14:paraId="21C1316F" w14:textId="5EC7BA56"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68.28%</w:t>
            </w:r>
          </w:p>
        </w:tc>
        <w:tc>
          <w:tcPr>
            <w:tcW w:w="1843" w:type="dxa"/>
            <w:vAlign w:val="center"/>
          </w:tcPr>
          <w:p w14:paraId="0B923995" w14:textId="6EF8D7FE"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31.72%</w:t>
            </w:r>
          </w:p>
        </w:tc>
      </w:tr>
      <w:tr w:rsidR="002910C0" w:rsidRPr="00223B7A" w14:paraId="320E0DBD" w14:textId="77777777" w:rsidTr="00EE1495">
        <w:trPr>
          <w:trHeight w:hRule="exact" w:val="340"/>
        </w:trPr>
        <w:tc>
          <w:tcPr>
            <w:tcW w:w="1271" w:type="dxa"/>
            <w:tcBorders>
              <w:top w:val="single" w:sz="4" w:space="0" w:color="FFFFFF"/>
              <w:bottom w:val="single" w:sz="4" w:space="0" w:color="FFFFFF"/>
              <w:right w:val="single" w:sz="4" w:space="0" w:color="FFFFFF"/>
            </w:tcBorders>
            <w:shd w:val="clear" w:color="auto" w:fill="0289C8" w:themeFill="text2" w:themeFillTint="BF"/>
            <w:vAlign w:val="center"/>
          </w:tcPr>
          <w:p w14:paraId="3AD3F798" w14:textId="2A9353F8"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2019</w:t>
            </w:r>
          </w:p>
        </w:tc>
        <w:tc>
          <w:tcPr>
            <w:tcW w:w="1842" w:type="dxa"/>
            <w:tcBorders>
              <w:left w:val="single" w:sz="4" w:space="0" w:color="FFFFFF"/>
            </w:tcBorders>
          </w:tcPr>
          <w:p w14:paraId="70CE4F3E" w14:textId="703B84CF" w:rsidR="002910C0" w:rsidRPr="00223B7A" w:rsidRDefault="002910C0" w:rsidP="002910C0">
            <w:pPr>
              <w:keepNext/>
              <w:keepLines/>
              <w:widowControl w:val="0"/>
              <w:ind w:right="321"/>
              <w:jc w:val="right"/>
              <w:rPr>
                <w:rFonts w:cs="Arial"/>
                <w:color w:val="auto"/>
                <w:sz w:val="21"/>
                <w:szCs w:val="21"/>
              </w:rPr>
            </w:pPr>
            <w:r w:rsidRPr="0050331A">
              <w:t>3,942</w:t>
            </w:r>
          </w:p>
        </w:tc>
        <w:tc>
          <w:tcPr>
            <w:tcW w:w="1843" w:type="dxa"/>
          </w:tcPr>
          <w:p w14:paraId="35C2F33D" w14:textId="5A1B0DC2" w:rsidR="002910C0" w:rsidRPr="00223B7A" w:rsidRDefault="002910C0" w:rsidP="002910C0">
            <w:pPr>
              <w:keepNext/>
              <w:keepLines/>
              <w:widowControl w:val="0"/>
              <w:ind w:right="321"/>
              <w:jc w:val="right"/>
              <w:rPr>
                <w:rFonts w:cs="Arial"/>
                <w:color w:val="auto"/>
                <w:sz w:val="21"/>
                <w:szCs w:val="21"/>
              </w:rPr>
            </w:pPr>
            <w:r>
              <w:t>1,820</w:t>
            </w:r>
          </w:p>
        </w:tc>
        <w:tc>
          <w:tcPr>
            <w:tcW w:w="1843" w:type="dxa"/>
            <w:vAlign w:val="center"/>
          </w:tcPr>
          <w:p w14:paraId="12FA2C6D" w14:textId="4D900E09"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68.41%</w:t>
            </w:r>
          </w:p>
        </w:tc>
        <w:tc>
          <w:tcPr>
            <w:tcW w:w="1843" w:type="dxa"/>
            <w:vAlign w:val="center"/>
          </w:tcPr>
          <w:p w14:paraId="22870D18" w14:textId="3EE315D5"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31.59%</w:t>
            </w:r>
          </w:p>
        </w:tc>
      </w:tr>
      <w:tr w:rsidR="002910C0" w:rsidRPr="00223B7A" w14:paraId="2A2E8F85" w14:textId="77777777" w:rsidTr="00EE1495">
        <w:trPr>
          <w:trHeight w:hRule="exact" w:val="340"/>
        </w:trPr>
        <w:tc>
          <w:tcPr>
            <w:tcW w:w="1271" w:type="dxa"/>
            <w:tcBorders>
              <w:top w:val="single" w:sz="4" w:space="0" w:color="FFFFFF"/>
              <w:bottom w:val="single" w:sz="4" w:space="0" w:color="FFFFFF"/>
              <w:right w:val="single" w:sz="4" w:space="0" w:color="FFFFFF"/>
            </w:tcBorders>
            <w:shd w:val="clear" w:color="auto" w:fill="0289C8" w:themeFill="text2" w:themeFillTint="BF"/>
            <w:vAlign w:val="center"/>
          </w:tcPr>
          <w:p w14:paraId="6031D217" w14:textId="0569F74A"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2018</w:t>
            </w:r>
          </w:p>
        </w:tc>
        <w:tc>
          <w:tcPr>
            <w:tcW w:w="1842" w:type="dxa"/>
            <w:tcBorders>
              <w:left w:val="single" w:sz="4" w:space="0" w:color="FFFFFF"/>
            </w:tcBorders>
          </w:tcPr>
          <w:p w14:paraId="7255B2AA" w14:textId="365511BF" w:rsidR="002910C0" w:rsidRPr="00223B7A" w:rsidRDefault="002910C0" w:rsidP="002910C0">
            <w:pPr>
              <w:keepNext/>
              <w:keepLines/>
              <w:widowControl w:val="0"/>
              <w:ind w:right="321"/>
              <w:jc w:val="right"/>
              <w:rPr>
                <w:rFonts w:cs="Arial"/>
                <w:color w:val="auto"/>
                <w:sz w:val="21"/>
                <w:szCs w:val="21"/>
              </w:rPr>
            </w:pPr>
            <w:r w:rsidRPr="0050331A">
              <w:t>3,911</w:t>
            </w:r>
          </w:p>
        </w:tc>
        <w:tc>
          <w:tcPr>
            <w:tcW w:w="1843" w:type="dxa"/>
          </w:tcPr>
          <w:p w14:paraId="5CB41CB1" w14:textId="1FC1489D" w:rsidR="002910C0" w:rsidRPr="00223B7A" w:rsidRDefault="002910C0" w:rsidP="002910C0">
            <w:pPr>
              <w:keepNext/>
              <w:keepLines/>
              <w:widowControl w:val="0"/>
              <w:ind w:right="321"/>
              <w:jc w:val="right"/>
              <w:rPr>
                <w:rFonts w:cs="Arial"/>
                <w:color w:val="auto"/>
                <w:sz w:val="21"/>
                <w:szCs w:val="21"/>
              </w:rPr>
            </w:pPr>
            <w:r>
              <w:t>1,812</w:t>
            </w:r>
          </w:p>
        </w:tc>
        <w:tc>
          <w:tcPr>
            <w:tcW w:w="1843" w:type="dxa"/>
            <w:vAlign w:val="center"/>
          </w:tcPr>
          <w:p w14:paraId="04BD92BD" w14:textId="528596F4"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68.34%</w:t>
            </w:r>
          </w:p>
        </w:tc>
        <w:tc>
          <w:tcPr>
            <w:tcW w:w="1843" w:type="dxa"/>
            <w:vAlign w:val="center"/>
          </w:tcPr>
          <w:p w14:paraId="77B3075E" w14:textId="273B9F2D"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31.66%</w:t>
            </w:r>
          </w:p>
        </w:tc>
      </w:tr>
      <w:tr w:rsidR="002910C0" w:rsidRPr="00223B7A" w14:paraId="167F6F6D" w14:textId="77777777" w:rsidTr="00EE1495">
        <w:trPr>
          <w:trHeight w:hRule="exact" w:val="340"/>
        </w:trPr>
        <w:tc>
          <w:tcPr>
            <w:tcW w:w="1271" w:type="dxa"/>
            <w:tcBorders>
              <w:top w:val="single" w:sz="4" w:space="0" w:color="FFFFFF"/>
              <w:right w:val="single" w:sz="4" w:space="0" w:color="FFFFFF"/>
            </w:tcBorders>
            <w:shd w:val="clear" w:color="auto" w:fill="0289C8" w:themeFill="text2" w:themeFillTint="BF"/>
            <w:vAlign w:val="center"/>
          </w:tcPr>
          <w:p w14:paraId="5744AA38" w14:textId="79356116" w:rsidR="002910C0" w:rsidRPr="00F730DF" w:rsidRDefault="002910C0" w:rsidP="002910C0">
            <w:pPr>
              <w:keepNext/>
              <w:keepLines/>
              <w:widowControl w:val="0"/>
              <w:jc w:val="center"/>
              <w:rPr>
                <w:rFonts w:cs="Arial"/>
                <w:color w:val="FFFFFF" w:themeColor="background1"/>
                <w:sz w:val="21"/>
                <w:szCs w:val="21"/>
              </w:rPr>
            </w:pPr>
            <w:r w:rsidRPr="00F730DF">
              <w:rPr>
                <w:rFonts w:cs="Arial"/>
                <w:color w:val="FFFFFF" w:themeColor="background1"/>
                <w:sz w:val="21"/>
                <w:szCs w:val="21"/>
                <w:lang w:eastAsia="en-AU"/>
              </w:rPr>
              <w:t>2017</w:t>
            </w:r>
          </w:p>
        </w:tc>
        <w:tc>
          <w:tcPr>
            <w:tcW w:w="1842" w:type="dxa"/>
            <w:tcBorders>
              <w:left w:val="single" w:sz="4" w:space="0" w:color="FFFFFF"/>
            </w:tcBorders>
          </w:tcPr>
          <w:p w14:paraId="00431C6F" w14:textId="42633F8F" w:rsidR="002910C0" w:rsidRPr="00223B7A" w:rsidRDefault="002910C0" w:rsidP="002910C0">
            <w:pPr>
              <w:keepNext/>
              <w:keepLines/>
              <w:widowControl w:val="0"/>
              <w:ind w:right="321"/>
              <w:jc w:val="right"/>
              <w:rPr>
                <w:rFonts w:cs="Arial"/>
                <w:color w:val="auto"/>
                <w:sz w:val="21"/>
                <w:szCs w:val="21"/>
              </w:rPr>
            </w:pPr>
            <w:r w:rsidRPr="0050331A">
              <w:t>3,872</w:t>
            </w:r>
          </w:p>
        </w:tc>
        <w:tc>
          <w:tcPr>
            <w:tcW w:w="1843" w:type="dxa"/>
          </w:tcPr>
          <w:p w14:paraId="29A68BFE" w14:textId="33A92C6A" w:rsidR="002910C0" w:rsidRPr="00223B7A" w:rsidRDefault="002910C0" w:rsidP="002910C0">
            <w:pPr>
              <w:keepNext/>
              <w:keepLines/>
              <w:widowControl w:val="0"/>
              <w:ind w:right="321"/>
              <w:jc w:val="right"/>
              <w:rPr>
                <w:rFonts w:cs="Arial"/>
                <w:color w:val="auto"/>
                <w:sz w:val="21"/>
                <w:szCs w:val="21"/>
              </w:rPr>
            </w:pPr>
            <w:r>
              <w:t>1,792</w:t>
            </w:r>
          </w:p>
        </w:tc>
        <w:tc>
          <w:tcPr>
            <w:tcW w:w="1843" w:type="dxa"/>
            <w:vAlign w:val="center"/>
          </w:tcPr>
          <w:p w14:paraId="7555558E" w14:textId="49491C66"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68.36%</w:t>
            </w:r>
          </w:p>
        </w:tc>
        <w:tc>
          <w:tcPr>
            <w:tcW w:w="1843" w:type="dxa"/>
            <w:vAlign w:val="center"/>
          </w:tcPr>
          <w:p w14:paraId="65C01F58" w14:textId="0A30113D" w:rsidR="002910C0" w:rsidRPr="00223B7A" w:rsidRDefault="002910C0" w:rsidP="002910C0">
            <w:pPr>
              <w:keepNext/>
              <w:keepLines/>
              <w:widowControl w:val="0"/>
              <w:ind w:right="321"/>
              <w:jc w:val="right"/>
              <w:rPr>
                <w:rFonts w:cs="Arial"/>
                <w:color w:val="auto"/>
                <w:sz w:val="21"/>
                <w:szCs w:val="21"/>
              </w:rPr>
            </w:pPr>
            <w:r>
              <w:rPr>
                <w:rFonts w:ascii="Calibri" w:hAnsi="Calibri"/>
                <w:color w:val="262626"/>
                <w:sz w:val="21"/>
                <w:szCs w:val="21"/>
              </w:rPr>
              <w:t>31.64%</w:t>
            </w:r>
          </w:p>
        </w:tc>
      </w:tr>
    </w:tbl>
    <w:p w14:paraId="641DB997" w14:textId="57B4192E" w:rsidR="002910C0" w:rsidRPr="00C20287" w:rsidRDefault="002910C0" w:rsidP="00120019">
      <w:pPr>
        <w:rPr>
          <w:rFonts w:eastAsiaTheme="majorEastAsia" w:cs="Arial"/>
          <w:bCs/>
          <w:color w:val="0D0D0D" w:themeColor="text1" w:themeTint="F2"/>
          <w:sz w:val="24"/>
          <w:szCs w:val="24"/>
        </w:rPr>
      </w:pPr>
    </w:p>
    <w:p w14:paraId="4D82DFF1" w14:textId="762BA930" w:rsidR="00120019" w:rsidRPr="00C20287" w:rsidRDefault="00120019" w:rsidP="00120019">
      <w:pPr>
        <w:rPr>
          <w:color w:val="0D0D0D" w:themeColor="text1" w:themeTint="F2"/>
          <w:sz w:val="24"/>
          <w:szCs w:val="24"/>
        </w:rPr>
      </w:pPr>
      <w:r>
        <w:rPr>
          <w:color w:val="0D0D0D" w:themeColor="text1" w:themeTint="F2"/>
          <w:sz w:val="24"/>
          <w:szCs w:val="24"/>
        </w:rPr>
        <w:t xml:space="preserve">To </w:t>
      </w:r>
      <w:r w:rsidRPr="00C20287">
        <w:rPr>
          <w:color w:val="0D0D0D" w:themeColor="text1" w:themeTint="F2"/>
          <w:sz w:val="24"/>
          <w:szCs w:val="24"/>
        </w:rPr>
        <w:t xml:space="preserve">support </w:t>
      </w:r>
      <w:r>
        <w:rPr>
          <w:color w:val="0D0D0D" w:themeColor="text1" w:themeTint="F2"/>
          <w:sz w:val="24"/>
          <w:szCs w:val="24"/>
        </w:rPr>
        <w:t xml:space="preserve">an </w:t>
      </w:r>
      <w:r w:rsidRPr="002F3FBC">
        <w:rPr>
          <w:rFonts w:eastAsiaTheme="majorEastAsia" w:cstheme="minorHAnsi"/>
          <w:bCs/>
          <w:color w:val="0D0D0D" w:themeColor="text1" w:themeTint="F2"/>
          <w:sz w:val="24"/>
          <w:szCs w:val="24"/>
        </w:rPr>
        <w:t>effective</w:t>
      </w:r>
      <w:r w:rsidR="00680346">
        <w:rPr>
          <w:rFonts w:eastAsiaTheme="majorEastAsia" w:cstheme="minorHAnsi"/>
          <w:bCs/>
          <w:color w:val="0D0D0D" w:themeColor="text1" w:themeTint="F2"/>
          <w:sz w:val="24"/>
          <w:szCs w:val="24"/>
        </w:rPr>
        <w:t xml:space="preserve"> </w:t>
      </w:r>
      <w:r w:rsidRPr="002F3FBC">
        <w:rPr>
          <w:rFonts w:eastAsiaTheme="majorEastAsia" w:cstheme="minorHAnsi"/>
          <w:bCs/>
          <w:color w:val="0D0D0D" w:themeColor="text1" w:themeTint="F2"/>
          <w:sz w:val="24"/>
          <w:szCs w:val="24"/>
        </w:rPr>
        <w:t>distribution</w:t>
      </w:r>
      <w:r w:rsidRPr="00C20287">
        <w:rPr>
          <w:rFonts w:eastAsiaTheme="majorEastAsia" w:cs="Arial"/>
          <w:bCs/>
          <w:color w:val="0D0D0D" w:themeColor="text1" w:themeTint="F2"/>
          <w:sz w:val="24"/>
          <w:szCs w:val="24"/>
        </w:rPr>
        <w:t xml:space="preserve"> and supply chai</w:t>
      </w:r>
      <w:r>
        <w:rPr>
          <w:rFonts w:eastAsiaTheme="majorEastAsia" w:cs="Arial"/>
          <w:bCs/>
          <w:color w:val="0D0D0D" w:themeColor="text1" w:themeTint="F2"/>
          <w:sz w:val="24"/>
          <w:szCs w:val="24"/>
        </w:rPr>
        <w:t xml:space="preserve">n for </w:t>
      </w:r>
      <w:r w:rsidRPr="00C20287">
        <w:rPr>
          <w:color w:val="0D0D0D" w:themeColor="text1" w:themeTint="F2"/>
          <w:sz w:val="24"/>
          <w:szCs w:val="24"/>
        </w:rPr>
        <w:t>PBS medicines across Australia</w:t>
      </w:r>
      <w:r w:rsidR="005269D1">
        <w:rPr>
          <w:color w:val="0D0D0D" w:themeColor="text1" w:themeTint="F2"/>
          <w:sz w:val="24"/>
          <w:szCs w:val="24"/>
        </w:rPr>
        <w:t>,</w:t>
      </w:r>
      <w:r w:rsidRPr="00C20287">
        <w:rPr>
          <w:color w:val="0D0D0D" w:themeColor="text1" w:themeTint="F2"/>
          <w:sz w:val="24"/>
          <w:szCs w:val="24"/>
        </w:rPr>
        <w:t xml:space="preserve"> </w:t>
      </w:r>
      <w:r>
        <w:rPr>
          <w:color w:val="0D0D0D" w:themeColor="text1" w:themeTint="F2"/>
          <w:sz w:val="24"/>
          <w:szCs w:val="24"/>
        </w:rPr>
        <w:t xml:space="preserve">successive CPAs have further included </w:t>
      </w:r>
      <w:r w:rsidRPr="00C20287">
        <w:rPr>
          <w:color w:val="0D0D0D" w:themeColor="text1" w:themeTint="F2"/>
          <w:sz w:val="24"/>
          <w:szCs w:val="24"/>
        </w:rPr>
        <w:t xml:space="preserve">wholesaler mark-ups as well as CSO Funding Pool payments to pharmaceutical wholesalers. </w:t>
      </w:r>
      <w:r>
        <w:rPr>
          <w:color w:val="0D0D0D" w:themeColor="text1" w:themeTint="F2"/>
          <w:sz w:val="24"/>
          <w:szCs w:val="24"/>
        </w:rPr>
        <w:t xml:space="preserve">These arrangements ensure that patients in rural and remote regions are able to access the PBS medicines they need in a timely manner. </w:t>
      </w:r>
      <w:r w:rsidRPr="00C20287">
        <w:rPr>
          <w:color w:val="0D0D0D" w:themeColor="text1" w:themeTint="F2"/>
          <w:sz w:val="24"/>
          <w:szCs w:val="24"/>
        </w:rPr>
        <w:t xml:space="preserve">The Department has analysed data on the distribution of </w:t>
      </w:r>
      <w:r w:rsidRPr="00C20287">
        <w:rPr>
          <w:color w:val="0D0D0D" w:themeColor="text1" w:themeTint="F2"/>
          <w:sz w:val="24"/>
          <w:szCs w:val="24"/>
        </w:rPr>
        <w:lastRenderedPageBreak/>
        <w:t xml:space="preserve">CSO services delivered broken down by MM location for the past 2 financial years in </w:t>
      </w:r>
      <w:r w:rsidR="00650529" w:rsidRPr="00650529">
        <w:rPr>
          <w:color w:val="0D0D0D" w:themeColor="text1" w:themeTint="F2"/>
          <w:sz w:val="24"/>
          <w:szCs w:val="24"/>
        </w:rPr>
        <w:fldChar w:fldCharType="begin"/>
      </w:r>
      <w:r w:rsidR="00650529" w:rsidRPr="00650529">
        <w:rPr>
          <w:color w:val="0D0D0D" w:themeColor="text1" w:themeTint="F2"/>
          <w:sz w:val="24"/>
          <w:szCs w:val="24"/>
        </w:rPr>
        <w:instrText xml:space="preserve"> REF _Ref155784640 \h </w:instrText>
      </w:r>
      <w:r w:rsidR="00650529">
        <w:rPr>
          <w:color w:val="0D0D0D" w:themeColor="text1" w:themeTint="F2"/>
          <w:sz w:val="24"/>
          <w:szCs w:val="24"/>
        </w:rPr>
        <w:instrText xml:space="preserve"> \* MERGEFORMAT </w:instrText>
      </w:r>
      <w:r w:rsidR="00650529" w:rsidRPr="00650529">
        <w:rPr>
          <w:color w:val="0D0D0D" w:themeColor="text1" w:themeTint="F2"/>
          <w:sz w:val="24"/>
          <w:szCs w:val="24"/>
        </w:rPr>
      </w:r>
      <w:r w:rsidR="00650529" w:rsidRPr="00650529">
        <w:rPr>
          <w:color w:val="0D0D0D" w:themeColor="text1" w:themeTint="F2"/>
          <w:sz w:val="24"/>
          <w:szCs w:val="24"/>
        </w:rPr>
        <w:fldChar w:fldCharType="separate"/>
      </w:r>
      <w:r w:rsidR="00D94397" w:rsidRPr="00D94397">
        <w:rPr>
          <w:sz w:val="24"/>
          <w:szCs w:val="24"/>
        </w:rPr>
        <w:t xml:space="preserve">Table </w:t>
      </w:r>
      <w:r w:rsidR="00D94397" w:rsidRPr="00D94397">
        <w:rPr>
          <w:noProof/>
          <w:sz w:val="24"/>
          <w:szCs w:val="24"/>
        </w:rPr>
        <w:t>7</w:t>
      </w:r>
      <w:r w:rsidR="00650529" w:rsidRPr="00650529">
        <w:rPr>
          <w:color w:val="0D0D0D" w:themeColor="text1" w:themeTint="F2"/>
          <w:sz w:val="24"/>
          <w:szCs w:val="24"/>
        </w:rPr>
        <w:fldChar w:fldCharType="end"/>
      </w:r>
      <w:r w:rsidRPr="00650529">
        <w:rPr>
          <w:color w:val="0D0D0D" w:themeColor="text1" w:themeTint="F2"/>
          <w:sz w:val="24"/>
          <w:szCs w:val="24"/>
        </w:rPr>
        <w:t xml:space="preserve"> to provide a proxy for the extent to which medicines are being delivered equitably to rural and</w:t>
      </w:r>
      <w:r w:rsidRPr="00C20287">
        <w:rPr>
          <w:color w:val="0D0D0D" w:themeColor="text1" w:themeTint="F2"/>
          <w:sz w:val="24"/>
          <w:szCs w:val="24"/>
        </w:rPr>
        <w:t xml:space="preserve"> remote communities.</w:t>
      </w:r>
    </w:p>
    <w:p w14:paraId="35CFBD61" w14:textId="7BC4CC32" w:rsidR="00650529" w:rsidRDefault="00650529" w:rsidP="00650529">
      <w:pPr>
        <w:pStyle w:val="Caption"/>
      </w:pPr>
      <w:bookmarkStart w:id="51" w:name="_Ref155784640"/>
      <w:r>
        <w:t xml:space="preserve">Table </w:t>
      </w:r>
      <w:fldSimple w:instr=" SEQ Table \* ARABIC ">
        <w:r w:rsidR="005B7A17">
          <w:rPr>
            <w:noProof/>
          </w:rPr>
          <w:t>7</w:t>
        </w:r>
      </w:fldSimple>
      <w:bookmarkEnd w:id="51"/>
      <w:r>
        <w:t xml:space="preserve">. </w:t>
      </w:r>
      <w:r w:rsidRPr="00CD0B8E">
        <w:t>CSO supply of units per MM classification</w:t>
      </w:r>
    </w:p>
    <w:tbl>
      <w:tblPr>
        <w:tblW w:w="8820" w:type="dxa"/>
        <w:tblLook w:val="04A0" w:firstRow="1" w:lastRow="0" w:firstColumn="1" w:lastColumn="0" w:noHBand="0" w:noVBand="1"/>
      </w:tblPr>
      <w:tblGrid>
        <w:gridCol w:w="960"/>
        <w:gridCol w:w="2580"/>
        <w:gridCol w:w="1752"/>
        <w:gridCol w:w="888"/>
        <w:gridCol w:w="1752"/>
        <w:gridCol w:w="888"/>
      </w:tblGrid>
      <w:tr w:rsidR="00120019" w:rsidRPr="00C20287" w14:paraId="753A3303" w14:textId="77777777" w:rsidTr="00120019">
        <w:trPr>
          <w:trHeight w:val="300"/>
        </w:trPr>
        <w:tc>
          <w:tcPr>
            <w:tcW w:w="960" w:type="dxa"/>
            <w:tcBorders>
              <w:top w:val="nil"/>
              <w:left w:val="nil"/>
              <w:bottom w:val="nil"/>
              <w:right w:val="nil"/>
            </w:tcBorders>
            <w:shd w:val="clear" w:color="auto" w:fill="auto"/>
            <w:noWrap/>
            <w:vAlign w:val="bottom"/>
            <w:hideMark/>
          </w:tcPr>
          <w:p w14:paraId="1DCDEAAA" w14:textId="77777777" w:rsidR="00120019" w:rsidRPr="00C20287" w:rsidRDefault="00120019" w:rsidP="00120019">
            <w:pPr>
              <w:spacing w:after="0" w:line="240" w:lineRule="auto"/>
              <w:rPr>
                <w:rFonts w:ascii="Times New Roman" w:eastAsia="Times New Roman" w:hAnsi="Times New Roman" w:cs="Times New Roman"/>
                <w:color w:val="auto"/>
                <w:sz w:val="24"/>
                <w:szCs w:val="24"/>
                <w:lang w:eastAsia="en-AU"/>
              </w:rPr>
            </w:pPr>
          </w:p>
        </w:tc>
        <w:tc>
          <w:tcPr>
            <w:tcW w:w="2580" w:type="dxa"/>
            <w:tcBorders>
              <w:top w:val="nil"/>
              <w:left w:val="nil"/>
              <w:bottom w:val="nil"/>
              <w:right w:val="nil"/>
            </w:tcBorders>
            <w:shd w:val="clear" w:color="auto" w:fill="auto"/>
            <w:noWrap/>
            <w:vAlign w:val="bottom"/>
            <w:hideMark/>
          </w:tcPr>
          <w:p w14:paraId="7FB03958" w14:textId="77777777" w:rsidR="00120019" w:rsidRPr="00C20287" w:rsidRDefault="00120019" w:rsidP="00120019">
            <w:pPr>
              <w:spacing w:after="0" w:line="240" w:lineRule="auto"/>
              <w:jc w:val="center"/>
              <w:rPr>
                <w:rFonts w:ascii="Times New Roman" w:eastAsia="Times New Roman" w:hAnsi="Times New Roman" w:cs="Times New Roman"/>
                <w:color w:val="auto"/>
                <w:lang w:eastAsia="en-AU"/>
              </w:rPr>
            </w:pPr>
          </w:p>
        </w:tc>
        <w:tc>
          <w:tcPr>
            <w:tcW w:w="2640" w:type="dxa"/>
            <w:gridSpan w:val="2"/>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2694F103" w14:textId="77777777" w:rsidR="00120019" w:rsidRPr="00C20287" w:rsidRDefault="00120019" w:rsidP="00120019">
            <w:pPr>
              <w:spacing w:after="0" w:line="240" w:lineRule="auto"/>
              <w:jc w:val="center"/>
              <w:rPr>
                <w:rFonts w:ascii="Arial Narrow" w:eastAsia="Times New Roman" w:hAnsi="Arial Narrow" w:cs="Times New Roman"/>
                <w:b/>
                <w:bCs/>
                <w:color w:val="000000"/>
                <w:lang w:eastAsia="en-AU"/>
              </w:rPr>
            </w:pPr>
            <w:r w:rsidRPr="00C20287">
              <w:rPr>
                <w:rFonts w:ascii="Arial Narrow" w:eastAsia="Times New Roman" w:hAnsi="Arial Narrow" w:cs="Times New Roman"/>
                <w:b/>
                <w:bCs/>
                <w:color w:val="000000"/>
                <w:lang w:eastAsia="en-AU"/>
              </w:rPr>
              <w:t>2021-22</w:t>
            </w:r>
          </w:p>
        </w:tc>
        <w:tc>
          <w:tcPr>
            <w:tcW w:w="2640"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3AEEC64C" w14:textId="77777777" w:rsidR="00120019" w:rsidRPr="00C20287" w:rsidRDefault="00120019" w:rsidP="00120019">
            <w:pPr>
              <w:spacing w:after="0" w:line="240" w:lineRule="auto"/>
              <w:jc w:val="center"/>
              <w:rPr>
                <w:rFonts w:ascii="Arial Narrow" w:eastAsia="Times New Roman" w:hAnsi="Arial Narrow" w:cs="Times New Roman"/>
                <w:b/>
                <w:bCs/>
                <w:color w:val="000000"/>
                <w:lang w:eastAsia="en-AU"/>
              </w:rPr>
            </w:pPr>
            <w:r w:rsidRPr="00C20287">
              <w:rPr>
                <w:rFonts w:ascii="Arial Narrow" w:eastAsia="Times New Roman" w:hAnsi="Arial Narrow" w:cs="Times New Roman"/>
                <w:b/>
                <w:bCs/>
                <w:color w:val="000000"/>
                <w:lang w:eastAsia="en-AU"/>
              </w:rPr>
              <w:t>2022-23</w:t>
            </w:r>
          </w:p>
        </w:tc>
      </w:tr>
      <w:tr w:rsidR="00120019" w:rsidRPr="00C20287" w14:paraId="0AEB313B" w14:textId="77777777" w:rsidTr="00EE1495">
        <w:trPr>
          <w:trHeight w:val="300"/>
        </w:trPr>
        <w:tc>
          <w:tcPr>
            <w:tcW w:w="3540" w:type="dxa"/>
            <w:gridSpan w:val="2"/>
            <w:tcBorders>
              <w:top w:val="single" w:sz="4" w:space="0" w:color="auto"/>
              <w:left w:val="single" w:sz="4" w:space="0" w:color="auto"/>
              <w:bottom w:val="single" w:sz="4" w:space="0" w:color="auto"/>
              <w:right w:val="single" w:sz="4" w:space="0" w:color="auto"/>
            </w:tcBorders>
            <w:shd w:val="clear" w:color="auto" w:fill="0289C8" w:themeFill="text2" w:themeFillTint="BF"/>
            <w:noWrap/>
            <w:vAlign w:val="center"/>
            <w:hideMark/>
          </w:tcPr>
          <w:p w14:paraId="54C3FF63"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MM Cat</w:t>
            </w:r>
          </w:p>
        </w:tc>
        <w:tc>
          <w:tcPr>
            <w:tcW w:w="1752" w:type="dxa"/>
            <w:tcBorders>
              <w:top w:val="nil"/>
              <w:left w:val="nil"/>
              <w:bottom w:val="single" w:sz="4" w:space="0" w:color="auto"/>
              <w:right w:val="single" w:sz="4" w:space="0" w:color="auto"/>
            </w:tcBorders>
            <w:shd w:val="clear" w:color="000000" w:fill="C6E0B4"/>
            <w:noWrap/>
            <w:vAlign w:val="center"/>
            <w:hideMark/>
          </w:tcPr>
          <w:p w14:paraId="7E295832"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CSO Units</w:t>
            </w:r>
          </w:p>
        </w:tc>
        <w:tc>
          <w:tcPr>
            <w:tcW w:w="888" w:type="dxa"/>
            <w:tcBorders>
              <w:top w:val="nil"/>
              <w:left w:val="nil"/>
              <w:bottom w:val="single" w:sz="4" w:space="0" w:color="auto"/>
              <w:right w:val="single" w:sz="4" w:space="0" w:color="auto"/>
            </w:tcBorders>
            <w:shd w:val="clear" w:color="000000" w:fill="C6E0B4"/>
            <w:noWrap/>
            <w:vAlign w:val="center"/>
            <w:hideMark/>
          </w:tcPr>
          <w:p w14:paraId="13297133"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total</w:t>
            </w:r>
          </w:p>
        </w:tc>
        <w:tc>
          <w:tcPr>
            <w:tcW w:w="1752" w:type="dxa"/>
            <w:tcBorders>
              <w:top w:val="nil"/>
              <w:left w:val="nil"/>
              <w:bottom w:val="single" w:sz="4" w:space="0" w:color="auto"/>
              <w:right w:val="single" w:sz="4" w:space="0" w:color="auto"/>
            </w:tcBorders>
            <w:shd w:val="clear" w:color="000000" w:fill="C6E0B4"/>
            <w:noWrap/>
            <w:vAlign w:val="center"/>
            <w:hideMark/>
          </w:tcPr>
          <w:p w14:paraId="37E86EE5"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CSO Units</w:t>
            </w:r>
          </w:p>
        </w:tc>
        <w:tc>
          <w:tcPr>
            <w:tcW w:w="888" w:type="dxa"/>
            <w:tcBorders>
              <w:top w:val="nil"/>
              <w:left w:val="nil"/>
              <w:bottom w:val="single" w:sz="4" w:space="0" w:color="auto"/>
              <w:right w:val="single" w:sz="4" w:space="0" w:color="auto"/>
            </w:tcBorders>
            <w:shd w:val="clear" w:color="000000" w:fill="C6E0B4"/>
            <w:noWrap/>
            <w:vAlign w:val="center"/>
            <w:hideMark/>
          </w:tcPr>
          <w:p w14:paraId="6AF317F6"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total</w:t>
            </w:r>
          </w:p>
        </w:tc>
      </w:tr>
      <w:tr w:rsidR="00120019" w:rsidRPr="00C20287" w14:paraId="1C5240DB"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7BCC5775"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1</w:t>
            </w:r>
          </w:p>
        </w:tc>
        <w:tc>
          <w:tcPr>
            <w:tcW w:w="2580" w:type="dxa"/>
            <w:tcBorders>
              <w:top w:val="nil"/>
              <w:left w:val="nil"/>
              <w:bottom w:val="single" w:sz="4" w:space="0" w:color="auto"/>
              <w:right w:val="nil"/>
            </w:tcBorders>
            <w:shd w:val="clear" w:color="auto" w:fill="0289C8" w:themeFill="text2" w:themeFillTint="BF"/>
            <w:noWrap/>
            <w:vAlign w:val="bottom"/>
            <w:hideMark/>
          </w:tcPr>
          <w:p w14:paraId="69441817"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Metropolitan areas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45D1C78"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268,337,151 </w:t>
            </w:r>
          </w:p>
        </w:tc>
        <w:tc>
          <w:tcPr>
            <w:tcW w:w="888" w:type="dxa"/>
            <w:tcBorders>
              <w:top w:val="nil"/>
              <w:left w:val="nil"/>
              <w:bottom w:val="single" w:sz="4" w:space="0" w:color="auto"/>
              <w:right w:val="single" w:sz="4" w:space="0" w:color="auto"/>
            </w:tcBorders>
            <w:shd w:val="clear" w:color="auto" w:fill="auto"/>
            <w:noWrap/>
            <w:vAlign w:val="bottom"/>
            <w:hideMark/>
          </w:tcPr>
          <w:p w14:paraId="331A19EF"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68.9%</w:t>
            </w:r>
          </w:p>
        </w:tc>
        <w:tc>
          <w:tcPr>
            <w:tcW w:w="1752" w:type="dxa"/>
            <w:tcBorders>
              <w:top w:val="nil"/>
              <w:left w:val="nil"/>
              <w:bottom w:val="single" w:sz="4" w:space="0" w:color="auto"/>
              <w:right w:val="single" w:sz="4" w:space="0" w:color="auto"/>
            </w:tcBorders>
            <w:shd w:val="clear" w:color="auto" w:fill="auto"/>
            <w:noWrap/>
            <w:vAlign w:val="bottom"/>
            <w:hideMark/>
          </w:tcPr>
          <w:p w14:paraId="0B61C6DC"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279,558,845 </w:t>
            </w:r>
          </w:p>
        </w:tc>
        <w:tc>
          <w:tcPr>
            <w:tcW w:w="888" w:type="dxa"/>
            <w:tcBorders>
              <w:top w:val="nil"/>
              <w:left w:val="nil"/>
              <w:bottom w:val="single" w:sz="4" w:space="0" w:color="auto"/>
              <w:right w:val="single" w:sz="4" w:space="0" w:color="auto"/>
            </w:tcBorders>
            <w:shd w:val="clear" w:color="auto" w:fill="auto"/>
            <w:noWrap/>
            <w:vAlign w:val="bottom"/>
            <w:hideMark/>
          </w:tcPr>
          <w:p w14:paraId="4116A204"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69.1%</w:t>
            </w:r>
          </w:p>
        </w:tc>
      </w:tr>
      <w:tr w:rsidR="00120019" w:rsidRPr="00C20287" w14:paraId="157928BB"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1A8EDD63"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2</w:t>
            </w:r>
          </w:p>
        </w:tc>
        <w:tc>
          <w:tcPr>
            <w:tcW w:w="2580" w:type="dxa"/>
            <w:tcBorders>
              <w:top w:val="nil"/>
              <w:left w:val="nil"/>
              <w:bottom w:val="single" w:sz="4" w:space="0" w:color="auto"/>
              <w:right w:val="nil"/>
            </w:tcBorders>
            <w:shd w:val="clear" w:color="auto" w:fill="0289C8" w:themeFill="text2" w:themeFillTint="BF"/>
            <w:noWrap/>
            <w:vAlign w:val="bottom"/>
            <w:hideMark/>
          </w:tcPr>
          <w:p w14:paraId="75CFF1E8"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Regional centres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45805468"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37,727,398 </w:t>
            </w:r>
          </w:p>
        </w:tc>
        <w:tc>
          <w:tcPr>
            <w:tcW w:w="888" w:type="dxa"/>
            <w:tcBorders>
              <w:top w:val="nil"/>
              <w:left w:val="nil"/>
              <w:bottom w:val="single" w:sz="4" w:space="0" w:color="auto"/>
              <w:right w:val="single" w:sz="4" w:space="0" w:color="auto"/>
            </w:tcBorders>
            <w:shd w:val="clear" w:color="auto" w:fill="auto"/>
            <w:noWrap/>
            <w:vAlign w:val="bottom"/>
            <w:hideMark/>
          </w:tcPr>
          <w:p w14:paraId="6732EED3"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9.7%</w:t>
            </w:r>
          </w:p>
        </w:tc>
        <w:tc>
          <w:tcPr>
            <w:tcW w:w="1752" w:type="dxa"/>
            <w:tcBorders>
              <w:top w:val="nil"/>
              <w:left w:val="nil"/>
              <w:bottom w:val="single" w:sz="4" w:space="0" w:color="auto"/>
              <w:right w:val="single" w:sz="4" w:space="0" w:color="auto"/>
            </w:tcBorders>
            <w:shd w:val="clear" w:color="auto" w:fill="auto"/>
            <w:noWrap/>
            <w:vAlign w:val="bottom"/>
            <w:hideMark/>
          </w:tcPr>
          <w:p w14:paraId="2800F4B6"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38,643,752 </w:t>
            </w:r>
          </w:p>
        </w:tc>
        <w:tc>
          <w:tcPr>
            <w:tcW w:w="888" w:type="dxa"/>
            <w:tcBorders>
              <w:top w:val="nil"/>
              <w:left w:val="nil"/>
              <w:bottom w:val="single" w:sz="4" w:space="0" w:color="auto"/>
              <w:right w:val="single" w:sz="4" w:space="0" w:color="auto"/>
            </w:tcBorders>
            <w:shd w:val="clear" w:color="auto" w:fill="auto"/>
            <w:noWrap/>
            <w:vAlign w:val="bottom"/>
            <w:hideMark/>
          </w:tcPr>
          <w:p w14:paraId="47B8BEB6"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9.6%</w:t>
            </w:r>
          </w:p>
        </w:tc>
      </w:tr>
      <w:tr w:rsidR="00120019" w:rsidRPr="00C20287" w14:paraId="105AE3A9"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641C54E4"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3</w:t>
            </w:r>
          </w:p>
        </w:tc>
        <w:tc>
          <w:tcPr>
            <w:tcW w:w="2580" w:type="dxa"/>
            <w:tcBorders>
              <w:top w:val="nil"/>
              <w:left w:val="nil"/>
              <w:bottom w:val="single" w:sz="4" w:space="0" w:color="auto"/>
              <w:right w:val="nil"/>
            </w:tcBorders>
            <w:shd w:val="clear" w:color="auto" w:fill="0289C8" w:themeFill="text2" w:themeFillTint="BF"/>
            <w:noWrap/>
            <w:vAlign w:val="bottom"/>
            <w:hideMark/>
          </w:tcPr>
          <w:p w14:paraId="2DF18931"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Large rural towns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2628F8E4"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34,947,723 </w:t>
            </w:r>
          </w:p>
        </w:tc>
        <w:tc>
          <w:tcPr>
            <w:tcW w:w="888" w:type="dxa"/>
            <w:tcBorders>
              <w:top w:val="nil"/>
              <w:left w:val="nil"/>
              <w:bottom w:val="single" w:sz="4" w:space="0" w:color="auto"/>
              <w:right w:val="single" w:sz="4" w:space="0" w:color="auto"/>
            </w:tcBorders>
            <w:shd w:val="clear" w:color="auto" w:fill="auto"/>
            <w:noWrap/>
            <w:vAlign w:val="bottom"/>
            <w:hideMark/>
          </w:tcPr>
          <w:p w14:paraId="0CE0FF60"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9.0%</w:t>
            </w:r>
          </w:p>
        </w:tc>
        <w:tc>
          <w:tcPr>
            <w:tcW w:w="1752" w:type="dxa"/>
            <w:tcBorders>
              <w:top w:val="nil"/>
              <w:left w:val="nil"/>
              <w:bottom w:val="single" w:sz="4" w:space="0" w:color="auto"/>
              <w:right w:val="single" w:sz="4" w:space="0" w:color="auto"/>
            </w:tcBorders>
            <w:shd w:val="clear" w:color="auto" w:fill="auto"/>
            <w:noWrap/>
            <w:vAlign w:val="bottom"/>
            <w:hideMark/>
          </w:tcPr>
          <w:p w14:paraId="2EB1B05C"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35,937,581 </w:t>
            </w:r>
          </w:p>
        </w:tc>
        <w:tc>
          <w:tcPr>
            <w:tcW w:w="888" w:type="dxa"/>
            <w:tcBorders>
              <w:top w:val="nil"/>
              <w:left w:val="nil"/>
              <w:bottom w:val="single" w:sz="4" w:space="0" w:color="auto"/>
              <w:right w:val="single" w:sz="4" w:space="0" w:color="auto"/>
            </w:tcBorders>
            <w:shd w:val="clear" w:color="auto" w:fill="auto"/>
            <w:noWrap/>
            <w:vAlign w:val="bottom"/>
            <w:hideMark/>
          </w:tcPr>
          <w:p w14:paraId="71C792E2"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8.9%</w:t>
            </w:r>
          </w:p>
        </w:tc>
      </w:tr>
      <w:tr w:rsidR="00120019" w:rsidRPr="00C20287" w14:paraId="22F3C6C4"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09DC921B"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4</w:t>
            </w:r>
          </w:p>
        </w:tc>
        <w:tc>
          <w:tcPr>
            <w:tcW w:w="2580" w:type="dxa"/>
            <w:tcBorders>
              <w:top w:val="nil"/>
              <w:left w:val="nil"/>
              <w:bottom w:val="single" w:sz="4" w:space="0" w:color="auto"/>
              <w:right w:val="nil"/>
            </w:tcBorders>
            <w:shd w:val="clear" w:color="auto" w:fill="0289C8" w:themeFill="text2" w:themeFillTint="BF"/>
            <w:noWrap/>
            <w:vAlign w:val="bottom"/>
            <w:hideMark/>
          </w:tcPr>
          <w:p w14:paraId="6DDDC2C3"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Medium rural towns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F85B271"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21,367,440 </w:t>
            </w:r>
          </w:p>
        </w:tc>
        <w:tc>
          <w:tcPr>
            <w:tcW w:w="888" w:type="dxa"/>
            <w:tcBorders>
              <w:top w:val="nil"/>
              <w:left w:val="nil"/>
              <w:bottom w:val="single" w:sz="4" w:space="0" w:color="auto"/>
              <w:right w:val="single" w:sz="4" w:space="0" w:color="auto"/>
            </w:tcBorders>
            <w:shd w:val="clear" w:color="auto" w:fill="auto"/>
            <w:noWrap/>
            <w:vAlign w:val="bottom"/>
            <w:hideMark/>
          </w:tcPr>
          <w:p w14:paraId="771B7FC6"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5.5%</w:t>
            </w:r>
          </w:p>
        </w:tc>
        <w:tc>
          <w:tcPr>
            <w:tcW w:w="1752" w:type="dxa"/>
            <w:tcBorders>
              <w:top w:val="nil"/>
              <w:left w:val="nil"/>
              <w:bottom w:val="single" w:sz="4" w:space="0" w:color="auto"/>
              <w:right w:val="single" w:sz="4" w:space="0" w:color="auto"/>
            </w:tcBorders>
            <w:shd w:val="clear" w:color="auto" w:fill="auto"/>
            <w:noWrap/>
            <w:vAlign w:val="bottom"/>
            <w:hideMark/>
          </w:tcPr>
          <w:p w14:paraId="7501D054"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22,130,687 </w:t>
            </w:r>
          </w:p>
        </w:tc>
        <w:tc>
          <w:tcPr>
            <w:tcW w:w="888" w:type="dxa"/>
            <w:tcBorders>
              <w:top w:val="nil"/>
              <w:left w:val="nil"/>
              <w:bottom w:val="single" w:sz="4" w:space="0" w:color="auto"/>
              <w:right w:val="single" w:sz="4" w:space="0" w:color="auto"/>
            </w:tcBorders>
            <w:shd w:val="clear" w:color="auto" w:fill="auto"/>
            <w:noWrap/>
            <w:vAlign w:val="bottom"/>
            <w:hideMark/>
          </w:tcPr>
          <w:p w14:paraId="61A21B07"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5.5%</w:t>
            </w:r>
          </w:p>
        </w:tc>
      </w:tr>
      <w:tr w:rsidR="00120019" w:rsidRPr="00C20287" w14:paraId="5CBCD9F9"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7D1D2444"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5</w:t>
            </w:r>
          </w:p>
        </w:tc>
        <w:tc>
          <w:tcPr>
            <w:tcW w:w="2580" w:type="dxa"/>
            <w:tcBorders>
              <w:top w:val="nil"/>
              <w:left w:val="nil"/>
              <w:bottom w:val="single" w:sz="4" w:space="0" w:color="auto"/>
              <w:right w:val="nil"/>
            </w:tcBorders>
            <w:shd w:val="clear" w:color="auto" w:fill="0289C8" w:themeFill="text2" w:themeFillTint="BF"/>
            <w:noWrap/>
            <w:vAlign w:val="bottom"/>
            <w:hideMark/>
          </w:tcPr>
          <w:p w14:paraId="62054774"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Small rural towns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F9305A1"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22,107,075 </w:t>
            </w:r>
          </w:p>
        </w:tc>
        <w:tc>
          <w:tcPr>
            <w:tcW w:w="888" w:type="dxa"/>
            <w:tcBorders>
              <w:top w:val="nil"/>
              <w:left w:val="nil"/>
              <w:bottom w:val="single" w:sz="4" w:space="0" w:color="auto"/>
              <w:right w:val="single" w:sz="4" w:space="0" w:color="auto"/>
            </w:tcBorders>
            <w:shd w:val="clear" w:color="auto" w:fill="auto"/>
            <w:noWrap/>
            <w:vAlign w:val="bottom"/>
            <w:hideMark/>
          </w:tcPr>
          <w:p w14:paraId="464BDF2F"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5.7%</w:t>
            </w:r>
          </w:p>
        </w:tc>
        <w:tc>
          <w:tcPr>
            <w:tcW w:w="1752" w:type="dxa"/>
            <w:tcBorders>
              <w:top w:val="nil"/>
              <w:left w:val="nil"/>
              <w:bottom w:val="single" w:sz="4" w:space="0" w:color="auto"/>
              <w:right w:val="single" w:sz="4" w:space="0" w:color="auto"/>
            </w:tcBorders>
            <w:shd w:val="clear" w:color="auto" w:fill="auto"/>
            <w:noWrap/>
            <w:vAlign w:val="bottom"/>
            <w:hideMark/>
          </w:tcPr>
          <w:p w14:paraId="67BDE4EA"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22,815,256 </w:t>
            </w:r>
          </w:p>
        </w:tc>
        <w:tc>
          <w:tcPr>
            <w:tcW w:w="888" w:type="dxa"/>
            <w:tcBorders>
              <w:top w:val="nil"/>
              <w:left w:val="nil"/>
              <w:bottom w:val="single" w:sz="4" w:space="0" w:color="auto"/>
              <w:right w:val="single" w:sz="4" w:space="0" w:color="auto"/>
            </w:tcBorders>
            <w:shd w:val="clear" w:color="auto" w:fill="auto"/>
            <w:noWrap/>
            <w:vAlign w:val="bottom"/>
            <w:hideMark/>
          </w:tcPr>
          <w:p w14:paraId="7B03D2D9"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5.6%</w:t>
            </w:r>
          </w:p>
        </w:tc>
      </w:tr>
      <w:tr w:rsidR="00120019" w:rsidRPr="00C20287" w14:paraId="78D64F12"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54030B22"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6</w:t>
            </w:r>
          </w:p>
        </w:tc>
        <w:tc>
          <w:tcPr>
            <w:tcW w:w="2580" w:type="dxa"/>
            <w:tcBorders>
              <w:top w:val="nil"/>
              <w:left w:val="nil"/>
              <w:bottom w:val="single" w:sz="4" w:space="0" w:color="auto"/>
              <w:right w:val="nil"/>
            </w:tcBorders>
            <w:shd w:val="clear" w:color="auto" w:fill="0289C8" w:themeFill="text2" w:themeFillTint="BF"/>
            <w:noWrap/>
            <w:vAlign w:val="bottom"/>
            <w:hideMark/>
          </w:tcPr>
          <w:p w14:paraId="13CF03DA"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Remote communities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07D37646"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3,583,347 </w:t>
            </w:r>
          </w:p>
        </w:tc>
        <w:tc>
          <w:tcPr>
            <w:tcW w:w="888" w:type="dxa"/>
            <w:tcBorders>
              <w:top w:val="nil"/>
              <w:left w:val="nil"/>
              <w:bottom w:val="single" w:sz="4" w:space="0" w:color="auto"/>
              <w:right w:val="single" w:sz="4" w:space="0" w:color="auto"/>
            </w:tcBorders>
            <w:shd w:val="clear" w:color="auto" w:fill="auto"/>
            <w:noWrap/>
            <w:vAlign w:val="bottom"/>
            <w:hideMark/>
          </w:tcPr>
          <w:p w14:paraId="566D181F"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0.9%</w:t>
            </w:r>
          </w:p>
        </w:tc>
        <w:tc>
          <w:tcPr>
            <w:tcW w:w="1752" w:type="dxa"/>
            <w:tcBorders>
              <w:top w:val="nil"/>
              <w:left w:val="nil"/>
              <w:bottom w:val="single" w:sz="4" w:space="0" w:color="auto"/>
              <w:right w:val="single" w:sz="4" w:space="0" w:color="auto"/>
            </w:tcBorders>
            <w:shd w:val="clear" w:color="auto" w:fill="auto"/>
            <w:noWrap/>
            <w:vAlign w:val="bottom"/>
            <w:hideMark/>
          </w:tcPr>
          <w:p w14:paraId="32433C0C"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3,561,997 </w:t>
            </w:r>
          </w:p>
        </w:tc>
        <w:tc>
          <w:tcPr>
            <w:tcW w:w="888" w:type="dxa"/>
            <w:tcBorders>
              <w:top w:val="nil"/>
              <w:left w:val="nil"/>
              <w:bottom w:val="single" w:sz="4" w:space="0" w:color="auto"/>
              <w:right w:val="single" w:sz="4" w:space="0" w:color="auto"/>
            </w:tcBorders>
            <w:shd w:val="clear" w:color="auto" w:fill="auto"/>
            <w:noWrap/>
            <w:vAlign w:val="bottom"/>
            <w:hideMark/>
          </w:tcPr>
          <w:p w14:paraId="58636995"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0.9%</w:t>
            </w:r>
          </w:p>
        </w:tc>
      </w:tr>
      <w:tr w:rsidR="00120019" w:rsidRPr="00C20287" w14:paraId="5B035373" w14:textId="77777777" w:rsidTr="00EE1495">
        <w:trPr>
          <w:trHeight w:val="300"/>
        </w:trPr>
        <w:tc>
          <w:tcPr>
            <w:tcW w:w="96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50A44C7D"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7</w:t>
            </w:r>
          </w:p>
        </w:tc>
        <w:tc>
          <w:tcPr>
            <w:tcW w:w="2580" w:type="dxa"/>
            <w:tcBorders>
              <w:top w:val="nil"/>
              <w:left w:val="nil"/>
              <w:bottom w:val="single" w:sz="4" w:space="0" w:color="auto"/>
              <w:right w:val="nil"/>
            </w:tcBorders>
            <w:shd w:val="clear" w:color="auto" w:fill="0289C8" w:themeFill="text2" w:themeFillTint="BF"/>
            <w:noWrap/>
            <w:vAlign w:val="bottom"/>
            <w:hideMark/>
          </w:tcPr>
          <w:p w14:paraId="4A17476D"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Very remote communities</w:t>
            </w: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7A1C0FA3"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1,574,646 </w:t>
            </w:r>
          </w:p>
        </w:tc>
        <w:tc>
          <w:tcPr>
            <w:tcW w:w="888" w:type="dxa"/>
            <w:tcBorders>
              <w:top w:val="nil"/>
              <w:left w:val="nil"/>
              <w:bottom w:val="single" w:sz="4" w:space="0" w:color="auto"/>
              <w:right w:val="single" w:sz="4" w:space="0" w:color="auto"/>
            </w:tcBorders>
            <w:shd w:val="clear" w:color="auto" w:fill="auto"/>
            <w:noWrap/>
            <w:vAlign w:val="bottom"/>
            <w:hideMark/>
          </w:tcPr>
          <w:p w14:paraId="2190E7C3"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0.4%</w:t>
            </w:r>
          </w:p>
        </w:tc>
        <w:tc>
          <w:tcPr>
            <w:tcW w:w="1752" w:type="dxa"/>
            <w:tcBorders>
              <w:top w:val="nil"/>
              <w:left w:val="nil"/>
              <w:bottom w:val="single" w:sz="4" w:space="0" w:color="auto"/>
              <w:right w:val="single" w:sz="4" w:space="0" w:color="auto"/>
            </w:tcBorders>
            <w:shd w:val="clear" w:color="auto" w:fill="auto"/>
            <w:noWrap/>
            <w:vAlign w:val="bottom"/>
            <w:hideMark/>
          </w:tcPr>
          <w:p w14:paraId="4F17EDF1" w14:textId="77777777" w:rsidR="00120019" w:rsidRPr="00C20287" w:rsidRDefault="00120019" w:rsidP="00CA72FA">
            <w:pPr>
              <w:spacing w:after="0" w:line="240" w:lineRule="auto"/>
              <w:jc w:val="right"/>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 xml:space="preserve">       1,642,810 </w:t>
            </w:r>
          </w:p>
        </w:tc>
        <w:tc>
          <w:tcPr>
            <w:tcW w:w="888" w:type="dxa"/>
            <w:tcBorders>
              <w:top w:val="nil"/>
              <w:left w:val="nil"/>
              <w:bottom w:val="single" w:sz="4" w:space="0" w:color="auto"/>
              <w:right w:val="single" w:sz="4" w:space="0" w:color="auto"/>
            </w:tcBorders>
            <w:shd w:val="clear" w:color="auto" w:fill="auto"/>
            <w:noWrap/>
            <w:vAlign w:val="bottom"/>
            <w:hideMark/>
          </w:tcPr>
          <w:p w14:paraId="6410290A"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r w:rsidRPr="00C20287">
              <w:rPr>
                <w:rFonts w:ascii="Calibri" w:eastAsia="Times New Roman" w:hAnsi="Calibri" w:cs="Times New Roman"/>
                <w:color w:val="000000"/>
                <w:sz w:val="22"/>
                <w:szCs w:val="22"/>
                <w:lang w:eastAsia="en-AU"/>
              </w:rPr>
              <w:t>0.4%</w:t>
            </w:r>
          </w:p>
        </w:tc>
      </w:tr>
      <w:tr w:rsidR="00120019" w:rsidRPr="00C20287" w14:paraId="766730B0" w14:textId="77777777" w:rsidTr="00EE1495">
        <w:trPr>
          <w:trHeight w:val="300"/>
        </w:trPr>
        <w:tc>
          <w:tcPr>
            <w:tcW w:w="960" w:type="dxa"/>
            <w:tcBorders>
              <w:top w:val="nil"/>
              <w:left w:val="nil"/>
              <w:bottom w:val="nil"/>
              <w:right w:val="nil"/>
            </w:tcBorders>
            <w:shd w:val="clear" w:color="auto" w:fill="auto"/>
            <w:noWrap/>
            <w:vAlign w:val="bottom"/>
            <w:hideMark/>
          </w:tcPr>
          <w:p w14:paraId="29A5556B" w14:textId="77777777" w:rsidR="00120019" w:rsidRPr="00C20287" w:rsidRDefault="00120019" w:rsidP="00120019">
            <w:pPr>
              <w:spacing w:after="0" w:line="240" w:lineRule="auto"/>
              <w:jc w:val="center"/>
              <w:rPr>
                <w:rFonts w:ascii="Calibri" w:eastAsia="Times New Roman" w:hAnsi="Calibri" w:cs="Times New Roman"/>
                <w:color w:val="000000"/>
                <w:sz w:val="22"/>
                <w:szCs w:val="22"/>
                <w:lang w:eastAsia="en-AU"/>
              </w:rPr>
            </w:pPr>
          </w:p>
        </w:tc>
        <w:tc>
          <w:tcPr>
            <w:tcW w:w="2580" w:type="dxa"/>
            <w:tcBorders>
              <w:top w:val="nil"/>
              <w:left w:val="single" w:sz="4" w:space="0" w:color="auto"/>
              <w:bottom w:val="single" w:sz="4" w:space="0" w:color="auto"/>
              <w:right w:val="single" w:sz="4" w:space="0" w:color="auto"/>
            </w:tcBorders>
            <w:shd w:val="clear" w:color="auto" w:fill="0289C8" w:themeFill="text2" w:themeFillTint="BF"/>
            <w:noWrap/>
            <w:vAlign w:val="bottom"/>
            <w:hideMark/>
          </w:tcPr>
          <w:p w14:paraId="46CAC043" w14:textId="77777777" w:rsidR="00120019" w:rsidRPr="00EE1495" w:rsidRDefault="00120019" w:rsidP="00120019">
            <w:pPr>
              <w:spacing w:after="0" w:line="240" w:lineRule="auto"/>
              <w:jc w:val="center"/>
              <w:rPr>
                <w:rFonts w:ascii="Calibri" w:eastAsia="Times New Roman" w:hAnsi="Calibri" w:cs="Times New Roman"/>
                <w:b/>
                <w:bCs/>
                <w:color w:val="FFFFFF" w:themeColor="background1"/>
                <w:sz w:val="22"/>
                <w:szCs w:val="22"/>
                <w:lang w:eastAsia="en-AU"/>
              </w:rPr>
            </w:pPr>
            <w:r w:rsidRPr="00EE1495">
              <w:rPr>
                <w:rFonts w:ascii="Calibri" w:eastAsia="Times New Roman" w:hAnsi="Calibri" w:cs="Times New Roman"/>
                <w:b/>
                <w:bCs/>
                <w:color w:val="FFFFFF" w:themeColor="background1"/>
                <w:sz w:val="22"/>
                <w:szCs w:val="22"/>
                <w:lang w:eastAsia="en-AU"/>
              </w:rPr>
              <w:t>Total</w:t>
            </w:r>
          </w:p>
        </w:tc>
        <w:tc>
          <w:tcPr>
            <w:tcW w:w="1752" w:type="dxa"/>
            <w:tcBorders>
              <w:top w:val="nil"/>
              <w:left w:val="nil"/>
              <w:bottom w:val="single" w:sz="4" w:space="0" w:color="auto"/>
              <w:right w:val="single" w:sz="4" w:space="0" w:color="auto"/>
            </w:tcBorders>
            <w:shd w:val="clear" w:color="auto" w:fill="auto"/>
            <w:noWrap/>
            <w:vAlign w:val="bottom"/>
            <w:hideMark/>
          </w:tcPr>
          <w:p w14:paraId="6B3EB4BC" w14:textId="77777777" w:rsidR="00120019" w:rsidRPr="00C20287" w:rsidRDefault="00120019" w:rsidP="00CA72FA">
            <w:pPr>
              <w:spacing w:after="0" w:line="240" w:lineRule="auto"/>
              <w:jc w:val="right"/>
              <w:rPr>
                <w:rFonts w:ascii="Calibri" w:eastAsia="Times New Roman" w:hAnsi="Calibri" w:cs="Times New Roman"/>
                <w:b/>
                <w:bCs/>
                <w:color w:val="000000"/>
                <w:sz w:val="22"/>
                <w:szCs w:val="22"/>
                <w:lang w:eastAsia="en-AU"/>
              </w:rPr>
            </w:pPr>
            <w:r w:rsidRPr="00C20287">
              <w:rPr>
                <w:rFonts w:ascii="Calibri" w:eastAsia="Times New Roman" w:hAnsi="Calibri" w:cs="Times New Roman"/>
                <w:b/>
                <w:bCs/>
                <w:color w:val="000000"/>
                <w:sz w:val="22"/>
                <w:szCs w:val="22"/>
                <w:lang w:eastAsia="en-AU"/>
              </w:rPr>
              <w:t xml:space="preserve">   389,644,780 </w:t>
            </w:r>
          </w:p>
        </w:tc>
        <w:tc>
          <w:tcPr>
            <w:tcW w:w="888" w:type="dxa"/>
            <w:tcBorders>
              <w:top w:val="nil"/>
              <w:left w:val="nil"/>
              <w:bottom w:val="nil"/>
              <w:right w:val="nil"/>
            </w:tcBorders>
            <w:shd w:val="clear" w:color="auto" w:fill="auto"/>
            <w:noWrap/>
            <w:vAlign w:val="bottom"/>
            <w:hideMark/>
          </w:tcPr>
          <w:p w14:paraId="5FA88DCD" w14:textId="77777777" w:rsidR="00120019" w:rsidRPr="00C20287" w:rsidRDefault="00120019" w:rsidP="00120019">
            <w:pPr>
              <w:spacing w:after="0" w:line="240" w:lineRule="auto"/>
              <w:jc w:val="center"/>
              <w:rPr>
                <w:rFonts w:ascii="Calibri" w:eastAsia="Times New Roman" w:hAnsi="Calibri" w:cs="Times New Roman"/>
                <w:b/>
                <w:bCs/>
                <w:color w:val="000000"/>
                <w:sz w:val="22"/>
                <w:szCs w:val="22"/>
                <w:lang w:eastAsia="en-AU"/>
              </w:rPr>
            </w:pPr>
          </w:p>
        </w:tc>
        <w:tc>
          <w:tcPr>
            <w:tcW w:w="1752" w:type="dxa"/>
            <w:tcBorders>
              <w:top w:val="nil"/>
              <w:left w:val="single" w:sz="4" w:space="0" w:color="auto"/>
              <w:bottom w:val="single" w:sz="4" w:space="0" w:color="auto"/>
              <w:right w:val="single" w:sz="4" w:space="0" w:color="auto"/>
            </w:tcBorders>
            <w:shd w:val="clear" w:color="auto" w:fill="auto"/>
            <w:noWrap/>
            <w:vAlign w:val="bottom"/>
            <w:hideMark/>
          </w:tcPr>
          <w:p w14:paraId="6054D4E7" w14:textId="77777777" w:rsidR="00120019" w:rsidRPr="00C20287" w:rsidRDefault="00120019" w:rsidP="00CA72FA">
            <w:pPr>
              <w:spacing w:after="0" w:line="240" w:lineRule="auto"/>
              <w:jc w:val="right"/>
              <w:rPr>
                <w:rFonts w:ascii="Calibri" w:eastAsia="Times New Roman" w:hAnsi="Calibri" w:cs="Times New Roman"/>
                <w:b/>
                <w:bCs/>
                <w:color w:val="000000"/>
                <w:sz w:val="22"/>
                <w:szCs w:val="22"/>
                <w:lang w:eastAsia="en-AU"/>
              </w:rPr>
            </w:pPr>
            <w:r w:rsidRPr="00C20287">
              <w:rPr>
                <w:rFonts w:ascii="Calibri" w:eastAsia="Times New Roman" w:hAnsi="Calibri" w:cs="Times New Roman"/>
                <w:b/>
                <w:bCs/>
                <w:color w:val="000000"/>
                <w:sz w:val="22"/>
                <w:szCs w:val="22"/>
                <w:lang w:eastAsia="en-AU"/>
              </w:rPr>
              <w:t xml:space="preserve">   404,290,928 </w:t>
            </w:r>
          </w:p>
        </w:tc>
        <w:tc>
          <w:tcPr>
            <w:tcW w:w="888" w:type="dxa"/>
            <w:tcBorders>
              <w:top w:val="nil"/>
              <w:left w:val="nil"/>
              <w:bottom w:val="nil"/>
              <w:right w:val="nil"/>
            </w:tcBorders>
            <w:shd w:val="clear" w:color="auto" w:fill="auto"/>
            <w:noWrap/>
            <w:vAlign w:val="bottom"/>
            <w:hideMark/>
          </w:tcPr>
          <w:p w14:paraId="31787D2F" w14:textId="77777777" w:rsidR="00120019" w:rsidRPr="00C20287" w:rsidRDefault="00120019" w:rsidP="00120019">
            <w:pPr>
              <w:spacing w:after="0" w:line="240" w:lineRule="auto"/>
              <w:jc w:val="center"/>
              <w:rPr>
                <w:rFonts w:ascii="Calibri" w:eastAsia="Times New Roman" w:hAnsi="Calibri" w:cs="Times New Roman"/>
                <w:b/>
                <w:bCs/>
                <w:color w:val="000000"/>
                <w:sz w:val="22"/>
                <w:szCs w:val="22"/>
                <w:lang w:eastAsia="en-AU"/>
              </w:rPr>
            </w:pPr>
          </w:p>
        </w:tc>
      </w:tr>
    </w:tbl>
    <w:p w14:paraId="6FC3CE1D" w14:textId="77777777" w:rsidR="00120019" w:rsidRPr="00C20287" w:rsidRDefault="00120019" w:rsidP="00120019">
      <w:pPr>
        <w:rPr>
          <w:color w:val="0D0D0D" w:themeColor="text1" w:themeTint="F2"/>
          <w:sz w:val="24"/>
          <w:szCs w:val="24"/>
        </w:rPr>
      </w:pPr>
    </w:p>
    <w:p w14:paraId="45C72A3E" w14:textId="0406869C" w:rsidR="00120019" w:rsidRDefault="00680346" w:rsidP="00120019">
      <w:pPr>
        <w:rPr>
          <w:color w:val="0D0D0D" w:themeColor="text1" w:themeTint="F2"/>
          <w:sz w:val="24"/>
          <w:szCs w:val="24"/>
        </w:rPr>
      </w:pPr>
      <w:r>
        <w:rPr>
          <w:color w:val="0D0D0D" w:themeColor="text1" w:themeTint="F2"/>
          <w:sz w:val="24"/>
          <w:szCs w:val="24"/>
        </w:rPr>
        <w:t>Stakeholders have claimed that i</w:t>
      </w:r>
      <w:r w:rsidR="00120019" w:rsidRPr="00C20287">
        <w:rPr>
          <w:color w:val="0D0D0D" w:themeColor="text1" w:themeTint="F2"/>
          <w:sz w:val="24"/>
          <w:szCs w:val="24"/>
        </w:rPr>
        <w:t xml:space="preserve">n the absence of this level of intervention in the pharmacy marketplace the relatively convenient and affordable availability of PBS medicines within the community may not be assured, with people living in rural and remote areas most likely to experience </w:t>
      </w:r>
      <w:r w:rsidR="00120019">
        <w:rPr>
          <w:color w:val="0D0D0D" w:themeColor="text1" w:themeTint="F2"/>
          <w:sz w:val="24"/>
          <w:szCs w:val="24"/>
        </w:rPr>
        <w:t xml:space="preserve">greater </w:t>
      </w:r>
      <w:r w:rsidR="00120019" w:rsidRPr="00C20287">
        <w:rPr>
          <w:color w:val="0D0D0D" w:themeColor="text1" w:themeTint="F2"/>
          <w:sz w:val="24"/>
          <w:szCs w:val="24"/>
        </w:rPr>
        <w:t>distance barriers to access community pharmacies. This would make it difficult or expensive for consumers to access prescription medicines and may result in a broadening of the existing gap between health outcomes for Australians living in urban as opposed to more regional locations.</w:t>
      </w:r>
      <w:r w:rsidR="00120019" w:rsidRPr="00C20287">
        <w:rPr>
          <w:rStyle w:val="FootnoteReference"/>
          <w:color w:val="0D0D0D" w:themeColor="text1" w:themeTint="F2"/>
          <w:sz w:val="24"/>
          <w:szCs w:val="24"/>
        </w:rPr>
        <w:footnoteReference w:id="47"/>
      </w:r>
    </w:p>
    <w:p w14:paraId="46FDED36" w14:textId="77777777" w:rsidR="003560A1" w:rsidRPr="00C20287" w:rsidRDefault="00D42709" w:rsidP="00186FA2">
      <w:pPr>
        <w:pStyle w:val="Heading3"/>
      </w:pPr>
      <w:bookmarkStart w:id="52" w:name="_Toc168652736"/>
      <w:r w:rsidRPr="00C20287">
        <w:t>Quality use of med</w:t>
      </w:r>
      <w:r w:rsidR="009F024C" w:rsidRPr="00C20287">
        <w:t>icines and medicines safety</w:t>
      </w:r>
      <w:bookmarkEnd w:id="52"/>
    </w:p>
    <w:p w14:paraId="033284EB" w14:textId="45BA42E8" w:rsidR="0077224D" w:rsidRPr="00447F90" w:rsidRDefault="009C01B0" w:rsidP="00AB3180">
      <w:pPr>
        <w:rPr>
          <w:rFonts w:eastAsiaTheme="majorEastAsia" w:cs="Arial"/>
          <w:bCs/>
          <w:color w:val="auto"/>
          <w:sz w:val="24"/>
          <w:szCs w:val="24"/>
        </w:rPr>
      </w:pPr>
      <w:r w:rsidRPr="00C20287">
        <w:rPr>
          <w:rFonts w:eastAsiaTheme="majorEastAsia" w:cs="Arial"/>
          <w:bCs/>
          <w:color w:val="0D0D0D" w:themeColor="text1" w:themeTint="F2"/>
          <w:sz w:val="24"/>
          <w:szCs w:val="24"/>
        </w:rPr>
        <w:t>Taking the wrong medicine or too much of a prescribed medicine can be dangerous and even life-threatening</w:t>
      </w:r>
      <w:r w:rsidR="004E5470" w:rsidRPr="00C20287">
        <w:rPr>
          <w:rFonts w:eastAsiaTheme="majorEastAsia" w:cs="Arial"/>
          <w:bCs/>
          <w:color w:val="0D0D0D" w:themeColor="text1" w:themeTint="F2"/>
          <w:sz w:val="24"/>
          <w:szCs w:val="24"/>
        </w:rPr>
        <w:t xml:space="preserve"> and evidence indicates that most accidental poisonings involve medicines</w:t>
      </w:r>
      <w:r w:rsidRPr="00C20287">
        <w:rPr>
          <w:rFonts w:eastAsiaTheme="majorEastAsia" w:cs="Arial"/>
          <w:bCs/>
          <w:color w:val="0D0D0D" w:themeColor="text1" w:themeTint="F2"/>
          <w:sz w:val="24"/>
          <w:szCs w:val="24"/>
        </w:rPr>
        <w:t xml:space="preserve">. The more medicines an individual takes, the higher the risk of potential harm. In Australia, accidental poisoning resulted in </w:t>
      </w:r>
      <w:r w:rsidR="00CF40B4" w:rsidRPr="00C20287">
        <w:rPr>
          <w:rFonts w:eastAsiaTheme="majorEastAsia" w:cs="Arial"/>
          <w:bCs/>
          <w:color w:val="0D0D0D" w:themeColor="text1" w:themeTint="F2"/>
          <w:sz w:val="24"/>
          <w:szCs w:val="24"/>
        </w:rPr>
        <w:t>approximately</w:t>
      </w:r>
      <w:r w:rsidRPr="00C20287">
        <w:rPr>
          <w:rFonts w:eastAsiaTheme="majorEastAsia" w:cs="Arial"/>
          <w:bCs/>
          <w:color w:val="0D0D0D" w:themeColor="text1" w:themeTint="F2"/>
          <w:sz w:val="24"/>
          <w:szCs w:val="24"/>
        </w:rPr>
        <w:t xml:space="preserve"> 8,800 hospitalisations in 2021</w:t>
      </w:r>
      <w:r w:rsidR="00120019">
        <w:rPr>
          <w:rFonts w:eastAsiaTheme="majorEastAsia" w:cs="Arial"/>
          <w:bCs/>
          <w:color w:val="0D0D0D" w:themeColor="text1" w:themeTint="F2"/>
          <w:sz w:val="24"/>
          <w:szCs w:val="24"/>
        </w:rPr>
        <w:t>-22</w:t>
      </w:r>
      <w:r w:rsidR="00CF40B4" w:rsidRPr="00C20287">
        <w:rPr>
          <w:rFonts w:eastAsiaTheme="majorEastAsia" w:cs="Arial"/>
          <w:bCs/>
          <w:color w:val="0D0D0D" w:themeColor="text1" w:themeTint="F2"/>
          <w:sz w:val="24"/>
          <w:szCs w:val="24"/>
        </w:rPr>
        <w:t>,</w:t>
      </w:r>
      <w:r w:rsidRPr="00C20287">
        <w:rPr>
          <w:rFonts w:eastAsiaTheme="majorEastAsia" w:cs="Arial"/>
          <w:bCs/>
          <w:color w:val="0D0D0D" w:themeColor="text1" w:themeTint="F2"/>
          <w:sz w:val="24"/>
          <w:szCs w:val="24"/>
        </w:rPr>
        <w:t xml:space="preserve"> and of these 7,093 </w:t>
      </w:r>
      <w:r w:rsidR="00D528E2" w:rsidRPr="00C20287">
        <w:rPr>
          <w:rFonts w:eastAsiaTheme="majorEastAsia" w:cs="Arial"/>
          <w:bCs/>
          <w:color w:val="0D0D0D" w:themeColor="text1" w:themeTint="F2"/>
          <w:sz w:val="24"/>
          <w:szCs w:val="24"/>
        </w:rPr>
        <w:t>were related to pharmaceuticals</w:t>
      </w:r>
      <w:r w:rsidR="00E17172">
        <w:rPr>
          <w:rFonts w:eastAsiaTheme="majorEastAsia" w:cs="Arial"/>
          <w:bCs/>
          <w:color w:val="0D0D0D" w:themeColor="text1" w:themeTint="F2"/>
          <w:sz w:val="24"/>
          <w:szCs w:val="24"/>
        </w:rPr>
        <w:t>.</w:t>
      </w:r>
      <w:r w:rsidR="00120019">
        <w:rPr>
          <w:rFonts w:eastAsiaTheme="majorEastAsia" w:cs="Arial"/>
          <w:bCs/>
          <w:color w:val="0D0D0D" w:themeColor="text1" w:themeTint="F2"/>
          <w:sz w:val="24"/>
          <w:szCs w:val="24"/>
        </w:rPr>
        <w:t xml:space="preserve"> </w:t>
      </w:r>
      <w:r w:rsidR="00BD4A70">
        <w:rPr>
          <w:rFonts w:eastAsiaTheme="majorEastAsia" w:cs="Arial"/>
          <w:bCs/>
          <w:color w:val="0D0D0D" w:themeColor="text1" w:themeTint="F2"/>
          <w:sz w:val="24"/>
          <w:szCs w:val="24"/>
        </w:rPr>
        <w:t>P</w:t>
      </w:r>
      <w:r w:rsidR="00120019" w:rsidRPr="00EE1495">
        <w:rPr>
          <w:rFonts w:eastAsiaTheme="majorEastAsia" w:cs="Arial"/>
          <w:bCs/>
          <w:color w:val="0D0D0D" w:themeColor="text1" w:themeTint="F2"/>
          <w:sz w:val="24"/>
          <w:szCs w:val="24"/>
        </w:rPr>
        <w:t>eople living in</w:t>
      </w:r>
      <w:r w:rsidR="00120019" w:rsidRPr="00EE1495">
        <w:rPr>
          <w:rFonts w:eastAsiaTheme="majorEastAsia" w:cs="Arial" w:hint="eastAsia"/>
          <w:bCs/>
          <w:color w:val="0D0D0D" w:themeColor="text1" w:themeTint="F2"/>
          <w:sz w:val="24"/>
          <w:szCs w:val="24"/>
        </w:rPr>
        <w:t> </w:t>
      </w:r>
      <w:r w:rsidR="00120019">
        <w:rPr>
          <w:rFonts w:eastAsiaTheme="majorEastAsia" w:cs="Arial"/>
          <w:bCs/>
          <w:iCs/>
          <w:color w:val="0D0D0D" w:themeColor="text1" w:themeTint="F2"/>
          <w:sz w:val="24"/>
          <w:szCs w:val="24"/>
        </w:rPr>
        <w:t>v</w:t>
      </w:r>
      <w:r w:rsidR="00120019" w:rsidRPr="00EE1495">
        <w:rPr>
          <w:rFonts w:eastAsiaTheme="majorEastAsia" w:cs="Arial"/>
          <w:bCs/>
          <w:color w:val="0D0D0D" w:themeColor="text1" w:themeTint="F2"/>
          <w:sz w:val="24"/>
          <w:szCs w:val="24"/>
        </w:rPr>
        <w:t>ery remote</w:t>
      </w:r>
      <w:r w:rsidR="00120019" w:rsidRPr="00EE1495">
        <w:rPr>
          <w:rFonts w:eastAsiaTheme="majorEastAsia" w:cs="Arial" w:hint="eastAsia"/>
          <w:bCs/>
          <w:color w:val="0D0D0D" w:themeColor="text1" w:themeTint="F2"/>
          <w:sz w:val="24"/>
          <w:szCs w:val="24"/>
        </w:rPr>
        <w:t> </w:t>
      </w:r>
      <w:r w:rsidR="00120019" w:rsidRPr="00EE1495">
        <w:rPr>
          <w:rFonts w:eastAsiaTheme="majorEastAsia" w:cs="Arial"/>
          <w:bCs/>
          <w:color w:val="0D0D0D" w:themeColor="text1" w:themeTint="F2"/>
          <w:sz w:val="24"/>
          <w:szCs w:val="24"/>
        </w:rPr>
        <w:t xml:space="preserve">areas, using age-standardised rates, </w:t>
      </w:r>
      <w:r w:rsidR="00120019" w:rsidRPr="00120019">
        <w:rPr>
          <w:rFonts w:eastAsiaTheme="majorEastAsia" w:cs="Arial"/>
          <w:bCs/>
          <w:color w:val="0D0D0D" w:themeColor="text1" w:themeTint="F2"/>
          <w:sz w:val="24"/>
          <w:szCs w:val="24"/>
        </w:rPr>
        <w:t>were 1.5</w:t>
      </w:r>
      <w:r w:rsidR="00120019">
        <w:rPr>
          <w:rFonts w:eastAsiaTheme="majorEastAsia" w:cs="Arial"/>
          <w:bCs/>
          <w:color w:val="0D0D0D" w:themeColor="text1" w:themeTint="F2"/>
          <w:sz w:val="24"/>
          <w:szCs w:val="24"/>
        </w:rPr>
        <w:t> </w:t>
      </w:r>
      <w:r w:rsidR="00120019" w:rsidRPr="00EE1495">
        <w:rPr>
          <w:rFonts w:eastAsiaTheme="majorEastAsia" w:cs="Arial"/>
          <w:bCs/>
          <w:color w:val="0D0D0D" w:themeColor="text1" w:themeTint="F2"/>
          <w:sz w:val="24"/>
          <w:szCs w:val="24"/>
        </w:rPr>
        <w:t xml:space="preserve">times as likely to be hospitalised for </w:t>
      </w:r>
      <w:r w:rsidR="00120019">
        <w:rPr>
          <w:rFonts w:eastAsiaTheme="majorEastAsia" w:cs="Arial"/>
          <w:bCs/>
          <w:color w:val="0D0D0D" w:themeColor="text1" w:themeTint="F2"/>
          <w:sz w:val="24"/>
          <w:szCs w:val="24"/>
        </w:rPr>
        <w:t xml:space="preserve">accidental </w:t>
      </w:r>
      <w:r w:rsidR="00120019" w:rsidRPr="00EE1495">
        <w:rPr>
          <w:rFonts w:eastAsiaTheme="majorEastAsia" w:cs="Arial"/>
          <w:bCs/>
          <w:color w:val="0D0D0D" w:themeColor="text1" w:themeTint="F2"/>
          <w:sz w:val="24"/>
          <w:szCs w:val="24"/>
        </w:rPr>
        <w:t>poisoning as those living in</w:t>
      </w:r>
      <w:r w:rsidR="00120019">
        <w:rPr>
          <w:rFonts w:eastAsiaTheme="majorEastAsia" w:cs="Arial"/>
          <w:bCs/>
          <w:color w:val="0D0D0D" w:themeColor="text1" w:themeTint="F2"/>
          <w:sz w:val="24"/>
          <w:szCs w:val="24"/>
        </w:rPr>
        <w:t xml:space="preserve"> </w:t>
      </w:r>
      <w:r w:rsidR="00120019" w:rsidRPr="00A05B93">
        <w:rPr>
          <w:rFonts w:eastAsiaTheme="majorEastAsia" w:cstheme="minorHAnsi"/>
          <w:bCs/>
          <w:color w:val="0D0D0D" w:themeColor="text1" w:themeTint="F2"/>
          <w:sz w:val="24"/>
          <w:szCs w:val="24"/>
        </w:rPr>
        <w:t>major cities</w:t>
      </w:r>
      <w:r w:rsidR="00120019" w:rsidRPr="00A05B93">
        <w:rPr>
          <w:rFonts w:cstheme="minorHAnsi"/>
          <w:color w:val="45494B"/>
          <w:sz w:val="24"/>
          <w:szCs w:val="24"/>
        </w:rPr>
        <w:t>.</w:t>
      </w:r>
      <w:r w:rsidR="0094440C" w:rsidRPr="00A05B93">
        <w:rPr>
          <w:rStyle w:val="FootnoteReference"/>
          <w:rFonts w:cstheme="minorHAnsi"/>
          <w:color w:val="45494B"/>
          <w:sz w:val="24"/>
          <w:szCs w:val="24"/>
        </w:rPr>
        <w:footnoteReference w:id="48"/>
      </w:r>
      <w:r w:rsidR="0094440C">
        <w:rPr>
          <w:rFonts w:ascii="Open Sans" w:hAnsi="Open Sans"/>
          <w:color w:val="45494B"/>
        </w:rPr>
        <w:t xml:space="preserve"> </w:t>
      </w:r>
      <w:r w:rsidR="00AB3180" w:rsidRPr="00447F90">
        <w:rPr>
          <w:color w:val="auto"/>
          <w:sz w:val="24"/>
          <w:szCs w:val="24"/>
        </w:rPr>
        <w:t xml:space="preserve">The factors influencing this are varied but include a larger Indigenous population percentage in very remote regions </w:t>
      </w:r>
      <w:r w:rsidR="005849F7" w:rsidRPr="00447F90">
        <w:rPr>
          <w:color w:val="auto"/>
          <w:sz w:val="24"/>
          <w:szCs w:val="24"/>
        </w:rPr>
        <w:t xml:space="preserve">with </w:t>
      </w:r>
      <w:r w:rsidR="00AB3180" w:rsidRPr="00447F90">
        <w:rPr>
          <w:color w:val="auto"/>
          <w:sz w:val="24"/>
          <w:szCs w:val="24"/>
        </w:rPr>
        <w:t>Indigenous Australians 3.1 times more likely than non-indigenous Australians to be hospitalised by accidental poisoning</w:t>
      </w:r>
      <w:r w:rsidR="005849F7" w:rsidRPr="00447F90">
        <w:rPr>
          <w:color w:val="auto"/>
          <w:sz w:val="24"/>
          <w:szCs w:val="24"/>
        </w:rPr>
        <w:t>.</w:t>
      </w:r>
      <w:r w:rsidR="00AB3180" w:rsidRPr="00447F90">
        <w:rPr>
          <w:rStyle w:val="FootnoteReference"/>
          <w:color w:val="auto"/>
          <w:sz w:val="24"/>
          <w:szCs w:val="24"/>
        </w:rPr>
        <w:footnoteReference w:id="49"/>
      </w:r>
      <w:r w:rsidR="00AB3180" w:rsidRPr="00447F90">
        <w:rPr>
          <w:color w:val="auto"/>
          <w:sz w:val="24"/>
          <w:szCs w:val="24"/>
        </w:rPr>
        <w:t xml:space="preserve"> The overall rate is also likely to be influenced by the accessibility of agricultural pesticides in rural communities</w:t>
      </w:r>
      <w:r w:rsidR="00AB3180" w:rsidRPr="00447F90">
        <w:rPr>
          <w:rStyle w:val="FootnoteReference"/>
          <w:color w:val="auto"/>
          <w:sz w:val="24"/>
          <w:szCs w:val="24"/>
        </w:rPr>
        <w:footnoteReference w:id="50"/>
      </w:r>
      <w:r w:rsidR="00AB3180" w:rsidRPr="00447F90">
        <w:rPr>
          <w:color w:val="auto"/>
          <w:sz w:val="24"/>
          <w:szCs w:val="24"/>
        </w:rPr>
        <w:t xml:space="preserve">, however a report in 2001 on accidental poisoning in pre-schoolers from medicinal products found that “The incidence rates were highest in rural and remote areas. The rate for remote centres was significantly higher, statistically, than the rate for all other areas, with the </w:t>
      </w:r>
      <w:r w:rsidR="00AB3180" w:rsidRPr="00447F90">
        <w:rPr>
          <w:color w:val="auto"/>
          <w:sz w:val="24"/>
          <w:szCs w:val="24"/>
        </w:rPr>
        <w:lastRenderedPageBreak/>
        <w:t>exception of other remote areas. The remote centre rate was about 2.7 times higher than the capital city rate. All of the rural and remote area rates were significantly higher, statistically, than the capital city and other metropolitan centre rates</w:t>
      </w:r>
      <w:r w:rsidR="00DE42BB" w:rsidRPr="00447F90">
        <w:rPr>
          <w:color w:val="auto"/>
          <w:sz w:val="24"/>
          <w:szCs w:val="24"/>
        </w:rPr>
        <w:t>”</w:t>
      </w:r>
      <w:r w:rsidR="00DE42BB" w:rsidRPr="00447F90">
        <w:rPr>
          <w:rStyle w:val="FootnoteReference"/>
          <w:color w:val="auto"/>
          <w:sz w:val="24"/>
          <w:szCs w:val="24"/>
        </w:rPr>
        <w:footnoteReference w:id="51"/>
      </w:r>
      <w:r w:rsidR="00AB3180" w:rsidRPr="00447F90">
        <w:rPr>
          <w:color w:val="auto"/>
          <w:sz w:val="24"/>
          <w:szCs w:val="24"/>
        </w:rPr>
        <w:t>.</w:t>
      </w:r>
      <w:r w:rsidR="000B24F5" w:rsidRPr="00447F90">
        <w:rPr>
          <w:color w:val="auto"/>
          <w:sz w:val="24"/>
          <w:szCs w:val="24"/>
        </w:rPr>
        <w:t xml:space="preserve"> While packaging changes including child-resistant packaging</w:t>
      </w:r>
      <w:r w:rsidR="000B24F5" w:rsidRPr="00447F90">
        <w:rPr>
          <w:rStyle w:val="FootnoteReference"/>
          <w:color w:val="auto"/>
          <w:sz w:val="24"/>
          <w:szCs w:val="24"/>
        </w:rPr>
        <w:footnoteReference w:id="52"/>
      </w:r>
      <w:r w:rsidR="000B24F5" w:rsidRPr="00447F90">
        <w:rPr>
          <w:color w:val="auto"/>
          <w:sz w:val="24"/>
          <w:szCs w:val="24"/>
        </w:rPr>
        <w:t xml:space="preserve"> and labelling have gone a long way to reduce the incidence overall of accidental medicinal poisoning the role of the community pharmacist in educating consumers in rural and remote regions on the danger posed by accidental poisoning remains of importance.</w:t>
      </w:r>
    </w:p>
    <w:p w14:paraId="61B15CF0" w14:textId="3D6AEA15" w:rsidR="0077224D" w:rsidRDefault="0077224D" w:rsidP="0077224D">
      <w:pPr>
        <w:rPr>
          <w:rFonts w:eastAsiaTheme="majorEastAsia" w:cs="Arial"/>
          <w:bCs/>
          <w:color w:val="0D0D0D" w:themeColor="text1" w:themeTint="F2"/>
          <w:sz w:val="24"/>
          <w:szCs w:val="24"/>
        </w:rPr>
      </w:pPr>
      <w:r w:rsidRPr="00447F90">
        <w:rPr>
          <w:rFonts w:eastAsiaTheme="majorEastAsia" w:cs="Arial"/>
          <w:bCs/>
          <w:color w:val="auto"/>
          <w:sz w:val="24"/>
          <w:szCs w:val="24"/>
        </w:rPr>
        <w:t>To protect the Australian public all medicines supplied in Australia are regulated by the TGA. Within this role, in addition to ensuring each medicine meets the required standards of quality, safety and effectiveness for the intended use</w:t>
      </w:r>
      <w:r w:rsidR="00C45E6B" w:rsidRPr="00447F90">
        <w:rPr>
          <w:rFonts w:eastAsiaTheme="majorEastAsia" w:cs="Arial"/>
          <w:bCs/>
          <w:color w:val="auto"/>
          <w:sz w:val="24"/>
          <w:szCs w:val="24"/>
        </w:rPr>
        <w:t>,</w:t>
      </w:r>
      <w:r w:rsidRPr="00447F90">
        <w:rPr>
          <w:rFonts w:eastAsiaTheme="majorEastAsia" w:cs="Arial"/>
          <w:bCs/>
          <w:color w:val="auto"/>
          <w:sz w:val="24"/>
          <w:szCs w:val="24"/>
        </w:rPr>
        <w:t xml:space="preserve"> the TGA assesses </w:t>
      </w:r>
      <w:r>
        <w:rPr>
          <w:rFonts w:eastAsiaTheme="majorEastAsia" w:cs="Arial"/>
          <w:bCs/>
          <w:color w:val="0D0D0D" w:themeColor="text1" w:themeTint="F2"/>
          <w:sz w:val="24"/>
          <w:szCs w:val="24"/>
        </w:rPr>
        <w:t xml:space="preserve">the potential risks and classifies medicines into schedules </w:t>
      </w:r>
      <w:r w:rsidR="00C45E6B">
        <w:rPr>
          <w:rFonts w:eastAsiaTheme="majorEastAsia" w:cs="Arial"/>
          <w:bCs/>
          <w:color w:val="0D0D0D" w:themeColor="text1" w:themeTint="F2"/>
          <w:sz w:val="24"/>
          <w:szCs w:val="24"/>
        </w:rPr>
        <w:t>(</w:t>
      </w:r>
      <w:r w:rsidR="00C45E6B" w:rsidRPr="00C45E6B">
        <w:rPr>
          <w:rFonts w:eastAsiaTheme="majorEastAsia" w:cs="Arial"/>
          <w:bCs/>
          <w:color w:val="0D0D0D" w:themeColor="text1" w:themeTint="F2"/>
          <w:sz w:val="24"/>
          <w:szCs w:val="24"/>
        </w:rPr>
        <w:t>The Poisons Standard</w:t>
      </w:r>
      <w:r w:rsidR="00215DD9">
        <w:rPr>
          <w:rFonts w:eastAsiaTheme="majorEastAsia" w:cs="Arial"/>
          <w:bCs/>
          <w:color w:val="0D0D0D" w:themeColor="text1" w:themeTint="F2"/>
          <w:sz w:val="24"/>
          <w:szCs w:val="24"/>
        </w:rPr>
        <w:t xml:space="preserve"> </w:t>
      </w:r>
      <w:r w:rsidR="00C45E6B">
        <w:rPr>
          <w:rFonts w:eastAsiaTheme="majorEastAsia" w:cs="Arial"/>
          <w:bCs/>
          <w:color w:val="0D0D0D" w:themeColor="text1" w:themeTint="F2"/>
          <w:sz w:val="24"/>
          <w:szCs w:val="24"/>
        </w:rPr>
        <w:t>which</w:t>
      </w:r>
      <w:r w:rsidR="00C45E6B" w:rsidRPr="00C45E6B">
        <w:rPr>
          <w:rFonts w:eastAsiaTheme="majorEastAsia" w:cs="Arial"/>
          <w:bCs/>
          <w:color w:val="0D0D0D" w:themeColor="text1" w:themeTint="F2"/>
          <w:sz w:val="24"/>
          <w:szCs w:val="24"/>
        </w:rPr>
        <w:t xml:space="preserve"> may also be cited as the Standard for the Uniform Scheduling of Medicines and Poisons (SUSMP)</w:t>
      </w:r>
      <w:r w:rsidR="00C45E6B">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according to the level of regulatory control required to protect health and safety. These schedules determine whether a medicine is a pharmacy, pharmacist only or a prescription only medicine. This ensures that medicines where appropriate can only be dispensed by a pharmacist who is trained to safely dispense them and provide the necessary additional supporting information to the patient.</w:t>
      </w:r>
    </w:p>
    <w:p w14:paraId="4E2D9B18" w14:textId="451A9829" w:rsidR="000C28AB" w:rsidRDefault="000C28AB" w:rsidP="00267FD9">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As part of their core function p</w:t>
      </w:r>
      <w:r w:rsidRPr="000C28AB">
        <w:rPr>
          <w:rFonts w:eastAsiaTheme="majorEastAsia" w:cs="Arial"/>
          <w:bCs/>
          <w:color w:val="0D0D0D" w:themeColor="text1" w:themeTint="F2"/>
          <w:sz w:val="24"/>
          <w:szCs w:val="24"/>
        </w:rPr>
        <w:t>harmacists</w:t>
      </w:r>
      <w:r>
        <w:rPr>
          <w:rFonts w:eastAsiaTheme="majorEastAsia" w:cs="Arial"/>
          <w:bCs/>
          <w:color w:val="0D0D0D" w:themeColor="text1" w:themeTint="F2"/>
          <w:sz w:val="24"/>
          <w:szCs w:val="24"/>
        </w:rPr>
        <w:t xml:space="preserve"> </w:t>
      </w:r>
      <w:r w:rsidRPr="000C28AB">
        <w:rPr>
          <w:rFonts w:eastAsiaTheme="majorEastAsia" w:cs="Arial"/>
          <w:bCs/>
          <w:color w:val="0D0D0D" w:themeColor="text1" w:themeTint="F2"/>
          <w:sz w:val="24"/>
          <w:szCs w:val="24"/>
        </w:rPr>
        <w:t>use their expertise in medicines to optimise health outcomes and minimise medication misadventure. They apply their knowledge of medicines and poisons to ensure that patients not only get the correct medication and dosing, but that they have the guidance they need to use the medication safely and effectively</w:t>
      </w:r>
      <w:r>
        <w:rPr>
          <w:rFonts w:eastAsiaTheme="majorEastAsia" w:cs="Arial"/>
          <w:bCs/>
          <w:color w:val="0D0D0D" w:themeColor="text1" w:themeTint="F2"/>
          <w:sz w:val="24"/>
          <w:szCs w:val="24"/>
        </w:rPr>
        <w:t xml:space="preserve">. </w:t>
      </w:r>
      <w:r w:rsidR="0094440C">
        <w:rPr>
          <w:rFonts w:eastAsiaTheme="majorEastAsia" w:cs="Arial"/>
          <w:bCs/>
          <w:color w:val="0D0D0D" w:themeColor="text1" w:themeTint="F2"/>
          <w:sz w:val="24"/>
          <w:szCs w:val="24"/>
        </w:rPr>
        <w:t xml:space="preserve">Dispensing remuneration in part </w:t>
      </w:r>
      <w:r w:rsidR="00AA6458">
        <w:rPr>
          <w:rFonts w:eastAsiaTheme="majorEastAsia" w:cs="Arial"/>
          <w:bCs/>
          <w:color w:val="0D0D0D" w:themeColor="text1" w:themeTint="F2"/>
          <w:sz w:val="24"/>
          <w:szCs w:val="24"/>
        </w:rPr>
        <w:t xml:space="preserve">provides funding to support pharmacists </w:t>
      </w:r>
      <w:r w:rsidR="0094440C">
        <w:rPr>
          <w:rFonts w:eastAsiaTheme="majorEastAsia" w:cs="Arial"/>
          <w:bCs/>
          <w:color w:val="0D0D0D" w:themeColor="text1" w:themeTint="F2"/>
          <w:sz w:val="24"/>
          <w:szCs w:val="24"/>
        </w:rPr>
        <w:t xml:space="preserve">in undertaking the relevant checks and </w:t>
      </w:r>
      <w:r w:rsidR="00AA6458">
        <w:rPr>
          <w:rFonts w:eastAsiaTheme="majorEastAsia" w:cs="Arial"/>
          <w:bCs/>
          <w:color w:val="0D0D0D" w:themeColor="text1" w:themeTint="F2"/>
          <w:sz w:val="24"/>
          <w:szCs w:val="24"/>
        </w:rPr>
        <w:t xml:space="preserve">consulting with patients </w:t>
      </w:r>
      <w:r w:rsidR="0094440C">
        <w:rPr>
          <w:rFonts w:eastAsiaTheme="majorEastAsia" w:cs="Arial"/>
          <w:bCs/>
          <w:color w:val="0D0D0D" w:themeColor="text1" w:themeTint="F2"/>
          <w:sz w:val="24"/>
          <w:szCs w:val="24"/>
        </w:rPr>
        <w:t>when required t</w:t>
      </w:r>
      <w:r w:rsidR="00AA6458">
        <w:rPr>
          <w:rFonts w:eastAsiaTheme="majorEastAsia" w:cs="Arial"/>
          <w:bCs/>
          <w:color w:val="0D0D0D" w:themeColor="text1" w:themeTint="F2"/>
          <w:sz w:val="24"/>
          <w:szCs w:val="24"/>
        </w:rPr>
        <w:t>o minimise the chances of adverse events occurring from the prescribed medicines.</w:t>
      </w:r>
    </w:p>
    <w:p w14:paraId="06C231D8" w14:textId="25BE922D" w:rsidR="00E00EE4" w:rsidRDefault="00DC030E" w:rsidP="00267FD9">
      <w:pPr>
        <w:rPr>
          <w:rFonts w:cs="Arial"/>
          <w:color w:val="0D0D0D" w:themeColor="text1" w:themeTint="F2"/>
          <w:sz w:val="24"/>
          <w:szCs w:val="24"/>
        </w:rPr>
      </w:pPr>
      <w:r>
        <w:rPr>
          <w:rFonts w:eastAsiaTheme="majorEastAsia" w:cs="Arial"/>
          <w:bCs/>
          <w:color w:val="0D0D0D" w:themeColor="text1" w:themeTint="F2"/>
          <w:sz w:val="24"/>
          <w:szCs w:val="24"/>
        </w:rPr>
        <w:t xml:space="preserve">A number of </w:t>
      </w:r>
      <w:r w:rsidR="00F67CEB">
        <w:rPr>
          <w:rFonts w:eastAsiaTheme="majorEastAsia" w:cs="Arial"/>
          <w:bCs/>
          <w:color w:val="0D0D0D" w:themeColor="text1" w:themeTint="F2"/>
          <w:sz w:val="24"/>
          <w:szCs w:val="24"/>
        </w:rPr>
        <w:t>CPP</w:t>
      </w:r>
      <w:r>
        <w:rPr>
          <w:rFonts w:eastAsiaTheme="majorEastAsia" w:cs="Arial"/>
          <w:bCs/>
          <w:color w:val="0D0D0D" w:themeColor="text1" w:themeTint="F2"/>
          <w:sz w:val="24"/>
          <w:szCs w:val="24"/>
        </w:rPr>
        <w:t>s implemented through successive CPA</w:t>
      </w:r>
      <w:r w:rsidR="00E00EE4">
        <w:rPr>
          <w:rFonts w:eastAsiaTheme="majorEastAsia" w:cs="Arial"/>
          <w:bCs/>
          <w:color w:val="0D0D0D" w:themeColor="text1" w:themeTint="F2"/>
          <w:sz w:val="24"/>
          <w:szCs w:val="24"/>
        </w:rPr>
        <w:t>s have so</w:t>
      </w:r>
      <w:r>
        <w:rPr>
          <w:rFonts w:eastAsiaTheme="majorEastAsia" w:cs="Arial"/>
          <w:bCs/>
          <w:color w:val="0D0D0D" w:themeColor="text1" w:themeTint="F2"/>
          <w:sz w:val="24"/>
          <w:szCs w:val="24"/>
        </w:rPr>
        <w:t xml:space="preserve">ught to provide an additional level of support above and beyond fundamentals like scheduling of medicines to further reduce this risk. Relevant </w:t>
      </w:r>
      <w:r w:rsidR="002D3134">
        <w:rPr>
          <w:rFonts w:eastAsiaTheme="majorEastAsia" w:cs="Arial"/>
          <w:bCs/>
          <w:color w:val="0D0D0D" w:themeColor="text1" w:themeTint="F2"/>
          <w:sz w:val="24"/>
          <w:szCs w:val="24"/>
        </w:rPr>
        <w:t xml:space="preserve">CPPs </w:t>
      </w:r>
      <w:r>
        <w:rPr>
          <w:rFonts w:eastAsiaTheme="majorEastAsia" w:cs="Arial"/>
          <w:bCs/>
          <w:color w:val="0D0D0D" w:themeColor="text1" w:themeTint="F2"/>
          <w:sz w:val="24"/>
          <w:szCs w:val="24"/>
        </w:rPr>
        <w:t>include</w:t>
      </w:r>
      <w:r w:rsidR="002D3134">
        <w:rPr>
          <w:rFonts w:eastAsiaTheme="majorEastAsia" w:cs="Arial"/>
          <w:bCs/>
          <w:color w:val="0D0D0D" w:themeColor="text1" w:themeTint="F2"/>
          <w:sz w:val="24"/>
          <w:szCs w:val="24"/>
        </w:rPr>
        <w:t>d in the 7CPA include</w:t>
      </w:r>
      <w:r>
        <w:rPr>
          <w:rFonts w:eastAsiaTheme="majorEastAsia" w:cs="Arial"/>
          <w:bCs/>
          <w:color w:val="0D0D0D" w:themeColor="text1" w:themeTint="F2"/>
          <w:sz w:val="24"/>
          <w:szCs w:val="24"/>
        </w:rPr>
        <w:t xml:space="preserve"> the provision of </w:t>
      </w:r>
      <w:r w:rsidR="00433073" w:rsidRPr="00C20287">
        <w:rPr>
          <w:rFonts w:cs="Arial"/>
          <w:color w:val="0D0D0D" w:themeColor="text1" w:themeTint="F2"/>
          <w:sz w:val="24"/>
          <w:szCs w:val="24"/>
        </w:rPr>
        <w:t xml:space="preserve">dose administration aids </w:t>
      </w:r>
      <w:r w:rsidR="00A96BE3" w:rsidRPr="00C20287">
        <w:rPr>
          <w:rFonts w:cs="Arial"/>
          <w:color w:val="0D0D0D" w:themeColor="text1" w:themeTint="F2"/>
          <w:sz w:val="24"/>
          <w:szCs w:val="24"/>
        </w:rPr>
        <w:t xml:space="preserve">(DAAs), where medicines are packed in individual time and day separated compartments to aid in medication adherence by consumers, </w:t>
      </w:r>
      <w:r w:rsidR="00433073" w:rsidRPr="00C20287">
        <w:rPr>
          <w:rFonts w:cs="Arial"/>
          <w:color w:val="0D0D0D" w:themeColor="text1" w:themeTint="F2"/>
          <w:sz w:val="24"/>
          <w:szCs w:val="24"/>
        </w:rPr>
        <w:t>and undertaking medication reviews</w:t>
      </w:r>
      <w:r w:rsidR="00A96BE3" w:rsidRPr="00C20287">
        <w:rPr>
          <w:rFonts w:cs="Arial"/>
          <w:color w:val="0D0D0D" w:themeColor="text1" w:themeTint="F2"/>
          <w:sz w:val="24"/>
          <w:szCs w:val="24"/>
        </w:rPr>
        <w:t xml:space="preserve"> both in the home and in the </w:t>
      </w:r>
      <w:r w:rsidR="009C7380" w:rsidRPr="00C20287">
        <w:rPr>
          <w:rFonts w:cs="Arial"/>
          <w:color w:val="0D0D0D" w:themeColor="text1" w:themeTint="F2"/>
          <w:sz w:val="24"/>
          <w:szCs w:val="24"/>
        </w:rPr>
        <w:t>pharmacy</w:t>
      </w:r>
      <w:r w:rsidR="00433073" w:rsidRPr="00C20287">
        <w:rPr>
          <w:rFonts w:cs="Arial"/>
          <w:color w:val="0D0D0D" w:themeColor="text1" w:themeTint="F2"/>
          <w:sz w:val="24"/>
          <w:szCs w:val="24"/>
        </w:rPr>
        <w:t>.</w:t>
      </w:r>
      <w:r w:rsidR="00DE45C7">
        <w:rPr>
          <w:rFonts w:cs="Arial"/>
          <w:color w:val="0D0D0D" w:themeColor="text1" w:themeTint="F2"/>
          <w:sz w:val="24"/>
          <w:szCs w:val="24"/>
        </w:rPr>
        <w:t xml:space="preserve"> </w:t>
      </w:r>
    </w:p>
    <w:p w14:paraId="671B84EA" w14:textId="7F5E27D2" w:rsidR="00E00EE4" w:rsidRPr="00C20287" w:rsidRDefault="00B459E7" w:rsidP="00267FD9">
      <w:pPr>
        <w:rPr>
          <w:rFonts w:cs="Arial"/>
          <w:color w:val="0D0D0D" w:themeColor="text1" w:themeTint="F2"/>
          <w:sz w:val="24"/>
          <w:szCs w:val="24"/>
        </w:rPr>
      </w:pPr>
      <w:r w:rsidRPr="00C20287">
        <w:rPr>
          <w:rFonts w:eastAsiaTheme="majorEastAsia" w:cs="Arial"/>
          <w:bCs/>
          <w:color w:val="0D0D0D" w:themeColor="text1" w:themeTint="F2"/>
          <w:sz w:val="24"/>
          <w:szCs w:val="24"/>
        </w:rPr>
        <w:t>D</w:t>
      </w:r>
      <w:r w:rsidR="00D4292F" w:rsidRPr="00C20287">
        <w:rPr>
          <w:rFonts w:cs="Arial"/>
          <w:color w:val="0D0D0D" w:themeColor="text1" w:themeTint="F2"/>
          <w:sz w:val="24"/>
          <w:szCs w:val="24"/>
        </w:rPr>
        <w:t>ata for relevant pharmacy programs</w:t>
      </w:r>
      <w:r w:rsidR="00CF40B4" w:rsidRPr="00C20287">
        <w:rPr>
          <w:rFonts w:cs="Arial"/>
          <w:color w:val="0D0D0D" w:themeColor="text1" w:themeTint="F2"/>
          <w:sz w:val="24"/>
          <w:szCs w:val="24"/>
        </w:rPr>
        <w:t>, including DAAs,</w:t>
      </w:r>
      <w:r w:rsidR="00D4292F" w:rsidRPr="00C20287">
        <w:rPr>
          <w:rFonts w:cs="Arial"/>
          <w:color w:val="0D0D0D" w:themeColor="text1" w:themeTint="F2"/>
          <w:sz w:val="24"/>
          <w:szCs w:val="24"/>
        </w:rPr>
        <w:t xml:space="preserve"> </w:t>
      </w:r>
      <w:r w:rsidR="00347A58">
        <w:rPr>
          <w:rFonts w:cs="Arial"/>
          <w:color w:val="0D0D0D" w:themeColor="text1" w:themeTint="F2"/>
          <w:sz w:val="24"/>
          <w:szCs w:val="24"/>
        </w:rPr>
        <w:t>are</w:t>
      </w:r>
      <w:r w:rsidR="00D4292F" w:rsidRPr="00C20287">
        <w:rPr>
          <w:rFonts w:cs="Arial"/>
          <w:color w:val="0D0D0D" w:themeColor="text1" w:themeTint="F2"/>
          <w:sz w:val="24"/>
          <w:szCs w:val="24"/>
        </w:rPr>
        <w:t xml:space="preserve"> monitored and</w:t>
      </w:r>
      <w:r w:rsidR="00431940">
        <w:rPr>
          <w:rFonts w:cs="Arial"/>
          <w:color w:val="0D0D0D" w:themeColor="text1" w:themeTint="F2"/>
          <w:sz w:val="24"/>
          <w:szCs w:val="24"/>
        </w:rPr>
        <w:t xml:space="preserve"> </w:t>
      </w:r>
      <w:r w:rsidR="00D4292F" w:rsidRPr="00C20287">
        <w:rPr>
          <w:rFonts w:cs="Arial"/>
          <w:color w:val="0D0D0D" w:themeColor="text1" w:themeTint="F2"/>
          <w:sz w:val="24"/>
          <w:szCs w:val="24"/>
        </w:rPr>
        <w:t xml:space="preserve">published monthly on </w:t>
      </w:r>
      <w:r w:rsidR="00D96135" w:rsidRPr="00C20287">
        <w:rPr>
          <w:rFonts w:cs="Arial"/>
          <w:color w:val="0D0D0D" w:themeColor="text1" w:themeTint="F2"/>
          <w:sz w:val="24"/>
          <w:szCs w:val="24"/>
        </w:rPr>
        <w:t>the D</w:t>
      </w:r>
      <w:r w:rsidRPr="00C20287">
        <w:rPr>
          <w:rFonts w:cs="Arial"/>
          <w:color w:val="0D0D0D" w:themeColor="text1" w:themeTint="F2"/>
          <w:sz w:val="24"/>
          <w:szCs w:val="24"/>
        </w:rPr>
        <w:t>epartment</w:t>
      </w:r>
      <w:r w:rsidR="00D05697">
        <w:rPr>
          <w:rFonts w:cs="Arial"/>
          <w:color w:val="0D0D0D" w:themeColor="text1" w:themeTint="F2"/>
          <w:sz w:val="24"/>
          <w:szCs w:val="24"/>
        </w:rPr>
        <w:t xml:space="preserve">’s </w:t>
      </w:r>
      <w:r w:rsidR="00D4292F" w:rsidRPr="00C20287">
        <w:rPr>
          <w:rFonts w:cs="Arial"/>
          <w:color w:val="0D0D0D" w:themeColor="text1" w:themeTint="F2"/>
          <w:sz w:val="24"/>
          <w:szCs w:val="24"/>
        </w:rPr>
        <w:t xml:space="preserve">website at </w:t>
      </w:r>
      <w:hyperlink r:id="rId28" w:history="1">
        <w:r w:rsidRPr="00C20287">
          <w:rPr>
            <w:rStyle w:val="Hyperlink"/>
            <w:rFonts w:cs="Arial"/>
            <w:bCs/>
            <w:sz w:val="24"/>
            <w:szCs w:val="24"/>
          </w:rPr>
          <w:t>www.health.gov.au/resources/collections/pharmacy-programs-data</w:t>
        </w:r>
      </w:hyperlink>
      <w:r w:rsidRPr="00C20287">
        <w:rPr>
          <w:rFonts w:cs="Arial"/>
          <w:color w:val="0D0D0D" w:themeColor="text1" w:themeTint="F2"/>
          <w:sz w:val="24"/>
          <w:szCs w:val="24"/>
        </w:rPr>
        <w:t xml:space="preserve">. The data available largely relate to volumes and expenditure and while </w:t>
      </w:r>
      <w:r w:rsidR="00D4292F" w:rsidRPr="00C20287">
        <w:rPr>
          <w:rFonts w:cs="Arial"/>
          <w:color w:val="0D0D0D" w:themeColor="text1" w:themeTint="F2"/>
          <w:sz w:val="24"/>
          <w:szCs w:val="24"/>
        </w:rPr>
        <w:t>th</w:t>
      </w:r>
      <w:r w:rsidRPr="00C20287">
        <w:rPr>
          <w:rFonts w:cs="Arial"/>
          <w:color w:val="0D0D0D" w:themeColor="text1" w:themeTint="F2"/>
          <w:sz w:val="24"/>
          <w:szCs w:val="24"/>
        </w:rPr>
        <w:t>is</w:t>
      </w:r>
      <w:r w:rsidR="00D4292F" w:rsidRPr="00C20287">
        <w:rPr>
          <w:rFonts w:cs="Arial"/>
          <w:color w:val="0D0D0D" w:themeColor="text1" w:themeTint="F2"/>
          <w:sz w:val="24"/>
          <w:szCs w:val="24"/>
        </w:rPr>
        <w:t xml:space="preserve"> provides some insight to the need for such programs</w:t>
      </w:r>
      <w:r w:rsidR="00D96135" w:rsidRPr="00C20287">
        <w:rPr>
          <w:rFonts w:cs="Arial"/>
          <w:color w:val="0D0D0D" w:themeColor="text1" w:themeTint="F2"/>
          <w:sz w:val="24"/>
          <w:szCs w:val="24"/>
        </w:rPr>
        <w:t>,</w:t>
      </w:r>
      <w:r w:rsidR="00D02370" w:rsidRPr="00C20287">
        <w:rPr>
          <w:rFonts w:cs="Arial"/>
          <w:color w:val="0D0D0D" w:themeColor="text1" w:themeTint="F2"/>
          <w:sz w:val="24"/>
          <w:szCs w:val="24"/>
        </w:rPr>
        <w:t xml:space="preserve"> </w:t>
      </w:r>
      <w:r w:rsidRPr="00C20287">
        <w:rPr>
          <w:rFonts w:cs="Arial"/>
          <w:color w:val="0D0D0D" w:themeColor="text1" w:themeTint="F2"/>
          <w:sz w:val="24"/>
          <w:szCs w:val="24"/>
        </w:rPr>
        <w:t xml:space="preserve">further improvements could be made by developing and implementing </w:t>
      </w:r>
      <w:r w:rsidR="00D96135" w:rsidRPr="00C20287">
        <w:rPr>
          <w:rFonts w:cs="Arial"/>
          <w:color w:val="0D0D0D" w:themeColor="text1" w:themeTint="F2"/>
          <w:sz w:val="24"/>
          <w:szCs w:val="24"/>
        </w:rPr>
        <w:t xml:space="preserve">approaches to </w:t>
      </w:r>
      <w:r w:rsidRPr="00C20287">
        <w:rPr>
          <w:rFonts w:cs="Arial"/>
          <w:color w:val="0D0D0D" w:themeColor="text1" w:themeTint="F2"/>
          <w:sz w:val="24"/>
          <w:szCs w:val="24"/>
        </w:rPr>
        <w:t>monitor and evaluat</w:t>
      </w:r>
      <w:r w:rsidR="00D96135" w:rsidRPr="00C20287">
        <w:rPr>
          <w:rFonts w:cs="Arial"/>
          <w:color w:val="0D0D0D" w:themeColor="text1" w:themeTint="F2"/>
          <w:sz w:val="24"/>
          <w:szCs w:val="24"/>
        </w:rPr>
        <w:t>e</w:t>
      </w:r>
      <w:r w:rsidRPr="00C20287">
        <w:rPr>
          <w:rFonts w:cs="Arial"/>
          <w:color w:val="0D0D0D" w:themeColor="text1" w:themeTint="F2"/>
          <w:sz w:val="24"/>
          <w:szCs w:val="24"/>
        </w:rPr>
        <w:t xml:space="preserve"> the health outcomes achieved through each of the programs.</w:t>
      </w:r>
      <w:r w:rsidR="00E00EE4">
        <w:rPr>
          <w:rFonts w:cs="Arial"/>
          <w:color w:val="0D0D0D" w:themeColor="text1" w:themeTint="F2"/>
          <w:sz w:val="24"/>
          <w:szCs w:val="24"/>
        </w:rPr>
        <w:t xml:space="preserve"> </w:t>
      </w:r>
      <w:r w:rsidR="003C4EA7">
        <w:rPr>
          <w:rFonts w:cs="Arial"/>
          <w:color w:val="0D0D0D" w:themeColor="text1" w:themeTint="F2"/>
          <w:sz w:val="24"/>
          <w:szCs w:val="24"/>
        </w:rPr>
        <w:t>D</w:t>
      </w:r>
      <w:r w:rsidR="00E00EE4">
        <w:rPr>
          <w:rFonts w:cs="Arial"/>
          <w:color w:val="0D0D0D" w:themeColor="text1" w:themeTint="F2"/>
          <w:sz w:val="24"/>
          <w:szCs w:val="24"/>
        </w:rPr>
        <w:t>emand for DAAs has continued to grow significantly over time since the introduction of this program in 2005.</w:t>
      </w:r>
      <w:r w:rsidR="002D3134" w:rsidRPr="002D3134">
        <w:rPr>
          <w:rFonts w:cs="Arial"/>
          <w:color w:val="0D0D0D" w:themeColor="text1" w:themeTint="F2"/>
          <w:sz w:val="24"/>
          <w:szCs w:val="24"/>
        </w:rPr>
        <w:t xml:space="preserve"> </w:t>
      </w:r>
      <w:r w:rsidR="002D3134" w:rsidRPr="00C20287">
        <w:rPr>
          <w:rFonts w:cs="Arial"/>
          <w:color w:val="0D0D0D" w:themeColor="text1" w:themeTint="F2"/>
          <w:sz w:val="24"/>
          <w:szCs w:val="24"/>
        </w:rPr>
        <w:t>In the 2022-23 financial year over 16 million DAAs were made available by more than 5000 providers to assist patients with taking medications at home</w:t>
      </w:r>
      <w:r w:rsidR="00A05B93">
        <w:rPr>
          <w:rFonts w:cs="Arial"/>
          <w:color w:val="0D0D0D" w:themeColor="text1" w:themeTint="F2"/>
          <w:sz w:val="24"/>
          <w:szCs w:val="24"/>
        </w:rPr>
        <w:t>.</w:t>
      </w:r>
      <w:r w:rsidR="005C4AFF" w:rsidDel="005C4AFF">
        <w:rPr>
          <w:rFonts w:cs="Arial"/>
          <w:color w:val="0D0D0D" w:themeColor="text1" w:themeTint="F2"/>
          <w:sz w:val="24"/>
          <w:szCs w:val="24"/>
        </w:rPr>
        <w:t xml:space="preserve"> </w:t>
      </w:r>
    </w:p>
    <w:p w14:paraId="0F5E1928" w14:textId="1E845462" w:rsidR="0077224D" w:rsidRDefault="0077224D">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S</w:t>
      </w:r>
      <w:r w:rsidRPr="0077224D">
        <w:rPr>
          <w:rFonts w:eastAsiaTheme="majorEastAsia" w:cs="Arial"/>
          <w:bCs/>
          <w:color w:val="0D0D0D" w:themeColor="text1" w:themeTint="F2"/>
          <w:sz w:val="24"/>
          <w:szCs w:val="24"/>
        </w:rPr>
        <w:t xml:space="preserve">tudies </w:t>
      </w:r>
      <w:r>
        <w:rPr>
          <w:rFonts w:eastAsiaTheme="majorEastAsia" w:cs="Arial"/>
          <w:bCs/>
          <w:color w:val="0D0D0D" w:themeColor="text1" w:themeTint="F2"/>
          <w:sz w:val="24"/>
          <w:szCs w:val="24"/>
        </w:rPr>
        <w:t>have shown that t</w:t>
      </w:r>
      <w:r w:rsidRPr="0077224D">
        <w:rPr>
          <w:rFonts w:eastAsiaTheme="majorEastAsia" w:cs="Arial"/>
          <w:bCs/>
          <w:color w:val="0D0D0D" w:themeColor="text1" w:themeTint="F2"/>
          <w:sz w:val="24"/>
          <w:szCs w:val="24"/>
        </w:rPr>
        <w:t xml:space="preserve">he use of DAAs or similar medicine compliance aids </w:t>
      </w:r>
      <w:r>
        <w:rPr>
          <w:rFonts w:eastAsiaTheme="majorEastAsia" w:cs="Arial"/>
          <w:bCs/>
          <w:color w:val="0D0D0D" w:themeColor="text1" w:themeTint="F2"/>
          <w:sz w:val="24"/>
          <w:szCs w:val="24"/>
        </w:rPr>
        <w:t>can significantly improve</w:t>
      </w:r>
      <w:r w:rsidRPr="0077224D">
        <w:rPr>
          <w:rFonts w:eastAsiaTheme="majorEastAsia" w:cs="Arial"/>
          <w:bCs/>
          <w:color w:val="0D0D0D" w:themeColor="text1" w:themeTint="F2"/>
          <w:sz w:val="24"/>
          <w:szCs w:val="24"/>
        </w:rPr>
        <w:t xml:space="preserve"> adherence to</w:t>
      </w:r>
      <w:r>
        <w:rPr>
          <w:rFonts w:eastAsiaTheme="majorEastAsia" w:cs="Arial"/>
          <w:bCs/>
          <w:color w:val="0D0D0D" w:themeColor="text1" w:themeTint="F2"/>
          <w:sz w:val="24"/>
          <w:szCs w:val="24"/>
        </w:rPr>
        <w:t xml:space="preserve"> certain</w:t>
      </w:r>
      <w:r w:rsidRPr="0077224D">
        <w:rPr>
          <w:rFonts w:eastAsiaTheme="majorEastAsia" w:cs="Arial"/>
          <w:bCs/>
          <w:color w:val="0D0D0D" w:themeColor="text1" w:themeTint="F2"/>
          <w:sz w:val="24"/>
          <w:szCs w:val="24"/>
        </w:rPr>
        <w:t xml:space="preserve"> medication</w:t>
      </w:r>
      <w:r>
        <w:rPr>
          <w:rFonts w:eastAsiaTheme="majorEastAsia" w:cs="Arial"/>
          <w:bCs/>
          <w:color w:val="0D0D0D" w:themeColor="text1" w:themeTint="F2"/>
          <w:sz w:val="24"/>
          <w:szCs w:val="24"/>
        </w:rPr>
        <w:t>s, however</w:t>
      </w:r>
      <w:r w:rsidRPr="0077224D">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 xml:space="preserve">these studies have generally included </w:t>
      </w:r>
      <w:r w:rsidRPr="0077224D">
        <w:rPr>
          <w:rFonts w:eastAsiaTheme="majorEastAsia" w:cs="Arial"/>
          <w:bCs/>
          <w:color w:val="0D0D0D" w:themeColor="text1" w:themeTint="F2"/>
          <w:sz w:val="24"/>
          <w:szCs w:val="24"/>
        </w:rPr>
        <w:t xml:space="preserve">significant </w:t>
      </w:r>
      <w:r w:rsidRPr="0077224D">
        <w:rPr>
          <w:rFonts w:eastAsiaTheme="majorEastAsia" w:cs="Arial"/>
          <w:bCs/>
          <w:color w:val="0D0D0D" w:themeColor="text1" w:themeTint="F2"/>
          <w:sz w:val="24"/>
          <w:szCs w:val="24"/>
        </w:rPr>
        <w:lastRenderedPageBreak/>
        <w:t xml:space="preserve">methodological limitation, inadequate length of follow-up, and moderate-to-high risk of bias. </w:t>
      </w:r>
      <w:r w:rsidR="005B7A17" w:rsidRPr="005B7A17">
        <w:t xml:space="preserve"> </w:t>
      </w:r>
      <w:r w:rsidR="005B7A17" w:rsidRPr="0095671A">
        <w:rPr>
          <w:sz w:val="24"/>
          <w:szCs w:val="24"/>
        </w:rPr>
        <w:t>T</w:t>
      </w:r>
      <w:r w:rsidR="005B7A17" w:rsidRPr="005B7A17">
        <w:rPr>
          <w:rFonts w:eastAsiaTheme="majorEastAsia" w:cs="Arial"/>
          <w:bCs/>
          <w:color w:val="0D0D0D" w:themeColor="text1" w:themeTint="F2"/>
          <w:sz w:val="24"/>
          <w:szCs w:val="24"/>
        </w:rPr>
        <w:t>hese studies often focus on a narrow aspect, such as limited populat</w:t>
      </w:r>
      <w:r w:rsidR="005B7A17">
        <w:rPr>
          <w:rFonts w:eastAsiaTheme="majorEastAsia" w:cs="Arial"/>
          <w:bCs/>
          <w:color w:val="0D0D0D" w:themeColor="text1" w:themeTint="F2"/>
          <w:sz w:val="24"/>
          <w:szCs w:val="24"/>
        </w:rPr>
        <w:t>ion or a particular type of DAA</w:t>
      </w:r>
      <w:r w:rsidR="005B7A17" w:rsidRPr="005B7A17">
        <w:rPr>
          <w:rFonts w:eastAsiaTheme="majorEastAsia" w:cs="Arial"/>
          <w:bCs/>
          <w:color w:val="0D0D0D" w:themeColor="text1" w:themeTint="F2"/>
          <w:sz w:val="24"/>
          <w:szCs w:val="24"/>
        </w:rPr>
        <w:t>. Furthermore, studies may be limited in their geographic scope or setting, which f</w:t>
      </w:r>
      <w:r w:rsidR="005B7A17">
        <w:rPr>
          <w:rFonts w:eastAsiaTheme="majorEastAsia" w:cs="Arial"/>
          <w:bCs/>
          <w:color w:val="0D0D0D" w:themeColor="text1" w:themeTint="F2"/>
          <w:sz w:val="24"/>
          <w:szCs w:val="24"/>
        </w:rPr>
        <w:t>urther restricts the generalis</w:t>
      </w:r>
      <w:r w:rsidR="005B7A17" w:rsidRPr="005B7A17">
        <w:rPr>
          <w:rFonts w:eastAsiaTheme="majorEastAsia" w:cs="Arial"/>
          <w:bCs/>
          <w:color w:val="0D0D0D" w:themeColor="text1" w:themeTint="F2"/>
          <w:sz w:val="24"/>
          <w:szCs w:val="24"/>
        </w:rPr>
        <w:t>ability of their findings. This results in the gaps in our understanding of a comprehensive picture of DAAs within the primary care setting</w:t>
      </w:r>
      <w:r w:rsidR="005B7A17">
        <w:rPr>
          <w:rFonts w:eastAsiaTheme="majorEastAsia" w:cs="Arial"/>
          <w:bCs/>
          <w:color w:val="0D0D0D" w:themeColor="text1" w:themeTint="F2"/>
          <w:sz w:val="24"/>
          <w:szCs w:val="24"/>
        </w:rPr>
        <w:t xml:space="preserve">, including community pharmacy. </w:t>
      </w:r>
      <w:r w:rsidR="00A05B93">
        <w:rPr>
          <w:rFonts w:eastAsiaTheme="majorEastAsia" w:cs="Arial"/>
          <w:bCs/>
          <w:color w:val="0D0D0D" w:themeColor="text1" w:themeTint="F2"/>
          <w:sz w:val="24"/>
          <w:szCs w:val="24"/>
        </w:rPr>
        <w:t>In addition,</w:t>
      </w:r>
      <w:r w:rsidR="00A05B93" w:rsidRPr="00EE1495">
        <w:rPr>
          <w:rFonts w:eastAsiaTheme="majorEastAsia" w:cs="Arial"/>
          <w:bCs/>
          <w:color w:val="0D0D0D" w:themeColor="text1" w:themeTint="F2"/>
          <w:sz w:val="24"/>
          <w:szCs w:val="24"/>
        </w:rPr>
        <w:t xml:space="preserve"> i</w:t>
      </w:r>
      <w:r w:rsidR="00A05B93" w:rsidRPr="000A1E7A">
        <w:rPr>
          <w:rFonts w:eastAsiaTheme="majorEastAsia" w:cs="Arial"/>
          <w:color w:val="0D0D0D" w:themeColor="text1" w:themeTint="F2"/>
          <w:sz w:val="24"/>
          <w:szCs w:val="24"/>
        </w:rPr>
        <w:t>mprove</w:t>
      </w:r>
      <w:r w:rsidR="00A05B93">
        <w:rPr>
          <w:rFonts w:eastAsiaTheme="majorEastAsia" w:cs="Arial"/>
          <w:color w:val="0D0D0D" w:themeColor="text1" w:themeTint="F2"/>
          <w:sz w:val="24"/>
          <w:szCs w:val="24"/>
        </w:rPr>
        <w:t>d</w:t>
      </w:r>
      <w:r w:rsidR="00A05B93" w:rsidRPr="000A1E7A">
        <w:rPr>
          <w:rFonts w:eastAsiaTheme="majorEastAsia" w:cs="Arial"/>
          <w:color w:val="0D0D0D" w:themeColor="text1" w:themeTint="F2"/>
          <w:sz w:val="24"/>
          <w:szCs w:val="24"/>
        </w:rPr>
        <w:t xml:space="preserve"> medication compliance, </w:t>
      </w:r>
      <w:r w:rsidR="00A05B93">
        <w:rPr>
          <w:rFonts w:eastAsiaTheme="majorEastAsia" w:cs="Arial"/>
          <w:bCs/>
          <w:color w:val="0D0D0D" w:themeColor="text1" w:themeTint="F2"/>
          <w:sz w:val="24"/>
          <w:szCs w:val="24"/>
        </w:rPr>
        <w:t>is not</w:t>
      </w:r>
      <w:r w:rsidR="00A05B93" w:rsidRPr="000A1E7A">
        <w:rPr>
          <w:rFonts w:eastAsiaTheme="majorEastAsia" w:cs="Arial"/>
          <w:color w:val="0D0D0D" w:themeColor="text1" w:themeTint="F2"/>
          <w:sz w:val="24"/>
          <w:szCs w:val="24"/>
        </w:rPr>
        <w:t xml:space="preserve"> necessarily</w:t>
      </w:r>
      <w:r w:rsidR="00A05B93" w:rsidRPr="00EE1495">
        <w:rPr>
          <w:rFonts w:eastAsiaTheme="majorEastAsia" w:cs="Arial"/>
          <w:bCs/>
          <w:color w:val="0D0D0D" w:themeColor="text1" w:themeTint="F2"/>
          <w:sz w:val="24"/>
          <w:szCs w:val="24"/>
        </w:rPr>
        <w:t xml:space="preserve"> accompanied by clinically meaningful improvements in clinical outcomes as modest amounts of non-adherence may still leave patients within a therapeutic window</w:t>
      </w:r>
      <w:r w:rsidR="00A05B93">
        <w:rPr>
          <w:rFonts w:eastAsiaTheme="majorEastAsia" w:cs="Arial"/>
          <w:bCs/>
          <w:color w:val="0D0D0D" w:themeColor="text1" w:themeTint="F2"/>
          <w:sz w:val="24"/>
          <w:szCs w:val="24"/>
        </w:rPr>
        <w:t>.</w:t>
      </w:r>
      <w:r w:rsidR="00A05B93" w:rsidRPr="00EE1495">
        <w:rPr>
          <w:rFonts w:eastAsiaTheme="majorEastAsia" w:cs="Arial"/>
          <w:bCs/>
          <w:color w:val="0D0D0D" w:themeColor="text1" w:themeTint="F2"/>
          <w:sz w:val="24"/>
          <w:szCs w:val="24"/>
        </w:rPr>
        <w:t xml:space="preserve"> </w:t>
      </w:r>
      <w:r w:rsidR="00D203B0">
        <w:rPr>
          <w:rFonts w:eastAsiaTheme="majorEastAsia" w:cs="Arial"/>
          <w:bCs/>
          <w:color w:val="0D0D0D" w:themeColor="text1" w:themeTint="F2"/>
          <w:sz w:val="24"/>
          <w:szCs w:val="24"/>
        </w:rPr>
        <w:t xml:space="preserve">There are </w:t>
      </w:r>
      <w:r w:rsidR="00A05B93">
        <w:rPr>
          <w:rFonts w:eastAsiaTheme="majorEastAsia" w:cs="Arial"/>
          <w:bCs/>
          <w:color w:val="0D0D0D" w:themeColor="text1" w:themeTint="F2"/>
          <w:sz w:val="24"/>
          <w:szCs w:val="24"/>
        </w:rPr>
        <w:t xml:space="preserve">also </w:t>
      </w:r>
      <w:r w:rsidR="00D203B0">
        <w:rPr>
          <w:rFonts w:eastAsiaTheme="majorEastAsia" w:cs="Arial"/>
          <w:bCs/>
          <w:color w:val="0D0D0D" w:themeColor="text1" w:themeTint="F2"/>
          <w:sz w:val="24"/>
          <w:szCs w:val="24"/>
        </w:rPr>
        <w:t>a number of confounding factors that make it difficult to a</w:t>
      </w:r>
      <w:r w:rsidR="00A05B93">
        <w:rPr>
          <w:rFonts w:eastAsiaTheme="majorEastAsia" w:cs="Arial"/>
          <w:bCs/>
          <w:color w:val="0D0D0D" w:themeColor="text1" w:themeTint="F2"/>
          <w:sz w:val="24"/>
          <w:szCs w:val="24"/>
        </w:rPr>
        <w:t xml:space="preserve">ssess the effectiveness </w:t>
      </w:r>
      <w:r w:rsidR="00F67CEB">
        <w:rPr>
          <w:rFonts w:eastAsiaTheme="majorEastAsia" w:cs="Arial"/>
          <w:bCs/>
          <w:color w:val="0D0D0D" w:themeColor="text1" w:themeTint="F2"/>
          <w:sz w:val="24"/>
          <w:szCs w:val="24"/>
        </w:rPr>
        <w:t>of</w:t>
      </w:r>
      <w:r w:rsidR="00A05B93">
        <w:rPr>
          <w:rFonts w:eastAsiaTheme="majorEastAsia" w:cs="Arial"/>
          <w:bCs/>
          <w:color w:val="0D0D0D" w:themeColor="text1" w:themeTint="F2"/>
          <w:sz w:val="24"/>
          <w:szCs w:val="24"/>
        </w:rPr>
        <w:t xml:space="preserve"> this</w:t>
      </w:r>
      <w:r w:rsidR="00D203B0">
        <w:rPr>
          <w:rFonts w:eastAsiaTheme="majorEastAsia" w:cs="Arial"/>
          <w:bCs/>
          <w:color w:val="0D0D0D" w:themeColor="text1" w:themeTint="F2"/>
          <w:sz w:val="24"/>
          <w:szCs w:val="24"/>
        </w:rPr>
        <w:t xml:space="preserve"> longstanding program, including changes to the patterns of medicine use over time. </w:t>
      </w:r>
    </w:p>
    <w:p w14:paraId="1D10FB72" w14:textId="76B2C438" w:rsidR="00EE0A74" w:rsidRDefault="00EE0A74">
      <w:pPr>
        <w:rPr>
          <w:rFonts w:eastAsiaTheme="majorEastAsia" w:cs="Arial"/>
          <w:bCs/>
          <w:color w:val="0D0D0D" w:themeColor="text1" w:themeTint="F2"/>
          <w:sz w:val="24"/>
          <w:szCs w:val="24"/>
        </w:rPr>
      </w:pPr>
      <w:r w:rsidRPr="00EE1495">
        <w:rPr>
          <w:rFonts w:eastAsiaTheme="majorEastAsia" w:cs="Arial"/>
          <w:bCs/>
          <w:color w:val="0D0D0D" w:themeColor="text1" w:themeTint="F2"/>
          <w:sz w:val="24"/>
          <w:szCs w:val="24"/>
        </w:rPr>
        <w:t>Over the five years to 2020, more than half of all unintentional drug-induced deaths involved three or more drug types, with pharmaceutical opioids involved in half of all poly-substance deaths during the five-year period. Unintentional poly-substance deaths were most commonly seen in middle age</w:t>
      </w:r>
      <w:r w:rsidR="00215DD9">
        <w:rPr>
          <w:rFonts w:eastAsiaTheme="majorEastAsia" w:cs="Arial"/>
          <w:bCs/>
          <w:color w:val="0D0D0D" w:themeColor="text1" w:themeTint="F2"/>
          <w:sz w:val="24"/>
          <w:szCs w:val="24"/>
        </w:rPr>
        <w:t>d persons</w:t>
      </w:r>
      <w:r w:rsidRPr="00EE1495">
        <w:rPr>
          <w:rFonts w:eastAsiaTheme="majorEastAsia" w:cs="Arial"/>
          <w:bCs/>
          <w:color w:val="0D0D0D" w:themeColor="text1" w:themeTint="F2"/>
          <w:sz w:val="24"/>
          <w:szCs w:val="24"/>
        </w:rPr>
        <w:t xml:space="preserve">, although they were responsible for almost two-thirds of unintentional drug-induced deaths among women aged 60 and above. </w:t>
      </w:r>
      <w:r w:rsidR="00F93076" w:rsidRPr="00F93076">
        <w:rPr>
          <w:rFonts w:eastAsiaTheme="majorEastAsia" w:cs="Arial"/>
          <w:bCs/>
          <w:color w:val="0D0D0D" w:themeColor="text1" w:themeTint="F2"/>
          <w:sz w:val="24"/>
          <w:szCs w:val="24"/>
        </w:rPr>
        <w:t>From 2001 to 2020, during which the population of Australia increased by 31.6%, there was a disproportionally greater increase (68.6%) in the number of unintentional drug induced deaths, from 981 to 1,654.</w:t>
      </w:r>
      <w:r>
        <w:rPr>
          <w:rStyle w:val="FootnoteReference"/>
          <w:rFonts w:eastAsiaTheme="majorEastAsia" w:cs="Arial"/>
          <w:bCs/>
          <w:color w:val="0D0D0D" w:themeColor="text1" w:themeTint="F2"/>
          <w:sz w:val="24"/>
          <w:szCs w:val="24"/>
        </w:rPr>
        <w:footnoteReference w:id="53"/>
      </w:r>
    </w:p>
    <w:p w14:paraId="0604248F" w14:textId="08F15779" w:rsidR="00595C64" w:rsidRPr="00C20287" w:rsidRDefault="00595C64" w:rsidP="0077224D">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The 6CPA suggested that CPPs would be subject to a cost effectiveness assessment by an independent health technology assessment body (such as the M</w:t>
      </w:r>
      <w:r w:rsidR="00AD67B9" w:rsidRPr="00C20287">
        <w:rPr>
          <w:rFonts w:eastAsiaTheme="majorEastAsia" w:cs="Arial"/>
          <w:bCs/>
          <w:color w:val="0D0D0D" w:themeColor="text1" w:themeTint="F2"/>
          <w:sz w:val="24"/>
          <w:szCs w:val="24"/>
        </w:rPr>
        <w:t xml:space="preserve">edical Services </w:t>
      </w:r>
      <w:r w:rsidRPr="00C20287">
        <w:rPr>
          <w:rFonts w:eastAsiaTheme="majorEastAsia" w:cs="Arial"/>
          <w:bCs/>
          <w:color w:val="0D0D0D" w:themeColor="text1" w:themeTint="F2"/>
          <w:sz w:val="24"/>
          <w:szCs w:val="24"/>
        </w:rPr>
        <w:t>A</w:t>
      </w:r>
      <w:r w:rsidR="00AD67B9" w:rsidRPr="00C20287">
        <w:rPr>
          <w:rFonts w:eastAsiaTheme="majorEastAsia" w:cs="Arial"/>
          <w:bCs/>
          <w:color w:val="0D0D0D" w:themeColor="text1" w:themeTint="F2"/>
          <w:sz w:val="24"/>
          <w:szCs w:val="24"/>
        </w:rPr>
        <w:t xml:space="preserve">dvisory </w:t>
      </w:r>
      <w:r w:rsidR="00BD2E73" w:rsidRPr="00C20287">
        <w:rPr>
          <w:rFonts w:eastAsiaTheme="majorEastAsia" w:cs="Arial"/>
          <w:bCs/>
          <w:color w:val="0D0D0D" w:themeColor="text1" w:themeTint="F2"/>
          <w:sz w:val="24"/>
          <w:szCs w:val="24"/>
        </w:rPr>
        <w:t>Committee</w:t>
      </w:r>
      <w:r w:rsidR="00AD67B9" w:rsidRPr="00C20287">
        <w:rPr>
          <w:rFonts w:eastAsiaTheme="majorEastAsia" w:cs="Arial"/>
          <w:bCs/>
          <w:color w:val="0D0D0D" w:themeColor="text1" w:themeTint="F2"/>
          <w:sz w:val="24"/>
          <w:szCs w:val="24"/>
        </w:rPr>
        <w:t xml:space="preserve"> (MSAC)</w:t>
      </w:r>
      <w:r w:rsidRPr="00C20287">
        <w:rPr>
          <w:rFonts w:eastAsiaTheme="majorEastAsia" w:cs="Arial"/>
          <w:bCs/>
          <w:color w:val="0D0D0D" w:themeColor="text1" w:themeTint="F2"/>
          <w:sz w:val="24"/>
          <w:szCs w:val="24"/>
        </w:rPr>
        <w:t xml:space="preserve"> or PBAC</w:t>
      </w:r>
      <w:r w:rsidR="00F67CEB">
        <w:rPr>
          <w:rFonts w:eastAsiaTheme="majorEastAsia" w:cs="Arial"/>
          <w:bCs/>
          <w:color w:val="0D0D0D" w:themeColor="text1" w:themeTint="F2"/>
          <w:sz w:val="24"/>
          <w:szCs w:val="24"/>
        </w:rPr>
        <w:t>)</w:t>
      </w:r>
      <w:r w:rsidRPr="00C20287">
        <w:rPr>
          <w:rFonts w:eastAsiaTheme="majorEastAsia" w:cs="Arial"/>
          <w:bCs/>
          <w:color w:val="0D0D0D" w:themeColor="text1" w:themeTint="F2"/>
          <w:sz w:val="24"/>
          <w:szCs w:val="24"/>
        </w:rPr>
        <w:t xml:space="preserve"> as determined by the Minster. To this end </w:t>
      </w:r>
      <w:r w:rsidR="008E0519" w:rsidRPr="00C20287">
        <w:rPr>
          <w:rFonts w:eastAsiaTheme="majorEastAsia" w:cs="Arial"/>
          <w:bCs/>
          <w:color w:val="0D0D0D" w:themeColor="text1" w:themeTint="F2"/>
          <w:sz w:val="24"/>
          <w:szCs w:val="24"/>
        </w:rPr>
        <w:t>MSAC consideration of the available data on existing pharmacy programs</w:t>
      </w:r>
      <w:r w:rsidR="00FA1E8F" w:rsidRPr="00C20287">
        <w:rPr>
          <w:rFonts w:eastAsiaTheme="majorEastAsia" w:cs="Arial"/>
          <w:bCs/>
          <w:color w:val="0D0D0D" w:themeColor="text1" w:themeTint="F2"/>
          <w:sz w:val="24"/>
          <w:szCs w:val="24"/>
        </w:rPr>
        <w:t xml:space="preserve"> including staged supply, </w:t>
      </w:r>
      <w:r w:rsidR="00EE0A74">
        <w:rPr>
          <w:rFonts w:eastAsiaTheme="majorEastAsia" w:cs="Arial"/>
          <w:bCs/>
          <w:color w:val="0D0D0D" w:themeColor="text1" w:themeTint="F2"/>
          <w:sz w:val="24"/>
          <w:szCs w:val="24"/>
        </w:rPr>
        <w:t xml:space="preserve">DAAs </w:t>
      </w:r>
      <w:r w:rsidR="00FA1E8F" w:rsidRPr="00C20287">
        <w:rPr>
          <w:rFonts w:eastAsiaTheme="majorEastAsia" w:cs="Arial"/>
          <w:bCs/>
          <w:color w:val="0D0D0D" w:themeColor="text1" w:themeTint="F2"/>
          <w:sz w:val="24"/>
          <w:szCs w:val="24"/>
        </w:rPr>
        <w:t>and clinical interventions</w:t>
      </w:r>
      <w:r w:rsidR="008E0519" w:rsidRPr="00C20287">
        <w:rPr>
          <w:rFonts w:eastAsiaTheme="majorEastAsia" w:cs="Arial"/>
          <w:bCs/>
          <w:color w:val="0D0D0D" w:themeColor="text1" w:themeTint="F2"/>
          <w:sz w:val="24"/>
          <w:szCs w:val="24"/>
        </w:rPr>
        <w:t xml:space="preserve"> occurred in November 20</w:t>
      </w:r>
      <w:r w:rsidR="00980022" w:rsidRPr="00C20287">
        <w:rPr>
          <w:rFonts w:eastAsiaTheme="majorEastAsia" w:cs="Arial"/>
          <w:bCs/>
          <w:color w:val="0D0D0D" w:themeColor="text1" w:themeTint="F2"/>
          <w:sz w:val="24"/>
          <w:szCs w:val="24"/>
        </w:rPr>
        <w:t>16</w:t>
      </w:r>
      <w:r w:rsidR="00F93076">
        <w:rPr>
          <w:rFonts w:eastAsiaTheme="majorEastAsia" w:cs="Arial"/>
          <w:bCs/>
          <w:color w:val="0D0D0D" w:themeColor="text1" w:themeTint="F2"/>
          <w:sz w:val="24"/>
          <w:szCs w:val="24"/>
        </w:rPr>
        <w:t>.</w:t>
      </w:r>
      <w:r w:rsidR="00980022" w:rsidRPr="00C20287">
        <w:rPr>
          <w:rFonts w:eastAsiaTheme="majorEastAsia" w:cs="Arial"/>
          <w:bCs/>
          <w:color w:val="0D0D0D" w:themeColor="text1" w:themeTint="F2"/>
          <w:sz w:val="24"/>
          <w:szCs w:val="24"/>
        </w:rPr>
        <w:t xml:space="preserve"> </w:t>
      </w:r>
      <w:r w:rsidR="00F93076">
        <w:rPr>
          <w:rFonts w:eastAsiaTheme="majorEastAsia" w:cs="Arial"/>
          <w:bCs/>
          <w:color w:val="0D0D0D" w:themeColor="text1" w:themeTint="F2"/>
          <w:sz w:val="24"/>
          <w:szCs w:val="24"/>
        </w:rPr>
        <w:t>H</w:t>
      </w:r>
      <w:r w:rsidR="00980022" w:rsidRPr="00C20287">
        <w:rPr>
          <w:rFonts w:eastAsiaTheme="majorEastAsia" w:cs="Arial"/>
          <w:bCs/>
          <w:color w:val="0D0D0D" w:themeColor="text1" w:themeTint="F2"/>
          <w:sz w:val="24"/>
          <w:szCs w:val="24"/>
        </w:rPr>
        <w:t xml:space="preserve">owever they found it was </w:t>
      </w:r>
      <w:r w:rsidR="008E0519" w:rsidRPr="00C20287">
        <w:rPr>
          <w:rFonts w:eastAsiaTheme="majorEastAsia" w:cs="Arial"/>
          <w:bCs/>
          <w:color w:val="0D0D0D" w:themeColor="text1" w:themeTint="F2"/>
          <w:sz w:val="24"/>
          <w:szCs w:val="24"/>
        </w:rPr>
        <w:t xml:space="preserve">difficult to conduct a comparative assessment of these programs as they were </w:t>
      </w:r>
      <w:r w:rsidR="00980022" w:rsidRPr="00C20287">
        <w:rPr>
          <w:rFonts w:eastAsiaTheme="majorEastAsia" w:cs="Arial"/>
          <w:bCs/>
          <w:color w:val="0D0D0D" w:themeColor="text1" w:themeTint="F2"/>
          <w:sz w:val="24"/>
          <w:szCs w:val="24"/>
        </w:rPr>
        <w:t xml:space="preserve">by that time </w:t>
      </w:r>
      <w:r w:rsidR="008E0519" w:rsidRPr="00C20287">
        <w:rPr>
          <w:rFonts w:eastAsiaTheme="majorEastAsia" w:cs="Arial"/>
          <w:bCs/>
          <w:color w:val="0D0D0D" w:themeColor="text1" w:themeTint="F2"/>
          <w:sz w:val="24"/>
          <w:szCs w:val="24"/>
        </w:rPr>
        <w:t xml:space="preserve">primarily standard of care expected of a pharmacist. </w:t>
      </w:r>
      <w:r w:rsidR="00980022" w:rsidRPr="00C20287">
        <w:rPr>
          <w:rFonts w:eastAsiaTheme="majorEastAsia" w:cs="Arial"/>
          <w:bCs/>
          <w:color w:val="0D0D0D" w:themeColor="text1" w:themeTint="F2"/>
          <w:sz w:val="24"/>
          <w:szCs w:val="24"/>
        </w:rPr>
        <w:t xml:space="preserve">They considered that an option might </w:t>
      </w:r>
      <w:r w:rsidR="008E0519" w:rsidRPr="00C20287">
        <w:rPr>
          <w:rFonts w:eastAsiaTheme="majorEastAsia" w:cs="Arial"/>
          <w:bCs/>
          <w:color w:val="0D0D0D" w:themeColor="text1" w:themeTint="F2"/>
          <w:sz w:val="24"/>
          <w:szCs w:val="24"/>
        </w:rPr>
        <w:t xml:space="preserve">be to conduct a comparative assessment of </w:t>
      </w:r>
      <w:r w:rsidR="00980022" w:rsidRPr="00C20287">
        <w:rPr>
          <w:rFonts w:eastAsiaTheme="majorEastAsia" w:cs="Arial"/>
          <w:bCs/>
          <w:color w:val="0D0D0D" w:themeColor="text1" w:themeTint="F2"/>
          <w:sz w:val="24"/>
          <w:szCs w:val="24"/>
        </w:rPr>
        <w:t>future proposed</w:t>
      </w:r>
      <w:r w:rsidR="008E0519" w:rsidRPr="00C20287">
        <w:rPr>
          <w:rFonts w:eastAsiaTheme="majorEastAsia" w:cs="Arial"/>
          <w:bCs/>
          <w:color w:val="0D0D0D" w:themeColor="text1" w:themeTint="F2"/>
          <w:sz w:val="24"/>
          <w:szCs w:val="24"/>
        </w:rPr>
        <w:t xml:space="preserve"> improvement</w:t>
      </w:r>
      <w:r w:rsidR="00980022" w:rsidRPr="00C20287">
        <w:rPr>
          <w:rFonts w:eastAsiaTheme="majorEastAsia" w:cs="Arial"/>
          <w:bCs/>
          <w:color w:val="0D0D0D" w:themeColor="text1" w:themeTint="F2"/>
          <w:sz w:val="24"/>
          <w:szCs w:val="24"/>
        </w:rPr>
        <w:t>s</w:t>
      </w:r>
      <w:r w:rsidR="008E0519" w:rsidRPr="00C20287">
        <w:rPr>
          <w:rFonts w:eastAsiaTheme="majorEastAsia" w:cs="Arial"/>
          <w:bCs/>
          <w:color w:val="0D0D0D" w:themeColor="text1" w:themeTint="F2"/>
          <w:sz w:val="24"/>
          <w:szCs w:val="24"/>
        </w:rPr>
        <w:t xml:space="preserve"> to these </w:t>
      </w:r>
      <w:r w:rsidR="00FA1E8F" w:rsidRPr="00C20287">
        <w:rPr>
          <w:rFonts w:eastAsiaTheme="majorEastAsia" w:cs="Arial"/>
          <w:bCs/>
          <w:color w:val="0D0D0D" w:themeColor="text1" w:themeTint="F2"/>
          <w:sz w:val="24"/>
          <w:szCs w:val="24"/>
        </w:rPr>
        <w:t>practices, which could</w:t>
      </w:r>
      <w:r w:rsidR="00980022" w:rsidRPr="00C20287">
        <w:rPr>
          <w:rFonts w:eastAsiaTheme="majorEastAsia" w:cs="Arial"/>
          <w:bCs/>
          <w:color w:val="0D0D0D" w:themeColor="text1" w:themeTint="F2"/>
          <w:sz w:val="24"/>
          <w:szCs w:val="24"/>
        </w:rPr>
        <w:t xml:space="preserve"> </w:t>
      </w:r>
      <w:r w:rsidR="008E0519" w:rsidRPr="00C20287">
        <w:rPr>
          <w:rFonts w:eastAsiaTheme="majorEastAsia" w:cs="Arial"/>
          <w:bCs/>
          <w:color w:val="0D0D0D" w:themeColor="text1" w:themeTint="F2"/>
          <w:sz w:val="24"/>
          <w:szCs w:val="24"/>
        </w:rPr>
        <w:t>justify the provision of program funding for the enhanced services</w:t>
      </w:r>
      <w:r w:rsidR="00980022" w:rsidRPr="00C20287">
        <w:rPr>
          <w:rFonts w:eastAsiaTheme="majorEastAsia" w:cs="Arial"/>
          <w:bCs/>
          <w:color w:val="0D0D0D" w:themeColor="text1" w:themeTint="F2"/>
          <w:sz w:val="24"/>
          <w:szCs w:val="24"/>
        </w:rPr>
        <w:t xml:space="preserve">. MSAC further suggested that funding for the </w:t>
      </w:r>
      <w:r w:rsidR="00FA1E8F" w:rsidRPr="00C20287">
        <w:rPr>
          <w:rFonts w:eastAsiaTheme="majorEastAsia" w:cs="Arial"/>
          <w:bCs/>
          <w:color w:val="0D0D0D" w:themeColor="text1" w:themeTint="F2"/>
          <w:sz w:val="24"/>
          <w:szCs w:val="24"/>
        </w:rPr>
        <w:t xml:space="preserve">existing pharmacy </w:t>
      </w:r>
      <w:r w:rsidR="00980022" w:rsidRPr="00C20287">
        <w:rPr>
          <w:rFonts w:eastAsiaTheme="majorEastAsia" w:cs="Arial"/>
          <w:bCs/>
          <w:color w:val="0D0D0D" w:themeColor="text1" w:themeTint="F2"/>
          <w:sz w:val="24"/>
          <w:szCs w:val="24"/>
        </w:rPr>
        <w:t>programs should continue while these protocols for novel ways to enhance services were developed by the pharmacy sector.</w:t>
      </w:r>
      <w:r w:rsidR="00FA1E8F" w:rsidRPr="00C20287">
        <w:rPr>
          <w:rStyle w:val="FootnoteReference"/>
          <w:rFonts w:eastAsiaTheme="majorEastAsia" w:cs="Arial"/>
          <w:bCs/>
          <w:color w:val="0D0D0D" w:themeColor="text1" w:themeTint="F2"/>
          <w:sz w:val="24"/>
          <w:szCs w:val="24"/>
        </w:rPr>
        <w:footnoteReference w:id="54"/>
      </w:r>
    </w:p>
    <w:p w14:paraId="651A6A5B" w14:textId="2DB575C1" w:rsidR="00EE0A74" w:rsidRDefault="00595C64" w:rsidP="00595C64">
      <w:pPr>
        <w:rPr>
          <w:color w:val="auto"/>
          <w:sz w:val="24"/>
        </w:rPr>
      </w:pPr>
      <w:r w:rsidRPr="00C20287">
        <w:rPr>
          <w:color w:val="auto"/>
          <w:sz w:val="24"/>
        </w:rPr>
        <w:t>The 7CPA indicate</w:t>
      </w:r>
      <w:r w:rsidR="00CF40B4" w:rsidRPr="00C20287">
        <w:rPr>
          <w:color w:val="auto"/>
          <w:sz w:val="24"/>
        </w:rPr>
        <w:t>d</w:t>
      </w:r>
      <w:r w:rsidRPr="00C20287">
        <w:rPr>
          <w:color w:val="auto"/>
          <w:sz w:val="24"/>
        </w:rPr>
        <w:t xml:space="preserve"> that the Commonwealth </w:t>
      </w:r>
      <w:r w:rsidR="00CF40B4" w:rsidRPr="00C20287">
        <w:rPr>
          <w:color w:val="auto"/>
          <w:sz w:val="24"/>
        </w:rPr>
        <w:t>would</w:t>
      </w:r>
      <w:r w:rsidRPr="00C20287">
        <w:rPr>
          <w:color w:val="auto"/>
          <w:sz w:val="24"/>
        </w:rPr>
        <w:t xml:space="preserve"> undertake or commission an assessment of Commonwealth funded services under the CPPs during the</w:t>
      </w:r>
      <w:r w:rsidR="00CF40B4" w:rsidRPr="00C20287">
        <w:rPr>
          <w:color w:val="auto"/>
          <w:sz w:val="24"/>
        </w:rPr>
        <w:t xml:space="preserve"> life of the</w:t>
      </w:r>
      <w:r w:rsidRPr="00C20287">
        <w:rPr>
          <w:color w:val="auto"/>
          <w:sz w:val="24"/>
        </w:rPr>
        <w:t xml:space="preserve"> agreement to identify and assess the outcomes, efficiency and effectiveness of such programs. </w:t>
      </w:r>
      <w:r w:rsidR="00CF40B4" w:rsidRPr="00C20287">
        <w:rPr>
          <w:color w:val="auto"/>
          <w:sz w:val="24"/>
        </w:rPr>
        <w:t>In line with this intent</w:t>
      </w:r>
      <w:r w:rsidR="00215DD9">
        <w:rPr>
          <w:color w:val="auto"/>
          <w:sz w:val="24"/>
        </w:rPr>
        <w:t>,</w:t>
      </w:r>
      <w:r w:rsidR="00CF40B4" w:rsidRPr="00C20287">
        <w:rPr>
          <w:color w:val="auto"/>
          <w:sz w:val="24"/>
        </w:rPr>
        <w:t xml:space="preserve"> t</w:t>
      </w:r>
      <w:r w:rsidRPr="00C20287">
        <w:rPr>
          <w:color w:val="auto"/>
          <w:sz w:val="24"/>
        </w:rPr>
        <w:t xml:space="preserve">he Department has commissioned the University of Sydney to undertake an assessment of the largest program under the CPP, the DAA program, which accounts for annual expenditure of approximately $100 </w:t>
      </w:r>
      <w:r w:rsidR="00D96135" w:rsidRPr="00C20287">
        <w:rPr>
          <w:color w:val="auto"/>
          <w:sz w:val="24"/>
        </w:rPr>
        <w:t>m</w:t>
      </w:r>
      <w:r w:rsidRPr="00C20287">
        <w:rPr>
          <w:color w:val="auto"/>
          <w:sz w:val="24"/>
        </w:rPr>
        <w:t>illion. The assessment will collect input from pharmacists delivering the program and consumers and/or their carers. One of the key aspects to be investigated is which patient population</w:t>
      </w:r>
      <w:r w:rsidR="00F93076">
        <w:rPr>
          <w:color w:val="auto"/>
          <w:sz w:val="24"/>
        </w:rPr>
        <w:t>s</w:t>
      </w:r>
      <w:r w:rsidRPr="00C20287">
        <w:rPr>
          <w:color w:val="auto"/>
          <w:sz w:val="24"/>
        </w:rPr>
        <w:t xml:space="preserve"> receive the most benefit from this program and if necessary how the program could be better adjusted and or targeted to deliver the most effective outcome</w:t>
      </w:r>
      <w:r w:rsidR="00D96135" w:rsidRPr="00C20287">
        <w:rPr>
          <w:color w:val="auto"/>
          <w:sz w:val="24"/>
        </w:rPr>
        <w:t>s</w:t>
      </w:r>
      <w:r w:rsidRPr="00C20287">
        <w:rPr>
          <w:color w:val="auto"/>
          <w:sz w:val="24"/>
        </w:rPr>
        <w:t xml:space="preserve">. </w:t>
      </w:r>
    </w:p>
    <w:p w14:paraId="6C06E869" w14:textId="7CE25B33" w:rsidR="00193C79" w:rsidRDefault="00EE0A74" w:rsidP="00595C64">
      <w:pPr>
        <w:rPr>
          <w:color w:val="auto"/>
          <w:sz w:val="24"/>
        </w:rPr>
      </w:pPr>
      <w:r>
        <w:rPr>
          <w:color w:val="auto"/>
          <w:sz w:val="24"/>
        </w:rPr>
        <w:t xml:space="preserve">Initial </w:t>
      </w:r>
      <w:r w:rsidR="00F41408">
        <w:rPr>
          <w:color w:val="auto"/>
          <w:sz w:val="24"/>
        </w:rPr>
        <w:t xml:space="preserve">suggestions </w:t>
      </w:r>
      <w:r>
        <w:rPr>
          <w:color w:val="auto"/>
          <w:sz w:val="24"/>
        </w:rPr>
        <w:t>from this</w:t>
      </w:r>
      <w:r w:rsidR="00193C79">
        <w:rPr>
          <w:color w:val="auto"/>
          <w:sz w:val="24"/>
        </w:rPr>
        <w:t xml:space="preserve"> work include:</w:t>
      </w:r>
    </w:p>
    <w:p w14:paraId="28E93465" w14:textId="25733AD1" w:rsidR="00193C79" w:rsidRPr="00EE1495" w:rsidRDefault="00193C79" w:rsidP="0095671A">
      <w:pPr>
        <w:pStyle w:val="Default"/>
        <w:numPr>
          <w:ilvl w:val="0"/>
          <w:numId w:val="35"/>
        </w:numPr>
        <w:spacing w:before="120" w:after="120"/>
        <w:ind w:left="714" w:hanging="357"/>
        <w:rPr>
          <w:b/>
          <w:bCs/>
          <w:i/>
          <w:iCs/>
        </w:rPr>
      </w:pPr>
      <w:r w:rsidRPr="00EE1495">
        <w:rPr>
          <w:bCs/>
          <w:i/>
          <w:iCs/>
        </w:rPr>
        <w:lastRenderedPageBreak/>
        <w:t>Ensuring that there are up-to-date national guidelines available and implemented for the packaging and delivery of DAAs</w:t>
      </w:r>
    </w:p>
    <w:p w14:paraId="158BDCB6" w14:textId="50A42543" w:rsidR="00193C79" w:rsidRPr="00EE1495" w:rsidRDefault="00193C79" w:rsidP="0095671A">
      <w:pPr>
        <w:pStyle w:val="Default"/>
        <w:numPr>
          <w:ilvl w:val="0"/>
          <w:numId w:val="35"/>
        </w:numPr>
        <w:spacing w:before="120" w:after="120"/>
        <w:ind w:left="714" w:hanging="357"/>
        <w:rPr>
          <w:bCs/>
          <w:i/>
          <w:iCs/>
        </w:rPr>
      </w:pPr>
      <w:r w:rsidRPr="00EE1495">
        <w:rPr>
          <w:bCs/>
          <w:i/>
          <w:iCs/>
        </w:rPr>
        <w:t>Using standardised, valid and reliable measures of adherence to allow for comparison between studies</w:t>
      </w:r>
    </w:p>
    <w:p w14:paraId="41D26DE9" w14:textId="4436642A" w:rsidR="00193C79" w:rsidRPr="00EE1495" w:rsidRDefault="00193C79" w:rsidP="0095671A">
      <w:pPr>
        <w:pStyle w:val="Default"/>
        <w:numPr>
          <w:ilvl w:val="0"/>
          <w:numId w:val="35"/>
        </w:numPr>
        <w:spacing w:before="120" w:after="120"/>
        <w:ind w:left="714" w:hanging="357"/>
        <w:rPr>
          <w:bCs/>
          <w:i/>
          <w:iCs/>
        </w:rPr>
      </w:pPr>
      <w:r w:rsidRPr="00EE1495">
        <w:rPr>
          <w:bCs/>
          <w:i/>
          <w:iCs/>
        </w:rPr>
        <w:t>Ensuring that in commencement of DAAs the pharmacist reviews the potential barriers to DAA use by the patient/carer; and conducts a medication reconciliation or review of the patient’s medications</w:t>
      </w:r>
      <w:r w:rsidR="00F93076">
        <w:rPr>
          <w:bCs/>
          <w:i/>
          <w:iCs/>
        </w:rPr>
        <w:t>, and</w:t>
      </w:r>
      <w:r w:rsidRPr="00EE1495">
        <w:rPr>
          <w:bCs/>
          <w:i/>
          <w:iCs/>
        </w:rPr>
        <w:t xml:space="preserve"> </w:t>
      </w:r>
    </w:p>
    <w:p w14:paraId="20EF2933" w14:textId="2BAF701B" w:rsidR="00193C79" w:rsidRPr="00EE1495" w:rsidRDefault="00193C79" w:rsidP="0095671A">
      <w:pPr>
        <w:pStyle w:val="Default"/>
        <w:numPr>
          <w:ilvl w:val="0"/>
          <w:numId w:val="35"/>
        </w:numPr>
        <w:spacing w:before="120" w:after="120"/>
        <w:ind w:left="714" w:hanging="357"/>
        <w:rPr>
          <w:bCs/>
          <w:i/>
          <w:iCs/>
        </w:rPr>
      </w:pPr>
      <w:r w:rsidRPr="00EE1495">
        <w:rPr>
          <w:bCs/>
          <w:i/>
          <w:iCs/>
        </w:rPr>
        <w:t xml:space="preserve">Promoting research into the economic aspects of DAA implementation to better understand the economic impact of DAAs and their cost-effectiveness within a wider demographic population and geographic area. </w:t>
      </w:r>
    </w:p>
    <w:p w14:paraId="67FB350C" w14:textId="11DA7F68" w:rsidR="00595C64" w:rsidRPr="00C20287" w:rsidRDefault="00193C79" w:rsidP="00595C64">
      <w:pPr>
        <w:rPr>
          <w:color w:val="auto"/>
          <w:sz w:val="24"/>
        </w:rPr>
      </w:pPr>
      <w:r>
        <w:rPr>
          <w:color w:val="auto"/>
          <w:sz w:val="24"/>
        </w:rPr>
        <w:t xml:space="preserve">The initial </w:t>
      </w:r>
      <w:r w:rsidR="00F41408">
        <w:rPr>
          <w:color w:val="auto"/>
          <w:sz w:val="24"/>
        </w:rPr>
        <w:t>suggestions</w:t>
      </w:r>
      <w:r>
        <w:rPr>
          <w:color w:val="auto"/>
          <w:sz w:val="24"/>
        </w:rPr>
        <w:t xml:space="preserve"> will be further refined throughout the remaining phases of the </w:t>
      </w:r>
      <w:r w:rsidR="00595C64" w:rsidRPr="00C20287">
        <w:rPr>
          <w:color w:val="auto"/>
          <w:sz w:val="24"/>
        </w:rPr>
        <w:t xml:space="preserve">assessment </w:t>
      </w:r>
      <w:r>
        <w:rPr>
          <w:color w:val="auto"/>
          <w:sz w:val="24"/>
        </w:rPr>
        <w:t xml:space="preserve">which </w:t>
      </w:r>
      <w:r w:rsidR="00595C64" w:rsidRPr="00C20287">
        <w:rPr>
          <w:color w:val="auto"/>
          <w:sz w:val="24"/>
        </w:rPr>
        <w:t>is expected to be finalised in mid-2024</w:t>
      </w:r>
      <w:r>
        <w:rPr>
          <w:color w:val="auto"/>
          <w:sz w:val="24"/>
        </w:rPr>
        <w:t>.</w:t>
      </w:r>
      <w:r w:rsidR="00BA17C1" w:rsidRPr="00C20287">
        <w:rPr>
          <w:color w:val="auto"/>
          <w:sz w:val="24"/>
        </w:rPr>
        <w:t xml:space="preserve"> </w:t>
      </w:r>
      <w:r>
        <w:rPr>
          <w:color w:val="auto"/>
          <w:sz w:val="24"/>
        </w:rPr>
        <w:t>T</w:t>
      </w:r>
      <w:r w:rsidR="00BA17C1" w:rsidRPr="00C20287">
        <w:rPr>
          <w:color w:val="auto"/>
          <w:sz w:val="24"/>
        </w:rPr>
        <w:t xml:space="preserve">he outcomes </w:t>
      </w:r>
      <w:r>
        <w:rPr>
          <w:color w:val="auto"/>
          <w:sz w:val="24"/>
        </w:rPr>
        <w:t>will</w:t>
      </w:r>
      <w:r w:rsidR="00BA17C1" w:rsidRPr="00C20287">
        <w:rPr>
          <w:color w:val="auto"/>
          <w:sz w:val="24"/>
        </w:rPr>
        <w:t xml:space="preserve"> in</w:t>
      </w:r>
      <w:r w:rsidR="00CF40B4" w:rsidRPr="00C20287">
        <w:rPr>
          <w:color w:val="auto"/>
          <w:sz w:val="24"/>
        </w:rPr>
        <w:t>form</w:t>
      </w:r>
      <w:r w:rsidR="00BA17C1" w:rsidRPr="00C20287">
        <w:rPr>
          <w:color w:val="auto"/>
          <w:sz w:val="24"/>
        </w:rPr>
        <w:t xml:space="preserve"> any future </w:t>
      </w:r>
      <w:r w:rsidR="00CF40B4" w:rsidRPr="00C20287">
        <w:rPr>
          <w:color w:val="auto"/>
          <w:sz w:val="24"/>
        </w:rPr>
        <w:t>consideration</w:t>
      </w:r>
      <w:r w:rsidR="00D96135" w:rsidRPr="00C20287">
        <w:rPr>
          <w:color w:val="auto"/>
          <w:sz w:val="24"/>
        </w:rPr>
        <w:t xml:space="preserve"> of reform</w:t>
      </w:r>
      <w:r w:rsidR="00CF40B4" w:rsidRPr="00C20287">
        <w:rPr>
          <w:color w:val="auto"/>
          <w:sz w:val="24"/>
        </w:rPr>
        <w:t xml:space="preserve"> of </w:t>
      </w:r>
      <w:r w:rsidR="00BA17C1" w:rsidRPr="00C20287">
        <w:rPr>
          <w:color w:val="auto"/>
          <w:sz w:val="24"/>
        </w:rPr>
        <w:t>the</w:t>
      </w:r>
      <w:r>
        <w:rPr>
          <w:color w:val="auto"/>
          <w:sz w:val="24"/>
        </w:rPr>
        <w:t xml:space="preserve"> DAA</w:t>
      </w:r>
      <w:r w:rsidR="00BA17C1" w:rsidRPr="00C20287">
        <w:rPr>
          <w:color w:val="auto"/>
          <w:sz w:val="24"/>
        </w:rPr>
        <w:t xml:space="preserve"> program</w:t>
      </w:r>
      <w:r w:rsidR="00595C64" w:rsidRPr="00C20287">
        <w:rPr>
          <w:color w:val="auto"/>
          <w:sz w:val="24"/>
        </w:rPr>
        <w:t>.</w:t>
      </w:r>
    </w:p>
    <w:p w14:paraId="2ED5BEEE" w14:textId="63A85293" w:rsidR="00B459E7" w:rsidRDefault="002B5E2C" w:rsidP="00267FD9">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 xml:space="preserve">While successive CPAs have increased access to CPPs, a number of consulted stakeholders have indicated that agreement to pharmacy remuneration for the dispensing of PBS medicines should be separated from the funding agreements for the delivery of CPPs. This would allow CPPs to be developed </w:t>
      </w:r>
      <w:r w:rsidR="00801089" w:rsidRPr="00C20287">
        <w:rPr>
          <w:rFonts w:eastAsiaTheme="majorEastAsia" w:cs="Arial"/>
          <w:bCs/>
          <w:color w:val="0D0D0D" w:themeColor="text1" w:themeTint="F2"/>
          <w:sz w:val="24"/>
          <w:szCs w:val="24"/>
        </w:rPr>
        <w:t>with a</w:t>
      </w:r>
      <w:r>
        <w:rPr>
          <w:rFonts w:eastAsiaTheme="majorEastAsia" w:cs="Arial"/>
          <w:bCs/>
          <w:color w:val="0D0D0D" w:themeColor="text1" w:themeTint="F2"/>
          <w:sz w:val="24"/>
          <w:szCs w:val="24"/>
        </w:rPr>
        <w:t xml:space="preserve"> broader</w:t>
      </w:r>
      <w:r w:rsidR="00801089" w:rsidRPr="00C20287">
        <w:rPr>
          <w:rFonts w:eastAsiaTheme="majorEastAsia" w:cs="Arial"/>
          <w:bCs/>
          <w:color w:val="0D0D0D" w:themeColor="text1" w:themeTint="F2"/>
          <w:sz w:val="24"/>
          <w:szCs w:val="24"/>
        </w:rPr>
        <w:t xml:space="preserve"> range of relevant stakeholders</w:t>
      </w:r>
      <w:r w:rsidR="00A42745">
        <w:rPr>
          <w:rFonts w:eastAsiaTheme="majorEastAsia" w:cs="Arial"/>
          <w:bCs/>
          <w:color w:val="0D0D0D" w:themeColor="text1" w:themeTint="F2"/>
          <w:sz w:val="24"/>
          <w:szCs w:val="24"/>
        </w:rPr>
        <w:t xml:space="preserve"> over more flexible timeframes</w:t>
      </w:r>
      <w:r w:rsidR="00801089" w:rsidRPr="00C20287">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 xml:space="preserve">and </w:t>
      </w:r>
      <w:r w:rsidR="00801089" w:rsidRPr="00C20287">
        <w:rPr>
          <w:rFonts w:eastAsiaTheme="majorEastAsia" w:cs="Arial"/>
          <w:bCs/>
          <w:color w:val="0D0D0D" w:themeColor="text1" w:themeTint="F2"/>
          <w:sz w:val="24"/>
          <w:szCs w:val="24"/>
        </w:rPr>
        <w:t xml:space="preserve">enhance the </w:t>
      </w:r>
      <w:r w:rsidR="00B459E7" w:rsidRPr="00C20287">
        <w:rPr>
          <w:rFonts w:eastAsiaTheme="majorEastAsia" w:cs="Arial"/>
          <w:bCs/>
          <w:color w:val="0D0D0D" w:themeColor="text1" w:themeTint="F2"/>
          <w:sz w:val="24"/>
          <w:szCs w:val="24"/>
        </w:rPr>
        <w:t>potential</w:t>
      </w:r>
      <w:r w:rsidR="00CF40B4" w:rsidRPr="00C20287">
        <w:rPr>
          <w:rFonts w:eastAsiaTheme="majorEastAsia" w:cs="Arial"/>
          <w:bCs/>
          <w:color w:val="0D0D0D" w:themeColor="text1" w:themeTint="F2"/>
          <w:sz w:val="24"/>
          <w:szCs w:val="24"/>
        </w:rPr>
        <w:t xml:space="preserve"> for innovation</w:t>
      </w:r>
      <w:r w:rsidR="00B459E7" w:rsidRPr="00C20287">
        <w:rPr>
          <w:rFonts w:eastAsiaTheme="majorEastAsia" w:cs="Arial"/>
          <w:bCs/>
          <w:color w:val="0D0D0D" w:themeColor="text1" w:themeTint="F2"/>
          <w:sz w:val="24"/>
          <w:szCs w:val="24"/>
        </w:rPr>
        <w:t>, including through take-up and evaluation of outcomes</w:t>
      </w:r>
      <w:r w:rsidR="00801089" w:rsidRPr="00C20287">
        <w:rPr>
          <w:rFonts w:eastAsiaTheme="majorEastAsia" w:cs="Arial"/>
          <w:bCs/>
          <w:color w:val="0D0D0D" w:themeColor="text1" w:themeTint="F2"/>
          <w:sz w:val="24"/>
          <w:szCs w:val="24"/>
        </w:rPr>
        <w:t>.</w:t>
      </w:r>
    </w:p>
    <w:p w14:paraId="1C640CD0" w14:textId="568E4C51" w:rsidR="00B459E7" w:rsidRPr="00C20287" w:rsidRDefault="0026726D" w:rsidP="00267FD9">
      <w:pPr>
        <w:rPr>
          <w:rFonts w:ascii="Calibri" w:hAnsi="Calibri" w:cs="Calibri"/>
          <w:color w:val="auto"/>
          <w:sz w:val="24"/>
          <w:szCs w:val="24"/>
        </w:rPr>
      </w:pPr>
      <w:r>
        <w:rPr>
          <w:rFonts w:eastAsiaTheme="majorEastAsia" w:cs="Arial"/>
          <w:bCs/>
          <w:color w:val="0D0D0D" w:themeColor="text1" w:themeTint="F2"/>
          <w:sz w:val="24"/>
          <w:szCs w:val="24"/>
        </w:rPr>
        <w:t xml:space="preserve">Separation of CPPs from the CPA </w:t>
      </w:r>
      <w:r w:rsidR="002B5E2C">
        <w:rPr>
          <w:rFonts w:eastAsiaTheme="majorEastAsia" w:cs="Arial"/>
          <w:bCs/>
          <w:color w:val="0D0D0D" w:themeColor="text1" w:themeTint="F2"/>
          <w:sz w:val="24"/>
          <w:szCs w:val="24"/>
        </w:rPr>
        <w:t>is also consistent with th</w:t>
      </w:r>
      <w:r w:rsidR="00B459E7" w:rsidRPr="00C20287">
        <w:rPr>
          <w:rFonts w:eastAsiaTheme="majorEastAsia" w:cs="Arial"/>
          <w:bCs/>
          <w:color w:val="0D0D0D" w:themeColor="text1" w:themeTint="F2"/>
          <w:sz w:val="24"/>
          <w:szCs w:val="24"/>
        </w:rPr>
        <w:t>e most recent review of community pharmacy remuneration as outlined in section 1.</w:t>
      </w:r>
      <w:r w:rsidR="00215DD9">
        <w:rPr>
          <w:rFonts w:eastAsiaTheme="majorEastAsia" w:cs="Arial"/>
          <w:bCs/>
          <w:color w:val="0D0D0D" w:themeColor="text1" w:themeTint="F2"/>
          <w:sz w:val="24"/>
          <w:szCs w:val="24"/>
        </w:rPr>
        <w:t>7</w:t>
      </w:r>
      <w:r w:rsidR="00215DD9" w:rsidRPr="00C20287">
        <w:rPr>
          <w:rFonts w:eastAsiaTheme="majorEastAsia" w:cs="Arial"/>
          <w:bCs/>
          <w:color w:val="0D0D0D" w:themeColor="text1" w:themeTint="F2"/>
          <w:sz w:val="24"/>
          <w:szCs w:val="24"/>
        </w:rPr>
        <w:t xml:space="preserve"> </w:t>
      </w:r>
      <w:r w:rsidR="00B459E7" w:rsidRPr="00C20287">
        <w:rPr>
          <w:rFonts w:eastAsiaTheme="majorEastAsia" w:cs="Arial"/>
          <w:bCs/>
          <w:color w:val="0D0D0D" w:themeColor="text1" w:themeTint="F2"/>
          <w:sz w:val="24"/>
          <w:szCs w:val="24"/>
        </w:rPr>
        <w:t xml:space="preserve">above </w:t>
      </w:r>
      <w:r w:rsidR="00F67CEB">
        <w:rPr>
          <w:rFonts w:eastAsiaTheme="majorEastAsia" w:cs="Arial"/>
          <w:bCs/>
          <w:color w:val="0D0D0D" w:themeColor="text1" w:themeTint="F2"/>
          <w:sz w:val="24"/>
          <w:szCs w:val="24"/>
        </w:rPr>
        <w:t xml:space="preserve">which </w:t>
      </w:r>
      <w:r w:rsidR="00B459E7" w:rsidRPr="00C20287">
        <w:rPr>
          <w:rFonts w:eastAsiaTheme="majorEastAsia" w:cs="Arial"/>
          <w:bCs/>
          <w:color w:val="0D0D0D" w:themeColor="text1" w:themeTint="F2"/>
          <w:sz w:val="24"/>
          <w:szCs w:val="24"/>
        </w:rPr>
        <w:t xml:space="preserve">suggested that </w:t>
      </w:r>
      <w:r w:rsidR="00B459E7" w:rsidRPr="00C20287">
        <w:rPr>
          <w:rFonts w:ascii="Calibri" w:hAnsi="Calibri" w:cs="Calibri"/>
          <w:color w:val="auto"/>
          <w:sz w:val="24"/>
          <w:szCs w:val="24"/>
        </w:rPr>
        <w:t>“…the value of the CPA process would be maximised if CPAs were more closely focused on the dispensing of PBS medicines, those services directly related to the dispensing function and responsibilities, and the pricing to consumers for such dispensing.” It further states that “the CPA is not the right mechanism to attempt to capture broader health programs and services or supply chain activities. These involve multiple key stakeholder groups and extend beyond the funding of PBS-related services.”</w:t>
      </w:r>
    </w:p>
    <w:p w14:paraId="5A5A893E" w14:textId="77777777" w:rsidR="00C90277" w:rsidRPr="00C20287" w:rsidRDefault="00C90277">
      <w:pPr>
        <w:rPr>
          <w:rFonts w:asciiTheme="majorHAnsi" w:eastAsiaTheme="majorEastAsia" w:hAnsiTheme="majorHAnsi" w:cstheme="majorBidi"/>
          <w:color w:val="014463" w:themeColor="text2"/>
          <w:sz w:val="30"/>
          <w:szCs w:val="30"/>
        </w:rPr>
      </w:pPr>
      <w:r w:rsidRPr="00C20287">
        <w:br w:type="page"/>
      </w:r>
    </w:p>
    <w:p w14:paraId="2980A5A9" w14:textId="4FF3E30F" w:rsidR="00D42709" w:rsidRPr="00C20287" w:rsidRDefault="00177BE9" w:rsidP="008507CB">
      <w:pPr>
        <w:pStyle w:val="Heading3"/>
      </w:pPr>
      <w:bookmarkStart w:id="53" w:name="_Toc168652737"/>
      <w:r w:rsidRPr="00C20287">
        <w:lastRenderedPageBreak/>
        <w:t>C</w:t>
      </w:r>
      <w:r w:rsidR="00D42709" w:rsidRPr="00C20287">
        <w:t>ollaborative, innovative and sustainable pharmacy industry</w:t>
      </w:r>
      <w:bookmarkEnd w:id="53"/>
      <w:r w:rsidR="00D42709" w:rsidRPr="00C20287">
        <w:t xml:space="preserve"> </w:t>
      </w:r>
    </w:p>
    <w:p w14:paraId="6E527A41" w14:textId="4A085B73" w:rsidR="00F00A71" w:rsidRPr="00C20287" w:rsidRDefault="000F7CD3" w:rsidP="00BD2E73">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CPAs have supported</w:t>
      </w:r>
      <w:r w:rsidR="007F5836">
        <w:rPr>
          <w:rFonts w:eastAsiaTheme="majorEastAsia" w:cs="Arial"/>
          <w:bCs/>
          <w:color w:val="0D0D0D" w:themeColor="text1" w:themeTint="F2"/>
          <w:sz w:val="24"/>
          <w:szCs w:val="24"/>
        </w:rPr>
        <w:t xml:space="preserve"> collaboration and</w:t>
      </w:r>
      <w:r>
        <w:rPr>
          <w:rFonts w:eastAsiaTheme="majorEastAsia" w:cs="Arial"/>
          <w:bCs/>
          <w:color w:val="0D0D0D" w:themeColor="text1" w:themeTint="F2"/>
          <w:sz w:val="24"/>
          <w:szCs w:val="24"/>
        </w:rPr>
        <w:t xml:space="preserve"> innovation</w:t>
      </w:r>
      <w:r w:rsidR="00A42745">
        <w:rPr>
          <w:rFonts w:eastAsiaTheme="majorEastAsia" w:cs="Arial"/>
          <w:bCs/>
          <w:color w:val="0D0D0D" w:themeColor="text1" w:themeTint="F2"/>
          <w:sz w:val="24"/>
          <w:szCs w:val="24"/>
        </w:rPr>
        <w:t xml:space="preserve"> in the pharmacy sector</w:t>
      </w:r>
      <w:r>
        <w:rPr>
          <w:rFonts w:eastAsiaTheme="majorEastAsia" w:cs="Arial"/>
          <w:bCs/>
          <w:color w:val="0D0D0D" w:themeColor="text1" w:themeTint="F2"/>
          <w:sz w:val="24"/>
          <w:szCs w:val="24"/>
        </w:rPr>
        <w:t xml:space="preserve">, particularly through CPPs. </w:t>
      </w:r>
      <w:r w:rsidR="00AD67B9" w:rsidRPr="00C20287">
        <w:rPr>
          <w:rFonts w:eastAsiaTheme="majorEastAsia" w:cs="Arial"/>
          <w:bCs/>
          <w:color w:val="0D0D0D" w:themeColor="text1" w:themeTint="F2"/>
          <w:sz w:val="24"/>
          <w:szCs w:val="24"/>
        </w:rPr>
        <w:t>Current funding for</w:t>
      </w:r>
      <w:r>
        <w:rPr>
          <w:rFonts w:eastAsiaTheme="majorEastAsia" w:cs="Arial"/>
          <w:bCs/>
          <w:color w:val="0D0D0D" w:themeColor="text1" w:themeTint="F2"/>
          <w:sz w:val="24"/>
          <w:szCs w:val="24"/>
        </w:rPr>
        <w:t xml:space="preserve"> CPPs </w:t>
      </w:r>
      <w:r w:rsidR="00A42745">
        <w:rPr>
          <w:rFonts w:eastAsiaTheme="majorEastAsia" w:cs="Arial"/>
          <w:bCs/>
          <w:color w:val="0D0D0D" w:themeColor="text1" w:themeTint="F2"/>
          <w:sz w:val="24"/>
          <w:szCs w:val="24"/>
        </w:rPr>
        <w:t>a</w:t>
      </w:r>
      <w:r>
        <w:rPr>
          <w:rFonts w:eastAsiaTheme="majorEastAsia" w:cs="Arial"/>
          <w:bCs/>
          <w:color w:val="0D0D0D" w:themeColor="text1" w:themeTint="F2"/>
          <w:sz w:val="24"/>
          <w:szCs w:val="24"/>
        </w:rPr>
        <w:t xml:space="preserve">s outlined in the 7CPA </w:t>
      </w:r>
      <w:r w:rsidR="00A42745">
        <w:rPr>
          <w:rFonts w:eastAsiaTheme="majorEastAsia" w:cs="Arial"/>
          <w:bCs/>
          <w:color w:val="0D0D0D" w:themeColor="text1" w:themeTint="F2"/>
          <w:sz w:val="24"/>
          <w:szCs w:val="24"/>
        </w:rPr>
        <w:t xml:space="preserve">is focussed on 4 key areas </w:t>
      </w:r>
      <w:r>
        <w:rPr>
          <w:rFonts w:eastAsiaTheme="majorEastAsia" w:cs="Arial"/>
          <w:bCs/>
          <w:color w:val="0D0D0D" w:themeColor="text1" w:themeTint="F2"/>
          <w:sz w:val="24"/>
          <w:szCs w:val="24"/>
        </w:rPr>
        <w:t>with f</w:t>
      </w:r>
      <w:r w:rsidR="00506AC1" w:rsidRPr="00C20287">
        <w:rPr>
          <w:rFonts w:eastAsiaTheme="majorEastAsia" w:cs="Arial"/>
          <w:bCs/>
          <w:color w:val="0D0D0D" w:themeColor="text1" w:themeTint="F2"/>
          <w:sz w:val="24"/>
          <w:szCs w:val="24"/>
        </w:rPr>
        <w:t>unding for each program area increas</w:t>
      </w:r>
      <w:r>
        <w:rPr>
          <w:rFonts w:eastAsiaTheme="majorEastAsia" w:cs="Arial"/>
          <w:bCs/>
          <w:color w:val="0D0D0D" w:themeColor="text1" w:themeTint="F2"/>
          <w:sz w:val="24"/>
          <w:szCs w:val="24"/>
        </w:rPr>
        <w:t>ing</w:t>
      </w:r>
      <w:r w:rsidR="00506AC1" w:rsidRPr="00C20287">
        <w:rPr>
          <w:rFonts w:eastAsiaTheme="majorEastAsia" w:cs="Arial"/>
          <w:bCs/>
          <w:color w:val="0D0D0D" w:themeColor="text1" w:themeTint="F2"/>
          <w:sz w:val="24"/>
          <w:szCs w:val="24"/>
        </w:rPr>
        <w:t xml:space="preserve"> year on year for the life o</w:t>
      </w:r>
      <w:r w:rsidR="00F67CEB">
        <w:rPr>
          <w:rFonts w:eastAsiaTheme="majorEastAsia" w:cs="Arial"/>
          <w:bCs/>
          <w:color w:val="0D0D0D" w:themeColor="text1" w:themeTint="F2"/>
          <w:sz w:val="24"/>
          <w:szCs w:val="24"/>
        </w:rPr>
        <w:t>f</w:t>
      </w:r>
      <w:r w:rsidR="00506AC1" w:rsidRPr="00C20287">
        <w:rPr>
          <w:rFonts w:eastAsiaTheme="majorEastAsia" w:cs="Arial"/>
          <w:bCs/>
          <w:color w:val="0D0D0D" w:themeColor="text1" w:themeTint="F2"/>
          <w:sz w:val="24"/>
          <w:szCs w:val="24"/>
        </w:rPr>
        <w:t xml:space="preserve"> the 7CPA</w:t>
      </w:r>
      <w:r>
        <w:rPr>
          <w:rFonts w:eastAsiaTheme="majorEastAsia" w:cs="Arial"/>
          <w:bCs/>
          <w:color w:val="0D0D0D" w:themeColor="text1" w:themeTint="F2"/>
          <w:sz w:val="24"/>
          <w:szCs w:val="24"/>
        </w:rPr>
        <w:t xml:space="preserve"> as outlined </w:t>
      </w:r>
      <w:r w:rsidRPr="00650529">
        <w:rPr>
          <w:rFonts w:eastAsiaTheme="majorEastAsia" w:cs="Arial"/>
          <w:bCs/>
          <w:color w:val="0D0D0D" w:themeColor="text1" w:themeTint="F2"/>
          <w:sz w:val="24"/>
          <w:szCs w:val="24"/>
        </w:rPr>
        <w:t xml:space="preserve">below </w:t>
      </w:r>
      <w:r w:rsidRPr="005B7A17">
        <w:rPr>
          <w:rFonts w:eastAsiaTheme="majorEastAsia" w:cs="Arial"/>
          <w:bCs/>
          <w:color w:val="0D0D0D" w:themeColor="text1" w:themeTint="F2"/>
          <w:sz w:val="24"/>
          <w:szCs w:val="24"/>
        </w:rPr>
        <w:t xml:space="preserve">in </w:t>
      </w:r>
      <w:r w:rsidR="005B7A17" w:rsidRPr="005B7A17">
        <w:rPr>
          <w:rFonts w:eastAsiaTheme="majorEastAsia" w:cs="Arial"/>
          <w:bCs/>
          <w:color w:val="0D0D0D" w:themeColor="text1" w:themeTint="F2"/>
          <w:sz w:val="24"/>
          <w:szCs w:val="24"/>
        </w:rPr>
        <w:fldChar w:fldCharType="begin"/>
      </w:r>
      <w:r w:rsidR="005B7A17" w:rsidRPr="005B7A17">
        <w:rPr>
          <w:rFonts w:eastAsiaTheme="majorEastAsia" w:cs="Arial"/>
          <w:bCs/>
          <w:color w:val="0D0D0D" w:themeColor="text1" w:themeTint="F2"/>
          <w:sz w:val="24"/>
          <w:szCs w:val="24"/>
        </w:rPr>
        <w:instrText xml:space="preserve"> REF _Ref159409213 \h </w:instrText>
      </w:r>
      <w:r w:rsidR="005B7A17">
        <w:rPr>
          <w:rFonts w:eastAsiaTheme="majorEastAsia" w:cs="Arial"/>
          <w:bCs/>
          <w:color w:val="0D0D0D" w:themeColor="text1" w:themeTint="F2"/>
          <w:sz w:val="24"/>
          <w:szCs w:val="24"/>
        </w:rPr>
        <w:instrText xml:space="preserve"> \* MERGEFORMAT </w:instrText>
      </w:r>
      <w:r w:rsidR="005B7A17" w:rsidRPr="005B7A17">
        <w:rPr>
          <w:rFonts w:eastAsiaTheme="majorEastAsia" w:cs="Arial"/>
          <w:bCs/>
          <w:color w:val="0D0D0D" w:themeColor="text1" w:themeTint="F2"/>
          <w:sz w:val="24"/>
          <w:szCs w:val="24"/>
        </w:rPr>
      </w:r>
      <w:r w:rsidR="005B7A17" w:rsidRPr="005B7A17">
        <w:rPr>
          <w:rFonts w:eastAsiaTheme="majorEastAsia" w:cs="Arial"/>
          <w:bCs/>
          <w:color w:val="0D0D0D" w:themeColor="text1" w:themeTint="F2"/>
          <w:sz w:val="24"/>
          <w:szCs w:val="24"/>
        </w:rPr>
        <w:fldChar w:fldCharType="separate"/>
      </w:r>
      <w:r w:rsidR="005B7A17" w:rsidRPr="005B7A17">
        <w:rPr>
          <w:sz w:val="24"/>
          <w:szCs w:val="24"/>
        </w:rPr>
        <w:t xml:space="preserve">Table </w:t>
      </w:r>
      <w:r w:rsidR="005B7A17" w:rsidRPr="005B7A17">
        <w:rPr>
          <w:noProof/>
          <w:sz w:val="24"/>
          <w:szCs w:val="24"/>
        </w:rPr>
        <w:t>8</w:t>
      </w:r>
      <w:r w:rsidR="005B7A17" w:rsidRPr="005B7A17">
        <w:rPr>
          <w:rFonts w:eastAsiaTheme="majorEastAsia" w:cs="Arial"/>
          <w:bCs/>
          <w:color w:val="0D0D0D" w:themeColor="text1" w:themeTint="F2"/>
          <w:sz w:val="24"/>
          <w:szCs w:val="24"/>
        </w:rPr>
        <w:fldChar w:fldCharType="end"/>
      </w:r>
      <w:r w:rsidR="00431940">
        <w:rPr>
          <w:rFonts w:eastAsiaTheme="majorEastAsia" w:cs="Arial"/>
          <w:bCs/>
          <w:color w:val="0D0D0D" w:themeColor="text1" w:themeTint="F2"/>
          <w:sz w:val="24"/>
          <w:szCs w:val="24"/>
        </w:rPr>
        <w:t>.</w:t>
      </w:r>
      <w:r w:rsidRPr="00650529">
        <w:rPr>
          <w:rFonts w:eastAsiaTheme="majorEastAsia" w:cs="Arial"/>
          <w:bCs/>
          <w:color w:val="0D0D0D" w:themeColor="text1" w:themeTint="F2"/>
          <w:sz w:val="24"/>
          <w:szCs w:val="24"/>
        </w:rPr>
        <w:t xml:space="preserve"> </w:t>
      </w:r>
      <w:r w:rsidR="00350F5C" w:rsidRPr="00650529">
        <w:rPr>
          <w:rFonts w:eastAsiaTheme="majorEastAsia" w:cs="Arial"/>
          <w:bCs/>
          <w:color w:val="0D0D0D" w:themeColor="text1" w:themeTint="F2"/>
          <w:sz w:val="24"/>
          <w:szCs w:val="24"/>
        </w:rPr>
        <w:t>An overview</w:t>
      </w:r>
      <w:r w:rsidR="00350F5C">
        <w:rPr>
          <w:rFonts w:eastAsiaTheme="majorEastAsia" w:cs="Arial"/>
          <w:bCs/>
          <w:color w:val="0D0D0D" w:themeColor="text1" w:themeTint="F2"/>
          <w:sz w:val="24"/>
          <w:szCs w:val="24"/>
        </w:rPr>
        <w:t xml:space="preserve"> of the CPPSs included in th</w:t>
      </w:r>
      <w:r w:rsidR="00F90093">
        <w:rPr>
          <w:rFonts w:eastAsiaTheme="majorEastAsia" w:cs="Arial"/>
          <w:bCs/>
          <w:color w:val="0D0D0D" w:themeColor="text1" w:themeTint="F2"/>
          <w:sz w:val="24"/>
          <w:szCs w:val="24"/>
        </w:rPr>
        <w:t xml:space="preserve">e 7CPA is provided at Appendix </w:t>
      </w:r>
      <w:r w:rsidR="0057540F">
        <w:rPr>
          <w:rFonts w:eastAsiaTheme="majorEastAsia" w:cs="Arial"/>
          <w:bCs/>
          <w:color w:val="0D0D0D" w:themeColor="text1" w:themeTint="F2"/>
          <w:sz w:val="24"/>
          <w:szCs w:val="24"/>
        </w:rPr>
        <w:t>5</w:t>
      </w:r>
      <w:r w:rsidR="00350F5C">
        <w:rPr>
          <w:rFonts w:eastAsiaTheme="majorEastAsia" w:cs="Arial"/>
          <w:bCs/>
          <w:color w:val="0D0D0D" w:themeColor="text1" w:themeTint="F2"/>
          <w:sz w:val="24"/>
          <w:szCs w:val="24"/>
        </w:rPr>
        <w:t xml:space="preserve">. </w:t>
      </w:r>
      <w:r w:rsidR="00AE7BEE">
        <w:rPr>
          <w:rFonts w:eastAsiaTheme="majorEastAsia" w:cs="Arial"/>
          <w:bCs/>
          <w:color w:val="0D0D0D" w:themeColor="text1" w:themeTint="F2"/>
          <w:sz w:val="24"/>
          <w:szCs w:val="24"/>
        </w:rPr>
        <w:t>D</w:t>
      </w:r>
      <w:r w:rsidR="001E1D46" w:rsidRPr="00C20287">
        <w:rPr>
          <w:rFonts w:eastAsiaTheme="majorEastAsia" w:cs="Arial"/>
          <w:bCs/>
          <w:color w:val="0D0D0D" w:themeColor="text1" w:themeTint="F2"/>
          <w:sz w:val="24"/>
          <w:szCs w:val="24"/>
        </w:rPr>
        <w:t xml:space="preserve">emand for many programs </w:t>
      </w:r>
      <w:r w:rsidR="00A42745">
        <w:rPr>
          <w:rFonts w:eastAsiaTheme="majorEastAsia" w:cs="Arial"/>
          <w:bCs/>
          <w:color w:val="0D0D0D" w:themeColor="text1" w:themeTint="F2"/>
          <w:sz w:val="24"/>
          <w:szCs w:val="24"/>
        </w:rPr>
        <w:t>is</w:t>
      </w:r>
      <w:r w:rsidR="001E1D46" w:rsidRPr="00C20287">
        <w:rPr>
          <w:rFonts w:eastAsiaTheme="majorEastAsia" w:cs="Arial"/>
          <w:bCs/>
          <w:color w:val="0D0D0D" w:themeColor="text1" w:themeTint="F2"/>
          <w:sz w:val="24"/>
          <w:szCs w:val="24"/>
        </w:rPr>
        <w:t xml:space="preserve"> greater than anticipated at the beginning of the 7CPA</w:t>
      </w:r>
      <w:r w:rsidR="00506AC1" w:rsidRPr="00C20287">
        <w:rPr>
          <w:rFonts w:eastAsiaTheme="majorEastAsia" w:cs="Arial"/>
          <w:bCs/>
          <w:color w:val="0D0D0D" w:themeColor="text1" w:themeTint="F2"/>
          <w:sz w:val="24"/>
          <w:szCs w:val="24"/>
        </w:rPr>
        <w:t xml:space="preserve">. </w:t>
      </w:r>
    </w:p>
    <w:p w14:paraId="3F22B33A" w14:textId="5F1A8DF8" w:rsidR="005B7A17" w:rsidRDefault="005B7A17" w:rsidP="005B7A17">
      <w:pPr>
        <w:pStyle w:val="Caption"/>
      </w:pPr>
      <w:bookmarkStart w:id="54" w:name="_Ref159409213"/>
      <w:r>
        <w:t xml:space="preserve">Table </w:t>
      </w:r>
      <w:fldSimple w:instr=" SEQ Table \* ARABIC ">
        <w:r>
          <w:rPr>
            <w:noProof/>
          </w:rPr>
          <w:t>8</w:t>
        </w:r>
      </w:fldSimple>
      <w:bookmarkEnd w:id="54"/>
      <w:r>
        <w:t xml:space="preserve">. </w:t>
      </w:r>
      <w:r w:rsidRPr="006A6C00">
        <w:t>Community Pharmacy Program Expenditure</w:t>
      </w:r>
    </w:p>
    <w:tbl>
      <w:tblPr>
        <w:tblpPr w:leftFromText="180" w:rightFromText="180" w:vertAnchor="text"/>
        <w:tblW w:w="5000" w:type="pct"/>
        <w:tblCellMar>
          <w:left w:w="0" w:type="dxa"/>
          <w:right w:w="0" w:type="dxa"/>
        </w:tblCellMar>
        <w:tblLook w:val="04A0" w:firstRow="1" w:lastRow="0" w:firstColumn="1" w:lastColumn="0" w:noHBand="0" w:noVBand="1"/>
      </w:tblPr>
      <w:tblGrid>
        <w:gridCol w:w="5436"/>
        <w:gridCol w:w="1534"/>
        <w:gridCol w:w="1534"/>
        <w:gridCol w:w="1680"/>
      </w:tblGrid>
      <w:tr w:rsidR="000F7CD3" w:rsidRPr="00C20287" w14:paraId="5A51E855" w14:textId="77777777" w:rsidTr="00EE1495">
        <w:trPr>
          <w:tblHeader/>
        </w:trPr>
        <w:tc>
          <w:tcPr>
            <w:tcW w:w="2669" w:type="pct"/>
            <w:tcBorders>
              <w:top w:val="single" w:sz="8" w:space="0" w:color="auto"/>
              <w:left w:val="single" w:sz="8" w:space="0" w:color="auto"/>
              <w:bottom w:val="single" w:sz="8" w:space="0" w:color="auto"/>
              <w:right w:val="single" w:sz="8" w:space="0" w:color="auto"/>
            </w:tcBorders>
            <w:shd w:val="clear" w:color="auto" w:fill="0289C8" w:themeFill="text2" w:themeFillTint="BF"/>
            <w:tcMar>
              <w:top w:w="0" w:type="dxa"/>
              <w:left w:w="108" w:type="dxa"/>
              <w:bottom w:w="0" w:type="dxa"/>
              <w:right w:w="108" w:type="dxa"/>
            </w:tcMar>
          </w:tcPr>
          <w:p w14:paraId="70F0EA89" w14:textId="77777777" w:rsidR="000F7CD3" w:rsidRPr="00EE1495" w:rsidRDefault="000F7CD3">
            <w:pPr>
              <w:overflowPunct w:val="0"/>
              <w:autoSpaceDE w:val="0"/>
              <w:autoSpaceDN w:val="0"/>
              <w:ind w:left="176" w:right="-27"/>
              <w:jc w:val="center"/>
              <w:textAlignment w:val="baseline"/>
              <w:rPr>
                <w:b/>
                <w:bCs/>
                <w:color w:val="FFFFFF" w:themeColor="background1"/>
              </w:rPr>
            </w:pPr>
            <w:bookmarkStart w:id="55" w:name="_Hlk146703796"/>
            <w:r w:rsidRPr="00EE1495">
              <w:rPr>
                <w:b/>
                <w:bCs/>
                <w:color w:val="FFFFFF" w:themeColor="background1"/>
              </w:rPr>
              <w:t>Community Pharmacy Programs</w:t>
            </w:r>
          </w:p>
          <w:p w14:paraId="65628613" w14:textId="77777777" w:rsidR="000F7CD3" w:rsidRPr="00EE1495" w:rsidRDefault="000F7CD3">
            <w:pPr>
              <w:overflowPunct w:val="0"/>
              <w:autoSpaceDE w:val="0"/>
              <w:autoSpaceDN w:val="0"/>
              <w:ind w:left="176" w:right="-27"/>
              <w:jc w:val="center"/>
              <w:textAlignment w:val="baseline"/>
              <w:rPr>
                <w:b/>
                <w:bCs/>
                <w:color w:val="FFFFFF" w:themeColor="background1"/>
              </w:rPr>
            </w:pPr>
          </w:p>
        </w:tc>
        <w:tc>
          <w:tcPr>
            <w:tcW w:w="753" w:type="pct"/>
            <w:tcBorders>
              <w:top w:val="single" w:sz="8" w:space="0" w:color="auto"/>
              <w:left w:val="nil"/>
              <w:bottom w:val="single" w:sz="8" w:space="0" w:color="auto"/>
              <w:right w:val="single" w:sz="8" w:space="0" w:color="auto"/>
            </w:tcBorders>
            <w:shd w:val="clear" w:color="auto" w:fill="0289C8" w:themeFill="text2" w:themeFillTint="BF"/>
            <w:tcMar>
              <w:top w:w="0" w:type="dxa"/>
              <w:left w:w="108" w:type="dxa"/>
              <w:bottom w:w="0" w:type="dxa"/>
              <w:right w:w="108" w:type="dxa"/>
            </w:tcMar>
            <w:hideMark/>
          </w:tcPr>
          <w:p w14:paraId="0FBE6DEF" w14:textId="77777777" w:rsidR="000F7CD3" w:rsidRPr="00EE1495" w:rsidRDefault="000F7CD3">
            <w:pPr>
              <w:overflowPunct w:val="0"/>
              <w:autoSpaceDE w:val="0"/>
              <w:autoSpaceDN w:val="0"/>
              <w:ind w:left="176" w:right="-27"/>
              <w:jc w:val="center"/>
              <w:textAlignment w:val="baseline"/>
              <w:rPr>
                <w:b/>
                <w:bCs/>
                <w:color w:val="FFFFFF" w:themeColor="background1"/>
              </w:rPr>
            </w:pPr>
            <w:r w:rsidRPr="00EE1495">
              <w:rPr>
                <w:b/>
                <w:bCs/>
                <w:color w:val="FFFFFF" w:themeColor="background1"/>
              </w:rPr>
              <w:t>2020-21 (Actuals)</w:t>
            </w:r>
          </w:p>
          <w:p w14:paraId="178C13F0" w14:textId="77777777" w:rsidR="000F7CD3" w:rsidRPr="00EE1495" w:rsidRDefault="000F7CD3">
            <w:pPr>
              <w:overflowPunct w:val="0"/>
              <w:autoSpaceDE w:val="0"/>
              <w:autoSpaceDN w:val="0"/>
              <w:ind w:left="176" w:right="-27"/>
              <w:jc w:val="center"/>
              <w:textAlignment w:val="baseline"/>
              <w:rPr>
                <w:b/>
                <w:bCs/>
                <w:color w:val="FFFFFF" w:themeColor="background1"/>
              </w:rPr>
            </w:pPr>
            <w:r w:rsidRPr="00EE1495">
              <w:rPr>
                <w:b/>
                <w:bCs/>
                <w:color w:val="FFFFFF" w:themeColor="background1"/>
              </w:rPr>
              <w:t>($m)</w:t>
            </w:r>
          </w:p>
        </w:tc>
        <w:tc>
          <w:tcPr>
            <w:tcW w:w="753" w:type="pct"/>
            <w:tcBorders>
              <w:top w:val="single" w:sz="8" w:space="0" w:color="auto"/>
              <w:left w:val="nil"/>
              <w:bottom w:val="single" w:sz="8" w:space="0" w:color="auto"/>
              <w:right w:val="single" w:sz="8" w:space="0" w:color="auto"/>
            </w:tcBorders>
            <w:shd w:val="clear" w:color="auto" w:fill="0289C8" w:themeFill="text2" w:themeFillTint="BF"/>
            <w:tcMar>
              <w:top w:w="0" w:type="dxa"/>
              <w:left w:w="108" w:type="dxa"/>
              <w:bottom w:w="0" w:type="dxa"/>
              <w:right w:w="108" w:type="dxa"/>
            </w:tcMar>
            <w:hideMark/>
          </w:tcPr>
          <w:p w14:paraId="73E594CF" w14:textId="77777777" w:rsidR="000F7CD3" w:rsidRPr="00EE1495" w:rsidRDefault="000F7CD3">
            <w:pPr>
              <w:overflowPunct w:val="0"/>
              <w:autoSpaceDE w:val="0"/>
              <w:autoSpaceDN w:val="0"/>
              <w:ind w:left="176" w:right="-27"/>
              <w:jc w:val="center"/>
              <w:textAlignment w:val="baseline"/>
              <w:rPr>
                <w:b/>
                <w:bCs/>
                <w:color w:val="FFFFFF" w:themeColor="background1"/>
              </w:rPr>
            </w:pPr>
            <w:r w:rsidRPr="00EE1495">
              <w:rPr>
                <w:b/>
                <w:bCs/>
                <w:color w:val="FFFFFF" w:themeColor="background1"/>
              </w:rPr>
              <w:t>2021-22 (Actuals)</w:t>
            </w:r>
          </w:p>
          <w:p w14:paraId="498AB2FF" w14:textId="77777777" w:rsidR="000F7CD3" w:rsidRPr="00EE1495" w:rsidRDefault="000F7CD3">
            <w:pPr>
              <w:overflowPunct w:val="0"/>
              <w:autoSpaceDE w:val="0"/>
              <w:autoSpaceDN w:val="0"/>
              <w:ind w:left="176" w:right="-27"/>
              <w:jc w:val="center"/>
              <w:textAlignment w:val="baseline"/>
              <w:rPr>
                <w:b/>
                <w:bCs/>
                <w:color w:val="FFFFFF" w:themeColor="background1"/>
              </w:rPr>
            </w:pPr>
            <w:r w:rsidRPr="00EE1495">
              <w:rPr>
                <w:b/>
                <w:bCs/>
                <w:color w:val="FFFFFF" w:themeColor="background1"/>
              </w:rPr>
              <w:t>($m)</w:t>
            </w:r>
          </w:p>
        </w:tc>
        <w:tc>
          <w:tcPr>
            <w:tcW w:w="825" w:type="pct"/>
            <w:tcBorders>
              <w:top w:val="single" w:sz="8" w:space="0" w:color="auto"/>
              <w:left w:val="nil"/>
              <w:bottom w:val="single" w:sz="8" w:space="0" w:color="auto"/>
              <w:right w:val="single" w:sz="8" w:space="0" w:color="auto"/>
            </w:tcBorders>
            <w:shd w:val="clear" w:color="auto" w:fill="0289C8" w:themeFill="text2" w:themeFillTint="BF"/>
            <w:tcMar>
              <w:top w:w="0" w:type="dxa"/>
              <w:left w:w="108" w:type="dxa"/>
              <w:bottom w:w="0" w:type="dxa"/>
              <w:right w:w="108" w:type="dxa"/>
            </w:tcMar>
            <w:hideMark/>
          </w:tcPr>
          <w:p w14:paraId="6901CCC2" w14:textId="77777777" w:rsidR="000F7CD3" w:rsidRPr="00EE1495" w:rsidRDefault="000F7CD3">
            <w:pPr>
              <w:overflowPunct w:val="0"/>
              <w:autoSpaceDE w:val="0"/>
              <w:autoSpaceDN w:val="0"/>
              <w:ind w:left="176" w:right="-27"/>
              <w:jc w:val="center"/>
              <w:textAlignment w:val="baseline"/>
              <w:rPr>
                <w:b/>
                <w:bCs/>
                <w:color w:val="FFFFFF" w:themeColor="background1"/>
              </w:rPr>
            </w:pPr>
            <w:r w:rsidRPr="00EE1495">
              <w:rPr>
                <w:b/>
                <w:bCs/>
                <w:color w:val="FFFFFF" w:themeColor="background1"/>
              </w:rPr>
              <w:t>2022-23 (Actuals)</w:t>
            </w:r>
          </w:p>
          <w:p w14:paraId="05190C71" w14:textId="77777777" w:rsidR="000F7CD3" w:rsidRPr="00EE1495" w:rsidRDefault="000F7CD3">
            <w:pPr>
              <w:overflowPunct w:val="0"/>
              <w:autoSpaceDE w:val="0"/>
              <w:autoSpaceDN w:val="0"/>
              <w:ind w:left="176" w:right="-27"/>
              <w:jc w:val="center"/>
              <w:textAlignment w:val="baseline"/>
              <w:rPr>
                <w:b/>
                <w:bCs/>
                <w:color w:val="FFFFFF" w:themeColor="background1"/>
              </w:rPr>
            </w:pPr>
            <w:r w:rsidRPr="00EE1495">
              <w:rPr>
                <w:b/>
                <w:bCs/>
                <w:color w:val="FFFFFF" w:themeColor="background1"/>
              </w:rPr>
              <w:t>($m)</w:t>
            </w:r>
          </w:p>
        </w:tc>
      </w:tr>
      <w:tr w:rsidR="000F7CD3" w:rsidRPr="00C20287" w14:paraId="4FEE3603" w14:textId="77777777" w:rsidTr="00EE1495">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AF520" w14:textId="77777777" w:rsidR="000F7CD3" w:rsidRPr="00C20287" w:rsidRDefault="000F7CD3">
            <w:pPr>
              <w:overflowPunct w:val="0"/>
              <w:autoSpaceDE w:val="0"/>
              <w:autoSpaceDN w:val="0"/>
              <w:spacing w:before="20" w:afterLines="20" w:after="48"/>
              <w:textAlignment w:val="baseline"/>
            </w:pPr>
            <w:r w:rsidRPr="00C20287">
              <w:t>Medication Adherence Programs:</w:t>
            </w:r>
          </w:p>
          <w:p w14:paraId="3DAA83D9"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Dose Administration Aids</w:t>
            </w:r>
          </w:p>
          <w:p w14:paraId="5190F0A6"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Staged Supply</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406D01D2" w14:textId="77777777" w:rsidR="000F7CD3" w:rsidRPr="00C20287" w:rsidRDefault="000F7CD3">
            <w:pPr>
              <w:overflowPunct w:val="0"/>
              <w:autoSpaceDE w:val="0"/>
              <w:autoSpaceDN w:val="0"/>
              <w:spacing w:before="20" w:afterLines="20" w:after="48"/>
              <w:textAlignment w:val="baseline"/>
            </w:pPr>
          </w:p>
          <w:p w14:paraId="30EBB63F" w14:textId="77777777" w:rsidR="000F7CD3" w:rsidRPr="00C20287" w:rsidRDefault="000F7CD3">
            <w:pPr>
              <w:overflowPunct w:val="0"/>
              <w:autoSpaceDE w:val="0"/>
              <w:autoSpaceDN w:val="0"/>
              <w:spacing w:before="20" w:afterLines="20" w:after="48"/>
              <w:jc w:val="center"/>
              <w:textAlignment w:val="baseline"/>
            </w:pPr>
            <w:r w:rsidRPr="00C20287">
              <w:t>106.3</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5DBB6A5F" w14:textId="77777777" w:rsidR="000F7CD3" w:rsidRPr="00C20287" w:rsidRDefault="000F7CD3">
            <w:pPr>
              <w:overflowPunct w:val="0"/>
              <w:autoSpaceDE w:val="0"/>
              <w:autoSpaceDN w:val="0"/>
              <w:spacing w:before="20" w:afterLines="20" w:after="48"/>
              <w:jc w:val="center"/>
              <w:textAlignment w:val="baseline"/>
            </w:pPr>
          </w:p>
          <w:p w14:paraId="79ECB665" w14:textId="77777777" w:rsidR="000F7CD3" w:rsidRPr="00C20287" w:rsidRDefault="000F7CD3">
            <w:pPr>
              <w:overflowPunct w:val="0"/>
              <w:autoSpaceDE w:val="0"/>
              <w:autoSpaceDN w:val="0"/>
              <w:spacing w:before="20" w:afterLines="20" w:after="48"/>
              <w:jc w:val="center"/>
              <w:textAlignment w:val="baseline"/>
            </w:pPr>
            <w:r w:rsidRPr="00C20287">
              <w:t>107.2</w:t>
            </w:r>
          </w:p>
        </w:tc>
        <w:tc>
          <w:tcPr>
            <w:tcW w:w="825" w:type="pct"/>
            <w:tcBorders>
              <w:top w:val="nil"/>
              <w:left w:val="nil"/>
              <w:bottom w:val="single" w:sz="8" w:space="0" w:color="auto"/>
              <w:right w:val="single" w:sz="8" w:space="0" w:color="auto"/>
            </w:tcBorders>
            <w:tcMar>
              <w:top w:w="0" w:type="dxa"/>
              <w:left w:w="108" w:type="dxa"/>
              <w:bottom w:w="0" w:type="dxa"/>
              <w:right w:w="108" w:type="dxa"/>
            </w:tcMar>
          </w:tcPr>
          <w:p w14:paraId="091E3283" w14:textId="77777777" w:rsidR="000F7CD3" w:rsidRPr="00C20287" w:rsidRDefault="000F7CD3">
            <w:pPr>
              <w:overflowPunct w:val="0"/>
              <w:autoSpaceDE w:val="0"/>
              <w:autoSpaceDN w:val="0"/>
              <w:spacing w:before="20" w:afterLines="20" w:after="48"/>
              <w:jc w:val="center"/>
              <w:textAlignment w:val="baseline"/>
            </w:pPr>
          </w:p>
          <w:p w14:paraId="66847BC4" w14:textId="77777777" w:rsidR="000F7CD3" w:rsidRPr="00C20287" w:rsidRDefault="000F7CD3">
            <w:pPr>
              <w:overflowPunct w:val="0"/>
              <w:autoSpaceDE w:val="0"/>
              <w:autoSpaceDN w:val="0"/>
              <w:spacing w:before="20" w:afterLines="20" w:after="48"/>
              <w:jc w:val="center"/>
              <w:textAlignment w:val="baseline"/>
            </w:pPr>
            <w:r w:rsidRPr="00C20287">
              <w:t>109.6</w:t>
            </w:r>
          </w:p>
        </w:tc>
      </w:tr>
      <w:tr w:rsidR="000F7CD3" w:rsidRPr="00C20287" w14:paraId="3D4159B4" w14:textId="77777777" w:rsidTr="00EE1495">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ADE58" w14:textId="77777777" w:rsidR="000F7CD3" w:rsidRPr="00C20287" w:rsidRDefault="000F7CD3">
            <w:pPr>
              <w:overflowPunct w:val="0"/>
              <w:autoSpaceDE w:val="0"/>
              <w:autoSpaceDN w:val="0"/>
              <w:spacing w:before="20" w:afterLines="20" w:after="48"/>
              <w:textAlignment w:val="baseline"/>
            </w:pPr>
            <w:r w:rsidRPr="00C20287">
              <w:t>Medication Management Programs</w:t>
            </w:r>
          </w:p>
          <w:p w14:paraId="505093DC"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Home Medicines Review</w:t>
            </w:r>
          </w:p>
          <w:p w14:paraId="3E453A1C"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Residential Medication Management Review</w:t>
            </w:r>
          </w:p>
          <w:p w14:paraId="00D32BA7"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Quality Use of Medicines in Residential Aged Care Facilities</w:t>
            </w:r>
          </w:p>
          <w:p w14:paraId="403E533A"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MedsCheck/Diabetes MedsCheck</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320B9C55" w14:textId="77777777" w:rsidR="000F7CD3" w:rsidRPr="00C20287" w:rsidRDefault="000F7CD3">
            <w:pPr>
              <w:overflowPunct w:val="0"/>
              <w:autoSpaceDE w:val="0"/>
              <w:autoSpaceDN w:val="0"/>
              <w:spacing w:before="20" w:afterLines="20" w:after="48"/>
              <w:jc w:val="center"/>
              <w:textAlignment w:val="baseline"/>
            </w:pPr>
          </w:p>
          <w:p w14:paraId="02793A08" w14:textId="77777777" w:rsidR="000F7CD3" w:rsidRPr="00C20287" w:rsidRDefault="000F7CD3">
            <w:pPr>
              <w:overflowPunct w:val="0"/>
              <w:autoSpaceDE w:val="0"/>
              <w:autoSpaceDN w:val="0"/>
              <w:spacing w:before="20" w:afterLines="20" w:after="48"/>
              <w:jc w:val="center"/>
              <w:textAlignment w:val="baseline"/>
            </w:pPr>
            <w:r w:rsidRPr="00C20287">
              <w:t>88.5</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7FB3ED84" w14:textId="77777777" w:rsidR="000F7CD3" w:rsidRPr="00C20287" w:rsidRDefault="000F7CD3">
            <w:pPr>
              <w:overflowPunct w:val="0"/>
              <w:autoSpaceDE w:val="0"/>
              <w:autoSpaceDN w:val="0"/>
              <w:spacing w:before="20" w:afterLines="20" w:after="48"/>
              <w:jc w:val="center"/>
              <w:textAlignment w:val="baseline"/>
            </w:pPr>
          </w:p>
          <w:p w14:paraId="34ABCC07" w14:textId="77777777" w:rsidR="000F7CD3" w:rsidRPr="00C20287" w:rsidRDefault="000F7CD3">
            <w:pPr>
              <w:overflowPunct w:val="0"/>
              <w:autoSpaceDE w:val="0"/>
              <w:autoSpaceDN w:val="0"/>
              <w:spacing w:before="20" w:afterLines="20" w:after="48"/>
              <w:jc w:val="center"/>
              <w:textAlignment w:val="baseline"/>
            </w:pPr>
            <w:r w:rsidRPr="00C20287">
              <w:t>89.5</w:t>
            </w:r>
          </w:p>
        </w:tc>
        <w:tc>
          <w:tcPr>
            <w:tcW w:w="825" w:type="pct"/>
            <w:tcBorders>
              <w:top w:val="nil"/>
              <w:left w:val="nil"/>
              <w:bottom w:val="single" w:sz="8" w:space="0" w:color="auto"/>
              <w:right w:val="single" w:sz="8" w:space="0" w:color="auto"/>
            </w:tcBorders>
            <w:tcMar>
              <w:top w:w="0" w:type="dxa"/>
              <w:left w:w="108" w:type="dxa"/>
              <w:bottom w:w="0" w:type="dxa"/>
              <w:right w:w="108" w:type="dxa"/>
            </w:tcMar>
          </w:tcPr>
          <w:p w14:paraId="3DBF08AD" w14:textId="77777777" w:rsidR="000F7CD3" w:rsidRPr="00C20287" w:rsidRDefault="000F7CD3">
            <w:pPr>
              <w:overflowPunct w:val="0"/>
              <w:autoSpaceDE w:val="0"/>
              <w:autoSpaceDN w:val="0"/>
              <w:spacing w:before="20" w:afterLines="20" w:after="48"/>
              <w:jc w:val="center"/>
              <w:textAlignment w:val="baseline"/>
            </w:pPr>
          </w:p>
          <w:p w14:paraId="64BCB068" w14:textId="77777777" w:rsidR="000F7CD3" w:rsidRPr="00C20287" w:rsidRDefault="000F7CD3">
            <w:pPr>
              <w:overflowPunct w:val="0"/>
              <w:autoSpaceDE w:val="0"/>
              <w:autoSpaceDN w:val="0"/>
              <w:spacing w:before="20" w:afterLines="20" w:after="48"/>
              <w:jc w:val="center"/>
              <w:textAlignment w:val="baseline"/>
            </w:pPr>
            <w:r w:rsidRPr="00C20287">
              <w:t>101.6</w:t>
            </w:r>
          </w:p>
        </w:tc>
      </w:tr>
      <w:tr w:rsidR="000F7CD3" w:rsidRPr="00C20287" w14:paraId="2BA59594" w14:textId="77777777" w:rsidTr="00EE1495">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B15E0" w14:textId="77777777" w:rsidR="000F7CD3" w:rsidRPr="00C20287" w:rsidRDefault="000F7CD3">
            <w:pPr>
              <w:overflowPunct w:val="0"/>
              <w:autoSpaceDE w:val="0"/>
              <w:autoSpaceDN w:val="0"/>
              <w:spacing w:before="20" w:afterLines="20" w:after="48"/>
              <w:textAlignment w:val="baseline"/>
            </w:pPr>
            <w:r w:rsidRPr="00C20287">
              <w:t>Aboriginal and Torres Strait Islander Specific Programs</w:t>
            </w:r>
          </w:p>
          <w:p w14:paraId="1D22F0CB"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Indigenous Dose Administration Aids*</w:t>
            </w:r>
          </w:p>
          <w:p w14:paraId="607C5AFC"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Indigenous Health Service Pharmacy Support Program*</w:t>
            </w:r>
          </w:p>
          <w:p w14:paraId="1DBB5B14"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QUMAX/S100 Pharmacy Support Allowance**</w:t>
            </w:r>
          </w:p>
          <w:p w14:paraId="37A1C676"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Aboriginal and Torres Strait Islander Workforce Programs</w:t>
            </w:r>
          </w:p>
          <w:p w14:paraId="54477F8C"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CTG</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55F5002A" w14:textId="77777777" w:rsidR="000F7CD3" w:rsidRPr="00C20287" w:rsidRDefault="000F7CD3">
            <w:pPr>
              <w:overflowPunct w:val="0"/>
              <w:autoSpaceDE w:val="0"/>
              <w:autoSpaceDN w:val="0"/>
              <w:spacing w:before="20" w:afterLines="20" w:after="48"/>
              <w:jc w:val="center"/>
              <w:textAlignment w:val="baseline"/>
            </w:pPr>
          </w:p>
          <w:p w14:paraId="33143116" w14:textId="77777777" w:rsidR="000F7CD3" w:rsidRPr="00C20287" w:rsidRDefault="000F7CD3">
            <w:pPr>
              <w:overflowPunct w:val="0"/>
              <w:autoSpaceDE w:val="0"/>
              <w:autoSpaceDN w:val="0"/>
              <w:spacing w:before="20" w:afterLines="20" w:after="48"/>
              <w:jc w:val="center"/>
              <w:textAlignment w:val="baseline"/>
            </w:pPr>
            <w:r w:rsidRPr="00C20287">
              <w:t>12.2</w:t>
            </w:r>
          </w:p>
          <w:p w14:paraId="28ABED10" w14:textId="77777777" w:rsidR="000F7CD3" w:rsidRPr="00C20287" w:rsidRDefault="000F7CD3">
            <w:pPr>
              <w:overflowPunct w:val="0"/>
              <w:autoSpaceDE w:val="0"/>
              <w:autoSpaceDN w:val="0"/>
              <w:spacing w:before="20" w:afterLines="20" w:after="48"/>
              <w:jc w:val="center"/>
              <w:textAlignment w:val="baseline"/>
            </w:pPr>
          </w:p>
          <w:p w14:paraId="66B25102" w14:textId="77777777" w:rsidR="000F7CD3" w:rsidRPr="00C20287" w:rsidRDefault="000F7CD3">
            <w:pPr>
              <w:overflowPunct w:val="0"/>
              <w:autoSpaceDE w:val="0"/>
              <w:autoSpaceDN w:val="0"/>
              <w:spacing w:before="20" w:afterLines="20" w:after="48"/>
              <w:jc w:val="center"/>
              <w:textAlignment w:val="baseline"/>
            </w:pP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61DA9D88" w14:textId="77777777" w:rsidR="000F7CD3" w:rsidRPr="00C20287" w:rsidRDefault="000F7CD3">
            <w:pPr>
              <w:overflowPunct w:val="0"/>
              <w:autoSpaceDE w:val="0"/>
              <w:autoSpaceDN w:val="0"/>
              <w:spacing w:before="20" w:afterLines="20" w:after="48"/>
              <w:jc w:val="center"/>
              <w:textAlignment w:val="baseline"/>
            </w:pPr>
          </w:p>
          <w:p w14:paraId="1ADA4226" w14:textId="77777777" w:rsidR="000F7CD3" w:rsidRPr="00C20287" w:rsidRDefault="000F7CD3">
            <w:pPr>
              <w:overflowPunct w:val="0"/>
              <w:autoSpaceDE w:val="0"/>
              <w:autoSpaceDN w:val="0"/>
              <w:spacing w:before="20" w:afterLines="20" w:after="48"/>
              <w:jc w:val="center"/>
              <w:textAlignment w:val="baseline"/>
            </w:pPr>
            <w:r w:rsidRPr="00C20287">
              <w:t>21.4</w:t>
            </w:r>
          </w:p>
          <w:p w14:paraId="42287A2E" w14:textId="77777777" w:rsidR="000F7CD3" w:rsidRPr="00C20287" w:rsidRDefault="000F7CD3">
            <w:pPr>
              <w:overflowPunct w:val="0"/>
              <w:autoSpaceDE w:val="0"/>
              <w:autoSpaceDN w:val="0"/>
              <w:spacing w:before="20" w:afterLines="20" w:after="48"/>
              <w:textAlignment w:val="baseline"/>
            </w:pPr>
          </w:p>
          <w:p w14:paraId="25E41067" w14:textId="77777777" w:rsidR="000F7CD3" w:rsidRPr="00C20287" w:rsidRDefault="000F7CD3">
            <w:pPr>
              <w:overflowPunct w:val="0"/>
              <w:autoSpaceDE w:val="0"/>
              <w:autoSpaceDN w:val="0"/>
              <w:spacing w:before="20" w:afterLines="20" w:after="48"/>
              <w:jc w:val="center"/>
              <w:textAlignment w:val="baseline"/>
            </w:pPr>
          </w:p>
          <w:p w14:paraId="39560327" w14:textId="77777777" w:rsidR="000F7CD3" w:rsidRPr="00C20287" w:rsidRDefault="000F7CD3">
            <w:pPr>
              <w:overflowPunct w:val="0"/>
              <w:autoSpaceDE w:val="0"/>
              <w:autoSpaceDN w:val="0"/>
              <w:spacing w:before="20" w:afterLines="20" w:after="48"/>
              <w:jc w:val="center"/>
              <w:textAlignment w:val="baseline"/>
            </w:pPr>
          </w:p>
        </w:tc>
        <w:tc>
          <w:tcPr>
            <w:tcW w:w="825" w:type="pct"/>
            <w:tcBorders>
              <w:top w:val="nil"/>
              <w:left w:val="nil"/>
              <w:bottom w:val="single" w:sz="8" w:space="0" w:color="auto"/>
              <w:right w:val="single" w:sz="8" w:space="0" w:color="auto"/>
            </w:tcBorders>
            <w:tcMar>
              <w:top w:w="0" w:type="dxa"/>
              <w:left w:w="108" w:type="dxa"/>
              <w:bottom w:w="0" w:type="dxa"/>
              <w:right w:w="108" w:type="dxa"/>
            </w:tcMar>
          </w:tcPr>
          <w:p w14:paraId="33C3D0CD" w14:textId="77777777" w:rsidR="000F7CD3" w:rsidRPr="00C20287" w:rsidRDefault="000F7CD3">
            <w:pPr>
              <w:overflowPunct w:val="0"/>
              <w:autoSpaceDE w:val="0"/>
              <w:autoSpaceDN w:val="0"/>
              <w:spacing w:before="20" w:afterLines="20" w:after="48"/>
              <w:jc w:val="center"/>
              <w:textAlignment w:val="baseline"/>
              <w:rPr>
                <w:highlight w:val="cyan"/>
              </w:rPr>
            </w:pPr>
          </w:p>
          <w:p w14:paraId="7A2E15F2" w14:textId="77777777" w:rsidR="000F7CD3" w:rsidRPr="00C20287" w:rsidRDefault="000F7CD3">
            <w:pPr>
              <w:overflowPunct w:val="0"/>
              <w:autoSpaceDE w:val="0"/>
              <w:autoSpaceDN w:val="0"/>
              <w:spacing w:before="20" w:afterLines="20" w:after="48"/>
              <w:jc w:val="center"/>
              <w:textAlignment w:val="baseline"/>
            </w:pPr>
            <w:r w:rsidRPr="00C20287">
              <w:t>26.0</w:t>
            </w:r>
          </w:p>
        </w:tc>
      </w:tr>
      <w:tr w:rsidR="000F7CD3" w:rsidRPr="00C20287" w14:paraId="4DB79458" w14:textId="77777777" w:rsidTr="00EE1495">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81C05" w14:textId="77777777" w:rsidR="000F7CD3" w:rsidRPr="00C20287" w:rsidRDefault="000F7CD3">
            <w:pPr>
              <w:overflowPunct w:val="0"/>
              <w:autoSpaceDE w:val="0"/>
              <w:autoSpaceDN w:val="0"/>
              <w:spacing w:before="20" w:afterLines="20" w:after="48"/>
              <w:textAlignment w:val="baseline"/>
            </w:pPr>
            <w:r w:rsidRPr="00C20287">
              <w:t>Rural Support Programs</w:t>
            </w:r>
          </w:p>
          <w:p w14:paraId="5707A9B5"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Regional Pharmacy Maintenance Allowance</w:t>
            </w:r>
          </w:p>
          <w:p w14:paraId="5C065FF1"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Rural Workforce Programs</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7B9B7C8F" w14:textId="77777777" w:rsidR="000F7CD3" w:rsidRPr="00C20287" w:rsidRDefault="000F7CD3">
            <w:pPr>
              <w:overflowPunct w:val="0"/>
              <w:autoSpaceDE w:val="0"/>
              <w:autoSpaceDN w:val="0"/>
              <w:spacing w:before="20" w:afterLines="20" w:after="48"/>
              <w:jc w:val="center"/>
              <w:textAlignment w:val="baseline"/>
            </w:pPr>
          </w:p>
          <w:p w14:paraId="17067C41" w14:textId="77777777" w:rsidR="000F7CD3" w:rsidRPr="00C20287" w:rsidRDefault="000F7CD3">
            <w:pPr>
              <w:overflowPunct w:val="0"/>
              <w:autoSpaceDE w:val="0"/>
              <w:autoSpaceDN w:val="0"/>
              <w:spacing w:before="20" w:afterLines="20" w:after="48"/>
              <w:jc w:val="center"/>
              <w:textAlignment w:val="baseline"/>
            </w:pPr>
            <w:r w:rsidRPr="00C20287">
              <w:t>21.0</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6ED9784B" w14:textId="77777777" w:rsidR="000F7CD3" w:rsidRPr="00C20287" w:rsidRDefault="000F7CD3">
            <w:pPr>
              <w:overflowPunct w:val="0"/>
              <w:autoSpaceDE w:val="0"/>
              <w:autoSpaceDN w:val="0"/>
              <w:spacing w:before="20" w:afterLines="20" w:after="48"/>
              <w:jc w:val="center"/>
              <w:textAlignment w:val="baseline"/>
            </w:pPr>
          </w:p>
          <w:p w14:paraId="27E8B54E" w14:textId="77777777" w:rsidR="000F7CD3" w:rsidRPr="00C20287" w:rsidRDefault="000F7CD3">
            <w:pPr>
              <w:overflowPunct w:val="0"/>
              <w:autoSpaceDE w:val="0"/>
              <w:autoSpaceDN w:val="0"/>
              <w:spacing w:before="20" w:afterLines="20" w:after="48"/>
              <w:jc w:val="center"/>
              <w:textAlignment w:val="baseline"/>
            </w:pPr>
            <w:r w:rsidRPr="00C20287">
              <w:t>22.5</w:t>
            </w:r>
          </w:p>
        </w:tc>
        <w:tc>
          <w:tcPr>
            <w:tcW w:w="825" w:type="pct"/>
            <w:tcBorders>
              <w:top w:val="nil"/>
              <w:left w:val="nil"/>
              <w:bottom w:val="single" w:sz="8" w:space="0" w:color="auto"/>
              <w:right w:val="single" w:sz="8" w:space="0" w:color="auto"/>
            </w:tcBorders>
            <w:tcMar>
              <w:top w:w="0" w:type="dxa"/>
              <w:left w:w="108" w:type="dxa"/>
              <w:bottom w:w="0" w:type="dxa"/>
              <w:right w:w="108" w:type="dxa"/>
            </w:tcMar>
          </w:tcPr>
          <w:p w14:paraId="25804615" w14:textId="77777777" w:rsidR="000F7CD3" w:rsidRPr="00C20287" w:rsidRDefault="000F7CD3">
            <w:pPr>
              <w:overflowPunct w:val="0"/>
              <w:autoSpaceDE w:val="0"/>
              <w:autoSpaceDN w:val="0"/>
              <w:spacing w:before="20" w:afterLines="20" w:after="48"/>
              <w:jc w:val="center"/>
              <w:textAlignment w:val="baseline"/>
            </w:pPr>
          </w:p>
          <w:p w14:paraId="450D57D0" w14:textId="77777777" w:rsidR="000F7CD3" w:rsidRPr="00C20287" w:rsidRDefault="000F7CD3">
            <w:pPr>
              <w:overflowPunct w:val="0"/>
              <w:autoSpaceDE w:val="0"/>
              <w:autoSpaceDN w:val="0"/>
              <w:spacing w:before="20" w:afterLines="20" w:after="48"/>
              <w:jc w:val="center"/>
              <w:textAlignment w:val="baseline"/>
            </w:pPr>
            <w:r w:rsidRPr="00C20287">
              <w:t>22.7</w:t>
            </w:r>
          </w:p>
        </w:tc>
      </w:tr>
      <w:tr w:rsidR="000F7CD3" w:rsidRPr="00C20287" w14:paraId="6F6B5E6F" w14:textId="77777777" w:rsidTr="00EE1495">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2D41B" w14:textId="77777777" w:rsidR="000F7CD3" w:rsidRPr="00C20287" w:rsidRDefault="000F7CD3">
            <w:pPr>
              <w:overflowPunct w:val="0"/>
              <w:autoSpaceDE w:val="0"/>
              <w:autoSpaceDN w:val="0"/>
              <w:spacing w:before="20" w:afterLines="20" w:after="48"/>
              <w:textAlignment w:val="baseline"/>
            </w:pPr>
            <w:r w:rsidRPr="00C20287">
              <w:t>eHealth</w:t>
            </w:r>
          </w:p>
          <w:p w14:paraId="4B4FC502" w14:textId="77777777" w:rsidR="000F7CD3" w:rsidRPr="00C20287" w:rsidRDefault="000F7CD3" w:rsidP="0095671A">
            <w:pPr>
              <w:numPr>
                <w:ilvl w:val="0"/>
                <w:numId w:val="26"/>
              </w:numPr>
              <w:overflowPunct w:val="0"/>
              <w:autoSpaceDE w:val="0"/>
              <w:autoSpaceDN w:val="0"/>
              <w:spacing w:after="0" w:line="240" w:lineRule="auto"/>
              <w:ind w:left="720"/>
              <w:contextualSpacing/>
              <w:textAlignment w:val="baseline"/>
            </w:pPr>
            <w:r w:rsidRPr="00C20287">
              <w:t>Electronic Prescription Fee</w:t>
            </w:r>
          </w:p>
        </w:tc>
        <w:tc>
          <w:tcPr>
            <w:tcW w:w="7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45B637" w14:textId="77777777" w:rsidR="000F7CD3" w:rsidRPr="00C20287" w:rsidRDefault="000F7CD3">
            <w:pPr>
              <w:overflowPunct w:val="0"/>
              <w:autoSpaceDE w:val="0"/>
              <w:autoSpaceDN w:val="0"/>
              <w:spacing w:before="20" w:afterLines="20" w:after="48"/>
              <w:jc w:val="center"/>
              <w:textAlignment w:val="baseline"/>
            </w:pPr>
            <w:r w:rsidRPr="00C20287">
              <w:t>22.6</w:t>
            </w:r>
          </w:p>
        </w:tc>
        <w:tc>
          <w:tcPr>
            <w:tcW w:w="7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C49AC" w14:textId="77777777" w:rsidR="000F7CD3" w:rsidRPr="00C20287" w:rsidRDefault="000F7CD3">
            <w:pPr>
              <w:overflowPunct w:val="0"/>
              <w:autoSpaceDE w:val="0"/>
              <w:autoSpaceDN w:val="0"/>
              <w:spacing w:before="20" w:afterLines="20" w:after="48"/>
              <w:jc w:val="center"/>
              <w:textAlignment w:val="baseline"/>
            </w:pPr>
            <w:r w:rsidRPr="00C20287">
              <w:t>29.5</w:t>
            </w:r>
          </w:p>
        </w:tc>
        <w:tc>
          <w:tcPr>
            <w:tcW w:w="82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5348B0" w14:textId="77777777" w:rsidR="000F7CD3" w:rsidRPr="00C20287" w:rsidRDefault="000F7CD3">
            <w:pPr>
              <w:overflowPunct w:val="0"/>
              <w:autoSpaceDE w:val="0"/>
              <w:autoSpaceDN w:val="0"/>
              <w:spacing w:before="20" w:afterLines="20" w:after="48"/>
              <w:jc w:val="center"/>
              <w:textAlignment w:val="baseline"/>
            </w:pPr>
            <w:r w:rsidRPr="00C20287">
              <w:t>35.8</w:t>
            </w:r>
          </w:p>
        </w:tc>
      </w:tr>
      <w:tr w:rsidR="000F7CD3" w:rsidRPr="00C20287" w14:paraId="7E15BA52" w14:textId="77777777" w:rsidTr="00EE1495">
        <w:trPr>
          <w:trHeight w:val="545"/>
        </w:trPr>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42A0" w14:textId="585AB750" w:rsidR="000F7CD3" w:rsidRPr="00C20287" w:rsidRDefault="000F7CD3" w:rsidP="00506AC1">
            <w:pPr>
              <w:overflowPunct w:val="0"/>
              <w:autoSpaceDE w:val="0"/>
              <w:autoSpaceDN w:val="0"/>
              <w:spacing w:before="20" w:afterLines="20" w:after="48"/>
              <w:textAlignment w:val="baseline"/>
            </w:pPr>
            <w:r w:rsidRPr="00C20287">
              <w:t>Other activity</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24A66642" w14:textId="77777777" w:rsidR="000F7CD3" w:rsidRPr="00C20287" w:rsidRDefault="000F7CD3">
            <w:pPr>
              <w:overflowPunct w:val="0"/>
              <w:autoSpaceDE w:val="0"/>
              <w:autoSpaceDN w:val="0"/>
              <w:spacing w:before="20" w:afterLines="20" w:after="48"/>
              <w:jc w:val="center"/>
              <w:textAlignment w:val="baseline"/>
            </w:pPr>
            <w:r w:rsidRPr="00C20287">
              <w:t>8.5</w:t>
            </w:r>
          </w:p>
        </w:tc>
        <w:tc>
          <w:tcPr>
            <w:tcW w:w="753" w:type="pct"/>
            <w:tcBorders>
              <w:top w:val="nil"/>
              <w:left w:val="nil"/>
              <w:bottom w:val="single" w:sz="8" w:space="0" w:color="auto"/>
              <w:right w:val="single" w:sz="8" w:space="0" w:color="auto"/>
            </w:tcBorders>
            <w:tcMar>
              <w:top w:w="0" w:type="dxa"/>
              <w:left w:w="108" w:type="dxa"/>
              <w:bottom w:w="0" w:type="dxa"/>
              <w:right w:w="108" w:type="dxa"/>
            </w:tcMar>
          </w:tcPr>
          <w:p w14:paraId="07F5F634" w14:textId="77777777" w:rsidR="000F7CD3" w:rsidRPr="00C20287" w:rsidRDefault="000F7CD3">
            <w:pPr>
              <w:overflowPunct w:val="0"/>
              <w:autoSpaceDE w:val="0"/>
              <w:autoSpaceDN w:val="0"/>
              <w:spacing w:before="20" w:afterLines="20" w:after="48"/>
              <w:jc w:val="center"/>
              <w:textAlignment w:val="baseline"/>
            </w:pPr>
            <w:r w:rsidRPr="00C20287">
              <w:t>9.0</w:t>
            </w:r>
          </w:p>
        </w:tc>
        <w:tc>
          <w:tcPr>
            <w:tcW w:w="825" w:type="pct"/>
            <w:tcBorders>
              <w:top w:val="nil"/>
              <w:left w:val="nil"/>
              <w:bottom w:val="single" w:sz="8" w:space="0" w:color="auto"/>
              <w:right w:val="single" w:sz="8" w:space="0" w:color="auto"/>
            </w:tcBorders>
            <w:tcMar>
              <w:top w:w="0" w:type="dxa"/>
              <w:left w:w="108" w:type="dxa"/>
              <w:bottom w:w="0" w:type="dxa"/>
              <w:right w:w="108" w:type="dxa"/>
            </w:tcMar>
          </w:tcPr>
          <w:p w14:paraId="5C1F7DC7" w14:textId="77777777" w:rsidR="000F7CD3" w:rsidRPr="00C20287" w:rsidRDefault="000F7CD3">
            <w:pPr>
              <w:overflowPunct w:val="0"/>
              <w:autoSpaceDE w:val="0"/>
              <w:autoSpaceDN w:val="0"/>
              <w:spacing w:before="20" w:afterLines="20" w:after="48"/>
              <w:jc w:val="center"/>
              <w:textAlignment w:val="baseline"/>
            </w:pPr>
            <w:r w:rsidRPr="00C20287">
              <w:t>9.1</w:t>
            </w:r>
          </w:p>
        </w:tc>
      </w:tr>
      <w:tr w:rsidR="000F7CD3" w:rsidRPr="00C20287" w14:paraId="7397814F" w14:textId="77777777" w:rsidTr="00EE1495">
        <w:tc>
          <w:tcPr>
            <w:tcW w:w="266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9DCAB" w14:textId="77777777" w:rsidR="000F7CD3" w:rsidRPr="00C20287" w:rsidRDefault="000F7CD3">
            <w:pPr>
              <w:overflowPunct w:val="0"/>
              <w:autoSpaceDE w:val="0"/>
              <w:autoSpaceDN w:val="0"/>
              <w:spacing w:before="20" w:afterLines="20" w:after="48"/>
              <w:textAlignment w:val="baseline"/>
              <w:rPr>
                <w:b/>
                <w:bCs/>
              </w:rPr>
            </w:pPr>
            <w:r w:rsidRPr="00C20287">
              <w:rPr>
                <w:b/>
                <w:bCs/>
              </w:rPr>
              <w:t>Total ($m)</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14:paraId="03B34FC9" w14:textId="77777777" w:rsidR="000F7CD3" w:rsidRPr="00C20287" w:rsidRDefault="000F7CD3">
            <w:pPr>
              <w:overflowPunct w:val="0"/>
              <w:autoSpaceDE w:val="0"/>
              <w:autoSpaceDN w:val="0"/>
              <w:spacing w:before="20" w:afterLines="20" w:after="48"/>
              <w:jc w:val="center"/>
              <w:textAlignment w:val="baseline"/>
              <w:rPr>
                <w:b/>
                <w:bCs/>
              </w:rPr>
            </w:pPr>
            <w:r w:rsidRPr="00C20287">
              <w:rPr>
                <w:b/>
                <w:bCs/>
              </w:rPr>
              <w:t>$259.1</w:t>
            </w:r>
          </w:p>
        </w:tc>
        <w:tc>
          <w:tcPr>
            <w:tcW w:w="753" w:type="pct"/>
            <w:tcBorders>
              <w:top w:val="nil"/>
              <w:left w:val="nil"/>
              <w:bottom w:val="single" w:sz="8" w:space="0" w:color="auto"/>
              <w:right w:val="single" w:sz="8" w:space="0" w:color="auto"/>
            </w:tcBorders>
            <w:tcMar>
              <w:top w:w="0" w:type="dxa"/>
              <w:left w:w="108" w:type="dxa"/>
              <w:bottom w:w="0" w:type="dxa"/>
              <w:right w:w="108" w:type="dxa"/>
            </w:tcMar>
            <w:hideMark/>
          </w:tcPr>
          <w:p w14:paraId="11088653" w14:textId="77777777" w:rsidR="000F7CD3" w:rsidRPr="00C20287" w:rsidRDefault="000F7CD3">
            <w:pPr>
              <w:overflowPunct w:val="0"/>
              <w:autoSpaceDE w:val="0"/>
              <w:autoSpaceDN w:val="0"/>
              <w:spacing w:before="20" w:afterLines="20" w:after="48"/>
              <w:jc w:val="center"/>
              <w:textAlignment w:val="baseline"/>
              <w:rPr>
                <w:b/>
                <w:bCs/>
              </w:rPr>
            </w:pPr>
            <w:r w:rsidRPr="00C20287">
              <w:rPr>
                <w:b/>
                <w:bCs/>
              </w:rPr>
              <w:t>$279.1</w:t>
            </w:r>
          </w:p>
        </w:tc>
        <w:tc>
          <w:tcPr>
            <w:tcW w:w="825" w:type="pct"/>
            <w:tcBorders>
              <w:top w:val="nil"/>
              <w:left w:val="nil"/>
              <w:bottom w:val="single" w:sz="8" w:space="0" w:color="auto"/>
              <w:right w:val="single" w:sz="8" w:space="0" w:color="auto"/>
            </w:tcBorders>
            <w:tcMar>
              <w:top w:w="0" w:type="dxa"/>
              <w:left w:w="108" w:type="dxa"/>
              <w:bottom w:w="0" w:type="dxa"/>
              <w:right w:w="108" w:type="dxa"/>
            </w:tcMar>
            <w:hideMark/>
          </w:tcPr>
          <w:p w14:paraId="0F15C964" w14:textId="77777777" w:rsidR="000F7CD3" w:rsidRPr="00C20287" w:rsidRDefault="000F7CD3">
            <w:pPr>
              <w:overflowPunct w:val="0"/>
              <w:autoSpaceDE w:val="0"/>
              <w:autoSpaceDN w:val="0"/>
              <w:spacing w:before="20" w:afterLines="20" w:after="48"/>
              <w:jc w:val="center"/>
              <w:textAlignment w:val="baseline"/>
              <w:rPr>
                <w:b/>
                <w:bCs/>
              </w:rPr>
            </w:pPr>
            <w:r w:rsidRPr="00C20287">
              <w:rPr>
                <w:b/>
                <w:bCs/>
              </w:rPr>
              <w:t>$304.8</w:t>
            </w:r>
          </w:p>
        </w:tc>
      </w:tr>
    </w:tbl>
    <w:bookmarkEnd w:id="55"/>
    <w:p w14:paraId="7BFFAFB2" w14:textId="77777777" w:rsidR="00506AC1" w:rsidRPr="00C20287" w:rsidRDefault="00506AC1" w:rsidP="00506AC1">
      <w:pPr>
        <w:rPr>
          <w:i/>
          <w:iCs/>
          <w:sz w:val="18"/>
          <w:szCs w:val="18"/>
        </w:rPr>
      </w:pPr>
      <w:r w:rsidRPr="00C20287">
        <w:rPr>
          <w:i/>
          <w:iCs/>
          <w:sz w:val="18"/>
          <w:szCs w:val="18"/>
        </w:rPr>
        <w:t>Notes:</w:t>
      </w:r>
    </w:p>
    <w:p w14:paraId="5C1015C4" w14:textId="6369943B" w:rsidR="00506AC1" w:rsidRPr="00C20287" w:rsidRDefault="00506AC1" w:rsidP="00506AC1">
      <w:pPr>
        <w:spacing w:after="0"/>
        <w:rPr>
          <w:i/>
          <w:iCs/>
          <w:sz w:val="18"/>
          <w:szCs w:val="18"/>
        </w:rPr>
      </w:pPr>
      <w:r w:rsidRPr="00C20287">
        <w:rPr>
          <w:i/>
          <w:iCs/>
          <w:sz w:val="18"/>
          <w:szCs w:val="18"/>
        </w:rPr>
        <w:t xml:space="preserve">This table is reflective of Commonwealth Expenditure as of 30 </w:t>
      </w:r>
      <w:r w:rsidR="000F7CD3">
        <w:rPr>
          <w:i/>
          <w:iCs/>
          <w:sz w:val="18"/>
          <w:szCs w:val="18"/>
        </w:rPr>
        <w:t>June</w:t>
      </w:r>
      <w:r w:rsidRPr="00C20287">
        <w:rPr>
          <w:i/>
          <w:iCs/>
          <w:sz w:val="18"/>
          <w:szCs w:val="18"/>
        </w:rPr>
        <w:t xml:space="preserve"> 2023</w:t>
      </w:r>
      <w:r w:rsidRPr="00C20287">
        <w:rPr>
          <w:rStyle w:val="FootnoteReference"/>
          <w:i/>
          <w:iCs/>
          <w:sz w:val="18"/>
          <w:szCs w:val="18"/>
        </w:rPr>
        <w:footnoteReference w:id="55"/>
      </w:r>
    </w:p>
    <w:p w14:paraId="1B044317" w14:textId="06649761" w:rsidR="00506AC1" w:rsidRPr="00C20287" w:rsidRDefault="00506AC1" w:rsidP="00506AC1">
      <w:pPr>
        <w:spacing w:after="0"/>
        <w:rPr>
          <w:i/>
          <w:iCs/>
          <w:sz w:val="18"/>
          <w:szCs w:val="18"/>
        </w:rPr>
      </w:pPr>
      <w:r w:rsidRPr="00C20287">
        <w:rPr>
          <w:i/>
          <w:iCs/>
          <w:sz w:val="18"/>
          <w:szCs w:val="18"/>
        </w:rPr>
        <w:t>* Commenced 1 July 2021</w:t>
      </w:r>
    </w:p>
    <w:p w14:paraId="0D8E93EA" w14:textId="77777777" w:rsidR="00506AC1" w:rsidRPr="00C20287" w:rsidRDefault="00506AC1" w:rsidP="00506AC1">
      <w:pPr>
        <w:spacing w:after="0"/>
        <w:rPr>
          <w:i/>
          <w:iCs/>
          <w:sz w:val="18"/>
          <w:szCs w:val="18"/>
        </w:rPr>
      </w:pPr>
      <w:r w:rsidRPr="00C20287">
        <w:rPr>
          <w:i/>
          <w:iCs/>
          <w:sz w:val="18"/>
          <w:szCs w:val="18"/>
        </w:rPr>
        <w:t>** Ceased 30 June 2021</w:t>
      </w:r>
      <w:r w:rsidRPr="00C20287">
        <w:rPr>
          <w:i/>
          <w:iCs/>
          <w:sz w:val="18"/>
          <w:szCs w:val="18"/>
        </w:rPr>
        <w:br/>
        <w:t>*** EPF is no longer funded under the 7CPA as of 2023/24 budget.</w:t>
      </w:r>
    </w:p>
    <w:p w14:paraId="43E7FB92" w14:textId="77777777" w:rsidR="00BD4A70" w:rsidRPr="00C20287" w:rsidRDefault="00BD4A70" w:rsidP="00AD67B9">
      <w:pPr>
        <w:rPr>
          <w:rFonts w:eastAsiaTheme="majorEastAsia" w:cs="Arial"/>
          <w:bCs/>
          <w:color w:val="0D0D0D" w:themeColor="text1" w:themeTint="F2"/>
          <w:sz w:val="24"/>
          <w:szCs w:val="24"/>
        </w:rPr>
      </w:pPr>
    </w:p>
    <w:p w14:paraId="0C2161F3" w14:textId="5F3752DC" w:rsidR="00AD67B9" w:rsidRDefault="00AD67B9" w:rsidP="00AD67B9">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Internationally</w:t>
      </w:r>
      <w:r w:rsidR="00136D79">
        <w:rPr>
          <w:rFonts w:eastAsiaTheme="majorEastAsia" w:cs="Arial"/>
          <w:bCs/>
          <w:color w:val="0D0D0D" w:themeColor="text1" w:themeTint="F2"/>
          <w:sz w:val="24"/>
          <w:szCs w:val="24"/>
        </w:rPr>
        <w:t>,</w:t>
      </w:r>
      <w:r w:rsidRPr="00C20287">
        <w:rPr>
          <w:rFonts w:eastAsiaTheme="majorEastAsia" w:cs="Arial"/>
          <w:bCs/>
          <w:color w:val="0D0D0D" w:themeColor="text1" w:themeTint="F2"/>
          <w:sz w:val="24"/>
          <w:szCs w:val="24"/>
        </w:rPr>
        <w:t xml:space="preserve"> some pharmacists are funded either by governments or by patients to deliver </w:t>
      </w:r>
      <w:r w:rsidR="00B533BB">
        <w:rPr>
          <w:rFonts w:eastAsiaTheme="majorEastAsia" w:cs="Arial"/>
          <w:bCs/>
          <w:color w:val="0D0D0D" w:themeColor="text1" w:themeTint="F2"/>
          <w:sz w:val="24"/>
          <w:szCs w:val="24"/>
        </w:rPr>
        <w:t xml:space="preserve">additional </w:t>
      </w:r>
      <w:r w:rsidRPr="00C20287">
        <w:rPr>
          <w:rFonts w:eastAsiaTheme="majorEastAsia" w:cs="Arial"/>
          <w:bCs/>
          <w:color w:val="0D0D0D" w:themeColor="text1" w:themeTint="F2"/>
          <w:sz w:val="24"/>
          <w:szCs w:val="24"/>
        </w:rPr>
        <w:t xml:space="preserve">services such as ordering laboratory tests, screening patients, treating minor ailments, and implementing chronic care plans prepared by medical practitioners. The potential </w:t>
      </w:r>
      <w:r w:rsidR="007F5836">
        <w:rPr>
          <w:rFonts w:eastAsiaTheme="majorEastAsia" w:cs="Arial"/>
          <w:bCs/>
          <w:color w:val="0D0D0D" w:themeColor="text1" w:themeTint="F2"/>
          <w:sz w:val="24"/>
          <w:szCs w:val="24"/>
        </w:rPr>
        <w:t xml:space="preserve">for innovation </w:t>
      </w:r>
      <w:r w:rsidR="007F5836">
        <w:rPr>
          <w:rFonts w:eastAsiaTheme="majorEastAsia" w:cs="Arial"/>
          <w:bCs/>
          <w:color w:val="0D0D0D" w:themeColor="text1" w:themeTint="F2"/>
          <w:sz w:val="24"/>
          <w:szCs w:val="24"/>
        </w:rPr>
        <w:lastRenderedPageBreak/>
        <w:t>through</w:t>
      </w:r>
      <w:r w:rsidRPr="00C20287">
        <w:rPr>
          <w:rFonts w:eastAsiaTheme="majorEastAsia" w:cs="Arial"/>
          <w:bCs/>
          <w:color w:val="0D0D0D" w:themeColor="text1" w:themeTint="F2"/>
          <w:sz w:val="24"/>
          <w:szCs w:val="24"/>
        </w:rPr>
        <w:t xml:space="preserve"> </w:t>
      </w:r>
      <w:r w:rsidR="007F5836">
        <w:rPr>
          <w:rFonts w:eastAsiaTheme="majorEastAsia" w:cs="Arial"/>
          <w:bCs/>
          <w:color w:val="0D0D0D" w:themeColor="text1" w:themeTint="F2"/>
          <w:sz w:val="24"/>
          <w:szCs w:val="24"/>
        </w:rPr>
        <w:t xml:space="preserve">the </w:t>
      </w:r>
      <w:r w:rsidRPr="00C20287">
        <w:rPr>
          <w:rFonts w:eastAsiaTheme="majorEastAsia" w:cs="Arial"/>
          <w:bCs/>
          <w:color w:val="0D0D0D" w:themeColor="text1" w:themeTint="F2"/>
          <w:sz w:val="24"/>
          <w:szCs w:val="24"/>
        </w:rPr>
        <w:t>establish</w:t>
      </w:r>
      <w:r w:rsidR="007F5836">
        <w:rPr>
          <w:rFonts w:eastAsiaTheme="majorEastAsia" w:cs="Arial"/>
          <w:bCs/>
          <w:color w:val="0D0D0D" w:themeColor="text1" w:themeTint="F2"/>
          <w:sz w:val="24"/>
          <w:szCs w:val="24"/>
        </w:rPr>
        <w:t>ment of</w:t>
      </w:r>
      <w:r w:rsidRPr="00C20287">
        <w:rPr>
          <w:rFonts w:eastAsiaTheme="majorEastAsia" w:cs="Arial"/>
          <w:bCs/>
          <w:color w:val="0D0D0D" w:themeColor="text1" w:themeTint="F2"/>
          <w:sz w:val="24"/>
          <w:szCs w:val="24"/>
        </w:rPr>
        <w:t xml:space="preserve"> similar pharmacy programs for</w:t>
      </w:r>
      <w:r w:rsidR="00D96135" w:rsidRPr="00C20287">
        <w:rPr>
          <w:rFonts w:eastAsiaTheme="majorEastAsia" w:cs="Arial"/>
          <w:bCs/>
          <w:color w:val="0D0D0D" w:themeColor="text1" w:themeTint="F2"/>
          <w:sz w:val="24"/>
          <w:szCs w:val="24"/>
        </w:rPr>
        <w:t xml:space="preserve"> </w:t>
      </w:r>
      <w:r w:rsidRPr="00C20287">
        <w:rPr>
          <w:rFonts w:eastAsiaTheme="majorEastAsia" w:cs="Arial"/>
          <w:bCs/>
          <w:color w:val="0D0D0D" w:themeColor="text1" w:themeTint="F2"/>
          <w:sz w:val="24"/>
          <w:szCs w:val="24"/>
        </w:rPr>
        <w:t xml:space="preserve">patients in Australia has been explored through funded trials. </w:t>
      </w:r>
      <w:r w:rsidR="00F90093">
        <w:rPr>
          <w:rFonts w:eastAsiaTheme="majorEastAsia" w:cs="Arial"/>
          <w:bCs/>
          <w:color w:val="0D0D0D" w:themeColor="text1" w:themeTint="F2"/>
          <w:sz w:val="24"/>
          <w:szCs w:val="24"/>
        </w:rPr>
        <w:t>T</w:t>
      </w:r>
      <w:r w:rsidRPr="00C20287">
        <w:rPr>
          <w:rFonts w:eastAsiaTheme="majorEastAsia" w:cs="Arial"/>
          <w:bCs/>
          <w:color w:val="0D0D0D" w:themeColor="text1" w:themeTint="F2"/>
          <w:sz w:val="24"/>
          <w:szCs w:val="24"/>
        </w:rPr>
        <w:t>rials</w:t>
      </w:r>
      <w:r w:rsidR="00F90093">
        <w:rPr>
          <w:rFonts w:eastAsiaTheme="majorEastAsia" w:cs="Arial"/>
          <w:bCs/>
          <w:color w:val="0D0D0D" w:themeColor="text1" w:themeTint="F2"/>
          <w:sz w:val="24"/>
          <w:szCs w:val="24"/>
        </w:rPr>
        <w:t xml:space="preserve"> undertaken under the 6CPA for example</w:t>
      </w:r>
      <w:r w:rsidRPr="00C20287">
        <w:rPr>
          <w:rFonts w:eastAsiaTheme="majorEastAsia" w:cs="Arial"/>
          <w:bCs/>
          <w:color w:val="0D0D0D" w:themeColor="text1" w:themeTint="F2"/>
          <w:sz w:val="24"/>
          <w:szCs w:val="24"/>
        </w:rPr>
        <w:t xml:space="preserve"> </w:t>
      </w:r>
      <w:r w:rsidR="00616CEA" w:rsidRPr="00616CEA">
        <w:rPr>
          <w:rFonts w:eastAsiaTheme="majorEastAsia" w:cs="Arial"/>
          <w:bCs/>
          <w:color w:val="0D0D0D" w:themeColor="text1" w:themeTint="F2"/>
          <w:sz w:val="24"/>
          <w:szCs w:val="24"/>
        </w:rPr>
        <w:t xml:space="preserve">aimed to </w:t>
      </w:r>
      <w:r w:rsidR="00616CEA">
        <w:rPr>
          <w:rFonts w:eastAsiaTheme="majorEastAsia" w:cs="Arial"/>
          <w:bCs/>
          <w:color w:val="0D0D0D" w:themeColor="text1" w:themeTint="F2"/>
          <w:sz w:val="24"/>
          <w:szCs w:val="24"/>
        </w:rPr>
        <w:t>temporarily fund</w:t>
      </w:r>
      <w:r w:rsidR="00616CEA" w:rsidRPr="00616CEA">
        <w:rPr>
          <w:rFonts w:eastAsiaTheme="majorEastAsia" w:cs="Arial"/>
          <w:bCs/>
          <w:color w:val="0D0D0D" w:themeColor="text1" w:themeTint="F2"/>
          <w:sz w:val="24"/>
          <w:szCs w:val="24"/>
        </w:rPr>
        <w:t xml:space="preserve"> new services that expand</w:t>
      </w:r>
      <w:r w:rsidR="00616CEA">
        <w:rPr>
          <w:rFonts w:eastAsiaTheme="majorEastAsia" w:cs="Arial"/>
          <w:bCs/>
          <w:color w:val="0D0D0D" w:themeColor="text1" w:themeTint="F2"/>
          <w:sz w:val="24"/>
          <w:szCs w:val="24"/>
        </w:rPr>
        <w:t>ed</w:t>
      </w:r>
      <w:r w:rsidR="00616CEA" w:rsidRPr="00616CEA">
        <w:rPr>
          <w:rFonts w:eastAsiaTheme="majorEastAsia" w:cs="Arial"/>
          <w:bCs/>
          <w:color w:val="0D0D0D" w:themeColor="text1" w:themeTint="F2"/>
          <w:sz w:val="24"/>
          <w:szCs w:val="24"/>
        </w:rPr>
        <w:t xml:space="preserve"> the role of pharmacists</w:t>
      </w:r>
      <w:r w:rsidR="00616CEA">
        <w:rPr>
          <w:rFonts w:eastAsiaTheme="majorEastAsia" w:cs="Arial"/>
          <w:bCs/>
          <w:color w:val="0D0D0D" w:themeColor="text1" w:themeTint="F2"/>
          <w:sz w:val="24"/>
          <w:szCs w:val="24"/>
        </w:rPr>
        <w:t xml:space="preserve"> to include </w:t>
      </w:r>
      <w:r w:rsidR="00616CEA" w:rsidRPr="00616CEA">
        <w:rPr>
          <w:rFonts w:eastAsiaTheme="majorEastAsia" w:cs="Arial"/>
          <w:bCs/>
          <w:color w:val="0D0D0D" w:themeColor="text1" w:themeTint="F2"/>
          <w:sz w:val="24"/>
          <w:szCs w:val="24"/>
        </w:rPr>
        <w:t xml:space="preserve">delivering primary health care and </w:t>
      </w:r>
      <w:r w:rsidR="00616CEA">
        <w:rPr>
          <w:rFonts w:eastAsiaTheme="majorEastAsia" w:cs="Arial"/>
          <w:bCs/>
          <w:color w:val="0D0D0D" w:themeColor="text1" w:themeTint="F2"/>
          <w:sz w:val="24"/>
          <w:szCs w:val="24"/>
        </w:rPr>
        <w:t xml:space="preserve">to </w:t>
      </w:r>
      <w:r w:rsidR="00616CEA" w:rsidRPr="00616CEA">
        <w:rPr>
          <w:rFonts w:eastAsiaTheme="majorEastAsia" w:cs="Arial"/>
          <w:bCs/>
          <w:color w:val="0D0D0D" w:themeColor="text1" w:themeTint="F2"/>
          <w:sz w:val="24"/>
          <w:szCs w:val="24"/>
        </w:rPr>
        <w:t xml:space="preserve">improve clinical outcomes for consumers. Eight Pharmacy Trials were funded, and the trial outcomes were subject to an independent assessment by MSAC to inform whether they should be publicly funded for broader rollout. </w:t>
      </w:r>
      <w:r w:rsidR="00616CEA">
        <w:rPr>
          <w:rFonts w:eastAsiaTheme="majorEastAsia" w:cs="Arial"/>
          <w:bCs/>
          <w:color w:val="0D0D0D" w:themeColor="text1" w:themeTint="F2"/>
          <w:sz w:val="24"/>
          <w:szCs w:val="24"/>
        </w:rPr>
        <w:t xml:space="preserve">The trials were </w:t>
      </w:r>
      <w:r w:rsidRPr="00C20287">
        <w:rPr>
          <w:rFonts w:eastAsiaTheme="majorEastAsia" w:cs="Arial"/>
          <w:bCs/>
          <w:color w:val="0D0D0D" w:themeColor="text1" w:themeTint="F2"/>
          <w:sz w:val="24"/>
          <w:szCs w:val="24"/>
        </w:rPr>
        <w:t xml:space="preserve">in the following areas: </w:t>
      </w:r>
    </w:p>
    <w:p w14:paraId="5505D53A" w14:textId="5356C241"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Pharmacy Diabetes Screening Trial (PDST)</w:t>
      </w:r>
    </w:p>
    <w:p w14:paraId="31D941D9" w14:textId="0D6D2B45"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Improved Medication Management for Aboriginal and Torres Strait Islanders (IMeRSe) Feasibility Study</w:t>
      </w:r>
    </w:p>
    <w:p w14:paraId="5B5BEEEF" w14:textId="0AE855B3"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 xml:space="preserve">Integrating Practice Pharmacists into Aboriginal Community Controlled Health Services (IPAC) Project </w:t>
      </w:r>
    </w:p>
    <w:p w14:paraId="70EA272E" w14:textId="77777777"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Reducing Medicine Induced Deterioration and Adverse Reactions (ReMInDAR) Trial</w:t>
      </w:r>
    </w:p>
    <w:p w14:paraId="0289B0EB" w14:textId="77777777"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Getting your Asthma Under Control Using The Skills of the Community pharmacist</w:t>
      </w:r>
    </w:p>
    <w:p w14:paraId="6524D48A" w14:textId="77777777"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Chronic Pain MedsCheck (CPMC) Trial</w:t>
      </w:r>
    </w:p>
    <w:p w14:paraId="002E16A1" w14:textId="43C7AB84" w:rsidR="00215DD9"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Bridging the Gap Between Physical and Mental Illness in Community Pharmacy (PharMIbridge) TrialEarly Detection</w:t>
      </w:r>
      <w:r w:rsidR="00215DD9">
        <w:rPr>
          <w:rFonts w:eastAsiaTheme="majorEastAsia" w:cs="Arial"/>
          <w:bCs/>
          <w:color w:val="0D0D0D" w:themeColor="text1" w:themeTint="F2"/>
          <w:sz w:val="24"/>
          <w:szCs w:val="24"/>
        </w:rPr>
        <w:t>,</w:t>
      </w:r>
      <w:r w:rsidRPr="00616CEA">
        <w:rPr>
          <w:rFonts w:eastAsiaTheme="majorEastAsia" w:cs="Arial"/>
          <w:bCs/>
          <w:color w:val="0D0D0D" w:themeColor="text1" w:themeTint="F2"/>
          <w:sz w:val="24"/>
          <w:szCs w:val="24"/>
        </w:rPr>
        <w:t xml:space="preserve"> and </w:t>
      </w:r>
    </w:p>
    <w:p w14:paraId="0FD41B9B" w14:textId="77472A48" w:rsidR="005B1407" w:rsidRPr="00616CEA" w:rsidRDefault="005B1407" w:rsidP="0095671A">
      <w:pPr>
        <w:pStyle w:val="ListParagraph"/>
        <w:numPr>
          <w:ilvl w:val="0"/>
          <w:numId w:val="33"/>
        </w:numPr>
        <w:rPr>
          <w:rFonts w:eastAsiaTheme="majorEastAsia" w:cs="Arial"/>
          <w:bCs/>
          <w:color w:val="0D0D0D" w:themeColor="text1" w:themeTint="F2"/>
          <w:sz w:val="24"/>
          <w:szCs w:val="24"/>
        </w:rPr>
      </w:pPr>
      <w:r w:rsidRPr="00616CEA">
        <w:rPr>
          <w:rFonts w:eastAsiaTheme="majorEastAsia" w:cs="Arial"/>
          <w:bCs/>
          <w:color w:val="0D0D0D" w:themeColor="text1" w:themeTint="F2"/>
          <w:sz w:val="24"/>
          <w:szCs w:val="24"/>
        </w:rPr>
        <w:t xml:space="preserve">Management of Cardiovascular Disease (CVD) Risk Factors and Chronic Disease Markers in Community Pharmacy </w:t>
      </w:r>
    </w:p>
    <w:p w14:paraId="317F5E5C" w14:textId="640C8F27" w:rsidR="00506AC1" w:rsidRPr="00C20287" w:rsidDel="005B1407" w:rsidRDefault="00AD67B9" w:rsidP="00056671">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 xml:space="preserve">MSAC has </w:t>
      </w:r>
      <w:r w:rsidR="00783EBD">
        <w:rPr>
          <w:rFonts w:eastAsiaTheme="majorEastAsia" w:cs="Arial"/>
          <w:bCs/>
          <w:color w:val="0D0D0D" w:themeColor="text1" w:themeTint="F2"/>
          <w:sz w:val="24"/>
          <w:szCs w:val="24"/>
        </w:rPr>
        <w:t xml:space="preserve">considered all eight trials </w:t>
      </w:r>
      <w:r w:rsidR="00170E49">
        <w:rPr>
          <w:rFonts w:eastAsiaTheme="majorEastAsia" w:cs="Arial"/>
          <w:bCs/>
          <w:color w:val="0D0D0D" w:themeColor="text1" w:themeTint="F2"/>
          <w:sz w:val="24"/>
          <w:szCs w:val="24"/>
        </w:rPr>
        <w:t xml:space="preserve">but it has only </w:t>
      </w:r>
      <w:r w:rsidRPr="00C20287">
        <w:rPr>
          <w:rFonts w:eastAsiaTheme="majorEastAsia" w:cs="Arial"/>
          <w:bCs/>
          <w:color w:val="0D0D0D" w:themeColor="text1" w:themeTint="F2"/>
          <w:sz w:val="24"/>
          <w:szCs w:val="24"/>
        </w:rPr>
        <w:t>recommended support for</w:t>
      </w:r>
      <w:r w:rsidR="00616CEA">
        <w:rPr>
          <w:rFonts w:eastAsiaTheme="majorEastAsia" w:cs="Arial"/>
          <w:bCs/>
          <w:color w:val="0D0D0D" w:themeColor="text1" w:themeTint="F2"/>
          <w:sz w:val="24"/>
          <w:szCs w:val="24"/>
        </w:rPr>
        <w:t xml:space="preserve"> the</w:t>
      </w:r>
      <w:r w:rsidRPr="00C20287">
        <w:rPr>
          <w:rFonts w:eastAsiaTheme="majorEastAsia" w:cs="Arial"/>
          <w:bCs/>
          <w:color w:val="0D0D0D" w:themeColor="text1" w:themeTint="F2"/>
          <w:sz w:val="24"/>
          <w:szCs w:val="24"/>
        </w:rPr>
        <w:t xml:space="preserve"> broader rollout of a </w:t>
      </w:r>
      <w:r w:rsidR="007F5836">
        <w:rPr>
          <w:rFonts w:eastAsiaTheme="majorEastAsia" w:cs="Arial"/>
          <w:bCs/>
          <w:color w:val="0D0D0D" w:themeColor="text1" w:themeTint="F2"/>
          <w:sz w:val="24"/>
          <w:szCs w:val="24"/>
        </w:rPr>
        <w:t xml:space="preserve">program to </w:t>
      </w:r>
      <w:r w:rsidRPr="00C20287">
        <w:rPr>
          <w:rFonts w:eastAsiaTheme="majorEastAsia" w:cs="Arial"/>
          <w:bCs/>
          <w:color w:val="0D0D0D" w:themeColor="text1" w:themeTint="F2"/>
          <w:sz w:val="24"/>
          <w:szCs w:val="24"/>
        </w:rPr>
        <w:t>integrat</w:t>
      </w:r>
      <w:r w:rsidR="007F5836">
        <w:rPr>
          <w:rFonts w:eastAsiaTheme="majorEastAsia" w:cs="Arial"/>
          <w:bCs/>
          <w:color w:val="0D0D0D" w:themeColor="text1" w:themeTint="F2"/>
          <w:sz w:val="24"/>
          <w:szCs w:val="24"/>
        </w:rPr>
        <w:t>e</w:t>
      </w:r>
      <w:r w:rsidRPr="00C20287">
        <w:rPr>
          <w:rFonts w:eastAsiaTheme="majorEastAsia" w:cs="Arial"/>
          <w:bCs/>
          <w:color w:val="0D0D0D" w:themeColor="text1" w:themeTint="F2"/>
          <w:sz w:val="24"/>
          <w:szCs w:val="24"/>
        </w:rPr>
        <w:t xml:space="preserve"> pharmacists into </w:t>
      </w:r>
      <w:r w:rsidR="00136D79" w:rsidRPr="00136D79">
        <w:rPr>
          <w:rFonts w:eastAsiaTheme="majorEastAsia" w:cs="Arial"/>
          <w:bCs/>
          <w:color w:val="0D0D0D" w:themeColor="text1" w:themeTint="F2"/>
          <w:sz w:val="24"/>
          <w:szCs w:val="24"/>
        </w:rPr>
        <w:t>Aboriginal Community Controlled Health Organisation (</w:t>
      </w:r>
      <w:r w:rsidRPr="00C20287">
        <w:rPr>
          <w:rFonts w:eastAsiaTheme="majorEastAsia" w:cs="Arial"/>
          <w:bCs/>
          <w:color w:val="0D0D0D" w:themeColor="text1" w:themeTint="F2"/>
          <w:sz w:val="24"/>
          <w:szCs w:val="24"/>
        </w:rPr>
        <w:t>ACCH</w:t>
      </w:r>
      <w:r w:rsidR="00783EBD">
        <w:rPr>
          <w:rFonts w:eastAsiaTheme="majorEastAsia" w:cs="Arial"/>
          <w:bCs/>
          <w:color w:val="0D0D0D" w:themeColor="text1" w:themeTint="F2"/>
          <w:sz w:val="24"/>
          <w:szCs w:val="24"/>
        </w:rPr>
        <w:t>O</w:t>
      </w:r>
      <w:r w:rsidRPr="00C20287">
        <w:rPr>
          <w:rFonts w:eastAsiaTheme="majorEastAsia" w:cs="Arial"/>
          <w:bCs/>
          <w:color w:val="0D0D0D" w:themeColor="text1" w:themeTint="F2"/>
          <w:sz w:val="24"/>
          <w:szCs w:val="24"/>
        </w:rPr>
        <w:t>S</w:t>
      </w:r>
      <w:r w:rsidR="00136D79">
        <w:rPr>
          <w:rFonts w:eastAsiaTheme="majorEastAsia" w:cs="Arial"/>
          <w:bCs/>
          <w:color w:val="0D0D0D" w:themeColor="text1" w:themeTint="F2"/>
          <w:sz w:val="24"/>
          <w:szCs w:val="24"/>
        </w:rPr>
        <w:t xml:space="preserve">) </w:t>
      </w:r>
      <w:r w:rsidRPr="00C20287">
        <w:rPr>
          <w:rFonts w:eastAsiaTheme="majorEastAsia" w:cs="Arial"/>
          <w:bCs/>
          <w:color w:val="0D0D0D" w:themeColor="text1" w:themeTint="F2"/>
          <w:sz w:val="24"/>
          <w:szCs w:val="24"/>
        </w:rPr>
        <w:t xml:space="preserve">and </w:t>
      </w:r>
      <w:r w:rsidR="00136D79">
        <w:rPr>
          <w:rFonts w:eastAsiaTheme="majorEastAsia" w:cs="Arial"/>
          <w:bCs/>
          <w:color w:val="0D0D0D" w:themeColor="text1" w:themeTint="F2"/>
          <w:sz w:val="24"/>
          <w:szCs w:val="24"/>
        </w:rPr>
        <w:t>Aboriginal Health Service (</w:t>
      </w:r>
      <w:r w:rsidRPr="00C20287">
        <w:rPr>
          <w:rFonts w:eastAsiaTheme="majorEastAsia" w:cs="Arial"/>
          <w:bCs/>
          <w:color w:val="0D0D0D" w:themeColor="text1" w:themeTint="F2"/>
          <w:sz w:val="24"/>
          <w:szCs w:val="24"/>
        </w:rPr>
        <w:t>AHS</w:t>
      </w:r>
      <w:r w:rsidR="00136D79">
        <w:rPr>
          <w:rFonts w:eastAsiaTheme="majorEastAsia" w:cs="Arial"/>
          <w:bCs/>
          <w:color w:val="0D0D0D" w:themeColor="text1" w:themeTint="F2"/>
          <w:sz w:val="24"/>
          <w:szCs w:val="24"/>
        </w:rPr>
        <w:t>)</w:t>
      </w:r>
      <w:r w:rsidR="00783EBD">
        <w:rPr>
          <w:rFonts w:eastAsiaTheme="majorEastAsia" w:cs="Arial"/>
          <w:bCs/>
          <w:color w:val="0D0D0D" w:themeColor="text1" w:themeTint="F2"/>
          <w:sz w:val="24"/>
          <w:szCs w:val="24"/>
        </w:rPr>
        <w:t xml:space="preserve"> multidisciplinary care</w:t>
      </w:r>
      <w:r w:rsidR="00F27E11">
        <w:rPr>
          <w:rFonts w:eastAsiaTheme="majorEastAsia" w:cs="Arial"/>
          <w:bCs/>
          <w:color w:val="0D0D0D" w:themeColor="text1" w:themeTint="F2"/>
          <w:sz w:val="24"/>
          <w:szCs w:val="24"/>
        </w:rPr>
        <w:t xml:space="preserve"> teams</w:t>
      </w:r>
      <w:r w:rsidR="00783EBD">
        <w:rPr>
          <w:rFonts w:eastAsiaTheme="majorEastAsia" w:cs="Arial"/>
          <w:bCs/>
          <w:color w:val="0D0D0D" w:themeColor="text1" w:themeTint="F2"/>
          <w:sz w:val="24"/>
          <w:szCs w:val="24"/>
        </w:rPr>
        <w:t xml:space="preserve"> in line with the trial</w:t>
      </w:r>
      <w:r w:rsidR="00F27E11" w:rsidRPr="00136D79">
        <w:footnoteReference w:id="56"/>
      </w:r>
      <w:r w:rsidR="00F27E11">
        <w:rPr>
          <w:rFonts w:eastAsiaTheme="majorEastAsia" w:cs="Arial"/>
          <w:bCs/>
          <w:color w:val="0D0D0D" w:themeColor="text1" w:themeTint="F2"/>
          <w:sz w:val="24"/>
          <w:szCs w:val="24"/>
        </w:rPr>
        <w:t xml:space="preserve"> which was undertaken as a</w:t>
      </w:r>
      <w:r w:rsidR="00783EBD" w:rsidRPr="00783EBD">
        <w:rPr>
          <w:rFonts w:eastAsiaTheme="majorEastAsia" w:cs="Arial"/>
          <w:bCs/>
          <w:color w:val="0D0D0D" w:themeColor="text1" w:themeTint="F2"/>
          <w:sz w:val="24"/>
          <w:szCs w:val="24"/>
        </w:rPr>
        <w:t xml:space="preserve"> collaborative partnership between James Cook University, the </w:t>
      </w:r>
      <w:r w:rsidR="00136D79">
        <w:rPr>
          <w:rFonts w:eastAsiaTheme="majorEastAsia" w:cs="Arial"/>
          <w:bCs/>
          <w:color w:val="0D0D0D" w:themeColor="text1" w:themeTint="F2"/>
          <w:sz w:val="24"/>
          <w:szCs w:val="24"/>
        </w:rPr>
        <w:t xml:space="preserve">PSA </w:t>
      </w:r>
      <w:r w:rsidR="00783EBD" w:rsidRPr="00783EBD">
        <w:rPr>
          <w:rFonts w:eastAsiaTheme="majorEastAsia" w:cs="Arial"/>
          <w:bCs/>
          <w:color w:val="0D0D0D" w:themeColor="text1" w:themeTint="F2"/>
          <w:sz w:val="24"/>
          <w:szCs w:val="24"/>
        </w:rPr>
        <w:t>and NACCHO</w:t>
      </w:r>
      <w:r w:rsidR="00F27E11">
        <w:rPr>
          <w:rFonts w:eastAsiaTheme="majorEastAsia" w:cs="Arial"/>
          <w:bCs/>
          <w:color w:val="0D0D0D" w:themeColor="text1" w:themeTint="F2"/>
          <w:sz w:val="24"/>
          <w:szCs w:val="24"/>
        </w:rPr>
        <w:t>.</w:t>
      </w:r>
      <w:r w:rsidR="00783EBD" w:rsidRPr="00783EBD">
        <w:rPr>
          <w:rFonts w:eastAsiaTheme="majorEastAsia" w:cs="Arial"/>
          <w:bCs/>
          <w:color w:val="0D0D0D" w:themeColor="text1" w:themeTint="F2"/>
          <w:sz w:val="24"/>
          <w:szCs w:val="24"/>
        </w:rPr>
        <w:t xml:space="preserve"> </w:t>
      </w:r>
      <w:r w:rsidR="00F27E11">
        <w:rPr>
          <w:rFonts w:eastAsiaTheme="majorEastAsia" w:cs="Arial"/>
          <w:bCs/>
          <w:color w:val="0D0D0D" w:themeColor="text1" w:themeTint="F2"/>
          <w:sz w:val="24"/>
          <w:szCs w:val="24"/>
        </w:rPr>
        <w:t>O</w:t>
      </w:r>
      <w:r w:rsidR="00F90093">
        <w:rPr>
          <w:rFonts w:eastAsiaTheme="majorEastAsia" w:cs="Arial"/>
          <w:bCs/>
          <w:color w:val="0D0D0D" w:themeColor="text1" w:themeTint="F2"/>
          <w:sz w:val="24"/>
          <w:szCs w:val="24"/>
        </w:rPr>
        <w:t xml:space="preserve">pportunities for </w:t>
      </w:r>
      <w:r w:rsidR="00F27E11">
        <w:rPr>
          <w:rFonts w:eastAsiaTheme="majorEastAsia" w:cs="Arial"/>
          <w:bCs/>
          <w:color w:val="0D0D0D" w:themeColor="text1" w:themeTint="F2"/>
          <w:sz w:val="24"/>
          <w:szCs w:val="24"/>
        </w:rPr>
        <w:t xml:space="preserve">the implementation of </w:t>
      </w:r>
      <w:r w:rsidR="00F90093">
        <w:rPr>
          <w:rFonts w:eastAsiaTheme="majorEastAsia" w:cs="Arial"/>
          <w:bCs/>
          <w:color w:val="0D0D0D" w:themeColor="text1" w:themeTint="F2"/>
          <w:sz w:val="24"/>
          <w:szCs w:val="24"/>
        </w:rPr>
        <w:t xml:space="preserve">this program are </w:t>
      </w:r>
      <w:r w:rsidR="007F5836">
        <w:rPr>
          <w:rFonts w:eastAsiaTheme="majorEastAsia" w:cs="Arial"/>
          <w:bCs/>
          <w:color w:val="0D0D0D" w:themeColor="text1" w:themeTint="F2"/>
          <w:sz w:val="24"/>
          <w:szCs w:val="24"/>
        </w:rPr>
        <w:t>continuing to be explored</w:t>
      </w:r>
      <w:r w:rsidRPr="00C20287">
        <w:rPr>
          <w:rFonts w:eastAsiaTheme="majorEastAsia" w:cs="Arial"/>
          <w:bCs/>
          <w:color w:val="0D0D0D" w:themeColor="text1" w:themeTint="F2"/>
          <w:sz w:val="24"/>
          <w:szCs w:val="24"/>
        </w:rPr>
        <w:t>. For all other trials</w:t>
      </w:r>
      <w:r w:rsidR="00AE7BEE">
        <w:rPr>
          <w:rFonts w:eastAsiaTheme="majorEastAsia" w:cs="Arial"/>
          <w:bCs/>
          <w:color w:val="0D0D0D" w:themeColor="text1" w:themeTint="F2"/>
          <w:sz w:val="24"/>
          <w:szCs w:val="24"/>
        </w:rPr>
        <w:t xml:space="preserve"> under the 6CPA</w:t>
      </w:r>
      <w:r w:rsidRPr="00C20287">
        <w:rPr>
          <w:rFonts w:eastAsiaTheme="majorEastAsia" w:cs="Arial"/>
          <w:bCs/>
          <w:color w:val="0D0D0D" w:themeColor="text1" w:themeTint="F2"/>
          <w:sz w:val="24"/>
          <w:szCs w:val="24"/>
        </w:rPr>
        <w:t>, MSAC has not recommended support due to insufficient evidence of benefit, with further or stronger evidence needing to be collected in most cases.</w:t>
      </w:r>
      <w:r w:rsidR="007F5836">
        <w:rPr>
          <w:rFonts w:eastAsiaTheme="majorEastAsia" w:cs="Arial"/>
          <w:bCs/>
          <w:color w:val="0D0D0D" w:themeColor="text1" w:themeTint="F2"/>
          <w:sz w:val="24"/>
          <w:szCs w:val="24"/>
        </w:rPr>
        <w:t xml:space="preserve"> </w:t>
      </w:r>
    </w:p>
    <w:p w14:paraId="1032A56A" w14:textId="300D729B" w:rsidR="00A42745" w:rsidRPr="00C20287" w:rsidRDefault="00A42745" w:rsidP="00A42745">
      <w:pPr>
        <w:rPr>
          <w:rFonts w:eastAsiaTheme="majorEastAsia" w:cs="Arial"/>
          <w:bCs/>
          <w:color w:val="0D0D0D" w:themeColor="text1" w:themeTint="F2"/>
          <w:sz w:val="24"/>
          <w:szCs w:val="24"/>
        </w:rPr>
      </w:pPr>
      <w:r w:rsidRPr="00C20287">
        <w:rPr>
          <w:rFonts w:eastAsiaTheme="majorEastAsia" w:cs="Arial"/>
          <w:bCs/>
          <w:color w:val="0D0D0D" w:themeColor="text1" w:themeTint="F2"/>
          <w:sz w:val="24"/>
          <w:szCs w:val="24"/>
        </w:rPr>
        <w:t xml:space="preserve">To maximise efficiencies and ensure ongoing sustainability it is essential that pharmacy programs </w:t>
      </w:r>
      <w:r w:rsidR="00F90093">
        <w:rPr>
          <w:rFonts w:eastAsiaTheme="majorEastAsia" w:cs="Arial"/>
          <w:bCs/>
          <w:color w:val="0D0D0D" w:themeColor="text1" w:themeTint="F2"/>
          <w:sz w:val="24"/>
          <w:szCs w:val="24"/>
        </w:rPr>
        <w:t xml:space="preserve">continue to </w:t>
      </w:r>
      <w:r w:rsidRPr="00C20287">
        <w:rPr>
          <w:rFonts w:eastAsiaTheme="majorEastAsia" w:cs="Arial"/>
          <w:bCs/>
          <w:color w:val="0D0D0D" w:themeColor="text1" w:themeTint="F2"/>
          <w:sz w:val="24"/>
          <w:szCs w:val="24"/>
        </w:rPr>
        <w:t xml:space="preserve">encourage collaboration and innovation and make the most of opportunities to improve health outcomes for all Australians. This will be particularly relevant as the use of personalised medicine approaches increases. </w:t>
      </w:r>
    </w:p>
    <w:p w14:paraId="7AE5C2FC" w14:textId="5A2A9EC5" w:rsidR="00801089" w:rsidRDefault="00A42745" w:rsidP="00056671">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Many stakeholders, with the exception of the Guild, have indicated that e</w:t>
      </w:r>
      <w:r w:rsidR="00736788" w:rsidRPr="00C20287">
        <w:rPr>
          <w:rFonts w:eastAsiaTheme="majorEastAsia" w:cs="Arial"/>
          <w:bCs/>
          <w:color w:val="0D0D0D" w:themeColor="text1" w:themeTint="F2"/>
          <w:sz w:val="24"/>
          <w:szCs w:val="24"/>
        </w:rPr>
        <w:t>xisting arrangements for</w:t>
      </w:r>
      <w:r w:rsidR="00D55B68" w:rsidRPr="00C20287">
        <w:rPr>
          <w:rFonts w:eastAsiaTheme="majorEastAsia" w:cs="Arial"/>
          <w:bCs/>
          <w:color w:val="0D0D0D" w:themeColor="text1" w:themeTint="F2"/>
          <w:sz w:val="24"/>
          <w:szCs w:val="24"/>
        </w:rPr>
        <w:t xml:space="preserve"> the identification, design and </w:t>
      </w:r>
      <w:r w:rsidR="00736788" w:rsidRPr="00C20287">
        <w:rPr>
          <w:rFonts w:eastAsiaTheme="majorEastAsia" w:cs="Arial"/>
          <w:bCs/>
          <w:color w:val="0D0D0D" w:themeColor="text1" w:themeTint="F2"/>
          <w:sz w:val="24"/>
          <w:szCs w:val="24"/>
        </w:rPr>
        <w:t xml:space="preserve">agreement to pharmacy programs </w:t>
      </w:r>
      <w:r w:rsidR="00D54FEA" w:rsidRPr="00C20287">
        <w:rPr>
          <w:rFonts w:eastAsiaTheme="majorEastAsia" w:cs="Arial"/>
          <w:bCs/>
          <w:color w:val="0D0D0D" w:themeColor="text1" w:themeTint="F2"/>
          <w:sz w:val="24"/>
          <w:szCs w:val="24"/>
        </w:rPr>
        <w:t>could be</w:t>
      </w:r>
      <w:r w:rsidR="00736788" w:rsidRPr="00C20287">
        <w:rPr>
          <w:rFonts w:eastAsiaTheme="majorEastAsia" w:cs="Arial"/>
          <w:bCs/>
          <w:color w:val="0D0D0D" w:themeColor="text1" w:themeTint="F2"/>
          <w:sz w:val="24"/>
          <w:szCs w:val="24"/>
        </w:rPr>
        <w:t xml:space="preserve"> enhanced by</w:t>
      </w:r>
      <w:r w:rsidR="00F90093">
        <w:rPr>
          <w:rFonts w:eastAsiaTheme="majorEastAsia" w:cs="Arial"/>
          <w:bCs/>
          <w:color w:val="0D0D0D" w:themeColor="text1" w:themeTint="F2"/>
          <w:sz w:val="24"/>
          <w:szCs w:val="24"/>
        </w:rPr>
        <w:t xml:space="preserve"> separating program funding f</w:t>
      </w:r>
      <w:r w:rsidR="004D1F42">
        <w:rPr>
          <w:rFonts w:eastAsiaTheme="majorEastAsia" w:cs="Arial"/>
          <w:bCs/>
          <w:color w:val="0D0D0D" w:themeColor="text1" w:themeTint="F2"/>
          <w:sz w:val="24"/>
          <w:szCs w:val="24"/>
        </w:rPr>
        <w:t>ro</w:t>
      </w:r>
      <w:r w:rsidR="00F90093">
        <w:rPr>
          <w:rFonts w:eastAsiaTheme="majorEastAsia" w:cs="Arial"/>
          <w:bCs/>
          <w:color w:val="0D0D0D" w:themeColor="text1" w:themeTint="F2"/>
          <w:sz w:val="24"/>
          <w:szCs w:val="24"/>
        </w:rPr>
        <w:t>m the CPA to</w:t>
      </w:r>
      <w:r w:rsidR="00736788" w:rsidRPr="00C20287">
        <w:rPr>
          <w:rFonts w:eastAsiaTheme="majorEastAsia" w:cs="Arial"/>
          <w:bCs/>
          <w:color w:val="0D0D0D" w:themeColor="text1" w:themeTint="F2"/>
          <w:sz w:val="24"/>
          <w:szCs w:val="24"/>
        </w:rPr>
        <w:t xml:space="preserve"> increas</w:t>
      </w:r>
      <w:r w:rsidR="00F90093">
        <w:rPr>
          <w:rFonts w:eastAsiaTheme="majorEastAsia" w:cs="Arial"/>
          <w:bCs/>
          <w:color w:val="0D0D0D" w:themeColor="text1" w:themeTint="F2"/>
          <w:sz w:val="24"/>
          <w:szCs w:val="24"/>
        </w:rPr>
        <w:t>e</w:t>
      </w:r>
      <w:r w:rsidR="00736788" w:rsidRPr="00C20287">
        <w:rPr>
          <w:rFonts w:eastAsiaTheme="majorEastAsia" w:cs="Arial"/>
          <w:bCs/>
          <w:color w:val="0D0D0D" w:themeColor="text1" w:themeTint="F2"/>
          <w:sz w:val="24"/>
          <w:szCs w:val="24"/>
        </w:rPr>
        <w:t xml:space="preserve"> the opportunities</w:t>
      </w:r>
      <w:r w:rsidR="00D54FEA" w:rsidRPr="00C20287">
        <w:rPr>
          <w:rFonts w:eastAsiaTheme="majorEastAsia" w:cs="Arial"/>
          <w:bCs/>
          <w:color w:val="0D0D0D" w:themeColor="text1" w:themeTint="F2"/>
          <w:sz w:val="24"/>
          <w:szCs w:val="24"/>
        </w:rPr>
        <w:t xml:space="preserve"> for</w:t>
      </w:r>
      <w:r w:rsidR="00736788" w:rsidRPr="00C20287">
        <w:rPr>
          <w:rFonts w:eastAsiaTheme="majorEastAsia" w:cs="Arial"/>
          <w:bCs/>
          <w:color w:val="0D0D0D" w:themeColor="text1" w:themeTint="F2"/>
          <w:sz w:val="24"/>
          <w:szCs w:val="24"/>
        </w:rPr>
        <w:t xml:space="preserve"> engagement with a broader range of stakeholders including</w:t>
      </w:r>
      <w:r w:rsidR="00801089" w:rsidRPr="00C20287">
        <w:rPr>
          <w:rFonts w:eastAsiaTheme="majorEastAsia" w:cs="Arial"/>
          <w:bCs/>
          <w:color w:val="0D0D0D" w:themeColor="text1" w:themeTint="F2"/>
          <w:sz w:val="24"/>
          <w:szCs w:val="24"/>
        </w:rPr>
        <w:t xml:space="preserve"> consumers, </w:t>
      </w:r>
      <w:r w:rsidR="00731391" w:rsidRPr="00C20287">
        <w:rPr>
          <w:rFonts w:eastAsiaTheme="majorEastAsia" w:cs="Arial"/>
          <w:bCs/>
          <w:color w:val="0D0D0D" w:themeColor="text1" w:themeTint="F2"/>
          <w:sz w:val="24"/>
          <w:szCs w:val="24"/>
        </w:rPr>
        <w:t>s</w:t>
      </w:r>
      <w:r w:rsidR="00801089" w:rsidRPr="00C20287">
        <w:rPr>
          <w:rFonts w:eastAsiaTheme="majorEastAsia" w:cs="Arial"/>
          <w:bCs/>
          <w:color w:val="0D0D0D" w:themeColor="text1" w:themeTint="F2"/>
          <w:sz w:val="24"/>
          <w:szCs w:val="24"/>
        </w:rPr>
        <w:t xml:space="preserve">tate and </w:t>
      </w:r>
      <w:r w:rsidR="00731391" w:rsidRPr="00C20287">
        <w:rPr>
          <w:rFonts w:eastAsiaTheme="majorEastAsia" w:cs="Arial"/>
          <w:bCs/>
          <w:color w:val="0D0D0D" w:themeColor="text1" w:themeTint="F2"/>
          <w:sz w:val="24"/>
          <w:szCs w:val="24"/>
        </w:rPr>
        <w:t>t</w:t>
      </w:r>
      <w:r w:rsidR="00801089" w:rsidRPr="00C20287">
        <w:rPr>
          <w:rFonts w:eastAsiaTheme="majorEastAsia" w:cs="Arial"/>
          <w:bCs/>
          <w:color w:val="0D0D0D" w:themeColor="text1" w:themeTint="F2"/>
          <w:sz w:val="24"/>
          <w:szCs w:val="24"/>
        </w:rPr>
        <w:t xml:space="preserve">erritory </w:t>
      </w:r>
      <w:r w:rsidR="00736788" w:rsidRPr="00C20287">
        <w:rPr>
          <w:rFonts w:eastAsiaTheme="majorEastAsia" w:cs="Arial"/>
          <w:bCs/>
          <w:color w:val="0D0D0D" w:themeColor="text1" w:themeTint="F2"/>
          <w:sz w:val="24"/>
          <w:szCs w:val="24"/>
        </w:rPr>
        <w:t xml:space="preserve">governments, regulators, pharmaceutical </w:t>
      </w:r>
      <w:r w:rsidR="00801089" w:rsidRPr="00C20287">
        <w:rPr>
          <w:rFonts w:eastAsiaTheme="majorEastAsia" w:cs="Arial"/>
          <w:bCs/>
          <w:color w:val="0D0D0D" w:themeColor="text1" w:themeTint="F2"/>
          <w:sz w:val="24"/>
          <w:szCs w:val="24"/>
        </w:rPr>
        <w:t>manufacturers, wholesal</w:t>
      </w:r>
      <w:r w:rsidR="00736788" w:rsidRPr="00C20287">
        <w:rPr>
          <w:rFonts w:eastAsiaTheme="majorEastAsia" w:cs="Arial"/>
          <w:bCs/>
          <w:color w:val="0D0D0D" w:themeColor="text1" w:themeTint="F2"/>
          <w:sz w:val="24"/>
          <w:szCs w:val="24"/>
        </w:rPr>
        <w:t>ers, and pharmacy organisations.</w:t>
      </w:r>
      <w:r w:rsidR="00616CEA">
        <w:rPr>
          <w:rFonts w:eastAsiaTheme="majorEastAsia" w:cs="Arial"/>
          <w:bCs/>
          <w:color w:val="0D0D0D" w:themeColor="text1" w:themeTint="F2"/>
          <w:sz w:val="24"/>
          <w:szCs w:val="24"/>
        </w:rPr>
        <w:t xml:space="preserve"> </w:t>
      </w:r>
    </w:p>
    <w:p w14:paraId="066C84D4" w14:textId="77777777" w:rsidR="00A63ADA" w:rsidRPr="00C20287" w:rsidRDefault="00A63ADA" w:rsidP="00A63ADA">
      <w:pPr>
        <w:rPr>
          <w:rFonts w:eastAsiaTheme="majorEastAsia" w:cs="Arial"/>
          <w:bCs/>
          <w:color w:val="0D0D0D" w:themeColor="text1" w:themeTint="F2"/>
          <w:sz w:val="24"/>
          <w:szCs w:val="24"/>
        </w:rPr>
      </w:pPr>
    </w:p>
    <w:p w14:paraId="4EDF5579" w14:textId="77777777" w:rsidR="00C51551" w:rsidRPr="00C20287" w:rsidRDefault="00C51551" w:rsidP="00705663">
      <w:pPr>
        <w:pStyle w:val="Heading2"/>
        <w:pageBreakBefore/>
      </w:pPr>
      <w:bookmarkStart w:id="56" w:name="_Toc132192300"/>
      <w:bookmarkStart w:id="57" w:name="_Toc168652738"/>
      <w:r w:rsidRPr="00C20287">
        <w:lastRenderedPageBreak/>
        <w:t xml:space="preserve">2. </w:t>
      </w:r>
      <w:r w:rsidR="00663F85" w:rsidRPr="00C20287">
        <w:t xml:space="preserve">Why is government </w:t>
      </w:r>
      <w:r w:rsidR="00774EAC" w:rsidRPr="00C20287">
        <w:t>action</w:t>
      </w:r>
      <w:r w:rsidR="00663F85" w:rsidRPr="00C20287">
        <w:t xml:space="preserve"> needed?</w:t>
      </w:r>
      <w:bookmarkEnd w:id="56"/>
      <w:bookmarkEnd w:id="57"/>
    </w:p>
    <w:p w14:paraId="6CB7DAFC" w14:textId="2F271B4B" w:rsidR="006E04C5" w:rsidRDefault="00633E47" w:rsidP="00633E47">
      <w:pPr>
        <w:rPr>
          <w:sz w:val="24"/>
          <w:szCs w:val="24"/>
        </w:rPr>
      </w:pPr>
      <w:r w:rsidRPr="00633E47">
        <w:rPr>
          <w:sz w:val="24"/>
          <w:szCs w:val="24"/>
        </w:rPr>
        <w:t xml:space="preserve">The provision of safe, effective and </w:t>
      </w:r>
      <w:r w:rsidR="005B1F64">
        <w:rPr>
          <w:sz w:val="24"/>
          <w:szCs w:val="24"/>
        </w:rPr>
        <w:t xml:space="preserve">affordable </w:t>
      </w:r>
      <w:r w:rsidRPr="00633E47">
        <w:rPr>
          <w:sz w:val="24"/>
          <w:szCs w:val="24"/>
        </w:rPr>
        <w:t xml:space="preserve">medicines plays a fundamental role in the </w:t>
      </w:r>
      <w:r w:rsidR="00654479" w:rsidRPr="00633E47">
        <w:rPr>
          <w:sz w:val="24"/>
          <w:szCs w:val="24"/>
        </w:rPr>
        <w:t>delivery</w:t>
      </w:r>
      <w:r w:rsidRPr="00633E47">
        <w:rPr>
          <w:sz w:val="24"/>
          <w:szCs w:val="24"/>
        </w:rPr>
        <w:t xml:space="preserve"> of health services in Australia as part of our universal health system. If Australians were unable to access </w:t>
      </w:r>
      <w:r w:rsidR="005B1F64">
        <w:rPr>
          <w:sz w:val="24"/>
          <w:szCs w:val="24"/>
        </w:rPr>
        <w:t xml:space="preserve">PBS </w:t>
      </w:r>
      <w:r w:rsidRPr="00633E47">
        <w:rPr>
          <w:sz w:val="24"/>
          <w:szCs w:val="24"/>
        </w:rPr>
        <w:t xml:space="preserve">medicines </w:t>
      </w:r>
      <w:r w:rsidR="006E04C5">
        <w:rPr>
          <w:sz w:val="24"/>
          <w:szCs w:val="24"/>
        </w:rPr>
        <w:t>through</w:t>
      </w:r>
      <w:r w:rsidRPr="00633E47">
        <w:rPr>
          <w:sz w:val="24"/>
          <w:szCs w:val="24"/>
        </w:rPr>
        <w:t xml:space="preserve"> community pharmacies this could </w:t>
      </w:r>
      <w:r w:rsidR="00362B97">
        <w:rPr>
          <w:sz w:val="24"/>
          <w:szCs w:val="24"/>
        </w:rPr>
        <w:t>have a detrimental</w:t>
      </w:r>
      <w:r w:rsidRPr="00633E47">
        <w:rPr>
          <w:sz w:val="24"/>
          <w:szCs w:val="24"/>
        </w:rPr>
        <w:t xml:space="preserve"> impact</w:t>
      </w:r>
      <w:r w:rsidR="00362B97">
        <w:rPr>
          <w:sz w:val="24"/>
          <w:szCs w:val="24"/>
        </w:rPr>
        <w:t xml:space="preserve"> on</w:t>
      </w:r>
      <w:r w:rsidRPr="00633E47">
        <w:rPr>
          <w:sz w:val="24"/>
          <w:szCs w:val="24"/>
        </w:rPr>
        <w:t xml:space="preserve"> the broader health system through</w:t>
      </w:r>
      <w:r w:rsidR="006E04C5">
        <w:rPr>
          <w:sz w:val="24"/>
          <w:szCs w:val="24"/>
        </w:rPr>
        <w:t xml:space="preserve"> escalating illness and</w:t>
      </w:r>
      <w:r w:rsidRPr="00633E47">
        <w:rPr>
          <w:sz w:val="24"/>
          <w:szCs w:val="24"/>
        </w:rPr>
        <w:t xml:space="preserve"> the spread of disease</w:t>
      </w:r>
      <w:r w:rsidR="00362B97">
        <w:rPr>
          <w:sz w:val="24"/>
          <w:szCs w:val="24"/>
        </w:rPr>
        <w:t>,</w:t>
      </w:r>
      <w:r w:rsidRPr="00633E47">
        <w:rPr>
          <w:sz w:val="24"/>
          <w:szCs w:val="24"/>
        </w:rPr>
        <w:t xml:space="preserve"> and </w:t>
      </w:r>
      <w:r w:rsidR="006E04C5">
        <w:rPr>
          <w:sz w:val="24"/>
          <w:szCs w:val="24"/>
        </w:rPr>
        <w:t xml:space="preserve">lead to </w:t>
      </w:r>
      <w:r w:rsidRPr="00633E47">
        <w:rPr>
          <w:sz w:val="24"/>
          <w:szCs w:val="24"/>
        </w:rPr>
        <w:t xml:space="preserve">greater subsequent costs incurred through the need to treat people in a hospital or similar setting. </w:t>
      </w:r>
    </w:p>
    <w:p w14:paraId="3DA73A23" w14:textId="3C0352BC" w:rsidR="006E04C5" w:rsidRDefault="006E04C5" w:rsidP="00633E47">
      <w:pPr>
        <w:rPr>
          <w:color w:val="auto"/>
          <w:sz w:val="24"/>
          <w:szCs w:val="24"/>
        </w:rPr>
      </w:pPr>
      <w:r>
        <w:rPr>
          <w:color w:val="0D0D0D" w:themeColor="text1" w:themeTint="F2"/>
          <w:sz w:val="24"/>
          <w:szCs w:val="24"/>
        </w:rPr>
        <w:t>T</w:t>
      </w:r>
      <w:r w:rsidRPr="00C20287">
        <w:rPr>
          <w:color w:val="0D0D0D" w:themeColor="text1" w:themeTint="F2"/>
          <w:sz w:val="24"/>
          <w:szCs w:val="24"/>
        </w:rPr>
        <w:t>o support the effective implementation of the PBS,</w:t>
      </w:r>
      <w:r w:rsidR="004D1F42">
        <w:rPr>
          <w:color w:val="0D0D0D" w:themeColor="text1" w:themeTint="F2"/>
          <w:sz w:val="24"/>
          <w:szCs w:val="24"/>
        </w:rPr>
        <w:t xml:space="preserve"> to achieve the objectives of the National Medicines Policy,</w:t>
      </w:r>
      <w:r w:rsidRPr="00C20287">
        <w:rPr>
          <w:color w:val="0D0D0D" w:themeColor="text1" w:themeTint="F2"/>
          <w:sz w:val="24"/>
          <w:szCs w:val="24"/>
        </w:rPr>
        <w:t xml:space="preserve"> </w:t>
      </w:r>
      <w:r>
        <w:rPr>
          <w:color w:val="0D0D0D" w:themeColor="text1" w:themeTint="F2"/>
          <w:sz w:val="24"/>
          <w:szCs w:val="24"/>
        </w:rPr>
        <w:t xml:space="preserve">Government action is required to </w:t>
      </w:r>
      <w:r w:rsidR="005B1F64">
        <w:rPr>
          <w:color w:val="0D0D0D" w:themeColor="text1" w:themeTint="F2"/>
          <w:sz w:val="24"/>
          <w:szCs w:val="24"/>
        </w:rPr>
        <w:t xml:space="preserve">determine </w:t>
      </w:r>
      <w:r w:rsidRPr="00C20287">
        <w:rPr>
          <w:color w:val="0D0D0D" w:themeColor="text1" w:themeTint="F2"/>
          <w:sz w:val="24"/>
          <w:szCs w:val="24"/>
        </w:rPr>
        <w:t>the Commonwealth price for</w:t>
      </w:r>
      <w:r w:rsidR="005B1F64">
        <w:rPr>
          <w:color w:val="0D0D0D" w:themeColor="text1" w:themeTint="F2"/>
          <w:sz w:val="24"/>
          <w:szCs w:val="24"/>
        </w:rPr>
        <w:t xml:space="preserve"> the dispensing of PBS medicines</w:t>
      </w:r>
      <w:r>
        <w:rPr>
          <w:color w:val="0D0D0D" w:themeColor="text1" w:themeTint="F2"/>
          <w:sz w:val="24"/>
          <w:szCs w:val="24"/>
        </w:rPr>
        <w:t xml:space="preserve"> consistent with the Act</w:t>
      </w:r>
      <w:r w:rsidRPr="00C20287">
        <w:rPr>
          <w:color w:val="0D0D0D" w:themeColor="text1" w:themeTint="F2"/>
          <w:sz w:val="24"/>
          <w:szCs w:val="24"/>
        </w:rPr>
        <w:t xml:space="preserve">. </w:t>
      </w:r>
      <w:r>
        <w:rPr>
          <w:color w:val="auto"/>
          <w:sz w:val="24"/>
          <w:szCs w:val="24"/>
        </w:rPr>
        <w:t>As outlined above</w:t>
      </w:r>
      <w:r w:rsidR="00DB34DA">
        <w:rPr>
          <w:color w:val="auto"/>
          <w:sz w:val="24"/>
          <w:szCs w:val="24"/>
        </w:rPr>
        <w:t>,</w:t>
      </w:r>
      <w:r>
        <w:rPr>
          <w:color w:val="auto"/>
          <w:sz w:val="24"/>
          <w:szCs w:val="24"/>
        </w:rPr>
        <w:t xml:space="preserve"> there are</w:t>
      </w:r>
      <w:r w:rsidRPr="00C20287">
        <w:rPr>
          <w:color w:val="auto"/>
          <w:sz w:val="24"/>
          <w:szCs w:val="24"/>
        </w:rPr>
        <w:t xml:space="preserve"> two legislated options for determining the payments approved pharmacists receive for dispensing PBS medicin</w:t>
      </w:r>
      <w:r>
        <w:rPr>
          <w:color w:val="auto"/>
          <w:sz w:val="24"/>
          <w:szCs w:val="24"/>
        </w:rPr>
        <w:t>es</w:t>
      </w:r>
      <w:r w:rsidR="009B0CF1">
        <w:rPr>
          <w:color w:val="auto"/>
          <w:sz w:val="24"/>
          <w:szCs w:val="24"/>
        </w:rPr>
        <w:t>,</w:t>
      </w:r>
      <w:r>
        <w:rPr>
          <w:color w:val="auto"/>
          <w:sz w:val="24"/>
          <w:szCs w:val="24"/>
        </w:rPr>
        <w:t xml:space="preserve"> </w:t>
      </w:r>
      <w:r w:rsidRPr="00C20287">
        <w:rPr>
          <w:color w:val="auto"/>
          <w:sz w:val="24"/>
          <w:szCs w:val="24"/>
        </w:rPr>
        <w:t>either</w:t>
      </w:r>
      <w:r w:rsidR="009B0CF1">
        <w:rPr>
          <w:color w:val="auto"/>
          <w:sz w:val="24"/>
          <w:szCs w:val="24"/>
        </w:rPr>
        <w:t xml:space="preserve"> an agreement</w:t>
      </w:r>
      <w:r w:rsidRPr="00C20287">
        <w:rPr>
          <w:color w:val="auto"/>
          <w:sz w:val="24"/>
          <w:szCs w:val="24"/>
        </w:rPr>
        <w:t xml:space="preserve"> between the Commonwealth and the Guild </w:t>
      </w:r>
      <w:r w:rsidR="00362B97">
        <w:rPr>
          <w:color w:val="auto"/>
          <w:sz w:val="24"/>
          <w:szCs w:val="24"/>
        </w:rPr>
        <w:t xml:space="preserve">which is </w:t>
      </w:r>
      <w:r w:rsidRPr="00C20287">
        <w:rPr>
          <w:color w:val="auto"/>
          <w:sz w:val="24"/>
          <w:szCs w:val="24"/>
        </w:rPr>
        <w:t xml:space="preserve">then ratified by the PBRT, or </w:t>
      </w:r>
      <w:r w:rsidR="00362B97" w:rsidRPr="00C20287">
        <w:rPr>
          <w:color w:val="auto"/>
          <w:sz w:val="24"/>
          <w:szCs w:val="24"/>
        </w:rPr>
        <w:t>if there is no agreement in place</w:t>
      </w:r>
      <w:r w:rsidR="00362B97">
        <w:rPr>
          <w:color w:val="auto"/>
          <w:sz w:val="24"/>
          <w:szCs w:val="24"/>
        </w:rPr>
        <w:t xml:space="preserve"> through</w:t>
      </w:r>
      <w:r w:rsidRPr="00C20287">
        <w:rPr>
          <w:color w:val="auto"/>
          <w:sz w:val="24"/>
          <w:szCs w:val="24"/>
        </w:rPr>
        <w:t xml:space="preserve"> a decision of the PBRT</w:t>
      </w:r>
      <w:r w:rsidR="009B0CF1">
        <w:rPr>
          <w:color w:val="auto"/>
          <w:sz w:val="24"/>
          <w:szCs w:val="24"/>
        </w:rPr>
        <w:t>.</w:t>
      </w:r>
    </w:p>
    <w:p w14:paraId="785D3A86" w14:textId="06F4CC27" w:rsidR="005B7A17" w:rsidRDefault="004779AC" w:rsidP="00633E47">
      <w:pPr>
        <w:rPr>
          <w:sz w:val="24"/>
          <w:szCs w:val="24"/>
        </w:rPr>
      </w:pPr>
      <w:r>
        <w:rPr>
          <w:sz w:val="24"/>
          <w:szCs w:val="24"/>
        </w:rPr>
        <w:t>The major benefit to both Government and industry from establishing the level of dispensing remuneration by agreement is that it is a known quantum of expenditure for Government and revenue for community pharmacy over the life of the agreement with the only variable being the number of qualifying scripts in each year</w:t>
      </w:r>
      <w:r w:rsidR="00D76B03">
        <w:rPr>
          <w:sz w:val="24"/>
          <w:szCs w:val="24"/>
        </w:rPr>
        <w:t>.</w:t>
      </w:r>
      <w:r>
        <w:rPr>
          <w:sz w:val="24"/>
          <w:szCs w:val="24"/>
        </w:rPr>
        <w:t xml:space="preserve"> If the </w:t>
      </w:r>
      <w:r w:rsidR="0014290F">
        <w:rPr>
          <w:sz w:val="24"/>
          <w:szCs w:val="24"/>
        </w:rPr>
        <w:t xml:space="preserve">Commonwealth price </w:t>
      </w:r>
      <w:r>
        <w:rPr>
          <w:sz w:val="24"/>
          <w:szCs w:val="24"/>
        </w:rPr>
        <w:t>was set by the PBRT there</w:t>
      </w:r>
      <w:r w:rsidR="00D76B03">
        <w:rPr>
          <w:sz w:val="24"/>
          <w:szCs w:val="24"/>
        </w:rPr>
        <w:t xml:space="preserve"> would</w:t>
      </w:r>
      <w:r>
        <w:rPr>
          <w:sz w:val="24"/>
          <w:szCs w:val="24"/>
        </w:rPr>
        <w:t xml:space="preserve"> be </w:t>
      </w:r>
      <w:r w:rsidR="00D76B03">
        <w:rPr>
          <w:sz w:val="24"/>
          <w:szCs w:val="24"/>
        </w:rPr>
        <w:t xml:space="preserve">a period of </w:t>
      </w:r>
      <w:r>
        <w:rPr>
          <w:sz w:val="24"/>
          <w:szCs w:val="24"/>
        </w:rPr>
        <w:t>uncertainty</w:t>
      </w:r>
      <w:r w:rsidR="0014290F">
        <w:rPr>
          <w:sz w:val="24"/>
          <w:szCs w:val="24"/>
        </w:rPr>
        <w:t xml:space="preserve"> while the PBRT completed its</w:t>
      </w:r>
      <w:r>
        <w:rPr>
          <w:sz w:val="24"/>
          <w:szCs w:val="24"/>
        </w:rPr>
        <w:t xml:space="preserve"> inquiry </w:t>
      </w:r>
      <w:r w:rsidR="0014290F">
        <w:rPr>
          <w:sz w:val="24"/>
          <w:szCs w:val="24"/>
        </w:rPr>
        <w:t xml:space="preserve">and </w:t>
      </w:r>
      <w:r>
        <w:rPr>
          <w:sz w:val="24"/>
          <w:szCs w:val="24"/>
        </w:rPr>
        <w:t xml:space="preserve">for both future Government expenditure and community pharmacy revenue as the outcome of the inquiry would be unknown. </w:t>
      </w:r>
      <w:r w:rsidR="0014290F">
        <w:rPr>
          <w:sz w:val="24"/>
          <w:szCs w:val="24"/>
        </w:rPr>
        <w:t xml:space="preserve">In addition the timeframes for completion of the inquiry would be unknown and difficult to estimate. </w:t>
      </w:r>
      <w:r>
        <w:rPr>
          <w:sz w:val="24"/>
          <w:szCs w:val="24"/>
        </w:rPr>
        <w:t>This could lead to loss of business confidence by pharmacy owners and result in undesirable outcomes for</w:t>
      </w:r>
      <w:r w:rsidR="001A75EE">
        <w:rPr>
          <w:sz w:val="24"/>
          <w:szCs w:val="24"/>
        </w:rPr>
        <w:t xml:space="preserve"> patients</w:t>
      </w:r>
      <w:r>
        <w:rPr>
          <w:sz w:val="24"/>
          <w:szCs w:val="24"/>
        </w:rPr>
        <w:t xml:space="preserve">, for example higher than expected </w:t>
      </w:r>
      <w:r w:rsidR="00E231B0">
        <w:rPr>
          <w:sz w:val="24"/>
          <w:szCs w:val="24"/>
        </w:rPr>
        <w:t xml:space="preserve">closures or reduction in opening hours and services offered through community pharmacies. </w:t>
      </w:r>
    </w:p>
    <w:p w14:paraId="03E1B45A" w14:textId="69B0E1B1" w:rsidR="00F72EC6" w:rsidRDefault="004D1F42" w:rsidP="00633E47">
      <w:pPr>
        <w:rPr>
          <w:sz w:val="24"/>
          <w:szCs w:val="24"/>
        </w:rPr>
      </w:pPr>
      <w:r>
        <w:rPr>
          <w:sz w:val="24"/>
          <w:szCs w:val="24"/>
        </w:rPr>
        <w:t>Supporting</w:t>
      </w:r>
      <w:r w:rsidR="00F72EC6">
        <w:rPr>
          <w:sz w:val="24"/>
          <w:szCs w:val="24"/>
        </w:rPr>
        <w:t xml:space="preserve"> </w:t>
      </w:r>
      <w:r w:rsidR="00F72EC6" w:rsidRPr="00633E47">
        <w:rPr>
          <w:sz w:val="24"/>
          <w:szCs w:val="24"/>
        </w:rPr>
        <w:t>accessibl</w:t>
      </w:r>
      <w:r w:rsidR="00F72EC6">
        <w:rPr>
          <w:sz w:val="24"/>
          <w:szCs w:val="24"/>
        </w:rPr>
        <w:t>e</w:t>
      </w:r>
      <w:r w:rsidR="00F72EC6" w:rsidRPr="00633E47">
        <w:rPr>
          <w:sz w:val="24"/>
          <w:szCs w:val="24"/>
        </w:rPr>
        <w:t xml:space="preserve"> and affordable medicines</w:t>
      </w:r>
      <w:r>
        <w:rPr>
          <w:sz w:val="24"/>
          <w:szCs w:val="24"/>
        </w:rPr>
        <w:t xml:space="preserve"> through community pharmacy via patient subsidies</w:t>
      </w:r>
      <w:r w:rsidR="001121FB">
        <w:rPr>
          <w:sz w:val="24"/>
          <w:szCs w:val="24"/>
        </w:rPr>
        <w:t xml:space="preserve"> </w:t>
      </w:r>
      <w:r w:rsidR="00F72EC6" w:rsidRPr="00633E47">
        <w:rPr>
          <w:sz w:val="24"/>
          <w:szCs w:val="24"/>
        </w:rPr>
        <w:t xml:space="preserve">falls to the Commonwealth and this is an uncontested space. </w:t>
      </w:r>
      <w:r w:rsidR="00633E47" w:rsidRPr="00633E47">
        <w:rPr>
          <w:sz w:val="24"/>
          <w:szCs w:val="24"/>
        </w:rPr>
        <w:t xml:space="preserve">There are no constitutional or other barriers to the Commonwealth making PBS medicines </w:t>
      </w:r>
      <w:r w:rsidR="000C18FE" w:rsidRPr="00633E47">
        <w:rPr>
          <w:sz w:val="24"/>
          <w:szCs w:val="24"/>
        </w:rPr>
        <w:t xml:space="preserve">available </w:t>
      </w:r>
      <w:r w:rsidR="00633E47" w:rsidRPr="00633E47">
        <w:rPr>
          <w:sz w:val="24"/>
          <w:szCs w:val="24"/>
        </w:rPr>
        <w:t>to Australians through the community pharmacy network with the support of appropriate funding for this work.</w:t>
      </w:r>
      <w:r w:rsidR="009B0CF1">
        <w:rPr>
          <w:sz w:val="24"/>
          <w:szCs w:val="24"/>
        </w:rPr>
        <w:t xml:space="preserve"> </w:t>
      </w:r>
    </w:p>
    <w:p w14:paraId="475073FF" w14:textId="117E3E6E" w:rsidR="000C18FE" w:rsidRDefault="00362B97" w:rsidP="00633E47">
      <w:pPr>
        <w:rPr>
          <w:sz w:val="24"/>
          <w:szCs w:val="24"/>
        </w:rPr>
      </w:pPr>
      <w:r w:rsidRPr="00633E47">
        <w:rPr>
          <w:sz w:val="24"/>
          <w:szCs w:val="24"/>
        </w:rPr>
        <w:t>Pharmacists have the</w:t>
      </w:r>
      <w:r>
        <w:rPr>
          <w:sz w:val="24"/>
          <w:szCs w:val="24"/>
        </w:rPr>
        <w:t xml:space="preserve"> necessary</w:t>
      </w:r>
      <w:r w:rsidRPr="00633E47">
        <w:rPr>
          <w:sz w:val="24"/>
          <w:szCs w:val="24"/>
        </w:rPr>
        <w:t xml:space="preserve"> training</w:t>
      </w:r>
      <w:r>
        <w:rPr>
          <w:sz w:val="24"/>
          <w:szCs w:val="24"/>
        </w:rPr>
        <w:t xml:space="preserve"> and skills</w:t>
      </w:r>
      <w:r w:rsidRPr="00633E47">
        <w:rPr>
          <w:sz w:val="24"/>
          <w:szCs w:val="24"/>
        </w:rPr>
        <w:t xml:space="preserve"> to ensure that consumers receive the correct </w:t>
      </w:r>
      <w:r>
        <w:rPr>
          <w:sz w:val="24"/>
          <w:szCs w:val="24"/>
        </w:rPr>
        <w:t>medicines</w:t>
      </w:r>
      <w:r w:rsidRPr="00633E47">
        <w:rPr>
          <w:sz w:val="24"/>
          <w:szCs w:val="24"/>
        </w:rPr>
        <w:t xml:space="preserve"> in the appropriate doses as prescribed by doctors and the network of community pharmacies ensures adequate </w:t>
      </w:r>
      <w:r w:rsidR="00F72EC6">
        <w:rPr>
          <w:sz w:val="24"/>
          <w:szCs w:val="24"/>
        </w:rPr>
        <w:t>availability</w:t>
      </w:r>
      <w:r w:rsidRPr="00633E47">
        <w:rPr>
          <w:sz w:val="24"/>
          <w:szCs w:val="24"/>
        </w:rPr>
        <w:t xml:space="preserve"> of this service across the country. </w:t>
      </w:r>
      <w:r w:rsidR="00633E47" w:rsidRPr="00633E47">
        <w:rPr>
          <w:sz w:val="24"/>
          <w:szCs w:val="24"/>
        </w:rPr>
        <w:t xml:space="preserve">It is a long-standing arrangement that the Commonwealth has provided financial support to community pharmacies to make available PBS medicines to Australians in a secure and equitable matter. This funding has been revised from one CPA to another to reflect changes in costs incurred by pharmacies and to support the viability of pharmacies so that they can continue to provide this service. </w:t>
      </w:r>
    </w:p>
    <w:p w14:paraId="30390AB2" w14:textId="506A2DA8" w:rsidR="009B0CF1" w:rsidRDefault="003907FE" w:rsidP="00AE79E9">
      <w:pPr>
        <w:rPr>
          <w:sz w:val="24"/>
          <w:szCs w:val="24"/>
        </w:rPr>
      </w:pPr>
      <w:r w:rsidRPr="00C20287">
        <w:rPr>
          <w:sz w:val="24"/>
          <w:szCs w:val="24"/>
        </w:rPr>
        <w:t>Th</w:t>
      </w:r>
      <w:r w:rsidR="00705703" w:rsidRPr="00C20287">
        <w:rPr>
          <w:sz w:val="24"/>
          <w:szCs w:val="24"/>
        </w:rPr>
        <w:t>e Government has committed to explore options for a new CPA</w:t>
      </w:r>
      <w:r w:rsidR="00B66DC7">
        <w:rPr>
          <w:sz w:val="24"/>
          <w:szCs w:val="24"/>
        </w:rPr>
        <w:t>,</w:t>
      </w:r>
      <w:r w:rsidR="00705703" w:rsidRPr="00C20287">
        <w:rPr>
          <w:sz w:val="24"/>
          <w:szCs w:val="24"/>
        </w:rPr>
        <w:t xml:space="preserve"> </w:t>
      </w:r>
      <w:r w:rsidR="00B66DC7">
        <w:rPr>
          <w:sz w:val="24"/>
          <w:szCs w:val="24"/>
        </w:rPr>
        <w:t>which</w:t>
      </w:r>
      <w:r w:rsidR="00B66DC7" w:rsidRPr="00C20287">
        <w:rPr>
          <w:sz w:val="24"/>
          <w:szCs w:val="24"/>
        </w:rPr>
        <w:t xml:space="preserve"> </w:t>
      </w:r>
      <w:r w:rsidR="00705703" w:rsidRPr="00C20287">
        <w:rPr>
          <w:sz w:val="24"/>
          <w:szCs w:val="24"/>
        </w:rPr>
        <w:t xml:space="preserve">would commence earlier than the expiry of the current agreement, </w:t>
      </w:r>
      <w:r w:rsidR="00362B97">
        <w:rPr>
          <w:sz w:val="24"/>
          <w:szCs w:val="24"/>
        </w:rPr>
        <w:t xml:space="preserve">following the implementation of the </w:t>
      </w:r>
      <w:r w:rsidR="00267A5A">
        <w:rPr>
          <w:sz w:val="24"/>
          <w:szCs w:val="24"/>
        </w:rPr>
        <w:t xml:space="preserve">60 Day </w:t>
      </w:r>
      <w:r w:rsidR="00092B71">
        <w:rPr>
          <w:sz w:val="24"/>
          <w:szCs w:val="24"/>
        </w:rPr>
        <w:t xml:space="preserve">Dispensing </w:t>
      </w:r>
      <w:r w:rsidR="00362B97">
        <w:rPr>
          <w:sz w:val="24"/>
          <w:szCs w:val="24"/>
        </w:rPr>
        <w:t>measure.</w:t>
      </w:r>
      <w:r w:rsidR="00705703" w:rsidRPr="00C20287">
        <w:rPr>
          <w:sz w:val="24"/>
          <w:szCs w:val="24"/>
        </w:rPr>
        <w:t xml:space="preserve"> </w:t>
      </w:r>
      <w:r w:rsidR="00362B97">
        <w:rPr>
          <w:sz w:val="24"/>
          <w:szCs w:val="24"/>
        </w:rPr>
        <w:t>T</w:t>
      </w:r>
      <w:r w:rsidR="00705703" w:rsidRPr="00C20287">
        <w:rPr>
          <w:sz w:val="24"/>
          <w:szCs w:val="24"/>
        </w:rPr>
        <w:t xml:space="preserve">his </w:t>
      </w:r>
      <w:r w:rsidRPr="00C20287">
        <w:rPr>
          <w:sz w:val="24"/>
          <w:szCs w:val="24"/>
        </w:rPr>
        <w:t xml:space="preserve">provides an opportunity for implementation of further </w:t>
      </w:r>
      <w:r w:rsidR="00D43B61" w:rsidRPr="00C20287">
        <w:rPr>
          <w:sz w:val="24"/>
          <w:szCs w:val="24"/>
        </w:rPr>
        <w:t xml:space="preserve">reforms </w:t>
      </w:r>
      <w:r w:rsidRPr="00C20287">
        <w:rPr>
          <w:sz w:val="24"/>
          <w:szCs w:val="24"/>
        </w:rPr>
        <w:t>to reflect</w:t>
      </w:r>
      <w:r w:rsidR="00D43B61" w:rsidRPr="00C20287">
        <w:rPr>
          <w:sz w:val="24"/>
          <w:szCs w:val="24"/>
        </w:rPr>
        <w:t xml:space="preserve"> a modern regulatory and policy environment </w:t>
      </w:r>
      <w:r w:rsidRPr="00C20287">
        <w:rPr>
          <w:sz w:val="24"/>
          <w:szCs w:val="24"/>
        </w:rPr>
        <w:t xml:space="preserve">in alignment with the </w:t>
      </w:r>
      <w:r w:rsidR="00AE79E9">
        <w:rPr>
          <w:sz w:val="24"/>
          <w:szCs w:val="24"/>
        </w:rPr>
        <w:t>NMP</w:t>
      </w:r>
      <w:r w:rsidR="009B0CF1">
        <w:rPr>
          <w:sz w:val="24"/>
          <w:szCs w:val="24"/>
        </w:rPr>
        <w:t>.</w:t>
      </w:r>
    </w:p>
    <w:p w14:paraId="3819DE2F" w14:textId="3A580D33" w:rsidR="00AE79E9" w:rsidRPr="00FF4C3F" w:rsidRDefault="00E668CD" w:rsidP="00AE79E9">
      <w:r>
        <w:rPr>
          <w:sz w:val="24"/>
          <w:szCs w:val="24"/>
        </w:rPr>
        <w:lastRenderedPageBreak/>
        <w:t xml:space="preserve">To support the </w:t>
      </w:r>
      <w:r w:rsidR="009B0CF1">
        <w:rPr>
          <w:sz w:val="24"/>
          <w:szCs w:val="24"/>
        </w:rPr>
        <w:t>four pillars outlined earlier the NMP</w:t>
      </w:r>
      <w:r>
        <w:rPr>
          <w:sz w:val="24"/>
          <w:szCs w:val="24"/>
        </w:rPr>
        <w:t xml:space="preserve"> </w:t>
      </w:r>
      <w:r w:rsidR="009B0CF1">
        <w:rPr>
          <w:sz w:val="24"/>
          <w:szCs w:val="24"/>
        </w:rPr>
        <w:t xml:space="preserve">identifies </w:t>
      </w:r>
      <w:r>
        <w:rPr>
          <w:sz w:val="24"/>
          <w:szCs w:val="24"/>
        </w:rPr>
        <w:t xml:space="preserve">a </w:t>
      </w:r>
      <w:r w:rsidR="00AE79E9" w:rsidRPr="00AE79E9">
        <w:rPr>
          <w:sz w:val="24"/>
          <w:szCs w:val="24"/>
        </w:rPr>
        <w:t xml:space="preserve">set of fundamental principles </w:t>
      </w:r>
      <w:r>
        <w:rPr>
          <w:sz w:val="24"/>
          <w:szCs w:val="24"/>
        </w:rPr>
        <w:t xml:space="preserve">to </w:t>
      </w:r>
      <w:r w:rsidR="00AE79E9" w:rsidRPr="00AE79E9">
        <w:rPr>
          <w:sz w:val="24"/>
          <w:szCs w:val="24"/>
        </w:rPr>
        <w:t xml:space="preserve">guide </w:t>
      </w:r>
      <w:r w:rsidR="009B0CF1">
        <w:rPr>
          <w:sz w:val="24"/>
          <w:szCs w:val="24"/>
        </w:rPr>
        <w:t xml:space="preserve">the </w:t>
      </w:r>
      <w:r w:rsidR="00AE79E9" w:rsidRPr="00AE79E9">
        <w:rPr>
          <w:sz w:val="24"/>
          <w:szCs w:val="24"/>
        </w:rPr>
        <w:t>development, impl</w:t>
      </w:r>
      <w:r w:rsidR="009B0CF1">
        <w:rPr>
          <w:sz w:val="24"/>
          <w:szCs w:val="24"/>
        </w:rPr>
        <w:t>ementation and evaluation of</w:t>
      </w:r>
      <w:r w:rsidR="00AE79E9" w:rsidRPr="00AE79E9">
        <w:rPr>
          <w:sz w:val="24"/>
          <w:szCs w:val="24"/>
        </w:rPr>
        <w:t xml:space="preserve"> related policies, strategies, programs and initiatives. </w:t>
      </w:r>
      <w:r>
        <w:rPr>
          <w:sz w:val="24"/>
          <w:szCs w:val="24"/>
        </w:rPr>
        <w:t>These principles and associated actions include:</w:t>
      </w:r>
    </w:p>
    <w:p w14:paraId="65D02FD3" w14:textId="50DCBB43" w:rsidR="006B1E8E" w:rsidRPr="00A73083" w:rsidRDefault="006B1E8E" w:rsidP="0095671A">
      <w:pPr>
        <w:pStyle w:val="ListParagraph"/>
        <w:numPr>
          <w:ilvl w:val="0"/>
          <w:numId w:val="18"/>
        </w:numPr>
        <w:rPr>
          <w:sz w:val="24"/>
          <w:szCs w:val="24"/>
        </w:rPr>
      </w:pPr>
      <w:r w:rsidRPr="00FF4C3F">
        <w:rPr>
          <w:b/>
          <w:sz w:val="24"/>
          <w:szCs w:val="24"/>
        </w:rPr>
        <w:t xml:space="preserve">person-centred </w:t>
      </w:r>
      <w:r w:rsidRPr="00A73083">
        <w:rPr>
          <w:sz w:val="24"/>
          <w:szCs w:val="24"/>
        </w:rPr>
        <w:t xml:space="preserve">– consumers are supported to be active participants in decision-making, including developing health, digital and medicines literacy </w:t>
      </w:r>
    </w:p>
    <w:p w14:paraId="7EC7AFFA" w14:textId="3F08C8FD" w:rsidR="006B1E8E" w:rsidRPr="00A73083" w:rsidRDefault="006B1E8E" w:rsidP="0095671A">
      <w:pPr>
        <w:pStyle w:val="ListParagraph"/>
        <w:numPr>
          <w:ilvl w:val="0"/>
          <w:numId w:val="18"/>
        </w:numPr>
        <w:rPr>
          <w:sz w:val="24"/>
          <w:szCs w:val="24"/>
        </w:rPr>
      </w:pPr>
      <w:r w:rsidRPr="00FF4C3F">
        <w:rPr>
          <w:b/>
          <w:sz w:val="24"/>
          <w:szCs w:val="24"/>
        </w:rPr>
        <w:t>equity and access</w:t>
      </w:r>
      <w:r w:rsidRPr="00A73083">
        <w:rPr>
          <w:sz w:val="24"/>
          <w:szCs w:val="24"/>
        </w:rPr>
        <w:t xml:space="preserve"> – all reforms should focus on delivering and achieving health outcomes that matter most to people and their communities, and deliver positive, culturally safe and appropriately targeted ways to eliminate health inequities that are experienced by vulnerable population groups within the Australian community</w:t>
      </w:r>
    </w:p>
    <w:p w14:paraId="4DB71377" w14:textId="4F136EF8" w:rsidR="006B1E8E" w:rsidRPr="00A73083" w:rsidRDefault="006B1E8E" w:rsidP="0095671A">
      <w:pPr>
        <w:pStyle w:val="ListParagraph"/>
        <w:numPr>
          <w:ilvl w:val="0"/>
          <w:numId w:val="18"/>
        </w:numPr>
        <w:rPr>
          <w:sz w:val="24"/>
          <w:szCs w:val="24"/>
        </w:rPr>
      </w:pPr>
      <w:r w:rsidRPr="00FF4C3F">
        <w:rPr>
          <w:b/>
          <w:sz w:val="24"/>
          <w:szCs w:val="24"/>
        </w:rPr>
        <w:t>partnership-based and shared responsibility</w:t>
      </w:r>
      <w:r w:rsidRPr="00A73083">
        <w:rPr>
          <w:sz w:val="24"/>
          <w:szCs w:val="24"/>
        </w:rPr>
        <w:t xml:space="preserve"> – respectful and ongoing dialogue, collaboration and cooperation is maintained between partners </w:t>
      </w:r>
    </w:p>
    <w:p w14:paraId="037289A3" w14:textId="379510DD" w:rsidR="006B1E8E" w:rsidRPr="00A73083" w:rsidRDefault="006B1E8E" w:rsidP="0095671A">
      <w:pPr>
        <w:pStyle w:val="ListParagraph"/>
        <w:numPr>
          <w:ilvl w:val="0"/>
          <w:numId w:val="18"/>
        </w:numPr>
        <w:rPr>
          <w:sz w:val="24"/>
          <w:szCs w:val="24"/>
        </w:rPr>
      </w:pPr>
      <w:r w:rsidRPr="00FF4C3F">
        <w:rPr>
          <w:b/>
          <w:sz w:val="24"/>
          <w:szCs w:val="24"/>
        </w:rPr>
        <w:t>accountability and transparency</w:t>
      </w:r>
      <w:r w:rsidRPr="00A73083">
        <w:rPr>
          <w:sz w:val="24"/>
          <w:szCs w:val="24"/>
        </w:rPr>
        <w:t xml:space="preserve"> – all partners accept responsibility for and are held accountable for advancing progress of the</w:t>
      </w:r>
      <w:r w:rsidR="00E668CD">
        <w:rPr>
          <w:sz w:val="24"/>
          <w:szCs w:val="24"/>
        </w:rPr>
        <w:t xml:space="preserve"> NMP’s central pillars</w:t>
      </w:r>
      <w:r w:rsidRPr="00A73083">
        <w:rPr>
          <w:sz w:val="24"/>
          <w:szCs w:val="24"/>
        </w:rPr>
        <w:t xml:space="preserve"> </w:t>
      </w:r>
    </w:p>
    <w:p w14:paraId="5C16D7AD" w14:textId="6CB4AFEC" w:rsidR="006B1E8E" w:rsidRPr="00A73083" w:rsidRDefault="006B1E8E" w:rsidP="0095671A">
      <w:pPr>
        <w:pStyle w:val="ListParagraph"/>
        <w:numPr>
          <w:ilvl w:val="0"/>
          <w:numId w:val="18"/>
        </w:numPr>
        <w:rPr>
          <w:sz w:val="24"/>
          <w:szCs w:val="24"/>
        </w:rPr>
      </w:pPr>
      <w:r w:rsidRPr="00FF4C3F">
        <w:rPr>
          <w:b/>
          <w:sz w:val="24"/>
          <w:szCs w:val="24"/>
        </w:rPr>
        <w:t>innovation and continuous improvement</w:t>
      </w:r>
      <w:r w:rsidRPr="00C20287">
        <w:rPr>
          <w:sz w:val="24"/>
          <w:szCs w:val="24"/>
        </w:rPr>
        <w:t xml:space="preserve"> – reforms support new and improved ways to identify and respond to current and future health needs, and to achieve the best health, social and economic outcomes for all Australians </w:t>
      </w:r>
    </w:p>
    <w:p w14:paraId="7B54C21F" w14:textId="6ACDCF11" w:rsidR="00362B97" w:rsidRPr="00C20287" w:rsidRDefault="006B1E8E" w:rsidP="0095671A">
      <w:pPr>
        <w:pStyle w:val="ListParagraph"/>
        <w:numPr>
          <w:ilvl w:val="0"/>
          <w:numId w:val="18"/>
        </w:numPr>
        <w:rPr>
          <w:sz w:val="24"/>
          <w:szCs w:val="24"/>
        </w:rPr>
      </w:pPr>
      <w:r w:rsidRPr="00C20287">
        <w:rPr>
          <w:b/>
          <w:sz w:val="24"/>
          <w:szCs w:val="24"/>
        </w:rPr>
        <w:t>evidence-based</w:t>
      </w:r>
      <w:r w:rsidRPr="00C20287">
        <w:rPr>
          <w:sz w:val="24"/>
          <w:szCs w:val="24"/>
        </w:rPr>
        <w:t xml:space="preserve"> – all partners apply relevant, current and context-specific evidence and consensus best practice to guide decision-making, program design and communication</w:t>
      </w:r>
      <w:r w:rsidR="00DB34DA">
        <w:rPr>
          <w:sz w:val="24"/>
          <w:szCs w:val="24"/>
        </w:rPr>
        <w:t>, and</w:t>
      </w:r>
      <w:r w:rsidRPr="00C20287">
        <w:rPr>
          <w:sz w:val="24"/>
          <w:szCs w:val="24"/>
        </w:rPr>
        <w:t xml:space="preserve"> </w:t>
      </w:r>
    </w:p>
    <w:p w14:paraId="2FDB5022" w14:textId="510D9E42" w:rsidR="008D248F" w:rsidRPr="00791F46" w:rsidRDefault="006B1E8E" w:rsidP="0095671A">
      <w:pPr>
        <w:pStyle w:val="ListParagraph"/>
        <w:numPr>
          <w:ilvl w:val="0"/>
          <w:numId w:val="18"/>
        </w:numPr>
      </w:pPr>
      <w:r w:rsidRPr="008F2DA4">
        <w:rPr>
          <w:b/>
          <w:sz w:val="24"/>
          <w:szCs w:val="24"/>
        </w:rPr>
        <w:t>sustainability</w:t>
      </w:r>
      <w:r w:rsidRPr="008F2DA4">
        <w:rPr>
          <w:sz w:val="24"/>
          <w:szCs w:val="24"/>
        </w:rPr>
        <w:t xml:space="preserve"> – all partners focus on optimising medicines use and consider the health, social and economic impact and sustainability of policies, programs or initiatives under the agreement</w:t>
      </w:r>
      <w:r w:rsidR="00DB34DA">
        <w:rPr>
          <w:sz w:val="24"/>
          <w:szCs w:val="24"/>
        </w:rPr>
        <w:t>.</w:t>
      </w:r>
    </w:p>
    <w:p w14:paraId="7227798D" w14:textId="2D2E15D2" w:rsidR="0037199B" w:rsidRPr="00FF4C3F" w:rsidRDefault="00E668CD" w:rsidP="008D248F">
      <w:pPr>
        <w:rPr>
          <w:sz w:val="24"/>
          <w:szCs w:val="24"/>
        </w:rPr>
      </w:pPr>
      <w:r>
        <w:rPr>
          <w:sz w:val="24"/>
          <w:szCs w:val="24"/>
        </w:rPr>
        <w:t>To further guide consideration of th</w:t>
      </w:r>
      <w:r w:rsidR="004D1F42">
        <w:rPr>
          <w:sz w:val="24"/>
          <w:szCs w:val="24"/>
        </w:rPr>
        <w:t>e negotiation of a new community pharmacy agreement,</w:t>
      </w:r>
      <w:r>
        <w:rPr>
          <w:sz w:val="24"/>
          <w:szCs w:val="24"/>
        </w:rPr>
        <w:t xml:space="preserve"> the specific objectives</w:t>
      </w:r>
      <w:r w:rsidR="0037199B" w:rsidRPr="008D248F">
        <w:rPr>
          <w:sz w:val="24"/>
          <w:szCs w:val="24"/>
        </w:rPr>
        <w:t xml:space="preserve"> </w:t>
      </w:r>
      <w:r w:rsidR="001C1E64">
        <w:rPr>
          <w:sz w:val="24"/>
          <w:szCs w:val="24"/>
        </w:rPr>
        <w:t xml:space="preserve">outlined in </w:t>
      </w:r>
      <w:r w:rsidR="00A0125C" w:rsidRPr="00A0125C">
        <w:rPr>
          <w:sz w:val="24"/>
          <w:szCs w:val="24"/>
        </w:rPr>
        <w:fldChar w:fldCharType="begin"/>
      </w:r>
      <w:r w:rsidR="00A0125C" w:rsidRPr="00A0125C">
        <w:rPr>
          <w:sz w:val="24"/>
          <w:szCs w:val="24"/>
        </w:rPr>
        <w:instrText xml:space="preserve"> REF _Ref160011536 \h </w:instrText>
      </w:r>
      <w:r w:rsidR="00A0125C">
        <w:rPr>
          <w:sz w:val="24"/>
          <w:szCs w:val="24"/>
        </w:rPr>
        <w:instrText xml:space="preserve"> \* MERGEFORMAT </w:instrText>
      </w:r>
      <w:r w:rsidR="00A0125C" w:rsidRPr="00A0125C">
        <w:rPr>
          <w:sz w:val="24"/>
          <w:szCs w:val="24"/>
        </w:rPr>
      </w:r>
      <w:r w:rsidR="00A0125C" w:rsidRPr="00A0125C">
        <w:rPr>
          <w:sz w:val="24"/>
          <w:szCs w:val="24"/>
        </w:rPr>
        <w:fldChar w:fldCharType="separate"/>
      </w:r>
      <w:r w:rsidR="00A0125C" w:rsidRPr="0095671A">
        <w:rPr>
          <w:sz w:val="24"/>
          <w:szCs w:val="24"/>
        </w:rPr>
        <w:t xml:space="preserve">Table </w:t>
      </w:r>
      <w:r w:rsidR="00A0125C" w:rsidRPr="0095671A">
        <w:rPr>
          <w:noProof/>
          <w:sz w:val="24"/>
          <w:szCs w:val="24"/>
        </w:rPr>
        <w:t>9</w:t>
      </w:r>
      <w:r w:rsidR="00A0125C" w:rsidRPr="00A0125C">
        <w:rPr>
          <w:sz w:val="24"/>
          <w:szCs w:val="24"/>
        </w:rPr>
        <w:fldChar w:fldCharType="end"/>
      </w:r>
      <w:r w:rsidR="001A75EE">
        <w:rPr>
          <w:sz w:val="24"/>
          <w:szCs w:val="24"/>
        </w:rPr>
        <w:t xml:space="preserve"> </w:t>
      </w:r>
      <w:r w:rsidR="001121FB">
        <w:rPr>
          <w:sz w:val="24"/>
          <w:szCs w:val="24"/>
        </w:rPr>
        <w:t xml:space="preserve">below </w:t>
      </w:r>
      <w:r w:rsidR="004D1F42">
        <w:rPr>
          <w:sz w:val="24"/>
          <w:szCs w:val="24"/>
        </w:rPr>
        <w:t>were</w:t>
      </w:r>
      <w:r w:rsidR="008D248F">
        <w:rPr>
          <w:sz w:val="24"/>
          <w:szCs w:val="24"/>
        </w:rPr>
        <w:t xml:space="preserve"> developed in </w:t>
      </w:r>
      <w:r w:rsidR="008D248F" w:rsidRPr="008D248F">
        <w:rPr>
          <w:sz w:val="24"/>
          <w:szCs w:val="24"/>
        </w:rPr>
        <w:t>ali</w:t>
      </w:r>
      <w:r w:rsidR="008D248F">
        <w:rPr>
          <w:sz w:val="24"/>
          <w:szCs w:val="24"/>
        </w:rPr>
        <w:t>gnment with the above principles and broader NMP</w:t>
      </w:r>
      <w:r w:rsidR="00EB3D6C">
        <w:rPr>
          <w:sz w:val="24"/>
          <w:szCs w:val="24"/>
        </w:rPr>
        <w:t>. These objectives have been used to aid in the development and consideration of potential options for future arrang</w:t>
      </w:r>
      <w:r w:rsidR="00274905">
        <w:rPr>
          <w:sz w:val="24"/>
          <w:szCs w:val="24"/>
        </w:rPr>
        <w:t>ement</w:t>
      </w:r>
      <w:r w:rsidR="00EB3D6C">
        <w:rPr>
          <w:sz w:val="24"/>
          <w:szCs w:val="24"/>
        </w:rPr>
        <w:t>s for determining dispensing remuneration</w:t>
      </w:r>
      <w:r w:rsidR="00FD5BCE">
        <w:rPr>
          <w:sz w:val="24"/>
          <w:szCs w:val="24"/>
        </w:rPr>
        <w:t xml:space="preserve"> and</w:t>
      </w:r>
      <w:r w:rsidR="00274905">
        <w:rPr>
          <w:sz w:val="24"/>
          <w:szCs w:val="24"/>
        </w:rPr>
        <w:t xml:space="preserve"> CPP</w:t>
      </w:r>
      <w:r w:rsidR="00FD5BCE">
        <w:rPr>
          <w:sz w:val="24"/>
          <w:szCs w:val="24"/>
        </w:rPr>
        <w:t xml:space="preserve"> arrangements</w:t>
      </w:r>
      <w:r w:rsidR="00E8062A" w:rsidRPr="00EE1495">
        <w:rPr>
          <w:sz w:val="24"/>
          <w:szCs w:val="24"/>
        </w:rPr>
        <w:t>.</w:t>
      </w:r>
    </w:p>
    <w:p w14:paraId="69976D34" w14:textId="77D538BF" w:rsidR="00A0125C" w:rsidRDefault="00A0125C" w:rsidP="0095671A">
      <w:pPr>
        <w:pStyle w:val="Caption"/>
      </w:pPr>
      <w:bookmarkStart w:id="58" w:name="_Ref160011536"/>
      <w:r>
        <w:t xml:space="preserve">Table </w:t>
      </w:r>
      <w:fldSimple w:instr=" SEQ Table \* ARABIC ">
        <w:r>
          <w:rPr>
            <w:noProof/>
          </w:rPr>
          <w:t>9</w:t>
        </w:r>
      </w:fldSimple>
      <w:bookmarkEnd w:id="58"/>
      <w:r>
        <w:t xml:space="preserve">. </w:t>
      </w:r>
      <w:r w:rsidRPr="000D1C91">
        <w:t>Policy objectives</w:t>
      </w:r>
    </w:p>
    <w:tbl>
      <w:tblPr>
        <w:tblpPr w:leftFromText="180" w:rightFromText="180" w:vertAnchor="text" w:horzAnchor="margin" w:tblpXSpec="center" w:tblpY="31"/>
        <w:tblW w:w="4981" w:type="pct"/>
        <w:tblCellMar>
          <w:left w:w="0" w:type="dxa"/>
          <w:right w:w="0" w:type="dxa"/>
        </w:tblCellMar>
        <w:tblLook w:val="0420" w:firstRow="1" w:lastRow="0" w:firstColumn="0" w:lastColumn="0" w:noHBand="0" w:noVBand="1"/>
      </w:tblPr>
      <w:tblGrid>
        <w:gridCol w:w="5509"/>
        <w:gridCol w:w="4636"/>
      </w:tblGrid>
      <w:tr w:rsidR="002D3953" w:rsidRPr="00312DA2" w14:paraId="38EA0078" w14:textId="77777777" w:rsidTr="006F5D4C">
        <w:trPr>
          <w:trHeight w:val="499"/>
        </w:trPr>
        <w:tc>
          <w:tcPr>
            <w:tcW w:w="2715" w:type="pct"/>
            <w:tcBorders>
              <w:top w:val="single" w:sz="8" w:space="0" w:color="FFFFFF"/>
              <w:left w:val="single" w:sz="8" w:space="0" w:color="FFFFFF"/>
              <w:bottom w:val="single" w:sz="24" w:space="0" w:color="FFFFFF"/>
              <w:right w:val="single" w:sz="8" w:space="0" w:color="FFFFFF"/>
            </w:tcBorders>
            <w:shd w:val="clear" w:color="auto" w:fill="1B375C"/>
            <w:tcMar>
              <w:top w:w="72" w:type="dxa"/>
              <w:left w:w="144" w:type="dxa"/>
              <w:bottom w:w="72" w:type="dxa"/>
              <w:right w:w="144" w:type="dxa"/>
            </w:tcMar>
            <w:hideMark/>
          </w:tcPr>
          <w:p w14:paraId="128C1C64" w14:textId="77777777" w:rsidR="002D3953" w:rsidRPr="0037199B" w:rsidRDefault="002D3953" w:rsidP="00793D37">
            <w:pPr>
              <w:rPr>
                <w:color w:val="FFFFFF" w:themeColor="background1"/>
              </w:rPr>
            </w:pPr>
            <w:r w:rsidRPr="0037199B">
              <w:rPr>
                <w:b/>
                <w:bCs/>
                <w:color w:val="FFFFFF" w:themeColor="background1"/>
              </w:rPr>
              <w:t>Objectives of Government</w:t>
            </w:r>
          </w:p>
        </w:tc>
        <w:tc>
          <w:tcPr>
            <w:tcW w:w="2285" w:type="pct"/>
            <w:tcBorders>
              <w:top w:val="single" w:sz="8" w:space="0" w:color="FFFFFF"/>
              <w:left w:val="single" w:sz="8" w:space="0" w:color="FFFFFF"/>
              <w:bottom w:val="single" w:sz="24" w:space="0" w:color="FFFFFF"/>
              <w:right w:val="single" w:sz="8" w:space="0" w:color="FFFFFF"/>
            </w:tcBorders>
            <w:shd w:val="clear" w:color="auto" w:fill="1B375C"/>
          </w:tcPr>
          <w:p w14:paraId="2429EB3E" w14:textId="702ED836" w:rsidR="002D3953" w:rsidRPr="0037199B" w:rsidRDefault="002D3953" w:rsidP="00793D37">
            <w:pPr>
              <w:rPr>
                <w:b/>
                <w:bCs/>
                <w:color w:val="FFFFFF" w:themeColor="background1"/>
              </w:rPr>
            </w:pPr>
            <w:r>
              <w:rPr>
                <w:b/>
                <w:bCs/>
                <w:color w:val="FFFFFF" w:themeColor="background1"/>
              </w:rPr>
              <w:t>Intended outcome</w:t>
            </w:r>
          </w:p>
        </w:tc>
      </w:tr>
      <w:tr w:rsidR="002D3953" w:rsidRPr="00312DA2" w14:paraId="315E425A" w14:textId="77777777" w:rsidTr="006F5D4C">
        <w:trPr>
          <w:trHeight w:val="744"/>
        </w:trPr>
        <w:tc>
          <w:tcPr>
            <w:tcW w:w="2715" w:type="pct"/>
            <w:tcBorders>
              <w:top w:val="single" w:sz="24" w:space="0" w:color="FFFFFF"/>
              <w:left w:val="single" w:sz="8" w:space="0" w:color="FFFFFF"/>
              <w:bottom w:val="single" w:sz="8" w:space="0" w:color="FFFFFF"/>
              <w:right w:val="single" w:sz="8" w:space="0" w:color="FFFFFF"/>
            </w:tcBorders>
            <w:shd w:val="clear" w:color="auto" w:fill="CCCED2"/>
            <w:tcMar>
              <w:top w:w="72" w:type="dxa"/>
              <w:left w:w="144" w:type="dxa"/>
              <w:bottom w:w="72" w:type="dxa"/>
              <w:right w:w="144" w:type="dxa"/>
            </w:tcMar>
            <w:hideMark/>
          </w:tcPr>
          <w:p w14:paraId="0420D1C4" w14:textId="79792489" w:rsidR="002D3953" w:rsidRPr="00621A95" w:rsidRDefault="002D3953" w:rsidP="00793D37">
            <w:pPr>
              <w:rPr>
                <w:b/>
              </w:rPr>
            </w:pPr>
            <w:r w:rsidRPr="00621A95">
              <w:rPr>
                <w:b/>
              </w:rPr>
              <w:t>Person-Centred</w:t>
            </w:r>
            <w:r w:rsidR="00340A87">
              <w:rPr>
                <w:b/>
              </w:rPr>
              <w:t xml:space="preserve"> – Dispensing &amp; Programs</w:t>
            </w:r>
          </w:p>
          <w:p w14:paraId="7A1BFB54" w14:textId="612C8EE6" w:rsidR="002D3953" w:rsidRPr="00312DA2" w:rsidRDefault="002D3953" w:rsidP="002D3953">
            <w:r>
              <w:t>Enables consumers to be well informed and make active decisions in accessing their PBS medicines. This includes developing and building health and medical literacy.</w:t>
            </w:r>
          </w:p>
        </w:tc>
        <w:tc>
          <w:tcPr>
            <w:tcW w:w="2285" w:type="pct"/>
            <w:tcBorders>
              <w:top w:val="single" w:sz="24" w:space="0" w:color="FFFFFF"/>
              <w:left w:val="single" w:sz="8" w:space="0" w:color="FFFFFF"/>
              <w:bottom w:val="single" w:sz="8" w:space="0" w:color="FFFFFF"/>
              <w:right w:val="single" w:sz="8" w:space="0" w:color="FFFFFF"/>
            </w:tcBorders>
            <w:shd w:val="clear" w:color="auto" w:fill="CCCED2"/>
          </w:tcPr>
          <w:p w14:paraId="61DAEEA0" w14:textId="77777777" w:rsidR="002D3953" w:rsidRDefault="002D3953" w:rsidP="00793D37">
            <w:pPr>
              <w:rPr>
                <w:color w:val="auto"/>
              </w:rPr>
            </w:pPr>
          </w:p>
          <w:p w14:paraId="1E85CF63" w14:textId="17455D36" w:rsidR="002D3953" w:rsidRPr="00FF4C3F" w:rsidRDefault="002D3953" w:rsidP="008F2DA4">
            <w:pPr>
              <w:rPr>
                <w:color w:val="auto"/>
              </w:rPr>
            </w:pPr>
            <w:r w:rsidRPr="00511586">
              <w:rPr>
                <w:color w:val="auto"/>
              </w:rPr>
              <w:t>Consumers are able to access detailed, timely and easy-to-understand information on the safe use of PBS medicines</w:t>
            </w:r>
            <w:r w:rsidR="00340A87">
              <w:rPr>
                <w:color w:val="auto"/>
              </w:rPr>
              <w:t>.</w:t>
            </w:r>
            <w:r w:rsidRPr="00511586">
              <w:rPr>
                <w:color w:val="auto"/>
              </w:rPr>
              <w:t xml:space="preserve"> </w:t>
            </w:r>
            <w:r w:rsidR="00340A87">
              <w:rPr>
                <w:color w:val="auto"/>
              </w:rPr>
              <w:t>W</w:t>
            </w:r>
            <w:r w:rsidRPr="00511586">
              <w:rPr>
                <w:color w:val="auto"/>
              </w:rPr>
              <w:t>here appropriate</w:t>
            </w:r>
            <w:r>
              <w:rPr>
                <w:color w:val="auto"/>
              </w:rPr>
              <w:t xml:space="preserve"> </w:t>
            </w:r>
            <w:r w:rsidR="00092B71">
              <w:rPr>
                <w:color w:val="auto"/>
              </w:rPr>
              <w:t>c</w:t>
            </w:r>
            <w:r w:rsidR="00340A87">
              <w:rPr>
                <w:color w:val="auto"/>
              </w:rPr>
              <w:t>onsumers</w:t>
            </w:r>
            <w:r>
              <w:rPr>
                <w:color w:val="auto"/>
              </w:rPr>
              <w:t xml:space="preserve"> are</w:t>
            </w:r>
            <w:r w:rsidR="00340A87">
              <w:rPr>
                <w:color w:val="auto"/>
              </w:rPr>
              <w:t xml:space="preserve"> also</w:t>
            </w:r>
            <w:r w:rsidRPr="00511586">
              <w:rPr>
                <w:color w:val="auto"/>
              </w:rPr>
              <w:t xml:space="preserve"> supported by pharmacy programs which further enhance health and medical literacy</w:t>
            </w:r>
            <w:r w:rsidR="00340A87">
              <w:rPr>
                <w:color w:val="auto"/>
              </w:rPr>
              <w:t xml:space="preserve"> and consumer views and feedback informs the design and ongoing improvement of relevant CPP</w:t>
            </w:r>
            <w:r w:rsidR="00092B71">
              <w:rPr>
                <w:color w:val="auto"/>
              </w:rPr>
              <w:t>s</w:t>
            </w:r>
            <w:r w:rsidR="00340A87">
              <w:rPr>
                <w:color w:val="auto"/>
              </w:rPr>
              <w:t>.</w:t>
            </w:r>
            <w:r w:rsidRPr="00511586">
              <w:rPr>
                <w:color w:val="auto"/>
              </w:rPr>
              <w:t xml:space="preserve"> </w:t>
            </w:r>
          </w:p>
        </w:tc>
      </w:tr>
      <w:tr w:rsidR="002D3953" w:rsidRPr="00B437FF" w14:paraId="320BFCA1" w14:textId="77777777" w:rsidTr="006F5D4C">
        <w:trPr>
          <w:trHeight w:val="499"/>
        </w:trPr>
        <w:tc>
          <w:tcPr>
            <w:tcW w:w="2715" w:type="pct"/>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08244885" w14:textId="77777777" w:rsidR="002D3953" w:rsidRPr="00621A95" w:rsidRDefault="002D3953" w:rsidP="00793D37">
            <w:pPr>
              <w:rPr>
                <w:b/>
                <w:lang w:val="en-US"/>
              </w:rPr>
            </w:pPr>
            <w:r w:rsidRPr="00621A95">
              <w:rPr>
                <w:b/>
                <w:lang w:val="en-US"/>
              </w:rPr>
              <w:t>Equity</w:t>
            </w:r>
            <w:r>
              <w:rPr>
                <w:b/>
                <w:lang w:val="en-US"/>
              </w:rPr>
              <w:t>, sustainability</w:t>
            </w:r>
            <w:r w:rsidRPr="00621A95">
              <w:rPr>
                <w:b/>
                <w:lang w:val="en-US"/>
              </w:rPr>
              <w:t xml:space="preserve"> and Access for Consumers</w:t>
            </w:r>
          </w:p>
          <w:p w14:paraId="72FED747" w14:textId="733F7C11" w:rsidR="002D3953" w:rsidRPr="00095052" w:rsidRDefault="002D3953" w:rsidP="00793D37">
            <w:pPr>
              <w:rPr>
                <w:color w:val="auto"/>
              </w:rPr>
            </w:pPr>
            <w:r>
              <w:t xml:space="preserve">Supports timely, affordable, safe and reliable access to medicines and pharmacy services and seeks to reduce inequities that are experienced by vulnerable population groups </w:t>
            </w:r>
            <w:r>
              <w:lastRenderedPageBreak/>
              <w:t>within the community including First Nations people and people living in rural and remote areas.</w:t>
            </w:r>
          </w:p>
        </w:tc>
        <w:tc>
          <w:tcPr>
            <w:tcW w:w="2285" w:type="pct"/>
            <w:tcBorders>
              <w:top w:val="single" w:sz="8" w:space="0" w:color="FFFFFF"/>
              <w:left w:val="single" w:sz="8" w:space="0" w:color="FFFFFF"/>
              <w:bottom w:val="single" w:sz="8" w:space="0" w:color="FFFFFF"/>
              <w:right w:val="single" w:sz="8" w:space="0" w:color="FFFFFF"/>
            </w:tcBorders>
            <w:shd w:val="clear" w:color="auto" w:fill="E7E8EA"/>
          </w:tcPr>
          <w:p w14:paraId="5F6538B0" w14:textId="1D2C8CA5" w:rsidR="002D3953" w:rsidRDefault="002D3953" w:rsidP="00793D37">
            <w:pPr>
              <w:rPr>
                <w:color w:val="auto"/>
              </w:rPr>
            </w:pPr>
          </w:p>
          <w:p w14:paraId="3595AB24" w14:textId="77777777" w:rsidR="002D3953" w:rsidRPr="00511586" w:rsidRDefault="002D3953" w:rsidP="00793D37">
            <w:pPr>
              <w:rPr>
                <w:b/>
                <w:color w:val="auto"/>
                <w:lang w:val="en-US"/>
              </w:rPr>
            </w:pPr>
            <w:r w:rsidRPr="00511586">
              <w:rPr>
                <w:color w:val="auto"/>
              </w:rPr>
              <w:t>Consumers can access PBS medicines in a timely manner irrespective of their geographical location.</w:t>
            </w:r>
          </w:p>
        </w:tc>
      </w:tr>
      <w:tr w:rsidR="002D3953" w:rsidRPr="00B437FF" w14:paraId="5F5324C0" w14:textId="77777777" w:rsidTr="006F5D4C">
        <w:trPr>
          <w:trHeight w:val="499"/>
        </w:trPr>
        <w:tc>
          <w:tcPr>
            <w:tcW w:w="2715" w:type="pct"/>
            <w:tcBorders>
              <w:top w:val="single" w:sz="8" w:space="0" w:color="FFFFFF"/>
              <w:left w:val="single" w:sz="8" w:space="0" w:color="FFFFFF"/>
              <w:bottom w:val="single" w:sz="8" w:space="0" w:color="FFFFFF"/>
              <w:right w:val="single" w:sz="8" w:space="0" w:color="FFFFFF"/>
            </w:tcBorders>
            <w:shd w:val="clear" w:color="auto" w:fill="CCCED2"/>
            <w:tcMar>
              <w:top w:w="72" w:type="dxa"/>
              <w:left w:w="144" w:type="dxa"/>
              <w:bottom w:w="72" w:type="dxa"/>
              <w:right w:w="144" w:type="dxa"/>
            </w:tcMar>
            <w:hideMark/>
          </w:tcPr>
          <w:p w14:paraId="10E78582" w14:textId="5F54186A" w:rsidR="002D3953" w:rsidRPr="00621A95" w:rsidRDefault="002D3953" w:rsidP="00793D37">
            <w:pPr>
              <w:rPr>
                <w:b/>
                <w:lang w:val="en-US"/>
              </w:rPr>
            </w:pPr>
            <w:r w:rsidRPr="00621A95">
              <w:rPr>
                <w:b/>
                <w:lang w:val="en-US"/>
              </w:rPr>
              <w:t>Equity</w:t>
            </w:r>
            <w:r>
              <w:rPr>
                <w:b/>
                <w:lang w:val="en-US"/>
              </w:rPr>
              <w:t xml:space="preserve">, sustainability </w:t>
            </w:r>
            <w:r w:rsidRPr="00621A95">
              <w:rPr>
                <w:b/>
                <w:lang w:val="en-US"/>
              </w:rPr>
              <w:t>and Access for Businesses</w:t>
            </w:r>
          </w:p>
          <w:p w14:paraId="1CF9779D" w14:textId="77777777" w:rsidR="002D3953" w:rsidRPr="00511586" w:rsidRDefault="002D3953" w:rsidP="00793D37">
            <w:pPr>
              <w:rPr>
                <w:color w:val="auto"/>
                <w:lang w:val="en-US"/>
              </w:rPr>
            </w:pPr>
            <w:r>
              <w:t>Supports the ongoing availability of PBS medicines through community pharmacies regardless of geographical location.</w:t>
            </w:r>
            <w:r>
              <w:rPr>
                <w:lang w:val="en-US"/>
              </w:rPr>
              <w:t xml:space="preserve"> </w:t>
            </w:r>
          </w:p>
        </w:tc>
        <w:tc>
          <w:tcPr>
            <w:tcW w:w="2285" w:type="pct"/>
            <w:tcBorders>
              <w:top w:val="single" w:sz="8" w:space="0" w:color="FFFFFF"/>
              <w:left w:val="single" w:sz="8" w:space="0" w:color="FFFFFF"/>
              <w:bottom w:val="single" w:sz="8" w:space="0" w:color="FFFFFF"/>
              <w:right w:val="single" w:sz="8" w:space="0" w:color="FFFFFF"/>
            </w:tcBorders>
            <w:shd w:val="clear" w:color="auto" w:fill="CCCED2"/>
          </w:tcPr>
          <w:p w14:paraId="785B5124" w14:textId="0DB578FE" w:rsidR="002D3953" w:rsidRDefault="002D3953" w:rsidP="00793D37">
            <w:pPr>
              <w:rPr>
                <w:color w:val="auto"/>
              </w:rPr>
            </w:pPr>
          </w:p>
          <w:p w14:paraId="0E990904" w14:textId="38399311" w:rsidR="002D3953" w:rsidRPr="00511586" w:rsidRDefault="002D3953" w:rsidP="008F2DA4">
            <w:pPr>
              <w:rPr>
                <w:b/>
                <w:color w:val="auto"/>
                <w:lang w:val="en-US"/>
              </w:rPr>
            </w:pPr>
            <w:r w:rsidRPr="00511586">
              <w:rPr>
                <w:color w:val="auto"/>
              </w:rPr>
              <w:t>Provides for timely supply of PBS medicines</w:t>
            </w:r>
            <w:r w:rsidR="00340A87">
              <w:rPr>
                <w:color w:val="auto"/>
              </w:rPr>
              <w:t>, including in remote and regional areas.</w:t>
            </w:r>
          </w:p>
        </w:tc>
      </w:tr>
      <w:tr w:rsidR="002D3953" w:rsidRPr="00312DA2" w14:paraId="07F26F69" w14:textId="77777777" w:rsidTr="006F5D4C">
        <w:trPr>
          <w:trHeight w:val="499"/>
        </w:trPr>
        <w:tc>
          <w:tcPr>
            <w:tcW w:w="2715" w:type="pct"/>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13B5B025" w14:textId="77777777" w:rsidR="002D3953" w:rsidRPr="00621A95" w:rsidRDefault="002D3953" w:rsidP="00793D37">
            <w:pPr>
              <w:rPr>
                <w:b/>
              </w:rPr>
            </w:pPr>
            <w:r w:rsidRPr="00621A95">
              <w:rPr>
                <w:b/>
              </w:rPr>
              <w:t>Accountability and Transparency</w:t>
            </w:r>
          </w:p>
          <w:p w14:paraId="15170277" w14:textId="7B22A6AB" w:rsidR="002D3953" w:rsidRPr="00312DA2" w:rsidRDefault="002D3953" w:rsidP="00793D37">
            <w:r>
              <w:t xml:space="preserve">Supports the </w:t>
            </w:r>
            <w:r w:rsidR="00340A87">
              <w:t xml:space="preserve">availability and </w:t>
            </w:r>
            <w:r>
              <w:t xml:space="preserve">sharing information </w:t>
            </w:r>
            <w:r w:rsidR="000B388C">
              <w:t xml:space="preserve">on medicine and dispensing costs </w:t>
            </w:r>
            <w:r>
              <w:t>in a respectful, ethical and transparent way.</w:t>
            </w:r>
          </w:p>
        </w:tc>
        <w:tc>
          <w:tcPr>
            <w:tcW w:w="2285" w:type="pct"/>
            <w:tcBorders>
              <w:top w:val="single" w:sz="8" w:space="0" w:color="FFFFFF"/>
              <w:left w:val="single" w:sz="8" w:space="0" w:color="FFFFFF"/>
              <w:bottom w:val="single" w:sz="8" w:space="0" w:color="FFFFFF"/>
              <w:right w:val="single" w:sz="8" w:space="0" w:color="FFFFFF"/>
            </w:tcBorders>
            <w:shd w:val="clear" w:color="auto" w:fill="E7E8EA"/>
          </w:tcPr>
          <w:p w14:paraId="405BD927" w14:textId="77777777" w:rsidR="002D3953" w:rsidRDefault="002D3953" w:rsidP="00793D37">
            <w:pPr>
              <w:rPr>
                <w:color w:val="auto"/>
              </w:rPr>
            </w:pPr>
          </w:p>
          <w:p w14:paraId="0866FB01" w14:textId="4F114A01" w:rsidR="002D3953" w:rsidRPr="00511586" w:rsidRDefault="008478BC" w:rsidP="00793D37">
            <w:pPr>
              <w:rPr>
                <w:b/>
                <w:color w:val="auto"/>
              </w:rPr>
            </w:pPr>
            <w:r>
              <w:t xml:space="preserve">Prior to a medicine being dispensed, consumers are able to </w:t>
            </w:r>
            <w:r w:rsidR="002D3953" w:rsidRPr="00511586">
              <w:rPr>
                <w:color w:val="auto"/>
              </w:rPr>
              <w:t>access through their pharmacy easy-to-understand information on the costs they will incur in accessing PBS medicines.  </w:t>
            </w:r>
          </w:p>
        </w:tc>
      </w:tr>
      <w:tr w:rsidR="002D3953" w:rsidRPr="00312DA2" w14:paraId="7860323E" w14:textId="77777777" w:rsidTr="006F5D4C">
        <w:trPr>
          <w:trHeight w:val="703"/>
        </w:trPr>
        <w:tc>
          <w:tcPr>
            <w:tcW w:w="2715" w:type="pct"/>
            <w:tcBorders>
              <w:top w:val="single" w:sz="8" w:space="0" w:color="FFFFFF"/>
              <w:left w:val="single" w:sz="8" w:space="0" w:color="FFFFFF"/>
              <w:bottom w:val="single" w:sz="8" w:space="0" w:color="FFFFFF"/>
              <w:right w:val="single" w:sz="8" w:space="0" w:color="FFFFFF"/>
            </w:tcBorders>
            <w:shd w:val="clear" w:color="auto" w:fill="CCCED2"/>
            <w:tcMar>
              <w:top w:w="72" w:type="dxa"/>
              <w:left w:w="144" w:type="dxa"/>
              <w:bottom w:w="72" w:type="dxa"/>
              <w:right w:w="144" w:type="dxa"/>
            </w:tcMar>
            <w:hideMark/>
          </w:tcPr>
          <w:p w14:paraId="7AA8B38E" w14:textId="77777777" w:rsidR="002D3953" w:rsidRPr="00621A95" w:rsidRDefault="002D3953" w:rsidP="00793D37">
            <w:pPr>
              <w:rPr>
                <w:b/>
              </w:rPr>
            </w:pPr>
            <w:r w:rsidRPr="00621A95">
              <w:rPr>
                <w:b/>
              </w:rPr>
              <w:t xml:space="preserve">Innovation and Continuous Improvement </w:t>
            </w:r>
          </w:p>
          <w:p w14:paraId="34FD596E" w14:textId="77777777" w:rsidR="002D3953" w:rsidRPr="00312DA2" w:rsidRDefault="002D3953" w:rsidP="00793D37">
            <w:r>
              <w:t>Encourages innovation and the continued improvement of pharmacy services.</w:t>
            </w:r>
          </w:p>
        </w:tc>
        <w:tc>
          <w:tcPr>
            <w:tcW w:w="2285" w:type="pct"/>
            <w:tcBorders>
              <w:top w:val="single" w:sz="8" w:space="0" w:color="FFFFFF"/>
              <w:left w:val="single" w:sz="8" w:space="0" w:color="FFFFFF"/>
              <w:bottom w:val="single" w:sz="8" w:space="0" w:color="FFFFFF"/>
              <w:right w:val="single" w:sz="8" w:space="0" w:color="FFFFFF"/>
            </w:tcBorders>
            <w:shd w:val="clear" w:color="auto" w:fill="CCCED2"/>
          </w:tcPr>
          <w:p w14:paraId="7EC062CF" w14:textId="77777777" w:rsidR="002D3953" w:rsidRDefault="002D3953" w:rsidP="00793D37">
            <w:pPr>
              <w:rPr>
                <w:color w:val="auto"/>
              </w:rPr>
            </w:pPr>
          </w:p>
          <w:p w14:paraId="59AA27D2" w14:textId="765D923F" w:rsidR="002D3953" w:rsidRPr="00511586" w:rsidRDefault="002D3953" w:rsidP="00793D37">
            <w:pPr>
              <w:rPr>
                <w:b/>
                <w:color w:val="auto"/>
              </w:rPr>
            </w:pPr>
            <w:r w:rsidRPr="00511586">
              <w:rPr>
                <w:color w:val="auto"/>
              </w:rPr>
              <w:t>Supports the collection and evaluation of evidence/data on the impact pharmacy services have on health outcomes.</w:t>
            </w:r>
          </w:p>
        </w:tc>
      </w:tr>
    </w:tbl>
    <w:p w14:paraId="3224D8C3" w14:textId="265BC91E" w:rsidR="003A4225" w:rsidRPr="003A4225" w:rsidRDefault="003A4225" w:rsidP="009A7EE2">
      <w:pPr>
        <w:rPr>
          <w:color w:val="0D0D0D" w:themeColor="text1" w:themeTint="F2"/>
          <w:sz w:val="24"/>
          <w:szCs w:val="24"/>
          <w:u w:val="single"/>
        </w:rPr>
      </w:pPr>
    </w:p>
    <w:p w14:paraId="4A9C89C8" w14:textId="3042F05C" w:rsidR="003A4225" w:rsidRPr="00FF4C3F" w:rsidRDefault="003A4225" w:rsidP="00FF4C3F">
      <w:pPr>
        <w:pStyle w:val="Heading3"/>
      </w:pPr>
      <w:bookmarkStart w:id="59" w:name="_Toc168652739"/>
      <w:r w:rsidRPr="00FF4C3F">
        <w:t>Person-</w:t>
      </w:r>
      <w:r w:rsidR="000D09E0">
        <w:t>c</w:t>
      </w:r>
      <w:r w:rsidRPr="00FF4C3F">
        <w:t>entred</w:t>
      </w:r>
      <w:bookmarkEnd w:id="59"/>
    </w:p>
    <w:p w14:paraId="02703ED7" w14:textId="4583C69A" w:rsidR="00E13BBC" w:rsidRDefault="00E13BBC" w:rsidP="00E13BBC">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 xml:space="preserve">Consumers are currently provided, and actively seek, information through community pharmacies </w:t>
      </w:r>
      <w:r w:rsidR="002D3953" w:rsidRPr="0088060C">
        <w:rPr>
          <w:color w:val="0D0D0D" w:themeColor="text1" w:themeTint="F2"/>
          <w:sz w:val="24"/>
          <w:szCs w:val="24"/>
        </w:rPr>
        <w:t xml:space="preserve">on the safe use </w:t>
      </w:r>
      <w:r w:rsidR="00DB34DA">
        <w:rPr>
          <w:color w:val="0D0D0D" w:themeColor="text1" w:themeTint="F2"/>
          <w:sz w:val="24"/>
          <w:szCs w:val="24"/>
        </w:rPr>
        <w:t xml:space="preserve">of </w:t>
      </w:r>
      <w:r w:rsidR="002D3953" w:rsidRPr="0088060C">
        <w:rPr>
          <w:color w:val="0D0D0D" w:themeColor="text1" w:themeTint="F2"/>
          <w:sz w:val="24"/>
          <w:szCs w:val="24"/>
        </w:rPr>
        <w:t>medicine</w:t>
      </w:r>
      <w:r w:rsidR="002D3953">
        <w:rPr>
          <w:color w:val="0D0D0D" w:themeColor="text1" w:themeTint="F2"/>
          <w:sz w:val="24"/>
          <w:szCs w:val="24"/>
        </w:rPr>
        <w:t>s</w:t>
      </w:r>
      <w:r>
        <w:rPr>
          <w:color w:val="0D0D0D" w:themeColor="text1" w:themeTint="F2"/>
          <w:sz w:val="24"/>
          <w:szCs w:val="24"/>
        </w:rPr>
        <w:t xml:space="preserve"> as a part of the core pharmacy services. </w:t>
      </w:r>
      <w:r>
        <w:rPr>
          <w:rFonts w:eastAsiaTheme="majorEastAsia" w:cs="Arial"/>
          <w:bCs/>
          <w:color w:val="0D0D0D" w:themeColor="text1" w:themeTint="F2"/>
          <w:sz w:val="24"/>
          <w:szCs w:val="24"/>
        </w:rPr>
        <w:t>In addition to these core services</w:t>
      </w:r>
      <w:r w:rsidR="00274905">
        <w:rPr>
          <w:rFonts w:eastAsiaTheme="majorEastAsia" w:cs="Arial"/>
          <w:bCs/>
          <w:color w:val="0D0D0D" w:themeColor="text1" w:themeTint="F2"/>
          <w:sz w:val="24"/>
          <w:szCs w:val="24"/>
        </w:rPr>
        <w:t>,</w:t>
      </w:r>
      <w:r>
        <w:rPr>
          <w:rFonts w:eastAsiaTheme="majorEastAsia" w:cs="Arial"/>
          <w:bCs/>
          <w:color w:val="0D0D0D" w:themeColor="text1" w:themeTint="F2"/>
          <w:sz w:val="24"/>
          <w:szCs w:val="24"/>
        </w:rPr>
        <w:t xml:space="preserve"> </w:t>
      </w:r>
      <w:r w:rsidR="002D3953">
        <w:rPr>
          <w:rFonts w:eastAsiaTheme="majorEastAsia" w:cs="Arial"/>
          <w:bCs/>
          <w:color w:val="0D0D0D" w:themeColor="text1" w:themeTint="F2"/>
          <w:sz w:val="24"/>
          <w:szCs w:val="24"/>
        </w:rPr>
        <w:t xml:space="preserve">CPPs </w:t>
      </w:r>
      <w:r>
        <w:rPr>
          <w:rFonts w:eastAsiaTheme="majorEastAsia" w:cs="Arial"/>
          <w:bCs/>
          <w:color w:val="0D0D0D" w:themeColor="text1" w:themeTint="F2"/>
          <w:sz w:val="24"/>
          <w:szCs w:val="24"/>
        </w:rPr>
        <w:t xml:space="preserve">which focus on medication management and review </w:t>
      </w:r>
      <w:r w:rsidR="002D3953">
        <w:rPr>
          <w:rFonts w:eastAsiaTheme="majorEastAsia" w:cs="Arial"/>
          <w:bCs/>
          <w:color w:val="0D0D0D" w:themeColor="text1" w:themeTint="F2"/>
          <w:sz w:val="24"/>
          <w:szCs w:val="24"/>
        </w:rPr>
        <w:t>also support a consumer focus</w:t>
      </w:r>
      <w:r>
        <w:rPr>
          <w:rFonts w:eastAsiaTheme="majorEastAsia" w:cs="Arial"/>
          <w:bCs/>
          <w:color w:val="0D0D0D" w:themeColor="text1" w:themeTint="F2"/>
          <w:sz w:val="24"/>
          <w:szCs w:val="24"/>
        </w:rPr>
        <w:t xml:space="preserve"> and building individual health literacy to achieve the best health outcomes possible. </w:t>
      </w:r>
      <w:r w:rsidR="0090657D">
        <w:rPr>
          <w:rFonts w:eastAsiaTheme="majorEastAsia" w:cs="Arial"/>
          <w:bCs/>
          <w:color w:val="0D0D0D" w:themeColor="text1" w:themeTint="F2"/>
          <w:sz w:val="24"/>
          <w:szCs w:val="24"/>
        </w:rPr>
        <w:t xml:space="preserve">However some of these programs have been in place for many years and were developed with minimal engagement with consumers or consumer representatives. </w:t>
      </w:r>
      <w:r>
        <w:rPr>
          <w:rFonts w:eastAsiaTheme="majorEastAsia" w:cs="Arial"/>
          <w:bCs/>
          <w:color w:val="0D0D0D" w:themeColor="text1" w:themeTint="F2"/>
          <w:sz w:val="24"/>
          <w:szCs w:val="24"/>
        </w:rPr>
        <w:t xml:space="preserve">Many stakeholders have </w:t>
      </w:r>
      <w:r w:rsidR="0090657D">
        <w:rPr>
          <w:rFonts w:eastAsiaTheme="majorEastAsia" w:cs="Arial"/>
          <w:bCs/>
          <w:color w:val="0D0D0D" w:themeColor="text1" w:themeTint="F2"/>
          <w:sz w:val="24"/>
          <w:szCs w:val="24"/>
        </w:rPr>
        <w:t xml:space="preserve">suggested that CPPs could be better targeted and should be developed with </w:t>
      </w:r>
      <w:r w:rsidR="008478BC">
        <w:rPr>
          <w:rFonts w:eastAsiaTheme="majorEastAsia" w:cs="Arial"/>
          <w:bCs/>
          <w:color w:val="0D0D0D" w:themeColor="text1" w:themeTint="F2"/>
          <w:sz w:val="24"/>
          <w:szCs w:val="24"/>
        </w:rPr>
        <w:t xml:space="preserve">a </w:t>
      </w:r>
      <w:r w:rsidR="0090657D">
        <w:rPr>
          <w:rFonts w:eastAsiaTheme="majorEastAsia" w:cs="Arial"/>
          <w:bCs/>
          <w:color w:val="0D0D0D" w:themeColor="text1" w:themeTint="F2"/>
          <w:sz w:val="24"/>
          <w:szCs w:val="24"/>
        </w:rPr>
        <w:t xml:space="preserve">broad range of stakeholders to ensure the best health outcomes. </w:t>
      </w:r>
    </w:p>
    <w:p w14:paraId="1CAB14E2" w14:textId="7B27D2AD" w:rsidR="009321E0" w:rsidRDefault="00F406E6" w:rsidP="00F406E6">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Consumers Health F</w:t>
      </w:r>
      <w:r w:rsidRPr="00F406E6">
        <w:rPr>
          <w:rFonts w:eastAsiaTheme="majorEastAsia" w:cs="Arial"/>
          <w:bCs/>
          <w:color w:val="0D0D0D" w:themeColor="text1" w:themeTint="F2"/>
          <w:sz w:val="24"/>
          <w:szCs w:val="24"/>
        </w:rPr>
        <w:t>orum of Australia</w:t>
      </w:r>
      <w:r>
        <w:rPr>
          <w:rFonts w:eastAsiaTheme="majorEastAsia" w:cs="Arial"/>
          <w:bCs/>
          <w:color w:val="0D0D0D" w:themeColor="text1" w:themeTint="F2"/>
          <w:sz w:val="24"/>
          <w:szCs w:val="24"/>
        </w:rPr>
        <w:t xml:space="preserve"> </w:t>
      </w:r>
      <w:r w:rsidR="00267A5A">
        <w:rPr>
          <w:rFonts w:eastAsiaTheme="majorEastAsia" w:cs="Arial"/>
          <w:bCs/>
          <w:color w:val="0D0D0D" w:themeColor="text1" w:themeTint="F2"/>
          <w:sz w:val="24"/>
          <w:szCs w:val="24"/>
        </w:rPr>
        <w:t xml:space="preserve">(CHF) </w:t>
      </w:r>
      <w:r>
        <w:rPr>
          <w:rFonts w:eastAsiaTheme="majorEastAsia" w:cs="Arial"/>
          <w:bCs/>
          <w:color w:val="0D0D0D" w:themeColor="text1" w:themeTint="F2"/>
          <w:sz w:val="24"/>
          <w:szCs w:val="24"/>
        </w:rPr>
        <w:t>suggested as a part of their s</w:t>
      </w:r>
      <w:r w:rsidRPr="00F406E6">
        <w:rPr>
          <w:rFonts w:eastAsiaTheme="majorEastAsia" w:cs="Arial"/>
          <w:bCs/>
          <w:color w:val="0D0D0D" w:themeColor="text1" w:themeTint="F2"/>
          <w:sz w:val="24"/>
          <w:szCs w:val="24"/>
        </w:rPr>
        <w:t>ubmission to the Review of Pharmacy</w:t>
      </w:r>
      <w:r>
        <w:rPr>
          <w:rFonts w:eastAsiaTheme="majorEastAsia" w:cs="Arial"/>
          <w:bCs/>
          <w:color w:val="0D0D0D" w:themeColor="text1" w:themeTint="F2"/>
          <w:sz w:val="24"/>
          <w:szCs w:val="24"/>
        </w:rPr>
        <w:t xml:space="preserve"> Remuneration and Regulation</w:t>
      </w:r>
      <w:r w:rsidRPr="00F406E6">
        <w:rPr>
          <w:rFonts w:eastAsiaTheme="majorEastAsia" w:cs="Arial"/>
          <w:bCs/>
          <w:color w:val="0D0D0D" w:themeColor="text1" w:themeTint="F2"/>
          <w:sz w:val="24"/>
          <w:szCs w:val="24"/>
        </w:rPr>
        <w:t xml:space="preserve"> </w:t>
      </w:r>
      <w:r w:rsidR="006D75A7">
        <w:rPr>
          <w:rFonts w:eastAsiaTheme="majorEastAsia" w:cs="Arial"/>
          <w:bCs/>
          <w:color w:val="0D0D0D" w:themeColor="text1" w:themeTint="F2"/>
          <w:sz w:val="24"/>
          <w:szCs w:val="24"/>
        </w:rPr>
        <w:t xml:space="preserve">Discussion paper </w:t>
      </w:r>
      <w:r>
        <w:rPr>
          <w:rFonts w:eastAsiaTheme="majorEastAsia" w:cs="Arial"/>
          <w:bCs/>
          <w:color w:val="0D0D0D" w:themeColor="text1" w:themeTint="F2"/>
          <w:sz w:val="24"/>
          <w:szCs w:val="24"/>
        </w:rPr>
        <w:t xml:space="preserve">in </w:t>
      </w:r>
      <w:r w:rsidRPr="00F406E6">
        <w:rPr>
          <w:rFonts w:eastAsiaTheme="majorEastAsia" w:cs="Arial"/>
          <w:bCs/>
          <w:color w:val="0D0D0D" w:themeColor="text1" w:themeTint="F2"/>
          <w:sz w:val="24"/>
          <w:szCs w:val="24"/>
        </w:rPr>
        <w:t>2016</w:t>
      </w:r>
      <w:r w:rsidR="00E942A1">
        <w:rPr>
          <w:rStyle w:val="FootnoteReference"/>
          <w:rFonts w:eastAsiaTheme="majorEastAsia" w:cs="Arial"/>
          <w:bCs/>
          <w:color w:val="0D0D0D" w:themeColor="text1" w:themeTint="F2"/>
          <w:sz w:val="24"/>
          <w:szCs w:val="24"/>
        </w:rPr>
        <w:footnoteReference w:id="57"/>
      </w:r>
      <w:r w:rsidRPr="00F406E6">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that t</w:t>
      </w:r>
      <w:r w:rsidRPr="00F406E6">
        <w:rPr>
          <w:rFonts w:eastAsiaTheme="majorEastAsia" w:cs="Arial"/>
          <w:bCs/>
          <w:color w:val="0D0D0D" w:themeColor="text1" w:themeTint="F2"/>
          <w:sz w:val="24"/>
          <w:szCs w:val="24"/>
        </w:rPr>
        <w:t xml:space="preserve">he pharmacist’s role in providing consumers with information about their prescription medicines </w:t>
      </w:r>
      <w:r>
        <w:rPr>
          <w:rFonts w:eastAsiaTheme="majorEastAsia" w:cs="Arial"/>
          <w:bCs/>
          <w:color w:val="0D0D0D" w:themeColor="text1" w:themeTint="F2"/>
          <w:sz w:val="24"/>
          <w:szCs w:val="24"/>
        </w:rPr>
        <w:t xml:space="preserve">should be </w:t>
      </w:r>
      <w:r w:rsidRPr="00F406E6">
        <w:rPr>
          <w:rFonts w:eastAsiaTheme="majorEastAsia" w:cs="Arial"/>
          <w:bCs/>
          <w:color w:val="0D0D0D" w:themeColor="text1" w:themeTint="F2"/>
          <w:sz w:val="24"/>
          <w:szCs w:val="24"/>
        </w:rPr>
        <w:t xml:space="preserve">explicitly </w:t>
      </w:r>
      <w:r>
        <w:rPr>
          <w:rFonts w:eastAsiaTheme="majorEastAsia" w:cs="Arial"/>
          <w:bCs/>
          <w:color w:val="0D0D0D" w:themeColor="text1" w:themeTint="F2"/>
          <w:sz w:val="24"/>
          <w:szCs w:val="24"/>
        </w:rPr>
        <w:t>included in the dispensing fee.</w:t>
      </w:r>
      <w:r w:rsidR="009321E0">
        <w:rPr>
          <w:rFonts w:eastAsiaTheme="majorEastAsia" w:cs="Arial"/>
          <w:bCs/>
          <w:color w:val="0D0D0D" w:themeColor="text1" w:themeTint="F2"/>
          <w:sz w:val="24"/>
          <w:szCs w:val="24"/>
        </w:rPr>
        <w:t xml:space="preserve"> C</w:t>
      </w:r>
      <w:r w:rsidR="006D75A7" w:rsidRPr="006D75A7">
        <w:rPr>
          <w:rFonts w:eastAsiaTheme="majorEastAsia" w:cs="Arial"/>
          <w:bCs/>
          <w:color w:val="0D0D0D" w:themeColor="text1" w:themeTint="F2"/>
          <w:sz w:val="24"/>
          <w:szCs w:val="24"/>
        </w:rPr>
        <w:t>onsumers should be involved in the development of the statement about provision of advice and information.</w:t>
      </w:r>
      <w:r w:rsidR="009321E0">
        <w:rPr>
          <w:rFonts w:eastAsiaTheme="majorEastAsia" w:cs="Arial"/>
          <w:bCs/>
          <w:color w:val="0D0D0D" w:themeColor="text1" w:themeTint="F2"/>
          <w:sz w:val="24"/>
          <w:szCs w:val="24"/>
        </w:rPr>
        <w:t xml:space="preserve"> </w:t>
      </w:r>
      <w:r w:rsidR="006D75A7">
        <w:rPr>
          <w:rFonts w:eastAsiaTheme="majorEastAsia" w:cs="Arial"/>
          <w:bCs/>
          <w:color w:val="0D0D0D" w:themeColor="text1" w:themeTint="F2"/>
          <w:sz w:val="24"/>
          <w:szCs w:val="24"/>
        </w:rPr>
        <w:t>However CHF note</w:t>
      </w:r>
      <w:r w:rsidR="00E942A1">
        <w:rPr>
          <w:rFonts w:eastAsiaTheme="majorEastAsia" w:cs="Arial"/>
          <w:bCs/>
          <w:color w:val="0D0D0D" w:themeColor="text1" w:themeTint="F2"/>
          <w:sz w:val="24"/>
          <w:szCs w:val="24"/>
        </w:rPr>
        <w:t>d</w:t>
      </w:r>
      <w:r w:rsidR="006D75A7">
        <w:rPr>
          <w:rFonts w:eastAsiaTheme="majorEastAsia" w:cs="Arial"/>
          <w:bCs/>
          <w:color w:val="0D0D0D" w:themeColor="text1" w:themeTint="F2"/>
          <w:sz w:val="24"/>
          <w:szCs w:val="24"/>
        </w:rPr>
        <w:t xml:space="preserve"> that i</w:t>
      </w:r>
      <w:r w:rsidR="006D75A7" w:rsidRPr="006D75A7">
        <w:rPr>
          <w:rFonts w:eastAsiaTheme="majorEastAsia" w:cs="Arial"/>
          <w:bCs/>
          <w:color w:val="0D0D0D" w:themeColor="text1" w:themeTint="F2"/>
          <w:sz w:val="24"/>
          <w:szCs w:val="24"/>
        </w:rPr>
        <w:t>t is hard to monitor the provision of advice and information and the compliance monitoring and reporting required to e</w:t>
      </w:r>
      <w:r w:rsidR="006D75A7">
        <w:rPr>
          <w:rFonts w:eastAsiaTheme="majorEastAsia" w:cs="Arial"/>
          <w:bCs/>
          <w:color w:val="0D0D0D" w:themeColor="text1" w:themeTint="F2"/>
          <w:sz w:val="24"/>
          <w:szCs w:val="24"/>
        </w:rPr>
        <w:t xml:space="preserve">nforce it would be prohibitive and therefore </w:t>
      </w:r>
      <w:r w:rsidR="00E942A1">
        <w:rPr>
          <w:rFonts w:eastAsiaTheme="majorEastAsia" w:cs="Arial"/>
          <w:bCs/>
          <w:color w:val="0D0D0D" w:themeColor="text1" w:themeTint="F2"/>
          <w:sz w:val="24"/>
          <w:szCs w:val="24"/>
        </w:rPr>
        <w:t xml:space="preserve">did </w:t>
      </w:r>
      <w:r w:rsidR="006D75A7">
        <w:rPr>
          <w:rFonts w:eastAsiaTheme="majorEastAsia" w:cs="Arial"/>
          <w:bCs/>
          <w:color w:val="0D0D0D" w:themeColor="text1" w:themeTint="F2"/>
          <w:sz w:val="24"/>
          <w:szCs w:val="24"/>
        </w:rPr>
        <w:t xml:space="preserve">not suggest </w:t>
      </w:r>
      <w:r w:rsidR="006D75A7" w:rsidRPr="006D75A7">
        <w:rPr>
          <w:rFonts w:eastAsiaTheme="majorEastAsia" w:cs="Arial"/>
          <w:bCs/>
          <w:color w:val="0D0D0D" w:themeColor="text1" w:themeTint="F2"/>
          <w:sz w:val="24"/>
          <w:szCs w:val="24"/>
        </w:rPr>
        <w:t>that th</w:t>
      </w:r>
      <w:r w:rsidR="006D75A7">
        <w:rPr>
          <w:rFonts w:eastAsiaTheme="majorEastAsia" w:cs="Arial"/>
          <w:bCs/>
          <w:color w:val="0D0D0D" w:themeColor="text1" w:themeTint="F2"/>
          <w:sz w:val="24"/>
          <w:szCs w:val="24"/>
        </w:rPr>
        <w:t xml:space="preserve">ere should be </w:t>
      </w:r>
      <w:r w:rsidR="006D75A7" w:rsidRPr="006D75A7">
        <w:rPr>
          <w:rFonts w:eastAsiaTheme="majorEastAsia" w:cs="Arial"/>
          <w:bCs/>
          <w:color w:val="0D0D0D" w:themeColor="text1" w:themeTint="F2"/>
          <w:sz w:val="24"/>
          <w:szCs w:val="24"/>
        </w:rPr>
        <w:t>a separate payment</w:t>
      </w:r>
      <w:r w:rsidR="006D75A7">
        <w:rPr>
          <w:rFonts w:eastAsiaTheme="majorEastAsia" w:cs="Arial"/>
          <w:bCs/>
          <w:color w:val="0D0D0D" w:themeColor="text1" w:themeTint="F2"/>
          <w:sz w:val="24"/>
          <w:szCs w:val="24"/>
        </w:rPr>
        <w:t xml:space="preserve"> for this role</w:t>
      </w:r>
      <w:r w:rsidR="006D75A7" w:rsidRPr="006D75A7">
        <w:rPr>
          <w:rFonts w:eastAsiaTheme="majorEastAsia" w:cs="Arial"/>
          <w:bCs/>
          <w:color w:val="0D0D0D" w:themeColor="text1" w:themeTint="F2"/>
          <w:sz w:val="24"/>
          <w:szCs w:val="24"/>
        </w:rPr>
        <w:t xml:space="preserve">. </w:t>
      </w:r>
    </w:p>
    <w:p w14:paraId="43561CAA" w14:textId="6C392898" w:rsidR="00F406E6" w:rsidRPr="00F406E6" w:rsidRDefault="00267A5A" w:rsidP="00F406E6">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 xml:space="preserve">In the same submission CHF </w:t>
      </w:r>
      <w:r w:rsidR="00F406E6">
        <w:rPr>
          <w:rFonts w:eastAsiaTheme="majorEastAsia" w:cs="Arial"/>
          <w:bCs/>
          <w:color w:val="0D0D0D" w:themeColor="text1" w:themeTint="F2"/>
          <w:sz w:val="24"/>
          <w:szCs w:val="24"/>
        </w:rPr>
        <w:t xml:space="preserve">stated that there </w:t>
      </w:r>
      <w:r w:rsidR="00F406E6" w:rsidRPr="00F406E6">
        <w:rPr>
          <w:rFonts w:eastAsiaTheme="majorEastAsia" w:cs="Arial"/>
          <w:bCs/>
          <w:color w:val="0D0D0D" w:themeColor="text1" w:themeTint="F2"/>
          <w:sz w:val="24"/>
          <w:szCs w:val="24"/>
        </w:rPr>
        <w:t xml:space="preserve">should be separate negotiations and agreements on the dispensing fee and the professional services program. </w:t>
      </w:r>
    </w:p>
    <w:p w14:paraId="0E0AE352" w14:textId="67D737E4" w:rsidR="0090657D" w:rsidRPr="00FF4C3F" w:rsidRDefault="009E37D3" w:rsidP="003A4225">
      <w:pPr>
        <w:rPr>
          <w:rFonts w:eastAsiaTheme="majorEastAsia" w:cs="Arial"/>
          <w:bCs/>
          <w:color w:val="0D0D0D" w:themeColor="text1" w:themeTint="F2"/>
          <w:sz w:val="24"/>
          <w:szCs w:val="24"/>
        </w:rPr>
      </w:pPr>
      <w:r>
        <w:rPr>
          <w:rFonts w:eastAsiaTheme="majorEastAsia" w:cs="Arial"/>
          <w:bCs/>
          <w:color w:val="0D0D0D" w:themeColor="text1" w:themeTint="F2"/>
          <w:sz w:val="24"/>
          <w:szCs w:val="24"/>
        </w:rPr>
        <w:lastRenderedPageBreak/>
        <w:t xml:space="preserve">Impacts </w:t>
      </w:r>
      <w:r w:rsidR="0090657D">
        <w:rPr>
          <w:rFonts w:eastAsiaTheme="majorEastAsia" w:cs="Arial"/>
          <w:bCs/>
          <w:color w:val="0D0D0D" w:themeColor="text1" w:themeTint="F2"/>
          <w:sz w:val="24"/>
          <w:szCs w:val="24"/>
        </w:rPr>
        <w:t>in relation to this objective will therefore be measured through the</w:t>
      </w:r>
      <w:r>
        <w:rPr>
          <w:rFonts w:eastAsiaTheme="majorEastAsia" w:cs="Arial"/>
          <w:bCs/>
          <w:color w:val="0D0D0D" w:themeColor="text1" w:themeTint="F2"/>
          <w:sz w:val="24"/>
          <w:szCs w:val="24"/>
        </w:rPr>
        <w:t xml:space="preserve"> potential to deliver greater</w:t>
      </w:r>
      <w:r w:rsidR="0090657D">
        <w:rPr>
          <w:rFonts w:eastAsiaTheme="majorEastAsia" w:cs="Arial"/>
          <w:bCs/>
          <w:color w:val="0D0D0D" w:themeColor="text1" w:themeTint="F2"/>
          <w:sz w:val="24"/>
          <w:szCs w:val="24"/>
        </w:rPr>
        <w:t xml:space="preserve"> inclusion of consumer representative stakeholders in </w:t>
      </w:r>
      <w:r w:rsidR="004A4EA4">
        <w:rPr>
          <w:rFonts w:eastAsiaTheme="majorEastAsia" w:cs="Arial"/>
          <w:bCs/>
          <w:color w:val="0D0D0D" w:themeColor="text1" w:themeTint="F2"/>
          <w:sz w:val="24"/>
          <w:szCs w:val="24"/>
        </w:rPr>
        <w:t xml:space="preserve">the </w:t>
      </w:r>
      <w:r>
        <w:rPr>
          <w:rFonts w:eastAsiaTheme="majorEastAsia" w:cs="Arial"/>
          <w:bCs/>
          <w:color w:val="0D0D0D" w:themeColor="text1" w:themeTint="F2"/>
          <w:sz w:val="24"/>
          <w:szCs w:val="24"/>
        </w:rPr>
        <w:t>establishment of evaluation frameworks for existing CPPs relating to</w:t>
      </w:r>
      <w:r w:rsidR="001C1E64">
        <w:rPr>
          <w:rFonts w:eastAsiaTheme="majorEastAsia" w:cs="Arial"/>
          <w:bCs/>
          <w:color w:val="0D0D0D" w:themeColor="text1" w:themeTint="F2"/>
          <w:sz w:val="24"/>
          <w:szCs w:val="24"/>
        </w:rPr>
        <w:t xml:space="preserve"> medication management and review and </w:t>
      </w:r>
      <w:r w:rsidR="0090657D">
        <w:rPr>
          <w:rFonts w:eastAsiaTheme="majorEastAsia" w:cs="Arial"/>
          <w:bCs/>
          <w:color w:val="0D0D0D" w:themeColor="text1" w:themeTint="F2"/>
          <w:sz w:val="24"/>
          <w:szCs w:val="24"/>
        </w:rPr>
        <w:t xml:space="preserve">in future CPP development. </w:t>
      </w:r>
    </w:p>
    <w:p w14:paraId="33265032" w14:textId="625B61FA" w:rsidR="003A4225" w:rsidRPr="00FF4C3F" w:rsidRDefault="003A4225" w:rsidP="00FF4C3F">
      <w:pPr>
        <w:pStyle w:val="Heading3"/>
      </w:pPr>
      <w:bookmarkStart w:id="60" w:name="_Toc168652740"/>
      <w:r w:rsidRPr="00FF4C3F">
        <w:t xml:space="preserve">Equity, sustainability and </w:t>
      </w:r>
      <w:r w:rsidR="000D09E0">
        <w:t>a</w:t>
      </w:r>
      <w:r w:rsidRPr="00FF4C3F">
        <w:t xml:space="preserve">ccess for </w:t>
      </w:r>
      <w:r w:rsidR="000D09E0">
        <w:t>c</w:t>
      </w:r>
      <w:r w:rsidRPr="00FF4C3F">
        <w:t>onsumers</w:t>
      </w:r>
      <w:bookmarkEnd w:id="60"/>
    </w:p>
    <w:p w14:paraId="664CEBC2" w14:textId="7EB744B3" w:rsidR="009A7EE2" w:rsidRPr="00C20287" w:rsidRDefault="006C4414" w:rsidP="009A7EE2">
      <w:pPr>
        <w:rPr>
          <w:color w:val="0D0D0D" w:themeColor="text1" w:themeTint="F2"/>
          <w:sz w:val="24"/>
          <w:szCs w:val="24"/>
        </w:rPr>
      </w:pPr>
      <w:r w:rsidRPr="00FF4C3F">
        <w:rPr>
          <w:color w:val="0D0D0D" w:themeColor="text1" w:themeTint="F2"/>
          <w:sz w:val="24"/>
          <w:szCs w:val="24"/>
        </w:rPr>
        <w:t>Successive CPAs have sought to s</w:t>
      </w:r>
      <w:r w:rsidR="003A4225" w:rsidRPr="00FF4C3F">
        <w:rPr>
          <w:color w:val="0D0D0D" w:themeColor="text1" w:themeTint="F2"/>
          <w:sz w:val="24"/>
          <w:szCs w:val="24"/>
        </w:rPr>
        <w:t>u</w:t>
      </w:r>
      <w:r w:rsidRPr="00FF4C3F">
        <w:rPr>
          <w:color w:val="0D0D0D" w:themeColor="text1" w:themeTint="F2"/>
          <w:sz w:val="24"/>
          <w:szCs w:val="24"/>
        </w:rPr>
        <w:t xml:space="preserve">pport </w:t>
      </w:r>
      <w:r w:rsidR="003A4225" w:rsidRPr="00FF4C3F">
        <w:rPr>
          <w:color w:val="0D0D0D" w:themeColor="text1" w:themeTint="F2"/>
          <w:sz w:val="24"/>
          <w:szCs w:val="24"/>
        </w:rPr>
        <w:t>timely, affordable, safe and reliable access to medicines and pharmacy services</w:t>
      </w:r>
      <w:r w:rsidRPr="00FF4C3F">
        <w:rPr>
          <w:color w:val="0D0D0D" w:themeColor="text1" w:themeTint="F2"/>
          <w:sz w:val="24"/>
          <w:szCs w:val="24"/>
        </w:rPr>
        <w:t xml:space="preserve"> for all Australians.</w:t>
      </w:r>
      <w:r w:rsidR="009A7EE2" w:rsidRPr="00784375">
        <w:rPr>
          <w:color w:val="0D0D0D" w:themeColor="text1" w:themeTint="F2"/>
          <w:sz w:val="24"/>
          <w:szCs w:val="24"/>
        </w:rPr>
        <w:t xml:space="preserve"> </w:t>
      </w:r>
      <w:r w:rsidR="00430B1E">
        <w:rPr>
          <w:color w:val="0D0D0D" w:themeColor="text1" w:themeTint="F2"/>
          <w:sz w:val="24"/>
          <w:szCs w:val="24"/>
        </w:rPr>
        <w:t>A</w:t>
      </w:r>
      <w:r w:rsidR="00430B1E" w:rsidRPr="00E04259">
        <w:rPr>
          <w:color w:val="0D0D0D" w:themeColor="text1" w:themeTint="F2"/>
          <w:sz w:val="24"/>
          <w:szCs w:val="24"/>
        </w:rPr>
        <w:t>s outlined earlier</w:t>
      </w:r>
      <w:r w:rsidR="00430B1E">
        <w:rPr>
          <w:color w:val="0D0D0D" w:themeColor="text1" w:themeTint="F2"/>
          <w:sz w:val="24"/>
          <w:szCs w:val="24"/>
        </w:rPr>
        <w:t xml:space="preserve">, access </w:t>
      </w:r>
      <w:r w:rsidR="009C6131">
        <w:rPr>
          <w:color w:val="0D0D0D" w:themeColor="text1" w:themeTint="F2"/>
          <w:sz w:val="24"/>
          <w:szCs w:val="24"/>
        </w:rPr>
        <w:t>is particularly relevant to consumers in regional and remote areas.</w:t>
      </w:r>
      <w:r w:rsidR="009A7EE2" w:rsidRPr="00FF4C3F">
        <w:rPr>
          <w:color w:val="0D0D0D" w:themeColor="text1" w:themeTint="F2"/>
          <w:sz w:val="24"/>
          <w:szCs w:val="24"/>
        </w:rPr>
        <w:t xml:space="preserve"> </w:t>
      </w:r>
      <w:r w:rsidR="009A7EE2" w:rsidRPr="006E3CA9">
        <w:rPr>
          <w:color w:val="0D0D0D" w:themeColor="text1" w:themeTint="F2"/>
          <w:sz w:val="24"/>
          <w:szCs w:val="24"/>
        </w:rPr>
        <w:t>In 2017–18, based on self-reported data from the National Health Survey and after adjusting for age, people living outside major cities had higher rates of arthritis, asthma and diabetes</w:t>
      </w:r>
      <w:r w:rsidR="009A7EE2" w:rsidRPr="00C20287">
        <w:rPr>
          <w:color w:val="0D0D0D" w:themeColor="text1" w:themeTint="F2"/>
          <w:sz w:val="24"/>
          <w:szCs w:val="24"/>
        </w:rPr>
        <w:t xml:space="preserve">. </w:t>
      </w:r>
      <w:r w:rsidR="009C6131">
        <w:rPr>
          <w:color w:val="0D0D0D" w:themeColor="text1" w:themeTint="F2"/>
          <w:sz w:val="24"/>
          <w:szCs w:val="24"/>
        </w:rPr>
        <w:t>P</w:t>
      </w:r>
      <w:r w:rsidR="009A7EE2" w:rsidRPr="00C20287">
        <w:rPr>
          <w:color w:val="0D0D0D" w:themeColor="text1" w:themeTint="F2"/>
          <w:sz w:val="24"/>
          <w:szCs w:val="24"/>
        </w:rPr>
        <w:t>eople living outside major citie</w:t>
      </w:r>
      <w:r w:rsidR="009C6131">
        <w:rPr>
          <w:color w:val="0D0D0D" w:themeColor="text1" w:themeTint="F2"/>
          <w:sz w:val="24"/>
          <w:szCs w:val="24"/>
        </w:rPr>
        <w:t>s however</w:t>
      </w:r>
      <w:r w:rsidR="009A7EE2" w:rsidRPr="00C20287">
        <w:rPr>
          <w:color w:val="0D0D0D" w:themeColor="text1" w:themeTint="F2"/>
          <w:sz w:val="24"/>
          <w:szCs w:val="24"/>
        </w:rPr>
        <w:t xml:space="preserve"> </w:t>
      </w:r>
      <w:r w:rsidR="009C6131">
        <w:rPr>
          <w:color w:val="0D0D0D" w:themeColor="text1" w:themeTint="F2"/>
          <w:sz w:val="24"/>
          <w:szCs w:val="24"/>
        </w:rPr>
        <w:t>were found to</w:t>
      </w:r>
      <w:r w:rsidR="009A7EE2" w:rsidRPr="00C20287">
        <w:rPr>
          <w:color w:val="0D0D0D" w:themeColor="text1" w:themeTint="F2"/>
          <w:sz w:val="24"/>
          <w:szCs w:val="24"/>
        </w:rPr>
        <w:t xml:space="preserve"> use chronic disease management services less, which could be due to a number of reasons including availability of services or the health and age of the population within an area.</w:t>
      </w:r>
      <w:r w:rsidR="009A7EE2" w:rsidRPr="00C20287">
        <w:rPr>
          <w:rStyle w:val="FootnoteReference"/>
          <w:color w:val="0D0D0D" w:themeColor="text1" w:themeTint="F2"/>
          <w:sz w:val="24"/>
          <w:szCs w:val="24"/>
        </w:rPr>
        <w:footnoteReference w:id="58"/>
      </w:r>
    </w:p>
    <w:p w14:paraId="2FFD5163" w14:textId="66ADF659" w:rsidR="009A7EE2" w:rsidRDefault="009A7EE2" w:rsidP="009A7EE2">
      <w:pPr>
        <w:rPr>
          <w:sz w:val="24"/>
          <w:szCs w:val="24"/>
        </w:rPr>
      </w:pPr>
      <w:r w:rsidRPr="00C20287">
        <w:rPr>
          <w:sz w:val="24"/>
          <w:szCs w:val="24"/>
        </w:rPr>
        <w:t xml:space="preserve">Differences in indicators of health between urban and remote or regional areas are due to a range of factors and it is not possible to specifically identify the contribution which one factor, such as availability </w:t>
      </w:r>
      <w:r w:rsidR="00274905">
        <w:rPr>
          <w:sz w:val="24"/>
          <w:szCs w:val="24"/>
        </w:rPr>
        <w:t xml:space="preserve">and access </w:t>
      </w:r>
      <w:r w:rsidRPr="00C20287">
        <w:rPr>
          <w:sz w:val="24"/>
          <w:szCs w:val="24"/>
        </w:rPr>
        <w:t>to pharmacy services, contributes to measures of population health. Accordingly, the specific contribution to health outcomes made due to the services funded under a particular CPA, or from one CPA to another, are difficult to isolate. Nevertheless, the role of available pharmacy services is recognised by all industry stakeholders as a key factor in achieving positive population health outcomes.</w:t>
      </w:r>
    </w:p>
    <w:p w14:paraId="5FDF671A" w14:textId="2A1AE11E" w:rsidR="003A4225" w:rsidRPr="00FF4C3F" w:rsidRDefault="00D00F64" w:rsidP="003A4225">
      <w:pPr>
        <w:rPr>
          <w:color w:val="0D0D0D" w:themeColor="text1" w:themeTint="F2"/>
          <w:sz w:val="24"/>
          <w:szCs w:val="24"/>
        </w:rPr>
      </w:pPr>
      <w:r>
        <w:rPr>
          <w:color w:val="0D0D0D" w:themeColor="text1" w:themeTint="F2"/>
          <w:sz w:val="24"/>
          <w:szCs w:val="24"/>
        </w:rPr>
        <w:t xml:space="preserve">Impacts </w:t>
      </w:r>
      <w:r w:rsidR="006C4414" w:rsidRPr="00FF4C3F">
        <w:rPr>
          <w:color w:val="0D0D0D" w:themeColor="text1" w:themeTint="F2"/>
          <w:sz w:val="24"/>
          <w:szCs w:val="24"/>
        </w:rPr>
        <w:t xml:space="preserve">against this objective will be measured </w:t>
      </w:r>
      <w:r w:rsidR="00DB34DA">
        <w:rPr>
          <w:color w:val="0D0D0D" w:themeColor="text1" w:themeTint="F2"/>
          <w:sz w:val="24"/>
          <w:szCs w:val="24"/>
        </w:rPr>
        <w:t xml:space="preserve">through </w:t>
      </w:r>
      <w:r w:rsidR="006C4414" w:rsidRPr="00FF4C3F">
        <w:rPr>
          <w:color w:val="0D0D0D" w:themeColor="text1" w:themeTint="F2"/>
          <w:sz w:val="24"/>
          <w:szCs w:val="24"/>
        </w:rPr>
        <w:t>the</w:t>
      </w:r>
      <w:r>
        <w:rPr>
          <w:color w:val="0D0D0D" w:themeColor="text1" w:themeTint="F2"/>
          <w:sz w:val="24"/>
          <w:szCs w:val="24"/>
        </w:rPr>
        <w:t xml:space="preserve"> </w:t>
      </w:r>
      <w:r w:rsidR="009C6131">
        <w:rPr>
          <w:color w:val="0D0D0D" w:themeColor="text1" w:themeTint="F2"/>
          <w:sz w:val="24"/>
          <w:szCs w:val="24"/>
        </w:rPr>
        <w:t xml:space="preserve">continued relative distribution of pharmacies </w:t>
      </w:r>
      <w:r w:rsidR="00430B1E">
        <w:rPr>
          <w:color w:val="0D0D0D" w:themeColor="text1" w:themeTint="F2"/>
          <w:sz w:val="24"/>
          <w:szCs w:val="24"/>
        </w:rPr>
        <w:t>and</w:t>
      </w:r>
      <w:r w:rsidR="008C4955">
        <w:rPr>
          <w:color w:val="0D0D0D" w:themeColor="text1" w:themeTint="F2"/>
          <w:sz w:val="24"/>
          <w:szCs w:val="24"/>
        </w:rPr>
        <w:t xml:space="preserve"> </w:t>
      </w:r>
      <w:r w:rsidR="006C4414" w:rsidRPr="00FF4C3F">
        <w:rPr>
          <w:color w:val="0D0D0D" w:themeColor="text1" w:themeTint="F2"/>
          <w:sz w:val="24"/>
          <w:szCs w:val="24"/>
        </w:rPr>
        <w:t xml:space="preserve">monitoring </w:t>
      </w:r>
      <w:r w:rsidR="009C6131">
        <w:rPr>
          <w:color w:val="0D0D0D" w:themeColor="text1" w:themeTint="F2"/>
          <w:sz w:val="24"/>
          <w:szCs w:val="24"/>
        </w:rPr>
        <w:t>of</w:t>
      </w:r>
      <w:r w:rsidR="006C4414" w:rsidRPr="00FF4C3F">
        <w:rPr>
          <w:color w:val="0D0D0D" w:themeColor="text1" w:themeTint="F2"/>
          <w:sz w:val="24"/>
          <w:szCs w:val="24"/>
        </w:rPr>
        <w:t xml:space="preserve"> pharmacy opening and closure data</w:t>
      </w:r>
      <w:r w:rsidR="008C4955">
        <w:rPr>
          <w:color w:val="0D0D0D" w:themeColor="text1" w:themeTint="F2"/>
          <w:sz w:val="24"/>
          <w:szCs w:val="24"/>
        </w:rPr>
        <w:t>.</w:t>
      </w:r>
      <w:r w:rsidR="009C6131">
        <w:rPr>
          <w:color w:val="0D0D0D" w:themeColor="text1" w:themeTint="F2"/>
          <w:sz w:val="24"/>
          <w:szCs w:val="24"/>
        </w:rPr>
        <w:t xml:space="preserve"> </w:t>
      </w:r>
      <w:r w:rsidR="008C4955">
        <w:rPr>
          <w:color w:val="0D0D0D" w:themeColor="text1" w:themeTint="F2"/>
          <w:sz w:val="24"/>
          <w:szCs w:val="24"/>
        </w:rPr>
        <w:t>In addition</w:t>
      </w:r>
      <w:r w:rsidR="00DB34DA">
        <w:rPr>
          <w:color w:val="0D0D0D" w:themeColor="text1" w:themeTint="F2"/>
          <w:sz w:val="24"/>
          <w:szCs w:val="24"/>
        </w:rPr>
        <w:t>,</w:t>
      </w:r>
      <w:r w:rsidR="008C4955">
        <w:rPr>
          <w:color w:val="0D0D0D" w:themeColor="text1" w:themeTint="F2"/>
          <w:sz w:val="24"/>
          <w:szCs w:val="24"/>
        </w:rPr>
        <w:t xml:space="preserve"> patient access will be </w:t>
      </w:r>
      <w:r w:rsidR="00430B1E">
        <w:rPr>
          <w:color w:val="0D0D0D" w:themeColor="text1" w:themeTint="F2"/>
          <w:sz w:val="24"/>
          <w:szCs w:val="24"/>
        </w:rPr>
        <w:t xml:space="preserve">considered </w:t>
      </w:r>
      <w:r w:rsidR="008C4955">
        <w:rPr>
          <w:color w:val="0D0D0D" w:themeColor="text1" w:themeTint="F2"/>
          <w:sz w:val="24"/>
          <w:szCs w:val="24"/>
        </w:rPr>
        <w:t>through</w:t>
      </w:r>
      <w:r w:rsidR="006C4414">
        <w:rPr>
          <w:color w:val="0D0D0D" w:themeColor="text1" w:themeTint="F2"/>
          <w:sz w:val="24"/>
          <w:szCs w:val="24"/>
        </w:rPr>
        <w:t xml:space="preserve"> </w:t>
      </w:r>
      <w:r w:rsidR="006C4414" w:rsidRPr="00FF4C3F">
        <w:rPr>
          <w:color w:val="0D0D0D" w:themeColor="text1" w:themeTint="F2"/>
          <w:sz w:val="24"/>
          <w:szCs w:val="24"/>
        </w:rPr>
        <w:t xml:space="preserve">PBS script volumes and </w:t>
      </w:r>
      <w:r w:rsidR="001D3CF6" w:rsidRPr="00EA16CE">
        <w:rPr>
          <w:color w:val="0D0D0D" w:themeColor="text1" w:themeTint="F2"/>
          <w:sz w:val="24"/>
          <w:szCs w:val="24"/>
        </w:rPr>
        <w:t>the</w:t>
      </w:r>
      <w:r w:rsidR="001D3CF6">
        <w:rPr>
          <w:color w:val="0D0D0D" w:themeColor="text1" w:themeTint="F2"/>
          <w:sz w:val="24"/>
          <w:szCs w:val="24"/>
        </w:rPr>
        <w:t xml:space="preserve"> total</w:t>
      </w:r>
      <w:r w:rsidR="001D3CF6" w:rsidRPr="00EA16CE">
        <w:rPr>
          <w:color w:val="0D0D0D" w:themeColor="text1" w:themeTint="F2"/>
          <w:sz w:val="24"/>
          <w:szCs w:val="24"/>
        </w:rPr>
        <w:t xml:space="preserve"> cost to patients for medicines priced below the </w:t>
      </w:r>
      <w:r w:rsidR="00844169">
        <w:rPr>
          <w:color w:val="0D0D0D" w:themeColor="text1" w:themeTint="F2"/>
          <w:sz w:val="24"/>
          <w:szCs w:val="24"/>
        </w:rPr>
        <w:t xml:space="preserve">level of the </w:t>
      </w:r>
      <w:r w:rsidR="001D3CF6" w:rsidRPr="00EA16CE">
        <w:rPr>
          <w:color w:val="0D0D0D" w:themeColor="text1" w:themeTint="F2"/>
          <w:sz w:val="24"/>
          <w:szCs w:val="24"/>
        </w:rPr>
        <w:t>patient co-payment</w:t>
      </w:r>
      <w:r w:rsidR="001D3CF6" w:rsidRPr="00FF4C3F">
        <w:rPr>
          <w:color w:val="0D0D0D" w:themeColor="text1" w:themeTint="F2"/>
          <w:sz w:val="24"/>
          <w:szCs w:val="24"/>
        </w:rPr>
        <w:t xml:space="preserve"> </w:t>
      </w:r>
      <w:r w:rsidR="001D3CF6">
        <w:rPr>
          <w:color w:val="0D0D0D" w:themeColor="text1" w:themeTint="F2"/>
          <w:sz w:val="24"/>
          <w:szCs w:val="24"/>
        </w:rPr>
        <w:t xml:space="preserve">(i.e. </w:t>
      </w:r>
      <w:r w:rsidR="006C4414" w:rsidRPr="00FF4C3F">
        <w:rPr>
          <w:color w:val="0D0D0D" w:themeColor="text1" w:themeTint="F2"/>
          <w:sz w:val="24"/>
          <w:szCs w:val="24"/>
        </w:rPr>
        <w:t xml:space="preserve">patient </w:t>
      </w:r>
      <w:r w:rsidR="001307A2" w:rsidRPr="00FF4C3F">
        <w:rPr>
          <w:color w:val="0D0D0D" w:themeColor="text1" w:themeTint="F2"/>
          <w:sz w:val="24"/>
          <w:szCs w:val="24"/>
        </w:rPr>
        <w:t>contributions through under co-payment prescriptions</w:t>
      </w:r>
      <w:r w:rsidR="001D3CF6">
        <w:rPr>
          <w:color w:val="0D0D0D" w:themeColor="text1" w:themeTint="F2"/>
          <w:sz w:val="24"/>
          <w:szCs w:val="24"/>
        </w:rPr>
        <w:t>)</w:t>
      </w:r>
      <w:r w:rsidR="001307A2" w:rsidRPr="00FF4C3F">
        <w:rPr>
          <w:color w:val="0D0D0D" w:themeColor="text1" w:themeTint="F2"/>
          <w:sz w:val="24"/>
          <w:szCs w:val="24"/>
        </w:rPr>
        <w:t>.</w:t>
      </w:r>
      <w:r w:rsidR="001D3CF6" w:rsidRPr="001D3CF6">
        <w:rPr>
          <w:color w:val="0D0D0D" w:themeColor="text1" w:themeTint="F2"/>
          <w:sz w:val="24"/>
          <w:szCs w:val="24"/>
        </w:rPr>
        <w:t xml:space="preserve"> </w:t>
      </w:r>
    </w:p>
    <w:p w14:paraId="45506324" w14:textId="5E21F37A" w:rsidR="003A4225" w:rsidRPr="00FF4C3F" w:rsidRDefault="003A4225" w:rsidP="00FF4C3F">
      <w:pPr>
        <w:pStyle w:val="Heading3"/>
      </w:pPr>
      <w:bookmarkStart w:id="61" w:name="_Toc168652741"/>
      <w:r w:rsidRPr="00FF4C3F">
        <w:t xml:space="preserve">Equity, </w:t>
      </w:r>
      <w:r w:rsidR="000D09E0">
        <w:t>s</w:t>
      </w:r>
      <w:r w:rsidRPr="00FF4C3F">
        <w:t xml:space="preserve">ustainability and </w:t>
      </w:r>
      <w:r w:rsidR="000D09E0">
        <w:t>a</w:t>
      </w:r>
      <w:r w:rsidRPr="00FF4C3F">
        <w:t xml:space="preserve">ccess for </w:t>
      </w:r>
      <w:r w:rsidR="000D09E0">
        <w:t>b</w:t>
      </w:r>
      <w:r w:rsidRPr="00FF4C3F">
        <w:t>usinesses</w:t>
      </w:r>
      <w:bookmarkEnd w:id="61"/>
    </w:p>
    <w:p w14:paraId="34D63BFD" w14:textId="7A27D124" w:rsidR="002A330B" w:rsidRPr="006E3CA9" w:rsidRDefault="000B24DF" w:rsidP="002A330B">
      <w:pPr>
        <w:rPr>
          <w:color w:val="0D0D0D" w:themeColor="text1" w:themeTint="F2"/>
          <w:sz w:val="24"/>
          <w:szCs w:val="24"/>
        </w:rPr>
      </w:pPr>
      <w:r w:rsidRPr="00FF4C3F">
        <w:rPr>
          <w:color w:val="0D0D0D" w:themeColor="text1" w:themeTint="F2"/>
          <w:sz w:val="24"/>
          <w:szCs w:val="24"/>
        </w:rPr>
        <w:t>Equity, sustainability and access for business is similar to that outlined above for consumers noting that viable pharmacies</w:t>
      </w:r>
      <w:r w:rsidR="00FF7BB2">
        <w:rPr>
          <w:color w:val="0D0D0D" w:themeColor="text1" w:themeTint="F2"/>
          <w:sz w:val="24"/>
          <w:szCs w:val="24"/>
        </w:rPr>
        <w:t xml:space="preserve"> which are able to supply the PBS medicines as needed in the relevant local area</w:t>
      </w:r>
      <w:r w:rsidRPr="00FF4C3F">
        <w:rPr>
          <w:color w:val="0D0D0D" w:themeColor="text1" w:themeTint="F2"/>
          <w:sz w:val="24"/>
          <w:szCs w:val="24"/>
        </w:rPr>
        <w:t xml:space="preserve"> ultimately support consumer access. Pharmacies are currently supported </w:t>
      </w:r>
      <w:r w:rsidR="00FF7BB2">
        <w:rPr>
          <w:color w:val="0D0D0D" w:themeColor="text1" w:themeTint="F2"/>
          <w:sz w:val="24"/>
          <w:szCs w:val="24"/>
        </w:rPr>
        <w:t xml:space="preserve">in achieving the objective </w:t>
      </w:r>
      <w:r w:rsidRPr="00FF4C3F">
        <w:rPr>
          <w:color w:val="0D0D0D" w:themeColor="text1" w:themeTint="F2"/>
          <w:sz w:val="24"/>
          <w:szCs w:val="24"/>
        </w:rPr>
        <w:t xml:space="preserve">primarily through dispensing remuneration for PBS medicines as outlined in successive CPAs. </w:t>
      </w:r>
      <w:r w:rsidR="006C4414" w:rsidRPr="00FF4C3F">
        <w:rPr>
          <w:color w:val="0D0D0D" w:themeColor="text1" w:themeTint="F2"/>
          <w:sz w:val="24"/>
          <w:szCs w:val="24"/>
        </w:rPr>
        <w:t xml:space="preserve">Mechanisms such as the wholesale mark-up fee and the CSO arrangement </w:t>
      </w:r>
      <w:r w:rsidRPr="00FF4C3F">
        <w:rPr>
          <w:color w:val="0D0D0D" w:themeColor="text1" w:themeTint="F2"/>
          <w:sz w:val="24"/>
          <w:szCs w:val="24"/>
        </w:rPr>
        <w:t xml:space="preserve">also </w:t>
      </w:r>
      <w:r w:rsidR="006C4414" w:rsidRPr="00FF4C3F">
        <w:rPr>
          <w:color w:val="0D0D0D" w:themeColor="text1" w:themeTint="F2"/>
          <w:sz w:val="24"/>
          <w:szCs w:val="24"/>
        </w:rPr>
        <w:t>ensure that PBS medicines are available to all pharmacies regardless of location</w:t>
      </w:r>
      <w:r w:rsidR="00606571">
        <w:rPr>
          <w:color w:val="0D0D0D" w:themeColor="text1" w:themeTint="F2"/>
          <w:sz w:val="24"/>
          <w:szCs w:val="24"/>
        </w:rPr>
        <w:t>,</w:t>
      </w:r>
      <w:r w:rsidR="006C4414" w:rsidRPr="00FF4C3F">
        <w:rPr>
          <w:color w:val="0D0D0D" w:themeColor="text1" w:themeTint="F2"/>
          <w:sz w:val="24"/>
          <w:szCs w:val="24"/>
        </w:rPr>
        <w:t xml:space="preserve"> within a reasonable timeframe.</w:t>
      </w:r>
      <w:r w:rsidRPr="00FF4C3F">
        <w:rPr>
          <w:color w:val="0D0D0D" w:themeColor="text1" w:themeTint="F2"/>
          <w:sz w:val="24"/>
          <w:szCs w:val="24"/>
        </w:rPr>
        <w:t xml:space="preserve"> A number of CPPs are also in place to specifically support pharmacies in rural and remote locations.</w:t>
      </w:r>
      <w:r w:rsidR="002A330B" w:rsidRPr="006E3CA9">
        <w:rPr>
          <w:color w:val="0D0D0D" w:themeColor="text1" w:themeTint="F2"/>
          <w:sz w:val="24"/>
          <w:szCs w:val="24"/>
        </w:rPr>
        <w:t xml:space="preserve"> </w:t>
      </w:r>
    </w:p>
    <w:p w14:paraId="65D009BD" w14:textId="36C51925" w:rsidR="00FA4F41" w:rsidRPr="00D52356" w:rsidRDefault="00FA4F41" w:rsidP="00FA4F41">
      <w:pPr>
        <w:pStyle w:val="Default"/>
        <w:spacing w:after="120" w:line="264" w:lineRule="auto"/>
      </w:pPr>
      <w:r w:rsidRPr="00D52356">
        <w:t>Community pharmacies operate in a complex regulatory environment with unique and longstanding restrictions on location, ownership, and pricing of PBS medicines. Many of these arrangements are implemented and operate independently of the CPA and are therefore outside scope. In previous CPAs such arrangements have however been referenced and there may be opportunity to better focus the scope in future arrangements to avoid potential confusion.</w:t>
      </w:r>
    </w:p>
    <w:p w14:paraId="19C8245E" w14:textId="1BE5DA50" w:rsidR="002A330B" w:rsidRPr="00C20287" w:rsidRDefault="002A330B" w:rsidP="002A330B">
      <w:pPr>
        <w:rPr>
          <w:color w:val="0D0D0D" w:themeColor="text1" w:themeTint="F2"/>
          <w:sz w:val="24"/>
          <w:szCs w:val="24"/>
        </w:rPr>
      </w:pPr>
      <w:r w:rsidRPr="006E3CA9">
        <w:rPr>
          <w:color w:val="0D0D0D" w:themeColor="text1" w:themeTint="F2"/>
          <w:sz w:val="24"/>
          <w:szCs w:val="24"/>
        </w:rPr>
        <w:t xml:space="preserve">As noted previously, the Government announced an additional $79.5 million </w:t>
      </w:r>
      <w:r w:rsidR="00606571">
        <w:rPr>
          <w:color w:val="0D0D0D" w:themeColor="text1" w:themeTint="F2"/>
          <w:sz w:val="24"/>
          <w:szCs w:val="24"/>
        </w:rPr>
        <w:t xml:space="preserve">in </w:t>
      </w:r>
      <w:r w:rsidRPr="006E3CA9">
        <w:rPr>
          <w:color w:val="0D0D0D" w:themeColor="text1" w:themeTint="F2"/>
          <w:sz w:val="24"/>
          <w:szCs w:val="24"/>
        </w:rPr>
        <w:t>funding over four years for rural and remote pharmacies to provide additional</w:t>
      </w:r>
      <w:r w:rsidRPr="00C20287">
        <w:rPr>
          <w:color w:val="0D0D0D" w:themeColor="text1" w:themeTint="F2"/>
          <w:sz w:val="24"/>
          <w:szCs w:val="24"/>
        </w:rPr>
        <w:t xml:space="preserve"> assistance to pharmacy owners</w:t>
      </w:r>
      <w:r w:rsidR="00606571">
        <w:rPr>
          <w:color w:val="0D0D0D" w:themeColor="text1" w:themeTint="F2"/>
          <w:sz w:val="24"/>
          <w:szCs w:val="24"/>
        </w:rPr>
        <w:t xml:space="preserve">. This </w:t>
      </w:r>
      <w:r w:rsidR="004B0258">
        <w:rPr>
          <w:color w:val="0D0D0D" w:themeColor="text1" w:themeTint="F2"/>
          <w:sz w:val="24"/>
          <w:szCs w:val="24"/>
        </w:rPr>
        <w:t>addressed</w:t>
      </w:r>
      <w:r w:rsidRPr="00C20287">
        <w:rPr>
          <w:color w:val="0D0D0D" w:themeColor="text1" w:themeTint="F2"/>
          <w:sz w:val="24"/>
          <w:szCs w:val="24"/>
        </w:rPr>
        <w:t xml:space="preserve"> </w:t>
      </w:r>
      <w:r w:rsidRPr="00C20287">
        <w:rPr>
          <w:color w:val="0D0D0D" w:themeColor="text1" w:themeTint="F2"/>
          <w:sz w:val="24"/>
          <w:szCs w:val="24"/>
        </w:rPr>
        <w:lastRenderedPageBreak/>
        <w:t xml:space="preserve">an expected lowering in dispensing revenue from the introduction of the increased MDQ measure from 1 September 2023. These measures are funded up to Financial Year (FY) </w:t>
      </w:r>
      <w:r w:rsidR="00FF7BB2">
        <w:rPr>
          <w:color w:val="0D0D0D" w:themeColor="text1" w:themeTint="F2"/>
          <w:sz w:val="24"/>
          <w:szCs w:val="24"/>
        </w:rPr>
        <w:t>20</w:t>
      </w:r>
      <w:r w:rsidRPr="00C20287">
        <w:rPr>
          <w:color w:val="0D0D0D" w:themeColor="text1" w:themeTint="F2"/>
          <w:sz w:val="24"/>
          <w:szCs w:val="24"/>
        </w:rPr>
        <w:t xml:space="preserve">26-27 and were committed to outside of the 7CPA. </w:t>
      </w:r>
    </w:p>
    <w:p w14:paraId="49ECBA9E" w14:textId="20F4F57D" w:rsidR="002A330B" w:rsidRPr="00C20287" w:rsidRDefault="002A330B" w:rsidP="002A330B">
      <w:pPr>
        <w:rPr>
          <w:color w:val="0D0D0D" w:themeColor="text1" w:themeTint="F2"/>
          <w:sz w:val="24"/>
          <w:szCs w:val="24"/>
        </w:rPr>
      </w:pPr>
      <w:r>
        <w:rPr>
          <w:color w:val="0D0D0D" w:themeColor="text1" w:themeTint="F2"/>
          <w:sz w:val="24"/>
          <w:szCs w:val="24"/>
        </w:rPr>
        <w:t xml:space="preserve">The MDQ </w:t>
      </w:r>
      <w:r w:rsidRPr="00C20287">
        <w:rPr>
          <w:color w:val="0D0D0D" w:themeColor="text1" w:themeTint="F2"/>
          <w:sz w:val="24"/>
          <w:szCs w:val="24"/>
        </w:rPr>
        <w:t xml:space="preserve">measure will </w:t>
      </w:r>
      <w:r w:rsidR="008C4955">
        <w:rPr>
          <w:color w:val="0D0D0D" w:themeColor="text1" w:themeTint="F2"/>
          <w:sz w:val="24"/>
          <w:szCs w:val="24"/>
        </w:rPr>
        <w:t>reduce</w:t>
      </w:r>
      <w:r w:rsidRPr="00C20287">
        <w:rPr>
          <w:color w:val="0D0D0D" w:themeColor="text1" w:themeTint="F2"/>
          <w:sz w:val="24"/>
          <w:szCs w:val="24"/>
        </w:rPr>
        <w:t xml:space="preserve"> the amount of remuneration that community pharmacies receive from dispensing certain PBS medicines that are prescribed with an increased maximum quantity. Public statements made by representative organisations including the Gui</w:t>
      </w:r>
      <w:r>
        <w:rPr>
          <w:color w:val="0D0D0D" w:themeColor="text1" w:themeTint="F2"/>
          <w:sz w:val="24"/>
          <w:szCs w:val="24"/>
        </w:rPr>
        <w:t xml:space="preserve">ld and individual pharmacists suggested </w:t>
      </w:r>
      <w:r w:rsidRPr="00C20287">
        <w:rPr>
          <w:color w:val="0D0D0D" w:themeColor="text1" w:themeTint="F2"/>
          <w:sz w:val="24"/>
          <w:szCs w:val="24"/>
        </w:rPr>
        <w:t xml:space="preserve">that the changes would lead to shorter opening hours, firing of staff, and possibly closure of some pharmacies. </w:t>
      </w:r>
    </w:p>
    <w:p w14:paraId="19C0126C" w14:textId="1AD7D8B6" w:rsidR="002A330B" w:rsidRDefault="002A330B" w:rsidP="002A330B">
      <w:pPr>
        <w:rPr>
          <w:color w:val="0D0D0D" w:themeColor="text1" w:themeTint="F2"/>
          <w:sz w:val="24"/>
          <w:szCs w:val="24"/>
        </w:rPr>
      </w:pPr>
      <w:r w:rsidRPr="00C20287">
        <w:rPr>
          <w:color w:val="0D0D0D" w:themeColor="text1" w:themeTint="F2"/>
          <w:sz w:val="24"/>
          <w:szCs w:val="24"/>
        </w:rPr>
        <w:t>No evidence available to the Department to date supports the claims from concerned pharmacists and pharmacy organisations that introduction of MDQ will lead to pharmacy closures (due to loss of viability</w:t>
      </w:r>
      <w:r>
        <w:rPr>
          <w:color w:val="0D0D0D" w:themeColor="text1" w:themeTint="F2"/>
          <w:sz w:val="24"/>
          <w:szCs w:val="24"/>
        </w:rPr>
        <w:t>)</w:t>
      </w:r>
      <w:r w:rsidRPr="00C20287">
        <w:rPr>
          <w:color w:val="0D0D0D" w:themeColor="text1" w:themeTint="F2"/>
          <w:sz w:val="24"/>
          <w:szCs w:val="24"/>
        </w:rPr>
        <w:t xml:space="preserve"> or increased medicine shortages. </w:t>
      </w:r>
      <w:r w:rsidRPr="0090334D">
        <w:rPr>
          <w:color w:val="0D0D0D" w:themeColor="text1" w:themeTint="F2"/>
          <w:sz w:val="24"/>
          <w:szCs w:val="24"/>
        </w:rPr>
        <w:t>Following the announcement of MDQ the number of</w:t>
      </w:r>
      <w:r w:rsidR="006B5A35">
        <w:rPr>
          <w:color w:val="0D0D0D" w:themeColor="text1" w:themeTint="F2"/>
          <w:sz w:val="24"/>
          <w:szCs w:val="24"/>
        </w:rPr>
        <w:t xml:space="preserve"> pharmacy approval cancellations and</w:t>
      </w:r>
      <w:r w:rsidRPr="0090334D">
        <w:rPr>
          <w:color w:val="0D0D0D" w:themeColor="text1" w:themeTint="F2"/>
          <w:sz w:val="24"/>
          <w:szCs w:val="24"/>
        </w:rPr>
        <w:t xml:space="preserve"> new pharmacy applications submitted to the Department </w:t>
      </w:r>
      <w:r w:rsidRPr="00CB1132">
        <w:rPr>
          <w:color w:val="0D0D0D" w:themeColor="text1" w:themeTint="F2"/>
          <w:sz w:val="24"/>
          <w:szCs w:val="24"/>
        </w:rPr>
        <w:t xml:space="preserve">has been similar to the number of applications received over the same period in the previous year </w:t>
      </w:r>
      <w:r w:rsidRPr="00B81F72">
        <w:rPr>
          <w:color w:val="0D0D0D" w:themeColor="text1" w:themeTint="F2"/>
          <w:sz w:val="24"/>
          <w:szCs w:val="24"/>
        </w:rPr>
        <w:t xml:space="preserve">(see </w:t>
      </w:r>
      <w:r w:rsidR="00A0125C" w:rsidRPr="00A0125C">
        <w:rPr>
          <w:color w:val="0D0D0D" w:themeColor="text1" w:themeTint="F2"/>
          <w:sz w:val="24"/>
          <w:szCs w:val="24"/>
        </w:rPr>
        <w:fldChar w:fldCharType="begin"/>
      </w:r>
      <w:r w:rsidR="00A0125C" w:rsidRPr="00A0125C">
        <w:rPr>
          <w:color w:val="0D0D0D" w:themeColor="text1" w:themeTint="F2"/>
          <w:sz w:val="24"/>
          <w:szCs w:val="24"/>
        </w:rPr>
        <w:instrText xml:space="preserve"> REF _Ref160011620 \h </w:instrText>
      </w:r>
      <w:r w:rsidR="00A0125C">
        <w:rPr>
          <w:color w:val="0D0D0D" w:themeColor="text1" w:themeTint="F2"/>
          <w:sz w:val="24"/>
          <w:szCs w:val="24"/>
        </w:rPr>
        <w:instrText xml:space="preserve"> \* MERGEFORMAT </w:instrText>
      </w:r>
      <w:r w:rsidR="00A0125C" w:rsidRPr="00A0125C">
        <w:rPr>
          <w:color w:val="0D0D0D" w:themeColor="text1" w:themeTint="F2"/>
          <w:sz w:val="24"/>
          <w:szCs w:val="24"/>
        </w:rPr>
      </w:r>
      <w:r w:rsidR="00A0125C" w:rsidRPr="00A0125C">
        <w:rPr>
          <w:color w:val="0D0D0D" w:themeColor="text1" w:themeTint="F2"/>
          <w:sz w:val="24"/>
          <w:szCs w:val="24"/>
        </w:rPr>
        <w:fldChar w:fldCharType="separate"/>
      </w:r>
      <w:r w:rsidR="00A0125C" w:rsidRPr="00A0125C">
        <w:rPr>
          <w:sz w:val="24"/>
          <w:szCs w:val="24"/>
        </w:rPr>
        <w:t xml:space="preserve">Table </w:t>
      </w:r>
      <w:r w:rsidR="00A0125C" w:rsidRPr="00A0125C">
        <w:rPr>
          <w:noProof/>
          <w:sz w:val="24"/>
          <w:szCs w:val="24"/>
        </w:rPr>
        <w:t>10</w:t>
      </w:r>
      <w:r w:rsidR="00A0125C" w:rsidRPr="00A0125C">
        <w:rPr>
          <w:color w:val="0D0D0D" w:themeColor="text1" w:themeTint="F2"/>
          <w:sz w:val="24"/>
          <w:szCs w:val="24"/>
        </w:rPr>
        <w:fldChar w:fldCharType="end"/>
      </w:r>
      <w:r w:rsidRPr="00B81F72">
        <w:rPr>
          <w:color w:val="0D0D0D" w:themeColor="text1" w:themeTint="F2"/>
          <w:sz w:val="24"/>
          <w:szCs w:val="24"/>
        </w:rPr>
        <w:t>).</w:t>
      </w:r>
      <w:r w:rsidRPr="00CB1132">
        <w:rPr>
          <w:color w:val="0D0D0D" w:themeColor="text1" w:themeTint="F2"/>
          <w:sz w:val="24"/>
          <w:szCs w:val="24"/>
        </w:rPr>
        <w:t xml:space="preserve"> The Department</w:t>
      </w:r>
      <w:r w:rsidRPr="00C20287">
        <w:rPr>
          <w:color w:val="0D0D0D" w:themeColor="text1" w:themeTint="F2"/>
          <w:sz w:val="24"/>
          <w:szCs w:val="24"/>
        </w:rPr>
        <w:t xml:space="preserve"> is however committed to monitoring stakeholder impacts through existing mechanisms in implementing the MDQ measure.</w:t>
      </w:r>
      <w:r w:rsidRPr="00C20287">
        <w:rPr>
          <w:rStyle w:val="FootnoteReference"/>
          <w:color w:val="0D0D0D" w:themeColor="text1" w:themeTint="F2"/>
          <w:sz w:val="24"/>
          <w:szCs w:val="24"/>
        </w:rPr>
        <w:footnoteReference w:id="59"/>
      </w:r>
    </w:p>
    <w:p w14:paraId="173C9A81" w14:textId="3E05273D" w:rsidR="00A0125C" w:rsidRDefault="00A0125C" w:rsidP="0095671A">
      <w:pPr>
        <w:pStyle w:val="Caption"/>
      </w:pPr>
      <w:bookmarkStart w:id="62" w:name="_Ref160011620"/>
      <w:r>
        <w:t xml:space="preserve">Table </w:t>
      </w:r>
      <w:fldSimple w:instr=" SEQ Table \* ARABIC ">
        <w:r>
          <w:rPr>
            <w:noProof/>
          </w:rPr>
          <w:t>10</w:t>
        </w:r>
      </w:fldSimple>
      <w:bookmarkEnd w:id="62"/>
      <w:r>
        <w:t xml:space="preserve">. </w:t>
      </w:r>
      <w:r w:rsidRPr="007C0EC4">
        <w:t>Pharmacy approval data MDQ announcement on 26 April 2023</w:t>
      </w:r>
    </w:p>
    <w:tbl>
      <w:tblPr>
        <w:tblStyle w:val="TableGrid"/>
        <w:tblW w:w="5000" w:type="pct"/>
        <w:tblLook w:val="04A0" w:firstRow="1" w:lastRow="0" w:firstColumn="1" w:lastColumn="0" w:noHBand="0" w:noVBand="1"/>
      </w:tblPr>
      <w:tblGrid>
        <w:gridCol w:w="4010"/>
        <w:gridCol w:w="805"/>
        <w:gridCol w:w="638"/>
        <w:gridCol w:w="730"/>
        <w:gridCol w:w="669"/>
        <w:gridCol w:w="555"/>
        <w:gridCol w:w="683"/>
        <w:gridCol w:w="701"/>
        <w:gridCol w:w="581"/>
        <w:gridCol w:w="822"/>
      </w:tblGrid>
      <w:tr w:rsidR="002A330B" w:rsidRPr="00D1148D" w14:paraId="47137BC2" w14:textId="77777777" w:rsidTr="003A3C0E">
        <w:tc>
          <w:tcPr>
            <w:tcW w:w="1967" w:type="pct"/>
            <w:tcBorders>
              <w:top w:val="single" w:sz="4" w:space="0" w:color="auto"/>
              <w:left w:val="single" w:sz="4" w:space="0" w:color="auto"/>
              <w:bottom w:val="single" w:sz="4" w:space="0" w:color="auto"/>
              <w:right w:val="single" w:sz="4" w:space="0" w:color="auto"/>
            </w:tcBorders>
          </w:tcPr>
          <w:p w14:paraId="32C5C2B8" w14:textId="77777777" w:rsidR="002A330B" w:rsidRPr="00D1148D" w:rsidRDefault="002A330B" w:rsidP="003A3C0E">
            <w:pPr>
              <w:spacing w:after="160" w:line="259" w:lineRule="auto"/>
            </w:pPr>
          </w:p>
        </w:tc>
        <w:tc>
          <w:tcPr>
            <w:tcW w:w="395" w:type="pct"/>
            <w:tcBorders>
              <w:top w:val="single" w:sz="4" w:space="0" w:color="auto"/>
              <w:left w:val="single" w:sz="4" w:space="0" w:color="auto"/>
              <w:bottom w:val="single" w:sz="4" w:space="0" w:color="auto"/>
              <w:right w:val="single" w:sz="4" w:space="0" w:color="auto"/>
            </w:tcBorders>
            <w:hideMark/>
          </w:tcPr>
          <w:p w14:paraId="67CBDF7D" w14:textId="77777777" w:rsidR="002A330B" w:rsidRPr="00D1148D" w:rsidRDefault="002A330B" w:rsidP="003A3C0E">
            <w:pPr>
              <w:spacing w:after="160" w:line="259" w:lineRule="auto"/>
            </w:pPr>
            <w:r w:rsidRPr="00D1148D">
              <w:t>NSW</w:t>
            </w:r>
          </w:p>
        </w:tc>
        <w:tc>
          <w:tcPr>
            <w:tcW w:w="313" w:type="pct"/>
            <w:tcBorders>
              <w:top w:val="single" w:sz="4" w:space="0" w:color="auto"/>
              <w:left w:val="single" w:sz="4" w:space="0" w:color="auto"/>
              <w:bottom w:val="single" w:sz="4" w:space="0" w:color="auto"/>
              <w:right w:val="single" w:sz="4" w:space="0" w:color="auto"/>
            </w:tcBorders>
            <w:hideMark/>
          </w:tcPr>
          <w:p w14:paraId="1349A5AA" w14:textId="77777777" w:rsidR="002A330B" w:rsidRPr="00D1148D" w:rsidRDefault="002A330B" w:rsidP="003A3C0E">
            <w:pPr>
              <w:spacing w:after="160" w:line="259" w:lineRule="auto"/>
            </w:pPr>
            <w:r w:rsidRPr="00D1148D">
              <w:t>VIC</w:t>
            </w:r>
          </w:p>
        </w:tc>
        <w:tc>
          <w:tcPr>
            <w:tcW w:w="358" w:type="pct"/>
            <w:tcBorders>
              <w:top w:val="single" w:sz="4" w:space="0" w:color="auto"/>
              <w:left w:val="single" w:sz="4" w:space="0" w:color="auto"/>
              <w:bottom w:val="single" w:sz="4" w:space="0" w:color="auto"/>
              <w:right w:val="single" w:sz="4" w:space="0" w:color="auto"/>
            </w:tcBorders>
            <w:hideMark/>
          </w:tcPr>
          <w:p w14:paraId="0B6529C7" w14:textId="77777777" w:rsidR="002A330B" w:rsidRPr="00D1148D" w:rsidRDefault="002A330B" w:rsidP="003A3C0E">
            <w:pPr>
              <w:spacing w:after="160" w:line="259" w:lineRule="auto"/>
            </w:pPr>
            <w:r w:rsidRPr="00D1148D">
              <w:t>QLD</w:t>
            </w:r>
          </w:p>
        </w:tc>
        <w:tc>
          <w:tcPr>
            <w:tcW w:w="328" w:type="pct"/>
            <w:tcBorders>
              <w:top w:val="single" w:sz="4" w:space="0" w:color="auto"/>
              <w:left w:val="single" w:sz="4" w:space="0" w:color="auto"/>
              <w:bottom w:val="single" w:sz="4" w:space="0" w:color="auto"/>
              <w:right w:val="single" w:sz="4" w:space="0" w:color="auto"/>
            </w:tcBorders>
            <w:hideMark/>
          </w:tcPr>
          <w:p w14:paraId="4300618D" w14:textId="77777777" w:rsidR="002A330B" w:rsidRPr="00D1148D" w:rsidRDefault="002A330B" w:rsidP="003A3C0E">
            <w:pPr>
              <w:spacing w:after="160" w:line="259" w:lineRule="auto"/>
            </w:pPr>
            <w:r w:rsidRPr="00D1148D">
              <w:t>WA</w:t>
            </w:r>
          </w:p>
        </w:tc>
        <w:tc>
          <w:tcPr>
            <w:tcW w:w="272" w:type="pct"/>
            <w:tcBorders>
              <w:top w:val="single" w:sz="4" w:space="0" w:color="auto"/>
              <w:left w:val="single" w:sz="4" w:space="0" w:color="auto"/>
              <w:bottom w:val="single" w:sz="4" w:space="0" w:color="auto"/>
              <w:right w:val="single" w:sz="4" w:space="0" w:color="auto"/>
            </w:tcBorders>
            <w:hideMark/>
          </w:tcPr>
          <w:p w14:paraId="00AB4926" w14:textId="77777777" w:rsidR="002A330B" w:rsidRPr="00D1148D" w:rsidRDefault="002A330B" w:rsidP="003A3C0E">
            <w:pPr>
              <w:spacing w:after="160" w:line="259" w:lineRule="auto"/>
            </w:pPr>
            <w:r w:rsidRPr="00D1148D">
              <w:t>SA</w:t>
            </w:r>
          </w:p>
        </w:tc>
        <w:tc>
          <w:tcPr>
            <w:tcW w:w="335" w:type="pct"/>
            <w:tcBorders>
              <w:top w:val="single" w:sz="4" w:space="0" w:color="auto"/>
              <w:left w:val="single" w:sz="4" w:space="0" w:color="auto"/>
              <w:bottom w:val="single" w:sz="4" w:space="0" w:color="auto"/>
              <w:right w:val="single" w:sz="4" w:space="0" w:color="auto"/>
            </w:tcBorders>
            <w:hideMark/>
          </w:tcPr>
          <w:p w14:paraId="4621F1FF" w14:textId="77777777" w:rsidR="002A330B" w:rsidRPr="00D1148D" w:rsidRDefault="002A330B" w:rsidP="003A3C0E">
            <w:pPr>
              <w:spacing w:after="160" w:line="259" w:lineRule="auto"/>
            </w:pPr>
            <w:r w:rsidRPr="00D1148D">
              <w:t>TAS</w:t>
            </w:r>
          </w:p>
        </w:tc>
        <w:tc>
          <w:tcPr>
            <w:tcW w:w="344" w:type="pct"/>
            <w:tcBorders>
              <w:top w:val="single" w:sz="4" w:space="0" w:color="auto"/>
              <w:left w:val="single" w:sz="4" w:space="0" w:color="auto"/>
              <w:bottom w:val="single" w:sz="4" w:space="0" w:color="auto"/>
              <w:right w:val="single" w:sz="4" w:space="0" w:color="auto"/>
            </w:tcBorders>
            <w:hideMark/>
          </w:tcPr>
          <w:p w14:paraId="1F4DB083" w14:textId="77777777" w:rsidR="002A330B" w:rsidRPr="00D1148D" w:rsidRDefault="002A330B" w:rsidP="003A3C0E">
            <w:pPr>
              <w:spacing w:after="160" w:line="259" w:lineRule="auto"/>
            </w:pPr>
            <w:r w:rsidRPr="00D1148D">
              <w:t>ACT</w:t>
            </w:r>
          </w:p>
        </w:tc>
        <w:tc>
          <w:tcPr>
            <w:tcW w:w="285" w:type="pct"/>
            <w:tcBorders>
              <w:top w:val="single" w:sz="4" w:space="0" w:color="auto"/>
              <w:left w:val="single" w:sz="4" w:space="0" w:color="auto"/>
              <w:bottom w:val="single" w:sz="4" w:space="0" w:color="auto"/>
              <w:right w:val="single" w:sz="4" w:space="0" w:color="auto"/>
            </w:tcBorders>
            <w:hideMark/>
          </w:tcPr>
          <w:p w14:paraId="02794D9D" w14:textId="77777777" w:rsidR="002A330B" w:rsidRPr="00D1148D" w:rsidRDefault="002A330B" w:rsidP="003A3C0E">
            <w:pPr>
              <w:spacing w:after="160" w:line="259" w:lineRule="auto"/>
            </w:pPr>
            <w:r w:rsidRPr="00D1148D">
              <w:t>NT</w:t>
            </w:r>
          </w:p>
        </w:tc>
        <w:tc>
          <w:tcPr>
            <w:tcW w:w="403" w:type="pct"/>
            <w:tcBorders>
              <w:top w:val="single" w:sz="4" w:space="0" w:color="auto"/>
              <w:left w:val="single" w:sz="4" w:space="0" w:color="auto"/>
              <w:bottom w:val="single" w:sz="4" w:space="0" w:color="auto"/>
              <w:right w:val="single" w:sz="4" w:space="0" w:color="auto"/>
            </w:tcBorders>
            <w:hideMark/>
          </w:tcPr>
          <w:p w14:paraId="02A3201C" w14:textId="77777777" w:rsidR="002A330B" w:rsidRPr="00D1148D" w:rsidRDefault="002A330B" w:rsidP="003A3C0E">
            <w:pPr>
              <w:spacing w:after="160" w:line="259" w:lineRule="auto"/>
            </w:pPr>
            <w:r>
              <w:t>Total</w:t>
            </w:r>
          </w:p>
        </w:tc>
      </w:tr>
      <w:tr w:rsidR="002A330B" w:rsidRPr="00D1148D" w14:paraId="29D1BAEF" w14:textId="77777777" w:rsidTr="003A3C0E">
        <w:tc>
          <w:tcPr>
            <w:tcW w:w="5000" w:type="pct"/>
            <w:gridSpan w:val="10"/>
            <w:tcBorders>
              <w:top w:val="single" w:sz="4" w:space="0" w:color="auto"/>
              <w:left w:val="single" w:sz="4" w:space="0" w:color="auto"/>
              <w:bottom w:val="single" w:sz="4" w:space="0" w:color="auto"/>
              <w:right w:val="single" w:sz="4" w:space="0" w:color="auto"/>
            </w:tcBorders>
            <w:shd w:val="clear" w:color="auto" w:fill="CCD5DF" w:themeFill="accent1" w:themeFillTint="33"/>
          </w:tcPr>
          <w:p w14:paraId="517FAB0C" w14:textId="77777777" w:rsidR="002A330B" w:rsidRPr="0090334D" w:rsidRDefault="002A330B" w:rsidP="003A3C0E">
            <w:pPr>
              <w:rPr>
                <w:b/>
              </w:rPr>
            </w:pPr>
            <w:r w:rsidRPr="0090334D">
              <w:rPr>
                <w:b/>
              </w:rPr>
              <w:t>Applications for new pharmacies</w:t>
            </w:r>
          </w:p>
        </w:tc>
      </w:tr>
      <w:tr w:rsidR="00CB1132" w:rsidRPr="00CB1132" w14:paraId="40513833" w14:textId="77777777" w:rsidTr="003A3C0E">
        <w:tc>
          <w:tcPr>
            <w:tcW w:w="1967" w:type="pct"/>
            <w:tcBorders>
              <w:top w:val="single" w:sz="4" w:space="0" w:color="auto"/>
              <w:left w:val="single" w:sz="4" w:space="0" w:color="auto"/>
              <w:bottom w:val="single" w:sz="4" w:space="0" w:color="auto"/>
              <w:right w:val="single" w:sz="4" w:space="0" w:color="auto"/>
            </w:tcBorders>
          </w:tcPr>
          <w:p w14:paraId="6DFD38EA" w14:textId="5BF50108" w:rsidR="00CB1132" w:rsidRPr="0090334D" w:rsidRDefault="00CB1132" w:rsidP="00CB1132">
            <w:pPr>
              <w:spacing w:after="160" w:line="259" w:lineRule="auto"/>
            </w:pPr>
            <w:r w:rsidRPr="0090334D">
              <w:rPr>
                <w:bCs/>
              </w:rPr>
              <w:t xml:space="preserve">1 May 2023 to </w:t>
            </w:r>
            <w:r>
              <w:rPr>
                <w:bCs/>
              </w:rPr>
              <w:t xml:space="preserve">31 December </w:t>
            </w:r>
            <w:r w:rsidRPr="0090334D">
              <w:t>2023</w:t>
            </w:r>
          </w:p>
        </w:tc>
        <w:tc>
          <w:tcPr>
            <w:tcW w:w="395" w:type="pct"/>
            <w:tcBorders>
              <w:top w:val="single" w:sz="4" w:space="0" w:color="auto"/>
              <w:left w:val="single" w:sz="4" w:space="0" w:color="auto"/>
              <w:bottom w:val="single" w:sz="4" w:space="0" w:color="auto"/>
              <w:right w:val="single" w:sz="4" w:space="0" w:color="auto"/>
            </w:tcBorders>
            <w:hideMark/>
          </w:tcPr>
          <w:p w14:paraId="267D5DE6" w14:textId="69FAD67E" w:rsidR="00CB1132" w:rsidRPr="00CB1132" w:rsidRDefault="00CB1132" w:rsidP="00CB1132">
            <w:pPr>
              <w:spacing w:after="160" w:line="259" w:lineRule="auto"/>
            </w:pPr>
            <w:r w:rsidRPr="001D3CF6">
              <w:t>18</w:t>
            </w:r>
          </w:p>
        </w:tc>
        <w:tc>
          <w:tcPr>
            <w:tcW w:w="313" w:type="pct"/>
            <w:tcBorders>
              <w:top w:val="single" w:sz="4" w:space="0" w:color="auto"/>
              <w:left w:val="single" w:sz="4" w:space="0" w:color="auto"/>
              <w:bottom w:val="single" w:sz="4" w:space="0" w:color="auto"/>
              <w:right w:val="single" w:sz="4" w:space="0" w:color="auto"/>
            </w:tcBorders>
            <w:hideMark/>
          </w:tcPr>
          <w:p w14:paraId="328801D2" w14:textId="570399D5" w:rsidR="00CB1132" w:rsidRPr="00CB1132" w:rsidRDefault="00CB1132" w:rsidP="00CB1132">
            <w:pPr>
              <w:spacing w:after="160" w:line="259" w:lineRule="auto"/>
            </w:pPr>
            <w:r w:rsidRPr="001D3CF6">
              <w:t>11</w:t>
            </w:r>
          </w:p>
        </w:tc>
        <w:tc>
          <w:tcPr>
            <w:tcW w:w="358" w:type="pct"/>
            <w:tcBorders>
              <w:top w:val="single" w:sz="4" w:space="0" w:color="auto"/>
              <w:left w:val="single" w:sz="4" w:space="0" w:color="auto"/>
              <w:bottom w:val="single" w:sz="4" w:space="0" w:color="auto"/>
              <w:right w:val="single" w:sz="4" w:space="0" w:color="auto"/>
            </w:tcBorders>
            <w:hideMark/>
          </w:tcPr>
          <w:p w14:paraId="26BA90C9" w14:textId="40315619" w:rsidR="00CB1132" w:rsidRPr="00CB1132" w:rsidRDefault="00CB1132" w:rsidP="00CB1132">
            <w:pPr>
              <w:spacing w:after="160" w:line="259" w:lineRule="auto"/>
            </w:pPr>
            <w:r w:rsidRPr="001D3CF6">
              <w:t>28</w:t>
            </w:r>
          </w:p>
        </w:tc>
        <w:tc>
          <w:tcPr>
            <w:tcW w:w="328" w:type="pct"/>
            <w:tcBorders>
              <w:top w:val="single" w:sz="4" w:space="0" w:color="auto"/>
              <w:left w:val="single" w:sz="4" w:space="0" w:color="auto"/>
              <w:bottom w:val="single" w:sz="4" w:space="0" w:color="auto"/>
              <w:right w:val="single" w:sz="4" w:space="0" w:color="auto"/>
            </w:tcBorders>
            <w:hideMark/>
          </w:tcPr>
          <w:p w14:paraId="5E512B09" w14:textId="3FC0CF21" w:rsidR="00CB1132" w:rsidRPr="00CB1132" w:rsidRDefault="00CB1132" w:rsidP="00CB1132">
            <w:pPr>
              <w:spacing w:after="160" w:line="259" w:lineRule="auto"/>
            </w:pPr>
            <w:r w:rsidRPr="001D3CF6">
              <w:t>19</w:t>
            </w:r>
          </w:p>
        </w:tc>
        <w:tc>
          <w:tcPr>
            <w:tcW w:w="272" w:type="pct"/>
            <w:tcBorders>
              <w:top w:val="single" w:sz="4" w:space="0" w:color="auto"/>
              <w:left w:val="single" w:sz="4" w:space="0" w:color="auto"/>
              <w:bottom w:val="single" w:sz="4" w:space="0" w:color="auto"/>
              <w:right w:val="single" w:sz="4" w:space="0" w:color="auto"/>
            </w:tcBorders>
            <w:hideMark/>
          </w:tcPr>
          <w:p w14:paraId="6AECE510" w14:textId="62D6FADB" w:rsidR="00CB1132" w:rsidRPr="00CB1132" w:rsidRDefault="00CB1132" w:rsidP="00CB1132">
            <w:pPr>
              <w:spacing w:after="160" w:line="259" w:lineRule="auto"/>
            </w:pPr>
            <w:r w:rsidRPr="001D3CF6">
              <w:t>7</w:t>
            </w:r>
          </w:p>
        </w:tc>
        <w:tc>
          <w:tcPr>
            <w:tcW w:w="335" w:type="pct"/>
            <w:tcBorders>
              <w:top w:val="single" w:sz="4" w:space="0" w:color="auto"/>
              <w:left w:val="single" w:sz="4" w:space="0" w:color="auto"/>
              <w:bottom w:val="single" w:sz="4" w:space="0" w:color="auto"/>
              <w:right w:val="single" w:sz="4" w:space="0" w:color="auto"/>
            </w:tcBorders>
            <w:hideMark/>
          </w:tcPr>
          <w:p w14:paraId="1D1C8D20" w14:textId="6C62838A" w:rsidR="00CB1132" w:rsidRPr="00CB1132" w:rsidRDefault="00CB1132" w:rsidP="00CB1132">
            <w:pPr>
              <w:spacing w:after="160" w:line="259" w:lineRule="auto"/>
            </w:pPr>
            <w:r w:rsidRPr="00FF7BB2">
              <w:t>2</w:t>
            </w:r>
          </w:p>
        </w:tc>
        <w:tc>
          <w:tcPr>
            <w:tcW w:w="344" w:type="pct"/>
            <w:tcBorders>
              <w:top w:val="single" w:sz="4" w:space="0" w:color="auto"/>
              <w:left w:val="single" w:sz="4" w:space="0" w:color="auto"/>
              <w:bottom w:val="single" w:sz="4" w:space="0" w:color="auto"/>
              <w:right w:val="single" w:sz="4" w:space="0" w:color="auto"/>
            </w:tcBorders>
            <w:hideMark/>
          </w:tcPr>
          <w:p w14:paraId="6B5ED745" w14:textId="1A5D3920" w:rsidR="00CB1132" w:rsidRPr="00CB1132" w:rsidRDefault="00CB1132" w:rsidP="00CB1132">
            <w:pPr>
              <w:spacing w:after="160" w:line="259" w:lineRule="auto"/>
            </w:pPr>
            <w:r w:rsidRPr="001D3CF6">
              <w:t>1</w:t>
            </w:r>
          </w:p>
        </w:tc>
        <w:tc>
          <w:tcPr>
            <w:tcW w:w="285" w:type="pct"/>
            <w:tcBorders>
              <w:top w:val="single" w:sz="4" w:space="0" w:color="auto"/>
              <w:left w:val="single" w:sz="4" w:space="0" w:color="auto"/>
              <w:bottom w:val="single" w:sz="4" w:space="0" w:color="auto"/>
              <w:right w:val="single" w:sz="4" w:space="0" w:color="auto"/>
            </w:tcBorders>
            <w:hideMark/>
          </w:tcPr>
          <w:p w14:paraId="30755952" w14:textId="05653AFF" w:rsidR="00CB1132" w:rsidRPr="00CB1132" w:rsidRDefault="00CB1132" w:rsidP="00CB1132">
            <w:pPr>
              <w:spacing w:after="160" w:line="259" w:lineRule="auto"/>
            </w:pPr>
            <w:r w:rsidRPr="00FF7BB2">
              <w:t>1</w:t>
            </w:r>
          </w:p>
        </w:tc>
        <w:tc>
          <w:tcPr>
            <w:tcW w:w="403" w:type="pct"/>
            <w:tcBorders>
              <w:top w:val="single" w:sz="4" w:space="0" w:color="auto"/>
              <w:left w:val="single" w:sz="4" w:space="0" w:color="auto"/>
              <w:bottom w:val="single" w:sz="4" w:space="0" w:color="auto"/>
              <w:right w:val="single" w:sz="4" w:space="0" w:color="auto"/>
            </w:tcBorders>
            <w:hideMark/>
          </w:tcPr>
          <w:p w14:paraId="20F05DF5" w14:textId="17950F39" w:rsidR="00CB1132" w:rsidRPr="00CB1132" w:rsidRDefault="00CB1132" w:rsidP="00CB1132">
            <w:pPr>
              <w:spacing w:after="160" w:line="259" w:lineRule="auto"/>
            </w:pPr>
            <w:r w:rsidRPr="00FF7BB2">
              <w:t>87</w:t>
            </w:r>
          </w:p>
        </w:tc>
      </w:tr>
      <w:tr w:rsidR="00CB1132" w:rsidRPr="00CB1132" w14:paraId="6A2AC851" w14:textId="77777777" w:rsidTr="003A3C0E">
        <w:tc>
          <w:tcPr>
            <w:tcW w:w="1967" w:type="pct"/>
            <w:tcBorders>
              <w:top w:val="single" w:sz="4" w:space="0" w:color="auto"/>
              <w:left w:val="single" w:sz="4" w:space="0" w:color="auto"/>
              <w:bottom w:val="single" w:sz="4" w:space="0" w:color="auto"/>
              <w:right w:val="single" w:sz="4" w:space="0" w:color="auto"/>
            </w:tcBorders>
          </w:tcPr>
          <w:p w14:paraId="06E5DF36" w14:textId="5AB662C3" w:rsidR="00CB1132" w:rsidRPr="0090334D" w:rsidRDefault="00CB1132" w:rsidP="00CB1132">
            <w:pPr>
              <w:spacing w:after="160" w:line="259" w:lineRule="auto"/>
            </w:pPr>
            <w:r w:rsidRPr="0090334D">
              <w:rPr>
                <w:bCs/>
              </w:rPr>
              <w:t xml:space="preserve">1 May 2022 to </w:t>
            </w:r>
            <w:r>
              <w:rPr>
                <w:bCs/>
              </w:rPr>
              <w:t xml:space="preserve">31 December </w:t>
            </w:r>
            <w:r w:rsidRPr="0090334D">
              <w:t>2022</w:t>
            </w:r>
          </w:p>
        </w:tc>
        <w:tc>
          <w:tcPr>
            <w:tcW w:w="395" w:type="pct"/>
            <w:tcBorders>
              <w:top w:val="single" w:sz="4" w:space="0" w:color="auto"/>
              <w:left w:val="single" w:sz="4" w:space="0" w:color="auto"/>
              <w:bottom w:val="single" w:sz="4" w:space="0" w:color="auto"/>
              <w:right w:val="single" w:sz="4" w:space="0" w:color="auto"/>
            </w:tcBorders>
          </w:tcPr>
          <w:p w14:paraId="3BB0D68F" w14:textId="21F7B3E0" w:rsidR="00CB1132" w:rsidRPr="00CB1132" w:rsidRDefault="00CB1132" w:rsidP="00CB1132">
            <w:pPr>
              <w:spacing w:after="160" w:line="259" w:lineRule="auto"/>
            </w:pPr>
            <w:r w:rsidRPr="00CB1132">
              <w:t>8</w:t>
            </w:r>
          </w:p>
        </w:tc>
        <w:tc>
          <w:tcPr>
            <w:tcW w:w="313" w:type="pct"/>
            <w:tcBorders>
              <w:top w:val="single" w:sz="4" w:space="0" w:color="auto"/>
              <w:left w:val="single" w:sz="4" w:space="0" w:color="auto"/>
              <w:bottom w:val="single" w:sz="4" w:space="0" w:color="auto"/>
              <w:right w:val="single" w:sz="4" w:space="0" w:color="auto"/>
            </w:tcBorders>
          </w:tcPr>
          <w:p w14:paraId="0A2411C8" w14:textId="36BC5478" w:rsidR="00CB1132" w:rsidRPr="00CB1132" w:rsidRDefault="00CB1132" w:rsidP="00CB1132">
            <w:pPr>
              <w:spacing w:after="160" w:line="259" w:lineRule="auto"/>
            </w:pPr>
            <w:r w:rsidRPr="00CB1132">
              <w:t>20</w:t>
            </w:r>
          </w:p>
        </w:tc>
        <w:tc>
          <w:tcPr>
            <w:tcW w:w="358" w:type="pct"/>
            <w:tcBorders>
              <w:top w:val="single" w:sz="4" w:space="0" w:color="auto"/>
              <w:left w:val="single" w:sz="4" w:space="0" w:color="auto"/>
              <w:bottom w:val="single" w:sz="4" w:space="0" w:color="auto"/>
              <w:right w:val="single" w:sz="4" w:space="0" w:color="auto"/>
            </w:tcBorders>
          </w:tcPr>
          <w:p w14:paraId="24CAD35D" w14:textId="72014CFE" w:rsidR="00CB1132" w:rsidRPr="00CB1132" w:rsidRDefault="00CB1132" w:rsidP="00CB1132">
            <w:pPr>
              <w:spacing w:after="160" w:line="259" w:lineRule="auto"/>
            </w:pPr>
            <w:r w:rsidRPr="00FF7BB2">
              <w:t>19</w:t>
            </w:r>
          </w:p>
        </w:tc>
        <w:tc>
          <w:tcPr>
            <w:tcW w:w="328" w:type="pct"/>
            <w:tcBorders>
              <w:top w:val="single" w:sz="4" w:space="0" w:color="auto"/>
              <w:left w:val="single" w:sz="4" w:space="0" w:color="auto"/>
              <w:bottom w:val="single" w:sz="4" w:space="0" w:color="auto"/>
              <w:right w:val="single" w:sz="4" w:space="0" w:color="auto"/>
            </w:tcBorders>
          </w:tcPr>
          <w:p w14:paraId="141B68FC" w14:textId="36F39E77" w:rsidR="00CB1132" w:rsidRPr="00CB1132" w:rsidRDefault="00CB1132" w:rsidP="00CB1132">
            <w:pPr>
              <w:spacing w:after="160" w:line="259" w:lineRule="auto"/>
            </w:pPr>
            <w:r w:rsidRPr="00CB1132">
              <w:t>5</w:t>
            </w:r>
          </w:p>
        </w:tc>
        <w:tc>
          <w:tcPr>
            <w:tcW w:w="272" w:type="pct"/>
            <w:tcBorders>
              <w:top w:val="single" w:sz="4" w:space="0" w:color="auto"/>
              <w:left w:val="single" w:sz="4" w:space="0" w:color="auto"/>
              <w:bottom w:val="single" w:sz="4" w:space="0" w:color="auto"/>
              <w:right w:val="single" w:sz="4" w:space="0" w:color="auto"/>
            </w:tcBorders>
          </w:tcPr>
          <w:p w14:paraId="7A9748FC" w14:textId="3B130E2D" w:rsidR="00CB1132" w:rsidRPr="00CB1132" w:rsidRDefault="00CB1132" w:rsidP="00CB1132">
            <w:pPr>
              <w:spacing w:after="160" w:line="259" w:lineRule="auto"/>
            </w:pPr>
            <w:r w:rsidRPr="00FF7BB2">
              <w:t>5</w:t>
            </w:r>
          </w:p>
        </w:tc>
        <w:tc>
          <w:tcPr>
            <w:tcW w:w="335" w:type="pct"/>
            <w:tcBorders>
              <w:top w:val="single" w:sz="4" w:space="0" w:color="auto"/>
              <w:left w:val="single" w:sz="4" w:space="0" w:color="auto"/>
              <w:bottom w:val="single" w:sz="4" w:space="0" w:color="auto"/>
              <w:right w:val="single" w:sz="4" w:space="0" w:color="auto"/>
            </w:tcBorders>
          </w:tcPr>
          <w:p w14:paraId="18D7E9A7" w14:textId="6513B11B" w:rsidR="00CB1132" w:rsidRPr="00CB1132" w:rsidRDefault="00CB1132" w:rsidP="00CB1132">
            <w:pPr>
              <w:spacing w:after="160" w:line="259" w:lineRule="auto"/>
            </w:pPr>
            <w:r w:rsidRPr="00FF7BB2">
              <w:t>2</w:t>
            </w:r>
          </w:p>
        </w:tc>
        <w:tc>
          <w:tcPr>
            <w:tcW w:w="344" w:type="pct"/>
            <w:tcBorders>
              <w:top w:val="single" w:sz="4" w:space="0" w:color="auto"/>
              <w:left w:val="single" w:sz="4" w:space="0" w:color="auto"/>
              <w:bottom w:val="single" w:sz="4" w:space="0" w:color="auto"/>
              <w:right w:val="single" w:sz="4" w:space="0" w:color="auto"/>
            </w:tcBorders>
          </w:tcPr>
          <w:p w14:paraId="2E2B7A1F" w14:textId="3F7E5411" w:rsidR="00CB1132" w:rsidRPr="00CB1132" w:rsidRDefault="00CB1132" w:rsidP="00CB1132">
            <w:pPr>
              <w:spacing w:after="160" w:line="259" w:lineRule="auto"/>
            </w:pPr>
            <w:r w:rsidRPr="00FF7BB2">
              <w:t>0</w:t>
            </w:r>
          </w:p>
        </w:tc>
        <w:tc>
          <w:tcPr>
            <w:tcW w:w="285" w:type="pct"/>
            <w:tcBorders>
              <w:top w:val="single" w:sz="4" w:space="0" w:color="auto"/>
              <w:left w:val="single" w:sz="4" w:space="0" w:color="auto"/>
              <w:bottom w:val="single" w:sz="4" w:space="0" w:color="auto"/>
              <w:right w:val="single" w:sz="4" w:space="0" w:color="auto"/>
            </w:tcBorders>
          </w:tcPr>
          <w:p w14:paraId="54F8B18E" w14:textId="6C6BE24B" w:rsidR="00CB1132" w:rsidRPr="00CB1132" w:rsidRDefault="00CB1132" w:rsidP="00CB1132">
            <w:pPr>
              <w:spacing w:after="160" w:line="259" w:lineRule="auto"/>
            </w:pPr>
            <w:r w:rsidRPr="00FF7BB2">
              <w:t>0</w:t>
            </w:r>
          </w:p>
        </w:tc>
        <w:tc>
          <w:tcPr>
            <w:tcW w:w="403" w:type="pct"/>
            <w:tcBorders>
              <w:top w:val="single" w:sz="4" w:space="0" w:color="auto"/>
              <w:left w:val="single" w:sz="4" w:space="0" w:color="auto"/>
              <w:bottom w:val="single" w:sz="4" w:space="0" w:color="auto"/>
              <w:right w:val="single" w:sz="4" w:space="0" w:color="auto"/>
            </w:tcBorders>
          </w:tcPr>
          <w:p w14:paraId="63C07A90" w14:textId="01D55A73" w:rsidR="00CB1132" w:rsidRPr="00CB1132" w:rsidRDefault="00CB1132" w:rsidP="00CB1132">
            <w:pPr>
              <w:spacing w:after="160" w:line="259" w:lineRule="auto"/>
            </w:pPr>
            <w:r w:rsidRPr="00FF7BB2">
              <w:t>59</w:t>
            </w:r>
          </w:p>
        </w:tc>
      </w:tr>
      <w:tr w:rsidR="002A330B" w:rsidRPr="00D1148D" w14:paraId="075DED93" w14:textId="77777777" w:rsidTr="003A3C0E">
        <w:tc>
          <w:tcPr>
            <w:tcW w:w="1967" w:type="pct"/>
            <w:tcBorders>
              <w:top w:val="single" w:sz="4" w:space="0" w:color="auto"/>
              <w:left w:val="single" w:sz="4" w:space="0" w:color="auto"/>
              <w:bottom w:val="single" w:sz="4" w:space="0" w:color="auto"/>
              <w:right w:val="single" w:sz="4" w:space="0" w:color="auto"/>
            </w:tcBorders>
          </w:tcPr>
          <w:p w14:paraId="0653BBBF" w14:textId="77777777" w:rsidR="002A330B" w:rsidRPr="0090334D" w:rsidRDefault="002A330B" w:rsidP="003A3C0E">
            <w:pPr>
              <w:rPr>
                <w:bCs/>
              </w:rPr>
            </w:pPr>
            <w:r w:rsidRPr="0090334D">
              <w:rPr>
                <w:bCs/>
              </w:rPr>
              <w:t>September 2023 only</w:t>
            </w:r>
          </w:p>
        </w:tc>
        <w:tc>
          <w:tcPr>
            <w:tcW w:w="395" w:type="pct"/>
            <w:tcBorders>
              <w:top w:val="single" w:sz="4" w:space="0" w:color="auto"/>
              <w:left w:val="single" w:sz="4" w:space="0" w:color="auto"/>
              <w:bottom w:val="single" w:sz="4" w:space="0" w:color="auto"/>
              <w:right w:val="single" w:sz="4" w:space="0" w:color="auto"/>
            </w:tcBorders>
          </w:tcPr>
          <w:p w14:paraId="55564C94" w14:textId="77777777" w:rsidR="002A330B" w:rsidRPr="00D1148D" w:rsidRDefault="002A330B" w:rsidP="003A3C0E">
            <w:r w:rsidRPr="00D1148D">
              <w:t>0</w:t>
            </w:r>
          </w:p>
        </w:tc>
        <w:tc>
          <w:tcPr>
            <w:tcW w:w="313" w:type="pct"/>
            <w:tcBorders>
              <w:top w:val="single" w:sz="4" w:space="0" w:color="auto"/>
              <w:left w:val="single" w:sz="4" w:space="0" w:color="auto"/>
              <w:bottom w:val="single" w:sz="4" w:space="0" w:color="auto"/>
              <w:right w:val="single" w:sz="4" w:space="0" w:color="auto"/>
            </w:tcBorders>
          </w:tcPr>
          <w:p w14:paraId="6AC49A76" w14:textId="77777777" w:rsidR="002A330B" w:rsidRPr="00D1148D" w:rsidRDefault="002A330B" w:rsidP="003A3C0E">
            <w:r w:rsidRPr="00D1148D">
              <w:t>1</w:t>
            </w:r>
          </w:p>
        </w:tc>
        <w:tc>
          <w:tcPr>
            <w:tcW w:w="358" w:type="pct"/>
            <w:tcBorders>
              <w:top w:val="single" w:sz="4" w:space="0" w:color="auto"/>
              <w:left w:val="single" w:sz="4" w:space="0" w:color="auto"/>
              <w:bottom w:val="single" w:sz="4" w:space="0" w:color="auto"/>
              <w:right w:val="single" w:sz="4" w:space="0" w:color="auto"/>
            </w:tcBorders>
          </w:tcPr>
          <w:p w14:paraId="136692C3" w14:textId="77777777" w:rsidR="002A330B" w:rsidRPr="00D1148D" w:rsidRDefault="002A330B" w:rsidP="003A3C0E">
            <w:r w:rsidRPr="00D1148D">
              <w:t>1</w:t>
            </w:r>
          </w:p>
        </w:tc>
        <w:tc>
          <w:tcPr>
            <w:tcW w:w="328" w:type="pct"/>
            <w:tcBorders>
              <w:top w:val="single" w:sz="4" w:space="0" w:color="auto"/>
              <w:left w:val="single" w:sz="4" w:space="0" w:color="auto"/>
              <w:bottom w:val="single" w:sz="4" w:space="0" w:color="auto"/>
              <w:right w:val="single" w:sz="4" w:space="0" w:color="auto"/>
            </w:tcBorders>
          </w:tcPr>
          <w:p w14:paraId="6118F9E9" w14:textId="77777777" w:rsidR="002A330B" w:rsidRPr="00D1148D" w:rsidRDefault="002A330B" w:rsidP="003A3C0E">
            <w:r w:rsidRPr="00D1148D">
              <w:t>2</w:t>
            </w:r>
          </w:p>
        </w:tc>
        <w:tc>
          <w:tcPr>
            <w:tcW w:w="272" w:type="pct"/>
            <w:tcBorders>
              <w:top w:val="single" w:sz="4" w:space="0" w:color="auto"/>
              <w:left w:val="single" w:sz="4" w:space="0" w:color="auto"/>
              <w:bottom w:val="single" w:sz="4" w:space="0" w:color="auto"/>
              <w:right w:val="single" w:sz="4" w:space="0" w:color="auto"/>
            </w:tcBorders>
          </w:tcPr>
          <w:p w14:paraId="16384CE5" w14:textId="77777777" w:rsidR="002A330B" w:rsidRPr="00D1148D" w:rsidRDefault="002A330B" w:rsidP="003A3C0E">
            <w:r w:rsidRPr="00D1148D">
              <w:t>0</w:t>
            </w:r>
          </w:p>
        </w:tc>
        <w:tc>
          <w:tcPr>
            <w:tcW w:w="335" w:type="pct"/>
            <w:tcBorders>
              <w:top w:val="single" w:sz="4" w:space="0" w:color="auto"/>
              <w:left w:val="single" w:sz="4" w:space="0" w:color="auto"/>
              <w:bottom w:val="single" w:sz="4" w:space="0" w:color="auto"/>
              <w:right w:val="single" w:sz="4" w:space="0" w:color="auto"/>
            </w:tcBorders>
          </w:tcPr>
          <w:p w14:paraId="08EA9A3A" w14:textId="77777777" w:rsidR="002A330B" w:rsidRPr="00D1148D" w:rsidRDefault="002A330B" w:rsidP="003A3C0E">
            <w:r w:rsidRPr="00D1148D">
              <w:t>1</w:t>
            </w:r>
          </w:p>
        </w:tc>
        <w:tc>
          <w:tcPr>
            <w:tcW w:w="344" w:type="pct"/>
            <w:tcBorders>
              <w:top w:val="single" w:sz="4" w:space="0" w:color="auto"/>
              <w:left w:val="single" w:sz="4" w:space="0" w:color="auto"/>
              <w:bottom w:val="single" w:sz="4" w:space="0" w:color="auto"/>
              <w:right w:val="single" w:sz="4" w:space="0" w:color="auto"/>
            </w:tcBorders>
          </w:tcPr>
          <w:p w14:paraId="2B2B5CEB" w14:textId="77777777" w:rsidR="002A330B" w:rsidRPr="00D1148D" w:rsidRDefault="002A330B" w:rsidP="003A3C0E">
            <w:r w:rsidRPr="00D1148D">
              <w:t>0</w:t>
            </w:r>
          </w:p>
        </w:tc>
        <w:tc>
          <w:tcPr>
            <w:tcW w:w="285" w:type="pct"/>
            <w:tcBorders>
              <w:top w:val="single" w:sz="4" w:space="0" w:color="auto"/>
              <w:left w:val="single" w:sz="4" w:space="0" w:color="auto"/>
              <w:bottom w:val="single" w:sz="4" w:space="0" w:color="auto"/>
              <w:right w:val="single" w:sz="4" w:space="0" w:color="auto"/>
            </w:tcBorders>
          </w:tcPr>
          <w:p w14:paraId="39985F8A" w14:textId="77777777" w:rsidR="002A330B" w:rsidRPr="00D1148D" w:rsidRDefault="002A330B" w:rsidP="003A3C0E">
            <w:r w:rsidRPr="00D1148D">
              <w:t>0</w:t>
            </w:r>
          </w:p>
        </w:tc>
        <w:tc>
          <w:tcPr>
            <w:tcW w:w="403" w:type="pct"/>
            <w:tcBorders>
              <w:top w:val="single" w:sz="4" w:space="0" w:color="auto"/>
              <w:left w:val="single" w:sz="4" w:space="0" w:color="auto"/>
              <w:bottom w:val="single" w:sz="4" w:space="0" w:color="auto"/>
              <w:right w:val="single" w:sz="4" w:space="0" w:color="auto"/>
            </w:tcBorders>
          </w:tcPr>
          <w:p w14:paraId="25960581" w14:textId="77777777" w:rsidR="002A330B" w:rsidRPr="00D1148D" w:rsidRDefault="002A330B" w:rsidP="003A3C0E">
            <w:r w:rsidRPr="00D1148D">
              <w:t>5</w:t>
            </w:r>
          </w:p>
        </w:tc>
      </w:tr>
      <w:tr w:rsidR="002A330B" w:rsidRPr="00D1148D" w14:paraId="11261BAA" w14:textId="77777777" w:rsidTr="003A3C0E">
        <w:tc>
          <w:tcPr>
            <w:tcW w:w="5000" w:type="pct"/>
            <w:gridSpan w:val="10"/>
            <w:tcBorders>
              <w:top w:val="single" w:sz="4" w:space="0" w:color="auto"/>
              <w:left w:val="single" w:sz="4" w:space="0" w:color="auto"/>
              <w:bottom w:val="single" w:sz="4" w:space="0" w:color="auto"/>
              <w:right w:val="single" w:sz="4" w:space="0" w:color="auto"/>
            </w:tcBorders>
            <w:shd w:val="clear" w:color="auto" w:fill="CCD5DF" w:themeFill="accent1" w:themeFillTint="33"/>
          </w:tcPr>
          <w:p w14:paraId="396FCD5C" w14:textId="77777777" w:rsidR="002A330B" w:rsidRPr="0090334D" w:rsidRDefault="002A330B" w:rsidP="003A3C0E">
            <w:pPr>
              <w:rPr>
                <w:b/>
              </w:rPr>
            </w:pPr>
            <w:r w:rsidRPr="0090334D">
              <w:rPr>
                <w:b/>
              </w:rPr>
              <w:t>Approvals of new pharmacies</w:t>
            </w:r>
          </w:p>
        </w:tc>
      </w:tr>
      <w:tr w:rsidR="00CB1132" w:rsidRPr="00D1148D" w14:paraId="76580D4A" w14:textId="77777777" w:rsidTr="003A3C0E">
        <w:tc>
          <w:tcPr>
            <w:tcW w:w="1967" w:type="pct"/>
            <w:tcBorders>
              <w:top w:val="single" w:sz="4" w:space="0" w:color="auto"/>
              <w:left w:val="single" w:sz="4" w:space="0" w:color="auto"/>
              <w:bottom w:val="single" w:sz="4" w:space="0" w:color="auto"/>
              <w:right w:val="single" w:sz="4" w:space="0" w:color="auto"/>
            </w:tcBorders>
          </w:tcPr>
          <w:p w14:paraId="7E00090B" w14:textId="00B688AC" w:rsidR="00CB1132" w:rsidRPr="0090334D" w:rsidRDefault="00CB1132" w:rsidP="00CB1132">
            <w:r w:rsidRPr="0090334D">
              <w:rPr>
                <w:bCs/>
              </w:rPr>
              <w:t xml:space="preserve">1 May 2023 to </w:t>
            </w:r>
            <w:r>
              <w:rPr>
                <w:bCs/>
              </w:rPr>
              <w:t xml:space="preserve">31 December </w:t>
            </w:r>
            <w:r w:rsidRPr="0090334D">
              <w:t>2023</w:t>
            </w:r>
          </w:p>
        </w:tc>
        <w:tc>
          <w:tcPr>
            <w:tcW w:w="395" w:type="pct"/>
            <w:tcBorders>
              <w:top w:val="single" w:sz="4" w:space="0" w:color="auto"/>
              <w:left w:val="single" w:sz="4" w:space="0" w:color="auto"/>
              <w:bottom w:val="single" w:sz="4" w:space="0" w:color="auto"/>
              <w:right w:val="single" w:sz="4" w:space="0" w:color="auto"/>
            </w:tcBorders>
          </w:tcPr>
          <w:p w14:paraId="6267E55A" w14:textId="75A5D1EC" w:rsidR="00CB1132" w:rsidRPr="00CB1132" w:rsidRDefault="00CB1132" w:rsidP="00CB1132">
            <w:r w:rsidRPr="00FF7BB2">
              <w:t>4</w:t>
            </w:r>
          </w:p>
        </w:tc>
        <w:tc>
          <w:tcPr>
            <w:tcW w:w="313" w:type="pct"/>
            <w:tcBorders>
              <w:top w:val="single" w:sz="4" w:space="0" w:color="auto"/>
              <w:left w:val="single" w:sz="4" w:space="0" w:color="auto"/>
              <w:bottom w:val="single" w:sz="4" w:space="0" w:color="auto"/>
              <w:right w:val="single" w:sz="4" w:space="0" w:color="auto"/>
            </w:tcBorders>
          </w:tcPr>
          <w:p w14:paraId="46D69F5D" w14:textId="757347B7" w:rsidR="00CB1132" w:rsidRPr="00CB1132" w:rsidRDefault="00CB1132" w:rsidP="00CB1132">
            <w:r w:rsidRPr="00FF7BB2">
              <w:t>11</w:t>
            </w:r>
          </w:p>
        </w:tc>
        <w:tc>
          <w:tcPr>
            <w:tcW w:w="358" w:type="pct"/>
            <w:tcBorders>
              <w:top w:val="single" w:sz="4" w:space="0" w:color="auto"/>
              <w:left w:val="single" w:sz="4" w:space="0" w:color="auto"/>
              <w:bottom w:val="single" w:sz="4" w:space="0" w:color="auto"/>
              <w:right w:val="single" w:sz="4" w:space="0" w:color="auto"/>
            </w:tcBorders>
          </w:tcPr>
          <w:p w14:paraId="32AC7B51" w14:textId="62931BF5" w:rsidR="00CB1132" w:rsidRPr="00CB1132" w:rsidRDefault="00CB1132" w:rsidP="00CB1132">
            <w:r w:rsidRPr="00FF7BB2">
              <w:t>14</w:t>
            </w:r>
          </w:p>
        </w:tc>
        <w:tc>
          <w:tcPr>
            <w:tcW w:w="328" w:type="pct"/>
            <w:tcBorders>
              <w:top w:val="single" w:sz="4" w:space="0" w:color="auto"/>
              <w:left w:val="single" w:sz="4" w:space="0" w:color="auto"/>
              <w:bottom w:val="single" w:sz="4" w:space="0" w:color="auto"/>
              <w:right w:val="single" w:sz="4" w:space="0" w:color="auto"/>
            </w:tcBorders>
          </w:tcPr>
          <w:p w14:paraId="1E03A5AC" w14:textId="40A4762C" w:rsidR="00CB1132" w:rsidRPr="00CB1132" w:rsidRDefault="00CB1132" w:rsidP="00CB1132">
            <w:r w:rsidRPr="00FF7BB2">
              <w:t>3</w:t>
            </w:r>
          </w:p>
        </w:tc>
        <w:tc>
          <w:tcPr>
            <w:tcW w:w="272" w:type="pct"/>
            <w:tcBorders>
              <w:top w:val="single" w:sz="4" w:space="0" w:color="auto"/>
              <w:left w:val="single" w:sz="4" w:space="0" w:color="auto"/>
              <w:bottom w:val="single" w:sz="4" w:space="0" w:color="auto"/>
              <w:right w:val="single" w:sz="4" w:space="0" w:color="auto"/>
            </w:tcBorders>
          </w:tcPr>
          <w:p w14:paraId="0CF789C2" w14:textId="00564C9B" w:rsidR="00CB1132" w:rsidRPr="00CB1132" w:rsidRDefault="00CB1132" w:rsidP="00CB1132">
            <w:r w:rsidRPr="00FF7BB2">
              <w:t>2</w:t>
            </w:r>
          </w:p>
        </w:tc>
        <w:tc>
          <w:tcPr>
            <w:tcW w:w="335" w:type="pct"/>
            <w:tcBorders>
              <w:top w:val="single" w:sz="4" w:space="0" w:color="auto"/>
              <w:left w:val="single" w:sz="4" w:space="0" w:color="auto"/>
              <w:bottom w:val="single" w:sz="4" w:space="0" w:color="auto"/>
              <w:right w:val="single" w:sz="4" w:space="0" w:color="auto"/>
            </w:tcBorders>
          </w:tcPr>
          <w:p w14:paraId="0F6C9BE4" w14:textId="09C588E4" w:rsidR="00CB1132" w:rsidRPr="00CB1132" w:rsidRDefault="00CB1132" w:rsidP="00CB1132">
            <w:r w:rsidRPr="00FF7BB2">
              <w:t>1</w:t>
            </w:r>
          </w:p>
        </w:tc>
        <w:tc>
          <w:tcPr>
            <w:tcW w:w="344" w:type="pct"/>
            <w:tcBorders>
              <w:top w:val="single" w:sz="4" w:space="0" w:color="auto"/>
              <w:left w:val="single" w:sz="4" w:space="0" w:color="auto"/>
              <w:bottom w:val="single" w:sz="4" w:space="0" w:color="auto"/>
              <w:right w:val="single" w:sz="4" w:space="0" w:color="auto"/>
            </w:tcBorders>
          </w:tcPr>
          <w:p w14:paraId="54A52715" w14:textId="7A21373E" w:rsidR="00CB1132" w:rsidRPr="00CB1132" w:rsidRDefault="00CB1132" w:rsidP="00CB1132">
            <w:r w:rsidRPr="00FF7BB2">
              <w:t>0</w:t>
            </w:r>
          </w:p>
        </w:tc>
        <w:tc>
          <w:tcPr>
            <w:tcW w:w="285" w:type="pct"/>
            <w:tcBorders>
              <w:top w:val="single" w:sz="4" w:space="0" w:color="auto"/>
              <w:left w:val="single" w:sz="4" w:space="0" w:color="auto"/>
              <w:bottom w:val="single" w:sz="4" w:space="0" w:color="auto"/>
              <w:right w:val="single" w:sz="4" w:space="0" w:color="auto"/>
            </w:tcBorders>
          </w:tcPr>
          <w:p w14:paraId="5ED945BE" w14:textId="67513861" w:rsidR="00CB1132" w:rsidRPr="00CB1132" w:rsidRDefault="00CB1132" w:rsidP="00CB1132">
            <w:r w:rsidRPr="00FF7BB2">
              <w:t>0</w:t>
            </w:r>
          </w:p>
        </w:tc>
        <w:tc>
          <w:tcPr>
            <w:tcW w:w="403" w:type="pct"/>
            <w:tcBorders>
              <w:top w:val="single" w:sz="4" w:space="0" w:color="auto"/>
              <w:left w:val="single" w:sz="4" w:space="0" w:color="auto"/>
              <w:bottom w:val="single" w:sz="4" w:space="0" w:color="auto"/>
              <w:right w:val="single" w:sz="4" w:space="0" w:color="auto"/>
            </w:tcBorders>
          </w:tcPr>
          <w:p w14:paraId="50556031" w14:textId="31ECBD54" w:rsidR="00CB1132" w:rsidRPr="00CB1132" w:rsidRDefault="00CB1132" w:rsidP="00CB1132">
            <w:r w:rsidRPr="00FF7BB2">
              <w:t>35</w:t>
            </w:r>
          </w:p>
        </w:tc>
      </w:tr>
      <w:tr w:rsidR="00CB1132" w:rsidRPr="00D1148D" w14:paraId="2F541FCF" w14:textId="77777777" w:rsidTr="003A3C0E">
        <w:tc>
          <w:tcPr>
            <w:tcW w:w="1967" w:type="pct"/>
            <w:tcBorders>
              <w:top w:val="single" w:sz="4" w:space="0" w:color="auto"/>
              <w:left w:val="single" w:sz="4" w:space="0" w:color="auto"/>
              <w:bottom w:val="single" w:sz="4" w:space="0" w:color="auto"/>
              <w:right w:val="single" w:sz="4" w:space="0" w:color="auto"/>
            </w:tcBorders>
          </w:tcPr>
          <w:p w14:paraId="2B02D9C1" w14:textId="32FD9C4C" w:rsidR="00CB1132" w:rsidRPr="0090334D" w:rsidRDefault="00CB1132" w:rsidP="00CB1132">
            <w:r w:rsidRPr="0090334D">
              <w:rPr>
                <w:bCs/>
              </w:rPr>
              <w:t xml:space="preserve">1 May 2022 to </w:t>
            </w:r>
            <w:r>
              <w:rPr>
                <w:bCs/>
              </w:rPr>
              <w:t xml:space="preserve">31 December </w:t>
            </w:r>
            <w:r w:rsidRPr="0090334D">
              <w:t>2022</w:t>
            </w:r>
          </w:p>
        </w:tc>
        <w:tc>
          <w:tcPr>
            <w:tcW w:w="395" w:type="pct"/>
            <w:tcBorders>
              <w:top w:val="single" w:sz="4" w:space="0" w:color="auto"/>
              <w:left w:val="single" w:sz="4" w:space="0" w:color="auto"/>
              <w:bottom w:val="single" w:sz="4" w:space="0" w:color="auto"/>
              <w:right w:val="single" w:sz="4" w:space="0" w:color="auto"/>
            </w:tcBorders>
          </w:tcPr>
          <w:p w14:paraId="27687CFC" w14:textId="4661E913" w:rsidR="00CB1132" w:rsidRPr="00CB1132" w:rsidRDefault="00CB1132" w:rsidP="00CB1132">
            <w:r w:rsidRPr="00FF7BB2">
              <w:t>4</w:t>
            </w:r>
          </w:p>
        </w:tc>
        <w:tc>
          <w:tcPr>
            <w:tcW w:w="313" w:type="pct"/>
            <w:tcBorders>
              <w:top w:val="single" w:sz="4" w:space="0" w:color="auto"/>
              <w:left w:val="single" w:sz="4" w:space="0" w:color="auto"/>
              <w:bottom w:val="single" w:sz="4" w:space="0" w:color="auto"/>
              <w:right w:val="single" w:sz="4" w:space="0" w:color="auto"/>
            </w:tcBorders>
          </w:tcPr>
          <w:p w14:paraId="6E8F880A" w14:textId="35375319" w:rsidR="00CB1132" w:rsidRPr="00CB1132" w:rsidRDefault="00CB1132" w:rsidP="00CB1132">
            <w:r w:rsidRPr="00FF7BB2">
              <w:t>10</w:t>
            </w:r>
          </w:p>
        </w:tc>
        <w:tc>
          <w:tcPr>
            <w:tcW w:w="358" w:type="pct"/>
            <w:tcBorders>
              <w:top w:val="single" w:sz="4" w:space="0" w:color="auto"/>
              <w:left w:val="single" w:sz="4" w:space="0" w:color="auto"/>
              <w:bottom w:val="single" w:sz="4" w:space="0" w:color="auto"/>
              <w:right w:val="single" w:sz="4" w:space="0" w:color="auto"/>
            </w:tcBorders>
          </w:tcPr>
          <w:p w14:paraId="1362E631" w14:textId="267BADB7" w:rsidR="00CB1132" w:rsidRPr="00CB1132" w:rsidRDefault="00CB1132" w:rsidP="00CB1132">
            <w:r w:rsidRPr="00FF7BB2">
              <w:t>6</w:t>
            </w:r>
          </w:p>
        </w:tc>
        <w:tc>
          <w:tcPr>
            <w:tcW w:w="328" w:type="pct"/>
            <w:tcBorders>
              <w:top w:val="single" w:sz="4" w:space="0" w:color="auto"/>
              <w:left w:val="single" w:sz="4" w:space="0" w:color="auto"/>
              <w:bottom w:val="single" w:sz="4" w:space="0" w:color="auto"/>
              <w:right w:val="single" w:sz="4" w:space="0" w:color="auto"/>
            </w:tcBorders>
          </w:tcPr>
          <w:p w14:paraId="54259155" w14:textId="71C411D4" w:rsidR="00CB1132" w:rsidRPr="00CB1132" w:rsidRDefault="00CB1132" w:rsidP="00CB1132">
            <w:r w:rsidRPr="00FF7BB2">
              <w:t>6</w:t>
            </w:r>
          </w:p>
        </w:tc>
        <w:tc>
          <w:tcPr>
            <w:tcW w:w="272" w:type="pct"/>
            <w:tcBorders>
              <w:top w:val="single" w:sz="4" w:space="0" w:color="auto"/>
              <w:left w:val="single" w:sz="4" w:space="0" w:color="auto"/>
              <w:bottom w:val="single" w:sz="4" w:space="0" w:color="auto"/>
              <w:right w:val="single" w:sz="4" w:space="0" w:color="auto"/>
            </w:tcBorders>
          </w:tcPr>
          <w:p w14:paraId="4045582C" w14:textId="09ECF5BE" w:rsidR="00CB1132" w:rsidRPr="00CB1132" w:rsidRDefault="00CB1132" w:rsidP="00CB1132">
            <w:r w:rsidRPr="00FF7BB2">
              <w:t>4</w:t>
            </w:r>
          </w:p>
        </w:tc>
        <w:tc>
          <w:tcPr>
            <w:tcW w:w="335" w:type="pct"/>
            <w:tcBorders>
              <w:top w:val="single" w:sz="4" w:space="0" w:color="auto"/>
              <w:left w:val="single" w:sz="4" w:space="0" w:color="auto"/>
              <w:bottom w:val="single" w:sz="4" w:space="0" w:color="auto"/>
              <w:right w:val="single" w:sz="4" w:space="0" w:color="auto"/>
            </w:tcBorders>
          </w:tcPr>
          <w:p w14:paraId="3F547836" w14:textId="629C3A16" w:rsidR="00CB1132" w:rsidRPr="00CB1132" w:rsidRDefault="00CB1132" w:rsidP="00CB1132">
            <w:r w:rsidRPr="00FF7BB2">
              <w:t>2</w:t>
            </w:r>
          </w:p>
        </w:tc>
        <w:tc>
          <w:tcPr>
            <w:tcW w:w="344" w:type="pct"/>
            <w:tcBorders>
              <w:top w:val="single" w:sz="4" w:space="0" w:color="auto"/>
              <w:left w:val="single" w:sz="4" w:space="0" w:color="auto"/>
              <w:bottom w:val="single" w:sz="4" w:space="0" w:color="auto"/>
              <w:right w:val="single" w:sz="4" w:space="0" w:color="auto"/>
            </w:tcBorders>
          </w:tcPr>
          <w:p w14:paraId="26947C7F" w14:textId="1E6D4373" w:rsidR="00CB1132" w:rsidRPr="00CB1132" w:rsidRDefault="00CB1132" w:rsidP="00CB1132">
            <w:r w:rsidRPr="00FF7BB2">
              <w:t>0</w:t>
            </w:r>
          </w:p>
        </w:tc>
        <w:tc>
          <w:tcPr>
            <w:tcW w:w="285" w:type="pct"/>
            <w:tcBorders>
              <w:top w:val="single" w:sz="4" w:space="0" w:color="auto"/>
              <w:left w:val="single" w:sz="4" w:space="0" w:color="auto"/>
              <w:bottom w:val="single" w:sz="4" w:space="0" w:color="auto"/>
              <w:right w:val="single" w:sz="4" w:space="0" w:color="auto"/>
            </w:tcBorders>
          </w:tcPr>
          <w:p w14:paraId="2978D58D" w14:textId="60C14401" w:rsidR="00CB1132" w:rsidRPr="00CB1132" w:rsidRDefault="00CB1132" w:rsidP="00CB1132">
            <w:r w:rsidRPr="00FF7BB2">
              <w:t>0</w:t>
            </w:r>
          </w:p>
        </w:tc>
        <w:tc>
          <w:tcPr>
            <w:tcW w:w="403" w:type="pct"/>
            <w:tcBorders>
              <w:top w:val="single" w:sz="4" w:space="0" w:color="auto"/>
              <w:left w:val="single" w:sz="4" w:space="0" w:color="auto"/>
              <w:bottom w:val="single" w:sz="4" w:space="0" w:color="auto"/>
              <w:right w:val="single" w:sz="4" w:space="0" w:color="auto"/>
            </w:tcBorders>
          </w:tcPr>
          <w:p w14:paraId="1BA54BA8" w14:textId="715AC12A" w:rsidR="00CB1132" w:rsidRPr="00CB1132" w:rsidRDefault="00CB1132" w:rsidP="00CB1132">
            <w:r w:rsidRPr="00FF7BB2">
              <w:t>32</w:t>
            </w:r>
          </w:p>
        </w:tc>
      </w:tr>
      <w:tr w:rsidR="002A330B" w:rsidRPr="00D1148D" w14:paraId="6922964C" w14:textId="77777777" w:rsidTr="003A3C0E">
        <w:tc>
          <w:tcPr>
            <w:tcW w:w="1967" w:type="pct"/>
            <w:tcBorders>
              <w:top w:val="single" w:sz="4" w:space="0" w:color="auto"/>
              <w:left w:val="single" w:sz="4" w:space="0" w:color="auto"/>
              <w:bottom w:val="single" w:sz="4" w:space="0" w:color="auto"/>
              <w:right w:val="single" w:sz="4" w:space="0" w:color="auto"/>
            </w:tcBorders>
          </w:tcPr>
          <w:p w14:paraId="49550F61" w14:textId="77777777" w:rsidR="002A330B" w:rsidRPr="0090334D" w:rsidRDefault="002A330B" w:rsidP="003A3C0E">
            <w:r w:rsidRPr="0090334D">
              <w:rPr>
                <w:bCs/>
              </w:rPr>
              <w:t>September 2023 only</w:t>
            </w:r>
          </w:p>
        </w:tc>
        <w:tc>
          <w:tcPr>
            <w:tcW w:w="395" w:type="pct"/>
            <w:tcBorders>
              <w:top w:val="single" w:sz="4" w:space="0" w:color="auto"/>
              <w:left w:val="single" w:sz="4" w:space="0" w:color="auto"/>
              <w:bottom w:val="single" w:sz="4" w:space="0" w:color="auto"/>
              <w:right w:val="single" w:sz="4" w:space="0" w:color="auto"/>
            </w:tcBorders>
          </w:tcPr>
          <w:p w14:paraId="5F3BEB81" w14:textId="77777777" w:rsidR="002A330B" w:rsidRPr="00D1148D" w:rsidRDefault="002A330B" w:rsidP="003A3C0E">
            <w:r w:rsidRPr="00D1148D">
              <w:t>1</w:t>
            </w:r>
          </w:p>
        </w:tc>
        <w:tc>
          <w:tcPr>
            <w:tcW w:w="313" w:type="pct"/>
            <w:tcBorders>
              <w:top w:val="single" w:sz="4" w:space="0" w:color="auto"/>
              <w:left w:val="single" w:sz="4" w:space="0" w:color="auto"/>
              <w:bottom w:val="single" w:sz="4" w:space="0" w:color="auto"/>
              <w:right w:val="single" w:sz="4" w:space="0" w:color="auto"/>
            </w:tcBorders>
          </w:tcPr>
          <w:p w14:paraId="18C6A9F4" w14:textId="77777777" w:rsidR="002A330B" w:rsidRPr="00D1148D" w:rsidRDefault="002A330B" w:rsidP="003A3C0E">
            <w:r w:rsidRPr="00D1148D">
              <w:t>1</w:t>
            </w:r>
          </w:p>
        </w:tc>
        <w:tc>
          <w:tcPr>
            <w:tcW w:w="358" w:type="pct"/>
            <w:tcBorders>
              <w:top w:val="single" w:sz="4" w:space="0" w:color="auto"/>
              <w:left w:val="single" w:sz="4" w:space="0" w:color="auto"/>
              <w:bottom w:val="single" w:sz="4" w:space="0" w:color="auto"/>
              <w:right w:val="single" w:sz="4" w:space="0" w:color="auto"/>
            </w:tcBorders>
          </w:tcPr>
          <w:p w14:paraId="1872B34F" w14:textId="77777777" w:rsidR="002A330B" w:rsidRPr="00D1148D" w:rsidRDefault="002A330B" w:rsidP="003A3C0E">
            <w:r w:rsidRPr="00D1148D">
              <w:t>3</w:t>
            </w:r>
          </w:p>
        </w:tc>
        <w:tc>
          <w:tcPr>
            <w:tcW w:w="328" w:type="pct"/>
            <w:tcBorders>
              <w:top w:val="single" w:sz="4" w:space="0" w:color="auto"/>
              <w:left w:val="single" w:sz="4" w:space="0" w:color="auto"/>
              <w:bottom w:val="single" w:sz="4" w:space="0" w:color="auto"/>
              <w:right w:val="single" w:sz="4" w:space="0" w:color="auto"/>
            </w:tcBorders>
          </w:tcPr>
          <w:p w14:paraId="0355A3FC" w14:textId="77777777" w:rsidR="002A330B" w:rsidRPr="00D1148D" w:rsidRDefault="002A330B" w:rsidP="003A3C0E">
            <w:r w:rsidRPr="00D1148D">
              <w:t>0</w:t>
            </w:r>
          </w:p>
        </w:tc>
        <w:tc>
          <w:tcPr>
            <w:tcW w:w="272" w:type="pct"/>
            <w:tcBorders>
              <w:top w:val="single" w:sz="4" w:space="0" w:color="auto"/>
              <w:left w:val="single" w:sz="4" w:space="0" w:color="auto"/>
              <w:bottom w:val="single" w:sz="4" w:space="0" w:color="auto"/>
              <w:right w:val="single" w:sz="4" w:space="0" w:color="auto"/>
            </w:tcBorders>
          </w:tcPr>
          <w:p w14:paraId="0780BC90" w14:textId="77777777" w:rsidR="002A330B" w:rsidRPr="00D1148D" w:rsidRDefault="002A330B" w:rsidP="003A3C0E">
            <w:r w:rsidRPr="00D1148D">
              <w:t>0</w:t>
            </w:r>
          </w:p>
        </w:tc>
        <w:tc>
          <w:tcPr>
            <w:tcW w:w="335" w:type="pct"/>
            <w:tcBorders>
              <w:top w:val="single" w:sz="4" w:space="0" w:color="auto"/>
              <w:left w:val="single" w:sz="4" w:space="0" w:color="auto"/>
              <w:bottom w:val="single" w:sz="4" w:space="0" w:color="auto"/>
              <w:right w:val="single" w:sz="4" w:space="0" w:color="auto"/>
            </w:tcBorders>
          </w:tcPr>
          <w:p w14:paraId="70CE94C2" w14:textId="77777777" w:rsidR="002A330B" w:rsidRPr="00D1148D" w:rsidRDefault="002A330B" w:rsidP="003A3C0E">
            <w:r w:rsidRPr="00D1148D">
              <w:t>0</w:t>
            </w:r>
          </w:p>
        </w:tc>
        <w:tc>
          <w:tcPr>
            <w:tcW w:w="344" w:type="pct"/>
            <w:tcBorders>
              <w:top w:val="single" w:sz="4" w:space="0" w:color="auto"/>
              <w:left w:val="single" w:sz="4" w:space="0" w:color="auto"/>
              <w:bottom w:val="single" w:sz="4" w:space="0" w:color="auto"/>
              <w:right w:val="single" w:sz="4" w:space="0" w:color="auto"/>
            </w:tcBorders>
          </w:tcPr>
          <w:p w14:paraId="402DDC60" w14:textId="77777777" w:rsidR="002A330B" w:rsidRPr="00D1148D" w:rsidRDefault="002A330B" w:rsidP="003A3C0E">
            <w:r w:rsidRPr="00D1148D">
              <w:t>0</w:t>
            </w:r>
          </w:p>
        </w:tc>
        <w:tc>
          <w:tcPr>
            <w:tcW w:w="285" w:type="pct"/>
            <w:tcBorders>
              <w:top w:val="single" w:sz="4" w:space="0" w:color="auto"/>
              <w:left w:val="single" w:sz="4" w:space="0" w:color="auto"/>
              <w:bottom w:val="single" w:sz="4" w:space="0" w:color="auto"/>
              <w:right w:val="single" w:sz="4" w:space="0" w:color="auto"/>
            </w:tcBorders>
          </w:tcPr>
          <w:p w14:paraId="3A6C1921" w14:textId="77777777" w:rsidR="002A330B" w:rsidRPr="00D1148D" w:rsidRDefault="002A330B" w:rsidP="003A3C0E">
            <w:r w:rsidRPr="00D1148D">
              <w:t>0</w:t>
            </w:r>
          </w:p>
        </w:tc>
        <w:tc>
          <w:tcPr>
            <w:tcW w:w="403" w:type="pct"/>
            <w:tcBorders>
              <w:top w:val="single" w:sz="4" w:space="0" w:color="auto"/>
              <w:left w:val="single" w:sz="4" w:space="0" w:color="auto"/>
              <w:bottom w:val="single" w:sz="4" w:space="0" w:color="auto"/>
              <w:right w:val="single" w:sz="4" w:space="0" w:color="auto"/>
            </w:tcBorders>
          </w:tcPr>
          <w:p w14:paraId="600CE10D" w14:textId="77777777" w:rsidR="002A330B" w:rsidRPr="00D1148D" w:rsidRDefault="002A330B" w:rsidP="003A3C0E">
            <w:r w:rsidRPr="00D1148D">
              <w:t>5</w:t>
            </w:r>
          </w:p>
        </w:tc>
      </w:tr>
      <w:tr w:rsidR="002A330B" w:rsidRPr="00D1148D" w14:paraId="0EB4305A" w14:textId="77777777" w:rsidTr="003A3C0E">
        <w:tc>
          <w:tcPr>
            <w:tcW w:w="5000" w:type="pct"/>
            <w:gridSpan w:val="10"/>
            <w:tcBorders>
              <w:top w:val="single" w:sz="4" w:space="0" w:color="auto"/>
              <w:left w:val="single" w:sz="4" w:space="0" w:color="auto"/>
              <w:bottom w:val="single" w:sz="4" w:space="0" w:color="auto"/>
              <w:right w:val="single" w:sz="4" w:space="0" w:color="auto"/>
            </w:tcBorders>
            <w:shd w:val="clear" w:color="auto" w:fill="CCD5DF" w:themeFill="accent1" w:themeFillTint="33"/>
          </w:tcPr>
          <w:p w14:paraId="6EECD4FF" w14:textId="6D81BCEF" w:rsidR="002A330B" w:rsidRPr="0090334D" w:rsidRDefault="002A330B" w:rsidP="003A3C0E">
            <w:pPr>
              <w:rPr>
                <w:b/>
              </w:rPr>
            </w:pPr>
            <w:r w:rsidRPr="0090334D">
              <w:rPr>
                <w:b/>
              </w:rPr>
              <w:t>Pharmacy approvals cancelled</w:t>
            </w:r>
            <w:r w:rsidR="00B81F72">
              <w:rPr>
                <w:b/>
              </w:rPr>
              <w:t>*</w:t>
            </w:r>
            <w:r w:rsidR="00FF7BB2">
              <w:rPr>
                <w:b/>
              </w:rPr>
              <w:t xml:space="preserve"> (Closures)</w:t>
            </w:r>
          </w:p>
        </w:tc>
      </w:tr>
      <w:tr w:rsidR="00CB1132" w:rsidRPr="00D1148D" w14:paraId="646A66CF" w14:textId="77777777" w:rsidTr="003A3C0E">
        <w:tc>
          <w:tcPr>
            <w:tcW w:w="1967" w:type="pct"/>
            <w:tcBorders>
              <w:top w:val="single" w:sz="4" w:space="0" w:color="auto"/>
              <w:left w:val="single" w:sz="4" w:space="0" w:color="auto"/>
              <w:bottom w:val="single" w:sz="4" w:space="0" w:color="auto"/>
              <w:right w:val="single" w:sz="4" w:space="0" w:color="auto"/>
            </w:tcBorders>
          </w:tcPr>
          <w:p w14:paraId="31AFADF6" w14:textId="4977FCDD" w:rsidR="00CB1132" w:rsidRPr="0090334D" w:rsidRDefault="00CB1132" w:rsidP="00CB1132">
            <w:pPr>
              <w:rPr>
                <w:bCs/>
              </w:rPr>
            </w:pPr>
            <w:r w:rsidRPr="0090334D">
              <w:rPr>
                <w:bCs/>
              </w:rPr>
              <w:t xml:space="preserve">1 May 2023 to </w:t>
            </w:r>
            <w:r>
              <w:rPr>
                <w:bCs/>
              </w:rPr>
              <w:t xml:space="preserve">31 December </w:t>
            </w:r>
            <w:r w:rsidRPr="0090334D">
              <w:t>2023</w:t>
            </w:r>
          </w:p>
        </w:tc>
        <w:tc>
          <w:tcPr>
            <w:tcW w:w="395" w:type="pct"/>
            <w:tcBorders>
              <w:top w:val="single" w:sz="4" w:space="0" w:color="auto"/>
              <w:left w:val="single" w:sz="4" w:space="0" w:color="auto"/>
              <w:bottom w:val="single" w:sz="4" w:space="0" w:color="auto"/>
              <w:right w:val="single" w:sz="4" w:space="0" w:color="auto"/>
            </w:tcBorders>
          </w:tcPr>
          <w:p w14:paraId="3BB171DC" w14:textId="1B2C7391" w:rsidR="00CB1132" w:rsidRPr="00CB1132" w:rsidRDefault="00CB1132" w:rsidP="00CB1132">
            <w:r w:rsidRPr="008C2051">
              <w:t>1</w:t>
            </w:r>
          </w:p>
        </w:tc>
        <w:tc>
          <w:tcPr>
            <w:tcW w:w="313" w:type="pct"/>
            <w:tcBorders>
              <w:top w:val="single" w:sz="4" w:space="0" w:color="auto"/>
              <w:left w:val="single" w:sz="4" w:space="0" w:color="auto"/>
              <w:bottom w:val="single" w:sz="4" w:space="0" w:color="auto"/>
              <w:right w:val="single" w:sz="4" w:space="0" w:color="auto"/>
            </w:tcBorders>
          </w:tcPr>
          <w:p w14:paraId="2169E74E" w14:textId="135A4DE2" w:rsidR="00CB1132" w:rsidRPr="00CB1132" w:rsidRDefault="00CB1132" w:rsidP="00CB1132">
            <w:r w:rsidRPr="008C2051">
              <w:t>2</w:t>
            </w:r>
          </w:p>
        </w:tc>
        <w:tc>
          <w:tcPr>
            <w:tcW w:w="358" w:type="pct"/>
            <w:tcBorders>
              <w:top w:val="single" w:sz="4" w:space="0" w:color="auto"/>
              <w:left w:val="single" w:sz="4" w:space="0" w:color="auto"/>
              <w:bottom w:val="single" w:sz="4" w:space="0" w:color="auto"/>
              <w:right w:val="single" w:sz="4" w:space="0" w:color="auto"/>
            </w:tcBorders>
          </w:tcPr>
          <w:p w14:paraId="76DB61C4" w14:textId="0A6A802A" w:rsidR="00CB1132" w:rsidRPr="00CB1132" w:rsidRDefault="00CB1132" w:rsidP="00CB1132">
            <w:r w:rsidRPr="00FF7BB2">
              <w:t>2</w:t>
            </w:r>
          </w:p>
        </w:tc>
        <w:tc>
          <w:tcPr>
            <w:tcW w:w="328" w:type="pct"/>
            <w:tcBorders>
              <w:top w:val="single" w:sz="4" w:space="0" w:color="auto"/>
              <w:left w:val="single" w:sz="4" w:space="0" w:color="auto"/>
              <w:bottom w:val="single" w:sz="4" w:space="0" w:color="auto"/>
              <w:right w:val="single" w:sz="4" w:space="0" w:color="auto"/>
            </w:tcBorders>
          </w:tcPr>
          <w:p w14:paraId="59429284" w14:textId="32C3936A" w:rsidR="00CB1132" w:rsidRPr="00CB1132" w:rsidRDefault="00CB1132" w:rsidP="00CB1132">
            <w:r w:rsidRPr="008C2051">
              <w:t>0</w:t>
            </w:r>
          </w:p>
        </w:tc>
        <w:tc>
          <w:tcPr>
            <w:tcW w:w="272" w:type="pct"/>
            <w:tcBorders>
              <w:top w:val="single" w:sz="4" w:space="0" w:color="auto"/>
              <w:left w:val="single" w:sz="4" w:space="0" w:color="auto"/>
              <w:bottom w:val="single" w:sz="4" w:space="0" w:color="auto"/>
              <w:right w:val="single" w:sz="4" w:space="0" w:color="auto"/>
            </w:tcBorders>
          </w:tcPr>
          <w:p w14:paraId="69FBA499" w14:textId="13FB2047" w:rsidR="00CB1132" w:rsidRPr="00CB1132" w:rsidRDefault="00CB1132" w:rsidP="00CB1132">
            <w:r w:rsidRPr="00FF7BB2">
              <w:t>1</w:t>
            </w:r>
          </w:p>
        </w:tc>
        <w:tc>
          <w:tcPr>
            <w:tcW w:w="335" w:type="pct"/>
            <w:tcBorders>
              <w:top w:val="single" w:sz="4" w:space="0" w:color="auto"/>
              <w:left w:val="single" w:sz="4" w:space="0" w:color="auto"/>
              <w:bottom w:val="single" w:sz="4" w:space="0" w:color="auto"/>
              <w:right w:val="single" w:sz="4" w:space="0" w:color="auto"/>
            </w:tcBorders>
          </w:tcPr>
          <w:p w14:paraId="75E668D5" w14:textId="2412044F" w:rsidR="00CB1132" w:rsidRPr="00CB1132" w:rsidRDefault="00CB1132" w:rsidP="00CB1132">
            <w:r w:rsidRPr="00FF7BB2">
              <w:t>0</w:t>
            </w:r>
          </w:p>
        </w:tc>
        <w:tc>
          <w:tcPr>
            <w:tcW w:w="344" w:type="pct"/>
            <w:tcBorders>
              <w:top w:val="single" w:sz="4" w:space="0" w:color="auto"/>
              <w:left w:val="single" w:sz="4" w:space="0" w:color="auto"/>
              <w:bottom w:val="single" w:sz="4" w:space="0" w:color="auto"/>
              <w:right w:val="single" w:sz="4" w:space="0" w:color="auto"/>
            </w:tcBorders>
          </w:tcPr>
          <w:p w14:paraId="235098C2" w14:textId="623C0D3C" w:rsidR="00CB1132" w:rsidRPr="00CB1132" w:rsidRDefault="00CB1132" w:rsidP="00CB1132">
            <w:r w:rsidRPr="00FF7BB2">
              <w:t>0</w:t>
            </w:r>
          </w:p>
        </w:tc>
        <w:tc>
          <w:tcPr>
            <w:tcW w:w="285" w:type="pct"/>
            <w:tcBorders>
              <w:top w:val="single" w:sz="4" w:space="0" w:color="auto"/>
              <w:left w:val="single" w:sz="4" w:space="0" w:color="auto"/>
              <w:bottom w:val="single" w:sz="4" w:space="0" w:color="auto"/>
              <w:right w:val="single" w:sz="4" w:space="0" w:color="auto"/>
            </w:tcBorders>
          </w:tcPr>
          <w:p w14:paraId="66011B2C" w14:textId="34D49C07" w:rsidR="00CB1132" w:rsidRPr="00CB1132" w:rsidRDefault="00CB1132" w:rsidP="00CB1132">
            <w:r w:rsidRPr="008C2051">
              <w:t>0</w:t>
            </w:r>
          </w:p>
        </w:tc>
        <w:tc>
          <w:tcPr>
            <w:tcW w:w="403" w:type="pct"/>
            <w:tcBorders>
              <w:top w:val="single" w:sz="4" w:space="0" w:color="auto"/>
              <w:left w:val="single" w:sz="4" w:space="0" w:color="auto"/>
              <w:bottom w:val="single" w:sz="4" w:space="0" w:color="auto"/>
              <w:right w:val="single" w:sz="4" w:space="0" w:color="auto"/>
            </w:tcBorders>
          </w:tcPr>
          <w:p w14:paraId="537C58E0" w14:textId="5B727B3A" w:rsidR="00CB1132" w:rsidRPr="00CB1132" w:rsidRDefault="00CB1132" w:rsidP="00CB1132">
            <w:r w:rsidRPr="00FF7BB2">
              <w:t>6</w:t>
            </w:r>
          </w:p>
        </w:tc>
      </w:tr>
      <w:tr w:rsidR="00CB1132" w:rsidRPr="00D1148D" w14:paraId="186EE60D" w14:textId="77777777" w:rsidTr="003A3C0E">
        <w:tc>
          <w:tcPr>
            <w:tcW w:w="1967" w:type="pct"/>
            <w:tcBorders>
              <w:top w:val="single" w:sz="4" w:space="0" w:color="auto"/>
              <w:left w:val="single" w:sz="4" w:space="0" w:color="auto"/>
              <w:bottom w:val="single" w:sz="4" w:space="0" w:color="auto"/>
              <w:right w:val="single" w:sz="4" w:space="0" w:color="auto"/>
            </w:tcBorders>
          </w:tcPr>
          <w:p w14:paraId="60F70071" w14:textId="3EFC059B" w:rsidR="00CB1132" w:rsidRPr="0090334D" w:rsidRDefault="00CB1132" w:rsidP="00CB1132">
            <w:pPr>
              <w:rPr>
                <w:bCs/>
              </w:rPr>
            </w:pPr>
            <w:r w:rsidRPr="0090334D">
              <w:rPr>
                <w:bCs/>
              </w:rPr>
              <w:t xml:space="preserve">1 May 2022 to </w:t>
            </w:r>
            <w:r>
              <w:rPr>
                <w:bCs/>
              </w:rPr>
              <w:t xml:space="preserve">31 December </w:t>
            </w:r>
            <w:r w:rsidRPr="0090334D">
              <w:t>2022</w:t>
            </w:r>
          </w:p>
        </w:tc>
        <w:tc>
          <w:tcPr>
            <w:tcW w:w="395" w:type="pct"/>
            <w:tcBorders>
              <w:top w:val="single" w:sz="4" w:space="0" w:color="auto"/>
              <w:left w:val="single" w:sz="4" w:space="0" w:color="auto"/>
              <w:bottom w:val="single" w:sz="4" w:space="0" w:color="auto"/>
              <w:right w:val="single" w:sz="4" w:space="0" w:color="auto"/>
            </w:tcBorders>
          </w:tcPr>
          <w:p w14:paraId="7ED8E8CE" w14:textId="656FD8DB" w:rsidR="00CB1132" w:rsidRPr="00CB1132" w:rsidRDefault="00CB1132" w:rsidP="00CB1132">
            <w:r w:rsidRPr="00FF7BB2">
              <w:t>2</w:t>
            </w:r>
          </w:p>
        </w:tc>
        <w:tc>
          <w:tcPr>
            <w:tcW w:w="313" w:type="pct"/>
            <w:tcBorders>
              <w:top w:val="single" w:sz="4" w:space="0" w:color="auto"/>
              <w:left w:val="single" w:sz="4" w:space="0" w:color="auto"/>
              <w:bottom w:val="single" w:sz="4" w:space="0" w:color="auto"/>
              <w:right w:val="single" w:sz="4" w:space="0" w:color="auto"/>
            </w:tcBorders>
          </w:tcPr>
          <w:p w14:paraId="62682D68" w14:textId="0EDF49B0" w:rsidR="00CB1132" w:rsidRPr="00CB1132" w:rsidRDefault="00CB1132" w:rsidP="00CB1132">
            <w:r w:rsidRPr="00FF7BB2">
              <w:t>2</w:t>
            </w:r>
          </w:p>
        </w:tc>
        <w:tc>
          <w:tcPr>
            <w:tcW w:w="358" w:type="pct"/>
            <w:tcBorders>
              <w:top w:val="single" w:sz="4" w:space="0" w:color="auto"/>
              <w:left w:val="single" w:sz="4" w:space="0" w:color="auto"/>
              <w:bottom w:val="single" w:sz="4" w:space="0" w:color="auto"/>
              <w:right w:val="single" w:sz="4" w:space="0" w:color="auto"/>
            </w:tcBorders>
          </w:tcPr>
          <w:p w14:paraId="51A2D150" w14:textId="271AAFA5" w:rsidR="00CB1132" w:rsidRPr="00CB1132" w:rsidRDefault="00CB1132" w:rsidP="00CB1132">
            <w:r w:rsidRPr="00FF7BB2">
              <w:t>0</w:t>
            </w:r>
          </w:p>
        </w:tc>
        <w:tc>
          <w:tcPr>
            <w:tcW w:w="328" w:type="pct"/>
            <w:tcBorders>
              <w:top w:val="single" w:sz="4" w:space="0" w:color="auto"/>
              <w:left w:val="single" w:sz="4" w:space="0" w:color="auto"/>
              <w:bottom w:val="single" w:sz="4" w:space="0" w:color="auto"/>
              <w:right w:val="single" w:sz="4" w:space="0" w:color="auto"/>
            </w:tcBorders>
          </w:tcPr>
          <w:p w14:paraId="6E44BE6E" w14:textId="45D10417" w:rsidR="00CB1132" w:rsidRPr="00CB1132" w:rsidRDefault="00CB1132" w:rsidP="00CB1132">
            <w:r w:rsidRPr="00FF7BB2">
              <w:t>0</w:t>
            </w:r>
          </w:p>
        </w:tc>
        <w:tc>
          <w:tcPr>
            <w:tcW w:w="272" w:type="pct"/>
            <w:tcBorders>
              <w:top w:val="single" w:sz="4" w:space="0" w:color="auto"/>
              <w:left w:val="single" w:sz="4" w:space="0" w:color="auto"/>
              <w:bottom w:val="single" w:sz="4" w:space="0" w:color="auto"/>
              <w:right w:val="single" w:sz="4" w:space="0" w:color="auto"/>
            </w:tcBorders>
          </w:tcPr>
          <w:p w14:paraId="5E4A7007" w14:textId="7E96B434" w:rsidR="00CB1132" w:rsidRPr="00CB1132" w:rsidRDefault="00CB1132" w:rsidP="00CB1132">
            <w:r w:rsidRPr="00FF7BB2">
              <w:t>0</w:t>
            </w:r>
          </w:p>
        </w:tc>
        <w:tc>
          <w:tcPr>
            <w:tcW w:w="335" w:type="pct"/>
            <w:tcBorders>
              <w:top w:val="single" w:sz="4" w:space="0" w:color="auto"/>
              <w:left w:val="single" w:sz="4" w:space="0" w:color="auto"/>
              <w:bottom w:val="single" w:sz="4" w:space="0" w:color="auto"/>
              <w:right w:val="single" w:sz="4" w:space="0" w:color="auto"/>
            </w:tcBorders>
          </w:tcPr>
          <w:p w14:paraId="68B8B64D" w14:textId="768C2486" w:rsidR="00CB1132" w:rsidRPr="00CB1132" w:rsidRDefault="00CB1132" w:rsidP="00CB1132">
            <w:r w:rsidRPr="00FF7BB2">
              <w:t>0</w:t>
            </w:r>
          </w:p>
        </w:tc>
        <w:tc>
          <w:tcPr>
            <w:tcW w:w="344" w:type="pct"/>
            <w:tcBorders>
              <w:top w:val="single" w:sz="4" w:space="0" w:color="auto"/>
              <w:left w:val="single" w:sz="4" w:space="0" w:color="auto"/>
              <w:bottom w:val="single" w:sz="4" w:space="0" w:color="auto"/>
              <w:right w:val="single" w:sz="4" w:space="0" w:color="auto"/>
            </w:tcBorders>
          </w:tcPr>
          <w:p w14:paraId="1136882F" w14:textId="79622FC6" w:rsidR="00CB1132" w:rsidRPr="00CB1132" w:rsidRDefault="00CB1132" w:rsidP="00CB1132">
            <w:r w:rsidRPr="00FF7BB2">
              <w:t>0</w:t>
            </w:r>
          </w:p>
        </w:tc>
        <w:tc>
          <w:tcPr>
            <w:tcW w:w="285" w:type="pct"/>
            <w:tcBorders>
              <w:top w:val="single" w:sz="4" w:space="0" w:color="auto"/>
              <w:left w:val="single" w:sz="4" w:space="0" w:color="auto"/>
              <w:bottom w:val="single" w:sz="4" w:space="0" w:color="auto"/>
              <w:right w:val="single" w:sz="4" w:space="0" w:color="auto"/>
            </w:tcBorders>
          </w:tcPr>
          <w:p w14:paraId="74132F3D" w14:textId="46CFABF3" w:rsidR="00CB1132" w:rsidRPr="00CB1132" w:rsidRDefault="00CB1132" w:rsidP="00CB1132">
            <w:r w:rsidRPr="00FF7BB2">
              <w:t>0</w:t>
            </w:r>
          </w:p>
        </w:tc>
        <w:tc>
          <w:tcPr>
            <w:tcW w:w="403" w:type="pct"/>
            <w:tcBorders>
              <w:top w:val="single" w:sz="4" w:space="0" w:color="auto"/>
              <w:left w:val="single" w:sz="4" w:space="0" w:color="auto"/>
              <w:bottom w:val="single" w:sz="4" w:space="0" w:color="auto"/>
              <w:right w:val="single" w:sz="4" w:space="0" w:color="auto"/>
            </w:tcBorders>
          </w:tcPr>
          <w:p w14:paraId="1F0831E5" w14:textId="28046E35" w:rsidR="00CB1132" w:rsidRPr="00CB1132" w:rsidRDefault="00CB1132" w:rsidP="00CB1132">
            <w:r w:rsidRPr="00FF7BB2">
              <w:t>4</w:t>
            </w:r>
          </w:p>
        </w:tc>
      </w:tr>
      <w:tr w:rsidR="002A330B" w:rsidRPr="00D1148D" w14:paraId="02A16E2A" w14:textId="77777777" w:rsidTr="003A3C0E">
        <w:tc>
          <w:tcPr>
            <w:tcW w:w="1967" w:type="pct"/>
            <w:tcBorders>
              <w:top w:val="single" w:sz="4" w:space="0" w:color="auto"/>
              <w:left w:val="single" w:sz="4" w:space="0" w:color="auto"/>
              <w:bottom w:val="single" w:sz="4" w:space="0" w:color="auto"/>
              <w:right w:val="single" w:sz="4" w:space="0" w:color="auto"/>
            </w:tcBorders>
          </w:tcPr>
          <w:p w14:paraId="717C3B9D" w14:textId="77777777" w:rsidR="002A330B" w:rsidRPr="0090334D" w:rsidRDefault="002A330B" w:rsidP="003A3C0E">
            <w:pPr>
              <w:rPr>
                <w:bCs/>
              </w:rPr>
            </w:pPr>
            <w:r w:rsidRPr="0090334D">
              <w:rPr>
                <w:bCs/>
              </w:rPr>
              <w:t>September 2023 only</w:t>
            </w:r>
          </w:p>
        </w:tc>
        <w:tc>
          <w:tcPr>
            <w:tcW w:w="395" w:type="pct"/>
            <w:tcBorders>
              <w:top w:val="single" w:sz="4" w:space="0" w:color="auto"/>
              <w:left w:val="single" w:sz="4" w:space="0" w:color="auto"/>
              <w:bottom w:val="single" w:sz="4" w:space="0" w:color="auto"/>
              <w:right w:val="single" w:sz="4" w:space="0" w:color="auto"/>
            </w:tcBorders>
          </w:tcPr>
          <w:p w14:paraId="4607ED65" w14:textId="77777777" w:rsidR="002A330B" w:rsidRPr="00D1148D" w:rsidRDefault="002A330B" w:rsidP="003A3C0E">
            <w:r w:rsidRPr="00D1148D">
              <w:t>0</w:t>
            </w:r>
          </w:p>
        </w:tc>
        <w:tc>
          <w:tcPr>
            <w:tcW w:w="313" w:type="pct"/>
            <w:tcBorders>
              <w:top w:val="single" w:sz="4" w:space="0" w:color="auto"/>
              <w:left w:val="single" w:sz="4" w:space="0" w:color="auto"/>
              <w:bottom w:val="single" w:sz="4" w:space="0" w:color="auto"/>
              <w:right w:val="single" w:sz="4" w:space="0" w:color="auto"/>
            </w:tcBorders>
          </w:tcPr>
          <w:p w14:paraId="392B232B" w14:textId="77777777" w:rsidR="002A330B" w:rsidRPr="00D1148D" w:rsidRDefault="002A330B" w:rsidP="003A3C0E">
            <w:r w:rsidRPr="00D1148D">
              <w:t>1</w:t>
            </w:r>
          </w:p>
        </w:tc>
        <w:tc>
          <w:tcPr>
            <w:tcW w:w="358" w:type="pct"/>
            <w:tcBorders>
              <w:top w:val="single" w:sz="4" w:space="0" w:color="auto"/>
              <w:left w:val="single" w:sz="4" w:space="0" w:color="auto"/>
              <w:bottom w:val="single" w:sz="4" w:space="0" w:color="auto"/>
              <w:right w:val="single" w:sz="4" w:space="0" w:color="auto"/>
            </w:tcBorders>
          </w:tcPr>
          <w:p w14:paraId="46F0FC8A" w14:textId="77777777" w:rsidR="002A330B" w:rsidRPr="00D1148D" w:rsidRDefault="002A330B" w:rsidP="003A3C0E">
            <w:r w:rsidRPr="00D1148D">
              <w:t>0</w:t>
            </w:r>
          </w:p>
        </w:tc>
        <w:tc>
          <w:tcPr>
            <w:tcW w:w="328" w:type="pct"/>
            <w:tcBorders>
              <w:top w:val="single" w:sz="4" w:space="0" w:color="auto"/>
              <w:left w:val="single" w:sz="4" w:space="0" w:color="auto"/>
              <w:bottom w:val="single" w:sz="4" w:space="0" w:color="auto"/>
              <w:right w:val="single" w:sz="4" w:space="0" w:color="auto"/>
            </w:tcBorders>
          </w:tcPr>
          <w:p w14:paraId="261524C2" w14:textId="77777777" w:rsidR="002A330B" w:rsidRPr="00D1148D" w:rsidRDefault="002A330B" w:rsidP="003A3C0E">
            <w:r w:rsidRPr="00D1148D">
              <w:t>0</w:t>
            </w:r>
          </w:p>
        </w:tc>
        <w:tc>
          <w:tcPr>
            <w:tcW w:w="272" w:type="pct"/>
            <w:tcBorders>
              <w:top w:val="single" w:sz="4" w:space="0" w:color="auto"/>
              <w:left w:val="single" w:sz="4" w:space="0" w:color="auto"/>
              <w:bottom w:val="single" w:sz="4" w:space="0" w:color="auto"/>
              <w:right w:val="single" w:sz="4" w:space="0" w:color="auto"/>
            </w:tcBorders>
          </w:tcPr>
          <w:p w14:paraId="142FEC2A" w14:textId="77777777" w:rsidR="002A330B" w:rsidRPr="00D1148D" w:rsidRDefault="002A330B" w:rsidP="003A3C0E">
            <w:r w:rsidRPr="00D1148D">
              <w:t>1</w:t>
            </w:r>
          </w:p>
        </w:tc>
        <w:tc>
          <w:tcPr>
            <w:tcW w:w="335" w:type="pct"/>
            <w:tcBorders>
              <w:top w:val="single" w:sz="4" w:space="0" w:color="auto"/>
              <w:left w:val="single" w:sz="4" w:space="0" w:color="auto"/>
              <w:bottom w:val="single" w:sz="4" w:space="0" w:color="auto"/>
              <w:right w:val="single" w:sz="4" w:space="0" w:color="auto"/>
            </w:tcBorders>
          </w:tcPr>
          <w:p w14:paraId="0D83B7E4" w14:textId="77777777" w:rsidR="002A330B" w:rsidRPr="00D1148D" w:rsidRDefault="002A330B" w:rsidP="003A3C0E">
            <w:r w:rsidRPr="00D1148D">
              <w:t>0</w:t>
            </w:r>
          </w:p>
        </w:tc>
        <w:tc>
          <w:tcPr>
            <w:tcW w:w="344" w:type="pct"/>
            <w:tcBorders>
              <w:top w:val="single" w:sz="4" w:space="0" w:color="auto"/>
              <w:left w:val="single" w:sz="4" w:space="0" w:color="auto"/>
              <w:bottom w:val="single" w:sz="4" w:space="0" w:color="auto"/>
              <w:right w:val="single" w:sz="4" w:space="0" w:color="auto"/>
            </w:tcBorders>
          </w:tcPr>
          <w:p w14:paraId="113254E3" w14:textId="77777777" w:rsidR="002A330B" w:rsidRPr="00D1148D" w:rsidRDefault="002A330B" w:rsidP="003A3C0E">
            <w:r w:rsidRPr="00D1148D">
              <w:t>0</w:t>
            </w:r>
          </w:p>
        </w:tc>
        <w:tc>
          <w:tcPr>
            <w:tcW w:w="285" w:type="pct"/>
            <w:tcBorders>
              <w:top w:val="single" w:sz="4" w:space="0" w:color="auto"/>
              <w:left w:val="single" w:sz="4" w:space="0" w:color="auto"/>
              <w:bottom w:val="single" w:sz="4" w:space="0" w:color="auto"/>
              <w:right w:val="single" w:sz="4" w:space="0" w:color="auto"/>
            </w:tcBorders>
          </w:tcPr>
          <w:p w14:paraId="52EF3EA3" w14:textId="77777777" w:rsidR="002A330B" w:rsidRPr="00D1148D" w:rsidRDefault="002A330B" w:rsidP="003A3C0E">
            <w:r w:rsidRPr="00D1148D">
              <w:t>0</w:t>
            </w:r>
          </w:p>
        </w:tc>
        <w:tc>
          <w:tcPr>
            <w:tcW w:w="403" w:type="pct"/>
            <w:tcBorders>
              <w:top w:val="single" w:sz="4" w:space="0" w:color="auto"/>
              <w:left w:val="single" w:sz="4" w:space="0" w:color="auto"/>
              <w:bottom w:val="single" w:sz="4" w:space="0" w:color="auto"/>
              <w:right w:val="single" w:sz="4" w:space="0" w:color="auto"/>
            </w:tcBorders>
          </w:tcPr>
          <w:p w14:paraId="3F42D991" w14:textId="77777777" w:rsidR="002A330B" w:rsidRPr="00D1148D" w:rsidRDefault="002A330B" w:rsidP="003A3C0E">
            <w:r w:rsidRPr="00D1148D">
              <w:t>2</w:t>
            </w:r>
          </w:p>
        </w:tc>
      </w:tr>
    </w:tbl>
    <w:p w14:paraId="01D1482B" w14:textId="1B635D3B" w:rsidR="00B81F72" w:rsidRDefault="00B81F72" w:rsidP="00B81F72">
      <w:pPr>
        <w:rPr>
          <w:rFonts w:eastAsiaTheme="majorEastAsia" w:cstheme="minorHAnsi"/>
          <w:sz w:val="24"/>
          <w:szCs w:val="24"/>
        </w:rPr>
      </w:pPr>
      <w:r>
        <w:rPr>
          <w:rFonts w:eastAsiaTheme="majorEastAsia" w:cstheme="minorHAnsi"/>
          <w:sz w:val="24"/>
          <w:szCs w:val="24"/>
        </w:rPr>
        <w:t xml:space="preserve">* </w:t>
      </w:r>
      <w:r w:rsidRPr="00B81F72">
        <w:rPr>
          <w:rFonts w:eastAsiaTheme="majorEastAsia" w:cstheme="minorHAnsi"/>
        </w:rPr>
        <w:t>Approval cancellations may be the result of a request from the approved pharmacist or a decision by a delegate where the pharmacy is no longer trading. This may be in situations where the pharmacy business is no longer viable, or for commercial reasons such as leasing issues.</w:t>
      </w:r>
    </w:p>
    <w:p w14:paraId="683CB032" w14:textId="2786CECE" w:rsidR="001307A2" w:rsidRPr="003A4225" w:rsidRDefault="000D09E0" w:rsidP="003A4225">
      <w:pPr>
        <w:rPr>
          <w:color w:val="0D0D0D" w:themeColor="text1" w:themeTint="F2"/>
          <w:sz w:val="24"/>
          <w:szCs w:val="24"/>
          <w:u w:val="single"/>
        </w:rPr>
      </w:pPr>
      <w:r>
        <w:rPr>
          <w:color w:val="0D0D0D" w:themeColor="text1" w:themeTint="F2"/>
          <w:sz w:val="24"/>
          <w:szCs w:val="24"/>
        </w:rPr>
        <w:t>As with e</w:t>
      </w:r>
      <w:r w:rsidRPr="000D09E0">
        <w:rPr>
          <w:color w:val="0D0D0D" w:themeColor="text1" w:themeTint="F2"/>
          <w:sz w:val="24"/>
          <w:szCs w:val="24"/>
        </w:rPr>
        <w:t xml:space="preserve">quity, sustainability and </w:t>
      </w:r>
      <w:r w:rsidR="00493E00">
        <w:rPr>
          <w:color w:val="0D0D0D" w:themeColor="text1" w:themeTint="F2"/>
          <w:sz w:val="24"/>
          <w:szCs w:val="24"/>
        </w:rPr>
        <w:t>a</w:t>
      </w:r>
      <w:r w:rsidRPr="000D09E0">
        <w:rPr>
          <w:color w:val="0D0D0D" w:themeColor="text1" w:themeTint="F2"/>
          <w:sz w:val="24"/>
          <w:szCs w:val="24"/>
        </w:rPr>
        <w:t xml:space="preserve">ccess for </w:t>
      </w:r>
      <w:r w:rsidR="00493E00">
        <w:rPr>
          <w:color w:val="0D0D0D" w:themeColor="text1" w:themeTint="F2"/>
          <w:sz w:val="24"/>
          <w:szCs w:val="24"/>
        </w:rPr>
        <w:t xml:space="preserve">consumers, </w:t>
      </w:r>
      <w:r w:rsidR="00F833C4">
        <w:rPr>
          <w:color w:val="0D0D0D" w:themeColor="text1" w:themeTint="F2"/>
          <w:sz w:val="24"/>
          <w:szCs w:val="24"/>
        </w:rPr>
        <w:t xml:space="preserve">impacts </w:t>
      </w:r>
      <w:r w:rsidR="000B24DF" w:rsidRPr="00FF4C3F">
        <w:rPr>
          <w:color w:val="0D0D0D" w:themeColor="text1" w:themeTint="F2"/>
          <w:sz w:val="24"/>
          <w:szCs w:val="24"/>
        </w:rPr>
        <w:t xml:space="preserve">against this objective will </w:t>
      </w:r>
      <w:r w:rsidR="00493E00">
        <w:rPr>
          <w:color w:val="0D0D0D" w:themeColor="text1" w:themeTint="F2"/>
          <w:sz w:val="24"/>
          <w:szCs w:val="24"/>
        </w:rPr>
        <w:t xml:space="preserve">primarily </w:t>
      </w:r>
      <w:r w:rsidR="000B24DF" w:rsidRPr="00FF4C3F">
        <w:rPr>
          <w:color w:val="0D0D0D" w:themeColor="text1" w:themeTint="F2"/>
          <w:sz w:val="24"/>
          <w:szCs w:val="24"/>
        </w:rPr>
        <w:t xml:space="preserve">be </w:t>
      </w:r>
      <w:r w:rsidR="00F833C4">
        <w:rPr>
          <w:color w:val="0D0D0D" w:themeColor="text1" w:themeTint="F2"/>
          <w:sz w:val="24"/>
          <w:szCs w:val="24"/>
        </w:rPr>
        <w:t xml:space="preserve">considered by the potential to affect pharmacy distribution as monitored through </w:t>
      </w:r>
      <w:r w:rsidR="000B24DF" w:rsidRPr="00FF4C3F">
        <w:rPr>
          <w:color w:val="0D0D0D" w:themeColor="text1" w:themeTint="F2"/>
          <w:sz w:val="24"/>
          <w:szCs w:val="24"/>
        </w:rPr>
        <w:t>pharmacy opening and closure data</w:t>
      </w:r>
      <w:r w:rsidR="00493E00">
        <w:rPr>
          <w:color w:val="0D0D0D" w:themeColor="text1" w:themeTint="F2"/>
          <w:sz w:val="24"/>
          <w:szCs w:val="24"/>
        </w:rPr>
        <w:t>. This will be further informed by</w:t>
      </w:r>
      <w:r w:rsidR="00F833C4">
        <w:rPr>
          <w:color w:val="0D0D0D" w:themeColor="text1" w:themeTint="F2"/>
          <w:sz w:val="24"/>
          <w:szCs w:val="24"/>
        </w:rPr>
        <w:t xml:space="preserve"> consideration of the estimated impacts on </w:t>
      </w:r>
      <w:r w:rsidR="00493E00">
        <w:rPr>
          <w:color w:val="0D0D0D" w:themeColor="text1" w:themeTint="F2"/>
          <w:sz w:val="24"/>
          <w:szCs w:val="24"/>
        </w:rPr>
        <w:t>the</w:t>
      </w:r>
      <w:r w:rsidR="001307A2" w:rsidRPr="00FF4C3F">
        <w:rPr>
          <w:color w:val="0D0D0D" w:themeColor="text1" w:themeTint="F2"/>
          <w:sz w:val="24"/>
          <w:szCs w:val="24"/>
        </w:rPr>
        <w:t xml:space="preserve"> total </w:t>
      </w:r>
      <w:r w:rsidR="00493E00">
        <w:rPr>
          <w:color w:val="0D0D0D" w:themeColor="text1" w:themeTint="F2"/>
          <w:sz w:val="24"/>
          <w:szCs w:val="24"/>
        </w:rPr>
        <w:t xml:space="preserve">dispensing </w:t>
      </w:r>
      <w:r w:rsidR="000E1CA6">
        <w:rPr>
          <w:color w:val="0D0D0D" w:themeColor="text1" w:themeTint="F2"/>
          <w:sz w:val="24"/>
          <w:szCs w:val="24"/>
        </w:rPr>
        <w:t xml:space="preserve">remuneration </w:t>
      </w:r>
      <w:r w:rsidR="00493E00">
        <w:rPr>
          <w:color w:val="0D0D0D" w:themeColor="text1" w:themeTint="F2"/>
          <w:sz w:val="24"/>
          <w:szCs w:val="24"/>
        </w:rPr>
        <w:t xml:space="preserve">provided </w:t>
      </w:r>
      <w:r w:rsidR="000E1CA6">
        <w:rPr>
          <w:color w:val="0D0D0D" w:themeColor="text1" w:themeTint="F2"/>
          <w:sz w:val="24"/>
          <w:szCs w:val="24"/>
        </w:rPr>
        <w:t>to pharmacies</w:t>
      </w:r>
      <w:r w:rsidR="00493E00">
        <w:rPr>
          <w:color w:val="0D0D0D" w:themeColor="text1" w:themeTint="F2"/>
          <w:sz w:val="24"/>
          <w:szCs w:val="24"/>
        </w:rPr>
        <w:t xml:space="preserve">, </w:t>
      </w:r>
      <w:r w:rsidR="000E1CA6">
        <w:rPr>
          <w:color w:val="0D0D0D" w:themeColor="text1" w:themeTint="F2"/>
          <w:sz w:val="24"/>
          <w:szCs w:val="24"/>
        </w:rPr>
        <w:t>specific Commonwealth funding for rural and remote pharmacies</w:t>
      </w:r>
      <w:r w:rsidR="001307A2" w:rsidRPr="00FF4C3F">
        <w:rPr>
          <w:color w:val="0D0D0D" w:themeColor="text1" w:themeTint="F2"/>
          <w:sz w:val="24"/>
          <w:szCs w:val="24"/>
        </w:rPr>
        <w:t xml:space="preserve"> and </w:t>
      </w:r>
      <w:r w:rsidR="003A4225" w:rsidRPr="00FF4C3F">
        <w:rPr>
          <w:color w:val="0D0D0D" w:themeColor="text1" w:themeTint="F2"/>
          <w:sz w:val="24"/>
          <w:szCs w:val="24"/>
        </w:rPr>
        <w:t xml:space="preserve">CSO/wholesaler </w:t>
      </w:r>
      <w:r w:rsidR="001307A2" w:rsidRPr="00FF4C3F">
        <w:rPr>
          <w:color w:val="0D0D0D" w:themeColor="text1" w:themeTint="F2"/>
          <w:sz w:val="24"/>
          <w:szCs w:val="24"/>
        </w:rPr>
        <w:t>arrangement d</w:t>
      </w:r>
      <w:r w:rsidR="003A4225" w:rsidRPr="00FF4C3F">
        <w:rPr>
          <w:color w:val="0D0D0D" w:themeColor="text1" w:themeTint="F2"/>
          <w:sz w:val="24"/>
          <w:szCs w:val="24"/>
        </w:rPr>
        <w:t>ata</w:t>
      </w:r>
      <w:r w:rsidR="001307A2" w:rsidRPr="00FF4C3F">
        <w:rPr>
          <w:color w:val="0D0D0D" w:themeColor="text1" w:themeTint="F2"/>
          <w:sz w:val="24"/>
          <w:szCs w:val="24"/>
        </w:rPr>
        <w:t>.</w:t>
      </w:r>
    </w:p>
    <w:p w14:paraId="61DC5492" w14:textId="77777777" w:rsidR="003A4225" w:rsidRPr="00FF4C3F" w:rsidRDefault="003A4225" w:rsidP="00FF4C3F">
      <w:pPr>
        <w:pStyle w:val="Heading3"/>
      </w:pPr>
      <w:bookmarkStart w:id="63" w:name="_Toc168652742"/>
      <w:r w:rsidRPr="00FF4C3F">
        <w:lastRenderedPageBreak/>
        <w:t>Accountability and Transparency</w:t>
      </w:r>
      <w:bookmarkEnd w:id="63"/>
    </w:p>
    <w:p w14:paraId="1ABAAE40" w14:textId="335E2D09" w:rsidR="003A4225" w:rsidRPr="00FF4C3F" w:rsidRDefault="001307A2" w:rsidP="003A4225">
      <w:pPr>
        <w:rPr>
          <w:color w:val="0D0D0D" w:themeColor="text1" w:themeTint="F2"/>
          <w:sz w:val="24"/>
          <w:szCs w:val="24"/>
        </w:rPr>
      </w:pPr>
      <w:r w:rsidRPr="00FF4C3F">
        <w:rPr>
          <w:color w:val="0D0D0D" w:themeColor="text1" w:themeTint="F2"/>
          <w:sz w:val="24"/>
          <w:szCs w:val="24"/>
        </w:rPr>
        <w:t xml:space="preserve">A number of </w:t>
      </w:r>
      <w:r w:rsidR="00493E00">
        <w:rPr>
          <w:color w:val="0D0D0D" w:themeColor="text1" w:themeTint="F2"/>
          <w:sz w:val="24"/>
          <w:szCs w:val="24"/>
        </w:rPr>
        <w:t xml:space="preserve">publically available </w:t>
      </w:r>
      <w:r w:rsidRPr="00FF4C3F">
        <w:rPr>
          <w:color w:val="0D0D0D" w:themeColor="text1" w:themeTint="F2"/>
          <w:sz w:val="24"/>
          <w:szCs w:val="24"/>
        </w:rPr>
        <w:t xml:space="preserve">government and retail resources seek to explain the cost of </w:t>
      </w:r>
      <w:r w:rsidR="00493E00">
        <w:rPr>
          <w:color w:val="0D0D0D" w:themeColor="text1" w:themeTint="F2"/>
          <w:sz w:val="24"/>
          <w:szCs w:val="24"/>
        </w:rPr>
        <w:t xml:space="preserve">PBS </w:t>
      </w:r>
      <w:r w:rsidRPr="00FF4C3F">
        <w:rPr>
          <w:color w:val="0D0D0D" w:themeColor="text1" w:themeTint="F2"/>
          <w:sz w:val="24"/>
          <w:szCs w:val="24"/>
        </w:rPr>
        <w:t xml:space="preserve">medicines in a simple way. </w:t>
      </w:r>
      <w:r w:rsidR="0024397C">
        <w:rPr>
          <w:color w:val="0D0D0D" w:themeColor="text1" w:themeTint="F2"/>
          <w:sz w:val="24"/>
          <w:szCs w:val="24"/>
        </w:rPr>
        <w:t>This includes information available on PBS fees, patient contributions and safety thresholds a</w:t>
      </w:r>
      <w:r w:rsidR="00A554FE">
        <w:rPr>
          <w:color w:val="0D0D0D" w:themeColor="text1" w:themeTint="F2"/>
          <w:sz w:val="24"/>
          <w:szCs w:val="24"/>
        </w:rPr>
        <w:t xml:space="preserve">vailable on the </w:t>
      </w:r>
      <w:r w:rsidR="00B539E6">
        <w:rPr>
          <w:color w:val="0D0D0D" w:themeColor="text1" w:themeTint="F2"/>
          <w:sz w:val="24"/>
          <w:szCs w:val="24"/>
        </w:rPr>
        <w:t>Department</w:t>
      </w:r>
      <w:r w:rsidR="003C61C9">
        <w:rPr>
          <w:color w:val="0D0D0D" w:themeColor="text1" w:themeTint="F2"/>
          <w:sz w:val="24"/>
          <w:szCs w:val="24"/>
        </w:rPr>
        <w:t xml:space="preserve"> </w:t>
      </w:r>
      <w:r w:rsidR="00B539E6">
        <w:rPr>
          <w:color w:val="0D0D0D" w:themeColor="text1" w:themeTint="F2"/>
          <w:sz w:val="24"/>
          <w:szCs w:val="24"/>
        </w:rPr>
        <w:t>website,</w:t>
      </w:r>
      <w:r w:rsidR="00B539E6">
        <w:rPr>
          <w:rStyle w:val="FootnoteReference"/>
          <w:color w:val="0D0D0D" w:themeColor="text1" w:themeTint="F2"/>
          <w:sz w:val="24"/>
          <w:szCs w:val="24"/>
        </w:rPr>
        <w:footnoteReference w:id="60"/>
      </w:r>
      <w:r w:rsidR="00B539E6">
        <w:rPr>
          <w:color w:val="0D0D0D" w:themeColor="text1" w:themeTint="F2"/>
          <w:sz w:val="24"/>
          <w:szCs w:val="24"/>
        </w:rPr>
        <w:t xml:space="preserve"> the Services Australia website</w:t>
      </w:r>
      <w:r w:rsidR="00B539E6">
        <w:rPr>
          <w:rStyle w:val="FootnoteReference"/>
          <w:color w:val="0D0D0D" w:themeColor="text1" w:themeTint="F2"/>
          <w:sz w:val="24"/>
          <w:szCs w:val="24"/>
        </w:rPr>
        <w:footnoteReference w:id="61"/>
      </w:r>
      <w:r w:rsidR="00B539E6">
        <w:rPr>
          <w:color w:val="0D0D0D" w:themeColor="text1" w:themeTint="F2"/>
          <w:sz w:val="24"/>
          <w:szCs w:val="24"/>
        </w:rPr>
        <w:t xml:space="preserve"> and the Health Direct website.</w:t>
      </w:r>
      <w:r w:rsidR="00B539E6">
        <w:rPr>
          <w:rStyle w:val="FootnoteReference"/>
          <w:color w:val="0D0D0D" w:themeColor="text1" w:themeTint="F2"/>
          <w:sz w:val="24"/>
          <w:szCs w:val="24"/>
        </w:rPr>
        <w:footnoteReference w:id="62"/>
      </w:r>
      <w:r w:rsidR="0024397C">
        <w:rPr>
          <w:color w:val="0D0D0D" w:themeColor="text1" w:themeTint="F2"/>
          <w:sz w:val="24"/>
          <w:szCs w:val="24"/>
        </w:rPr>
        <w:t xml:space="preserve"> </w:t>
      </w:r>
      <w:r w:rsidRPr="00FF4C3F">
        <w:rPr>
          <w:color w:val="0D0D0D" w:themeColor="text1" w:themeTint="F2"/>
          <w:sz w:val="24"/>
          <w:szCs w:val="24"/>
        </w:rPr>
        <w:t xml:space="preserve">In addition, as required under the </w:t>
      </w:r>
      <w:r w:rsidR="003A4225" w:rsidRPr="00FF4C3F">
        <w:rPr>
          <w:color w:val="0D0D0D" w:themeColor="text1" w:themeTint="F2"/>
          <w:sz w:val="24"/>
          <w:szCs w:val="24"/>
        </w:rPr>
        <w:t>7CPA</w:t>
      </w:r>
      <w:r w:rsidR="00B539E6">
        <w:rPr>
          <w:color w:val="0D0D0D" w:themeColor="text1" w:themeTint="F2"/>
          <w:sz w:val="24"/>
          <w:szCs w:val="24"/>
        </w:rPr>
        <w:t>,</w:t>
      </w:r>
      <w:r w:rsidR="003A4225" w:rsidRPr="00FF4C3F">
        <w:rPr>
          <w:color w:val="0D0D0D" w:themeColor="text1" w:themeTint="F2"/>
          <w:sz w:val="24"/>
          <w:szCs w:val="24"/>
        </w:rPr>
        <w:t xml:space="preserve"> the Guild currently publishes a breakdown of costs incurred by consumers for dispensing PBS medicines on its website.</w:t>
      </w:r>
      <w:r w:rsidR="00B539E6">
        <w:rPr>
          <w:rStyle w:val="FootnoteReference"/>
          <w:color w:val="0D0D0D" w:themeColor="text1" w:themeTint="F2"/>
          <w:sz w:val="24"/>
          <w:szCs w:val="24"/>
        </w:rPr>
        <w:footnoteReference w:id="63"/>
      </w:r>
      <w:r w:rsidR="003A4225" w:rsidRPr="00FF4C3F">
        <w:rPr>
          <w:color w:val="0D0D0D" w:themeColor="text1" w:themeTint="F2"/>
          <w:sz w:val="24"/>
          <w:szCs w:val="24"/>
        </w:rPr>
        <w:t xml:space="preserve"> The </w:t>
      </w:r>
      <w:r w:rsidR="000B3E42">
        <w:rPr>
          <w:color w:val="0D0D0D" w:themeColor="text1" w:themeTint="F2"/>
          <w:sz w:val="24"/>
          <w:szCs w:val="24"/>
        </w:rPr>
        <w:t>G</w:t>
      </w:r>
      <w:r w:rsidR="003A4225" w:rsidRPr="00FF4C3F">
        <w:rPr>
          <w:color w:val="0D0D0D" w:themeColor="text1" w:themeTint="F2"/>
          <w:sz w:val="24"/>
          <w:szCs w:val="24"/>
        </w:rPr>
        <w:t xml:space="preserve">uild </w:t>
      </w:r>
      <w:r w:rsidRPr="00FF4C3F">
        <w:rPr>
          <w:color w:val="0D0D0D" w:themeColor="text1" w:themeTint="F2"/>
          <w:sz w:val="24"/>
          <w:szCs w:val="24"/>
        </w:rPr>
        <w:t>is also required to use</w:t>
      </w:r>
      <w:r w:rsidR="003A4225" w:rsidRPr="00FF4C3F">
        <w:rPr>
          <w:color w:val="0D0D0D" w:themeColor="text1" w:themeTint="F2"/>
          <w:sz w:val="24"/>
          <w:szCs w:val="24"/>
        </w:rPr>
        <w:t xml:space="preserve"> its best endeavours to ensure that individual pharmacists and pharmacies provide this information to consumers at the time of dispensing. </w:t>
      </w:r>
    </w:p>
    <w:p w14:paraId="351D57CA" w14:textId="6ADE3AE1" w:rsidR="008901A8" w:rsidRPr="00FF4C3F" w:rsidRDefault="00493E00" w:rsidP="008901A8">
      <w:pPr>
        <w:rPr>
          <w:color w:val="0D0D0D" w:themeColor="text1" w:themeTint="F2"/>
          <w:sz w:val="24"/>
          <w:szCs w:val="24"/>
        </w:rPr>
      </w:pPr>
      <w:r>
        <w:rPr>
          <w:color w:val="0D0D0D" w:themeColor="text1" w:themeTint="F2"/>
          <w:sz w:val="24"/>
          <w:szCs w:val="24"/>
        </w:rPr>
        <w:t xml:space="preserve">This information however </w:t>
      </w:r>
      <w:r w:rsidRPr="009F14A3">
        <w:rPr>
          <w:color w:val="0D0D0D" w:themeColor="text1" w:themeTint="F2"/>
          <w:sz w:val="24"/>
          <w:szCs w:val="24"/>
        </w:rPr>
        <w:t xml:space="preserve">may not provide the level of </w:t>
      </w:r>
      <w:r w:rsidR="00FA4F41">
        <w:rPr>
          <w:color w:val="0D0D0D" w:themeColor="text1" w:themeTint="F2"/>
          <w:sz w:val="24"/>
          <w:szCs w:val="24"/>
        </w:rPr>
        <w:t xml:space="preserve">detail </w:t>
      </w:r>
      <w:r w:rsidRPr="009F14A3">
        <w:rPr>
          <w:color w:val="0D0D0D" w:themeColor="text1" w:themeTint="F2"/>
          <w:sz w:val="24"/>
          <w:szCs w:val="24"/>
        </w:rPr>
        <w:t>sought by consumers</w:t>
      </w:r>
      <w:r>
        <w:rPr>
          <w:color w:val="0D0D0D" w:themeColor="text1" w:themeTint="F2"/>
          <w:sz w:val="24"/>
          <w:szCs w:val="24"/>
        </w:rPr>
        <w:t xml:space="preserve"> as it is typically </w:t>
      </w:r>
      <w:r w:rsidR="001307A2" w:rsidRPr="00FF4C3F">
        <w:rPr>
          <w:color w:val="0D0D0D" w:themeColor="text1" w:themeTint="F2"/>
          <w:sz w:val="24"/>
          <w:szCs w:val="24"/>
        </w:rPr>
        <w:t xml:space="preserve">generic </w:t>
      </w:r>
      <w:r w:rsidR="006F5D4C">
        <w:rPr>
          <w:color w:val="0D0D0D" w:themeColor="text1" w:themeTint="F2"/>
          <w:sz w:val="24"/>
          <w:szCs w:val="24"/>
        </w:rPr>
        <w:t>rather than being specific</w:t>
      </w:r>
      <w:r w:rsidR="001307A2" w:rsidRPr="00A06555">
        <w:rPr>
          <w:color w:val="0D0D0D" w:themeColor="text1" w:themeTint="F2"/>
          <w:sz w:val="24"/>
          <w:szCs w:val="24"/>
        </w:rPr>
        <w:t xml:space="preserve"> </w:t>
      </w:r>
      <w:r w:rsidR="001307A2" w:rsidRPr="00FF4C3F">
        <w:rPr>
          <w:color w:val="0D0D0D" w:themeColor="text1" w:themeTint="F2"/>
          <w:sz w:val="24"/>
          <w:szCs w:val="24"/>
        </w:rPr>
        <w:t xml:space="preserve">to the </w:t>
      </w:r>
      <w:r w:rsidR="00E06700" w:rsidRPr="00FF4C3F">
        <w:rPr>
          <w:color w:val="0D0D0D" w:themeColor="text1" w:themeTint="F2"/>
          <w:sz w:val="24"/>
          <w:szCs w:val="24"/>
        </w:rPr>
        <w:t xml:space="preserve">medications being supplied. </w:t>
      </w:r>
      <w:r w:rsidR="00023566">
        <w:rPr>
          <w:color w:val="0D0D0D" w:themeColor="text1" w:themeTint="F2"/>
          <w:sz w:val="24"/>
          <w:szCs w:val="24"/>
        </w:rPr>
        <w:t xml:space="preserve">Impacts </w:t>
      </w:r>
      <w:r w:rsidR="00E06700" w:rsidRPr="00FF4C3F">
        <w:rPr>
          <w:color w:val="0D0D0D" w:themeColor="text1" w:themeTint="F2"/>
          <w:sz w:val="24"/>
          <w:szCs w:val="24"/>
        </w:rPr>
        <w:t xml:space="preserve">against this objective will therefore be </w:t>
      </w:r>
      <w:r w:rsidR="00023566">
        <w:rPr>
          <w:color w:val="0D0D0D" w:themeColor="text1" w:themeTint="F2"/>
          <w:sz w:val="24"/>
          <w:szCs w:val="24"/>
        </w:rPr>
        <w:t>considered in relation to the potential to</w:t>
      </w:r>
      <w:r w:rsidR="00E06700" w:rsidRPr="00FF4C3F">
        <w:rPr>
          <w:color w:val="0D0D0D" w:themeColor="text1" w:themeTint="F2"/>
          <w:sz w:val="24"/>
          <w:szCs w:val="24"/>
        </w:rPr>
        <w:t xml:space="preserve"> i</w:t>
      </w:r>
      <w:r w:rsidR="008901A8" w:rsidRPr="00FF4C3F">
        <w:rPr>
          <w:color w:val="0D0D0D" w:themeColor="text1" w:themeTint="F2"/>
          <w:sz w:val="24"/>
          <w:szCs w:val="24"/>
        </w:rPr>
        <w:t>ncreas</w:t>
      </w:r>
      <w:r w:rsidR="00023566">
        <w:rPr>
          <w:color w:val="0D0D0D" w:themeColor="text1" w:themeTint="F2"/>
          <w:sz w:val="24"/>
          <w:szCs w:val="24"/>
        </w:rPr>
        <w:t>e</w:t>
      </w:r>
      <w:r w:rsidR="008901A8" w:rsidRPr="00FF4C3F">
        <w:rPr>
          <w:color w:val="0D0D0D" w:themeColor="text1" w:themeTint="F2"/>
          <w:sz w:val="24"/>
          <w:szCs w:val="24"/>
        </w:rPr>
        <w:t xml:space="preserve"> </w:t>
      </w:r>
      <w:r w:rsidR="00FA4F41">
        <w:rPr>
          <w:color w:val="0D0D0D" w:themeColor="text1" w:themeTint="F2"/>
          <w:sz w:val="24"/>
          <w:szCs w:val="24"/>
        </w:rPr>
        <w:t>availability</w:t>
      </w:r>
      <w:r w:rsidR="00023566">
        <w:rPr>
          <w:color w:val="0D0D0D" w:themeColor="text1" w:themeTint="F2"/>
          <w:sz w:val="24"/>
          <w:szCs w:val="24"/>
        </w:rPr>
        <w:t xml:space="preserve"> of information</w:t>
      </w:r>
      <w:r w:rsidR="00FA4F41">
        <w:rPr>
          <w:color w:val="0D0D0D" w:themeColor="text1" w:themeTint="F2"/>
          <w:sz w:val="24"/>
          <w:szCs w:val="24"/>
        </w:rPr>
        <w:t xml:space="preserve"> and </w:t>
      </w:r>
      <w:r w:rsidR="008901A8" w:rsidRPr="00FF4C3F">
        <w:rPr>
          <w:color w:val="0D0D0D" w:themeColor="text1" w:themeTint="F2"/>
          <w:sz w:val="24"/>
          <w:szCs w:val="24"/>
        </w:rPr>
        <w:t>consumer awareness of PBS medicine costs, including any additional pharmacy charges</w:t>
      </w:r>
      <w:r w:rsidR="00E06700" w:rsidRPr="00FF4C3F">
        <w:rPr>
          <w:color w:val="0D0D0D" w:themeColor="text1" w:themeTint="F2"/>
          <w:sz w:val="24"/>
          <w:szCs w:val="24"/>
        </w:rPr>
        <w:t>, prior to dispensing</w:t>
      </w:r>
      <w:r w:rsidR="008901A8" w:rsidRPr="00FF4C3F">
        <w:rPr>
          <w:color w:val="0D0D0D" w:themeColor="text1" w:themeTint="F2"/>
          <w:sz w:val="24"/>
          <w:szCs w:val="24"/>
        </w:rPr>
        <w:t>.</w:t>
      </w:r>
    </w:p>
    <w:p w14:paraId="06BB8C91" w14:textId="77777777" w:rsidR="003A4225" w:rsidRPr="00FF4C3F" w:rsidRDefault="003A4225" w:rsidP="00FF4C3F">
      <w:pPr>
        <w:pStyle w:val="Heading3"/>
      </w:pPr>
      <w:bookmarkStart w:id="64" w:name="_Toc168652743"/>
      <w:r w:rsidRPr="00FF4C3F">
        <w:t>Innovation and Continuous Improvement</w:t>
      </w:r>
      <w:bookmarkEnd w:id="64"/>
      <w:r w:rsidRPr="00FF4C3F">
        <w:t xml:space="preserve"> </w:t>
      </w:r>
    </w:p>
    <w:p w14:paraId="5AACD430" w14:textId="386D5F4B" w:rsidR="00E06700" w:rsidRDefault="00E06700" w:rsidP="00E06700">
      <w:pPr>
        <w:rPr>
          <w:rFonts w:eastAsiaTheme="majorEastAsia" w:cs="Arial"/>
          <w:bCs/>
          <w:color w:val="0D0D0D" w:themeColor="text1" w:themeTint="F2"/>
          <w:sz w:val="24"/>
          <w:szCs w:val="24"/>
        </w:rPr>
      </w:pPr>
      <w:r w:rsidRPr="00FF4C3F">
        <w:rPr>
          <w:color w:val="0D0D0D" w:themeColor="text1" w:themeTint="F2"/>
          <w:sz w:val="24"/>
          <w:szCs w:val="24"/>
        </w:rPr>
        <w:t>Successive CPAs have sought to encourage</w:t>
      </w:r>
      <w:r w:rsidR="003A4225" w:rsidRPr="00FF4C3F">
        <w:rPr>
          <w:color w:val="0D0D0D" w:themeColor="text1" w:themeTint="F2"/>
          <w:sz w:val="24"/>
          <w:szCs w:val="24"/>
        </w:rPr>
        <w:t xml:space="preserve"> innovation and the continued improvement of pharmacy services</w:t>
      </w:r>
      <w:r w:rsidRPr="00FF4C3F">
        <w:rPr>
          <w:color w:val="0D0D0D" w:themeColor="text1" w:themeTint="F2"/>
          <w:sz w:val="24"/>
          <w:szCs w:val="24"/>
        </w:rPr>
        <w:t xml:space="preserve"> through a range of CPPs</w:t>
      </w:r>
      <w:r w:rsidR="003A4225" w:rsidRPr="00FF4C3F">
        <w:rPr>
          <w:color w:val="0D0D0D" w:themeColor="text1" w:themeTint="F2"/>
          <w:sz w:val="24"/>
          <w:szCs w:val="24"/>
        </w:rPr>
        <w:t>.</w:t>
      </w:r>
      <w:r w:rsidRPr="00FF4C3F">
        <w:rPr>
          <w:color w:val="0D0D0D" w:themeColor="text1" w:themeTint="F2"/>
          <w:sz w:val="24"/>
          <w:szCs w:val="24"/>
        </w:rPr>
        <w:t xml:space="preserve"> </w:t>
      </w:r>
      <w:r w:rsidRPr="006E3CA9">
        <w:rPr>
          <w:rFonts w:eastAsiaTheme="majorEastAsia" w:cs="Arial"/>
          <w:bCs/>
          <w:color w:val="0D0D0D" w:themeColor="text1" w:themeTint="F2"/>
          <w:sz w:val="24"/>
          <w:szCs w:val="24"/>
        </w:rPr>
        <w:t xml:space="preserve">However </w:t>
      </w:r>
      <w:r w:rsidR="002A330B" w:rsidRPr="006E3CA9">
        <w:rPr>
          <w:rFonts w:eastAsiaTheme="majorEastAsia" w:cs="Arial"/>
          <w:bCs/>
          <w:color w:val="0D0D0D" w:themeColor="text1" w:themeTint="F2"/>
          <w:sz w:val="24"/>
          <w:szCs w:val="24"/>
        </w:rPr>
        <w:t xml:space="preserve">as outlined earlier </w:t>
      </w:r>
      <w:r w:rsidRPr="006E3CA9">
        <w:rPr>
          <w:rFonts w:eastAsiaTheme="majorEastAsia" w:cs="Arial"/>
          <w:bCs/>
          <w:color w:val="0D0D0D" w:themeColor="text1" w:themeTint="F2"/>
          <w:sz w:val="24"/>
          <w:szCs w:val="24"/>
        </w:rPr>
        <w:t xml:space="preserve">in many cases the actual health benefits being achieved are uncertain. </w:t>
      </w:r>
      <w:r w:rsidR="009A7EE2" w:rsidRPr="006E3CA9">
        <w:rPr>
          <w:rFonts w:eastAsiaTheme="majorEastAsia" w:cs="Arial"/>
          <w:bCs/>
          <w:color w:val="0D0D0D" w:themeColor="text1" w:themeTint="F2"/>
          <w:sz w:val="24"/>
          <w:szCs w:val="24"/>
        </w:rPr>
        <w:t xml:space="preserve">Key </w:t>
      </w:r>
      <w:r w:rsidRPr="006E3CA9">
        <w:rPr>
          <w:rFonts w:eastAsiaTheme="majorEastAsia" w:cs="Arial"/>
          <w:bCs/>
          <w:color w:val="0D0D0D" w:themeColor="text1" w:themeTint="F2"/>
          <w:sz w:val="24"/>
          <w:szCs w:val="24"/>
        </w:rPr>
        <w:t>stakeholders have suggested</w:t>
      </w:r>
      <w:r>
        <w:rPr>
          <w:rFonts w:eastAsiaTheme="majorEastAsia" w:cs="Arial"/>
          <w:bCs/>
          <w:color w:val="0D0D0D" w:themeColor="text1" w:themeTint="F2"/>
          <w:sz w:val="24"/>
          <w:szCs w:val="24"/>
        </w:rPr>
        <w:t xml:space="preserve"> that CPPs should </w:t>
      </w:r>
      <w:r w:rsidR="009A7EE2">
        <w:rPr>
          <w:rFonts w:eastAsiaTheme="majorEastAsia" w:cs="Arial"/>
          <w:bCs/>
          <w:color w:val="0D0D0D" w:themeColor="text1" w:themeTint="F2"/>
          <w:sz w:val="24"/>
          <w:szCs w:val="24"/>
        </w:rPr>
        <w:t xml:space="preserve">only continue if supported by quality and evaluation frameworks which provide for robust analysis noting that this may be best achieved if CPPs were agreed outside of the CPA. </w:t>
      </w:r>
    </w:p>
    <w:p w14:paraId="76B06DAA" w14:textId="5A2F2A4F" w:rsidR="005216DE" w:rsidRDefault="00657168" w:rsidP="005216DE">
      <w:pPr>
        <w:rPr>
          <w:color w:val="0D0D0D" w:themeColor="text1" w:themeTint="F2"/>
          <w:sz w:val="24"/>
          <w:szCs w:val="24"/>
        </w:rPr>
      </w:pPr>
      <w:r>
        <w:rPr>
          <w:color w:val="0D0D0D" w:themeColor="text1" w:themeTint="F2"/>
          <w:sz w:val="24"/>
          <w:szCs w:val="24"/>
        </w:rPr>
        <w:t>Impacts</w:t>
      </w:r>
      <w:r w:rsidR="005216DE" w:rsidRPr="00E04259">
        <w:rPr>
          <w:color w:val="0D0D0D" w:themeColor="text1" w:themeTint="F2"/>
          <w:sz w:val="24"/>
          <w:szCs w:val="24"/>
        </w:rPr>
        <w:t xml:space="preserve"> against this objective will therefore be</w:t>
      </w:r>
      <w:r>
        <w:rPr>
          <w:color w:val="0D0D0D" w:themeColor="text1" w:themeTint="F2"/>
          <w:sz w:val="24"/>
          <w:szCs w:val="24"/>
        </w:rPr>
        <w:t xml:space="preserve"> considered in light of the</w:t>
      </w:r>
      <w:r w:rsidR="005216DE" w:rsidRPr="00E04259">
        <w:rPr>
          <w:color w:val="0D0D0D" w:themeColor="text1" w:themeTint="F2"/>
          <w:sz w:val="24"/>
          <w:szCs w:val="24"/>
        </w:rPr>
        <w:t xml:space="preserve"> </w:t>
      </w:r>
      <w:r w:rsidR="00213BF6">
        <w:rPr>
          <w:color w:val="0D0D0D" w:themeColor="text1" w:themeTint="F2"/>
          <w:sz w:val="24"/>
          <w:szCs w:val="24"/>
        </w:rPr>
        <w:t>anticipated ability</w:t>
      </w:r>
      <w:r>
        <w:rPr>
          <w:color w:val="0D0D0D" w:themeColor="text1" w:themeTint="F2"/>
          <w:sz w:val="24"/>
          <w:szCs w:val="24"/>
        </w:rPr>
        <w:t xml:space="preserve"> of each option</w:t>
      </w:r>
      <w:r w:rsidR="00213BF6">
        <w:rPr>
          <w:color w:val="0D0D0D" w:themeColor="text1" w:themeTint="F2"/>
          <w:sz w:val="24"/>
          <w:szCs w:val="24"/>
        </w:rPr>
        <w:t xml:space="preserve"> to facilitate the </w:t>
      </w:r>
      <w:r w:rsidR="005216DE" w:rsidRPr="00FF4C3F">
        <w:rPr>
          <w:color w:val="0D0D0D" w:themeColor="text1" w:themeTint="F2"/>
          <w:sz w:val="24"/>
          <w:szCs w:val="24"/>
        </w:rPr>
        <w:t>establishment of quality and evaluation frameworks with the review of CPP</w:t>
      </w:r>
      <w:r w:rsidR="000B3E42">
        <w:rPr>
          <w:color w:val="0D0D0D" w:themeColor="text1" w:themeTint="F2"/>
          <w:sz w:val="24"/>
          <w:szCs w:val="24"/>
        </w:rPr>
        <w:t>s</w:t>
      </w:r>
      <w:r w:rsidR="005216DE" w:rsidRPr="00FF4C3F">
        <w:rPr>
          <w:color w:val="0D0D0D" w:themeColor="text1" w:themeTint="F2"/>
          <w:sz w:val="24"/>
          <w:szCs w:val="24"/>
        </w:rPr>
        <w:t>.</w:t>
      </w:r>
    </w:p>
    <w:p w14:paraId="01A9DC37" w14:textId="34735542" w:rsidR="0090334D" w:rsidRDefault="00BD51DD" w:rsidP="00BD51DD">
      <w:pPr>
        <w:pStyle w:val="Heading3"/>
      </w:pPr>
      <w:bookmarkStart w:id="65" w:name="_Toc168652744"/>
      <w:r>
        <w:t>Potential Barriers to the Government Meeting its Objectives</w:t>
      </w:r>
      <w:bookmarkEnd w:id="65"/>
    </w:p>
    <w:p w14:paraId="72A1A923" w14:textId="5B0B8ECB" w:rsidR="004479DA" w:rsidRDefault="00BD51DD" w:rsidP="00BD51DD">
      <w:pPr>
        <w:rPr>
          <w:color w:val="0D0D0D" w:themeColor="text1" w:themeTint="F2"/>
          <w:sz w:val="24"/>
          <w:szCs w:val="24"/>
        </w:rPr>
      </w:pPr>
      <w:r>
        <w:rPr>
          <w:color w:val="0D0D0D" w:themeColor="text1" w:themeTint="F2"/>
          <w:sz w:val="24"/>
          <w:szCs w:val="24"/>
        </w:rPr>
        <w:t>The extent to which the Government is able to meet the objectives</w:t>
      </w:r>
      <w:r w:rsidR="006B5A35">
        <w:rPr>
          <w:color w:val="0D0D0D" w:themeColor="text1" w:themeTint="F2"/>
          <w:sz w:val="24"/>
          <w:szCs w:val="24"/>
        </w:rPr>
        <w:t xml:space="preserve"> above</w:t>
      </w:r>
      <w:r>
        <w:rPr>
          <w:color w:val="0D0D0D" w:themeColor="text1" w:themeTint="F2"/>
          <w:sz w:val="24"/>
          <w:szCs w:val="24"/>
        </w:rPr>
        <w:t xml:space="preserve"> will be dependent on achieving </w:t>
      </w:r>
      <w:r w:rsidRPr="00BD51DD">
        <w:rPr>
          <w:color w:val="0D0D0D" w:themeColor="text1" w:themeTint="F2"/>
          <w:sz w:val="24"/>
          <w:szCs w:val="24"/>
        </w:rPr>
        <w:t xml:space="preserve">the </w:t>
      </w:r>
      <w:r>
        <w:rPr>
          <w:color w:val="0D0D0D" w:themeColor="text1" w:themeTint="F2"/>
          <w:sz w:val="24"/>
          <w:szCs w:val="24"/>
        </w:rPr>
        <w:t>support and agreement</w:t>
      </w:r>
      <w:r w:rsidR="00371186">
        <w:rPr>
          <w:color w:val="0D0D0D" w:themeColor="text1" w:themeTint="F2"/>
          <w:sz w:val="24"/>
          <w:szCs w:val="24"/>
        </w:rPr>
        <w:t xml:space="preserve"> to Government’s preferred approach</w:t>
      </w:r>
      <w:r>
        <w:rPr>
          <w:color w:val="0D0D0D" w:themeColor="text1" w:themeTint="F2"/>
          <w:sz w:val="24"/>
          <w:szCs w:val="24"/>
        </w:rPr>
        <w:t xml:space="preserve"> through negotiation with </w:t>
      </w:r>
      <w:r w:rsidR="00371186">
        <w:rPr>
          <w:color w:val="0D0D0D" w:themeColor="text1" w:themeTint="F2"/>
          <w:sz w:val="24"/>
          <w:szCs w:val="24"/>
        </w:rPr>
        <w:t xml:space="preserve">the Guild and other relevant stakeholders. </w:t>
      </w:r>
    </w:p>
    <w:p w14:paraId="2AE097A4" w14:textId="2CFCA062" w:rsidR="0013679B" w:rsidRDefault="0013679B" w:rsidP="00BD51DD">
      <w:pPr>
        <w:rPr>
          <w:color w:val="0D0D0D" w:themeColor="text1" w:themeTint="F2"/>
          <w:sz w:val="24"/>
          <w:szCs w:val="24"/>
        </w:rPr>
      </w:pPr>
      <w:r>
        <w:rPr>
          <w:color w:val="0D0D0D" w:themeColor="text1" w:themeTint="F2"/>
          <w:sz w:val="24"/>
          <w:szCs w:val="24"/>
        </w:rPr>
        <w:t>Additional challenges in reaching agreement include:</w:t>
      </w:r>
    </w:p>
    <w:p w14:paraId="6DF6AD78" w14:textId="13B92545" w:rsidR="0013679B" w:rsidRPr="00B67885" w:rsidRDefault="0013679B" w:rsidP="0095671A">
      <w:pPr>
        <w:pStyle w:val="ListParagraph"/>
        <w:numPr>
          <w:ilvl w:val="0"/>
          <w:numId w:val="39"/>
        </w:numPr>
        <w:rPr>
          <w:color w:val="0D0D0D" w:themeColor="text1" w:themeTint="F2"/>
          <w:sz w:val="24"/>
          <w:szCs w:val="24"/>
        </w:rPr>
      </w:pPr>
      <w:r w:rsidRPr="00B67885">
        <w:rPr>
          <w:color w:val="0D0D0D" w:themeColor="text1" w:themeTint="F2"/>
          <w:sz w:val="24"/>
          <w:szCs w:val="24"/>
        </w:rPr>
        <w:t>the preferred timeframes for completing negotiations for an 8CPA prior to the expiry of 7CPA</w:t>
      </w:r>
      <w:r w:rsidR="007B13DF">
        <w:rPr>
          <w:color w:val="0D0D0D" w:themeColor="text1" w:themeTint="F2"/>
          <w:sz w:val="24"/>
          <w:szCs w:val="24"/>
        </w:rPr>
        <w:t xml:space="preserve"> </w:t>
      </w:r>
      <w:r w:rsidRPr="00B67885">
        <w:rPr>
          <w:color w:val="0D0D0D" w:themeColor="text1" w:themeTint="F2"/>
          <w:sz w:val="24"/>
          <w:szCs w:val="24"/>
        </w:rPr>
        <w:t xml:space="preserve"> </w:t>
      </w:r>
    </w:p>
    <w:p w14:paraId="7F7A8EEF" w14:textId="5D42A6B9" w:rsidR="0013679B" w:rsidRPr="00B67885" w:rsidRDefault="00F76BE3" w:rsidP="0095671A">
      <w:pPr>
        <w:pStyle w:val="ListParagraph"/>
        <w:numPr>
          <w:ilvl w:val="0"/>
          <w:numId w:val="39"/>
        </w:numPr>
        <w:rPr>
          <w:color w:val="0D0D0D" w:themeColor="text1" w:themeTint="F2"/>
          <w:sz w:val="24"/>
          <w:szCs w:val="24"/>
        </w:rPr>
      </w:pPr>
      <w:r w:rsidRPr="00B67885">
        <w:rPr>
          <w:color w:val="0D0D0D" w:themeColor="text1" w:themeTint="F2"/>
          <w:sz w:val="24"/>
          <w:szCs w:val="24"/>
        </w:rPr>
        <w:t>b</w:t>
      </w:r>
      <w:r w:rsidR="0013679B" w:rsidRPr="00B67885">
        <w:rPr>
          <w:color w:val="0D0D0D" w:themeColor="text1" w:themeTint="F2"/>
          <w:sz w:val="24"/>
          <w:szCs w:val="24"/>
        </w:rPr>
        <w:t xml:space="preserve">alancing the </w:t>
      </w:r>
      <w:r w:rsidR="00213BF6" w:rsidRPr="00213BF6">
        <w:rPr>
          <w:color w:val="0D0D0D" w:themeColor="text1" w:themeTint="F2"/>
          <w:sz w:val="24"/>
          <w:szCs w:val="24"/>
        </w:rPr>
        <w:t>views</w:t>
      </w:r>
      <w:r w:rsidR="0013679B" w:rsidRPr="00B67885">
        <w:rPr>
          <w:color w:val="0D0D0D" w:themeColor="text1" w:themeTint="F2"/>
          <w:sz w:val="24"/>
          <w:szCs w:val="24"/>
        </w:rPr>
        <w:t xml:space="preserve"> and concerns of </w:t>
      </w:r>
      <w:r w:rsidR="00213BF6" w:rsidRPr="00213BF6">
        <w:rPr>
          <w:color w:val="0D0D0D" w:themeColor="text1" w:themeTint="F2"/>
          <w:sz w:val="24"/>
          <w:szCs w:val="24"/>
        </w:rPr>
        <w:t>m</w:t>
      </w:r>
      <w:r w:rsidR="00213BF6">
        <w:rPr>
          <w:color w:val="0D0D0D" w:themeColor="text1" w:themeTint="F2"/>
          <w:sz w:val="24"/>
          <w:szCs w:val="24"/>
        </w:rPr>
        <w:t xml:space="preserve">ultiple </w:t>
      </w:r>
      <w:r w:rsidR="0013679B" w:rsidRPr="00B67885">
        <w:rPr>
          <w:color w:val="0D0D0D" w:themeColor="text1" w:themeTint="F2"/>
          <w:sz w:val="24"/>
          <w:szCs w:val="24"/>
        </w:rPr>
        <w:t xml:space="preserve">stakeholders </w:t>
      </w:r>
      <w:r w:rsidR="004B0258">
        <w:rPr>
          <w:color w:val="0D0D0D" w:themeColor="text1" w:themeTint="F2"/>
          <w:sz w:val="24"/>
          <w:szCs w:val="24"/>
        </w:rPr>
        <w:t>who do not agree</w:t>
      </w:r>
      <w:r w:rsidR="002D0C4F">
        <w:rPr>
          <w:color w:val="0D0D0D" w:themeColor="text1" w:themeTint="F2"/>
          <w:sz w:val="24"/>
          <w:szCs w:val="24"/>
        </w:rPr>
        <w:t xml:space="preserve"> on key issues</w:t>
      </w:r>
      <w:r w:rsidR="0013679B" w:rsidRPr="00B67885">
        <w:rPr>
          <w:color w:val="0D0D0D" w:themeColor="text1" w:themeTint="F2"/>
          <w:sz w:val="24"/>
          <w:szCs w:val="24"/>
        </w:rPr>
        <w:t xml:space="preserve"> in reaching an agreement</w:t>
      </w:r>
      <w:r w:rsidR="007B13DF">
        <w:rPr>
          <w:color w:val="0D0D0D" w:themeColor="text1" w:themeTint="F2"/>
          <w:sz w:val="24"/>
          <w:szCs w:val="24"/>
        </w:rPr>
        <w:t xml:space="preserve"> </w:t>
      </w:r>
    </w:p>
    <w:p w14:paraId="5945C529" w14:textId="628D4A6F" w:rsidR="008C59AD" w:rsidRDefault="00213BF6" w:rsidP="008C59AD">
      <w:pPr>
        <w:pStyle w:val="ListParagraph"/>
        <w:numPr>
          <w:ilvl w:val="0"/>
          <w:numId w:val="39"/>
        </w:numPr>
        <w:rPr>
          <w:color w:val="0D0D0D" w:themeColor="text1" w:themeTint="F2"/>
          <w:sz w:val="24"/>
          <w:szCs w:val="24"/>
        </w:rPr>
      </w:pPr>
      <w:r w:rsidRPr="008C59AD">
        <w:rPr>
          <w:color w:val="0D0D0D" w:themeColor="text1" w:themeTint="F2"/>
          <w:sz w:val="24"/>
          <w:szCs w:val="24"/>
        </w:rPr>
        <w:t>the complex inter-play between existing arrangements for community pharmacy as achieved through the CPA and other mechanisms</w:t>
      </w:r>
      <w:r w:rsidR="00DB34DA">
        <w:rPr>
          <w:color w:val="0D0D0D" w:themeColor="text1" w:themeTint="F2"/>
          <w:sz w:val="24"/>
          <w:szCs w:val="24"/>
        </w:rPr>
        <w:t>, and</w:t>
      </w:r>
      <w:r w:rsidRPr="008C59AD">
        <w:rPr>
          <w:color w:val="0D0D0D" w:themeColor="text1" w:themeTint="F2"/>
          <w:sz w:val="24"/>
          <w:szCs w:val="24"/>
        </w:rPr>
        <w:t xml:space="preserve"> </w:t>
      </w:r>
    </w:p>
    <w:p w14:paraId="03809DEB" w14:textId="62CFCF04" w:rsidR="005339D0" w:rsidRPr="008C59AD" w:rsidRDefault="0013679B" w:rsidP="008C59AD">
      <w:pPr>
        <w:pStyle w:val="ListParagraph"/>
        <w:numPr>
          <w:ilvl w:val="0"/>
          <w:numId w:val="39"/>
        </w:numPr>
        <w:rPr>
          <w:color w:val="0D0D0D" w:themeColor="text1" w:themeTint="F2"/>
          <w:sz w:val="24"/>
          <w:szCs w:val="24"/>
        </w:rPr>
      </w:pPr>
      <w:r w:rsidRPr="008C59AD">
        <w:rPr>
          <w:color w:val="0D0D0D" w:themeColor="text1" w:themeTint="F2"/>
          <w:sz w:val="24"/>
          <w:szCs w:val="24"/>
        </w:rPr>
        <w:t xml:space="preserve">agreement of </w:t>
      </w:r>
      <w:r w:rsidR="009D542D" w:rsidRPr="008C59AD">
        <w:rPr>
          <w:color w:val="0D0D0D" w:themeColor="text1" w:themeTint="F2"/>
          <w:sz w:val="24"/>
          <w:szCs w:val="24"/>
        </w:rPr>
        <w:t>G</w:t>
      </w:r>
      <w:r w:rsidRPr="008C59AD">
        <w:rPr>
          <w:color w:val="0D0D0D" w:themeColor="text1" w:themeTint="F2"/>
          <w:sz w:val="24"/>
          <w:szCs w:val="24"/>
        </w:rPr>
        <w:t xml:space="preserve">overnment to </w:t>
      </w:r>
      <w:r w:rsidR="00F76BE3" w:rsidRPr="008C59AD">
        <w:rPr>
          <w:color w:val="0D0D0D" w:themeColor="text1" w:themeTint="F2"/>
          <w:sz w:val="24"/>
          <w:szCs w:val="24"/>
        </w:rPr>
        <w:t xml:space="preserve">an </w:t>
      </w:r>
      <w:r w:rsidR="00213BF6" w:rsidRPr="008C59AD">
        <w:rPr>
          <w:color w:val="0D0D0D" w:themeColor="text1" w:themeTint="F2"/>
          <w:sz w:val="24"/>
          <w:szCs w:val="24"/>
        </w:rPr>
        <w:t xml:space="preserve">approach and </w:t>
      </w:r>
      <w:r w:rsidR="00F76BE3" w:rsidRPr="008C59AD">
        <w:rPr>
          <w:color w:val="0D0D0D" w:themeColor="text1" w:themeTint="F2"/>
          <w:sz w:val="24"/>
          <w:szCs w:val="24"/>
        </w:rPr>
        <w:t xml:space="preserve">the </w:t>
      </w:r>
      <w:r w:rsidRPr="008C59AD">
        <w:rPr>
          <w:color w:val="0D0D0D" w:themeColor="text1" w:themeTint="F2"/>
          <w:sz w:val="24"/>
          <w:szCs w:val="24"/>
        </w:rPr>
        <w:t>overall funding env</w:t>
      </w:r>
      <w:r w:rsidR="00F76BE3" w:rsidRPr="008C59AD">
        <w:rPr>
          <w:color w:val="0D0D0D" w:themeColor="text1" w:themeTint="F2"/>
          <w:sz w:val="24"/>
          <w:szCs w:val="24"/>
        </w:rPr>
        <w:t>elo</w:t>
      </w:r>
      <w:r w:rsidRPr="008C59AD">
        <w:rPr>
          <w:color w:val="0D0D0D" w:themeColor="text1" w:themeTint="F2"/>
          <w:sz w:val="24"/>
          <w:szCs w:val="24"/>
        </w:rPr>
        <w:t>pe for</w:t>
      </w:r>
      <w:r w:rsidR="00F76BE3" w:rsidRPr="008C59AD">
        <w:rPr>
          <w:color w:val="0D0D0D" w:themeColor="text1" w:themeTint="F2"/>
          <w:sz w:val="24"/>
          <w:szCs w:val="24"/>
        </w:rPr>
        <w:t xml:space="preserve"> remuneration</w:t>
      </w:r>
      <w:r w:rsidR="00213BF6" w:rsidRPr="008C59AD">
        <w:rPr>
          <w:color w:val="0D0D0D" w:themeColor="text1" w:themeTint="F2"/>
          <w:sz w:val="24"/>
          <w:szCs w:val="24"/>
        </w:rPr>
        <w:t>.</w:t>
      </w:r>
    </w:p>
    <w:p w14:paraId="40DB4B28" w14:textId="39130638" w:rsidR="00F76BE3" w:rsidRPr="00B67885" w:rsidRDefault="0014290F" w:rsidP="0095671A">
      <w:r w:rsidRPr="0095671A">
        <w:rPr>
          <w:color w:val="0D0D0D" w:themeColor="text1" w:themeTint="F2"/>
          <w:sz w:val="24"/>
          <w:szCs w:val="24"/>
        </w:rPr>
        <w:lastRenderedPageBreak/>
        <w:t xml:space="preserve">To manage the above barriers the Department </w:t>
      </w:r>
      <w:r w:rsidR="005339D0">
        <w:rPr>
          <w:color w:val="0D0D0D" w:themeColor="text1" w:themeTint="F2"/>
          <w:sz w:val="24"/>
          <w:szCs w:val="24"/>
        </w:rPr>
        <w:t>has and is continuing to undertake</w:t>
      </w:r>
      <w:r>
        <w:rPr>
          <w:color w:val="0D0D0D" w:themeColor="text1" w:themeTint="F2"/>
          <w:sz w:val="24"/>
          <w:szCs w:val="24"/>
        </w:rPr>
        <w:t xml:space="preserve"> extensive consultation and </w:t>
      </w:r>
      <w:r w:rsidR="005339D0">
        <w:rPr>
          <w:color w:val="0D0D0D" w:themeColor="text1" w:themeTint="F2"/>
          <w:sz w:val="24"/>
          <w:szCs w:val="24"/>
        </w:rPr>
        <w:t xml:space="preserve">hold regular </w:t>
      </w:r>
      <w:r>
        <w:rPr>
          <w:color w:val="0D0D0D" w:themeColor="text1" w:themeTint="F2"/>
          <w:sz w:val="24"/>
          <w:szCs w:val="24"/>
        </w:rPr>
        <w:t xml:space="preserve">meetings with </w:t>
      </w:r>
      <w:r w:rsidR="00DB34DA">
        <w:rPr>
          <w:color w:val="0D0D0D" w:themeColor="text1" w:themeTint="F2"/>
          <w:sz w:val="24"/>
          <w:szCs w:val="24"/>
        </w:rPr>
        <w:t xml:space="preserve">a </w:t>
      </w:r>
      <w:r w:rsidR="005339D0">
        <w:rPr>
          <w:color w:val="0D0D0D" w:themeColor="text1" w:themeTint="F2"/>
          <w:sz w:val="24"/>
          <w:szCs w:val="24"/>
        </w:rPr>
        <w:t xml:space="preserve">range of </w:t>
      </w:r>
      <w:r>
        <w:rPr>
          <w:color w:val="0D0D0D" w:themeColor="text1" w:themeTint="F2"/>
          <w:sz w:val="24"/>
          <w:szCs w:val="24"/>
        </w:rPr>
        <w:t>affected stakeholders</w:t>
      </w:r>
      <w:r w:rsidR="005339D0">
        <w:rPr>
          <w:color w:val="0D0D0D" w:themeColor="text1" w:themeTint="F2"/>
          <w:sz w:val="24"/>
          <w:szCs w:val="24"/>
        </w:rPr>
        <w:t xml:space="preserve"> including the Guild, PSA</w:t>
      </w:r>
      <w:r w:rsidR="00A31C17">
        <w:rPr>
          <w:color w:val="0D0D0D" w:themeColor="text1" w:themeTint="F2"/>
          <w:sz w:val="24"/>
          <w:szCs w:val="24"/>
        </w:rPr>
        <w:t>, NACCHO</w:t>
      </w:r>
      <w:r w:rsidR="005339D0">
        <w:rPr>
          <w:color w:val="0D0D0D" w:themeColor="text1" w:themeTint="F2"/>
          <w:sz w:val="24"/>
          <w:szCs w:val="24"/>
        </w:rPr>
        <w:t xml:space="preserve"> and </w:t>
      </w:r>
      <w:r w:rsidR="00A31C17">
        <w:rPr>
          <w:color w:val="0D0D0D" w:themeColor="text1" w:themeTint="F2"/>
          <w:sz w:val="24"/>
          <w:szCs w:val="24"/>
        </w:rPr>
        <w:t>relevant areas of g</w:t>
      </w:r>
      <w:r w:rsidR="005339D0">
        <w:rPr>
          <w:color w:val="0D0D0D" w:themeColor="text1" w:themeTint="F2"/>
          <w:sz w:val="24"/>
          <w:szCs w:val="24"/>
        </w:rPr>
        <w:t xml:space="preserve">overnment. </w:t>
      </w:r>
    </w:p>
    <w:p w14:paraId="479A8DBB" w14:textId="752DFA7B" w:rsidR="00BD51DD" w:rsidRPr="00BD51DD" w:rsidRDefault="00BD51DD" w:rsidP="00BD51DD">
      <w:pPr>
        <w:rPr>
          <w:color w:val="0D0D0D" w:themeColor="text1" w:themeTint="F2"/>
          <w:sz w:val="24"/>
          <w:szCs w:val="24"/>
        </w:rPr>
      </w:pPr>
    </w:p>
    <w:p w14:paraId="2C285CCF" w14:textId="67F85EB0" w:rsidR="001D11CD" w:rsidRPr="00C20287" w:rsidRDefault="00C51551" w:rsidP="00CD64D1">
      <w:pPr>
        <w:pStyle w:val="Heading2"/>
        <w:pageBreakBefore/>
      </w:pPr>
      <w:bookmarkStart w:id="66" w:name="_Toc132192301"/>
      <w:bookmarkStart w:id="67" w:name="_Toc168652745"/>
      <w:r w:rsidRPr="00C20287">
        <w:lastRenderedPageBreak/>
        <w:t xml:space="preserve">3. What policy options </w:t>
      </w:r>
      <w:r w:rsidR="00827DBE" w:rsidRPr="00C20287">
        <w:t xml:space="preserve">are you </w:t>
      </w:r>
      <w:r w:rsidRPr="00C20287">
        <w:t>considering?</w:t>
      </w:r>
      <w:bookmarkEnd w:id="66"/>
      <w:bookmarkEnd w:id="67"/>
    </w:p>
    <w:p w14:paraId="017899FA" w14:textId="08A9D36C" w:rsidR="001575A0" w:rsidRPr="00C20287" w:rsidRDefault="00A31C17" w:rsidP="00573125">
      <w:pPr>
        <w:pStyle w:val="BodyText"/>
        <w:rPr>
          <w:sz w:val="24"/>
          <w:szCs w:val="24"/>
        </w:rPr>
      </w:pPr>
      <w:r>
        <w:rPr>
          <w:color w:val="auto"/>
          <w:sz w:val="24"/>
          <w:szCs w:val="24"/>
        </w:rPr>
        <w:t>As outlined above there are</w:t>
      </w:r>
      <w:r w:rsidRPr="00C20287">
        <w:rPr>
          <w:color w:val="auto"/>
          <w:sz w:val="24"/>
          <w:szCs w:val="24"/>
        </w:rPr>
        <w:t xml:space="preserve"> </w:t>
      </w:r>
      <w:r>
        <w:rPr>
          <w:color w:val="auto"/>
          <w:sz w:val="24"/>
          <w:szCs w:val="24"/>
        </w:rPr>
        <w:t xml:space="preserve">only </w:t>
      </w:r>
      <w:r w:rsidRPr="00C20287">
        <w:rPr>
          <w:color w:val="auto"/>
          <w:sz w:val="24"/>
          <w:szCs w:val="24"/>
        </w:rPr>
        <w:t xml:space="preserve">two options for </w:t>
      </w:r>
      <w:r w:rsidR="00DB34DA">
        <w:rPr>
          <w:color w:val="0D0D0D" w:themeColor="text1" w:themeTint="F2"/>
          <w:sz w:val="24"/>
          <w:szCs w:val="24"/>
        </w:rPr>
        <w:t>determining</w:t>
      </w:r>
      <w:r>
        <w:rPr>
          <w:color w:val="0D0D0D" w:themeColor="text1" w:themeTint="F2"/>
          <w:sz w:val="24"/>
          <w:szCs w:val="24"/>
        </w:rPr>
        <w:t xml:space="preserve"> </w:t>
      </w:r>
      <w:r w:rsidRPr="00C20287">
        <w:rPr>
          <w:color w:val="0D0D0D" w:themeColor="text1" w:themeTint="F2"/>
          <w:sz w:val="24"/>
          <w:szCs w:val="24"/>
        </w:rPr>
        <w:t>the Commonwealth price for</w:t>
      </w:r>
      <w:r>
        <w:rPr>
          <w:color w:val="0D0D0D" w:themeColor="text1" w:themeTint="F2"/>
          <w:sz w:val="24"/>
          <w:szCs w:val="24"/>
        </w:rPr>
        <w:t xml:space="preserve"> the dispensing of PBS medicines consistent with the Act</w:t>
      </w:r>
      <w:r>
        <w:rPr>
          <w:color w:val="auto"/>
          <w:sz w:val="24"/>
          <w:szCs w:val="24"/>
        </w:rPr>
        <w:t xml:space="preserve">, </w:t>
      </w:r>
      <w:r w:rsidRPr="00C20287">
        <w:rPr>
          <w:color w:val="auto"/>
          <w:sz w:val="24"/>
          <w:szCs w:val="24"/>
        </w:rPr>
        <w:t>either</w:t>
      </w:r>
      <w:r>
        <w:rPr>
          <w:color w:val="auto"/>
          <w:sz w:val="24"/>
          <w:szCs w:val="24"/>
        </w:rPr>
        <w:t xml:space="preserve"> an agreement</w:t>
      </w:r>
      <w:r w:rsidRPr="00C20287">
        <w:rPr>
          <w:color w:val="auto"/>
          <w:sz w:val="24"/>
          <w:szCs w:val="24"/>
        </w:rPr>
        <w:t xml:space="preserve"> between the Commonwealth and the Guild </w:t>
      </w:r>
      <w:r>
        <w:rPr>
          <w:color w:val="auto"/>
          <w:sz w:val="24"/>
          <w:szCs w:val="24"/>
        </w:rPr>
        <w:t xml:space="preserve">which is </w:t>
      </w:r>
      <w:r w:rsidRPr="00C20287">
        <w:rPr>
          <w:color w:val="auto"/>
          <w:sz w:val="24"/>
          <w:szCs w:val="24"/>
        </w:rPr>
        <w:t>then ratified by the PBRT, or if there is no agreement in place</w:t>
      </w:r>
      <w:r>
        <w:rPr>
          <w:color w:val="auto"/>
          <w:sz w:val="24"/>
          <w:szCs w:val="24"/>
        </w:rPr>
        <w:t xml:space="preserve"> through</w:t>
      </w:r>
      <w:r w:rsidRPr="00C20287">
        <w:rPr>
          <w:color w:val="auto"/>
          <w:sz w:val="24"/>
          <w:szCs w:val="24"/>
        </w:rPr>
        <w:t xml:space="preserve"> a decision of the PBRT</w:t>
      </w:r>
      <w:r>
        <w:rPr>
          <w:color w:val="auto"/>
          <w:sz w:val="24"/>
          <w:szCs w:val="24"/>
        </w:rPr>
        <w:t>.</w:t>
      </w:r>
      <w:r w:rsidR="00404CBE" w:rsidRPr="00C20287">
        <w:rPr>
          <w:sz w:val="24"/>
          <w:szCs w:val="24"/>
        </w:rPr>
        <w:t xml:space="preserve"> </w:t>
      </w:r>
      <w:r w:rsidR="005B3579">
        <w:rPr>
          <w:sz w:val="24"/>
          <w:szCs w:val="24"/>
        </w:rPr>
        <w:t>While a wide range of options</w:t>
      </w:r>
      <w:r w:rsidR="00277DFA">
        <w:rPr>
          <w:sz w:val="24"/>
          <w:szCs w:val="24"/>
        </w:rPr>
        <w:t xml:space="preserve"> for a potential new CPA</w:t>
      </w:r>
      <w:r w:rsidR="005B3579">
        <w:rPr>
          <w:sz w:val="24"/>
          <w:szCs w:val="24"/>
        </w:rPr>
        <w:t xml:space="preserve"> were explored early on in the development of this policy</w:t>
      </w:r>
      <w:r w:rsidR="002D0C4F">
        <w:rPr>
          <w:sz w:val="24"/>
          <w:szCs w:val="24"/>
        </w:rPr>
        <w:t>,</w:t>
      </w:r>
      <w:r w:rsidR="005B3579">
        <w:rPr>
          <w:sz w:val="24"/>
          <w:szCs w:val="24"/>
        </w:rPr>
        <w:t xml:space="preserve"> most of these options would </w:t>
      </w:r>
      <w:r w:rsidR="005339D0">
        <w:rPr>
          <w:sz w:val="24"/>
          <w:szCs w:val="24"/>
        </w:rPr>
        <w:t>not l</w:t>
      </w:r>
      <w:r w:rsidR="005B3579">
        <w:rPr>
          <w:sz w:val="24"/>
          <w:szCs w:val="24"/>
        </w:rPr>
        <w:t xml:space="preserve">ead to an acceptable outcome for the Government or were </w:t>
      </w:r>
      <w:r w:rsidR="00277DFA">
        <w:rPr>
          <w:sz w:val="24"/>
          <w:szCs w:val="24"/>
        </w:rPr>
        <w:t xml:space="preserve">considered unlikely to offer a pathway to </w:t>
      </w:r>
      <w:r w:rsidR="005B3579">
        <w:rPr>
          <w:sz w:val="24"/>
          <w:szCs w:val="24"/>
        </w:rPr>
        <w:t xml:space="preserve">an agreement and would have resulted in reverting back to </w:t>
      </w:r>
      <w:r w:rsidR="005B3579" w:rsidRPr="00277DFA">
        <w:rPr>
          <w:sz w:val="24"/>
          <w:szCs w:val="24"/>
        </w:rPr>
        <w:t xml:space="preserve">Option 1. These options are not explored further in this </w:t>
      </w:r>
      <w:r w:rsidR="00F86906" w:rsidRPr="00277DFA">
        <w:rPr>
          <w:sz w:val="24"/>
          <w:szCs w:val="24"/>
        </w:rPr>
        <w:t>a</w:t>
      </w:r>
      <w:r w:rsidR="005B3579" w:rsidRPr="00277DFA">
        <w:rPr>
          <w:sz w:val="24"/>
          <w:szCs w:val="24"/>
        </w:rPr>
        <w:t>ssessment</w:t>
      </w:r>
      <w:r w:rsidR="00447F90" w:rsidRPr="00277DFA">
        <w:rPr>
          <w:sz w:val="24"/>
          <w:szCs w:val="24"/>
        </w:rPr>
        <w:t xml:space="preserve"> and broadly, in light of the stakeholder feedback it was considered that there were three main options</w:t>
      </w:r>
      <w:r w:rsidR="005B3579" w:rsidRPr="00277DFA">
        <w:rPr>
          <w:sz w:val="24"/>
          <w:szCs w:val="24"/>
        </w:rPr>
        <w:t>.</w:t>
      </w:r>
    </w:p>
    <w:p w14:paraId="7CB959E1" w14:textId="6FEF86A3" w:rsidR="00404CBE" w:rsidRPr="00C20287" w:rsidRDefault="00404CBE" w:rsidP="00573125">
      <w:pPr>
        <w:pStyle w:val="BodyText"/>
        <w:rPr>
          <w:sz w:val="24"/>
          <w:szCs w:val="24"/>
        </w:rPr>
      </w:pPr>
      <w:r w:rsidRPr="00C20287">
        <w:rPr>
          <w:sz w:val="24"/>
          <w:szCs w:val="24"/>
        </w:rPr>
        <w:t>The</w:t>
      </w:r>
      <w:r w:rsidR="00701951" w:rsidRPr="00C20287">
        <w:rPr>
          <w:sz w:val="24"/>
          <w:szCs w:val="24"/>
        </w:rPr>
        <w:t>se</w:t>
      </w:r>
      <w:r w:rsidRPr="00C20287">
        <w:rPr>
          <w:sz w:val="24"/>
          <w:szCs w:val="24"/>
        </w:rPr>
        <w:t xml:space="preserve"> options</w:t>
      </w:r>
      <w:r w:rsidR="00701951" w:rsidRPr="00C20287">
        <w:rPr>
          <w:sz w:val="24"/>
          <w:szCs w:val="24"/>
        </w:rPr>
        <w:t>,</w:t>
      </w:r>
      <w:r w:rsidRPr="00C20287">
        <w:rPr>
          <w:sz w:val="24"/>
          <w:szCs w:val="24"/>
        </w:rPr>
        <w:t xml:space="preserve"> </w:t>
      </w:r>
      <w:r w:rsidR="00701951" w:rsidRPr="00C20287">
        <w:rPr>
          <w:sz w:val="24"/>
          <w:szCs w:val="24"/>
        </w:rPr>
        <w:t xml:space="preserve">as </w:t>
      </w:r>
      <w:r w:rsidRPr="00C20287">
        <w:rPr>
          <w:sz w:val="24"/>
          <w:szCs w:val="24"/>
        </w:rPr>
        <w:t xml:space="preserve">considered in this </w:t>
      </w:r>
      <w:r w:rsidR="00DB34DA">
        <w:rPr>
          <w:sz w:val="24"/>
          <w:szCs w:val="24"/>
        </w:rPr>
        <w:t xml:space="preserve">IA </w:t>
      </w:r>
      <w:r w:rsidRPr="00C20287">
        <w:rPr>
          <w:sz w:val="24"/>
          <w:szCs w:val="24"/>
        </w:rPr>
        <w:t>are:</w:t>
      </w:r>
    </w:p>
    <w:p w14:paraId="56FE0E02" w14:textId="530D1978" w:rsidR="00824BC6" w:rsidRPr="00C20287" w:rsidRDefault="00824BC6" w:rsidP="00824BC6">
      <w:pPr>
        <w:pStyle w:val="BodyText"/>
        <w:ind w:left="2160" w:hanging="1440"/>
        <w:rPr>
          <w:sz w:val="24"/>
          <w:szCs w:val="24"/>
        </w:rPr>
      </w:pPr>
      <w:r w:rsidRPr="00C20287">
        <w:rPr>
          <w:sz w:val="24"/>
          <w:szCs w:val="24"/>
        </w:rPr>
        <w:t xml:space="preserve">Option 1: </w:t>
      </w:r>
      <w:r w:rsidRPr="00C20287">
        <w:rPr>
          <w:sz w:val="24"/>
          <w:szCs w:val="24"/>
        </w:rPr>
        <w:tab/>
        <w:t xml:space="preserve">Continuation of the 7CPA until 30 June 2025 and no new </w:t>
      </w:r>
      <w:r w:rsidR="00DB34DA">
        <w:rPr>
          <w:sz w:val="24"/>
          <w:szCs w:val="24"/>
        </w:rPr>
        <w:t xml:space="preserve">CPA </w:t>
      </w:r>
      <w:r w:rsidRPr="00C20287">
        <w:rPr>
          <w:sz w:val="24"/>
          <w:szCs w:val="24"/>
        </w:rPr>
        <w:t>following its expiry, unless one can be negotiated before this date (Status Quo)</w:t>
      </w:r>
    </w:p>
    <w:p w14:paraId="6B6C3931" w14:textId="53830FA7" w:rsidR="00824BC6" w:rsidRPr="00C20287" w:rsidRDefault="00824BC6" w:rsidP="00824BC6">
      <w:pPr>
        <w:pStyle w:val="BodyText"/>
        <w:rPr>
          <w:sz w:val="24"/>
          <w:szCs w:val="24"/>
        </w:rPr>
      </w:pPr>
      <w:r w:rsidRPr="00C20287">
        <w:rPr>
          <w:sz w:val="24"/>
          <w:szCs w:val="24"/>
        </w:rPr>
        <w:tab/>
        <w:t>Option 2:</w:t>
      </w:r>
      <w:r w:rsidRPr="00C20287">
        <w:rPr>
          <w:sz w:val="24"/>
          <w:szCs w:val="24"/>
        </w:rPr>
        <w:tab/>
        <w:t xml:space="preserve">Establish an 8CPA that includes </w:t>
      </w:r>
      <w:r w:rsidR="00F45740">
        <w:rPr>
          <w:sz w:val="24"/>
          <w:szCs w:val="24"/>
        </w:rPr>
        <w:t xml:space="preserve">all </w:t>
      </w:r>
      <w:r w:rsidRPr="00C20287">
        <w:rPr>
          <w:sz w:val="24"/>
          <w:szCs w:val="24"/>
        </w:rPr>
        <w:t xml:space="preserve">existing pharmacy programs </w:t>
      </w:r>
    </w:p>
    <w:p w14:paraId="31DAFE2B" w14:textId="11B2EEC1" w:rsidR="00824BC6" w:rsidRPr="00C20287" w:rsidRDefault="00824BC6" w:rsidP="00824BC6">
      <w:pPr>
        <w:pStyle w:val="BodyText"/>
        <w:ind w:left="2160" w:hanging="1440"/>
        <w:rPr>
          <w:color w:val="0D0D0D" w:themeColor="text1" w:themeTint="F2"/>
          <w:sz w:val="24"/>
          <w:szCs w:val="24"/>
        </w:rPr>
      </w:pPr>
      <w:r w:rsidRPr="00C20287">
        <w:rPr>
          <w:sz w:val="24"/>
          <w:szCs w:val="24"/>
        </w:rPr>
        <w:t>Option 3:</w:t>
      </w:r>
      <w:r w:rsidRPr="00C20287">
        <w:rPr>
          <w:sz w:val="24"/>
          <w:szCs w:val="24"/>
        </w:rPr>
        <w:tab/>
        <w:t xml:space="preserve">Establish an 8CPA for dispensing remuneration </w:t>
      </w:r>
      <w:r w:rsidR="00F45740">
        <w:rPr>
          <w:sz w:val="24"/>
          <w:szCs w:val="24"/>
        </w:rPr>
        <w:t>and</w:t>
      </w:r>
      <w:r w:rsidR="00F45740" w:rsidRPr="00C20287">
        <w:rPr>
          <w:sz w:val="24"/>
          <w:szCs w:val="24"/>
        </w:rPr>
        <w:t xml:space="preserve"> </w:t>
      </w:r>
      <w:r w:rsidR="005339D0">
        <w:rPr>
          <w:sz w:val="24"/>
          <w:szCs w:val="24"/>
        </w:rPr>
        <w:t xml:space="preserve">only </w:t>
      </w:r>
      <w:r w:rsidRPr="00C20287">
        <w:rPr>
          <w:sz w:val="24"/>
          <w:szCs w:val="24"/>
        </w:rPr>
        <w:t xml:space="preserve">pharmacy programs </w:t>
      </w:r>
      <w:r w:rsidR="00F45740">
        <w:rPr>
          <w:sz w:val="24"/>
          <w:szCs w:val="24"/>
        </w:rPr>
        <w:t>delivered directly through community pharmacies</w:t>
      </w:r>
    </w:p>
    <w:p w14:paraId="0BD1DAFD" w14:textId="77777777" w:rsidR="002A0248" w:rsidRPr="00C20287" w:rsidRDefault="002A0248" w:rsidP="002A0248">
      <w:pPr>
        <w:pStyle w:val="BodyText"/>
        <w:rPr>
          <w:color w:val="0D0D0D" w:themeColor="text1" w:themeTint="F2"/>
          <w:sz w:val="24"/>
          <w:szCs w:val="24"/>
        </w:rPr>
      </w:pPr>
    </w:p>
    <w:p w14:paraId="1F4AFAEE" w14:textId="5B42681A" w:rsidR="00E83BFA" w:rsidRPr="00C20287" w:rsidRDefault="00E83BFA" w:rsidP="00E83BFA">
      <w:pPr>
        <w:pStyle w:val="Heading3"/>
        <w:ind w:left="1701" w:hanging="1701"/>
      </w:pPr>
      <w:bookmarkStart w:id="68" w:name="_Toc168652746"/>
      <w:bookmarkStart w:id="69" w:name="_Toc132192303"/>
      <w:r w:rsidRPr="00C20287">
        <w:t>Option 1:</w:t>
      </w:r>
      <w:r w:rsidRPr="00C20287">
        <w:tab/>
      </w:r>
      <w:r w:rsidR="00E146D4" w:rsidRPr="00C20287">
        <w:t xml:space="preserve">Continuation of the 7CPA until 30 June 2025 and no new Community Pharmacy Agreement following its expiry </w:t>
      </w:r>
      <w:r w:rsidR="00264979" w:rsidRPr="00C20287">
        <w:t>(Status Quo)</w:t>
      </w:r>
      <w:bookmarkEnd w:id="68"/>
    </w:p>
    <w:p w14:paraId="4C754BB4" w14:textId="480E5979" w:rsidR="00585057" w:rsidRPr="00C20287" w:rsidRDefault="001472A1" w:rsidP="00BD2E73">
      <w:pPr>
        <w:pStyle w:val="BodyText"/>
        <w:rPr>
          <w:sz w:val="24"/>
          <w:szCs w:val="24"/>
        </w:rPr>
      </w:pPr>
      <w:r>
        <w:rPr>
          <w:sz w:val="24"/>
          <w:szCs w:val="24"/>
        </w:rPr>
        <w:t>Should</w:t>
      </w:r>
      <w:r w:rsidR="00E83BFA" w:rsidRPr="00C20287">
        <w:rPr>
          <w:sz w:val="24"/>
          <w:szCs w:val="24"/>
        </w:rPr>
        <w:t xml:space="preserve"> the 7CPA</w:t>
      </w:r>
      <w:r w:rsidR="005216DE">
        <w:rPr>
          <w:sz w:val="24"/>
          <w:szCs w:val="24"/>
        </w:rPr>
        <w:t xml:space="preserve"> expire </w:t>
      </w:r>
      <w:r>
        <w:rPr>
          <w:sz w:val="24"/>
          <w:szCs w:val="24"/>
        </w:rPr>
        <w:t>on 30 June 2025</w:t>
      </w:r>
      <w:r w:rsidR="005216DE">
        <w:rPr>
          <w:sz w:val="24"/>
          <w:szCs w:val="24"/>
        </w:rPr>
        <w:t xml:space="preserve"> </w:t>
      </w:r>
      <w:r w:rsidR="00606571">
        <w:rPr>
          <w:sz w:val="24"/>
          <w:szCs w:val="24"/>
        </w:rPr>
        <w:t>and not be replace</w:t>
      </w:r>
      <w:r w:rsidR="00A43476">
        <w:rPr>
          <w:sz w:val="24"/>
          <w:szCs w:val="24"/>
        </w:rPr>
        <w:t>d</w:t>
      </w:r>
      <w:r w:rsidR="00606571">
        <w:rPr>
          <w:sz w:val="24"/>
          <w:szCs w:val="24"/>
        </w:rPr>
        <w:t xml:space="preserve"> with a new agreement</w:t>
      </w:r>
      <w:r w:rsidR="002D0C4F">
        <w:rPr>
          <w:sz w:val="24"/>
          <w:szCs w:val="24"/>
        </w:rPr>
        <w:t>,</w:t>
      </w:r>
      <w:r w:rsidR="00606571">
        <w:rPr>
          <w:sz w:val="24"/>
          <w:szCs w:val="24"/>
        </w:rPr>
        <w:t xml:space="preserve"> </w:t>
      </w:r>
      <w:r w:rsidR="005216DE">
        <w:rPr>
          <w:sz w:val="24"/>
          <w:szCs w:val="24"/>
        </w:rPr>
        <w:t>e</w:t>
      </w:r>
      <w:r w:rsidR="00BA7E3A" w:rsidRPr="00C20287">
        <w:rPr>
          <w:sz w:val="24"/>
          <w:szCs w:val="24"/>
        </w:rPr>
        <w:t>xisting process</w:t>
      </w:r>
      <w:r w:rsidR="003E1B19" w:rsidRPr="00C20287">
        <w:rPr>
          <w:sz w:val="24"/>
          <w:szCs w:val="24"/>
        </w:rPr>
        <w:t>es and ongoing funding commitments fr</w:t>
      </w:r>
      <w:r w:rsidR="00210B97" w:rsidRPr="00C20287">
        <w:rPr>
          <w:sz w:val="24"/>
          <w:szCs w:val="24"/>
        </w:rPr>
        <w:t>o</w:t>
      </w:r>
      <w:r w:rsidR="003E1B19" w:rsidRPr="00C20287">
        <w:rPr>
          <w:sz w:val="24"/>
          <w:szCs w:val="24"/>
        </w:rPr>
        <w:t>m Government</w:t>
      </w:r>
      <w:r w:rsidR="00BA7E3A" w:rsidRPr="00C20287">
        <w:rPr>
          <w:sz w:val="24"/>
          <w:szCs w:val="24"/>
        </w:rPr>
        <w:t xml:space="preserve"> would ensure that </w:t>
      </w:r>
      <w:r w:rsidR="00E83BFA" w:rsidRPr="00C20287">
        <w:rPr>
          <w:sz w:val="24"/>
          <w:szCs w:val="24"/>
        </w:rPr>
        <w:t xml:space="preserve">a number of </w:t>
      </w:r>
      <w:r w:rsidR="00BA7E3A" w:rsidRPr="00C20287">
        <w:rPr>
          <w:sz w:val="24"/>
          <w:szCs w:val="24"/>
        </w:rPr>
        <w:t xml:space="preserve">critical </w:t>
      </w:r>
      <w:r w:rsidR="00E83BFA" w:rsidRPr="00C20287">
        <w:rPr>
          <w:sz w:val="24"/>
          <w:szCs w:val="24"/>
        </w:rPr>
        <w:t xml:space="preserve">aspects of the funding </w:t>
      </w:r>
      <w:r w:rsidR="00BA7E3A" w:rsidRPr="00C20287">
        <w:rPr>
          <w:sz w:val="24"/>
          <w:szCs w:val="24"/>
        </w:rPr>
        <w:t>for</w:t>
      </w:r>
      <w:r w:rsidR="00E83BFA" w:rsidRPr="00C20287">
        <w:rPr>
          <w:sz w:val="24"/>
          <w:szCs w:val="24"/>
        </w:rPr>
        <w:t xml:space="preserve"> community pharmacies would continue </w:t>
      </w:r>
      <w:r w:rsidR="00BA7E3A" w:rsidRPr="00C20287">
        <w:rPr>
          <w:sz w:val="24"/>
          <w:szCs w:val="24"/>
        </w:rPr>
        <w:t>to operate as per the 7CPA</w:t>
      </w:r>
      <w:r w:rsidR="005216DE">
        <w:rPr>
          <w:sz w:val="24"/>
          <w:szCs w:val="24"/>
        </w:rPr>
        <w:t>.</w:t>
      </w:r>
      <w:r w:rsidR="00E83BFA" w:rsidRPr="00C20287">
        <w:rPr>
          <w:sz w:val="24"/>
          <w:szCs w:val="24"/>
        </w:rPr>
        <w:t xml:space="preserve"> </w:t>
      </w:r>
      <w:r w:rsidR="005216DE">
        <w:rPr>
          <w:sz w:val="24"/>
          <w:szCs w:val="24"/>
        </w:rPr>
        <w:t>H</w:t>
      </w:r>
      <w:r w:rsidR="00BA7E3A" w:rsidRPr="00C20287">
        <w:rPr>
          <w:sz w:val="24"/>
          <w:szCs w:val="24"/>
        </w:rPr>
        <w:t>owever</w:t>
      </w:r>
      <w:r w:rsidR="00606571">
        <w:rPr>
          <w:sz w:val="24"/>
          <w:szCs w:val="24"/>
        </w:rPr>
        <w:t>,</w:t>
      </w:r>
      <w:r w:rsidR="00BA7E3A" w:rsidRPr="00C20287">
        <w:rPr>
          <w:sz w:val="24"/>
          <w:szCs w:val="24"/>
        </w:rPr>
        <w:t xml:space="preserve"> </w:t>
      </w:r>
      <w:r w:rsidR="005216DE">
        <w:rPr>
          <w:sz w:val="24"/>
          <w:szCs w:val="24"/>
        </w:rPr>
        <w:t>some</w:t>
      </w:r>
      <w:r w:rsidR="00BA7E3A" w:rsidRPr="00C20287">
        <w:rPr>
          <w:sz w:val="24"/>
          <w:szCs w:val="24"/>
        </w:rPr>
        <w:t xml:space="preserve"> programs </w:t>
      </w:r>
      <w:r w:rsidR="005216DE">
        <w:rPr>
          <w:sz w:val="24"/>
          <w:szCs w:val="24"/>
        </w:rPr>
        <w:t xml:space="preserve">and services </w:t>
      </w:r>
      <w:r w:rsidR="00E83BFA" w:rsidRPr="00C20287">
        <w:rPr>
          <w:sz w:val="24"/>
          <w:szCs w:val="24"/>
        </w:rPr>
        <w:t xml:space="preserve">would </w:t>
      </w:r>
      <w:r w:rsidR="00475F00" w:rsidRPr="00C20287">
        <w:rPr>
          <w:sz w:val="24"/>
          <w:szCs w:val="24"/>
        </w:rPr>
        <w:t>need to be managed through new approaches, as</w:t>
      </w:r>
      <w:r w:rsidR="00DA0E51" w:rsidRPr="00C20287">
        <w:rPr>
          <w:sz w:val="24"/>
          <w:szCs w:val="24"/>
        </w:rPr>
        <w:t xml:space="preserve"> </w:t>
      </w:r>
      <w:r w:rsidR="00026067" w:rsidRPr="00C20287">
        <w:rPr>
          <w:sz w:val="24"/>
          <w:szCs w:val="24"/>
        </w:rPr>
        <w:t>outlined below</w:t>
      </w:r>
      <w:r w:rsidR="00DB34DA">
        <w:rPr>
          <w:sz w:val="24"/>
          <w:szCs w:val="24"/>
        </w:rPr>
        <w:t>:</w:t>
      </w:r>
      <w:r w:rsidR="00534ADE" w:rsidRPr="00C20287">
        <w:rPr>
          <w:sz w:val="24"/>
          <w:szCs w:val="24"/>
        </w:rPr>
        <w:t xml:space="preserve"> </w:t>
      </w:r>
    </w:p>
    <w:p w14:paraId="505A180C" w14:textId="1D59F4D4" w:rsidR="0096241C" w:rsidRPr="0096241C" w:rsidRDefault="005216DE" w:rsidP="0096241C">
      <w:pPr>
        <w:pStyle w:val="ListParagraph"/>
        <w:numPr>
          <w:ilvl w:val="0"/>
          <w:numId w:val="8"/>
        </w:numPr>
        <w:rPr>
          <w:color w:val="0D0D0D" w:themeColor="text1" w:themeTint="F2"/>
          <w:sz w:val="24"/>
          <w:szCs w:val="24"/>
        </w:rPr>
      </w:pPr>
      <w:r>
        <w:rPr>
          <w:color w:val="0D0D0D" w:themeColor="text1" w:themeTint="F2"/>
          <w:sz w:val="24"/>
          <w:szCs w:val="24"/>
        </w:rPr>
        <w:t>D</w:t>
      </w:r>
      <w:r w:rsidR="0096241C" w:rsidRPr="0096241C">
        <w:rPr>
          <w:color w:val="0D0D0D" w:themeColor="text1" w:themeTint="F2"/>
          <w:sz w:val="24"/>
          <w:szCs w:val="24"/>
        </w:rPr>
        <w:t>ispensing remuneration would be independently determined by the PBRT. Until such a determination by the PBRT was undertaken, remuneration to pharmacists for dispensing PBS medicines would remain at the level set at the cessation of the 7CPA.</w:t>
      </w:r>
    </w:p>
    <w:p w14:paraId="2B596B50" w14:textId="77777777" w:rsidR="0096241C" w:rsidRPr="0096241C" w:rsidRDefault="0096241C" w:rsidP="0096241C">
      <w:pPr>
        <w:pStyle w:val="ListParagraph"/>
        <w:numPr>
          <w:ilvl w:val="0"/>
          <w:numId w:val="8"/>
        </w:numPr>
        <w:rPr>
          <w:color w:val="0D0D0D" w:themeColor="text1" w:themeTint="F2"/>
          <w:sz w:val="24"/>
          <w:szCs w:val="24"/>
        </w:rPr>
      </w:pPr>
      <w:r w:rsidRPr="0096241C">
        <w:rPr>
          <w:color w:val="0D0D0D" w:themeColor="text1" w:themeTint="F2"/>
          <w:sz w:val="24"/>
          <w:szCs w:val="24"/>
        </w:rPr>
        <w:t xml:space="preserve">The PBRT would be required to hold an inquiry to ascertain whether the Commonwealth price should be varied. In carrying out the inquiry the PBRT may approve criteria that it considers to be appropriate for use in determining the nature or magnitude of fees or other amounts, and may, at any time, vary or revoke such criteria. </w:t>
      </w:r>
    </w:p>
    <w:p w14:paraId="3264F8B1" w14:textId="44AE750D" w:rsidR="00455DAD" w:rsidRPr="00C20287" w:rsidRDefault="0096241C" w:rsidP="00FF4C3F">
      <w:pPr>
        <w:pStyle w:val="ListParagraph"/>
        <w:numPr>
          <w:ilvl w:val="0"/>
          <w:numId w:val="8"/>
        </w:numPr>
      </w:pPr>
      <w:r w:rsidRPr="0096241C">
        <w:rPr>
          <w:color w:val="0D0D0D" w:themeColor="text1" w:themeTint="F2"/>
          <w:sz w:val="24"/>
          <w:szCs w:val="24"/>
        </w:rPr>
        <w:t>In determining fees or other amounts and in approving criteria, the Tribunal must have regard to national minimum wage orders of the Fair Work Commission, and, in particular, any statements by the Commission about the effect of wage increases on productivity, inflation and levels of employment (sections 98B and 98BA of the Act).</w:t>
      </w:r>
    </w:p>
    <w:p w14:paraId="4591BE9D" w14:textId="6E052CA1" w:rsidR="00A64EAE" w:rsidRPr="00C20287" w:rsidRDefault="00A64EAE" w:rsidP="0095671A">
      <w:pPr>
        <w:pStyle w:val="ListParagraph"/>
        <w:numPr>
          <w:ilvl w:val="1"/>
          <w:numId w:val="8"/>
        </w:numPr>
      </w:pPr>
      <w:r>
        <w:rPr>
          <w:color w:val="0D0D0D" w:themeColor="text1" w:themeTint="F2"/>
          <w:sz w:val="24"/>
          <w:szCs w:val="24"/>
        </w:rPr>
        <w:t>Once a level of remuneration is determined the Government could undertake a communication strategy to explain the cost of medicine to consumers.</w:t>
      </w:r>
      <w:r w:rsidR="005339D0">
        <w:rPr>
          <w:color w:val="0D0D0D" w:themeColor="text1" w:themeTint="F2"/>
          <w:sz w:val="24"/>
          <w:szCs w:val="24"/>
        </w:rPr>
        <w:t xml:space="preserve"> However unlike </w:t>
      </w:r>
      <w:r w:rsidR="005339D0">
        <w:rPr>
          <w:color w:val="0D0D0D" w:themeColor="text1" w:themeTint="F2"/>
          <w:sz w:val="24"/>
          <w:szCs w:val="24"/>
        </w:rPr>
        <w:lastRenderedPageBreak/>
        <w:t>the CPA there would not be a commitment to improve transparency of pricing for individuals at the pharmacy level.</w:t>
      </w:r>
    </w:p>
    <w:p w14:paraId="6376E98A" w14:textId="3CBD9475" w:rsidR="00E83BFA" w:rsidRPr="00C20287" w:rsidRDefault="00E83BFA" w:rsidP="00E83BFA">
      <w:pPr>
        <w:pStyle w:val="ListParagraph"/>
        <w:numPr>
          <w:ilvl w:val="0"/>
          <w:numId w:val="8"/>
        </w:numPr>
        <w:autoSpaceDE w:val="0"/>
        <w:autoSpaceDN w:val="0"/>
        <w:adjustRightInd w:val="0"/>
        <w:spacing w:line="240" w:lineRule="auto"/>
        <w:rPr>
          <w:color w:val="0D0D0D" w:themeColor="text1" w:themeTint="F2"/>
          <w:sz w:val="24"/>
          <w:szCs w:val="24"/>
        </w:rPr>
      </w:pPr>
      <w:r w:rsidRPr="00C20287">
        <w:rPr>
          <w:iCs/>
          <w:color w:val="0D0D0D" w:themeColor="text1" w:themeTint="F2"/>
          <w:sz w:val="24"/>
          <w:szCs w:val="24"/>
        </w:rPr>
        <w:t>CPP</w:t>
      </w:r>
      <w:r w:rsidR="0017069B" w:rsidRPr="00C20287">
        <w:rPr>
          <w:iCs/>
          <w:color w:val="0D0D0D" w:themeColor="text1" w:themeTint="F2"/>
          <w:sz w:val="24"/>
          <w:szCs w:val="24"/>
        </w:rPr>
        <w:t>s delivering services to consumers (such as medication management and review programs)</w:t>
      </w:r>
      <w:r w:rsidRPr="00C20287">
        <w:rPr>
          <w:iCs/>
          <w:color w:val="0D0D0D" w:themeColor="text1" w:themeTint="F2"/>
          <w:sz w:val="24"/>
          <w:szCs w:val="24"/>
        </w:rPr>
        <w:t xml:space="preserve"> would continue as outlined in the 7CPA </w:t>
      </w:r>
      <w:r w:rsidR="00581AB4" w:rsidRPr="00C20287">
        <w:rPr>
          <w:iCs/>
          <w:color w:val="0D0D0D" w:themeColor="text1" w:themeTint="F2"/>
          <w:sz w:val="24"/>
          <w:szCs w:val="24"/>
        </w:rPr>
        <w:t>while they are form</w:t>
      </w:r>
      <w:r w:rsidR="00475F00" w:rsidRPr="00C20287">
        <w:rPr>
          <w:iCs/>
          <w:color w:val="0D0D0D" w:themeColor="text1" w:themeTint="F2"/>
          <w:sz w:val="24"/>
          <w:szCs w:val="24"/>
        </w:rPr>
        <w:t>al</w:t>
      </w:r>
      <w:r w:rsidR="00581AB4" w:rsidRPr="00C20287">
        <w:rPr>
          <w:iCs/>
          <w:color w:val="0D0D0D" w:themeColor="text1" w:themeTint="F2"/>
          <w:sz w:val="24"/>
          <w:szCs w:val="24"/>
        </w:rPr>
        <w:t>ly evaluated separately by the Department and actions taken to ensure they are delivering on intended outcomes. Ongoing funding of</w:t>
      </w:r>
      <w:r w:rsidR="00226BA9">
        <w:rPr>
          <w:iCs/>
          <w:color w:val="0D0D0D" w:themeColor="text1" w:themeTint="F2"/>
          <w:sz w:val="24"/>
          <w:szCs w:val="24"/>
        </w:rPr>
        <w:t xml:space="preserve"> some</w:t>
      </w:r>
      <w:r w:rsidR="00581AB4" w:rsidRPr="00C20287">
        <w:rPr>
          <w:iCs/>
          <w:color w:val="0D0D0D" w:themeColor="text1" w:themeTint="F2"/>
          <w:sz w:val="24"/>
          <w:szCs w:val="24"/>
        </w:rPr>
        <w:t xml:space="preserve"> existing CPPs </w:t>
      </w:r>
      <w:r w:rsidRPr="00C20287">
        <w:rPr>
          <w:iCs/>
          <w:color w:val="0D0D0D" w:themeColor="text1" w:themeTint="F2"/>
          <w:sz w:val="24"/>
          <w:szCs w:val="24"/>
        </w:rPr>
        <w:t>was agreed as part of the 2023-24 Budget</w:t>
      </w:r>
      <w:r w:rsidR="00581AB4" w:rsidRPr="00C20287">
        <w:rPr>
          <w:iCs/>
          <w:color w:val="0D0D0D" w:themeColor="text1" w:themeTint="F2"/>
          <w:sz w:val="24"/>
          <w:szCs w:val="24"/>
        </w:rPr>
        <w:t xml:space="preserve"> and c</w:t>
      </w:r>
      <w:r w:rsidR="00162FBC" w:rsidRPr="00C20287">
        <w:rPr>
          <w:iCs/>
          <w:color w:val="0D0D0D" w:themeColor="text1" w:themeTint="F2"/>
          <w:sz w:val="24"/>
          <w:szCs w:val="24"/>
        </w:rPr>
        <w:t>hanges to these programs</w:t>
      </w:r>
      <w:r w:rsidR="004C2308">
        <w:rPr>
          <w:iCs/>
          <w:color w:val="0D0D0D" w:themeColor="text1" w:themeTint="F2"/>
          <w:sz w:val="24"/>
          <w:szCs w:val="24"/>
        </w:rPr>
        <w:t>, to make them more patient centric,</w:t>
      </w:r>
      <w:r w:rsidR="00162FBC" w:rsidRPr="00C20287">
        <w:rPr>
          <w:iCs/>
          <w:color w:val="0D0D0D" w:themeColor="text1" w:themeTint="F2"/>
          <w:sz w:val="24"/>
          <w:szCs w:val="24"/>
        </w:rPr>
        <w:t xml:space="preserve"> could be made </w:t>
      </w:r>
      <w:r w:rsidR="00475F00" w:rsidRPr="00C20287">
        <w:rPr>
          <w:iCs/>
          <w:color w:val="0D0D0D" w:themeColor="text1" w:themeTint="F2"/>
          <w:sz w:val="24"/>
          <w:szCs w:val="24"/>
        </w:rPr>
        <w:t>by the Government through normal policy and funding decision-making processes</w:t>
      </w:r>
      <w:r w:rsidR="00162FBC" w:rsidRPr="00C20287">
        <w:rPr>
          <w:iCs/>
          <w:color w:val="0D0D0D" w:themeColor="text1" w:themeTint="F2"/>
          <w:sz w:val="24"/>
          <w:szCs w:val="24"/>
        </w:rPr>
        <w:t>.</w:t>
      </w:r>
    </w:p>
    <w:p w14:paraId="63EA4BC4" w14:textId="4A5D2E8B" w:rsidR="00E83BFA" w:rsidRPr="00C20287" w:rsidRDefault="00C20287" w:rsidP="00E83BFA">
      <w:pPr>
        <w:pStyle w:val="ListParagraph"/>
        <w:numPr>
          <w:ilvl w:val="0"/>
          <w:numId w:val="8"/>
        </w:numPr>
        <w:autoSpaceDE w:val="0"/>
        <w:autoSpaceDN w:val="0"/>
        <w:adjustRightInd w:val="0"/>
        <w:spacing w:line="240" w:lineRule="auto"/>
        <w:rPr>
          <w:color w:val="0D0D0D" w:themeColor="text1" w:themeTint="F2"/>
          <w:sz w:val="24"/>
          <w:szCs w:val="24"/>
        </w:rPr>
      </w:pPr>
      <w:r>
        <w:rPr>
          <w:iCs/>
          <w:color w:val="0D0D0D" w:themeColor="text1" w:themeTint="F2"/>
          <w:sz w:val="24"/>
          <w:szCs w:val="24"/>
        </w:rPr>
        <w:t>NDSS arrangements would require</w:t>
      </w:r>
      <w:r w:rsidR="00E83BFA" w:rsidRPr="00C20287">
        <w:rPr>
          <w:iCs/>
          <w:color w:val="0D0D0D" w:themeColor="text1" w:themeTint="F2"/>
          <w:sz w:val="24"/>
          <w:szCs w:val="24"/>
        </w:rPr>
        <w:t xml:space="preserve"> </w:t>
      </w:r>
      <w:r w:rsidR="00475F00" w:rsidRPr="00C20287">
        <w:rPr>
          <w:iCs/>
          <w:color w:val="0D0D0D" w:themeColor="text1" w:themeTint="F2"/>
          <w:sz w:val="24"/>
          <w:szCs w:val="24"/>
        </w:rPr>
        <w:t xml:space="preserve">discussion </w:t>
      </w:r>
      <w:r w:rsidR="00E83BFA" w:rsidRPr="00C20287">
        <w:rPr>
          <w:iCs/>
          <w:color w:val="0D0D0D" w:themeColor="text1" w:themeTint="F2"/>
          <w:sz w:val="24"/>
          <w:szCs w:val="24"/>
        </w:rPr>
        <w:t xml:space="preserve">with </w:t>
      </w:r>
      <w:r w:rsidR="00162FBC" w:rsidRPr="00C20287">
        <w:rPr>
          <w:iCs/>
          <w:color w:val="0D0D0D" w:themeColor="text1" w:themeTint="F2"/>
          <w:sz w:val="24"/>
          <w:szCs w:val="24"/>
        </w:rPr>
        <w:t>the National Pharmaceutical Services Association (</w:t>
      </w:r>
      <w:r w:rsidR="00E83BFA" w:rsidRPr="00C20287">
        <w:rPr>
          <w:iCs/>
          <w:color w:val="0D0D0D" w:themeColor="text1" w:themeTint="F2"/>
          <w:sz w:val="24"/>
          <w:szCs w:val="24"/>
        </w:rPr>
        <w:t>NPSA</w:t>
      </w:r>
      <w:r w:rsidR="00162FBC" w:rsidRPr="00C20287">
        <w:rPr>
          <w:iCs/>
          <w:color w:val="0D0D0D" w:themeColor="text1" w:themeTint="F2"/>
          <w:sz w:val="24"/>
          <w:szCs w:val="24"/>
        </w:rPr>
        <w:t>)</w:t>
      </w:r>
      <w:r w:rsidR="00EF0CDB" w:rsidRPr="00C20287">
        <w:rPr>
          <w:iCs/>
          <w:color w:val="0D0D0D" w:themeColor="text1" w:themeTint="F2"/>
          <w:sz w:val="24"/>
          <w:szCs w:val="24"/>
        </w:rPr>
        <w:t xml:space="preserve">, </w:t>
      </w:r>
      <w:r w:rsidR="00EF0CDB" w:rsidRPr="00C20287">
        <w:rPr>
          <w:color w:val="auto"/>
          <w:sz w:val="24"/>
          <w:szCs w:val="24"/>
        </w:rPr>
        <w:t>the peak body representing wholesalers,</w:t>
      </w:r>
      <w:r w:rsidR="00E83BFA" w:rsidRPr="00C20287">
        <w:rPr>
          <w:iCs/>
          <w:color w:val="0D0D0D" w:themeColor="text1" w:themeTint="F2"/>
          <w:sz w:val="24"/>
          <w:szCs w:val="24"/>
        </w:rPr>
        <w:t xml:space="preserve"> and non-NPSA wholesalers before expiry of the 7CPA or as soon as practical</w:t>
      </w:r>
      <w:r w:rsidR="00AF130A" w:rsidRPr="00C20287">
        <w:rPr>
          <w:iCs/>
          <w:color w:val="0D0D0D" w:themeColor="text1" w:themeTint="F2"/>
          <w:sz w:val="24"/>
          <w:szCs w:val="24"/>
        </w:rPr>
        <w:t xml:space="preserve"> thereafter</w:t>
      </w:r>
      <w:r w:rsidR="00E83BFA" w:rsidRPr="00C20287">
        <w:rPr>
          <w:iCs/>
          <w:color w:val="0D0D0D" w:themeColor="text1" w:themeTint="F2"/>
          <w:sz w:val="24"/>
          <w:szCs w:val="24"/>
        </w:rPr>
        <w:t>.</w:t>
      </w:r>
      <w:r w:rsidR="00475F00" w:rsidRPr="00C20287">
        <w:rPr>
          <w:iCs/>
          <w:color w:val="0D0D0D" w:themeColor="text1" w:themeTint="F2"/>
          <w:sz w:val="24"/>
          <w:szCs w:val="24"/>
        </w:rPr>
        <w:t xml:space="preserve"> Longer term, alternative arrangements for direct delivery of NDSS products to consumers could be investigated, with public approaches to market for organisations with capability to manage and distribute these products.</w:t>
      </w:r>
    </w:p>
    <w:p w14:paraId="7140DABC" w14:textId="73CD5F9E" w:rsidR="00F27555" w:rsidRPr="00C20287" w:rsidRDefault="007F0EA0" w:rsidP="00FA69ED">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CSO arrangements </w:t>
      </w:r>
      <w:r w:rsidR="00CD7E0E" w:rsidRPr="00C20287">
        <w:rPr>
          <w:iCs/>
          <w:color w:val="0D0D0D" w:themeColor="text1" w:themeTint="F2"/>
          <w:sz w:val="24"/>
          <w:szCs w:val="24"/>
        </w:rPr>
        <w:t xml:space="preserve">including those outlined in the 7CPA and </w:t>
      </w:r>
      <w:r w:rsidR="00026067" w:rsidRPr="00C20287">
        <w:rPr>
          <w:iCs/>
          <w:color w:val="0D0D0D" w:themeColor="text1" w:themeTint="F2"/>
          <w:sz w:val="24"/>
          <w:szCs w:val="24"/>
        </w:rPr>
        <w:t xml:space="preserve">the individual CSO contractual arrangements with </w:t>
      </w:r>
      <w:r w:rsidR="00CD7E0E" w:rsidRPr="00C20287">
        <w:rPr>
          <w:iCs/>
          <w:color w:val="0D0D0D" w:themeColor="text1" w:themeTint="F2"/>
          <w:sz w:val="24"/>
          <w:szCs w:val="24"/>
        </w:rPr>
        <w:t xml:space="preserve">the six current </w:t>
      </w:r>
      <w:r w:rsidR="000B2667" w:rsidRPr="00C20287">
        <w:rPr>
          <w:iCs/>
          <w:color w:val="0D0D0D" w:themeColor="text1" w:themeTint="F2"/>
          <w:sz w:val="24"/>
          <w:szCs w:val="24"/>
        </w:rPr>
        <w:t xml:space="preserve">CSO </w:t>
      </w:r>
      <w:r w:rsidR="00026067" w:rsidRPr="00C20287">
        <w:rPr>
          <w:iCs/>
          <w:color w:val="0D0D0D" w:themeColor="text1" w:themeTint="F2"/>
          <w:sz w:val="24"/>
          <w:szCs w:val="24"/>
        </w:rPr>
        <w:t>provide</w:t>
      </w:r>
      <w:r w:rsidR="00CD7E0E" w:rsidRPr="00C20287">
        <w:rPr>
          <w:iCs/>
          <w:color w:val="0D0D0D" w:themeColor="text1" w:themeTint="F2"/>
          <w:sz w:val="24"/>
          <w:szCs w:val="24"/>
        </w:rPr>
        <w:t>r</w:t>
      </w:r>
      <w:r w:rsidR="00026067" w:rsidRPr="00C20287">
        <w:rPr>
          <w:iCs/>
          <w:color w:val="0D0D0D" w:themeColor="text1" w:themeTint="F2"/>
          <w:sz w:val="24"/>
          <w:szCs w:val="24"/>
        </w:rPr>
        <w:t xml:space="preserve">s </w:t>
      </w:r>
      <w:r w:rsidR="00807504" w:rsidRPr="00C20287">
        <w:rPr>
          <w:iCs/>
          <w:color w:val="0D0D0D" w:themeColor="text1" w:themeTint="F2"/>
          <w:sz w:val="24"/>
          <w:szCs w:val="24"/>
        </w:rPr>
        <w:t>would likely require renegotiation</w:t>
      </w:r>
      <w:r w:rsidR="00026067" w:rsidRPr="00C20287">
        <w:rPr>
          <w:iCs/>
          <w:color w:val="0D0D0D" w:themeColor="text1" w:themeTint="F2"/>
          <w:sz w:val="24"/>
          <w:szCs w:val="24"/>
        </w:rPr>
        <w:t>. The</w:t>
      </w:r>
      <w:r w:rsidR="000B2667" w:rsidRPr="00C20287">
        <w:rPr>
          <w:iCs/>
          <w:color w:val="0D0D0D" w:themeColor="text1" w:themeTint="F2"/>
          <w:sz w:val="24"/>
          <w:szCs w:val="24"/>
        </w:rPr>
        <w:t xml:space="preserve"> parameters for these contractual</w:t>
      </w:r>
      <w:r w:rsidR="00026067" w:rsidRPr="00C20287">
        <w:rPr>
          <w:iCs/>
          <w:color w:val="0D0D0D" w:themeColor="text1" w:themeTint="F2"/>
          <w:sz w:val="24"/>
          <w:szCs w:val="24"/>
        </w:rPr>
        <w:t xml:space="preserve"> </w:t>
      </w:r>
      <w:r w:rsidR="000B2667" w:rsidRPr="00C20287">
        <w:rPr>
          <w:iCs/>
          <w:color w:val="0D0D0D" w:themeColor="text1" w:themeTint="F2"/>
          <w:sz w:val="24"/>
          <w:szCs w:val="24"/>
        </w:rPr>
        <w:t xml:space="preserve">arrangements </w:t>
      </w:r>
      <w:r w:rsidR="00026067" w:rsidRPr="00C20287">
        <w:rPr>
          <w:iCs/>
          <w:color w:val="0D0D0D" w:themeColor="text1" w:themeTint="F2"/>
          <w:sz w:val="24"/>
          <w:szCs w:val="24"/>
        </w:rPr>
        <w:t xml:space="preserve">would be subject to renegotiations with NPSA and </w:t>
      </w:r>
      <w:r w:rsidR="00807504" w:rsidRPr="00C20287">
        <w:rPr>
          <w:iCs/>
          <w:color w:val="0D0D0D" w:themeColor="text1" w:themeTint="F2"/>
          <w:sz w:val="24"/>
          <w:szCs w:val="24"/>
        </w:rPr>
        <w:t>the relevant</w:t>
      </w:r>
      <w:r w:rsidR="00026067" w:rsidRPr="00C20287">
        <w:rPr>
          <w:iCs/>
          <w:color w:val="0D0D0D" w:themeColor="text1" w:themeTint="F2"/>
          <w:sz w:val="24"/>
          <w:szCs w:val="24"/>
        </w:rPr>
        <w:t xml:space="preserve"> wholesalers.</w:t>
      </w:r>
    </w:p>
    <w:p w14:paraId="42939614" w14:textId="2EA130E7" w:rsidR="00252015" w:rsidRPr="000E08EC" w:rsidRDefault="00F27555" w:rsidP="00FF4C3F">
      <w:pPr>
        <w:pStyle w:val="BodyText"/>
        <w:rPr>
          <w:color w:val="auto"/>
        </w:rPr>
      </w:pPr>
      <w:r w:rsidRPr="000E08EC">
        <w:rPr>
          <w:color w:val="auto"/>
          <w:sz w:val="24"/>
          <w:szCs w:val="24"/>
        </w:rPr>
        <w:t>Adoption of this option would lead to the most business uncertainty for community pharmacy as there would be no forward agreement on what remuneration pharmacies would receive from dispensing PBS medicines.</w:t>
      </w:r>
      <w:r w:rsidR="00327A1E">
        <w:rPr>
          <w:color w:val="auto"/>
          <w:sz w:val="24"/>
          <w:szCs w:val="24"/>
        </w:rPr>
        <w:t xml:space="preserve"> </w:t>
      </w:r>
      <w:r w:rsidR="005339D0">
        <w:rPr>
          <w:color w:val="auto"/>
          <w:sz w:val="24"/>
          <w:szCs w:val="24"/>
        </w:rPr>
        <w:t>In the absence of a CPA the</w:t>
      </w:r>
      <w:r w:rsidR="00327A1E">
        <w:rPr>
          <w:color w:val="auto"/>
          <w:sz w:val="24"/>
          <w:szCs w:val="24"/>
        </w:rPr>
        <w:t xml:space="preserve"> Government c</w:t>
      </w:r>
      <w:r w:rsidR="005339D0">
        <w:rPr>
          <w:color w:val="auto"/>
          <w:sz w:val="24"/>
          <w:szCs w:val="24"/>
        </w:rPr>
        <w:t>ould</w:t>
      </w:r>
      <w:r w:rsidR="00327A1E">
        <w:rPr>
          <w:color w:val="auto"/>
          <w:sz w:val="24"/>
          <w:szCs w:val="24"/>
        </w:rPr>
        <w:t xml:space="preserve"> </w:t>
      </w:r>
      <w:r w:rsidR="005339D0">
        <w:rPr>
          <w:color w:val="auto"/>
          <w:sz w:val="24"/>
          <w:szCs w:val="24"/>
        </w:rPr>
        <w:t xml:space="preserve">separately </w:t>
      </w:r>
      <w:r w:rsidR="00327A1E">
        <w:rPr>
          <w:color w:val="auto"/>
          <w:sz w:val="24"/>
          <w:szCs w:val="24"/>
        </w:rPr>
        <w:t>undertake reviews of the CPPs to establish which programs are delivering clinical benefit and what if any changes should be made to better tailor the programs to deliver the best clinical outcomes and</w:t>
      </w:r>
      <w:r w:rsidR="005339D0">
        <w:rPr>
          <w:color w:val="auto"/>
          <w:sz w:val="24"/>
          <w:szCs w:val="24"/>
        </w:rPr>
        <w:t xml:space="preserve"> encourage innovation</w:t>
      </w:r>
      <w:r w:rsidR="00327A1E">
        <w:rPr>
          <w:color w:val="auto"/>
          <w:sz w:val="24"/>
          <w:szCs w:val="24"/>
        </w:rPr>
        <w:t>.</w:t>
      </w:r>
      <w:r w:rsidR="005339D0">
        <w:rPr>
          <w:color w:val="auto"/>
          <w:sz w:val="24"/>
          <w:szCs w:val="24"/>
        </w:rPr>
        <w:t xml:space="preserve"> However, due to the uncertainty created in the sector in the absence of a CPA</w:t>
      </w:r>
      <w:r w:rsidR="00DB34DA">
        <w:rPr>
          <w:color w:val="auto"/>
          <w:sz w:val="24"/>
          <w:szCs w:val="24"/>
        </w:rPr>
        <w:t>,</w:t>
      </w:r>
      <w:r w:rsidR="005339D0">
        <w:rPr>
          <w:color w:val="auto"/>
          <w:sz w:val="24"/>
          <w:szCs w:val="24"/>
        </w:rPr>
        <w:t xml:space="preserve"> stakeholders may be less likely to engage in the reviews</w:t>
      </w:r>
      <w:r w:rsidR="00962FDE">
        <w:rPr>
          <w:color w:val="auto"/>
          <w:sz w:val="24"/>
          <w:szCs w:val="24"/>
        </w:rPr>
        <w:t xml:space="preserve"> or support innovation through significant program changes</w:t>
      </w:r>
      <w:r w:rsidR="005339D0">
        <w:rPr>
          <w:color w:val="auto"/>
          <w:sz w:val="24"/>
          <w:szCs w:val="24"/>
        </w:rPr>
        <w:t>.</w:t>
      </w:r>
    </w:p>
    <w:p w14:paraId="2E6988FA" w14:textId="1658D64B" w:rsidR="00E83BFA" w:rsidRPr="00C20287" w:rsidRDefault="00E83BFA" w:rsidP="00E83BFA">
      <w:pPr>
        <w:pStyle w:val="Heading4"/>
      </w:pPr>
      <w:r w:rsidRPr="00C20287">
        <w:t>Stakeholder roles and responsibilities</w:t>
      </w:r>
    </w:p>
    <w:p w14:paraId="21B8B271" w14:textId="77777777" w:rsidR="00E83BFA" w:rsidRPr="00C20287" w:rsidRDefault="00E83BFA" w:rsidP="00E83BFA">
      <w:pPr>
        <w:pStyle w:val="Subtitle"/>
        <w:spacing w:before="0" w:after="0"/>
      </w:pPr>
      <w:r w:rsidRPr="00C20287">
        <w:t>Consumers</w:t>
      </w:r>
    </w:p>
    <w:p w14:paraId="45A267CD" w14:textId="08343F5A" w:rsidR="00E83BFA" w:rsidRPr="00C20287" w:rsidRDefault="00E83BFA" w:rsidP="00E83BFA">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There should be no</w:t>
      </w:r>
      <w:r w:rsidR="003E1B19" w:rsidRPr="00C20287">
        <w:rPr>
          <w:iCs/>
          <w:color w:val="0D0D0D" w:themeColor="text1" w:themeTint="F2"/>
          <w:sz w:val="24"/>
          <w:szCs w:val="24"/>
        </w:rPr>
        <w:t xml:space="preserve"> initial</w:t>
      </w:r>
      <w:r w:rsidRPr="00C20287">
        <w:rPr>
          <w:iCs/>
          <w:color w:val="0D0D0D" w:themeColor="text1" w:themeTint="F2"/>
          <w:sz w:val="24"/>
          <w:szCs w:val="24"/>
        </w:rPr>
        <w:t xml:space="preserve"> change in </w:t>
      </w:r>
      <w:r w:rsidR="00E204E0" w:rsidRPr="00C20287">
        <w:rPr>
          <w:iCs/>
          <w:color w:val="0D0D0D" w:themeColor="text1" w:themeTint="F2"/>
          <w:sz w:val="24"/>
          <w:szCs w:val="24"/>
        </w:rPr>
        <w:t>patient</w:t>
      </w:r>
      <w:r w:rsidRPr="00C20287">
        <w:rPr>
          <w:iCs/>
          <w:color w:val="0D0D0D" w:themeColor="text1" w:themeTint="F2"/>
          <w:sz w:val="24"/>
          <w:szCs w:val="24"/>
        </w:rPr>
        <w:t xml:space="preserve"> access to PBS medicines.</w:t>
      </w:r>
    </w:p>
    <w:p w14:paraId="4D5E211B" w14:textId="0EE96A3B" w:rsidR="009D7F95" w:rsidRPr="00C20287" w:rsidRDefault="009D7F95" w:rsidP="00534ADE">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Medicines </w:t>
      </w:r>
      <w:r w:rsidR="00E204E0" w:rsidRPr="00C20287">
        <w:rPr>
          <w:iCs/>
          <w:color w:val="0D0D0D" w:themeColor="text1" w:themeTint="F2"/>
          <w:sz w:val="24"/>
          <w:szCs w:val="24"/>
        </w:rPr>
        <w:t>sh</w:t>
      </w:r>
      <w:r w:rsidRPr="00C20287">
        <w:rPr>
          <w:iCs/>
          <w:color w:val="0D0D0D" w:themeColor="text1" w:themeTint="F2"/>
          <w:sz w:val="24"/>
          <w:szCs w:val="24"/>
        </w:rPr>
        <w:t>ould still be available at community pharmacies as wholesalers would still be require</w:t>
      </w:r>
      <w:r w:rsidR="00AD75EA" w:rsidRPr="00C20287">
        <w:rPr>
          <w:iCs/>
          <w:color w:val="0D0D0D" w:themeColor="text1" w:themeTint="F2"/>
          <w:sz w:val="24"/>
          <w:szCs w:val="24"/>
        </w:rPr>
        <w:t>d</w:t>
      </w:r>
      <w:r w:rsidRPr="00C20287">
        <w:rPr>
          <w:iCs/>
          <w:color w:val="0D0D0D" w:themeColor="text1" w:themeTint="F2"/>
          <w:sz w:val="24"/>
          <w:szCs w:val="24"/>
        </w:rPr>
        <w:t xml:space="preserve"> to supply medicines under the </w:t>
      </w:r>
      <w:r w:rsidR="00534ADE" w:rsidRPr="00C20287">
        <w:rPr>
          <w:iCs/>
          <w:color w:val="0D0D0D" w:themeColor="text1" w:themeTint="F2"/>
          <w:sz w:val="24"/>
          <w:szCs w:val="24"/>
        </w:rPr>
        <w:t xml:space="preserve">individual </w:t>
      </w:r>
      <w:r w:rsidRPr="00C20287">
        <w:rPr>
          <w:iCs/>
          <w:color w:val="0D0D0D" w:themeColor="text1" w:themeTint="F2"/>
          <w:sz w:val="24"/>
          <w:szCs w:val="24"/>
        </w:rPr>
        <w:t>CSO agreement</w:t>
      </w:r>
      <w:r w:rsidR="00534ADE" w:rsidRPr="00C20287">
        <w:rPr>
          <w:iCs/>
          <w:color w:val="0D0D0D" w:themeColor="text1" w:themeTint="F2"/>
          <w:sz w:val="24"/>
          <w:szCs w:val="24"/>
        </w:rPr>
        <w:t>s.</w:t>
      </w:r>
      <w:r w:rsidRPr="00C20287">
        <w:rPr>
          <w:iCs/>
          <w:color w:val="0D0D0D" w:themeColor="text1" w:themeTint="F2"/>
          <w:sz w:val="24"/>
          <w:szCs w:val="24"/>
        </w:rPr>
        <w:t xml:space="preserve"> </w:t>
      </w:r>
    </w:p>
    <w:p w14:paraId="133DF582" w14:textId="4652A026" w:rsidR="00026067" w:rsidRPr="00C20287" w:rsidRDefault="00A327AF" w:rsidP="00534ADE">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While there should be no </w:t>
      </w:r>
      <w:r w:rsidR="00026067" w:rsidRPr="00C20287">
        <w:rPr>
          <w:iCs/>
          <w:color w:val="0D0D0D" w:themeColor="text1" w:themeTint="F2"/>
          <w:sz w:val="24"/>
          <w:szCs w:val="24"/>
        </w:rPr>
        <w:t xml:space="preserve">immediate change </w:t>
      </w:r>
      <w:r w:rsidRPr="00C20287">
        <w:rPr>
          <w:iCs/>
          <w:color w:val="0D0D0D" w:themeColor="text1" w:themeTint="F2"/>
          <w:sz w:val="24"/>
          <w:szCs w:val="24"/>
        </w:rPr>
        <w:t>to</w:t>
      </w:r>
      <w:r w:rsidR="00026067" w:rsidRPr="00C20287">
        <w:rPr>
          <w:iCs/>
          <w:color w:val="0D0D0D" w:themeColor="text1" w:themeTint="F2"/>
          <w:sz w:val="24"/>
          <w:szCs w:val="24"/>
        </w:rPr>
        <w:t xml:space="preserve"> community pharmacies that would affect their opening hours or profitability that would result in pharmacy closures</w:t>
      </w:r>
      <w:r w:rsidRPr="00C20287">
        <w:rPr>
          <w:iCs/>
          <w:color w:val="0D0D0D" w:themeColor="text1" w:themeTint="F2"/>
          <w:sz w:val="24"/>
          <w:szCs w:val="24"/>
        </w:rPr>
        <w:t>, uncertainty may result in certain business decisions even prior to a PBRT determination</w:t>
      </w:r>
      <w:r w:rsidR="00D76E3F">
        <w:rPr>
          <w:iCs/>
          <w:color w:val="0D0D0D" w:themeColor="text1" w:themeTint="F2"/>
          <w:sz w:val="24"/>
          <w:szCs w:val="24"/>
        </w:rPr>
        <w:t xml:space="preserve">, which may limit access for some consumers, </w:t>
      </w:r>
      <w:r w:rsidR="00D76E3F" w:rsidRPr="00D76E3F">
        <w:rPr>
          <w:iCs/>
          <w:color w:val="0D0D0D" w:themeColor="text1" w:themeTint="F2"/>
          <w:sz w:val="24"/>
          <w:szCs w:val="24"/>
        </w:rPr>
        <w:t>particularly if pharmacies in rural and remote regions close.</w:t>
      </w:r>
    </w:p>
    <w:p w14:paraId="2EC89897" w14:textId="48E2BF40" w:rsidR="003E1B19" w:rsidRPr="00C20287" w:rsidRDefault="003E1B19" w:rsidP="00534ADE">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If some pharmacies close due to this option, (see Pharmacies below) access to PBS medicines for some consumers may become more restricted.</w:t>
      </w:r>
    </w:p>
    <w:p w14:paraId="5C99DE12" w14:textId="619C3C72" w:rsidR="00E83BFA" w:rsidRDefault="00E83BFA">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Prices for medicines under the PBS general patient co-payment may change after PBRT make</w:t>
      </w:r>
      <w:r w:rsidR="00252015" w:rsidRPr="00C20287">
        <w:rPr>
          <w:iCs/>
          <w:color w:val="0D0D0D" w:themeColor="text1" w:themeTint="F2"/>
          <w:sz w:val="24"/>
          <w:szCs w:val="24"/>
        </w:rPr>
        <w:t>s</w:t>
      </w:r>
      <w:r w:rsidRPr="00C20287">
        <w:rPr>
          <w:iCs/>
          <w:color w:val="0D0D0D" w:themeColor="text1" w:themeTint="F2"/>
          <w:sz w:val="24"/>
          <w:szCs w:val="24"/>
        </w:rPr>
        <w:t xml:space="preserve"> a determination of </w:t>
      </w:r>
      <w:r w:rsidR="00AD75EA" w:rsidRPr="00C20287">
        <w:rPr>
          <w:iCs/>
          <w:color w:val="0D0D0D" w:themeColor="text1" w:themeTint="F2"/>
          <w:sz w:val="24"/>
          <w:szCs w:val="24"/>
        </w:rPr>
        <w:t xml:space="preserve">the </w:t>
      </w:r>
      <w:r w:rsidRPr="00C20287">
        <w:rPr>
          <w:iCs/>
          <w:color w:val="0D0D0D" w:themeColor="text1" w:themeTint="F2"/>
          <w:sz w:val="24"/>
          <w:szCs w:val="24"/>
        </w:rPr>
        <w:t>Commonwealth price.</w:t>
      </w:r>
    </w:p>
    <w:p w14:paraId="198D2DC6" w14:textId="3E827CE5" w:rsidR="004A1ACE" w:rsidRPr="00C20287" w:rsidRDefault="004A1ACE">
      <w:pPr>
        <w:pStyle w:val="ListParagraph"/>
        <w:numPr>
          <w:ilvl w:val="0"/>
          <w:numId w:val="8"/>
        </w:numPr>
        <w:autoSpaceDE w:val="0"/>
        <w:autoSpaceDN w:val="0"/>
        <w:adjustRightInd w:val="0"/>
        <w:spacing w:line="240" w:lineRule="auto"/>
        <w:rPr>
          <w:iCs/>
          <w:color w:val="0D0D0D" w:themeColor="text1" w:themeTint="F2"/>
          <w:sz w:val="24"/>
          <w:szCs w:val="24"/>
        </w:rPr>
      </w:pPr>
      <w:r>
        <w:rPr>
          <w:iCs/>
          <w:color w:val="0D0D0D" w:themeColor="text1" w:themeTint="F2"/>
          <w:sz w:val="24"/>
          <w:szCs w:val="24"/>
        </w:rPr>
        <w:t>Consumers and representative consumer organisations would be asked for input into the evaluation and possible changes to CPPs after the expiry of the 7CPA.</w:t>
      </w:r>
    </w:p>
    <w:p w14:paraId="15E93C0D" w14:textId="77777777" w:rsidR="00E83BFA" w:rsidRPr="00C20287" w:rsidRDefault="00E83BFA" w:rsidP="00E83BFA">
      <w:pPr>
        <w:pStyle w:val="Subtitle"/>
        <w:spacing w:before="0" w:after="0"/>
      </w:pPr>
      <w:r w:rsidRPr="00C20287">
        <w:t>Pharmacies</w:t>
      </w:r>
    </w:p>
    <w:p w14:paraId="2FB16B3B" w14:textId="77777777" w:rsidR="00E83BFA" w:rsidRPr="00C20287" w:rsidRDefault="00E83BFA" w:rsidP="00E83BFA">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Pharmacies would continue to dispense PBS and non-PBS medicines as before.</w:t>
      </w:r>
    </w:p>
    <w:p w14:paraId="446B8C3A" w14:textId="44D9B3DB" w:rsidR="00E83BFA" w:rsidRPr="00C20287" w:rsidRDefault="00E83BFA" w:rsidP="00E83BFA">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lastRenderedPageBreak/>
        <w:t>Pharmacies would not receive any</w:t>
      </w:r>
      <w:r w:rsidR="00E81479" w:rsidRPr="00C20287">
        <w:rPr>
          <w:iCs/>
          <w:color w:val="0D0D0D" w:themeColor="text1" w:themeTint="F2"/>
          <w:sz w:val="24"/>
          <w:szCs w:val="24"/>
        </w:rPr>
        <w:t xml:space="preserve"> immediate</w:t>
      </w:r>
      <w:r w:rsidRPr="00C20287">
        <w:rPr>
          <w:iCs/>
          <w:color w:val="0D0D0D" w:themeColor="text1" w:themeTint="F2"/>
          <w:sz w:val="24"/>
          <w:szCs w:val="24"/>
        </w:rPr>
        <w:t xml:space="preserve"> increases in remuneration at the conclusion of the 7CPA. Remuneration would remain </w:t>
      </w:r>
      <w:r w:rsidR="00475F00" w:rsidRPr="00C20287">
        <w:rPr>
          <w:iCs/>
          <w:color w:val="0D0D0D" w:themeColor="text1" w:themeTint="F2"/>
          <w:sz w:val="24"/>
          <w:szCs w:val="24"/>
        </w:rPr>
        <w:t xml:space="preserve">at </w:t>
      </w:r>
      <w:r w:rsidRPr="00C20287">
        <w:rPr>
          <w:iCs/>
          <w:color w:val="0D0D0D" w:themeColor="text1" w:themeTint="F2"/>
          <w:sz w:val="24"/>
          <w:szCs w:val="24"/>
        </w:rPr>
        <w:t xml:space="preserve">the same </w:t>
      </w:r>
      <w:r w:rsidR="00475F00" w:rsidRPr="00C20287">
        <w:rPr>
          <w:iCs/>
          <w:color w:val="0D0D0D" w:themeColor="text1" w:themeTint="F2"/>
          <w:sz w:val="24"/>
          <w:szCs w:val="24"/>
        </w:rPr>
        <w:t xml:space="preserve">levels per script dispensed </w:t>
      </w:r>
      <w:r w:rsidRPr="00C20287">
        <w:rPr>
          <w:iCs/>
          <w:color w:val="0D0D0D" w:themeColor="text1" w:themeTint="F2"/>
          <w:sz w:val="24"/>
          <w:szCs w:val="24"/>
        </w:rPr>
        <w:t>until a PBRT determination was made.</w:t>
      </w:r>
    </w:p>
    <w:p w14:paraId="6CA3B33D" w14:textId="240CD4DC" w:rsidR="00E62899" w:rsidRPr="00C20287" w:rsidRDefault="00E62899" w:rsidP="00C76599">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There would be no agreement on the future projection of dispensing remuneration.</w:t>
      </w:r>
    </w:p>
    <w:p w14:paraId="1B4EC248" w14:textId="73CF65AE" w:rsidR="00E62899" w:rsidRPr="00C20287" w:rsidRDefault="00E81479" w:rsidP="00C76599">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B</w:t>
      </w:r>
      <w:r w:rsidR="00A31718" w:rsidRPr="00C20287">
        <w:rPr>
          <w:iCs/>
          <w:color w:val="0D0D0D" w:themeColor="text1" w:themeTint="F2"/>
          <w:sz w:val="24"/>
          <w:szCs w:val="24"/>
        </w:rPr>
        <w:t xml:space="preserve">ased on </w:t>
      </w:r>
      <w:r w:rsidR="00F333E5" w:rsidRPr="00C20287">
        <w:rPr>
          <w:iCs/>
          <w:color w:val="0D0D0D" w:themeColor="text1" w:themeTint="F2"/>
          <w:sz w:val="24"/>
          <w:szCs w:val="24"/>
        </w:rPr>
        <w:t>pharmacist feedback and industry press</w:t>
      </w:r>
      <w:r w:rsidRPr="00C20287">
        <w:rPr>
          <w:iCs/>
          <w:color w:val="0D0D0D" w:themeColor="text1" w:themeTint="F2"/>
          <w:sz w:val="24"/>
          <w:szCs w:val="24"/>
        </w:rPr>
        <w:t>,</w:t>
      </w:r>
      <w:r w:rsidR="00A31718" w:rsidRPr="00C20287">
        <w:rPr>
          <w:rStyle w:val="FootnoteReference"/>
          <w:iCs/>
          <w:color w:val="0D0D0D" w:themeColor="text1" w:themeTint="F2"/>
          <w:sz w:val="24"/>
          <w:szCs w:val="24"/>
        </w:rPr>
        <w:footnoteReference w:id="64"/>
      </w:r>
      <w:r w:rsidR="00E62899" w:rsidRPr="00C20287">
        <w:rPr>
          <w:iCs/>
          <w:color w:val="0D0D0D" w:themeColor="text1" w:themeTint="F2"/>
          <w:sz w:val="24"/>
          <w:szCs w:val="24"/>
        </w:rPr>
        <w:t xml:space="preserve"> </w:t>
      </w:r>
      <w:r w:rsidRPr="00C20287">
        <w:rPr>
          <w:iCs/>
          <w:color w:val="0D0D0D" w:themeColor="text1" w:themeTint="F2"/>
          <w:sz w:val="24"/>
          <w:szCs w:val="24"/>
        </w:rPr>
        <w:t xml:space="preserve">business confidence in the sector could fall </w:t>
      </w:r>
      <w:r w:rsidR="00E62899" w:rsidRPr="00C20287">
        <w:rPr>
          <w:iCs/>
          <w:color w:val="0D0D0D" w:themeColor="text1" w:themeTint="F2"/>
          <w:sz w:val="24"/>
          <w:szCs w:val="24"/>
        </w:rPr>
        <w:t xml:space="preserve">with some owners possibly looking to </w:t>
      </w:r>
      <w:r w:rsidRPr="00C20287">
        <w:rPr>
          <w:iCs/>
          <w:color w:val="0D0D0D" w:themeColor="text1" w:themeTint="F2"/>
          <w:sz w:val="24"/>
          <w:szCs w:val="24"/>
        </w:rPr>
        <w:t xml:space="preserve">sell or </w:t>
      </w:r>
      <w:r w:rsidR="00E62899" w:rsidRPr="00C20287">
        <w:rPr>
          <w:iCs/>
          <w:color w:val="0D0D0D" w:themeColor="text1" w:themeTint="F2"/>
          <w:sz w:val="24"/>
          <w:szCs w:val="24"/>
        </w:rPr>
        <w:t>close some pharmacies.</w:t>
      </w:r>
    </w:p>
    <w:p w14:paraId="6CEF6615" w14:textId="054A29C1" w:rsidR="00E83BFA" w:rsidRPr="00C20287" w:rsidRDefault="00E81479">
      <w:pPr>
        <w:pStyle w:val="ListParagraph"/>
        <w:numPr>
          <w:ilvl w:val="0"/>
          <w:numId w:val="8"/>
        </w:numPr>
        <w:autoSpaceDE w:val="0"/>
        <w:autoSpaceDN w:val="0"/>
        <w:adjustRightInd w:val="0"/>
        <w:spacing w:line="240" w:lineRule="auto"/>
        <w:rPr>
          <w:color w:val="0D0D0D" w:themeColor="text1" w:themeTint="F2"/>
          <w:sz w:val="24"/>
          <w:szCs w:val="24"/>
        </w:rPr>
      </w:pPr>
      <w:r w:rsidRPr="00C20287">
        <w:rPr>
          <w:iCs/>
          <w:color w:val="0D0D0D" w:themeColor="text1" w:themeTint="F2"/>
          <w:sz w:val="24"/>
          <w:szCs w:val="24"/>
        </w:rPr>
        <w:t>CPPs and their administration processes would continue largely unchanged while they are form</w:t>
      </w:r>
      <w:r w:rsidR="00475F00" w:rsidRPr="00C20287">
        <w:rPr>
          <w:iCs/>
          <w:color w:val="0D0D0D" w:themeColor="text1" w:themeTint="F2"/>
          <w:sz w:val="24"/>
          <w:szCs w:val="24"/>
        </w:rPr>
        <w:t>al</w:t>
      </w:r>
      <w:r w:rsidRPr="00C20287">
        <w:rPr>
          <w:iCs/>
          <w:color w:val="0D0D0D" w:themeColor="text1" w:themeTint="F2"/>
          <w:sz w:val="24"/>
          <w:szCs w:val="24"/>
        </w:rPr>
        <w:t xml:space="preserve">ly evaluated by the Department in consultation with stakeholders. </w:t>
      </w:r>
      <w:r w:rsidR="008A4317" w:rsidRPr="00C20287">
        <w:rPr>
          <w:iCs/>
          <w:color w:val="0D0D0D" w:themeColor="text1" w:themeTint="F2"/>
          <w:sz w:val="24"/>
          <w:szCs w:val="24"/>
        </w:rPr>
        <w:t xml:space="preserve">Pending </w:t>
      </w:r>
      <w:r w:rsidR="003F0664" w:rsidRPr="00C20287">
        <w:rPr>
          <w:iCs/>
          <w:color w:val="0D0D0D" w:themeColor="text1" w:themeTint="F2"/>
          <w:sz w:val="24"/>
          <w:szCs w:val="24"/>
        </w:rPr>
        <w:t>further stakeholder discussions</w:t>
      </w:r>
      <w:r w:rsidR="008A4317" w:rsidRPr="00C20287">
        <w:rPr>
          <w:iCs/>
          <w:color w:val="0D0D0D" w:themeColor="text1" w:themeTint="F2"/>
          <w:sz w:val="24"/>
          <w:szCs w:val="24"/>
        </w:rPr>
        <w:t>,</w:t>
      </w:r>
      <w:r w:rsidR="003F0664" w:rsidRPr="00C20287">
        <w:rPr>
          <w:iCs/>
          <w:color w:val="0D0D0D" w:themeColor="text1" w:themeTint="F2"/>
          <w:sz w:val="24"/>
          <w:szCs w:val="24"/>
        </w:rPr>
        <w:t xml:space="preserve"> CPPs </w:t>
      </w:r>
      <w:r w:rsidR="008A4317" w:rsidRPr="00C20287">
        <w:rPr>
          <w:iCs/>
          <w:color w:val="0D0D0D" w:themeColor="text1" w:themeTint="F2"/>
          <w:sz w:val="24"/>
          <w:szCs w:val="24"/>
        </w:rPr>
        <w:t xml:space="preserve">could include </w:t>
      </w:r>
      <w:r w:rsidR="00FA69ED" w:rsidRPr="00C20287">
        <w:rPr>
          <w:iCs/>
          <w:color w:val="0D0D0D" w:themeColor="text1" w:themeTint="F2"/>
          <w:sz w:val="24"/>
          <w:szCs w:val="24"/>
        </w:rPr>
        <w:t xml:space="preserve">a requirement for </w:t>
      </w:r>
      <w:r w:rsidR="008A4317" w:rsidRPr="00C20287">
        <w:rPr>
          <w:iCs/>
          <w:color w:val="0D0D0D" w:themeColor="text1" w:themeTint="F2"/>
          <w:sz w:val="24"/>
          <w:szCs w:val="24"/>
        </w:rPr>
        <w:t xml:space="preserve">additional data capture by pharmacies to </w:t>
      </w:r>
      <w:r w:rsidR="00D07EB3" w:rsidRPr="00C20287">
        <w:rPr>
          <w:iCs/>
          <w:color w:val="0D0D0D" w:themeColor="text1" w:themeTint="F2"/>
          <w:sz w:val="24"/>
          <w:szCs w:val="24"/>
        </w:rPr>
        <w:t>enhance</w:t>
      </w:r>
      <w:r w:rsidR="008A4317" w:rsidRPr="00C20287">
        <w:rPr>
          <w:iCs/>
          <w:color w:val="0D0D0D" w:themeColor="text1" w:themeTint="F2"/>
          <w:sz w:val="24"/>
          <w:szCs w:val="24"/>
        </w:rPr>
        <w:t xml:space="preserve"> health outcome data, in addition to requirements under any </w:t>
      </w:r>
      <w:r w:rsidR="00F27555">
        <w:rPr>
          <w:iCs/>
          <w:color w:val="0D0D0D" w:themeColor="text1" w:themeTint="F2"/>
          <w:sz w:val="24"/>
          <w:szCs w:val="24"/>
        </w:rPr>
        <w:t>q</w:t>
      </w:r>
      <w:r w:rsidR="008A4317" w:rsidRPr="00C20287">
        <w:rPr>
          <w:iCs/>
          <w:color w:val="0D0D0D" w:themeColor="text1" w:themeTint="F2"/>
          <w:sz w:val="24"/>
          <w:szCs w:val="24"/>
        </w:rPr>
        <w:t xml:space="preserve">uality </w:t>
      </w:r>
      <w:r w:rsidR="00F27555">
        <w:rPr>
          <w:iCs/>
          <w:color w:val="0D0D0D" w:themeColor="text1" w:themeTint="F2"/>
          <w:sz w:val="24"/>
          <w:szCs w:val="24"/>
        </w:rPr>
        <w:t>and</w:t>
      </w:r>
      <w:r w:rsidR="008A4317" w:rsidRPr="00C20287">
        <w:rPr>
          <w:iCs/>
          <w:color w:val="0D0D0D" w:themeColor="text1" w:themeTint="F2"/>
          <w:sz w:val="24"/>
          <w:szCs w:val="24"/>
        </w:rPr>
        <w:t xml:space="preserve"> </w:t>
      </w:r>
      <w:r w:rsidR="00F27555">
        <w:rPr>
          <w:iCs/>
          <w:color w:val="0D0D0D" w:themeColor="text1" w:themeTint="F2"/>
          <w:sz w:val="24"/>
          <w:szCs w:val="24"/>
        </w:rPr>
        <w:t>e</w:t>
      </w:r>
      <w:r w:rsidR="008A4317" w:rsidRPr="00C20287">
        <w:rPr>
          <w:iCs/>
          <w:color w:val="0D0D0D" w:themeColor="text1" w:themeTint="F2"/>
          <w:sz w:val="24"/>
          <w:szCs w:val="24"/>
        </w:rPr>
        <w:t xml:space="preserve">valuation </w:t>
      </w:r>
      <w:r w:rsidR="00F27555">
        <w:rPr>
          <w:iCs/>
          <w:color w:val="0D0D0D" w:themeColor="text1" w:themeTint="F2"/>
          <w:sz w:val="24"/>
          <w:szCs w:val="24"/>
        </w:rPr>
        <w:t>f</w:t>
      </w:r>
      <w:r w:rsidR="008A4317" w:rsidRPr="00C20287">
        <w:rPr>
          <w:iCs/>
          <w:color w:val="0D0D0D" w:themeColor="text1" w:themeTint="F2"/>
          <w:sz w:val="24"/>
          <w:szCs w:val="24"/>
        </w:rPr>
        <w:t>rameworks.</w:t>
      </w:r>
    </w:p>
    <w:p w14:paraId="0D14C6E7" w14:textId="036C8BEE" w:rsidR="00E62899" w:rsidRPr="00C20287" w:rsidRDefault="007B620A" w:rsidP="003F0664">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This would allow Government to more accurately consider in the future which </w:t>
      </w:r>
      <w:r w:rsidR="00E62899" w:rsidRPr="00C20287">
        <w:rPr>
          <w:iCs/>
          <w:color w:val="0D0D0D" w:themeColor="text1" w:themeTint="F2"/>
          <w:sz w:val="24"/>
          <w:szCs w:val="24"/>
        </w:rPr>
        <w:t xml:space="preserve">programs </w:t>
      </w:r>
      <w:r w:rsidR="00AF57C5" w:rsidRPr="00C20287">
        <w:rPr>
          <w:iCs/>
          <w:color w:val="0D0D0D" w:themeColor="text1" w:themeTint="F2"/>
          <w:sz w:val="24"/>
          <w:szCs w:val="24"/>
        </w:rPr>
        <w:t xml:space="preserve">are </w:t>
      </w:r>
      <w:r w:rsidR="00E62899" w:rsidRPr="00C20287">
        <w:rPr>
          <w:iCs/>
          <w:color w:val="0D0D0D" w:themeColor="text1" w:themeTint="F2"/>
          <w:sz w:val="24"/>
          <w:szCs w:val="24"/>
        </w:rPr>
        <w:t xml:space="preserve">of </w:t>
      </w:r>
      <w:r w:rsidRPr="00C20287">
        <w:rPr>
          <w:iCs/>
          <w:color w:val="0D0D0D" w:themeColor="text1" w:themeTint="F2"/>
          <w:sz w:val="24"/>
          <w:szCs w:val="24"/>
        </w:rPr>
        <w:t xml:space="preserve">the greatest </w:t>
      </w:r>
      <w:r w:rsidR="00E62899" w:rsidRPr="00C20287">
        <w:rPr>
          <w:iCs/>
          <w:color w:val="0D0D0D" w:themeColor="text1" w:themeTint="F2"/>
          <w:sz w:val="24"/>
          <w:szCs w:val="24"/>
        </w:rPr>
        <w:t xml:space="preserve">clinical benefit </w:t>
      </w:r>
      <w:r w:rsidRPr="00C20287">
        <w:rPr>
          <w:iCs/>
          <w:color w:val="0D0D0D" w:themeColor="text1" w:themeTint="F2"/>
          <w:sz w:val="24"/>
          <w:szCs w:val="24"/>
        </w:rPr>
        <w:t xml:space="preserve">and most </w:t>
      </w:r>
      <w:r w:rsidR="00E62899" w:rsidRPr="00C20287">
        <w:rPr>
          <w:iCs/>
          <w:color w:val="0D0D0D" w:themeColor="text1" w:themeTint="F2"/>
          <w:sz w:val="24"/>
          <w:szCs w:val="24"/>
        </w:rPr>
        <w:t>cost-effective</w:t>
      </w:r>
      <w:r w:rsidR="00293844" w:rsidRPr="00C20287">
        <w:rPr>
          <w:iCs/>
          <w:color w:val="0D0D0D" w:themeColor="text1" w:themeTint="F2"/>
          <w:sz w:val="24"/>
          <w:szCs w:val="24"/>
        </w:rPr>
        <w:t>.</w:t>
      </w:r>
      <w:r w:rsidR="003F0664" w:rsidRPr="00C20287">
        <w:rPr>
          <w:iCs/>
          <w:color w:val="0D0D0D" w:themeColor="text1" w:themeTint="F2"/>
          <w:sz w:val="24"/>
          <w:szCs w:val="24"/>
        </w:rPr>
        <w:t xml:space="preserve"> However, outcomes of future consultations are not possible to be predicted and potential impacts of any </w:t>
      </w:r>
      <w:r w:rsidR="009F710F" w:rsidRPr="00C20287">
        <w:rPr>
          <w:iCs/>
          <w:color w:val="0D0D0D" w:themeColor="text1" w:themeTint="F2"/>
          <w:sz w:val="24"/>
          <w:szCs w:val="24"/>
        </w:rPr>
        <w:t>changes proposed once known would need to be considered in full</w:t>
      </w:r>
      <w:r w:rsidR="003F0664" w:rsidRPr="00C20287">
        <w:rPr>
          <w:iCs/>
          <w:color w:val="0D0D0D" w:themeColor="text1" w:themeTint="F2"/>
          <w:sz w:val="24"/>
          <w:szCs w:val="24"/>
        </w:rPr>
        <w:t>.</w:t>
      </w:r>
    </w:p>
    <w:p w14:paraId="372C2BBD" w14:textId="4051B11F" w:rsidR="00E83BFA" w:rsidRPr="00C20287" w:rsidRDefault="003554FA" w:rsidP="00E83BFA">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I</w:t>
      </w:r>
      <w:r w:rsidR="00F9091F" w:rsidRPr="00C20287">
        <w:rPr>
          <w:iCs/>
          <w:color w:val="0D0D0D" w:themeColor="text1" w:themeTint="F2"/>
          <w:sz w:val="24"/>
          <w:szCs w:val="24"/>
        </w:rPr>
        <w:t xml:space="preserve">n the short term, </w:t>
      </w:r>
      <w:r w:rsidRPr="00C20287">
        <w:rPr>
          <w:iCs/>
          <w:color w:val="0D0D0D" w:themeColor="text1" w:themeTint="F2"/>
          <w:sz w:val="24"/>
          <w:szCs w:val="24"/>
        </w:rPr>
        <w:t xml:space="preserve">pharmacies’ practical </w:t>
      </w:r>
      <w:r w:rsidR="00E83BFA" w:rsidRPr="00C20287">
        <w:rPr>
          <w:iCs/>
          <w:color w:val="0D0D0D" w:themeColor="text1" w:themeTint="F2"/>
          <w:sz w:val="24"/>
          <w:szCs w:val="24"/>
        </w:rPr>
        <w:t xml:space="preserve">access to PBS medicines </w:t>
      </w:r>
      <w:r w:rsidR="009A54A9" w:rsidRPr="00C20287">
        <w:rPr>
          <w:iCs/>
          <w:color w:val="0D0D0D" w:themeColor="text1" w:themeTint="F2"/>
          <w:sz w:val="24"/>
          <w:szCs w:val="24"/>
        </w:rPr>
        <w:t>may not change</w:t>
      </w:r>
      <w:r w:rsidR="00293844" w:rsidRPr="00C20287">
        <w:rPr>
          <w:iCs/>
          <w:color w:val="0D0D0D" w:themeColor="text1" w:themeTint="F2"/>
          <w:sz w:val="24"/>
          <w:szCs w:val="24"/>
        </w:rPr>
        <w:t xml:space="preserve">, as </w:t>
      </w:r>
      <w:r w:rsidR="00DD0EDB" w:rsidRPr="00C20287">
        <w:rPr>
          <w:iCs/>
          <w:color w:val="0D0D0D" w:themeColor="text1" w:themeTint="F2"/>
          <w:sz w:val="24"/>
          <w:szCs w:val="24"/>
        </w:rPr>
        <w:t>in addition to the 7CPA</w:t>
      </w:r>
      <w:r w:rsidRPr="00C20287">
        <w:rPr>
          <w:iCs/>
          <w:color w:val="0D0D0D" w:themeColor="text1" w:themeTint="F2"/>
          <w:sz w:val="24"/>
          <w:szCs w:val="24"/>
        </w:rPr>
        <w:t>,</w:t>
      </w:r>
      <w:r w:rsidR="00DD0EDB" w:rsidRPr="00C20287">
        <w:rPr>
          <w:iCs/>
          <w:color w:val="0D0D0D" w:themeColor="text1" w:themeTint="F2"/>
          <w:sz w:val="24"/>
          <w:szCs w:val="24"/>
        </w:rPr>
        <w:t xml:space="preserve"> </w:t>
      </w:r>
      <w:r w:rsidR="00293844" w:rsidRPr="00C20287">
        <w:rPr>
          <w:iCs/>
          <w:color w:val="0D0D0D" w:themeColor="text1" w:themeTint="F2"/>
          <w:sz w:val="24"/>
          <w:szCs w:val="24"/>
        </w:rPr>
        <w:t>current wholesalers have individual contracts with the Commonwealth</w:t>
      </w:r>
      <w:r w:rsidR="009A54A9" w:rsidRPr="00C20287">
        <w:rPr>
          <w:iCs/>
          <w:color w:val="0D0D0D" w:themeColor="text1" w:themeTint="F2"/>
          <w:sz w:val="24"/>
          <w:szCs w:val="24"/>
        </w:rPr>
        <w:t>,</w:t>
      </w:r>
      <w:r w:rsidR="00F9091F" w:rsidRPr="00C20287">
        <w:rPr>
          <w:iCs/>
          <w:color w:val="0D0D0D" w:themeColor="text1" w:themeTint="F2"/>
          <w:sz w:val="24"/>
          <w:szCs w:val="24"/>
        </w:rPr>
        <w:t xml:space="preserve"> which </w:t>
      </w:r>
      <w:r w:rsidR="009A54A9" w:rsidRPr="00C20287">
        <w:rPr>
          <w:iCs/>
          <w:color w:val="0D0D0D" w:themeColor="text1" w:themeTint="F2"/>
          <w:sz w:val="24"/>
          <w:szCs w:val="24"/>
        </w:rPr>
        <w:t xml:space="preserve">could </w:t>
      </w:r>
      <w:r w:rsidR="00F9091F" w:rsidRPr="00C20287">
        <w:rPr>
          <w:iCs/>
          <w:color w:val="0D0D0D" w:themeColor="text1" w:themeTint="F2"/>
          <w:sz w:val="24"/>
          <w:szCs w:val="24"/>
        </w:rPr>
        <w:t>ensure continued supply of medicines</w:t>
      </w:r>
      <w:r w:rsidR="009A54A9" w:rsidRPr="00C20287">
        <w:rPr>
          <w:iCs/>
          <w:color w:val="0D0D0D" w:themeColor="text1" w:themeTint="F2"/>
          <w:sz w:val="24"/>
          <w:szCs w:val="24"/>
        </w:rPr>
        <w:t xml:space="preserve"> in the short term</w:t>
      </w:r>
      <w:r w:rsidR="00DD0EDB" w:rsidRPr="00C20287">
        <w:rPr>
          <w:iCs/>
          <w:color w:val="0D0D0D" w:themeColor="text1" w:themeTint="F2"/>
          <w:sz w:val="24"/>
          <w:szCs w:val="24"/>
        </w:rPr>
        <w:t>.</w:t>
      </w:r>
      <w:r w:rsidR="008A4317" w:rsidRPr="00C20287">
        <w:rPr>
          <w:iCs/>
          <w:color w:val="0D0D0D" w:themeColor="text1" w:themeTint="F2"/>
          <w:sz w:val="24"/>
          <w:szCs w:val="24"/>
        </w:rPr>
        <w:t xml:space="preserve"> </w:t>
      </w:r>
      <w:r w:rsidR="009A54A9" w:rsidRPr="00C20287">
        <w:rPr>
          <w:iCs/>
          <w:color w:val="0D0D0D" w:themeColor="text1" w:themeTint="F2"/>
          <w:sz w:val="24"/>
          <w:szCs w:val="24"/>
        </w:rPr>
        <w:t>Once</w:t>
      </w:r>
      <w:r w:rsidR="008A4317" w:rsidRPr="00C20287">
        <w:rPr>
          <w:iCs/>
          <w:color w:val="0D0D0D" w:themeColor="text1" w:themeTint="F2"/>
          <w:sz w:val="24"/>
          <w:szCs w:val="24"/>
        </w:rPr>
        <w:t xml:space="preserve"> </w:t>
      </w:r>
      <w:r w:rsidR="00DD0EDB" w:rsidRPr="00C20287">
        <w:rPr>
          <w:iCs/>
          <w:color w:val="0D0D0D" w:themeColor="text1" w:themeTint="F2"/>
          <w:sz w:val="24"/>
          <w:szCs w:val="24"/>
        </w:rPr>
        <w:t>new</w:t>
      </w:r>
      <w:r w:rsidR="008A4317" w:rsidRPr="00C20287">
        <w:rPr>
          <w:iCs/>
          <w:color w:val="0D0D0D" w:themeColor="text1" w:themeTint="F2"/>
          <w:sz w:val="24"/>
          <w:szCs w:val="24"/>
        </w:rPr>
        <w:t xml:space="preserve"> </w:t>
      </w:r>
      <w:r w:rsidR="004C2308">
        <w:rPr>
          <w:iCs/>
          <w:color w:val="0D0D0D" w:themeColor="text1" w:themeTint="F2"/>
          <w:sz w:val="24"/>
          <w:szCs w:val="24"/>
        </w:rPr>
        <w:t xml:space="preserve">individual </w:t>
      </w:r>
      <w:r w:rsidR="008A4317" w:rsidRPr="00C20287">
        <w:rPr>
          <w:iCs/>
          <w:color w:val="0D0D0D" w:themeColor="text1" w:themeTint="F2"/>
          <w:sz w:val="24"/>
          <w:szCs w:val="24"/>
        </w:rPr>
        <w:t>CSO arrangements are finalised</w:t>
      </w:r>
      <w:r w:rsidR="009A54A9" w:rsidRPr="00C20287">
        <w:rPr>
          <w:iCs/>
          <w:color w:val="0D0D0D" w:themeColor="text1" w:themeTint="F2"/>
          <w:sz w:val="24"/>
          <w:szCs w:val="24"/>
        </w:rPr>
        <w:t>,</w:t>
      </w:r>
      <w:r w:rsidR="00026067" w:rsidRPr="00C20287">
        <w:rPr>
          <w:iCs/>
          <w:color w:val="0D0D0D" w:themeColor="text1" w:themeTint="F2"/>
          <w:sz w:val="24"/>
          <w:szCs w:val="24"/>
        </w:rPr>
        <w:t xml:space="preserve"> </w:t>
      </w:r>
      <w:r w:rsidR="00D3482C" w:rsidRPr="00C20287">
        <w:rPr>
          <w:iCs/>
          <w:color w:val="0D0D0D" w:themeColor="text1" w:themeTint="F2"/>
          <w:sz w:val="24"/>
          <w:szCs w:val="24"/>
        </w:rPr>
        <w:t xml:space="preserve">new </w:t>
      </w:r>
      <w:r w:rsidR="008A4317" w:rsidRPr="00C20287">
        <w:rPr>
          <w:iCs/>
          <w:color w:val="0D0D0D" w:themeColor="text1" w:themeTint="F2"/>
          <w:sz w:val="24"/>
          <w:szCs w:val="24"/>
        </w:rPr>
        <w:t>wholesaler</w:t>
      </w:r>
      <w:r w:rsidR="00D3482C" w:rsidRPr="00C20287">
        <w:rPr>
          <w:iCs/>
          <w:color w:val="0D0D0D" w:themeColor="text1" w:themeTint="F2"/>
          <w:sz w:val="24"/>
          <w:szCs w:val="24"/>
        </w:rPr>
        <w:t xml:space="preserve"> contracts</w:t>
      </w:r>
      <w:r w:rsidR="008A4317" w:rsidRPr="00C20287">
        <w:rPr>
          <w:iCs/>
          <w:color w:val="0D0D0D" w:themeColor="text1" w:themeTint="F2"/>
          <w:sz w:val="24"/>
          <w:szCs w:val="24"/>
        </w:rPr>
        <w:t xml:space="preserve"> will </w:t>
      </w:r>
      <w:r w:rsidR="00D3482C" w:rsidRPr="00C20287">
        <w:rPr>
          <w:iCs/>
          <w:color w:val="0D0D0D" w:themeColor="text1" w:themeTint="F2"/>
          <w:sz w:val="24"/>
          <w:szCs w:val="24"/>
        </w:rPr>
        <w:t>be required</w:t>
      </w:r>
      <w:r w:rsidR="00F9091F" w:rsidRPr="00C20287">
        <w:rPr>
          <w:iCs/>
          <w:color w:val="0D0D0D" w:themeColor="text1" w:themeTint="F2"/>
          <w:sz w:val="24"/>
          <w:szCs w:val="24"/>
        </w:rPr>
        <w:t xml:space="preserve"> which may change </w:t>
      </w:r>
      <w:r w:rsidR="004C2308">
        <w:rPr>
          <w:iCs/>
          <w:color w:val="0D0D0D" w:themeColor="text1" w:themeTint="F2"/>
          <w:sz w:val="24"/>
          <w:szCs w:val="24"/>
        </w:rPr>
        <w:t xml:space="preserve">overall </w:t>
      </w:r>
      <w:r w:rsidR="00807504" w:rsidRPr="00C20287">
        <w:rPr>
          <w:iCs/>
          <w:color w:val="0D0D0D" w:themeColor="text1" w:themeTint="F2"/>
          <w:sz w:val="24"/>
          <w:szCs w:val="24"/>
        </w:rPr>
        <w:t>access</w:t>
      </w:r>
      <w:r w:rsidR="00D3482C" w:rsidRPr="00C20287">
        <w:rPr>
          <w:iCs/>
          <w:color w:val="0D0D0D" w:themeColor="text1" w:themeTint="F2"/>
          <w:sz w:val="24"/>
          <w:szCs w:val="24"/>
        </w:rPr>
        <w:t>.</w:t>
      </w:r>
      <w:r w:rsidR="00D3482C" w:rsidRPr="00C20287" w:rsidDel="00D3482C">
        <w:rPr>
          <w:iCs/>
          <w:color w:val="0D0D0D" w:themeColor="text1" w:themeTint="F2"/>
          <w:sz w:val="24"/>
          <w:szCs w:val="24"/>
        </w:rPr>
        <w:t xml:space="preserve"> </w:t>
      </w:r>
    </w:p>
    <w:p w14:paraId="3496D218" w14:textId="767CC695" w:rsidR="00E83BFA" w:rsidRPr="00C20287" w:rsidRDefault="00E83BFA" w:rsidP="00E83BFA">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NDSS changes may come into effect as negotiated</w:t>
      </w:r>
      <w:r w:rsidR="00724AA0" w:rsidRPr="00C20287">
        <w:rPr>
          <w:iCs/>
          <w:color w:val="0D0D0D" w:themeColor="text1" w:themeTint="F2"/>
          <w:sz w:val="24"/>
          <w:szCs w:val="24"/>
        </w:rPr>
        <w:t xml:space="preserve"> after the expiry of the 7CPA</w:t>
      </w:r>
      <w:r w:rsidRPr="00C20287">
        <w:rPr>
          <w:iCs/>
          <w:color w:val="0D0D0D" w:themeColor="text1" w:themeTint="F2"/>
          <w:sz w:val="24"/>
          <w:szCs w:val="24"/>
        </w:rPr>
        <w:t>.</w:t>
      </w:r>
    </w:p>
    <w:p w14:paraId="1906B3CB" w14:textId="77777777" w:rsidR="00E83BFA" w:rsidRPr="00C20287" w:rsidRDefault="00E83BFA" w:rsidP="00E83BFA">
      <w:pPr>
        <w:pStyle w:val="Subtitle"/>
        <w:spacing w:before="0" w:after="0"/>
      </w:pPr>
      <w:r w:rsidRPr="00C20287">
        <w:t>The Guild/PSA</w:t>
      </w:r>
    </w:p>
    <w:p w14:paraId="312C3AC1" w14:textId="09307DB3" w:rsidR="00E83BFA" w:rsidRPr="00C20287" w:rsidRDefault="00E83BFA" w:rsidP="00E83BFA">
      <w:pPr>
        <w:pStyle w:val="ListParagraph"/>
        <w:numPr>
          <w:ilvl w:val="0"/>
          <w:numId w:val="10"/>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The Guild would no longer be the sole representative in Commonwealth </w:t>
      </w:r>
      <w:r w:rsidR="004C2308">
        <w:rPr>
          <w:iCs/>
          <w:color w:val="0D0D0D" w:themeColor="text1" w:themeTint="F2"/>
          <w:sz w:val="24"/>
          <w:szCs w:val="24"/>
        </w:rPr>
        <w:t>p</w:t>
      </w:r>
      <w:r w:rsidRPr="00C20287">
        <w:rPr>
          <w:iCs/>
          <w:color w:val="0D0D0D" w:themeColor="text1" w:themeTint="F2"/>
          <w:sz w:val="24"/>
          <w:szCs w:val="24"/>
        </w:rPr>
        <w:t xml:space="preserve">rice negotiations. </w:t>
      </w:r>
      <w:r w:rsidR="004C2308">
        <w:rPr>
          <w:iCs/>
          <w:color w:val="0D0D0D" w:themeColor="text1" w:themeTint="F2"/>
          <w:sz w:val="24"/>
          <w:szCs w:val="24"/>
        </w:rPr>
        <w:t xml:space="preserve">The </w:t>
      </w:r>
      <w:r w:rsidRPr="00C20287">
        <w:rPr>
          <w:iCs/>
          <w:color w:val="0D0D0D" w:themeColor="text1" w:themeTint="F2"/>
          <w:sz w:val="24"/>
          <w:szCs w:val="24"/>
        </w:rPr>
        <w:t xml:space="preserve">PBRT </w:t>
      </w:r>
      <w:r w:rsidR="00293844" w:rsidRPr="00C20287">
        <w:rPr>
          <w:iCs/>
          <w:color w:val="0D0D0D" w:themeColor="text1" w:themeTint="F2"/>
          <w:sz w:val="24"/>
          <w:szCs w:val="24"/>
        </w:rPr>
        <w:t xml:space="preserve">would announce a public inquiry into the determination of the Commonwealth price and </w:t>
      </w:r>
      <w:r w:rsidR="001B0747" w:rsidRPr="00C20287">
        <w:rPr>
          <w:iCs/>
          <w:color w:val="0D0D0D" w:themeColor="text1" w:themeTint="F2"/>
          <w:sz w:val="24"/>
          <w:szCs w:val="24"/>
        </w:rPr>
        <w:t>consider</w:t>
      </w:r>
      <w:r w:rsidRPr="00C20287">
        <w:rPr>
          <w:iCs/>
          <w:color w:val="0D0D0D" w:themeColor="text1" w:themeTint="F2"/>
          <w:sz w:val="24"/>
          <w:szCs w:val="24"/>
        </w:rPr>
        <w:t xml:space="preserve"> </w:t>
      </w:r>
      <w:r w:rsidR="001B0747" w:rsidRPr="00C20287">
        <w:rPr>
          <w:iCs/>
          <w:color w:val="0D0D0D" w:themeColor="text1" w:themeTint="F2"/>
          <w:sz w:val="24"/>
          <w:szCs w:val="24"/>
        </w:rPr>
        <w:t>any</w:t>
      </w:r>
      <w:r w:rsidRPr="00C20287">
        <w:rPr>
          <w:iCs/>
          <w:color w:val="0D0D0D" w:themeColor="text1" w:themeTint="F2"/>
          <w:sz w:val="24"/>
          <w:szCs w:val="24"/>
        </w:rPr>
        <w:t xml:space="preserve"> submissions from interested parties in making </w:t>
      </w:r>
      <w:r w:rsidR="001B0747" w:rsidRPr="00C20287">
        <w:rPr>
          <w:iCs/>
          <w:color w:val="0D0D0D" w:themeColor="text1" w:themeTint="F2"/>
          <w:sz w:val="24"/>
          <w:szCs w:val="24"/>
        </w:rPr>
        <w:t xml:space="preserve">their </w:t>
      </w:r>
      <w:r w:rsidRPr="00C20287">
        <w:rPr>
          <w:iCs/>
          <w:color w:val="0D0D0D" w:themeColor="text1" w:themeTint="F2"/>
          <w:sz w:val="24"/>
          <w:szCs w:val="24"/>
        </w:rPr>
        <w:t xml:space="preserve">determination on </w:t>
      </w:r>
      <w:r w:rsidR="00293844" w:rsidRPr="00C20287">
        <w:rPr>
          <w:iCs/>
          <w:color w:val="0D0D0D" w:themeColor="text1" w:themeTint="F2"/>
          <w:sz w:val="24"/>
          <w:szCs w:val="24"/>
        </w:rPr>
        <w:t xml:space="preserve">the most appropriate </w:t>
      </w:r>
      <w:r w:rsidRPr="00C20287">
        <w:rPr>
          <w:iCs/>
          <w:color w:val="0D0D0D" w:themeColor="text1" w:themeTint="F2"/>
          <w:sz w:val="24"/>
          <w:szCs w:val="24"/>
        </w:rPr>
        <w:t xml:space="preserve">Commonwealth price. </w:t>
      </w:r>
    </w:p>
    <w:p w14:paraId="08D6C6F3" w14:textId="565C3C4B" w:rsidR="00E83BFA" w:rsidRPr="00C20287" w:rsidRDefault="00E83BFA" w:rsidP="00E83BFA">
      <w:pPr>
        <w:pStyle w:val="ListParagraph"/>
        <w:numPr>
          <w:ilvl w:val="0"/>
          <w:numId w:val="10"/>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Wholesale mark-ups, CSO and </w:t>
      </w:r>
      <w:r w:rsidR="002D0C4F">
        <w:rPr>
          <w:iCs/>
          <w:color w:val="0D0D0D" w:themeColor="text1" w:themeTint="F2"/>
          <w:sz w:val="24"/>
          <w:szCs w:val="24"/>
        </w:rPr>
        <w:t xml:space="preserve">potentially </w:t>
      </w:r>
      <w:r w:rsidRPr="00C20287">
        <w:rPr>
          <w:iCs/>
          <w:color w:val="0D0D0D" w:themeColor="text1" w:themeTint="F2"/>
          <w:sz w:val="24"/>
          <w:szCs w:val="24"/>
        </w:rPr>
        <w:t>NDSS distribution fees would be subject to negotiations between the Commonwealth and NPSA, as a representative of pharmaceutical wholesalers</w:t>
      </w:r>
      <w:r w:rsidR="00455DAD" w:rsidRPr="00C20287">
        <w:rPr>
          <w:iCs/>
          <w:color w:val="0D0D0D" w:themeColor="text1" w:themeTint="F2"/>
          <w:sz w:val="24"/>
          <w:szCs w:val="24"/>
        </w:rPr>
        <w:t xml:space="preserve"> rather than with the Guild as has previously been the case in </w:t>
      </w:r>
      <w:r w:rsidR="009F710F" w:rsidRPr="00C20287">
        <w:rPr>
          <w:iCs/>
          <w:color w:val="0D0D0D" w:themeColor="text1" w:themeTint="F2"/>
          <w:sz w:val="24"/>
          <w:szCs w:val="24"/>
        </w:rPr>
        <w:t xml:space="preserve">previous </w:t>
      </w:r>
      <w:r w:rsidR="00455DAD" w:rsidRPr="00C20287">
        <w:rPr>
          <w:iCs/>
          <w:color w:val="0D0D0D" w:themeColor="text1" w:themeTint="F2"/>
          <w:sz w:val="24"/>
          <w:szCs w:val="24"/>
        </w:rPr>
        <w:t>CPAs</w:t>
      </w:r>
      <w:r w:rsidRPr="00C20287">
        <w:rPr>
          <w:iCs/>
          <w:color w:val="0D0D0D" w:themeColor="text1" w:themeTint="F2"/>
          <w:sz w:val="24"/>
          <w:szCs w:val="24"/>
        </w:rPr>
        <w:t>.</w:t>
      </w:r>
    </w:p>
    <w:p w14:paraId="329AFAAC" w14:textId="2BDB446E" w:rsidR="00E83BFA" w:rsidRPr="00C20287" w:rsidRDefault="00E83BFA" w:rsidP="00E83BFA">
      <w:pPr>
        <w:pStyle w:val="ListParagraph"/>
        <w:numPr>
          <w:ilvl w:val="0"/>
          <w:numId w:val="10"/>
        </w:numPr>
        <w:autoSpaceDE w:val="0"/>
        <w:autoSpaceDN w:val="0"/>
        <w:adjustRightInd w:val="0"/>
        <w:spacing w:line="240" w:lineRule="auto"/>
      </w:pPr>
      <w:r w:rsidRPr="00C20287">
        <w:rPr>
          <w:iCs/>
          <w:color w:val="0D0D0D" w:themeColor="text1" w:themeTint="F2"/>
          <w:sz w:val="24"/>
          <w:szCs w:val="24"/>
        </w:rPr>
        <w:t>PSA may continue to be responsible for development and maintenance of the Code of Ethics, professional standards and guidelines for pharmacists</w:t>
      </w:r>
      <w:r w:rsidR="002D0C4F">
        <w:rPr>
          <w:iCs/>
          <w:color w:val="0D0D0D" w:themeColor="text1" w:themeTint="F2"/>
          <w:sz w:val="24"/>
          <w:szCs w:val="24"/>
        </w:rPr>
        <w:t>, subject to securing appropriate funding for these activities</w:t>
      </w:r>
      <w:r w:rsidRPr="00C20287">
        <w:rPr>
          <w:iCs/>
          <w:color w:val="0D0D0D" w:themeColor="text1" w:themeTint="F2"/>
          <w:sz w:val="24"/>
          <w:szCs w:val="24"/>
        </w:rPr>
        <w:t xml:space="preserve">. </w:t>
      </w:r>
    </w:p>
    <w:p w14:paraId="7E8F5A45" w14:textId="3062DB0E" w:rsidR="00E83BFA" w:rsidRPr="00C20287" w:rsidRDefault="00E83BFA" w:rsidP="00E83BFA">
      <w:pPr>
        <w:pStyle w:val="ListParagraph"/>
        <w:numPr>
          <w:ilvl w:val="0"/>
          <w:numId w:val="10"/>
        </w:numPr>
        <w:autoSpaceDE w:val="0"/>
        <w:autoSpaceDN w:val="0"/>
        <w:adjustRightInd w:val="0"/>
        <w:spacing w:line="240" w:lineRule="auto"/>
      </w:pPr>
      <w:r w:rsidRPr="00C20287">
        <w:rPr>
          <w:iCs/>
          <w:color w:val="0D0D0D" w:themeColor="text1" w:themeTint="F2"/>
          <w:sz w:val="24"/>
          <w:szCs w:val="24"/>
        </w:rPr>
        <w:t>CPP</w:t>
      </w:r>
      <w:r w:rsidR="004C2308">
        <w:rPr>
          <w:iCs/>
          <w:color w:val="0D0D0D" w:themeColor="text1" w:themeTint="F2"/>
          <w:sz w:val="24"/>
          <w:szCs w:val="24"/>
        </w:rPr>
        <w:t>s</w:t>
      </w:r>
      <w:r w:rsidRPr="00C20287">
        <w:rPr>
          <w:iCs/>
          <w:color w:val="0D0D0D" w:themeColor="text1" w:themeTint="F2"/>
          <w:sz w:val="24"/>
          <w:szCs w:val="24"/>
        </w:rPr>
        <w:t xml:space="preserve"> </w:t>
      </w:r>
      <w:r w:rsidR="00943CBF">
        <w:rPr>
          <w:iCs/>
          <w:color w:val="0D0D0D" w:themeColor="text1" w:themeTint="F2"/>
          <w:sz w:val="24"/>
          <w:szCs w:val="24"/>
        </w:rPr>
        <w:t xml:space="preserve">would be reviewed to establish more robust data collection protocols which would inform future evaluation and future considerations to </w:t>
      </w:r>
      <w:r w:rsidRPr="00C20287">
        <w:rPr>
          <w:iCs/>
          <w:color w:val="0D0D0D" w:themeColor="text1" w:themeTint="F2"/>
          <w:sz w:val="24"/>
          <w:szCs w:val="24"/>
        </w:rPr>
        <w:t xml:space="preserve">changes in scope and eligibility through normal </w:t>
      </w:r>
      <w:r w:rsidR="003554FA" w:rsidRPr="00C20287">
        <w:rPr>
          <w:iCs/>
          <w:color w:val="0D0D0D" w:themeColor="text1" w:themeTint="F2"/>
          <w:sz w:val="24"/>
          <w:szCs w:val="24"/>
        </w:rPr>
        <w:t xml:space="preserve">policy development </w:t>
      </w:r>
      <w:r w:rsidRPr="00C20287">
        <w:rPr>
          <w:iCs/>
          <w:color w:val="0D0D0D" w:themeColor="text1" w:themeTint="F2"/>
          <w:sz w:val="24"/>
          <w:szCs w:val="24"/>
        </w:rPr>
        <w:t>processes</w:t>
      </w:r>
      <w:r w:rsidR="00943CBF">
        <w:rPr>
          <w:iCs/>
          <w:color w:val="0D0D0D" w:themeColor="text1" w:themeTint="F2"/>
          <w:sz w:val="24"/>
          <w:szCs w:val="24"/>
        </w:rPr>
        <w:t>.</w:t>
      </w:r>
      <w:r w:rsidR="009F710F" w:rsidRPr="00C20287">
        <w:rPr>
          <w:iCs/>
          <w:color w:val="0D0D0D" w:themeColor="text1" w:themeTint="F2"/>
          <w:sz w:val="24"/>
          <w:szCs w:val="24"/>
        </w:rPr>
        <w:t xml:space="preserve"> </w:t>
      </w:r>
      <w:r w:rsidR="00943CBF">
        <w:rPr>
          <w:iCs/>
          <w:color w:val="0D0D0D" w:themeColor="text1" w:themeTint="F2"/>
          <w:sz w:val="24"/>
          <w:szCs w:val="24"/>
        </w:rPr>
        <w:t>T</w:t>
      </w:r>
      <w:r w:rsidRPr="00C20287">
        <w:rPr>
          <w:iCs/>
          <w:color w:val="0D0D0D" w:themeColor="text1" w:themeTint="F2"/>
          <w:sz w:val="24"/>
          <w:szCs w:val="24"/>
        </w:rPr>
        <w:t>here would be no requirement to obtain agreement to such changes from the Guild</w:t>
      </w:r>
    </w:p>
    <w:p w14:paraId="3CA59D14" w14:textId="717DE33E" w:rsidR="00E62899" w:rsidRPr="00CA72FA" w:rsidRDefault="00E62899" w:rsidP="00C76599">
      <w:pPr>
        <w:pStyle w:val="ListParagraph"/>
        <w:numPr>
          <w:ilvl w:val="1"/>
          <w:numId w:val="10"/>
        </w:numPr>
        <w:autoSpaceDE w:val="0"/>
        <w:autoSpaceDN w:val="0"/>
        <w:adjustRightInd w:val="0"/>
        <w:spacing w:line="240" w:lineRule="auto"/>
      </w:pPr>
      <w:r w:rsidRPr="00C20287">
        <w:rPr>
          <w:iCs/>
          <w:color w:val="0D0D0D" w:themeColor="text1" w:themeTint="F2"/>
          <w:sz w:val="24"/>
          <w:szCs w:val="24"/>
        </w:rPr>
        <w:t xml:space="preserve">Consultation and agreement on programs to be funded or added </w:t>
      </w:r>
      <w:r w:rsidR="002923A7" w:rsidRPr="00C20287">
        <w:rPr>
          <w:iCs/>
          <w:color w:val="0D0D0D" w:themeColor="text1" w:themeTint="F2"/>
          <w:sz w:val="24"/>
          <w:szCs w:val="24"/>
        </w:rPr>
        <w:t xml:space="preserve">would be widened to include a </w:t>
      </w:r>
      <w:r w:rsidR="00A43476">
        <w:rPr>
          <w:iCs/>
          <w:color w:val="0D0D0D" w:themeColor="text1" w:themeTint="F2"/>
          <w:sz w:val="24"/>
          <w:szCs w:val="24"/>
        </w:rPr>
        <w:t>broad</w:t>
      </w:r>
      <w:r w:rsidR="00A43476" w:rsidRPr="00C20287">
        <w:rPr>
          <w:iCs/>
          <w:color w:val="0D0D0D" w:themeColor="text1" w:themeTint="F2"/>
          <w:sz w:val="24"/>
          <w:szCs w:val="24"/>
        </w:rPr>
        <w:t xml:space="preserve">er </w:t>
      </w:r>
      <w:r w:rsidR="002923A7" w:rsidRPr="00C20287">
        <w:rPr>
          <w:iCs/>
          <w:color w:val="0D0D0D" w:themeColor="text1" w:themeTint="F2"/>
          <w:sz w:val="24"/>
          <w:szCs w:val="24"/>
        </w:rPr>
        <w:t>range of stakeholders</w:t>
      </w:r>
      <w:r w:rsidR="00C3757F">
        <w:rPr>
          <w:iCs/>
          <w:color w:val="0D0D0D" w:themeColor="text1" w:themeTint="F2"/>
          <w:sz w:val="24"/>
          <w:szCs w:val="24"/>
        </w:rPr>
        <w:t xml:space="preserve"> including consumer representative </w:t>
      </w:r>
      <w:r w:rsidR="00BF6DCF">
        <w:rPr>
          <w:iCs/>
          <w:color w:val="0D0D0D" w:themeColor="text1" w:themeTint="F2"/>
          <w:sz w:val="24"/>
          <w:szCs w:val="24"/>
        </w:rPr>
        <w:t>organisations</w:t>
      </w:r>
      <w:r w:rsidR="002923A7" w:rsidRPr="00C20287">
        <w:rPr>
          <w:iCs/>
          <w:color w:val="0D0D0D" w:themeColor="text1" w:themeTint="F2"/>
          <w:sz w:val="24"/>
          <w:szCs w:val="24"/>
        </w:rPr>
        <w:t xml:space="preserve">, not just the Guild. </w:t>
      </w:r>
    </w:p>
    <w:p w14:paraId="5C86F556" w14:textId="662DF1D2" w:rsidR="00E83BFA" w:rsidRPr="00C20287" w:rsidRDefault="00E83BFA" w:rsidP="00E83BFA">
      <w:pPr>
        <w:pStyle w:val="Subtitle"/>
        <w:spacing w:before="0" w:after="0"/>
      </w:pPr>
      <w:r w:rsidRPr="00C20287">
        <w:t>Services Australia and P</w:t>
      </w:r>
      <w:r w:rsidR="00D07EB3" w:rsidRPr="00C20287">
        <w:t xml:space="preserve">harmacy </w:t>
      </w:r>
      <w:r w:rsidRPr="00C20287">
        <w:t>P</w:t>
      </w:r>
      <w:r w:rsidR="00D07EB3" w:rsidRPr="00C20287">
        <w:t xml:space="preserve">rograms </w:t>
      </w:r>
      <w:r w:rsidRPr="00C20287">
        <w:t>A</w:t>
      </w:r>
      <w:r w:rsidR="00D07EB3" w:rsidRPr="00C20287">
        <w:t>dministrator (PPA)</w:t>
      </w:r>
    </w:p>
    <w:p w14:paraId="407ED037" w14:textId="42ACD1D2" w:rsidR="00E83BFA" w:rsidRPr="00C20287" w:rsidRDefault="00E83BFA" w:rsidP="00455DAD">
      <w:pPr>
        <w:pStyle w:val="ListParagraph"/>
        <w:numPr>
          <w:ilvl w:val="0"/>
          <w:numId w:val="11"/>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There would be no change to business operations for Services Australia which would continue to process and pay PBS dispensing claims from community pharmacies</w:t>
      </w:r>
      <w:r w:rsidR="00967934" w:rsidRPr="00C20287">
        <w:rPr>
          <w:iCs/>
          <w:color w:val="0D0D0D" w:themeColor="text1" w:themeTint="F2"/>
          <w:sz w:val="24"/>
          <w:szCs w:val="24"/>
        </w:rPr>
        <w:t xml:space="preserve"> based on the remuneration of dispensing PBS medicines at the end to the 7CPA</w:t>
      </w:r>
      <w:r w:rsidRPr="00C20287">
        <w:rPr>
          <w:iCs/>
          <w:color w:val="0D0D0D" w:themeColor="text1" w:themeTint="F2"/>
          <w:sz w:val="24"/>
          <w:szCs w:val="24"/>
        </w:rPr>
        <w:t>.</w:t>
      </w:r>
    </w:p>
    <w:p w14:paraId="5C069E01" w14:textId="7F460AA8" w:rsidR="00E83BFA" w:rsidRPr="00C20287" w:rsidRDefault="00E83BFA" w:rsidP="00D07EB3">
      <w:pPr>
        <w:pStyle w:val="ListParagraph"/>
        <w:numPr>
          <w:ilvl w:val="0"/>
          <w:numId w:val="11"/>
        </w:numPr>
        <w:autoSpaceDE w:val="0"/>
        <w:autoSpaceDN w:val="0"/>
        <w:adjustRightInd w:val="0"/>
        <w:spacing w:line="240" w:lineRule="auto"/>
        <w:rPr>
          <w:color w:val="0D0D0D" w:themeColor="text1" w:themeTint="F2"/>
          <w:sz w:val="24"/>
          <w:szCs w:val="24"/>
        </w:rPr>
      </w:pPr>
      <w:r w:rsidRPr="00C20287">
        <w:rPr>
          <w:iCs/>
          <w:color w:val="0D0D0D" w:themeColor="text1" w:themeTint="F2"/>
          <w:sz w:val="24"/>
          <w:szCs w:val="24"/>
        </w:rPr>
        <w:lastRenderedPageBreak/>
        <w:t>The current arrangements with the PPA,</w:t>
      </w:r>
      <w:r w:rsidR="00D07EB3" w:rsidRPr="00C20287">
        <w:t xml:space="preserve"> </w:t>
      </w:r>
      <w:r w:rsidR="00EF0CDB" w:rsidRPr="00C20287">
        <w:rPr>
          <w:iCs/>
          <w:color w:val="0D0D0D" w:themeColor="text1" w:themeTint="F2"/>
          <w:sz w:val="24"/>
          <w:szCs w:val="24"/>
        </w:rPr>
        <w:t xml:space="preserve">where the Commonwealth pays the PPA to act as </w:t>
      </w:r>
      <w:r w:rsidR="00D07EB3" w:rsidRPr="00C20287">
        <w:rPr>
          <w:iCs/>
          <w:color w:val="0D0D0D" w:themeColor="text1" w:themeTint="F2"/>
          <w:sz w:val="24"/>
          <w:szCs w:val="24"/>
        </w:rPr>
        <w:t>the administrator of the CPP</w:t>
      </w:r>
      <w:r w:rsidRPr="00C20287">
        <w:rPr>
          <w:iCs/>
          <w:color w:val="0D0D0D" w:themeColor="text1" w:themeTint="F2"/>
          <w:sz w:val="24"/>
          <w:szCs w:val="24"/>
        </w:rPr>
        <w:t xml:space="preserve"> </w:t>
      </w:r>
      <w:r w:rsidR="00EF0CDB" w:rsidRPr="00C20287">
        <w:rPr>
          <w:iCs/>
          <w:color w:val="0D0D0D" w:themeColor="text1" w:themeTint="F2"/>
          <w:sz w:val="24"/>
          <w:szCs w:val="24"/>
        </w:rPr>
        <w:t>to ensure compliance of pharmacies with the requirements of each individual program and to pay claims for services supplied</w:t>
      </w:r>
      <w:r w:rsidRPr="00C20287">
        <w:rPr>
          <w:iCs/>
          <w:color w:val="0D0D0D" w:themeColor="text1" w:themeTint="F2"/>
          <w:sz w:val="24"/>
          <w:szCs w:val="24"/>
        </w:rPr>
        <w:t xml:space="preserve">, may change over time, depending on any changes to the </w:t>
      </w:r>
      <w:r w:rsidR="00724AA0" w:rsidRPr="00C20287">
        <w:rPr>
          <w:iCs/>
          <w:color w:val="0D0D0D" w:themeColor="text1" w:themeTint="F2"/>
          <w:sz w:val="24"/>
          <w:szCs w:val="24"/>
        </w:rPr>
        <w:t xml:space="preserve">administration </w:t>
      </w:r>
      <w:r w:rsidR="00D07EB3" w:rsidRPr="00C20287">
        <w:rPr>
          <w:iCs/>
          <w:color w:val="0D0D0D" w:themeColor="text1" w:themeTint="F2"/>
          <w:sz w:val="24"/>
          <w:szCs w:val="24"/>
        </w:rPr>
        <w:t xml:space="preserve">and structure </w:t>
      </w:r>
      <w:r w:rsidR="00724AA0" w:rsidRPr="00C20287">
        <w:rPr>
          <w:iCs/>
          <w:color w:val="0D0D0D" w:themeColor="text1" w:themeTint="F2"/>
          <w:sz w:val="24"/>
          <w:szCs w:val="24"/>
        </w:rPr>
        <w:t xml:space="preserve">of </w:t>
      </w:r>
      <w:r w:rsidRPr="00C20287">
        <w:rPr>
          <w:iCs/>
          <w:color w:val="0D0D0D" w:themeColor="text1" w:themeTint="F2"/>
          <w:sz w:val="24"/>
          <w:szCs w:val="24"/>
        </w:rPr>
        <w:t>CPP</w:t>
      </w:r>
      <w:r w:rsidR="00D07EB3" w:rsidRPr="00C20287">
        <w:rPr>
          <w:iCs/>
          <w:color w:val="0D0D0D" w:themeColor="text1" w:themeTint="F2"/>
          <w:sz w:val="24"/>
          <w:szCs w:val="24"/>
        </w:rPr>
        <w:t>s</w:t>
      </w:r>
      <w:r w:rsidRPr="00C20287">
        <w:rPr>
          <w:color w:val="0D0D0D" w:themeColor="text1" w:themeTint="F2"/>
          <w:sz w:val="24"/>
          <w:szCs w:val="24"/>
        </w:rPr>
        <w:t>.</w:t>
      </w:r>
    </w:p>
    <w:p w14:paraId="04E865E8" w14:textId="77777777" w:rsidR="00E83BFA" w:rsidRPr="00C20287" w:rsidRDefault="00E83BFA" w:rsidP="00E83BFA">
      <w:pPr>
        <w:pStyle w:val="Subtitle"/>
        <w:spacing w:before="0" w:after="0"/>
      </w:pPr>
      <w:r w:rsidRPr="00C20287">
        <w:t>Pharmacy wholesalers</w:t>
      </w:r>
    </w:p>
    <w:p w14:paraId="759DC697" w14:textId="1E035B42" w:rsidR="00D854BD" w:rsidRPr="00C20287" w:rsidRDefault="00D854BD" w:rsidP="00D854BD">
      <w:pPr>
        <w:pStyle w:val="ListParagraph"/>
        <w:numPr>
          <w:ilvl w:val="0"/>
          <w:numId w:val="11"/>
        </w:numPr>
        <w:rPr>
          <w:iCs/>
          <w:color w:val="0D0D0D" w:themeColor="text1" w:themeTint="F2"/>
          <w:sz w:val="24"/>
          <w:szCs w:val="24"/>
        </w:rPr>
      </w:pPr>
      <w:r w:rsidRPr="00C20287">
        <w:rPr>
          <w:iCs/>
          <w:color w:val="0D0D0D" w:themeColor="text1" w:themeTint="F2"/>
          <w:sz w:val="24"/>
          <w:szCs w:val="24"/>
        </w:rPr>
        <w:t>Pharmaceutical wholesalers maintain distribution facilities for medicines and are the link between sponsors of medicines and community pharmacies where the medicines are dispensed to people. Under the CSO wholesalers are required to ensure fast (generally within 24 hours</w:t>
      </w:r>
      <w:r w:rsidR="00DD2AF8">
        <w:rPr>
          <w:iCs/>
          <w:color w:val="0D0D0D" w:themeColor="text1" w:themeTint="F2"/>
          <w:sz w:val="24"/>
          <w:szCs w:val="24"/>
        </w:rPr>
        <w:t xml:space="preserve"> but up to 72 hours</w:t>
      </w:r>
      <w:r w:rsidRPr="00C20287">
        <w:rPr>
          <w:iCs/>
          <w:color w:val="0D0D0D" w:themeColor="text1" w:themeTint="F2"/>
          <w:sz w:val="24"/>
          <w:szCs w:val="24"/>
        </w:rPr>
        <w:t>) delivery of PBS medicines to community pharmacies irrespective of their location across Australia.</w:t>
      </w:r>
    </w:p>
    <w:p w14:paraId="629A2B14" w14:textId="110E319A" w:rsidR="00E83BFA" w:rsidRPr="00C20287" w:rsidRDefault="00D854BD" w:rsidP="00D854BD">
      <w:pPr>
        <w:pStyle w:val="ListParagraph"/>
        <w:numPr>
          <w:ilvl w:val="0"/>
          <w:numId w:val="11"/>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NPSA, as the peak body representing wholesalers</w:t>
      </w:r>
      <w:r w:rsidR="004255A6">
        <w:rPr>
          <w:iCs/>
          <w:color w:val="0D0D0D" w:themeColor="text1" w:themeTint="F2"/>
          <w:sz w:val="24"/>
          <w:szCs w:val="24"/>
        </w:rPr>
        <w:t>,</w:t>
      </w:r>
      <w:r w:rsidRPr="00C20287">
        <w:rPr>
          <w:iCs/>
          <w:color w:val="0D0D0D" w:themeColor="text1" w:themeTint="F2"/>
          <w:sz w:val="24"/>
          <w:szCs w:val="24"/>
        </w:rPr>
        <w:t xml:space="preserve"> and other significant pharmaceutical wholesaler groups not represented by the NPSA would be responsible for negotiating an initial position on wholesaler mark-ups </w:t>
      </w:r>
      <w:r w:rsidR="00E83BFA" w:rsidRPr="00C20287">
        <w:rPr>
          <w:iCs/>
          <w:color w:val="0D0D0D" w:themeColor="text1" w:themeTint="F2"/>
          <w:sz w:val="24"/>
          <w:szCs w:val="24"/>
        </w:rPr>
        <w:t>in the absence of a CPA.</w:t>
      </w:r>
    </w:p>
    <w:p w14:paraId="4F738824" w14:textId="77777777" w:rsidR="00E83BFA" w:rsidRPr="00C20287" w:rsidRDefault="00E83BFA" w:rsidP="00455DAD">
      <w:pPr>
        <w:pStyle w:val="ListParagraph"/>
        <w:numPr>
          <w:ilvl w:val="0"/>
          <w:numId w:val="11"/>
        </w:numPr>
        <w:spacing w:before="240"/>
        <w:rPr>
          <w:iCs/>
          <w:color w:val="0D0D0D" w:themeColor="text1" w:themeTint="F2"/>
          <w:sz w:val="24"/>
          <w:szCs w:val="24"/>
        </w:rPr>
      </w:pPr>
      <w:r w:rsidRPr="00C20287">
        <w:rPr>
          <w:color w:val="0D0D0D" w:themeColor="text1" w:themeTint="F2"/>
          <w:sz w:val="24"/>
        </w:rPr>
        <w:t xml:space="preserve">CSO and NDSS arrangements may need to be separately negotiated with NPSA. </w:t>
      </w:r>
    </w:p>
    <w:p w14:paraId="1E3A99CF" w14:textId="69CEF98F" w:rsidR="00E83BFA" w:rsidRPr="0016563D" w:rsidRDefault="00E83BFA" w:rsidP="00455DAD">
      <w:pPr>
        <w:pStyle w:val="ListParagraph"/>
        <w:numPr>
          <w:ilvl w:val="0"/>
          <w:numId w:val="11"/>
        </w:numPr>
        <w:spacing w:before="240"/>
        <w:rPr>
          <w:color w:val="0D0D0D" w:themeColor="text1" w:themeTint="F2"/>
          <w:sz w:val="24"/>
          <w:szCs w:val="24"/>
        </w:rPr>
      </w:pPr>
      <w:r w:rsidRPr="00C20287">
        <w:rPr>
          <w:color w:val="0D0D0D" w:themeColor="text1" w:themeTint="F2"/>
          <w:sz w:val="24"/>
        </w:rPr>
        <w:t>No change to required stocking levels would be expected through these changes.</w:t>
      </w:r>
    </w:p>
    <w:p w14:paraId="4448C82D" w14:textId="77777777" w:rsidR="0016563D" w:rsidRPr="0016563D" w:rsidRDefault="0016563D" w:rsidP="0016563D">
      <w:pPr>
        <w:spacing w:before="240"/>
        <w:rPr>
          <w:color w:val="0D0D0D" w:themeColor="text1" w:themeTint="F2"/>
          <w:sz w:val="24"/>
          <w:szCs w:val="24"/>
        </w:rPr>
      </w:pPr>
    </w:p>
    <w:p w14:paraId="699808E4" w14:textId="035977DA" w:rsidR="00E146D4" w:rsidRPr="00C20287" w:rsidRDefault="00E925EB" w:rsidP="006D1867">
      <w:pPr>
        <w:pStyle w:val="Heading3"/>
        <w:tabs>
          <w:tab w:val="left" w:pos="1701"/>
        </w:tabs>
      </w:pPr>
      <w:bookmarkStart w:id="70" w:name="_Toc168652747"/>
      <w:r w:rsidRPr="00C20287">
        <w:t xml:space="preserve">Option 2: </w:t>
      </w:r>
      <w:r w:rsidRPr="00C20287">
        <w:tab/>
      </w:r>
      <w:r w:rsidR="00E146D4" w:rsidRPr="00C20287">
        <w:t xml:space="preserve">Establish an 8CPA </w:t>
      </w:r>
      <w:r w:rsidR="00AE069A" w:rsidRPr="00C20287">
        <w:t>that includes</w:t>
      </w:r>
      <w:r w:rsidR="00F45740">
        <w:t xml:space="preserve"> all</w:t>
      </w:r>
      <w:r w:rsidR="00AE069A" w:rsidRPr="00C20287">
        <w:t xml:space="preserve"> existing pharmacy programs</w:t>
      </w:r>
      <w:bookmarkEnd w:id="70"/>
      <w:r w:rsidR="00AE069A" w:rsidRPr="00C20287">
        <w:t xml:space="preserve"> </w:t>
      </w:r>
    </w:p>
    <w:p w14:paraId="0C5E580B" w14:textId="57B520C0" w:rsidR="00017488" w:rsidRPr="00C20287" w:rsidRDefault="004632E1" w:rsidP="00017488">
      <w:p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Under this option </w:t>
      </w:r>
      <w:r w:rsidR="00E925EB" w:rsidRPr="00C20287">
        <w:rPr>
          <w:iCs/>
          <w:color w:val="0D0D0D" w:themeColor="text1" w:themeTint="F2"/>
          <w:sz w:val="24"/>
          <w:szCs w:val="24"/>
        </w:rPr>
        <w:t>the majority of the functions, programs and services provided for under the 7CPA</w:t>
      </w:r>
      <w:r w:rsidR="00D07EB3" w:rsidRPr="00C20287">
        <w:rPr>
          <w:iCs/>
          <w:color w:val="0D0D0D" w:themeColor="text1" w:themeTint="F2"/>
          <w:sz w:val="24"/>
          <w:szCs w:val="24"/>
        </w:rPr>
        <w:t xml:space="preserve"> </w:t>
      </w:r>
      <w:r w:rsidRPr="00C20287">
        <w:rPr>
          <w:iCs/>
          <w:color w:val="0D0D0D" w:themeColor="text1" w:themeTint="F2"/>
          <w:sz w:val="24"/>
          <w:szCs w:val="24"/>
        </w:rPr>
        <w:t>would remain unchanged</w:t>
      </w:r>
      <w:r w:rsidR="003554FA" w:rsidRPr="00C20287">
        <w:rPr>
          <w:iCs/>
          <w:color w:val="0D0D0D" w:themeColor="text1" w:themeTint="F2"/>
          <w:sz w:val="24"/>
          <w:szCs w:val="24"/>
        </w:rPr>
        <w:t>,</w:t>
      </w:r>
      <w:r w:rsidRPr="00C20287">
        <w:rPr>
          <w:iCs/>
          <w:color w:val="0D0D0D" w:themeColor="text1" w:themeTint="F2"/>
          <w:sz w:val="24"/>
          <w:szCs w:val="24"/>
        </w:rPr>
        <w:t xml:space="preserve"> </w:t>
      </w:r>
      <w:r w:rsidR="00D07EB3" w:rsidRPr="00C20287">
        <w:rPr>
          <w:iCs/>
          <w:color w:val="0D0D0D" w:themeColor="text1" w:themeTint="F2"/>
          <w:sz w:val="24"/>
          <w:szCs w:val="24"/>
        </w:rPr>
        <w:t>with negotiation o</w:t>
      </w:r>
      <w:r w:rsidR="003554FA" w:rsidRPr="00C20287">
        <w:rPr>
          <w:iCs/>
          <w:color w:val="0D0D0D" w:themeColor="text1" w:themeTint="F2"/>
          <w:sz w:val="24"/>
          <w:szCs w:val="24"/>
        </w:rPr>
        <w:t>f</w:t>
      </w:r>
      <w:r w:rsidR="00D07EB3" w:rsidRPr="00C20287">
        <w:rPr>
          <w:iCs/>
          <w:color w:val="0D0D0D" w:themeColor="text1" w:themeTint="F2"/>
          <w:sz w:val="24"/>
          <w:szCs w:val="24"/>
        </w:rPr>
        <w:t xml:space="preserve"> dispensing remuneration </w:t>
      </w:r>
      <w:r w:rsidR="009F710F" w:rsidRPr="00C20287">
        <w:rPr>
          <w:iCs/>
          <w:color w:val="0D0D0D" w:themeColor="text1" w:themeTint="F2"/>
          <w:sz w:val="24"/>
          <w:szCs w:val="24"/>
        </w:rPr>
        <w:t xml:space="preserve">being </w:t>
      </w:r>
      <w:r w:rsidR="00D07EB3" w:rsidRPr="00C20287">
        <w:rPr>
          <w:iCs/>
          <w:color w:val="0D0D0D" w:themeColor="text1" w:themeTint="F2"/>
          <w:sz w:val="24"/>
          <w:szCs w:val="24"/>
        </w:rPr>
        <w:t>the primary focus</w:t>
      </w:r>
      <w:r w:rsidR="00E925EB" w:rsidRPr="00C20287">
        <w:rPr>
          <w:iCs/>
          <w:color w:val="0D0D0D" w:themeColor="text1" w:themeTint="F2"/>
          <w:sz w:val="24"/>
          <w:szCs w:val="24"/>
        </w:rPr>
        <w:t xml:space="preserve">. </w:t>
      </w:r>
    </w:p>
    <w:p w14:paraId="0C96FD9E" w14:textId="15DD0502" w:rsidR="00EC37B0" w:rsidRPr="00C20287" w:rsidRDefault="00753E17" w:rsidP="00BD2E73">
      <w:p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T</w:t>
      </w:r>
      <w:r w:rsidR="00EC37B0" w:rsidRPr="00C20287">
        <w:rPr>
          <w:iCs/>
          <w:color w:val="0D0D0D" w:themeColor="text1" w:themeTint="F2"/>
          <w:sz w:val="24"/>
          <w:szCs w:val="24"/>
        </w:rPr>
        <w:t>his option</w:t>
      </w:r>
      <w:r w:rsidRPr="00C20287">
        <w:rPr>
          <w:iCs/>
          <w:color w:val="0D0D0D" w:themeColor="text1" w:themeTint="F2"/>
          <w:sz w:val="24"/>
          <w:szCs w:val="24"/>
        </w:rPr>
        <w:t xml:space="preserve"> uses a </w:t>
      </w:r>
      <w:r w:rsidR="00C806A7" w:rsidRPr="00C20287">
        <w:rPr>
          <w:iCs/>
          <w:color w:val="0D0D0D" w:themeColor="text1" w:themeTint="F2"/>
          <w:sz w:val="24"/>
          <w:szCs w:val="24"/>
        </w:rPr>
        <w:t>well-established</w:t>
      </w:r>
      <w:r w:rsidRPr="00C20287">
        <w:rPr>
          <w:iCs/>
          <w:color w:val="0D0D0D" w:themeColor="text1" w:themeTint="F2"/>
          <w:sz w:val="24"/>
          <w:szCs w:val="24"/>
        </w:rPr>
        <w:t xml:space="preserve"> approach</w:t>
      </w:r>
      <w:r w:rsidR="00EC37B0" w:rsidRPr="00C20287">
        <w:rPr>
          <w:iCs/>
          <w:color w:val="0D0D0D" w:themeColor="text1" w:themeTint="F2"/>
          <w:sz w:val="24"/>
          <w:szCs w:val="24"/>
        </w:rPr>
        <w:t xml:space="preserve">, and would </w:t>
      </w:r>
      <w:r w:rsidR="007E67A8" w:rsidRPr="00C20287">
        <w:rPr>
          <w:iCs/>
          <w:color w:val="0D0D0D" w:themeColor="text1" w:themeTint="F2"/>
          <w:sz w:val="24"/>
          <w:szCs w:val="24"/>
        </w:rPr>
        <w:t xml:space="preserve">continue to consolidate the </w:t>
      </w:r>
      <w:r w:rsidR="00EC37B0" w:rsidRPr="00C20287">
        <w:rPr>
          <w:iCs/>
          <w:color w:val="0D0D0D" w:themeColor="text1" w:themeTint="F2"/>
          <w:sz w:val="24"/>
          <w:szCs w:val="24"/>
        </w:rPr>
        <w:t>funding for community pharmacy with respect to dispensing remuneration and funding of related professional pharmacy programs and services.</w:t>
      </w:r>
    </w:p>
    <w:p w14:paraId="5FDE36B1" w14:textId="7D5B342D" w:rsidR="00E925EB" w:rsidRDefault="00E925EB" w:rsidP="00E925EB">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While some changes to provisions included under the 7CPA </w:t>
      </w:r>
      <w:r w:rsidR="009F710F" w:rsidRPr="00C20287">
        <w:rPr>
          <w:iCs/>
          <w:color w:val="0D0D0D" w:themeColor="text1" w:themeTint="F2"/>
          <w:sz w:val="24"/>
          <w:szCs w:val="24"/>
        </w:rPr>
        <w:t xml:space="preserve">may </w:t>
      </w:r>
      <w:r w:rsidR="004B356E" w:rsidRPr="00C20287">
        <w:rPr>
          <w:iCs/>
          <w:color w:val="0D0D0D" w:themeColor="text1" w:themeTint="F2"/>
          <w:sz w:val="24"/>
          <w:szCs w:val="24"/>
        </w:rPr>
        <w:t>be</w:t>
      </w:r>
      <w:r w:rsidR="009F710F" w:rsidRPr="00C20287">
        <w:rPr>
          <w:iCs/>
          <w:color w:val="0D0D0D" w:themeColor="text1" w:themeTint="F2"/>
          <w:sz w:val="24"/>
          <w:szCs w:val="24"/>
        </w:rPr>
        <w:t xml:space="preserve"> up for</w:t>
      </w:r>
      <w:r w:rsidR="004B356E" w:rsidRPr="00C20287">
        <w:rPr>
          <w:iCs/>
          <w:color w:val="0D0D0D" w:themeColor="text1" w:themeTint="F2"/>
          <w:sz w:val="24"/>
          <w:szCs w:val="24"/>
        </w:rPr>
        <w:t xml:space="preserve"> negotiat</w:t>
      </w:r>
      <w:r w:rsidR="009F710F" w:rsidRPr="00C20287">
        <w:rPr>
          <w:iCs/>
          <w:color w:val="0D0D0D" w:themeColor="text1" w:themeTint="F2"/>
          <w:sz w:val="24"/>
          <w:szCs w:val="24"/>
        </w:rPr>
        <w:t>ion</w:t>
      </w:r>
      <w:r w:rsidRPr="00C20287">
        <w:rPr>
          <w:iCs/>
          <w:color w:val="0D0D0D" w:themeColor="text1" w:themeTint="F2"/>
          <w:sz w:val="24"/>
          <w:szCs w:val="24"/>
        </w:rPr>
        <w:t xml:space="preserve">, </w:t>
      </w:r>
      <w:r w:rsidR="00BA19C3" w:rsidRPr="00C20287">
        <w:rPr>
          <w:iCs/>
          <w:color w:val="0D0D0D" w:themeColor="text1" w:themeTint="F2"/>
          <w:sz w:val="24"/>
          <w:szCs w:val="24"/>
        </w:rPr>
        <w:t xml:space="preserve">to update them for the next 5 years, </w:t>
      </w:r>
      <w:r w:rsidRPr="00C20287">
        <w:rPr>
          <w:iCs/>
          <w:color w:val="0D0D0D" w:themeColor="text1" w:themeTint="F2"/>
          <w:sz w:val="24"/>
          <w:szCs w:val="24"/>
        </w:rPr>
        <w:t>the main focus would</w:t>
      </w:r>
      <w:r w:rsidR="004255A6">
        <w:rPr>
          <w:iCs/>
          <w:color w:val="0D0D0D" w:themeColor="text1" w:themeTint="F2"/>
          <w:sz w:val="24"/>
          <w:szCs w:val="24"/>
        </w:rPr>
        <w:t xml:space="preserve"> be</w:t>
      </w:r>
      <w:r w:rsidR="00FA4F41">
        <w:rPr>
          <w:iCs/>
          <w:color w:val="0D0D0D" w:themeColor="text1" w:themeTint="F2"/>
          <w:sz w:val="24"/>
          <w:szCs w:val="24"/>
        </w:rPr>
        <w:t xml:space="preserve"> updating the Commonwealth price.</w:t>
      </w:r>
    </w:p>
    <w:p w14:paraId="5EF62D2B" w14:textId="2DB23E18" w:rsidR="00D76363" w:rsidRPr="0095671A" w:rsidRDefault="00D76363" w:rsidP="00E925EB">
      <w:pPr>
        <w:pStyle w:val="ListParagraph"/>
        <w:numPr>
          <w:ilvl w:val="0"/>
          <w:numId w:val="8"/>
        </w:numPr>
        <w:autoSpaceDE w:val="0"/>
        <w:autoSpaceDN w:val="0"/>
        <w:adjustRightInd w:val="0"/>
        <w:spacing w:line="240" w:lineRule="auto"/>
        <w:rPr>
          <w:color w:val="0D0D0D" w:themeColor="text1" w:themeTint="F2"/>
          <w:sz w:val="24"/>
          <w:szCs w:val="24"/>
        </w:rPr>
      </w:pPr>
      <w:r w:rsidRPr="0095671A">
        <w:rPr>
          <w:color w:val="0D0D0D" w:themeColor="text1" w:themeTint="F2"/>
          <w:sz w:val="24"/>
          <w:szCs w:val="24"/>
        </w:rPr>
        <w:t xml:space="preserve">Dispensing remuneration would be increased by CPI </w:t>
      </w:r>
      <w:r w:rsidR="00B804E4">
        <w:rPr>
          <w:color w:val="0D0D0D" w:themeColor="text1" w:themeTint="F2"/>
          <w:sz w:val="24"/>
          <w:szCs w:val="24"/>
        </w:rPr>
        <w:t xml:space="preserve">with </w:t>
      </w:r>
      <w:r w:rsidRPr="0095671A">
        <w:rPr>
          <w:color w:val="0D0D0D" w:themeColor="text1" w:themeTint="F2"/>
          <w:sz w:val="24"/>
          <w:szCs w:val="24"/>
        </w:rPr>
        <w:t>a real growth factor of 2.1%.</w:t>
      </w:r>
    </w:p>
    <w:p w14:paraId="1EA63D50" w14:textId="77777777" w:rsidR="00167031" w:rsidRPr="00C20287" w:rsidRDefault="00167031" w:rsidP="002A0248">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No significant restructure of the </w:t>
      </w:r>
      <w:r w:rsidR="002A0248" w:rsidRPr="00C20287">
        <w:rPr>
          <w:iCs/>
          <w:color w:val="0D0D0D" w:themeColor="text1" w:themeTint="F2"/>
          <w:sz w:val="24"/>
          <w:szCs w:val="24"/>
        </w:rPr>
        <w:t>functions, programs and services within the 8</w:t>
      </w:r>
      <w:r w:rsidRPr="00C20287">
        <w:rPr>
          <w:iCs/>
          <w:color w:val="0D0D0D" w:themeColor="text1" w:themeTint="F2"/>
          <w:sz w:val="24"/>
          <w:szCs w:val="24"/>
        </w:rPr>
        <w:t xml:space="preserve">CPA would be included in </w:t>
      </w:r>
      <w:r w:rsidR="002A0248" w:rsidRPr="00C20287">
        <w:rPr>
          <w:iCs/>
          <w:color w:val="0D0D0D" w:themeColor="text1" w:themeTint="F2"/>
          <w:sz w:val="24"/>
          <w:szCs w:val="24"/>
        </w:rPr>
        <w:t>this option.</w:t>
      </w:r>
    </w:p>
    <w:p w14:paraId="6AE50269" w14:textId="77777777" w:rsidR="00E925EB" w:rsidRPr="00C20287" w:rsidRDefault="00E925EB" w:rsidP="00E925EB">
      <w:pPr>
        <w:pStyle w:val="Heading4"/>
      </w:pPr>
      <w:r w:rsidRPr="00C20287">
        <w:t>Stakeholder roles and responsibilities</w:t>
      </w:r>
    </w:p>
    <w:p w14:paraId="6E9A5560" w14:textId="77777777" w:rsidR="00E925EB" w:rsidRPr="00C20287" w:rsidRDefault="00E925EB" w:rsidP="00E925EB">
      <w:pPr>
        <w:pStyle w:val="Subtitle"/>
        <w:spacing w:before="0" w:after="0"/>
      </w:pPr>
      <w:r w:rsidRPr="00C20287">
        <w:t>Consumers</w:t>
      </w:r>
    </w:p>
    <w:p w14:paraId="6ECD4C17" w14:textId="77777777" w:rsidR="00E925EB" w:rsidRPr="00C20287" w:rsidRDefault="00E925EB" w:rsidP="00E925EB">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There would be no significant changes to existing processes, programs or services with no resultant changes for the public.</w:t>
      </w:r>
    </w:p>
    <w:p w14:paraId="74DF5FEE" w14:textId="77777777" w:rsidR="00E925EB" w:rsidRPr="00C20287" w:rsidRDefault="00E925EB">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People would be expected to be able to access the same or similar services to those currently funded through the 7CPA.</w:t>
      </w:r>
    </w:p>
    <w:p w14:paraId="41986291" w14:textId="3C868C4C" w:rsidR="00F27555" w:rsidRPr="000F775A" w:rsidRDefault="00F27555" w:rsidP="00F27555">
      <w:pPr>
        <w:pStyle w:val="ListParagraph"/>
        <w:numPr>
          <w:ilvl w:val="0"/>
          <w:numId w:val="8"/>
        </w:numPr>
        <w:autoSpaceDE w:val="0"/>
        <w:autoSpaceDN w:val="0"/>
        <w:adjustRightInd w:val="0"/>
        <w:spacing w:line="240" w:lineRule="auto"/>
        <w:rPr>
          <w:color w:val="0D0D0D" w:themeColor="text1" w:themeTint="F2"/>
          <w:sz w:val="24"/>
          <w:szCs w:val="24"/>
        </w:rPr>
      </w:pPr>
      <w:r w:rsidRPr="000F775A">
        <w:rPr>
          <w:color w:val="0D0D0D" w:themeColor="text1" w:themeTint="F2"/>
          <w:sz w:val="24"/>
          <w:szCs w:val="24"/>
        </w:rPr>
        <w:t>Patient contributions through under co-payment prescriptions would increase as a result of an increased Commonwealth price.</w:t>
      </w:r>
    </w:p>
    <w:p w14:paraId="24AABD41" w14:textId="17EF0398" w:rsidR="00E925EB" w:rsidRPr="00C20287" w:rsidRDefault="00E925EB" w:rsidP="00E925EB">
      <w:pPr>
        <w:pStyle w:val="ListParagraph"/>
        <w:numPr>
          <w:ilvl w:val="0"/>
          <w:numId w:val="8"/>
        </w:numPr>
        <w:autoSpaceDE w:val="0"/>
        <w:autoSpaceDN w:val="0"/>
        <w:adjustRightInd w:val="0"/>
        <w:spacing w:line="240" w:lineRule="auto"/>
        <w:rPr>
          <w:iCs/>
          <w:color w:val="0D0D0D" w:themeColor="text1" w:themeTint="F2"/>
          <w:sz w:val="24"/>
          <w:szCs w:val="24"/>
        </w:rPr>
      </w:pPr>
      <w:r w:rsidRPr="000F775A">
        <w:rPr>
          <w:iCs/>
          <w:color w:val="0D0D0D" w:themeColor="text1" w:themeTint="F2"/>
          <w:sz w:val="24"/>
          <w:szCs w:val="24"/>
        </w:rPr>
        <w:t>CPP</w:t>
      </w:r>
      <w:r w:rsidR="000F775A">
        <w:rPr>
          <w:iCs/>
          <w:color w:val="0D0D0D" w:themeColor="text1" w:themeTint="F2"/>
          <w:sz w:val="24"/>
          <w:szCs w:val="24"/>
        </w:rPr>
        <w:t>s</w:t>
      </w:r>
      <w:r w:rsidRPr="000F775A">
        <w:rPr>
          <w:iCs/>
          <w:color w:val="0D0D0D" w:themeColor="text1" w:themeTint="F2"/>
          <w:sz w:val="24"/>
          <w:szCs w:val="24"/>
        </w:rPr>
        <w:t xml:space="preserve"> would be expected to continue in their current form with minimal scope for reform or</w:t>
      </w:r>
      <w:r w:rsidR="00962FDE">
        <w:rPr>
          <w:iCs/>
          <w:color w:val="0D0D0D" w:themeColor="text1" w:themeTint="F2"/>
          <w:sz w:val="24"/>
          <w:szCs w:val="24"/>
        </w:rPr>
        <w:t xml:space="preserve"> innovation</w:t>
      </w:r>
      <w:r w:rsidRPr="00C20287">
        <w:rPr>
          <w:iCs/>
          <w:color w:val="0D0D0D" w:themeColor="text1" w:themeTint="F2"/>
          <w:sz w:val="24"/>
          <w:szCs w:val="24"/>
        </w:rPr>
        <w:t>.</w:t>
      </w:r>
    </w:p>
    <w:p w14:paraId="452B269A" w14:textId="77777777" w:rsidR="00E925EB" w:rsidRPr="00C20287" w:rsidRDefault="00E925EB" w:rsidP="00E925EB">
      <w:pPr>
        <w:pStyle w:val="Subtitle"/>
        <w:spacing w:before="0" w:after="0"/>
      </w:pPr>
      <w:r w:rsidRPr="00C20287">
        <w:lastRenderedPageBreak/>
        <w:t>Pharmacies</w:t>
      </w:r>
    </w:p>
    <w:p w14:paraId="2374C06F" w14:textId="20923210" w:rsidR="00E925EB" w:rsidRPr="00C20287" w:rsidRDefault="00E925EB" w:rsidP="00E925EB">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Under </w:t>
      </w:r>
      <w:r w:rsidR="005620AC" w:rsidRPr="00C20287">
        <w:rPr>
          <w:iCs/>
          <w:color w:val="0D0D0D" w:themeColor="text1" w:themeTint="F2"/>
          <w:sz w:val="24"/>
          <w:szCs w:val="24"/>
        </w:rPr>
        <w:t>this option</w:t>
      </w:r>
      <w:r w:rsidRPr="00C20287">
        <w:rPr>
          <w:iCs/>
          <w:color w:val="0D0D0D" w:themeColor="text1" w:themeTint="F2"/>
          <w:sz w:val="24"/>
          <w:szCs w:val="24"/>
        </w:rPr>
        <w:t xml:space="preserve">, there would be no change to existing processes. </w:t>
      </w:r>
    </w:p>
    <w:p w14:paraId="775BA288" w14:textId="7CD5015D" w:rsidR="00390E0E" w:rsidRPr="00C20287" w:rsidRDefault="00E925EB" w:rsidP="00E925EB">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Community pharmacies</w:t>
      </w:r>
      <w:r w:rsidR="004B356E" w:rsidRPr="00C20287">
        <w:rPr>
          <w:iCs/>
          <w:color w:val="0D0D0D" w:themeColor="text1" w:themeTint="F2"/>
          <w:sz w:val="24"/>
          <w:szCs w:val="24"/>
        </w:rPr>
        <w:t xml:space="preserve"> would</w:t>
      </w:r>
      <w:r w:rsidRPr="00C20287">
        <w:rPr>
          <w:iCs/>
          <w:color w:val="0D0D0D" w:themeColor="text1" w:themeTint="F2"/>
          <w:sz w:val="24"/>
          <w:szCs w:val="24"/>
        </w:rPr>
        <w:t xml:space="preserve"> receive </w:t>
      </w:r>
      <w:r w:rsidR="004B356E" w:rsidRPr="00C20287">
        <w:rPr>
          <w:iCs/>
          <w:color w:val="0D0D0D" w:themeColor="text1" w:themeTint="F2"/>
          <w:sz w:val="24"/>
          <w:szCs w:val="24"/>
        </w:rPr>
        <w:t>a continuation of</w:t>
      </w:r>
      <w:r w:rsidRPr="00C20287">
        <w:rPr>
          <w:iCs/>
          <w:color w:val="0D0D0D" w:themeColor="text1" w:themeTint="F2"/>
          <w:sz w:val="24"/>
          <w:szCs w:val="24"/>
        </w:rPr>
        <w:t xml:space="preserve"> revenue from the dispensing fees associated with the supply of PBS medicines to </w:t>
      </w:r>
      <w:r w:rsidR="004B356E" w:rsidRPr="00C20287">
        <w:rPr>
          <w:iCs/>
          <w:color w:val="0D0D0D" w:themeColor="text1" w:themeTint="F2"/>
          <w:sz w:val="24"/>
          <w:szCs w:val="24"/>
        </w:rPr>
        <w:t>consumers</w:t>
      </w:r>
      <w:r w:rsidRPr="00C20287">
        <w:rPr>
          <w:iCs/>
          <w:color w:val="0D0D0D" w:themeColor="text1" w:themeTint="F2"/>
          <w:sz w:val="24"/>
          <w:szCs w:val="24"/>
        </w:rPr>
        <w:t>. These fees would continue to be established and indexed through terms negotiated and agreed between signatories.</w:t>
      </w:r>
      <w:r w:rsidR="005620AC" w:rsidRPr="00C20287">
        <w:rPr>
          <w:iCs/>
          <w:color w:val="0D0D0D" w:themeColor="text1" w:themeTint="F2"/>
          <w:sz w:val="24"/>
          <w:szCs w:val="24"/>
        </w:rPr>
        <w:t xml:space="preserve"> </w:t>
      </w:r>
    </w:p>
    <w:p w14:paraId="510717AC" w14:textId="306D90E3" w:rsidR="00E925EB" w:rsidRPr="00C20287" w:rsidRDefault="005620AC" w:rsidP="00C76599">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Payment would continue through Services Australia</w:t>
      </w:r>
      <w:r w:rsidR="00390E0E" w:rsidRPr="00C20287">
        <w:rPr>
          <w:iCs/>
          <w:color w:val="0D0D0D" w:themeColor="text1" w:themeTint="F2"/>
          <w:sz w:val="24"/>
          <w:szCs w:val="24"/>
        </w:rPr>
        <w:t xml:space="preserve"> as currently provided</w:t>
      </w:r>
      <w:r w:rsidRPr="00C20287">
        <w:rPr>
          <w:iCs/>
          <w:color w:val="0D0D0D" w:themeColor="text1" w:themeTint="F2"/>
          <w:sz w:val="24"/>
          <w:szCs w:val="24"/>
        </w:rPr>
        <w:t>.</w:t>
      </w:r>
    </w:p>
    <w:p w14:paraId="0D4206FF" w14:textId="6891A14E" w:rsidR="000F775A" w:rsidRPr="0016563D" w:rsidRDefault="00E925EB" w:rsidP="0016563D">
      <w:pPr>
        <w:pStyle w:val="ListParagraph"/>
        <w:numPr>
          <w:ilvl w:val="0"/>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CPPs would continue largely as currently included in the 7CPA</w:t>
      </w:r>
      <w:r w:rsidR="004255A6">
        <w:rPr>
          <w:iCs/>
          <w:color w:val="0D0D0D" w:themeColor="text1" w:themeTint="F2"/>
          <w:sz w:val="24"/>
          <w:szCs w:val="24"/>
        </w:rPr>
        <w:t>.</w:t>
      </w:r>
      <w:r w:rsidR="00213BF6">
        <w:rPr>
          <w:iCs/>
          <w:color w:val="0D0D0D" w:themeColor="text1" w:themeTint="F2"/>
          <w:sz w:val="24"/>
          <w:szCs w:val="24"/>
        </w:rPr>
        <w:t xml:space="preserve"> </w:t>
      </w:r>
      <w:r w:rsidR="004255A6">
        <w:rPr>
          <w:iCs/>
          <w:color w:val="0D0D0D" w:themeColor="text1" w:themeTint="F2"/>
          <w:sz w:val="24"/>
          <w:szCs w:val="24"/>
        </w:rPr>
        <w:t>T</w:t>
      </w:r>
      <w:r w:rsidR="00213BF6">
        <w:rPr>
          <w:iCs/>
          <w:color w:val="0D0D0D" w:themeColor="text1" w:themeTint="F2"/>
          <w:sz w:val="24"/>
          <w:szCs w:val="24"/>
        </w:rPr>
        <w:t>his would limit potential reform while the 8CPA was in place</w:t>
      </w:r>
      <w:r w:rsidR="00D76363">
        <w:rPr>
          <w:iCs/>
          <w:color w:val="0D0D0D" w:themeColor="text1" w:themeTint="F2"/>
          <w:sz w:val="24"/>
          <w:szCs w:val="24"/>
        </w:rPr>
        <w:t xml:space="preserve"> as was the case under the 7CPA</w:t>
      </w:r>
      <w:r w:rsidRPr="00C20287">
        <w:rPr>
          <w:iCs/>
          <w:color w:val="0D0D0D" w:themeColor="text1" w:themeTint="F2"/>
          <w:sz w:val="24"/>
          <w:szCs w:val="24"/>
        </w:rPr>
        <w:t>.</w:t>
      </w:r>
    </w:p>
    <w:p w14:paraId="39505B19" w14:textId="77777777" w:rsidR="00E925EB" w:rsidRPr="00C20287" w:rsidRDefault="00E925EB" w:rsidP="00E925EB">
      <w:pPr>
        <w:pStyle w:val="Subtitle"/>
        <w:spacing w:before="0" w:after="0"/>
      </w:pPr>
      <w:r w:rsidRPr="00C20287">
        <w:t>The Guild/PSA</w:t>
      </w:r>
    </w:p>
    <w:p w14:paraId="5AC3A5AC" w14:textId="40FE3202" w:rsidR="00E925EB" w:rsidRPr="00C20287" w:rsidRDefault="00E925EB" w:rsidP="00E925EB">
      <w:pPr>
        <w:pStyle w:val="ListParagraph"/>
        <w:numPr>
          <w:ilvl w:val="0"/>
          <w:numId w:val="9"/>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Whereas the Guild would continue to negotiate </w:t>
      </w:r>
      <w:r w:rsidR="004B356E" w:rsidRPr="00C20287">
        <w:rPr>
          <w:iCs/>
          <w:color w:val="0D0D0D" w:themeColor="text1" w:themeTint="F2"/>
          <w:sz w:val="24"/>
          <w:szCs w:val="24"/>
        </w:rPr>
        <w:t xml:space="preserve">the </w:t>
      </w:r>
      <w:r w:rsidRPr="00C20287">
        <w:rPr>
          <w:iCs/>
          <w:color w:val="0D0D0D" w:themeColor="text1" w:themeTint="F2"/>
          <w:sz w:val="24"/>
          <w:szCs w:val="24"/>
        </w:rPr>
        <w:t>section</w:t>
      </w:r>
      <w:r w:rsidR="004B356E" w:rsidRPr="00C20287">
        <w:rPr>
          <w:iCs/>
          <w:color w:val="0D0D0D" w:themeColor="text1" w:themeTint="F2"/>
          <w:sz w:val="24"/>
          <w:szCs w:val="24"/>
        </w:rPr>
        <w:t>s</w:t>
      </w:r>
      <w:r w:rsidRPr="00C20287">
        <w:rPr>
          <w:iCs/>
          <w:color w:val="0D0D0D" w:themeColor="text1" w:themeTint="F2"/>
          <w:sz w:val="24"/>
          <w:szCs w:val="24"/>
        </w:rPr>
        <w:t xml:space="preserve"> of the</w:t>
      </w:r>
      <w:r w:rsidR="004255A6">
        <w:rPr>
          <w:iCs/>
          <w:color w:val="0D0D0D" w:themeColor="text1" w:themeTint="F2"/>
          <w:sz w:val="24"/>
          <w:szCs w:val="24"/>
        </w:rPr>
        <w:t xml:space="preserve"> CPA</w:t>
      </w:r>
      <w:r w:rsidRPr="00C20287">
        <w:rPr>
          <w:iCs/>
          <w:color w:val="0D0D0D" w:themeColor="text1" w:themeTint="F2"/>
          <w:sz w:val="24"/>
          <w:szCs w:val="24"/>
        </w:rPr>
        <w:t xml:space="preserve"> dealing with pharmacy dispensing remuneration and CPP,</w:t>
      </w:r>
      <w:r w:rsidR="002A5B3E" w:rsidRPr="00C20287">
        <w:rPr>
          <w:iCs/>
          <w:color w:val="0D0D0D" w:themeColor="text1" w:themeTint="F2"/>
          <w:sz w:val="24"/>
          <w:szCs w:val="24"/>
        </w:rPr>
        <w:t xml:space="preserve"> as in the 7CPA,</w:t>
      </w:r>
      <w:r w:rsidRPr="00C20287">
        <w:rPr>
          <w:iCs/>
          <w:color w:val="0D0D0D" w:themeColor="text1" w:themeTint="F2"/>
          <w:sz w:val="24"/>
          <w:szCs w:val="24"/>
        </w:rPr>
        <w:t xml:space="preserve"> PSA may </w:t>
      </w:r>
      <w:r w:rsidR="00294D68" w:rsidRPr="00C20287">
        <w:rPr>
          <w:iCs/>
          <w:color w:val="0D0D0D" w:themeColor="text1" w:themeTint="F2"/>
          <w:sz w:val="24"/>
          <w:szCs w:val="24"/>
        </w:rPr>
        <w:t xml:space="preserve">continue </w:t>
      </w:r>
      <w:r w:rsidR="003554FA" w:rsidRPr="00C20287">
        <w:rPr>
          <w:iCs/>
          <w:color w:val="0D0D0D" w:themeColor="text1" w:themeTint="F2"/>
          <w:sz w:val="24"/>
          <w:szCs w:val="24"/>
        </w:rPr>
        <w:t xml:space="preserve">to </w:t>
      </w:r>
      <w:r w:rsidRPr="00C20287">
        <w:rPr>
          <w:iCs/>
          <w:color w:val="0D0D0D" w:themeColor="text1" w:themeTint="F2"/>
          <w:sz w:val="24"/>
          <w:szCs w:val="24"/>
        </w:rPr>
        <w:t xml:space="preserve">take a more active role in these negotiations. Negotiation of wholesale mark-ups, CSO Funding Pool and NDSS product distribution arrangements </w:t>
      </w:r>
      <w:r w:rsidR="002A5B3E" w:rsidRPr="00C20287">
        <w:rPr>
          <w:iCs/>
          <w:color w:val="0D0D0D" w:themeColor="text1" w:themeTint="F2"/>
          <w:sz w:val="24"/>
          <w:szCs w:val="24"/>
        </w:rPr>
        <w:t>would</w:t>
      </w:r>
      <w:r w:rsidRPr="00C20287">
        <w:rPr>
          <w:iCs/>
          <w:color w:val="0D0D0D" w:themeColor="text1" w:themeTint="F2"/>
          <w:sz w:val="24"/>
          <w:szCs w:val="24"/>
        </w:rPr>
        <w:t xml:space="preserve"> </w:t>
      </w:r>
      <w:r w:rsidR="00E61E8D">
        <w:rPr>
          <w:iCs/>
          <w:color w:val="0D0D0D" w:themeColor="text1" w:themeTint="F2"/>
          <w:sz w:val="24"/>
          <w:szCs w:val="24"/>
        </w:rPr>
        <w:t xml:space="preserve">also </w:t>
      </w:r>
      <w:r w:rsidRPr="00C20287">
        <w:rPr>
          <w:iCs/>
          <w:color w:val="0D0D0D" w:themeColor="text1" w:themeTint="F2"/>
          <w:sz w:val="24"/>
          <w:szCs w:val="24"/>
        </w:rPr>
        <w:t>likely include the involvement of pharmaceutical wholesaler representative groups such as NPSA.</w:t>
      </w:r>
    </w:p>
    <w:p w14:paraId="05403874" w14:textId="77777777" w:rsidR="00E925EB" w:rsidRPr="00C20287" w:rsidRDefault="00E925EB" w:rsidP="00E925EB">
      <w:pPr>
        <w:pStyle w:val="ListParagraph"/>
        <w:numPr>
          <w:ilvl w:val="0"/>
          <w:numId w:val="9"/>
        </w:numPr>
        <w:autoSpaceDE w:val="0"/>
        <w:autoSpaceDN w:val="0"/>
        <w:adjustRightInd w:val="0"/>
        <w:spacing w:line="240" w:lineRule="auto"/>
      </w:pPr>
      <w:r w:rsidRPr="00C20287">
        <w:rPr>
          <w:iCs/>
          <w:color w:val="0D0D0D" w:themeColor="text1" w:themeTint="F2"/>
          <w:sz w:val="24"/>
          <w:szCs w:val="24"/>
        </w:rPr>
        <w:t>PSA would continue to be responsible for development and maintenance of the Code of Ethics, professional standards and guidelines for pharmacists.</w:t>
      </w:r>
    </w:p>
    <w:p w14:paraId="0BC27D21" w14:textId="77777777" w:rsidR="00E925EB" w:rsidRPr="00C20287" w:rsidRDefault="00E925EB" w:rsidP="00E925EB">
      <w:pPr>
        <w:pStyle w:val="ListParagraph"/>
        <w:numPr>
          <w:ilvl w:val="0"/>
          <w:numId w:val="9"/>
        </w:numPr>
        <w:autoSpaceDE w:val="0"/>
        <w:autoSpaceDN w:val="0"/>
        <w:adjustRightInd w:val="0"/>
        <w:spacing w:line="240" w:lineRule="auto"/>
      </w:pPr>
      <w:r w:rsidRPr="00C20287">
        <w:rPr>
          <w:iCs/>
          <w:color w:val="0D0D0D" w:themeColor="text1" w:themeTint="F2"/>
          <w:sz w:val="24"/>
          <w:szCs w:val="24"/>
        </w:rPr>
        <w:t>Governance arrangements would remain the same or be improved through review of the current arrangements under the 7CPA.</w:t>
      </w:r>
    </w:p>
    <w:p w14:paraId="3F471D4D" w14:textId="2DB11908" w:rsidR="00E925EB" w:rsidRPr="00C20287" w:rsidRDefault="00E925EB" w:rsidP="00E925EB">
      <w:pPr>
        <w:pStyle w:val="Subtitle"/>
        <w:spacing w:before="0" w:after="0"/>
      </w:pPr>
      <w:r w:rsidRPr="00C20287">
        <w:t>Government</w:t>
      </w:r>
    </w:p>
    <w:p w14:paraId="75AD2048" w14:textId="08CEE8FA" w:rsidR="00310C57" w:rsidRPr="00DD2AF8" w:rsidRDefault="00310C57">
      <w:pPr>
        <w:pStyle w:val="ListParagraph"/>
        <w:numPr>
          <w:ilvl w:val="0"/>
          <w:numId w:val="8"/>
        </w:numPr>
        <w:autoSpaceDE w:val="0"/>
        <w:autoSpaceDN w:val="0"/>
        <w:adjustRightInd w:val="0"/>
        <w:spacing w:line="240" w:lineRule="auto"/>
        <w:rPr>
          <w:iCs/>
          <w:color w:val="0D0D0D" w:themeColor="text1" w:themeTint="F2"/>
          <w:sz w:val="24"/>
          <w:szCs w:val="24"/>
        </w:rPr>
      </w:pPr>
      <w:r w:rsidRPr="00DD2AF8">
        <w:rPr>
          <w:iCs/>
          <w:color w:val="0D0D0D" w:themeColor="text1" w:themeTint="F2"/>
          <w:sz w:val="24"/>
          <w:szCs w:val="24"/>
        </w:rPr>
        <w:t>This option provides the least flexibility in relation to CPPs.</w:t>
      </w:r>
    </w:p>
    <w:p w14:paraId="263BE34C" w14:textId="09F1E0A1" w:rsidR="00E925EB" w:rsidRPr="00C20287" w:rsidRDefault="00E925EB" w:rsidP="00E925EB">
      <w:pPr>
        <w:pStyle w:val="ListParagraph"/>
        <w:numPr>
          <w:ilvl w:val="0"/>
          <w:numId w:val="8"/>
        </w:numPr>
        <w:autoSpaceDE w:val="0"/>
        <w:autoSpaceDN w:val="0"/>
        <w:adjustRightInd w:val="0"/>
        <w:spacing w:line="240" w:lineRule="auto"/>
        <w:rPr>
          <w:iCs/>
          <w:color w:val="0D0D0D" w:themeColor="text1" w:themeTint="F2"/>
          <w:sz w:val="24"/>
          <w:szCs w:val="24"/>
        </w:rPr>
      </w:pPr>
      <w:r w:rsidRPr="00DD2AF8">
        <w:rPr>
          <w:iCs/>
          <w:color w:val="0D0D0D" w:themeColor="text1" w:themeTint="F2"/>
          <w:sz w:val="24"/>
          <w:szCs w:val="24"/>
        </w:rPr>
        <w:t xml:space="preserve">There would be no change to </w:t>
      </w:r>
      <w:r w:rsidR="004B356E" w:rsidRPr="00DD2AF8">
        <w:rPr>
          <w:iCs/>
          <w:color w:val="0D0D0D" w:themeColor="text1" w:themeTint="F2"/>
          <w:sz w:val="24"/>
          <w:szCs w:val="24"/>
        </w:rPr>
        <w:t xml:space="preserve">the </w:t>
      </w:r>
      <w:r w:rsidRPr="00DD2AF8">
        <w:rPr>
          <w:iCs/>
          <w:color w:val="0D0D0D" w:themeColor="text1" w:themeTint="F2"/>
          <w:sz w:val="24"/>
          <w:szCs w:val="24"/>
        </w:rPr>
        <w:t>existing process</w:t>
      </w:r>
      <w:r w:rsidR="003554FA" w:rsidRPr="00DD2AF8">
        <w:rPr>
          <w:iCs/>
          <w:color w:val="0D0D0D" w:themeColor="text1" w:themeTint="F2"/>
          <w:sz w:val="24"/>
          <w:szCs w:val="24"/>
        </w:rPr>
        <w:t>, with the change for Government primarily</w:t>
      </w:r>
      <w:r w:rsidR="003554FA" w:rsidRPr="00C20287">
        <w:rPr>
          <w:iCs/>
          <w:color w:val="0D0D0D" w:themeColor="text1" w:themeTint="F2"/>
          <w:sz w:val="24"/>
          <w:szCs w:val="24"/>
        </w:rPr>
        <w:t xml:space="preserve"> related to any financial change resulting from new dispensing remuneration negotiated through a new CPA</w:t>
      </w:r>
      <w:r w:rsidRPr="00C20287">
        <w:rPr>
          <w:iCs/>
          <w:color w:val="0D0D0D" w:themeColor="text1" w:themeTint="F2"/>
          <w:sz w:val="24"/>
          <w:szCs w:val="24"/>
        </w:rPr>
        <w:t xml:space="preserve">. </w:t>
      </w:r>
    </w:p>
    <w:p w14:paraId="628BA9A8" w14:textId="48AEEC2E" w:rsidR="00E925EB" w:rsidRPr="00C20287" w:rsidRDefault="00E925EB" w:rsidP="00BD2E73">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Government would continue to pay pharmacies handling fees for </w:t>
      </w:r>
      <w:r w:rsidR="004255A6">
        <w:rPr>
          <w:iCs/>
          <w:color w:val="0D0D0D" w:themeColor="text1" w:themeTint="F2"/>
          <w:sz w:val="24"/>
          <w:szCs w:val="24"/>
        </w:rPr>
        <w:t xml:space="preserve">the </w:t>
      </w:r>
      <w:r w:rsidRPr="00C20287">
        <w:rPr>
          <w:iCs/>
          <w:color w:val="0D0D0D" w:themeColor="text1" w:themeTint="F2"/>
          <w:sz w:val="24"/>
          <w:szCs w:val="24"/>
        </w:rPr>
        <w:t xml:space="preserve">dispensing of PBS medicines. </w:t>
      </w:r>
    </w:p>
    <w:p w14:paraId="22F88413" w14:textId="77777777" w:rsidR="00E925EB" w:rsidRPr="00C20287" w:rsidRDefault="00E925EB" w:rsidP="00BD2E73">
      <w:pPr>
        <w:pStyle w:val="ListParagraph"/>
        <w:numPr>
          <w:ilvl w:val="1"/>
          <w:numId w:val="8"/>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Pharmaceutical wholesalers would continue to be paid to hold PBS medicines to ensure timely and efficient distribution of PBS medicines to community pharmacies.</w:t>
      </w:r>
    </w:p>
    <w:p w14:paraId="2BBD7CA6" w14:textId="77777777" w:rsidR="00E925EB" w:rsidRPr="00C20287" w:rsidRDefault="00E925EB" w:rsidP="00E925EB">
      <w:pPr>
        <w:pStyle w:val="Subtitle"/>
        <w:spacing w:before="0" w:after="0"/>
      </w:pPr>
      <w:r w:rsidRPr="00C20287">
        <w:t>Services Australia and PPA</w:t>
      </w:r>
    </w:p>
    <w:p w14:paraId="1F63C074" w14:textId="0F1CAFCE" w:rsidR="00E925EB" w:rsidRPr="00C20287" w:rsidRDefault="00E925EB" w:rsidP="00E925EB">
      <w:pPr>
        <w:pStyle w:val="ListParagraph"/>
        <w:numPr>
          <w:ilvl w:val="0"/>
          <w:numId w:val="9"/>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There would be no change to business as usual</w:t>
      </w:r>
      <w:r w:rsidR="001A05EC" w:rsidRPr="00C20287">
        <w:rPr>
          <w:iCs/>
          <w:color w:val="0D0D0D" w:themeColor="text1" w:themeTint="F2"/>
          <w:sz w:val="24"/>
          <w:szCs w:val="24"/>
        </w:rPr>
        <w:t xml:space="preserve"> processes</w:t>
      </w:r>
      <w:r w:rsidRPr="00C20287">
        <w:rPr>
          <w:iCs/>
          <w:color w:val="0D0D0D" w:themeColor="text1" w:themeTint="F2"/>
          <w:sz w:val="24"/>
          <w:szCs w:val="24"/>
        </w:rPr>
        <w:t xml:space="preserve"> for Services Australia which would continue to process PBS dispensing claims.</w:t>
      </w:r>
    </w:p>
    <w:p w14:paraId="3FD70ADD" w14:textId="22A0D78A" w:rsidR="001A05EC" w:rsidRPr="00C20287" w:rsidRDefault="00E925EB">
      <w:pPr>
        <w:pStyle w:val="ListParagraph"/>
        <w:numPr>
          <w:ilvl w:val="0"/>
          <w:numId w:val="9"/>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The current arrangements with the PPA, including funding, would </w:t>
      </w:r>
      <w:r w:rsidR="008F2DA4">
        <w:rPr>
          <w:iCs/>
          <w:color w:val="0D0D0D" w:themeColor="text1" w:themeTint="F2"/>
          <w:sz w:val="24"/>
          <w:szCs w:val="24"/>
        </w:rPr>
        <w:t xml:space="preserve">likely </w:t>
      </w:r>
      <w:r w:rsidRPr="00C20287">
        <w:rPr>
          <w:iCs/>
          <w:color w:val="0D0D0D" w:themeColor="text1" w:themeTint="F2"/>
          <w:sz w:val="24"/>
          <w:szCs w:val="24"/>
        </w:rPr>
        <w:t>continue for the administration, processing and payment of claims for the CPP.</w:t>
      </w:r>
    </w:p>
    <w:p w14:paraId="7628013B" w14:textId="77777777" w:rsidR="00E925EB" w:rsidRPr="00C20287" w:rsidRDefault="00E925EB" w:rsidP="00E925EB">
      <w:pPr>
        <w:pStyle w:val="Subtitle"/>
        <w:spacing w:before="0" w:after="0"/>
      </w:pPr>
      <w:r w:rsidRPr="00C20287">
        <w:t>Pharmacy wholesalers</w:t>
      </w:r>
    </w:p>
    <w:p w14:paraId="77C432E9" w14:textId="77777777" w:rsidR="00E925EB" w:rsidRPr="00C20287" w:rsidRDefault="00E925EB" w:rsidP="00455DAD">
      <w:pPr>
        <w:pStyle w:val="ListParagraph"/>
        <w:numPr>
          <w:ilvl w:val="0"/>
          <w:numId w:val="11"/>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CSO and NDSS funding would continue to be included in the 8CPA, even if separately negotiated with representatives of pharmaceutical wholesalers.</w:t>
      </w:r>
    </w:p>
    <w:p w14:paraId="3CE205DD" w14:textId="77777777" w:rsidR="00E925EB" w:rsidRPr="00C20287" w:rsidRDefault="00E925EB" w:rsidP="00455DAD">
      <w:pPr>
        <w:pStyle w:val="ListParagraph"/>
        <w:numPr>
          <w:ilvl w:val="0"/>
          <w:numId w:val="11"/>
        </w:numPr>
        <w:rPr>
          <w:color w:val="0D0D0D" w:themeColor="text1" w:themeTint="F2"/>
          <w:sz w:val="24"/>
          <w:szCs w:val="24"/>
        </w:rPr>
      </w:pPr>
      <w:r w:rsidRPr="00C20287">
        <w:rPr>
          <w:color w:val="0D0D0D" w:themeColor="text1" w:themeTint="F2"/>
          <w:sz w:val="24"/>
          <w:szCs w:val="24"/>
        </w:rPr>
        <w:t>Pharmaceutical wholesalers would not be required to change current required stock levels.</w:t>
      </w:r>
    </w:p>
    <w:p w14:paraId="4607B472" w14:textId="6234300E" w:rsidR="00E925EB" w:rsidRPr="00C20287" w:rsidRDefault="00E925EB" w:rsidP="00455DAD">
      <w:pPr>
        <w:pStyle w:val="ListParagraph"/>
        <w:numPr>
          <w:ilvl w:val="0"/>
          <w:numId w:val="11"/>
        </w:numPr>
        <w:spacing w:before="240"/>
        <w:rPr>
          <w:iCs/>
          <w:color w:val="0D0D0D" w:themeColor="text1" w:themeTint="F2"/>
          <w:sz w:val="24"/>
          <w:szCs w:val="24"/>
        </w:rPr>
      </w:pPr>
      <w:r w:rsidRPr="00C20287">
        <w:rPr>
          <w:color w:val="0D0D0D" w:themeColor="text1" w:themeTint="F2"/>
          <w:sz w:val="24"/>
          <w:szCs w:val="24"/>
        </w:rPr>
        <w:t>The NPSA would be included in negotiating any updated wholesale mark-ups</w:t>
      </w:r>
      <w:r w:rsidR="005620AC" w:rsidRPr="00C20287">
        <w:rPr>
          <w:color w:val="0D0D0D" w:themeColor="text1" w:themeTint="F2"/>
          <w:sz w:val="24"/>
          <w:szCs w:val="24"/>
        </w:rPr>
        <w:t>, CSO and NDSS</w:t>
      </w:r>
      <w:r w:rsidRPr="00C20287">
        <w:rPr>
          <w:color w:val="0D0D0D" w:themeColor="text1" w:themeTint="F2"/>
          <w:sz w:val="24"/>
          <w:szCs w:val="24"/>
        </w:rPr>
        <w:t>.</w:t>
      </w:r>
    </w:p>
    <w:p w14:paraId="07247FB4" w14:textId="77777777" w:rsidR="00A06555" w:rsidRPr="00C20287" w:rsidRDefault="00A06555" w:rsidP="00FF4C3F">
      <w:pPr>
        <w:pStyle w:val="ListParagraph"/>
        <w:spacing w:before="240"/>
        <w:rPr>
          <w:iCs/>
          <w:color w:val="0D0D0D" w:themeColor="text1" w:themeTint="F2"/>
          <w:sz w:val="24"/>
          <w:szCs w:val="24"/>
        </w:rPr>
      </w:pPr>
    </w:p>
    <w:p w14:paraId="71849E60" w14:textId="013140EA" w:rsidR="00A40E77" w:rsidRPr="00C20287" w:rsidRDefault="00503B45" w:rsidP="00FF4C3F">
      <w:pPr>
        <w:pStyle w:val="Heading3"/>
      </w:pPr>
      <w:bookmarkStart w:id="71" w:name="_Toc168652748"/>
      <w:r w:rsidRPr="00C20287">
        <w:lastRenderedPageBreak/>
        <w:t xml:space="preserve">Option </w:t>
      </w:r>
      <w:r w:rsidR="00E83BFA" w:rsidRPr="00C20287">
        <w:t>3</w:t>
      </w:r>
      <w:r w:rsidRPr="00C20287">
        <w:t xml:space="preserve">: </w:t>
      </w:r>
      <w:r w:rsidR="00701951" w:rsidRPr="00C20287">
        <w:tab/>
      </w:r>
      <w:r w:rsidR="003B3737" w:rsidRPr="00C20287">
        <w:t>Establish a</w:t>
      </w:r>
      <w:r w:rsidR="001C39E6" w:rsidRPr="00C20287">
        <w:t>n</w:t>
      </w:r>
      <w:r w:rsidR="00736FB2" w:rsidRPr="00C20287">
        <w:t xml:space="preserve"> 8CPA </w:t>
      </w:r>
      <w:r w:rsidR="00AE069A" w:rsidRPr="00C20287">
        <w:t xml:space="preserve">for dispensing remuneration </w:t>
      </w:r>
      <w:r w:rsidR="00F45740" w:rsidRPr="00F45740">
        <w:t xml:space="preserve">and </w:t>
      </w:r>
      <w:r w:rsidR="00943CBF">
        <w:t xml:space="preserve">only </w:t>
      </w:r>
      <w:r w:rsidR="00F45740" w:rsidRPr="00F45740">
        <w:t xml:space="preserve">pharmacy programs </w:t>
      </w:r>
      <w:r w:rsidR="008E5F04">
        <w:t xml:space="preserve">delivered </w:t>
      </w:r>
      <w:r w:rsidR="00F45740" w:rsidRPr="00F45740">
        <w:t>dir</w:t>
      </w:r>
      <w:r w:rsidR="00F45740">
        <w:t>ectly through community pharmacie</w:t>
      </w:r>
      <w:r w:rsidR="00F45740" w:rsidRPr="00F45740">
        <w:t>s</w:t>
      </w:r>
      <w:bookmarkEnd w:id="71"/>
      <w:r w:rsidR="00F45740" w:rsidRPr="00F45740">
        <w:t xml:space="preserve"> </w:t>
      </w:r>
    </w:p>
    <w:p w14:paraId="2802DB78" w14:textId="4769A553" w:rsidR="00A6378A" w:rsidRDefault="00A40E77" w:rsidP="00FF4C3F">
      <w:pPr>
        <w:rPr>
          <w:rFonts w:cstheme="minorHAnsi"/>
          <w:sz w:val="24"/>
          <w:szCs w:val="24"/>
        </w:rPr>
      </w:pPr>
      <w:r w:rsidRPr="00C20287">
        <w:rPr>
          <w:iCs/>
          <w:color w:val="0D0D0D" w:themeColor="text1" w:themeTint="F2"/>
          <w:sz w:val="24"/>
          <w:szCs w:val="24"/>
        </w:rPr>
        <w:t>The</w:t>
      </w:r>
      <w:r w:rsidRPr="00C20287">
        <w:rPr>
          <w:rFonts w:cstheme="minorHAnsi"/>
          <w:sz w:val="24"/>
          <w:szCs w:val="24"/>
        </w:rPr>
        <w:t xml:space="preserve"> Government would seek to advance reforms reflecting a modern regulatory and policy environment to underpin </w:t>
      </w:r>
      <w:r w:rsidR="002A5B3E" w:rsidRPr="00C20287">
        <w:rPr>
          <w:rFonts w:cstheme="minorHAnsi"/>
          <w:sz w:val="24"/>
          <w:szCs w:val="24"/>
        </w:rPr>
        <w:t>the Australian</w:t>
      </w:r>
      <w:r w:rsidRPr="00C20287">
        <w:rPr>
          <w:rFonts w:cstheme="minorHAnsi"/>
          <w:sz w:val="24"/>
          <w:szCs w:val="24"/>
        </w:rPr>
        <w:t xml:space="preserve"> medicine supply chain</w:t>
      </w:r>
      <w:r w:rsidR="00E162B9" w:rsidRPr="00C20287">
        <w:rPr>
          <w:rFonts w:cstheme="minorHAnsi"/>
          <w:sz w:val="24"/>
          <w:szCs w:val="24"/>
        </w:rPr>
        <w:t xml:space="preserve"> </w:t>
      </w:r>
      <w:r w:rsidR="001E2958" w:rsidRPr="00C20287">
        <w:rPr>
          <w:rFonts w:cstheme="minorHAnsi"/>
          <w:sz w:val="24"/>
          <w:szCs w:val="24"/>
        </w:rPr>
        <w:t xml:space="preserve">by reforming the structure of the CPA, and who the signatories and stewards are of specific components. </w:t>
      </w:r>
      <w:r w:rsidR="00310C57">
        <w:rPr>
          <w:rFonts w:cstheme="minorHAnsi"/>
          <w:sz w:val="24"/>
          <w:szCs w:val="24"/>
        </w:rPr>
        <w:t xml:space="preserve">The </w:t>
      </w:r>
      <w:r w:rsidR="001E2958" w:rsidRPr="00C20287">
        <w:rPr>
          <w:rFonts w:cstheme="minorHAnsi"/>
          <w:sz w:val="24"/>
          <w:szCs w:val="24"/>
        </w:rPr>
        <w:t xml:space="preserve">Commonwealth </w:t>
      </w:r>
      <w:r w:rsidR="00310C57">
        <w:rPr>
          <w:rFonts w:cstheme="minorHAnsi"/>
          <w:sz w:val="24"/>
          <w:szCs w:val="24"/>
        </w:rPr>
        <w:t xml:space="preserve">would </w:t>
      </w:r>
      <w:r w:rsidR="001E2958" w:rsidRPr="00C20287">
        <w:rPr>
          <w:rFonts w:cstheme="minorHAnsi"/>
          <w:sz w:val="24"/>
          <w:szCs w:val="24"/>
        </w:rPr>
        <w:t xml:space="preserve">enter into </w:t>
      </w:r>
      <w:r w:rsidR="005719CA" w:rsidRPr="00C20287">
        <w:rPr>
          <w:rFonts w:cstheme="minorHAnsi"/>
          <w:sz w:val="24"/>
          <w:szCs w:val="24"/>
        </w:rPr>
        <w:t xml:space="preserve">an 8CPA with </w:t>
      </w:r>
      <w:r w:rsidR="00310C57">
        <w:rPr>
          <w:rFonts w:cstheme="minorHAnsi"/>
          <w:sz w:val="24"/>
          <w:szCs w:val="24"/>
        </w:rPr>
        <w:t>t</w:t>
      </w:r>
      <w:r w:rsidR="001E2958" w:rsidRPr="00C20287">
        <w:rPr>
          <w:rFonts w:cstheme="minorHAnsi"/>
          <w:sz w:val="24"/>
          <w:szCs w:val="24"/>
        </w:rPr>
        <w:t xml:space="preserve">he Guild on the Commonwealth </w:t>
      </w:r>
      <w:r w:rsidR="00B472A0">
        <w:rPr>
          <w:rFonts w:cstheme="minorHAnsi"/>
          <w:sz w:val="24"/>
          <w:szCs w:val="24"/>
        </w:rPr>
        <w:t>p</w:t>
      </w:r>
      <w:r w:rsidR="001E2958" w:rsidRPr="00C20287">
        <w:rPr>
          <w:rFonts w:cstheme="minorHAnsi"/>
          <w:sz w:val="24"/>
          <w:szCs w:val="24"/>
        </w:rPr>
        <w:t xml:space="preserve">rice, to meet the requirements under Section 98BAA of the </w:t>
      </w:r>
      <w:r w:rsidR="000F775A" w:rsidRPr="000F775A">
        <w:rPr>
          <w:rFonts w:cstheme="minorHAnsi"/>
          <w:sz w:val="24"/>
          <w:szCs w:val="24"/>
        </w:rPr>
        <w:t>Act</w:t>
      </w:r>
      <w:r w:rsidR="00F45740">
        <w:rPr>
          <w:rFonts w:cstheme="minorHAnsi"/>
          <w:sz w:val="24"/>
          <w:szCs w:val="24"/>
        </w:rPr>
        <w:t xml:space="preserve"> as well as those CPPs that are delivered directly through community pharmacies</w:t>
      </w:r>
      <w:r w:rsidR="00310C57" w:rsidRPr="00FF4C3F">
        <w:rPr>
          <w:rFonts w:cstheme="minorHAnsi"/>
          <w:sz w:val="24"/>
          <w:szCs w:val="24"/>
        </w:rPr>
        <w:t>.</w:t>
      </w:r>
      <w:r w:rsidR="00A6378A">
        <w:rPr>
          <w:rFonts w:cstheme="minorHAnsi"/>
          <w:sz w:val="24"/>
          <w:szCs w:val="24"/>
        </w:rPr>
        <w:t xml:space="preserve"> </w:t>
      </w:r>
      <w:r w:rsidR="006F4699">
        <w:rPr>
          <w:rFonts w:cstheme="minorHAnsi"/>
          <w:sz w:val="24"/>
          <w:szCs w:val="24"/>
        </w:rPr>
        <w:t>The</w:t>
      </w:r>
      <w:r w:rsidR="00A6378A">
        <w:rPr>
          <w:rFonts w:cstheme="minorHAnsi"/>
          <w:sz w:val="24"/>
          <w:szCs w:val="24"/>
        </w:rPr>
        <w:t xml:space="preserve"> </w:t>
      </w:r>
      <w:r w:rsidR="006F4699">
        <w:rPr>
          <w:rFonts w:cstheme="minorHAnsi"/>
          <w:sz w:val="24"/>
          <w:szCs w:val="24"/>
        </w:rPr>
        <w:t xml:space="preserve">CPPs to be included in the 8CPA </w:t>
      </w:r>
      <w:r w:rsidR="00A6378A">
        <w:rPr>
          <w:rFonts w:cstheme="minorHAnsi"/>
          <w:sz w:val="24"/>
          <w:szCs w:val="24"/>
        </w:rPr>
        <w:t>would comprise:</w:t>
      </w:r>
    </w:p>
    <w:p w14:paraId="1307E0AF" w14:textId="77777777" w:rsidR="006F4699" w:rsidRPr="006F4699" w:rsidRDefault="006F4699" w:rsidP="006F4699">
      <w:pPr>
        <w:pStyle w:val="CABParagraph"/>
        <w:numPr>
          <w:ilvl w:val="0"/>
          <w:numId w:val="20"/>
        </w:numPr>
        <w:rPr>
          <w:rFonts w:asciiTheme="minorHAnsi" w:hAnsiTheme="minorHAnsi" w:cstheme="minorHAnsi"/>
          <w:sz w:val="24"/>
          <w:szCs w:val="24"/>
        </w:rPr>
      </w:pPr>
      <w:r w:rsidRPr="006F4699">
        <w:rPr>
          <w:rFonts w:asciiTheme="minorHAnsi" w:hAnsiTheme="minorHAnsi" w:cstheme="minorHAnsi"/>
          <w:sz w:val="24"/>
          <w:szCs w:val="24"/>
        </w:rPr>
        <w:t xml:space="preserve">MedsCheck </w:t>
      </w:r>
    </w:p>
    <w:p w14:paraId="1F36DD9D" w14:textId="41A746B6" w:rsidR="006F4699" w:rsidRPr="006F4699" w:rsidRDefault="006F4699" w:rsidP="006F4699">
      <w:pPr>
        <w:pStyle w:val="CABParagraph"/>
        <w:numPr>
          <w:ilvl w:val="0"/>
          <w:numId w:val="20"/>
        </w:numPr>
        <w:rPr>
          <w:rFonts w:asciiTheme="minorHAnsi" w:hAnsiTheme="minorHAnsi" w:cstheme="minorHAnsi"/>
          <w:sz w:val="24"/>
          <w:szCs w:val="24"/>
        </w:rPr>
      </w:pPr>
      <w:r w:rsidRPr="006F4699">
        <w:rPr>
          <w:rFonts w:asciiTheme="minorHAnsi" w:hAnsiTheme="minorHAnsi" w:cstheme="minorHAnsi"/>
          <w:sz w:val="24"/>
          <w:szCs w:val="24"/>
        </w:rPr>
        <w:t xml:space="preserve">Diabetes MedsCheck </w:t>
      </w:r>
    </w:p>
    <w:p w14:paraId="16E087C9" w14:textId="5AC726AD" w:rsidR="006F4699" w:rsidRPr="006F4699" w:rsidRDefault="006F4699" w:rsidP="006F4699">
      <w:pPr>
        <w:pStyle w:val="CABParagraph"/>
        <w:numPr>
          <w:ilvl w:val="0"/>
          <w:numId w:val="20"/>
        </w:numPr>
        <w:rPr>
          <w:rFonts w:asciiTheme="minorHAnsi" w:hAnsiTheme="minorHAnsi" w:cstheme="minorHAnsi"/>
          <w:sz w:val="24"/>
          <w:szCs w:val="24"/>
        </w:rPr>
      </w:pPr>
      <w:r w:rsidRPr="006F4699">
        <w:rPr>
          <w:rFonts w:asciiTheme="minorHAnsi" w:hAnsiTheme="minorHAnsi" w:cstheme="minorHAnsi"/>
          <w:sz w:val="24"/>
          <w:szCs w:val="24"/>
        </w:rPr>
        <w:t xml:space="preserve">Staged Supply </w:t>
      </w:r>
    </w:p>
    <w:p w14:paraId="3EC5E2E4" w14:textId="77777777" w:rsidR="006F4699" w:rsidRPr="006F4699" w:rsidRDefault="006F4699" w:rsidP="006F4699">
      <w:pPr>
        <w:pStyle w:val="CABParagraph"/>
        <w:numPr>
          <w:ilvl w:val="0"/>
          <w:numId w:val="20"/>
        </w:numPr>
        <w:rPr>
          <w:rFonts w:asciiTheme="minorHAnsi" w:hAnsiTheme="minorHAnsi" w:cstheme="minorHAnsi"/>
          <w:sz w:val="24"/>
          <w:szCs w:val="24"/>
        </w:rPr>
      </w:pPr>
      <w:r w:rsidRPr="006F4699">
        <w:rPr>
          <w:rFonts w:asciiTheme="minorHAnsi" w:hAnsiTheme="minorHAnsi" w:cstheme="minorHAnsi"/>
          <w:sz w:val="24"/>
          <w:szCs w:val="24"/>
        </w:rPr>
        <w:t>Dose Administration Aids (DAA)</w:t>
      </w:r>
    </w:p>
    <w:p w14:paraId="489E197F" w14:textId="3A9C424B" w:rsidR="006F4699" w:rsidRPr="006F4699" w:rsidRDefault="006F4699" w:rsidP="006F4699">
      <w:pPr>
        <w:pStyle w:val="CABParagraph"/>
        <w:numPr>
          <w:ilvl w:val="0"/>
          <w:numId w:val="20"/>
        </w:numPr>
        <w:rPr>
          <w:rFonts w:asciiTheme="minorHAnsi" w:hAnsiTheme="minorHAnsi" w:cstheme="minorHAnsi"/>
          <w:sz w:val="24"/>
          <w:szCs w:val="24"/>
        </w:rPr>
      </w:pPr>
      <w:r w:rsidRPr="006F4699">
        <w:rPr>
          <w:rFonts w:asciiTheme="minorHAnsi" w:hAnsiTheme="minorHAnsi" w:cstheme="minorHAnsi"/>
          <w:sz w:val="24"/>
          <w:szCs w:val="24"/>
        </w:rPr>
        <w:t>Indigenous Dose Administration Aids (IDAA)</w:t>
      </w:r>
      <w:r w:rsidR="004255A6">
        <w:rPr>
          <w:rFonts w:asciiTheme="minorHAnsi" w:hAnsiTheme="minorHAnsi" w:cstheme="minorHAnsi"/>
          <w:sz w:val="24"/>
          <w:szCs w:val="24"/>
        </w:rPr>
        <w:t>, and</w:t>
      </w:r>
    </w:p>
    <w:p w14:paraId="431DD234" w14:textId="7A559AAB" w:rsidR="00A6378A" w:rsidRPr="006F4699" w:rsidRDefault="006F4699" w:rsidP="006F4699">
      <w:pPr>
        <w:pStyle w:val="CABParagraph"/>
        <w:numPr>
          <w:ilvl w:val="0"/>
          <w:numId w:val="20"/>
        </w:numPr>
        <w:rPr>
          <w:rFonts w:asciiTheme="minorHAnsi" w:hAnsiTheme="minorHAnsi" w:cstheme="minorHAnsi"/>
          <w:sz w:val="24"/>
          <w:szCs w:val="24"/>
        </w:rPr>
      </w:pPr>
      <w:r w:rsidRPr="006F4699">
        <w:rPr>
          <w:rFonts w:asciiTheme="minorHAnsi" w:hAnsiTheme="minorHAnsi" w:cstheme="minorHAnsi"/>
          <w:sz w:val="24"/>
          <w:szCs w:val="24"/>
        </w:rPr>
        <w:t>Regional Pharmacy Maintenance Allowance (RPMA).</w:t>
      </w:r>
    </w:p>
    <w:p w14:paraId="1751AA52" w14:textId="322D574B" w:rsidR="00F67D06" w:rsidRDefault="00F67D06" w:rsidP="00310C57">
      <w:pPr>
        <w:autoSpaceDE w:val="0"/>
        <w:autoSpaceDN w:val="0"/>
        <w:adjustRightInd w:val="0"/>
        <w:spacing w:line="240" w:lineRule="auto"/>
        <w:rPr>
          <w:rFonts w:cstheme="minorHAnsi"/>
          <w:sz w:val="24"/>
          <w:szCs w:val="24"/>
        </w:rPr>
      </w:pPr>
      <w:r>
        <w:rPr>
          <w:rFonts w:cstheme="minorHAnsi"/>
          <w:sz w:val="24"/>
          <w:szCs w:val="24"/>
        </w:rPr>
        <w:t>The agreement would include a requirement for the Guild to work with the Department to develop and implement an evaluation framework into the existing programs. The CPPs included in the agreement would be evaluated against the evaluation framework during the life of the agreement to inform any changes that may be required to better align the programs to deliver better clinical outcomes and accessibility to consumers who would gain the most benefit from the programs.</w:t>
      </w:r>
    </w:p>
    <w:p w14:paraId="66525E18" w14:textId="46549957" w:rsidR="00310C57" w:rsidRPr="00C20287" w:rsidRDefault="00310C57" w:rsidP="00310C57">
      <w:pPr>
        <w:autoSpaceDE w:val="0"/>
        <w:autoSpaceDN w:val="0"/>
        <w:adjustRightInd w:val="0"/>
        <w:spacing w:line="240" w:lineRule="auto"/>
        <w:rPr>
          <w:rFonts w:cstheme="minorHAnsi"/>
          <w:sz w:val="24"/>
          <w:szCs w:val="24"/>
        </w:rPr>
      </w:pPr>
      <w:r>
        <w:rPr>
          <w:rFonts w:cstheme="minorHAnsi"/>
          <w:sz w:val="24"/>
          <w:szCs w:val="24"/>
        </w:rPr>
        <w:t xml:space="preserve">Separate discussions and agreements could then occur outside of the 8CPA timeframes </w:t>
      </w:r>
      <w:r w:rsidRPr="00C20287">
        <w:rPr>
          <w:rFonts w:cstheme="minorHAnsi"/>
          <w:sz w:val="24"/>
          <w:szCs w:val="24"/>
        </w:rPr>
        <w:t>with</w:t>
      </w:r>
      <w:r w:rsidR="004255A6">
        <w:rPr>
          <w:rFonts w:cstheme="minorHAnsi"/>
          <w:sz w:val="24"/>
          <w:szCs w:val="24"/>
        </w:rPr>
        <w:t xml:space="preserve"> a</w:t>
      </w:r>
      <w:r w:rsidR="0021361D">
        <w:rPr>
          <w:rFonts w:cstheme="minorHAnsi"/>
          <w:sz w:val="24"/>
          <w:szCs w:val="24"/>
        </w:rPr>
        <w:t xml:space="preserve"> range of stakeholders, including</w:t>
      </w:r>
      <w:r w:rsidRPr="00C20287">
        <w:rPr>
          <w:rFonts w:cstheme="minorHAnsi"/>
          <w:sz w:val="24"/>
          <w:szCs w:val="24"/>
        </w:rPr>
        <w:t>:</w:t>
      </w:r>
    </w:p>
    <w:p w14:paraId="59C5AA01" w14:textId="39436496" w:rsidR="001E2958" w:rsidRPr="00C20287" w:rsidRDefault="001E2958" w:rsidP="001E2958">
      <w:pPr>
        <w:pStyle w:val="CABParagraph"/>
        <w:numPr>
          <w:ilvl w:val="0"/>
          <w:numId w:val="10"/>
        </w:numPr>
        <w:spacing w:after="120"/>
        <w:rPr>
          <w:rFonts w:asciiTheme="minorHAnsi" w:hAnsiTheme="minorHAnsi" w:cstheme="minorHAnsi"/>
          <w:sz w:val="24"/>
          <w:szCs w:val="24"/>
        </w:rPr>
      </w:pPr>
      <w:r w:rsidRPr="00C20287">
        <w:rPr>
          <w:rFonts w:asciiTheme="minorHAnsi" w:hAnsiTheme="minorHAnsi" w:cstheme="minorHAnsi"/>
          <w:sz w:val="24"/>
          <w:szCs w:val="24"/>
        </w:rPr>
        <w:t xml:space="preserve">Wholesalers (likely represented by the </w:t>
      </w:r>
      <w:r w:rsidR="00F206EB" w:rsidRPr="00C20287">
        <w:rPr>
          <w:rFonts w:asciiTheme="minorHAnsi" w:hAnsiTheme="minorHAnsi" w:cstheme="minorHAnsi"/>
          <w:sz w:val="24"/>
          <w:szCs w:val="24"/>
        </w:rPr>
        <w:t>NPSA and non-</w:t>
      </w:r>
      <w:r w:rsidR="004255A6">
        <w:rPr>
          <w:rFonts w:asciiTheme="minorHAnsi" w:hAnsiTheme="minorHAnsi" w:cstheme="minorHAnsi"/>
          <w:sz w:val="24"/>
          <w:szCs w:val="24"/>
        </w:rPr>
        <w:t>NPSA</w:t>
      </w:r>
      <w:r w:rsidR="00F206EB" w:rsidRPr="00C20287">
        <w:rPr>
          <w:rFonts w:asciiTheme="minorHAnsi" w:hAnsiTheme="minorHAnsi" w:cstheme="minorHAnsi"/>
          <w:sz w:val="24"/>
          <w:szCs w:val="24"/>
        </w:rPr>
        <w:t xml:space="preserve"> wholesalers</w:t>
      </w:r>
      <w:r w:rsidRPr="00C20287">
        <w:rPr>
          <w:rFonts w:asciiTheme="minorHAnsi" w:hAnsiTheme="minorHAnsi" w:cstheme="minorHAnsi"/>
          <w:sz w:val="24"/>
          <w:szCs w:val="24"/>
        </w:rPr>
        <w:t xml:space="preserve">) on the </w:t>
      </w:r>
      <w:r w:rsidR="000F775A">
        <w:rPr>
          <w:rFonts w:asciiTheme="minorHAnsi" w:hAnsiTheme="minorHAnsi" w:cstheme="minorHAnsi"/>
          <w:sz w:val="24"/>
          <w:szCs w:val="24"/>
        </w:rPr>
        <w:t>CSO</w:t>
      </w:r>
      <w:r w:rsidRPr="00C20287">
        <w:rPr>
          <w:rFonts w:asciiTheme="minorHAnsi" w:hAnsiTheme="minorHAnsi" w:cstheme="minorHAnsi"/>
          <w:sz w:val="24"/>
          <w:szCs w:val="24"/>
        </w:rPr>
        <w:t xml:space="preserve"> service requirements, and potentially amendments to the wholesale mark-up</w:t>
      </w:r>
    </w:p>
    <w:p w14:paraId="156674AD" w14:textId="7AE1984B" w:rsidR="001E2958" w:rsidRPr="00C20287" w:rsidRDefault="001E2958" w:rsidP="00D95F4D">
      <w:pPr>
        <w:pStyle w:val="CABParagraph"/>
        <w:numPr>
          <w:ilvl w:val="0"/>
          <w:numId w:val="10"/>
        </w:numPr>
        <w:spacing w:after="120"/>
        <w:rPr>
          <w:rFonts w:asciiTheme="minorHAnsi" w:hAnsiTheme="minorHAnsi" w:cstheme="minorHAnsi"/>
          <w:sz w:val="24"/>
          <w:szCs w:val="24"/>
        </w:rPr>
      </w:pPr>
      <w:r w:rsidRPr="00C20287">
        <w:rPr>
          <w:rFonts w:asciiTheme="minorHAnsi" w:hAnsiTheme="minorHAnsi" w:cstheme="minorHAnsi"/>
          <w:sz w:val="24"/>
          <w:szCs w:val="24"/>
        </w:rPr>
        <w:t xml:space="preserve">First Nations Health stakeholders (such as </w:t>
      </w:r>
      <w:r w:rsidR="00D95F4D" w:rsidRPr="00D95F4D">
        <w:rPr>
          <w:rFonts w:asciiTheme="minorHAnsi" w:hAnsiTheme="minorHAnsi" w:cstheme="minorHAnsi"/>
          <w:sz w:val="24"/>
          <w:szCs w:val="24"/>
        </w:rPr>
        <w:t xml:space="preserve">National Aboriginal Community Controlled Heath Organisation </w:t>
      </w:r>
      <w:r w:rsidR="00D95F4D">
        <w:rPr>
          <w:rFonts w:asciiTheme="minorHAnsi" w:hAnsiTheme="minorHAnsi" w:cstheme="minorHAnsi"/>
          <w:sz w:val="24"/>
          <w:szCs w:val="24"/>
        </w:rPr>
        <w:t>(</w:t>
      </w:r>
      <w:r w:rsidR="001A05EC" w:rsidRPr="00C20287">
        <w:rPr>
          <w:rFonts w:asciiTheme="minorHAnsi" w:hAnsiTheme="minorHAnsi" w:cstheme="minorHAnsi"/>
          <w:sz w:val="24"/>
          <w:szCs w:val="24"/>
        </w:rPr>
        <w:t>NACCHO</w:t>
      </w:r>
      <w:r w:rsidRPr="00C20287">
        <w:rPr>
          <w:rFonts w:asciiTheme="minorHAnsi" w:hAnsiTheme="minorHAnsi" w:cstheme="minorHAnsi"/>
          <w:sz w:val="24"/>
          <w:szCs w:val="24"/>
        </w:rPr>
        <w:t>)</w:t>
      </w:r>
      <w:r w:rsidR="00D95F4D">
        <w:rPr>
          <w:rFonts w:asciiTheme="minorHAnsi" w:hAnsiTheme="minorHAnsi" w:cstheme="minorHAnsi"/>
          <w:sz w:val="24"/>
          <w:szCs w:val="24"/>
        </w:rPr>
        <w:t>)</w:t>
      </w:r>
      <w:r w:rsidRPr="00C20287">
        <w:rPr>
          <w:rFonts w:asciiTheme="minorHAnsi" w:hAnsiTheme="minorHAnsi" w:cstheme="minorHAnsi"/>
          <w:sz w:val="24"/>
          <w:szCs w:val="24"/>
        </w:rPr>
        <w:t xml:space="preserve"> on targeted First Nations Pharmacy Programs centred around Closing the Gap targets</w:t>
      </w:r>
      <w:r w:rsidR="004255A6">
        <w:rPr>
          <w:rFonts w:asciiTheme="minorHAnsi" w:hAnsiTheme="minorHAnsi" w:cstheme="minorHAnsi"/>
          <w:sz w:val="24"/>
          <w:szCs w:val="24"/>
        </w:rPr>
        <w:t>, and</w:t>
      </w:r>
    </w:p>
    <w:p w14:paraId="77343828" w14:textId="780F4598" w:rsidR="005719CA" w:rsidRPr="00C20287" w:rsidRDefault="005719CA" w:rsidP="005719CA">
      <w:pPr>
        <w:pStyle w:val="CABParagraph"/>
        <w:numPr>
          <w:ilvl w:val="0"/>
          <w:numId w:val="10"/>
        </w:numPr>
        <w:spacing w:after="120"/>
        <w:rPr>
          <w:rFonts w:asciiTheme="minorHAnsi" w:hAnsiTheme="minorHAnsi" w:cstheme="minorHAnsi"/>
          <w:sz w:val="24"/>
          <w:szCs w:val="24"/>
        </w:rPr>
      </w:pPr>
      <w:r w:rsidRPr="00C20287">
        <w:rPr>
          <w:rFonts w:asciiTheme="minorHAnsi" w:hAnsiTheme="minorHAnsi" w:cstheme="minorHAnsi"/>
          <w:sz w:val="24"/>
          <w:szCs w:val="24"/>
        </w:rPr>
        <w:t xml:space="preserve">Professional pharmacy organisations (including the </w:t>
      </w:r>
      <w:r w:rsidR="00D95F4D">
        <w:rPr>
          <w:rFonts w:asciiTheme="minorHAnsi" w:hAnsiTheme="minorHAnsi" w:cstheme="minorHAnsi"/>
          <w:sz w:val="24"/>
          <w:szCs w:val="24"/>
        </w:rPr>
        <w:t>PSA</w:t>
      </w:r>
      <w:r w:rsidRPr="00C20287">
        <w:rPr>
          <w:rFonts w:asciiTheme="minorHAnsi" w:hAnsiTheme="minorHAnsi" w:cstheme="minorHAnsi"/>
          <w:sz w:val="24"/>
          <w:szCs w:val="24"/>
        </w:rPr>
        <w:t xml:space="preserve">) on </w:t>
      </w:r>
      <w:r w:rsidR="00F45740">
        <w:rPr>
          <w:rFonts w:asciiTheme="minorHAnsi" w:hAnsiTheme="minorHAnsi" w:cstheme="minorHAnsi"/>
          <w:sz w:val="24"/>
          <w:szCs w:val="24"/>
        </w:rPr>
        <w:t xml:space="preserve">all other </w:t>
      </w:r>
      <w:r w:rsidRPr="00C20287">
        <w:rPr>
          <w:rFonts w:asciiTheme="minorHAnsi" w:hAnsiTheme="minorHAnsi" w:cstheme="minorHAnsi"/>
          <w:sz w:val="24"/>
          <w:szCs w:val="24"/>
        </w:rPr>
        <w:t>professional pharmacy programs that are focussed on making community pharmacies an accessible health-hub for all Australians</w:t>
      </w:r>
      <w:r w:rsidR="002A5B3E" w:rsidRPr="00C20287">
        <w:rPr>
          <w:rFonts w:asciiTheme="minorHAnsi" w:hAnsiTheme="minorHAnsi" w:cstheme="minorHAnsi"/>
          <w:sz w:val="24"/>
          <w:szCs w:val="24"/>
        </w:rPr>
        <w:t>.</w:t>
      </w:r>
    </w:p>
    <w:p w14:paraId="1ABC844D" w14:textId="72349D92" w:rsidR="005719CA" w:rsidRPr="00C20287" w:rsidRDefault="005719CA" w:rsidP="005719CA">
      <w:pPr>
        <w:pStyle w:val="CABParagraph"/>
        <w:spacing w:after="120"/>
        <w:rPr>
          <w:rFonts w:asciiTheme="minorHAnsi" w:hAnsiTheme="minorHAnsi" w:cstheme="minorHAnsi"/>
          <w:sz w:val="24"/>
          <w:szCs w:val="24"/>
        </w:rPr>
      </w:pPr>
      <w:r w:rsidRPr="00C20287">
        <w:rPr>
          <w:rFonts w:asciiTheme="minorHAnsi" w:hAnsiTheme="minorHAnsi" w:cstheme="minorHAnsi"/>
          <w:sz w:val="24"/>
          <w:szCs w:val="24"/>
        </w:rPr>
        <w:t>Any reforms such as those outlined above will include the collection of data</w:t>
      </w:r>
      <w:r w:rsidR="002A5B3E" w:rsidRPr="00C20287">
        <w:rPr>
          <w:rFonts w:asciiTheme="minorHAnsi" w:hAnsiTheme="minorHAnsi" w:cstheme="minorHAnsi"/>
          <w:sz w:val="24"/>
          <w:szCs w:val="24"/>
        </w:rPr>
        <w:t xml:space="preserve">, including in relation to </w:t>
      </w:r>
      <w:r w:rsidRPr="00C20287">
        <w:rPr>
          <w:rFonts w:asciiTheme="minorHAnsi" w:hAnsiTheme="minorHAnsi" w:cstheme="minorHAnsi"/>
          <w:sz w:val="24"/>
          <w:szCs w:val="24"/>
        </w:rPr>
        <w:t>health outcome</w:t>
      </w:r>
      <w:r w:rsidR="002A5B3E" w:rsidRPr="00C20287">
        <w:rPr>
          <w:rFonts w:asciiTheme="minorHAnsi" w:hAnsiTheme="minorHAnsi" w:cstheme="minorHAnsi"/>
          <w:sz w:val="24"/>
          <w:szCs w:val="24"/>
        </w:rPr>
        <w:t>s, to</w:t>
      </w:r>
      <w:r w:rsidRPr="00C20287">
        <w:rPr>
          <w:rFonts w:asciiTheme="minorHAnsi" w:hAnsiTheme="minorHAnsi" w:cstheme="minorHAnsi"/>
          <w:sz w:val="24"/>
          <w:szCs w:val="24"/>
        </w:rPr>
        <w:t xml:space="preserve"> </w:t>
      </w:r>
      <w:r w:rsidR="002A5B3E" w:rsidRPr="00C20287">
        <w:rPr>
          <w:rFonts w:asciiTheme="minorHAnsi" w:hAnsiTheme="minorHAnsi" w:cstheme="minorHAnsi"/>
          <w:sz w:val="24"/>
          <w:szCs w:val="24"/>
        </w:rPr>
        <w:t xml:space="preserve">provide stronger </w:t>
      </w:r>
      <w:r w:rsidRPr="00C20287">
        <w:rPr>
          <w:rFonts w:asciiTheme="minorHAnsi" w:hAnsiTheme="minorHAnsi" w:cstheme="minorHAnsi"/>
          <w:sz w:val="24"/>
          <w:szCs w:val="24"/>
        </w:rPr>
        <w:t xml:space="preserve">evidence </w:t>
      </w:r>
      <w:r w:rsidR="004B356E" w:rsidRPr="00C20287">
        <w:rPr>
          <w:rFonts w:asciiTheme="minorHAnsi" w:hAnsiTheme="minorHAnsi" w:cstheme="minorHAnsi"/>
          <w:sz w:val="24"/>
          <w:szCs w:val="24"/>
        </w:rPr>
        <w:t xml:space="preserve">to guide </w:t>
      </w:r>
      <w:r w:rsidRPr="00C20287">
        <w:rPr>
          <w:rFonts w:asciiTheme="minorHAnsi" w:hAnsiTheme="minorHAnsi" w:cstheme="minorHAnsi"/>
          <w:sz w:val="24"/>
          <w:szCs w:val="24"/>
        </w:rPr>
        <w:t>future program development.</w:t>
      </w:r>
      <w:r w:rsidR="000768C0" w:rsidRPr="00C20287">
        <w:rPr>
          <w:rFonts w:asciiTheme="minorHAnsi" w:hAnsiTheme="minorHAnsi" w:cstheme="minorHAnsi"/>
          <w:sz w:val="24"/>
          <w:szCs w:val="24"/>
        </w:rPr>
        <w:t xml:space="preserve"> Programs</w:t>
      </w:r>
      <w:r w:rsidR="00F45740">
        <w:rPr>
          <w:rFonts w:asciiTheme="minorHAnsi" w:hAnsiTheme="minorHAnsi" w:cstheme="minorHAnsi"/>
          <w:sz w:val="24"/>
          <w:szCs w:val="24"/>
        </w:rPr>
        <w:t>, including those included in the 8CPA</w:t>
      </w:r>
      <w:r w:rsidR="000768C0" w:rsidRPr="00C20287">
        <w:rPr>
          <w:rFonts w:asciiTheme="minorHAnsi" w:hAnsiTheme="minorHAnsi" w:cstheme="minorHAnsi"/>
          <w:sz w:val="24"/>
          <w:szCs w:val="24"/>
        </w:rPr>
        <w:t xml:space="preserve"> would be structured to have </w:t>
      </w:r>
      <w:r w:rsidR="002F111A">
        <w:rPr>
          <w:rFonts w:asciiTheme="minorHAnsi" w:hAnsiTheme="minorHAnsi" w:cstheme="minorHAnsi"/>
          <w:sz w:val="24"/>
          <w:szCs w:val="24"/>
        </w:rPr>
        <w:t>q</w:t>
      </w:r>
      <w:r w:rsidR="000768C0" w:rsidRPr="00C20287">
        <w:rPr>
          <w:rFonts w:asciiTheme="minorHAnsi" w:hAnsiTheme="minorHAnsi" w:cstheme="minorHAnsi"/>
          <w:sz w:val="24"/>
          <w:szCs w:val="24"/>
        </w:rPr>
        <w:t xml:space="preserve">uality and </w:t>
      </w:r>
      <w:r w:rsidR="002F111A">
        <w:rPr>
          <w:rFonts w:asciiTheme="minorHAnsi" w:hAnsiTheme="minorHAnsi" w:cstheme="minorHAnsi"/>
          <w:sz w:val="24"/>
          <w:szCs w:val="24"/>
        </w:rPr>
        <w:t>e</w:t>
      </w:r>
      <w:r w:rsidR="000768C0" w:rsidRPr="00C20287">
        <w:rPr>
          <w:rFonts w:asciiTheme="minorHAnsi" w:hAnsiTheme="minorHAnsi" w:cstheme="minorHAnsi"/>
          <w:sz w:val="24"/>
          <w:szCs w:val="24"/>
        </w:rPr>
        <w:t xml:space="preserve">valuation </w:t>
      </w:r>
      <w:r w:rsidR="002F111A">
        <w:rPr>
          <w:rFonts w:asciiTheme="minorHAnsi" w:hAnsiTheme="minorHAnsi" w:cstheme="minorHAnsi"/>
          <w:sz w:val="24"/>
          <w:szCs w:val="24"/>
        </w:rPr>
        <w:t>f</w:t>
      </w:r>
      <w:r w:rsidR="000768C0" w:rsidRPr="00C20287">
        <w:rPr>
          <w:rFonts w:asciiTheme="minorHAnsi" w:hAnsiTheme="minorHAnsi" w:cstheme="minorHAnsi"/>
          <w:sz w:val="24"/>
          <w:szCs w:val="24"/>
        </w:rPr>
        <w:t>ramework intrinsic in their design.</w:t>
      </w:r>
      <w:r w:rsidR="001A05EC" w:rsidRPr="00C20287">
        <w:rPr>
          <w:rFonts w:asciiTheme="minorHAnsi" w:hAnsiTheme="minorHAnsi" w:cstheme="minorHAnsi"/>
          <w:sz w:val="24"/>
          <w:szCs w:val="24"/>
        </w:rPr>
        <w:t xml:space="preserve"> These frameworks would be developed in consultation with relevant stakeholders to ensure that they were practical, efficient and fit for purpose.</w:t>
      </w:r>
    </w:p>
    <w:p w14:paraId="2C722033" w14:textId="08AF615D" w:rsidR="001A1105" w:rsidRPr="00C20287" w:rsidRDefault="00557571" w:rsidP="00F608CD">
      <w:pPr>
        <w:pStyle w:val="CABParagraph"/>
        <w:rPr>
          <w:rFonts w:asciiTheme="minorHAnsi" w:hAnsiTheme="minorHAnsi" w:cstheme="minorHAnsi"/>
          <w:sz w:val="24"/>
          <w:szCs w:val="24"/>
        </w:rPr>
      </w:pPr>
      <w:r w:rsidRPr="00C20287">
        <w:rPr>
          <w:rFonts w:asciiTheme="minorHAnsi" w:hAnsiTheme="minorHAnsi" w:cstheme="minorHAnsi"/>
          <w:sz w:val="24"/>
          <w:szCs w:val="24"/>
        </w:rPr>
        <w:t xml:space="preserve">With the </w:t>
      </w:r>
      <w:r w:rsidR="00D95F4D">
        <w:rPr>
          <w:rFonts w:asciiTheme="minorHAnsi" w:hAnsiTheme="minorHAnsi" w:cstheme="minorHAnsi"/>
          <w:sz w:val="24"/>
          <w:szCs w:val="24"/>
        </w:rPr>
        <w:t>NMP</w:t>
      </w:r>
      <w:r w:rsidR="005719CA" w:rsidRPr="00C20287">
        <w:rPr>
          <w:rFonts w:asciiTheme="minorHAnsi" w:hAnsiTheme="minorHAnsi" w:cstheme="minorHAnsi"/>
          <w:sz w:val="24"/>
          <w:szCs w:val="24"/>
        </w:rPr>
        <w:t xml:space="preserve"> </w:t>
      </w:r>
      <w:r w:rsidRPr="00C20287">
        <w:rPr>
          <w:rFonts w:asciiTheme="minorHAnsi" w:hAnsiTheme="minorHAnsi" w:cstheme="minorHAnsi"/>
          <w:sz w:val="24"/>
          <w:szCs w:val="24"/>
        </w:rPr>
        <w:t xml:space="preserve">at </w:t>
      </w:r>
      <w:r w:rsidR="005719CA" w:rsidRPr="00C20287">
        <w:rPr>
          <w:rFonts w:asciiTheme="minorHAnsi" w:hAnsiTheme="minorHAnsi" w:cstheme="minorHAnsi"/>
          <w:sz w:val="24"/>
          <w:szCs w:val="24"/>
        </w:rPr>
        <w:t xml:space="preserve">its </w:t>
      </w:r>
      <w:r w:rsidRPr="00C20287">
        <w:rPr>
          <w:rFonts w:asciiTheme="minorHAnsi" w:hAnsiTheme="minorHAnsi" w:cstheme="minorHAnsi"/>
          <w:sz w:val="24"/>
          <w:szCs w:val="24"/>
        </w:rPr>
        <w:t xml:space="preserve">core, the </w:t>
      </w:r>
      <w:r w:rsidR="00602263" w:rsidRPr="00C20287">
        <w:rPr>
          <w:rFonts w:asciiTheme="minorHAnsi" w:hAnsiTheme="minorHAnsi" w:cstheme="minorHAnsi"/>
          <w:sz w:val="24"/>
          <w:szCs w:val="24"/>
        </w:rPr>
        <w:t xml:space="preserve">8CPA </w:t>
      </w:r>
      <w:r w:rsidRPr="00C20287">
        <w:rPr>
          <w:rFonts w:asciiTheme="minorHAnsi" w:hAnsiTheme="minorHAnsi" w:cstheme="minorHAnsi"/>
          <w:sz w:val="24"/>
          <w:szCs w:val="24"/>
        </w:rPr>
        <w:t xml:space="preserve">will </w:t>
      </w:r>
      <w:r w:rsidR="00F608CD" w:rsidRPr="00C20287">
        <w:rPr>
          <w:rFonts w:asciiTheme="minorHAnsi" w:hAnsiTheme="minorHAnsi" w:cstheme="minorHAnsi"/>
          <w:sz w:val="24"/>
          <w:szCs w:val="24"/>
        </w:rPr>
        <w:t>also</w:t>
      </w:r>
      <w:r w:rsidR="001A1105" w:rsidRPr="00C20287">
        <w:rPr>
          <w:rFonts w:asciiTheme="minorHAnsi" w:hAnsiTheme="minorHAnsi" w:cstheme="minorHAnsi"/>
          <w:sz w:val="24"/>
          <w:szCs w:val="24"/>
        </w:rPr>
        <w:t xml:space="preserve"> take into account the</w:t>
      </w:r>
      <w:r w:rsidR="00375581" w:rsidRPr="00C20287">
        <w:rPr>
          <w:rFonts w:asciiTheme="minorHAnsi" w:hAnsiTheme="minorHAnsi" w:cstheme="minorHAnsi"/>
          <w:sz w:val="24"/>
          <w:szCs w:val="24"/>
        </w:rPr>
        <w:t xml:space="preserve"> </w:t>
      </w:r>
      <w:r w:rsidR="001A1105" w:rsidRPr="00C20287">
        <w:rPr>
          <w:rFonts w:asciiTheme="minorHAnsi" w:hAnsiTheme="minorHAnsi" w:cstheme="minorHAnsi"/>
          <w:sz w:val="24"/>
          <w:szCs w:val="24"/>
        </w:rPr>
        <w:t xml:space="preserve">recommendations of prior reviews into the </w:t>
      </w:r>
      <w:r w:rsidR="005719CA" w:rsidRPr="00C20287">
        <w:rPr>
          <w:rFonts w:asciiTheme="minorHAnsi" w:hAnsiTheme="minorHAnsi" w:cstheme="minorHAnsi"/>
          <w:sz w:val="24"/>
          <w:szCs w:val="24"/>
        </w:rPr>
        <w:t xml:space="preserve">community </w:t>
      </w:r>
      <w:r w:rsidR="001A1105" w:rsidRPr="00C20287">
        <w:rPr>
          <w:rFonts w:asciiTheme="minorHAnsi" w:hAnsiTheme="minorHAnsi" w:cstheme="minorHAnsi"/>
          <w:sz w:val="24"/>
          <w:szCs w:val="24"/>
        </w:rPr>
        <w:t>pharmacy sector, including:</w:t>
      </w:r>
    </w:p>
    <w:p w14:paraId="314A0125" w14:textId="36E0F9BB" w:rsidR="001A1105" w:rsidRPr="00C20287" w:rsidRDefault="001A1105" w:rsidP="0095671A">
      <w:pPr>
        <w:pStyle w:val="CABParagraph"/>
        <w:numPr>
          <w:ilvl w:val="0"/>
          <w:numId w:val="20"/>
        </w:numPr>
        <w:rPr>
          <w:rFonts w:asciiTheme="minorHAnsi" w:hAnsiTheme="minorHAnsi" w:cstheme="minorHAnsi"/>
          <w:sz w:val="24"/>
          <w:szCs w:val="24"/>
        </w:rPr>
      </w:pPr>
      <w:r w:rsidRPr="00C20287">
        <w:rPr>
          <w:rFonts w:asciiTheme="minorHAnsi" w:hAnsiTheme="minorHAnsi" w:cstheme="minorHAnsi"/>
          <w:sz w:val="24"/>
          <w:szCs w:val="24"/>
        </w:rPr>
        <w:lastRenderedPageBreak/>
        <w:t>The Competition Policy Review (Harper Review, 2015)</w:t>
      </w:r>
      <w:r w:rsidR="00666738">
        <w:rPr>
          <w:rStyle w:val="FootnoteReference"/>
          <w:rFonts w:asciiTheme="minorHAnsi" w:hAnsiTheme="minorHAnsi" w:cstheme="minorHAnsi"/>
          <w:sz w:val="24"/>
          <w:szCs w:val="24"/>
        </w:rPr>
        <w:footnoteReference w:id="65"/>
      </w:r>
    </w:p>
    <w:p w14:paraId="7F1AC041" w14:textId="276FA63D" w:rsidR="001A1105" w:rsidRPr="00C20287" w:rsidRDefault="001A1105" w:rsidP="0095671A">
      <w:pPr>
        <w:pStyle w:val="CABParagraph"/>
        <w:numPr>
          <w:ilvl w:val="0"/>
          <w:numId w:val="20"/>
        </w:numPr>
        <w:rPr>
          <w:rFonts w:asciiTheme="minorHAnsi" w:hAnsiTheme="minorHAnsi" w:cstheme="minorHAnsi"/>
          <w:sz w:val="24"/>
          <w:szCs w:val="24"/>
        </w:rPr>
      </w:pPr>
      <w:r w:rsidRPr="00C20287">
        <w:rPr>
          <w:rFonts w:asciiTheme="minorHAnsi" w:hAnsiTheme="minorHAnsi" w:cstheme="minorHAnsi"/>
          <w:sz w:val="24"/>
          <w:szCs w:val="24"/>
        </w:rPr>
        <w:t>Review of Pharmacy Remuneration and Regulation (King Review, 2018)</w:t>
      </w:r>
      <w:r w:rsidR="00666738">
        <w:rPr>
          <w:rStyle w:val="FootnoteReference"/>
          <w:rFonts w:asciiTheme="minorHAnsi" w:hAnsiTheme="minorHAnsi" w:cstheme="minorHAnsi"/>
          <w:sz w:val="24"/>
          <w:szCs w:val="24"/>
        </w:rPr>
        <w:footnoteReference w:id="66"/>
      </w:r>
    </w:p>
    <w:p w14:paraId="404E7952" w14:textId="6C6174D6" w:rsidR="001A1105" w:rsidRPr="00C20287" w:rsidRDefault="001A1105" w:rsidP="0095671A">
      <w:pPr>
        <w:pStyle w:val="CABParagraph"/>
        <w:numPr>
          <w:ilvl w:val="0"/>
          <w:numId w:val="20"/>
        </w:numPr>
        <w:rPr>
          <w:rFonts w:asciiTheme="minorHAnsi" w:hAnsiTheme="minorHAnsi" w:cstheme="minorHAnsi"/>
          <w:sz w:val="24"/>
          <w:szCs w:val="24"/>
        </w:rPr>
      </w:pPr>
      <w:r w:rsidRPr="00C20287">
        <w:rPr>
          <w:rFonts w:asciiTheme="minorHAnsi" w:hAnsiTheme="minorHAnsi" w:cstheme="minorHAnsi"/>
          <w:sz w:val="24"/>
          <w:szCs w:val="24"/>
        </w:rPr>
        <w:t>Senate Select Committee on Red Tape: Effect of Red Tape on Pharmacy Rules (2018)</w:t>
      </w:r>
      <w:r w:rsidR="00666738">
        <w:rPr>
          <w:rStyle w:val="FootnoteReference"/>
          <w:rFonts w:asciiTheme="minorHAnsi" w:hAnsiTheme="minorHAnsi" w:cstheme="minorHAnsi"/>
          <w:sz w:val="24"/>
          <w:szCs w:val="24"/>
        </w:rPr>
        <w:footnoteReference w:id="67"/>
      </w:r>
      <w:r w:rsidRPr="00C20287">
        <w:rPr>
          <w:rFonts w:asciiTheme="minorHAnsi" w:hAnsiTheme="minorHAnsi" w:cstheme="minorHAnsi"/>
          <w:sz w:val="24"/>
          <w:szCs w:val="24"/>
        </w:rPr>
        <w:t>, and</w:t>
      </w:r>
    </w:p>
    <w:p w14:paraId="1D91146F" w14:textId="48D47694" w:rsidR="001A1105" w:rsidRPr="00C20287" w:rsidRDefault="001A1105" w:rsidP="0095671A">
      <w:pPr>
        <w:pStyle w:val="CABParagraph"/>
        <w:numPr>
          <w:ilvl w:val="0"/>
          <w:numId w:val="20"/>
        </w:numPr>
        <w:rPr>
          <w:rFonts w:asciiTheme="minorHAnsi" w:hAnsiTheme="minorHAnsi" w:cstheme="minorHAnsi"/>
          <w:sz w:val="24"/>
          <w:szCs w:val="24"/>
        </w:rPr>
      </w:pPr>
      <w:r w:rsidRPr="00C20287">
        <w:rPr>
          <w:rFonts w:asciiTheme="minorHAnsi" w:hAnsiTheme="minorHAnsi" w:cstheme="minorHAnsi"/>
          <w:sz w:val="24"/>
          <w:szCs w:val="24"/>
        </w:rPr>
        <w:t>The 5-Year Productivity Reviews by the Productivity Commission (2017</w:t>
      </w:r>
      <w:r w:rsidR="00666738">
        <w:rPr>
          <w:rStyle w:val="FootnoteReference"/>
          <w:rFonts w:asciiTheme="minorHAnsi" w:hAnsiTheme="minorHAnsi" w:cstheme="minorHAnsi"/>
          <w:sz w:val="24"/>
          <w:szCs w:val="24"/>
        </w:rPr>
        <w:footnoteReference w:id="68"/>
      </w:r>
      <w:r w:rsidRPr="00C20287">
        <w:rPr>
          <w:rFonts w:asciiTheme="minorHAnsi" w:hAnsiTheme="minorHAnsi" w:cstheme="minorHAnsi"/>
          <w:sz w:val="24"/>
          <w:szCs w:val="24"/>
        </w:rPr>
        <w:t>, 2023</w:t>
      </w:r>
      <w:r w:rsidR="00666738">
        <w:rPr>
          <w:rStyle w:val="FootnoteReference"/>
          <w:rFonts w:asciiTheme="minorHAnsi" w:hAnsiTheme="minorHAnsi" w:cstheme="minorHAnsi"/>
          <w:sz w:val="24"/>
          <w:szCs w:val="24"/>
        </w:rPr>
        <w:footnoteReference w:id="69"/>
      </w:r>
      <w:r w:rsidRPr="00C20287">
        <w:rPr>
          <w:rFonts w:asciiTheme="minorHAnsi" w:hAnsiTheme="minorHAnsi" w:cstheme="minorHAnsi"/>
          <w:sz w:val="24"/>
          <w:szCs w:val="24"/>
        </w:rPr>
        <w:t>)</w:t>
      </w:r>
    </w:p>
    <w:p w14:paraId="4028E563" w14:textId="62F36A64" w:rsidR="001A1105" w:rsidRPr="00C20287" w:rsidRDefault="001A1105" w:rsidP="001A1105">
      <w:pPr>
        <w:pStyle w:val="CABParagraph"/>
        <w:spacing w:after="120"/>
        <w:rPr>
          <w:rFonts w:asciiTheme="minorHAnsi" w:hAnsiTheme="minorHAnsi" w:cstheme="minorHAnsi"/>
          <w:sz w:val="24"/>
          <w:szCs w:val="24"/>
        </w:rPr>
      </w:pPr>
      <w:r w:rsidRPr="00C20287">
        <w:rPr>
          <w:rFonts w:asciiTheme="minorHAnsi" w:hAnsiTheme="minorHAnsi" w:cstheme="minorHAnsi"/>
          <w:sz w:val="24"/>
          <w:szCs w:val="24"/>
        </w:rPr>
        <w:t xml:space="preserve">Creating an effective regulatory and policy environment that is structured around the interests of the Australian people in accessing medicines and services through pharmacies would underpin the negotiation process. </w:t>
      </w:r>
    </w:p>
    <w:p w14:paraId="11A7E945" w14:textId="43996E99" w:rsidR="00503B45" w:rsidRPr="00C20287" w:rsidRDefault="00503B45" w:rsidP="001A1105">
      <w:pPr>
        <w:pStyle w:val="Heading4"/>
      </w:pPr>
      <w:r w:rsidRPr="00C20287">
        <w:t>Stakeholder roles and responsibilities</w:t>
      </w:r>
    </w:p>
    <w:p w14:paraId="71ACA952" w14:textId="67D67747" w:rsidR="00503B45" w:rsidRPr="00C20287" w:rsidRDefault="00503B45" w:rsidP="001A1105">
      <w:pPr>
        <w:pStyle w:val="Subtitle"/>
        <w:spacing w:after="0"/>
        <w:rPr>
          <w:sz w:val="24"/>
        </w:rPr>
      </w:pPr>
      <w:r w:rsidRPr="00C20287">
        <w:rPr>
          <w:sz w:val="24"/>
        </w:rPr>
        <w:t>Consumers</w:t>
      </w:r>
    </w:p>
    <w:p w14:paraId="07E8A3E8" w14:textId="59C8C208" w:rsidR="00503B45" w:rsidRPr="00C20287" w:rsidRDefault="007E747B" w:rsidP="001A1105">
      <w:pPr>
        <w:pStyle w:val="ListParagraph"/>
        <w:numPr>
          <w:ilvl w:val="0"/>
          <w:numId w:val="10"/>
        </w:numPr>
        <w:ind w:left="714" w:hanging="357"/>
        <w:rPr>
          <w:b/>
          <w:sz w:val="24"/>
          <w:szCs w:val="24"/>
          <w:u w:val="single"/>
        </w:rPr>
      </w:pPr>
      <w:r w:rsidRPr="00C20287">
        <w:rPr>
          <w:color w:val="auto"/>
          <w:sz w:val="24"/>
          <w:szCs w:val="24"/>
        </w:rPr>
        <w:t>The Australian people</w:t>
      </w:r>
      <w:r w:rsidR="00503B45" w:rsidRPr="00C20287">
        <w:rPr>
          <w:color w:val="auto"/>
          <w:sz w:val="24"/>
          <w:szCs w:val="24"/>
        </w:rPr>
        <w:t xml:space="preserve"> would </w:t>
      </w:r>
      <w:r w:rsidR="00657076" w:rsidRPr="00C20287">
        <w:rPr>
          <w:color w:val="auto"/>
          <w:sz w:val="24"/>
          <w:szCs w:val="24"/>
        </w:rPr>
        <w:t>maintain</w:t>
      </w:r>
      <w:r w:rsidR="00503B45" w:rsidRPr="00C20287">
        <w:rPr>
          <w:color w:val="auto"/>
          <w:sz w:val="24"/>
          <w:szCs w:val="24"/>
        </w:rPr>
        <w:t xml:space="preserve"> access</w:t>
      </w:r>
      <w:r w:rsidR="00657076" w:rsidRPr="00C20287">
        <w:rPr>
          <w:color w:val="auto"/>
          <w:sz w:val="24"/>
          <w:szCs w:val="24"/>
        </w:rPr>
        <w:t xml:space="preserve"> to</w:t>
      </w:r>
      <w:r w:rsidR="00503B45" w:rsidRPr="00C20287">
        <w:rPr>
          <w:color w:val="auto"/>
          <w:sz w:val="24"/>
          <w:szCs w:val="24"/>
        </w:rPr>
        <w:t xml:space="preserve"> PBS medicines as </w:t>
      </w:r>
      <w:r w:rsidR="00CF4EDA" w:rsidRPr="00C20287">
        <w:rPr>
          <w:color w:val="auto"/>
          <w:sz w:val="24"/>
          <w:szCs w:val="24"/>
        </w:rPr>
        <w:t xml:space="preserve">per </w:t>
      </w:r>
      <w:r w:rsidR="00503B45" w:rsidRPr="00C20287">
        <w:rPr>
          <w:color w:val="auto"/>
          <w:sz w:val="24"/>
          <w:szCs w:val="24"/>
        </w:rPr>
        <w:t>previous</w:t>
      </w:r>
      <w:r w:rsidR="00EC6F8A">
        <w:rPr>
          <w:color w:val="auto"/>
          <w:sz w:val="24"/>
          <w:szCs w:val="24"/>
        </w:rPr>
        <w:t xml:space="preserve"> CPAs</w:t>
      </w:r>
      <w:r w:rsidR="00503B45" w:rsidRPr="00C20287">
        <w:rPr>
          <w:color w:val="auto"/>
          <w:sz w:val="24"/>
          <w:szCs w:val="24"/>
        </w:rPr>
        <w:t>.</w:t>
      </w:r>
    </w:p>
    <w:p w14:paraId="5A3D7A50" w14:textId="6FF61ED3" w:rsidR="00EC6F8A" w:rsidRPr="00D95F4D" w:rsidRDefault="00EC6F8A" w:rsidP="00EC6F8A">
      <w:pPr>
        <w:pStyle w:val="ListParagraph"/>
        <w:numPr>
          <w:ilvl w:val="0"/>
          <w:numId w:val="10"/>
        </w:numPr>
        <w:autoSpaceDE w:val="0"/>
        <w:autoSpaceDN w:val="0"/>
        <w:adjustRightInd w:val="0"/>
        <w:spacing w:line="240" w:lineRule="auto"/>
        <w:rPr>
          <w:iCs/>
          <w:color w:val="0D0D0D" w:themeColor="text1" w:themeTint="F2"/>
          <w:sz w:val="24"/>
          <w:szCs w:val="24"/>
        </w:rPr>
      </w:pPr>
      <w:r w:rsidRPr="00D95F4D">
        <w:rPr>
          <w:iCs/>
          <w:color w:val="0D0D0D" w:themeColor="text1" w:themeTint="F2"/>
          <w:sz w:val="24"/>
          <w:szCs w:val="24"/>
        </w:rPr>
        <w:t xml:space="preserve">Patient contributions through under co-payment prescriptions </w:t>
      </w:r>
      <w:r w:rsidR="00E61E8D">
        <w:rPr>
          <w:iCs/>
          <w:color w:val="0D0D0D" w:themeColor="text1" w:themeTint="F2"/>
          <w:sz w:val="24"/>
          <w:szCs w:val="24"/>
        </w:rPr>
        <w:t>may be reduced through negotiations for a new agreement, or would otherwise</w:t>
      </w:r>
      <w:r w:rsidRPr="00D95F4D">
        <w:rPr>
          <w:iCs/>
          <w:color w:val="0D0D0D" w:themeColor="text1" w:themeTint="F2"/>
          <w:sz w:val="24"/>
          <w:szCs w:val="24"/>
        </w:rPr>
        <w:t xml:space="preserve"> increase in line with</w:t>
      </w:r>
      <w:r w:rsidR="00E61E8D">
        <w:rPr>
          <w:iCs/>
          <w:color w:val="0D0D0D" w:themeColor="text1" w:themeTint="F2"/>
          <w:sz w:val="24"/>
          <w:szCs w:val="24"/>
        </w:rPr>
        <w:t xml:space="preserve"> indexation arrangements as set out in the National Health Act, and in line</w:t>
      </w:r>
      <w:r w:rsidRPr="00D95F4D">
        <w:rPr>
          <w:iCs/>
          <w:color w:val="0D0D0D" w:themeColor="text1" w:themeTint="F2"/>
          <w:sz w:val="24"/>
          <w:szCs w:val="24"/>
        </w:rPr>
        <w:t xml:space="preserve"> with</w:t>
      </w:r>
      <w:r w:rsidR="00E61E8D">
        <w:rPr>
          <w:iCs/>
          <w:color w:val="0D0D0D" w:themeColor="text1" w:themeTint="F2"/>
          <w:sz w:val="24"/>
          <w:szCs w:val="24"/>
        </w:rPr>
        <w:t xml:space="preserve"> any negotiated</w:t>
      </w:r>
      <w:r w:rsidRPr="00D95F4D">
        <w:rPr>
          <w:iCs/>
          <w:color w:val="0D0D0D" w:themeColor="text1" w:themeTint="F2"/>
          <w:sz w:val="24"/>
          <w:szCs w:val="24"/>
        </w:rPr>
        <w:t xml:space="preserve"> increases </w:t>
      </w:r>
      <w:r w:rsidR="00D95F4D">
        <w:rPr>
          <w:iCs/>
          <w:color w:val="0D0D0D" w:themeColor="text1" w:themeTint="F2"/>
          <w:sz w:val="24"/>
          <w:szCs w:val="24"/>
        </w:rPr>
        <w:t xml:space="preserve">to the </w:t>
      </w:r>
      <w:r w:rsidRPr="00D95F4D">
        <w:rPr>
          <w:iCs/>
          <w:color w:val="0D0D0D" w:themeColor="text1" w:themeTint="F2"/>
          <w:sz w:val="24"/>
          <w:szCs w:val="24"/>
        </w:rPr>
        <w:t>Commonwealth price.</w:t>
      </w:r>
    </w:p>
    <w:p w14:paraId="02E4AB2A" w14:textId="500987A0" w:rsidR="00503B45" w:rsidRPr="00C20287" w:rsidRDefault="00D95F4D" w:rsidP="00176E42">
      <w:pPr>
        <w:pStyle w:val="ListParagraph"/>
        <w:numPr>
          <w:ilvl w:val="0"/>
          <w:numId w:val="10"/>
        </w:numPr>
        <w:spacing w:before="240"/>
        <w:rPr>
          <w:b/>
          <w:sz w:val="24"/>
          <w:szCs w:val="24"/>
          <w:u w:val="single"/>
        </w:rPr>
      </w:pPr>
      <w:r>
        <w:rPr>
          <w:color w:val="auto"/>
          <w:sz w:val="24"/>
          <w:szCs w:val="24"/>
        </w:rPr>
        <w:t>CPP</w:t>
      </w:r>
      <w:r w:rsidR="00885A28" w:rsidRPr="00C20287">
        <w:rPr>
          <w:color w:val="auto"/>
          <w:sz w:val="24"/>
          <w:szCs w:val="24"/>
        </w:rPr>
        <w:t xml:space="preserve">s </w:t>
      </w:r>
      <w:r w:rsidR="005B3579">
        <w:rPr>
          <w:color w:val="auto"/>
          <w:sz w:val="24"/>
          <w:szCs w:val="24"/>
        </w:rPr>
        <w:t xml:space="preserve">would continue to be delivered through community pharmacies but </w:t>
      </w:r>
      <w:r w:rsidR="0032303D">
        <w:rPr>
          <w:color w:val="auto"/>
          <w:sz w:val="24"/>
          <w:szCs w:val="24"/>
        </w:rPr>
        <w:t xml:space="preserve">evaluation frameworks would be established to ensure the data required to inform </w:t>
      </w:r>
      <w:r w:rsidR="005E29D1" w:rsidRPr="00C20287">
        <w:rPr>
          <w:color w:val="auto"/>
          <w:sz w:val="24"/>
          <w:szCs w:val="24"/>
        </w:rPr>
        <w:t>better targeted</w:t>
      </w:r>
      <w:r w:rsidR="00885A28" w:rsidRPr="00C20287">
        <w:rPr>
          <w:color w:val="auto"/>
          <w:sz w:val="24"/>
          <w:szCs w:val="24"/>
        </w:rPr>
        <w:t xml:space="preserve"> </w:t>
      </w:r>
      <w:r w:rsidR="00503B45" w:rsidRPr="00C20287">
        <w:rPr>
          <w:color w:val="auto"/>
          <w:sz w:val="24"/>
          <w:szCs w:val="24"/>
        </w:rPr>
        <w:t xml:space="preserve">eligibility and funding </w:t>
      </w:r>
      <w:r w:rsidR="00347A58">
        <w:rPr>
          <w:color w:val="auto"/>
          <w:sz w:val="24"/>
          <w:szCs w:val="24"/>
        </w:rPr>
        <w:t>are</w:t>
      </w:r>
      <w:r w:rsidR="0032303D">
        <w:rPr>
          <w:color w:val="auto"/>
          <w:sz w:val="24"/>
          <w:szCs w:val="24"/>
        </w:rPr>
        <w:t xml:space="preserve"> collected to </w:t>
      </w:r>
      <w:r w:rsidR="00C477CC">
        <w:rPr>
          <w:color w:val="auto"/>
          <w:sz w:val="24"/>
          <w:szCs w:val="24"/>
        </w:rPr>
        <w:t>improv</w:t>
      </w:r>
      <w:r w:rsidR="0032303D">
        <w:rPr>
          <w:color w:val="auto"/>
          <w:sz w:val="24"/>
          <w:szCs w:val="24"/>
        </w:rPr>
        <w:t>e future</w:t>
      </w:r>
      <w:r w:rsidR="00C477CC">
        <w:rPr>
          <w:color w:val="auto"/>
          <w:sz w:val="24"/>
          <w:szCs w:val="24"/>
        </w:rPr>
        <w:t xml:space="preserve"> patient access and outcomes</w:t>
      </w:r>
      <w:r w:rsidR="00503B45" w:rsidRPr="00C20287">
        <w:rPr>
          <w:color w:val="auto"/>
          <w:sz w:val="24"/>
          <w:szCs w:val="24"/>
        </w:rPr>
        <w:t>.</w:t>
      </w:r>
    </w:p>
    <w:p w14:paraId="04256A93" w14:textId="62E03AAE" w:rsidR="00BB1FB8" w:rsidRPr="00C20287" w:rsidRDefault="00BB1FB8" w:rsidP="001A1105">
      <w:pPr>
        <w:pStyle w:val="ListParagraph"/>
        <w:numPr>
          <w:ilvl w:val="0"/>
          <w:numId w:val="10"/>
        </w:numPr>
        <w:spacing w:before="240"/>
        <w:rPr>
          <w:sz w:val="24"/>
          <w:szCs w:val="24"/>
        </w:rPr>
      </w:pPr>
      <w:r w:rsidRPr="00C20287">
        <w:rPr>
          <w:sz w:val="24"/>
          <w:szCs w:val="24"/>
        </w:rPr>
        <w:t xml:space="preserve">Consumers would have more input into the </w:t>
      </w:r>
      <w:r w:rsidR="0032303D">
        <w:rPr>
          <w:sz w:val="24"/>
          <w:szCs w:val="24"/>
        </w:rPr>
        <w:t xml:space="preserve">evaluation </w:t>
      </w:r>
      <w:r w:rsidRPr="00C20287">
        <w:rPr>
          <w:sz w:val="24"/>
          <w:szCs w:val="24"/>
        </w:rPr>
        <w:t xml:space="preserve">of CPPs through </w:t>
      </w:r>
      <w:r w:rsidR="00CF4EDA" w:rsidRPr="00C20287">
        <w:rPr>
          <w:sz w:val="24"/>
          <w:szCs w:val="24"/>
        </w:rPr>
        <w:t>representation by</w:t>
      </w:r>
      <w:r w:rsidRPr="00C20287">
        <w:rPr>
          <w:sz w:val="24"/>
          <w:szCs w:val="24"/>
        </w:rPr>
        <w:t xml:space="preserve"> consumer </w:t>
      </w:r>
      <w:r w:rsidR="00423927" w:rsidRPr="00C20287">
        <w:rPr>
          <w:sz w:val="24"/>
          <w:szCs w:val="24"/>
        </w:rPr>
        <w:t>organisations</w:t>
      </w:r>
      <w:r w:rsidR="00A35FCE" w:rsidRPr="00C20287">
        <w:rPr>
          <w:sz w:val="24"/>
          <w:szCs w:val="24"/>
        </w:rPr>
        <w:t xml:space="preserve"> and transparency would likely be improved</w:t>
      </w:r>
      <w:r w:rsidR="00423927" w:rsidRPr="00C20287">
        <w:rPr>
          <w:sz w:val="24"/>
          <w:szCs w:val="24"/>
        </w:rPr>
        <w:t>.</w:t>
      </w:r>
      <w:r w:rsidRPr="00C20287">
        <w:rPr>
          <w:sz w:val="24"/>
          <w:szCs w:val="24"/>
        </w:rPr>
        <w:t xml:space="preserve"> </w:t>
      </w:r>
    </w:p>
    <w:p w14:paraId="6FF12271" w14:textId="24CF1132" w:rsidR="00503B45" w:rsidRPr="00C20287" w:rsidRDefault="00503B45" w:rsidP="001A1105">
      <w:pPr>
        <w:pStyle w:val="Subtitle"/>
        <w:spacing w:after="0"/>
        <w:rPr>
          <w:sz w:val="24"/>
        </w:rPr>
      </w:pPr>
      <w:r w:rsidRPr="00C20287">
        <w:rPr>
          <w:sz w:val="24"/>
        </w:rPr>
        <w:t>Pharmacies</w:t>
      </w:r>
    </w:p>
    <w:p w14:paraId="614EE203" w14:textId="1A8364F6" w:rsidR="00885A28" w:rsidRPr="00C20287" w:rsidRDefault="00885A28" w:rsidP="00885A28">
      <w:pPr>
        <w:pStyle w:val="ListParagraph"/>
        <w:numPr>
          <w:ilvl w:val="0"/>
          <w:numId w:val="10"/>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Community pharmacies receive revenue from the dispensing fees associated with the supply of PBS medicines to </w:t>
      </w:r>
      <w:r w:rsidR="00D95F4D">
        <w:rPr>
          <w:iCs/>
          <w:color w:val="0D0D0D" w:themeColor="text1" w:themeTint="F2"/>
          <w:sz w:val="24"/>
          <w:szCs w:val="24"/>
        </w:rPr>
        <w:t>consumers</w:t>
      </w:r>
      <w:r w:rsidRPr="00C20287">
        <w:rPr>
          <w:iCs/>
          <w:color w:val="0D0D0D" w:themeColor="text1" w:themeTint="F2"/>
          <w:sz w:val="24"/>
          <w:szCs w:val="24"/>
        </w:rPr>
        <w:t>. These fees would continue to be established and indexed through terms negotiated and agreed between signatories</w:t>
      </w:r>
      <w:r w:rsidR="005E29D1" w:rsidRPr="00C20287">
        <w:rPr>
          <w:iCs/>
          <w:color w:val="0D0D0D" w:themeColor="text1" w:themeTint="F2"/>
          <w:sz w:val="24"/>
          <w:szCs w:val="24"/>
        </w:rPr>
        <w:t>, including the Guild</w:t>
      </w:r>
      <w:r w:rsidRPr="00C20287">
        <w:rPr>
          <w:iCs/>
          <w:color w:val="0D0D0D" w:themeColor="text1" w:themeTint="F2"/>
          <w:sz w:val="24"/>
          <w:szCs w:val="24"/>
        </w:rPr>
        <w:t xml:space="preserve">. </w:t>
      </w:r>
    </w:p>
    <w:p w14:paraId="2A4164D5" w14:textId="77777777" w:rsidR="00885A28" w:rsidRPr="00C20287" w:rsidRDefault="00885A28" w:rsidP="00885A28">
      <w:pPr>
        <w:pStyle w:val="ListParagraph"/>
        <w:numPr>
          <w:ilvl w:val="1"/>
          <w:numId w:val="10"/>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Payment would continue through Services Australia as currently provided.</w:t>
      </w:r>
    </w:p>
    <w:p w14:paraId="2DE11FBE" w14:textId="11EB3496" w:rsidR="00503B45" w:rsidRPr="00C20287" w:rsidRDefault="00885A28" w:rsidP="001A1105">
      <w:pPr>
        <w:pStyle w:val="ListParagraph"/>
        <w:numPr>
          <w:ilvl w:val="0"/>
          <w:numId w:val="10"/>
        </w:numPr>
        <w:ind w:left="714" w:hanging="357"/>
        <w:rPr>
          <w:color w:val="auto"/>
          <w:sz w:val="24"/>
          <w:szCs w:val="24"/>
        </w:rPr>
      </w:pPr>
      <w:r w:rsidRPr="00C20287">
        <w:rPr>
          <w:iCs/>
          <w:color w:val="0D0D0D" w:themeColor="text1" w:themeTint="F2"/>
          <w:sz w:val="24"/>
          <w:szCs w:val="24"/>
        </w:rPr>
        <w:t xml:space="preserve">Pharmacists </w:t>
      </w:r>
      <w:r w:rsidRPr="00C20287">
        <w:rPr>
          <w:sz w:val="24"/>
          <w:szCs w:val="24"/>
        </w:rPr>
        <w:t xml:space="preserve">could have more input into the structure, scope and design of CPPs. </w:t>
      </w:r>
    </w:p>
    <w:p w14:paraId="308B8767" w14:textId="5993FBB8" w:rsidR="00503B45" w:rsidRPr="00C20287" w:rsidRDefault="00503B45" w:rsidP="001A1105">
      <w:pPr>
        <w:pStyle w:val="ListParagraph"/>
        <w:numPr>
          <w:ilvl w:val="0"/>
          <w:numId w:val="10"/>
        </w:numPr>
        <w:ind w:left="714" w:hanging="357"/>
        <w:rPr>
          <w:color w:val="auto"/>
          <w:sz w:val="24"/>
          <w:szCs w:val="24"/>
        </w:rPr>
      </w:pPr>
      <w:r w:rsidRPr="00C20287">
        <w:rPr>
          <w:color w:val="auto"/>
          <w:sz w:val="24"/>
          <w:szCs w:val="24"/>
        </w:rPr>
        <w:t>Administration and claiming processes for CPPs may undergo significant change</w:t>
      </w:r>
      <w:r w:rsidR="00595F41" w:rsidRPr="00C20287">
        <w:rPr>
          <w:color w:val="auto"/>
          <w:sz w:val="24"/>
          <w:szCs w:val="24"/>
        </w:rPr>
        <w:t xml:space="preserve"> and there would likely be </w:t>
      </w:r>
      <w:r w:rsidR="00F45740">
        <w:rPr>
          <w:color w:val="auto"/>
          <w:sz w:val="24"/>
          <w:szCs w:val="24"/>
        </w:rPr>
        <w:t>some</w:t>
      </w:r>
      <w:r w:rsidR="00F45740" w:rsidRPr="00C20287">
        <w:rPr>
          <w:color w:val="auto"/>
          <w:sz w:val="24"/>
          <w:szCs w:val="24"/>
        </w:rPr>
        <w:t xml:space="preserve"> </w:t>
      </w:r>
      <w:r w:rsidR="00595F41" w:rsidRPr="00C20287">
        <w:rPr>
          <w:color w:val="auto"/>
          <w:sz w:val="24"/>
          <w:szCs w:val="24"/>
        </w:rPr>
        <w:t>opportunity for reform of CPPs</w:t>
      </w:r>
      <w:r w:rsidRPr="00C20287">
        <w:rPr>
          <w:color w:val="auto"/>
          <w:sz w:val="24"/>
          <w:szCs w:val="24"/>
        </w:rPr>
        <w:t>.</w:t>
      </w:r>
    </w:p>
    <w:p w14:paraId="4D0927F7" w14:textId="77777777" w:rsidR="00F45740" w:rsidRPr="00C20287" w:rsidRDefault="00F45740" w:rsidP="00F45740">
      <w:pPr>
        <w:pStyle w:val="Subtitle"/>
        <w:spacing w:before="0" w:after="0"/>
      </w:pPr>
      <w:r w:rsidRPr="00C20287">
        <w:t>The Guild/PSA</w:t>
      </w:r>
    </w:p>
    <w:p w14:paraId="734EFE74" w14:textId="5860ABE2" w:rsidR="00F45740" w:rsidRPr="00C20287" w:rsidRDefault="0032303D" w:rsidP="00277DFA">
      <w:pPr>
        <w:pStyle w:val="ListParagraph"/>
        <w:numPr>
          <w:ilvl w:val="0"/>
          <w:numId w:val="9"/>
        </w:numPr>
        <w:autoSpaceDE w:val="0"/>
        <w:autoSpaceDN w:val="0"/>
        <w:adjustRightInd w:val="0"/>
        <w:spacing w:line="240" w:lineRule="auto"/>
        <w:rPr>
          <w:iCs/>
          <w:color w:val="0D0D0D" w:themeColor="text1" w:themeTint="F2"/>
          <w:sz w:val="24"/>
          <w:szCs w:val="24"/>
        </w:rPr>
      </w:pPr>
      <w:r>
        <w:rPr>
          <w:iCs/>
          <w:color w:val="0D0D0D" w:themeColor="text1" w:themeTint="F2"/>
          <w:sz w:val="24"/>
          <w:szCs w:val="24"/>
        </w:rPr>
        <w:t>T</w:t>
      </w:r>
      <w:r w:rsidR="00F45740" w:rsidRPr="00C20287">
        <w:rPr>
          <w:iCs/>
          <w:color w:val="0D0D0D" w:themeColor="text1" w:themeTint="F2"/>
          <w:sz w:val="24"/>
          <w:szCs w:val="24"/>
        </w:rPr>
        <w:t>he Guild would continue to negotiate the sections of the Agreement dealing with pharmacy dispensing remuneration and CPP.</w:t>
      </w:r>
    </w:p>
    <w:p w14:paraId="38848C2C" w14:textId="3FC8A9DB" w:rsidR="00F45740" w:rsidRPr="00C20287" w:rsidRDefault="00F45740" w:rsidP="00F45740">
      <w:pPr>
        <w:pStyle w:val="ListParagraph"/>
        <w:numPr>
          <w:ilvl w:val="0"/>
          <w:numId w:val="9"/>
        </w:numPr>
        <w:autoSpaceDE w:val="0"/>
        <w:autoSpaceDN w:val="0"/>
        <w:adjustRightInd w:val="0"/>
        <w:spacing w:line="240" w:lineRule="auto"/>
      </w:pPr>
      <w:r w:rsidRPr="00C20287">
        <w:rPr>
          <w:iCs/>
          <w:color w:val="0D0D0D" w:themeColor="text1" w:themeTint="F2"/>
          <w:sz w:val="24"/>
          <w:szCs w:val="24"/>
        </w:rPr>
        <w:t>PSA would continue to be responsible for development and maintenance of the Code of Ethics, professional standards and guidelines for pharmacists</w:t>
      </w:r>
      <w:r>
        <w:rPr>
          <w:iCs/>
          <w:color w:val="0D0D0D" w:themeColor="text1" w:themeTint="F2"/>
          <w:sz w:val="24"/>
          <w:szCs w:val="24"/>
        </w:rPr>
        <w:t xml:space="preserve"> along with providing input into the evaluation of CPPs both in the CPA and those funded outside of the CPA</w:t>
      </w:r>
      <w:r w:rsidRPr="00C20287">
        <w:rPr>
          <w:iCs/>
          <w:color w:val="0D0D0D" w:themeColor="text1" w:themeTint="F2"/>
          <w:sz w:val="24"/>
          <w:szCs w:val="24"/>
        </w:rPr>
        <w:t>.</w:t>
      </w:r>
    </w:p>
    <w:p w14:paraId="0E31D4BE" w14:textId="6AAD2E56" w:rsidR="00503B45" w:rsidRPr="00C20287" w:rsidRDefault="00503B45" w:rsidP="001A1105">
      <w:pPr>
        <w:pStyle w:val="Subtitle"/>
        <w:spacing w:after="0"/>
        <w:rPr>
          <w:sz w:val="24"/>
        </w:rPr>
      </w:pPr>
      <w:r w:rsidRPr="00C20287">
        <w:rPr>
          <w:sz w:val="24"/>
        </w:rPr>
        <w:t>Services Australia and PPA</w:t>
      </w:r>
    </w:p>
    <w:p w14:paraId="28BB2F74" w14:textId="14B08362" w:rsidR="00503B45" w:rsidRPr="00C20287" w:rsidRDefault="00503B45" w:rsidP="001A1105">
      <w:pPr>
        <w:pStyle w:val="ListParagraph"/>
        <w:numPr>
          <w:ilvl w:val="0"/>
          <w:numId w:val="10"/>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lastRenderedPageBreak/>
        <w:t xml:space="preserve">There </w:t>
      </w:r>
      <w:r w:rsidR="0022390F" w:rsidRPr="00C20287">
        <w:rPr>
          <w:iCs/>
          <w:color w:val="0D0D0D" w:themeColor="text1" w:themeTint="F2"/>
          <w:sz w:val="24"/>
          <w:szCs w:val="24"/>
        </w:rPr>
        <w:t xml:space="preserve">would be </w:t>
      </w:r>
      <w:r w:rsidRPr="00C20287">
        <w:rPr>
          <w:iCs/>
          <w:color w:val="0D0D0D" w:themeColor="text1" w:themeTint="F2"/>
          <w:sz w:val="24"/>
          <w:szCs w:val="24"/>
        </w:rPr>
        <w:t xml:space="preserve">no change to business </w:t>
      </w:r>
      <w:r w:rsidR="0022390F" w:rsidRPr="00C20287">
        <w:rPr>
          <w:iCs/>
          <w:color w:val="0D0D0D" w:themeColor="text1" w:themeTint="F2"/>
          <w:sz w:val="24"/>
          <w:szCs w:val="24"/>
        </w:rPr>
        <w:t>operations</w:t>
      </w:r>
      <w:r w:rsidRPr="00C20287">
        <w:rPr>
          <w:iCs/>
          <w:color w:val="0D0D0D" w:themeColor="text1" w:themeTint="F2"/>
          <w:sz w:val="24"/>
          <w:szCs w:val="24"/>
        </w:rPr>
        <w:t xml:space="preserve"> for Services Australia </w:t>
      </w:r>
      <w:r w:rsidR="00E61E8D">
        <w:rPr>
          <w:iCs/>
          <w:color w:val="0D0D0D" w:themeColor="text1" w:themeTint="F2"/>
          <w:sz w:val="24"/>
          <w:szCs w:val="24"/>
        </w:rPr>
        <w:t>for</w:t>
      </w:r>
      <w:r w:rsidR="0022390F" w:rsidRPr="00C20287">
        <w:rPr>
          <w:iCs/>
          <w:color w:val="0D0D0D" w:themeColor="text1" w:themeTint="F2"/>
          <w:sz w:val="24"/>
          <w:szCs w:val="24"/>
        </w:rPr>
        <w:t xml:space="preserve"> </w:t>
      </w:r>
      <w:r w:rsidRPr="00C20287">
        <w:rPr>
          <w:iCs/>
          <w:color w:val="0D0D0D" w:themeColor="text1" w:themeTint="F2"/>
          <w:sz w:val="24"/>
          <w:szCs w:val="24"/>
        </w:rPr>
        <w:t>continu</w:t>
      </w:r>
      <w:r w:rsidR="00E61E8D">
        <w:rPr>
          <w:iCs/>
          <w:color w:val="0D0D0D" w:themeColor="text1" w:themeTint="F2"/>
          <w:sz w:val="24"/>
          <w:szCs w:val="24"/>
        </w:rPr>
        <w:t>ing</w:t>
      </w:r>
      <w:r w:rsidRPr="00C20287">
        <w:rPr>
          <w:iCs/>
          <w:color w:val="0D0D0D" w:themeColor="text1" w:themeTint="F2"/>
          <w:sz w:val="24"/>
          <w:szCs w:val="24"/>
        </w:rPr>
        <w:t xml:space="preserve"> to process </w:t>
      </w:r>
      <w:r w:rsidR="00850C6F" w:rsidRPr="00C20287">
        <w:rPr>
          <w:iCs/>
          <w:color w:val="0D0D0D" w:themeColor="text1" w:themeTint="F2"/>
          <w:sz w:val="24"/>
          <w:szCs w:val="24"/>
        </w:rPr>
        <w:t xml:space="preserve">and pay </w:t>
      </w:r>
      <w:r w:rsidRPr="00C20287">
        <w:rPr>
          <w:iCs/>
          <w:color w:val="0D0D0D" w:themeColor="text1" w:themeTint="F2"/>
          <w:sz w:val="24"/>
          <w:szCs w:val="24"/>
        </w:rPr>
        <w:t>PBS dispensing claims</w:t>
      </w:r>
      <w:r w:rsidR="0022390F" w:rsidRPr="00C20287">
        <w:rPr>
          <w:iCs/>
          <w:color w:val="0D0D0D" w:themeColor="text1" w:themeTint="F2"/>
          <w:sz w:val="24"/>
          <w:szCs w:val="24"/>
        </w:rPr>
        <w:t xml:space="preserve"> from community pharmacies</w:t>
      </w:r>
      <w:r w:rsidR="00E61E8D">
        <w:rPr>
          <w:iCs/>
          <w:color w:val="0D0D0D" w:themeColor="text1" w:themeTint="F2"/>
          <w:sz w:val="24"/>
          <w:szCs w:val="24"/>
        </w:rPr>
        <w:t>, although there may be business changes for new payments or changes to payment timeframes if negotiated through the new agreement</w:t>
      </w:r>
      <w:r w:rsidRPr="00C20287">
        <w:rPr>
          <w:iCs/>
          <w:color w:val="0D0D0D" w:themeColor="text1" w:themeTint="F2"/>
          <w:sz w:val="24"/>
          <w:szCs w:val="24"/>
        </w:rPr>
        <w:t>.</w:t>
      </w:r>
    </w:p>
    <w:p w14:paraId="14B58A80" w14:textId="4EC3A19E" w:rsidR="0022390F" w:rsidRPr="00C20287" w:rsidRDefault="00503B45" w:rsidP="008A59E0">
      <w:pPr>
        <w:pStyle w:val="ListParagraph"/>
        <w:numPr>
          <w:ilvl w:val="0"/>
          <w:numId w:val="10"/>
        </w:numPr>
        <w:autoSpaceDE w:val="0"/>
        <w:autoSpaceDN w:val="0"/>
        <w:adjustRightInd w:val="0"/>
        <w:spacing w:line="240" w:lineRule="auto"/>
        <w:rPr>
          <w:i/>
          <w:sz w:val="28"/>
          <w:szCs w:val="24"/>
        </w:rPr>
      </w:pPr>
      <w:r w:rsidRPr="00C20287">
        <w:rPr>
          <w:iCs/>
          <w:color w:val="0D0D0D" w:themeColor="text1" w:themeTint="F2"/>
          <w:sz w:val="24"/>
          <w:szCs w:val="24"/>
        </w:rPr>
        <w:t xml:space="preserve">The current arrangements with the </w:t>
      </w:r>
      <w:r w:rsidR="00F9032F" w:rsidRPr="00C20287">
        <w:rPr>
          <w:iCs/>
          <w:color w:val="0D0D0D" w:themeColor="text1" w:themeTint="F2"/>
          <w:sz w:val="24"/>
          <w:szCs w:val="24"/>
        </w:rPr>
        <w:t xml:space="preserve">PPA </w:t>
      </w:r>
      <w:r w:rsidR="0022390F" w:rsidRPr="00C20287">
        <w:rPr>
          <w:iCs/>
          <w:color w:val="0D0D0D" w:themeColor="text1" w:themeTint="F2"/>
          <w:sz w:val="24"/>
          <w:szCs w:val="24"/>
        </w:rPr>
        <w:t xml:space="preserve">as the administrator of </w:t>
      </w:r>
      <w:r w:rsidR="005E29D1" w:rsidRPr="00C20287">
        <w:rPr>
          <w:iCs/>
          <w:color w:val="0D0D0D" w:themeColor="text1" w:themeTint="F2"/>
          <w:sz w:val="24"/>
          <w:szCs w:val="24"/>
        </w:rPr>
        <w:t xml:space="preserve">CPPs </w:t>
      </w:r>
      <w:r w:rsidRPr="00C20287">
        <w:rPr>
          <w:iCs/>
          <w:color w:val="0D0D0D" w:themeColor="text1" w:themeTint="F2"/>
          <w:sz w:val="24"/>
          <w:szCs w:val="24"/>
        </w:rPr>
        <w:t xml:space="preserve">including funding, </w:t>
      </w:r>
      <w:r w:rsidR="009B2BAB" w:rsidRPr="00C20287">
        <w:rPr>
          <w:iCs/>
          <w:color w:val="0D0D0D" w:themeColor="text1" w:themeTint="F2"/>
          <w:sz w:val="24"/>
          <w:szCs w:val="24"/>
        </w:rPr>
        <w:t xml:space="preserve">may </w:t>
      </w:r>
      <w:r w:rsidRPr="00C20287">
        <w:rPr>
          <w:iCs/>
          <w:color w:val="0D0D0D" w:themeColor="text1" w:themeTint="F2"/>
          <w:sz w:val="24"/>
          <w:szCs w:val="24"/>
        </w:rPr>
        <w:t>change over time, depending on any changes to the CPP</w:t>
      </w:r>
      <w:r w:rsidR="00602263" w:rsidRPr="00C20287">
        <w:rPr>
          <w:iCs/>
          <w:color w:val="0D0D0D" w:themeColor="text1" w:themeTint="F2"/>
          <w:sz w:val="24"/>
          <w:szCs w:val="24"/>
        </w:rPr>
        <w:t>.</w:t>
      </w:r>
      <w:r w:rsidRPr="00C20287">
        <w:rPr>
          <w:iCs/>
          <w:color w:val="0D0D0D" w:themeColor="text1" w:themeTint="F2"/>
          <w:sz w:val="24"/>
          <w:szCs w:val="24"/>
        </w:rPr>
        <w:t xml:space="preserve"> </w:t>
      </w:r>
    </w:p>
    <w:p w14:paraId="2B4256E8" w14:textId="3DCE6EA2" w:rsidR="00503B45" w:rsidRPr="00C20287" w:rsidRDefault="00503B45" w:rsidP="00665BE7">
      <w:pPr>
        <w:pStyle w:val="Subtitle"/>
        <w:spacing w:after="0"/>
        <w:rPr>
          <w:sz w:val="24"/>
        </w:rPr>
      </w:pPr>
      <w:r w:rsidRPr="00C20287">
        <w:rPr>
          <w:sz w:val="24"/>
        </w:rPr>
        <w:t>Pharmacy wholesalers</w:t>
      </w:r>
    </w:p>
    <w:p w14:paraId="09DF6FB2" w14:textId="0D30BE81" w:rsidR="00A6378A" w:rsidRPr="00C20287" w:rsidRDefault="00A6378A" w:rsidP="00A6378A">
      <w:pPr>
        <w:pStyle w:val="ListParagraph"/>
        <w:numPr>
          <w:ilvl w:val="0"/>
          <w:numId w:val="10"/>
        </w:numPr>
        <w:autoSpaceDE w:val="0"/>
        <w:autoSpaceDN w:val="0"/>
        <w:adjustRightInd w:val="0"/>
        <w:spacing w:line="240" w:lineRule="auto"/>
        <w:rPr>
          <w:iCs/>
          <w:color w:val="0D0D0D" w:themeColor="text1" w:themeTint="F2"/>
          <w:sz w:val="24"/>
          <w:szCs w:val="24"/>
        </w:rPr>
      </w:pPr>
      <w:r w:rsidRPr="00C20287">
        <w:rPr>
          <w:iCs/>
          <w:color w:val="0D0D0D" w:themeColor="text1" w:themeTint="F2"/>
          <w:sz w:val="24"/>
          <w:szCs w:val="24"/>
        </w:rPr>
        <w:t xml:space="preserve">Negotiation of wholesale mark-ups, CSO Funding Pool and NDSS product distribution arrangements would </w:t>
      </w:r>
      <w:r>
        <w:rPr>
          <w:iCs/>
          <w:color w:val="0D0D0D" w:themeColor="text1" w:themeTint="F2"/>
          <w:sz w:val="24"/>
          <w:szCs w:val="24"/>
        </w:rPr>
        <w:t xml:space="preserve">occur through separate negotiations for an arrangement with </w:t>
      </w:r>
      <w:r w:rsidRPr="00C20287">
        <w:rPr>
          <w:iCs/>
          <w:color w:val="0D0D0D" w:themeColor="text1" w:themeTint="F2"/>
          <w:sz w:val="24"/>
          <w:szCs w:val="24"/>
        </w:rPr>
        <w:t>pharmaceutical wholesaler representative groups such as NPSA.</w:t>
      </w:r>
    </w:p>
    <w:p w14:paraId="2B0CCB43" w14:textId="12CAA193" w:rsidR="00503B45" w:rsidRPr="00C20287" w:rsidRDefault="0022390F" w:rsidP="001A1105">
      <w:pPr>
        <w:pStyle w:val="ListParagraph"/>
        <w:numPr>
          <w:ilvl w:val="0"/>
          <w:numId w:val="10"/>
        </w:numPr>
        <w:ind w:left="714" w:hanging="357"/>
        <w:rPr>
          <w:color w:val="auto"/>
          <w:sz w:val="24"/>
          <w:szCs w:val="24"/>
        </w:rPr>
      </w:pPr>
      <w:r w:rsidRPr="00C20287">
        <w:rPr>
          <w:color w:val="auto"/>
          <w:sz w:val="24"/>
          <w:szCs w:val="24"/>
        </w:rPr>
        <w:t>Other significant pharmaceutical wholesaler groups not represented by</w:t>
      </w:r>
      <w:r w:rsidR="00503B45" w:rsidRPr="00C20287">
        <w:rPr>
          <w:color w:val="auto"/>
          <w:sz w:val="24"/>
          <w:szCs w:val="24"/>
        </w:rPr>
        <w:t xml:space="preserve"> the NPSA may also be involved in negotiating </w:t>
      </w:r>
      <w:r w:rsidR="00F20049">
        <w:rPr>
          <w:color w:val="auto"/>
          <w:sz w:val="24"/>
          <w:szCs w:val="24"/>
        </w:rPr>
        <w:t>an</w:t>
      </w:r>
      <w:r w:rsidR="00F20049" w:rsidRPr="00C20287">
        <w:rPr>
          <w:color w:val="auto"/>
          <w:sz w:val="24"/>
          <w:szCs w:val="24"/>
        </w:rPr>
        <w:t xml:space="preserve"> </w:t>
      </w:r>
      <w:r w:rsidR="00503B45" w:rsidRPr="00C20287">
        <w:rPr>
          <w:color w:val="auto"/>
          <w:sz w:val="24"/>
          <w:szCs w:val="24"/>
        </w:rPr>
        <w:t>agreement</w:t>
      </w:r>
      <w:r w:rsidR="00F20049">
        <w:rPr>
          <w:color w:val="auto"/>
          <w:sz w:val="24"/>
          <w:szCs w:val="24"/>
        </w:rPr>
        <w:t xml:space="preserve"> with wholesalers including CSO arrangements</w:t>
      </w:r>
      <w:r w:rsidR="00503B45" w:rsidRPr="00C20287">
        <w:rPr>
          <w:color w:val="auto"/>
          <w:sz w:val="24"/>
          <w:szCs w:val="24"/>
        </w:rPr>
        <w:t>.</w:t>
      </w:r>
      <w:r w:rsidR="00423927" w:rsidRPr="00C20287">
        <w:rPr>
          <w:color w:val="auto"/>
          <w:sz w:val="24"/>
          <w:szCs w:val="24"/>
        </w:rPr>
        <w:t xml:space="preserve"> This would need to be integrated into the final Commonwealth price </w:t>
      </w:r>
      <w:r w:rsidR="004255A6">
        <w:rPr>
          <w:color w:val="auto"/>
          <w:sz w:val="24"/>
          <w:szCs w:val="24"/>
        </w:rPr>
        <w:t>l</w:t>
      </w:r>
      <w:r w:rsidR="00423927" w:rsidRPr="00C20287">
        <w:rPr>
          <w:color w:val="auto"/>
          <w:sz w:val="24"/>
          <w:szCs w:val="24"/>
        </w:rPr>
        <w:t>egislati</w:t>
      </w:r>
      <w:r w:rsidR="00976597">
        <w:rPr>
          <w:color w:val="auto"/>
          <w:sz w:val="24"/>
          <w:szCs w:val="24"/>
        </w:rPr>
        <w:t xml:space="preserve">ve </w:t>
      </w:r>
      <w:r w:rsidR="004255A6">
        <w:rPr>
          <w:color w:val="auto"/>
          <w:sz w:val="24"/>
          <w:szCs w:val="24"/>
        </w:rPr>
        <w:t>i</w:t>
      </w:r>
      <w:r w:rsidR="00976597">
        <w:rPr>
          <w:color w:val="auto"/>
          <w:sz w:val="24"/>
          <w:szCs w:val="24"/>
        </w:rPr>
        <w:t>nstrument</w:t>
      </w:r>
      <w:r w:rsidR="00423927" w:rsidRPr="00C20287">
        <w:rPr>
          <w:color w:val="auto"/>
          <w:sz w:val="24"/>
          <w:szCs w:val="24"/>
        </w:rPr>
        <w:t>.</w:t>
      </w:r>
    </w:p>
    <w:p w14:paraId="0BAE32D1" w14:textId="40ED1F2B" w:rsidR="00503B45" w:rsidRPr="00C20287" w:rsidRDefault="00503B45">
      <w:pPr>
        <w:pStyle w:val="ListParagraph"/>
        <w:numPr>
          <w:ilvl w:val="0"/>
          <w:numId w:val="10"/>
        </w:numPr>
        <w:ind w:left="714" w:hanging="357"/>
        <w:rPr>
          <w:color w:val="auto"/>
          <w:sz w:val="24"/>
          <w:szCs w:val="24"/>
        </w:rPr>
      </w:pPr>
      <w:r w:rsidRPr="00C20287">
        <w:rPr>
          <w:color w:val="auto"/>
          <w:sz w:val="24"/>
          <w:szCs w:val="24"/>
        </w:rPr>
        <w:t xml:space="preserve">No change to </w:t>
      </w:r>
      <w:r w:rsidR="005A0EB9" w:rsidRPr="00C20287">
        <w:rPr>
          <w:color w:val="auto"/>
          <w:sz w:val="24"/>
          <w:szCs w:val="24"/>
        </w:rPr>
        <w:t xml:space="preserve">required PBS </w:t>
      </w:r>
      <w:r w:rsidRPr="00C20287">
        <w:rPr>
          <w:color w:val="auto"/>
          <w:sz w:val="24"/>
          <w:szCs w:val="24"/>
        </w:rPr>
        <w:t>stocking levels would be expected through this change.</w:t>
      </w:r>
    </w:p>
    <w:bookmarkEnd w:id="69"/>
    <w:p w14:paraId="65C4F8F9" w14:textId="77777777" w:rsidR="0073524B" w:rsidRPr="00C20287" w:rsidRDefault="0073524B">
      <w:pPr>
        <w:rPr>
          <w:i/>
          <w:color w:val="0D0D0D" w:themeColor="text1" w:themeTint="F2"/>
          <w:sz w:val="24"/>
          <w:szCs w:val="24"/>
        </w:rPr>
      </w:pPr>
    </w:p>
    <w:p w14:paraId="2DC36537" w14:textId="7304F143" w:rsidR="00C51551" w:rsidRPr="00C20287" w:rsidRDefault="00DC5650" w:rsidP="0016162F">
      <w:pPr>
        <w:pStyle w:val="Heading2"/>
        <w:pageBreakBefore/>
      </w:pPr>
      <w:bookmarkStart w:id="72" w:name="_Toc132192305"/>
      <w:bookmarkStart w:id="73" w:name="_Toc168652749"/>
      <w:r w:rsidRPr="00C20287">
        <w:lastRenderedPageBreak/>
        <w:t>4. What is the l</w:t>
      </w:r>
      <w:r w:rsidR="00C51551" w:rsidRPr="00C20287">
        <w:t>ikely net benefit of each option?</w:t>
      </w:r>
      <w:bookmarkEnd w:id="72"/>
      <w:bookmarkEnd w:id="73"/>
      <w:r w:rsidR="00C51551" w:rsidRPr="00C20287">
        <w:t xml:space="preserve"> </w:t>
      </w:r>
    </w:p>
    <w:p w14:paraId="123C6D2E" w14:textId="689DF879" w:rsidR="001C6D9F" w:rsidRDefault="001C6D9F" w:rsidP="009E3E9A">
      <w:pPr>
        <w:rPr>
          <w:color w:val="0D0D0D" w:themeColor="text1" w:themeTint="F2"/>
          <w:sz w:val="24"/>
          <w:szCs w:val="24"/>
        </w:rPr>
      </w:pPr>
      <w:r>
        <w:rPr>
          <w:color w:val="0D0D0D" w:themeColor="text1" w:themeTint="F2"/>
          <w:sz w:val="24"/>
          <w:szCs w:val="24"/>
        </w:rPr>
        <w:t>The n</w:t>
      </w:r>
      <w:r w:rsidR="009E3E9A">
        <w:rPr>
          <w:color w:val="0D0D0D" w:themeColor="text1" w:themeTint="F2"/>
          <w:sz w:val="24"/>
          <w:szCs w:val="24"/>
        </w:rPr>
        <w:t xml:space="preserve">et benefit for each option </w:t>
      </w:r>
      <w:r>
        <w:rPr>
          <w:color w:val="0D0D0D" w:themeColor="text1" w:themeTint="F2"/>
          <w:sz w:val="24"/>
          <w:szCs w:val="24"/>
        </w:rPr>
        <w:t xml:space="preserve">has been determined below by considering the extent to which each responds to the </w:t>
      </w:r>
      <w:r w:rsidR="000F6EA2">
        <w:rPr>
          <w:color w:val="0D0D0D" w:themeColor="text1" w:themeTint="F2"/>
          <w:sz w:val="24"/>
          <w:szCs w:val="24"/>
        </w:rPr>
        <w:t>previously outlined</w:t>
      </w:r>
      <w:r>
        <w:rPr>
          <w:color w:val="0D0D0D" w:themeColor="text1" w:themeTint="F2"/>
          <w:sz w:val="24"/>
          <w:szCs w:val="24"/>
        </w:rPr>
        <w:t xml:space="preserve"> objectives. </w:t>
      </w:r>
      <w:r w:rsidR="000F6EA2">
        <w:rPr>
          <w:color w:val="0D0D0D" w:themeColor="text1" w:themeTint="F2"/>
          <w:sz w:val="24"/>
          <w:szCs w:val="24"/>
        </w:rPr>
        <w:t>Following this analysis,</w:t>
      </w:r>
      <w:r>
        <w:rPr>
          <w:color w:val="0D0D0D" w:themeColor="text1" w:themeTint="F2"/>
          <w:sz w:val="24"/>
          <w:szCs w:val="24"/>
        </w:rPr>
        <w:t xml:space="preserve"> </w:t>
      </w:r>
      <w:r w:rsidR="000F6EA2">
        <w:rPr>
          <w:color w:val="0D0D0D" w:themeColor="text1" w:themeTint="F2"/>
          <w:sz w:val="24"/>
          <w:szCs w:val="24"/>
        </w:rPr>
        <w:t>i</w:t>
      </w:r>
      <w:r>
        <w:rPr>
          <w:color w:val="0D0D0D" w:themeColor="text1" w:themeTint="F2"/>
          <w:sz w:val="24"/>
          <w:szCs w:val="24"/>
        </w:rPr>
        <w:t>n order to allow clearer comparison overall</w:t>
      </w:r>
      <w:r w:rsidR="001D49C1">
        <w:rPr>
          <w:color w:val="0D0D0D" w:themeColor="text1" w:themeTint="F2"/>
          <w:sz w:val="24"/>
          <w:szCs w:val="24"/>
        </w:rPr>
        <w:t>,</w:t>
      </w:r>
      <w:r>
        <w:rPr>
          <w:color w:val="0D0D0D" w:themeColor="text1" w:themeTint="F2"/>
          <w:sz w:val="24"/>
          <w:szCs w:val="24"/>
        </w:rPr>
        <w:t xml:space="preserve"> </w:t>
      </w:r>
      <w:r w:rsidR="000F6EA2">
        <w:rPr>
          <w:color w:val="0D0D0D" w:themeColor="text1" w:themeTint="F2"/>
          <w:sz w:val="24"/>
          <w:szCs w:val="24"/>
        </w:rPr>
        <w:t>the</w:t>
      </w:r>
      <w:r>
        <w:rPr>
          <w:color w:val="0D0D0D" w:themeColor="text1" w:themeTint="F2"/>
          <w:sz w:val="24"/>
          <w:szCs w:val="24"/>
        </w:rPr>
        <w:t xml:space="preserve"> scoring system</w:t>
      </w:r>
      <w:r w:rsidR="00BC1F96">
        <w:rPr>
          <w:color w:val="0D0D0D" w:themeColor="text1" w:themeTint="F2"/>
          <w:sz w:val="24"/>
          <w:szCs w:val="24"/>
        </w:rPr>
        <w:t xml:space="preserve"> below has been applied</w:t>
      </w:r>
      <w:r w:rsidR="001D49C1">
        <w:rPr>
          <w:color w:val="0D0D0D" w:themeColor="text1" w:themeTint="F2"/>
          <w:sz w:val="24"/>
          <w:szCs w:val="24"/>
        </w:rPr>
        <w:t xml:space="preserve"> across each objective and option in Table 14</w:t>
      </w:r>
      <w:r>
        <w:rPr>
          <w:color w:val="0D0D0D" w:themeColor="text1" w:themeTint="F2"/>
          <w:sz w:val="24"/>
          <w:szCs w:val="24"/>
        </w:rPr>
        <w:t>:</w:t>
      </w:r>
    </w:p>
    <w:p w14:paraId="169DD84A" w14:textId="77777777" w:rsidR="001C6D9F" w:rsidRDefault="001C6D9F" w:rsidP="0095671A">
      <w:pPr>
        <w:pStyle w:val="ListParagraph"/>
        <w:numPr>
          <w:ilvl w:val="0"/>
          <w:numId w:val="36"/>
        </w:numPr>
        <w:rPr>
          <w:color w:val="0D0D0D" w:themeColor="text1" w:themeTint="F2"/>
          <w:sz w:val="24"/>
          <w:szCs w:val="24"/>
        </w:rPr>
      </w:pPr>
      <w:r>
        <w:rPr>
          <w:color w:val="0D0D0D" w:themeColor="text1" w:themeTint="F2"/>
          <w:sz w:val="24"/>
          <w:szCs w:val="24"/>
        </w:rPr>
        <w:t>Not at all</w:t>
      </w:r>
    </w:p>
    <w:p w14:paraId="2F3714D6" w14:textId="77777777" w:rsidR="001C6D9F" w:rsidRDefault="001C6D9F" w:rsidP="0095671A">
      <w:pPr>
        <w:pStyle w:val="ListParagraph"/>
        <w:numPr>
          <w:ilvl w:val="0"/>
          <w:numId w:val="36"/>
        </w:numPr>
        <w:rPr>
          <w:color w:val="0D0D0D" w:themeColor="text1" w:themeTint="F2"/>
          <w:sz w:val="24"/>
          <w:szCs w:val="24"/>
        </w:rPr>
      </w:pPr>
      <w:r>
        <w:rPr>
          <w:color w:val="0D0D0D" w:themeColor="text1" w:themeTint="F2"/>
          <w:sz w:val="24"/>
          <w:szCs w:val="24"/>
        </w:rPr>
        <w:t>Somewhat</w:t>
      </w:r>
    </w:p>
    <w:p w14:paraId="1F9F374C" w14:textId="77777777" w:rsidR="001C6D9F" w:rsidRDefault="001C6D9F" w:rsidP="0095671A">
      <w:pPr>
        <w:pStyle w:val="ListParagraph"/>
        <w:numPr>
          <w:ilvl w:val="0"/>
          <w:numId w:val="36"/>
        </w:numPr>
        <w:rPr>
          <w:color w:val="0D0D0D" w:themeColor="text1" w:themeTint="F2"/>
          <w:sz w:val="24"/>
          <w:szCs w:val="24"/>
        </w:rPr>
      </w:pPr>
      <w:r>
        <w:rPr>
          <w:color w:val="0D0D0D" w:themeColor="text1" w:themeTint="F2"/>
          <w:sz w:val="24"/>
          <w:szCs w:val="24"/>
        </w:rPr>
        <w:t>Mostly</w:t>
      </w:r>
    </w:p>
    <w:p w14:paraId="3516F247" w14:textId="77777777" w:rsidR="001C6D9F" w:rsidRDefault="001C6D9F" w:rsidP="0095671A">
      <w:pPr>
        <w:pStyle w:val="ListParagraph"/>
        <w:numPr>
          <w:ilvl w:val="0"/>
          <w:numId w:val="36"/>
        </w:numPr>
        <w:rPr>
          <w:color w:val="0D0D0D" w:themeColor="text1" w:themeTint="F2"/>
          <w:sz w:val="24"/>
          <w:szCs w:val="24"/>
        </w:rPr>
      </w:pPr>
      <w:r>
        <w:rPr>
          <w:color w:val="0D0D0D" w:themeColor="text1" w:themeTint="F2"/>
          <w:sz w:val="24"/>
          <w:szCs w:val="24"/>
        </w:rPr>
        <w:t>Fully</w:t>
      </w:r>
    </w:p>
    <w:p w14:paraId="3317DDFC" w14:textId="7D658D47" w:rsidR="009E3E9A" w:rsidRPr="00C20287" w:rsidRDefault="001C6D9F" w:rsidP="009E3E9A">
      <w:pPr>
        <w:rPr>
          <w:color w:val="0D0D0D" w:themeColor="text1" w:themeTint="F2"/>
          <w:sz w:val="24"/>
          <w:szCs w:val="24"/>
        </w:rPr>
      </w:pPr>
      <w:r>
        <w:rPr>
          <w:color w:val="0D0D0D" w:themeColor="text1" w:themeTint="F2"/>
          <w:sz w:val="24"/>
          <w:szCs w:val="24"/>
        </w:rPr>
        <w:t>In many instances the differences in i</w:t>
      </w:r>
      <w:r w:rsidR="009E3E9A" w:rsidRPr="00FF4C3F">
        <w:rPr>
          <w:color w:val="0D0D0D" w:themeColor="text1" w:themeTint="F2"/>
          <w:sz w:val="24"/>
          <w:szCs w:val="24"/>
        </w:rPr>
        <w:t>mpacts</w:t>
      </w:r>
      <w:r>
        <w:rPr>
          <w:color w:val="0D0D0D" w:themeColor="text1" w:themeTint="F2"/>
          <w:sz w:val="24"/>
          <w:szCs w:val="24"/>
        </w:rPr>
        <w:t xml:space="preserve"> bet</w:t>
      </w:r>
      <w:r w:rsidR="00C33330">
        <w:rPr>
          <w:color w:val="0D0D0D" w:themeColor="text1" w:themeTint="F2"/>
          <w:sz w:val="24"/>
          <w:szCs w:val="24"/>
        </w:rPr>
        <w:t xml:space="preserve">ween options </w:t>
      </w:r>
      <w:r w:rsidR="00976597">
        <w:rPr>
          <w:color w:val="0D0D0D" w:themeColor="text1" w:themeTint="F2"/>
          <w:sz w:val="24"/>
          <w:szCs w:val="24"/>
        </w:rPr>
        <w:t xml:space="preserve">are </w:t>
      </w:r>
      <w:r w:rsidR="009E3E9A">
        <w:rPr>
          <w:color w:val="0D0D0D" w:themeColor="text1" w:themeTint="F2"/>
          <w:sz w:val="24"/>
          <w:szCs w:val="24"/>
        </w:rPr>
        <w:t xml:space="preserve">likely to be </w:t>
      </w:r>
      <w:r w:rsidR="00C33330">
        <w:rPr>
          <w:color w:val="0D0D0D" w:themeColor="text1" w:themeTint="F2"/>
          <w:sz w:val="24"/>
          <w:szCs w:val="24"/>
        </w:rPr>
        <w:t>small</w:t>
      </w:r>
      <w:r w:rsidR="009E3E9A" w:rsidRPr="00FF4C3F">
        <w:rPr>
          <w:color w:val="0D0D0D" w:themeColor="text1" w:themeTint="F2"/>
          <w:sz w:val="24"/>
          <w:szCs w:val="24"/>
        </w:rPr>
        <w:t xml:space="preserve"> </w:t>
      </w:r>
      <w:r w:rsidR="00C33330">
        <w:rPr>
          <w:color w:val="0D0D0D" w:themeColor="text1" w:themeTint="F2"/>
          <w:sz w:val="24"/>
          <w:szCs w:val="24"/>
        </w:rPr>
        <w:t xml:space="preserve">as each </w:t>
      </w:r>
      <w:r w:rsidR="00E76D4E">
        <w:rPr>
          <w:color w:val="0D0D0D" w:themeColor="text1" w:themeTint="F2"/>
          <w:sz w:val="24"/>
          <w:szCs w:val="24"/>
        </w:rPr>
        <w:t>option</w:t>
      </w:r>
      <w:r w:rsidR="00C33330">
        <w:rPr>
          <w:color w:val="0D0D0D" w:themeColor="text1" w:themeTint="F2"/>
          <w:sz w:val="24"/>
          <w:szCs w:val="24"/>
        </w:rPr>
        <w:t xml:space="preserve"> is intended to achieve </w:t>
      </w:r>
      <w:r w:rsidR="00E76D4E">
        <w:rPr>
          <w:color w:val="0D0D0D" w:themeColor="text1" w:themeTint="F2"/>
          <w:sz w:val="24"/>
          <w:szCs w:val="24"/>
        </w:rPr>
        <w:t>the</w:t>
      </w:r>
      <w:r w:rsidR="00C33330">
        <w:rPr>
          <w:color w:val="0D0D0D" w:themeColor="text1" w:themeTint="F2"/>
          <w:sz w:val="24"/>
          <w:szCs w:val="24"/>
        </w:rPr>
        <w:t xml:space="preserve"> core</w:t>
      </w:r>
      <w:r w:rsidR="009E3E9A">
        <w:rPr>
          <w:color w:val="0D0D0D" w:themeColor="text1" w:themeTint="F2"/>
          <w:sz w:val="24"/>
          <w:szCs w:val="24"/>
        </w:rPr>
        <w:t xml:space="preserve"> </w:t>
      </w:r>
      <w:r w:rsidR="00E76D4E">
        <w:rPr>
          <w:color w:val="0D0D0D" w:themeColor="text1" w:themeTint="F2"/>
          <w:sz w:val="24"/>
          <w:szCs w:val="24"/>
        </w:rPr>
        <w:t xml:space="preserve">requirement of </w:t>
      </w:r>
      <w:r w:rsidR="009E3E9A">
        <w:rPr>
          <w:color w:val="0D0D0D" w:themeColor="text1" w:themeTint="F2"/>
          <w:sz w:val="24"/>
          <w:szCs w:val="24"/>
        </w:rPr>
        <w:t>establish</w:t>
      </w:r>
      <w:r w:rsidR="00E76D4E">
        <w:rPr>
          <w:color w:val="0D0D0D" w:themeColor="text1" w:themeTint="F2"/>
          <w:sz w:val="24"/>
          <w:szCs w:val="24"/>
        </w:rPr>
        <w:t>ing</w:t>
      </w:r>
      <w:r w:rsidR="009E3E9A">
        <w:rPr>
          <w:color w:val="0D0D0D" w:themeColor="text1" w:themeTint="F2"/>
          <w:sz w:val="24"/>
          <w:szCs w:val="24"/>
        </w:rPr>
        <w:t xml:space="preserve"> </w:t>
      </w:r>
      <w:r w:rsidR="00BC1F96">
        <w:rPr>
          <w:color w:val="0D0D0D" w:themeColor="text1" w:themeTint="F2"/>
          <w:sz w:val="24"/>
          <w:szCs w:val="24"/>
        </w:rPr>
        <w:t>an appropriate C</w:t>
      </w:r>
      <w:r w:rsidR="00C33330">
        <w:rPr>
          <w:color w:val="0D0D0D" w:themeColor="text1" w:themeTint="F2"/>
          <w:sz w:val="24"/>
          <w:szCs w:val="24"/>
        </w:rPr>
        <w:t xml:space="preserve">ommonwealth price for the </w:t>
      </w:r>
      <w:r w:rsidR="009E3E9A">
        <w:rPr>
          <w:color w:val="0D0D0D" w:themeColor="text1" w:themeTint="F2"/>
          <w:sz w:val="24"/>
          <w:szCs w:val="24"/>
        </w:rPr>
        <w:t xml:space="preserve">dispensing </w:t>
      </w:r>
      <w:r w:rsidR="00C33330">
        <w:rPr>
          <w:color w:val="0D0D0D" w:themeColor="text1" w:themeTint="F2"/>
          <w:sz w:val="24"/>
          <w:szCs w:val="24"/>
        </w:rPr>
        <w:t xml:space="preserve">of </w:t>
      </w:r>
      <w:r w:rsidR="009E3E9A">
        <w:rPr>
          <w:color w:val="0D0D0D" w:themeColor="text1" w:themeTint="F2"/>
          <w:sz w:val="24"/>
          <w:szCs w:val="24"/>
        </w:rPr>
        <w:t>PBS medicines</w:t>
      </w:r>
      <w:r w:rsidR="00C33330">
        <w:rPr>
          <w:color w:val="0D0D0D" w:themeColor="text1" w:themeTint="F2"/>
          <w:sz w:val="24"/>
          <w:szCs w:val="24"/>
        </w:rPr>
        <w:t xml:space="preserve"> by pharmacies</w:t>
      </w:r>
      <w:r w:rsidR="009E3E9A">
        <w:rPr>
          <w:color w:val="0D0D0D" w:themeColor="text1" w:themeTint="F2"/>
          <w:sz w:val="24"/>
          <w:szCs w:val="24"/>
        </w:rPr>
        <w:t xml:space="preserve">. </w:t>
      </w:r>
      <w:r w:rsidR="006D5004">
        <w:rPr>
          <w:color w:val="0D0D0D" w:themeColor="text1" w:themeTint="F2"/>
          <w:sz w:val="24"/>
          <w:szCs w:val="24"/>
        </w:rPr>
        <w:t>A greater difference between Options exists</w:t>
      </w:r>
      <w:r w:rsidR="000F6EA2">
        <w:rPr>
          <w:color w:val="0D0D0D" w:themeColor="text1" w:themeTint="F2"/>
          <w:sz w:val="24"/>
          <w:szCs w:val="24"/>
        </w:rPr>
        <w:t xml:space="preserve"> however in relation to</w:t>
      </w:r>
      <w:r w:rsidR="009E3E9A">
        <w:rPr>
          <w:color w:val="0D0D0D" w:themeColor="text1" w:themeTint="F2"/>
          <w:sz w:val="24"/>
          <w:szCs w:val="24"/>
        </w:rPr>
        <w:t xml:space="preserve"> CPP</w:t>
      </w:r>
      <w:r w:rsidR="001D49C1">
        <w:rPr>
          <w:color w:val="0D0D0D" w:themeColor="text1" w:themeTint="F2"/>
          <w:sz w:val="24"/>
          <w:szCs w:val="24"/>
        </w:rPr>
        <w:t>s</w:t>
      </w:r>
      <w:r w:rsidR="009E3E9A">
        <w:rPr>
          <w:color w:val="0D0D0D" w:themeColor="text1" w:themeTint="F2"/>
          <w:sz w:val="24"/>
          <w:szCs w:val="24"/>
        </w:rPr>
        <w:t xml:space="preserve">. </w:t>
      </w:r>
    </w:p>
    <w:p w14:paraId="28FC554D" w14:textId="483F9ADE" w:rsidR="0088060C" w:rsidRPr="00FF4C3F" w:rsidRDefault="00E76D4E">
      <w:pPr>
        <w:rPr>
          <w:rFonts w:asciiTheme="majorHAnsi" w:eastAsiaTheme="majorEastAsia" w:hAnsiTheme="majorHAnsi" w:cstheme="majorBidi"/>
          <w:color w:val="014463" w:themeColor="text2"/>
          <w:sz w:val="30"/>
          <w:szCs w:val="30"/>
        </w:rPr>
      </w:pPr>
      <w:r>
        <w:rPr>
          <w:rFonts w:asciiTheme="majorHAnsi" w:eastAsiaTheme="majorEastAsia" w:hAnsiTheme="majorHAnsi" w:cstheme="majorBidi"/>
          <w:color w:val="014463" w:themeColor="text2"/>
          <w:sz w:val="30"/>
          <w:szCs w:val="30"/>
        </w:rPr>
        <w:t>4.1</w:t>
      </w:r>
      <w:r>
        <w:rPr>
          <w:rFonts w:asciiTheme="majorHAnsi" w:eastAsiaTheme="majorEastAsia" w:hAnsiTheme="majorHAnsi" w:cstheme="majorBidi"/>
          <w:color w:val="014463" w:themeColor="text2"/>
          <w:sz w:val="30"/>
          <w:szCs w:val="30"/>
        </w:rPr>
        <w:tab/>
      </w:r>
      <w:r w:rsidR="0088060C" w:rsidRPr="00FF4C3F">
        <w:rPr>
          <w:rFonts w:asciiTheme="majorHAnsi" w:eastAsiaTheme="majorEastAsia" w:hAnsiTheme="majorHAnsi" w:cstheme="majorBidi"/>
          <w:color w:val="014463" w:themeColor="text2"/>
          <w:sz w:val="30"/>
          <w:szCs w:val="30"/>
        </w:rPr>
        <w:t>Person-Centred</w:t>
      </w:r>
    </w:p>
    <w:p w14:paraId="1F5D64FD" w14:textId="539D490F" w:rsidR="00B46306" w:rsidRDefault="00545AAF">
      <w:pPr>
        <w:rPr>
          <w:rFonts w:eastAsiaTheme="majorEastAsia" w:cs="Arial"/>
          <w:bCs/>
          <w:color w:val="0D0D0D" w:themeColor="text1" w:themeTint="F2"/>
          <w:sz w:val="24"/>
          <w:szCs w:val="24"/>
        </w:rPr>
      </w:pPr>
      <w:r>
        <w:rPr>
          <w:rFonts w:eastAsiaTheme="majorEastAsia" w:cs="Arial"/>
          <w:bCs/>
          <w:color w:val="0D0D0D" w:themeColor="text1" w:themeTint="F2"/>
          <w:sz w:val="24"/>
          <w:szCs w:val="24"/>
        </w:rPr>
        <w:t>T</w:t>
      </w:r>
      <w:r w:rsidR="00B46306">
        <w:rPr>
          <w:rFonts w:eastAsiaTheme="majorEastAsia" w:cs="Arial"/>
          <w:bCs/>
          <w:color w:val="0D0D0D" w:themeColor="text1" w:themeTint="F2"/>
          <w:sz w:val="24"/>
          <w:szCs w:val="24"/>
        </w:rPr>
        <w:t>he provision of dispensing remuneration</w:t>
      </w:r>
      <w:r>
        <w:rPr>
          <w:rFonts w:eastAsiaTheme="majorEastAsia" w:cs="Arial"/>
          <w:bCs/>
          <w:color w:val="0D0D0D" w:themeColor="text1" w:themeTint="F2"/>
          <w:sz w:val="24"/>
          <w:szCs w:val="24"/>
        </w:rPr>
        <w:t xml:space="preserve"> </w:t>
      </w:r>
      <w:r w:rsidR="00B46306">
        <w:rPr>
          <w:rFonts w:eastAsiaTheme="majorEastAsia" w:cs="Arial"/>
          <w:bCs/>
          <w:color w:val="0D0D0D" w:themeColor="text1" w:themeTint="F2"/>
          <w:sz w:val="24"/>
          <w:szCs w:val="24"/>
        </w:rPr>
        <w:t>support</w:t>
      </w:r>
      <w:r>
        <w:rPr>
          <w:rFonts w:eastAsiaTheme="majorEastAsia" w:cs="Arial"/>
          <w:bCs/>
          <w:color w:val="0D0D0D" w:themeColor="text1" w:themeTint="F2"/>
          <w:sz w:val="24"/>
          <w:szCs w:val="24"/>
        </w:rPr>
        <w:t>s</w:t>
      </w:r>
      <w:r w:rsidR="00B46306">
        <w:rPr>
          <w:rFonts w:eastAsiaTheme="majorEastAsia" w:cs="Arial"/>
          <w:bCs/>
          <w:color w:val="0D0D0D" w:themeColor="text1" w:themeTint="F2"/>
          <w:sz w:val="24"/>
          <w:szCs w:val="24"/>
        </w:rPr>
        <w:t xml:space="preserve"> t</w:t>
      </w:r>
      <w:r w:rsidR="006F1571">
        <w:rPr>
          <w:rFonts w:eastAsiaTheme="majorEastAsia" w:cs="Arial"/>
          <w:bCs/>
          <w:color w:val="0D0D0D" w:themeColor="text1" w:themeTint="F2"/>
          <w:sz w:val="24"/>
          <w:szCs w:val="24"/>
        </w:rPr>
        <w:t>he</w:t>
      </w:r>
      <w:r w:rsidR="00B46306">
        <w:rPr>
          <w:rFonts w:eastAsiaTheme="majorEastAsia" w:cs="Arial"/>
          <w:bCs/>
          <w:color w:val="0D0D0D" w:themeColor="text1" w:themeTint="F2"/>
          <w:sz w:val="24"/>
          <w:szCs w:val="24"/>
        </w:rPr>
        <w:t xml:space="preserve"> objective</w:t>
      </w:r>
      <w:r w:rsidR="006F1571">
        <w:rPr>
          <w:rFonts w:eastAsiaTheme="majorEastAsia" w:cs="Arial"/>
          <w:bCs/>
          <w:color w:val="0D0D0D" w:themeColor="text1" w:themeTint="F2"/>
          <w:sz w:val="24"/>
          <w:szCs w:val="24"/>
        </w:rPr>
        <w:t xml:space="preserve"> of enabling consumers </w:t>
      </w:r>
      <w:r w:rsidR="006F1571" w:rsidRPr="0088060C">
        <w:rPr>
          <w:color w:val="0D0D0D" w:themeColor="text1" w:themeTint="F2"/>
          <w:sz w:val="24"/>
          <w:szCs w:val="24"/>
        </w:rPr>
        <w:t>to access timely and easy-to-understand information on the safe use of PBS medicine</w:t>
      </w:r>
      <w:r w:rsidR="006F1571">
        <w:rPr>
          <w:color w:val="0D0D0D" w:themeColor="text1" w:themeTint="F2"/>
          <w:sz w:val="24"/>
          <w:szCs w:val="24"/>
        </w:rPr>
        <w:t xml:space="preserve">s </w:t>
      </w:r>
      <w:r w:rsidR="00B46306">
        <w:rPr>
          <w:rFonts w:eastAsiaTheme="majorEastAsia" w:cs="Arial"/>
          <w:bCs/>
          <w:color w:val="0D0D0D" w:themeColor="text1" w:themeTint="F2"/>
          <w:sz w:val="24"/>
          <w:szCs w:val="24"/>
        </w:rPr>
        <w:t>by ensuring that pharmacists when dispensing medicines are able to undertake the relevant checks</w:t>
      </w:r>
      <w:r w:rsidR="0017733B">
        <w:rPr>
          <w:rFonts w:eastAsiaTheme="majorEastAsia" w:cs="Arial"/>
          <w:bCs/>
          <w:color w:val="0D0D0D" w:themeColor="text1" w:themeTint="F2"/>
          <w:sz w:val="24"/>
          <w:szCs w:val="24"/>
        </w:rPr>
        <w:t>,</w:t>
      </w:r>
      <w:r w:rsidR="00B46306">
        <w:rPr>
          <w:rFonts w:eastAsiaTheme="majorEastAsia" w:cs="Arial"/>
          <w:bCs/>
          <w:color w:val="0D0D0D" w:themeColor="text1" w:themeTint="F2"/>
          <w:sz w:val="24"/>
          <w:szCs w:val="24"/>
        </w:rPr>
        <w:t xml:space="preserve"> and consult with patients when required. </w:t>
      </w:r>
      <w:r w:rsidR="00E741E1">
        <w:rPr>
          <w:rFonts w:eastAsiaTheme="majorEastAsia" w:cs="Arial"/>
          <w:bCs/>
          <w:color w:val="0D0D0D" w:themeColor="text1" w:themeTint="F2"/>
          <w:sz w:val="24"/>
          <w:szCs w:val="24"/>
        </w:rPr>
        <w:t xml:space="preserve">This is consistent with the core role of a dispensing pharmacist and achieved across all options. </w:t>
      </w:r>
      <w:r>
        <w:rPr>
          <w:rFonts w:eastAsiaTheme="majorEastAsia" w:cs="Arial"/>
          <w:bCs/>
          <w:color w:val="0D0D0D" w:themeColor="text1" w:themeTint="F2"/>
          <w:sz w:val="24"/>
          <w:szCs w:val="24"/>
        </w:rPr>
        <w:t>Dispensing remuneration</w:t>
      </w:r>
      <w:r w:rsidR="006F1571">
        <w:rPr>
          <w:rFonts w:eastAsiaTheme="majorEastAsia" w:cs="Arial"/>
          <w:bCs/>
          <w:color w:val="0D0D0D" w:themeColor="text1" w:themeTint="F2"/>
          <w:sz w:val="24"/>
          <w:szCs w:val="24"/>
        </w:rPr>
        <w:t xml:space="preserve"> </w:t>
      </w:r>
      <w:r>
        <w:rPr>
          <w:rFonts w:eastAsiaTheme="majorEastAsia" w:cs="Arial"/>
          <w:bCs/>
          <w:color w:val="0D0D0D" w:themeColor="text1" w:themeTint="F2"/>
          <w:sz w:val="24"/>
          <w:szCs w:val="24"/>
        </w:rPr>
        <w:t xml:space="preserve">and the </w:t>
      </w:r>
      <w:r w:rsidR="00E741E1">
        <w:rPr>
          <w:rFonts w:eastAsiaTheme="majorEastAsia" w:cs="Arial"/>
          <w:bCs/>
          <w:color w:val="0D0D0D" w:themeColor="text1" w:themeTint="F2"/>
          <w:sz w:val="24"/>
          <w:szCs w:val="24"/>
        </w:rPr>
        <w:t xml:space="preserve">relative </w:t>
      </w:r>
      <w:r>
        <w:rPr>
          <w:rFonts w:eastAsiaTheme="majorEastAsia" w:cs="Arial"/>
          <w:bCs/>
          <w:color w:val="0D0D0D" w:themeColor="text1" w:themeTint="F2"/>
          <w:sz w:val="24"/>
          <w:szCs w:val="24"/>
        </w:rPr>
        <w:t>differences between options is covered further</w:t>
      </w:r>
      <w:r w:rsidR="006F1571">
        <w:rPr>
          <w:rFonts w:eastAsiaTheme="majorEastAsia" w:cs="Arial"/>
          <w:bCs/>
          <w:color w:val="0D0D0D" w:themeColor="text1" w:themeTint="F2"/>
          <w:sz w:val="24"/>
          <w:szCs w:val="24"/>
        </w:rPr>
        <w:t xml:space="preserve"> under the objective of equitable, sustainable and timely access below</w:t>
      </w:r>
      <w:r>
        <w:rPr>
          <w:rFonts w:eastAsiaTheme="majorEastAsia" w:cs="Arial"/>
          <w:bCs/>
          <w:color w:val="0D0D0D" w:themeColor="text1" w:themeTint="F2"/>
          <w:sz w:val="24"/>
          <w:szCs w:val="24"/>
        </w:rPr>
        <w:t>.</w:t>
      </w:r>
    </w:p>
    <w:p w14:paraId="7AFF77AE" w14:textId="3061C400" w:rsidR="006F1571" w:rsidRDefault="00E741E1" w:rsidP="00716A11">
      <w:pPr>
        <w:rPr>
          <w:color w:val="0D0D0D" w:themeColor="text1" w:themeTint="F2"/>
          <w:sz w:val="24"/>
          <w:szCs w:val="24"/>
        </w:rPr>
      </w:pPr>
      <w:r>
        <w:rPr>
          <w:rFonts w:eastAsiaTheme="majorEastAsia" w:cs="Arial"/>
          <w:bCs/>
          <w:color w:val="0D0D0D" w:themeColor="text1" w:themeTint="F2"/>
          <w:sz w:val="24"/>
          <w:szCs w:val="24"/>
        </w:rPr>
        <w:t xml:space="preserve">A </w:t>
      </w:r>
      <w:r w:rsidR="006F1571">
        <w:rPr>
          <w:rFonts w:eastAsiaTheme="majorEastAsia" w:cs="Arial"/>
          <w:bCs/>
          <w:color w:val="0D0D0D" w:themeColor="text1" w:themeTint="F2"/>
          <w:sz w:val="24"/>
          <w:szCs w:val="24"/>
        </w:rPr>
        <w:t xml:space="preserve">number of CPPs </w:t>
      </w:r>
      <w:r>
        <w:rPr>
          <w:rFonts w:eastAsiaTheme="majorEastAsia" w:cs="Arial"/>
          <w:bCs/>
          <w:color w:val="0D0D0D" w:themeColor="text1" w:themeTint="F2"/>
          <w:sz w:val="24"/>
          <w:szCs w:val="24"/>
        </w:rPr>
        <w:t xml:space="preserve">also </w:t>
      </w:r>
      <w:r w:rsidR="006F1571">
        <w:rPr>
          <w:rFonts w:eastAsiaTheme="majorEastAsia" w:cs="Arial"/>
          <w:bCs/>
          <w:color w:val="0D0D0D" w:themeColor="text1" w:themeTint="F2"/>
          <w:sz w:val="24"/>
          <w:szCs w:val="24"/>
        </w:rPr>
        <w:t xml:space="preserve">support </w:t>
      </w:r>
      <w:r w:rsidR="0047404F">
        <w:rPr>
          <w:rFonts w:eastAsiaTheme="majorEastAsia" w:cs="Arial"/>
          <w:bCs/>
          <w:color w:val="0D0D0D" w:themeColor="text1" w:themeTint="F2"/>
          <w:sz w:val="24"/>
          <w:szCs w:val="24"/>
        </w:rPr>
        <w:t xml:space="preserve">a consumer focus in </w:t>
      </w:r>
      <w:r w:rsidR="006F1571">
        <w:rPr>
          <w:rFonts w:eastAsiaTheme="majorEastAsia" w:cs="Arial"/>
          <w:bCs/>
          <w:color w:val="0D0D0D" w:themeColor="text1" w:themeTint="F2"/>
          <w:sz w:val="24"/>
          <w:szCs w:val="24"/>
        </w:rPr>
        <w:t xml:space="preserve">maximising the benefits from </w:t>
      </w:r>
      <w:r w:rsidR="0047404F">
        <w:rPr>
          <w:rFonts w:eastAsiaTheme="majorEastAsia" w:cs="Arial"/>
          <w:bCs/>
          <w:color w:val="0D0D0D" w:themeColor="text1" w:themeTint="F2"/>
          <w:sz w:val="24"/>
          <w:szCs w:val="24"/>
        </w:rPr>
        <w:t>the use of</w:t>
      </w:r>
      <w:r w:rsidR="006F1571">
        <w:rPr>
          <w:rFonts w:eastAsiaTheme="majorEastAsia" w:cs="Arial"/>
          <w:bCs/>
          <w:color w:val="0D0D0D" w:themeColor="text1" w:themeTint="F2"/>
          <w:sz w:val="24"/>
          <w:szCs w:val="24"/>
        </w:rPr>
        <w:t xml:space="preserve"> prescribed medicines. </w:t>
      </w:r>
      <w:r w:rsidR="00D528E3" w:rsidRPr="00C20287">
        <w:rPr>
          <w:color w:val="0D0D0D" w:themeColor="text1" w:themeTint="F2"/>
          <w:sz w:val="24"/>
          <w:szCs w:val="24"/>
        </w:rPr>
        <w:t xml:space="preserve">Existing CPPs that focus on patient services (such as medication management and review programs), are </w:t>
      </w:r>
      <w:r w:rsidR="00E61E8D">
        <w:rPr>
          <w:color w:val="0D0D0D" w:themeColor="text1" w:themeTint="F2"/>
          <w:sz w:val="24"/>
          <w:szCs w:val="24"/>
        </w:rPr>
        <w:t xml:space="preserve">funded on an </w:t>
      </w:r>
      <w:r w:rsidR="00D528E3" w:rsidRPr="00C20287">
        <w:rPr>
          <w:color w:val="0D0D0D" w:themeColor="text1" w:themeTint="F2"/>
          <w:sz w:val="24"/>
          <w:szCs w:val="24"/>
        </w:rPr>
        <w:t>ongoing</w:t>
      </w:r>
      <w:r w:rsidR="00E61E8D">
        <w:rPr>
          <w:color w:val="0D0D0D" w:themeColor="text1" w:themeTint="F2"/>
          <w:sz w:val="24"/>
          <w:szCs w:val="24"/>
        </w:rPr>
        <w:t xml:space="preserve"> basis</w:t>
      </w:r>
      <w:r w:rsidR="00D528E3" w:rsidRPr="00C20287">
        <w:rPr>
          <w:color w:val="0D0D0D" w:themeColor="text1" w:themeTint="F2"/>
          <w:sz w:val="24"/>
          <w:szCs w:val="24"/>
        </w:rPr>
        <w:t>.</w:t>
      </w:r>
    </w:p>
    <w:p w14:paraId="5F283B75" w14:textId="54A2A1A3" w:rsidR="00716A11" w:rsidRDefault="006F1571" w:rsidP="00716A11">
      <w:r>
        <w:rPr>
          <w:color w:val="0D0D0D" w:themeColor="text1" w:themeTint="F2"/>
          <w:sz w:val="24"/>
          <w:szCs w:val="24"/>
        </w:rPr>
        <w:t>In the absence of a CPA</w:t>
      </w:r>
      <w:r w:rsidR="000F6EA2">
        <w:rPr>
          <w:color w:val="0D0D0D" w:themeColor="text1" w:themeTint="F2"/>
          <w:sz w:val="24"/>
          <w:szCs w:val="24"/>
        </w:rPr>
        <w:t>,</w:t>
      </w:r>
      <w:r>
        <w:rPr>
          <w:color w:val="0D0D0D" w:themeColor="text1" w:themeTint="F2"/>
          <w:sz w:val="24"/>
          <w:szCs w:val="24"/>
        </w:rPr>
        <w:t xml:space="preserve"> as </w:t>
      </w:r>
      <w:r w:rsidR="00576015">
        <w:rPr>
          <w:color w:val="0D0D0D" w:themeColor="text1" w:themeTint="F2"/>
          <w:sz w:val="24"/>
          <w:szCs w:val="24"/>
        </w:rPr>
        <w:t>would apply under</w:t>
      </w:r>
      <w:r>
        <w:rPr>
          <w:color w:val="0D0D0D" w:themeColor="text1" w:themeTint="F2"/>
          <w:sz w:val="24"/>
          <w:szCs w:val="24"/>
        </w:rPr>
        <w:t xml:space="preserve"> Option 1</w:t>
      </w:r>
      <w:r w:rsidR="000F6EA2">
        <w:rPr>
          <w:color w:val="0D0D0D" w:themeColor="text1" w:themeTint="F2"/>
          <w:sz w:val="24"/>
          <w:szCs w:val="24"/>
        </w:rPr>
        <w:t>,</w:t>
      </w:r>
      <w:r>
        <w:rPr>
          <w:color w:val="0D0D0D" w:themeColor="text1" w:themeTint="F2"/>
          <w:sz w:val="24"/>
          <w:szCs w:val="24"/>
        </w:rPr>
        <w:t xml:space="preserve"> t</w:t>
      </w:r>
      <w:r w:rsidR="00D528E3" w:rsidRPr="00C20287">
        <w:rPr>
          <w:color w:val="0D0D0D" w:themeColor="text1" w:themeTint="F2"/>
          <w:sz w:val="24"/>
          <w:szCs w:val="24"/>
        </w:rPr>
        <w:t xml:space="preserve">hese programs would continue in their current form in the short term, and their reviews prioritised and considered following the expiry of the 7CPA. </w:t>
      </w:r>
      <w:r w:rsidR="0017733B">
        <w:rPr>
          <w:rFonts w:cstheme="minorHAnsi"/>
          <w:color w:val="0D0D0D" w:themeColor="text1" w:themeTint="F2"/>
          <w:sz w:val="24"/>
          <w:szCs w:val="24"/>
        </w:rPr>
        <w:t xml:space="preserve">This could </w:t>
      </w:r>
      <w:r w:rsidR="00716A11" w:rsidRPr="00C20287">
        <w:rPr>
          <w:rFonts w:cstheme="minorHAnsi"/>
          <w:color w:val="0D0D0D" w:themeColor="text1" w:themeTint="F2"/>
          <w:sz w:val="24"/>
          <w:szCs w:val="24"/>
        </w:rPr>
        <w:t xml:space="preserve">result in expanded opportunities for the consideration and development of </w:t>
      </w:r>
      <w:r w:rsidR="00716A11">
        <w:rPr>
          <w:rFonts w:cstheme="minorHAnsi"/>
          <w:color w:val="0D0D0D" w:themeColor="text1" w:themeTint="F2"/>
          <w:sz w:val="24"/>
          <w:szCs w:val="24"/>
        </w:rPr>
        <w:t>CPPs in consultation with a broad range of stakeholders including consumer</w:t>
      </w:r>
      <w:r>
        <w:rPr>
          <w:rFonts w:cstheme="minorHAnsi"/>
          <w:color w:val="0D0D0D" w:themeColor="text1" w:themeTint="F2"/>
          <w:sz w:val="24"/>
          <w:szCs w:val="24"/>
        </w:rPr>
        <w:t>s and consumer representative</w:t>
      </w:r>
      <w:r w:rsidR="00716A11">
        <w:rPr>
          <w:rFonts w:cstheme="minorHAnsi"/>
          <w:color w:val="0D0D0D" w:themeColor="text1" w:themeTint="F2"/>
          <w:sz w:val="24"/>
          <w:szCs w:val="24"/>
        </w:rPr>
        <w:t xml:space="preserve"> groups. </w:t>
      </w:r>
    </w:p>
    <w:p w14:paraId="6B79AA14" w14:textId="7951AC7A" w:rsidR="0016071F" w:rsidRPr="00C20287" w:rsidRDefault="00F30056" w:rsidP="00716A11">
      <w:pPr>
        <w:rPr>
          <w:rFonts w:cstheme="minorHAnsi"/>
          <w:color w:val="0D0D0D" w:themeColor="text1" w:themeTint="F2"/>
          <w:sz w:val="24"/>
          <w:szCs w:val="24"/>
        </w:rPr>
      </w:pPr>
      <w:r>
        <w:rPr>
          <w:color w:val="0D0D0D" w:themeColor="text1" w:themeTint="F2"/>
          <w:sz w:val="24"/>
        </w:rPr>
        <w:t xml:space="preserve">Option 2 would </w:t>
      </w:r>
      <w:r w:rsidR="00056E08">
        <w:rPr>
          <w:color w:val="0D0D0D" w:themeColor="text1" w:themeTint="F2"/>
          <w:sz w:val="24"/>
        </w:rPr>
        <w:t>continue to</w:t>
      </w:r>
      <w:r>
        <w:rPr>
          <w:color w:val="0D0D0D" w:themeColor="text1" w:themeTint="F2"/>
          <w:sz w:val="24"/>
        </w:rPr>
        <w:t xml:space="preserve"> see </w:t>
      </w:r>
      <w:r w:rsidR="00056E08">
        <w:rPr>
          <w:color w:val="0D0D0D" w:themeColor="text1" w:themeTint="F2"/>
          <w:sz w:val="24"/>
        </w:rPr>
        <w:t xml:space="preserve">existing </w:t>
      </w:r>
      <w:r>
        <w:rPr>
          <w:color w:val="0D0D0D" w:themeColor="text1" w:themeTint="F2"/>
          <w:sz w:val="24"/>
        </w:rPr>
        <w:t xml:space="preserve">CPPs outlined in </w:t>
      </w:r>
      <w:r w:rsidR="00056E08">
        <w:rPr>
          <w:color w:val="0D0D0D" w:themeColor="text1" w:themeTint="F2"/>
          <w:sz w:val="24"/>
        </w:rPr>
        <w:t>an</w:t>
      </w:r>
      <w:r>
        <w:rPr>
          <w:color w:val="0D0D0D" w:themeColor="text1" w:themeTint="F2"/>
          <w:sz w:val="24"/>
        </w:rPr>
        <w:t xml:space="preserve"> </w:t>
      </w:r>
      <w:r w:rsidR="00056E08">
        <w:rPr>
          <w:color w:val="0D0D0D" w:themeColor="text1" w:themeTint="F2"/>
          <w:sz w:val="24"/>
        </w:rPr>
        <w:t>8</w:t>
      </w:r>
      <w:r>
        <w:rPr>
          <w:color w:val="0D0D0D" w:themeColor="text1" w:themeTint="F2"/>
          <w:sz w:val="24"/>
        </w:rPr>
        <w:t xml:space="preserve">CPA </w:t>
      </w:r>
      <w:r w:rsidR="00056E08">
        <w:rPr>
          <w:color w:val="0D0D0D" w:themeColor="text1" w:themeTint="F2"/>
          <w:sz w:val="24"/>
        </w:rPr>
        <w:t>includ</w:t>
      </w:r>
      <w:r w:rsidR="000F6EA2">
        <w:rPr>
          <w:color w:val="0D0D0D" w:themeColor="text1" w:themeTint="F2"/>
          <w:sz w:val="24"/>
        </w:rPr>
        <w:t>ing</w:t>
      </w:r>
      <w:r w:rsidR="00056E08">
        <w:rPr>
          <w:color w:val="0D0D0D" w:themeColor="text1" w:themeTint="F2"/>
          <w:sz w:val="24"/>
        </w:rPr>
        <w:t xml:space="preserve"> those that </w:t>
      </w:r>
      <w:r w:rsidR="000C2762" w:rsidRPr="00C20287">
        <w:rPr>
          <w:color w:val="0D0D0D" w:themeColor="text1" w:themeTint="F2"/>
          <w:sz w:val="24"/>
        </w:rPr>
        <w:t>support the delivery of consumer-focused pharmacy programs and related services</w:t>
      </w:r>
      <w:r w:rsidR="00056E08">
        <w:rPr>
          <w:color w:val="0D0D0D" w:themeColor="text1" w:themeTint="F2"/>
          <w:sz w:val="24"/>
        </w:rPr>
        <w:t xml:space="preserve">. </w:t>
      </w:r>
      <w:r>
        <w:rPr>
          <w:color w:val="0D0D0D" w:themeColor="text1" w:themeTint="F2"/>
          <w:sz w:val="24"/>
        </w:rPr>
        <w:t>T</w:t>
      </w:r>
      <w:r w:rsidR="000C2762" w:rsidRPr="00C20287">
        <w:rPr>
          <w:color w:val="0D0D0D" w:themeColor="text1" w:themeTint="F2"/>
          <w:sz w:val="24"/>
        </w:rPr>
        <w:t xml:space="preserve">hese programs have continued to be improved and reprioritised under the 7CPA with a focus on being simplified for pharmacists and increasing the number of services for patients. </w:t>
      </w:r>
      <w:r>
        <w:rPr>
          <w:color w:val="0D0D0D" w:themeColor="text1" w:themeTint="F2"/>
          <w:sz w:val="24"/>
        </w:rPr>
        <w:t xml:space="preserve">While the number of services provided under the </w:t>
      </w:r>
      <w:r w:rsidR="000C2762" w:rsidRPr="00C20287">
        <w:rPr>
          <w:color w:val="0D0D0D" w:themeColor="text1" w:themeTint="F2"/>
          <w:sz w:val="24"/>
        </w:rPr>
        <w:t>pharma</w:t>
      </w:r>
      <w:r>
        <w:rPr>
          <w:color w:val="0D0D0D" w:themeColor="text1" w:themeTint="F2"/>
          <w:sz w:val="24"/>
        </w:rPr>
        <w:t>cy programs has continued to grow</w:t>
      </w:r>
      <w:r w:rsidR="00576015">
        <w:rPr>
          <w:color w:val="0D0D0D" w:themeColor="text1" w:themeTint="F2"/>
          <w:sz w:val="24"/>
        </w:rPr>
        <w:t xml:space="preserve">, with year on year </w:t>
      </w:r>
      <w:r w:rsidR="00326A1D">
        <w:rPr>
          <w:color w:val="0D0D0D" w:themeColor="text1" w:themeTint="F2"/>
          <w:sz w:val="24"/>
        </w:rPr>
        <w:t>increases in expenditure,</w:t>
      </w:r>
      <w:r>
        <w:rPr>
          <w:color w:val="0D0D0D" w:themeColor="text1" w:themeTint="F2"/>
          <w:sz w:val="24"/>
        </w:rPr>
        <w:t xml:space="preserve"> under the 7CPA as outlined in </w:t>
      </w:r>
      <w:r w:rsidRPr="00CB1132">
        <w:rPr>
          <w:color w:val="0D0D0D" w:themeColor="text1" w:themeTint="F2"/>
          <w:sz w:val="24"/>
        </w:rPr>
        <w:t xml:space="preserve">the </w:t>
      </w:r>
      <w:r w:rsidR="00A0125C" w:rsidRPr="00A0125C">
        <w:rPr>
          <w:color w:val="0D0D0D" w:themeColor="text1" w:themeTint="F2"/>
          <w:sz w:val="24"/>
          <w:szCs w:val="24"/>
        </w:rPr>
        <w:fldChar w:fldCharType="begin"/>
      </w:r>
      <w:r w:rsidR="00A0125C" w:rsidRPr="00A0125C">
        <w:rPr>
          <w:color w:val="0D0D0D" w:themeColor="text1" w:themeTint="F2"/>
          <w:sz w:val="24"/>
          <w:szCs w:val="24"/>
        </w:rPr>
        <w:instrText xml:space="preserve"> REF _Ref160011696 \h </w:instrText>
      </w:r>
      <w:r w:rsidR="00A0125C">
        <w:rPr>
          <w:color w:val="0D0D0D" w:themeColor="text1" w:themeTint="F2"/>
          <w:sz w:val="24"/>
          <w:szCs w:val="24"/>
        </w:rPr>
        <w:instrText xml:space="preserve"> \* MERGEFORMAT </w:instrText>
      </w:r>
      <w:r w:rsidR="00A0125C" w:rsidRPr="00A0125C">
        <w:rPr>
          <w:color w:val="0D0D0D" w:themeColor="text1" w:themeTint="F2"/>
          <w:sz w:val="24"/>
          <w:szCs w:val="24"/>
        </w:rPr>
      </w:r>
      <w:r w:rsidR="00A0125C" w:rsidRPr="00A0125C">
        <w:rPr>
          <w:color w:val="0D0D0D" w:themeColor="text1" w:themeTint="F2"/>
          <w:sz w:val="24"/>
          <w:szCs w:val="24"/>
        </w:rPr>
        <w:fldChar w:fldCharType="separate"/>
      </w:r>
      <w:r w:rsidR="00A0125C" w:rsidRPr="00A0125C">
        <w:rPr>
          <w:sz w:val="24"/>
          <w:szCs w:val="24"/>
        </w:rPr>
        <w:t xml:space="preserve">Table </w:t>
      </w:r>
      <w:r w:rsidR="00A0125C" w:rsidRPr="00A0125C">
        <w:rPr>
          <w:noProof/>
          <w:sz w:val="24"/>
          <w:szCs w:val="24"/>
        </w:rPr>
        <w:t>11</w:t>
      </w:r>
      <w:r w:rsidR="00A0125C" w:rsidRPr="00A0125C">
        <w:rPr>
          <w:color w:val="0D0D0D" w:themeColor="text1" w:themeTint="F2"/>
          <w:sz w:val="24"/>
          <w:szCs w:val="24"/>
        </w:rPr>
        <w:fldChar w:fldCharType="end"/>
      </w:r>
      <w:r w:rsidR="000C2762" w:rsidRPr="00CB1132">
        <w:rPr>
          <w:color w:val="0D0D0D" w:themeColor="text1" w:themeTint="F2"/>
          <w:sz w:val="24"/>
        </w:rPr>
        <w:t xml:space="preserve"> below</w:t>
      </w:r>
      <w:r>
        <w:rPr>
          <w:color w:val="0D0D0D" w:themeColor="text1" w:themeTint="F2"/>
          <w:sz w:val="24"/>
        </w:rPr>
        <w:t>, Option</w:t>
      </w:r>
      <w:r w:rsidR="00056E08">
        <w:rPr>
          <w:color w:val="0D0D0D" w:themeColor="text1" w:themeTint="F2"/>
          <w:sz w:val="24"/>
        </w:rPr>
        <w:t xml:space="preserve"> 2</w:t>
      </w:r>
      <w:r>
        <w:rPr>
          <w:color w:val="0D0D0D" w:themeColor="text1" w:themeTint="F2"/>
          <w:sz w:val="24"/>
        </w:rPr>
        <w:t xml:space="preserve"> would not provide the opportunity for </w:t>
      </w:r>
      <w:r w:rsidR="00056E08">
        <w:rPr>
          <w:color w:val="0D0D0D" w:themeColor="text1" w:themeTint="F2"/>
          <w:sz w:val="24"/>
        </w:rPr>
        <w:t xml:space="preserve">significant CPP reform and </w:t>
      </w:r>
      <w:r w:rsidR="00B53CFF">
        <w:rPr>
          <w:color w:val="0D0D0D" w:themeColor="text1" w:themeTint="F2"/>
          <w:sz w:val="24"/>
        </w:rPr>
        <w:t>the development of better targeted CPPs</w:t>
      </w:r>
      <w:r w:rsidR="00056E08">
        <w:rPr>
          <w:color w:val="0D0D0D" w:themeColor="text1" w:themeTint="F2"/>
          <w:sz w:val="24"/>
        </w:rPr>
        <w:t>,</w:t>
      </w:r>
      <w:r w:rsidR="00B53CFF">
        <w:rPr>
          <w:color w:val="0D0D0D" w:themeColor="text1" w:themeTint="F2"/>
          <w:sz w:val="24"/>
        </w:rPr>
        <w:t xml:space="preserve"> through </w:t>
      </w:r>
      <w:r w:rsidR="00056E08">
        <w:rPr>
          <w:color w:val="0D0D0D" w:themeColor="text1" w:themeTint="F2"/>
          <w:sz w:val="24"/>
        </w:rPr>
        <w:t xml:space="preserve">development with a broad range of stakeholders. </w:t>
      </w:r>
    </w:p>
    <w:p w14:paraId="324C944B" w14:textId="77777777" w:rsidR="005D701A" w:rsidRDefault="005D701A" w:rsidP="009E3E9A">
      <w:pPr>
        <w:rPr>
          <w:color w:val="0D0D0D" w:themeColor="text1" w:themeTint="F2"/>
          <w:sz w:val="24"/>
          <w:szCs w:val="22"/>
        </w:rPr>
        <w:sectPr w:rsidR="005D701A" w:rsidSect="00F54207">
          <w:pgSz w:w="11906" w:h="16838"/>
          <w:pgMar w:top="1559" w:right="851" w:bottom="1701" w:left="851" w:header="567" w:footer="57" w:gutter="0"/>
          <w:cols w:space="708"/>
          <w:docGrid w:linePitch="360"/>
        </w:sectPr>
      </w:pPr>
    </w:p>
    <w:p w14:paraId="3CAB1352" w14:textId="77777777" w:rsidR="009E3E9A" w:rsidRPr="00C20287" w:rsidRDefault="009E3E9A" w:rsidP="009E3E9A">
      <w:pPr>
        <w:rPr>
          <w:color w:val="0D0D0D" w:themeColor="text1" w:themeTint="F2"/>
          <w:sz w:val="24"/>
        </w:rPr>
      </w:pPr>
    </w:p>
    <w:p w14:paraId="3D02F829" w14:textId="332D94B6" w:rsidR="00A0125C" w:rsidRDefault="00A0125C" w:rsidP="00A0125C">
      <w:pPr>
        <w:pStyle w:val="Caption"/>
      </w:pPr>
      <w:bookmarkStart w:id="74" w:name="_Ref160011696"/>
      <w:r>
        <w:t xml:space="preserve">Table </w:t>
      </w:r>
      <w:fldSimple w:instr=" SEQ Table \* ARABIC ">
        <w:r>
          <w:rPr>
            <w:noProof/>
          </w:rPr>
          <w:t>11</w:t>
        </w:r>
      </w:fldSimple>
      <w:bookmarkEnd w:id="74"/>
      <w:r>
        <w:t xml:space="preserve">. </w:t>
      </w:r>
      <w:r w:rsidRPr="00AC579A">
        <w:t>Expenditure and number of services for consumer focused Community Pharmacy Programs under the 7CPA</w:t>
      </w:r>
    </w:p>
    <w:tbl>
      <w:tblPr>
        <w:tblStyle w:val="TableGrid"/>
        <w:tblW w:w="0" w:type="auto"/>
        <w:tblLook w:val="04A0" w:firstRow="1" w:lastRow="0" w:firstColumn="1" w:lastColumn="0" w:noHBand="0" w:noVBand="1"/>
      </w:tblPr>
      <w:tblGrid>
        <w:gridCol w:w="1555"/>
        <w:gridCol w:w="1127"/>
        <w:gridCol w:w="1360"/>
        <w:gridCol w:w="1232"/>
        <w:gridCol w:w="1460"/>
        <w:gridCol w:w="1234"/>
        <w:gridCol w:w="1589"/>
        <w:gridCol w:w="1318"/>
        <w:gridCol w:w="1360"/>
        <w:gridCol w:w="1333"/>
      </w:tblGrid>
      <w:tr w:rsidR="009E3E9A" w:rsidRPr="00C20287" w14:paraId="16396B3A" w14:textId="77777777" w:rsidTr="00CA72FA">
        <w:tc>
          <w:tcPr>
            <w:tcW w:w="1555" w:type="dxa"/>
            <w:vMerge w:val="restart"/>
            <w:shd w:val="clear" w:color="auto" w:fill="FFDC95" w:themeFill="accent5" w:themeFillTint="66"/>
            <w:noWrap/>
            <w:vAlign w:val="center"/>
            <w:hideMark/>
          </w:tcPr>
          <w:p w14:paraId="49B7E0D5" w14:textId="77777777" w:rsidR="009E3E9A" w:rsidRPr="00C20287" w:rsidRDefault="009E3E9A" w:rsidP="00AF325F">
            <w:pPr>
              <w:jc w:val="center"/>
              <w:rPr>
                <w:b/>
                <w:bCs/>
              </w:rPr>
            </w:pPr>
            <w:r w:rsidRPr="00C20287">
              <w:rPr>
                <w:b/>
                <w:bCs/>
              </w:rPr>
              <w:t>Program or Service</w:t>
            </w:r>
          </w:p>
        </w:tc>
        <w:tc>
          <w:tcPr>
            <w:tcW w:w="3685" w:type="dxa"/>
            <w:gridSpan w:val="3"/>
            <w:shd w:val="clear" w:color="auto" w:fill="FFDC95" w:themeFill="accent5" w:themeFillTint="66"/>
          </w:tcPr>
          <w:p w14:paraId="2E393900" w14:textId="77777777" w:rsidR="009E3E9A" w:rsidRPr="00C20287" w:rsidRDefault="009E3E9A" w:rsidP="00AF325F">
            <w:pPr>
              <w:jc w:val="center"/>
              <w:rPr>
                <w:b/>
                <w:bCs/>
              </w:rPr>
            </w:pPr>
            <w:r w:rsidRPr="00C20287">
              <w:rPr>
                <w:b/>
                <w:bCs/>
              </w:rPr>
              <w:t>July 2020– June 2021</w:t>
            </w:r>
          </w:p>
        </w:tc>
        <w:tc>
          <w:tcPr>
            <w:tcW w:w="4283" w:type="dxa"/>
            <w:gridSpan w:val="3"/>
            <w:shd w:val="clear" w:color="auto" w:fill="FFDC95" w:themeFill="accent5" w:themeFillTint="66"/>
          </w:tcPr>
          <w:p w14:paraId="644C84DF" w14:textId="77777777" w:rsidR="009E3E9A" w:rsidRPr="00C20287" w:rsidRDefault="009E3E9A" w:rsidP="00AF325F">
            <w:pPr>
              <w:jc w:val="center"/>
              <w:rPr>
                <w:b/>
                <w:bCs/>
              </w:rPr>
            </w:pPr>
            <w:r w:rsidRPr="00C20287">
              <w:rPr>
                <w:b/>
                <w:bCs/>
              </w:rPr>
              <w:t>July 2021 – June 2022</w:t>
            </w:r>
          </w:p>
        </w:tc>
        <w:tc>
          <w:tcPr>
            <w:tcW w:w="0" w:type="auto"/>
            <w:gridSpan w:val="3"/>
            <w:shd w:val="clear" w:color="auto" w:fill="FFDC95" w:themeFill="accent5" w:themeFillTint="66"/>
          </w:tcPr>
          <w:p w14:paraId="669250FA" w14:textId="77777777" w:rsidR="009E3E9A" w:rsidRPr="00C20287" w:rsidRDefault="009E3E9A" w:rsidP="00AF325F">
            <w:pPr>
              <w:jc w:val="center"/>
              <w:rPr>
                <w:b/>
                <w:bCs/>
              </w:rPr>
            </w:pPr>
            <w:r w:rsidRPr="00C20287">
              <w:rPr>
                <w:b/>
                <w:bCs/>
              </w:rPr>
              <w:t>July 2022- June 202</w:t>
            </w:r>
            <w:r>
              <w:rPr>
                <w:b/>
                <w:bCs/>
              </w:rPr>
              <w:t>3</w:t>
            </w:r>
          </w:p>
        </w:tc>
      </w:tr>
      <w:tr w:rsidR="009E3E9A" w:rsidRPr="00C20287" w14:paraId="5890CD32" w14:textId="77777777" w:rsidTr="00CA72FA">
        <w:tc>
          <w:tcPr>
            <w:tcW w:w="1555" w:type="dxa"/>
            <w:vMerge/>
            <w:shd w:val="clear" w:color="auto" w:fill="FFEDCA" w:themeFill="accent5" w:themeFillTint="33"/>
            <w:noWrap/>
            <w:vAlign w:val="center"/>
            <w:hideMark/>
          </w:tcPr>
          <w:p w14:paraId="33D352D5" w14:textId="77777777" w:rsidR="009E3E9A" w:rsidRPr="00C20287" w:rsidRDefault="009E3E9A" w:rsidP="00AF325F">
            <w:pPr>
              <w:jc w:val="center"/>
              <w:rPr>
                <w:b/>
                <w:bCs/>
              </w:rPr>
            </w:pPr>
          </w:p>
        </w:tc>
        <w:tc>
          <w:tcPr>
            <w:tcW w:w="1127" w:type="dxa"/>
            <w:shd w:val="clear" w:color="auto" w:fill="FFDC95" w:themeFill="accent5" w:themeFillTint="66"/>
            <w:vAlign w:val="center"/>
          </w:tcPr>
          <w:p w14:paraId="4D1D8926" w14:textId="34233BC5" w:rsidR="009E3E9A" w:rsidRPr="00C20287" w:rsidRDefault="009E3E9A" w:rsidP="00AF325F">
            <w:pPr>
              <w:jc w:val="center"/>
              <w:rPr>
                <w:b/>
                <w:bCs/>
              </w:rPr>
            </w:pPr>
            <w:r w:rsidRPr="00C20287">
              <w:rPr>
                <w:b/>
                <w:bCs/>
              </w:rPr>
              <w:t>No. Providers</w:t>
            </w:r>
            <w:r w:rsidR="00F51E4F">
              <w:rPr>
                <w:b/>
                <w:bCs/>
                <w:vertAlign w:val="superscript"/>
              </w:rPr>
              <w:t>a</w:t>
            </w:r>
          </w:p>
        </w:tc>
        <w:tc>
          <w:tcPr>
            <w:tcW w:w="0" w:type="auto"/>
            <w:shd w:val="clear" w:color="auto" w:fill="FFDC95" w:themeFill="accent5" w:themeFillTint="66"/>
            <w:noWrap/>
            <w:vAlign w:val="center"/>
            <w:hideMark/>
          </w:tcPr>
          <w:p w14:paraId="0123537F" w14:textId="77777777" w:rsidR="009E3E9A" w:rsidRPr="00C20287" w:rsidRDefault="009E3E9A" w:rsidP="00AF325F">
            <w:pPr>
              <w:jc w:val="center"/>
              <w:rPr>
                <w:b/>
                <w:bCs/>
              </w:rPr>
            </w:pPr>
            <w:r w:rsidRPr="00C20287">
              <w:rPr>
                <w:b/>
                <w:bCs/>
              </w:rPr>
              <w:t>Total Services</w:t>
            </w:r>
          </w:p>
        </w:tc>
        <w:tc>
          <w:tcPr>
            <w:tcW w:w="1198" w:type="dxa"/>
            <w:shd w:val="clear" w:color="auto" w:fill="FFDC95" w:themeFill="accent5" w:themeFillTint="66"/>
            <w:noWrap/>
            <w:vAlign w:val="center"/>
            <w:hideMark/>
          </w:tcPr>
          <w:p w14:paraId="4346D6B3" w14:textId="77777777" w:rsidR="009E3E9A" w:rsidRPr="00C20287" w:rsidRDefault="009E3E9A" w:rsidP="00AF325F">
            <w:pPr>
              <w:jc w:val="center"/>
              <w:rPr>
                <w:b/>
                <w:bCs/>
              </w:rPr>
            </w:pPr>
            <w:r w:rsidRPr="00C20287">
              <w:rPr>
                <w:b/>
                <w:bCs/>
              </w:rPr>
              <w:t>Expenditure</w:t>
            </w:r>
          </w:p>
        </w:tc>
        <w:tc>
          <w:tcPr>
            <w:tcW w:w="1460" w:type="dxa"/>
            <w:shd w:val="clear" w:color="auto" w:fill="FFDC95" w:themeFill="accent5" w:themeFillTint="66"/>
            <w:vAlign w:val="center"/>
          </w:tcPr>
          <w:p w14:paraId="0FA76746" w14:textId="77777777" w:rsidR="009E3E9A" w:rsidRPr="00C20287" w:rsidRDefault="009E3E9A" w:rsidP="00AF325F">
            <w:pPr>
              <w:jc w:val="center"/>
              <w:rPr>
                <w:b/>
                <w:bCs/>
              </w:rPr>
            </w:pPr>
            <w:r w:rsidRPr="00C20287">
              <w:rPr>
                <w:b/>
                <w:bCs/>
              </w:rPr>
              <w:t>No. Providers</w:t>
            </w:r>
          </w:p>
        </w:tc>
        <w:tc>
          <w:tcPr>
            <w:tcW w:w="1234" w:type="dxa"/>
            <w:shd w:val="clear" w:color="auto" w:fill="FFDC95" w:themeFill="accent5" w:themeFillTint="66"/>
            <w:noWrap/>
            <w:vAlign w:val="center"/>
            <w:hideMark/>
          </w:tcPr>
          <w:p w14:paraId="2431A9FE" w14:textId="77777777" w:rsidR="009E3E9A" w:rsidRPr="00C20287" w:rsidRDefault="009E3E9A" w:rsidP="00AF325F">
            <w:pPr>
              <w:jc w:val="center"/>
              <w:rPr>
                <w:b/>
                <w:bCs/>
              </w:rPr>
            </w:pPr>
            <w:r w:rsidRPr="00C20287">
              <w:rPr>
                <w:b/>
                <w:bCs/>
              </w:rPr>
              <w:t>Total Services</w:t>
            </w:r>
          </w:p>
        </w:tc>
        <w:tc>
          <w:tcPr>
            <w:tcW w:w="0" w:type="auto"/>
            <w:shd w:val="clear" w:color="auto" w:fill="FFDC95" w:themeFill="accent5" w:themeFillTint="66"/>
            <w:noWrap/>
            <w:vAlign w:val="center"/>
            <w:hideMark/>
          </w:tcPr>
          <w:p w14:paraId="20534CA4" w14:textId="77777777" w:rsidR="009E3E9A" w:rsidRPr="00C20287" w:rsidRDefault="009E3E9A" w:rsidP="00AF325F">
            <w:pPr>
              <w:jc w:val="center"/>
              <w:rPr>
                <w:b/>
                <w:bCs/>
              </w:rPr>
            </w:pPr>
            <w:r w:rsidRPr="00C20287">
              <w:rPr>
                <w:b/>
                <w:bCs/>
              </w:rPr>
              <w:t>Expenditure</w:t>
            </w:r>
          </w:p>
        </w:tc>
        <w:tc>
          <w:tcPr>
            <w:tcW w:w="0" w:type="auto"/>
            <w:shd w:val="clear" w:color="auto" w:fill="FFDC95" w:themeFill="accent5" w:themeFillTint="66"/>
            <w:vAlign w:val="center"/>
          </w:tcPr>
          <w:p w14:paraId="36B0017A" w14:textId="77777777" w:rsidR="009E3E9A" w:rsidRPr="00C20287" w:rsidRDefault="009E3E9A" w:rsidP="00AF325F">
            <w:pPr>
              <w:jc w:val="center"/>
              <w:rPr>
                <w:b/>
                <w:bCs/>
              </w:rPr>
            </w:pPr>
            <w:r w:rsidRPr="00C20287">
              <w:rPr>
                <w:b/>
                <w:bCs/>
              </w:rPr>
              <w:t>No. Providers</w:t>
            </w:r>
          </w:p>
        </w:tc>
        <w:tc>
          <w:tcPr>
            <w:tcW w:w="0" w:type="auto"/>
            <w:shd w:val="clear" w:color="auto" w:fill="FFDC95" w:themeFill="accent5" w:themeFillTint="66"/>
            <w:noWrap/>
            <w:vAlign w:val="center"/>
            <w:hideMark/>
          </w:tcPr>
          <w:p w14:paraId="19356D41" w14:textId="77777777" w:rsidR="009E3E9A" w:rsidRPr="00C20287" w:rsidRDefault="009E3E9A" w:rsidP="00AF325F">
            <w:pPr>
              <w:jc w:val="center"/>
              <w:rPr>
                <w:b/>
                <w:bCs/>
              </w:rPr>
            </w:pPr>
            <w:r w:rsidRPr="00C20287">
              <w:rPr>
                <w:b/>
                <w:bCs/>
              </w:rPr>
              <w:t>Total Services</w:t>
            </w:r>
          </w:p>
        </w:tc>
        <w:tc>
          <w:tcPr>
            <w:tcW w:w="0" w:type="auto"/>
            <w:shd w:val="clear" w:color="auto" w:fill="FFDC95" w:themeFill="accent5" w:themeFillTint="66"/>
            <w:noWrap/>
            <w:vAlign w:val="center"/>
            <w:hideMark/>
          </w:tcPr>
          <w:p w14:paraId="31AD187A" w14:textId="77777777" w:rsidR="009E3E9A" w:rsidRPr="00C20287" w:rsidRDefault="009E3E9A" w:rsidP="00AF325F">
            <w:pPr>
              <w:jc w:val="center"/>
              <w:rPr>
                <w:b/>
                <w:bCs/>
              </w:rPr>
            </w:pPr>
            <w:r w:rsidRPr="00C20287">
              <w:rPr>
                <w:b/>
                <w:bCs/>
              </w:rPr>
              <w:t>Expenditure</w:t>
            </w:r>
          </w:p>
        </w:tc>
      </w:tr>
      <w:tr w:rsidR="009E3E9A" w:rsidRPr="00C20287" w14:paraId="12C6BCAB" w14:textId="77777777" w:rsidTr="00CA72FA">
        <w:tc>
          <w:tcPr>
            <w:tcW w:w="1555" w:type="dxa"/>
            <w:shd w:val="clear" w:color="auto" w:fill="FFDC95" w:themeFill="accent5" w:themeFillTint="66"/>
            <w:noWrap/>
            <w:vAlign w:val="center"/>
            <w:hideMark/>
          </w:tcPr>
          <w:p w14:paraId="461CDEF1" w14:textId="77777777" w:rsidR="009E3E9A" w:rsidRPr="00C20287" w:rsidRDefault="009E3E9A" w:rsidP="00AF325F">
            <w:pPr>
              <w:rPr>
                <w:b/>
                <w:bCs/>
              </w:rPr>
            </w:pPr>
            <w:r w:rsidRPr="00C20287">
              <w:rPr>
                <w:b/>
                <w:bCs/>
              </w:rPr>
              <w:t xml:space="preserve">Dose Administration Aids </w:t>
            </w:r>
          </w:p>
        </w:tc>
        <w:tc>
          <w:tcPr>
            <w:tcW w:w="1127" w:type="dxa"/>
            <w:vAlign w:val="center"/>
          </w:tcPr>
          <w:p w14:paraId="5CA18CFB" w14:textId="31A90CF1" w:rsidR="009E3E9A" w:rsidRPr="00C20287" w:rsidDel="005F5C62" w:rsidRDefault="00A26990" w:rsidP="00AF325F">
            <w:pPr>
              <w:jc w:val="right"/>
            </w:pPr>
            <w:r>
              <w:rPr>
                <w:rFonts w:ascii="Calibri" w:hAnsi="Calibri" w:cs="Calibri"/>
                <w:color w:val="000000"/>
              </w:rPr>
              <w:t>4,989</w:t>
            </w:r>
          </w:p>
        </w:tc>
        <w:tc>
          <w:tcPr>
            <w:tcW w:w="0" w:type="auto"/>
            <w:noWrap/>
            <w:vAlign w:val="center"/>
            <w:hideMark/>
          </w:tcPr>
          <w:p w14:paraId="3CAA5353" w14:textId="77777777" w:rsidR="009E3E9A" w:rsidRPr="00C20287" w:rsidRDefault="009E3E9A" w:rsidP="00AF325F">
            <w:pPr>
              <w:jc w:val="right"/>
              <w:rPr>
                <w:rFonts w:ascii="Calibri" w:hAnsi="Calibri" w:cs="Calibri"/>
                <w:bCs/>
                <w:color w:val="000000"/>
              </w:rPr>
            </w:pPr>
            <w:r w:rsidRPr="00C20287">
              <w:rPr>
                <w:rFonts w:ascii="Calibri" w:hAnsi="Calibri" w:cs="Calibri"/>
                <w:bCs/>
                <w:color w:val="000000"/>
              </w:rPr>
              <w:t>15,752,222</w:t>
            </w:r>
          </w:p>
        </w:tc>
        <w:tc>
          <w:tcPr>
            <w:tcW w:w="1198" w:type="dxa"/>
            <w:noWrap/>
            <w:vAlign w:val="center"/>
            <w:hideMark/>
          </w:tcPr>
          <w:p w14:paraId="6D4B5E55" w14:textId="77777777" w:rsidR="009E3E9A" w:rsidRPr="00C20287" w:rsidRDefault="009E3E9A" w:rsidP="00AF325F">
            <w:pPr>
              <w:jc w:val="right"/>
            </w:pPr>
            <w:r w:rsidRPr="00C20287">
              <w:rPr>
                <w:rFonts w:ascii="Calibri" w:hAnsi="Calibri" w:cs="Calibri"/>
                <w:b/>
                <w:bCs/>
                <w:color w:val="000000"/>
              </w:rPr>
              <w:t>$97,432,020</w:t>
            </w:r>
          </w:p>
        </w:tc>
        <w:tc>
          <w:tcPr>
            <w:tcW w:w="1460" w:type="dxa"/>
            <w:vAlign w:val="center"/>
          </w:tcPr>
          <w:p w14:paraId="7F6ED225" w14:textId="77777777" w:rsidR="009E3E9A" w:rsidRPr="00C20287" w:rsidRDefault="009E3E9A" w:rsidP="00AF325F">
            <w:pPr>
              <w:jc w:val="right"/>
              <w:rPr>
                <w:rFonts w:ascii="Calibri" w:hAnsi="Calibri" w:cs="Calibri"/>
                <w:color w:val="000000"/>
              </w:rPr>
            </w:pPr>
            <w:r w:rsidRPr="00C20287">
              <w:rPr>
                <w:rFonts w:ascii="Calibri" w:hAnsi="Calibri" w:cs="Calibri"/>
                <w:color w:val="000000"/>
              </w:rPr>
              <w:t>5,034</w:t>
            </w:r>
          </w:p>
        </w:tc>
        <w:tc>
          <w:tcPr>
            <w:tcW w:w="1234" w:type="dxa"/>
            <w:noWrap/>
            <w:vAlign w:val="center"/>
          </w:tcPr>
          <w:p w14:paraId="5980CB9A" w14:textId="77777777" w:rsidR="009E3E9A" w:rsidRPr="00C20287" w:rsidRDefault="009E3E9A" w:rsidP="00AF325F">
            <w:pPr>
              <w:jc w:val="right"/>
            </w:pPr>
            <w:r w:rsidRPr="00C20287">
              <w:rPr>
                <w:rFonts w:ascii="Calibri" w:hAnsi="Calibri" w:cs="Calibri"/>
                <w:bCs/>
                <w:color w:val="000000"/>
              </w:rPr>
              <w:t>15,846,601</w:t>
            </w:r>
          </w:p>
        </w:tc>
        <w:tc>
          <w:tcPr>
            <w:tcW w:w="0" w:type="auto"/>
            <w:noWrap/>
            <w:vAlign w:val="center"/>
          </w:tcPr>
          <w:p w14:paraId="3D0FBE05" w14:textId="77777777" w:rsidR="009E3E9A" w:rsidRPr="00C20287" w:rsidRDefault="009E3E9A" w:rsidP="00AF325F">
            <w:pPr>
              <w:jc w:val="right"/>
            </w:pPr>
            <w:r w:rsidRPr="00C20287">
              <w:rPr>
                <w:rFonts w:ascii="Calibri" w:hAnsi="Calibri" w:cs="Calibri"/>
                <w:b/>
                <w:bCs/>
                <w:color w:val="000000"/>
              </w:rPr>
              <w:t>$98,167,717</w:t>
            </w:r>
          </w:p>
        </w:tc>
        <w:tc>
          <w:tcPr>
            <w:tcW w:w="0" w:type="auto"/>
            <w:vAlign w:val="center"/>
          </w:tcPr>
          <w:p w14:paraId="1FF98EF3" w14:textId="3D624454" w:rsidR="009E3E9A" w:rsidRPr="00C20287" w:rsidRDefault="009E3E9A" w:rsidP="00AF325F">
            <w:pPr>
              <w:ind w:right="50"/>
              <w:jc w:val="right"/>
              <w:rPr>
                <w:rFonts w:ascii="Calibri" w:hAnsi="Calibri" w:cs="Calibri"/>
                <w:color w:val="000000"/>
              </w:rPr>
            </w:pPr>
            <w:r w:rsidRPr="00C20287">
              <w:rPr>
                <w:rFonts w:ascii="Calibri" w:hAnsi="Calibri" w:cs="Calibri"/>
                <w:color w:val="000000"/>
              </w:rPr>
              <w:t>5,0</w:t>
            </w:r>
            <w:r w:rsidR="00A26990">
              <w:rPr>
                <w:rFonts w:ascii="Calibri" w:hAnsi="Calibri" w:cs="Calibri"/>
                <w:color w:val="000000"/>
              </w:rPr>
              <w:t>34</w:t>
            </w:r>
          </w:p>
        </w:tc>
        <w:tc>
          <w:tcPr>
            <w:tcW w:w="0" w:type="auto"/>
            <w:noWrap/>
            <w:vAlign w:val="center"/>
          </w:tcPr>
          <w:p w14:paraId="43EDBE8B" w14:textId="77777777" w:rsidR="009E3E9A" w:rsidRPr="00C20287" w:rsidRDefault="009E3E9A" w:rsidP="00AF325F">
            <w:pPr>
              <w:jc w:val="right"/>
            </w:pPr>
            <w:r w:rsidRPr="00C20287">
              <w:rPr>
                <w:rFonts w:ascii="Calibri" w:hAnsi="Calibri" w:cs="Calibri"/>
                <w:bCs/>
                <w:color w:val="000000"/>
              </w:rPr>
              <w:t>16,210,288</w:t>
            </w:r>
          </w:p>
        </w:tc>
        <w:tc>
          <w:tcPr>
            <w:tcW w:w="0" w:type="auto"/>
            <w:noWrap/>
            <w:vAlign w:val="center"/>
          </w:tcPr>
          <w:p w14:paraId="12B3B22A" w14:textId="77777777" w:rsidR="009E3E9A" w:rsidRPr="00C20287" w:rsidRDefault="009E3E9A" w:rsidP="00AF325F">
            <w:pPr>
              <w:jc w:val="right"/>
              <w:rPr>
                <w:highlight w:val="red"/>
              </w:rPr>
            </w:pPr>
            <w:r w:rsidRPr="00C20287">
              <w:rPr>
                <w:rFonts w:ascii="Calibri" w:hAnsi="Calibri" w:cs="Calibri"/>
                <w:b/>
                <w:bCs/>
                <w:color w:val="000000"/>
              </w:rPr>
              <w:t>$100,337,959</w:t>
            </w:r>
          </w:p>
        </w:tc>
      </w:tr>
      <w:tr w:rsidR="009E3E9A" w:rsidRPr="00C20287" w14:paraId="5B794EB6" w14:textId="77777777" w:rsidTr="00CA72FA">
        <w:tc>
          <w:tcPr>
            <w:tcW w:w="1555" w:type="dxa"/>
            <w:shd w:val="clear" w:color="auto" w:fill="FFDC95" w:themeFill="accent5" w:themeFillTint="66"/>
            <w:noWrap/>
            <w:vAlign w:val="center"/>
            <w:hideMark/>
          </w:tcPr>
          <w:p w14:paraId="6D40A391" w14:textId="77777777" w:rsidR="009E3E9A" w:rsidRPr="00C20287" w:rsidRDefault="009E3E9A" w:rsidP="00AF325F">
            <w:pPr>
              <w:rPr>
                <w:b/>
                <w:bCs/>
              </w:rPr>
            </w:pPr>
            <w:r w:rsidRPr="00C20287">
              <w:rPr>
                <w:b/>
                <w:bCs/>
              </w:rPr>
              <w:t>Indigenous Dose Administration Aids*</w:t>
            </w:r>
          </w:p>
        </w:tc>
        <w:tc>
          <w:tcPr>
            <w:tcW w:w="1127" w:type="dxa"/>
            <w:vAlign w:val="center"/>
          </w:tcPr>
          <w:p w14:paraId="63CFDB66" w14:textId="10539F48" w:rsidR="009E3E9A" w:rsidRPr="00C20287" w:rsidRDefault="00786FC3" w:rsidP="00AF325F">
            <w:pPr>
              <w:ind w:right="50"/>
              <w:jc w:val="right"/>
            </w:pPr>
            <w:r>
              <w:t>n/a</w:t>
            </w:r>
          </w:p>
        </w:tc>
        <w:tc>
          <w:tcPr>
            <w:tcW w:w="0" w:type="auto"/>
            <w:noWrap/>
            <w:vAlign w:val="center"/>
            <w:hideMark/>
          </w:tcPr>
          <w:p w14:paraId="3820BD49" w14:textId="77777777" w:rsidR="009E3E9A" w:rsidRPr="00C20287" w:rsidRDefault="009E3E9A" w:rsidP="00AF325F">
            <w:pPr>
              <w:ind w:right="50"/>
              <w:jc w:val="right"/>
            </w:pPr>
            <w:r w:rsidRPr="00C20287">
              <w:t>n/a</w:t>
            </w:r>
          </w:p>
        </w:tc>
        <w:tc>
          <w:tcPr>
            <w:tcW w:w="1198" w:type="dxa"/>
            <w:noWrap/>
            <w:vAlign w:val="center"/>
            <w:hideMark/>
          </w:tcPr>
          <w:p w14:paraId="5B0A5C34" w14:textId="77777777" w:rsidR="009E3E9A" w:rsidRPr="00C20287" w:rsidRDefault="009E3E9A" w:rsidP="00AF325F">
            <w:pPr>
              <w:ind w:right="50"/>
              <w:jc w:val="right"/>
            </w:pPr>
            <w:r w:rsidRPr="00C20287">
              <w:t>n/a</w:t>
            </w:r>
          </w:p>
        </w:tc>
        <w:tc>
          <w:tcPr>
            <w:tcW w:w="1460" w:type="dxa"/>
            <w:vAlign w:val="center"/>
          </w:tcPr>
          <w:p w14:paraId="37802A0E" w14:textId="77777777" w:rsidR="009E3E9A" w:rsidRPr="00C20287" w:rsidRDefault="009E3E9A" w:rsidP="00AF325F">
            <w:pPr>
              <w:spacing w:after="160" w:line="259" w:lineRule="auto"/>
              <w:jc w:val="right"/>
              <w:rPr>
                <w:rFonts w:ascii="Calibri" w:hAnsi="Calibri" w:cs="Calibri"/>
                <w:color w:val="000000"/>
              </w:rPr>
            </w:pPr>
            <w:r w:rsidRPr="00C20287">
              <w:rPr>
                <w:rFonts w:ascii="Calibri" w:hAnsi="Calibri" w:cs="Calibri"/>
                <w:color w:val="000000"/>
              </w:rPr>
              <w:t>1,827</w:t>
            </w:r>
          </w:p>
        </w:tc>
        <w:tc>
          <w:tcPr>
            <w:tcW w:w="1234" w:type="dxa"/>
            <w:noWrap/>
            <w:vAlign w:val="center"/>
          </w:tcPr>
          <w:p w14:paraId="4ADA3BE5" w14:textId="77777777" w:rsidR="009E3E9A" w:rsidRPr="00C20287" w:rsidRDefault="009E3E9A" w:rsidP="00AF325F">
            <w:pPr>
              <w:jc w:val="right"/>
            </w:pPr>
            <w:r w:rsidRPr="00C20287">
              <w:rPr>
                <w:rFonts w:ascii="Calibri" w:hAnsi="Calibri" w:cs="Calibri"/>
                <w:bCs/>
                <w:color w:val="000000"/>
              </w:rPr>
              <w:t>1,477,949</w:t>
            </w:r>
          </w:p>
        </w:tc>
        <w:tc>
          <w:tcPr>
            <w:tcW w:w="0" w:type="auto"/>
            <w:noWrap/>
            <w:vAlign w:val="center"/>
          </w:tcPr>
          <w:p w14:paraId="31388DBE" w14:textId="77777777" w:rsidR="009E3E9A" w:rsidRPr="00C20287" w:rsidRDefault="009E3E9A" w:rsidP="00AF325F">
            <w:pPr>
              <w:jc w:val="right"/>
            </w:pPr>
            <w:r w:rsidRPr="00C20287">
              <w:rPr>
                <w:rFonts w:ascii="Calibri" w:hAnsi="Calibri" w:cs="Calibri"/>
                <w:b/>
                <w:bCs/>
                <w:color w:val="000000"/>
              </w:rPr>
              <w:t>$17,467,454</w:t>
            </w:r>
          </w:p>
        </w:tc>
        <w:tc>
          <w:tcPr>
            <w:tcW w:w="0" w:type="auto"/>
            <w:vAlign w:val="center"/>
          </w:tcPr>
          <w:p w14:paraId="61A28BC9" w14:textId="77777777" w:rsidR="009E3E9A" w:rsidRPr="00C20287" w:rsidRDefault="009E3E9A" w:rsidP="00AF325F">
            <w:pPr>
              <w:jc w:val="right"/>
              <w:rPr>
                <w:rFonts w:ascii="Calibri" w:hAnsi="Calibri" w:cs="Calibri"/>
                <w:color w:val="000000"/>
              </w:rPr>
            </w:pPr>
            <w:r w:rsidRPr="00C20287">
              <w:rPr>
                <w:rFonts w:ascii="Calibri" w:hAnsi="Calibri" w:cs="Calibri"/>
                <w:color w:val="000000"/>
              </w:rPr>
              <w:t>2,157</w:t>
            </w:r>
          </w:p>
        </w:tc>
        <w:tc>
          <w:tcPr>
            <w:tcW w:w="0" w:type="auto"/>
            <w:noWrap/>
            <w:vAlign w:val="center"/>
          </w:tcPr>
          <w:p w14:paraId="33D98F16" w14:textId="77777777" w:rsidR="009E3E9A" w:rsidRPr="00C20287" w:rsidRDefault="009E3E9A" w:rsidP="00AF325F">
            <w:pPr>
              <w:jc w:val="right"/>
            </w:pPr>
            <w:r w:rsidRPr="00C20287">
              <w:rPr>
                <w:rFonts w:ascii="Calibri" w:hAnsi="Calibri" w:cs="Calibri"/>
                <w:bCs/>
                <w:color w:val="000000"/>
              </w:rPr>
              <w:t>1,878,629</w:t>
            </w:r>
          </w:p>
        </w:tc>
        <w:tc>
          <w:tcPr>
            <w:tcW w:w="0" w:type="auto"/>
            <w:noWrap/>
            <w:vAlign w:val="center"/>
          </w:tcPr>
          <w:p w14:paraId="3C531C81" w14:textId="77777777" w:rsidR="009E3E9A" w:rsidRPr="00C20287" w:rsidRDefault="009E3E9A" w:rsidP="00AF325F">
            <w:pPr>
              <w:ind w:right="50"/>
              <w:jc w:val="right"/>
            </w:pPr>
            <w:r w:rsidRPr="00C20287">
              <w:rPr>
                <w:rFonts w:ascii="Calibri" w:hAnsi="Calibri" w:cs="Calibri"/>
                <w:b/>
                <w:bCs/>
                <w:color w:val="000000"/>
              </w:rPr>
              <w:t>$22,060,207</w:t>
            </w:r>
          </w:p>
        </w:tc>
      </w:tr>
      <w:tr w:rsidR="009E3E9A" w:rsidRPr="00C20287" w14:paraId="62C7F86B" w14:textId="77777777" w:rsidTr="00CA72FA">
        <w:trPr>
          <w:trHeight w:val="370"/>
        </w:trPr>
        <w:tc>
          <w:tcPr>
            <w:tcW w:w="1555" w:type="dxa"/>
            <w:shd w:val="clear" w:color="auto" w:fill="FFDC95" w:themeFill="accent5" w:themeFillTint="66"/>
            <w:noWrap/>
            <w:vAlign w:val="center"/>
            <w:hideMark/>
          </w:tcPr>
          <w:p w14:paraId="57CD91C1" w14:textId="77777777" w:rsidR="009E3E9A" w:rsidRPr="00C20287" w:rsidRDefault="009E3E9A" w:rsidP="00AF325F">
            <w:pPr>
              <w:rPr>
                <w:b/>
                <w:bCs/>
              </w:rPr>
            </w:pPr>
            <w:r w:rsidRPr="00C20287">
              <w:rPr>
                <w:b/>
                <w:bCs/>
              </w:rPr>
              <w:t>Staged Supply</w:t>
            </w:r>
          </w:p>
        </w:tc>
        <w:tc>
          <w:tcPr>
            <w:tcW w:w="1127" w:type="dxa"/>
            <w:vAlign w:val="center"/>
          </w:tcPr>
          <w:p w14:paraId="045D79B3" w14:textId="7DE42EFE" w:rsidR="009E3E9A" w:rsidRPr="00C20287" w:rsidRDefault="0088146B" w:rsidP="00CA72FA">
            <w:pPr>
              <w:jc w:val="center"/>
              <w:rPr>
                <w:rFonts w:ascii="Calibri" w:hAnsi="Calibri" w:cs="Calibri"/>
                <w:color w:val="000000"/>
              </w:rPr>
            </w:pPr>
            <w:r>
              <w:rPr>
                <w:rFonts w:ascii="Calibri" w:hAnsi="Calibri" w:cs="Calibri"/>
                <w:color w:val="000000"/>
              </w:rPr>
              <w:t>2,635</w:t>
            </w:r>
          </w:p>
        </w:tc>
        <w:tc>
          <w:tcPr>
            <w:tcW w:w="0" w:type="auto"/>
            <w:noWrap/>
            <w:vAlign w:val="center"/>
            <w:hideMark/>
          </w:tcPr>
          <w:p w14:paraId="111280AD" w14:textId="77777777" w:rsidR="009E3E9A" w:rsidRPr="00C20287" w:rsidRDefault="009E3E9A" w:rsidP="00AF325F">
            <w:pPr>
              <w:jc w:val="right"/>
            </w:pPr>
            <w:r w:rsidRPr="00C20287">
              <w:rPr>
                <w:rFonts w:ascii="Calibri" w:hAnsi="Calibri" w:cs="Calibri"/>
                <w:bCs/>
                <w:color w:val="000000"/>
              </w:rPr>
              <w:t>184,360</w:t>
            </w:r>
          </w:p>
        </w:tc>
        <w:tc>
          <w:tcPr>
            <w:tcW w:w="1198" w:type="dxa"/>
            <w:noWrap/>
            <w:vAlign w:val="center"/>
            <w:hideMark/>
          </w:tcPr>
          <w:p w14:paraId="0DDF2C9D" w14:textId="77777777" w:rsidR="009E3E9A" w:rsidRPr="00C20287" w:rsidRDefault="009E3E9A" w:rsidP="00CA72FA">
            <w:pPr>
              <w:jc w:val="right"/>
              <w:rPr>
                <w:rFonts w:ascii="Calibri" w:hAnsi="Calibri" w:cs="Calibri"/>
                <w:b/>
                <w:bCs/>
                <w:color w:val="000000"/>
              </w:rPr>
            </w:pPr>
            <w:r w:rsidRPr="00C20287">
              <w:rPr>
                <w:rFonts w:ascii="Calibri" w:hAnsi="Calibri" w:cs="Calibri"/>
                <w:b/>
                <w:bCs/>
                <w:color w:val="000000"/>
              </w:rPr>
              <w:t>$8,835,567</w:t>
            </w:r>
          </w:p>
        </w:tc>
        <w:tc>
          <w:tcPr>
            <w:tcW w:w="1460" w:type="dxa"/>
            <w:vAlign w:val="center"/>
          </w:tcPr>
          <w:p w14:paraId="45BF4C9D" w14:textId="77777777" w:rsidR="009E3E9A" w:rsidRPr="00C20287" w:rsidRDefault="009E3E9A" w:rsidP="00AF325F">
            <w:pPr>
              <w:jc w:val="right"/>
            </w:pPr>
            <w:r w:rsidRPr="00C20287">
              <w:rPr>
                <w:rFonts w:ascii="Calibri" w:hAnsi="Calibri" w:cs="Calibri"/>
                <w:color w:val="000000"/>
              </w:rPr>
              <w:t>2,642</w:t>
            </w:r>
          </w:p>
        </w:tc>
        <w:tc>
          <w:tcPr>
            <w:tcW w:w="1234" w:type="dxa"/>
            <w:noWrap/>
            <w:vAlign w:val="center"/>
          </w:tcPr>
          <w:p w14:paraId="56EB0B1C" w14:textId="77777777" w:rsidR="009E3E9A" w:rsidRPr="00C20287" w:rsidRDefault="009E3E9A" w:rsidP="00AF325F">
            <w:pPr>
              <w:jc w:val="right"/>
            </w:pPr>
            <w:r w:rsidRPr="00C20287">
              <w:rPr>
                <w:rFonts w:ascii="Calibri" w:hAnsi="Calibri" w:cs="Calibri"/>
                <w:bCs/>
                <w:color w:val="000000"/>
              </w:rPr>
              <w:t>188,774</w:t>
            </w:r>
          </w:p>
        </w:tc>
        <w:tc>
          <w:tcPr>
            <w:tcW w:w="0" w:type="auto"/>
            <w:noWrap/>
            <w:vAlign w:val="center"/>
          </w:tcPr>
          <w:p w14:paraId="1216167A" w14:textId="77777777" w:rsidR="009E3E9A" w:rsidRPr="00C20287" w:rsidRDefault="009E3E9A" w:rsidP="00AF325F">
            <w:pPr>
              <w:jc w:val="right"/>
            </w:pPr>
            <w:r w:rsidRPr="00C20287">
              <w:rPr>
                <w:rFonts w:ascii="Calibri" w:hAnsi="Calibri" w:cs="Calibri"/>
                <w:b/>
                <w:bCs/>
                <w:color w:val="000000"/>
              </w:rPr>
              <w:t>$9,051,710</w:t>
            </w:r>
          </w:p>
        </w:tc>
        <w:tc>
          <w:tcPr>
            <w:tcW w:w="0" w:type="auto"/>
            <w:vAlign w:val="center"/>
          </w:tcPr>
          <w:p w14:paraId="74690FF9" w14:textId="77777777" w:rsidR="009E3E9A" w:rsidRPr="00C20287" w:rsidRDefault="009E3E9A" w:rsidP="00AF325F">
            <w:pPr>
              <w:jc w:val="right"/>
              <w:rPr>
                <w:rFonts w:ascii="Calibri" w:hAnsi="Calibri" w:cs="Calibri"/>
                <w:color w:val="000000"/>
              </w:rPr>
            </w:pPr>
            <w:r w:rsidRPr="00C20287">
              <w:rPr>
                <w:rFonts w:ascii="Calibri" w:hAnsi="Calibri" w:cs="Calibri"/>
                <w:color w:val="000000"/>
              </w:rPr>
              <w:t>2,933</w:t>
            </w:r>
          </w:p>
        </w:tc>
        <w:tc>
          <w:tcPr>
            <w:tcW w:w="0" w:type="auto"/>
            <w:noWrap/>
            <w:vAlign w:val="center"/>
          </w:tcPr>
          <w:p w14:paraId="7D96B27F" w14:textId="77777777" w:rsidR="009E3E9A" w:rsidRPr="00C20287" w:rsidRDefault="009E3E9A" w:rsidP="00AF325F">
            <w:pPr>
              <w:jc w:val="right"/>
            </w:pPr>
            <w:r w:rsidRPr="00C20287">
              <w:rPr>
                <w:rFonts w:ascii="Calibri" w:hAnsi="Calibri" w:cs="Calibri"/>
                <w:bCs/>
                <w:color w:val="000000"/>
              </w:rPr>
              <w:t>200,820</w:t>
            </w:r>
          </w:p>
        </w:tc>
        <w:tc>
          <w:tcPr>
            <w:tcW w:w="0" w:type="auto"/>
            <w:noWrap/>
            <w:vAlign w:val="center"/>
          </w:tcPr>
          <w:p w14:paraId="194AB9D6" w14:textId="77777777" w:rsidR="009E3E9A" w:rsidRPr="00C20287" w:rsidRDefault="009E3E9A" w:rsidP="00AF325F">
            <w:pPr>
              <w:jc w:val="right"/>
            </w:pPr>
            <w:r w:rsidRPr="00C20287">
              <w:rPr>
                <w:rFonts w:ascii="Calibri" w:hAnsi="Calibri" w:cs="Calibri"/>
                <w:b/>
                <w:bCs/>
                <w:color w:val="000000"/>
              </w:rPr>
              <w:t>$9,280,680</w:t>
            </w:r>
          </w:p>
        </w:tc>
      </w:tr>
      <w:tr w:rsidR="009E3E9A" w:rsidRPr="00C20287" w14:paraId="347B05D5" w14:textId="77777777" w:rsidTr="00CA72FA">
        <w:tc>
          <w:tcPr>
            <w:tcW w:w="1555" w:type="dxa"/>
            <w:shd w:val="clear" w:color="auto" w:fill="FFDC95" w:themeFill="accent5" w:themeFillTint="66"/>
            <w:noWrap/>
            <w:vAlign w:val="center"/>
            <w:hideMark/>
          </w:tcPr>
          <w:p w14:paraId="2C920B1F" w14:textId="77777777" w:rsidR="009E3E9A" w:rsidRPr="00C20287" w:rsidRDefault="009E3E9A" w:rsidP="00AF325F">
            <w:pPr>
              <w:rPr>
                <w:b/>
                <w:bCs/>
              </w:rPr>
            </w:pPr>
            <w:r w:rsidRPr="00C20287">
              <w:rPr>
                <w:b/>
                <w:bCs/>
              </w:rPr>
              <w:t>HMR**</w:t>
            </w:r>
          </w:p>
        </w:tc>
        <w:tc>
          <w:tcPr>
            <w:tcW w:w="1127" w:type="dxa"/>
            <w:vAlign w:val="center"/>
          </w:tcPr>
          <w:p w14:paraId="79C16D77" w14:textId="77777777" w:rsidR="009E3E9A" w:rsidRPr="00C20287" w:rsidRDefault="009E3E9A" w:rsidP="00AF325F">
            <w:pPr>
              <w:jc w:val="right"/>
            </w:pPr>
            <w:r w:rsidRPr="00C20287">
              <w:rPr>
                <w:rFonts w:ascii="Calibri" w:hAnsi="Calibri" w:cs="Calibri"/>
                <w:color w:val="000000"/>
              </w:rPr>
              <w:t>1,351</w:t>
            </w:r>
          </w:p>
        </w:tc>
        <w:tc>
          <w:tcPr>
            <w:tcW w:w="0" w:type="auto"/>
            <w:noWrap/>
            <w:vAlign w:val="center"/>
            <w:hideMark/>
          </w:tcPr>
          <w:p w14:paraId="0C9159D5" w14:textId="77777777" w:rsidR="009E3E9A" w:rsidRPr="00C20287" w:rsidRDefault="009E3E9A" w:rsidP="00AF325F">
            <w:pPr>
              <w:jc w:val="right"/>
            </w:pPr>
            <w:r w:rsidRPr="00C20287">
              <w:rPr>
                <w:rFonts w:ascii="Calibri" w:hAnsi="Calibri" w:cs="Calibri"/>
                <w:bCs/>
                <w:color w:val="000000"/>
              </w:rPr>
              <w:t>119,420</w:t>
            </w:r>
          </w:p>
        </w:tc>
        <w:tc>
          <w:tcPr>
            <w:tcW w:w="1198" w:type="dxa"/>
            <w:noWrap/>
            <w:vAlign w:val="center"/>
            <w:hideMark/>
          </w:tcPr>
          <w:p w14:paraId="3F2FED90" w14:textId="77777777" w:rsidR="009E3E9A" w:rsidRPr="00C20287" w:rsidRDefault="009E3E9A" w:rsidP="00AF325F">
            <w:pPr>
              <w:jc w:val="right"/>
            </w:pPr>
            <w:r w:rsidRPr="00C20287">
              <w:rPr>
                <w:rFonts w:ascii="Calibri" w:hAnsi="Calibri" w:cs="Calibri"/>
                <w:b/>
                <w:bCs/>
                <w:color w:val="000000"/>
              </w:rPr>
              <w:t>$23,858,714</w:t>
            </w:r>
          </w:p>
        </w:tc>
        <w:tc>
          <w:tcPr>
            <w:tcW w:w="1460" w:type="dxa"/>
            <w:vAlign w:val="center"/>
          </w:tcPr>
          <w:p w14:paraId="2CB97518" w14:textId="77777777" w:rsidR="009E3E9A" w:rsidRPr="00C20287" w:rsidRDefault="009E3E9A" w:rsidP="00AF325F">
            <w:pPr>
              <w:jc w:val="right"/>
            </w:pPr>
            <w:r w:rsidRPr="00C20287">
              <w:rPr>
                <w:rFonts w:ascii="Calibri" w:hAnsi="Calibri" w:cs="Calibri"/>
                <w:color w:val="000000"/>
              </w:rPr>
              <w:t>1,211</w:t>
            </w:r>
          </w:p>
        </w:tc>
        <w:tc>
          <w:tcPr>
            <w:tcW w:w="1234" w:type="dxa"/>
            <w:noWrap/>
            <w:vAlign w:val="center"/>
          </w:tcPr>
          <w:p w14:paraId="61CDF401" w14:textId="77777777" w:rsidR="009E3E9A" w:rsidRPr="00C20287" w:rsidRDefault="009E3E9A" w:rsidP="00AF325F">
            <w:pPr>
              <w:jc w:val="right"/>
            </w:pPr>
            <w:r w:rsidRPr="00C20287">
              <w:rPr>
                <w:rFonts w:ascii="Calibri" w:hAnsi="Calibri" w:cs="Calibri"/>
                <w:bCs/>
                <w:color w:val="000000"/>
              </w:rPr>
              <w:t>118,960</w:t>
            </w:r>
          </w:p>
        </w:tc>
        <w:tc>
          <w:tcPr>
            <w:tcW w:w="0" w:type="auto"/>
            <w:noWrap/>
            <w:vAlign w:val="center"/>
          </w:tcPr>
          <w:p w14:paraId="3516C5D9" w14:textId="77777777" w:rsidR="009E3E9A" w:rsidRPr="00C20287" w:rsidRDefault="009E3E9A" w:rsidP="00AF325F">
            <w:pPr>
              <w:jc w:val="right"/>
            </w:pPr>
            <w:r w:rsidRPr="00C20287">
              <w:rPr>
                <w:rFonts w:ascii="Calibri" w:hAnsi="Calibri" w:cs="Calibri"/>
                <w:b/>
                <w:bCs/>
                <w:color w:val="000000"/>
              </w:rPr>
              <w:t>$22,764,443</w:t>
            </w:r>
          </w:p>
        </w:tc>
        <w:tc>
          <w:tcPr>
            <w:tcW w:w="0" w:type="auto"/>
            <w:vAlign w:val="center"/>
          </w:tcPr>
          <w:p w14:paraId="45B0D67F" w14:textId="77777777" w:rsidR="009E3E9A" w:rsidRPr="00C20287" w:rsidRDefault="009E3E9A" w:rsidP="00AF325F">
            <w:pPr>
              <w:jc w:val="right"/>
              <w:rPr>
                <w:rFonts w:ascii="Calibri" w:hAnsi="Calibri" w:cs="Calibri"/>
                <w:color w:val="000000"/>
              </w:rPr>
            </w:pPr>
            <w:r w:rsidRPr="00C20287">
              <w:rPr>
                <w:rFonts w:ascii="Calibri" w:hAnsi="Calibri" w:cs="Calibri"/>
                <w:color w:val="000000"/>
              </w:rPr>
              <w:t>1,306</w:t>
            </w:r>
          </w:p>
        </w:tc>
        <w:tc>
          <w:tcPr>
            <w:tcW w:w="0" w:type="auto"/>
            <w:noWrap/>
            <w:vAlign w:val="center"/>
          </w:tcPr>
          <w:p w14:paraId="2C21969C" w14:textId="77777777" w:rsidR="009E3E9A" w:rsidRPr="00C20287" w:rsidRDefault="009E3E9A" w:rsidP="00AF325F">
            <w:pPr>
              <w:jc w:val="right"/>
              <w:rPr>
                <w:rFonts w:ascii="Calibri" w:hAnsi="Calibri" w:cs="Calibri"/>
                <w:bCs/>
                <w:color w:val="000000"/>
              </w:rPr>
            </w:pPr>
            <w:r w:rsidRPr="00C20287">
              <w:rPr>
                <w:rFonts w:ascii="Calibri" w:hAnsi="Calibri" w:cs="Calibri"/>
                <w:bCs/>
                <w:color w:val="000000"/>
              </w:rPr>
              <w:t>144,498</w:t>
            </w:r>
          </w:p>
        </w:tc>
        <w:tc>
          <w:tcPr>
            <w:tcW w:w="0" w:type="auto"/>
            <w:noWrap/>
            <w:vAlign w:val="center"/>
          </w:tcPr>
          <w:p w14:paraId="1F9BBBA9" w14:textId="77777777" w:rsidR="009E3E9A" w:rsidRPr="00C20287" w:rsidRDefault="009E3E9A" w:rsidP="00AF325F">
            <w:pPr>
              <w:jc w:val="right"/>
            </w:pPr>
            <w:r w:rsidRPr="00C20287">
              <w:rPr>
                <w:rFonts w:ascii="Calibri" w:hAnsi="Calibri" w:cs="Calibri"/>
                <w:b/>
                <w:bCs/>
                <w:color w:val="000000"/>
              </w:rPr>
              <w:t>$27,330,666</w:t>
            </w:r>
          </w:p>
        </w:tc>
      </w:tr>
      <w:tr w:rsidR="009E3E9A" w:rsidRPr="00C20287" w14:paraId="4A43B938" w14:textId="77777777" w:rsidTr="00CA72FA">
        <w:tc>
          <w:tcPr>
            <w:tcW w:w="1555" w:type="dxa"/>
            <w:shd w:val="clear" w:color="auto" w:fill="FFDC95" w:themeFill="accent5" w:themeFillTint="66"/>
            <w:noWrap/>
            <w:vAlign w:val="center"/>
            <w:hideMark/>
          </w:tcPr>
          <w:p w14:paraId="6E9B8222" w14:textId="77777777" w:rsidR="009E3E9A" w:rsidRPr="00C20287" w:rsidRDefault="009E3E9A" w:rsidP="00AF325F">
            <w:pPr>
              <w:rPr>
                <w:b/>
                <w:bCs/>
              </w:rPr>
            </w:pPr>
            <w:r w:rsidRPr="00C20287">
              <w:rPr>
                <w:b/>
                <w:bCs/>
              </w:rPr>
              <w:t>RMMR**</w:t>
            </w:r>
          </w:p>
        </w:tc>
        <w:tc>
          <w:tcPr>
            <w:tcW w:w="1127" w:type="dxa"/>
            <w:vAlign w:val="center"/>
          </w:tcPr>
          <w:p w14:paraId="5EDC56AC" w14:textId="77777777" w:rsidR="009E3E9A" w:rsidRPr="00C20287" w:rsidRDefault="009E3E9A" w:rsidP="00AF325F">
            <w:pPr>
              <w:jc w:val="right"/>
            </w:pPr>
            <w:r w:rsidRPr="00C20287">
              <w:rPr>
                <w:rFonts w:ascii="Calibri" w:hAnsi="Calibri" w:cs="Calibri"/>
                <w:color w:val="000000"/>
              </w:rPr>
              <w:t>192</w:t>
            </w:r>
          </w:p>
        </w:tc>
        <w:tc>
          <w:tcPr>
            <w:tcW w:w="0" w:type="auto"/>
            <w:noWrap/>
            <w:vAlign w:val="center"/>
            <w:hideMark/>
          </w:tcPr>
          <w:p w14:paraId="45F5FC4B" w14:textId="77777777" w:rsidR="009E3E9A" w:rsidRPr="00C20287" w:rsidRDefault="009E3E9A" w:rsidP="00AF325F">
            <w:pPr>
              <w:jc w:val="right"/>
            </w:pPr>
            <w:r w:rsidRPr="00C20287">
              <w:rPr>
                <w:rFonts w:ascii="Calibri" w:hAnsi="Calibri" w:cs="Calibri"/>
                <w:bCs/>
                <w:color w:val="000000"/>
              </w:rPr>
              <w:t>129,269</w:t>
            </w:r>
          </w:p>
        </w:tc>
        <w:tc>
          <w:tcPr>
            <w:tcW w:w="1198" w:type="dxa"/>
            <w:noWrap/>
            <w:vAlign w:val="center"/>
            <w:hideMark/>
          </w:tcPr>
          <w:p w14:paraId="08DCB419" w14:textId="77777777" w:rsidR="009E3E9A" w:rsidRPr="00C20287" w:rsidRDefault="009E3E9A" w:rsidP="00AF325F">
            <w:pPr>
              <w:jc w:val="right"/>
            </w:pPr>
            <w:r w:rsidRPr="00C20287">
              <w:rPr>
                <w:rFonts w:ascii="Calibri" w:hAnsi="Calibri" w:cs="Calibri"/>
                <w:b/>
                <w:bCs/>
                <w:color w:val="000000"/>
              </w:rPr>
              <w:t>$13,189,034</w:t>
            </w:r>
          </w:p>
        </w:tc>
        <w:tc>
          <w:tcPr>
            <w:tcW w:w="1460" w:type="dxa"/>
            <w:vAlign w:val="center"/>
          </w:tcPr>
          <w:p w14:paraId="15F5D74F" w14:textId="77777777" w:rsidR="009E3E9A" w:rsidRPr="00C20287" w:rsidRDefault="009E3E9A" w:rsidP="00AF325F">
            <w:pPr>
              <w:jc w:val="right"/>
            </w:pPr>
            <w:r w:rsidRPr="00C20287">
              <w:rPr>
                <w:rFonts w:ascii="Calibri" w:hAnsi="Calibri" w:cs="Calibri"/>
                <w:color w:val="000000"/>
              </w:rPr>
              <w:t>188</w:t>
            </w:r>
          </w:p>
        </w:tc>
        <w:tc>
          <w:tcPr>
            <w:tcW w:w="1234" w:type="dxa"/>
            <w:noWrap/>
            <w:vAlign w:val="center"/>
          </w:tcPr>
          <w:p w14:paraId="1351BC55" w14:textId="77777777" w:rsidR="009E3E9A" w:rsidRPr="00C20287" w:rsidRDefault="009E3E9A" w:rsidP="00AF325F">
            <w:pPr>
              <w:jc w:val="right"/>
            </w:pPr>
            <w:r w:rsidRPr="00C20287">
              <w:rPr>
                <w:rFonts w:ascii="Calibri" w:hAnsi="Calibri" w:cs="Calibri"/>
                <w:bCs/>
                <w:color w:val="000000"/>
              </w:rPr>
              <w:t>146,430</w:t>
            </w:r>
          </w:p>
        </w:tc>
        <w:tc>
          <w:tcPr>
            <w:tcW w:w="0" w:type="auto"/>
            <w:noWrap/>
            <w:vAlign w:val="center"/>
          </w:tcPr>
          <w:p w14:paraId="41B2B90F" w14:textId="77777777" w:rsidR="009E3E9A" w:rsidRPr="00C20287" w:rsidRDefault="009E3E9A" w:rsidP="00AF325F">
            <w:pPr>
              <w:jc w:val="right"/>
            </w:pPr>
            <w:r w:rsidRPr="00C20287">
              <w:rPr>
                <w:rFonts w:ascii="Calibri" w:hAnsi="Calibri" w:cs="Calibri"/>
                <w:b/>
                <w:bCs/>
                <w:color w:val="000000"/>
              </w:rPr>
              <w:t>$14,557,878</w:t>
            </w:r>
          </w:p>
        </w:tc>
        <w:tc>
          <w:tcPr>
            <w:tcW w:w="0" w:type="auto"/>
            <w:vAlign w:val="center"/>
          </w:tcPr>
          <w:p w14:paraId="0072466D" w14:textId="77777777" w:rsidR="009E3E9A" w:rsidRPr="00C20287" w:rsidRDefault="009E3E9A" w:rsidP="00AF325F">
            <w:pPr>
              <w:jc w:val="right"/>
              <w:rPr>
                <w:rFonts w:ascii="Calibri" w:hAnsi="Calibri" w:cs="Calibri"/>
                <w:color w:val="000000"/>
              </w:rPr>
            </w:pPr>
            <w:r w:rsidRPr="00C20287">
              <w:rPr>
                <w:rFonts w:ascii="Calibri" w:hAnsi="Calibri" w:cs="Calibri"/>
                <w:color w:val="000000"/>
              </w:rPr>
              <w:t>178</w:t>
            </w:r>
          </w:p>
        </w:tc>
        <w:tc>
          <w:tcPr>
            <w:tcW w:w="0" w:type="auto"/>
            <w:noWrap/>
            <w:vAlign w:val="center"/>
          </w:tcPr>
          <w:p w14:paraId="3B046C22" w14:textId="77777777" w:rsidR="009E3E9A" w:rsidRPr="00C20287" w:rsidRDefault="009E3E9A" w:rsidP="00AF325F">
            <w:pPr>
              <w:jc w:val="right"/>
            </w:pPr>
            <w:r w:rsidRPr="00C20287">
              <w:rPr>
                <w:rFonts w:ascii="Calibri" w:hAnsi="Calibri" w:cs="Calibri"/>
                <w:bCs/>
                <w:color w:val="000000"/>
              </w:rPr>
              <w:t>155,885</w:t>
            </w:r>
          </w:p>
        </w:tc>
        <w:tc>
          <w:tcPr>
            <w:tcW w:w="0" w:type="auto"/>
            <w:noWrap/>
            <w:vAlign w:val="center"/>
          </w:tcPr>
          <w:p w14:paraId="33B53875" w14:textId="77777777" w:rsidR="009E3E9A" w:rsidRPr="00C20287" w:rsidRDefault="009E3E9A" w:rsidP="00AF325F">
            <w:pPr>
              <w:jc w:val="right"/>
            </w:pPr>
            <w:r w:rsidRPr="00C20287">
              <w:rPr>
                <w:rFonts w:ascii="Calibri" w:hAnsi="Calibri" w:cs="Calibri"/>
                <w:b/>
                <w:bCs/>
                <w:color w:val="000000"/>
              </w:rPr>
              <w:t>$15,321,390</w:t>
            </w:r>
          </w:p>
        </w:tc>
      </w:tr>
      <w:tr w:rsidR="009E3E9A" w:rsidRPr="00C20287" w14:paraId="01B7F33D" w14:textId="77777777" w:rsidTr="00CA72FA">
        <w:tc>
          <w:tcPr>
            <w:tcW w:w="1555" w:type="dxa"/>
            <w:shd w:val="clear" w:color="auto" w:fill="FFDC95" w:themeFill="accent5" w:themeFillTint="66"/>
            <w:noWrap/>
            <w:vAlign w:val="center"/>
            <w:hideMark/>
          </w:tcPr>
          <w:p w14:paraId="23257595" w14:textId="77777777" w:rsidR="009E3E9A" w:rsidRPr="00C20287" w:rsidRDefault="009E3E9A" w:rsidP="00AF325F">
            <w:pPr>
              <w:rPr>
                <w:b/>
                <w:bCs/>
              </w:rPr>
            </w:pPr>
            <w:r w:rsidRPr="00C20287">
              <w:rPr>
                <w:b/>
                <w:bCs/>
              </w:rPr>
              <w:t>MedsCheck</w:t>
            </w:r>
          </w:p>
        </w:tc>
        <w:tc>
          <w:tcPr>
            <w:tcW w:w="1127" w:type="dxa"/>
            <w:vAlign w:val="center"/>
          </w:tcPr>
          <w:p w14:paraId="6F1C9F9B" w14:textId="16BE7F7F" w:rsidR="009E3E9A" w:rsidRPr="00C20287" w:rsidRDefault="009E3E9A" w:rsidP="00AF325F">
            <w:pPr>
              <w:jc w:val="right"/>
            </w:pPr>
            <w:r w:rsidRPr="00C20287">
              <w:rPr>
                <w:rFonts w:ascii="Calibri" w:hAnsi="Calibri" w:cs="Calibri"/>
                <w:color w:val="000000"/>
              </w:rPr>
              <w:t>3,251</w:t>
            </w:r>
            <w:r w:rsidR="00F51E4F">
              <w:rPr>
                <w:rFonts w:ascii="Calibri" w:hAnsi="Calibri" w:cs="Calibri"/>
                <w:color w:val="000000"/>
                <w:vertAlign w:val="superscript"/>
              </w:rPr>
              <w:t>b</w:t>
            </w:r>
          </w:p>
        </w:tc>
        <w:tc>
          <w:tcPr>
            <w:tcW w:w="0" w:type="auto"/>
            <w:noWrap/>
            <w:vAlign w:val="center"/>
            <w:hideMark/>
          </w:tcPr>
          <w:p w14:paraId="3823EC47" w14:textId="77777777" w:rsidR="009E3E9A" w:rsidRPr="00C20287" w:rsidRDefault="009E3E9A" w:rsidP="00AF325F">
            <w:pPr>
              <w:jc w:val="right"/>
            </w:pPr>
            <w:r w:rsidRPr="00C20287">
              <w:rPr>
                <w:rFonts w:ascii="Calibri" w:hAnsi="Calibri" w:cs="Calibri"/>
                <w:bCs/>
                <w:color w:val="000000"/>
              </w:rPr>
              <w:t>402,552</w:t>
            </w:r>
          </w:p>
        </w:tc>
        <w:tc>
          <w:tcPr>
            <w:tcW w:w="1198" w:type="dxa"/>
            <w:noWrap/>
            <w:vAlign w:val="center"/>
            <w:hideMark/>
          </w:tcPr>
          <w:p w14:paraId="552C3A15" w14:textId="77777777" w:rsidR="009E3E9A" w:rsidRPr="00C20287" w:rsidRDefault="009E3E9A" w:rsidP="00AF325F">
            <w:pPr>
              <w:jc w:val="right"/>
            </w:pPr>
            <w:r w:rsidRPr="00C20287">
              <w:rPr>
                <w:rFonts w:ascii="Calibri" w:hAnsi="Calibri" w:cs="Calibri"/>
                <w:b/>
                <w:bCs/>
                <w:color w:val="000000"/>
              </w:rPr>
              <w:t>$26,781,803</w:t>
            </w:r>
          </w:p>
        </w:tc>
        <w:tc>
          <w:tcPr>
            <w:tcW w:w="1460" w:type="dxa"/>
            <w:vAlign w:val="center"/>
          </w:tcPr>
          <w:p w14:paraId="1CBD0CC0" w14:textId="0FF3D819" w:rsidR="009E3E9A" w:rsidRPr="00C20287" w:rsidRDefault="009E3E9A" w:rsidP="00AF325F">
            <w:pPr>
              <w:jc w:val="right"/>
            </w:pPr>
            <w:r w:rsidRPr="00C20287">
              <w:rPr>
                <w:rFonts w:ascii="Calibri" w:hAnsi="Calibri" w:cs="Calibri"/>
                <w:color w:val="000000"/>
              </w:rPr>
              <w:t>3,258</w:t>
            </w:r>
            <w:r w:rsidR="00F51E4F" w:rsidRPr="00F51E4F">
              <w:rPr>
                <w:rFonts w:ascii="Calibri" w:hAnsi="Calibri" w:cs="Calibri"/>
                <w:color w:val="000000"/>
                <w:vertAlign w:val="superscript"/>
              </w:rPr>
              <w:t>b</w:t>
            </w:r>
          </w:p>
        </w:tc>
        <w:tc>
          <w:tcPr>
            <w:tcW w:w="1234" w:type="dxa"/>
            <w:noWrap/>
            <w:vAlign w:val="center"/>
          </w:tcPr>
          <w:p w14:paraId="1B9EE26A" w14:textId="77777777" w:rsidR="009E3E9A" w:rsidRPr="00C20287" w:rsidRDefault="009E3E9A" w:rsidP="00AF325F">
            <w:pPr>
              <w:jc w:val="right"/>
            </w:pPr>
            <w:r w:rsidRPr="00C20287">
              <w:rPr>
                <w:rFonts w:ascii="Calibri" w:hAnsi="Calibri" w:cs="Calibri"/>
                <w:bCs/>
                <w:color w:val="000000"/>
              </w:rPr>
              <w:t>389,190</w:t>
            </w:r>
          </w:p>
        </w:tc>
        <w:tc>
          <w:tcPr>
            <w:tcW w:w="0" w:type="auto"/>
            <w:noWrap/>
            <w:vAlign w:val="center"/>
          </w:tcPr>
          <w:p w14:paraId="3960CCFB" w14:textId="77777777" w:rsidR="009E3E9A" w:rsidRPr="00C20287" w:rsidRDefault="009E3E9A" w:rsidP="00AF325F">
            <w:pPr>
              <w:jc w:val="right"/>
            </w:pPr>
            <w:r w:rsidRPr="00C20287">
              <w:rPr>
                <w:rFonts w:ascii="Calibri" w:hAnsi="Calibri" w:cs="Calibri"/>
                <w:b/>
                <w:bCs/>
                <w:color w:val="000000"/>
              </w:rPr>
              <w:t>$25,892,811</w:t>
            </w:r>
          </w:p>
        </w:tc>
        <w:tc>
          <w:tcPr>
            <w:tcW w:w="0" w:type="auto"/>
            <w:vAlign w:val="center"/>
          </w:tcPr>
          <w:p w14:paraId="51A4962B" w14:textId="2712BEE3" w:rsidR="009E3E9A" w:rsidRPr="00C20287" w:rsidRDefault="009E3E9A" w:rsidP="00AF325F">
            <w:pPr>
              <w:jc w:val="right"/>
              <w:rPr>
                <w:rFonts w:ascii="Calibri" w:hAnsi="Calibri" w:cs="Calibri"/>
                <w:color w:val="000000"/>
              </w:rPr>
            </w:pPr>
            <w:r w:rsidRPr="00C20287">
              <w:rPr>
                <w:rFonts w:ascii="Calibri" w:hAnsi="Calibri" w:cs="Calibri"/>
                <w:color w:val="000000"/>
              </w:rPr>
              <w:t>3,622</w:t>
            </w:r>
            <w:r w:rsidR="00F51E4F" w:rsidRPr="00F51E4F">
              <w:rPr>
                <w:rFonts w:ascii="Calibri" w:hAnsi="Calibri" w:cs="Calibri"/>
                <w:color w:val="000000"/>
                <w:vertAlign w:val="superscript"/>
              </w:rPr>
              <w:t>b</w:t>
            </w:r>
          </w:p>
        </w:tc>
        <w:tc>
          <w:tcPr>
            <w:tcW w:w="0" w:type="auto"/>
            <w:noWrap/>
            <w:vAlign w:val="center"/>
          </w:tcPr>
          <w:p w14:paraId="3221D96C" w14:textId="77777777" w:rsidR="009E3E9A" w:rsidRPr="00C20287" w:rsidRDefault="009E3E9A" w:rsidP="00AF325F">
            <w:pPr>
              <w:jc w:val="right"/>
            </w:pPr>
            <w:r w:rsidRPr="00C20287">
              <w:rPr>
                <w:rFonts w:ascii="Calibri" w:hAnsi="Calibri" w:cs="Calibri"/>
                <w:bCs/>
                <w:color w:val="000000"/>
              </w:rPr>
              <w:t>423,450</w:t>
            </w:r>
          </w:p>
        </w:tc>
        <w:tc>
          <w:tcPr>
            <w:tcW w:w="0" w:type="auto"/>
            <w:noWrap/>
            <w:vAlign w:val="center"/>
          </w:tcPr>
          <w:p w14:paraId="579EC9FE" w14:textId="77777777" w:rsidR="009E3E9A" w:rsidRPr="00C20287" w:rsidRDefault="009E3E9A" w:rsidP="00AF325F">
            <w:pPr>
              <w:jc w:val="right"/>
            </w:pPr>
            <w:r w:rsidRPr="00C20287">
              <w:rPr>
                <w:rFonts w:ascii="Calibri" w:hAnsi="Calibri" w:cs="Calibri"/>
                <w:b/>
                <w:bCs/>
                <w:color w:val="000000"/>
              </w:rPr>
              <w:t>$28,172,133</w:t>
            </w:r>
          </w:p>
        </w:tc>
      </w:tr>
      <w:tr w:rsidR="009E3E9A" w:rsidRPr="00C20287" w14:paraId="7AD57ECF" w14:textId="77777777" w:rsidTr="00CA72FA">
        <w:tc>
          <w:tcPr>
            <w:tcW w:w="1555" w:type="dxa"/>
            <w:shd w:val="clear" w:color="auto" w:fill="FFDC95" w:themeFill="accent5" w:themeFillTint="66"/>
            <w:noWrap/>
            <w:vAlign w:val="center"/>
            <w:hideMark/>
          </w:tcPr>
          <w:p w14:paraId="08FB1619" w14:textId="77777777" w:rsidR="009E3E9A" w:rsidRPr="00C20287" w:rsidRDefault="009E3E9A" w:rsidP="00AF325F">
            <w:pPr>
              <w:rPr>
                <w:b/>
                <w:bCs/>
              </w:rPr>
            </w:pPr>
            <w:r w:rsidRPr="00C20287">
              <w:rPr>
                <w:b/>
                <w:bCs/>
              </w:rPr>
              <w:t>Diabetes MedsCheck</w:t>
            </w:r>
          </w:p>
        </w:tc>
        <w:tc>
          <w:tcPr>
            <w:tcW w:w="1127" w:type="dxa"/>
            <w:vAlign w:val="center"/>
          </w:tcPr>
          <w:p w14:paraId="238B73A2" w14:textId="14932F2A" w:rsidR="009E3E9A" w:rsidRPr="00C20287" w:rsidRDefault="00786FC3" w:rsidP="00AF325F">
            <w:pPr>
              <w:ind w:right="50"/>
              <w:jc w:val="right"/>
            </w:pPr>
            <w:r w:rsidRPr="00C20287">
              <w:rPr>
                <w:rFonts w:ascii="Calibri" w:hAnsi="Calibri" w:cs="Calibri"/>
                <w:color w:val="000000"/>
              </w:rPr>
              <w:t>3,251</w:t>
            </w:r>
            <w:r w:rsidR="00F51E4F">
              <w:rPr>
                <w:rFonts w:ascii="Calibri" w:hAnsi="Calibri" w:cs="Calibri"/>
                <w:color w:val="000000"/>
                <w:vertAlign w:val="superscript"/>
              </w:rPr>
              <w:t>b</w:t>
            </w:r>
          </w:p>
        </w:tc>
        <w:tc>
          <w:tcPr>
            <w:tcW w:w="0" w:type="auto"/>
            <w:noWrap/>
            <w:vAlign w:val="center"/>
            <w:hideMark/>
          </w:tcPr>
          <w:p w14:paraId="37DFE150" w14:textId="77777777" w:rsidR="009E3E9A" w:rsidRPr="00C20287" w:rsidRDefault="009E3E9A" w:rsidP="00AF325F">
            <w:pPr>
              <w:jc w:val="right"/>
            </w:pPr>
            <w:r w:rsidRPr="00C20287">
              <w:rPr>
                <w:rFonts w:ascii="Calibri" w:hAnsi="Calibri" w:cs="Calibri"/>
                <w:bCs/>
                <w:color w:val="000000"/>
              </w:rPr>
              <w:t>136,536</w:t>
            </w:r>
          </w:p>
        </w:tc>
        <w:tc>
          <w:tcPr>
            <w:tcW w:w="1198" w:type="dxa"/>
            <w:noWrap/>
            <w:vAlign w:val="center"/>
            <w:hideMark/>
          </w:tcPr>
          <w:p w14:paraId="22D391FE" w14:textId="77777777" w:rsidR="009E3E9A" w:rsidRPr="00C20287" w:rsidRDefault="009E3E9A" w:rsidP="00AF325F">
            <w:pPr>
              <w:jc w:val="right"/>
            </w:pPr>
            <w:r w:rsidRPr="00C20287">
              <w:rPr>
                <w:rFonts w:ascii="Calibri" w:hAnsi="Calibri" w:cs="Calibri"/>
                <w:b/>
                <w:bCs/>
                <w:color w:val="000000"/>
              </w:rPr>
              <w:t>$13,625,041</w:t>
            </w:r>
          </w:p>
        </w:tc>
        <w:tc>
          <w:tcPr>
            <w:tcW w:w="1460" w:type="dxa"/>
            <w:vAlign w:val="center"/>
          </w:tcPr>
          <w:p w14:paraId="299489DA" w14:textId="28217109" w:rsidR="009E3E9A" w:rsidRPr="00C20287" w:rsidRDefault="00786FC3" w:rsidP="00AF325F">
            <w:pPr>
              <w:ind w:right="50"/>
              <w:jc w:val="right"/>
            </w:pPr>
            <w:r w:rsidRPr="00C20287">
              <w:rPr>
                <w:rFonts w:ascii="Calibri" w:hAnsi="Calibri" w:cs="Calibri"/>
                <w:color w:val="000000"/>
              </w:rPr>
              <w:t>3,258</w:t>
            </w:r>
            <w:r w:rsidR="00F51E4F">
              <w:rPr>
                <w:rFonts w:ascii="Calibri" w:hAnsi="Calibri" w:cs="Calibri"/>
                <w:color w:val="000000"/>
                <w:vertAlign w:val="superscript"/>
              </w:rPr>
              <w:t>b</w:t>
            </w:r>
          </w:p>
        </w:tc>
        <w:tc>
          <w:tcPr>
            <w:tcW w:w="1234" w:type="dxa"/>
            <w:noWrap/>
            <w:vAlign w:val="center"/>
          </w:tcPr>
          <w:p w14:paraId="42793C19" w14:textId="77777777" w:rsidR="009E3E9A" w:rsidRPr="00C20287" w:rsidRDefault="009E3E9A" w:rsidP="00AF325F">
            <w:pPr>
              <w:jc w:val="right"/>
            </w:pPr>
            <w:r w:rsidRPr="00C20287">
              <w:rPr>
                <w:rFonts w:ascii="Calibri" w:hAnsi="Calibri" w:cs="Calibri"/>
                <w:bCs/>
                <w:color w:val="000000"/>
              </w:rPr>
              <w:t>148,530</w:t>
            </w:r>
          </w:p>
        </w:tc>
        <w:tc>
          <w:tcPr>
            <w:tcW w:w="0" w:type="auto"/>
            <w:noWrap/>
            <w:vAlign w:val="center"/>
          </w:tcPr>
          <w:p w14:paraId="400364FF" w14:textId="77777777" w:rsidR="009E3E9A" w:rsidRPr="00C20287" w:rsidRDefault="009E3E9A" w:rsidP="00AF325F">
            <w:pPr>
              <w:jc w:val="right"/>
            </w:pPr>
            <w:r w:rsidRPr="00C20287">
              <w:rPr>
                <w:rFonts w:ascii="Calibri" w:hAnsi="Calibri" w:cs="Calibri"/>
                <w:b/>
                <w:bCs/>
                <w:color w:val="000000"/>
              </w:rPr>
              <w:t>$14,821,809</w:t>
            </w:r>
          </w:p>
        </w:tc>
        <w:tc>
          <w:tcPr>
            <w:tcW w:w="0" w:type="auto"/>
            <w:vAlign w:val="center"/>
          </w:tcPr>
          <w:p w14:paraId="5D466347" w14:textId="6AE15954" w:rsidR="009E3E9A" w:rsidRPr="00C20287" w:rsidRDefault="00786FC3" w:rsidP="00AF325F">
            <w:pPr>
              <w:ind w:right="50"/>
              <w:jc w:val="right"/>
              <w:rPr>
                <w:rFonts w:ascii="Calibri" w:hAnsi="Calibri" w:cs="Calibri"/>
                <w:color w:val="000000"/>
              </w:rPr>
            </w:pPr>
            <w:r w:rsidRPr="00C20287">
              <w:rPr>
                <w:rFonts w:ascii="Calibri" w:hAnsi="Calibri" w:cs="Calibri"/>
                <w:color w:val="000000"/>
              </w:rPr>
              <w:t>3,622</w:t>
            </w:r>
            <w:r w:rsidR="00F51E4F">
              <w:rPr>
                <w:rFonts w:ascii="Calibri" w:hAnsi="Calibri" w:cs="Calibri"/>
                <w:color w:val="000000"/>
                <w:vertAlign w:val="superscript"/>
              </w:rPr>
              <w:t>b</w:t>
            </w:r>
          </w:p>
        </w:tc>
        <w:tc>
          <w:tcPr>
            <w:tcW w:w="0" w:type="auto"/>
            <w:noWrap/>
            <w:vAlign w:val="center"/>
          </w:tcPr>
          <w:p w14:paraId="705B700F" w14:textId="77777777" w:rsidR="009E3E9A" w:rsidRPr="00C20287" w:rsidRDefault="009E3E9A" w:rsidP="00AF325F">
            <w:pPr>
              <w:jc w:val="right"/>
            </w:pPr>
            <w:r w:rsidRPr="00C20287">
              <w:rPr>
                <w:rFonts w:ascii="Calibri" w:hAnsi="Calibri" w:cs="Calibri"/>
                <w:bCs/>
                <w:color w:val="000000"/>
              </w:rPr>
              <w:t>193,475</w:t>
            </w:r>
          </w:p>
        </w:tc>
        <w:tc>
          <w:tcPr>
            <w:tcW w:w="0" w:type="auto"/>
            <w:noWrap/>
            <w:vAlign w:val="center"/>
          </w:tcPr>
          <w:p w14:paraId="7EE6E469" w14:textId="77777777" w:rsidR="009E3E9A" w:rsidRPr="00C20287" w:rsidRDefault="009E3E9A" w:rsidP="00AF325F">
            <w:pPr>
              <w:jc w:val="right"/>
            </w:pPr>
            <w:r w:rsidRPr="00C20287">
              <w:rPr>
                <w:rFonts w:ascii="Calibri" w:hAnsi="Calibri" w:cs="Calibri"/>
                <w:b/>
                <w:bCs/>
                <w:color w:val="000000"/>
              </w:rPr>
              <w:t>$19,306,887</w:t>
            </w:r>
          </w:p>
        </w:tc>
      </w:tr>
      <w:tr w:rsidR="009E3E9A" w:rsidRPr="00C20287" w14:paraId="14A55B16" w14:textId="77777777" w:rsidTr="00CA72FA">
        <w:tc>
          <w:tcPr>
            <w:tcW w:w="1555" w:type="dxa"/>
            <w:shd w:val="clear" w:color="auto" w:fill="FFDC95" w:themeFill="accent5" w:themeFillTint="66"/>
            <w:noWrap/>
            <w:vAlign w:val="center"/>
          </w:tcPr>
          <w:p w14:paraId="6B6ED657" w14:textId="77777777" w:rsidR="009E3E9A" w:rsidRPr="00C20287" w:rsidRDefault="009E3E9A" w:rsidP="00AF325F">
            <w:pPr>
              <w:rPr>
                <w:b/>
                <w:bCs/>
              </w:rPr>
            </w:pPr>
            <w:r w:rsidRPr="00C20287">
              <w:rPr>
                <w:b/>
                <w:bCs/>
              </w:rPr>
              <w:t>Quality Use of Medicines in Residential Aged Care Facilities</w:t>
            </w:r>
          </w:p>
        </w:tc>
        <w:tc>
          <w:tcPr>
            <w:tcW w:w="1127" w:type="dxa"/>
            <w:vAlign w:val="center"/>
          </w:tcPr>
          <w:p w14:paraId="1621AD49" w14:textId="77C515C7" w:rsidR="009E3E9A" w:rsidRPr="00C20287" w:rsidRDefault="009E3E9A" w:rsidP="00AF325F">
            <w:pPr>
              <w:ind w:right="50"/>
              <w:jc w:val="right"/>
            </w:pPr>
            <w:r w:rsidRPr="00C20287">
              <w:t>190</w:t>
            </w:r>
          </w:p>
        </w:tc>
        <w:tc>
          <w:tcPr>
            <w:tcW w:w="0" w:type="auto"/>
            <w:noWrap/>
            <w:vAlign w:val="center"/>
          </w:tcPr>
          <w:p w14:paraId="25018FBB" w14:textId="35EBB65E" w:rsidR="009E3E9A" w:rsidRPr="00C20287" w:rsidRDefault="009E3E9A" w:rsidP="00AF325F">
            <w:pPr>
              <w:ind w:right="50"/>
              <w:jc w:val="right"/>
            </w:pPr>
            <w:r w:rsidRPr="00C20287">
              <w:t>2,951</w:t>
            </w:r>
            <w:r w:rsidR="00F87462">
              <w:rPr>
                <w:vertAlign w:val="superscript"/>
              </w:rPr>
              <w:t>c</w:t>
            </w:r>
          </w:p>
        </w:tc>
        <w:tc>
          <w:tcPr>
            <w:tcW w:w="1198" w:type="dxa"/>
            <w:noWrap/>
            <w:vAlign w:val="center"/>
          </w:tcPr>
          <w:p w14:paraId="47F3B3FA" w14:textId="77777777" w:rsidR="009E3E9A" w:rsidRPr="00C20287" w:rsidRDefault="009E3E9A" w:rsidP="00AF325F">
            <w:pPr>
              <w:jc w:val="right"/>
            </w:pPr>
            <w:r w:rsidRPr="00C20287">
              <w:rPr>
                <w:rFonts w:ascii="Calibri" w:hAnsi="Calibri" w:cs="Calibri"/>
                <w:b/>
                <w:bCs/>
                <w:color w:val="000000"/>
              </w:rPr>
              <w:t>$11,084,434</w:t>
            </w:r>
          </w:p>
        </w:tc>
        <w:tc>
          <w:tcPr>
            <w:tcW w:w="1460" w:type="dxa"/>
            <w:vAlign w:val="center"/>
          </w:tcPr>
          <w:p w14:paraId="6B4C5CC1" w14:textId="58BAE02C" w:rsidR="009E3E9A" w:rsidRPr="00C20287" w:rsidRDefault="009E3E9A" w:rsidP="00AF325F">
            <w:pPr>
              <w:jc w:val="right"/>
            </w:pPr>
            <w:r w:rsidRPr="00C20287">
              <w:rPr>
                <w:rFonts w:ascii="Calibri" w:hAnsi="Calibri" w:cs="Calibri"/>
                <w:color w:val="000000"/>
              </w:rPr>
              <w:t>192</w:t>
            </w:r>
          </w:p>
        </w:tc>
        <w:tc>
          <w:tcPr>
            <w:tcW w:w="1234" w:type="dxa"/>
            <w:noWrap/>
            <w:vAlign w:val="center"/>
          </w:tcPr>
          <w:p w14:paraId="6B8F3745" w14:textId="2EC003CC" w:rsidR="009E3E9A" w:rsidRPr="00C20287" w:rsidRDefault="009E3E9A" w:rsidP="00AF325F">
            <w:pPr>
              <w:jc w:val="right"/>
            </w:pPr>
            <w:r w:rsidRPr="00C20287">
              <w:rPr>
                <w:rFonts w:ascii="Calibri" w:hAnsi="Calibri" w:cs="Calibri"/>
                <w:color w:val="000000"/>
              </w:rPr>
              <w:t>2,905</w:t>
            </w:r>
            <w:r w:rsidR="00F87462">
              <w:rPr>
                <w:vertAlign w:val="superscript"/>
              </w:rPr>
              <w:t>c</w:t>
            </w:r>
          </w:p>
        </w:tc>
        <w:tc>
          <w:tcPr>
            <w:tcW w:w="0" w:type="auto"/>
            <w:noWrap/>
            <w:vAlign w:val="center"/>
          </w:tcPr>
          <w:p w14:paraId="70484647" w14:textId="77777777" w:rsidR="009E3E9A" w:rsidRPr="00C20287" w:rsidRDefault="009E3E9A" w:rsidP="00AF325F">
            <w:pPr>
              <w:jc w:val="right"/>
            </w:pPr>
            <w:r w:rsidRPr="00C20287">
              <w:rPr>
                <w:rFonts w:ascii="Calibri" w:hAnsi="Calibri" w:cs="Calibri"/>
                <w:b/>
                <w:bCs/>
                <w:color w:val="000000"/>
              </w:rPr>
              <w:t>$11,483,595</w:t>
            </w:r>
          </w:p>
        </w:tc>
        <w:tc>
          <w:tcPr>
            <w:tcW w:w="0" w:type="auto"/>
            <w:vAlign w:val="center"/>
          </w:tcPr>
          <w:p w14:paraId="1FBD0782" w14:textId="77777777" w:rsidR="009E3E9A" w:rsidRPr="00C20287" w:rsidRDefault="009E3E9A" w:rsidP="00AF325F">
            <w:pPr>
              <w:ind w:right="50"/>
              <w:jc w:val="right"/>
              <w:rPr>
                <w:rFonts w:ascii="Calibri" w:hAnsi="Calibri" w:cs="Calibri"/>
                <w:color w:val="000000"/>
              </w:rPr>
            </w:pPr>
            <w:r w:rsidRPr="00C20287">
              <w:rPr>
                <w:rFonts w:ascii="Calibri" w:hAnsi="Calibri" w:cs="Calibri"/>
                <w:color w:val="000000"/>
              </w:rPr>
              <w:t>166</w:t>
            </w:r>
          </w:p>
        </w:tc>
        <w:tc>
          <w:tcPr>
            <w:tcW w:w="0" w:type="auto"/>
            <w:noWrap/>
            <w:vAlign w:val="center"/>
          </w:tcPr>
          <w:p w14:paraId="31D5C77E" w14:textId="013A2A80" w:rsidR="009E3E9A" w:rsidRPr="00C20287" w:rsidRDefault="009E3E9A" w:rsidP="00AF325F">
            <w:pPr>
              <w:jc w:val="right"/>
            </w:pPr>
            <w:r w:rsidRPr="00C20287">
              <w:rPr>
                <w:rFonts w:ascii="Calibri" w:hAnsi="Calibri" w:cs="Calibri"/>
                <w:color w:val="000000"/>
              </w:rPr>
              <w:t>2,699</w:t>
            </w:r>
            <w:r w:rsidR="00F87462" w:rsidRPr="00CA72FA">
              <w:rPr>
                <w:rFonts w:ascii="Calibri" w:hAnsi="Calibri" w:cs="Calibri"/>
                <w:color w:val="000000"/>
                <w:vertAlign w:val="superscript"/>
              </w:rPr>
              <w:t>c</w:t>
            </w:r>
          </w:p>
        </w:tc>
        <w:tc>
          <w:tcPr>
            <w:tcW w:w="0" w:type="auto"/>
            <w:noWrap/>
            <w:vAlign w:val="center"/>
          </w:tcPr>
          <w:p w14:paraId="7152E844" w14:textId="77777777" w:rsidR="009E3E9A" w:rsidRPr="00C20287" w:rsidRDefault="009E3E9A" w:rsidP="00AF325F">
            <w:pPr>
              <w:jc w:val="right"/>
            </w:pPr>
            <w:r w:rsidRPr="00C20287">
              <w:rPr>
                <w:rFonts w:ascii="Calibri" w:hAnsi="Calibri" w:cs="Calibri"/>
                <w:b/>
                <w:bCs/>
                <w:color w:val="000000"/>
              </w:rPr>
              <w:t>$11,482,520</w:t>
            </w:r>
          </w:p>
        </w:tc>
      </w:tr>
    </w:tbl>
    <w:p w14:paraId="26A42180" w14:textId="77777777" w:rsidR="009E3E9A" w:rsidRPr="00C20287" w:rsidRDefault="009E3E9A" w:rsidP="009E3E9A">
      <w:pPr>
        <w:spacing w:after="0"/>
        <w:rPr>
          <w:i/>
          <w:iCs/>
        </w:rPr>
      </w:pPr>
      <w:r w:rsidRPr="00C20287">
        <w:t xml:space="preserve">* </w:t>
      </w:r>
      <w:r w:rsidRPr="00C20287">
        <w:rPr>
          <w:i/>
          <w:iCs/>
        </w:rPr>
        <w:t>The Indigenous Dose Administration Aids program commenced on 1 July 2021</w:t>
      </w:r>
    </w:p>
    <w:p w14:paraId="01A6026C" w14:textId="4F517855" w:rsidR="009E3E9A" w:rsidRPr="00C20287" w:rsidRDefault="009E3E9A" w:rsidP="009E3E9A">
      <w:pPr>
        <w:spacing w:after="0"/>
        <w:rPr>
          <w:i/>
          <w:iCs/>
        </w:rPr>
      </w:pPr>
      <w:r w:rsidRPr="00C20287">
        <w:rPr>
          <w:i/>
          <w:iCs/>
        </w:rPr>
        <w:t>** Total services for</w:t>
      </w:r>
      <w:r w:rsidR="00576015">
        <w:rPr>
          <w:i/>
          <w:iCs/>
        </w:rPr>
        <w:t xml:space="preserve"> Home Medicines Review</w:t>
      </w:r>
      <w:r w:rsidRPr="00C20287">
        <w:rPr>
          <w:i/>
          <w:iCs/>
        </w:rPr>
        <w:t xml:space="preserve"> </w:t>
      </w:r>
      <w:r w:rsidR="00576015">
        <w:rPr>
          <w:i/>
          <w:iCs/>
        </w:rPr>
        <w:t>(</w:t>
      </w:r>
      <w:r w:rsidRPr="00C20287">
        <w:rPr>
          <w:i/>
          <w:iCs/>
        </w:rPr>
        <w:t>HMR</w:t>
      </w:r>
      <w:r w:rsidR="00576015">
        <w:rPr>
          <w:i/>
          <w:iCs/>
        </w:rPr>
        <w:t>)</w:t>
      </w:r>
      <w:r w:rsidRPr="00C20287">
        <w:rPr>
          <w:i/>
          <w:iCs/>
        </w:rPr>
        <w:t xml:space="preserve"> and </w:t>
      </w:r>
      <w:r w:rsidR="00576015">
        <w:rPr>
          <w:i/>
          <w:iCs/>
        </w:rPr>
        <w:t>Residential Medication Management Review (</w:t>
      </w:r>
      <w:r w:rsidRPr="00C20287">
        <w:rPr>
          <w:i/>
          <w:iCs/>
        </w:rPr>
        <w:t>RMMR</w:t>
      </w:r>
      <w:r w:rsidR="00576015">
        <w:rPr>
          <w:i/>
          <w:iCs/>
        </w:rPr>
        <w:t>)</w:t>
      </w:r>
      <w:r w:rsidRPr="00C20287">
        <w:rPr>
          <w:i/>
          <w:iCs/>
        </w:rPr>
        <w:t xml:space="preserve"> programs are inclusive of services paid for first and second follow up</w:t>
      </w:r>
      <w:r w:rsidR="0088146B">
        <w:rPr>
          <w:i/>
          <w:iCs/>
        </w:rPr>
        <w:t xml:space="preserve">. </w:t>
      </w:r>
    </w:p>
    <w:p w14:paraId="3C41F4D0" w14:textId="42B3213A" w:rsidR="00F51E4F" w:rsidRDefault="00F51E4F" w:rsidP="009E3E9A">
      <w:pPr>
        <w:spacing w:after="0"/>
        <w:rPr>
          <w:i/>
          <w:iCs/>
        </w:rPr>
      </w:pPr>
      <w:r>
        <w:rPr>
          <w:i/>
          <w:iCs/>
        </w:rPr>
        <w:t>a</w:t>
      </w:r>
      <w:r w:rsidRPr="00C20287">
        <w:rPr>
          <w:i/>
          <w:iCs/>
        </w:rPr>
        <w:t xml:space="preserve"> -</w:t>
      </w:r>
      <w:r w:rsidR="00A26990">
        <w:rPr>
          <w:i/>
          <w:iCs/>
        </w:rPr>
        <w:t xml:space="preserve"> T</w:t>
      </w:r>
      <w:r w:rsidR="00A26990" w:rsidRPr="00C20287">
        <w:rPr>
          <w:i/>
          <w:iCs/>
        </w:rPr>
        <w:t xml:space="preserve">his item reports the </w:t>
      </w:r>
      <w:r w:rsidR="00A26990">
        <w:rPr>
          <w:i/>
          <w:iCs/>
        </w:rPr>
        <w:t>maximum</w:t>
      </w:r>
      <w:r w:rsidR="00A26990" w:rsidRPr="00C20287">
        <w:rPr>
          <w:i/>
          <w:iCs/>
        </w:rPr>
        <w:t xml:space="preserve"> number of participating service providers for this service in any one month during the reporting period</w:t>
      </w:r>
      <w:r w:rsidR="00A26990">
        <w:rPr>
          <w:i/>
          <w:iCs/>
        </w:rPr>
        <w:t xml:space="preserve">. </w:t>
      </w:r>
      <w:r w:rsidR="00D43EA7">
        <w:rPr>
          <w:i/>
          <w:iCs/>
        </w:rPr>
        <w:t xml:space="preserve">The total number of service providers </w:t>
      </w:r>
      <w:r w:rsidRPr="00C20287">
        <w:rPr>
          <w:i/>
          <w:iCs/>
        </w:rPr>
        <w:t xml:space="preserve">is not cumulative. A service provider is considered 'active' if they submitted a claim in relation to the program during the month </w:t>
      </w:r>
    </w:p>
    <w:p w14:paraId="5A98FD0E" w14:textId="11CB7856" w:rsidR="00F51E4F" w:rsidRPr="00C20287" w:rsidRDefault="00F51E4F" w:rsidP="00F51E4F">
      <w:pPr>
        <w:spacing w:after="0"/>
        <w:rPr>
          <w:i/>
          <w:iCs/>
        </w:rPr>
      </w:pPr>
      <w:r>
        <w:rPr>
          <w:i/>
          <w:iCs/>
        </w:rPr>
        <w:t>b</w:t>
      </w:r>
      <w:r w:rsidRPr="00C20287">
        <w:rPr>
          <w:i/>
          <w:iCs/>
        </w:rPr>
        <w:t xml:space="preserve"> – Indicates the</w:t>
      </w:r>
      <w:r w:rsidR="0088146B">
        <w:rPr>
          <w:i/>
          <w:iCs/>
        </w:rPr>
        <w:t xml:space="preserve"> maximum</w:t>
      </w:r>
      <w:r w:rsidR="0088146B" w:rsidRPr="00C20287">
        <w:rPr>
          <w:i/>
          <w:iCs/>
        </w:rPr>
        <w:t xml:space="preserve"> number of participating </w:t>
      </w:r>
      <w:r w:rsidRPr="00C20287">
        <w:rPr>
          <w:i/>
          <w:iCs/>
        </w:rPr>
        <w:t>Service Providers for Meds</w:t>
      </w:r>
      <w:r>
        <w:rPr>
          <w:i/>
          <w:iCs/>
        </w:rPr>
        <w:t>C</w:t>
      </w:r>
      <w:r w:rsidRPr="00C20287">
        <w:rPr>
          <w:i/>
          <w:iCs/>
        </w:rPr>
        <w:t>heck &amp; Diabetes Med</w:t>
      </w:r>
      <w:r>
        <w:rPr>
          <w:i/>
          <w:iCs/>
        </w:rPr>
        <w:t>s</w:t>
      </w:r>
      <w:r w:rsidRPr="00C20287">
        <w:rPr>
          <w:i/>
          <w:iCs/>
        </w:rPr>
        <w:t>Check</w:t>
      </w:r>
      <w:r w:rsidR="0088146B">
        <w:rPr>
          <w:i/>
          <w:iCs/>
        </w:rPr>
        <w:t xml:space="preserve">, </w:t>
      </w:r>
      <w:r w:rsidR="0088146B" w:rsidRPr="00C20287">
        <w:rPr>
          <w:i/>
          <w:iCs/>
        </w:rPr>
        <w:t>in any one month during the reporting period</w:t>
      </w:r>
      <w:r w:rsidR="0088146B">
        <w:rPr>
          <w:i/>
          <w:iCs/>
        </w:rPr>
        <w:t xml:space="preserve">. </w:t>
      </w:r>
    </w:p>
    <w:p w14:paraId="58B79152" w14:textId="175E862C" w:rsidR="009E3E9A" w:rsidRPr="00C20287" w:rsidRDefault="00F51E4F" w:rsidP="009E3E9A">
      <w:pPr>
        <w:spacing w:after="0"/>
        <w:rPr>
          <w:b/>
          <w:bCs/>
          <w:i/>
          <w:iCs/>
        </w:rPr>
      </w:pPr>
      <w:r>
        <w:rPr>
          <w:i/>
          <w:iCs/>
        </w:rPr>
        <w:t>c</w:t>
      </w:r>
      <w:r w:rsidR="009E3E9A" w:rsidRPr="00C20287">
        <w:rPr>
          <w:i/>
          <w:iCs/>
        </w:rPr>
        <w:t xml:space="preserve"> – </w:t>
      </w:r>
      <w:r w:rsidR="00D43EA7">
        <w:rPr>
          <w:i/>
          <w:iCs/>
        </w:rPr>
        <w:t>T</w:t>
      </w:r>
      <w:r w:rsidR="009E3E9A" w:rsidRPr="00C20287">
        <w:rPr>
          <w:i/>
          <w:iCs/>
        </w:rPr>
        <w:t xml:space="preserve">his item reports the </w:t>
      </w:r>
      <w:r w:rsidR="00D43EA7">
        <w:rPr>
          <w:i/>
          <w:iCs/>
        </w:rPr>
        <w:t xml:space="preserve">maximum </w:t>
      </w:r>
      <w:r w:rsidR="009E3E9A" w:rsidRPr="00C20287">
        <w:rPr>
          <w:i/>
          <w:iCs/>
        </w:rPr>
        <w:t>number of</w:t>
      </w:r>
      <w:r w:rsidR="00F87462">
        <w:rPr>
          <w:i/>
          <w:iCs/>
        </w:rPr>
        <w:t xml:space="preserve"> fac</w:t>
      </w:r>
      <w:r w:rsidR="00D43EA7">
        <w:rPr>
          <w:i/>
          <w:iCs/>
        </w:rPr>
        <w:t>ilities</w:t>
      </w:r>
      <w:r w:rsidR="009E3E9A" w:rsidRPr="00C20287">
        <w:rPr>
          <w:i/>
          <w:iCs/>
        </w:rPr>
        <w:t xml:space="preserve"> participating </w:t>
      </w:r>
      <w:r w:rsidR="0088146B">
        <w:rPr>
          <w:i/>
          <w:iCs/>
        </w:rPr>
        <w:t>receiving a QUM service</w:t>
      </w:r>
      <w:r w:rsidR="009E3E9A" w:rsidRPr="00C20287">
        <w:rPr>
          <w:i/>
          <w:iCs/>
        </w:rPr>
        <w:t xml:space="preserve"> in any one month during the reporting period. Please note that it does not represent the number of services provided. </w:t>
      </w:r>
    </w:p>
    <w:p w14:paraId="154ED773" w14:textId="0EE49463" w:rsidR="009E3E9A" w:rsidRPr="00C20287" w:rsidRDefault="009E3E9A" w:rsidP="009E3E9A">
      <w:pPr>
        <w:spacing w:after="0"/>
        <w:rPr>
          <w:i/>
          <w:iCs/>
        </w:rPr>
      </w:pPr>
    </w:p>
    <w:p w14:paraId="50E82F40" w14:textId="77777777" w:rsidR="005D701A" w:rsidRDefault="009E3E9A" w:rsidP="009E3E9A">
      <w:pPr>
        <w:rPr>
          <w:i/>
          <w:iCs/>
        </w:rPr>
        <w:sectPr w:rsidR="005D701A" w:rsidSect="00FF4C3F">
          <w:pgSz w:w="16838" w:h="11906" w:orient="landscape"/>
          <w:pgMar w:top="851" w:right="1559" w:bottom="851" w:left="1701" w:header="567" w:footer="57" w:gutter="0"/>
          <w:cols w:space="708"/>
          <w:docGrid w:linePitch="360"/>
        </w:sectPr>
      </w:pPr>
      <w:r w:rsidRPr="00C20287">
        <w:rPr>
          <w:i/>
          <w:iCs/>
        </w:rPr>
        <w:t xml:space="preserve">Information sourced from </w:t>
      </w:r>
      <w:hyperlink r:id="rId29" w:history="1">
        <w:r w:rsidRPr="00C20287">
          <w:rPr>
            <w:rStyle w:val="Hyperlink"/>
            <w:i/>
            <w:iCs/>
          </w:rPr>
          <w:t>Community Pharmacy Programs data</w:t>
        </w:r>
      </w:hyperlink>
      <w:r w:rsidRPr="00C20287">
        <w:rPr>
          <w:i/>
          <w:iCs/>
        </w:rPr>
        <w:t xml:space="preserve"> published by the Department of Health and Aged Care.</w:t>
      </w:r>
    </w:p>
    <w:p w14:paraId="3E3D3E52" w14:textId="718B187D" w:rsidR="00685602" w:rsidRPr="00C20287" w:rsidRDefault="00B53CFF" w:rsidP="00685602">
      <w:pPr>
        <w:rPr>
          <w:color w:val="0D0D0D" w:themeColor="text1" w:themeTint="F2"/>
          <w:sz w:val="24"/>
          <w:szCs w:val="24"/>
        </w:rPr>
      </w:pPr>
      <w:r w:rsidRPr="00C20287">
        <w:rPr>
          <w:color w:val="0D0D0D" w:themeColor="text1" w:themeTint="F2"/>
          <w:sz w:val="24"/>
          <w:szCs w:val="24"/>
        </w:rPr>
        <w:lastRenderedPageBreak/>
        <w:t xml:space="preserve">Option 3 would focus </w:t>
      </w:r>
      <w:r>
        <w:rPr>
          <w:color w:val="0D0D0D" w:themeColor="text1" w:themeTint="F2"/>
          <w:sz w:val="24"/>
          <w:szCs w:val="24"/>
        </w:rPr>
        <w:t xml:space="preserve">an </w:t>
      </w:r>
      <w:r w:rsidRPr="00C20287">
        <w:rPr>
          <w:color w:val="0D0D0D" w:themeColor="text1" w:themeTint="F2"/>
          <w:sz w:val="24"/>
          <w:szCs w:val="24"/>
        </w:rPr>
        <w:t xml:space="preserve">8CPA </w:t>
      </w:r>
      <w:r>
        <w:rPr>
          <w:color w:val="0D0D0D" w:themeColor="text1" w:themeTint="F2"/>
          <w:sz w:val="24"/>
          <w:szCs w:val="24"/>
        </w:rPr>
        <w:t xml:space="preserve">on </w:t>
      </w:r>
      <w:r w:rsidRPr="00C20287">
        <w:rPr>
          <w:color w:val="0D0D0D" w:themeColor="text1" w:themeTint="F2"/>
          <w:sz w:val="24"/>
          <w:szCs w:val="24"/>
        </w:rPr>
        <w:t>dispensing remuneration</w:t>
      </w:r>
      <w:r>
        <w:rPr>
          <w:color w:val="0D0D0D" w:themeColor="text1" w:themeTint="F2"/>
          <w:sz w:val="24"/>
          <w:szCs w:val="24"/>
        </w:rPr>
        <w:t>,</w:t>
      </w:r>
      <w:r w:rsidR="00A6378A">
        <w:rPr>
          <w:color w:val="0D0D0D" w:themeColor="text1" w:themeTint="F2"/>
          <w:sz w:val="24"/>
          <w:szCs w:val="24"/>
        </w:rPr>
        <w:t xml:space="preserve"> and those CPPs delivered through community pharmacy, </w:t>
      </w:r>
      <w:r>
        <w:rPr>
          <w:color w:val="0D0D0D" w:themeColor="text1" w:themeTint="F2"/>
          <w:sz w:val="24"/>
          <w:szCs w:val="24"/>
        </w:rPr>
        <w:t xml:space="preserve">with </w:t>
      </w:r>
      <w:r w:rsidR="00A6378A">
        <w:rPr>
          <w:color w:val="0D0D0D" w:themeColor="text1" w:themeTint="F2"/>
          <w:sz w:val="24"/>
          <w:szCs w:val="24"/>
        </w:rPr>
        <w:t xml:space="preserve">the remaining </w:t>
      </w:r>
      <w:r>
        <w:rPr>
          <w:color w:val="0D0D0D" w:themeColor="text1" w:themeTint="F2"/>
          <w:sz w:val="24"/>
          <w:szCs w:val="24"/>
        </w:rPr>
        <w:t>CPPs</w:t>
      </w:r>
      <w:r w:rsidR="00225CB9">
        <w:rPr>
          <w:color w:val="0D0D0D" w:themeColor="text1" w:themeTint="F2"/>
          <w:sz w:val="24"/>
          <w:szCs w:val="24"/>
        </w:rPr>
        <w:t>, which may be provided by community pharmacies or in other types of settings,</w:t>
      </w:r>
      <w:r>
        <w:rPr>
          <w:color w:val="0D0D0D" w:themeColor="text1" w:themeTint="F2"/>
          <w:sz w:val="24"/>
          <w:szCs w:val="24"/>
        </w:rPr>
        <w:t xml:space="preserve"> to be considered outside of the CPA process. </w:t>
      </w:r>
      <w:r>
        <w:rPr>
          <w:sz w:val="24"/>
          <w:szCs w:val="24"/>
        </w:rPr>
        <w:t>T</w:t>
      </w:r>
      <w:r w:rsidRPr="00C20287">
        <w:rPr>
          <w:color w:val="0D0D0D" w:themeColor="text1" w:themeTint="F2"/>
          <w:sz w:val="24"/>
          <w:szCs w:val="24"/>
        </w:rPr>
        <w:t>his approach would allow for greater stakeholder collaboration by broadening the stewards of relevant programs and services, and ensuring the views of a wider range of stakeholders</w:t>
      </w:r>
      <w:r w:rsidR="00685602">
        <w:rPr>
          <w:color w:val="0D0D0D" w:themeColor="text1" w:themeTint="F2"/>
          <w:sz w:val="24"/>
          <w:szCs w:val="24"/>
        </w:rPr>
        <w:t>,</w:t>
      </w:r>
      <w:r w:rsidR="00685602" w:rsidRPr="00685602">
        <w:rPr>
          <w:color w:val="0D0D0D" w:themeColor="text1" w:themeTint="F2"/>
          <w:sz w:val="24"/>
          <w:szCs w:val="24"/>
        </w:rPr>
        <w:t xml:space="preserve"> </w:t>
      </w:r>
      <w:r w:rsidR="00685602">
        <w:rPr>
          <w:color w:val="0D0D0D" w:themeColor="text1" w:themeTint="F2"/>
          <w:sz w:val="24"/>
          <w:szCs w:val="24"/>
        </w:rPr>
        <w:t>including consumer input,</w:t>
      </w:r>
      <w:r w:rsidRPr="00C20287">
        <w:rPr>
          <w:color w:val="0D0D0D" w:themeColor="text1" w:themeTint="F2"/>
          <w:sz w:val="24"/>
          <w:szCs w:val="24"/>
        </w:rPr>
        <w:t xml:space="preserve"> inform</w:t>
      </w:r>
      <w:r w:rsidR="00685602">
        <w:rPr>
          <w:color w:val="0D0D0D" w:themeColor="text1" w:themeTint="F2"/>
          <w:sz w:val="24"/>
          <w:szCs w:val="24"/>
        </w:rPr>
        <w:t>s</w:t>
      </w:r>
      <w:r w:rsidRPr="00C20287">
        <w:rPr>
          <w:color w:val="0D0D0D" w:themeColor="text1" w:themeTint="F2"/>
          <w:sz w:val="24"/>
          <w:szCs w:val="24"/>
        </w:rPr>
        <w:t xml:space="preserve"> the development of relevant policy and programs. </w:t>
      </w:r>
      <w:r w:rsidR="00685602" w:rsidRPr="00C20287">
        <w:rPr>
          <w:color w:val="0D0D0D" w:themeColor="text1" w:themeTint="F2"/>
          <w:sz w:val="24"/>
          <w:szCs w:val="24"/>
        </w:rPr>
        <w:t xml:space="preserve">As </w:t>
      </w:r>
      <w:r w:rsidR="00056E08">
        <w:rPr>
          <w:color w:val="0D0D0D" w:themeColor="text1" w:themeTint="F2"/>
          <w:sz w:val="24"/>
          <w:szCs w:val="24"/>
        </w:rPr>
        <w:t xml:space="preserve">with Option 1 </w:t>
      </w:r>
      <w:r w:rsidR="00685602" w:rsidRPr="00C20287">
        <w:rPr>
          <w:color w:val="0D0D0D" w:themeColor="text1" w:themeTint="F2"/>
          <w:sz w:val="24"/>
          <w:szCs w:val="24"/>
        </w:rPr>
        <w:t xml:space="preserve">existing CPPs could be continued as is until they were formally evaluated and actions taken to ensure they are delivering on intended outcomes. This approach </w:t>
      </w:r>
      <w:r w:rsidR="00F4421B">
        <w:rPr>
          <w:color w:val="0D0D0D" w:themeColor="text1" w:themeTint="F2"/>
          <w:sz w:val="24"/>
          <w:szCs w:val="24"/>
        </w:rPr>
        <w:t xml:space="preserve">provides greater flexibility for programs outside of the CPA removing </w:t>
      </w:r>
      <w:r w:rsidR="00685602" w:rsidRPr="00C20287">
        <w:rPr>
          <w:color w:val="0D0D0D" w:themeColor="text1" w:themeTint="F2"/>
          <w:sz w:val="24"/>
          <w:szCs w:val="24"/>
        </w:rPr>
        <w:t>the need to renegotiate arrangements within the 8CPA</w:t>
      </w:r>
      <w:r w:rsidR="00F4421B">
        <w:rPr>
          <w:color w:val="0D0D0D" w:themeColor="text1" w:themeTint="F2"/>
          <w:sz w:val="24"/>
          <w:szCs w:val="24"/>
        </w:rPr>
        <w:t xml:space="preserve"> agreement timeframes and allowing</w:t>
      </w:r>
      <w:r w:rsidR="00685602" w:rsidRPr="00C20287">
        <w:rPr>
          <w:color w:val="0D0D0D" w:themeColor="text1" w:themeTint="F2"/>
          <w:sz w:val="24"/>
          <w:szCs w:val="24"/>
        </w:rPr>
        <w:t xml:space="preserve"> for a more robust </w:t>
      </w:r>
      <w:r w:rsidR="00F4421B">
        <w:rPr>
          <w:color w:val="0D0D0D" w:themeColor="text1" w:themeTint="F2"/>
          <w:sz w:val="24"/>
          <w:szCs w:val="24"/>
        </w:rPr>
        <w:t xml:space="preserve">consideration </w:t>
      </w:r>
      <w:r w:rsidR="00685602" w:rsidRPr="00C20287">
        <w:rPr>
          <w:color w:val="0D0D0D" w:themeColor="text1" w:themeTint="F2"/>
          <w:sz w:val="24"/>
          <w:szCs w:val="24"/>
        </w:rPr>
        <w:t xml:space="preserve">in collaboration with </w:t>
      </w:r>
      <w:r w:rsidR="00F4421B">
        <w:rPr>
          <w:color w:val="0D0D0D" w:themeColor="text1" w:themeTint="F2"/>
          <w:sz w:val="24"/>
          <w:szCs w:val="24"/>
        </w:rPr>
        <w:t xml:space="preserve">a range of </w:t>
      </w:r>
      <w:r w:rsidR="00685602" w:rsidRPr="00C20287">
        <w:rPr>
          <w:color w:val="0D0D0D" w:themeColor="text1" w:themeTint="F2"/>
          <w:sz w:val="24"/>
          <w:szCs w:val="24"/>
        </w:rPr>
        <w:t xml:space="preserve">stakeholders outside of this process. </w:t>
      </w:r>
    </w:p>
    <w:p w14:paraId="03570564" w14:textId="66B4EEBA" w:rsidR="00E741E1" w:rsidRDefault="00E741E1" w:rsidP="003B6EC3">
      <w:pPr>
        <w:rPr>
          <w:color w:val="0D0D0D" w:themeColor="text1" w:themeTint="F2"/>
          <w:sz w:val="24"/>
          <w:szCs w:val="24"/>
        </w:rPr>
      </w:pPr>
      <w:r>
        <w:rPr>
          <w:color w:val="0D0D0D" w:themeColor="text1" w:themeTint="F2"/>
          <w:sz w:val="24"/>
          <w:szCs w:val="24"/>
        </w:rPr>
        <w:t xml:space="preserve">Option 3 aligns </w:t>
      </w:r>
      <w:r w:rsidR="00685602" w:rsidRPr="00C20287">
        <w:rPr>
          <w:color w:val="0D0D0D" w:themeColor="text1" w:themeTint="F2"/>
          <w:sz w:val="24"/>
          <w:szCs w:val="24"/>
        </w:rPr>
        <w:t xml:space="preserve">with stakeholder feedback throughout consultations </w:t>
      </w:r>
      <w:r>
        <w:rPr>
          <w:color w:val="0D0D0D" w:themeColor="text1" w:themeTint="F2"/>
          <w:sz w:val="24"/>
          <w:szCs w:val="24"/>
        </w:rPr>
        <w:t xml:space="preserve">which suggested there is an </w:t>
      </w:r>
      <w:r w:rsidR="00685602" w:rsidRPr="00C20287">
        <w:rPr>
          <w:color w:val="0D0D0D" w:themeColor="text1" w:themeTint="F2"/>
          <w:sz w:val="24"/>
          <w:szCs w:val="24"/>
        </w:rPr>
        <w:t xml:space="preserve">opportunity </w:t>
      </w:r>
      <w:r w:rsidR="00C45916">
        <w:rPr>
          <w:color w:val="0D0D0D" w:themeColor="text1" w:themeTint="F2"/>
          <w:sz w:val="24"/>
          <w:szCs w:val="24"/>
        </w:rPr>
        <w:t xml:space="preserve">to </w:t>
      </w:r>
      <w:r w:rsidR="00685602" w:rsidRPr="00C20287">
        <w:rPr>
          <w:color w:val="0D0D0D" w:themeColor="text1" w:themeTint="F2"/>
          <w:sz w:val="24"/>
          <w:szCs w:val="24"/>
        </w:rPr>
        <w:t xml:space="preserve">consider the establishment of pharmacy programs targeted at specific populations, such as additions to the Indigenous Pharmacy Programs (IPPs). Separation of </w:t>
      </w:r>
      <w:r>
        <w:rPr>
          <w:color w:val="0D0D0D" w:themeColor="text1" w:themeTint="F2"/>
          <w:sz w:val="24"/>
          <w:szCs w:val="24"/>
        </w:rPr>
        <w:t xml:space="preserve">CPPs </w:t>
      </w:r>
      <w:r w:rsidR="00685602" w:rsidRPr="00C20287">
        <w:rPr>
          <w:color w:val="0D0D0D" w:themeColor="text1" w:themeTint="F2"/>
          <w:sz w:val="24"/>
          <w:szCs w:val="24"/>
        </w:rPr>
        <w:t xml:space="preserve">from the CPA allows for smaller, more patient centric, programs which are tailored specifically to the requirements of specific patient cohorts. It also provides scope for more robust consideration of </w:t>
      </w:r>
      <w:r w:rsidR="006F4699">
        <w:rPr>
          <w:color w:val="0D0D0D" w:themeColor="text1" w:themeTint="F2"/>
          <w:sz w:val="24"/>
          <w:szCs w:val="24"/>
        </w:rPr>
        <w:t xml:space="preserve">the best mechanisms for </w:t>
      </w:r>
      <w:r w:rsidR="00685602" w:rsidRPr="00C20287">
        <w:rPr>
          <w:color w:val="0D0D0D" w:themeColor="text1" w:themeTint="F2"/>
          <w:sz w:val="24"/>
          <w:szCs w:val="24"/>
        </w:rPr>
        <w:t>deliver</w:t>
      </w:r>
      <w:r w:rsidR="006F4699">
        <w:rPr>
          <w:color w:val="0D0D0D" w:themeColor="text1" w:themeTint="F2"/>
          <w:sz w:val="24"/>
          <w:szCs w:val="24"/>
        </w:rPr>
        <w:t>y</w:t>
      </w:r>
      <w:r w:rsidR="00685602" w:rsidRPr="00C20287">
        <w:rPr>
          <w:color w:val="0D0D0D" w:themeColor="text1" w:themeTint="F2"/>
          <w:sz w:val="24"/>
          <w:szCs w:val="24"/>
        </w:rPr>
        <w:t xml:space="preserve"> each service.</w:t>
      </w:r>
      <w:r w:rsidR="006F4699">
        <w:rPr>
          <w:color w:val="0D0D0D" w:themeColor="text1" w:themeTint="F2"/>
          <w:sz w:val="24"/>
          <w:szCs w:val="24"/>
        </w:rPr>
        <w:t xml:space="preserve"> </w:t>
      </w:r>
    </w:p>
    <w:p w14:paraId="3A3A5D10" w14:textId="5867AF19" w:rsidR="00685602" w:rsidRPr="00C20287" w:rsidRDefault="00E741E1" w:rsidP="003B6EC3">
      <w:pPr>
        <w:rPr>
          <w:color w:val="0D0D0D" w:themeColor="text1" w:themeTint="F2"/>
          <w:sz w:val="24"/>
          <w:szCs w:val="24"/>
        </w:rPr>
      </w:pPr>
      <w:r>
        <w:rPr>
          <w:color w:val="0D0D0D" w:themeColor="text1" w:themeTint="F2"/>
          <w:sz w:val="24"/>
          <w:szCs w:val="24"/>
        </w:rPr>
        <w:t xml:space="preserve">Option 3 is also </w:t>
      </w:r>
      <w:r w:rsidR="006F4699">
        <w:rPr>
          <w:color w:val="0D0D0D" w:themeColor="text1" w:themeTint="F2"/>
          <w:sz w:val="24"/>
          <w:szCs w:val="24"/>
        </w:rPr>
        <w:t xml:space="preserve">most </w:t>
      </w:r>
      <w:r>
        <w:rPr>
          <w:color w:val="0D0D0D" w:themeColor="text1" w:themeTint="F2"/>
          <w:sz w:val="24"/>
          <w:szCs w:val="24"/>
        </w:rPr>
        <w:t>consistent</w:t>
      </w:r>
      <w:r w:rsidR="00685602" w:rsidRPr="00C20287">
        <w:rPr>
          <w:color w:val="0D0D0D" w:themeColor="text1" w:themeTint="F2"/>
          <w:sz w:val="24"/>
          <w:szCs w:val="24"/>
        </w:rPr>
        <w:t xml:space="preserve"> with recommendations from successive reviews and inquiries into aspects of community pharmacy restrictions and remuneration including the 2018 Senate Select Committee on Red Tape: Effect of Red Tape on Pharmacy Rules</w:t>
      </w:r>
      <w:r w:rsidR="00326A1D">
        <w:rPr>
          <w:rStyle w:val="FootnoteReference"/>
          <w:color w:val="0D0D0D" w:themeColor="text1" w:themeTint="F2"/>
          <w:sz w:val="24"/>
          <w:szCs w:val="24"/>
        </w:rPr>
        <w:footnoteReference w:id="70"/>
      </w:r>
      <w:r w:rsidR="00685602" w:rsidRPr="00C20287">
        <w:rPr>
          <w:color w:val="0D0D0D" w:themeColor="text1" w:themeTint="F2"/>
          <w:sz w:val="24"/>
          <w:szCs w:val="24"/>
        </w:rPr>
        <w:t xml:space="preserve"> and the Review of Pharmacy Remuneration and Regulation's Final Report</w:t>
      </w:r>
      <w:r w:rsidR="00326A1D">
        <w:rPr>
          <w:rStyle w:val="FootnoteReference"/>
          <w:color w:val="0D0D0D" w:themeColor="text1" w:themeTint="F2"/>
          <w:sz w:val="24"/>
          <w:szCs w:val="24"/>
        </w:rPr>
        <w:footnoteReference w:id="71"/>
      </w:r>
      <w:r w:rsidR="00685602" w:rsidRPr="00C20287">
        <w:rPr>
          <w:color w:val="0D0D0D" w:themeColor="text1" w:themeTint="F2"/>
          <w:sz w:val="24"/>
          <w:szCs w:val="24"/>
        </w:rPr>
        <w:t xml:space="preserve"> which stated:</w:t>
      </w:r>
    </w:p>
    <w:p w14:paraId="6C1103A1" w14:textId="7214355B" w:rsidR="00685602" w:rsidRDefault="00685602" w:rsidP="00685602">
      <w:pPr>
        <w:ind w:left="720"/>
        <w:rPr>
          <w:color w:val="0D0D0D" w:themeColor="text1" w:themeTint="F2"/>
          <w:sz w:val="24"/>
          <w:szCs w:val="24"/>
        </w:rPr>
      </w:pPr>
      <w:r w:rsidRPr="00C20287">
        <w:rPr>
          <w:color w:val="0D0D0D" w:themeColor="text1" w:themeTint="F2"/>
          <w:sz w:val="24"/>
          <w:szCs w:val="24"/>
        </w:rPr>
        <w:t>“To reduce the complexity of future CPAs, the scope of agreements should also be limited to remuneration for dispensing. This means not including wholesaling or other professional programs offered by community pharmacies. Rather, these should be negotiated and agreed separately.”</w:t>
      </w:r>
    </w:p>
    <w:p w14:paraId="0C4FDC52" w14:textId="248E7197" w:rsidR="00224AD9" w:rsidRDefault="00BD72BC" w:rsidP="00BD72BC">
      <w:pPr>
        <w:rPr>
          <w:color w:val="0D0D0D" w:themeColor="text1" w:themeTint="F2"/>
          <w:sz w:val="24"/>
          <w:szCs w:val="24"/>
        </w:rPr>
      </w:pPr>
      <w:r>
        <w:rPr>
          <w:color w:val="0D0D0D" w:themeColor="text1" w:themeTint="F2"/>
          <w:sz w:val="24"/>
          <w:szCs w:val="24"/>
        </w:rPr>
        <w:t>Continuing to include the CPPs delivered through community pharmacy in the CPA, would however consolidate considerations of the funding arrangements for community pharmacies and simplify the extension of existing arrangements.</w:t>
      </w:r>
      <w:r w:rsidR="00225CB9">
        <w:rPr>
          <w:color w:val="0D0D0D" w:themeColor="text1" w:themeTint="F2"/>
          <w:sz w:val="24"/>
          <w:szCs w:val="24"/>
        </w:rPr>
        <w:t xml:space="preserve"> This, however, requires careful future management, to ensure that the same levels of rigorous evaluation and assessment are applied across all programs that support medicine-related services for Australians, to ensure that optimal health outcomes are achieved.</w:t>
      </w:r>
    </w:p>
    <w:p w14:paraId="514B6D22" w14:textId="77777777" w:rsidR="00BD72BC" w:rsidRPr="00C20287" w:rsidRDefault="00BD72BC" w:rsidP="00BD72BC">
      <w:pPr>
        <w:rPr>
          <w:color w:val="0D0D0D" w:themeColor="text1" w:themeTint="F2"/>
          <w:sz w:val="24"/>
          <w:szCs w:val="24"/>
        </w:rPr>
      </w:pPr>
    </w:p>
    <w:p w14:paraId="22D2DFB7" w14:textId="77777777" w:rsidR="00F30056" w:rsidRPr="00E04259" w:rsidRDefault="00F30056" w:rsidP="00F30056">
      <w:pPr>
        <w:rPr>
          <w:rFonts w:asciiTheme="majorHAnsi" w:eastAsiaTheme="majorEastAsia" w:hAnsiTheme="majorHAnsi" w:cstheme="majorBidi"/>
          <w:color w:val="014463" w:themeColor="text2"/>
          <w:sz w:val="30"/>
          <w:szCs w:val="30"/>
        </w:rPr>
      </w:pPr>
      <w:r>
        <w:rPr>
          <w:rFonts w:asciiTheme="majorHAnsi" w:eastAsiaTheme="majorEastAsia" w:hAnsiTheme="majorHAnsi" w:cstheme="majorBidi"/>
          <w:color w:val="014463" w:themeColor="text2"/>
          <w:sz w:val="30"/>
          <w:szCs w:val="30"/>
        </w:rPr>
        <w:t>4.2</w:t>
      </w:r>
      <w:r>
        <w:rPr>
          <w:rFonts w:asciiTheme="majorHAnsi" w:eastAsiaTheme="majorEastAsia" w:hAnsiTheme="majorHAnsi" w:cstheme="majorBidi"/>
          <w:color w:val="014463" w:themeColor="text2"/>
          <w:sz w:val="30"/>
          <w:szCs w:val="30"/>
        </w:rPr>
        <w:tab/>
      </w:r>
      <w:r w:rsidRPr="00E04259">
        <w:rPr>
          <w:rFonts w:asciiTheme="majorHAnsi" w:eastAsiaTheme="majorEastAsia" w:hAnsiTheme="majorHAnsi" w:cstheme="majorBidi"/>
          <w:color w:val="014463" w:themeColor="text2"/>
          <w:sz w:val="30"/>
          <w:szCs w:val="30"/>
        </w:rPr>
        <w:t>Equity, sustainability and Access for Consumers</w:t>
      </w:r>
    </w:p>
    <w:p w14:paraId="5D3B2E7A" w14:textId="6C2C9BA0" w:rsidR="00224AD9" w:rsidRDefault="00AA528B" w:rsidP="00AA528B">
      <w:pPr>
        <w:rPr>
          <w:color w:val="0D0D0D" w:themeColor="text1" w:themeTint="F2"/>
          <w:sz w:val="24"/>
        </w:rPr>
      </w:pPr>
      <w:r>
        <w:rPr>
          <w:rFonts w:cstheme="minorHAnsi"/>
          <w:color w:val="0D0D0D" w:themeColor="text1" w:themeTint="F2"/>
          <w:sz w:val="24"/>
          <w:szCs w:val="24"/>
        </w:rPr>
        <w:t>T</w:t>
      </w:r>
      <w:r w:rsidRPr="001408E9">
        <w:rPr>
          <w:rFonts w:cstheme="minorHAnsi"/>
          <w:color w:val="0D0D0D" w:themeColor="text1" w:themeTint="F2"/>
          <w:sz w:val="24"/>
          <w:szCs w:val="24"/>
        </w:rPr>
        <w:t>he dispensing of PBS subsidised medicines</w:t>
      </w:r>
      <w:r>
        <w:rPr>
          <w:rFonts w:cstheme="minorHAnsi"/>
          <w:color w:val="0D0D0D" w:themeColor="text1" w:themeTint="F2"/>
          <w:sz w:val="24"/>
          <w:szCs w:val="24"/>
        </w:rPr>
        <w:t xml:space="preserve"> through community pharmacies</w:t>
      </w:r>
      <w:r w:rsidRPr="001408E9">
        <w:rPr>
          <w:rFonts w:cstheme="minorHAnsi"/>
          <w:color w:val="0D0D0D" w:themeColor="text1" w:themeTint="F2"/>
          <w:sz w:val="24"/>
          <w:szCs w:val="24"/>
        </w:rPr>
        <w:t xml:space="preserve"> is a key component of supporting </w:t>
      </w:r>
      <w:r w:rsidR="00F30056" w:rsidRPr="0088060C">
        <w:rPr>
          <w:color w:val="0D0D0D" w:themeColor="text1" w:themeTint="F2"/>
          <w:sz w:val="24"/>
          <w:szCs w:val="24"/>
        </w:rPr>
        <w:t xml:space="preserve">safe and reliable </w:t>
      </w:r>
      <w:r>
        <w:rPr>
          <w:color w:val="0D0D0D" w:themeColor="text1" w:themeTint="F2"/>
          <w:sz w:val="24"/>
          <w:szCs w:val="24"/>
        </w:rPr>
        <w:t xml:space="preserve">consumer </w:t>
      </w:r>
      <w:r w:rsidR="00F30056" w:rsidRPr="0088060C">
        <w:rPr>
          <w:color w:val="0D0D0D" w:themeColor="text1" w:themeTint="F2"/>
          <w:sz w:val="24"/>
          <w:szCs w:val="24"/>
        </w:rPr>
        <w:t>access to medicines</w:t>
      </w:r>
      <w:r>
        <w:rPr>
          <w:color w:val="0D0D0D" w:themeColor="text1" w:themeTint="F2"/>
          <w:sz w:val="24"/>
          <w:szCs w:val="24"/>
        </w:rPr>
        <w:t xml:space="preserve"> for all Australians. </w:t>
      </w:r>
      <w:r w:rsidRPr="00C20287">
        <w:rPr>
          <w:color w:val="0D0D0D" w:themeColor="text1" w:themeTint="F2"/>
          <w:sz w:val="24"/>
          <w:szCs w:val="22"/>
        </w:rPr>
        <w:t>The 7CPA has continued to support effective and efficient access to PBS medicines to the community</w:t>
      </w:r>
      <w:r>
        <w:rPr>
          <w:color w:val="0D0D0D" w:themeColor="text1" w:themeTint="F2"/>
          <w:sz w:val="24"/>
          <w:szCs w:val="22"/>
        </w:rPr>
        <w:t xml:space="preserve"> with i</w:t>
      </w:r>
      <w:r w:rsidRPr="00C20287">
        <w:rPr>
          <w:color w:val="0D0D0D" w:themeColor="text1" w:themeTint="F2"/>
          <w:sz w:val="24"/>
          <w:szCs w:val="22"/>
        </w:rPr>
        <w:t>ncreas</w:t>
      </w:r>
      <w:r>
        <w:rPr>
          <w:color w:val="0D0D0D" w:themeColor="text1" w:themeTint="F2"/>
          <w:sz w:val="24"/>
          <w:szCs w:val="22"/>
        </w:rPr>
        <w:t>ing</w:t>
      </w:r>
      <w:r w:rsidRPr="00C20287">
        <w:rPr>
          <w:color w:val="0D0D0D" w:themeColor="text1" w:themeTint="F2"/>
          <w:sz w:val="24"/>
          <w:szCs w:val="22"/>
        </w:rPr>
        <w:t xml:space="preserve"> prescription volumes following its </w:t>
      </w:r>
      <w:r w:rsidRPr="00C20287">
        <w:rPr>
          <w:color w:val="0D0D0D" w:themeColor="text1" w:themeTint="F2"/>
          <w:sz w:val="24"/>
        </w:rPr>
        <w:t xml:space="preserve">commencement. </w:t>
      </w:r>
      <w:r>
        <w:rPr>
          <w:sz w:val="24"/>
          <w:szCs w:val="24"/>
        </w:rPr>
        <w:t>O</w:t>
      </w:r>
      <w:r w:rsidRPr="00C20287">
        <w:rPr>
          <w:sz w:val="24"/>
          <w:szCs w:val="24"/>
        </w:rPr>
        <w:t xml:space="preserve">ver the first three years of the 7CPA from 2020-23 </w:t>
      </w:r>
      <w:r>
        <w:rPr>
          <w:color w:val="0D0D0D" w:themeColor="text1" w:themeTint="F2"/>
          <w:sz w:val="24"/>
        </w:rPr>
        <w:t>t</w:t>
      </w:r>
      <w:r w:rsidRPr="00C20287">
        <w:rPr>
          <w:sz w:val="24"/>
          <w:szCs w:val="24"/>
        </w:rPr>
        <w:t xml:space="preserve">he actual </w:t>
      </w:r>
      <w:r w:rsidRPr="00C20287">
        <w:rPr>
          <w:sz w:val="24"/>
          <w:szCs w:val="24"/>
        </w:rPr>
        <w:lastRenderedPageBreak/>
        <w:t>subsidised script volumes, and resulting dispensing remuneration, has been higher than the original 7CPA estimates</w:t>
      </w:r>
      <w:r w:rsidR="00224AD9">
        <w:rPr>
          <w:color w:val="0D0D0D" w:themeColor="text1" w:themeTint="F2"/>
          <w:sz w:val="24"/>
        </w:rPr>
        <w:t>.</w:t>
      </w:r>
    </w:p>
    <w:p w14:paraId="28E15881" w14:textId="6DD78DF6" w:rsidR="00AA528B" w:rsidRPr="00E04259" w:rsidRDefault="00224AD9" w:rsidP="00AA528B">
      <w:pPr>
        <w:rPr>
          <w:color w:val="0D0D0D" w:themeColor="text1" w:themeTint="F2"/>
          <w:sz w:val="24"/>
          <w:szCs w:val="22"/>
        </w:rPr>
      </w:pPr>
      <w:r>
        <w:rPr>
          <w:color w:val="0D0D0D" w:themeColor="text1" w:themeTint="F2"/>
          <w:sz w:val="24"/>
        </w:rPr>
        <w:t>Recent</w:t>
      </w:r>
      <w:r w:rsidR="00AA528B" w:rsidRPr="00C20287">
        <w:rPr>
          <w:color w:val="0D0D0D" w:themeColor="text1" w:themeTint="F2"/>
          <w:sz w:val="24"/>
        </w:rPr>
        <w:t xml:space="preserve"> changes to p</w:t>
      </w:r>
      <w:r w:rsidR="00AA528B" w:rsidRPr="00C20287">
        <w:rPr>
          <w:color w:val="0D0D0D" w:themeColor="text1" w:themeTint="F2"/>
          <w:sz w:val="24"/>
          <w:szCs w:val="22"/>
        </w:rPr>
        <w:t>olicy settings</w:t>
      </w:r>
      <w:r w:rsidR="00AA528B" w:rsidRPr="00C20287">
        <w:rPr>
          <w:color w:val="0D0D0D" w:themeColor="text1" w:themeTint="F2"/>
          <w:sz w:val="24"/>
        </w:rPr>
        <w:t xml:space="preserve"> outside of the </w:t>
      </w:r>
      <w:r w:rsidR="00AA528B">
        <w:rPr>
          <w:color w:val="0D0D0D" w:themeColor="text1" w:themeTint="F2"/>
          <w:sz w:val="24"/>
        </w:rPr>
        <w:t>CPA, f</w:t>
      </w:r>
      <w:r w:rsidR="00AA528B" w:rsidRPr="00C20287">
        <w:rPr>
          <w:color w:val="0D0D0D" w:themeColor="text1" w:themeTint="F2"/>
          <w:sz w:val="24"/>
        </w:rPr>
        <w:t xml:space="preserve">or example, 60-day </w:t>
      </w:r>
      <w:r w:rsidR="00AA528B" w:rsidRPr="00C20287">
        <w:rPr>
          <w:color w:val="0D0D0D" w:themeColor="text1" w:themeTint="F2"/>
          <w:sz w:val="24"/>
          <w:szCs w:val="22"/>
        </w:rPr>
        <w:t>dispensing</w:t>
      </w:r>
      <w:r w:rsidR="00AA528B">
        <w:rPr>
          <w:color w:val="0D0D0D" w:themeColor="text1" w:themeTint="F2"/>
          <w:sz w:val="24"/>
          <w:szCs w:val="22"/>
        </w:rPr>
        <w:t>,</w:t>
      </w:r>
      <w:r w:rsidR="00AA528B" w:rsidRPr="00C20287">
        <w:rPr>
          <w:color w:val="0D0D0D" w:themeColor="text1" w:themeTint="F2"/>
          <w:sz w:val="24"/>
          <w:szCs w:val="22"/>
        </w:rPr>
        <w:t xml:space="preserve"> </w:t>
      </w:r>
      <w:r>
        <w:rPr>
          <w:color w:val="0D0D0D" w:themeColor="text1" w:themeTint="F2"/>
          <w:sz w:val="24"/>
          <w:szCs w:val="22"/>
        </w:rPr>
        <w:t>are</w:t>
      </w:r>
      <w:r w:rsidR="00AA528B" w:rsidRPr="00C20287">
        <w:rPr>
          <w:color w:val="0D0D0D" w:themeColor="text1" w:themeTint="F2"/>
          <w:sz w:val="24"/>
          <w:szCs w:val="22"/>
        </w:rPr>
        <w:t xml:space="preserve"> expected to result in reduction</w:t>
      </w:r>
      <w:r w:rsidR="00AA528B">
        <w:rPr>
          <w:color w:val="0D0D0D" w:themeColor="text1" w:themeTint="F2"/>
          <w:sz w:val="24"/>
          <w:szCs w:val="22"/>
        </w:rPr>
        <w:t>s</w:t>
      </w:r>
      <w:r w:rsidR="00AA528B" w:rsidRPr="00C20287">
        <w:rPr>
          <w:color w:val="0D0D0D" w:themeColor="text1" w:themeTint="F2"/>
          <w:sz w:val="24"/>
          <w:szCs w:val="22"/>
        </w:rPr>
        <w:t xml:space="preserve"> ove</w:t>
      </w:r>
      <w:r w:rsidR="00AA528B">
        <w:rPr>
          <w:color w:val="0D0D0D" w:themeColor="text1" w:themeTint="F2"/>
          <w:sz w:val="24"/>
          <w:szCs w:val="22"/>
        </w:rPr>
        <w:t>r the forward estimates</w:t>
      </w:r>
      <w:r w:rsidR="00AA528B" w:rsidRPr="00C20287">
        <w:rPr>
          <w:sz w:val="24"/>
          <w:szCs w:val="24"/>
        </w:rPr>
        <w:t xml:space="preserve">. The revised 7CPA estimates in </w:t>
      </w:r>
      <w:r w:rsidR="00A0125C" w:rsidRPr="00A0125C">
        <w:rPr>
          <w:sz w:val="24"/>
          <w:szCs w:val="24"/>
        </w:rPr>
        <w:fldChar w:fldCharType="begin"/>
      </w:r>
      <w:r w:rsidR="00A0125C" w:rsidRPr="00A0125C">
        <w:rPr>
          <w:sz w:val="24"/>
          <w:szCs w:val="24"/>
        </w:rPr>
        <w:instrText xml:space="preserve"> REF _Ref160011758 \h </w:instrText>
      </w:r>
      <w:r w:rsidR="00A0125C">
        <w:rPr>
          <w:sz w:val="24"/>
          <w:szCs w:val="24"/>
        </w:rPr>
        <w:instrText xml:space="preserve"> \* MERGEFORMAT </w:instrText>
      </w:r>
      <w:r w:rsidR="00A0125C" w:rsidRPr="00A0125C">
        <w:rPr>
          <w:sz w:val="24"/>
          <w:szCs w:val="24"/>
        </w:rPr>
      </w:r>
      <w:r w:rsidR="00A0125C" w:rsidRPr="00A0125C">
        <w:rPr>
          <w:sz w:val="24"/>
          <w:szCs w:val="24"/>
        </w:rPr>
        <w:fldChar w:fldCharType="separate"/>
      </w:r>
      <w:r w:rsidR="00A0125C" w:rsidRPr="00A0125C">
        <w:rPr>
          <w:sz w:val="24"/>
          <w:szCs w:val="24"/>
        </w:rPr>
        <w:t xml:space="preserve">Table </w:t>
      </w:r>
      <w:r w:rsidR="00A0125C" w:rsidRPr="00A0125C">
        <w:rPr>
          <w:noProof/>
          <w:sz w:val="24"/>
          <w:szCs w:val="24"/>
        </w:rPr>
        <w:t>12</w:t>
      </w:r>
      <w:r w:rsidR="00A0125C" w:rsidRPr="00A0125C">
        <w:rPr>
          <w:sz w:val="24"/>
          <w:szCs w:val="24"/>
        </w:rPr>
        <w:fldChar w:fldCharType="end"/>
      </w:r>
      <w:r w:rsidR="00AA528B">
        <w:rPr>
          <w:sz w:val="24"/>
          <w:szCs w:val="24"/>
        </w:rPr>
        <w:t xml:space="preserve"> below </w:t>
      </w:r>
      <w:r w:rsidR="00AA528B" w:rsidRPr="00C20287">
        <w:rPr>
          <w:sz w:val="24"/>
          <w:szCs w:val="24"/>
        </w:rPr>
        <w:t xml:space="preserve">reflect the trend in recent actual volumes as well as current policy settings (e.g. general co-payment reduction, safety net threshold reduction and 60-day dispensing/MDQ). </w:t>
      </w:r>
      <w:r w:rsidR="00AF79FE">
        <w:rPr>
          <w:sz w:val="24"/>
          <w:szCs w:val="24"/>
        </w:rPr>
        <w:t xml:space="preserve">Note that </w:t>
      </w:r>
      <w:r w:rsidR="001C7EC7">
        <w:rPr>
          <w:sz w:val="24"/>
          <w:szCs w:val="24"/>
        </w:rPr>
        <w:t xml:space="preserve">volume </w:t>
      </w:r>
      <w:r w:rsidR="00AF79FE">
        <w:rPr>
          <w:sz w:val="24"/>
          <w:szCs w:val="24"/>
        </w:rPr>
        <w:t>forecast</w:t>
      </w:r>
      <w:r w:rsidR="001C7EC7">
        <w:rPr>
          <w:sz w:val="24"/>
          <w:szCs w:val="24"/>
        </w:rPr>
        <w:t>s</w:t>
      </w:r>
      <w:r w:rsidR="00AF79FE">
        <w:rPr>
          <w:sz w:val="24"/>
          <w:szCs w:val="24"/>
        </w:rPr>
        <w:t xml:space="preserve"> do not include </w:t>
      </w:r>
      <w:r w:rsidR="001C7EC7">
        <w:rPr>
          <w:sz w:val="24"/>
          <w:szCs w:val="24"/>
        </w:rPr>
        <w:t>new and amended listings that will result from future PBAC consideration</w:t>
      </w:r>
      <w:r w:rsidR="00AF79FE">
        <w:rPr>
          <w:sz w:val="24"/>
          <w:szCs w:val="24"/>
        </w:rPr>
        <w:t>.</w:t>
      </w:r>
    </w:p>
    <w:p w14:paraId="016A11C9" w14:textId="62C10AF5" w:rsidR="00A0125C" w:rsidRDefault="00A0125C" w:rsidP="00A0125C">
      <w:pPr>
        <w:pStyle w:val="Caption"/>
      </w:pPr>
      <w:bookmarkStart w:id="75" w:name="_Ref160011758"/>
      <w:r>
        <w:t xml:space="preserve">Table </w:t>
      </w:r>
      <w:fldSimple w:instr=" SEQ Table \* ARABIC ">
        <w:r>
          <w:rPr>
            <w:noProof/>
          </w:rPr>
          <w:t>12</w:t>
        </w:r>
      </w:fldSimple>
      <w:bookmarkEnd w:id="75"/>
      <w:r>
        <w:t xml:space="preserve">. </w:t>
      </w:r>
      <w:r w:rsidRPr="00FB32C1">
        <w:t>Volumes of PBS medicines dispensed (million)</w:t>
      </w:r>
    </w:p>
    <w:tbl>
      <w:tblPr>
        <w:tblW w:w="10194" w:type="dxa"/>
        <w:tblLook w:val="04A0" w:firstRow="1" w:lastRow="0" w:firstColumn="1" w:lastColumn="0" w:noHBand="0" w:noVBand="1"/>
      </w:tblPr>
      <w:tblGrid>
        <w:gridCol w:w="4104"/>
        <w:gridCol w:w="991"/>
        <w:gridCol w:w="992"/>
        <w:gridCol w:w="991"/>
        <w:gridCol w:w="1133"/>
        <w:gridCol w:w="1133"/>
        <w:gridCol w:w="850"/>
      </w:tblGrid>
      <w:tr w:rsidR="00AA528B" w:rsidRPr="00C20287" w14:paraId="21BA0278" w14:textId="77777777" w:rsidTr="00E55DA3">
        <w:trPr>
          <w:trHeight w:val="300"/>
        </w:trPr>
        <w:tc>
          <w:tcPr>
            <w:tcW w:w="4104" w:type="dxa"/>
            <w:vMerge w:val="restart"/>
            <w:tcBorders>
              <w:top w:val="nil"/>
              <w:left w:val="nil"/>
              <w:bottom w:val="single" w:sz="8" w:space="0" w:color="000000"/>
              <w:right w:val="single" w:sz="8" w:space="0" w:color="auto"/>
            </w:tcBorders>
            <w:shd w:val="clear" w:color="auto" w:fill="auto"/>
            <w:noWrap/>
            <w:vAlign w:val="bottom"/>
            <w:hideMark/>
          </w:tcPr>
          <w:p w14:paraId="5631B702" w14:textId="77777777" w:rsidR="00AA528B" w:rsidRPr="00C20287" w:rsidRDefault="00AA528B" w:rsidP="00C2127E">
            <w:pPr>
              <w:spacing w:after="0" w:line="240" w:lineRule="auto"/>
              <w:rPr>
                <w:rFonts w:ascii="Calibri" w:eastAsia="Times New Roman" w:hAnsi="Calibri" w:cs="Calibri"/>
                <w:color w:val="000000"/>
                <w:lang w:eastAsia="en-AU"/>
              </w:rPr>
            </w:pPr>
            <w:r w:rsidRPr="00C20287">
              <w:rPr>
                <w:rFonts w:ascii="Calibri" w:eastAsia="Times New Roman" w:hAnsi="Calibri" w:cs="Calibri"/>
                <w:color w:val="000000"/>
                <w:lang w:eastAsia="en-AU"/>
              </w:rPr>
              <w:t> </w:t>
            </w:r>
          </w:p>
        </w:tc>
        <w:tc>
          <w:tcPr>
            <w:tcW w:w="991" w:type="dxa"/>
            <w:tcBorders>
              <w:top w:val="single" w:sz="8" w:space="0" w:color="auto"/>
              <w:left w:val="nil"/>
              <w:bottom w:val="nil"/>
              <w:right w:val="single" w:sz="8" w:space="0" w:color="auto"/>
            </w:tcBorders>
            <w:shd w:val="clear" w:color="000000" w:fill="BFBFBF"/>
            <w:noWrap/>
            <w:vAlign w:val="center"/>
            <w:hideMark/>
          </w:tcPr>
          <w:p w14:paraId="4C46B293"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2020-21</w:t>
            </w:r>
          </w:p>
        </w:tc>
        <w:tc>
          <w:tcPr>
            <w:tcW w:w="992" w:type="dxa"/>
            <w:tcBorders>
              <w:top w:val="single" w:sz="8" w:space="0" w:color="auto"/>
              <w:left w:val="nil"/>
              <w:bottom w:val="nil"/>
              <w:right w:val="single" w:sz="8" w:space="0" w:color="auto"/>
            </w:tcBorders>
            <w:shd w:val="clear" w:color="000000" w:fill="BFBFBF"/>
            <w:noWrap/>
            <w:vAlign w:val="center"/>
            <w:hideMark/>
          </w:tcPr>
          <w:p w14:paraId="4F3D8BFD"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2021-22</w:t>
            </w:r>
          </w:p>
        </w:tc>
        <w:tc>
          <w:tcPr>
            <w:tcW w:w="991" w:type="dxa"/>
            <w:tcBorders>
              <w:top w:val="single" w:sz="8" w:space="0" w:color="auto"/>
              <w:left w:val="nil"/>
              <w:bottom w:val="nil"/>
              <w:right w:val="single" w:sz="8" w:space="0" w:color="auto"/>
            </w:tcBorders>
            <w:shd w:val="clear" w:color="000000" w:fill="BFBFBF"/>
            <w:noWrap/>
            <w:vAlign w:val="center"/>
            <w:hideMark/>
          </w:tcPr>
          <w:p w14:paraId="073059E8"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2022-23</w:t>
            </w:r>
          </w:p>
        </w:tc>
        <w:tc>
          <w:tcPr>
            <w:tcW w:w="1133" w:type="dxa"/>
            <w:tcBorders>
              <w:top w:val="single" w:sz="8" w:space="0" w:color="auto"/>
              <w:left w:val="nil"/>
              <w:bottom w:val="nil"/>
              <w:right w:val="single" w:sz="8" w:space="0" w:color="auto"/>
            </w:tcBorders>
            <w:shd w:val="clear" w:color="000000" w:fill="BFBFBF"/>
            <w:noWrap/>
            <w:vAlign w:val="center"/>
            <w:hideMark/>
          </w:tcPr>
          <w:p w14:paraId="64F5C975"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2023-24</w:t>
            </w:r>
          </w:p>
        </w:tc>
        <w:tc>
          <w:tcPr>
            <w:tcW w:w="1133" w:type="dxa"/>
            <w:tcBorders>
              <w:top w:val="single" w:sz="8" w:space="0" w:color="auto"/>
              <w:left w:val="nil"/>
              <w:bottom w:val="nil"/>
              <w:right w:val="single" w:sz="8" w:space="0" w:color="auto"/>
            </w:tcBorders>
            <w:shd w:val="clear" w:color="000000" w:fill="BFBFBF"/>
            <w:noWrap/>
            <w:vAlign w:val="center"/>
            <w:hideMark/>
          </w:tcPr>
          <w:p w14:paraId="443E85D7"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2024-25</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A15802"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5-year Total</w:t>
            </w:r>
          </w:p>
        </w:tc>
      </w:tr>
      <w:tr w:rsidR="00AA528B" w:rsidRPr="00C20287" w14:paraId="3E033D3E" w14:textId="77777777" w:rsidTr="00E55DA3">
        <w:trPr>
          <w:trHeight w:val="315"/>
        </w:trPr>
        <w:tc>
          <w:tcPr>
            <w:tcW w:w="4104" w:type="dxa"/>
            <w:vMerge/>
            <w:tcBorders>
              <w:top w:val="nil"/>
              <w:left w:val="nil"/>
              <w:bottom w:val="single" w:sz="8" w:space="0" w:color="000000"/>
              <w:right w:val="single" w:sz="8" w:space="0" w:color="auto"/>
            </w:tcBorders>
            <w:vAlign w:val="center"/>
            <w:hideMark/>
          </w:tcPr>
          <w:p w14:paraId="77FD82D7" w14:textId="77777777" w:rsidR="00AA528B" w:rsidRPr="00C20287" w:rsidRDefault="00AA528B" w:rsidP="00C2127E">
            <w:pPr>
              <w:spacing w:after="0" w:line="240" w:lineRule="auto"/>
              <w:rPr>
                <w:rFonts w:ascii="Calibri" w:eastAsia="Times New Roman" w:hAnsi="Calibri" w:cs="Calibri"/>
                <w:color w:val="000000"/>
                <w:lang w:eastAsia="en-AU"/>
              </w:rPr>
            </w:pPr>
          </w:p>
        </w:tc>
        <w:tc>
          <w:tcPr>
            <w:tcW w:w="991" w:type="dxa"/>
            <w:tcBorders>
              <w:top w:val="nil"/>
              <w:left w:val="nil"/>
              <w:bottom w:val="nil"/>
              <w:right w:val="single" w:sz="8" w:space="0" w:color="auto"/>
            </w:tcBorders>
            <w:shd w:val="clear" w:color="000000" w:fill="BFBFBF"/>
            <w:noWrap/>
            <w:vAlign w:val="center"/>
            <w:hideMark/>
          </w:tcPr>
          <w:p w14:paraId="53917CB9"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Actual</w:t>
            </w:r>
          </w:p>
        </w:tc>
        <w:tc>
          <w:tcPr>
            <w:tcW w:w="992" w:type="dxa"/>
            <w:tcBorders>
              <w:top w:val="nil"/>
              <w:left w:val="nil"/>
              <w:bottom w:val="nil"/>
              <w:right w:val="single" w:sz="8" w:space="0" w:color="auto"/>
            </w:tcBorders>
            <w:shd w:val="clear" w:color="000000" w:fill="BFBFBF"/>
            <w:noWrap/>
            <w:vAlign w:val="center"/>
            <w:hideMark/>
          </w:tcPr>
          <w:p w14:paraId="0F6AA08C"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Actual</w:t>
            </w:r>
          </w:p>
        </w:tc>
        <w:tc>
          <w:tcPr>
            <w:tcW w:w="991" w:type="dxa"/>
            <w:tcBorders>
              <w:top w:val="nil"/>
              <w:left w:val="nil"/>
              <w:bottom w:val="nil"/>
              <w:right w:val="single" w:sz="8" w:space="0" w:color="auto"/>
            </w:tcBorders>
            <w:shd w:val="clear" w:color="000000" w:fill="BFBFBF"/>
            <w:noWrap/>
            <w:vAlign w:val="center"/>
            <w:hideMark/>
          </w:tcPr>
          <w:p w14:paraId="089DDE73" w14:textId="77777777" w:rsidR="00AA528B" w:rsidRPr="00C20287" w:rsidRDefault="00AA528B" w:rsidP="00C2127E">
            <w:pPr>
              <w:spacing w:after="0" w:line="240" w:lineRule="auto"/>
              <w:jc w:val="center"/>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Actual</w:t>
            </w:r>
          </w:p>
        </w:tc>
        <w:tc>
          <w:tcPr>
            <w:tcW w:w="1133" w:type="dxa"/>
            <w:tcBorders>
              <w:top w:val="nil"/>
              <w:left w:val="nil"/>
              <w:bottom w:val="nil"/>
              <w:right w:val="single" w:sz="8" w:space="0" w:color="auto"/>
            </w:tcBorders>
            <w:shd w:val="clear" w:color="000000" w:fill="BFBFBF"/>
            <w:noWrap/>
            <w:vAlign w:val="center"/>
            <w:hideMark/>
          </w:tcPr>
          <w:p w14:paraId="2B6B8F1C" w14:textId="77777777" w:rsidR="00AA528B" w:rsidRPr="00CA72FA" w:rsidRDefault="00AA528B" w:rsidP="00C2127E">
            <w:pPr>
              <w:spacing w:after="0" w:line="240" w:lineRule="auto"/>
              <w:jc w:val="center"/>
              <w:rPr>
                <w:rFonts w:ascii="Calibri" w:eastAsia="Times New Roman" w:hAnsi="Calibri" w:cs="Calibri"/>
                <w:b/>
                <w:bCs/>
                <w:color w:val="000000"/>
                <w:lang w:eastAsia="en-AU"/>
              </w:rPr>
            </w:pPr>
            <w:r w:rsidRPr="00CA72FA">
              <w:rPr>
                <w:rFonts w:ascii="Calibri" w:eastAsia="Times New Roman" w:hAnsi="Calibri" w:cs="Calibri"/>
                <w:b/>
                <w:bCs/>
                <w:color w:val="000000"/>
                <w:lang w:eastAsia="en-AU"/>
              </w:rPr>
              <w:t>Forecast</w:t>
            </w:r>
          </w:p>
        </w:tc>
        <w:tc>
          <w:tcPr>
            <w:tcW w:w="1133" w:type="dxa"/>
            <w:tcBorders>
              <w:top w:val="nil"/>
              <w:left w:val="nil"/>
              <w:bottom w:val="nil"/>
              <w:right w:val="single" w:sz="8" w:space="0" w:color="auto"/>
            </w:tcBorders>
            <w:shd w:val="clear" w:color="000000" w:fill="BFBFBF"/>
            <w:noWrap/>
            <w:vAlign w:val="center"/>
            <w:hideMark/>
          </w:tcPr>
          <w:p w14:paraId="585DFAE4" w14:textId="77777777" w:rsidR="00AA528B" w:rsidRPr="00CA72FA" w:rsidRDefault="00AA528B" w:rsidP="00C2127E">
            <w:pPr>
              <w:spacing w:after="0" w:line="240" w:lineRule="auto"/>
              <w:jc w:val="center"/>
              <w:rPr>
                <w:rFonts w:ascii="Calibri" w:eastAsia="Times New Roman" w:hAnsi="Calibri" w:cs="Calibri"/>
                <w:b/>
                <w:bCs/>
                <w:color w:val="000000"/>
                <w:lang w:eastAsia="en-AU"/>
              </w:rPr>
            </w:pPr>
            <w:r w:rsidRPr="00CA72FA">
              <w:rPr>
                <w:rFonts w:ascii="Calibri" w:eastAsia="Times New Roman" w:hAnsi="Calibri" w:cs="Calibri"/>
                <w:b/>
                <w:bCs/>
                <w:color w:val="000000"/>
                <w:lang w:eastAsia="en-AU"/>
              </w:rPr>
              <w:t>Forecast</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86ECEE0" w14:textId="77777777" w:rsidR="00AA528B" w:rsidRPr="00CA72FA" w:rsidRDefault="00AA528B" w:rsidP="00C2127E">
            <w:pPr>
              <w:spacing w:after="0" w:line="240" w:lineRule="auto"/>
              <w:rPr>
                <w:rFonts w:ascii="Calibri" w:eastAsia="Times New Roman" w:hAnsi="Calibri" w:cs="Calibri"/>
                <w:b/>
                <w:bCs/>
                <w:color w:val="000000"/>
                <w:lang w:eastAsia="en-AU"/>
              </w:rPr>
            </w:pPr>
          </w:p>
        </w:tc>
      </w:tr>
      <w:tr w:rsidR="00E55DA3" w:rsidRPr="00C20287" w14:paraId="77009CBA" w14:textId="77777777" w:rsidTr="00CA72FA">
        <w:trPr>
          <w:trHeight w:val="315"/>
        </w:trPr>
        <w:tc>
          <w:tcPr>
            <w:tcW w:w="4104" w:type="dxa"/>
            <w:tcBorders>
              <w:top w:val="nil"/>
              <w:left w:val="single" w:sz="8" w:space="0" w:color="auto"/>
              <w:bottom w:val="single" w:sz="8" w:space="0" w:color="auto"/>
              <w:right w:val="single" w:sz="8" w:space="0" w:color="auto"/>
            </w:tcBorders>
            <w:shd w:val="clear" w:color="auto" w:fill="auto"/>
            <w:vAlign w:val="center"/>
            <w:hideMark/>
          </w:tcPr>
          <w:p w14:paraId="1D515382" w14:textId="77777777" w:rsidR="00E55DA3" w:rsidRPr="00943AE8" w:rsidRDefault="00E55DA3" w:rsidP="00E55DA3">
            <w:pPr>
              <w:spacing w:after="0" w:line="240" w:lineRule="auto"/>
              <w:rPr>
                <w:rFonts w:eastAsia="Times New Roman" w:cstheme="minorHAnsi"/>
                <w:bCs/>
                <w:color w:val="000000"/>
                <w:lang w:eastAsia="en-AU"/>
              </w:rPr>
            </w:pPr>
            <w:r w:rsidRPr="00943AE8">
              <w:rPr>
                <w:rFonts w:eastAsia="Times New Roman" w:cstheme="minorHAnsi"/>
                <w:bCs/>
                <w:color w:val="000000"/>
                <w:lang w:eastAsia="en-AU"/>
              </w:rPr>
              <w:t xml:space="preserve">Over co-payment (Subsidised) Prescriptions </w:t>
            </w:r>
          </w:p>
        </w:tc>
        <w:tc>
          <w:tcPr>
            <w:tcW w:w="991" w:type="dxa"/>
            <w:tcBorders>
              <w:top w:val="single" w:sz="8" w:space="0" w:color="auto"/>
              <w:left w:val="nil"/>
              <w:bottom w:val="single" w:sz="8" w:space="0" w:color="auto"/>
              <w:right w:val="single" w:sz="8" w:space="0" w:color="auto"/>
            </w:tcBorders>
            <w:shd w:val="clear" w:color="auto" w:fill="auto"/>
            <w:noWrap/>
            <w:vAlign w:val="center"/>
            <w:hideMark/>
          </w:tcPr>
          <w:p w14:paraId="53FD6FDA" w14:textId="77777777" w:rsidR="00E55DA3" w:rsidRPr="00E04259" w:rsidRDefault="00E55DA3" w:rsidP="00E55DA3">
            <w:pPr>
              <w:spacing w:after="0" w:line="240" w:lineRule="auto"/>
              <w:jc w:val="right"/>
              <w:rPr>
                <w:rFonts w:ascii="Calibri" w:eastAsia="Times New Roman" w:hAnsi="Calibri" w:cs="Calibri"/>
                <w:bCs/>
                <w:color w:val="000000"/>
                <w:lang w:eastAsia="en-AU"/>
              </w:rPr>
            </w:pPr>
            <w:r w:rsidRPr="00E04259">
              <w:rPr>
                <w:rFonts w:ascii="Calibri" w:eastAsia="Times New Roman" w:hAnsi="Calibri" w:cs="Calibri"/>
                <w:bCs/>
                <w:color w:val="000000"/>
                <w:lang w:eastAsia="en-AU"/>
              </w:rPr>
              <w:t>214.9</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CB8DEEE" w14:textId="77777777" w:rsidR="00E55DA3" w:rsidRPr="00E04259" w:rsidRDefault="00E55DA3" w:rsidP="00E55DA3">
            <w:pPr>
              <w:spacing w:after="0" w:line="240" w:lineRule="auto"/>
              <w:jc w:val="right"/>
              <w:rPr>
                <w:rFonts w:ascii="Calibri" w:eastAsia="Times New Roman" w:hAnsi="Calibri" w:cs="Calibri"/>
                <w:bCs/>
                <w:color w:val="000000"/>
                <w:lang w:eastAsia="en-AU"/>
              </w:rPr>
            </w:pPr>
            <w:r w:rsidRPr="00E04259">
              <w:rPr>
                <w:rFonts w:ascii="Calibri" w:eastAsia="Times New Roman" w:hAnsi="Calibri" w:cs="Calibri"/>
                <w:bCs/>
                <w:color w:val="000000"/>
                <w:lang w:eastAsia="en-AU"/>
              </w:rPr>
              <w:t>21</w:t>
            </w:r>
            <w:r>
              <w:rPr>
                <w:rFonts w:ascii="Calibri" w:eastAsia="Times New Roman" w:hAnsi="Calibri" w:cs="Calibri"/>
                <w:bCs/>
                <w:color w:val="000000"/>
                <w:lang w:eastAsia="en-AU"/>
              </w:rPr>
              <w:t>5</w:t>
            </w:r>
            <w:r w:rsidRPr="00E04259">
              <w:rPr>
                <w:rFonts w:ascii="Calibri" w:eastAsia="Times New Roman" w:hAnsi="Calibri" w:cs="Calibri"/>
                <w:bCs/>
                <w:color w:val="000000"/>
                <w:lang w:eastAsia="en-AU"/>
              </w:rPr>
              <w:t>.1</w:t>
            </w:r>
          </w:p>
        </w:tc>
        <w:tc>
          <w:tcPr>
            <w:tcW w:w="991" w:type="dxa"/>
            <w:tcBorders>
              <w:top w:val="single" w:sz="8" w:space="0" w:color="auto"/>
              <w:left w:val="nil"/>
              <w:bottom w:val="single" w:sz="8" w:space="0" w:color="auto"/>
              <w:right w:val="single" w:sz="8" w:space="0" w:color="auto"/>
            </w:tcBorders>
            <w:shd w:val="clear" w:color="auto" w:fill="auto"/>
            <w:noWrap/>
            <w:vAlign w:val="center"/>
            <w:hideMark/>
          </w:tcPr>
          <w:p w14:paraId="1B4D170C" w14:textId="77777777" w:rsidR="00E55DA3" w:rsidRPr="00E04259" w:rsidRDefault="00E55DA3" w:rsidP="00E55DA3">
            <w:pPr>
              <w:spacing w:after="0" w:line="240" w:lineRule="auto"/>
              <w:jc w:val="right"/>
              <w:rPr>
                <w:rFonts w:ascii="Calibri" w:eastAsia="Times New Roman" w:hAnsi="Calibri" w:cs="Calibri"/>
                <w:bCs/>
                <w:color w:val="000000"/>
                <w:lang w:eastAsia="en-AU"/>
              </w:rPr>
            </w:pPr>
            <w:r w:rsidRPr="00E04259">
              <w:rPr>
                <w:rFonts w:ascii="Calibri" w:eastAsia="Times New Roman" w:hAnsi="Calibri" w:cs="Calibri"/>
                <w:bCs/>
                <w:color w:val="000000"/>
                <w:lang w:eastAsia="en-AU"/>
              </w:rPr>
              <w:t>223.</w:t>
            </w:r>
            <w:r>
              <w:rPr>
                <w:rFonts w:ascii="Calibri" w:eastAsia="Times New Roman" w:hAnsi="Calibri" w:cs="Calibri"/>
                <w:bCs/>
                <w:color w:val="000000"/>
                <w:lang w:eastAsia="en-AU"/>
              </w:rPr>
              <w:t>1</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14:paraId="7779DEE1" w14:textId="016E1B12" w:rsidR="00E55DA3" w:rsidRPr="00CA72FA" w:rsidRDefault="00E55DA3" w:rsidP="00E55DA3">
            <w:pPr>
              <w:spacing w:after="0" w:line="240" w:lineRule="auto"/>
              <w:jc w:val="right"/>
              <w:rPr>
                <w:rFonts w:ascii="Calibri" w:eastAsia="Times New Roman" w:hAnsi="Calibri" w:cs="Calibri"/>
                <w:bCs/>
                <w:color w:val="000000"/>
                <w:lang w:eastAsia="en-AU"/>
              </w:rPr>
            </w:pPr>
            <w:r w:rsidRPr="00CA72FA">
              <w:rPr>
                <w:rFonts w:ascii="Calibri" w:eastAsia="Times New Roman" w:hAnsi="Calibri" w:cs="Calibri"/>
                <w:bCs/>
                <w:color w:val="000000"/>
                <w:lang w:eastAsia="en-AU"/>
              </w:rPr>
              <w:t>222.3</w:t>
            </w:r>
          </w:p>
        </w:tc>
        <w:tc>
          <w:tcPr>
            <w:tcW w:w="1133" w:type="dxa"/>
            <w:tcBorders>
              <w:top w:val="single" w:sz="8" w:space="0" w:color="auto"/>
              <w:left w:val="nil"/>
              <w:bottom w:val="single" w:sz="8" w:space="0" w:color="auto"/>
              <w:right w:val="single" w:sz="8" w:space="0" w:color="auto"/>
            </w:tcBorders>
            <w:shd w:val="clear" w:color="auto" w:fill="auto"/>
            <w:noWrap/>
            <w:vAlign w:val="center"/>
            <w:hideMark/>
          </w:tcPr>
          <w:p w14:paraId="19684E6F" w14:textId="78112906" w:rsidR="00E55DA3" w:rsidRPr="00CA72FA" w:rsidRDefault="00E55DA3" w:rsidP="00E55DA3">
            <w:pPr>
              <w:spacing w:after="0" w:line="240" w:lineRule="auto"/>
              <w:jc w:val="right"/>
              <w:rPr>
                <w:rFonts w:ascii="Calibri" w:eastAsia="Times New Roman" w:hAnsi="Calibri" w:cs="Calibri"/>
                <w:bCs/>
                <w:color w:val="000000"/>
                <w:lang w:eastAsia="en-AU"/>
              </w:rPr>
            </w:pPr>
            <w:r w:rsidRPr="00CA72FA">
              <w:rPr>
                <w:rFonts w:ascii="Calibri" w:eastAsia="Times New Roman" w:hAnsi="Calibri" w:cs="Calibri"/>
                <w:bCs/>
                <w:color w:val="000000"/>
                <w:lang w:eastAsia="en-AU"/>
              </w:rPr>
              <w:t>201.7</w:t>
            </w:r>
          </w:p>
        </w:tc>
        <w:tc>
          <w:tcPr>
            <w:tcW w:w="850" w:type="dxa"/>
            <w:tcBorders>
              <w:top w:val="nil"/>
              <w:left w:val="nil"/>
              <w:bottom w:val="single" w:sz="8" w:space="0" w:color="auto"/>
              <w:right w:val="single" w:sz="8" w:space="0" w:color="auto"/>
            </w:tcBorders>
            <w:shd w:val="clear" w:color="auto" w:fill="auto"/>
            <w:noWrap/>
            <w:hideMark/>
          </w:tcPr>
          <w:p w14:paraId="5195B2FE" w14:textId="455FC0D1" w:rsidR="00E55DA3" w:rsidRPr="00CA72FA" w:rsidRDefault="00E55DA3" w:rsidP="00E55DA3">
            <w:pPr>
              <w:spacing w:after="0" w:line="240" w:lineRule="auto"/>
              <w:jc w:val="right"/>
              <w:rPr>
                <w:rFonts w:ascii="Calibri" w:eastAsia="Times New Roman" w:hAnsi="Calibri" w:cs="Calibri"/>
                <w:bCs/>
                <w:color w:val="000000"/>
                <w:lang w:eastAsia="en-AU"/>
              </w:rPr>
            </w:pPr>
            <w:r w:rsidRPr="00CA72FA">
              <w:t>1,077.1</w:t>
            </w:r>
          </w:p>
        </w:tc>
      </w:tr>
      <w:tr w:rsidR="00E55DA3" w:rsidRPr="00C20287" w14:paraId="78B16036" w14:textId="77777777" w:rsidTr="00CA72FA">
        <w:trPr>
          <w:trHeight w:val="259"/>
        </w:trPr>
        <w:tc>
          <w:tcPr>
            <w:tcW w:w="4104" w:type="dxa"/>
            <w:tcBorders>
              <w:top w:val="nil"/>
              <w:left w:val="single" w:sz="8" w:space="0" w:color="auto"/>
              <w:bottom w:val="single" w:sz="8" w:space="0" w:color="auto"/>
              <w:right w:val="single" w:sz="8" w:space="0" w:color="auto"/>
            </w:tcBorders>
            <w:shd w:val="clear" w:color="auto" w:fill="auto"/>
            <w:vAlign w:val="center"/>
            <w:hideMark/>
          </w:tcPr>
          <w:p w14:paraId="6D897F55" w14:textId="395EA07A" w:rsidR="00E55DA3" w:rsidRPr="00943AE8" w:rsidRDefault="00E55DA3" w:rsidP="00E55DA3">
            <w:pPr>
              <w:spacing w:after="0" w:line="240" w:lineRule="auto"/>
              <w:rPr>
                <w:rFonts w:eastAsia="Times New Roman" w:cstheme="minorHAnsi"/>
                <w:color w:val="000000"/>
                <w:lang w:eastAsia="en-AU"/>
              </w:rPr>
            </w:pPr>
            <w:r w:rsidRPr="00943AE8">
              <w:rPr>
                <w:rFonts w:eastAsia="Times New Roman" w:cstheme="minorHAnsi"/>
                <w:color w:val="000000"/>
                <w:lang w:eastAsia="en-AU"/>
              </w:rPr>
              <w:t xml:space="preserve">Under co-payment </w:t>
            </w:r>
            <w:r>
              <w:rPr>
                <w:rFonts w:eastAsia="Times New Roman" w:cstheme="minorHAnsi"/>
                <w:color w:val="000000"/>
                <w:lang w:eastAsia="en-AU"/>
              </w:rPr>
              <w:t>(Unsubsidised)</w:t>
            </w:r>
            <w:r w:rsidRPr="00943AE8">
              <w:rPr>
                <w:rFonts w:eastAsia="Times New Roman" w:cstheme="minorHAnsi"/>
                <w:color w:val="000000"/>
                <w:lang w:eastAsia="en-AU"/>
              </w:rPr>
              <w:t xml:space="preserve"> Prescriptions</w:t>
            </w:r>
            <w:r w:rsidRPr="00943AE8">
              <w:rPr>
                <w:rFonts w:eastAsia="Times New Roman" w:cstheme="minorHAnsi"/>
                <w:bCs/>
                <w:color w:val="000000"/>
                <w:lang w:eastAsia="en-AU"/>
              </w:rPr>
              <w:t xml:space="preserve"> </w:t>
            </w:r>
          </w:p>
        </w:tc>
        <w:tc>
          <w:tcPr>
            <w:tcW w:w="991" w:type="dxa"/>
            <w:tcBorders>
              <w:top w:val="nil"/>
              <w:left w:val="nil"/>
              <w:bottom w:val="single" w:sz="8" w:space="0" w:color="auto"/>
              <w:right w:val="single" w:sz="8" w:space="0" w:color="auto"/>
            </w:tcBorders>
            <w:shd w:val="clear" w:color="auto" w:fill="auto"/>
            <w:noWrap/>
            <w:vAlign w:val="center"/>
            <w:hideMark/>
          </w:tcPr>
          <w:p w14:paraId="4EE6D225" w14:textId="77777777" w:rsidR="00E55DA3" w:rsidRPr="00873130" w:rsidRDefault="00E55DA3" w:rsidP="00E55DA3">
            <w:pPr>
              <w:spacing w:after="0" w:line="240" w:lineRule="auto"/>
              <w:jc w:val="right"/>
              <w:rPr>
                <w:rFonts w:ascii="Calibri" w:eastAsia="Times New Roman" w:hAnsi="Calibri" w:cs="Calibri"/>
                <w:color w:val="000000"/>
                <w:lang w:eastAsia="en-AU"/>
              </w:rPr>
            </w:pPr>
            <w:r w:rsidRPr="00873130">
              <w:rPr>
                <w:rFonts w:ascii="Calibri" w:eastAsia="Times New Roman" w:hAnsi="Calibri" w:cs="Calibri"/>
                <w:color w:val="000000"/>
                <w:lang w:eastAsia="en-AU"/>
              </w:rPr>
              <w:t>92.0</w:t>
            </w:r>
          </w:p>
        </w:tc>
        <w:tc>
          <w:tcPr>
            <w:tcW w:w="992" w:type="dxa"/>
            <w:tcBorders>
              <w:top w:val="nil"/>
              <w:left w:val="nil"/>
              <w:bottom w:val="single" w:sz="8" w:space="0" w:color="auto"/>
              <w:right w:val="single" w:sz="8" w:space="0" w:color="auto"/>
            </w:tcBorders>
            <w:shd w:val="clear" w:color="auto" w:fill="auto"/>
            <w:noWrap/>
            <w:vAlign w:val="center"/>
            <w:hideMark/>
          </w:tcPr>
          <w:p w14:paraId="0818AF6F" w14:textId="77777777" w:rsidR="00E55DA3" w:rsidRPr="00873130" w:rsidRDefault="00E55DA3" w:rsidP="00E55DA3">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100</w:t>
            </w:r>
            <w:r w:rsidRPr="00873130">
              <w:rPr>
                <w:rFonts w:ascii="Calibri" w:eastAsia="Times New Roman" w:hAnsi="Calibri" w:cs="Calibri"/>
                <w:color w:val="000000"/>
                <w:lang w:eastAsia="en-AU"/>
              </w:rPr>
              <w:t>.</w:t>
            </w:r>
            <w:r>
              <w:rPr>
                <w:rFonts w:ascii="Calibri" w:eastAsia="Times New Roman" w:hAnsi="Calibri" w:cs="Calibri"/>
                <w:color w:val="000000"/>
                <w:lang w:eastAsia="en-AU"/>
              </w:rPr>
              <w:t>8</w:t>
            </w:r>
          </w:p>
        </w:tc>
        <w:tc>
          <w:tcPr>
            <w:tcW w:w="991" w:type="dxa"/>
            <w:tcBorders>
              <w:top w:val="nil"/>
              <w:left w:val="nil"/>
              <w:bottom w:val="single" w:sz="8" w:space="0" w:color="auto"/>
              <w:right w:val="single" w:sz="8" w:space="0" w:color="auto"/>
            </w:tcBorders>
            <w:shd w:val="clear" w:color="auto" w:fill="auto"/>
            <w:noWrap/>
            <w:vAlign w:val="center"/>
            <w:hideMark/>
          </w:tcPr>
          <w:p w14:paraId="360EEE92" w14:textId="43D2A7AF" w:rsidR="00E55DA3" w:rsidRPr="00873130" w:rsidRDefault="00E55DA3" w:rsidP="00E55DA3">
            <w:pPr>
              <w:spacing w:after="0" w:line="240" w:lineRule="auto"/>
              <w:jc w:val="right"/>
              <w:rPr>
                <w:rFonts w:ascii="Calibri" w:eastAsia="Times New Roman" w:hAnsi="Calibri" w:cs="Calibri"/>
                <w:color w:val="000000"/>
                <w:lang w:eastAsia="en-AU"/>
              </w:rPr>
            </w:pPr>
            <w:r w:rsidRPr="00873130">
              <w:rPr>
                <w:rFonts w:ascii="Calibri" w:eastAsia="Times New Roman" w:hAnsi="Calibri" w:cs="Calibri"/>
                <w:color w:val="000000"/>
                <w:lang w:eastAsia="en-AU"/>
              </w:rPr>
              <w:t>10</w:t>
            </w:r>
            <w:r>
              <w:rPr>
                <w:rFonts w:ascii="Calibri" w:eastAsia="Times New Roman" w:hAnsi="Calibri" w:cs="Calibri"/>
                <w:color w:val="000000"/>
                <w:lang w:eastAsia="en-AU"/>
              </w:rPr>
              <w:t>5.7</w:t>
            </w:r>
          </w:p>
        </w:tc>
        <w:tc>
          <w:tcPr>
            <w:tcW w:w="1133" w:type="dxa"/>
            <w:tcBorders>
              <w:top w:val="nil"/>
              <w:left w:val="nil"/>
              <w:bottom w:val="single" w:sz="8" w:space="0" w:color="auto"/>
              <w:right w:val="single" w:sz="8" w:space="0" w:color="auto"/>
            </w:tcBorders>
            <w:shd w:val="clear" w:color="auto" w:fill="auto"/>
            <w:noWrap/>
            <w:vAlign w:val="center"/>
            <w:hideMark/>
          </w:tcPr>
          <w:p w14:paraId="75E3282F" w14:textId="0574FE0D" w:rsidR="00E55DA3" w:rsidRPr="00CA72FA" w:rsidRDefault="00E55DA3" w:rsidP="00E55DA3">
            <w:pPr>
              <w:spacing w:after="0" w:line="240" w:lineRule="auto"/>
              <w:jc w:val="right"/>
              <w:rPr>
                <w:rFonts w:ascii="Calibri" w:eastAsia="Times New Roman" w:hAnsi="Calibri" w:cs="Calibri"/>
                <w:color w:val="000000"/>
                <w:lang w:eastAsia="en-AU"/>
              </w:rPr>
            </w:pPr>
            <w:r w:rsidRPr="00CA72FA">
              <w:rPr>
                <w:rFonts w:ascii="Calibri" w:eastAsia="Times New Roman" w:hAnsi="Calibri" w:cs="Calibri"/>
                <w:color w:val="000000"/>
                <w:lang w:eastAsia="en-AU"/>
              </w:rPr>
              <w:t>101.5</w:t>
            </w:r>
          </w:p>
        </w:tc>
        <w:tc>
          <w:tcPr>
            <w:tcW w:w="1133" w:type="dxa"/>
            <w:tcBorders>
              <w:top w:val="nil"/>
              <w:left w:val="nil"/>
              <w:bottom w:val="single" w:sz="8" w:space="0" w:color="auto"/>
              <w:right w:val="single" w:sz="8" w:space="0" w:color="auto"/>
            </w:tcBorders>
            <w:shd w:val="clear" w:color="auto" w:fill="auto"/>
            <w:noWrap/>
            <w:vAlign w:val="center"/>
            <w:hideMark/>
          </w:tcPr>
          <w:p w14:paraId="2689886A" w14:textId="7442F051" w:rsidR="00E55DA3" w:rsidRPr="00CA72FA" w:rsidRDefault="00E55DA3" w:rsidP="00E55DA3">
            <w:pPr>
              <w:spacing w:after="0" w:line="240" w:lineRule="auto"/>
              <w:jc w:val="right"/>
              <w:rPr>
                <w:rFonts w:ascii="Calibri" w:eastAsia="Times New Roman" w:hAnsi="Calibri" w:cs="Calibri"/>
                <w:color w:val="000000"/>
                <w:lang w:eastAsia="en-AU"/>
              </w:rPr>
            </w:pPr>
            <w:r w:rsidRPr="00CA72FA">
              <w:rPr>
                <w:rFonts w:ascii="Calibri" w:eastAsia="Times New Roman" w:hAnsi="Calibri" w:cs="Calibri"/>
                <w:color w:val="000000"/>
                <w:lang w:eastAsia="en-AU"/>
              </w:rPr>
              <w:t>92.2</w:t>
            </w:r>
          </w:p>
        </w:tc>
        <w:tc>
          <w:tcPr>
            <w:tcW w:w="850" w:type="dxa"/>
            <w:tcBorders>
              <w:top w:val="nil"/>
              <w:left w:val="nil"/>
              <w:bottom w:val="single" w:sz="8" w:space="0" w:color="auto"/>
              <w:right w:val="single" w:sz="8" w:space="0" w:color="auto"/>
            </w:tcBorders>
            <w:shd w:val="clear" w:color="auto" w:fill="auto"/>
            <w:noWrap/>
            <w:hideMark/>
          </w:tcPr>
          <w:p w14:paraId="05430F5F" w14:textId="470A4B16" w:rsidR="00E55DA3" w:rsidRPr="00CA72FA" w:rsidRDefault="00E55DA3" w:rsidP="00E55DA3">
            <w:pPr>
              <w:spacing w:after="0" w:line="240" w:lineRule="auto"/>
              <w:jc w:val="right"/>
              <w:rPr>
                <w:rFonts w:ascii="Calibri" w:eastAsia="Times New Roman" w:hAnsi="Calibri" w:cs="Calibri"/>
                <w:bCs/>
                <w:color w:val="000000"/>
                <w:lang w:eastAsia="en-AU"/>
              </w:rPr>
            </w:pPr>
            <w:r w:rsidRPr="00CA72FA">
              <w:t>492.2</w:t>
            </w:r>
          </w:p>
        </w:tc>
      </w:tr>
      <w:tr w:rsidR="00E55DA3" w:rsidRPr="00C20287" w14:paraId="03BEE70C" w14:textId="77777777" w:rsidTr="00CA72FA">
        <w:trPr>
          <w:trHeight w:val="315"/>
        </w:trPr>
        <w:tc>
          <w:tcPr>
            <w:tcW w:w="4104" w:type="dxa"/>
            <w:tcBorders>
              <w:top w:val="nil"/>
              <w:left w:val="single" w:sz="8" w:space="0" w:color="auto"/>
              <w:bottom w:val="single" w:sz="8" w:space="0" w:color="auto"/>
              <w:right w:val="single" w:sz="8" w:space="0" w:color="auto"/>
            </w:tcBorders>
            <w:shd w:val="clear" w:color="auto" w:fill="auto"/>
            <w:vAlign w:val="center"/>
            <w:hideMark/>
          </w:tcPr>
          <w:p w14:paraId="47C4FA5E" w14:textId="77777777" w:rsidR="00E55DA3" w:rsidRPr="00943AE8" w:rsidRDefault="00E55DA3" w:rsidP="00E55DA3">
            <w:pPr>
              <w:spacing w:after="0" w:line="240" w:lineRule="auto"/>
              <w:rPr>
                <w:rFonts w:eastAsia="Times New Roman" w:cstheme="minorHAnsi"/>
                <w:b/>
                <w:bCs/>
                <w:color w:val="000000"/>
                <w:lang w:eastAsia="en-AU"/>
              </w:rPr>
            </w:pPr>
            <w:r w:rsidRPr="00943AE8">
              <w:rPr>
                <w:rFonts w:eastAsia="Times New Roman" w:cstheme="minorHAnsi"/>
                <w:b/>
                <w:bCs/>
                <w:color w:val="000000"/>
                <w:lang w:eastAsia="en-AU"/>
              </w:rPr>
              <w:t xml:space="preserve">Total Prescriptions </w:t>
            </w:r>
          </w:p>
        </w:tc>
        <w:tc>
          <w:tcPr>
            <w:tcW w:w="991" w:type="dxa"/>
            <w:tcBorders>
              <w:top w:val="nil"/>
              <w:left w:val="nil"/>
              <w:bottom w:val="single" w:sz="8" w:space="0" w:color="auto"/>
              <w:right w:val="single" w:sz="8" w:space="0" w:color="auto"/>
            </w:tcBorders>
            <w:shd w:val="clear" w:color="auto" w:fill="auto"/>
            <w:noWrap/>
            <w:vAlign w:val="center"/>
            <w:hideMark/>
          </w:tcPr>
          <w:p w14:paraId="6AC5C0A3" w14:textId="77777777" w:rsidR="00E55DA3" w:rsidRPr="00C20287" w:rsidRDefault="00E55DA3" w:rsidP="00E55DA3">
            <w:pPr>
              <w:spacing w:after="0" w:line="240" w:lineRule="auto"/>
              <w:jc w:val="right"/>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306.9</w:t>
            </w:r>
          </w:p>
        </w:tc>
        <w:tc>
          <w:tcPr>
            <w:tcW w:w="992" w:type="dxa"/>
            <w:tcBorders>
              <w:top w:val="nil"/>
              <w:left w:val="nil"/>
              <w:bottom w:val="single" w:sz="8" w:space="0" w:color="auto"/>
              <w:right w:val="single" w:sz="8" w:space="0" w:color="auto"/>
            </w:tcBorders>
            <w:shd w:val="clear" w:color="auto" w:fill="auto"/>
            <w:noWrap/>
            <w:vAlign w:val="center"/>
            <w:hideMark/>
          </w:tcPr>
          <w:p w14:paraId="3F7C1AE9" w14:textId="77777777" w:rsidR="00E55DA3" w:rsidRPr="00C20287" w:rsidRDefault="00E55DA3" w:rsidP="00E55DA3">
            <w:pPr>
              <w:spacing w:after="0" w:line="240" w:lineRule="auto"/>
              <w:jc w:val="right"/>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315.</w:t>
            </w:r>
            <w:r>
              <w:rPr>
                <w:rFonts w:ascii="Calibri" w:eastAsia="Times New Roman" w:hAnsi="Calibri" w:cs="Calibri"/>
                <w:b/>
                <w:bCs/>
                <w:color w:val="000000"/>
                <w:lang w:eastAsia="en-AU"/>
              </w:rPr>
              <w:t>9</w:t>
            </w:r>
          </w:p>
        </w:tc>
        <w:tc>
          <w:tcPr>
            <w:tcW w:w="991" w:type="dxa"/>
            <w:tcBorders>
              <w:top w:val="nil"/>
              <w:left w:val="nil"/>
              <w:bottom w:val="single" w:sz="8" w:space="0" w:color="auto"/>
              <w:right w:val="single" w:sz="8" w:space="0" w:color="auto"/>
            </w:tcBorders>
            <w:shd w:val="clear" w:color="auto" w:fill="auto"/>
            <w:noWrap/>
            <w:vAlign w:val="center"/>
            <w:hideMark/>
          </w:tcPr>
          <w:p w14:paraId="1721337D" w14:textId="77777777" w:rsidR="00E55DA3" w:rsidRPr="00C20287" w:rsidRDefault="00E55DA3" w:rsidP="00E55DA3">
            <w:pPr>
              <w:spacing w:after="0" w:line="240" w:lineRule="auto"/>
              <w:jc w:val="right"/>
              <w:rPr>
                <w:rFonts w:ascii="Calibri" w:eastAsia="Times New Roman" w:hAnsi="Calibri" w:cs="Calibri"/>
                <w:b/>
                <w:bCs/>
                <w:color w:val="000000"/>
                <w:lang w:eastAsia="en-AU"/>
              </w:rPr>
            </w:pPr>
            <w:r w:rsidRPr="00C20287">
              <w:rPr>
                <w:rFonts w:ascii="Calibri" w:eastAsia="Times New Roman" w:hAnsi="Calibri" w:cs="Calibri"/>
                <w:b/>
                <w:bCs/>
                <w:color w:val="000000"/>
                <w:lang w:eastAsia="en-AU"/>
              </w:rPr>
              <w:t>32</w:t>
            </w:r>
            <w:r>
              <w:rPr>
                <w:rFonts w:ascii="Calibri" w:eastAsia="Times New Roman" w:hAnsi="Calibri" w:cs="Calibri"/>
                <w:b/>
                <w:bCs/>
                <w:color w:val="000000"/>
                <w:lang w:eastAsia="en-AU"/>
              </w:rPr>
              <w:t>8</w:t>
            </w:r>
            <w:r w:rsidRPr="00C20287">
              <w:rPr>
                <w:rFonts w:ascii="Calibri" w:eastAsia="Times New Roman" w:hAnsi="Calibri" w:cs="Calibri"/>
                <w:b/>
                <w:bCs/>
                <w:color w:val="000000"/>
                <w:lang w:eastAsia="en-AU"/>
              </w:rPr>
              <w:t>.</w:t>
            </w:r>
            <w:r>
              <w:rPr>
                <w:rFonts w:ascii="Calibri" w:eastAsia="Times New Roman" w:hAnsi="Calibri" w:cs="Calibri"/>
                <w:b/>
                <w:bCs/>
                <w:color w:val="000000"/>
                <w:lang w:eastAsia="en-AU"/>
              </w:rPr>
              <w:t>7</w:t>
            </w:r>
          </w:p>
        </w:tc>
        <w:tc>
          <w:tcPr>
            <w:tcW w:w="1133" w:type="dxa"/>
            <w:tcBorders>
              <w:top w:val="nil"/>
              <w:left w:val="nil"/>
              <w:bottom w:val="single" w:sz="8" w:space="0" w:color="auto"/>
              <w:right w:val="single" w:sz="8" w:space="0" w:color="auto"/>
            </w:tcBorders>
            <w:shd w:val="clear" w:color="auto" w:fill="auto"/>
            <w:noWrap/>
            <w:vAlign w:val="center"/>
            <w:hideMark/>
          </w:tcPr>
          <w:p w14:paraId="6FC109E4" w14:textId="70EF67FA" w:rsidR="00E55DA3" w:rsidRPr="00CA72FA" w:rsidRDefault="00E55DA3" w:rsidP="00E55DA3">
            <w:pPr>
              <w:spacing w:after="0" w:line="240" w:lineRule="auto"/>
              <w:jc w:val="right"/>
              <w:rPr>
                <w:rFonts w:ascii="Calibri" w:eastAsia="Times New Roman" w:hAnsi="Calibri" w:cs="Calibri"/>
                <w:b/>
                <w:bCs/>
                <w:color w:val="000000"/>
                <w:lang w:eastAsia="en-AU"/>
              </w:rPr>
            </w:pPr>
            <w:r w:rsidRPr="00CA72FA">
              <w:rPr>
                <w:rFonts w:ascii="Calibri" w:eastAsia="Times New Roman" w:hAnsi="Calibri" w:cs="Calibri"/>
                <w:b/>
                <w:bCs/>
                <w:color w:val="000000"/>
                <w:lang w:eastAsia="en-AU"/>
              </w:rPr>
              <w:t>323.8</w:t>
            </w:r>
          </w:p>
        </w:tc>
        <w:tc>
          <w:tcPr>
            <w:tcW w:w="1133" w:type="dxa"/>
            <w:tcBorders>
              <w:top w:val="nil"/>
              <w:left w:val="nil"/>
              <w:bottom w:val="single" w:sz="8" w:space="0" w:color="auto"/>
              <w:right w:val="single" w:sz="8" w:space="0" w:color="auto"/>
            </w:tcBorders>
            <w:shd w:val="clear" w:color="auto" w:fill="auto"/>
            <w:noWrap/>
            <w:vAlign w:val="center"/>
            <w:hideMark/>
          </w:tcPr>
          <w:p w14:paraId="5BA5549B" w14:textId="2B74CB9F" w:rsidR="00E55DA3" w:rsidRPr="00CA72FA" w:rsidRDefault="00E55DA3" w:rsidP="00CA72FA">
            <w:pPr>
              <w:spacing w:after="0" w:line="240" w:lineRule="auto"/>
              <w:jc w:val="right"/>
              <w:rPr>
                <w:rFonts w:ascii="Calibri" w:eastAsia="Times New Roman" w:hAnsi="Calibri" w:cs="Calibri"/>
                <w:b/>
                <w:bCs/>
                <w:color w:val="000000"/>
                <w:lang w:eastAsia="en-AU"/>
              </w:rPr>
            </w:pPr>
            <w:r w:rsidRPr="00CA72FA">
              <w:rPr>
                <w:rFonts w:ascii="Calibri" w:eastAsia="Times New Roman" w:hAnsi="Calibri" w:cs="Calibri"/>
                <w:b/>
                <w:bCs/>
                <w:color w:val="000000"/>
                <w:lang w:eastAsia="en-AU"/>
              </w:rPr>
              <w:t>293.9</w:t>
            </w:r>
          </w:p>
        </w:tc>
        <w:tc>
          <w:tcPr>
            <w:tcW w:w="850" w:type="dxa"/>
            <w:tcBorders>
              <w:top w:val="nil"/>
              <w:left w:val="nil"/>
              <w:bottom w:val="single" w:sz="8" w:space="0" w:color="auto"/>
              <w:right w:val="single" w:sz="8" w:space="0" w:color="auto"/>
            </w:tcBorders>
            <w:shd w:val="clear" w:color="auto" w:fill="auto"/>
            <w:noWrap/>
            <w:vAlign w:val="center"/>
            <w:hideMark/>
          </w:tcPr>
          <w:p w14:paraId="70ABA3FC" w14:textId="3AB45885" w:rsidR="00E55DA3" w:rsidRPr="00CA72FA" w:rsidRDefault="00E55DA3" w:rsidP="00CA72FA">
            <w:pPr>
              <w:spacing w:after="0" w:line="240" w:lineRule="auto"/>
              <w:jc w:val="right"/>
              <w:rPr>
                <w:rFonts w:ascii="Calibri" w:eastAsia="Times New Roman" w:hAnsi="Calibri" w:cs="Calibri"/>
                <w:b/>
                <w:bCs/>
                <w:color w:val="000000"/>
                <w:lang w:eastAsia="en-AU"/>
              </w:rPr>
            </w:pPr>
            <w:r w:rsidRPr="00CA72FA">
              <w:rPr>
                <w:b/>
              </w:rPr>
              <w:t>1,569.2</w:t>
            </w:r>
          </w:p>
        </w:tc>
      </w:tr>
    </w:tbl>
    <w:p w14:paraId="4DB26B6F" w14:textId="77777777" w:rsidR="00AA528B" w:rsidRPr="00C20287" w:rsidRDefault="00AA528B" w:rsidP="00AA528B">
      <w:pPr>
        <w:rPr>
          <w:color w:val="0D0D0D" w:themeColor="text1" w:themeTint="F2"/>
          <w:sz w:val="24"/>
          <w:szCs w:val="22"/>
        </w:rPr>
      </w:pPr>
    </w:p>
    <w:p w14:paraId="12390A8C" w14:textId="6B922AE3" w:rsidR="00C2127E" w:rsidRDefault="00C2127E" w:rsidP="00F30056">
      <w:pPr>
        <w:rPr>
          <w:color w:val="0D0D0D" w:themeColor="text1" w:themeTint="F2"/>
          <w:sz w:val="24"/>
          <w:szCs w:val="24"/>
        </w:rPr>
      </w:pPr>
      <w:r>
        <w:rPr>
          <w:color w:val="0D0D0D" w:themeColor="text1" w:themeTint="F2"/>
          <w:sz w:val="24"/>
          <w:szCs w:val="24"/>
        </w:rPr>
        <w:t xml:space="preserve">While the volume of medicines dispensed wouldn’t be anticipated to change between options the </w:t>
      </w:r>
      <w:r w:rsidR="00224AD9">
        <w:rPr>
          <w:color w:val="0D0D0D" w:themeColor="text1" w:themeTint="F2"/>
          <w:sz w:val="24"/>
          <w:szCs w:val="24"/>
        </w:rPr>
        <w:t>patient contribution</w:t>
      </w:r>
      <w:r>
        <w:rPr>
          <w:color w:val="0D0D0D" w:themeColor="text1" w:themeTint="F2"/>
          <w:sz w:val="24"/>
          <w:szCs w:val="24"/>
        </w:rPr>
        <w:t xml:space="preserve">s through co-payments would differ slightly with changes to </w:t>
      </w:r>
      <w:r w:rsidR="00326A1D">
        <w:rPr>
          <w:color w:val="0D0D0D" w:themeColor="text1" w:themeTint="F2"/>
          <w:sz w:val="24"/>
          <w:szCs w:val="24"/>
        </w:rPr>
        <w:t xml:space="preserve">the </w:t>
      </w:r>
      <w:r w:rsidR="00FF3694">
        <w:rPr>
          <w:color w:val="0D0D0D" w:themeColor="text1" w:themeTint="F2"/>
          <w:sz w:val="24"/>
          <w:szCs w:val="24"/>
        </w:rPr>
        <w:t>C</w:t>
      </w:r>
      <w:r>
        <w:rPr>
          <w:color w:val="0D0D0D" w:themeColor="text1" w:themeTint="F2"/>
          <w:sz w:val="24"/>
          <w:szCs w:val="24"/>
        </w:rPr>
        <w:t>ommonwealth price</w:t>
      </w:r>
      <w:r w:rsidR="00AF79FE">
        <w:rPr>
          <w:color w:val="0D0D0D" w:themeColor="text1" w:themeTint="F2"/>
          <w:sz w:val="24"/>
          <w:szCs w:val="24"/>
        </w:rPr>
        <w:t>, and could change further depending on whether reforms are negotiated in a new agreement to address current cost of living concerns</w:t>
      </w:r>
      <w:r w:rsidR="00580765">
        <w:rPr>
          <w:color w:val="0D0D0D" w:themeColor="text1" w:themeTint="F2"/>
          <w:sz w:val="24"/>
          <w:szCs w:val="24"/>
        </w:rPr>
        <w:t>. The estimated</w:t>
      </w:r>
      <w:r w:rsidR="00FF3694">
        <w:rPr>
          <w:color w:val="0D0D0D" w:themeColor="text1" w:themeTint="F2"/>
          <w:sz w:val="24"/>
          <w:szCs w:val="24"/>
        </w:rPr>
        <w:t xml:space="preserve"> patient contribution</w:t>
      </w:r>
      <w:r w:rsidR="004255A6">
        <w:rPr>
          <w:color w:val="0D0D0D" w:themeColor="text1" w:themeTint="F2"/>
          <w:sz w:val="24"/>
          <w:szCs w:val="24"/>
        </w:rPr>
        <w:t>s</w:t>
      </w:r>
      <w:r w:rsidR="00580765">
        <w:rPr>
          <w:color w:val="0D0D0D" w:themeColor="text1" w:themeTint="F2"/>
          <w:sz w:val="24"/>
          <w:szCs w:val="24"/>
        </w:rPr>
        <w:t xml:space="preserve"> for Options 2 and 3 </w:t>
      </w:r>
      <w:r>
        <w:rPr>
          <w:color w:val="0D0D0D" w:themeColor="text1" w:themeTint="F2"/>
          <w:sz w:val="24"/>
          <w:szCs w:val="24"/>
        </w:rPr>
        <w:t>are outlined below.</w:t>
      </w:r>
      <w:r w:rsidR="00580765">
        <w:rPr>
          <w:color w:val="0D0D0D" w:themeColor="text1" w:themeTint="F2"/>
          <w:sz w:val="24"/>
          <w:szCs w:val="24"/>
        </w:rPr>
        <w:t xml:space="preserve"> The estimated patient contributions under 7CPA across 5 years are also provided </w:t>
      </w:r>
      <w:r w:rsidR="00A0125C">
        <w:rPr>
          <w:color w:val="0D0D0D" w:themeColor="text1" w:themeTint="F2"/>
          <w:sz w:val="24"/>
          <w:szCs w:val="24"/>
        </w:rPr>
        <w:t xml:space="preserve">in </w:t>
      </w:r>
      <w:r w:rsidR="00A0125C" w:rsidRPr="00A0125C">
        <w:rPr>
          <w:color w:val="0D0D0D" w:themeColor="text1" w:themeTint="F2"/>
          <w:sz w:val="24"/>
          <w:szCs w:val="24"/>
        </w:rPr>
        <w:fldChar w:fldCharType="begin"/>
      </w:r>
      <w:r w:rsidR="00A0125C" w:rsidRPr="00A0125C">
        <w:rPr>
          <w:color w:val="0D0D0D" w:themeColor="text1" w:themeTint="F2"/>
          <w:sz w:val="24"/>
          <w:szCs w:val="24"/>
        </w:rPr>
        <w:instrText xml:space="preserve"> REF _Ref160011854 \h </w:instrText>
      </w:r>
      <w:r w:rsidR="00A0125C">
        <w:rPr>
          <w:color w:val="0D0D0D" w:themeColor="text1" w:themeTint="F2"/>
          <w:sz w:val="24"/>
          <w:szCs w:val="24"/>
        </w:rPr>
        <w:instrText xml:space="preserve"> \* MERGEFORMAT </w:instrText>
      </w:r>
      <w:r w:rsidR="00A0125C" w:rsidRPr="00A0125C">
        <w:rPr>
          <w:color w:val="0D0D0D" w:themeColor="text1" w:themeTint="F2"/>
          <w:sz w:val="24"/>
          <w:szCs w:val="24"/>
        </w:rPr>
      </w:r>
      <w:r w:rsidR="00A0125C" w:rsidRPr="00A0125C">
        <w:rPr>
          <w:color w:val="0D0D0D" w:themeColor="text1" w:themeTint="F2"/>
          <w:sz w:val="24"/>
          <w:szCs w:val="24"/>
        </w:rPr>
        <w:fldChar w:fldCharType="separate"/>
      </w:r>
      <w:r w:rsidR="00A0125C" w:rsidRPr="00A0125C">
        <w:rPr>
          <w:sz w:val="24"/>
          <w:szCs w:val="24"/>
        </w:rPr>
        <w:t xml:space="preserve">Table </w:t>
      </w:r>
      <w:r w:rsidR="00A0125C" w:rsidRPr="00A0125C">
        <w:rPr>
          <w:noProof/>
          <w:sz w:val="24"/>
          <w:szCs w:val="24"/>
        </w:rPr>
        <w:t>13</w:t>
      </w:r>
      <w:r w:rsidR="00A0125C" w:rsidRPr="00A0125C">
        <w:rPr>
          <w:color w:val="0D0D0D" w:themeColor="text1" w:themeTint="F2"/>
          <w:sz w:val="24"/>
          <w:szCs w:val="24"/>
        </w:rPr>
        <w:fldChar w:fldCharType="end"/>
      </w:r>
      <w:r w:rsidR="00580765">
        <w:rPr>
          <w:color w:val="0D0D0D" w:themeColor="text1" w:themeTint="F2"/>
          <w:sz w:val="24"/>
          <w:szCs w:val="24"/>
        </w:rPr>
        <w:t xml:space="preserve"> as a comparison, although it isn’t possible to provide an estimate for Option 1</w:t>
      </w:r>
      <w:r w:rsidR="00FF3694">
        <w:rPr>
          <w:color w:val="0D0D0D" w:themeColor="text1" w:themeTint="F2"/>
          <w:sz w:val="24"/>
          <w:szCs w:val="24"/>
        </w:rPr>
        <w:t xml:space="preserve"> as the Commonwealth price would be established by the independent PBRT after the expiry of the 7CPA</w:t>
      </w:r>
      <w:r w:rsidR="00580765">
        <w:rPr>
          <w:color w:val="0D0D0D" w:themeColor="text1" w:themeTint="F2"/>
          <w:sz w:val="24"/>
          <w:szCs w:val="24"/>
        </w:rPr>
        <w:t xml:space="preserve">. </w:t>
      </w:r>
    </w:p>
    <w:p w14:paraId="380584D1" w14:textId="3F4179EE" w:rsidR="00A0125C" w:rsidRDefault="00A0125C" w:rsidP="00A0125C">
      <w:pPr>
        <w:pStyle w:val="Caption"/>
      </w:pPr>
      <w:bookmarkStart w:id="76" w:name="_Ref160011854"/>
      <w:r>
        <w:t xml:space="preserve">Table </w:t>
      </w:r>
      <w:fldSimple w:instr=" SEQ Table \* ARABIC ">
        <w:r>
          <w:rPr>
            <w:noProof/>
          </w:rPr>
          <w:t>13</w:t>
        </w:r>
      </w:fldSimple>
      <w:bookmarkEnd w:id="76"/>
      <w:r>
        <w:t xml:space="preserve">. </w:t>
      </w:r>
      <w:r w:rsidRPr="00DB65DA">
        <w:t>Comparative patient contribution estimates over 5 years</w:t>
      </w:r>
    </w:p>
    <w:tbl>
      <w:tblPr>
        <w:tblStyle w:val="TableGrid"/>
        <w:tblW w:w="5000" w:type="pct"/>
        <w:shd w:val="clear" w:color="auto" w:fill="FFFFFF" w:themeFill="background1"/>
        <w:tblLook w:val="04A0" w:firstRow="1" w:lastRow="0" w:firstColumn="1" w:lastColumn="0" w:noHBand="0" w:noVBand="1"/>
      </w:tblPr>
      <w:tblGrid>
        <w:gridCol w:w="6203"/>
        <w:gridCol w:w="1331"/>
        <w:gridCol w:w="1331"/>
        <w:gridCol w:w="1329"/>
      </w:tblGrid>
      <w:tr w:rsidR="00C2127E" w:rsidRPr="00C20287" w14:paraId="65D80455" w14:textId="77777777" w:rsidTr="00C2127E">
        <w:tc>
          <w:tcPr>
            <w:tcW w:w="3042" w:type="pct"/>
            <w:shd w:val="clear" w:color="auto" w:fill="D1D1D1" w:themeFill="background2"/>
          </w:tcPr>
          <w:p w14:paraId="48A217F6" w14:textId="77777777" w:rsidR="00C2127E" w:rsidRPr="00C20287" w:rsidRDefault="00C2127E" w:rsidP="00C2127E">
            <w:pPr>
              <w:rPr>
                <w:b/>
              </w:rPr>
            </w:pPr>
            <w:r w:rsidRPr="00C20287">
              <w:rPr>
                <w:b/>
              </w:rPr>
              <w:t>Components of remuneration</w:t>
            </w:r>
          </w:p>
        </w:tc>
        <w:tc>
          <w:tcPr>
            <w:tcW w:w="653" w:type="pct"/>
            <w:shd w:val="clear" w:color="auto" w:fill="D1D1D1" w:themeFill="background2"/>
          </w:tcPr>
          <w:p w14:paraId="0D7E0446" w14:textId="0377CBC1" w:rsidR="00C2127E" w:rsidRPr="00C20287" w:rsidRDefault="00C2127E" w:rsidP="00C2127E">
            <w:pPr>
              <w:jc w:val="center"/>
              <w:rPr>
                <w:b/>
              </w:rPr>
            </w:pPr>
            <w:r w:rsidRPr="00C20287">
              <w:rPr>
                <w:b/>
              </w:rPr>
              <w:t>7CPA ($</w:t>
            </w:r>
            <w:r w:rsidR="00190624">
              <w:rPr>
                <w:b/>
              </w:rPr>
              <w:t>billion</w:t>
            </w:r>
            <w:r w:rsidRPr="00C20287">
              <w:rPr>
                <w:b/>
              </w:rPr>
              <w:t>)</w:t>
            </w:r>
          </w:p>
        </w:tc>
        <w:tc>
          <w:tcPr>
            <w:tcW w:w="653" w:type="pct"/>
            <w:shd w:val="clear" w:color="auto" w:fill="D1D1D1" w:themeFill="background2"/>
          </w:tcPr>
          <w:p w14:paraId="3676A4FB" w14:textId="25D06329" w:rsidR="00C2127E" w:rsidRPr="00C20287" w:rsidRDefault="00C2127E" w:rsidP="00C2127E">
            <w:pPr>
              <w:jc w:val="center"/>
              <w:rPr>
                <w:b/>
              </w:rPr>
            </w:pPr>
            <w:r w:rsidRPr="00C20287">
              <w:rPr>
                <w:b/>
              </w:rPr>
              <w:t>Option 2</w:t>
            </w:r>
            <w:r>
              <w:rPr>
                <w:b/>
              </w:rPr>
              <w:t xml:space="preserve"> </w:t>
            </w:r>
            <w:r w:rsidRPr="00C20287">
              <w:rPr>
                <w:b/>
              </w:rPr>
              <w:t>8CPA ($</w:t>
            </w:r>
            <w:r w:rsidR="00190624">
              <w:rPr>
                <w:b/>
              </w:rPr>
              <w:t>billion</w:t>
            </w:r>
            <w:r w:rsidRPr="00C20287">
              <w:rPr>
                <w:b/>
              </w:rPr>
              <w:t>)</w:t>
            </w:r>
          </w:p>
        </w:tc>
        <w:tc>
          <w:tcPr>
            <w:tcW w:w="652" w:type="pct"/>
            <w:shd w:val="clear" w:color="auto" w:fill="D1D1D1" w:themeFill="background2"/>
          </w:tcPr>
          <w:p w14:paraId="00A409D4" w14:textId="4678F0A3" w:rsidR="00C2127E" w:rsidRPr="00C20287" w:rsidRDefault="00190624" w:rsidP="00C2127E">
            <w:pPr>
              <w:jc w:val="center"/>
              <w:rPr>
                <w:b/>
              </w:rPr>
            </w:pPr>
            <w:r w:rsidRPr="00C20287">
              <w:rPr>
                <w:b/>
              </w:rPr>
              <w:t>Option 3</w:t>
            </w:r>
            <w:r>
              <w:rPr>
                <w:b/>
              </w:rPr>
              <w:t xml:space="preserve"> </w:t>
            </w:r>
            <w:r w:rsidR="00C2127E" w:rsidRPr="00C20287">
              <w:rPr>
                <w:b/>
              </w:rPr>
              <w:t>8CPA ($</w:t>
            </w:r>
            <w:r>
              <w:rPr>
                <w:b/>
              </w:rPr>
              <w:t>billion</w:t>
            </w:r>
            <w:r w:rsidR="00C2127E" w:rsidRPr="00C20287">
              <w:rPr>
                <w:b/>
              </w:rPr>
              <w:t>)</w:t>
            </w:r>
          </w:p>
          <w:p w14:paraId="3019B8EC" w14:textId="28B487C4" w:rsidR="00C2127E" w:rsidRPr="00C20287" w:rsidRDefault="00C2127E" w:rsidP="00190624">
            <w:pPr>
              <w:jc w:val="center"/>
              <w:rPr>
                <w:b/>
              </w:rPr>
            </w:pPr>
          </w:p>
        </w:tc>
      </w:tr>
      <w:tr w:rsidR="00C2127E" w:rsidRPr="00C20287" w14:paraId="069C1B2C" w14:textId="77777777" w:rsidTr="00C2127E">
        <w:tc>
          <w:tcPr>
            <w:tcW w:w="3042" w:type="pct"/>
            <w:tcBorders>
              <w:bottom w:val="single" w:sz="4" w:space="0" w:color="auto"/>
            </w:tcBorders>
            <w:shd w:val="clear" w:color="auto" w:fill="FFFFFF" w:themeFill="background1"/>
          </w:tcPr>
          <w:p w14:paraId="2B2B2AFA" w14:textId="3795B444" w:rsidR="00C2127E" w:rsidRPr="00C20287" w:rsidRDefault="00C2127E" w:rsidP="001C7EC7">
            <w:r w:rsidRPr="00C20287">
              <w:t xml:space="preserve">Dispensing remuneration – </w:t>
            </w:r>
            <w:r w:rsidR="00EC4D5C" w:rsidRPr="00943AE8">
              <w:rPr>
                <w:rFonts w:eastAsia="Times New Roman" w:cstheme="minorHAnsi"/>
                <w:color w:val="000000"/>
                <w:lang w:eastAsia="en-AU"/>
              </w:rPr>
              <w:t xml:space="preserve">Under co-payment </w:t>
            </w:r>
            <w:r w:rsidR="00EC4D5C">
              <w:rPr>
                <w:rFonts w:eastAsia="Times New Roman" w:cstheme="minorHAnsi"/>
                <w:color w:val="000000"/>
                <w:lang w:eastAsia="en-AU"/>
              </w:rPr>
              <w:t>(Unsubsidised)</w:t>
            </w:r>
            <w:r w:rsidR="00EC4D5C" w:rsidRPr="00943AE8">
              <w:rPr>
                <w:rFonts w:eastAsia="Times New Roman" w:cstheme="minorHAnsi"/>
                <w:color w:val="000000"/>
                <w:lang w:eastAsia="en-AU"/>
              </w:rPr>
              <w:t xml:space="preserve"> </w:t>
            </w:r>
            <w:r w:rsidRPr="00C20287">
              <w:t xml:space="preserve"> (patient contributions)</w:t>
            </w:r>
          </w:p>
        </w:tc>
        <w:tc>
          <w:tcPr>
            <w:tcW w:w="653" w:type="pct"/>
            <w:tcBorders>
              <w:bottom w:val="single" w:sz="4" w:space="0" w:color="auto"/>
            </w:tcBorders>
            <w:shd w:val="clear" w:color="auto" w:fill="FFFFFF" w:themeFill="background1"/>
          </w:tcPr>
          <w:p w14:paraId="321C7ECE" w14:textId="30339A7C" w:rsidR="00C2127E" w:rsidRPr="00CA72FA" w:rsidRDefault="00C2127E" w:rsidP="00190624">
            <w:pPr>
              <w:jc w:val="center"/>
            </w:pPr>
            <w:r w:rsidRPr="00CA72FA">
              <w:rPr>
                <w:rFonts w:ascii="Calibri" w:eastAsia="Times New Roman" w:hAnsi="Calibri" w:cs="Calibri"/>
                <w:bCs/>
                <w:color w:val="000000"/>
                <w:lang w:eastAsia="en-AU"/>
              </w:rPr>
              <w:t>$6</w:t>
            </w:r>
            <w:r w:rsidR="00190624" w:rsidRPr="00CA72FA">
              <w:rPr>
                <w:rFonts w:ascii="Calibri" w:eastAsia="Times New Roman" w:hAnsi="Calibri" w:cs="Calibri"/>
                <w:bCs/>
                <w:color w:val="000000"/>
                <w:lang w:eastAsia="en-AU"/>
              </w:rPr>
              <w:t>.4</w:t>
            </w:r>
          </w:p>
        </w:tc>
        <w:tc>
          <w:tcPr>
            <w:tcW w:w="653" w:type="pct"/>
            <w:tcBorders>
              <w:bottom w:val="single" w:sz="4" w:space="0" w:color="auto"/>
            </w:tcBorders>
            <w:shd w:val="clear" w:color="auto" w:fill="FFFFFF" w:themeFill="background1"/>
          </w:tcPr>
          <w:p w14:paraId="0A397157" w14:textId="46BA5C17" w:rsidR="00C2127E" w:rsidRPr="00CA72FA" w:rsidRDefault="00C2127E" w:rsidP="00C2127E">
            <w:pPr>
              <w:jc w:val="center"/>
              <w:rPr>
                <w:rFonts w:ascii="Calibri" w:eastAsia="Times New Roman" w:hAnsi="Calibri" w:cs="Calibri"/>
                <w:bCs/>
                <w:color w:val="000000"/>
                <w:lang w:eastAsia="en-AU"/>
              </w:rPr>
            </w:pPr>
            <w:r w:rsidRPr="00CA72FA">
              <w:t>$</w:t>
            </w:r>
            <w:r w:rsidR="003A3C0E" w:rsidRPr="00CA72FA">
              <w:t>8</w:t>
            </w:r>
            <w:r w:rsidR="00190624" w:rsidRPr="00CA72FA">
              <w:t>.1</w:t>
            </w:r>
          </w:p>
        </w:tc>
        <w:tc>
          <w:tcPr>
            <w:tcW w:w="652" w:type="pct"/>
            <w:tcBorders>
              <w:bottom w:val="single" w:sz="4" w:space="0" w:color="auto"/>
            </w:tcBorders>
            <w:shd w:val="clear" w:color="auto" w:fill="FFFFFF" w:themeFill="background1"/>
          </w:tcPr>
          <w:p w14:paraId="58BDDB8A" w14:textId="0531778A" w:rsidR="00C2127E" w:rsidRPr="00CA72FA" w:rsidRDefault="00C2127E" w:rsidP="00C2127E">
            <w:pPr>
              <w:jc w:val="center"/>
              <w:rPr>
                <w:rFonts w:ascii="Calibri" w:eastAsia="Times New Roman" w:hAnsi="Calibri" w:cs="Calibri"/>
                <w:bCs/>
                <w:color w:val="000000"/>
                <w:lang w:eastAsia="en-AU"/>
              </w:rPr>
            </w:pPr>
            <w:r w:rsidRPr="00CA72FA">
              <w:t>$6</w:t>
            </w:r>
            <w:r w:rsidR="00190624" w:rsidRPr="00CA72FA">
              <w:t>.</w:t>
            </w:r>
            <w:r w:rsidR="004444BC" w:rsidRPr="00CA72FA">
              <w:t>7</w:t>
            </w:r>
          </w:p>
        </w:tc>
      </w:tr>
    </w:tbl>
    <w:p w14:paraId="2DCB18E3" w14:textId="77777777" w:rsidR="00C2127E" w:rsidRDefault="00C2127E" w:rsidP="00C2127E">
      <w:pPr>
        <w:rPr>
          <w:color w:val="0D0D0D" w:themeColor="text1" w:themeTint="F2"/>
          <w:sz w:val="24"/>
          <w:szCs w:val="24"/>
        </w:rPr>
      </w:pPr>
    </w:p>
    <w:p w14:paraId="209E349F" w14:textId="0925C548" w:rsidR="00080442" w:rsidRDefault="00F30056" w:rsidP="00F30056">
      <w:pPr>
        <w:rPr>
          <w:color w:val="0D0D0D" w:themeColor="text1" w:themeTint="F2"/>
          <w:sz w:val="24"/>
          <w:szCs w:val="24"/>
        </w:rPr>
      </w:pPr>
      <w:r w:rsidRPr="00C20287">
        <w:rPr>
          <w:color w:val="0D0D0D" w:themeColor="text1" w:themeTint="F2"/>
          <w:sz w:val="24"/>
          <w:szCs w:val="24"/>
        </w:rPr>
        <w:t>The p</w:t>
      </w:r>
      <w:r>
        <w:rPr>
          <w:color w:val="0D0D0D" w:themeColor="text1" w:themeTint="F2"/>
          <w:sz w:val="24"/>
          <w:szCs w:val="24"/>
        </w:rPr>
        <w:t>rimary disadvantage of O</w:t>
      </w:r>
      <w:r w:rsidRPr="00C20287">
        <w:rPr>
          <w:color w:val="0D0D0D" w:themeColor="text1" w:themeTint="F2"/>
          <w:sz w:val="24"/>
          <w:szCs w:val="24"/>
        </w:rPr>
        <w:t xml:space="preserve">ption </w:t>
      </w:r>
      <w:r>
        <w:rPr>
          <w:color w:val="0D0D0D" w:themeColor="text1" w:themeTint="F2"/>
          <w:sz w:val="24"/>
          <w:szCs w:val="24"/>
        </w:rPr>
        <w:t xml:space="preserve">1 </w:t>
      </w:r>
      <w:r w:rsidRPr="00C20287">
        <w:rPr>
          <w:color w:val="0D0D0D" w:themeColor="text1" w:themeTint="F2"/>
          <w:sz w:val="24"/>
          <w:szCs w:val="24"/>
        </w:rPr>
        <w:t>is the lack of certainty it provides and the impact that this may have on</w:t>
      </w:r>
      <w:r w:rsidR="00580765">
        <w:rPr>
          <w:color w:val="0D0D0D" w:themeColor="text1" w:themeTint="F2"/>
          <w:sz w:val="24"/>
          <w:szCs w:val="24"/>
        </w:rPr>
        <w:t xml:space="preserve"> both consumers and</w:t>
      </w:r>
      <w:r w:rsidRPr="00C20287">
        <w:rPr>
          <w:color w:val="0D0D0D" w:themeColor="text1" w:themeTint="F2"/>
          <w:sz w:val="24"/>
          <w:szCs w:val="24"/>
        </w:rPr>
        <w:t xml:space="preserve"> the pharmacy sector as a whole. The timeframes for the completion of a PBRT determination are unstipulated</w:t>
      </w:r>
      <w:r>
        <w:rPr>
          <w:color w:val="0D0D0D" w:themeColor="text1" w:themeTint="F2"/>
          <w:sz w:val="24"/>
          <w:szCs w:val="24"/>
        </w:rPr>
        <w:t xml:space="preserve"> and unable to be estimated</w:t>
      </w:r>
      <w:r w:rsidRPr="00C20287">
        <w:rPr>
          <w:color w:val="0D0D0D" w:themeColor="text1" w:themeTint="F2"/>
          <w:sz w:val="24"/>
          <w:szCs w:val="24"/>
        </w:rPr>
        <w:t xml:space="preserve">. In addition, while the outcomes are also unknown, </w:t>
      </w:r>
      <w:r w:rsidRPr="00C20287">
        <w:rPr>
          <w:rFonts w:cstheme="minorHAnsi"/>
          <w:color w:val="0D0D0D" w:themeColor="text1" w:themeTint="F2"/>
          <w:sz w:val="24"/>
          <w:szCs w:val="24"/>
        </w:rPr>
        <w:t>the continued growth in the number of approved pharmacists, and sector reporting of increasing profits over recent years</w:t>
      </w:r>
      <w:r w:rsidR="00560322">
        <w:rPr>
          <w:rStyle w:val="FootnoteReference"/>
          <w:rFonts w:cstheme="minorHAnsi"/>
          <w:color w:val="0D0D0D" w:themeColor="text1" w:themeTint="F2"/>
          <w:sz w:val="24"/>
          <w:szCs w:val="24"/>
        </w:rPr>
        <w:footnoteReference w:id="72"/>
      </w:r>
      <w:r w:rsidRPr="00C20287">
        <w:rPr>
          <w:rFonts w:cstheme="minorHAnsi"/>
          <w:color w:val="0D0D0D" w:themeColor="text1" w:themeTint="F2"/>
          <w:sz w:val="24"/>
          <w:szCs w:val="24"/>
        </w:rPr>
        <w:t xml:space="preserve">, means it is possible an independent assessment of the cost of dispensing by the PBRT could result in reduced dispensing remuneration per script and overall. </w:t>
      </w:r>
    </w:p>
    <w:p w14:paraId="761A947F" w14:textId="7195ECE0" w:rsidR="00080442" w:rsidRPr="00C20287" w:rsidRDefault="00080442" w:rsidP="00080442">
      <w:pPr>
        <w:rPr>
          <w:color w:val="0D0D0D" w:themeColor="text1" w:themeTint="F2"/>
          <w:sz w:val="24"/>
          <w:szCs w:val="24"/>
        </w:rPr>
      </w:pPr>
      <w:r>
        <w:rPr>
          <w:color w:val="0D0D0D" w:themeColor="text1" w:themeTint="F2"/>
          <w:sz w:val="24"/>
          <w:szCs w:val="24"/>
        </w:rPr>
        <w:t xml:space="preserve">If </w:t>
      </w:r>
      <w:r w:rsidR="00F30056" w:rsidRPr="00C20287">
        <w:rPr>
          <w:sz w:val="24"/>
          <w:szCs w:val="24"/>
        </w:rPr>
        <w:t xml:space="preserve">community pharmacies were not able to negotiate what they consider </w:t>
      </w:r>
      <w:r w:rsidR="00560322">
        <w:rPr>
          <w:sz w:val="24"/>
          <w:szCs w:val="24"/>
        </w:rPr>
        <w:t xml:space="preserve">to be </w:t>
      </w:r>
      <w:r w:rsidR="00F30056" w:rsidRPr="00C20287">
        <w:rPr>
          <w:sz w:val="24"/>
          <w:szCs w:val="24"/>
        </w:rPr>
        <w:t>a fair price this could result in pharmacy closures and therefore reduce</w:t>
      </w:r>
      <w:r w:rsidR="00560322">
        <w:rPr>
          <w:sz w:val="24"/>
          <w:szCs w:val="24"/>
        </w:rPr>
        <w:t>d</w:t>
      </w:r>
      <w:r w:rsidR="00F30056" w:rsidRPr="00C20287">
        <w:rPr>
          <w:sz w:val="24"/>
          <w:szCs w:val="24"/>
        </w:rPr>
        <w:t xml:space="preserve"> access to medicines and health care offered through pharmacies, particularly in rural and remote areas where there is often only one pharmacy within a community.</w:t>
      </w:r>
      <w:r w:rsidR="00F30056" w:rsidRPr="00C20287">
        <w:t xml:space="preserve"> </w:t>
      </w:r>
      <w:r w:rsidRPr="00C20287">
        <w:rPr>
          <w:color w:val="0D0D0D" w:themeColor="text1" w:themeTint="F2"/>
          <w:sz w:val="24"/>
          <w:szCs w:val="24"/>
        </w:rPr>
        <w:t>Pharmacy closures in regional and remote areas</w:t>
      </w:r>
      <w:r>
        <w:rPr>
          <w:color w:val="0D0D0D" w:themeColor="text1" w:themeTint="F2"/>
          <w:sz w:val="24"/>
          <w:szCs w:val="24"/>
        </w:rPr>
        <w:t xml:space="preserve"> in particular</w:t>
      </w:r>
      <w:r w:rsidRPr="00C20287">
        <w:rPr>
          <w:color w:val="0D0D0D" w:themeColor="text1" w:themeTint="F2"/>
          <w:sz w:val="24"/>
          <w:szCs w:val="24"/>
        </w:rPr>
        <w:t xml:space="preserve"> can result in community </w:t>
      </w:r>
      <w:r w:rsidRPr="00C20287">
        <w:rPr>
          <w:color w:val="0D0D0D" w:themeColor="text1" w:themeTint="F2"/>
          <w:sz w:val="24"/>
          <w:szCs w:val="24"/>
        </w:rPr>
        <w:lastRenderedPageBreak/>
        <w:t xml:space="preserve">members having to travel significantly further to access medicines and pharmacy services. This can further impact individual health, and the health system more broadly, as people may wait longer to seek advice or treatment in relation to minor ailments which </w:t>
      </w:r>
      <w:r w:rsidR="00FF3694">
        <w:rPr>
          <w:color w:val="0D0D0D" w:themeColor="text1" w:themeTint="F2"/>
          <w:sz w:val="24"/>
          <w:szCs w:val="24"/>
        </w:rPr>
        <w:t xml:space="preserve">may </w:t>
      </w:r>
      <w:r w:rsidRPr="00C20287">
        <w:rPr>
          <w:color w:val="0D0D0D" w:themeColor="text1" w:themeTint="F2"/>
          <w:sz w:val="24"/>
          <w:szCs w:val="24"/>
        </w:rPr>
        <w:t xml:space="preserve">then escalate into more clinically significant issues. </w:t>
      </w:r>
    </w:p>
    <w:p w14:paraId="7CA2D60F" w14:textId="0330794A" w:rsidR="0087595D" w:rsidRPr="008E79DC" w:rsidRDefault="008F6532" w:rsidP="003B6EC3">
      <w:pPr>
        <w:rPr>
          <w:sz w:val="24"/>
          <w:szCs w:val="24"/>
        </w:rPr>
      </w:pPr>
      <w:r w:rsidRPr="008E79DC">
        <w:rPr>
          <w:color w:val="000000" w:themeColor="text1"/>
          <w:sz w:val="24"/>
          <w:szCs w:val="24"/>
        </w:rPr>
        <w:t>Option 2 would see the establishment of an 8CPA that is similar in scope and approach to the 7CPA which commenced on 1 July 2020 and was intended to operate until 30</w:t>
      </w:r>
      <w:r w:rsidR="00580765" w:rsidRPr="008E79DC">
        <w:rPr>
          <w:color w:val="000000" w:themeColor="text1"/>
          <w:sz w:val="24"/>
          <w:szCs w:val="24"/>
        </w:rPr>
        <w:t> </w:t>
      </w:r>
      <w:r w:rsidRPr="008E79DC">
        <w:rPr>
          <w:color w:val="000000" w:themeColor="text1"/>
          <w:sz w:val="24"/>
          <w:szCs w:val="24"/>
        </w:rPr>
        <w:t>June 2025.</w:t>
      </w:r>
      <w:r w:rsidR="0087595D" w:rsidRPr="008E79DC">
        <w:rPr>
          <w:color w:val="000000" w:themeColor="text1"/>
          <w:sz w:val="24"/>
          <w:szCs w:val="24"/>
        </w:rPr>
        <w:t xml:space="preserve"> Consume</w:t>
      </w:r>
      <w:r w:rsidR="00D72E5E" w:rsidRPr="008E79DC">
        <w:rPr>
          <w:color w:val="000000" w:themeColor="text1"/>
          <w:sz w:val="24"/>
          <w:szCs w:val="24"/>
        </w:rPr>
        <w:t>r</w:t>
      </w:r>
      <w:r w:rsidR="0087595D" w:rsidRPr="008E79DC">
        <w:rPr>
          <w:color w:val="000000" w:themeColor="text1"/>
          <w:sz w:val="24"/>
          <w:szCs w:val="24"/>
        </w:rPr>
        <w:t xml:space="preserve"> access to PBS medicines and other pharmacy services under this option would therefore remain unchanged</w:t>
      </w:r>
      <w:r w:rsidR="00AF79FE">
        <w:rPr>
          <w:color w:val="000000" w:themeColor="text1"/>
          <w:sz w:val="24"/>
          <w:szCs w:val="24"/>
        </w:rPr>
        <w:t xml:space="preserve"> (subject to reforms negotiated as part of an agreement)</w:t>
      </w:r>
      <w:r w:rsidR="0087595D" w:rsidRPr="008E79DC">
        <w:rPr>
          <w:sz w:val="24"/>
          <w:szCs w:val="24"/>
        </w:rPr>
        <w:t>.</w:t>
      </w:r>
    </w:p>
    <w:p w14:paraId="37064152" w14:textId="67914C61" w:rsidR="00D72E5E" w:rsidRDefault="0087595D" w:rsidP="003B6EC3">
      <w:r w:rsidRPr="00C20287">
        <w:rPr>
          <w:color w:val="0D0D0D" w:themeColor="text1" w:themeTint="F2"/>
          <w:sz w:val="24"/>
          <w:szCs w:val="24"/>
        </w:rPr>
        <w:t xml:space="preserve">Option 3 would </w:t>
      </w:r>
      <w:r>
        <w:rPr>
          <w:color w:val="0D0D0D" w:themeColor="text1" w:themeTint="F2"/>
          <w:sz w:val="24"/>
          <w:szCs w:val="24"/>
        </w:rPr>
        <w:t xml:space="preserve">also continue to see </w:t>
      </w:r>
      <w:r w:rsidRPr="00C20287">
        <w:rPr>
          <w:color w:val="0D0D0D" w:themeColor="text1" w:themeTint="F2"/>
          <w:sz w:val="24"/>
          <w:szCs w:val="24"/>
        </w:rPr>
        <w:t>dispensing remuneration</w:t>
      </w:r>
      <w:r>
        <w:rPr>
          <w:color w:val="0D0D0D" w:themeColor="text1" w:themeTint="F2"/>
          <w:sz w:val="24"/>
          <w:szCs w:val="24"/>
        </w:rPr>
        <w:t xml:space="preserve"> outlined in an 8CPA,</w:t>
      </w:r>
      <w:r w:rsidRPr="00C20287">
        <w:rPr>
          <w:color w:val="0D0D0D" w:themeColor="text1" w:themeTint="F2"/>
          <w:sz w:val="24"/>
          <w:szCs w:val="24"/>
        </w:rPr>
        <w:t xml:space="preserve"> </w:t>
      </w:r>
      <w:r>
        <w:rPr>
          <w:color w:val="0D0D0D" w:themeColor="text1" w:themeTint="F2"/>
          <w:sz w:val="24"/>
          <w:szCs w:val="24"/>
        </w:rPr>
        <w:t xml:space="preserve">which would provide certainty to consumers and pharmacy owners. </w:t>
      </w:r>
      <w:r w:rsidR="00D72E5E">
        <w:rPr>
          <w:color w:val="000000" w:themeColor="text1"/>
          <w:sz w:val="24"/>
        </w:rPr>
        <w:t xml:space="preserve">Consumer </w:t>
      </w:r>
      <w:r w:rsidR="00D72E5E" w:rsidRPr="00E04259">
        <w:rPr>
          <w:color w:val="000000" w:themeColor="text1"/>
          <w:sz w:val="24"/>
        </w:rPr>
        <w:t xml:space="preserve">access to PBS medicines and other pharmacy services </w:t>
      </w:r>
      <w:r w:rsidR="00D72E5E">
        <w:rPr>
          <w:color w:val="000000" w:themeColor="text1"/>
          <w:sz w:val="24"/>
        </w:rPr>
        <w:t xml:space="preserve">under this option </w:t>
      </w:r>
      <w:r w:rsidR="00D72E5E" w:rsidRPr="00E04259">
        <w:rPr>
          <w:color w:val="000000" w:themeColor="text1"/>
          <w:sz w:val="24"/>
        </w:rPr>
        <w:t xml:space="preserve">would </w:t>
      </w:r>
      <w:r w:rsidR="00D72E5E">
        <w:rPr>
          <w:color w:val="000000" w:themeColor="text1"/>
          <w:sz w:val="24"/>
        </w:rPr>
        <w:t xml:space="preserve">therefore also </w:t>
      </w:r>
      <w:r w:rsidR="00D72E5E" w:rsidRPr="00E04259">
        <w:rPr>
          <w:color w:val="000000" w:themeColor="text1"/>
          <w:sz w:val="24"/>
        </w:rPr>
        <w:t>largely remain unchanged</w:t>
      </w:r>
      <w:r w:rsidR="00AF79FE">
        <w:rPr>
          <w:color w:val="000000" w:themeColor="text1"/>
          <w:sz w:val="24"/>
        </w:rPr>
        <w:t xml:space="preserve"> (subject to reforms negotiated as part of an agreement)</w:t>
      </w:r>
      <w:r w:rsidR="00D72E5E">
        <w:t>.</w:t>
      </w:r>
    </w:p>
    <w:p w14:paraId="26BB203C" w14:textId="0906CE6E" w:rsidR="00127BB4" w:rsidRDefault="00127BB4" w:rsidP="00F30056">
      <w:pPr>
        <w:rPr>
          <w:color w:val="0D0D0D" w:themeColor="text1" w:themeTint="F2"/>
          <w:sz w:val="24"/>
          <w:szCs w:val="24"/>
        </w:rPr>
      </w:pPr>
    </w:p>
    <w:p w14:paraId="7F503EBA" w14:textId="77777777" w:rsidR="00F30056" w:rsidRPr="00E04259" w:rsidRDefault="00F30056" w:rsidP="00F30056">
      <w:pPr>
        <w:rPr>
          <w:rFonts w:asciiTheme="majorHAnsi" w:eastAsiaTheme="majorEastAsia" w:hAnsiTheme="majorHAnsi" w:cstheme="majorBidi"/>
          <w:color w:val="014463" w:themeColor="text2"/>
          <w:sz w:val="30"/>
          <w:szCs w:val="30"/>
        </w:rPr>
      </w:pPr>
      <w:r>
        <w:rPr>
          <w:rFonts w:asciiTheme="majorHAnsi" w:eastAsiaTheme="majorEastAsia" w:hAnsiTheme="majorHAnsi" w:cstheme="majorBidi"/>
          <w:color w:val="014463" w:themeColor="text2"/>
          <w:sz w:val="30"/>
          <w:szCs w:val="30"/>
        </w:rPr>
        <w:t>4.3</w:t>
      </w:r>
      <w:r>
        <w:rPr>
          <w:rFonts w:asciiTheme="majorHAnsi" w:eastAsiaTheme="majorEastAsia" w:hAnsiTheme="majorHAnsi" w:cstheme="majorBidi"/>
          <w:color w:val="014463" w:themeColor="text2"/>
          <w:sz w:val="30"/>
          <w:szCs w:val="30"/>
        </w:rPr>
        <w:tab/>
      </w:r>
      <w:r w:rsidRPr="00E04259">
        <w:rPr>
          <w:rFonts w:asciiTheme="majorHAnsi" w:eastAsiaTheme="majorEastAsia" w:hAnsiTheme="majorHAnsi" w:cstheme="majorBidi"/>
          <w:color w:val="014463" w:themeColor="text2"/>
          <w:sz w:val="30"/>
          <w:szCs w:val="30"/>
        </w:rPr>
        <w:t>Equity, sustainability and Access for Businesses</w:t>
      </w:r>
    </w:p>
    <w:p w14:paraId="5A8CFB4B" w14:textId="1224D8D0" w:rsidR="00545AAF" w:rsidRPr="00C20287" w:rsidRDefault="00D72E5E" w:rsidP="00545AAF">
      <w:pPr>
        <w:rPr>
          <w:color w:val="0D0D0D" w:themeColor="text1" w:themeTint="F2"/>
          <w:sz w:val="24"/>
          <w:szCs w:val="24"/>
        </w:rPr>
      </w:pPr>
      <w:r>
        <w:rPr>
          <w:color w:val="0D0D0D" w:themeColor="text1" w:themeTint="F2"/>
          <w:sz w:val="24"/>
          <w:szCs w:val="24"/>
        </w:rPr>
        <w:t xml:space="preserve">Businesses are most directly affected by the Commonwealth price. </w:t>
      </w:r>
      <w:r w:rsidR="00545AAF" w:rsidRPr="00C20287">
        <w:rPr>
          <w:color w:val="0D0D0D" w:themeColor="text1" w:themeTint="F2"/>
          <w:sz w:val="24"/>
          <w:szCs w:val="24"/>
        </w:rPr>
        <w:t>Option</w:t>
      </w:r>
      <w:r w:rsidR="00545AAF">
        <w:rPr>
          <w:color w:val="0D0D0D" w:themeColor="text1" w:themeTint="F2"/>
          <w:sz w:val="24"/>
          <w:szCs w:val="24"/>
        </w:rPr>
        <w:t xml:space="preserve"> 1</w:t>
      </w:r>
      <w:r w:rsidR="00545AAF" w:rsidRPr="00C20287">
        <w:rPr>
          <w:color w:val="0D0D0D" w:themeColor="text1" w:themeTint="F2"/>
          <w:sz w:val="24"/>
          <w:szCs w:val="24"/>
        </w:rPr>
        <w:t xml:space="preserve"> </w:t>
      </w:r>
      <w:r w:rsidR="00545AAF">
        <w:rPr>
          <w:color w:val="0D0D0D" w:themeColor="text1" w:themeTint="F2"/>
          <w:sz w:val="24"/>
          <w:szCs w:val="24"/>
        </w:rPr>
        <w:t>w</w:t>
      </w:r>
      <w:r w:rsidR="00545AAF" w:rsidRPr="00C20287">
        <w:rPr>
          <w:color w:val="0D0D0D" w:themeColor="text1" w:themeTint="F2"/>
          <w:sz w:val="24"/>
          <w:szCs w:val="24"/>
        </w:rPr>
        <w:t>ould see the Commonwealth price independently determined by the PBRT, following the</w:t>
      </w:r>
      <w:r w:rsidR="008E79DC">
        <w:rPr>
          <w:color w:val="0D0D0D" w:themeColor="text1" w:themeTint="F2"/>
          <w:sz w:val="24"/>
          <w:szCs w:val="24"/>
        </w:rPr>
        <w:t xml:space="preserve"> 7CPA expiry on 30 June </w:t>
      </w:r>
      <w:r w:rsidR="00545AAF" w:rsidRPr="00C20287">
        <w:rPr>
          <w:color w:val="0D0D0D" w:themeColor="text1" w:themeTint="F2"/>
          <w:sz w:val="24"/>
          <w:szCs w:val="24"/>
        </w:rPr>
        <w:t xml:space="preserve">2025. The Commonwealth price in effect at the expiry of the 7CPA would continue at the level set at the end of the 7CPA until the PBRT could make an independent determination, following a public consultation process. The PBRT would also independently determine the frequency with which pharmacy remuneration was to be </w:t>
      </w:r>
      <w:r w:rsidR="00FF3694">
        <w:rPr>
          <w:color w:val="0D0D0D" w:themeColor="text1" w:themeTint="F2"/>
          <w:sz w:val="24"/>
          <w:szCs w:val="24"/>
        </w:rPr>
        <w:t xml:space="preserve">reviewed and </w:t>
      </w:r>
      <w:r w:rsidR="00545AAF" w:rsidRPr="00C20287">
        <w:rPr>
          <w:color w:val="0D0D0D" w:themeColor="text1" w:themeTint="F2"/>
          <w:sz w:val="24"/>
          <w:szCs w:val="24"/>
        </w:rPr>
        <w:t xml:space="preserve">determined. </w:t>
      </w:r>
    </w:p>
    <w:p w14:paraId="17FA1A5E" w14:textId="55C38CA6" w:rsidR="00080442" w:rsidRPr="00C20287" w:rsidRDefault="00080442" w:rsidP="00080442">
      <w:pPr>
        <w:rPr>
          <w:color w:val="0D0D0D" w:themeColor="text1" w:themeTint="F2"/>
          <w:sz w:val="24"/>
          <w:szCs w:val="24"/>
        </w:rPr>
      </w:pPr>
      <w:r w:rsidRPr="00C20287">
        <w:rPr>
          <w:color w:val="0D0D0D" w:themeColor="text1" w:themeTint="F2"/>
          <w:sz w:val="24"/>
          <w:szCs w:val="24"/>
        </w:rPr>
        <w:t xml:space="preserve">The PBRT review would not extend to </w:t>
      </w:r>
      <w:r>
        <w:rPr>
          <w:color w:val="0D0D0D" w:themeColor="text1" w:themeTint="F2"/>
          <w:sz w:val="24"/>
          <w:szCs w:val="24"/>
        </w:rPr>
        <w:t xml:space="preserve">consideration of </w:t>
      </w:r>
      <w:r w:rsidRPr="00C20287">
        <w:rPr>
          <w:color w:val="0D0D0D" w:themeColor="text1" w:themeTint="F2"/>
          <w:sz w:val="24"/>
          <w:szCs w:val="24"/>
        </w:rPr>
        <w:t xml:space="preserve">remuneration for pharmacy programs or services. Separate arrangements for critical services, including CSO and NDSS product distribution, would therefore need to be negotiated and </w:t>
      </w:r>
      <w:r w:rsidR="00AF79FE">
        <w:rPr>
          <w:color w:val="0D0D0D" w:themeColor="text1" w:themeTint="F2"/>
          <w:sz w:val="24"/>
          <w:szCs w:val="24"/>
        </w:rPr>
        <w:t>implemented</w:t>
      </w:r>
      <w:r w:rsidRPr="00C20287">
        <w:rPr>
          <w:color w:val="0D0D0D" w:themeColor="text1" w:themeTint="F2"/>
          <w:sz w:val="24"/>
          <w:szCs w:val="24"/>
        </w:rPr>
        <w:t xml:space="preserve"> as soon as possible after the termination of the 7CPA to ensure that the availability and distribution of PBS medicines </w:t>
      </w:r>
      <w:r w:rsidR="00AF79FE">
        <w:rPr>
          <w:color w:val="0D0D0D" w:themeColor="text1" w:themeTint="F2"/>
          <w:sz w:val="24"/>
          <w:szCs w:val="24"/>
        </w:rPr>
        <w:t xml:space="preserve">and diabetes self-management products </w:t>
      </w:r>
      <w:r w:rsidRPr="00C20287">
        <w:rPr>
          <w:color w:val="0D0D0D" w:themeColor="text1" w:themeTint="F2"/>
          <w:sz w:val="24"/>
          <w:szCs w:val="24"/>
        </w:rPr>
        <w:t xml:space="preserve">was not disrupted. </w:t>
      </w:r>
    </w:p>
    <w:p w14:paraId="54258943" w14:textId="57AA3E7C" w:rsidR="00BA1BD6" w:rsidRPr="00C20287" w:rsidRDefault="00D72E5E" w:rsidP="00F30056">
      <w:pPr>
        <w:rPr>
          <w:color w:val="0D0D0D" w:themeColor="text1" w:themeTint="F2"/>
          <w:sz w:val="24"/>
          <w:szCs w:val="24"/>
        </w:rPr>
      </w:pPr>
      <w:r>
        <w:rPr>
          <w:color w:val="0D0D0D" w:themeColor="text1" w:themeTint="F2"/>
          <w:sz w:val="24"/>
          <w:szCs w:val="24"/>
        </w:rPr>
        <w:t xml:space="preserve">Under </w:t>
      </w:r>
      <w:r w:rsidR="004255A6">
        <w:rPr>
          <w:color w:val="0D0D0D" w:themeColor="text1" w:themeTint="F2"/>
          <w:sz w:val="24"/>
          <w:szCs w:val="24"/>
        </w:rPr>
        <w:t>O</w:t>
      </w:r>
      <w:r>
        <w:rPr>
          <w:color w:val="0D0D0D" w:themeColor="text1" w:themeTint="F2"/>
          <w:sz w:val="24"/>
          <w:szCs w:val="24"/>
        </w:rPr>
        <w:t>ption 1 t</w:t>
      </w:r>
      <w:r w:rsidR="00F30056" w:rsidRPr="00C20287">
        <w:rPr>
          <w:color w:val="0D0D0D" w:themeColor="text1" w:themeTint="F2"/>
          <w:sz w:val="24"/>
          <w:szCs w:val="24"/>
        </w:rPr>
        <w:t xml:space="preserve">he Department would need to put arrangements in place to consider the </w:t>
      </w:r>
      <w:r w:rsidR="00080442">
        <w:rPr>
          <w:color w:val="0D0D0D" w:themeColor="text1" w:themeTint="F2"/>
          <w:sz w:val="24"/>
          <w:szCs w:val="24"/>
        </w:rPr>
        <w:t>RPMA, and other programs</w:t>
      </w:r>
      <w:r>
        <w:rPr>
          <w:color w:val="0D0D0D" w:themeColor="text1" w:themeTint="F2"/>
          <w:sz w:val="24"/>
          <w:szCs w:val="24"/>
        </w:rPr>
        <w:t xml:space="preserve"> which help to support pharmacies </w:t>
      </w:r>
      <w:r w:rsidR="00080442">
        <w:rPr>
          <w:color w:val="0D0D0D" w:themeColor="text1" w:themeTint="F2"/>
          <w:sz w:val="24"/>
          <w:szCs w:val="24"/>
        </w:rPr>
        <w:t>in more rural and remote locations</w:t>
      </w:r>
      <w:r w:rsidR="00F30056" w:rsidRPr="00C20287">
        <w:rPr>
          <w:color w:val="0D0D0D" w:themeColor="text1" w:themeTint="F2"/>
          <w:sz w:val="24"/>
          <w:szCs w:val="24"/>
        </w:rPr>
        <w:t>. The</w:t>
      </w:r>
      <w:r w:rsidR="00080442">
        <w:rPr>
          <w:color w:val="0D0D0D" w:themeColor="text1" w:themeTint="F2"/>
          <w:sz w:val="24"/>
          <w:szCs w:val="24"/>
        </w:rPr>
        <w:t xml:space="preserve"> RPMA</w:t>
      </w:r>
      <w:r w:rsidR="00F30056" w:rsidRPr="00C20287">
        <w:rPr>
          <w:color w:val="0D0D0D" w:themeColor="text1" w:themeTint="F2"/>
          <w:sz w:val="24"/>
          <w:szCs w:val="24"/>
        </w:rPr>
        <w:t xml:space="preserve"> arrangements are currently only partly funded outside of the 7CPA. This may further affect those pharmacies in </w:t>
      </w:r>
      <w:r w:rsidR="00F30056">
        <w:rPr>
          <w:color w:val="0D0D0D" w:themeColor="text1" w:themeTint="F2"/>
          <w:sz w:val="24"/>
          <w:szCs w:val="24"/>
        </w:rPr>
        <w:t>rural and remote communities</w:t>
      </w:r>
      <w:r w:rsidR="00F30056" w:rsidRPr="00C20287">
        <w:rPr>
          <w:color w:val="0D0D0D" w:themeColor="text1" w:themeTint="F2"/>
          <w:sz w:val="24"/>
          <w:szCs w:val="24"/>
        </w:rPr>
        <w:t>. While it may be possible to put arrangements in place to ensure the continuation of the full scope of this allowance in the short term this transition would not be straightforward and re-review following a PBRT determination would likely be required, resulting in a further uncertainty.</w:t>
      </w:r>
      <w:r w:rsidR="00BA1BD6">
        <w:rPr>
          <w:color w:val="0D0D0D" w:themeColor="text1" w:themeTint="F2"/>
          <w:sz w:val="24"/>
          <w:szCs w:val="24"/>
        </w:rPr>
        <w:t xml:space="preserve"> </w:t>
      </w:r>
    </w:p>
    <w:p w14:paraId="4E94AAC0" w14:textId="56B6BC76" w:rsidR="00545AAF" w:rsidRPr="009A49CA" w:rsidRDefault="00560322" w:rsidP="00545AAF">
      <w:pPr>
        <w:rPr>
          <w:color w:val="auto"/>
          <w:sz w:val="24"/>
          <w:szCs w:val="24"/>
        </w:rPr>
      </w:pPr>
      <w:r w:rsidRPr="00E64133">
        <w:rPr>
          <w:color w:val="auto"/>
          <w:sz w:val="24"/>
          <w:szCs w:val="24"/>
        </w:rPr>
        <w:t>T</w:t>
      </w:r>
      <w:r w:rsidR="00545AAF" w:rsidRPr="00E64133">
        <w:rPr>
          <w:color w:val="auto"/>
          <w:sz w:val="24"/>
          <w:szCs w:val="24"/>
        </w:rPr>
        <w:t xml:space="preserve">he average dispensing </w:t>
      </w:r>
      <w:r w:rsidR="00545AAF" w:rsidRPr="009A49CA">
        <w:rPr>
          <w:color w:val="auto"/>
          <w:sz w:val="24"/>
          <w:szCs w:val="24"/>
        </w:rPr>
        <w:t xml:space="preserve">remuneration per script </w:t>
      </w:r>
      <w:r w:rsidR="00080442" w:rsidRPr="009A49CA">
        <w:rPr>
          <w:color w:val="auto"/>
          <w:sz w:val="24"/>
          <w:szCs w:val="24"/>
        </w:rPr>
        <w:t xml:space="preserve">under </w:t>
      </w:r>
      <w:r w:rsidR="004255A6">
        <w:rPr>
          <w:color w:val="auto"/>
          <w:sz w:val="24"/>
          <w:szCs w:val="24"/>
        </w:rPr>
        <w:t>O</w:t>
      </w:r>
      <w:r w:rsidR="00080442" w:rsidRPr="009A49CA">
        <w:rPr>
          <w:color w:val="auto"/>
          <w:sz w:val="24"/>
          <w:szCs w:val="24"/>
        </w:rPr>
        <w:t xml:space="preserve">ption 2 </w:t>
      </w:r>
      <w:r w:rsidR="00545AAF" w:rsidRPr="009A49CA">
        <w:rPr>
          <w:color w:val="auto"/>
          <w:sz w:val="24"/>
          <w:szCs w:val="24"/>
        </w:rPr>
        <w:t>will grow each year in line with CPI</w:t>
      </w:r>
      <w:r w:rsidR="001009F2" w:rsidRPr="009A49CA">
        <w:rPr>
          <w:color w:val="auto"/>
          <w:sz w:val="24"/>
          <w:szCs w:val="24"/>
        </w:rPr>
        <w:t xml:space="preserve"> plus an additional 2.1% of real growth, </w:t>
      </w:r>
      <w:r w:rsidR="00545AAF" w:rsidRPr="009A49CA">
        <w:rPr>
          <w:color w:val="auto"/>
          <w:sz w:val="24"/>
          <w:szCs w:val="24"/>
        </w:rPr>
        <w:t xml:space="preserve">from the current </w:t>
      </w:r>
      <w:r w:rsidR="00EC4D5C">
        <w:rPr>
          <w:color w:val="auto"/>
          <w:sz w:val="24"/>
          <w:szCs w:val="24"/>
        </w:rPr>
        <w:t>(</w:t>
      </w:r>
      <w:r w:rsidR="00EC4D5C" w:rsidRPr="00CA72FA">
        <w:rPr>
          <w:color w:val="auto"/>
          <w:sz w:val="24"/>
          <w:szCs w:val="24"/>
        </w:rPr>
        <w:t xml:space="preserve">2023-24) </w:t>
      </w:r>
      <w:r w:rsidR="00545AAF" w:rsidRPr="00CA72FA">
        <w:rPr>
          <w:color w:val="auto"/>
          <w:sz w:val="24"/>
          <w:szCs w:val="24"/>
        </w:rPr>
        <w:t>$</w:t>
      </w:r>
      <w:r w:rsidR="00EC4D5C" w:rsidRPr="00CA72FA">
        <w:rPr>
          <w:color w:val="auto"/>
          <w:sz w:val="24"/>
          <w:szCs w:val="24"/>
        </w:rPr>
        <w:t>13.11</w:t>
      </w:r>
      <w:r w:rsidR="00545AAF" w:rsidRPr="00CA72FA">
        <w:rPr>
          <w:color w:val="auto"/>
          <w:sz w:val="24"/>
          <w:szCs w:val="24"/>
        </w:rPr>
        <w:t xml:space="preserve"> to an estimated $</w:t>
      </w:r>
      <w:r w:rsidR="0053571C" w:rsidRPr="00CA72FA">
        <w:rPr>
          <w:color w:val="auto"/>
          <w:sz w:val="24"/>
          <w:szCs w:val="24"/>
        </w:rPr>
        <w:t>19.</w:t>
      </w:r>
      <w:r w:rsidR="00EC4D5C" w:rsidRPr="00CA72FA">
        <w:rPr>
          <w:color w:val="auto"/>
          <w:sz w:val="24"/>
          <w:szCs w:val="24"/>
        </w:rPr>
        <w:t xml:space="preserve">81 </w:t>
      </w:r>
      <w:r w:rsidR="00545AAF" w:rsidRPr="00CA72FA">
        <w:rPr>
          <w:color w:val="auto"/>
          <w:sz w:val="24"/>
          <w:szCs w:val="24"/>
        </w:rPr>
        <w:t>in the last</w:t>
      </w:r>
      <w:r w:rsidR="00545AAF" w:rsidRPr="009A49CA">
        <w:rPr>
          <w:color w:val="auto"/>
          <w:sz w:val="24"/>
          <w:szCs w:val="24"/>
        </w:rPr>
        <w:t xml:space="preserve"> year of the 8CPA (2028</w:t>
      </w:r>
      <w:r w:rsidR="00545AAF" w:rsidRPr="009A49CA">
        <w:rPr>
          <w:color w:val="auto"/>
          <w:sz w:val="24"/>
          <w:szCs w:val="24"/>
        </w:rPr>
        <w:noBreakHyphen/>
        <w:t>29).</w:t>
      </w:r>
    </w:p>
    <w:p w14:paraId="7FA3997B" w14:textId="01BD5001" w:rsidR="001009F2" w:rsidRPr="00277DFA" w:rsidRDefault="00BA1BD6" w:rsidP="00CD4142">
      <w:pPr>
        <w:rPr>
          <w:color w:val="000000" w:themeColor="text1"/>
          <w:sz w:val="24"/>
          <w:szCs w:val="24"/>
        </w:rPr>
      </w:pPr>
      <w:r w:rsidRPr="009B3E87">
        <w:rPr>
          <w:color w:val="0D0D0D" w:themeColor="text1" w:themeTint="F2"/>
          <w:sz w:val="24"/>
          <w:szCs w:val="24"/>
        </w:rPr>
        <w:t>Option 3 would focus an 8CPA on dispensing remuneration</w:t>
      </w:r>
      <w:r w:rsidR="008E79DC">
        <w:rPr>
          <w:color w:val="0D0D0D" w:themeColor="text1" w:themeTint="F2"/>
          <w:sz w:val="24"/>
          <w:szCs w:val="24"/>
        </w:rPr>
        <w:t xml:space="preserve"> and CPPs delivered in community pharmacies</w:t>
      </w:r>
      <w:r w:rsidR="00560322" w:rsidRPr="009B3E87">
        <w:rPr>
          <w:color w:val="000000" w:themeColor="text1"/>
          <w:sz w:val="24"/>
          <w:szCs w:val="24"/>
        </w:rPr>
        <w:t>.</w:t>
      </w:r>
      <w:r w:rsidRPr="009B3E87">
        <w:rPr>
          <w:color w:val="0D0D0D" w:themeColor="text1" w:themeTint="F2"/>
          <w:sz w:val="24"/>
          <w:szCs w:val="24"/>
        </w:rPr>
        <w:t xml:space="preserve"> </w:t>
      </w:r>
      <w:r w:rsidR="00560322" w:rsidRPr="00596954">
        <w:rPr>
          <w:color w:val="000000" w:themeColor="text1"/>
          <w:sz w:val="24"/>
          <w:szCs w:val="24"/>
        </w:rPr>
        <w:t>T</w:t>
      </w:r>
      <w:r w:rsidRPr="00596954">
        <w:rPr>
          <w:color w:val="000000" w:themeColor="text1"/>
          <w:sz w:val="24"/>
          <w:szCs w:val="24"/>
        </w:rPr>
        <w:t xml:space="preserve">his approach would provide certainty to businesses and </w:t>
      </w:r>
      <w:r w:rsidRPr="00091514">
        <w:rPr>
          <w:color w:val="000000" w:themeColor="text1"/>
          <w:sz w:val="24"/>
          <w:szCs w:val="24"/>
        </w:rPr>
        <w:t>allow</w:t>
      </w:r>
      <w:r w:rsidRPr="009F736B">
        <w:rPr>
          <w:color w:val="000000" w:themeColor="text1"/>
          <w:sz w:val="24"/>
          <w:szCs w:val="24"/>
        </w:rPr>
        <w:t xml:space="preserve"> for CSO and wholesaler arrangements to be negotiated directly with wh</w:t>
      </w:r>
      <w:r w:rsidRPr="00277DFA">
        <w:rPr>
          <w:color w:val="000000" w:themeColor="text1"/>
          <w:sz w:val="24"/>
          <w:szCs w:val="24"/>
        </w:rPr>
        <w:t>olesalers</w:t>
      </w:r>
      <w:r w:rsidR="001009F2" w:rsidRPr="00277DFA">
        <w:rPr>
          <w:color w:val="000000" w:themeColor="text1"/>
          <w:sz w:val="24"/>
          <w:szCs w:val="24"/>
        </w:rPr>
        <w:t xml:space="preserve"> (likely represented by the NPSA and non-</w:t>
      </w:r>
      <w:r w:rsidR="004255A6">
        <w:rPr>
          <w:color w:val="000000" w:themeColor="text1"/>
          <w:sz w:val="24"/>
          <w:szCs w:val="24"/>
        </w:rPr>
        <w:t>NPSA</w:t>
      </w:r>
      <w:r w:rsidR="001009F2" w:rsidRPr="00277DFA">
        <w:rPr>
          <w:color w:val="000000" w:themeColor="text1"/>
          <w:sz w:val="24"/>
          <w:szCs w:val="24"/>
        </w:rPr>
        <w:t xml:space="preserve"> </w:t>
      </w:r>
      <w:r w:rsidR="001009F2" w:rsidRPr="00277DFA">
        <w:rPr>
          <w:color w:val="000000" w:themeColor="text1"/>
          <w:sz w:val="24"/>
          <w:szCs w:val="24"/>
        </w:rPr>
        <w:lastRenderedPageBreak/>
        <w:t xml:space="preserve">wholesalers) </w:t>
      </w:r>
      <w:r w:rsidRPr="00277DFA">
        <w:rPr>
          <w:color w:val="000000" w:themeColor="text1"/>
          <w:sz w:val="24"/>
          <w:szCs w:val="24"/>
        </w:rPr>
        <w:t xml:space="preserve">outside of the CPA. The </w:t>
      </w:r>
      <w:r w:rsidR="00560322" w:rsidRPr="00277DFA">
        <w:rPr>
          <w:color w:val="000000" w:themeColor="text1"/>
          <w:sz w:val="24"/>
          <w:szCs w:val="24"/>
        </w:rPr>
        <w:t>a</w:t>
      </w:r>
      <w:r w:rsidR="001009F2" w:rsidRPr="00277DFA">
        <w:rPr>
          <w:color w:val="000000" w:themeColor="text1"/>
          <w:sz w:val="24"/>
          <w:szCs w:val="24"/>
        </w:rPr>
        <w:t xml:space="preserve">verage dispensing remuneration per script will grow each year in line with CPI as per the 7CPA from the current </w:t>
      </w:r>
      <w:r w:rsidR="00EC4D5C">
        <w:rPr>
          <w:color w:val="000000" w:themeColor="text1"/>
          <w:sz w:val="24"/>
          <w:szCs w:val="24"/>
        </w:rPr>
        <w:t>(2023-</w:t>
      </w:r>
      <w:r w:rsidR="00EC4D5C" w:rsidRPr="00CA72FA">
        <w:rPr>
          <w:color w:val="000000" w:themeColor="text1"/>
          <w:sz w:val="24"/>
          <w:szCs w:val="24"/>
        </w:rPr>
        <w:t xml:space="preserve">24) </w:t>
      </w:r>
      <w:r w:rsidR="001009F2" w:rsidRPr="00CA72FA">
        <w:rPr>
          <w:color w:val="000000" w:themeColor="text1"/>
          <w:sz w:val="24"/>
          <w:szCs w:val="24"/>
        </w:rPr>
        <w:t>$</w:t>
      </w:r>
      <w:r w:rsidR="00EC4D5C" w:rsidRPr="00CA72FA">
        <w:rPr>
          <w:color w:val="000000" w:themeColor="text1"/>
          <w:sz w:val="24"/>
          <w:szCs w:val="24"/>
        </w:rPr>
        <w:t>13.11</w:t>
      </w:r>
      <w:r w:rsidR="001009F2" w:rsidRPr="00CA72FA">
        <w:rPr>
          <w:color w:val="000000" w:themeColor="text1"/>
          <w:sz w:val="24"/>
          <w:szCs w:val="24"/>
        </w:rPr>
        <w:t xml:space="preserve"> to $</w:t>
      </w:r>
      <w:r w:rsidR="00EC4D5C" w:rsidRPr="00CA72FA">
        <w:rPr>
          <w:color w:val="000000" w:themeColor="text1"/>
          <w:sz w:val="24"/>
          <w:szCs w:val="24"/>
        </w:rPr>
        <w:t>1</w:t>
      </w:r>
      <w:r w:rsidR="004444BC" w:rsidRPr="00CA72FA">
        <w:rPr>
          <w:color w:val="000000" w:themeColor="text1"/>
          <w:sz w:val="24"/>
          <w:szCs w:val="24"/>
        </w:rPr>
        <w:t>7.60</w:t>
      </w:r>
      <w:r w:rsidR="001009F2" w:rsidRPr="00CA72FA">
        <w:rPr>
          <w:color w:val="000000" w:themeColor="text1"/>
          <w:sz w:val="24"/>
          <w:szCs w:val="24"/>
        </w:rPr>
        <w:t xml:space="preserve"> in the</w:t>
      </w:r>
      <w:r w:rsidR="001009F2" w:rsidRPr="00277DFA">
        <w:rPr>
          <w:color w:val="000000" w:themeColor="text1"/>
          <w:sz w:val="24"/>
          <w:szCs w:val="24"/>
        </w:rPr>
        <w:t xml:space="preserve"> last year of the 8CPA (2028</w:t>
      </w:r>
      <w:r w:rsidR="001009F2" w:rsidRPr="00277DFA">
        <w:rPr>
          <w:color w:val="000000" w:themeColor="text1"/>
          <w:sz w:val="24"/>
          <w:szCs w:val="24"/>
        </w:rPr>
        <w:noBreakHyphen/>
        <w:t>29).</w:t>
      </w:r>
      <w:r w:rsidR="003F3BE6" w:rsidRPr="00277DFA">
        <w:rPr>
          <w:color w:val="000000" w:themeColor="text1"/>
          <w:sz w:val="24"/>
          <w:szCs w:val="24"/>
        </w:rPr>
        <w:t xml:space="preserve"> The total dispensing remuneration over 5 years w</w:t>
      </w:r>
      <w:r w:rsidR="00DD3637">
        <w:rPr>
          <w:color w:val="000000" w:themeColor="text1"/>
          <w:sz w:val="24"/>
          <w:szCs w:val="24"/>
        </w:rPr>
        <w:t xml:space="preserve">ould be anticipated to increase only </w:t>
      </w:r>
      <w:r w:rsidR="003F3BE6" w:rsidRPr="00277DFA">
        <w:rPr>
          <w:color w:val="000000" w:themeColor="text1"/>
          <w:sz w:val="24"/>
          <w:szCs w:val="24"/>
        </w:rPr>
        <w:t>slightly from that of the 7CPA, because of the lower prescription volumes anticipated as dis</w:t>
      </w:r>
      <w:r w:rsidR="009B444C" w:rsidRPr="00277DFA">
        <w:rPr>
          <w:color w:val="000000" w:themeColor="text1"/>
          <w:sz w:val="24"/>
          <w:szCs w:val="24"/>
        </w:rPr>
        <w:t>c</w:t>
      </w:r>
      <w:r w:rsidR="003F3BE6" w:rsidRPr="00277DFA">
        <w:rPr>
          <w:color w:val="000000" w:themeColor="text1"/>
          <w:sz w:val="24"/>
          <w:szCs w:val="24"/>
        </w:rPr>
        <w:t>u</w:t>
      </w:r>
      <w:r w:rsidR="009B444C" w:rsidRPr="00277DFA">
        <w:rPr>
          <w:color w:val="000000" w:themeColor="text1"/>
          <w:sz w:val="24"/>
          <w:szCs w:val="24"/>
        </w:rPr>
        <w:t>s</w:t>
      </w:r>
      <w:r w:rsidR="003F3BE6" w:rsidRPr="00277DFA">
        <w:rPr>
          <w:color w:val="000000" w:themeColor="text1"/>
          <w:sz w:val="24"/>
          <w:szCs w:val="24"/>
        </w:rPr>
        <w:t xml:space="preserve">sed </w:t>
      </w:r>
      <w:r w:rsidR="009B444C" w:rsidRPr="00277DFA">
        <w:rPr>
          <w:color w:val="000000" w:themeColor="text1"/>
          <w:sz w:val="24"/>
          <w:szCs w:val="24"/>
        </w:rPr>
        <w:t>under</w:t>
      </w:r>
      <w:r w:rsidR="003F3BE6" w:rsidRPr="00277DFA">
        <w:rPr>
          <w:color w:val="000000" w:themeColor="text1"/>
          <w:sz w:val="24"/>
          <w:szCs w:val="24"/>
        </w:rPr>
        <w:t xml:space="preserve"> the objective above.</w:t>
      </w:r>
    </w:p>
    <w:p w14:paraId="64E39319" w14:textId="7D335358" w:rsidR="008F6532" w:rsidRPr="00E04259" w:rsidRDefault="00A0125C" w:rsidP="008F6532">
      <w:r w:rsidRPr="00A0125C">
        <w:rPr>
          <w:color w:val="0D0D0D" w:themeColor="text1" w:themeTint="F2"/>
          <w:sz w:val="24"/>
          <w:szCs w:val="24"/>
        </w:rPr>
        <w:fldChar w:fldCharType="begin"/>
      </w:r>
      <w:r w:rsidRPr="00A0125C">
        <w:rPr>
          <w:color w:val="0D0D0D" w:themeColor="text1" w:themeTint="F2"/>
          <w:sz w:val="24"/>
          <w:szCs w:val="24"/>
        </w:rPr>
        <w:instrText xml:space="preserve"> REF _Ref160011915 \h </w:instrText>
      </w:r>
      <w:r>
        <w:rPr>
          <w:color w:val="0D0D0D" w:themeColor="text1" w:themeTint="F2"/>
          <w:sz w:val="24"/>
          <w:szCs w:val="24"/>
        </w:rPr>
        <w:instrText xml:space="preserve"> \* MERGEFORMAT </w:instrText>
      </w:r>
      <w:r w:rsidRPr="00A0125C">
        <w:rPr>
          <w:color w:val="0D0D0D" w:themeColor="text1" w:themeTint="F2"/>
          <w:sz w:val="24"/>
          <w:szCs w:val="24"/>
        </w:rPr>
      </w:r>
      <w:r w:rsidRPr="00A0125C">
        <w:rPr>
          <w:color w:val="0D0D0D" w:themeColor="text1" w:themeTint="F2"/>
          <w:sz w:val="24"/>
          <w:szCs w:val="24"/>
        </w:rPr>
        <w:fldChar w:fldCharType="separate"/>
      </w:r>
      <w:r w:rsidRPr="00A0125C">
        <w:rPr>
          <w:sz w:val="24"/>
          <w:szCs w:val="24"/>
        </w:rPr>
        <w:t xml:space="preserve">Table </w:t>
      </w:r>
      <w:r w:rsidRPr="00A0125C">
        <w:rPr>
          <w:noProof/>
          <w:sz w:val="24"/>
          <w:szCs w:val="24"/>
        </w:rPr>
        <w:t>14</w:t>
      </w:r>
      <w:r w:rsidRPr="00A0125C">
        <w:rPr>
          <w:color w:val="0D0D0D" w:themeColor="text1" w:themeTint="F2"/>
          <w:sz w:val="24"/>
          <w:szCs w:val="24"/>
        </w:rPr>
        <w:fldChar w:fldCharType="end"/>
      </w:r>
      <w:r w:rsidR="008F6532" w:rsidRPr="00C20287">
        <w:rPr>
          <w:color w:val="0D0D0D" w:themeColor="text1" w:themeTint="F2"/>
          <w:sz w:val="24"/>
        </w:rPr>
        <w:t xml:space="preserve"> below outlines the estimated actual expenditure under a five year 7CPA from 2020-21 until 2024-25</w:t>
      </w:r>
      <w:r w:rsidR="008F6532">
        <w:rPr>
          <w:color w:val="0D0D0D" w:themeColor="text1" w:themeTint="F2"/>
          <w:sz w:val="24"/>
        </w:rPr>
        <w:t xml:space="preserve"> in addition to the </w:t>
      </w:r>
      <w:r w:rsidR="008F6532" w:rsidRPr="00C20287">
        <w:rPr>
          <w:color w:val="0D0D0D" w:themeColor="text1" w:themeTint="F2"/>
          <w:sz w:val="24"/>
        </w:rPr>
        <w:t xml:space="preserve">indicative maximum allocations under a five year 8CPA under </w:t>
      </w:r>
      <w:r w:rsidR="008F6532">
        <w:rPr>
          <w:color w:val="0D0D0D" w:themeColor="text1" w:themeTint="F2"/>
          <w:sz w:val="24"/>
        </w:rPr>
        <w:t>Options 2 and 3</w:t>
      </w:r>
      <w:r w:rsidR="008F6532" w:rsidRPr="00C20287">
        <w:rPr>
          <w:color w:val="0D0D0D" w:themeColor="text1" w:themeTint="F2"/>
          <w:sz w:val="24"/>
        </w:rPr>
        <w:t>.</w:t>
      </w:r>
      <w:r w:rsidR="008F6532" w:rsidRPr="00C20287">
        <w:rPr>
          <w:color w:val="0D0D0D" w:themeColor="text1" w:themeTint="F2"/>
          <w:sz w:val="24"/>
          <w:szCs w:val="24"/>
        </w:rPr>
        <w:t xml:space="preserve"> Estimates of possible change to the funding model </w:t>
      </w:r>
      <w:r w:rsidR="008F6532">
        <w:rPr>
          <w:color w:val="0D0D0D" w:themeColor="text1" w:themeTint="F2"/>
          <w:sz w:val="24"/>
          <w:szCs w:val="24"/>
        </w:rPr>
        <w:t xml:space="preserve">under Option 1 </w:t>
      </w:r>
      <w:r w:rsidR="008F6532" w:rsidRPr="00C20287">
        <w:rPr>
          <w:color w:val="0D0D0D" w:themeColor="text1" w:themeTint="F2"/>
          <w:sz w:val="24"/>
          <w:szCs w:val="24"/>
        </w:rPr>
        <w:t>have not been made so as not to compromise or pre-empt the findings of the independent PBRT</w:t>
      </w:r>
      <w:r w:rsidR="009B444C">
        <w:rPr>
          <w:color w:val="0D0D0D" w:themeColor="text1" w:themeTint="F2"/>
          <w:sz w:val="24"/>
          <w:szCs w:val="24"/>
        </w:rPr>
        <w:t>.</w:t>
      </w:r>
    </w:p>
    <w:p w14:paraId="4B7275B3" w14:textId="55912EC0" w:rsidR="00A0125C" w:rsidRDefault="00A0125C" w:rsidP="00A0125C">
      <w:pPr>
        <w:pStyle w:val="Caption"/>
      </w:pPr>
      <w:bookmarkStart w:id="77" w:name="_Ref160011915"/>
      <w:r>
        <w:t xml:space="preserve">Table </w:t>
      </w:r>
      <w:fldSimple w:instr=" SEQ Table \* ARABIC ">
        <w:r>
          <w:rPr>
            <w:noProof/>
          </w:rPr>
          <w:t>14</w:t>
        </w:r>
      </w:fldSimple>
      <w:bookmarkEnd w:id="77"/>
      <w:r>
        <w:t xml:space="preserve">. </w:t>
      </w:r>
      <w:r w:rsidRPr="00412660">
        <w:t>Comparative dispensing remuneration funding under 7CPA and 8CPA under Options 2 and 3</w:t>
      </w:r>
    </w:p>
    <w:tbl>
      <w:tblPr>
        <w:tblStyle w:val="TableGrid"/>
        <w:tblW w:w="5000" w:type="pct"/>
        <w:shd w:val="clear" w:color="auto" w:fill="FFFFFF" w:themeFill="background1"/>
        <w:tblLook w:val="04A0" w:firstRow="1" w:lastRow="0" w:firstColumn="1" w:lastColumn="0" w:noHBand="0" w:noVBand="1"/>
      </w:tblPr>
      <w:tblGrid>
        <w:gridCol w:w="6165"/>
        <w:gridCol w:w="1297"/>
        <w:gridCol w:w="1297"/>
        <w:gridCol w:w="1435"/>
      </w:tblGrid>
      <w:tr w:rsidR="008F6532" w:rsidRPr="00C20287" w14:paraId="6486FCCC" w14:textId="77777777" w:rsidTr="00FF4C3F">
        <w:tc>
          <w:tcPr>
            <w:tcW w:w="3024" w:type="pct"/>
            <w:shd w:val="clear" w:color="auto" w:fill="D1D1D1" w:themeFill="background2"/>
          </w:tcPr>
          <w:p w14:paraId="523898A7" w14:textId="77777777" w:rsidR="008F6532" w:rsidRPr="00C20287" w:rsidRDefault="008F6532" w:rsidP="00C2127E">
            <w:pPr>
              <w:rPr>
                <w:b/>
              </w:rPr>
            </w:pPr>
            <w:r w:rsidRPr="00C20287">
              <w:rPr>
                <w:b/>
              </w:rPr>
              <w:t>Components of remuneration</w:t>
            </w:r>
          </w:p>
        </w:tc>
        <w:tc>
          <w:tcPr>
            <w:tcW w:w="636" w:type="pct"/>
            <w:shd w:val="clear" w:color="auto" w:fill="D1D1D1" w:themeFill="background2"/>
          </w:tcPr>
          <w:p w14:paraId="6045223F" w14:textId="1D10F191" w:rsidR="008F6532" w:rsidRPr="00CA72FA" w:rsidRDefault="008F6532" w:rsidP="00C2127E">
            <w:pPr>
              <w:jc w:val="center"/>
              <w:rPr>
                <w:b/>
              </w:rPr>
            </w:pPr>
            <w:r w:rsidRPr="00CA72FA">
              <w:rPr>
                <w:b/>
              </w:rPr>
              <w:t>7CPA ($</w:t>
            </w:r>
            <w:r w:rsidR="00190624" w:rsidRPr="00CA72FA">
              <w:rPr>
                <w:b/>
              </w:rPr>
              <w:t>billion</w:t>
            </w:r>
            <w:r w:rsidRPr="00CA72FA">
              <w:rPr>
                <w:b/>
              </w:rPr>
              <w:t>)</w:t>
            </w:r>
          </w:p>
        </w:tc>
        <w:tc>
          <w:tcPr>
            <w:tcW w:w="636" w:type="pct"/>
            <w:shd w:val="clear" w:color="auto" w:fill="D1D1D1" w:themeFill="background2"/>
          </w:tcPr>
          <w:p w14:paraId="573FB416" w14:textId="2E0FFBE7" w:rsidR="008F6532" w:rsidRPr="00CA72FA" w:rsidRDefault="008F6532" w:rsidP="00C2127E">
            <w:pPr>
              <w:jc w:val="center"/>
              <w:rPr>
                <w:b/>
              </w:rPr>
            </w:pPr>
            <w:r w:rsidRPr="00CA72FA">
              <w:rPr>
                <w:b/>
              </w:rPr>
              <w:t>Option 2 8CPA ($</w:t>
            </w:r>
            <w:r w:rsidR="00190624" w:rsidRPr="00CA72FA">
              <w:rPr>
                <w:b/>
              </w:rPr>
              <w:t>billion</w:t>
            </w:r>
            <w:r w:rsidRPr="00CA72FA">
              <w:rPr>
                <w:b/>
              </w:rPr>
              <w:t>)</w:t>
            </w:r>
          </w:p>
        </w:tc>
        <w:tc>
          <w:tcPr>
            <w:tcW w:w="704" w:type="pct"/>
            <w:shd w:val="clear" w:color="auto" w:fill="D1D1D1" w:themeFill="background2"/>
          </w:tcPr>
          <w:p w14:paraId="250DE54C" w14:textId="77777777" w:rsidR="001009F2" w:rsidRPr="00CA72FA" w:rsidRDefault="001009F2" w:rsidP="00C2127E">
            <w:pPr>
              <w:jc w:val="center"/>
              <w:rPr>
                <w:b/>
              </w:rPr>
            </w:pPr>
            <w:r w:rsidRPr="00CA72FA">
              <w:rPr>
                <w:b/>
              </w:rPr>
              <w:t>Option 3</w:t>
            </w:r>
          </w:p>
          <w:p w14:paraId="2A930080" w14:textId="363F978C" w:rsidR="008F6532" w:rsidRPr="00CA72FA" w:rsidRDefault="008F6532" w:rsidP="003B6EC3">
            <w:pPr>
              <w:jc w:val="center"/>
              <w:rPr>
                <w:b/>
              </w:rPr>
            </w:pPr>
            <w:r w:rsidRPr="00CA72FA">
              <w:rPr>
                <w:b/>
              </w:rPr>
              <w:t>8CPA ($</w:t>
            </w:r>
            <w:r w:rsidR="00190624" w:rsidRPr="00CA72FA">
              <w:rPr>
                <w:b/>
              </w:rPr>
              <w:t>billion</w:t>
            </w:r>
            <w:r w:rsidRPr="00CA72FA">
              <w:rPr>
                <w:b/>
              </w:rPr>
              <w:t>)</w:t>
            </w:r>
          </w:p>
        </w:tc>
      </w:tr>
      <w:tr w:rsidR="008F6532" w:rsidRPr="00C20287" w14:paraId="54B4C093" w14:textId="77777777" w:rsidTr="00FF4C3F">
        <w:tc>
          <w:tcPr>
            <w:tcW w:w="3024" w:type="pct"/>
            <w:shd w:val="clear" w:color="auto" w:fill="FFFFFF" w:themeFill="background1"/>
          </w:tcPr>
          <w:p w14:paraId="5280F0F4" w14:textId="6DDDF8A1" w:rsidR="008F6532" w:rsidRPr="00C20287" w:rsidRDefault="00EC4D5C" w:rsidP="00EC4D5C">
            <w:r>
              <w:rPr>
                <w:rFonts w:ascii="Calibri" w:eastAsia="Times New Roman" w:hAnsi="Calibri" w:cs="Calibri"/>
                <w:iCs/>
                <w:color w:val="000000"/>
                <w:lang w:eastAsia="en-AU"/>
              </w:rPr>
              <w:t xml:space="preserve">Dispensing </w:t>
            </w:r>
            <w:r w:rsidR="008F6532" w:rsidRPr="00C20287">
              <w:rPr>
                <w:rFonts w:ascii="Calibri" w:eastAsia="Times New Roman" w:hAnsi="Calibri" w:cs="Calibri"/>
                <w:iCs/>
                <w:color w:val="000000"/>
                <w:lang w:eastAsia="en-AU"/>
              </w:rPr>
              <w:t xml:space="preserve">remuneration </w:t>
            </w:r>
            <w:r w:rsidR="00E55DA3">
              <w:rPr>
                <w:rFonts w:ascii="Calibri" w:eastAsia="Times New Roman" w:hAnsi="Calibri" w:cs="Calibri"/>
                <w:iCs/>
                <w:color w:val="000000"/>
                <w:lang w:eastAsia="en-AU"/>
              </w:rPr>
              <w:t>–</w:t>
            </w:r>
            <w:r w:rsidR="008F6532" w:rsidRPr="00C20287">
              <w:rPr>
                <w:rFonts w:ascii="Calibri" w:eastAsia="Times New Roman" w:hAnsi="Calibri" w:cs="Calibri"/>
                <w:iCs/>
                <w:color w:val="000000"/>
                <w:lang w:eastAsia="en-AU"/>
              </w:rPr>
              <w:t xml:space="preserve"> </w:t>
            </w:r>
            <w:r w:rsidRPr="00943AE8">
              <w:rPr>
                <w:rFonts w:eastAsia="Times New Roman" w:cstheme="minorHAnsi"/>
                <w:bCs/>
                <w:color w:val="000000"/>
                <w:lang w:eastAsia="en-AU"/>
              </w:rPr>
              <w:t>Over co-payment (Subsidised)</w:t>
            </w:r>
          </w:p>
        </w:tc>
        <w:tc>
          <w:tcPr>
            <w:tcW w:w="636" w:type="pct"/>
            <w:shd w:val="clear" w:color="auto" w:fill="FFFFFF" w:themeFill="background1"/>
          </w:tcPr>
          <w:p w14:paraId="37A8AF63" w14:textId="2ED3BD64" w:rsidR="008F6532" w:rsidRPr="00CA72FA" w:rsidRDefault="008F6532" w:rsidP="00190624">
            <w:pPr>
              <w:jc w:val="center"/>
            </w:pPr>
            <w:r w:rsidRPr="00CA72FA">
              <w:t>$14</w:t>
            </w:r>
            <w:r w:rsidR="00190624" w:rsidRPr="00CA72FA">
              <w:t>.8</w:t>
            </w:r>
          </w:p>
        </w:tc>
        <w:tc>
          <w:tcPr>
            <w:tcW w:w="636" w:type="pct"/>
            <w:shd w:val="clear" w:color="auto" w:fill="FFFFFF" w:themeFill="background1"/>
          </w:tcPr>
          <w:p w14:paraId="5D5D2E46" w14:textId="0C15743B" w:rsidR="008F6532" w:rsidRPr="00CA72FA" w:rsidRDefault="008F6532" w:rsidP="00190624">
            <w:pPr>
              <w:jc w:val="center"/>
            </w:pPr>
            <w:r w:rsidRPr="00CA72FA">
              <w:t>$</w:t>
            </w:r>
            <w:r w:rsidR="00867C14" w:rsidRPr="00CA72FA">
              <w:t>19</w:t>
            </w:r>
            <w:r w:rsidR="00190624" w:rsidRPr="00CA72FA">
              <w:t>.3</w:t>
            </w:r>
          </w:p>
        </w:tc>
        <w:tc>
          <w:tcPr>
            <w:tcW w:w="704" w:type="pct"/>
            <w:shd w:val="clear" w:color="auto" w:fill="FFFFFF" w:themeFill="background1"/>
          </w:tcPr>
          <w:p w14:paraId="5AC50DF1" w14:textId="3842E2A9" w:rsidR="008F6532" w:rsidRPr="00CA72FA" w:rsidRDefault="008F6532" w:rsidP="00190624">
            <w:pPr>
              <w:jc w:val="center"/>
            </w:pPr>
            <w:r w:rsidRPr="00CA72FA">
              <w:t>$</w:t>
            </w:r>
            <w:r w:rsidR="00261511" w:rsidRPr="00CA72FA">
              <w:t>17.9</w:t>
            </w:r>
          </w:p>
        </w:tc>
      </w:tr>
      <w:tr w:rsidR="008F6532" w:rsidRPr="00C20287" w14:paraId="08966098" w14:textId="77777777" w:rsidTr="00FF4C3F">
        <w:tc>
          <w:tcPr>
            <w:tcW w:w="3024" w:type="pct"/>
            <w:tcBorders>
              <w:bottom w:val="single" w:sz="4" w:space="0" w:color="auto"/>
            </w:tcBorders>
            <w:shd w:val="clear" w:color="auto" w:fill="FFFFFF" w:themeFill="background1"/>
          </w:tcPr>
          <w:p w14:paraId="6418F427" w14:textId="2E893CC9" w:rsidR="008F6532" w:rsidRPr="00C20287" w:rsidRDefault="008F6532" w:rsidP="00E55DA3">
            <w:r w:rsidRPr="00C20287">
              <w:t xml:space="preserve">Dispensing remuneration – </w:t>
            </w:r>
            <w:r w:rsidR="00EC4D5C" w:rsidRPr="00943AE8">
              <w:rPr>
                <w:rFonts w:eastAsia="Times New Roman" w:cstheme="minorHAnsi"/>
                <w:color w:val="000000"/>
                <w:lang w:eastAsia="en-AU"/>
              </w:rPr>
              <w:t xml:space="preserve">Under co-payment </w:t>
            </w:r>
            <w:r w:rsidR="00EC4D5C">
              <w:rPr>
                <w:rFonts w:eastAsia="Times New Roman" w:cstheme="minorHAnsi"/>
                <w:color w:val="000000"/>
                <w:lang w:eastAsia="en-AU"/>
              </w:rPr>
              <w:t>(Unsubsidised)</w:t>
            </w:r>
            <w:r w:rsidR="00EC4D5C" w:rsidRPr="00943AE8">
              <w:rPr>
                <w:rFonts w:eastAsia="Times New Roman" w:cstheme="minorHAnsi"/>
                <w:color w:val="000000"/>
                <w:lang w:eastAsia="en-AU"/>
              </w:rPr>
              <w:t xml:space="preserve"> </w:t>
            </w:r>
          </w:p>
        </w:tc>
        <w:tc>
          <w:tcPr>
            <w:tcW w:w="636" w:type="pct"/>
            <w:tcBorders>
              <w:bottom w:val="single" w:sz="4" w:space="0" w:color="auto"/>
            </w:tcBorders>
            <w:shd w:val="clear" w:color="auto" w:fill="FFFFFF" w:themeFill="background1"/>
          </w:tcPr>
          <w:p w14:paraId="2C5B6A50" w14:textId="61EDC741" w:rsidR="008F6532" w:rsidRPr="00CA72FA" w:rsidRDefault="008F6532" w:rsidP="001D4885">
            <w:pPr>
              <w:jc w:val="center"/>
            </w:pPr>
            <w:r w:rsidRPr="00CA72FA">
              <w:rPr>
                <w:rFonts w:ascii="Calibri" w:eastAsia="Times New Roman" w:hAnsi="Calibri" w:cs="Calibri"/>
                <w:bCs/>
                <w:color w:val="000000"/>
                <w:lang w:eastAsia="en-AU"/>
              </w:rPr>
              <w:t>$6</w:t>
            </w:r>
            <w:r w:rsidR="00190624" w:rsidRPr="00CA72FA">
              <w:rPr>
                <w:rFonts w:ascii="Calibri" w:eastAsia="Times New Roman" w:hAnsi="Calibri" w:cs="Calibri"/>
                <w:bCs/>
                <w:color w:val="000000"/>
                <w:lang w:eastAsia="en-AU"/>
              </w:rPr>
              <w:t>.</w:t>
            </w:r>
            <w:r w:rsidR="001D4885" w:rsidRPr="00CA72FA">
              <w:rPr>
                <w:rFonts w:ascii="Calibri" w:eastAsia="Times New Roman" w:hAnsi="Calibri" w:cs="Calibri"/>
                <w:bCs/>
                <w:color w:val="000000"/>
                <w:lang w:eastAsia="en-AU"/>
              </w:rPr>
              <w:t>2</w:t>
            </w:r>
          </w:p>
        </w:tc>
        <w:tc>
          <w:tcPr>
            <w:tcW w:w="636" w:type="pct"/>
            <w:tcBorders>
              <w:bottom w:val="single" w:sz="4" w:space="0" w:color="auto"/>
            </w:tcBorders>
            <w:shd w:val="clear" w:color="auto" w:fill="FFFFFF" w:themeFill="background1"/>
          </w:tcPr>
          <w:p w14:paraId="4A0A595A" w14:textId="4EE31701" w:rsidR="008F6532" w:rsidRPr="00CA72FA" w:rsidRDefault="008F6532" w:rsidP="00190624">
            <w:pPr>
              <w:jc w:val="center"/>
              <w:rPr>
                <w:rFonts w:ascii="Calibri" w:eastAsia="Times New Roman" w:hAnsi="Calibri" w:cs="Calibri"/>
                <w:bCs/>
                <w:color w:val="000000"/>
                <w:lang w:eastAsia="en-AU"/>
              </w:rPr>
            </w:pPr>
            <w:r w:rsidRPr="00CA72FA">
              <w:t>$</w:t>
            </w:r>
            <w:r w:rsidR="006F4D2B" w:rsidRPr="00CA72FA">
              <w:t>8</w:t>
            </w:r>
            <w:r w:rsidR="00190624" w:rsidRPr="00CA72FA">
              <w:t>.1</w:t>
            </w:r>
          </w:p>
        </w:tc>
        <w:tc>
          <w:tcPr>
            <w:tcW w:w="704" w:type="pct"/>
            <w:tcBorders>
              <w:bottom w:val="single" w:sz="4" w:space="0" w:color="auto"/>
            </w:tcBorders>
            <w:shd w:val="clear" w:color="auto" w:fill="FFFFFF" w:themeFill="background1"/>
          </w:tcPr>
          <w:p w14:paraId="0A12A6D1" w14:textId="7C7BFA75" w:rsidR="008F6532" w:rsidRPr="00CA72FA" w:rsidRDefault="003A3C0E" w:rsidP="00190624">
            <w:pPr>
              <w:jc w:val="center"/>
              <w:rPr>
                <w:rFonts w:ascii="Calibri" w:eastAsia="Times New Roman" w:hAnsi="Calibri" w:cs="Calibri"/>
                <w:bCs/>
                <w:color w:val="000000"/>
                <w:lang w:eastAsia="en-AU"/>
              </w:rPr>
            </w:pPr>
            <w:r w:rsidRPr="00CA72FA">
              <w:t>$</w:t>
            </w:r>
            <w:r w:rsidR="00261511" w:rsidRPr="00CA72FA">
              <w:t>6.7</w:t>
            </w:r>
          </w:p>
        </w:tc>
      </w:tr>
      <w:tr w:rsidR="008F6532" w:rsidRPr="00C20287" w14:paraId="5316CEE5" w14:textId="77777777" w:rsidTr="00FF4C3F">
        <w:tc>
          <w:tcPr>
            <w:tcW w:w="3024" w:type="pct"/>
            <w:shd w:val="clear" w:color="auto" w:fill="D1D1D1" w:themeFill="background2"/>
          </w:tcPr>
          <w:p w14:paraId="0C045155" w14:textId="24576480" w:rsidR="008F6532" w:rsidRPr="00C20287" w:rsidRDefault="008F6532" w:rsidP="00C2127E">
            <w:pPr>
              <w:rPr>
                <w:b/>
              </w:rPr>
            </w:pPr>
            <w:r w:rsidRPr="00C20287">
              <w:rPr>
                <w:b/>
              </w:rPr>
              <w:t>Total remuneration for dispensing</w:t>
            </w:r>
            <w:r w:rsidR="00867C14">
              <w:rPr>
                <w:b/>
              </w:rPr>
              <w:t xml:space="preserve"> </w:t>
            </w:r>
            <w:r w:rsidR="00867C14" w:rsidRPr="00FF4C3F">
              <w:t>(excluding wholesaler mark-up)</w:t>
            </w:r>
          </w:p>
        </w:tc>
        <w:tc>
          <w:tcPr>
            <w:tcW w:w="636" w:type="pct"/>
            <w:shd w:val="clear" w:color="auto" w:fill="D1D1D1" w:themeFill="background2"/>
          </w:tcPr>
          <w:p w14:paraId="1CB0E081" w14:textId="47A38B93" w:rsidR="008F6532" w:rsidRPr="00CA72FA" w:rsidRDefault="008F6532" w:rsidP="001D4885">
            <w:pPr>
              <w:jc w:val="center"/>
              <w:rPr>
                <w:b/>
              </w:rPr>
            </w:pPr>
            <w:r w:rsidRPr="00CA72FA">
              <w:rPr>
                <w:rFonts w:ascii="Calibri" w:eastAsia="Times New Roman" w:hAnsi="Calibri" w:cs="Calibri"/>
                <w:b/>
                <w:bCs/>
                <w:color w:val="000000"/>
                <w:lang w:eastAsia="en-AU"/>
              </w:rPr>
              <w:t>$2</w:t>
            </w:r>
            <w:r w:rsidR="001D4885" w:rsidRPr="00CA72FA">
              <w:rPr>
                <w:rFonts w:ascii="Calibri" w:eastAsia="Times New Roman" w:hAnsi="Calibri" w:cs="Calibri"/>
                <w:b/>
                <w:bCs/>
                <w:color w:val="000000"/>
                <w:lang w:eastAsia="en-AU"/>
              </w:rPr>
              <w:t>0.9</w:t>
            </w:r>
          </w:p>
        </w:tc>
        <w:tc>
          <w:tcPr>
            <w:tcW w:w="636" w:type="pct"/>
            <w:shd w:val="clear" w:color="auto" w:fill="D1D1D1" w:themeFill="background2"/>
          </w:tcPr>
          <w:p w14:paraId="48A1784C" w14:textId="5BA5115E" w:rsidR="008F6532" w:rsidRPr="00CA72FA" w:rsidRDefault="008F6532" w:rsidP="00190624">
            <w:pPr>
              <w:jc w:val="center"/>
              <w:rPr>
                <w:rFonts w:ascii="Calibri" w:eastAsia="Times New Roman" w:hAnsi="Calibri" w:cs="Calibri"/>
                <w:b/>
                <w:bCs/>
                <w:color w:val="000000"/>
                <w:lang w:eastAsia="en-AU"/>
              </w:rPr>
            </w:pPr>
            <w:r w:rsidRPr="00CA72FA">
              <w:rPr>
                <w:b/>
              </w:rPr>
              <w:t>$</w:t>
            </w:r>
            <w:r w:rsidR="00867C14" w:rsidRPr="00CA72FA">
              <w:rPr>
                <w:b/>
              </w:rPr>
              <w:t>2</w:t>
            </w:r>
            <w:r w:rsidR="006F4D2B" w:rsidRPr="00CA72FA">
              <w:rPr>
                <w:b/>
              </w:rPr>
              <w:t>7</w:t>
            </w:r>
            <w:r w:rsidR="00190624" w:rsidRPr="00CA72FA">
              <w:rPr>
                <w:b/>
              </w:rPr>
              <w:t>.4</w:t>
            </w:r>
          </w:p>
        </w:tc>
        <w:tc>
          <w:tcPr>
            <w:tcW w:w="704" w:type="pct"/>
            <w:shd w:val="clear" w:color="auto" w:fill="D1D1D1" w:themeFill="background2"/>
          </w:tcPr>
          <w:p w14:paraId="7590E7BA" w14:textId="54C7AC5C" w:rsidR="008F6532" w:rsidRPr="00CA72FA" w:rsidRDefault="008F6532" w:rsidP="00C2127E">
            <w:pPr>
              <w:jc w:val="center"/>
              <w:rPr>
                <w:rFonts w:ascii="Calibri" w:eastAsia="Times New Roman" w:hAnsi="Calibri" w:cs="Calibri"/>
                <w:b/>
                <w:bCs/>
                <w:color w:val="000000"/>
                <w:lang w:eastAsia="en-AU"/>
              </w:rPr>
            </w:pPr>
            <w:r w:rsidRPr="00CA72FA">
              <w:rPr>
                <w:b/>
              </w:rPr>
              <w:t>$</w:t>
            </w:r>
            <w:r w:rsidR="00261511" w:rsidRPr="00CA72FA">
              <w:rPr>
                <w:b/>
              </w:rPr>
              <w:t>24.6</w:t>
            </w:r>
          </w:p>
        </w:tc>
      </w:tr>
    </w:tbl>
    <w:p w14:paraId="088647D4" w14:textId="77777777" w:rsidR="008F6532" w:rsidRPr="00C20287" w:rsidRDefault="008F6532" w:rsidP="008F6532">
      <w:pPr>
        <w:rPr>
          <w:color w:val="0D0D0D" w:themeColor="text1" w:themeTint="F2"/>
          <w:sz w:val="24"/>
          <w:szCs w:val="24"/>
        </w:rPr>
      </w:pPr>
    </w:p>
    <w:p w14:paraId="31043D73" w14:textId="77777777" w:rsidR="00F30056" w:rsidRPr="00E04259" w:rsidRDefault="00F30056" w:rsidP="00F30056">
      <w:pPr>
        <w:rPr>
          <w:rFonts w:asciiTheme="majorHAnsi" w:eastAsiaTheme="majorEastAsia" w:hAnsiTheme="majorHAnsi" w:cstheme="majorBidi"/>
          <w:color w:val="014463" w:themeColor="text2"/>
          <w:sz w:val="30"/>
          <w:szCs w:val="30"/>
        </w:rPr>
      </w:pPr>
      <w:r>
        <w:rPr>
          <w:rFonts w:asciiTheme="majorHAnsi" w:eastAsiaTheme="majorEastAsia" w:hAnsiTheme="majorHAnsi" w:cstheme="majorBidi"/>
          <w:color w:val="014463" w:themeColor="text2"/>
          <w:sz w:val="30"/>
          <w:szCs w:val="30"/>
        </w:rPr>
        <w:t>4.4</w:t>
      </w:r>
      <w:r>
        <w:rPr>
          <w:rFonts w:asciiTheme="majorHAnsi" w:eastAsiaTheme="majorEastAsia" w:hAnsiTheme="majorHAnsi" w:cstheme="majorBidi"/>
          <w:color w:val="014463" w:themeColor="text2"/>
          <w:sz w:val="30"/>
          <w:szCs w:val="30"/>
        </w:rPr>
        <w:tab/>
      </w:r>
      <w:r w:rsidRPr="00E04259">
        <w:rPr>
          <w:rFonts w:asciiTheme="majorHAnsi" w:eastAsiaTheme="majorEastAsia" w:hAnsiTheme="majorHAnsi" w:cstheme="majorBidi"/>
          <w:color w:val="014463" w:themeColor="text2"/>
          <w:sz w:val="30"/>
          <w:szCs w:val="30"/>
        </w:rPr>
        <w:t>Accountability and Transparency</w:t>
      </w:r>
    </w:p>
    <w:p w14:paraId="28313E4F" w14:textId="0B2C2F39" w:rsidR="00AF6CA5" w:rsidRPr="00ED575C" w:rsidRDefault="001D5876" w:rsidP="003B6EC3">
      <w:pPr>
        <w:rPr>
          <w:color w:val="0D0D0D" w:themeColor="text1" w:themeTint="F2"/>
          <w:sz w:val="24"/>
          <w:szCs w:val="24"/>
        </w:rPr>
      </w:pPr>
      <w:r>
        <w:rPr>
          <w:color w:val="0D0D0D" w:themeColor="text1" w:themeTint="F2"/>
          <w:sz w:val="24"/>
          <w:szCs w:val="24"/>
        </w:rPr>
        <w:t>Consumers are understandably more concerned about transparency of the components of price they pay for medicines</w:t>
      </w:r>
      <w:r w:rsidR="004255A6">
        <w:rPr>
          <w:color w:val="0D0D0D" w:themeColor="text1" w:themeTint="F2"/>
          <w:sz w:val="24"/>
          <w:szCs w:val="24"/>
        </w:rPr>
        <w:t xml:space="preserve"> than </w:t>
      </w:r>
      <w:r>
        <w:rPr>
          <w:color w:val="0D0D0D" w:themeColor="text1" w:themeTint="F2"/>
          <w:sz w:val="24"/>
          <w:szCs w:val="24"/>
        </w:rPr>
        <w:t>the Commonwealth price for dispensing.</w:t>
      </w:r>
      <w:r w:rsidR="00ED575C">
        <w:rPr>
          <w:color w:val="0D0D0D" w:themeColor="text1" w:themeTint="F2"/>
          <w:sz w:val="24"/>
          <w:szCs w:val="24"/>
        </w:rPr>
        <w:t xml:space="preserve"> In recognition of this </w:t>
      </w:r>
      <w:r w:rsidR="00ED575C" w:rsidRPr="00FF4C3F">
        <w:rPr>
          <w:color w:val="0D0D0D" w:themeColor="text1" w:themeTint="F2"/>
          <w:sz w:val="24"/>
          <w:szCs w:val="24"/>
        </w:rPr>
        <w:t>the 7CPA requires that there be increased transparency and information to patients about the cost of medicines (including any discretionary pharmacy charge), prior to the medicine being dispensed to the patient.</w:t>
      </w:r>
      <w:r w:rsidR="00ED575C" w:rsidRPr="003B6EC3">
        <w:rPr>
          <w:color w:val="0D0D0D" w:themeColor="text1" w:themeTint="F2"/>
          <w:sz w:val="24"/>
          <w:szCs w:val="24"/>
        </w:rPr>
        <w:t xml:space="preserve"> Consistent with this requirement the Guild </w:t>
      </w:r>
      <w:r w:rsidR="00ED575C" w:rsidRPr="00FF4C3F">
        <w:rPr>
          <w:color w:val="0D0D0D" w:themeColor="text1" w:themeTint="F2"/>
          <w:sz w:val="24"/>
          <w:szCs w:val="24"/>
        </w:rPr>
        <w:t xml:space="preserve">developed </w:t>
      </w:r>
      <w:r w:rsidR="00ED575C" w:rsidRPr="003B6EC3">
        <w:rPr>
          <w:color w:val="0D0D0D" w:themeColor="text1" w:themeTint="F2"/>
          <w:sz w:val="24"/>
          <w:szCs w:val="24"/>
        </w:rPr>
        <w:t xml:space="preserve">information and </w:t>
      </w:r>
      <w:r w:rsidR="00ED575C" w:rsidRPr="00FF4C3F">
        <w:rPr>
          <w:color w:val="0D0D0D" w:themeColor="text1" w:themeTint="F2"/>
          <w:sz w:val="24"/>
          <w:szCs w:val="24"/>
        </w:rPr>
        <w:t xml:space="preserve">resources </w:t>
      </w:r>
      <w:r w:rsidR="00ED575C" w:rsidRPr="003B6EC3">
        <w:rPr>
          <w:color w:val="0D0D0D" w:themeColor="text1" w:themeTint="F2"/>
          <w:sz w:val="24"/>
          <w:szCs w:val="24"/>
        </w:rPr>
        <w:t xml:space="preserve">for use by community pharmacies and consumers to </w:t>
      </w:r>
      <w:r w:rsidR="009B444C">
        <w:rPr>
          <w:color w:val="0D0D0D" w:themeColor="text1" w:themeTint="F2"/>
          <w:sz w:val="24"/>
          <w:szCs w:val="24"/>
        </w:rPr>
        <w:t xml:space="preserve">better </w:t>
      </w:r>
      <w:r w:rsidR="00ED575C" w:rsidRPr="003B6EC3">
        <w:rPr>
          <w:color w:val="0D0D0D" w:themeColor="text1" w:themeTint="F2"/>
          <w:sz w:val="24"/>
          <w:szCs w:val="24"/>
        </w:rPr>
        <w:t>understand the pricing and costs of a PBS prescription</w:t>
      </w:r>
      <w:r w:rsidR="00AF6CA5" w:rsidRPr="003B6EC3">
        <w:rPr>
          <w:color w:val="0D0D0D" w:themeColor="text1" w:themeTint="F2"/>
          <w:sz w:val="24"/>
          <w:szCs w:val="24"/>
        </w:rPr>
        <w:t xml:space="preserve"> and made these available on its website</w:t>
      </w:r>
      <w:r w:rsidR="00ED575C" w:rsidRPr="00FF4C3F">
        <w:rPr>
          <w:sz w:val="24"/>
          <w:szCs w:val="24"/>
        </w:rPr>
        <w:t xml:space="preserve"> (</w:t>
      </w:r>
      <w:hyperlink r:id="rId30" w:history="1">
        <w:r w:rsidR="00ED575C" w:rsidRPr="00FF4C3F">
          <w:rPr>
            <w:rStyle w:val="Hyperlink"/>
            <w:sz w:val="24"/>
            <w:szCs w:val="24"/>
          </w:rPr>
          <w:t>www.findapharmacy.com/pbs-pricing</w:t>
        </w:r>
      </w:hyperlink>
      <w:r w:rsidR="00ED575C" w:rsidRPr="006B4286">
        <w:rPr>
          <w:color w:val="auto"/>
          <w:sz w:val="24"/>
          <w:szCs w:val="24"/>
        </w:rPr>
        <w:t>) from February 2022</w:t>
      </w:r>
      <w:r w:rsidR="009B444C" w:rsidRPr="006B4286">
        <w:rPr>
          <w:color w:val="auto"/>
          <w:sz w:val="24"/>
          <w:szCs w:val="24"/>
        </w:rPr>
        <w:t>.</w:t>
      </w:r>
    </w:p>
    <w:p w14:paraId="5EB703E3" w14:textId="7CC8C24C" w:rsidR="00ED575C" w:rsidRPr="00FF4C3F" w:rsidRDefault="00AF6CA5" w:rsidP="00ED575C">
      <w:pPr>
        <w:rPr>
          <w:color w:val="0D0D0D" w:themeColor="text1" w:themeTint="F2"/>
          <w:sz w:val="24"/>
          <w:szCs w:val="24"/>
        </w:rPr>
      </w:pPr>
      <w:r>
        <w:rPr>
          <w:color w:val="0D0D0D" w:themeColor="text1" w:themeTint="F2"/>
          <w:sz w:val="24"/>
          <w:szCs w:val="24"/>
        </w:rPr>
        <w:t>Many stakeholders however felt that</w:t>
      </w:r>
      <w:r w:rsidRPr="00FF4C3F">
        <w:rPr>
          <w:color w:val="0D0D0D" w:themeColor="text1" w:themeTint="F2"/>
          <w:sz w:val="24"/>
          <w:szCs w:val="24"/>
        </w:rPr>
        <w:t>, these resources fail to inform consumers of the costs of their medicines prior to being dispense</w:t>
      </w:r>
      <w:r>
        <w:rPr>
          <w:color w:val="0D0D0D" w:themeColor="text1" w:themeTint="F2"/>
          <w:sz w:val="24"/>
          <w:szCs w:val="24"/>
        </w:rPr>
        <w:t>d and</w:t>
      </w:r>
      <w:r w:rsidRPr="00FF4C3F">
        <w:rPr>
          <w:color w:val="0D0D0D" w:themeColor="text1" w:themeTint="F2"/>
          <w:sz w:val="24"/>
          <w:szCs w:val="24"/>
        </w:rPr>
        <w:t xml:space="preserve"> do not address genuine concerns of consumers about costs and </w:t>
      </w:r>
      <w:r w:rsidR="00DD3637">
        <w:rPr>
          <w:color w:val="0D0D0D" w:themeColor="text1" w:themeTint="F2"/>
          <w:sz w:val="24"/>
          <w:szCs w:val="24"/>
        </w:rPr>
        <w:t xml:space="preserve">the </w:t>
      </w:r>
      <w:r w:rsidRPr="00FF4C3F">
        <w:rPr>
          <w:color w:val="0D0D0D" w:themeColor="text1" w:themeTint="F2"/>
          <w:sz w:val="24"/>
          <w:szCs w:val="24"/>
        </w:rPr>
        <w:t xml:space="preserve">quality of information being provided by pharmacies. </w:t>
      </w:r>
      <w:r>
        <w:rPr>
          <w:color w:val="0D0D0D" w:themeColor="text1" w:themeTint="F2"/>
          <w:sz w:val="24"/>
          <w:szCs w:val="24"/>
        </w:rPr>
        <w:t xml:space="preserve">Some also considered that </w:t>
      </w:r>
      <w:r w:rsidRPr="00FF4C3F">
        <w:rPr>
          <w:color w:val="0D0D0D" w:themeColor="text1" w:themeTint="F2"/>
          <w:sz w:val="24"/>
          <w:szCs w:val="24"/>
        </w:rPr>
        <w:t>discussions</w:t>
      </w:r>
      <w:r>
        <w:rPr>
          <w:color w:val="0D0D0D" w:themeColor="text1" w:themeTint="F2"/>
          <w:sz w:val="24"/>
          <w:szCs w:val="24"/>
        </w:rPr>
        <w:t xml:space="preserve"> regarding further improvements</w:t>
      </w:r>
      <w:r w:rsidRPr="00FF4C3F">
        <w:rPr>
          <w:color w:val="0D0D0D" w:themeColor="text1" w:themeTint="F2"/>
          <w:sz w:val="24"/>
          <w:szCs w:val="24"/>
        </w:rPr>
        <w:t xml:space="preserve"> had been constrained by the wording of the 7CPA</w:t>
      </w:r>
      <w:r>
        <w:rPr>
          <w:color w:val="0D0D0D" w:themeColor="text1" w:themeTint="F2"/>
          <w:sz w:val="24"/>
          <w:szCs w:val="24"/>
        </w:rPr>
        <w:t xml:space="preserve"> and</w:t>
      </w:r>
      <w:r w:rsidRPr="00FF4C3F">
        <w:rPr>
          <w:color w:val="0D0D0D" w:themeColor="text1" w:themeTint="F2"/>
          <w:sz w:val="24"/>
          <w:szCs w:val="24"/>
        </w:rPr>
        <w:t xml:space="preserve"> further questioned the appropriateness</w:t>
      </w:r>
      <w:r>
        <w:rPr>
          <w:color w:val="0D0D0D" w:themeColor="text1" w:themeTint="F2"/>
          <w:sz w:val="24"/>
          <w:szCs w:val="24"/>
        </w:rPr>
        <w:t xml:space="preserve"> of messaging</w:t>
      </w:r>
      <w:r w:rsidRPr="00FF4C3F">
        <w:rPr>
          <w:color w:val="0D0D0D" w:themeColor="text1" w:themeTint="F2"/>
          <w:sz w:val="24"/>
          <w:szCs w:val="24"/>
        </w:rPr>
        <w:t>, suggesting there needs to be wider consideration of health literacy issues and increasing patient access to reputable information sources regarding medicines in varying formats</w:t>
      </w:r>
      <w:r w:rsidR="00ED575C" w:rsidRPr="00FF4C3F">
        <w:rPr>
          <w:color w:val="0D0D0D" w:themeColor="text1" w:themeTint="F2"/>
          <w:sz w:val="24"/>
          <w:szCs w:val="24"/>
        </w:rPr>
        <w:t>.</w:t>
      </w:r>
    </w:p>
    <w:p w14:paraId="0E887B50" w14:textId="7E83A536" w:rsidR="00AF6CA5" w:rsidRPr="00FF4C3F" w:rsidRDefault="00AF6CA5" w:rsidP="00AF6CA5">
      <w:pPr>
        <w:rPr>
          <w:color w:val="0D0D0D" w:themeColor="text1" w:themeTint="F2"/>
          <w:sz w:val="24"/>
          <w:szCs w:val="24"/>
        </w:rPr>
      </w:pPr>
      <w:r w:rsidRPr="00FF4C3F">
        <w:rPr>
          <w:color w:val="0D0D0D" w:themeColor="text1" w:themeTint="F2"/>
          <w:sz w:val="24"/>
          <w:szCs w:val="24"/>
        </w:rPr>
        <w:t xml:space="preserve">Under Option 1 the Commonwealth </w:t>
      </w:r>
      <w:r w:rsidR="003756A3">
        <w:rPr>
          <w:color w:val="0D0D0D" w:themeColor="text1" w:themeTint="F2"/>
          <w:sz w:val="24"/>
          <w:szCs w:val="24"/>
        </w:rPr>
        <w:t>p</w:t>
      </w:r>
      <w:r w:rsidRPr="00FF4C3F">
        <w:rPr>
          <w:color w:val="0D0D0D" w:themeColor="text1" w:themeTint="F2"/>
          <w:sz w:val="24"/>
          <w:szCs w:val="24"/>
        </w:rPr>
        <w:t xml:space="preserve">rice would be set by PBRT </w:t>
      </w:r>
      <w:r w:rsidR="009B444C">
        <w:rPr>
          <w:color w:val="0D0D0D" w:themeColor="text1" w:themeTint="F2"/>
          <w:sz w:val="24"/>
          <w:szCs w:val="24"/>
        </w:rPr>
        <w:t>following</w:t>
      </w:r>
      <w:r w:rsidR="009B444C" w:rsidRPr="00FF4C3F">
        <w:rPr>
          <w:color w:val="0D0D0D" w:themeColor="text1" w:themeTint="F2"/>
          <w:sz w:val="24"/>
          <w:szCs w:val="24"/>
        </w:rPr>
        <w:t xml:space="preserve"> </w:t>
      </w:r>
      <w:r w:rsidRPr="00FF4C3F">
        <w:rPr>
          <w:color w:val="0D0D0D" w:themeColor="text1" w:themeTint="F2"/>
          <w:sz w:val="24"/>
          <w:szCs w:val="24"/>
        </w:rPr>
        <w:t>a public inquiry. This would open up the process of setting the general level of remuneration for dispensing medicines for public scrutiny but would not improve transparency of individual costs</w:t>
      </w:r>
      <w:r w:rsidR="00F0365D">
        <w:rPr>
          <w:color w:val="0D0D0D" w:themeColor="text1" w:themeTint="F2"/>
          <w:sz w:val="24"/>
          <w:szCs w:val="24"/>
        </w:rPr>
        <w:t xml:space="preserve"> at the point of dispensing</w:t>
      </w:r>
      <w:r w:rsidRPr="00FF4C3F">
        <w:rPr>
          <w:color w:val="0D0D0D" w:themeColor="text1" w:themeTint="F2"/>
          <w:sz w:val="24"/>
          <w:szCs w:val="24"/>
        </w:rPr>
        <w:t xml:space="preserve">. </w:t>
      </w:r>
    </w:p>
    <w:p w14:paraId="15964646" w14:textId="65A7EA99" w:rsidR="00AF6CA5" w:rsidRPr="00FF4C3F" w:rsidRDefault="00AF6CA5" w:rsidP="00AF6CA5">
      <w:pPr>
        <w:rPr>
          <w:color w:val="0D0D0D" w:themeColor="text1" w:themeTint="F2"/>
          <w:sz w:val="24"/>
          <w:szCs w:val="24"/>
        </w:rPr>
      </w:pPr>
      <w:r w:rsidRPr="00FF4C3F">
        <w:rPr>
          <w:color w:val="0D0D0D" w:themeColor="text1" w:themeTint="F2"/>
          <w:sz w:val="24"/>
          <w:szCs w:val="24"/>
        </w:rPr>
        <w:t>Option 2 would see the establishment of an 8CPA similar in scope and approach to the 7CPA. Transparency of charges undertakings as outlined in the 7CPA would be maintained but would be unlikely to result in any significant improvement or change</w:t>
      </w:r>
      <w:r w:rsidR="009B444C">
        <w:rPr>
          <w:color w:val="0D0D0D" w:themeColor="text1" w:themeTint="F2"/>
          <w:sz w:val="24"/>
          <w:szCs w:val="24"/>
        </w:rPr>
        <w:t xml:space="preserve"> in transparency of charges</w:t>
      </w:r>
      <w:r w:rsidRPr="00FF4C3F">
        <w:rPr>
          <w:color w:val="0D0D0D" w:themeColor="text1" w:themeTint="F2"/>
          <w:sz w:val="24"/>
          <w:szCs w:val="24"/>
        </w:rPr>
        <w:t>.</w:t>
      </w:r>
    </w:p>
    <w:p w14:paraId="01AA747B" w14:textId="77777777" w:rsidR="005C4B03" w:rsidRPr="00FF4C3F" w:rsidRDefault="00AF6CA5" w:rsidP="00CD4142">
      <w:pPr>
        <w:rPr>
          <w:color w:val="0D0D0D" w:themeColor="text1" w:themeTint="F2"/>
          <w:sz w:val="24"/>
          <w:szCs w:val="24"/>
        </w:rPr>
      </w:pPr>
      <w:r w:rsidRPr="00FF4C3F">
        <w:rPr>
          <w:color w:val="0D0D0D" w:themeColor="text1" w:themeTint="F2"/>
          <w:sz w:val="24"/>
          <w:szCs w:val="24"/>
        </w:rPr>
        <w:lastRenderedPageBreak/>
        <w:t xml:space="preserve">Option 3 would focus an 8CPA on dispensing remuneration, and may provide an opportunity for broader discussion </w:t>
      </w:r>
      <w:r w:rsidR="005C4B03" w:rsidRPr="00FF4C3F">
        <w:rPr>
          <w:color w:val="0D0D0D" w:themeColor="text1" w:themeTint="F2"/>
          <w:sz w:val="24"/>
          <w:szCs w:val="24"/>
        </w:rPr>
        <w:t xml:space="preserve">outside of the CPA </w:t>
      </w:r>
      <w:r w:rsidRPr="00FF4C3F">
        <w:rPr>
          <w:color w:val="0D0D0D" w:themeColor="text1" w:themeTint="F2"/>
          <w:sz w:val="24"/>
          <w:szCs w:val="24"/>
        </w:rPr>
        <w:t xml:space="preserve">about how transparency and understanding of </w:t>
      </w:r>
      <w:r w:rsidR="005C4B03" w:rsidRPr="00FF4C3F">
        <w:rPr>
          <w:color w:val="0D0D0D" w:themeColor="text1" w:themeTint="F2"/>
          <w:sz w:val="24"/>
          <w:szCs w:val="24"/>
        </w:rPr>
        <w:t xml:space="preserve">PBS </w:t>
      </w:r>
      <w:r w:rsidRPr="00FF4C3F">
        <w:rPr>
          <w:color w:val="0D0D0D" w:themeColor="text1" w:themeTint="F2"/>
          <w:sz w:val="24"/>
          <w:szCs w:val="24"/>
        </w:rPr>
        <w:t xml:space="preserve">medicine costs could be improved </w:t>
      </w:r>
      <w:r w:rsidR="005C4B03" w:rsidRPr="00FF4C3F">
        <w:rPr>
          <w:color w:val="0D0D0D" w:themeColor="text1" w:themeTint="F2"/>
          <w:sz w:val="24"/>
          <w:szCs w:val="24"/>
        </w:rPr>
        <w:t>with a range of stakeholders</w:t>
      </w:r>
      <w:r w:rsidRPr="00FF4C3F">
        <w:rPr>
          <w:color w:val="0D0D0D" w:themeColor="text1" w:themeTint="F2"/>
          <w:sz w:val="24"/>
          <w:szCs w:val="24"/>
        </w:rPr>
        <w:t xml:space="preserve">. </w:t>
      </w:r>
    </w:p>
    <w:p w14:paraId="0AD28216" w14:textId="77777777" w:rsidR="00F30056" w:rsidRPr="0088060C" w:rsidRDefault="00F30056" w:rsidP="00FF4C3F">
      <w:pPr>
        <w:pStyle w:val="CABParagraph"/>
        <w:rPr>
          <w:color w:val="0D0D0D" w:themeColor="text1" w:themeTint="F2"/>
          <w:sz w:val="24"/>
          <w:szCs w:val="24"/>
        </w:rPr>
      </w:pPr>
    </w:p>
    <w:p w14:paraId="48D54934" w14:textId="77777777" w:rsidR="00F30056" w:rsidRPr="00E04259" w:rsidRDefault="00F30056" w:rsidP="00F30056">
      <w:pPr>
        <w:rPr>
          <w:rFonts w:asciiTheme="majorHAnsi" w:eastAsiaTheme="majorEastAsia" w:hAnsiTheme="majorHAnsi" w:cstheme="majorBidi"/>
          <w:color w:val="014463" w:themeColor="text2"/>
          <w:sz w:val="30"/>
          <w:szCs w:val="30"/>
        </w:rPr>
      </w:pPr>
      <w:r>
        <w:rPr>
          <w:rFonts w:asciiTheme="majorHAnsi" w:eastAsiaTheme="majorEastAsia" w:hAnsiTheme="majorHAnsi" w:cstheme="majorBidi"/>
          <w:color w:val="014463" w:themeColor="text2"/>
          <w:sz w:val="30"/>
          <w:szCs w:val="30"/>
        </w:rPr>
        <w:t>4.5</w:t>
      </w:r>
      <w:r>
        <w:rPr>
          <w:rFonts w:asciiTheme="majorHAnsi" w:eastAsiaTheme="majorEastAsia" w:hAnsiTheme="majorHAnsi" w:cstheme="majorBidi"/>
          <w:color w:val="014463" w:themeColor="text2"/>
          <w:sz w:val="30"/>
          <w:szCs w:val="30"/>
        </w:rPr>
        <w:tab/>
      </w:r>
      <w:r w:rsidRPr="00E04259">
        <w:rPr>
          <w:rFonts w:asciiTheme="majorHAnsi" w:eastAsiaTheme="majorEastAsia" w:hAnsiTheme="majorHAnsi" w:cstheme="majorBidi"/>
          <w:color w:val="014463" w:themeColor="text2"/>
          <w:sz w:val="30"/>
          <w:szCs w:val="30"/>
        </w:rPr>
        <w:t xml:space="preserve">Innovation and Continuous Improvement </w:t>
      </w:r>
    </w:p>
    <w:p w14:paraId="3966271C" w14:textId="391C6377" w:rsidR="00F30056" w:rsidRPr="0088060C" w:rsidRDefault="003B6EC3" w:rsidP="00316106">
      <w:pPr>
        <w:rPr>
          <w:color w:val="0D0D0D" w:themeColor="text1" w:themeTint="F2"/>
          <w:sz w:val="24"/>
          <w:szCs w:val="24"/>
        </w:rPr>
      </w:pPr>
      <w:r>
        <w:rPr>
          <w:color w:val="0D0D0D" w:themeColor="text1" w:themeTint="F2"/>
          <w:sz w:val="24"/>
          <w:szCs w:val="24"/>
        </w:rPr>
        <w:t>There are more than 20 e</w:t>
      </w:r>
      <w:r w:rsidRPr="00C20287">
        <w:rPr>
          <w:color w:val="0D0D0D" w:themeColor="text1" w:themeTint="F2"/>
          <w:sz w:val="24"/>
          <w:szCs w:val="24"/>
        </w:rPr>
        <w:t xml:space="preserve">xisting CPPs that focus on </w:t>
      </w:r>
      <w:r>
        <w:rPr>
          <w:color w:val="0D0D0D" w:themeColor="text1" w:themeTint="F2"/>
          <w:sz w:val="24"/>
          <w:szCs w:val="24"/>
        </w:rPr>
        <w:t>three key areas</w:t>
      </w:r>
      <w:r w:rsidR="00E249C8">
        <w:rPr>
          <w:color w:val="0D0D0D" w:themeColor="text1" w:themeTint="F2"/>
          <w:sz w:val="24"/>
          <w:szCs w:val="24"/>
        </w:rPr>
        <w:t>:</w:t>
      </w:r>
      <w:r>
        <w:rPr>
          <w:color w:val="0D0D0D" w:themeColor="text1" w:themeTint="F2"/>
          <w:sz w:val="24"/>
          <w:szCs w:val="24"/>
        </w:rPr>
        <w:t xml:space="preserve"> </w:t>
      </w:r>
      <w:r w:rsidR="004255A6">
        <w:rPr>
          <w:color w:val="0D0D0D" w:themeColor="text1" w:themeTint="F2"/>
          <w:sz w:val="24"/>
          <w:szCs w:val="24"/>
        </w:rPr>
        <w:t>m</w:t>
      </w:r>
      <w:r>
        <w:rPr>
          <w:color w:val="0D0D0D" w:themeColor="text1" w:themeTint="F2"/>
          <w:sz w:val="24"/>
          <w:szCs w:val="24"/>
        </w:rPr>
        <w:t xml:space="preserve">edication management and adherence programs, rural support programs and </w:t>
      </w:r>
      <w:r w:rsidR="00316106">
        <w:rPr>
          <w:color w:val="0D0D0D" w:themeColor="text1" w:themeTint="F2"/>
          <w:sz w:val="24"/>
          <w:szCs w:val="24"/>
        </w:rPr>
        <w:t>First Nations specific programs. Most stakeholders are supportive of separating CPPs form the CPA</w:t>
      </w:r>
      <w:r w:rsidR="00F0365D">
        <w:rPr>
          <w:color w:val="0D0D0D" w:themeColor="text1" w:themeTint="F2"/>
          <w:sz w:val="24"/>
          <w:szCs w:val="24"/>
        </w:rPr>
        <w:t xml:space="preserve"> (see section 5 below)</w:t>
      </w:r>
      <w:r w:rsidR="00316106">
        <w:rPr>
          <w:color w:val="0D0D0D" w:themeColor="text1" w:themeTint="F2"/>
          <w:sz w:val="24"/>
          <w:szCs w:val="24"/>
        </w:rPr>
        <w:t xml:space="preserve"> noting that this would encourage</w:t>
      </w:r>
      <w:r w:rsidR="00316106" w:rsidRPr="0088060C">
        <w:rPr>
          <w:color w:val="0D0D0D" w:themeColor="text1" w:themeTint="F2"/>
          <w:sz w:val="24"/>
          <w:szCs w:val="24"/>
        </w:rPr>
        <w:t xml:space="preserve"> innovation and the continued improvement of </w:t>
      </w:r>
      <w:r w:rsidR="004255A6">
        <w:rPr>
          <w:color w:val="0D0D0D" w:themeColor="text1" w:themeTint="F2"/>
          <w:sz w:val="24"/>
          <w:szCs w:val="24"/>
        </w:rPr>
        <w:t>the pharmacy sector</w:t>
      </w:r>
      <w:r w:rsidRPr="00C20287">
        <w:rPr>
          <w:color w:val="0D0D0D" w:themeColor="text1" w:themeTint="F2"/>
          <w:sz w:val="24"/>
          <w:szCs w:val="24"/>
        </w:rPr>
        <w:t xml:space="preserve">. </w:t>
      </w:r>
    </w:p>
    <w:p w14:paraId="78BB7F63" w14:textId="74AC920D" w:rsidR="0017733B" w:rsidRDefault="00F30056" w:rsidP="00F30056">
      <w:pPr>
        <w:rPr>
          <w:rFonts w:cstheme="minorHAnsi"/>
          <w:color w:val="0D0D0D" w:themeColor="text1" w:themeTint="F2"/>
          <w:sz w:val="24"/>
          <w:szCs w:val="24"/>
        </w:rPr>
      </w:pPr>
      <w:r>
        <w:rPr>
          <w:rFonts w:cstheme="minorHAnsi"/>
          <w:color w:val="0D0D0D" w:themeColor="text1" w:themeTint="F2"/>
          <w:sz w:val="24"/>
          <w:szCs w:val="24"/>
        </w:rPr>
        <w:t xml:space="preserve">Option 1 </w:t>
      </w:r>
      <w:r w:rsidRPr="00C20287">
        <w:rPr>
          <w:rFonts w:cstheme="minorHAnsi"/>
          <w:color w:val="0D0D0D" w:themeColor="text1" w:themeTint="F2"/>
          <w:sz w:val="24"/>
          <w:szCs w:val="24"/>
        </w:rPr>
        <w:t xml:space="preserve">could </w:t>
      </w:r>
      <w:r>
        <w:rPr>
          <w:rFonts w:cstheme="minorHAnsi"/>
          <w:color w:val="0D0D0D" w:themeColor="text1" w:themeTint="F2"/>
          <w:sz w:val="24"/>
          <w:szCs w:val="24"/>
        </w:rPr>
        <w:t xml:space="preserve">provide </w:t>
      </w:r>
      <w:r w:rsidRPr="00C20287">
        <w:rPr>
          <w:rFonts w:cstheme="minorHAnsi"/>
          <w:color w:val="0D0D0D" w:themeColor="text1" w:themeTint="F2"/>
          <w:sz w:val="24"/>
          <w:szCs w:val="24"/>
        </w:rPr>
        <w:t>expanded opportunities for the consideration</w:t>
      </w:r>
      <w:r w:rsidR="00F0365D">
        <w:rPr>
          <w:rFonts w:cstheme="minorHAnsi"/>
          <w:color w:val="0D0D0D" w:themeColor="text1" w:themeTint="F2"/>
          <w:sz w:val="24"/>
          <w:szCs w:val="24"/>
        </w:rPr>
        <w:t xml:space="preserve"> of</w:t>
      </w:r>
      <w:r w:rsidRPr="00C20287">
        <w:rPr>
          <w:rFonts w:cstheme="minorHAnsi"/>
          <w:color w:val="0D0D0D" w:themeColor="text1" w:themeTint="F2"/>
          <w:sz w:val="24"/>
          <w:szCs w:val="24"/>
        </w:rPr>
        <w:t xml:space="preserve"> </w:t>
      </w:r>
      <w:r>
        <w:rPr>
          <w:rFonts w:cstheme="minorHAnsi"/>
          <w:color w:val="0D0D0D" w:themeColor="text1" w:themeTint="F2"/>
          <w:sz w:val="24"/>
          <w:szCs w:val="24"/>
        </w:rPr>
        <w:t>CPP</w:t>
      </w:r>
      <w:r w:rsidR="00293CB5">
        <w:rPr>
          <w:rFonts w:cstheme="minorHAnsi"/>
          <w:color w:val="0D0D0D" w:themeColor="text1" w:themeTint="F2"/>
          <w:sz w:val="24"/>
          <w:szCs w:val="24"/>
        </w:rPr>
        <w:t>s</w:t>
      </w:r>
      <w:r>
        <w:rPr>
          <w:rFonts w:cstheme="minorHAnsi"/>
          <w:color w:val="0D0D0D" w:themeColor="text1" w:themeTint="F2"/>
          <w:sz w:val="24"/>
          <w:szCs w:val="24"/>
        </w:rPr>
        <w:t xml:space="preserve"> and </w:t>
      </w:r>
      <w:r w:rsidRPr="00C20287">
        <w:rPr>
          <w:rFonts w:cstheme="minorHAnsi"/>
          <w:color w:val="0D0D0D" w:themeColor="text1" w:themeTint="F2"/>
          <w:sz w:val="24"/>
          <w:szCs w:val="24"/>
        </w:rPr>
        <w:t xml:space="preserve">support </w:t>
      </w:r>
      <w:r>
        <w:rPr>
          <w:rFonts w:cstheme="minorHAnsi"/>
          <w:color w:val="0D0D0D" w:themeColor="text1" w:themeTint="F2"/>
          <w:sz w:val="24"/>
          <w:szCs w:val="24"/>
        </w:rPr>
        <w:t xml:space="preserve">the development of </w:t>
      </w:r>
      <w:r w:rsidR="00316106">
        <w:rPr>
          <w:rFonts w:cstheme="minorHAnsi"/>
          <w:color w:val="0D0D0D" w:themeColor="text1" w:themeTint="F2"/>
          <w:sz w:val="24"/>
          <w:szCs w:val="24"/>
        </w:rPr>
        <w:t xml:space="preserve">program quality and </w:t>
      </w:r>
      <w:r>
        <w:rPr>
          <w:rFonts w:cstheme="minorHAnsi"/>
          <w:color w:val="0D0D0D" w:themeColor="text1" w:themeTint="F2"/>
          <w:sz w:val="24"/>
          <w:szCs w:val="24"/>
        </w:rPr>
        <w:t xml:space="preserve">evaluation frameworks which would allow for </w:t>
      </w:r>
      <w:r w:rsidR="00316106">
        <w:rPr>
          <w:rFonts w:cstheme="minorHAnsi"/>
          <w:color w:val="0D0D0D" w:themeColor="text1" w:themeTint="F2"/>
          <w:sz w:val="24"/>
          <w:szCs w:val="24"/>
        </w:rPr>
        <w:t xml:space="preserve">better </w:t>
      </w:r>
      <w:r>
        <w:rPr>
          <w:rFonts w:cstheme="minorHAnsi"/>
          <w:color w:val="0D0D0D" w:themeColor="text1" w:themeTint="F2"/>
          <w:sz w:val="24"/>
          <w:szCs w:val="24"/>
        </w:rPr>
        <w:t xml:space="preserve">analysis of associated health and cost benefits. </w:t>
      </w:r>
      <w:r w:rsidRPr="00C20287">
        <w:rPr>
          <w:rFonts w:cstheme="minorHAnsi"/>
          <w:color w:val="0D0D0D" w:themeColor="text1" w:themeTint="F2"/>
          <w:sz w:val="24"/>
          <w:szCs w:val="24"/>
        </w:rPr>
        <w:t>However</w:t>
      </w:r>
      <w:r w:rsidR="00293CB5">
        <w:rPr>
          <w:rFonts w:cstheme="minorHAnsi"/>
          <w:color w:val="0D0D0D" w:themeColor="text1" w:themeTint="F2"/>
          <w:sz w:val="24"/>
          <w:szCs w:val="24"/>
        </w:rPr>
        <w:t>,</w:t>
      </w:r>
      <w:r w:rsidRPr="00C20287">
        <w:rPr>
          <w:rFonts w:cstheme="minorHAnsi"/>
          <w:color w:val="0D0D0D" w:themeColor="text1" w:themeTint="F2"/>
          <w:sz w:val="24"/>
          <w:szCs w:val="24"/>
        </w:rPr>
        <w:t xml:space="preserve"> there is risk that due to sector uncertainty during the PBRT inquiry period that stakeholders may be less willing to engage in relation to additional activities including pharmacy programs.</w:t>
      </w:r>
    </w:p>
    <w:p w14:paraId="13B81183" w14:textId="05AD733C" w:rsidR="0017733B" w:rsidRPr="00C20287" w:rsidRDefault="0017733B" w:rsidP="0017733B">
      <w:pPr>
        <w:rPr>
          <w:color w:val="0D0D0D" w:themeColor="text1" w:themeTint="F2"/>
          <w:sz w:val="24"/>
          <w:szCs w:val="24"/>
        </w:rPr>
      </w:pPr>
      <w:r w:rsidRPr="00C20287">
        <w:rPr>
          <w:color w:val="0D0D0D" w:themeColor="text1" w:themeTint="F2"/>
          <w:sz w:val="24"/>
          <w:szCs w:val="24"/>
        </w:rPr>
        <w:t>Existing CPPs that focus on patient services (such as medication management and review programs), are ongoing and demand driven. These programs would continue in their current form in the short term, and their reviews</w:t>
      </w:r>
      <w:r w:rsidR="00293CB5">
        <w:rPr>
          <w:color w:val="0D0D0D" w:themeColor="text1" w:themeTint="F2"/>
          <w:sz w:val="24"/>
          <w:szCs w:val="24"/>
        </w:rPr>
        <w:t xml:space="preserve"> would be</w:t>
      </w:r>
      <w:r w:rsidRPr="00C20287">
        <w:rPr>
          <w:color w:val="0D0D0D" w:themeColor="text1" w:themeTint="F2"/>
          <w:sz w:val="24"/>
          <w:szCs w:val="24"/>
        </w:rPr>
        <w:t xml:space="preserve"> prioritised and considered following the expiry of the 7CPA. As there would be no restrictions on timeframes due to a CPA agreement being in place, extensive collaboration with stakeholders could be undertaken. Consultations would include consideration of the scope of each of the existing CPPs separately and </w:t>
      </w:r>
      <w:r w:rsidRPr="00C20287">
        <w:rPr>
          <w:rFonts w:cstheme="minorHAnsi"/>
          <w:color w:val="0D0D0D" w:themeColor="text1" w:themeTint="F2"/>
          <w:sz w:val="24"/>
          <w:szCs w:val="24"/>
        </w:rPr>
        <w:t xml:space="preserve">enable the opportunity to develop </w:t>
      </w:r>
      <w:r w:rsidR="00F0365D">
        <w:rPr>
          <w:rFonts w:cstheme="minorHAnsi"/>
          <w:color w:val="0D0D0D" w:themeColor="text1" w:themeTint="F2"/>
          <w:sz w:val="24"/>
          <w:szCs w:val="24"/>
        </w:rPr>
        <w:t>q</w:t>
      </w:r>
      <w:r w:rsidRPr="00C20287">
        <w:rPr>
          <w:rFonts w:cstheme="minorHAnsi"/>
          <w:color w:val="0D0D0D" w:themeColor="text1" w:themeTint="F2"/>
          <w:sz w:val="24"/>
          <w:szCs w:val="24"/>
        </w:rPr>
        <w:t xml:space="preserve">uality and </w:t>
      </w:r>
      <w:r w:rsidR="00F0365D">
        <w:rPr>
          <w:rFonts w:cstheme="minorHAnsi"/>
          <w:color w:val="0D0D0D" w:themeColor="text1" w:themeTint="F2"/>
          <w:sz w:val="24"/>
          <w:szCs w:val="24"/>
        </w:rPr>
        <w:t>e</w:t>
      </w:r>
      <w:r w:rsidRPr="00C20287">
        <w:rPr>
          <w:rFonts w:cstheme="minorHAnsi"/>
          <w:color w:val="0D0D0D" w:themeColor="text1" w:themeTint="F2"/>
          <w:sz w:val="24"/>
          <w:szCs w:val="24"/>
        </w:rPr>
        <w:t xml:space="preserve">valuation </w:t>
      </w:r>
      <w:r w:rsidR="00F0365D">
        <w:rPr>
          <w:rFonts w:cstheme="minorHAnsi"/>
          <w:color w:val="0D0D0D" w:themeColor="text1" w:themeTint="F2"/>
          <w:sz w:val="24"/>
          <w:szCs w:val="24"/>
        </w:rPr>
        <w:t>f</w:t>
      </w:r>
      <w:r w:rsidRPr="00C20287">
        <w:rPr>
          <w:rFonts w:cstheme="minorHAnsi"/>
          <w:color w:val="0D0D0D" w:themeColor="text1" w:themeTint="F2"/>
          <w:sz w:val="24"/>
          <w:szCs w:val="24"/>
        </w:rPr>
        <w:t>ramework</w:t>
      </w:r>
      <w:r w:rsidR="009B444C">
        <w:rPr>
          <w:rFonts w:cstheme="minorHAnsi"/>
          <w:color w:val="0D0D0D" w:themeColor="text1" w:themeTint="F2"/>
          <w:sz w:val="24"/>
          <w:szCs w:val="24"/>
        </w:rPr>
        <w:t>s</w:t>
      </w:r>
      <w:r w:rsidRPr="00C20287">
        <w:rPr>
          <w:rFonts w:cstheme="minorHAnsi"/>
          <w:color w:val="0D0D0D" w:themeColor="text1" w:themeTint="F2"/>
          <w:sz w:val="24"/>
          <w:szCs w:val="24"/>
        </w:rPr>
        <w:t xml:space="preserve"> for these programs</w:t>
      </w:r>
      <w:r w:rsidRPr="00C20287">
        <w:rPr>
          <w:color w:val="0D0D0D" w:themeColor="text1" w:themeTint="F2"/>
          <w:sz w:val="24"/>
          <w:szCs w:val="24"/>
        </w:rPr>
        <w:t xml:space="preserve">. </w:t>
      </w:r>
    </w:p>
    <w:p w14:paraId="2705C61A" w14:textId="484828DF" w:rsidR="00F30056" w:rsidRPr="00E04259" w:rsidRDefault="00F30056" w:rsidP="00F30056">
      <w:pPr>
        <w:pStyle w:val="BodyText"/>
        <w:rPr>
          <w:rFonts w:cstheme="minorHAnsi"/>
          <w:color w:val="0D0D0D" w:themeColor="text1" w:themeTint="F2"/>
          <w:sz w:val="24"/>
          <w:szCs w:val="24"/>
        </w:rPr>
      </w:pPr>
      <w:r w:rsidRPr="00E04259">
        <w:rPr>
          <w:rFonts w:cstheme="minorHAnsi"/>
          <w:color w:val="0D0D0D" w:themeColor="text1" w:themeTint="F2"/>
          <w:sz w:val="24"/>
          <w:szCs w:val="24"/>
        </w:rPr>
        <w:t xml:space="preserve">Option 2 would provide limited opportunity for CPP reform as funding for existing CPPs would see </w:t>
      </w:r>
      <w:r w:rsidR="009B444C">
        <w:rPr>
          <w:rFonts w:cstheme="minorHAnsi"/>
          <w:color w:val="0D0D0D" w:themeColor="text1" w:themeTint="F2"/>
          <w:sz w:val="24"/>
          <w:szCs w:val="24"/>
        </w:rPr>
        <w:t>them</w:t>
      </w:r>
      <w:r w:rsidR="009B444C" w:rsidRPr="00E04259">
        <w:rPr>
          <w:rFonts w:cstheme="minorHAnsi"/>
          <w:color w:val="0D0D0D" w:themeColor="text1" w:themeTint="F2"/>
          <w:sz w:val="24"/>
          <w:szCs w:val="24"/>
        </w:rPr>
        <w:t xml:space="preserve"> </w:t>
      </w:r>
      <w:r w:rsidRPr="00E04259">
        <w:rPr>
          <w:rFonts w:cstheme="minorHAnsi"/>
          <w:color w:val="0D0D0D" w:themeColor="text1" w:themeTint="F2"/>
          <w:sz w:val="24"/>
          <w:szCs w:val="24"/>
        </w:rPr>
        <w:t>continue</w:t>
      </w:r>
      <w:r w:rsidR="00FE755A">
        <w:rPr>
          <w:rFonts w:cstheme="minorHAnsi"/>
          <w:color w:val="0D0D0D" w:themeColor="text1" w:themeTint="F2"/>
          <w:sz w:val="24"/>
          <w:szCs w:val="24"/>
        </w:rPr>
        <w:t xml:space="preserve"> to</w:t>
      </w:r>
      <w:r w:rsidRPr="00E04259">
        <w:rPr>
          <w:rFonts w:cstheme="minorHAnsi"/>
          <w:color w:val="0D0D0D" w:themeColor="text1" w:themeTint="F2"/>
          <w:sz w:val="24"/>
          <w:szCs w:val="24"/>
        </w:rPr>
        <w:t xml:space="preserve"> be outlined in an 8CPA</w:t>
      </w:r>
      <w:r w:rsidR="00F0365D">
        <w:rPr>
          <w:rFonts w:cstheme="minorHAnsi"/>
          <w:color w:val="0D0D0D" w:themeColor="text1" w:themeTint="F2"/>
          <w:sz w:val="24"/>
          <w:szCs w:val="24"/>
        </w:rPr>
        <w:t xml:space="preserve"> with minimal changes</w:t>
      </w:r>
      <w:r w:rsidRPr="00E04259">
        <w:rPr>
          <w:rFonts w:cstheme="minorHAnsi"/>
          <w:color w:val="0D0D0D" w:themeColor="text1" w:themeTint="F2"/>
          <w:sz w:val="24"/>
          <w:szCs w:val="24"/>
        </w:rPr>
        <w:t xml:space="preserve">. The Department would however seek to establish evaluation frameworks in consultation with stakeholders following the commencement of the 8CPA, noting that this may be more difficult to achieve once an agreement is already in place. </w:t>
      </w:r>
    </w:p>
    <w:p w14:paraId="238DAA97" w14:textId="3EA15DC7" w:rsidR="00F30056" w:rsidRPr="00C20287" w:rsidRDefault="00D00916" w:rsidP="00F30056">
      <w:pPr>
        <w:rPr>
          <w:rFonts w:cstheme="minorHAnsi"/>
          <w:color w:val="0D0D0D" w:themeColor="text1" w:themeTint="F2"/>
          <w:sz w:val="24"/>
          <w:szCs w:val="24"/>
        </w:rPr>
      </w:pPr>
      <w:r>
        <w:rPr>
          <w:color w:val="0D0D0D" w:themeColor="text1" w:themeTint="F2"/>
          <w:sz w:val="24"/>
          <w:szCs w:val="24"/>
        </w:rPr>
        <w:t>O</w:t>
      </w:r>
      <w:r w:rsidRPr="00C20287">
        <w:rPr>
          <w:color w:val="0D0D0D" w:themeColor="text1" w:themeTint="F2"/>
          <w:sz w:val="24"/>
          <w:szCs w:val="24"/>
        </w:rPr>
        <w:t>ption</w:t>
      </w:r>
      <w:r>
        <w:rPr>
          <w:color w:val="0D0D0D" w:themeColor="text1" w:themeTint="F2"/>
          <w:sz w:val="24"/>
          <w:szCs w:val="24"/>
        </w:rPr>
        <w:t xml:space="preserve"> 3</w:t>
      </w:r>
      <w:r w:rsidR="00D30234">
        <w:rPr>
          <w:color w:val="0D0D0D" w:themeColor="text1" w:themeTint="F2"/>
          <w:sz w:val="24"/>
          <w:szCs w:val="24"/>
        </w:rPr>
        <w:t xml:space="preserve"> would see </w:t>
      </w:r>
      <w:r w:rsidR="00D30234">
        <w:rPr>
          <w:sz w:val="24"/>
          <w:szCs w:val="24"/>
        </w:rPr>
        <w:t xml:space="preserve">only </w:t>
      </w:r>
      <w:r w:rsidR="00D30234" w:rsidRPr="00C20287">
        <w:rPr>
          <w:sz w:val="24"/>
          <w:szCs w:val="24"/>
        </w:rPr>
        <w:t xml:space="preserve">pharmacy programs </w:t>
      </w:r>
      <w:r w:rsidR="00D30234">
        <w:rPr>
          <w:sz w:val="24"/>
          <w:szCs w:val="24"/>
        </w:rPr>
        <w:t>delivered directly through community pharmacies included in an 8CPA</w:t>
      </w:r>
      <w:r w:rsidRPr="00C20287">
        <w:rPr>
          <w:color w:val="0D0D0D" w:themeColor="text1" w:themeTint="F2"/>
          <w:sz w:val="24"/>
          <w:szCs w:val="24"/>
        </w:rPr>
        <w:t xml:space="preserve"> </w:t>
      </w:r>
      <w:r w:rsidR="00316106">
        <w:rPr>
          <w:color w:val="0D0D0D" w:themeColor="text1" w:themeTint="F2"/>
          <w:sz w:val="24"/>
          <w:szCs w:val="24"/>
        </w:rPr>
        <w:t xml:space="preserve">which would include </w:t>
      </w:r>
      <w:r w:rsidR="00D30234">
        <w:rPr>
          <w:color w:val="0D0D0D" w:themeColor="text1" w:themeTint="F2"/>
          <w:sz w:val="24"/>
          <w:szCs w:val="24"/>
        </w:rPr>
        <w:t xml:space="preserve">a commitment to </w:t>
      </w:r>
      <w:r w:rsidRPr="00C20287">
        <w:rPr>
          <w:color w:val="0D0D0D" w:themeColor="text1" w:themeTint="F2"/>
          <w:sz w:val="24"/>
          <w:szCs w:val="24"/>
        </w:rPr>
        <w:t xml:space="preserve">the establishment </w:t>
      </w:r>
      <w:r w:rsidR="00AA74EE">
        <w:rPr>
          <w:color w:val="0D0D0D" w:themeColor="text1" w:themeTint="F2"/>
          <w:sz w:val="24"/>
          <w:szCs w:val="24"/>
        </w:rPr>
        <w:t xml:space="preserve">of </w:t>
      </w:r>
      <w:r w:rsidRPr="00C20287">
        <w:rPr>
          <w:color w:val="0D0D0D" w:themeColor="text1" w:themeTint="F2"/>
          <w:sz w:val="24"/>
          <w:szCs w:val="24"/>
        </w:rPr>
        <w:t xml:space="preserve">a corresponding </w:t>
      </w:r>
      <w:r w:rsidR="00316106">
        <w:rPr>
          <w:color w:val="0D0D0D" w:themeColor="text1" w:themeTint="F2"/>
          <w:sz w:val="24"/>
          <w:szCs w:val="24"/>
        </w:rPr>
        <w:t>q</w:t>
      </w:r>
      <w:r w:rsidRPr="00C20287">
        <w:rPr>
          <w:color w:val="0D0D0D" w:themeColor="text1" w:themeTint="F2"/>
          <w:sz w:val="24"/>
          <w:szCs w:val="24"/>
        </w:rPr>
        <w:t xml:space="preserve">uality and </w:t>
      </w:r>
      <w:r w:rsidR="00316106">
        <w:rPr>
          <w:color w:val="0D0D0D" w:themeColor="text1" w:themeTint="F2"/>
          <w:sz w:val="24"/>
          <w:szCs w:val="24"/>
        </w:rPr>
        <w:t>e</w:t>
      </w:r>
      <w:r w:rsidRPr="00C20287">
        <w:rPr>
          <w:color w:val="0D0D0D" w:themeColor="text1" w:themeTint="F2"/>
          <w:sz w:val="24"/>
          <w:szCs w:val="24"/>
        </w:rPr>
        <w:t xml:space="preserve">valuation </w:t>
      </w:r>
      <w:r w:rsidR="00316106">
        <w:rPr>
          <w:color w:val="0D0D0D" w:themeColor="text1" w:themeTint="F2"/>
          <w:sz w:val="24"/>
          <w:szCs w:val="24"/>
        </w:rPr>
        <w:t>f</w:t>
      </w:r>
      <w:r w:rsidRPr="00C20287">
        <w:rPr>
          <w:color w:val="0D0D0D" w:themeColor="text1" w:themeTint="F2"/>
          <w:sz w:val="24"/>
          <w:szCs w:val="24"/>
        </w:rPr>
        <w:t>ramework</w:t>
      </w:r>
      <w:r w:rsidR="00D30234">
        <w:rPr>
          <w:color w:val="0D0D0D" w:themeColor="text1" w:themeTint="F2"/>
          <w:sz w:val="24"/>
          <w:szCs w:val="24"/>
        </w:rPr>
        <w:t xml:space="preserve"> for each of these programs</w:t>
      </w:r>
      <w:r w:rsidRPr="00C20287">
        <w:rPr>
          <w:color w:val="0D0D0D" w:themeColor="text1" w:themeTint="F2"/>
          <w:sz w:val="24"/>
          <w:szCs w:val="24"/>
        </w:rPr>
        <w:t>. This would include the appropriate collection of health outcome data to further inform future program development</w:t>
      </w:r>
      <w:r>
        <w:rPr>
          <w:color w:val="0D0D0D" w:themeColor="text1" w:themeTint="F2"/>
          <w:sz w:val="24"/>
          <w:szCs w:val="24"/>
        </w:rPr>
        <w:t xml:space="preserve"> </w:t>
      </w:r>
      <w:r w:rsidRPr="009A6045">
        <w:rPr>
          <w:color w:val="0D0D0D" w:themeColor="text1" w:themeTint="F2"/>
          <w:sz w:val="24"/>
          <w:szCs w:val="24"/>
        </w:rPr>
        <w:t xml:space="preserve">and better inform the extent to which the objectives of </w:t>
      </w:r>
      <w:r>
        <w:rPr>
          <w:color w:val="0D0D0D" w:themeColor="text1" w:themeTint="F2"/>
          <w:sz w:val="24"/>
          <w:szCs w:val="24"/>
        </w:rPr>
        <w:t xml:space="preserve">each program </w:t>
      </w:r>
      <w:r w:rsidRPr="009A6045">
        <w:rPr>
          <w:color w:val="0D0D0D" w:themeColor="text1" w:themeTint="F2"/>
          <w:sz w:val="24"/>
          <w:szCs w:val="24"/>
        </w:rPr>
        <w:t>have been met</w:t>
      </w:r>
      <w:r w:rsidRPr="00C20287">
        <w:rPr>
          <w:color w:val="0D0D0D" w:themeColor="text1" w:themeTint="F2"/>
          <w:sz w:val="24"/>
          <w:szCs w:val="24"/>
        </w:rPr>
        <w:t>.</w:t>
      </w:r>
      <w:r w:rsidR="00D30234" w:rsidRPr="00D30234">
        <w:rPr>
          <w:color w:val="0D0D0D" w:themeColor="text1" w:themeTint="F2"/>
          <w:sz w:val="24"/>
          <w:szCs w:val="24"/>
        </w:rPr>
        <w:t xml:space="preserve"> </w:t>
      </w:r>
      <w:r w:rsidR="00D30234">
        <w:rPr>
          <w:color w:val="0D0D0D" w:themeColor="text1" w:themeTint="F2"/>
          <w:sz w:val="24"/>
          <w:szCs w:val="24"/>
        </w:rPr>
        <w:t xml:space="preserve">This approach would also allow </w:t>
      </w:r>
      <w:r w:rsidR="00D30234" w:rsidRPr="00C20287">
        <w:rPr>
          <w:color w:val="0D0D0D" w:themeColor="text1" w:themeTint="F2"/>
          <w:sz w:val="24"/>
          <w:szCs w:val="24"/>
        </w:rPr>
        <w:t xml:space="preserve">for the implementation of </w:t>
      </w:r>
      <w:r w:rsidR="00D30234">
        <w:rPr>
          <w:color w:val="0D0D0D" w:themeColor="text1" w:themeTint="F2"/>
          <w:sz w:val="24"/>
          <w:szCs w:val="24"/>
        </w:rPr>
        <w:t xml:space="preserve">separate </w:t>
      </w:r>
      <w:r w:rsidR="00D30234" w:rsidRPr="00C20287">
        <w:rPr>
          <w:color w:val="0D0D0D" w:themeColor="text1" w:themeTint="F2"/>
          <w:sz w:val="24"/>
          <w:szCs w:val="24"/>
        </w:rPr>
        <w:t>pharmacy program</w:t>
      </w:r>
      <w:r w:rsidR="00D30234">
        <w:rPr>
          <w:color w:val="0D0D0D" w:themeColor="text1" w:themeTint="F2"/>
          <w:sz w:val="24"/>
          <w:szCs w:val="24"/>
        </w:rPr>
        <w:t xml:space="preserve"> and services arrangements in relation to the other CPPs. </w:t>
      </w:r>
    </w:p>
    <w:p w14:paraId="02728091" w14:textId="2BE8647D" w:rsidR="009E3E9A" w:rsidRDefault="009E3E9A" w:rsidP="009E3E9A">
      <w:pPr>
        <w:spacing w:before="60" w:after="0" w:line="240" w:lineRule="auto"/>
        <w:rPr>
          <w:color w:val="0D0D0D" w:themeColor="text1" w:themeTint="F2"/>
          <w:sz w:val="24"/>
          <w:szCs w:val="24"/>
        </w:rPr>
      </w:pPr>
      <w:r w:rsidRPr="00C20287">
        <w:rPr>
          <w:color w:val="0D0D0D" w:themeColor="text1" w:themeTint="F2"/>
          <w:sz w:val="24"/>
          <w:szCs w:val="24"/>
        </w:rPr>
        <w:t xml:space="preserve">A summary of the overall </w:t>
      </w:r>
      <w:r w:rsidR="00A0125C">
        <w:rPr>
          <w:color w:val="0D0D0D" w:themeColor="text1" w:themeTint="F2"/>
          <w:sz w:val="24"/>
          <w:szCs w:val="24"/>
        </w:rPr>
        <w:t>net</w:t>
      </w:r>
      <w:r w:rsidRPr="00C20287">
        <w:rPr>
          <w:color w:val="0D0D0D" w:themeColor="text1" w:themeTint="F2"/>
          <w:sz w:val="24"/>
          <w:szCs w:val="24"/>
        </w:rPr>
        <w:t xml:space="preserve"> benefit for</w:t>
      </w:r>
      <w:r w:rsidR="00A0125C">
        <w:rPr>
          <w:color w:val="0D0D0D" w:themeColor="text1" w:themeTint="F2"/>
          <w:sz w:val="24"/>
          <w:szCs w:val="24"/>
        </w:rPr>
        <w:t xml:space="preserve"> each objective is presented </w:t>
      </w:r>
      <w:r w:rsidR="00A0125C" w:rsidRPr="00A0125C">
        <w:rPr>
          <w:color w:val="0D0D0D" w:themeColor="text1" w:themeTint="F2"/>
          <w:sz w:val="24"/>
          <w:szCs w:val="24"/>
        </w:rPr>
        <w:t xml:space="preserve">in </w:t>
      </w:r>
      <w:r w:rsidR="00A0125C" w:rsidRPr="00A0125C">
        <w:rPr>
          <w:color w:val="0D0D0D" w:themeColor="text1" w:themeTint="F2"/>
          <w:sz w:val="24"/>
          <w:szCs w:val="24"/>
        </w:rPr>
        <w:fldChar w:fldCharType="begin"/>
      </w:r>
      <w:r w:rsidR="00A0125C" w:rsidRPr="00A0125C">
        <w:rPr>
          <w:color w:val="0D0D0D" w:themeColor="text1" w:themeTint="F2"/>
          <w:sz w:val="24"/>
          <w:szCs w:val="24"/>
        </w:rPr>
        <w:instrText xml:space="preserve"> REF _Ref160012169 \h </w:instrText>
      </w:r>
      <w:r w:rsidR="00A0125C">
        <w:rPr>
          <w:color w:val="0D0D0D" w:themeColor="text1" w:themeTint="F2"/>
          <w:sz w:val="24"/>
          <w:szCs w:val="24"/>
        </w:rPr>
        <w:instrText xml:space="preserve"> \* MERGEFORMAT </w:instrText>
      </w:r>
      <w:r w:rsidR="00A0125C" w:rsidRPr="00A0125C">
        <w:rPr>
          <w:color w:val="0D0D0D" w:themeColor="text1" w:themeTint="F2"/>
          <w:sz w:val="24"/>
          <w:szCs w:val="24"/>
        </w:rPr>
      </w:r>
      <w:r w:rsidR="00A0125C" w:rsidRPr="00A0125C">
        <w:rPr>
          <w:color w:val="0D0D0D" w:themeColor="text1" w:themeTint="F2"/>
          <w:sz w:val="24"/>
          <w:szCs w:val="24"/>
        </w:rPr>
        <w:fldChar w:fldCharType="separate"/>
      </w:r>
      <w:r w:rsidR="00A0125C" w:rsidRPr="0095671A">
        <w:rPr>
          <w:sz w:val="24"/>
          <w:szCs w:val="24"/>
        </w:rPr>
        <w:t xml:space="preserve">Table </w:t>
      </w:r>
      <w:r w:rsidR="00A0125C" w:rsidRPr="0095671A">
        <w:rPr>
          <w:noProof/>
          <w:sz w:val="24"/>
          <w:szCs w:val="24"/>
        </w:rPr>
        <w:t>15</w:t>
      </w:r>
      <w:r w:rsidR="00A0125C" w:rsidRPr="00A0125C">
        <w:rPr>
          <w:color w:val="0D0D0D" w:themeColor="text1" w:themeTint="F2"/>
          <w:sz w:val="24"/>
          <w:szCs w:val="24"/>
        </w:rPr>
        <w:fldChar w:fldCharType="end"/>
      </w:r>
      <w:r w:rsidR="00A0125C">
        <w:rPr>
          <w:color w:val="0D0D0D" w:themeColor="text1" w:themeTint="F2"/>
          <w:sz w:val="24"/>
          <w:szCs w:val="24"/>
        </w:rPr>
        <w:t>.</w:t>
      </w:r>
    </w:p>
    <w:p w14:paraId="709232CB" w14:textId="54F09C53" w:rsidR="00A0125C" w:rsidRDefault="00A0125C" w:rsidP="00A0125C">
      <w:pPr>
        <w:pStyle w:val="Caption"/>
      </w:pPr>
      <w:bookmarkStart w:id="78" w:name="_Ref160012169"/>
      <w:r>
        <w:t xml:space="preserve">Table </w:t>
      </w:r>
      <w:fldSimple w:instr=" SEQ Table \* ARABIC ">
        <w:r>
          <w:rPr>
            <w:noProof/>
          </w:rPr>
          <w:t>15</w:t>
        </w:r>
      </w:fldSimple>
      <w:bookmarkEnd w:id="78"/>
      <w:r>
        <w:t xml:space="preserve">. </w:t>
      </w:r>
      <w:r w:rsidRPr="00FC2E80">
        <w:t xml:space="preserve">Net benefit analysis </w:t>
      </w:r>
      <w:r>
        <w:t>of each option</w:t>
      </w:r>
    </w:p>
    <w:tbl>
      <w:tblPr>
        <w:tblW w:w="5000" w:type="pct"/>
        <w:tblCellMar>
          <w:left w:w="0" w:type="dxa"/>
          <w:right w:w="0" w:type="dxa"/>
        </w:tblCellMar>
        <w:tblLook w:val="0420" w:firstRow="1" w:lastRow="0" w:firstColumn="0" w:lastColumn="0" w:noHBand="0" w:noVBand="1"/>
      </w:tblPr>
      <w:tblGrid>
        <w:gridCol w:w="2371"/>
        <w:gridCol w:w="2613"/>
        <w:gridCol w:w="2660"/>
        <w:gridCol w:w="2540"/>
      </w:tblGrid>
      <w:tr w:rsidR="00CD4142" w:rsidRPr="00A27F28" w14:paraId="168641CC" w14:textId="77777777" w:rsidTr="0095671A">
        <w:tc>
          <w:tcPr>
            <w:tcW w:w="1164"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tcPr>
          <w:p w14:paraId="2F614C02" w14:textId="7AD93CAB" w:rsidR="00CD4142" w:rsidRPr="00CD4142" w:rsidRDefault="00CD4142" w:rsidP="00A27F28">
            <w:pPr>
              <w:rPr>
                <w:rFonts w:cstheme="minorHAnsi"/>
                <w:b/>
                <w:color w:val="0D0D0D" w:themeColor="text1" w:themeTint="F2"/>
              </w:rPr>
            </w:pPr>
            <w:r w:rsidRPr="00CD4142">
              <w:rPr>
                <w:rFonts w:cstheme="minorHAnsi"/>
                <w:b/>
                <w:color w:val="0D0D0D" w:themeColor="text1" w:themeTint="F2"/>
              </w:rPr>
              <w:t>Objective</w:t>
            </w:r>
          </w:p>
        </w:tc>
        <w:tc>
          <w:tcPr>
            <w:tcW w:w="1283"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tcPr>
          <w:p w14:paraId="42ADB155" w14:textId="27E279F3" w:rsidR="00CD4142" w:rsidRPr="00CD4142" w:rsidRDefault="00CD4142" w:rsidP="00A27F28">
            <w:pPr>
              <w:rPr>
                <w:rFonts w:cstheme="minorHAnsi"/>
                <w:b/>
                <w:color w:val="0D0D0D" w:themeColor="text1" w:themeTint="F2"/>
              </w:rPr>
            </w:pPr>
            <w:r w:rsidRPr="00CD4142">
              <w:rPr>
                <w:rFonts w:cstheme="minorHAnsi"/>
                <w:b/>
                <w:color w:val="0D0D0D" w:themeColor="text1" w:themeTint="F2"/>
              </w:rPr>
              <w:t>Option 1</w:t>
            </w:r>
          </w:p>
        </w:tc>
        <w:tc>
          <w:tcPr>
            <w:tcW w:w="1306"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tcPr>
          <w:p w14:paraId="1C78E418" w14:textId="7788BEB0" w:rsidR="00CD4142" w:rsidRPr="00CD4142" w:rsidRDefault="00CD4142" w:rsidP="00A27F28">
            <w:pPr>
              <w:rPr>
                <w:rFonts w:cstheme="minorHAnsi"/>
                <w:b/>
                <w:color w:val="0D0D0D" w:themeColor="text1" w:themeTint="F2"/>
              </w:rPr>
            </w:pPr>
            <w:r w:rsidRPr="00CD4142">
              <w:rPr>
                <w:rFonts w:cstheme="minorHAnsi"/>
                <w:b/>
                <w:color w:val="0D0D0D" w:themeColor="text1" w:themeTint="F2"/>
              </w:rPr>
              <w:t>Option 2</w:t>
            </w:r>
          </w:p>
        </w:tc>
        <w:tc>
          <w:tcPr>
            <w:tcW w:w="1247"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tcPr>
          <w:p w14:paraId="64D33ADE" w14:textId="058A1748" w:rsidR="00CD4142" w:rsidRPr="00CD4142" w:rsidRDefault="00CD4142" w:rsidP="00A27F28">
            <w:pPr>
              <w:rPr>
                <w:rFonts w:cstheme="minorHAnsi"/>
                <w:b/>
                <w:color w:val="0D0D0D" w:themeColor="text1" w:themeTint="F2"/>
              </w:rPr>
            </w:pPr>
            <w:r w:rsidRPr="00CD4142">
              <w:rPr>
                <w:rFonts w:cstheme="minorHAnsi"/>
                <w:b/>
                <w:color w:val="0D0D0D" w:themeColor="text1" w:themeTint="F2"/>
              </w:rPr>
              <w:t>Option 3</w:t>
            </w:r>
          </w:p>
        </w:tc>
      </w:tr>
      <w:tr w:rsidR="00A27F28" w:rsidRPr="00A27F28" w14:paraId="4F43E8E2" w14:textId="77777777" w:rsidTr="0095671A">
        <w:trPr>
          <w:trHeight w:val="921"/>
        </w:trPr>
        <w:tc>
          <w:tcPr>
            <w:tcW w:w="1164"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3EC4E6B3" w14:textId="77777777" w:rsidR="00A27F28" w:rsidRDefault="00A27F28" w:rsidP="00A27F28">
            <w:pPr>
              <w:rPr>
                <w:rFonts w:cstheme="minorHAnsi"/>
                <w:color w:val="0D0D0D" w:themeColor="text1" w:themeTint="F2"/>
              </w:rPr>
            </w:pPr>
            <w:r w:rsidRPr="00FF4C3F">
              <w:rPr>
                <w:rFonts w:cstheme="minorHAnsi"/>
                <w:b/>
                <w:color w:val="0D0D0D" w:themeColor="text1" w:themeTint="F2"/>
              </w:rPr>
              <w:t>Person-Centred Dispensing:</w:t>
            </w:r>
            <w:r w:rsidRPr="00FF4C3F">
              <w:rPr>
                <w:rFonts w:cstheme="minorHAnsi"/>
                <w:color w:val="0D0D0D" w:themeColor="text1" w:themeTint="F2"/>
              </w:rPr>
              <w:t xml:space="preserve"> </w:t>
            </w:r>
          </w:p>
          <w:p w14:paraId="32D023A2" w14:textId="787BC1C0"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Consumers are able to access detailed, timely and </w:t>
            </w:r>
            <w:r w:rsidRPr="00FF4C3F">
              <w:rPr>
                <w:rFonts w:cstheme="minorHAnsi"/>
                <w:color w:val="0D0D0D" w:themeColor="text1" w:themeTint="F2"/>
              </w:rPr>
              <w:lastRenderedPageBreak/>
              <w:t>easy-to-understand information on the safe use of PBS medicines.</w:t>
            </w:r>
          </w:p>
        </w:tc>
        <w:tc>
          <w:tcPr>
            <w:tcW w:w="1283"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75F3DC1C" w14:textId="0D63CB35" w:rsidR="00A27F28" w:rsidRPr="00FF4C3F" w:rsidDel="00B90FB5" w:rsidRDefault="00B90FB5" w:rsidP="00A27F28">
            <w:pPr>
              <w:rPr>
                <w:rFonts w:cstheme="minorHAnsi"/>
                <w:color w:val="0D0D0D" w:themeColor="text1" w:themeTint="F2"/>
              </w:rPr>
            </w:pPr>
            <w:r w:rsidRPr="00FF4C3F">
              <w:rPr>
                <w:rFonts w:cstheme="minorHAnsi"/>
                <w:color w:val="0D0D0D" w:themeColor="text1" w:themeTint="F2"/>
              </w:rPr>
              <w:lastRenderedPageBreak/>
              <w:t>Fully (4)</w:t>
            </w:r>
          </w:p>
          <w:p w14:paraId="27500B58"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Remuneration for dispensing should continue to support pharmacist consultation with </w:t>
            </w:r>
            <w:r w:rsidRPr="00FF4C3F">
              <w:rPr>
                <w:rFonts w:cstheme="minorHAnsi"/>
                <w:color w:val="0D0D0D" w:themeColor="text1" w:themeTint="F2"/>
              </w:rPr>
              <w:lastRenderedPageBreak/>
              <w:t xml:space="preserve">the person receiving the dispensed medicine. This includes providing drug safety and care instructions for the recipient. </w:t>
            </w:r>
          </w:p>
        </w:tc>
        <w:tc>
          <w:tcPr>
            <w:tcW w:w="1306"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44CFFB78" w14:textId="487761C8" w:rsidR="00A27F28" w:rsidRPr="00FF4C3F" w:rsidDel="00B90FB5" w:rsidRDefault="00B90FB5" w:rsidP="00A27F28">
            <w:pPr>
              <w:rPr>
                <w:rFonts w:cstheme="minorHAnsi"/>
                <w:color w:val="0D0D0D" w:themeColor="text1" w:themeTint="F2"/>
              </w:rPr>
            </w:pPr>
            <w:r w:rsidRPr="00FF4C3F">
              <w:rPr>
                <w:rFonts w:cstheme="minorHAnsi"/>
                <w:color w:val="0D0D0D" w:themeColor="text1" w:themeTint="F2"/>
              </w:rPr>
              <w:lastRenderedPageBreak/>
              <w:t>Fully (4)</w:t>
            </w:r>
          </w:p>
          <w:p w14:paraId="79EF15E3"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Remuneration for dispensing should continue to support pharmacist consultation with </w:t>
            </w:r>
            <w:r w:rsidRPr="00FF4C3F">
              <w:rPr>
                <w:rFonts w:cstheme="minorHAnsi"/>
                <w:color w:val="0D0D0D" w:themeColor="text1" w:themeTint="F2"/>
              </w:rPr>
              <w:lastRenderedPageBreak/>
              <w:t xml:space="preserve">the person receiving the dispensed medicine. This includes providing drug safety and care instructions for the recipient. </w:t>
            </w:r>
          </w:p>
        </w:tc>
        <w:tc>
          <w:tcPr>
            <w:tcW w:w="1247" w:type="pct"/>
            <w:tcBorders>
              <w:top w:val="single" w:sz="24"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6427A9DC" w14:textId="26EF11F8" w:rsidR="00A27F28" w:rsidRPr="00FF4C3F" w:rsidDel="00B90FB5" w:rsidRDefault="00B90FB5" w:rsidP="00A27F28">
            <w:pPr>
              <w:rPr>
                <w:rFonts w:cstheme="minorHAnsi"/>
                <w:color w:val="0D0D0D" w:themeColor="text1" w:themeTint="F2"/>
              </w:rPr>
            </w:pPr>
            <w:r w:rsidRPr="00FF4C3F">
              <w:rPr>
                <w:rFonts w:cstheme="minorHAnsi"/>
                <w:color w:val="0D0D0D" w:themeColor="text1" w:themeTint="F2"/>
              </w:rPr>
              <w:lastRenderedPageBreak/>
              <w:t>Fully (4)</w:t>
            </w:r>
          </w:p>
          <w:p w14:paraId="60AC5BA0"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Remuneration for dispensing should continue to support pharmacist consultation with </w:t>
            </w:r>
            <w:r w:rsidRPr="00FF4C3F">
              <w:rPr>
                <w:rFonts w:cstheme="minorHAnsi"/>
                <w:color w:val="0D0D0D" w:themeColor="text1" w:themeTint="F2"/>
              </w:rPr>
              <w:lastRenderedPageBreak/>
              <w:t xml:space="preserve">the person receiving the dispensed medicine. This includes providing drug safety and care instructions for the recipient. </w:t>
            </w:r>
          </w:p>
        </w:tc>
      </w:tr>
      <w:tr w:rsidR="00A27F28" w:rsidRPr="00A27F28" w14:paraId="3C6C65A2" w14:textId="77777777" w:rsidTr="0095671A">
        <w:trPr>
          <w:trHeight w:val="1024"/>
        </w:trPr>
        <w:tc>
          <w:tcPr>
            <w:tcW w:w="1164"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7B4A052F" w14:textId="77777777" w:rsidR="00A27F28" w:rsidRPr="00FF4C3F" w:rsidRDefault="00A27F28" w:rsidP="00A27F28">
            <w:pPr>
              <w:rPr>
                <w:rFonts w:cstheme="minorHAnsi"/>
                <w:color w:val="0D0D0D" w:themeColor="text1" w:themeTint="F2"/>
              </w:rPr>
            </w:pPr>
            <w:r w:rsidRPr="00FF4C3F">
              <w:rPr>
                <w:rFonts w:cstheme="minorHAnsi"/>
                <w:b/>
                <w:color w:val="0D0D0D" w:themeColor="text1" w:themeTint="F2"/>
              </w:rPr>
              <w:lastRenderedPageBreak/>
              <w:t>Person-Centred Programs:</w:t>
            </w:r>
            <w:r w:rsidRPr="00FF4C3F">
              <w:rPr>
                <w:rFonts w:cstheme="minorHAnsi"/>
                <w:color w:val="0D0D0D" w:themeColor="text1" w:themeTint="F2"/>
              </w:rPr>
              <w:t xml:space="preserve"> Consumers and consumer perspectives inform the design of CPPs and further enhance health and medical literacy.  </w:t>
            </w:r>
          </w:p>
          <w:p w14:paraId="61B5C92B"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w:t>
            </w:r>
          </w:p>
        </w:tc>
        <w:tc>
          <w:tcPr>
            <w:tcW w:w="1283"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15F36272"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Somewhat (2)</w:t>
            </w:r>
          </w:p>
          <w:p w14:paraId="35147180" w14:textId="79065931" w:rsidR="00A27F28" w:rsidRPr="00FF4C3F" w:rsidRDefault="00A27F28" w:rsidP="00D30234">
            <w:pPr>
              <w:rPr>
                <w:rFonts w:cstheme="minorHAnsi"/>
                <w:color w:val="0D0D0D" w:themeColor="text1" w:themeTint="F2"/>
              </w:rPr>
            </w:pPr>
            <w:r w:rsidRPr="00FF4C3F">
              <w:rPr>
                <w:rFonts w:cstheme="minorHAnsi"/>
                <w:color w:val="0D0D0D" w:themeColor="text1" w:themeTint="F2"/>
              </w:rPr>
              <w:t>Provides an opportunity for the development of better targeted CPPs through extensive consultation with consumer groups and a broader range of stakeholders. However pharmacy stakeholders may be less willing to engage in program design until after a PBRT decision is made</w:t>
            </w:r>
            <w:r w:rsidR="00D856E2">
              <w:rPr>
                <w:rFonts w:cstheme="minorHAnsi"/>
                <w:color w:val="0D0D0D" w:themeColor="text1" w:themeTint="F2"/>
              </w:rPr>
              <w:t xml:space="preserve"> due to a lack of certainty over future dispensing remuneration</w:t>
            </w:r>
            <w:r w:rsidRPr="00FF4C3F">
              <w:rPr>
                <w:rFonts w:cstheme="minorHAnsi"/>
                <w:color w:val="0D0D0D" w:themeColor="text1" w:themeTint="F2"/>
              </w:rPr>
              <w:t>.</w:t>
            </w:r>
          </w:p>
        </w:tc>
        <w:tc>
          <w:tcPr>
            <w:tcW w:w="1306"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6C531D47"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Not at all (1)</w:t>
            </w:r>
          </w:p>
          <w:p w14:paraId="4B972E92" w14:textId="39513FCF" w:rsidR="00A27F28" w:rsidRPr="00FF4C3F" w:rsidRDefault="00D30234" w:rsidP="00A27F28">
            <w:pPr>
              <w:rPr>
                <w:rFonts w:cstheme="minorHAnsi"/>
                <w:color w:val="0D0D0D" w:themeColor="text1" w:themeTint="F2"/>
              </w:rPr>
            </w:pPr>
            <w:r>
              <w:rPr>
                <w:rFonts w:cstheme="minorHAnsi"/>
                <w:color w:val="0D0D0D" w:themeColor="text1" w:themeTint="F2"/>
              </w:rPr>
              <w:t>All e</w:t>
            </w:r>
            <w:r w:rsidR="00A27F28" w:rsidRPr="00FF4C3F">
              <w:rPr>
                <w:rFonts w:cstheme="minorHAnsi"/>
                <w:color w:val="0D0D0D" w:themeColor="text1" w:themeTint="F2"/>
              </w:rPr>
              <w:t xml:space="preserve">xisting CPPs would continue to be negotiated within the CPA without direct input from consumers or consumer groups. </w:t>
            </w:r>
          </w:p>
          <w:p w14:paraId="01E26199"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w:t>
            </w:r>
          </w:p>
        </w:tc>
        <w:tc>
          <w:tcPr>
            <w:tcW w:w="1247"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64C6D3CA"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Fully (4)</w:t>
            </w:r>
          </w:p>
          <w:p w14:paraId="336731ED" w14:textId="25DC7F45" w:rsidR="00A27F28" w:rsidRDefault="006407F0" w:rsidP="005113F5">
            <w:pPr>
              <w:rPr>
                <w:rFonts w:cstheme="minorHAnsi"/>
                <w:color w:val="0D0D0D" w:themeColor="text1" w:themeTint="F2"/>
              </w:rPr>
            </w:pPr>
            <w:r>
              <w:rPr>
                <w:rFonts w:cstheme="minorHAnsi"/>
                <w:color w:val="0D0D0D" w:themeColor="text1" w:themeTint="F2"/>
              </w:rPr>
              <w:t xml:space="preserve">Evaluation frameworks </w:t>
            </w:r>
            <w:r w:rsidR="005113F5">
              <w:rPr>
                <w:rFonts w:cstheme="minorHAnsi"/>
                <w:color w:val="0D0D0D" w:themeColor="text1" w:themeTint="F2"/>
              </w:rPr>
              <w:t xml:space="preserve">would be established for all </w:t>
            </w:r>
            <w:r>
              <w:rPr>
                <w:rFonts w:cstheme="minorHAnsi"/>
                <w:color w:val="0D0D0D" w:themeColor="text1" w:themeTint="F2"/>
              </w:rPr>
              <w:t>CPPs in the CPA</w:t>
            </w:r>
            <w:r w:rsidR="005113F5">
              <w:rPr>
                <w:rFonts w:cstheme="minorHAnsi"/>
                <w:color w:val="0D0D0D" w:themeColor="text1" w:themeTint="F2"/>
              </w:rPr>
              <w:t xml:space="preserve"> </w:t>
            </w:r>
            <w:r>
              <w:rPr>
                <w:rFonts w:cstheme="minorHAnsi"/>
                <w:color w:val="0D0D0D" w:themeColor="text1" w:themeTint="F2"/>
              </w:rPr>
              <w:t xml:space="preserve">and </w:t>
            </w:r>
            <w:r w:rsidR="005113F5">
              <w:rPr>
                <w:rFonts w:cstheme="minorHAnsi"/>
                <w:color w:val="0D0D0D" w:themeColor="text1" w:themeTint="F2"/>
              </w:rPr>
              <w:t xml:space="preserve">inform consideration of future </w:t>
            </w:r>
            <w:r>
              <w:rPr>
                <w:rFonts w:cstheme="minorHAnsi"/>
                <w:color w:val="0D0D0D" w:themeColor="text1" w:themeTint="F2"/>
              </w:rPr>
              <w:t>changes to improve patient outcomes</w:t>
            </w:r>
            <w:r w:rsidR="005113F5">
              <w:rPr>
                <w:rFonts w:cstheme="minorHAnsi"/>
                <w:color w:val="0D0D0D" w:themeColor="text1" w:themeTint="F2"/>
              </w:rPr>
              <w:t>.</w:t>
            </w:r>
          </w:p>
          <w:p w14:paraId="0BE2321B" w14:textId="77777777" w:rsidR="00D30234" w:rsidRDefault="005113F5" w:rsidP="00F15697">
            <w:pPr>
              <w:rPr>
                <w:rFonts w:cstheme="minorHAnsi"/>
                <w:color w:val="0D0D0D" w:themeColor="text1" w:themeTint="F2"/>
              </w:rPr>
            </w:pPr>
            <w:r w:rsidRPr="00B804E4">
              <w:rPr>
                <w:rFonts w:cstheme="minorHAnsi"/>
                <w:color w:val="0D0D0D" w:themeColor="text1" w:themeTint="F2"/>
              </w:rPr>
              <w:t>Input from consumers and consumer groups would be incorporated into the design and evaluation of CPPs to ensure they are better targeted to meet the needs of consumers</w:t>
            </w:r>
            <w:r w:rsidR="00D30234">
              <w:rPr>
                <w:rFonts w:cstheme="minorHAnsi"/>
                <w:color w:val="0D0D0D" w:themeColor="text1" w:themeTint="F2"/>
              </w:rPr>
              <w:t>.</w:t>
            </w:r>
            <w:r w:rsidR="00D30234" w:rsidRPr="00B804E4">
              <w:rPr>
                <w:rFonts w:cstheme="minorHAnsi"/>
                <w:color w:val="0D0D0D" w:themeColor="text1" w:themeTint="F2"/>
              </w:rPr>
              <w:t xml:space="preserve"> </w:t>
            </w:r>
          </w:p>
          <w:p w14:paraId="3AB7E8D7" w14:textId="367941F5" w:rsidR="005113F5" w:rsidRPr="00FF4C3F" w:rsidRDefault="00D30234" w:rsidP="00F15697">
            <w:pPr>
              <w:rPr>
                <w:rFonts w:cstheme="minorHAnsi"/>
                <w:color w:val="0D0D0D" w:themeColor="text1" w:themeTint="F2"/>
              </w:rPr>
            </w:pPr>
            <w:r w:rsidRPr="00B804E4">
              <w:rPr>
                <w:rFonts w:cstheme="minorHAnsi"/>
                <w:color w:val="0D0D0D" w:themeColor="text1" w:themeTint="F2"/>
              </w:rPr>
              <w:t>CPPs outside of the CPA would also be reviewed</w:t>
            </w:r>
            <w:r>
              <w:rPr>
                <w:rFonts w:cstheme="minorHAnsi"/>
                <w:color w:val="0D0D0D" w:themeColor="text1" w:themeTint="F2"/>
              </w:rPr>
              <w:t>.</w:t>
            </w:r>
          </w:p>
        </w:tc>
      </w:tr>
      <w:tr w:rsidR="00A27F28" w:rsidRPr="00A27F28" w14:paraId="1ABF783B" w14:textId="77777777" w:rsidTr="0095671A">
        <w:trPr>
          <w:trHeight w:val="769"/>
        </w:trPr>
        <w:tc>
          <w:tcPr>
            <w:tcW w:w="1164"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2583D66A" w14:textId="77777777" w:rsidR="00A27F28" w:rsidRPr="00FF4C3F" w:rsidRDefault="00A27F28" w:rsidP="00A27F28">
            <w:pPr>
              <w:rPr>
                <w:rFonts w:cstheme="minorHAnsi"/>
                <w:b/>
                <w:color w:val="0D0D0D" w:themeColor="text1" w:themeTint="F2"/>
              </w:rPr>
            </w:pPr>
            <w:r w:rsidRPr="00FF4C3F">
              <w:rPr>
                <w:rFonts w:cstheme="minorHAnsi"/>
                <w:b/>
                <w:color w:val="0D0D0D" w:themeColor="text1" w:themeTint="F2"/>
                <w:lang w:val="en-US"/>
              </w:rPr>
              <w:t xml:space="preserve">Equity, sustainability and Access for Consumers </w:t>
            </w:r>
          </w:p>
          <w:p w14:paraId="4DC55CD3"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Consumers can access PBS medicines in a timely manner irrespective of their geographical location.</w:t>
            </w:r>
          </w:p>
        </w:tc>
        <w:tc>
          <w:tcPr>
            <w:tcW w:w="1283"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2786ECF6"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Somewhat (2)</w:t>
            </w:r>
          </w:p>
          <w:p w14:paraId="1285B774" w14:textId="33AF5C53" w:rsidR="00A27F28" w:rsidRPr="00FF4C3F" w:rsidRDefault="00A27F28" w:rsidP="00A27F28">
            <w:pPr>
              <w:rPr>
                <w:rFonts w:cstheme="minorHAnsi"/>
                <w:color w:val="0D0D0D" w:themeColor="text1" w:themeTint="F2"/>
              </w:rPr>
            </w:pPr>
            <w:r w:rsidRPr="00FF4C3F">
              <w:rPr>
                <w:rFonts w:cstheme="minorHAnsi"/>
                <w:color w:val="0D0D0D" w:themeColor="text1" w:themeTint="F2"/>
              </w:rPr>
              <w:t>There would a degree of uncertainty around future of pharmacies, which may lead to consumer concern and reduced access in some areas.</w:t>
            </w:r>
          </w:p>
        </w:tc>
        <w:tc>
          <w:tcPr>
            <w:tcW w:w="1306"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2EDB8920" w14:textId="170B41A0" w:rsidR="00A27F28" w:rsidRPr="00FF4C3F" w:rsidDel="00B90FB5" w:rsidRDefault="00B90FB5" w:rsidP="00A27F28">
            <w:pPr>
              <w:rPr>
                <w:rFonts w:cstheme="minorHAnsi"/>
                <w:color w:val="0D0D0D" w:themeColor="text1" w:themeTint="F2"/>
              </w:rPr>
            </w:pPr>
            <w:r w:rsidRPr="00FF4C3F">
              <w:rPr>
                <w:rFonts w:cstheme="minorHAnsi"/>
                <w:color w:val="0D0D0D" w:themeColor="text1" w:themeTint="F2"/>
              </w:rPr>
              <w:t>Fully (4)</w:t>
            </w:r>
          </w:p>
          <w:p w14:paraId="225E61DD" w14:textId="1424192D" w:rsidR="00A27F28" w:rsidRPr="00FF4C3F" w:rsidRDefault="00A27F28" w:rsidP="00A27F28">
            <w:pPr>
              <w:rPr>
                <w:rFonts w:cstheme="minorHAnsi"/>
                <w:color w:val="0D0D0D" w:themeColor="text1" w:themeTint="F2"/>
              </w:rPr>
            </w:pPr>
            <w:r w:rsidRPr="00FF4C3F">
              <w:rPr>
                <w:rFonts w:cstheme="minorHAnsi"/>
                <w:color w:val="0D0D0D" w:themeColor="text1" w:themeTint="F2"/>
              </w:rPr>
              <w:t>Equity and access for consumers to PBS medicines and other pharmacy services would largely remain unchanged.</w:t>
            </w:r>
          </w:p>
        </w:tc>
        <w:tc>
          <w:tcPr>
            <w:tcW w:w="1247"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19DD2A69" w14:textId="25E15C83" w:rsidR="00A27F28" w:rsidRPr="00FF4C3F" w:rsidDel="00B90FB5" w:rsidRDefault="00B90FB5" w:rsidP="00A27F28">
            <w:pPr>
              <w:rPr>
                <w:rFonts w:cstheme="minorHAnsi"/>
                <w:color w:val="0D0D0D" w:themeColor="text1" w:themeTint="F2"/>
              </w:rPr>
            </w:pPr>
            <w:r w:rsidRPr="00FF4C3F">
              <w:rPr>
                <w:rFonts w:cstheme="minorHAnsi"/>
                <w:color w:val="0D0D0D" w:themeColor="text1" w:themeTint="F2"/>
              </w:rPr>
              <w:t>Fully (4)</w:t>
            </w:r>
          </w:p>
          <w:p w14:paraId="1E46BCA3" w14:textId="44A184DD" w:rsidR="00A27F28" w:rsidRPr="00FF4C3F" w:rsidRDefault="00A27F28" w:rsidP="00A27F28">
            <w:pPr>
              <w:rPr>
                <w:rFonts w:cstheme="minorHAnsi"/>
                <w:color w:val="0D0D0D" w:themeColor="text1" w:themeTint="F2"/>
              </w:rPr>
            </w:pPr>
            <w:r w:rsidRPr="00FF4C3F">
              <w:rPr>
                <w:rFonts w:cstheme="minorHAnsi"/>
                <w:color w:val="0D0D0D" w:themeColor="text1" w:themeTint="F2"/>
              </w:rPr>
              <w:t>Equity and access for consumers to PBS medicines and pharmacy other services would largely remain unchanged.</w:t>
            </w:r>
          </w:p>
        </w:tc>
      </w:tr>
      <w:tr w:rsidR="00A27F28" w:rsidRPr="00A27F28" w14:paraId="1EA8BAA6" w14:textId="77777777" w:rsidTr="0095671A">
        <w:tc>
          <w:tcPr>
            <w:tcW w:w="1164"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3E74400F" w14:textId="77777777" w:rsidR="00A27F28" w:rsidRPr="00FF4C3F" w:rsidRDefault="00A27F28" w:rsidP="00A27F28">
            <w:pPr>
              <w:rPr>
                <w:rFonts w:cstheme="minorHAnsi"/>
                <w:b/>
                <w:color w:val="0D0D0D" w:themeColor="text1" w:themeTint="F2"/>
              </w:rPr>
            </w:pPr>
            <w:r w:rsidRPr="00FF4C3F">
              <w:rPr>
                <w:rFonts w:cstheme="minorHAnsi"/>
                <w:b/>
                <w:color w:val="0D0D0D" w:themeColor="text1" w:themeTint="F2"/>
                <w:lang w:val="en-US"/>
              </w:rPr>
              <w:t>Equity, sustainability and Access for Businesses</w:t>
            </w:r>
          </w:p>
          <w:p w14:paraId="0CCA4403"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Provides for timely supply of PBS medicines irrespective of geographical location and supports pharmacy viability, particularly in rural and remote areas.</w:t>
            </w:r>
          </w:p>
        </w:tc>
        <w:tc>
          <w:tcPr>
            <w:tcW w:w="1283"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469FE248"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Somewhat (2)</w:t>
            </w:r>
          </w:p>
          <w:p w14:paraId="7EB8D106"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There would a degree of uncertainty around future of pharmacies, wholesaler and CSO arrangements.</w:t>
            </w:r>
          </w:p>
          <w:p w14:paraId="1337D076"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May be an opportunity for CPPs supporting rural and remote pharmacies to be negotiated with a broad range of relevant stakeholders. However pharmacy stakeholders may be less willing to engage in program design until after a PBRT decision is made.</w:t>
            </w:r>
          </w:p>
        </w:tc>
        <w:tc>
          <w:tcPr>
            <w:tcW w:w="1306"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5F450D51" w14:textId="066EADA9" w:rsidR="00A27F28" w:rsidRPr="00FF4C3F" w:rsidRDefault="00B90FB5" w:rsidP="00A27F28">
            <w:pPr>
              <w:rPr>
                <w:rFonts w:cstheme="minorHAnsi"/>
                <w:color w:val="0D0D0D" w:themeColor="text1" w:themeTint="F2"/>
              </w:rPr>
            </w:pPr>
            <w:r>
              <w:rPr>
                <w:rFonts w:cstheme="minorHAnsi"/>
                <w:color w:val="0D0D0D" w:themeColor="text1" w:themeTint="F2"/>
              </w:rPr>
              <w:t>Mostly</w:t>
            </w:r>
            <w:r w:rsidRPr="00FF4C3F">
              <w:rPr>
                <w:rFonts w:cstheme="minorHAnsi"/>
                <w:color w:val="0D0D0D" w:themeColor="text1" w:themeTint="F2"/>
              </w:rPr>
              <w:t xml:space="preserve"> </w:t>
            </w:r>
            <w:r w:rsidR="00A27F28" w:rsidRPr="00FF4C3F">
              <w:rPr>
                <w:rFonts w:cstheme="minorHAnsi"/>
                <w:color w:val="0D0D0D" w:themeColor="text1" w:themeTint="F2"/>
              </w:rPr>
              <w:t>(</w:t>
            </w:r>
            <w:r>
              <w:rPr>
                <w:rFonts w:cstheme="minorHAnsi"/>
                <w:color w:val="0D0D0D" w:themeColor="text1" w:themeTint="F2"/>
              </w:rPr>
              <w:t>3</w:t>
            </w:r>
            <w:r w:rsidR="00A27F28" w:rsidRPr="00FF4C3F">
              <w:rPr>
                <w:rFonts w:cstheme="minorHAnsi"/>
                <w:color w:val="0D0D0D" w:themeColor="text1" w:themeTint="F2"/>
              </w:rPr>
              <w:t>)</w:t>
            </w:r>
          </w:p>
          <w:p w14:paraId="771CBD15"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Wholesaler and CSO arrangements would remain unchanged. </w:t>
            </w:r>
          </w:p>
          <w:p w14:paraId="0AF4A3FB" w14:textId="77777777" w:rsidR="00A27F28" w:rsidRDefault="00A27F28" w:rsidP="00A27F28">
            <w:pPr>
              <w:rPr>
                <w:rFonts w:cstheme="minorHAnsi"/>
                <w:color w:val="0D0D0D" w:themeColor="text1" w:themeTint="F2"/>
              </w:rPr>
            </w:pPr>
            <w:r w:rsidRPr="00FF4C3F">
              <w:rPr>
                <w:rFonts w:cstheme="minorHAnsi"/>
                <w:color w:val="0D0D0D" w:themeColor="text1" w:themeTint="F2"/>
              </w:rPr>
              <w:t>CPPs supporting rural and remote pharmacies would largely remain unchanged with limited opportunities for stakeholders to participate in the evaluation and restructure of programs.</w:t>
            </w:r>
          </w:p>
          <w:p w14:paraId="248EB49C" w14:textId="012E25E1" w:rsidR="00B90FB5" w:rsidRPr="00FF4C3F" w:rsidRDefault="00B90FB5" w:rsidP="00B90FB5">
            <w:pPr>
              <w:rPr>
                <w:rFonts w:cstheme="minorHAnsi"/>
                <w:color w:val="0D0D0D" w:themeColor="text1" w:themeTint="F2"/>
              </w:rPr>
            </w:pPr>
            <w:r>
              <w:rPr>
                <w:rFonts w:cstheme="minorHAnsi"/>
                <w:color w:val="0D0D0D" w:themeColor="text1" w:themeTint="F2"/>
              </w:rPr>
              <w:t>Dispensing remuneration would be set at a level that would maintain business confidence in community pharmacy.</w:t>
            </w:r>
          </w:p>
        </w:tc>
        <w:tc>
          <w:tcPr>
            <w:tcW w:w="1247"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11B38065" w14:textId="72AF3D9D" w:rsidR="00A27F28" w:rsidRPr="00FF4C3F" w:rsidRDefault="00B90FB5" w:rsidP="00A27F28">
            <w:pPr>
              <w:rPr>
                <w:rFonts w:cstheme="minorHAnsi"/>
                <w:color w:val="0D0D0D" w:themeColor="text1" w:themeTint="F2"/>
              </w:rPr>
            </w:pPr>
            <w:r>
              <w:rPr>
                <w:rFonts w:cstheme="minorHAnsi"/>
                <w:color w:val="0D0D0D" w:themeColor="text1" w:themeTint="F2"/>
              </w:rPr>
              <w:t>Fully</w:t>
            </w:r>
            <w:r w:rsidRPr="00FF4C3F">
              <w:rPr>
                <w:rFonts w:cstheme="minorHAnsi"/>
                <w:color w:val="0D0D0D" w:themeColor="text1" w:themeTint="F2"/>
              </w:rPr>
              <w:t xml:space="preserve"> </w:t>
            </w:r>
            <w:r w:rsidR="00A27F28" w:rsidRPr="00FF4C3F">
              <w:rPr>
                <w:rFonts w:cstheme="minorHAnsi"/>
                <w:color w:val="0D0D0D" w:themeColor="text1" w:themeTint="F2"/>
              </w:rPr>
              <w:t>(</w:t>
            </w:r>
            <w:r>
              <w:rPr>
                <w:rFonts w:cstheme="minorHAnsi"/>
                <w:color w:val="0D0D0D" w:themeColor="text1" w:themeTint="F2"/>
              </w:rPr>
              <w:t>4</w:t>
            </w:r>
            <w:r w:rsidR="00A27F28" w:rsidRPr="00FF4C3F">
              <w:rPr>
                <w:rFonts w:cstheme="minorHAnsi"/>
                <w:color w:val="0D0D0D" w:themeColor="text1" w:themeTint="F2"/>
              </w:rPr>
              <w:t>)</w:t>
            </w:r>
          </w:p>
          <w:p w14:paraId="2E514D41"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Wholesaler and CSO arrangements would be negotiated directly with the relevant stakeholders outside of the CPA. </w:t>
            </w:r>
          </w:p>
          <w:p w14:paraId="3EC4D82C" w14:textId="00401B1E" w:rsidR="00A27F28" w:rsidRDefault="00A27F28" w:rsidP="00A27F28">
            <w:pPr>
              <w:rPr>
                <w:rFonts w:cstheme="minorHAnsi"/>
                <w:color w:val="0D0D0D" w:themeColor="text1" w:themeTint="F2"/>
              </w:rPr>
            </w:pPr>
            <w:r w:rsidRPr="00FF4C3F">
              <w:rPr>
                <w:rFonts w:cstheme="minorHAnsi"/>
                <w:color w:val="0D0D0D" w:themeColor="text1" w:themeTint="F2"/>
              </w:rPr>
              <w:t>CPPs supporting rural and remote pharmac</w:t>
            </w:r>
            <w:r w:rsidR="009A49CA">
              <w:rPr>
                <w:rFonts w:cstheme="minorHAnsi"/>
                <w:color w:val="0D0D0D" w:themeColor="text1" w:themeTint="F2"/>
              </w:rPr>
              <w:t>y workforce</w:t>
            </w:r>
            <w:r w:rsidRPr="00FF4C3F">
              <w:rPr>
                <w:rFonts w:cstheme="minorHAnsi"/>
                <w:color w:val="0D0D0D" w:themeColor="text1" w:themeTint="F2"/>
              </w:rPr>
              <w:t xml:space="preserve"> would be negotiated outside of the CPA with a broad range of relevant stakeholders. This could provide for better targeted support with more flexible timeframes for the design and implementation of improvements.</w:t>
            </w:r>
          </w:p>
          <w:p w14:paraId="000D70B0" w14:textId="44440AD3" w:rsidR="00B90FB5" w:rsidRPr="00FF4C3F" w:rsidRDefault="00B90FB5" w:rsidP="00A27F28">
            <w:pPr>
              <w:rPr>
                <w:rFonts w:cstheme="minorHAnsi"/>
                <w:color w:val="0D0D0D" w:themeColor="text1" w:themeTint="F2"/>
              </w:rPr>
            </w:pPr>
            <w:r>
              <w:rPr>
                <w:rFonts w:cstheme="minorHAnsi"/>
                <w:color w:val="0D0D0D" w:themeColor="text1" w:themeTint="F2"/>
              </w:rPr>
              <w:lastRenderedPageBreak/>
              <w:t>Dispensing remuneration would be set at a level that would maintain business confidence in community pharmacy.</w:t>
            </w:r>
          </w:p>
        </w:tc>
      </w:tr>
      <w:tr w:rsidR="00A27F28" w:rsidRPr="00A27F28" w14:paraId="5BECF0FF" w14:textId="77777777" w:rsidTr="0095671A">
        <w:trPr>
          <w:trHeight w:val="1331"/>
        </w:trPr>
        <w:tc>
          <w:tcPr>
            <w:tcW w:w="1164"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4A0D3A50" w14:textId="77777777" w:rsidR="00A27F28" w:rsidRPr="00FF4C3F" w:rsidRDefault="00A27F28" w:rsidP="00A27F28">
            <w:pPr>
              <w:rPr>
                <w:rFonts w:cstheme="minorHAnsi"/>
                <w:b/>
                <w:color w:val="0D0D0D" w:themeColor="text1" w:themeTint="F2"/>
              </w:rPr>
            </w:pPr>
            <w:r w:rsidRPr="00FF4C3F">
              <w:rPr>
                <w:rFonts w:cstheme="minorHAnsi"/>
                <w:b/>
                <w:color w:val="0D0D0D" w:themeColor="text1" w:themeTint="F2"/>
              </w:rPr>
              <w:lastRenderedPageBreak/>
              <w:t>Accountability and Transparency</w:t>
            </w:r>
          </w:p>
          <w:p w14:paraId="7882E587"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Consumers are able to access through their pharmacy easy-to-understand information on the costs they will incur in accessing PBS medicines and potential differences between pharmacies.  </w:t>
            </w:r>
          </w:p>
        </w:tc>
        <w:tc>
          <w:tcPr>
            <w:tcW w:w="1283"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50AC5D69" w14:textId="781BC0B4" w:rsidR="00A27F28" w:rsidRPr="00FF4C3F" w:rsidRDefault="00B950BD" w:rsidP="00A27F28">
            <w:pPr>
              <w:rPr>
                <w:rFonts w:cstheme="minorHAnsi"/>
                <w:color w:val="0D0D0D" w:themeColor="text1" w:themeTint="F2"/>
              </w:rPr>
            </w:pPr>
            <w:r>
              <w:rPr>
                <w:rFonts w:cstheme="minorHAnsi"/>
                <w:color w:val="0D0D0D" w:themeColor="text1" w:themeTint="F2"/>
              </w:rPr>
              <w:t>Fully</w:t>
            </w:r>
            <w:r w:rsidR="00A27F28" w:rsidRPr="00FF4C3F">
              <w:rPr>
                <w:rFonts w:cstheme="minorHAnsi"/>
                <w:color w:val="0D0D0D" w:themeColor="text1" w:themeTint="F2"/>
              </w:rPr>
              <w:t xml:space="preserve"> (</w:t>
            </w:r>
            <w:r w:rsidR="00A53549">
              <w:rPr>
                <w:rFonts w:cstheme="minorHAnsi"/>
                <w:color w:val="0D0D0D" w:themeColor="text1" w:themeTint="F2"/>
              </w:rPr>
              <w:t>4</w:t>
            </w:r>
            <w:r w:rsidR="00A27F28" w:rsidRPr="00FF4C3F">
              <w:rPr>
                <w:rFonts w:cstheme="minorHAnsi"/>
                <w:color w:val="0D0D0D" w:themeColor="text1" w:themeTint="F2"/>
              </w:rPr>
              <w:t>)</w:t>
            </w:r>
          </w:p>
          <w:p w14:paraId="7F88583D" w14:textId="5BBCC37B" w:rsidR="00A27F28" w:rsidRPr="00FF4C3F" w:rsidRDefault="00A27F28">
            <w:pPr>
              <w:rPr>
                <w:rFonts w:cstheme="minorHAnsi"/>
                <w:color w:val="0D0D0D" w:themeColor="text1" w:themeTint="F2"/>
              </w:rPr>
            </w:pPr>
            <w:r w:rsidRPr="00FF4C3F">
              <w:rPr>
                <w:rFonts w:cstheme="minorHAnsi"/>
                <w:color w:val="0D0D0D" w:themeColor="text1" w:themeTint="F2"/>
              </w:rPr>
              <w:t xml:space="preserve">Commonwealth </w:t>
            </w:r>
            <w:r w:rsidR="00B472A0">
              <w:rPr>
                <w:rFonts w:cstheme="minorHAnsi"/>
                <w:color w:val="0D0D0D" w:themeColor="text1" w:themeTint="F2"/>
              </w:rPr>
              <w:t>p</w:t>
            </w:r>
            <w:r w:rsidRPr="00FF4C3F">
              <w:rPr>
                <w:rFonts w:cstheme="minorHAnsi"/>
                <w:color w:val="0D0D0D" w:themeColor="text1" w:themeTint="F2"/>
              </w:rPr>
              <w:t>rice woul</w:t>
            </w:r>
            <w:r w:rsidRPr="00A27F28">
              <w:rPr>
                <w:rFonts w:cstheme="minorHAnsi"/>
                <w:color w:val="0D0D0D" w:themeColor="text1" w:themeTint="F2"/>
              </w:rPr>
              <w:t xml:space="preserve">d be set by PBRT with a public </w:t>
            </w:r>
            <w:r>
              <w:rPr>
                <w:rFonts w:cstheme="minorHAnsi"/>
                <w:color w:val="0D0D0D" w:themeColor="text1" w:themeTint="F2"/>
              </w:rPr>
              <w:t>i</w:t>
            </w:r>
            <w:r w:rsidRPr="00FF4C3F">
              <w:rPr>
                <w:rFonts w:cstheme="minorHAnsi"/>
                <w:color w:val="0D0D0D" w:themeColor="text1" w:themeTint="F2"/>
              </w:rPr>
              <w:t>nquiry. This would open up the process of setting the general level of remuneration for dispensing medicines for public scrutiny</w:t>
            </w:r>
            <w:r w:rsidR="00B950BD">
              <w:rPr>
                <w:rFonts w:cstheme="minorHAnsi"/>
                <w:color w:val="0D0D0D" w:themeColor="text1" w:themeTint="F2"/>
              </w:rPr>
              <w:t>.</w:t>
            </w:r>
          </w:p>
        </w:tc>
        <w:tc>
          <w:tcPr>
            <w:tcW w:w="1306"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2CAE06DC"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Somewhat (2)</w:t>
            </w:r>
          </w:p>
          <w:p w14:paraId="2B49F293" w14:textId="2A9CFF72"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The CPA outlining </w:t>
            </w:r>
            <w:r w:rsidR="00B472A0">
              <w:rPr>
                <w:rFonts w:cstheme="minorHAnsi"/>
                <w:color w:val="0D0D0D" w:themeColor="text1" w:themeTint="F2"/>
              </w:rPr>
              <w:t>C</w:t>
            </w:r>
            <w:r w:rsidRPr="00FF4C3F">
              <w:rPr>
                <w:rFonts w:cstheme="minorHAnsi"/>
                <w:color w:val="0D0D0D" w:themeColor="text1" w:themeTint="F2"/>
              </w:rPr>
              <w:t xml:space="preserve">ommonwealth price would be published. </w:t>
            </w:r>
          </w:p>
          <w:p w14:paraId="4EEBC446" w14:textId="47DB9437" w:rsidR="00A27F28" w:rsidRPr="00FF4C3F" w:rsidRDefault="00A27F28" w:rsidP="005113F5">
            <w:pPr>
              <w:rPr>
                <w:rFonts w:cstheme="minorHAnsi"/>
                <w:color w:val="0D0D0D" w:themeColor="text1" w:themeTint="F2"/>
              </w:rPr>
            </w:pPr>
            <w:r w:rsidRPr="00FF4C3F">
              <w:rPr>
                <w:rFonts w:cstheme="minorHAnsi"/>
                <w:color w:val="0D0D0D" w:themeColor="text1" w:themeTint="F2"/>
              </w:rPr>
              <w:t xml:space="preserve">Transparency of charges </w:t>
            </w:r>
            <w:r w:rsidR="005113F5">
              <w:rPr>
                <w:rFonts w:cstheme="minorHAnsi"/>
                <w:color w:val="0D0D0D" w:themeColor="text1" w:themeTint="F2"/>
              </w:rPr>
              <w:t xml:space="preserve">clauses </w:t>
            </w:r>
            <w:r w:rsidRPr="00FF4C3F">
              <w:rPr>
                <w:rFonts w:cstheme="minorHAnsi"/>
                <w:color w:val="0D0D0D" w:themeColor="text1" w:themeTint="F2"/>
              </w:rPr>
              <w:t xml:space="preserve">as outlined in the 7CPA would be maintained with </w:t>
            </w:r>
            <w:r w:rsidRPr="00E04259">
              <w:rPr>
                <w:rFonts w:cstheme="minorHAnsi"/>
                <w:color w:val="0D0D0D" w:themeColor="text1" w:themeTint="F2"/>
              </w:rPr>
              <w:t>a requirement for the Guild to publish cost breakdowns online and use their best endeavours to ensure pharmacies explai</w:t>
            </w:r>
            <w:r>
              <w:rPr>
                <w:rFonts w:cstheme="minorHAnsi"/>
                <w:color w:val="0D0D0D" w:themeColor="text1" w:themeTint="F2"/>
              </w:rPr>
              <w:t>ned</w:t>
            </w:r>
            <w:r w:rsidRPr="00E04259">
              <w:rPr>
                <w:rFonts w:cstheme="minorHAnsi"/>
                <w:color w:val="0D0D0D" w:themeColor="text1" w:themeTint="F2"/>
              </w:rPr>
              <w:t xml:space="preserve"> to consumers</w:t>
            </w:r>
            <w:r w:rsidRPr="00A27F28">
              <w:rPr>
                <w:rFonts w:cstheme="minorHAnsi"/>
                <w:color w:val="0D0D0D" w:themeColor="text1" w:themeTint="F2"/>
              </w:rPr>
              <w:t xml:space="preserve"> </w:t>
            </w:r>
            <w:r w:rsidRPr="00FF4C3F">
              <w:rPr>
                <w:rFonts w:cstheme="minorHAnsi"/>
                <w:color w:val="0D0D0D" w:themeColor="text1" w:themeTint="F2"/>
              </w:rPr>
              <w:t>details of fees and charges applicable.</w:t>
            </w:r>
          </w:p>
        </w:tc>
        <w:tc>
          <w:tcPr>
            <w:tcW w:w="1247"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45D58739" w14:textId="06162289" w:rsidR="00A27F28" w:rsidRPr="00FF4C3F" w:rsidRDefault="00B90FB5" w:rsidP="00A27F28">
            <w:pPr>
              <w:rPr>
                <w:rFonts w:cstheme="minorHAnsi"/>
                <w:color w:val="0D0D0D" w:themeColor="text1" w:themeTint="F2"/>
              </w:rPr>
            </w:pPr>
            <w:r>
              <w:rPr>
                <w:rFonts w:cstheme="minorHAnsi"/>
                <w:color w:val="0D0D0D" w:themeColor="text1" w:themeTint="F2"/>
              </w:rPr>
              <w:t>Mostly</w:t>
            </w:r>
            <w:r w:rsidRPr="00FF4C3F">
              <w:rPr>
                <w:rFonts w:cstheme="minorHAnsi"/>
                <w:color w:val="0D0D0D" w:themeColor="text1" w:themeTint="F2"/>
              </w:rPr>
              <w:t xml:space="preserve"> </w:t>
            </w:r>
            <w:r w:rsidR="00A27F28" w:rsidRPr="00FF4C3F">
              <w:rPr>
                <w:rFonts w:cstheme="minorHAnsi"/>
                <w:color w:val="0D0D0D" w:themeColor="text1" w:themeTint="F2"/>
              </w:rPr>
              <w:t>(</w:t>
            </w:r>
            <w:r>
              <w:rPr>
                <w:rFonts w:cstheme="minorHAnsi"/>
                <w:color w:val="0D0D0D" w:themeColor="text1" w:themeTint="F2"/>
              </w:rPr>
              <w:t>3</w:t>
            </w:r>
            <w:r w:rsidR="00A27F28" w:rsidRPr="00FF4C3F">
              <w:rPr>
                <w:rFonts w:cstheme="minorHAnsi"/>
                <w:color w:val="0D0D0D" w:themeColor="text1" w:themeTint="F2"/>
              </w:rPr>
              <w:t>)</w:t>
            </w:r>
          </w:p>
          <w:p w14:paraId="2BB16EB9" w14:textId="64007853" w:rsidR="00A27F28" w:rsidRPr="00FF4C3F" w:rsidRDefault="00A27F28" w:rsidP="00A27F28">
            <w:pPr>
              <w:rPr>
                <w:rFonts w:cstheme="minorHAnsi"/>
                <w:color w:val="0D0D0D" w:themeColor="text1" w:themeTint="F2"/>
              </w:rPr>
            </w:pPr>
            <w:r w:rsidRPr="00FF4C3F">
              <w:rPr>
                <w:rFonts w:cstheme="minorHAnsi"/>
                <w:color w:val="0D0D0D" w:themeColor="text1" w:themeTint="F2"/>
              </w:rPr>
              <w:t xml:space="preserve">The CPA outlining </w:t>
            </w:r>
            <w:r w:rsidR="00B472A0">
              <w:rPr>
                <w:rFonts w:cstheme="minorHAnsi"/>
                <w:color w:val="0D0D0D" w:themeColor="text1" w:themeTint="F2"/>
              </w:rPr>
              <w:t>C</w:t>
            </w:r>
            <w:r w:rsidRPr="00FF4C3F">
              <w:rPr>
                <w:rFonts w:cstheme="minorHAnsi"/>
                <w:color w:val="0D0D0D" w:themeColor="text1" w:themeTint="F2"/>
              </w:rPr>
              <w:t xml:space="preserve">ommonwealth price would be published. </w:t>
            </w:r>
          </w:p>
          <w:p w14:paraId="50F180F4" w14:textId="73A9594D" w:rsidR="00A27F28" w:rsidRPr="00FF4C3F" w:rsidRDefault="009A4A5D" w:rsidP="00F15697">
            <w:pPr>
              <w:rPr>
                <w:rFonts w:cstheme="minorHAnsi"/>
                <w:color w:val="0D0D0D" w:themeColor="text1" w:themeTint="F2"/>
              </w:rPr>
            </w:pPr>
            <w:r>
              <w:rPr>
                <w:rFonts w:cstheme="minorHAnsi"/>
                <w:color w:val="0D0D0D" w:themeColor="text1" w:themeTint="F2"/>
              </w:rPr>
              <w:t>Transparency</w:t>
            </w:r>
            <w:r w:rsidR="005113F5">
              <w:rPr>
                <w:rFonts w:cstheme="minorHAnsi"/>
                <w:color w:val="0D0D0D" w:themeColor="text1" w:themeTint="F2"/>
              </w:rPr>
              <w:t xml:space="preserve"> </w:t>
            </w:r>
            <w:r>
              <w:rPr>
                <w:rFonts w:cstheme="minorHAnsi"/>
                <w:color w:val="0D0D0D" w:themeColor="text1" w:themeTint="F2"/>
              </w:rPr>
              <w:t xml:space="preserve">would be further strengthened </w:t>
            </w:r>
            <w:r w:rsidR="00B90FB5">
              <w:rPr>
                <w:rFonts w:cstheme="minorHAnsi"/>
                <w:color w:val="0D0D0D" w:themeColor="text1" w:themeTint="F2"/>
              </w:rPr>
              <w:t>build</w:t>
            </w:r>
            <w:r>
              <w:rPr>
                <w:rFonts w:cstheme="minorHAnsi"/>
                <w:color w:val="0D0D0D" w:themeColor="text1" w:themeTint="F2"/>
              </w:rPr>
              <w:t>ing</w:t>
            </w:r>
            <w:r w:rsidR="00B90FB5">
              <w:rPr>
                <w:rFonts w:cstheme="minorHAnsi"/>
                <w:color w:val="0D0D0D" w:themeColor="text1" w:themeTint="F2"/>
              </w:rPr>
              <w:t xml:space="preserve"> on work in the </w:t>
            </w:r>
            <w:r w:rsidR="00F15697">
              <w:rPr>
                <w:rFonts w:cstheme="minorHAnsi"/>
                <w:color w:val="0D0D0D" w:themeColor="text1" w:themeTint="F2"/>
              </w:rPr>
              <w:t xml:space="preserve">undertaken through the </w:t>
            </w:r>
            <w:r w:rsidR="00B90FB5">
              <w:rPr>
                <w:rFonts w:cstheme="minorHAnsi"/>
                <w:color w:val="0D0D0D" w:themeColor="text1" w:themeTint="F2"/>
              </w:rPr>
              <w:t>7CPA</w:t>
            </w:r>
            <w:r w:rsidR="00A27F28" w:rsidRPr="00FF4C3F">
              <w:rPr>
                <w:rFonts w:cstheme="minorHAnsi"/>
                <w:color w:val="0D0D0D" w:themeColor="text1" w:themeTint="F2"/>
              </w:rPr>
              <w:t>.</w:t>
            </w:r>
          </w:p>
        </w:tc>
      </w:tr>
      <w:tr w:rsidR="00A27F28" w:rsidRPr="00A27F28" w14:paraId="3E41583F" w14:textId="77777777" w:rsidTr="0095671A">
        <w:trPr>
          <w:trHeight w:val="1126"/>
        </w:trPr>
        <w:tc>
          <w:tcPr>
            <w:tcW w:w="1164"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2BE6571B" w14:textId="77777777" w:rsidR="00A27F28" w:rsidRPr="00FF4C3F" w:rsidRDefault="00A27F28" w:rsidP="00A27F28">
            <w:pPr>
              <w:rPr>
                <w:rFonts w:cstheme="minorHAnsi"/>
                <w:b/>
                <w:color w:val="0D0D0D" w:themeColor="text1" w:themeTint="F2"/>
              </w:rPr>
            </w:pPr>
            <w:r w:rsidRPr="00FF4C3F">
              <w:rPr>
                <w:rFonts w:cstheme="minorHAnsi"/>
                <w:b/>
                <w:color w:val="0D0D0D" w:themeColor="text1" w:themeTint="F2"/>
              </w:rPr>
              <w:t xml:space="preserve">Innovation and Continuous Improvement </w:t>
            </w:r>
          </w:p>
          <w:p w14:paraId="3EA872F0"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Supports the collection and evaluation of evidence/data on the impact pharmacy services have on health outcomes.</w:t>
            </w:r>
          </w:p>
        </w:tc>
        <w:tc>
          <w:tcPr>
            <w:tcW w:w="1283"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5F4E29A4"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Somewhat (2)</w:t>
            </w:r>
          </w:p>
          <w:p w14:paraId="54A06B38" w14:textId="7A5D68D2" w:rsidR="00A27F28" w:rsidRPr="00FF4C3F" w:rsidRDefault="00A27F28" w:rsidP="00A27F28">
            <w:pPr>
              <w:rPr>
                <w:rFonts w:cstheme="minorHAnsi"/>
                <w:color w:val="0D0D0D" w:themeColor="text1" w:themeTint="F2"/>
              </w:rPr>
            </w:pPr>
            <w:r w:rsidRPr="00FF4C3F">
              <w:rPr>
                <w:rFonts w:cstheme="minorHAnsi"/>
                <w:color w:val="0D0D0D" w:themeColor="text1" w:themeTint="F2"/>
              </w:rPr>
              <w:t>Provides an opportunity for the development of better targeted CPPs which are supported by evaluation frameworks. However pharmacy stakeholders may be less willing to engage in program design and evaluation until after a PBRT decision is made.</w:t>
            </w:r>
          </w:p>
        </w:tc>
        <w:tc>
          <w:tcPr>
            <w:tcW w:w="1306"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293E19BD"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Not at all (1)</w:t>
            </w:r>
          </w:p>
          <w:p w14:paraId="4E6E2BB2" w14:textId="77777777" w:rsidR="00A27F28" w:rsidRPr="00FF4C3F" w:rsidRDefault="00A27F28" w:rsidP="00A27F28">
            <w:pPr>
              <w:rPr>
                <w:rFonts w:cstheme="minorHAnsi"/>
                <w:color w:val="0D0D0D" w:themeColor="text1" w:themeTint="F2"/>
              </w:rPr>
            </w:pPr>
            <w:r w:rsidRPr="00FF4C3F">
              <w:rPr>
                <w:rFonts w:cstheme="minorHAnsi"/>
                <w:color w:val="0D0D0D" w:themeColor="text1" w:themeTint="F2"/>
              </w:rPr>
              <w:t>Existing programs would continue unchanged.</w:t>
            </w:r>
          </w:p>
        </w:tc>
        <w:tc>
          <w:tcPr>
            <w:tcW w:w="1247" w:type="pct"/>
            <w:tcBorders>
              <w:top w:val="single" w:sz="8" w:space="0" w:color="FFFFFF"/>
              <w:left w:val="single" w:sz="8" w:space="0" w:color="FFFFFF"/>
              <w:bottom w:val="single" w:sz="8" w:space="0" w:color="FFFFFF"/>
              <w:right w:val="single" w:sz="8" w:space="0" w:color="FFFFFF"/>
            </w:tcBorders>
            <w:shd w:val="clear" w:color="auto" w:fill="EAEFF7"/>
            <w:tcMar>
              <w:top w:w="24" w:type="dxa"/>
              <w:left w:w="48" w:type="dxa"/>
              <w:bottom w:w="24" w:type="dxa"/>
              <w:right w:w="48" w:type="dxa"/>
            </w:tcMar>
            <w:hideMark/>
          </w:tcPr>
          <w:p w14:paraId="738F22CE" w14:textId="3FA6C675" w:rsidR="00A27F28" w:rsidRPr="00B804E4" w:rsidDel="00B90FB5" w:rsidRDefault="00B90FB5" w:rsidP="00A27F28">
            <w:pPr>
              <w:rPr>
                <w:rFonts w:cstheme="minorHAnsi"/>
                <w:color w:val="0D0D0D" w:themeColor="text1" w:themeTint="F2"/>
              </w:rPr>
            </w:pPr>
            <w:r w:rsidRPr="00B804E4">
              <w:rPr>
                <w:rFonts w:cstheme="minorHAnsi"/>
                <w:color w:val="0D0D0D" w:themeColor="text1" w:themeTint="F2"/>
              </w:rPr>
              <w:t>Fully (4)</w:t>
            </w:r>
          </w:p>
          <w:p w14:paraId="143117A6" w14:textId="024F2C95" w:rsidR="00184ECA" w:rsidRDefault="00A27F28" w:rsidP="00F15697">
            <w:pPr>
              <w:rPr>
                <w:rFonts w:cstheme="minorHAnsi"/>
                <w:color w:val="0D0D0D" w:themeColor="text1" w:themeTint="F2"/>
              </w:rPr>
            </w:pPr>
            <w:r w:rsidRPr="00FF4C3F">
              <w:rPr>
                <w:rFonts w:cstheme="minorHAnsi"/>
                <w:color w:val="0D0D0D" w:themeColor="text1" w:themeTint="F2"/>
              </w:rPr>
              <w:t xml:space="preserve">Evaluation frameworks would be developed to support the evaluation of health outcomes and cost effectiveness of </w:t>
            </w:r>
            <w:r w:rsidR="00F15697">
              <w:rPr>
                <w:rFonts w:cstheme="minorHAnsi"/>
                <w:color w:val="0D0D0D" w:themeColor="text1" w:themeTint="F2"/>
              </w:rPr>
              <w:t>e</w:t>
            </w:r>
            <w:r w:rsidRPr="00FF4C3F">
              <w:rPr>
                <w:rFonts w:cstheme="minorHAnsi"/>
                <w:color w:val="0D0D0D" w:themeColor="text1" w:themeTint="F2"/>
              </w:rPr>
              <w:t>ach program</w:t>
            </w:r>
            <w:r w:rsidR="00184ECA">
              <w:rPr>
                <w:rFonts w:cstheme="minorHAnsi"/>
                <w:color w:val="0D0D0D" w:themeColor="text1" w:themeTint="F2"/>
              </w:rPr>
              <w:t xml:space="preserve"> in the 8CPA</w:t>
            </w:r>
            <w:r w:rsidR="00F15697">
              <w:rPr>
                <w:rFonts w:cstheme="minorHAnsi"/>
                <w:color w:val="0D0D0D" w:themeColor="text1" w:themeTint="F2"/>
              </w:rPr>
              <w:t xml:space="preserve"> and </w:t>
            </w:r>
            <w:r w:rsidRPr="00FF4C3F">
              <w:rPr>
                <w:rFonts w:cstheme="minorHAnsi"/>
                <w:color w:val="0D0D0D" w:themeColor="text1" w:themeTint="F2"/>
              </w:rPr>
              <w:t>drive</w:t>
            </w:r>
            <w:r w:rsidR="00F15697">
              <w:rPr>
                <w:rFonts w:cstheme="minorHAnsi"/>
                <w:color w:val="0D0D0D" w:themeColor="text1" w:themeTint="F2"/>
              </w:rPr>
              <w:t xml:space="preserve"> </w:t>
            </w:r>
            <w:r w:rsidRPr="00FF4C3F">
              <w:rPr>
                <w:rFonts w:cstheme="minorHAnsi"/>
                <w:color w:val="0D0D0D" w:themeColor="text1" w:themeTint="F2"/>
              </w:rPr>
              <w:t>innovation</w:t>
            </w:r>
            <w:r w:rsidR="00F15697">
              <w:rPr>
                <w:rFonts w:cstheme="minorHAnsi"/>
                <w:color w:val="0D0D0D" w:themeColor="text1" w:themeTint="F2"/>
              </w:rPr>
              <w:t xml:space="preserve"> within the pharmacy sector</w:t>
            </w:r>
            <w:r w:rsidRPr="00FF4C3F">
              <w:rPr>
                <w:rFonts w:cstheme="minorHAnsi"/>
                <w:color w:val="0D0D0D" w:themeColor="text1" w:themeTint="F2"/>
              </w:rPr>
              <w:t xml:space="preserve">. </w:t>
            </w:r>
          </w:p>
          <w:p w14:paraId="55371C31" w14:textId="3AA01B0B" w:rsidR="00A27F28" w:rsidRPr="00FF4C3F" w:rsidRDefault="00184ECA" w:rsidP="00184ECA">
            <w:pPr>
              <w:rPr>
                <w:rFonts w:cstheme="minorHAnsi"/>
                <w:color w:val="0D0D0D" w:themeColor="text1" w:themeTint="F2"/>
              </w:rPr>
            </w:pPr>
            <w:r w:rsidRPr="00FF4C3F">
              <w:rPr>
                <w:rFonts w:cstheme="minorHAnsi"/>
                <w:color w:val="0D0D0D" w:themeColor="text1" w:themeTint="F2"/>
              </w:rPr>
              <w:t xml:space="preserve">CPPs supporting </w:t>
            </w:r>
            <w:r>
              <w:rPr>
                <w:rFonts w:cstheme="minorHAnsi"/>
                <w:color w:val="0D0D0D" w:themeColor="text1" w:themeTint="F2"/>
              </w:rPr>
              <w:t xml:space="preserve">pharmacists, </w:t>
            </w:r>
            <w:r w:rsidRPr="00FF4C3F">
              <w:rPr>
                <w:rFonts w:cstheme="minorHAnsi"/>
                <w:color w:val="0D0D0D" w:themeColor="text1" w:themeTint="F2"/>
              </w:rPr>
              <w:t>pharmac</w:t>
            </w:r>
            <w:r>
              <w:rPr>
                <w:rFonts w:cstheme="minorHAnsi"/>
                <w:color w:val="0D0D0D" w:themeColor="text1" w:themeTint="F2"/>
              </w:rPr>
              <w:t>y workforce</w:t>
            </w:r>
            <w:r w:rsidRPr="00FF4C3F">
              <w:rPr>
                <w:rFonts w:cstheme="minorHAnsi"/>
                <w:color w:val="0D0D0D" w:themeColor="text1" w:themeTint="F2"/>
              </w:rPr>
              <w:t xml:space="preserve"> </w:t>
            </w:r>
            <w:r>
              <w:rPr>
                <w:rFonts w:cstheme="minorHAnsi"/>
                <w:color w:val="0D0D0D" w:themeColor="text1" w:themeTint="F2"/>
              </w:rPr>
              <w:t xml:space="preserve">and First Nations health </w:t>
            </w:r>
            <w:r w:rsidRPr="00FF4C3F">
              <w:rPr>
                <w:rFonts w:cstheme="minorHAnsi"/>
                <w:color w:val="0D0D0D" w:themeColor="text1" w:themeTint="F2"/>
              </w:rPr>
              <w:t>would be negotiated outside of the CPA with a broad range of relevant stakeholders. This could provide for better targeted support with more flexible timeframes for the design and implementation of improvements.</w:t>
            </w:r>
          </w:p>
        </w:tc>
      </w:tr>
      <w:tr w:rsidR="00A27F28" w:rsidRPr="00A27F28" w14:paraId="5B9FAE75" w14:textId="77777777" w:rsidTr="0095671A">
        <w:trPr>
          <w:trHeight w:val="234"/>
        </w:trPr>
        <w:tc>
          <w:tcPr>
            <w:tcW w:w="1164"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6BE3378F" w14:textId="1EFB5D98" w:rsidR="00A27F28" w:rsidRPr="00FF4C3F" w:rsidRDefault="00A27F28" w:rsidP="00A27F28">
            <w:pPr>
              <w:rPr>
                <w:rFonts w:cstheme="minorHAnsi"/>
                <w:b/>
                <w:color w:val="0D0D0D" w:themeColor="text1" w:themeTint="F2"/>
              </w:rPr>
            </w:pPr>
            <w:r w:rsidRPr="00FF4C3F">
              <w:rPr>
                <w:rFonts w:cstheme="minorHAnsi"/>
                <w:b/>
                <w:color w:val="0D0D0D" w:themeColor="text1" w:themeTint="F2"/>
              </w:rPr>
              <w:t>Total Score</w:t>
            </w:r>
            <w:r w:rsidR="00B90FB5">
              <w:rPr>
                <w:rFonts w:cstheme="minorHAnsi"/>
                <w:b/>
                <w:color w:val="0D0D0D" w:themeColor="text1" w:themeTint="F2"/>
              </w:rPr>
              <w:t xml:space="preserve"> (24 max)</w:t>
            </w:r>
          </w:p>
        </w:tc>
        <w:tc>
          <w:tcPr>
            <w:tcW w:w="1283"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06D75E84" w14:textId="7EC0F6A7" w:rsidR="00A27F28" w:rsidRPr="00FF4C3F" w:rsidRDefault="00A53549" w:rsidP="00A27F28">
            <w:pPr>
              <w:rPr>
                <w:rFonts w:cstheme="minorHAnsi"/>
                <w:b/>
                <w:color w:val="0D0D0D" w:themeColor="text1" w:themeTint="F2"/>
              </w:rPr>
            </w:pPr>
            <w:r>
              <w:rPr>
                <w:rFonts w:cstheme="minorHAnsi"/>
                <w:b/>
                <w:color w:val="0D0D0D" w:themeColor="text1" w:themeTint="F2"/>
              </w:rPr>
              <w:t>16</w:t>
            </w:r>
          </w:p>
        </w:tc>
        <w:tc>
          <w:tcPr>
            <w:tcW w:w="1306"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0F51A148" w14:textId="7C379E5A" w:rsidR="00A27F28" w:rsidRPr="00FF4C3F" w:rsidRDefault="00A27F28" w:rsidP="00A27F28">
            <w:pPr>
              <w:rPr>
                <w:rFonts w:cstheme="minorHAnsi"/>
                <w:b/>
                <w:color w:val="0D0D0D" w:themeColor="text1" w:themeTint="F2"/>
              </w:rPr>
            </w:pPr>
            <w:r w:rsidRPr="00FF4C3F">
              <w:rPr>
                <w:rFonts w:cstheme="minorHAnsi"/>
                <w:b/>
                <w:color w:val="0D0D0D" w:themeColor="text1" w:themeTint="F2"/>
              </w:rPr>
              <w:t>1</w:t>
            </w:r>
            <w:r w:rsidR="00B90FB5">
              <w:rPr>
                <w:rFonts w:cstheme="minorHAnsi"/>
                <w:b/>
                <w:color w:val="0D0D0D" w:themeColor="text1" w:themeTint="F2"/>
              </w:rPr>
              <w:t>5</w:t>
            </w:r>
          </w:p>
        </w:tc>
        <w:tc>
          <w:tcPr>
            <w:tcW w:w="1247" w:type="pct"/>
            <w:tcBorders>
              <w:top w:val="single" w:sz="8" w:space="0" w:color="FFFFFF"/>
              <w:left w:val="single" w:sz="8" w:space="0" w:color="FFFFFF"/>
              <w:bottom w:val="single" w:sz="8" w:space="0" w:color="FFFFFF"/>
              <w:right w:val="single" w:sz="8" w:space="0" w:color="FFFFFF"/>
            </w:tcBorders>
            <w:shd w:val="clear" w:color="auto" w:fill="D2DEEF"/>
            <w:tcMar>
              <w:top w:w="24" w:type="dxa"/>
              <w:left w:w="48" w:type="dxa"/>
              <w:bottom w:w="24" w:type="dxa"/>
              <w:right w:w="48" w:type="dxa"/>
            </w:tcMar>
            <w:hideMark/>
          </w:tcPr>
          <w:p w14:paraId="49A50AE4" w14:textId="7CC2DC00" w:rsidR="00A27F28" w:rsidRPr="00FF4C3F" w:rsidRDefault="002A71F5" w:rsidP="00A27F28">
            <w:pPr>
              <w:rPr>
                <w:rFonts w:cstheme="minorHAnsi"/>
                <w:b/>
                <w:color w:val="0D0D0D" w:themeColor="text1" w:themeTint="F2"/>
              </w:rPr>
            </w:pPr>
            <w:r>
              <w:rPr>
                <w:rFonts w:cstheme="minorHAnsi"/>
                <w:b/>
                <w:color w:val="0D0D0D" w:themeColor="text1" w:themeTint="F2"/>
              </w:rPr>
              <w:t>23</w:t>
            </w:r>
          </w:p>
        </w:tc>
      </w:tr>
    </w:tbl>
    <w:p w14:paraId="719789FC" w14:textId="56D5C87E" w:rsidR="00A27F28" w:rsidRDefault="00A27F28" w:rsidP="00FF4C3F">
      <w:pPr>
        <w:pStyle w:val="BodyText"/>
      </w:pPr>
    </w:p>
    <w:p w14:paraId="62796BDA" w14:textId="0D83DB34" w:rsidR="00CA72FA" w:rsidRDefault="00CA72FA" w:rsidP="00FF4C3F">
      <w:pPr>
        <w:pStyle w:val="BodyText"/>
      </w:pPr>
    </w:p>
    <w:p w14:paraId="167D1A1B" w14:textId="77777777" w:rsidR="00CA72FA" w:rsidRPr="00FF4C3F" w:rsidRDefault="00CA72FA" w:rsidP="00FF4C3F">
      <w:pPr>
        <w:pStyle w:val="BodyText"/>
      </w:pPr>
    </w:p>
    <w:p w14:paraId="76C877B9" w14:textId="54175DA7" w:rsidR="009E3E9A" w:rsidRDefault="00AD5B89" w:rsidP="009E3E9A">
      <w:pPr>
        <w:pStyle w:val="Heading4"/>
      </w:pPr>
      <w:r>
        <w:lastRenderedPageBreak/>
        <w:t>4.6</w:t>
      </w:r>
      <w:r>
        <w:tab/>
      </w:r>
      <w:r w:rsidR="009E3E9A">
        <w:t>Regulatory Burden estimates</w:t>
      </w:r>
    </w:p>
    <w:p w14:paraId="40296257" w14:textId="03DC1675" w:rsidR="009E3E9A" w:rsidRPr="00C20287" w:rsidRDefault="009E3E9A" w:rsidP="009E3E9A">
      <w:pPr>
        <w:rPr>
          <w:color w:val="0D0D0D" w:themeColor="text1" w:themeTint="F2"/>
          <w:sz w:val="24"/>
          <w:szCs w:val="24"/>
        </w:rPr>
      </w:pPr>
      <w:r w:rsidRPr="00C20287">
        <w:rPr>
          <w:color w:val="0D0D0D" w:themeColor="text1" w:themeTint="F2"/>
          <w:sz w:val="24"/>
          <w:szCs w:val="24"/>
        </w:rPr>
        <w:t xml:space="preserve">The regulatory effort required by stakeholders remains the same irrespective of the price point for dispensing set in the CPA. Systems and processes for administering the remuneration (through Services Australia and the </w:t>
      </w:r>
      <w:r w:rsidR="009B444C" w:rsidRPr="00B1167B">
        <w:rPr>
          <w:color w:val="0D0D0D" w:themeColor="text1" w:themeTint="F2"/>
          <w:sz w:val="24"/>
          <w:szCs w:val="24"/>
        </w:rPr>
        <w:t>PPA</w:t>
      </w:r>
      <w:r w:rsidRPr="00B1167B">
        <w:rPr>
          <w:color w:val="0D0D0D" w:themeColor="text1" w:themeTint="F2"/>
          <w:sz w:val="24"/>
          <w:szCs w:val="24"/>
        </w:rPr>
        <w:t>)</w:t>
      </w:r>
      <w:r w:rsidRPr="00C20287">
        <w:rPr>
          <w:color w:val="0D0D0D" w:themeColor="text1" w:themeTint="F2"/>
          <w:sz w:val="24"/>
          <w:szCs w:val="24"/>
        </w:rPr>
        <w:t xml:space="preserve"> are well established and no change in administration is required where a simple change in remuneration is made. Therefore the change in regulatory burden is considered nil (or negligible) where only a price has been renegotiated. </w:t>
      </w:r>
    </w:p>
    <w:p w14:paraId="51CB1B93" w14:textId="4C91B2AD" w:rsidR="004D0C44" w:rsidRPr="00C20287" w:rsidRDefault="009E3E9A" w:rsidP="003B6EC3">
      <w:pPr>
        <w:rPr>
          <w:color w:val="0D0D0D" w:themeColor="text1" w:themeTint="F2"/>
          <w:sz w:val="24"/>
          <w:szCs w:val="24"/>
        </w:rPr>
      </w:pPr>
      <w:r w:rsidRPr="00C20287">
        <w:rPr>
          <w:color w:val="0D0D0D" w:themeColor="text1" w:themeTint="F2"/>
          <w:sz w:val="24"/>
          <w:szCs w:val="24"/>
        </w:rPr>
        <w:t xml:space="preserve">Regulatory burden </w:t>
      </w:r>
      <w:r w:rsidR="003202E6">
        <w:rPr>
          <w:color w:val="0D0D0D" w:themeColor="text1" w:themeTint="F2"/>
          <w:sz w:val="24"/>
          <w:szCs w:val="24"/>
        </w:rPr>
        <w:t xml:space="preserve">may occur where there are changes to the scope of the CPA </w:t>
      </w:r>
      <w:r w:rsidRPr="00C20287">
        <w:rPr>
          <w:color w:val="0D0D0D" w:themeColor="text1" w:themeTint="F2"/>
          <w:sz w:val="24"/>
          <w:szCs w:val="24"/>
        </w:rPr>
        <w:t>as a result of the up-front requirement (or possible requirement) for businesses and community organisations to contribute to the development of pharmacy programs and services outside of the CPA to secure ongoing program funding. Beyond this initial additional regulatory burden, the reporting requirements are considered the same as those for the 7CPA. An outline of the assumptions used to consider this burden across all options is provided at Appendix</w:t>
      </w:r>
      <w:r>
        <w:rPr>
          <w:color w:val="0D0D0D" w:themeColor="text1" w:themeTint="F2"/>
          <w:sz w:val="24"/>
          <w:szCs w:val="24"/>
        </w:rPr>
        <w:t xml:space="preserve"> 6</w:t>
      </w:r>
      <w:r w:rsidRPr="00C20287">
        <w:rPr>
          <w:color w:val="0D0D0D" w:themeColor="text1" w:themeTint="F2"/>
          <w:sz w:val="24"/>
          <w:szCs w:val="24"/>
        </w:rPr>
        <w:t>.</w:t>
      </w:r>
    </w:p>
    <w:p w14:paraId="406932D6" w14:textId="364784EB" w:rsidR="009E3E9A" w:rsidRDefault="009E3E9A" w:rsidP="00FF4C3F">
      <w:pPr>
        <w:spacing w:line="240" w:lineRule="auto"/>
      </w:pPr>
      <w:r>
        <w:rPr>
          <w:rFonts w:cstheme="minorHAnsi"/>
          <w:sz w:val="24"/>
          <w:szCs w:val="24"/>
        </w:rPr>
        <w:t>O</w:t>
      </w:r>
      <w:r w:rsidRPr="00C20287">
        <w:rPr>
          <w:rFonts w:cstheme="minorHAnsi"/>
          <w:sz w:val="24"/>
          <w:szCs w:val="24"/>
        </w:rPr>
        <w:t xml:space="preserve">ption </w:t>
      </w:r>
      <w:r>
        <w:rPr>
          <w:rFonts w:cstheme="minorHAnsi"/>
          <w:sz w:val="24"/>
          <w:szCs w:val="24"/>
        </w:rPr>
        <w:t xml:space="preserve">1 </w:t>
      </w:r>
      <w:r w:rsidRPr="00C20287">
        <w:rPr>
          <w:rFonts w:cstheme="minorHAnsi"/>
          <w:sz w:val="24"/>
          <w:szCs w:val="24"/>
        </w:rPr>
        <w:t>would see the separate negotiation of both wholesaler funding arrangements and pharmacy program funding and</w:t>
      </w:r>
      <w:r w:rsidR="00F0365D">
        <w:rPr>
          <w:rFonts w:cstheme="minorHAnsi"/>
          <w:sz w:val="24"/>
          <w:szCs w:val="24"/>
        </w:rPr>
        <w:t xml:space="preserve"> the</w:t>
      </w:r>
      <w:r w:rsidRPr="00C20287">
        <w:rPr>
          <w:rFonts w:cstheme="minorHAnsi"/>
          <w:sz w:val="24"/>
          <w:szCs w:val="24"/>
        </w:rPr>
        <w:t xml:space="preserve"> implementation of evaluation frameworks. This would create a small additional impact on the pharmacy sector and relevant community organisations who would contribute to the development and agreement of these arrangements and their evaluation frameworks as outlined below. Impacts of any new arrangements would be considered separately as these individual proposals were developed in the future.</w:t>
      </w:r>
    </w:p>
    <w:p w14:paraId="2AAC5218" w14:textId="2D564140" w:rsidR="004D0C44" w:rsidRDefault="004D0C44" w:rsidP="003B6EC3">
      <w:pPr>
        <w:rPr>
          <w:rFonts w:cstheme="minorHAnsi"/>
          <w:sz w:val="24"/>
          <w:szCs w:val="24"/>
        </w:rPr>
      </w:pPr>
      <w:r w:rsidRPr="00C20287">
        <w:rPr>
          <w:color w:val="0D0D0D" w:themeColor="text1" w:themeTint="F2"/>
          <w:sz w:val="24"/>
          <w:szCs w:val="24"/>
        </w:rPr>
        <w:t xml:space="preserve">A full regulatory burden table for Option 1 isn’t possible as this would be heavily dependent on the outcomes of the independent assessment of the PBRT. The timeframes for the PBRT to complete a determination assessment are </w:t>
      </w:r>
      <w:r w:rsidR="009B444C">
        <w:rPr>
          <w:color w:val="0D0D0D" w:themeColor="text1" w:themeTint="F2"/>
          <w:sz w:val="24"/>
          <w:szCs w:val="24"/>
        </w:rPr>
        <w:t>unknown</w:t>
      </w:r>
      <w:r w:rsidRPr="00C20287">
        <w:rPr>
          <w:color w:val="0D0D0D" w:themeColor="text1" w:themeTint="F2"/>
          <w:sz w:val="24"/>
          <w:szCs w:val="24"/>
        </w:rPr>
        <w:t xml:space="preserve">, but assessment could not begin until after the expiry of 7CPA on 30 June 2025. Until this time, the 7CPA would remain in place with the following impacts. </w:t>
      </w:r>
    </w:p>
    <w:p w14:paraId="3B08BCC7" w14:textId="70C2F925" w:rsidR="009E3E9A" w:rsidRPr="00C20287" w:rsidRDefault="009E3E9A" w:rsidP="009E3E9A">
      <w:pPr>
        <w:pStyle w:val="Heading4"/>
      </w:pPr>
      <w:r w:rsidRPr="00C20287">
        <w:t xml:space="preserve">Regulatory burden estimate (RBE) table – Option 1 </w:t>
      </w:r>
      <w:r>
        <w:t>until 30 June 2025</w:t>
      </w:r>
    </w:p>
    <w:tbl>
      <w:tblPr>
        <w:tblStyle w:val="PMCTableStyle2"/>
        <w:tblW w:w="0" w:type="auto"/>
        <w:tblLook w:val="0660" w:firstRow="1" w:lastRow="1" w:firstColumn="0" w:lastColumn="0" w:noHBand="1" w:noVBand="1"/>
        <w:tblCaption w:val="Regulatory burden estimate (RBE) table - Option 2"/>
      </w:tblPr>
      <w:tblGrid>
        <w:gridCol w:w="2547"/>
        <w:gridCol w:w="1538"/>
        <w:gridCol w:w="1482"/>
        <w:gridCol w:w="2531"/>
        <w:gridCol w:w="335"/>
        <w:gridCol w:w="1761"/>
      </w:tblGrid>
      <w:tr w:rsidR="009E3E9A" w:rsidRPr="00C20287" w14:paraId="5FB96269" w14:textId="77777777" w:rsidTr="00AF325F">
        <w:trPr>
          <w:cnfStyle w:val="100000000000" w:firstRow="1" w:lastRow="0" w:firstColumn="0" w:lastColumn="0" w:oddVBand="0" w:evenVBand="0" w:oddHBand="0" w:evenHBand="0" w:firstRowFirstColumn="0" w:firstRowLastColumn="0" w:lastRowFirstColumn="0" w:lastRowLastColumn="0"/>
          <w:trHeight w:val="350"/>
          <w:tblHeader/>
        </w:trPr>
        <w:tc>
          <w:tcPr>
            <w:tcW w:w="10194" w:type="dxa"/>
            <w:gridSpan w:val="6"/>
          </w:tcPr>
          <w:p w14:paraId="593EF7E8" w14:textId="77777777" w:rsidR="009E3E9A" w:rsidRPr="00C20287" w:rsidRDefault="009E3E9A" w:rsidP="00AF325F">
            <w:pPr>
              <w:pStyle w:val="TableHeading"/>
            </w:pPr>
            <w:r w:rsidRPr="00C20287">
              <w:t>Average annual regulatory costs</w:t>
            </w:r>
          </w:p>
        </w:tc>
      </w:tr>
      <w:tr w:rsidR="009E3E9A" w:rsidRPr="00C20287" w14:paraId="3C7DFF6D" w14:textId="77777777" w:rsidTr="00AF325F">
        <w:trPr>
          <w:trHeight w:val="350"/>
        </w:trPr>
        <w:tc>
          <w:tcPr>
            <w:tcW w:w="2547" w:type="dxa"/>
          </w:tcPr>
          <w:p w14:paraId="66013BE5" w14:textId="77777777" w:rsidR="009E3E9A" w:rsidRPr="00C20287" w:rsidRDefault="009E3E9A" w:rsidP="00AF325F">
            <w:pPr>
              <w:pStyle w:val="TableBody"/>
            </w:pPr>
            <w:r w:rsidRPr="00C20287">
              <w:t>Change in costs ($ million)</w:t>
            </w:r>
          </w:p>
        </w:tc>
        <w:tc>
          <w:tcPr>
            <w:tcW w:w="1538" w:type="dxa"/>
          </w:tcPr>
          <w:p w14:paraId="5863B3A8" w14:textId="77777777" w:rsidR="009E3E9A" w:rsidRPr="00C20287" w:rsidRDefault="009E3E9A" w:rsidP="00AF325F">
            <w:pPr>
              <w:pStyle w:val="TableBody"/>
            </w:pPr>
            <w:r w:rsidRPr="00C20287">
              <w:t>Individuals</w:t>
            </w:r>
          </w:p>
        </w:tc>
        <w:tc>
          <w:tcPr>
            <w:tcW w:w="1482" w:type="dxa"/>
          </w:tcPr>
          <w:p w14:paraId="03F00A5A" w14:textId="77777777" w:rsidR="009E3E9A" w:rsidRPr="00C20287" w:rsidRDefault="009E3E9A" w:rsidP="00AF325F">
            <w:pPr>
              <w:pStyle w:val="TableBullet"/>
              <w:numPr>
                <w:ilvl w:val="0"/>
                <w:numId w:val="0"/>
              </w:numPr>
              <w:ind w:left="19"/>
            </w:pPr>
            <w:r w:rsidRPr="00C20287">
              <w:t xml:space="preserve">Business </w:t>
            </w:r>
          </w:p>
        </w:tc>
        <w:tc>
          <w:tcPr>
            <w:tcW w:w="2531" w:type="dxa"/>
          </w:tcPr>
          <w:p w14:paraId="2AC9DBC3" w14:textId="77777777" w:rsidR="009E3E9A" w:rsidRPr="00C20287" w:rsidRDefault="009E3E9A" w:rsidP="00AF325F">
            <w:pPr>
              <w:pStyle w:val="TableBody"/>
            </w:pPr>
            <w:r w:rsidRPr="00C20287">
              <w:t>Community organisations</w:t>
            </w:r>
          </w:p>
        </w:tc>
        <w:tc>
          <w:tcPr>
            <w:tcW w:w="2096" w:type="dxa"/>
            <w:gridSpan w:val="2"/>
          </w:tcPr>
          <w:p w14:paraId="1D00A31B" w14:textId="77777777" w:rsidR="009E3E9A" w:rsidRPr="00C20287" w:rsidRDefault="009E3E9A" w:rsidP="00AF325F">
            <w:pPr>
              <w:pStyle w:val="TableNumbering"/>
              <w:numPr>
                <w:ilvl w:val="0"/>
                <w:numId w:val="0"/>
              </w:numPr>
            </w:pPr>
            <w:r w:rsidRPr="00C20287">
              <w:t>Total change in cost</w:t>
            </w:r>
          </w:p>
        </w:tc>
      </w:tr>
      <w:tr w:rsidR="009E3E9A" w:rsidRPr="00C20287" w14:paraId="340BF838" w14:textId="77777777" w:rsidTr="00AF325F">
        <w:trPr>
          <w:cnfStyle w:val="010000000000" w:firstRow="0" w:lastRow="1" w:firstColumn="0" w:lastColumn="0" w:oddVBand="0" w:evenVBand="0" w:oddHBand="0" w:evenHBand="0" w:firstRowFirstColumn="0" w:firstRowLastColumn="0" w:lastRowFirstColumn="0" w:lastRowLastColumn="0"/>
          <w:trHeight w:val="350"/>
        </w:trPr>
        <w:tc>
          <w:tcPr>
            <w:tcW w:w="2547" w:type="dxa"/>
          </w:tcPr>
          <w:p w14:paraId="48BCD06A" w14:textId="77777777" w:rsidR="009E3E9A" w:rsidRPr="00C20287" w:rsidRDefault="009E3E9A" w:rsidP="00AF325F">
            <w:pPr>
              <w:pStyle w:val="TableBody"/>
            </w:pPr>
            <w:r w:rsidRPr="00C20287">
              <w:t>Total, by sector</w:t>
            </w:r>
          </w:p>
        </w:tc>
        <w:tc>
          <w:tcPr>
            <w:tcW w:w="1538" w:type="dxa"/>
          </w:tcPr>
          <w:p w14:paraId="0E9447DB" w14:textId="77777777" w:rsidR="009E3E9A" w:rsidRPr="00C20287" w:rsidRDefault="009E3E9A" w:rsidP="00AF325F">
            <w:pPr>
              <w:rPr>
                <w:color w:val="auto"/>
                <w:sz w:val="18"/>
              </w:rPr>
            </w:pPr>
            <w:r w:rsidRPr="00C20287">
              <w:rPr>
                <w:color w:val="auto"/>
                <w:sz w:val="18"/>
              </w:rPr>
              <w:t>$0</w:t>
            </w:r>
          </w:p>
        </w:tc>
        <w:tc>
          <w:tcPr>
            <w:tcW w:w="1482" w:type="dxa"/>
          </w:tcPr>
          <w:p w14:paraId="69954BC3" w14:textId="77777777" w:rsidR="009E3E9A" w:rsidRPr="00C20287" w:rsidRDefault="009E3E9A" w:rsidP="00AF325F">
            <w:r w:rsidRPr="00C20287">
              <w:t>$0.088</w:t>
            </w:r>
          </w:p>
        </w:tc>
        <w:tc>
          <w:tcPr>
            <w:tcW w:w="2866" w:type="dxa"/>
            <w:gridSpan w:val="2"/>
          </w:tcPr>
          <w:p w14:paraId="1F886251" w14:textId="77777777" w:rsidR="009E3E9A" w:rsidRPr="00C20287" w:rsidRDefault="009E3E9A" w:rsidP="00AF325F">
            <w:pPr>
              <w:pStyle w:val="TableNumbering"/>
              <w:numPr>
                <w:ilvl w:val="0"/>
                <w:numId w:val="0"/>
              </w:numPr>
              <w:ind w:left="284" w:hanging="284"/>
            </w:pPr>
            <w:r w:rsidRPr="00C20287">
              <w:t>$0.011</w:t>
            </w:r>
          </w:p>
        </w:tc>
        <w:tc>
          <w:tcPr>
            <w:tcW w:w="1761" w:type="dxa"/>
          </w:tcPr>
          <w:p w14:paraId="4E30752C" w14:textId="77777777" w:rsidR="009E3E9A" w:rsidRPr="00C20287" w:rsidRDefault="009E3E9A" w:rsidP="00AF325F">
            <w:pPr>
              <w:pStyle w:val="TableNumbering"/>
              <w:numPr>
                <w:ilvl w:val="0"/>
                <w:numId w:val="0"/>
              </w:numPr>
              <w:ind w:left="284" w:hanging="284"/>
              <w:rPr>
                <w:color w:val="auto"/>
              </w:rPr>
            </w:pPr>
            <w:r w:rsidRPr="00C20287">
              <w:rPr>
                <w:color w:val="auto"/>
              </w:rPr>
              <w:t>$0.099</w:t>
            </w:r>
          </w:p>
        </w:tc>
      </w:tr>
    </w:tbl>
    <w:p w14:paraId="2BD672BC" w14:textId="77777777" w:rsidR="009E3E9A" w:rsidRDefault="009E3E9A" w:rsidP="009E3E9A">
      <w:pPr>
        <w:rPr>
          <w:sz w:val="24"/>
          <w:szCs w:val="24"/>
        </w:rPr>
      </w:pPr>
    </w:p>
    <w:p w14:paraId="5439902A" w14:textId="6111F74F" w:rsidR="009E3E9A" w:rsidRPr="00C20287" w:rsidRDefault="009E3E9A" w:rsidP="009E3E9A">
      <w:pPr>
        <w:rPr>
          <w:sz w:val="24"/>
          <w:szCs w:val="24"/>
        </w:rPr>
      </w:pPr>
      <w:r>
        <w:rPr>
          <w:sz w:val="24"/>
          <w:szCs w:val="24"/>
        </w:rPr>
        <w:t>Under Option 2 c</w:t>
      </w:r>
      <w:r w:rsidRPr="00C20287">
        <w:rPr>
          <w:sz w:val="24"/>
          <w:szCs w:val="24"/>
        </w:rPr>
        <w:t>ommunity pharmacists will be most directly affected by changes to pharmacy remuneration and publicly funded pharmacy programs. The changes to pharmacy dispensing remuneration, wholesaler mark-up and supply funding under this option would however be small and align with the broad approach taken in 7CPA. There would be no change in regulatory activities undertaken or dispensing services delivered by pharmacist and no impact on individuals.</w:t>
      </w:r>
    </w:p>
    <w:p w14:paraId="49BD7A4B" w14:textId="022EB6F0" w:rsidR="00CA72FA" w:rsidRPr="00C20287" w:rsidRDefault="009E3E9A" w:rsidP="009E3E9A">
      <w:pPr>
        <w:rPr>
          <w:sz w:val="24"/>
          <w:szCs w:val="24"/>
        </w:rPr>
      </w:pPr>
      <w:r w:rsidRPr="00C20287">
        <w:rPr>
          <w:sz w:val="24"/>
          <w:szCs w:val="24"/>
        </w:rPr>
        <w:t xml:space="preserve">In addition this option would see the continuation of existing programs, with further consideration given to the implementation of program evaluation frameworks to occur separately following the commencement of 8CPA. If an evaluation framework was separately implemented this could have a regulatory impact but this has not been modelled as there are as yet no parameters on what such </w:t>
      </w:r>
      <w:r w:rsidR="00A53549">
        <w:rPr>
          <w:sz w:val="24"/>
          <w:szCs w:val="24"/>
        </w:rPr>
        <w:t xml:space="preserve">a </w:t>
      </w:r>
      <w:r w:rsidRPr="00C20287">
        <w:rPr>
          <w:sz w:val="24"/>
          <w:szCs w:val="24"/>
        </w:rPr>
        <w:t>framework would take</w:t>
      </w:r>
      <w:r w:rsidRPr="00C20287" w:rsidDel="0052285B">
        <w:rPr>
          <w:sz w:val="24"/>
          <w:szCs w:val="24"/>
        </w:rPr>
        <w:t xml:space="preserve"> </w:t>
      </w:r>
      <w:r w:rsidRPr="00C20287">
        <w:rPr>
          <w:sz w:val="24"/>
          <w:szCs w:val="24"/>
        </w:rPr>
        <w:t>and would be considered at a future time.</w:t>
      </w:r>
      <w:r w:rsidR="00AE413D" w:rsidRPr="00AE413D">
        <w:t xml:space="preserve"> </w:t>
      </w:r>
      <w:r w:rsidR="00AE413D" w:rsidRPr="00AE413D">
        <w:rPr>
          <w:sz w:val="24"/>
          <w:szCs w:val="24"/>
        </w:rPr>
        <w:t>The costing of regulatory burden</w:t>
      </w:r>
      <w:r w:rsidR="002A71F5">
        <w:rPr>
          <w:sz w:val="24"/>
          <w:szCs w:val="24"/>
        </w:rPr>
        <w:t xml:space="preserve"> for Option 2</w:t>
      </w:r>
      <w:r w:rsidR="00AE413D" w:rsidRPr="00AE413D">
        <w:rPr>
          <w:sz w:val="24"/>
          <w:szCs w:val="24"/>
        </w:rPr>
        <w:t xml:space="preserve"> is for the proposed life of </w:t>
      </w:r>
      <w:r w:rsidR="00AE413D">
        <w:rPr>
          <w:sz w:val="24"/>
          <w:szCs w:val="24"/>
        </w:rPr>
        <w:t>the</w:t>
      </w:r>
      <w:r w:rsidR="00AE413D" w:rsidRPr="00AE413D">
        <w:rPr>
          <w:sz w:val="24"/>
          <w:szCs w:val="24"/>
        </w:rPr>
        <w:t xml:space="preserve"> new CPA, 5 years</w:t>
      </w:r>
      <w:r w:rsidR="00AE413D">
        <w:rPr>
          <w:sz w:val="24"/>
          <w:szCs w:val="24"/>
        </w:rPr>
        <w:t>.</w:t>
      </w:r>
    </w:p>
    <w:p w14:paraId="5E806447" w14:textId="0A20513F" w:rsidR="009E3E9A" w:rsidRPr="00C20287" w:rsidRDefault="009E3E9A" w:rsidP="009E3E9A">
      <w:pPr>
        <w:pStyle w:val="Heading4"/>
      </w:pPr>
      <w:r w:rsidRPr="00C20287">
        <w:lastRenderedPageBreak/>
        <w:t>Regulatory burden estimate (RBE) table – Option 2</w:t>
      </w:r>
    </w:p>
    <w:tbl>
      <w:tblPr>
        <w:tblStyle w:val="PMCTableStyle2"/>
        <w:tblW w:w="0" w:type="auto"/>
        <w:tblLook w:val="0660" w:firstRow="1" w:lastRow="1" w:firstColumn="0" w:lastColumn="0" w:noHBand="1" w:noVBand="1"/>
        <w:tblCaption w:val="Regulatory burden estimate (RBE) table - Option 2"/>
      </w:tblPr>
      <w:tblGrid>
        <w:gridCol w:w="2547"/>
        <w:gridCol w:w="1538"/>
        <w:gridCol w:w="1482"/>
        <w:gridCol w:w="2531"/>
        <w:gridCol w:w="335"/>
        <w:gridCol w:w="1761"/>
      </w:tblGrid>
      <w:tr w:rsidR="009E3E9A" w:rsidRPr="00C20287" w14:paraId="0AE062DE" w14:textId="77777777" w:rsidTr="00AF325F">
        <w:trPr>
          <w:cnfStyle w:val="100000000000" w:firstRow="1" w:lastRow="0" w:firstColumn="0" w:lastColumn="0" w:oddVBand="0" w:evenVBand="0" w:oddHBand="0" w:evenHBand="0" w:firstRowFirstColumn="0" w:firstRowLastColumn="0" w:lastRowFirstColumn="0" w:lastRowLastColumn="0"/>
          <w:trHeight w:val="350"/>
          <w:tblHeader/>
        </w:trPr>
        <w:tc>
          <w:tcPr>
            <w:tcW w:w="10194" w:type="dxa"/>
            <w:gridSpan w:val="6"/>
          </w:tcPr>
          <w:p w14:paraId="7E93E5B6" w14:textId="77777777" w:rsidR="009E3E9A" w:rsidRPr="00C20287" w:rsidRDefault="009E3E9A" w:rsidP="00AF325F">
            <w:pPr>
              <w:pStyle w:val="TableHeading"/>
            </w:pPr>
            <w:r w:rsidRPr="00C20287">
              <w:t>Average annual regulatory costs</w:t>
            </w:r>
          </w:p>
        </w:tc>
      </w:tr>
      <w:tr w:rsidR="009E3E9A" w:rsidRPr="00C20287" w14:paraId="41F6EAE6" w14:textId="77777777" w:rsidTr="00AF325F">
        <w:trPr>
          <w:trHeight w:val="350"/>
        </w:trPr>
        <w:tc>
          <w:tcPr>
            <w:tcW w:w="2547" w:type="dxa"/>
          </w:tcPr>
          <w:p w14:paraId="5D3D99EA" w14:textId="77777777" w:rsidR="009E3E9A" w:rsidRPr="00C20287" w:rsidRDefault="009E3E9A" w:rsidP="00AF325F">
            <w:pPr>
              <w:pStyle w:val="TableBody"/>
            </w:pPr>
            <w:r w:rsidRPr="00C20287">
              <w:t>Change in costs ($ million)</w:t>
            </w:r>
          </w:p>
        </w:tc>
        <w:tc>
          <w:tcPr>
            <w:tcW w:w="1538" w:type="dxa"/>
          </w:tcPr>
          <w:p w14:paraId="1F4699D9" w14:textId="77777777" w:rsidR="009E3E9A" w:rsidRPr="00C20287" w:rsidRDefault="009E3E9A" w:rsidP="00AF325F">
            <w:pPr>
              <w:pStyle w:val="TableBody"/>
            </w:pPr>
            <w:r w:rsidRPr="00C20287">
              <w:t>Individuals</w:t>
            </w:r>
          </w:p>
        </w:tc>
        <w:tc>
          <w:tcPr>
            <w:tcW w:w="1482" w:type="dxa"/>
          </w:tcPr>
          <w:p w14:paraId="7288ECA0" w14:textId="77777777" w:rsidR="009E3E9A" w:rsidRPr="00C20287" w:rsidRDefault="009E3E9A" w:rsidP="00AF325F">
            <w:pPr>
              <w:pStyle w:val="TableBullet"/>
              <w:numPr>
                <w:ilvl w:val="0"/>
                <w:numId w:val="0"/>
              </w:numPr>
              <w:ind w:left="19"/>
            </w:pPr>
            <w:r w:rsidRPr="00C20287">
              <w:t xml:space="preserve">Business </w:t>
            </w:r>
          </w:p>
        </w:tc>
        <w:tc>
          <w:tcPr>
            <w:tcW w:w="2531" w:type="dxa"/>
          </w:tcPr>
          <w:p w14:paraId="09EAAB51" w14:textId="77777777" w:rsidR="009E3E9A" w:rsidRPr="00C20287" w:rsidRDefault="009E3E9A" w:rsidP="00AF325F">
            <w:pPr>
              <w:pStyle w:val="TableBody"/>
            </w:pPr>
            <w:r w:rsidRPr="00C20287">
              <w:t>Community organisations</w:t>
            </w:r>
          </w:p>
        </w:tc>
        <w:tc>
          <w:tcPr>
            <w:tcW w:w="2096" w:type="dxa"/>
            <w:gridSpan w:val="2"/>
          </w:tcPr>
          <w:p w14:paraId="0ABAF934" w14:textId="77777777" w:rsidR="009E3E9A" w:rsidRPr="00C20287" w:rsidRDefault="009E3E9A" w:rsidP="00AF325F">
            <w:pPr>
              <w:pStyle w:val="TableNumbering"/>
              <w:numPr>
                <w:ilvl w:val="0"/>
                <w:numId w:val="0"/>
              </w:numPr>
            </w:pPr>
            <w:r w:rsidRPr="00C20287">
              <w:t>Total change in cost</w:t>
            </w:r>
          </w:p>
        </w:tc>
      </w:tr>
      <w:tr w:rsidR="009E3E9A" w:rsidRPr="00C20287" w14:paraId="465A5AF9" w14:textId="77777777" w:rsidTr="00AF325F">
        <w:trPr>
          <w:cnfStyle w:val="010000000000" w:firstRow="0" w:lastRow="1" w:firstColumn="0" w:lastColumn="0" w:oddVBand="0" w:evenVBand="0" w:oddHBand="0" w:evenHBand="0" w:firstRowFirstColumn="0" w:firstRowLastColumn="0" w:lastRowFirstColumn="0" w:lastRowLastColumn="0"/>
          <w:trHeight w:val="350"/>
        </w:trPr>
        <w:tc>
          <w:tcPr>
            <w:tcW w:w="2547" w:type="dxa"/>
          </w:tcPr>
          <w:p w14:paraId="389E5D6F" w14:textId="77777777" w:rsidR="009E3E9A" w:rsidRPr="00C20287" w:rsidRDefault="009E3E9A" w:rsidP="00AF325F">
            <w:pPr>
              <w:pStyle w:val="TableBody"/>
            </w:pPr>
            <w:r w:rsidRPr="00C20287">
              <w:t>Total, by sector</w:t>
            </w:r>
          </w:p>
        </w:tc>
        <w:tc>
          <w:tcPr>
            <w:tcW w:w="1538" w:type="dxa"/>
          </w:tcPr>
          <w:p w14:paraId="2E734A09" w14:textId="77777777" w:rsidR="009E3E9A" w:rsidRPr="00C20287" w:rsidRDefault="009E3E9A" w:rsidP="00AF325F">
            <w:pPr>
              <w:rPr>
                <w:color w:val="auto"/>
                <w:sz w:val="18"/>
              </w:rPr>
            </w:pPr>
            <w:r w:rsidRPr="00C20287">
              <w:rPr>
                <w:color w:val="auto"/>
                <w:sz w:val="18"/>
              </w:rPr>
              <w:t>$ 0</w:t>
            </w:r>
          </w:p>
        </w:tc>
        <w:tc>
          <w:tcPr>
            <w:tcW w:w="1482" w:type="dxa"/>
          </w:tcPr>
          <w:p w14:paraId="17EC0587" w14:textId="77777777" w:rsidR="009E3E9A" w:rsidRPr="00C20287" w:rsidRDefault="009E3E9A" w:rsidP="00AF325F">
            <w:r w:rsidRPr="00C20287">
              <w:rPr>
                <w:sz w:val="18"/>
              </w:rPr>
              <w:t>$0</w:t>
            </w:r>
          </w:p>
        </w:tc>
        <w:tc>
          <w:tcPr>
            <w:tcW w:w="2866" w:type="dxa"/>
            <w:gridSpan w:val="2"/>
          </w:tcPr>
          <w:p w14:paraId="549CBFBE" w14:textId="77777777" w:rsidR="009E3E9A" w:rsidRPr="00C20287" w:rsidRDefault="009E3E9A" w:rsidP="00AF325F">
            <w:pPr>
              <w:pStyle w:val="TableNumbering"/>
              <w:numPr>
                <w:ilvl w:val="0"/>
                <w:numId w:val="0"/>
              </w:numPr>
              <w:ind w:left="284" w:hanging="284"/>
            </w:pPr>
            <w:r w:rsidRPr="00C20287">
              <w:t>$0</w:t>
            </w:r>
          </w:p>
        </w:tc>
        <w:tc>
          <w:tcPr>
            <w:tcW w:w="1761" w:type="dxa"/>
          </w:tcPr>
          <w:p w14:paraId="1C74C29A" w14:textId="77777777" w:rsidR="009E3E9A" w:rsidRPr="00C20287" w:rsidRDefault="009E3E9A" w:rsidP="00AF325F">
            <w:pPr>
              <w:pStyle w:val="TableNumbering"/>
              <w:numPr>
                <w:ilvl w:val="0"/>
                <w:numId w:val="0"/>
              </w:numPr>
              <w:ind w:left="284" w:hanging="284"/>
              <w:rPr>
                <w:color w:val="auto"/>
              </w:rPr>
            </w:pPr>
            <w:r w:rsidRPr="00C20287">
              <w:rPr>
                <w:color w:val="auto"/>
              </w:rPr>
              <w:t>$0</w:t>
            </w:r>
          </w:p>
        </w:tc>
      </w:tr>
    </w:tbl>
    <w:p w14:paraId="46EA29CE" w14:textId="77777777" w:rsidR="009E3E9A" w:rsidRDefault="009E3E9A" w:rsidP="009E3E9A">
      <w:pPr>
        <w:rPr>
          <w:color w:val="0D0D0D" w:themeColor="text1" w:themeTint="F2"/>
          <w:sz w:val="24"/>
          <w:szCs w:val="24"/>
        </w:rPr>
      </w:pPr>
    </w:p>
    <w:p w14:paraId="69881CA3" w14:textId="4BC36060" w:rsidR="009E3E9A" w:rsidRPr="00C20287" w:rsidRDefault="009E3E9A" w:rsidP="009E3E9A">
      <w:pPr>
        <w:rPr>
          <w:color w:val="0D0D0D" w:themeColor="text1" w:themeTint="F2"/>
          <w:sz w:val="24"/>
          <w:szCs w:val="24"/>
        </w:rPr>
      </w:pPr>
      <w:r w:rsidRPr="00C20287">
        <w:rPr>
          <w:color w:val="0D0D0D" w:themeColor="text1" w:themeTint="F2"/>
          <w:sz w:val="24"/>
          <w:szCs w:val="24"/>
        </w:rPr>
        <w:t xml:space="preserve">Despite the proposed changes to the Commonwealth price in relation to pharmacy dispensing remuneration and wholesaler mark-up funding under </w:t>
      </w:r>
      <w:r w:rsidR="00A53549">
        <w:rPr>
          <w:color w:val="0D0D0D" w:themeColor="text1" w:themeTint="F2"/>
          <w:sz w:val="24"/>
          <w:szCs w:val="24"/>
        </w:rPr>
        <w:t>O</w:t>
      </w:r>
      <w:r w:rsidRPr="00C20287">
        <w:rPr>
          <w:color w:val="0D0D0D" w:themeColor="text1" w:themeTint="F2"/>
          <w:sz w:val="24"/>
          <w:szCs w:val="24"/>
        </w:rPr>
        <w:t>ption 3 these changes are in effect relatively small and would require no additional effort from pharmacists or individuals. There would be no change in regulatory activities undertaken or dispensing services delivered by pharmacies and no impact on individuals.</w:t>
      </w:r>
    </w:p>
    <w:p w14:paraId="5D5DCD06" w14:textId="44CD3171" w:rsidR="009E3E9A" w:rsidRPr="009E3E9A" w:rsidRDefault="009E3E9A" w:rsidP="00FF4C3F">
      <w:r w:rsidRPr="00C20287">
        <w:rPr>
          <w:color w:val="0D0D0D" w:themeColor="text1" w:themeTint="F2"/>
          <w:sz w:val="24"/>
          <w:szCs w:val="24"/>
        </w:rPr>
        <w:t xml:space="preserve">This option would also see the separate negotiation of program funding and implementation of evaluation frameworks. While the impacts of these programs would therefore be considered as separate policy proposals this will create an additional impact on the pharmacy sector and relevant community originations who will contribute to the consideration, development and agreement of the programs and their evaluation frameworks. </w:t>
      </w:r>
      <w:r w:rsidR="00AE413D" w:rsidRPr="00AE413D">
        <w:rPr>
          <w:sz w:val="24"/>
          <w:szCs w:val="24"/>
        </w:rPr>
        <w:t>The costing of regulatory burden</w:t>
      </w:r>
      <w:r w:rsidR="002A71F5">
        <w:rPr>
          <w:sz w:val="24"/>
          <w:szCs w:val="24"/>
        </w:rPr>
        <w:t xml:space="preserve"> for Option 3</w:t>
      </w:r>
      <w:r w:rsidR="00AE413D" w:rsidRPr="00AE413D">
        <w:rPr>
          <w:sz w:val="24"/>
          <w:szCs w:val="24"/>
        </w:rPr>
        <w:t xml:space="preserve"> is for the proposed life of </w:t>
      </w:r>
      <w:r w:rsidR="00AE413D">
        <w:rPr>
          <w:sz w:val="24"/>
          <w:szCs w:val="24"/>
        </w:rPr>
        <w:t>the</w:t>
      </w:r>
      <w:r w:rsidR="00AE413D" w:rsidRPr="00AE413D">
        <w:rPr>
          <w:sz w:val="24"/>
          <w:szCs w:val="24"/>
        </w:rPr>
        <w:t xml:space="preserve"> new CPA, 5 years</w:t>
      </w:r>
      <w:r w:rsidR="00AE413D">
        <w:rPr>
          <w:sz w:val="24"/>
          <w:szCs w:val="24"/>
        </w:rPr>
        <w:t>.</w:t>
      </w:r>
    </w:p>
    <w:p w14:paraId="1EFE977B" w14:textId="66DE3C9E" w:rsidR="009E3E9A" w:rsidRPr="00C20287" w:rsidRDefault="009E3E9A" w:rsidP="009E3E9A">
      <w:pPr>
        <w:pStyle w:val="Heading4"/>
      </w:pPr>
      <w:r w:rsidRPr="00C20287">
        <w:t>Regulatory burden estimate (RBE) table – Option 3</w:t>
      </w:r>
    </w:p>
    <w:tbl>
      <w:tblPr>
        <w:tblStyle w:val="PMCTableStyle2"/>
        <w:tblW w:w="0" w:type="auto"/>
        <w:tblLook w:val="0660" w:firstRow="1" w:lastRow="1" w:firstColumn="0" w:lastColumn="0" w:noHBand="1" w:noVBand="1"/>
        <w:tblCaption w:val="Regulatory burden estimate (RBE) table - Option 2"/>
      </w:tblPr>
      <w:tblGrid>
        <w:gridCol w:w="2547"/>
        <w:gridCol w:w="1538"/>
        <w:gridCol w:w="1482"/>
        <w:gridCol w:w="2531"/>
        <w:gridCol w:w="335"/>
        <w:gridCol w:w="1761"/>
      </w:tblGrid>
      <w:tr w:rsidR="009E3E9A" w:rsidRPr="00C20287" w14:paraId="094F39C0" w14:textId="77777777" w:rsidTr="00AF325F">
        <w:trPr>
          <w:cnfStyle w:val="100000000000" w:firstRow="1" w:lastRow="0" w:firstColumn="0" w:lastColumn="0" w:oddVBand="0" w:evenVBand="0" w:oddHBand="0" w:evenHBand="0" w:firstRowFirstColumn="0" w:firstRowLastColumn="0" w:lastRowFirstColumn="0" w:lastRowLastColumn="0"/>
          <w:trHeight w:val="350"/>
          <w:tblHeader/>
        </w:trPr>
        <w:tc>
          <w:tcPr>
            <w:tcW w:w="10194" w:type="dxa"/>
            <w:gridSpan w:val="6"/>
          </w:tcPr>
          <w:p w14:paraId="28060088" w14:textId="77777777" w:rsidR="009E3E9A" w:rsidRPr="00C20287" w:rsidRDefault="009E3E9A" w:rsidP="00AF325F">
            <w:pPr>
              <w:pStyle w:val="TableHeading"/>
            </w:pPr>
            <w:r w:rsidRPr="00C20287">
              <w:t>Average annual regulatory costs</w:t>
            </w:r>
          </w:p>
        </w:tc>
      </w:tr>
      <w:tr w:rsidR="009E3E9A" w:rsidRPr="00C20287" w14:paraId="52D1DE2E" w14:textId="77777777" w:rsidTr="00AF325F">
        <w:trPr>
          <w:trHeight w:val="350"/>
        </w:trPr>
        <w:tc>
          <w:tcPr>
            <w:tcW w:w="2547" w:type="dxa"/>
          </w:tcPr>
          <w:p w14:paraId="3F673425" w14:textId="77777777" w:rsidR="009E3E9A" w:rsidRPr="00C20287" w:rsidRDefault="009E3E9A" w:rsidP="00AF325F">
            <w:pPr>
              <w:pStyle w:val="TableBody"/>
            </w:pPr>
            <w:r w:rsidRPr="00C20287">
              <w:t>Change in costs ($ million)</w:t>
            </w:r>
          </w:p>
        </w:tc>
        <w:tc>
          <w:tcPr>
            <w:tcW w:w="1538" w:type="dxa"/>
          </w:tcPr>
          <w:p w14:paraId="75484E86" w14:textId="77777777" w:rsidR="009E3E9A" w:rsidRPr="00C20287" w:rsidRDefault="009E3E9A" w:rsidP="00AF325F">
            <w:pPr>
              <w:pStyle w:val="TableBody"/>
            </w:pPr>
            <w:r w:rsidRPr="00C20287">
              <w:t>Individuals</w:t>
            </w:r>
          </w:p>
        </w:tc>
        <w:tc>
          <w:tcPr>
            <w:tcW w:w="1482" w:type="dxa"/>
          </w:tcPr>
          <w:p w14:paraId="71F957C6" w14:textId="77777777" w:rsidR="009E3E9A" w:rsidRPr="00C20287" w:rsidRDefault="009E3E9A" w:rsidP="00AF325F">
            <w:pPr>
              <w:pStyle w:val="TableBullet"/>
              <w:numPr>
                <w:ilvl w:val="0"/>
                <w:numId w:val="0"/>
              </w:numPr>
              <w:ind w:left="19"/>
            </w:pPr>
            <w:r w:rsidRPr="00C20287">
              <w:t xml:space="preserve">Business </w:t>
            </w:r>
          </w:p>
        </w:tc>
        <w:tc>
          <w:tcPr>
            <w:tcW w:w="2531" w:type="dxa"/>
          </w:tcPr>
          <w:p w14:paraId="05A932C1" w14:textId="77777777" w:rsidR="009E3E9A" w:rsidRPr="00C20287" w:rsidRDefault="009E3E9A" w:rsidP="00AF325F">
            <w:pPr>
              <w:pStyle w:val="TableBody"/>
            </w:pPr>
            <w:r w:rsidRPr="00C20287">
              <w:t>Community organisations</w:t>
            </w:r>
          </w:p>
        </w:tc>
        <w:tc>
          <w:tcPr>
            <w:tcW w:w="2096" w:type="dxa"/>
            <w:gridSpan w:val="2"/>
          </w:tcPr>
          <w:p w14:paraId="470CD846" w14:textId="77777777" w:rsidR="009E3E9A" w:rsidRPr="00C20287" w:rsidRDefault="009E3E9A" w:rsidP="00AF325F">
            <w:pPr>
              <w:pStyle w:val="TableNumbering"/>
              <w:numPr>
                <w:ilvl w:val="0"/>
                <w:numId w:val="0"/>
              </w:numPr>
            </w:pPr>
            <w:r w:rsidRPr="00C20287">
              <w:t>Total change in cost</w:t>
            </w:r>
          </w:p>
        </w:tc>
      </w:tr>
      <w:tr w:rsidR="009E3E9A" w:rsidRPr="00C20287" w14:paraId="00F92D00" w14:textId="77777777" w:rsidTr="00AF325F">
        <w:trPr>
          <w:cnfStyle w:val="010000000000" w:firstRow="0" w:lastRow="1" w:firstColumn="0" w:lastColumn="0" w:oddVBand="0" w:evenVBand="0" w:oddHBand="0" w:evenHBand="0" w:firstRowFirstColumn="0" w:firstRowLastColumn="0" w:lastRowFirstColumn="0" w:lastRowLastColumn="0"/>
          <w:trHeight w:val="350"/>
        </w:trPr>
        <w:tc>
          <w:tcPr>
            <w:tcW w:w="2547" w:type="dxa"/>
          </w:tcPr>
          <w:p w14:paraId="58456200" w14:textId="77777777" w:rsidR="009E3E9A" w:rsidRPr="00C20287" w:rsidRDefault="009E3E9A" w:rsidP="00AF325F">
            <w:pPr>
              <w:pStyle w:val="TableBody"/>
            </w:pPr>
            <w:r w:rsidRPr="00C20287">
              <w:t>Total, by sector</w:t>
            </w:r>
          </w:p>
        </w:tc>
        <w:tc>
          <w:tcPr>
            <w:tcW w:w="1538" w:type="dxa"/>
          </w:tcPr>
          <w:p w14:paraId="78CD8B4A" w14:textId="77777777" w:rsidR="009E3E9A" w:rsidRPr="00C20287" w:rsidRDefault="009E3E9A" w:rsidP="00AF325F">
            <w:pPr>
              <w:rPr>
                <w:color w:val="auto"/>
                <w:sz w:val="18"/>
              </w:rPr>
            </w:pPr>
            <w:r w:rsidRPr="00C20287">
              <w:rPr>
                <w:color w:val="auto"/>
                <w:sz w:val="18"/>
              </w:rPr>
              <w:t>$0</w:t>
            </w:r>
          </w:p>
        </w:tc>
        <w:tc>
          <w:tcPr>
            <w:tcW w:w="1482" w:type="dxa"/>
          </w:tcPr>
          <w:p w14:paraId="0065884D" w14:textId="77777777" w:rsidR="009E3E9A" w:rsidRPr="00C20287" w:rsidRDefault="009E3E9A" w:rsidP="00AF325F">
            <w:pPr>
              <w:rPr>
                <w:sz w:val="18"/>
                <w:szCs w:val="18"/>
              </w:rPr>
            </w:pPr>
            <w:r w:rsidRPr="00C20287">
              <w:rPr>
                <w:sz w:val="18"/>
                <w:szCs w:val="18"/>
              </w:rPr>
              <w:t>$0.087</w:t>
            </w:r>
          </w:p>
        </w:tc>
        <w:tc>
          <w:tcPr>
            <w:tcW w:w="2866" w:type="dxa"/>
            <w:gridSpan w:val="2"/>
          </w:tcPr>
          <w:p w14:paraId="522AB389" w14:textId="77777777" w:rsidR="009E3E9A" w:rsidRPr="00C20287" w:rsidRDefault="009E3E9A" w:rsidP="00AF325F">
            <w:pPr>
              <w:pStyle w:val="TableNumbering"/>
              <w:numPr>
                <w:ilvl w:val="0"/>
                <w:numId w:val="0"/>
              </w:numPr>
              <w:ind w:left="284" w:hanging="284"/>
            </w:pPr>
            <w:r w:rsidRPr="00C20287">
              <w:t>$0.012</w:t>
            </w:r>
          </w:p>
        </w:tc>
        <w:tc>
          <w:tcPr>
            <w:tcW w:w="1761" w:type="dxa"/>
          </w:tcPr>
          <w:p w14:paraId="4B366623" w14:textId="77777777" w:rsidR="009E3E9A" w:rsidRPr="00C20287" w:rsidRDefault="009E3E9A" w:rsidP="00AF325F">
            <w:pPr>
              <w:pStyle w:val="TableNumbering"/>
              <w:numPr>
                <w:ilvl w:val="0"/>
                <w:numId w:val="0"/>
              </w:numPr>
              <w:ind w:left="284" w:hanging="284"/>
              <w:rPr>
                <w:color w:val="auto"/>
              </w:rPr>
            </w:pPr>
            <w:r w:rsidRPr="00C20287">
              <w:rPr>
                <w:color w:val="auto"/>
              </w:rPr>
              <w:t>$0.099</w:t>
            </w:r>
          </w:p>
        </w:tc>
      </w:tr>
    </w:tbl>
    <w:p w14:paraId="72401C22" w14:textId="77777777" w:rsidR="009E3E9A" w:rsidRPr="00C20287" w:rsidRDefault="009E3E9A" w:rsidP="009E3E9A"/>
    <w:p w14:paraId="18B8DCC8" w14:textId="77777777" w:rsidR="00696C8C" w:rsidRDefault="00696C8C" w:rsidP="00BD2E73">
      <w:pPr>
        <w:rPr>
          <w:color w:val="0D0D0D" w:themeColor="text1" w:themeTint="F2"/>
          <w:sz w:val="24"/>
          <w:szCs w:val="24"/>
        </w:rPr>
      </w:pPr>
    </w:p>
    <w:p w14:paraId="3F864D5D" w14:textId="75F6117C" w:rsidR="00C51551" w:rsidRPr="00C20287" w:rsidRDefault="00C51551" w:rsidP="00362D40">
      <w:pPr>
        <w:pStyle w:val="Heading2"/>
        <w:pageBreakBefore/>
      </w:pPr>
      <w:bookmarkStart w:id="79" w:name="_Toc132192311"/>
      <w:bookmarkStart w:id="80" w:name="_Toc168652750"/>
      <w:r w:rsidRPr="00C20287">
        <w:lastRenderedPageBreak/>
        <w:t xml:space="preserve">5. </w:t>
      </w:r>
      <w:r w:rsidR="003065B3" w:rsidRPr="00C20287">
        <w:t>Who will you consult about these options and how will you consult them?</w:t>
      </w:r>
      <w:bookmarkEnd w:id="79"/>
      <w:bookmarkEnd w:id="80"/>
    </w:p>
    <w:p w14:paraId="33F04064" w14:textId="21551885" w:rsidR="000919BB" w:rsidRDefault="002B65E7" w:rsidP="00F15697">
      <w:pPr>
        <w:pStyle w:val="CommentText"/>
        <w:spacing w:line="264" w:lineRule="auto"/>
        <w:rPr>
          <w:color w:val="0D0D0D" w:themeColor="text1" w:themeTint="F2"/>
          <w:sz w:val="24"/>
        </w:rPr>
      </w:pPr>
      <w:r w:rsidRPr="00C20287">
        <w:rPr>
          <w:color w:val="0D0D0D" w:themeColor="text1" w:themeTint="F2"/>
          <w:sz w:val="24"/>
        </w:rPr>
        <w:t xml:space="preserve">On 7 August 2023, </w:t>
      </w:r>
      <w:r w:rsidR="008B7BE6" w:rsidRPr="00C20287">
        <w:rPr>
          <w:color w:val="0D0D0D" w:themeColor="text1" w:themeTint="F2"/>
          <w:sz w:val="24"/>
        </w:rPr>
        <w:t>the Minister for Health and Aged Care</w:t>
      </w:r>
      <w:r w:rsidRPr="00C20287">
        <w:rPr>
          <w:color w:val="0D0D0D" w:themeColor="text1" w:themeTint="F2"/>
          <w:sz w:val="24"/>
        </w:rPr>
        <w:t>,</w:t>
      </w:r>
      <w:r w:rsidR="008B7BE6" w:rsidRPr="00C20287">
        <w:rPr>
          <w:color w:val="0D0D0D" w:themeColor="text1" w:themeTint="F2"/>
          <w:sz w:val="24"/>
        </w:rPr>
        <w:t xml:space="preserve"> the Hon Mark Butler MP</w:t>
      </w:r>
      <w:r w:rsidR="00A53549">
        <w:rPr>
          <w:color w:val="0D0D0D" w:themeColor="text1" w:themeTint="F2"/>
          <w:sz w:val="24"/>
        </w:rPr>
        <w:t>,</w:t>
      </w:r>
      <w:r w:rsidR="008B7BE6" w:rsidRPr="00C20287">
        <w:rPr>
          <w:color w:val="0D0D0D" w:themeColor="text1" w:themeTint="F2"/>
          <w:sz w:val="24"/>
        </w:rPr>
        <w:t xml:space="preserve"> </w:t>
      </w:r>
      <w:r w:rsidRPr="00C20287">
        <w:rPr>
          <w:color w:val="0D0D0D" w:themeColor="text1" w:themeTint="F2"/>
          <w:sz w:val="24"/>
        </w:rPr>
        <w:t xml:space="preserve">announced an </w:t>
      </w:r>
      <w:r w:rsidR="008B7BE6" w:rsidRPr="00C20287">
        <w:rPr>
          <w:color w:val="0D0D0D" w:themeColor="text1" w:themeTint="F2"/>
          <w:sz w:val="24"/>
        </w:rPr>
        <w:t>early negotiation for an 8CPA</w:t>
      </w:r>
      <w:r w:rsidRPr="00C20287">
        <w:rPr>
          <w:color w:val="0D0D0D" w:themeColor="text1" w:themeTint="F2"/>
          <w:sz w:val="24"/>
        </w:rPr>
        <w:t>.</w:t>
      </w:r>
      <w:r w:rsidR="009A6045">
        <w:rPr>
          <w:rStyle w:val="FootnoteReference"/>
          <w:color w:val="0D0D0D" w:themeColor="text1" w:themeTint="F2"/>
          <w:sz w:val="24"/>
        </w:rPr>
        <w:footnoteReference w:id="73"/>
      </w:r>
      <w:r w:rsidRPr="00C20287">
        <w:rPr>
          <w:color w:val="0D0D0D" w:themeColor="text1" w:themeTint="F2"/>
          <w:sz w:val="24"/>
        </w:rPr>
        <w:t xml:space="preserve"> In his announcement the Minister stated </w:t>
      </w:r>
      <w:r w:rsidR="008B7BE6" w:rsidRPr="00C20287">
        <w:rPr>
          <w:color w:val="0D0D0D" w:themeColor="text1" w:themeTint="F2"/>
          <w:sz w:val="24"/>
        </w:rPr>
        <w:t xml:space="preserve">that the Department would begin </w:t>
      </w:r>
      <w:r w:rsidR="009C0E51" w:rsidRPr="00C20287">
        <w:rPr>
          <w:color w:val="0D0D0D" w:themeColor="text1" w:themeTint="F2"/>
          <w:sz w:val="24"/>
        </w:rPr>
        <w:t>consultation</w:t>
      </w:r>
      <w:r w:rsidR="008B7BE6" w:rsidRPr="00C20287">
        <w:rPr>
          <w:color w:val="0D0D0D" w:themeColor="text1" w:themeTint="F2"/>
          <w:sz w:val="24"/>
        </w:rPr>
        <w:t xml:space="preserve"> with </w:t>
      </w:r>
      <w:r w:rsidR="009A6045">
        <w:rPr>
          <w:color w:val="0D0D0D" w:themeColor="text1" w:themeTint="F2"/>
          <w:sz w:val="24"/>
        </w:rPr>
        <w:t xml:space="preserve">a </w:t>
      </w:r>
      <w:r w:rsidRPr="00C20287">
        <w:rPr>
          <w:color w:val="0D0D0D" w:themeColor="text1" w:themeTint="F2"/>
          <w:sz w:val="24"/>
        </w:rPr>
        <w:t>broad range of stakeholders including</w:t>
      </w:r>
      <w:r w:rsidR="008B7BE6" w:rsidRPr="00C20287">
        <w:rPr>
          <w:color w:val="0D0D0D" w:themeColor="text1" w:themeTint="F2"/>
          <w:sz w:val="24"/>
        </w:rPr>
        <w:t xml:space="preserve"> patient groups, medicines wholesalers and distributors, and others who have a</w:t>
      </w:r>
      <w:r w:rsidR="0048282C" w:rsidRPr="00C20287">
        <w:rPr>
          <w:color w:val="0D0D0D" w:themeColor="text1" w:themeTint="F2"/>
          <w:sz w:val="24"/>
        </w:rPr>
        <w:t xml:space="preserve">n interest </w:t>
      </w:r>
      <w:r w:rsidR="008B7BE6" w:rsidRPr="00C20287">
        <w:rPr>
          <w:color w:val="0D0D0D" w:themeColor="text1" w:themeTint="F2"/>
          <w:sz w:val="24"/>
        </w:rPr>
        <w:t xml:space="preserve">in the growth and development of pharmacy services that benefit all Australians </w:t>
      </w:r>
      <w:r w:rsidRPr="00C20287">
        <w:rPr>
          <w:color w:val="0D0D0D" w:themeColor="text1" w:themeTint="F2"/>
          <w:sz w:val="24"/>
        </w:rPr>
        <w:t xml:space="preserve">in addition to </w:t>
      </w:r>
      <w:r w:rsidR="008B7BE6" w:rsidRPr="00C20287">
        <w:rPr>
          <w:color w:val="0D0D0D" w:themeColor="text1" w:themeTint="F2"/>
          <w:sz w:val="24"/>
        </w:rPr>
        <w:t>the signatories of the 7CPA</w:t>
      </w:r>
      <w:r w:rsidRPr="00C20287">
        <w:rPr>
          <w:color w:val="0D0D0D" w:themeColor="text1" w:themeTint="F2"/>
          <w:sz w:val="24"/>
        </w:rPr>
        <w:t xml:space="preserve">, </w:t>
      </w:r>
      <w:r w:rsidR="008B7BE6" w:rsidRPr="00C20287">
        <w:rPr>
          <w:color w:val="0D0D0D" w:themeColor="text1" w:themeTint="F2"/>
          <w:sz w:val="24"/>
        </w:rPr>
        <w:t xml:space="preserve">the Guild and PSA. </w:t>
      </w:r>
      <w:r w:rsidR="000919BB">
        <w:rPr>
          <w:color w:val="0D0D0D" w:themeColor="text1" w:themeTint="F2"/>
          <w:sz w:val="24"/>
        </w:rPr>
        <w:t>Given the commercial and financial sensitivities associated</w:t>
      </w:r>
      <w:r w:rsidR="00B0083B">
        <w:rPr>
          <w:color w:val="0D0D0D" w:themeColor="text1" w:themeTint="F2"/>
          <w:sz w:val="24"/>
        </w:rPr>
        <w:t xml:space="preserve"> with</w:t>
      </w:r>
      <w:r w:rsidR="000919BB">
        <w:rPr>
          <w:color w:val="0D0D0D" w:themeColor="text1" w:themeTint="F2"/>
          <w:sz w:val="24"/>
        </w:rPr>
        <w:t xml:space="preserve"> this policy proposal</w:t>
      </w:r>
      <w:r w:rsidR="00B0083B">
        <w:rPr>
          <w:color w:val="0D0D0D" w:themeColor="text1" w:themeTint="F2"/>
          <w:sz w:val="24"/>
        </w:rPr>
        <w:t>,</w:t>
      </w:r>
      <w:r w:rsidR="000919BB">
        <w:rPr>
          <w:color w:val="0D0D0D" w:themeColor="text1" w:themeTint="F2"/>
          <w:sz w:val="24"/>
        </w:rPr>
        <w:t xml:space="preserve"> consultation was undertaken in a confidential manner.</w:t>
      </w:r>
    </w:p>
    <w:p w14:paraId="692A1BD3" w14:textId="1FEA081E" w:rsidR="0067124C" w:rsidRDefault="0067124C" w:rsidP="00F15697">
      <w:pPr>
        <w:pStyle w:val="CommentText"/>
        <w:spacing w:line="264" w:lineRule="auto"/>
        <w:rPr>
          <w:color w:val="0D0D0D" w:themeColor="text1" w:themeTint="F2"/>
          <w:sz w:val="24"/>
        </w:rPr>
      </w:pPr>
      <w:r>
        <w:rPr>
          <w:color w:val="0D0D0D" w:themeColor="text1" w:themeTint="F2"/>
          <w:sz w:val="24"/>
        </w:rPr>
        <w:t xml:space="preserve">The Department viewed broad-based consultation </w:t>
      </w:r>
      <w:r w:rsidR="009260CD">
        <w:rPr>
          <w:color w:val="0D0D0D" w:themeColor="text1" w:themeTint="F2"/>
          <w:sz w:val="24"/>
        </w:rPr>
        <w:t>with a variety of stakeholders to be</w:t>
      </w:r>
      <w:r>
        <w:rPr>
          <w:color w:val="0D0D0D" w:themeColor="text1" w:themeTint="F2"/>
          <w:sz w:val="24"/>
        </w:rPr>
        <w:t xml:space="preserve"> a </w:t>
      </w:r>
      <w:r w:rsidR="009260CD">
        <w:rPr>
          <w:color w:val="0D0D0D" w:themeColor="text1" w:themeTint="F2"/>
          <w:sz w:val="24"/>
        </w:rPr>
        <w:t>crit</w:t>
      </w:r>
      <w:r w:rsidR="001522E9">
        <w:rPr>
          <w:color w:val="0D0D0D" w:themeColor="text1" w:themeTint="F2"/>
          <w:sz w:val="24"/>
        </w:rPr>
        <w:t>i</w:t>
      </w:r>
      <w:r w:rsidR="009260CD">
        <w:rPr>
          <w:color w:val="0D0D0D" w:themeColor="text1" w:themeTint="F2"/>
          <w:sz w:val="24"/>
        </w:rPr>
        <w:t>cal</w:t>
      </w:r>
      <w:r>
        <w:rPr>
          <w:color w:val="0D0D0D" w:themeColor="text1" w:themeTint="F2"/>
          <w:sz w:val="24"/>
        </w:rPr>
        <w:t xml:space="preserve"> component of </w:t>
      </w:r>
      <w:r w:rsidR="00A20ED4">
        <w:rPr>
          <w:color w:val="0D0D0D" w:themeColor="text1" w:themeTint="F2"/>
          <w:sz w:val="24"/>
        </w:rPr>
        <w:t xml:space="preserve">the </w:t>
      </w:r>
      <w:r>
        <w:rPr>
          <w:color w:val="0D0D0D" w:themeColor="text1" w:themeTint="F2"/>
          <w:sz w:val="24"/>
        </w:rPr>
        <w:t>negotiations. A number of Government-commissioned Independent Reviews have recommended that “the range of stakehol</w:t>
      </w:r>
      <w:r w:rsidR="008D0F33">
        <w:rPr>
          <w:color w:val="0D0D0D" w:themeColor="text1" w:themeTint="F2"/>
          <w:sz w:val="24"/>
        </w:rPr>
        <w:t>ders included for consultation w</w:t>
      </w:r>
      <w:r>
        <w:rPr>
          <w:color w:val="0D0D0D" w:themeColor="text1" w:themeTint="F2"/>
          <w:sz w:val="24"/>
        </w:rPr>
        <w:t>ould represent those who deliver on the agreed services” in order to “improve the overall transparency and sustainability of the sector”.</w:t>
      </w:r>
      <w:r>
        <w:rPr>
          <w:rStyle w:val="FootnoteReference"/>
          <w:color w:val="0D0D0D" w:themeColor="text1" w:themeTint="F2"/>
          <w:sz w:val="24"/>
        </w:rPr>
        <w:footnoteReference w:id="74"/>
      </w:r>
      <w:r>
        <w:rPr>
          <w:color w:val="0D0D0D" w:themeColor="text1" w:themeTint="F2"/>
          <w:sz w:val="24"/>
        </w:rPr>
        <w:t xml:space="preserve"> </w:t>
      </w:r>
      <w:r w:rsidR="008D0F33">
        <w:rPr>
          <w:color w:val="0D0D0D" w:themeColor="text1" w:themeTint="F2"/>
          <w:sz w:val="24"/>
        </w:rPr>
        <w:t>Further, it noted that previous CPAs have had their implementation activities actively “hampered by a lack of adequate stakeholder engagement and lack of communication on progress”.</w:t>
      </w:r>
      <w:r w:rsidR="008D0F33">
        <w:rPr>
          <w:rStyle w:val="FootnoteReference"/>
          <w:color w:val="0D0D0D" w:themeColor="text1" w:themeTint="F2"/>
          <w:sz w:val="24"/>
        </w:rPr>
        <w:footnoteReference w:id="75"/>
      </w:r>
      <w:r w:rsidR="008D0F33">
        <w:rPr>
          <w:color w:val="0D0D0D" w:themeColor="text1" w:themeTint="F2"/>
          <w:sz w:val="24"/>
        </w:rPr>
        <w:t xml:space="preserve"> As such, the Department has prioritised consultation with a broad range of stakeholders as a foundational element of a successful 8CPA.</w:t>
      </w:r>
      <w:r w:rsidR="006C52C9">
        <w:rPr>
          <w:color w:val="0D0D0D" w:themeColor="text1" w:themeTint="F2"/>
          <w:sz w:val="24"/>
        </w:rPr>
        <w:t xml:space="preserve"> This work has translated into directly informing Government priorities on issues such as a potential wholesaler agreement, the operation of some community pharmacy programs outside of the 8CPA policy setting and the development of evaluation frameworks for all pharmacy programs both within and outside of the 8CPA.</w:t>
      </w:r>
    </w:p>
    <w:p w14:paraId="7A6C8FF9" w14:textId="732E8046" w:rsidR="00551700" w:rsidRPr="00C20287" w:rsidRDefault="000919BB" w:rsidP="00F15697">
      <w:pPr>
        <w:pStyle w:val="CommentText"/>
        <w:spacing w:line="264" w:lineRule="auto"/>
        <w:rPr>
          <w:color w:val="0D0D0D" w:themeColor="text1" w:themeTint="F2"/>
          <w:sz w:val="24"/>
        </w:rPr>
      </w:pPr>
      <w:r>
        <w:rPr>
          <w:color w:val="0D0D0D" w:themeColor="text1" w:themeTint="F2"/>
          <w:sz w:val="24"/>
        </w:rPr>
        <w:t>The confidential nature of negotiations and legislated requirement for agreement with the Guild limits the approach to stakeholder consultations, with non-disclosure agreements in place for all parties involved in relevant discussions.</w:t>
      </w:r>
      <w:r w:rsidR="00E24C0D">
        <w:rPr>
          <w:color w:val="0D0D0D" w:themeColor="text1" w:themeTint="F2"/>
          <w:sz w:val="24"/>
        </w:rPr>
        <w:t xml:space="preserve"> A further limitation to consultations is the timeframes available. Together these limitations have meant that, while weekly meetings were held with the Guild and fortnightly meetings with PSA,</w:t>
      </w:r>
      <w:r w:rsidR="00B0083B">
        <w:rPr>
          <w:color w:val="0D0D0D" w:themeColor="text1" w:themeTint="F2"/>
          <w:sz w:val="24"/>
        </w:rPr>
        <w:t xml:space="preserve"> </w:t>
      </w:r>
      <w:r w:rsidR="00E24C0D">
        <w:rPr>
          <w:color w:val="0D0D0D" w:themeColor="text1" w:themeTint="F2"/>
          <w:sz w:val="24"/>
        </w:rPr>
        <w:t xml:space="preserve">the Department was only able to meet with some stakeholders once. </w:t>
      </w:r>
      <w:r w:rsidR="008E3F9F">
        <w:rPr>
          <w:color w:val="0D0D0D" w:themeColor="text1" w:themeTint="F2"/>
          <w:sz w:val="24"/>
        </w:rPr>
        <w:t xml:space="preserve">This challenge could be overcome in future by allowing more time for negotiations, </w:t>
      </w:r>
      <w:r w:rsidR="00A963D4">
        <w:rPr>
          <w:color w:val="0D0D0D" w:themeColor="text1" w:themeTint="F2"/>
          <w:sz w:val="24"/>
        </w:rPr>
        <w:t xml:space="preserve">noting that negotiations </w:t>
      </w:r>
      <w:r w:rsidR="008E3F9F">
        <w:rPr>
          <w:color w:val="0D0D0D" w:themeColor="text1" w:themeTint="F2"/>
          <w:sz w:val="24"/>
        </w:rPr>
        <w:t>would typically begin at least 12 months ahead of the expiry of a CPA.</w:t>
      </w:r>
    </w:p>
    <w:p w14:paraId="2555C23D" w14:textId="5EB756FD" w:rsidR="00647369" w:rsidRDefault="00647369" w:rsidP="00F15697">
      <w:pPr>
        <w:pStyle w:val="CommentText"/>
        <w:spacing w:line="264" w:lineRule="auto"/>
        <w:rPr>
          <w:sz w:val="24"/>
          <w:szCs w:val="24"/>
        </w:rPr>
      </w:pPr>
      <w:r>
        <w:rPr>
          <w:sz w:val="24"/>
          <w:szCs w:val="24"/>
        </w:rPr>
        <w:t>The D</w:t>
      </w:r>
      <w:r w:rsidRPr="00C20287">
        <w:rPr>
          <w:sz w:val="24"/>
          <w:szCs w:val="24"/>
        </w:rPr>
        <w:t>epartment</w:t>
      </w:r>
      <w:r w:rsidR="000919BB">
        <w:rPr>
          <w:sz w:val="24"/>
          <w:szCs w:val="24"/>
        </w:rPr>
        <w:t xml:space="preserve"> however</w:t>
      </w:r>
      <w:r w:rsidRPr="00C20287">
        <w:rPr>
          <w:sz w:val="24"/>
          <w:szCs w:val="24"/>
        </w:rPr>
        <w:t xml:space="preserve"> sought </w:t>
      </w:r>
      <w:r>
        <w:rPr>
          <w:sz w:val="24"/>
          <w:szCs w:val="24"/>
        </w:rPr>
        <w:t xml:space="preserve">bilateral </w:t>
      </w:r>
      <w:r w:rsidRPr="00C20287">
        <w:rPr>
          <w:sz w:val="24"/>
          <w:szCs w:val="24"/>
        </w:rPr>
        <w:t>meetings with as wide a range of stakeholders as was practical to cover the myriad</w:t>
      </w:r>
      <w:r>
        <w:rPr>
          <w:sz w:val="24"/>
          <w:szCs w:val="24"/>
        </w:rPr>
        <w:t xml:space="preserve"> of</w:t>
      </w:r>
      <w:r w:rsidRPr="00C20287">
        <w:rPr>
          <w:sz w:val="24"/>
          <w:szCs w:val="24"/>
        </w:rPr>
        <w:t xml:space="preserve"> interested parties and affected groups. A strong focus was on organisations with consumer interests at the forefront of their remit, along with organisations focused on rural and remote pharmacy services. </w:t>
      </w:r>
    </w:p>
    <w:p w14:paraId="63B48B05" w14:textId="37FD09AE" w:rsidR="00D76730" w:rsidRPr="00C20287" w:rsidRDefault="00551700" w:rsidP="00F15697">
      <w:pPr>
        <w:pStyle w:val="CommentText"/>
        <w:spacing w:line="264" w:lineRule="auto"/>
        <w:rPr>
          <w:color w:val="auto"/>
        </w:rPr>
      </w:pPr>
      <w:r w:rsidRPr="00C20287">
        <w:rPr>
          <w:color w:val="0D0D0D" w:themeColor="text1" w:themeTint="F2"/>
          <w:sz w:val="24"/>
        </w:rPr>
        <w:t>Following th</w:t>
      </w:r>
      <w:r w:rsidR="00647369">
        <w:rPr>
          <w:color w:val="0D0D0D" w:themeColor="text1" w:themeTint="F2"/>
          <w:sz w:val="24"/>
        </w:rPr>
        <w:t>e Minister’s</w:t>
      </w:r>
      <w:r w:rsidRPr="00C20287">
        <w:rPr>
          <w:color w:val="0D0D0D" w:themeColor="text1" w:themeTint="F2"/>
          <w:sz w:val="24"/>
        </w:rPr>
        <w:t xml:space="preserve"> announcement the</w:t>
      </w:r>
      <w:r w:rsidR="008B7BE6" w:rsidRPr="00C20287">
        <w:rPr>
          <w:color w:val="0D0D0D" w:themeColor="text1" w:themeTint="F2"/>
          <w:sz w:val="24"/>
        </w:rPr>
        <w:t xml:space="preserve"> Department</w:t>
      </w:r>
      <w:r w:rsidR="000A0E0B" w:rsidRPr="00C20287">
        <w:rPr>
          <w:color w:val="0D0D0D" w:themeColor="text1" w:themeTint="F2"/>
          <w:sz w:val="24"/>
        </w:rPr>
        <w:t xml:space="preserve"> </w:t>
      </w:r>
      <w:r w:rsidR="0048282C" w:rsidRPr="00C20287">
        <w:rPr>
          <w:color w:val="0D0D0D" w:themeColor="text1" w:themeTint="F2"/>
          <w:sz w:val="24"/>
        </w:rPr>
        <w:t xml:space="preserve">met with </w:t>
      </w:r>
      <w:r w:rsidR="008B7BE6" w:rsidRPr="00C20287">
        <w:rPr>
          <w:color w:val="0D0D0D" w:themeColor="text1" w:themeTint="F2"/>
          <w:sz w:val="24"/>
        </w:rPr>
        <w:t xml:space="preserve">the </w:t>
      </w:r>
      <w:r w:rsidR="0048282C" w:rsidRPr="00C20287">
        <w:rPr>
          <w:color w:val="0D0D0D" w:themeColor="text1" w:themeTint="F2"/>
          <w:sz w:val="24"/>
        </w:rPr>
        <w:t xml:space="preserve">following </w:t>
      </w:r>
      <w:r w:rsidR="008B7BE6" w:rsidRPr="00C20287">
        <w:rPr>
          <w:color w:val="0D0D0D" w:themeColor="text1" w:themeTint="F2"/>
          <w:sz w:val="24"/>
        </w:rPr>
        <w:t>organisations for without prej</w:t>
      </w:r>
      <w:r w:rsidR="00CA7A73" w:rsidRPr="00C20287">
        <w:rPr>
          <w:color w:val="0D0D0D" w:themeColor="text1" w:themeTint="F2"/>
          <w:sz w:val="24"/>
        </w:rPr>
        <w:t>u</w:t>
      </w:r>
      <w:r w:rsidR="008B7BE6" w:rsidRPr="00C20287">
        <w:rPr>
          <w:color w:val="0D0D0D" w:themeColor="text1" w:themeTint="F2"/>
          <w:sz w:val="24"/>
        </w:rPr>
        <w:t>d</w:t>
      </w:r>
      <w:r w:rsidR="00CA7A73" w:rsidRPr="00C20287">
        <w:rPr>
          <w:color w:val="0D0D0D" w:themeColor="text1" w:themeTint="F2"/>
          <w:sz w:val="24"/>
        </w:rPr>
        <w:t>ice</w:t>
      </w:r>
      <w:r w:rsidR="005F1105" w:rsidRPr="00C20287">
        <w:rPr>
          <w:color w:val="0D0D0D" w:themeColor="text1" w:themeTint="F2"/>
          <w:sz w:val="24"/>
        </w:rPr>
        <w:t>,</w:t>
      </w:r>
      <w:r w:rsidR="008B7BE6" w:rsidRPr="00C20287">
        <w:rPr>
          <w:color w:val="0D0D0D" w:themeColor="text1" w:themeTint="F2"/>
          <w:sz w:val="24"/>
        </w:rPr>
        <w:t xml:space="preserve"> bilateral </w:t>
      </w:r>
      <w:r w:rsidR="00C14B07" w:rsidRPr="00C20287">
        <w:rPr>
          <w:color w:val="0D0D0D" w:themeColor="text1" w:themeTint="F2"/>
          <w:sz w:val="24"/>
        </w:rPr>
        <w:t>consultation</w:t>
      </w:r>
      <w:r w:rsidR="00CC6859" w:rsidRPr="00C20287">
        <w:rPr>
          <w:color w:val="0D0D0D" w:themeColor="text1" w:themeTint="F2"/>
          <w:sz w:val="24"/>
        </w:rPr>
        <w:t>s</w:t>
      </w:r>
      <w:r w:rsidRPr="00C20287">
        <w:rPr>
          <w:color w:val="0D0D0D" w:themeColor="text1" w:themeTint="F2"/>
          <w:sz w:val="24"/>
        </w:rPr>
        <w:t>:</w:t>
      </w:r>
      <w:r w:rsidRPr="00C20287" w:rsidDel="00551700">
        <w:rPr>
          <w:color w:val="0D0D0D" w:themeColor="text1" w:themeTint="F2"/>
          <w:sz w:val="24"/>
        </w:rPr>
        <w:t xml:space="preserve"> </w:t>
      </w:r>
    </w:p>
    <w:p w14:paraId="199CFF9B" w14:textId="77777777" w:rsidR="00277DBD" w:rsidRPr="00C20287" w:rsidRDefault="00277DBD" w:rsidP="00277DBD">
      <w:pPr>
        <w:pStyle w:val="Default"/>
        <w:ind w:left="720"/>
        <w:rPr>
          <w:rFonts w:asciiTheme="minorHAnsi" w:hAnsiTheme="minorHAnsi"/>
          <w:color w:val="auto"/>
        </w:rPr>
      </w:pPr>
      <w:r w:rsidRPr="00C20287">
        <w:rPr>
          <w:rFonts w:asciiTheme="minorHAnsi" w:hAnsiTheme="minorHAnsi"/>
          <w:color w:val="auto"/>
        </w:rPr>
        <w:t>Aged &amp; Community Care Providers Association (ACCPA)</w:t>
      </w:r>
    </w:p>
    <w:p w14:paraId="7D0C3250" w14:textId="77777777" w:rsidR="00E84BD9" w:rsidRPr="00C20287" w:rsidRDefault="00E84BD9" w:rsidP="00E84BD9">
      <w:pPr>
        <w:pStyle w:val="Default"/>
        <w:ind w:left="720"/>
        <w:rPr>
          <w:rFonts w:asciiTheme="minorHAnsi" w:hAnsiTheme="minorHAnsi"/>
          <w:color w:val="auto"/>
        </w:rPr>
      </w:pPr>
      <w:r w:rsidRPr="00C20287">
        <w:rPr>
          <w:rFonts w:asciiTheme="minorHAnsi" w:hAnsiTheme="minorHAnsi"/>
          <w:color w:val="auto"/>
        </w:rPr>
        <w:lastRenderedPageBreak/>
        <w:t>Australian Council of Social Service</w:t>
      </w:r>
    </w:p>
    <w:p w14:paraId="512A34B7" w14:textId="77777777" w:rsidR="00277DBD" w:rsidRPr="00C20287" w:rsidRDefault="00277DBD" w:rsidP="00277DBD">
      <w:pPr>
        <w:pStyle w:val="Default"/>
        <w:ind w:left="720"/>
        <w:rPr>
          <w:rFonts w:asciiTheme="minorHAnsi" w:hAnsiTheme="minorHAnsi"/>
          <w:color w:val="auto"/>
        </w:rPr>
      </w:pPr>
      <w:r w:rsidRPr="00C20287">
        <w:rPr>
          <w:rFonts w:asciiTheme="minorHAnsi" w:hAnsiTheme="minorHAnsi"/>
          <w:color w:val="auto"/>
        </w:rPr>
        <w:t>Australian Friendly Societies Pharmacies Association Ltd</w:t>
      </w:r>
    </w:p>
    <w:p w14:paraId="2B8B3E7D" w14:textId="378AC548" w:rsidR="00277DBD" w:rsidRPr="00C20287" w:rsidRDefault="00277DBD" w:rsidP="00277DBD">
      <w:pPr>
        <w:pStyle w:val="Default"/>
        <w:ind w:left="720"/>
        <w:rPr>
          <w:rFonts w:asciiTheme="minorHAnsi" w:hAnsiTheme="minorHAnsi"/>
          <w:color w:val="auto"/>
        </w:rPr>
      </w:pPr>
      <w:r w:rsidRPr="00C20287">
        <w:rPr>
          <w:rFonts w:asciiTheme="minorHAnsi" w:hAnsiTheme="minorHAnsi"/>
          <w:color w:val="auto"/>
        </w:rPr>
        <w:t>Australian Medical Association (AMA)</w:t>
      </w:r>
    </w:p>
    <w:p w14:paraId="61BF2F00" w14:textId="42E109E8" w:rsidR="00A4501C" w:rsidRDefault="00A4501C" w:rsidP="00277DBD">
      <w:pPr>
        <w:pStyle w:val="Default"/>
        <w:ind w:left="720"/>
        <w:rPr>
          <w:rFonts w:asciiTheme="minorHAnsi" w:hAnsiTheme="minorHAnsi"/>
          <w:color w:val="auto"/>
        </w:rPr>
      </w:pPr>
      <w:r>
        <w:rPr>
          <w:rFonts w:asciiTheme="minorHAnsi" w:hAnsiTheme="minorHAnsi"/>
          <w:color w:val="auto"/>
        </w:rPr>
        <w:t>Australian Patients Association</w:t>
      </w:r>
    </w:p>
    <w:p w14:paraId="4E45D495" w14:textId="6D514500" w:rsidR="00A4501C" w:rsidRPr="00C20287" w:rsidRDefault="00A4501C" w:rsidP="00277DBD">
      <w:pPr>
        <w:pStyle w:val="Default"/>
        <w:ind w:left="720"/>
        <w:rPr>
          <w:rFonts w:asciiTheme="minorHAnsi" w:hAnsiTheme="minorHAnsi"/>
          <w:color w:val="auto"/>
        </w:rPr>
      </w:pPr>
      <w:r>
        <w:rPr>
          <w:rFonts w:asciiTheme="minorHAnsi" w:hAnsiTheme="minorHAnsi"/>
          <w:color w:val="auto"/>
        </w:rPr>
        <w:t>Australian Rural Health Education Network</w:t>
      </w:r>
    </w:p>
    <w:p w14:paraId="66842C7D" w14:textId="77777777" w:rsidR="00277DBD" w:rsidRPr="00C20287" w:rsidRDefault="00277DBD" w:rsidP="00277DBD">
      <w:pPr>
        <w:pStyle w:val="Default"/>
        <w:ind w:left="720"/>
        <w:rPr>
          <w:rFonts w:asciiTheme="minorHAnsi" w:hAnsiTheme="minorHAnsi"/>
          <w:color w:val="auto"/>
        </w:rPr>
      </w:pPr>
      <w:r w:rsidRPr="00C20287">
        <w:rPr>
          <w:rFonts w:asciiTheme="minorHAnsi" w:hAnsiTheme="minorHAnsi"/>
          <w:color w:val="auto"/>
        </w:rPr>
        <w:t>Chemist Warehouse Group (CWH)</w:t>
      </w:r>
    </w:p>
    <w:p w14:paraId="381F5A10" w14:textId="5BEF336A"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Consumers Health Forum of Australia (CHF)</w:t>
      </w:r>
    </w:p>
    <w:p w14:paraId="029457A8" w14:textId="42DC5517" w:rsidR="00A4501C" w:rsidRPr="00C20287" w:rsidRDefault="00A4501C" w:rsidP="00DC1B59">
      <w:pPr>
        <w:pStyle w:val="Default"/>
        <w:ind w:left="720"/>
        <w:rPr>
          <w:rFonts w:asciiTheme="minorHAnsi" w:hAnsiTheme="minorHAnsi"/>
          <w:color w:val="auto"/>
        </w:rPr>
      </w:pPr>
      <w:r>
        <w:rPr>
          <w:rFonts w:asciiTheme="minorHAnsi" w:hAnsiTheme="minorHAnsi"/>
          <w:color w:val="auto"/>
        </w:rPr>
        <w:t>Credentialed Pharmacist Association of Australia</w:t>
      </w:r>
    </w:p>
    <w:p w14:paraId="5F384FAD" w14:textId="77777777" w:rsidR="00277DBD" w:rsidRPr="00C20287" w:rsidRDefault="00277DBD" w:rsidP="00277DBD">
      <w:pPr>
        <w:pStyle w:val="Default"/>
        <w:ind w:left="720"/>
        <w:rPr>
          <w:rFonts w:asciiTheme="minorHAnsi" w:hAnsiTheme="minorHAnsi"/>
          <w:color w:val="auto"/>
        </w:rPr>
      </w:pPr>
      <w:r w:rsidRPr="00C20287">
        <w:rPr>
          <w:rFonts w:asciiTheme="minorHAnsi" w:hAnsiTheme="minorHAnsi"/>
          <w:color w:val="auto"/>
        </w:rPr>
        <w:t>DHL Supply Chain</w:t>
      </w:r>
    </w:p>
    <w:p w14:paraId="47AB7ABF" w14:textId="3B3E709F" w:rsidR="00811EEE" w:rsidRDefault="002F556E" w:rsidP="00DC1B59">
      <w:pPr>
        <w:pStyle w:val="Default"/>
        <w:ind w:left="720"/>
        <w:rPr>
          <w:rFonts w:asciiTheme="minorHAnsi" w:hAnsiTheme="minorHAnsi"/>
          <w:color w:val="auto"/>
        </w:rPr>
      </w:pPr>
      <w:r>
        <w:rPr>
          <w:rFonts w:asciiTheme="minorHAnsi" w:hAnsiTheme="minorHAnsi"/>
          <w:color w:val="auto"/>
        </w:rPr>
        <w:t xml:space="preserve">Embedded Health Solutions </w:t>
      </w:r>
    </w:p>
    <w:p w14:paraId="657355E2" w14:textId="079BA4AB" w:rsidR="00A4501C" w:rsidRDefault="00A4501C" w:rsidP="00DC1B59">
      <w:pPr>
        <w:pStyle w:val="Default"/>
        <w:ind w:left="720"/>
        <w:rPr>
          <w:rFonts w:asciiTheme="minorHAnsi" w:hAnsiTheme="minorHAnsi"/>
          <w:color w:val="auto"/>
        </w:rPr>
      </w:pPr>
      <w:r>
        <w:rPr>
          <w:rFonts w:asciiTheme="minorHAnsi" w:hAnsiTheme="minorHAnsi"/>
          <w:color w:val="auto"/>
        </w:rPr>
        <w:t>Generic and Biosimilar Medicines Association</w:t>
      </w:r>
    </w:p>
    <w:p w14:paraId="25CEE54A" w14:textId="1B3E7F6F"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National Aboriginal Community Controlled Health Organisation (NACCHO)</w:t>
      </w:r>
    </w:p>
    <w:p w14:paraId="0D3F1AAF" w14:textId="77777777"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National Pharmaceutical Services Association (NPSA)</w:t>
      </w:r>
    </w:p>
    <w:p w14:paraId="1E157DEC" w14:textId="64D0DD83" w:rsidR="00277DBD" w:rsidRPr="00C20287" w:rsidRDefault="00277DBD" w:rsidP="00277DBD">
      <w:pPr>
        <w:pStyle w:val="Default"/>
        <w:ind w:left="720"/>
        <w:rPr>
          <w:rFonts w:asciiTheme="minorHAnsi" w:hAnsiTheme="minorHAnsi"/>
          <w:color w:val="auto"/>
        </w:rPr>
      </w:pPr>
      <w:r w:rsidRPr="00C20287">
        <w:rPr>
          <w:rFonts w:asciiTheme="minorHAnsi" w:hAnsiTheme="minorHAnsi"/>
          <w:color w:val="auto"/>
        </w:rPr>
        <w:t xml:space="preserve">National Rural Health Alliance </w:t>
      </w:r>
    </w:p>
    <w:p w14:paraId="3BCEE04E" w14:textId="640271DC" w:rsidR="00A4501C" w:rsidRPr="00C20287" w:rsidRDefault="00A4501C" w:rsidP="00277DBD">
      <w:pPr>
        <w:pStyle w:val="Default"/>
        <w:ind w:left="720"/>
        <w:rPr>
          <w:rFonts w:asciiTheme="minorHAnsi" w:hAnsiTheme="minorHAnsi"/>
          <w:color w:val="auto"/>
        </w:rPr>
      </w:pPr>
      <w:r>
        <w:rPr>
          <w:rFonts w:asciiTheme="minorHAnsi" w:hAnsiTheme="minorHAnsi"/>
          <w:color w:val="auto"/>
        </w:rPr>
        <w:t>Painaustralia</w:t>
      </w:r>
    </w:p>
    <w:p w14:paraId="48EF5409" w14:textId="77777777"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Pharmaceutical Society of Australia (PSA)</w:t>
      </w:r>
    </w:p>
    <w:p w14:paraId="5401310C" w14:textId="44D084D6" w:rsidR="00E856DE" w:rsidRPr="00C20287" w:rsidRDefault="00833447" w:rsidP="00DC1B59">
      <w:pPr>
        <w:pStyle w:val="Default"/>
        <w:ind w:left="720"/>
        <w:rPr>
          <w:rFonts w:asciiTheme="minorHAnsi" w:hAnsiTheme="minorHAnsi"/>
          <w:color w:val="auto"/>
        </w:rPr>
      </w:pPr>
      <w:r w:rsidRPr="00C20287">
        <w:rPr>
          <w:rFonts w:asciiTheme="minorHAnsi" w:hAnsiTheme="minorHAnsi"/>
          <w:color w:val="auto"/>
        </w:rPr>
        <w:t xml:space="preserve">The </w:t>
      </w:r>
      <w:r w:rsidR="00E856DE" w:rsidRPr="00C20287">
        <w:rPr>
          <w:rFonts w:asciiTheme="minorHAnsi" w:hAnsiTheme="minorHAnsi"/>
          <w:color w:val="auto"/>
        </w:rPr>
        <w:t>Pharmacy Guild of Australia</w:t>
      </w:r>
    </w:p>
    <w:p w14:paraId="4CC37811" w14:textId="655E9989"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Professional Pharmacists Australia (PPA)</w:t>
      </w:r>
      <w:r w:rsidR="000A0E0B" w:rsidRPr="00C20287">
        <w:rPr>
          <w:rFonts w:asciiTheme="minorHAnsi" w:hAnsiTheme="minorHAnsi"/>
          <w:color w:val="auto"/>
        </w:rPr>
        <w:t xml:space="preserve"> (known as Professional Australia)</w:t>
      </w:r>
    </w:p>
    <w:p w14:paraId="3567B0C8" w14:textId="3CC56723"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Royal Australian College of General Practitioners (RACGP)</w:t>
      </w:r>
    </w:p>
    <w:p w14:paraId="7A5CDEA3" w14:textId="77777777" w:rsidR="00E856DE" w:rsidRPr="00C20287" w:rsidRDefault="00E856DE" w:rsidP="00DC1B59">
      <w:pPr>
        <w:pStyle w:val="Default"/>
        <w:ind w:left="720"/>
        <w:rPr>
          <w:rFonts w:asciiTheme="minorHAnsi" w:hAnsiTheme="minorHAnsi"/>
          <w:color w:val="auto"/>
        </w:rPr>
      </w:pPr>
      <w:r w:rsidRPr="00C20287">
        <w:rPr>
          <w:rFonts w:asciiTheme="minorHAnsi" w:hAnsiTheme="minorHAnsi"/>
          <w:color w:val="auto"/>
        </w:rPr>
        <w:t>Rural Pharmacy Network Australia (RPNA)</w:t>
      </w:r>
    </w:p>
    <w:p w14:paraId="56BCD345" w14:textId="2C4DDBB3" w:rsidR="00B0083B" w:rsidRDefault="00277DBD" w:rsidP="002F74CA">
      <w:pPr>
        <w:pStyle w:val="Default"/>
        <w:spacing w:after="120"/>
        <w:ind w:firstLine="720"/>
        <w:rPr>
          <w:rFonts w:asciiTheme="minorHAnsi" w:hAnsiTheme="minorHAnsi"/>
          <w:color w:val="auto"/>
        </w:rPr>
      </w:pPr>
      <w:r w:rsidRPr="00C20287">
        <w:rPr>
          <w:rFonts w:asciiTheme="minorHAnsi" w:hAnsiTheme="minorHAnsi"/>
          <w:color w:val="auto"/>
        </w:rPr>
        <w:t>Society of Hospital Pharmacists of Australia (SHPA)</w:t>
      </w:r>
    </w:p>
    <w:p w14:paraId="2382111C" w14:textId="2EDB6FB6" w:rsidR="00534F71" w:rsidRDefault="006722E0">
      <w:pPr>
        <w:pStyle w:val="Default"/>
        <w:rPr>
          <w:rFonts w:asciiTheme="minorHAnsi" w:hAnsiTheme="minorHAnsi"/>
          <w:color w:val="auto"/>
        </w:rPr>
      </w:pPr>
      <w:r w:rsidRPr="00C20287">
        <w:rPr>
          <w:rFonts w:asciiTheme="minorHAnsi" w:hAnsiTheme="minorHAnsi"/>
          <w:color w:val="auto"/>
        </w:rPr>
        <w:t>I</w:t>
      </w:r>
      <w:r w:rsidR="00385497" w:rsidRPr="00C20287">
        <w:rPr>
          <w:rFonts w:asciiTheme="minorHAnsi" w:hAnsiTheme="minorHAnsi"/>
          <w:color w:val="auto"/>
        </w:rPr>
        <w:t xml:space="preserve">n </w:t>
      </w:r>
      <w:r w:rsidRPr="00C20287">
        <w:rPr>
          <w:rFonts w:asciiTheme="minorHAnsi" w:hAnsiTheme="minorHAnsi"/>
          <w:color w:val="auto"/>
        </w:rPr>
        <w:t xml:space="preserve">each of </w:t>
      </w:r>
      <w:r w:rsidR="00385497" w:rsidRPr="00C20287">
        <w:rPr>
          <w:rFonts w:asciiTheme="minorHAnsi" w:hAnsiTheme="minorHAnsi"/>
          <w:color w:val="auto"/>
        </w:rPr>
        <w:t xml:space="preserve">the </w:t>
      </w:r>
      <w:r w:rsidR="000A59A5">
        <w:rPr>
          <w:rFonts w:asciiTheme="minorHAnsi" w:hAnsiTheme="minorHAnsi"/>
          <w:color w:val="auto"/>
        </w:rPr>
        <w:t xml:space="preserve">initial </w:t>
      </w:r>
      <w:r w:rsidR="00385497" w:rsidRPr="00C20287">
        <w:rPr>
          <w:rFonts w:asciiTheme="minorHAnsi" w:hAnsiTheme="minorHAnsi"/>
          <w:color w:val="auto"/>
        </w:rPr>
        <w:t xml:space="preserve">bilateral </w:t>
      </w:r>
      <w:r w:rsidRPr="00C20287">
        <w:rPr>
          <w:rFonts w:asciiTheme="minorHAnsi" w:hAnsiTheme="minorHAnsi"/>
          <w:color w:val="auto"/>
        </w:rPr>
        <w:t xml:space="preserve">discussions participants </w:t>
      </w:r>
      <w:r w:rsidR="00385497" w:rsidRPr="00C20287">
        <w:rPr>
          <w:rFonts w:asciiTheme="minorHAnsi" w:hAnsiTheme="minorHAnsi"/>
          <w:color w:val="auto"/>
        </w:rPr>
        <w:t>were asked to provide input on what they would like to see included in an 8CPA</w:t>
      </w:r>
      <w:r w:rsidR="005F1105" w:rsidRPr="00C20287">
        <w:rPr>
          <w:rFonts w:asciiTheme="minorHAnsi" w:hAnsiTheme="minorHAnsi"/>
          <w:color w:val="auto"/>
        </w:rPr>
        <w:t>,</w:t>
      </w:r>
      <w:r w:rsidR="00385497" w:rsidRPr="00C20287">
        <w:rPr>
          <w:rFonts w:asciiTheme="minorHAnsi" w:hAnsiTheme="minorHAnsi"/>
          <w:color w:val="auto"/>
        </w:rPr>
        <w:t xml:space="preserve"> as well as </w:t>
      </w:r>
      <w:r w:rsidRPr="00C20287">
        <w:rPr>
          <w:rFonts w:asciiTheme="minorHAnsi" w:hAnsiTheme="minorHAnsi"/>
          <w:color w:val="auto"/>
        </w:rPr>
        <w:t xml:space="preserve">provide </w:t>
      </w:r>
      <w:r w:rsidR="00385497" w:rsidRPr="00C20287">
        <w:rPr>
          <w:rFonts w:asciiTheme="minorHAnsi" w:hAnsiTheme="minorHAnsi"/>
          <w:color w:val="auto"/>
        </w:rPr>
        <w:t xml:space="preserve">more general input on how </w:t>
      </w:r>
      <w:r w:rsidRPr="00C20287">
        <w:rPr>
          <w:rFonts w:asciiTheme="minorHAnsi" w:hAnsiTheme="minorHAnsi"/>
          <w:color w:val="auto"/>
        </w:rPr>
        <w:t>the agreement could potentially be</w:t>
      </w:r>
      <w:r w:rsidR="00385497" w:rsidRPr="00C20287">
        <w:rPr>
          <w:rFonts w:asciiTheme="minorHAnsi" w:hAnsiTheme="minorHAnsi"/>
          <w:color w:val="auto"/>
        </w:rPr>
        <w:t xml:space="preserve"> restructure</w:t>
      </w:r>
      <w:r w:rsidRPr="00C20287">
        <w:rPr>
          <w:rFonts w:asciiTheme="minorHAnsi" w:hAnsiTheme="minorHAnsi"/>
          <w:color w:val="auto"/>
        </w:rPr>
        <w:t>d</w:t>
      </w:r>
      <w:r w:rsidR="00385497" w:rsidRPr="00C20287">
        <w:rPr>
          <w:rFonts w:asciiTheme="minorHAnsi" w:hAnsiTheme="minorHAnsi"/>
          <w:color w:val="auto"/>
        </w:rPr>
        <w:t xml:space="preserve"> to better reflect current and future needs </w:t>
      </w:r>
      <w:r w:rsidRPr="00C20287">
        <w:rPr>
          <w:rFonts w:asciiTheme="minorHAnsi" w:hAnsiTheme="minorHAnsi"/>
          <w:color w:val="auto"/>
        </w:rPr>
        <w:t>of the sector</w:t>
      </w:r>
      <w:r w:rsidR="00385497" w:rsidRPr="00C20287">
        <w:rPr>
          <w:rFonts w:asciiTheme="minorHAnsi" w:hAnsiTheme="minorHAnsi"/>
          <w:color w:val="auto"/>
        </w:rPr>
        <w:t xml:space="preserve"> and ensure </w:t>
      </w:r>
      <w:r w:rsidRPr="00C20287">
        <w:rPr>
          <w:rFonts w:asciiTheme="minorHAnsi" w:hAnsiTheme="minorHAnsi"/>
          <w:color w:val="auto"/>
        </w:rPr>
        <w:t xml:space="preserve">a </w:t>
      </w:r>
      <w:r w:rsidR="005F1105" w:rsidRPr="00C20287">
        <w:rPr>
          <w:rFonts w:asciiTheme="minorHAnsi" w:hAnsiTheme="minorHAnsi"/>
          <w:color w:val="auto"/>
        </w:rPr>
        <w:t>person-</w:t>
      </w:r>
      <w:r w:rsidR="00385497" w:rsidRPr="00C20287">
        <w:rPr>
          <w:rFonts w:asciiTheme="minorHAnsi" w:hAnsiTheme="minorHAnsi"/>
          <w:color w:val="auto"/>
        </w:rPr>
        <w:t>centred</w:t>
      </w:r>
      <w:r w:rsidRPr="00C20287">
        <w:rPr>
          <w:rFonts w:asciiTheme="minorHAnsi" w:hAnsiTheme="minorHAnsi"/>
          <w:color w:val="auto"/>
        </w:rPr>
        <w:t xml:space="preserve"> approach</w:t>
      </w:r>
      <w:r w:rsidR="00385497" w:rsidRPr="00C20287">
        <w:rPr>
          <w:rFonts w:asciiTheme="minorHAnsi" w:hAnsiTheme="minorHAnsi"/>
          <w:color w:val="auto"/>
        </w:rPr>
        <w:t xml:space="preserve">. </w:t>
      </w:r>
    </w:p>
    <w:p w14:paraId="05CEED10" w14:textId="1CD23F7A" w:rsidR="006722E0" w:rsidRPr="00C20287" w:rsidRDefault="00FF3C1F" w:rsidP="00E856DE">
      <w:pPr>
        <w:pStyle w:val="Default"/>
        <w:rPr>
          <w:rFonts w:asciiTheme="minorHAnsi" w:hAnsiTheme="minorHAnsi"/>
          <w:color w:val="auto"/>
        </w:rPr>
      </w:pPr>
      <w:r>
        <w:rPr>
          <w:rFonts w:asciiTheme="minorHAnsi" w:hAnsiTheme="minorHAnsi"/>
          <w:color w:val="auto"/>
        </w:rPr>
        <w:t>T</w:t>
      </w:r>
      <w:r w:rsidRPr="00C20287">
        <w:rPr>
          <w:rFonts w:asciiTheme="minorHAnsi" w:hAnsiTheme="minorHAnsi"/>
          <w:color w:val="auto"/>
        </w:rPr>
        <w:t xml:space="preserve">he core questions posed by the Department in discussions with </w:t>
      </w:r>
      <w:r>
        <w:rPr>
          <w:rFonts w:asciiTheme="minorHAnsi" w:hAnsiTheme="minorHAnsi"/>
          <w:color w:val="auto"/>
        </w:rPr>
        <w:t xml:space="preserve">each </w:t>
      </w:r>
      <w:r w:rsidRPr="00C20287">
        <w:rPr>
          <w:rFonts w:asciiTheme="minorHAnsi" w:hAnsiTheme="minorHAnsi"/>
          <w:color w:val="auto"/>
        </w:rPr>
        <w:t>organisation</w:t>
      </w:r>
      <w:r>
        <w:rPr>
          <w:rFonts w:asciiTheme="minorHAnsi" w:hAnsiTheme="minorHAnsi"/>
          <w:color w:val="auto"/>
        </w:rPr>
        <w:t xml:space="preserve"> were as follows:</w:t>
      </w:r>
    </w:p>
    <w:p w14:paraId="41DA0BFB" w14:textId="3AA37ACF" w:rsidR="00385497" w:rsidRPr="00C20287" w:rsidRDefault="00385497" w:rsidP="0095671A">
      <w:pPr>
        <w:pStyle w:val="Default"/>
        <w:numPr>
          <w:ilvl w:val="0"/>
          <w:numId w:val="19"/>
        </w:numPr>
        <w:rPr>
          <w:rFonts w:asciiTheme="minorHAnsi" w:hAnsiTheme="minorHAnsi"/>
          <w:color w:val="auto"/>
        </w:rPr>
      </w:pPr>
      <w:r w:rsidRPr="00C20287">
        <w:rPr>
          <w:rFonts w:asciiTheme="minorHAnsi" w:hAnsiTheme="minorHAnsi"/>
          <w:color w:val="auto"/>
        </w:rPr>
        <w:t>How could an 8CPA put patients at its core? What needs to change from current arrangements?</w:t>
      </w:r>
    </w:p>
    <w:p w14:paraId="650A6B3B" w14:textId="69B9C556" w:rsidR="00385497" w:rsidRPr="00C20287" w:rsidRDefault="00385497" w:rsidP="0095671A">
      <w:pPr>
        <w:pStyle w:val="Default"/>
        <w:numPr>
          <w:ilvl w:val="0"/>
          <w:numId w:val="19"/>
        </w:numPr>
        <w:rPr>
          <w:rFonts w:asciiTheme="minorHAnsi" w:hAnsiTheme="minorHAnsi"/>
          <w:color w:val="auto"/>
        </w:rPr>
      </w:pPr>
      <w:r w:rsidRPr="00C20287">
        <w:rPr>
          <w:rFonts w:asciiTheme="minorHAnsi" w:hAnsiTheme="minorHAnsi"/>
          <w:color w:val="auto"/>
        </w:rPr>
        <w:t>Are there any changes you wish to see to the structure of the CPA</w:t>
      </w:r>
      <w:r w:rsidR="005D0C42" w:rsidRPr="00C20287">
        <w:rPr>
          <w:rFonts w:asciiTheme="minorHAnsi" w:hAnsiTheme="minorHAnsi"/>
          <w:color w:val="auto"/>
        </w:rPr>
        <w:t xml:space="preserve"> and if so w</w:t>
      </w:r>
      <w:r w:rsidRPr="00C20287">
        <w:rPr>
          <w:rFonts w:asciiTheme="minorHAnsi" w:hAnsiTheme="minorHAnsi"/>
          <w:color w:val="auto"/>
        </w:rPr>
        <w:t>hy?</w:t>
      </w:r>
    </w:p>
    <w:p w14:paraId="5BC0A879" w14:textId="6DC39F42" w:rsidR="00385497" w:rsidRPr="00C20287" w:rsidRDefault="00385497" w:rsidP="0095671A">
      <w:pPr>
        <w:pStyle w:val="Default"/>
        <w:numPr>
          <w:ilvl w:val="0"/>
          <w:numId w:val="19"/>
        </w:numPr>
        <w:rPr>
          <w:rFonts w:asciiTheme="minorHAnsi" w:hAnsiTheme="minorHAnsi"/>
          <w:color w:val="auto"/>
        </w:rPr>
      </w:pPr>
      <w:r w:rsidRPr="00C20287">
        <w:rPr>
          <w:rFonts w:asciiTheme="minorHAnsi" w:hAnsiTheme="minorHAnsi"/>
          <w:color w:val="auto"/>
        </w:rPr>
        <w:t>Are there any changes you would like to see to the content of the CPA</w:t>
      </w:r>
      <w:r w:rsidR="005D0C42" w:rsidRPr="00C20287">
        <w:rPr>
          <w:rFonts w:asciiTheme="minorHAnsi" w:hAnsiTheme="minorHAnsi"/>
          <w:color w:val="auto"/>
        </w:rPr>
        <w:t xml:space="preserve"> and if so why</w:t>
      </w:r>
      <w:r w:rsidRPr="00C20287">
        <w:rPr>
          <w:rFonts w:asciiTheme="minorHAnsi" w:hAnsiTheme="minorHAnsi"/>
          <w:color w:val="auto"/>
        </w:rPr>
        <w:t xml:space="preserve">? </w:t>
      </w:r>
    </w:p>
    <w:p w14:paraId="090C1555" w14:textId="12C1B246" w:rsidR="00385497" w:rsidRPr="00C20287" w:rsidRDefault="00385497" w:rsidP="0095671A">
      <w:pPr>
        <w:pStyle w:val="Default"/>
        <w:numPr>
          <w:ilvl w:val="0"/>
          <w:numId w:val="19"/>
        </w:numPr>
        <w:rPr>
          <w:rFonts w:asciiTheme="minorHAnsi" w:hAnsiTheme="minorHAnsi"/>
          <w:color w:val="auto"/>
        </w:rPr>
      </w:pPr>
      <w:r w:rsidRPr="00C20287">
        <w:rPr>
          <w:rFonts w:asciiTheme="minorHAnsi" w:hAnsiTheme="minorHAnsi"/>
          <w:color w:val="auto"/>
        </w:rPr>
        <w:t>Are there reforms you wish to see within the existing pool of funding for remuneration and</w:t>
      </w:r>
      <w:r w:rsidR="005D0C42" w:rsidRPr="00C20287">
        <w:rPr>
          <w:rFonts w:asciiTheme="minorHAnsi" w:hAnsiTheme="minorHAnsi"/>
          <w:color w:val="auto"/>
        </w:rPr>
        <w:t>/</w:t>
      </w:r>
      <w:r w:rsidRPr="00C20287">
        <w:rPr>
          <w:rFonts w:asciiTheme="minorHAnsi" w:hAnsiTheme="minorHAnsi"/>
          <w:color w:val="auto"/>
        </w:rPr>
        <w:t>or programs?</w:t>
      </w:r>
    </w:p>
    <w:p w14:paraId="2F9B1C85" w14:textId="369516EC" w:rsidR="00385497" w:rsidRPr="00C20287" w:rsidRDefault="00385497" w:rsidP="0095671A">
      <w:pPr>
        <w:pStyle w:val="Default"/>
        <w:numPr>
          <w:ilvl w:val="0"/>
          <w:numId w:val="19"/>
        </w:numPr>
        <w:rPr>
          <w:rFonts w:asciiTheme="minorHAnsi" w:hAnsiTheme="minorHAnsi"/>
          <w:color w:val="auto"/>
        </w:rPr>
      </w:pPr>
      <w:r w:rsidRPr="00C20287">
        <w:rPr>
          <w:rFonts w:asciiTheme="minorHAnsi" w:hAnsiTheme="minorHAnsi"/>
          <w:color w:val="auto"/>
        </w:rPr>
        <w:t>What should the government stop paying for? Why?</w:t>
      </w:r>
    </w:p>
    <w:p w14:paraId="6CA1EE75" w14:textId="5EDA0EEB" w:rsidR="00385497" w:rsidRPr="00C20287" w:rsidRDefault="00385497" w:rsidP="0095671A">
      <w:pPr>
        <w:pStyle w:val="Default"/>
        <w:numPr>
          <w:ilvl w:val="0"/>
          <w:numId w:val="19"/>
        </w:numPr>
        <w:rPr>
          <w:rFonts w:asciiTheme="minorHAnsi" w:hAnsiTheme="minorHAnsi"/>
          <w:color w:val="auto"/>
        </w:rPr>
      </w:pPr>
      <w:r w:rsidRPr="00C20287">
        <w:rPr>
          <w:rFonts w:asciiTheme="minorHAnsi" w:hAnsiTheme="minorHAnsi"/>
          <w:color w:val="auto"/>
        </w:rPr>
        <w:t>What, for your organisation, should be the key focus of a new Agreement? Why?</w:t>
      </w:r>
    </w:p>
    <w:p w14:paraId="70341DBE" w14:textId="3F2749CD" w:rsidR="000919BB" w:rsidRPr="00AA5FBD" w:rsidRDefault="00E24C0D" w:rsidP="0059393F">
      <w:pPr>
        <w:pStyle w:val="Default"/>
        <w:rPr>
          <w:rFonts w:asciiTheme="minorHAnsi" w:hAnsiTheme="minorHAnsi"/>
          <w:color w:val="auto"/>
        </w:rPr>
      </w:pPr>
      <w:r w:rsidRPr="00AA5FBD">
        <w:rPr>
          <w:rFonts w:asciiTheme="minorHAnsi" w:hAnsiTheme="minorHAnsi"/>
          <w:color w:val="auto"/>
        </w:rPr>
        <w:t>Through</w:t>
      </w:r>
      <w:r w:rsidR="00AA5FBD" w:rsidRPr="00AA5FBD">
        <w:rPr>
          <w:rFonts w:asciiTheme="minorHAnsi" w:hAnsiTheme="minorHAnsi"/>
          <w:color w:val="auto"/>
        </w:rPr>
        <w:t xml:space="preserve"> </w:t>
      </w:r>
      <w:r w:rsidRPr="00AA5FBD">
        <w:rPr>
          <w:rFonts w:asciiTheme="minorHAnsi" w:hAnsiTheme="minorHAnsi"/>
          <w:color w:val="auto"/>
        </w:rPr>
        <w:t>bilateral</w:t>
      </w:r>
      <w:r w:rsidR="000919BB" w:rsidRPr="00AA5FBD">
        <w:rPr>
          <w:rFonts w:asciiTheme="minorHAnsi" w:hAnsiTheme="minorHAnsi"/>
          <w:color w:val="auto"/>
        </w:rPr>
        <w:t xml:space="preserve"> discussions </w:t>
      </w:r>
      <w:r w:rsidRPr="00AA5FBD">
        <w:rPr>
          <w:rFonts w:asciiTheme="minorHAnsi" w:hAnsiTheme="minorHAnsi"/>
          <w:color w:val="auto"/>
        </w:rPr>
        <w:t xml:space="preserve">individual stakeholders were able to present their specific views and the confidential nature of these discussions may in many respects </w:t>
      </w:r>
      <w:r w:rsidR="00B0083B">
        <w:rPr>
          <w:rFonts w:asciiTheme="minorHAnsi" w:hAnsiTheme="minorHAnsi"/>
          <w:color w:val="auto"/>
        </w:rPr>
        <w:t xml:space="preserve">have </w:t>
      </w:r>
      <w:r w:rsidRPr="00AA5FBD">
        <w:rPr>
          <w:rFonts w:asciiTheme="minorHAnsi" w:hAnsiTheme="minorHAnsi"/>
          <w:color w:val="auto"/>
        </w:rPr>
        <w:t>encourage</w:t>
      </w:r>
      <w:r w:rsidR="00B0083B">
        <w:rPr>
          <w:rFonts w:asciiTheme="minorHAnsi" w:hAnsiTheme="minorHAnsi"/>
          <w:color w:val="auto"/>
        </w:rPr>
        <w:t>d</w:t>
      </w:r>
      <w:r w:rsidRPr="00AA5FBD">
        <w:rPr>
          <w:rFonts w:asciiTheme="minorHAnsi" w:hAnsiTheme="minorHAnsi"/>
          <w:color w:val="auto"/>
        </w:rPr>
        <w:t xml:space="preserve"> greater input than group consultations. An exception to this may be the consumer focussed stakeholder groups</w:t>
      </w:r>
      <w:r w:rsidR="00AA5FBD" w:rsidRPr="00AA5FBD">
        <w:rPr>
          <w:rFonts w:asciiTheme="minorHAnsi" w:hAnsiTheme="minorHAnsi"/>
          <w:color w:val="auto"/>
        </w:rPr>
        <w:t xml:space="preserve"> as i</w:t>
      </w:r>
      <w:r w:rsidRPr="00AA5FBD">
        <w:rPr>
          <w:rFonts w:asciiTheme="minorHAnsi" w:hAnsiTheme="minorHAnsi"/>
          <w:color w:val="auto"/>
        </w:rPr>
        <w:t xml:space="preserve">n multiple </w:t>
      </w:r>
      <w:r w:rsidR="00AA5FBD" w:rsidRPr="00AA5FBD">
        <w:rPr>
          <w:rFonts w:asciiTheme="minorHAnsi" w:hAnsiTheme="minorHAnsi"/>
          <w:color w:val="auto"/>
        </w:rPr>
        <w:t>instances</w:t>
      </w:r>
      <w:r w:rsidRPr="00AA5FBD">
        <w:rPr>
          <w:rFonts w:asciiTheme="minorHAnsi" w:hAnsiTheme="minorHAnsi"/>
          <w:color w:val="auto"/>
        </w:rPr>
        <w:t xml:space="preserve"> these groups noted to the </w:t>
      </w:r>
      <w:r w:rsidR="00AA5FBD" w:rsidRPr="00AA5FBD">
        <w:rPr>
          <w:rFonts w:asciiTheme="minorHAnsi" w:hAnsiTheme="minorHAnsi"/>
          <w:color w:val="auto"/>
        </w:rPr>
        <w:t>Department</w:t>
      </w:r>
      <w:r w:rsidRPr="00AA5FBD">
        <w:rPr>
          <w:rFonts w:asciiTheme="minorHAnsi" w:hAnsiTheme="minorHAnsi"/>
          <w:color w:val="auto"/>
        </w:rPr>
        <w:t xml:space="preserve"> that their preference would be to run consumer surveys prior to providing input</w:t>
      </w:r>
      <w:r w:rsidR="00AA5FBD" w:rsidRPr="00AA5FBD">
        <w:rPr>
          <w:rFonts w:asciiTheme="minorHAnsi" w:hAnsiTheme="minorHAnsi"/>
          <w:color w:val="auto"/>
        </w:rPr>
        <w:t>.</w:t>
      </w:r>
    </w:p>
    <w:p w14:paraId="037DC5A7" w14:textId="2BE0E014" w:rsidR="00385497" w:rsidRPr="00C20287" w:rsidRDefault="00807CCA" w:rsidP="00807CCA">
      <w:pPr>
        <w:pStyle w:val="Heading3"/>
      </w:pPr>
      <w:bookmarkStart w:id="81" w:name="_Toc168652751"/>
      <w:r w:rsidRPr="00C20287">
        <w:lastRenderedPageBreak/>
        <w:t>Summary of feedback</w:t>
      </w:r>
      <w:r w:rsidR="000252E2" w:rsidRPr="00C20287">
        <w:t xml:space="preserve"> from consultations</w:t>
      </w:r>
      <w:bookmarkEnd w:id="81"/>
    </w:p>
    <w:p w14:paraId="66BC1BBC" w14:textId="1A91F9F1" w:rsidR="00611D3E" w:rsidRPr="00842EB1" w:rsidRDefault="0088257E" w:rsidP="00866EFD">
      <w:pPr>
        <w:pStyle w:val="BodyText"/>
        <w:rPr>
          <w:color w:val="auto"/>
          <w:sz w:val="24"/>
          <w:szCs w:val="24"/>
        </w:rPr>
      </w:pPr>
      <w:r w:rsidRPr="00842EB1">
        <w:rPr>
          <w:color w:val="auto"/>
          <w:sz w:val="24"/>
          <w:szCs w:val="24"/>
        </w:rPr>
        <w:t xml:space="preserve">There was strong agreement among most of the stakeholders that the 8CPA represented an opportunity to </w:t>
      </w:r>
      <w:r w:rsidR="00551700" w:rsidRPr="00842EB1">
        <w:rPr>
          <w:color w:val="auto"/>
          <w:sz w:val="24"/>
          <w:szCs w:val="24"/>
        </w:rPr>
        <w:t xml:space="preserve">implement </w:t>
      </w:r>
      <w:r w:rsidRPr="00842EB1">
        <w:rPr>
          <w:color w:val="auto"/>
          <w:sz w:val="24"/>
          <w:szCs w:val="24"/>
        </w:rPr>
        <w:t>significant reform to the funding of</w:t>
      </w:r>
      <w:r w:rsidR="008421C8" w:rsidRPr="00842EB1">
        <w:rPr>
          <w:color w:val="auto"/>
          <w:sz w:val="24"/>
          <w:szCs w:val="24"/>
        </w:rPr>
        <w:t xml:space="preserve"> community pharmacy by the </w:t>
      </w:r>
      <w:r w:rsidR="007A1584" w:rsidRPr="00842EB1">
        <w:rPr>
          <w:color w:val="auto"/>
          <w:sz w:val="24"/>
          <w:szCs w:val="24"/>
        </w:rPr>
        <w:t>C</w:t>
      </w:r>
      <w:r w:rsidR="008421C8" w:rsidRPr="00842EB1">
        <w:rPr>
          <w:color w:val="auto"/>
          <w:sz w:val="24"/>
          <w:szCs w:val="24"/>
        </w:rPr>
        <w:t>ommonwealth government</w:t>
      </w:r>
      <w:r w:rsidR="00551700" w:rsidRPr="00842EB1">
        <w:rPr>
          <w:color w:val="auto"/>
          <w:sz w:val="24"/>
          <w:szCs w:val="24"/>
        </w:rPr>
        <w:t>. There was broad agreement that reform should</w:t>
      </w:r>
      <w:r w:rsidR="00C95FA9" w:rsidRPr="00842EB1">
        <w:rPr>
          <w:color w:val="auto"/>
          <w:sz w:val="24"/>
          <w:szCs w:val="24"/>
        </w:rPr>
        <w:t xml:space="preserve"> include </w:t>
      </w:r>
      <w:r w:rsidR="00C96A93" w:rsidRPr="00842EB1">
        <w:rPr>
          <w:color w:val="auto"/>
          <w:sz w:val="24"/>
          <w:szCs w:val="24"/>
        </w:rPr>
        <w:t xml:space="preserve">comprehensive </w:t>
      </w:r>
      <w:r w:rsidR="00C95FA9" w:rsidRPr="00842EB1">
        <w:rPr>
          <w:color w:val="auto"/>
          <w:sz w:val="24"/>
          <w:szCs w:val="24"/>
        </w:rPr>
        <w:t xml:space="preserve">stakeholder engagement and </w:t>
      </w:r>
      <w:r w:rsidR="00DD3EBC" w:rsidRPr="00842EB1">
        <w:rPr>
          <w:color w:val="auto"/>
          <w:sz w:val="24"/>
          <w:szCs w:val="24"/>
        </w:rPr>
        <w:t xml:space="preserve">consideration of the most appropriate </w:t>
      </w:r>
      <w:r w:rsidR="00C95FA9" w:rsidRPr="00842EB1">
        <w:rPr>
          <w:color w:val="auto"/>
          <w:sz w:val="24"/>
          <w:szCs w:val="24"/>
        </w:rPr>
        <w:t>scope of an</w:t>
      </w:r>
      <w:r w:rsidR="00DD3EBC" w:rsidRPr="00842EB1">
        <w:rPr>
          <w:color w:val="auto"/>
          <w:sz w:val="24"/>
          <w:szCs w:val="24"/>
        </w:rPr>
        <w:t xml:space="preserve"> 8CPA. </w:t>
      </w:r>
    </w:p>
    <w:p w14:paraId="041C4E9C" w14:textId="77777777" w:rsidR="004831F2" w:rsidRPr="00842EB1" w:rsidRDefault="00333780">
      <w:pPr>
        <w:pStyle w:val="BodyText"/>
        <w:rPr>
          <w:color w:val="auto"/>
          <w:sz w:val="24"/>
          <w:szCs w:val="24"/>
        </w:rPr>
      </w:pPr>
      <w:r w:rsidRPr="00842EB1">
        <w:rPr>
          <w:color w:val="auto"/>
          <w:sz w:val="24"/>
          <w:szCs w:val="24"/>
        </w:rPr>
        <w:t>Within this context s</w:t>
      </w:r>
      <w:r w:rsidR="00611D3E" w:rsidRPr="00842EB1">
        <w:rPr>
          <w:color w:val="auto"/>
          <w:sz w:val="24"/>
          <w:szCs w:val="24"/>
        </w:rPr>
        <w:t xml:space="preserve">takeholders generally presented the view that Commonwealth funding for both dispensing </w:t>
      </w:r>
      <w:r w:rsidR="00966B75" w:rsidRPr="00842EB1">
        <w:rPr>
          <w:color w:val="auto"/>
          <w:sz w:val="24"/>
          <w:szCs w:val="24"/>
        </w:rPr>
        <w:t xml:space="preserve">remuneration </w:t>
      </w:r>
      <w:r w:rsidR="00611D3E" w:rsidRPr="00842EB1">
        <w:rPr>
          <w:color w:val="auto"/>
          <w:sz w:val="24"/>
          <w:szCs w:val="24"/>
        </w:rPr>
        <w:t>and CPPs should be increased</w:t>
      </w:r>
      <w:r w:rsidR="00966B75" w:rsidRPr="00842EB1">
        <w:rPr>
          <w:color w:val="auto"/>
          <w:sz w:val="24"/>
          <w:szCs w:val="24"/>
        </w:rPr>
        <w:t xml:space="preserve"> and that</w:t>
      </w:r>
      <w:r w:rsidR="00611D3E" w:rsidRPr="00842EB1">
        <w:rPr>
          <w:color w:val="auto"/>
          <w:sz w:val="24"/>
          <w:szCs w:val="24"/>
        </w:rPr>
        <w:t xml:space="preserve"> dispensing remuneration should continue to be agreed through a CPA type arrangement. </w:t>
      </w:r>
    </w:p>
    <w:p w14:paraId="7576062B" w14:textId="46B5269D" w:rsidR="004831F2" w:rsidRPr="00842EB1" w:rsidRDefault="004831F2" w:rsidP="004831F2">
      <w:pPr>
        <w:pStyle w:val="BodyText"/>
        <w:rPr>
          <w:color w:val="auto"/>
          <w:sz w:val="24"/>
          <w:szCs w:val="24"/>
        </w:rPr>
      </w:pPr>
      <w:r w:rsidRPr="00842EB1">
        <w:rPr>
          <w:color w:val="auto"/>
          <w:sz w:val="24"/>
          <w:szCs w:val="24"/>
        </w:rPr>
        <w:t xml:space="preserve">There were multiple matters raised where there was conflicting input as to what should or shouldn’t be included in any new agreement. On the matter of the optional $1 discount </w:t>
      </w:r>
      <w:r w:rsidR="00B0083B" w:rsidRPr="00842EB1">
        <w:rPr>
          <w:color w:val="auto"/>
          <w:sz w:val="24"/>
          <w:szCs w:val="24"/>
        </w:rPr>
        <w:t xml:space="preserve">allowing </w:t>
      </w:r>
      <w:r w:rsidRPr="00842EB1">
        <w:rPr>
          <w:color w:val="auto"/>
          <w:sz w:val="24"/>
          <w:szCs w:val="24"/>
        </w:rPr>
        <w:t xml:space="preserve">pharmacies </w:t>
      </w:r>
      <w:r w:rsidR="00B0083B" w:rsidRPr="00842EB1">
        <w:rPr>
          <w:color w:val="auto"/>
          <w:sz w:val="24"/>
          <w:szCs w:val="24"/>
        </w:rPr>
        <w:t xml:space="preserve">to </w:t>
      </w:r>
      <w:r w:rsidRPr="00842EB1">
        <w:rPr>
          <w:color w:val="auto"/>
          <w:sz w:val="24"/>
          <w:szCs w:val="24"/>
        </w:rPr>
        <w:t>reduc</w:t>
      </w:r>
      <w:r w:rsidR="00B0083B" w:rsidRPr="00842EB1">
        <w:rPr>
          <w:color w:val="auto"/>
          <w:sz w:val="24"/>
          <w:szCs w:val="24"/>
        </w:rPr>
        <w:t>e</w:t>
      </w:r>
      <w:r w:rsidRPr="00842EB1">
        <w:rPr>
          <w:color w:val="auto"/>
          <w:sz w:val="24"/>
          <w:szCs w:val="24"/>
        </w:rPr>
        <w:t xml:space="preserve"> the </w:t>
      </w:r>
      <w:r w:rsidR="00B0083B" w:rsidRPr="00842EB1">
        <w:rPr>
          <w:color w:val="auto"/>
          <w:sz w:val="24"/>
          <w:szCs w:val="24"/>
        </w:rPr>
        <w:t xml:space="preserve">relevant </w:t>
      </w:r>
      <w:r w:rsidRPr="00842EB1">
        <w:rPr>
          <w:color w:val="auto"/>
          <w:sz w:val="24"/>
          <w:szCs w:val="24"/>
        </w:rPr>
        <w:t xml:space="preserve">co-payment amount, several stakeholders </w:t>
      </w:r>
      <w:r w:rsidR="00B0083B" w:rsidRPr="00842EB1">
        <w:rPr>
          <w:color w:val="auto"/>
          <w:sz w:val="24"/>
          <w:szCs w:val="24"/>
        </w:rPr>
        <w:t xml:space="preserve">suggested </w:t>
      </w:r>
      <w:r w:rsidRPr="00842EB1">
        <w:rPr>
          <w:color w:val="auto"/>
          <w:sz w:val="24"/>
          <w:szCs w:val="24"/>
        </w:rPr>
        <w:t>that the value of the optional discount should be increased with one stakeholder suggesting that the discount could be to the entire value of the concessional co-payment</w:t>
      </w:r>
      <w:r w:rsidR="002F74CA" w:rsidRPr="00842EB1">
        <w:rPr>
          <w:color w:val="auto"/>
          <w:sz w:val="24"/>
          <w:szCs w:val="24"/>
        </w:rPr>
        <w:t>.</w:t>
      </w:r>
      <w:r w:rsidRPr="00842EB1">
        <w:rPr>
          <w:color w:val="auto"/>
          <w:sz w:val="24"/>
          <w:szCs w:val="24"/>
        </w:rPr>
        <w:t xml:space="preserve"> </w:t>
      </w:r>
      <w:r w:rsidR="002F74CA" w:rsidRPr="00842EB1">
        <w:rPr>
          <w:color w:val="auto"/>
          <w:sz w:val="24"/>
          <w:szCs w:val="24"/>
        </w:rPr>
        <w:t>A</w:t>
      </w:r>
      <w:r w:rsidRPr="00842EB1">
        <w:rPr>
          <w:color w:val="auto"/>
          <w:sz w:val="24"/>
          <w:szCs w:val="24"/>
        </w:rPr>
        <w:t xml:space="preserve">nother </w:t>
      </w:r>
      <w:r w:rsidR="002F74CA" w:rsidRPr="00842EB1">
        <w:rPr>
          <w:color w:val="auto"/>
          <w:sz w:val="24"/>
          <w:szCs w:val="24"/>
        </w:rPr>
        <w:t>stakeholder however</w:t>
      </w:r>
      <w:r w:rsidRPr="00842EB1">
        <w:rPr>
          <w:color w:val="auto"/>
          <w:sz w:val="24"/>
          <w:szCs w:val="24"/>
        </w:rPr>
        <w:t xml:space="preserve"> advocated for </w:t>
      </w:r>
      <w:r w:rsidR="002F74CA" w:rsidRPr="00842EB1">
        <w:rPr>
          <w:color w:val="auto"/>
          <w:sz w:val="24"/>
          <w:szCs w:val="24"/>
        </w:rPr>
        <w:t>total</w:t>
      </w:r>
      <w:r w:rsidRPr="00842EB1">
        <w:rPr>
          <w:color w:val="auto"/>
          <w:sz w:val="24"/>
          <w:szCs w:val="24"/>
        </w:rPr>
        <w:t xml:space="preserve"> abolition</w:t>
      </w:r>
      <w:r w:rsidR="004E747B" w:rsidRPr="00842EB1">
        <w:rPr>
          <w:color w:val="auto"/>
          <w:sz w:val="24"/>
          <w:szCs w:val="24"/>
        </w:rPr>
        <w:t xml:space="preserve"> o</w:t>
      </w:r>
      <w:r w:rsidR="002F74CA" w:rsidRPr="00842EB1">
        <w:rPr>
          <w:color w:val="auto"/>
          <w:sz w:val="24"/>
          <w:szCs w:val="24"/>
        </w:rPr>
        <w:t xml:space="preserve">f the $1 discount stating that </w:t>
      </w:r>
      <w:r w:rsidR="004E747B" w:rsidRPr="00842EB1">
        <w:rPr>
          <w:color w:val="auto"/>
          <w:sz w:val="24"/>
          <w:szCs w:val="24"/>
        </w:rPr>
        <w:t xml:space="preserve">because pharmacies do not universally apply the discount </w:t>
      </w:r>
      <w:r w:rsidR="002F74CA" w:rsidRPr="00842EB1">
        <w:rPr>
          <w:color w:val="auto"/>
          <w:sz w:val="24"/>
          <w:szCs w:val="24"/>
        </w:rPr>
        <w:t xml:space="preserve">it was </w:t>
      </w:r>
      <w:r w:rsidR="004E747B" w:rsidRPr="00842EB1">
        <w:rPr>
          <w:color w:val="auto"/>
          <w:sz w:val="24"/>
          <w:szCs w:val="24"/>
        </w:rPr>
        <w:t>inequitable</w:t>
      </w:r>
      <w:r w:rsidR="002F74CA" w:rsidRPr="00842EB1">
        <w:rPr>
          <w:color w:val="auto"/>
          <w:sz w:val="24"/>
          <w:szCs w:val="24"/>
        </w:rPr>
        <w:t xml:space="preserve"> for patients.</w:t>
      </w:r>
    </w:p>
    <w:p w14:paraId="4B1F3DDA" w14:textId="3F6334D6" w:rsidR="0088257E" w:rsidRPr="00842EB1" w:rsidRDefault="009D1783">
      <w:pPr>
        <w:pStyle w:val="BodyText"/>
        <w:rPr>
          <w:color w:val="auto"/>
          <w:sz w:val="24"/>
          <w:szCs w:val="24"/>
        </w:rPr>
      </w:pPr>
      <w:r w:rsidRPr="00842EB1">
        <w:rPr>
          <w:color w:val="auto"/>
          <w:sz w:val="24"/>
          <w:szCs w:val="24"/>
        </w:rPr>
        <w:t xml:space="preserve">There was wide ranging, but not universal, agreement that the current </w:t>
      </w:r>
      <w:r w:rsidR="004E747B" w:rsidRPr="00842EB1">
        <w:rPr>
          <w:color w:val="auto"/>
          <w:sz w:val="24"/>
          <w:szCs w:val="24"/>
        </w:rPr>
        <w:t xml:space="preserve">CPPs </w:t>
      </w:r>
      <w:r w:rsidRPr="00842EB1">
        <w:rPr>
          <w:color w:val="auto"/>
          <w:sz w:val="24"/>
          <w:szCs w:val="24"/>
        </w:rPr>
        <w:t>should be funded outside of the 8CPA and not tied specifically to community pharmacy</w:t>
      </w:r>
      <w:r w:rsidR="002E5F9E" w:rsidRPr="00842EB1">
        <w:rPr>
          <w:color w:val="auto"/>
          <w:sz w:val="24"/>
          <w:szCs w:val="24"/>
        </w:rPr>
        <w:t xml:space="preserve">. </w:t>
      </w:r>
      <w:r w:rsidR="009E7381" w:rsidRPr="00842EB1">
        <w:rPr>
          <w:color w:val="auto"/>
          <w:sz w:val="24"/>
          <w:szCs w:val="24"/>
        </w:rPr>
        <w:t>Stakeholders</w:t>
      </w:r>
      <w:r w:rsidR="000A59A5" w:rsidRPr="00842EB1">
        <w:rPr>
          <w:color w:val="auto"/>
          <w:sz w:val="24"/>
          <w:szCs w:val="24"/>
        </w:rPr>
        <w:t xml:space="preserve"> suggested t</w:t>
      </w:r>
      <w:r w:rsidR="002E5F9E" w:rsidRPr="00842EB1">
        <w:rPr>
          <w:color w:val="auto"/>
          <w:sz w:val="24"/>
          <w:szCs w:val="24"/>
        </w:rPr>
        <w:t xml:space="preserve">his would allow for more robust consideration of the most appropriate providers, whether an independent consulting pharmacist, </w:t>
      </w:r>
      <w:r w:rsidR="00637BAD" w:rsidRPr="00842EB1">
        <w:rPr>
          <w:color w:val="auto"/>
          <w:sz w:val="24"/>
          <w:szCs w:val="24"/>
        </w:rPr>
        <w:t>First Nations</w:t>
      </w:r>
      <w:r w:rsidR="000A59A5" w:rsidRPr="00842EB1">
        <w:rPr>
          <w:color w:val="auto"/>
          <w:sz w:val="24"/>
          <w:szCs w:val="24"/>
        </w:rPr>
        <w:t xml:space="preserve"> H</w:t>
      </w:r>
      <w:r w:rsidR="00BA01A6" w:rsidRPr="00842EB1">
        <w:rPr>
          <w:color w:val="auto"/>
          <w:sz w:val="24"/>
          <w:szCs w:val="24"/>
        </w:rPr>
        <w:t xml:space="preserve">ealth </w:t>
      </w:r>
      <w:r w:rsidR="000A59A5" w:rsidRPr="00842EB1">
        <w:rPr>
          <w:color w:val="auto"/>
          <w:sz w:val="24"/>
          <w:szCs w:val="24"/>
        </w:rPr>
        <w:t>S</w:t>
      </w:r>
      <w:r w:rsidR="00BA01A6" w:rsidRPr="00842EB1">
        <w:rPr>
          <w:color w:val="auto"/>
          <w:sz w:val="24"/>
          <w:szCs w:val="24"/>
        </w:rPr>
        <w:t xml:space="preserve">ervice </w:t>
      </w:r>
      <w:r w:rsidR="002E5F9E" w:rsidRPr="00842EB1">
        <w:rPr>
          <w:color w:val="auto"/>
          <w:sz w:val="24"/>
          <w:szCs w:val="24"/>
        </w:rPr>
        <w:t>or community pharmacy, and funding arrangements for each program individually.</w:t>
      </w:r>
      <w:r w:rsidRPr="00842EB1">
        <w:rPr>
          <w:color w:val="auto"/>
          <w:sz w:val="24"/>
          <w:szCs w:val="24"/>
        </w:rPr>
        <w:t xml:space="preserve"> </w:t>
      </w:r>
    </w:p>
    <w:p w14:paraId="04C75FDD" w14:textId="546D5DC7" w:rsidR="00517CA5" w:rsidRPr="00842EB1" w:rsidRDefault="00517CA5">
      <w:pPr>
        <w:pStyle w:val="BodyText"/>
        <w:rPr>
          <w:color w:val="auto"/>
          <w:sz w:val="24"/>
          <w:szCs w:val="24"/>
        </w:rPr>
      </w:pPr>
      <w:r w:rsidRPr="00842EB1">
        <w:rPr>
          <w:color w:val="auto"/>
          <w:sz w:val="24"/>
          <w:szCs w:val="24"/>
        </w:rPr>
        <w:t xml:space="preserve">This perspective was also </w:t>
      </w:r>
      <w:r w:rsidR="009A6D90" w:rsidRPr="00842EB1">
        <w:rPr>
          <w:color w:val="auto"/>
          <w:sz w:val="24"/>
          <w:szCs w:val="24"/>
        </w:rPr>
        <w:t>consistent</w:t>
      </w:r>
      <w:r w:rsidRPr="00842EB1">
        <w:rPr>
          <w:color w:val="auto"/>
          <w:sz w:val="24"/>
          <w:szCs w:val="24"/>
        </w:rPr>
        <w:t xml:space="preserve"> with the </w:t>
      </w:r>
      <w:r w:rsidR="009A6D90" w:rsidRPr="00842EB1">
        <w:rPr>
          <w:color w:val="auto"/>
          <w:sz w:val="24"/>
          <w:szCs w:val="24"/>
        </w:rPr>
        <w:t>similarly</w:t>
      </w:r>
      <w:r w:rsidRPr="00842EB1">
        <w:rPr>
          <w:color w:val="auto"/>
          <w:sz w:val="24"/>
          <w:szCs w:val="24"/>
        </w:rPr>
        <w:t xml:space="preserve"> </w:t>
      </w:r>
      <w:r w:rsidR="009A6D90" w:rsidRPr="00842EB1">
        <w:rPr>
          <w:color w:val="auto"/>
          <w:sz w:val="24"/>
          <w:szCs w:val="24"/>
        </w:rPr>
        <w:t>persistent</w:t>
      </w:r>
      <w:r w:rsidRPr="00842EB1">
        <w:rPr>
          <w:color w:val="auto"/>
          <w:sz w:val="24"/>
          <w:szCs w:val="24"/>
        </w:rPr>
        <w:t xml:space="preserve">, though not universal, view that the </w:t>
      </w:r>
      <w:r w:rsidR="000A59A5" w:rsidRPr="00842EB1">
        <w:rPr>
          <w:color w:val="auto"/>
          <w:sz w:val="24"/>
          <w:szCs w:val="24"/>
        </w:rPr>
        <w:t xml:space="preserve">CPA </w:t>
      </w:r>
      <w:r w:rsidRPr="00842EB1">
        <w:rPr>
          <w:color w:val="auto"/>
          <w:sz w:val="24"/>
          <w:szCs w:val="24"/>
        </w:rPr>
        <w:t>should return to</w:t>
      </w:r>
      <w:r w:rsidR="009A6D90" w:rsidRPr="00842EB1">
        <w:rPr>
          <w:color w:val="auto"/>
          <w:sz w:val="24"/>
          <w:szCs w:val="24"/>
        </w:rPr>
        <w:t xml:space="preserve"> operating in</w:t>
      </w:r>
      <w:r w:rsidRPr="00842EB1">
        <w:rPr>
          <w:color w:val="auto"/>
          <w:sz w:val="24"/>
          <w:szCs w:val="24"/>
        </w:rPr>
        <w:t xml:space="preserve"> a form closer to its init</w:t>
      </w:r>
      <w:r w:rsidR="009A6D90" w:rsidRPr="00842EB1">
        <w:rPr>
          <w:color w:val="auto"/>
          <w:sz w:val="24"/>
          <w:szCs w:val="24"/>
        </w:rPr>
        <w:t>ial legislated requirements;</w:t>
      </w:r>
      <w:r w:rsidRPr="00842EB1">
        <w:rPr>
          <w:color w:val="auto"/>
          <w:sz w:val="24"/>
          <w:szCs w:val="24"/>
        </w:rPr>
        <w:t xml:space="preserve"> that being a mechanism for agreement on </w:t>
      </w:r>
      <w:r w:rsidR="009A6D90" w:rsidRPr="00842EB1">
        <w:rPr>
          <w:color w:val="auto"/>
          <w:sz w:val="24"/>
          <w:szCs w:val="24"/>
        </w:rPr>
        <w:t>dispensing remuneration</w:t>
      </w:r>
      <w:r w:rsidRPr="00842EB1">
        <w:rPr>
          <w:color w:val="auto"/>
          <w:sz w:val="24"/>
          <w:szCs w:val="24"/>
        </w:rPr>
        <w:t xml:space="preserve">. The </w:t>
      </w:r>
      <w:r w:rsidR="00827E48" w:rsidRPr="00842EB1">
        <w:rPr>
          <w:color w:val="auto"/>
          <w:sz w:val="24"/>
          <w:szCs w:val="24"/>
        </w:rPr>
        <w:t xml:space="preserve">proposal under Option 3 </w:t>
      </w:r>
      <w:r w:rsidRPr="00842EB1">
        <w:rPr>
          <w:color w:val="auto"/>
          <w:sz w:val="24"/>
          <w:szCs w:val="24"/>
        </w:rPr>
        <w:t xml:space="preserve">to work towards a separate agreement for wholesalers is consistent with this position and </w:t>
      </w:r>
      <w:r w:rsidR="00827E48" w:rsidRPr="00842EB1">
        <w:rPr>
          <w:color w:val="auto"/>
          <w:sz w:val="24"/>
          <w:szCs w:val="24"/>
        </w:rPr>
        <w:t xml:space="preserve">is </w:t>
      </w:r>
      <w:r w:rsidRPr="00842EB1">
        <w:rPr>
          <w:color w:val="auto"/>
          <w:sz w:val="24"/>
          <w:szCs w:val="24"/>
        </w:rPr>
        <w:t xml:space="preserve">broadly supported by stakeholders from across the sector. </w:t>
      </w:r>
    </w:p>
    <w:p w14:paraId="289649B5" w14:textId="6615AA1F" w:rsidR="00AD6221" w:rsidRPr="00842EB1" w:rsidRDefault="00AD6221" w:rsidP="00AD6221">
      <w:pPr>
        <w:pStyle w:val="BodyText"/>
        <w:rPr>
          <w:color w:val="auto"/>
          <w:sz w:val="24"/>
          <w:szCs w:val="24"/>
        </w:rPr>
      </w:pPr>
      <w:r w:rsidRPr="00842EB1">
        <w:rPr>
          <w:color w:val="auto"/>
          <w:sz w:val="24"/>
          <w:szCs w:val="24"/>
        </w:rPr>
        <w:t xml:space="preserve">Many stakeholders also noted that the ongoing funding of existing </w:t>
      </w:r>
      <w:r w:rsidR="006540AE" w:rsidRPr="00842EB1">
        <w:rPr>
          <w:color w:val="auto"/>
          <w:sz w:val="24"/>
          <w:szCs w:val="24"/>
        </w:rPr>
        <w:t xml:space="preserve">CPPs </w:t>
      </w:r>
      <w:r w:rsidRPr="00842EB1">
        <w:rPr>
          <w:color w:val="auto"/>
          <w:sz w:val="24"/>
          <w:szCs w:val="24"/>
        </w:rPr>
        <w:t xml:space="preserve">should be tied to the establishment </w:t>
      </w:r>
      <w:r w:rsidR="006540AE" w:rsidRPr="00842EB1">
        <w:rPr>
          <w:color w:val="auto"/>
          <w:sz w:val="24"/>
          <w:szCs w:val="24"/>
        </w:rPr>
        <w:t xml:space="preserve">of </w:t>
      </w:r>
      <w:r w:rsidRPr="00842EB1">
        <w:rPr>
          <w:color w:val="auto"/>
          <w:sz w:val="24"/>
          <w:szCs w:val="24"/>
        </w:rPr>
        <w:t xml:space="preserve">and compliance with robust quality and evaluation frameworks. </w:t>
      </w:r>
      <w:r w:rsidR="00BA789A" w:rsidRPr="00842EB1">
        <w:rPr>
          <w:color w:val="auto"/>
          <w:sz w:val="24"/>
          <w:szCs w:val="24"/>
        </w:rPr>
        <w:t>The need for reform in this space was universally acknowledged and desired by stakeholders.</w:t>
      </w:r>
    </w:p>
    <w:p w14:paraId="28967B4C" w14:textId="77777777" w:rsidR="00AD6221" w:rsidRPr="00842EB1" w:rsidRDefault="00AD6221" w:rsidP="00AD6221">
      <w:pPr>
        <w:pStyle w:val="BodyText"/>
        <w:rPr>
          <w:color w:val="auto"/>
          <w:sz w:val="24"/>
          <w:szCs w:val="24"/>
        </w:rPr>
      </w:pPr>
      <w:r w:rsidRPr="00842EB1">
        <w:rPr>
          <w:color w:val="auto"/>
          <w:sz w:val="24"/>
          <w:szCs w:val="24"/>
        </w:rPr>
        <w:t xml:space="preserve">Stakeholders also noted that patient benefits and quality use of medicines issues should be the primary focus of any program associated with pharmacy. It was recognised that monitoring of these impacts and program evaluation can only be assessed by collecting robust data in a manner that provides for broad comparisons through establishing agreed parameters to measure the benefit of each individual program. </w:t>
      </w:r>
    </w:p>
    <w:p w14:paraId="45B518FB" w14:textId="777328E0" w:rsidR="00A96B85" w:rsidRPr="00842EB1" w:rsidRDefault="00A96B85" w:rsidP="00A96B85">
      <w:pPr>
        <w:pStyle w:val="BodyText"/>
        <w:rPr>
          <w:color w:val="auto"/>
          <w:sz w:val="24"/>
          <w:szCs w:val="24"/>
        </w:rPr>
      </w:pPr>
      <w:r w:rsidRPr="00842EB1">
        <w:rPr>
          <w:color w:val="auto"/>
          <w:sz w:val="24"/>
          <w:szCs w:val="24"/>
        </w:rPr>
        <w:t xml:space="preserve">A common theme was that funding for services should be linked to robust evaluation frameworks to ensure that the services were providing value for money and a clinical benefit to those receiving them. </w:t>
      </w:r>
    </w:p>
    <w:p w14:paraId="392B632D" w14:textId="169D3F63" w:rsidR="00447847" w:rsidRPr="008E3F9F" w:rsidRDefault="009C5F23" w:rsidP="00866EFD">
      <w:pPr>
        <w:pStyle w:val="BodyText"/>
        <w:rPr>
          <w:color w:val="auto"/>
          <w:sz w:val="24"/>
          <w:szCs w:val="24"/>
        </w:rPr>
      </w:pPr>
      <w:r w:rsidRPr="008E3F9F">
        <w:rPr>
          <w:color w:val="auto"/>
          <w:sz w:val="24"/>
          <w:szCs w:val="24"/>
        </w:rPr>
        <w:t>Several stakeholder</w:t>
      </w:r>
      <w:r w:rsidR="00447847" w:rsidRPr="008E3F9F">
        <w:rPr>
          <w:color w:val="auto"/>
          <w:sz w:val="24"/>
          <w:szCs w:val="24"/>
        </w:rPr>
        <w:t>s</w:t>
      </w:r>
      <w:r w:rsidRPr="008E3F9F">
        <w:rPr>
          <w:color w:val="auto"/>
          <w:sz w:val="24"/>
          <w:szCs w:val="24"/>
        </w:rPr>
        <w:t xml:space="preserve"> indicated that they </w:t>
      </w:r>
      <w:r w:rsidR="00D755AB" w:rsidRPr="008E3F9F">
        <w:rPr>
          <w:color w:val="auto"/>
          <w:sz w:val="24"/>
          <w:szCs w:val="24"/>
        </w:rPr>
        <w:t xml:space="preserve">would </w:t>
      </w:r>
      <w:r w:rsidRPr="008E3F9F">
        <w:rPr>
          <w:color w:val="auto"/>
          <w:sz w:val="24"/>
          <w:szCs w:val="24"/>
        </w:rPr>
        <w:t xml:space="preserve">support </w:t>
      </w:r>
      <w:r w:rsidR="00637BAD" w:rsidRPr="008E3F9F">
        <w:rPr>
          <w:color w:val="auto"/>
          <w:sz w:val="24"/>
          <w:szCs w:val="24"/>
        </w:rPr>
        <w:t>First Nations</w:t>
      </w:r>
      <w:r w:rsidR="00F246C1" w:rsidRPr="008E3F9F">
        <w:rPr>
          <w:color w:val="auto"/>
          <w:sz w:val="24"/>
          <w:szCs w:val="24"/>
        </w:rPr>
        <w:t xml:space="preserve"> </w:t>
      </w:r>
      <w:r w:rsidR="00D755AB" w:rsidRPr="008E3F9F">
        <w:rPr>
          <w:color w:val="auto"/>
          <w:sz w:val="24"/>
          <w:szCs w:val="24"/>
        </w:rPr>
        <w:t xml:space="preserve">pharmacy </w:t>
      </w:r>
      <w:r w:rsidRPr="008E3F9F">
        <w:rPr>
          <w:color w:val="auto"/>
          <w:sz w:val="24"/>
          <w:szCs w:val="24"/>
        </w:rPr>
        <w:t xml:space="preserve">programs to be </w:t>
      </w:r>
      <w:r w:rsidR="00C436E2" w:rsidRPr="008E3F9F">
        <w:rPr>
          <w:color w:val="auto"/>
          <w:sz w:val="24"/>
          <w:szCs w:val="24"/>
        </w:rPr>
        <w:t>administered</w:t>
      </w:r>
      <w:r w:rsidRPr="008E3F9F">
        <w:rPr>
          <w:color w:val="auto"/>
          <w:sz w:val="24"/>
          <w:szCs w:val="24"/>
        </w:rPr>
        <w:t xml:space="preserve"> by </w:t>
      </w:r>
      <w:r w:rsidR="00637BAD" w:rsidRPr="008E3F9F">
        <w:rPr>
          <w:color w:val="auto"/>
          <w:sz w:val="24"/>
          <w:szCs w:val="24"/>
        </w:rPr>
        <w:t xml:space="preserve">First Nations </w:t>
      </w:r>
      <w:r w:rsidRPr="008E3F9F">
        <w:rPr>
          <w:color w:val="auto"/>
          <w:sz w:val="24"/>
          <w:szCs w:val="24"/>
        </w:rPr>
        <w:t>organisations such as NACCHO.</w:t>
      </w:r>
      <w:r w:rsidR="00C436E2" w:rsidRPr="008E3F9F">
        <w:rPr>
          <w:color w:val="auto"/>
          <w:sz w:val="24"/>
          <w:szCs w:val="24"/>
        </w:rPr>
        <w:t xml:space="preserve"> This was either </w:t>
      </w:r>
      <w:r w:rsidR="00D755AB" w:rsidRPr="008E3F9F">
        <w:rPr>
          <w:color w:val="auto"/>
          <w:sz w:val="24"/>
          <w:szCs w:val="24"/>
        </w:rPr>
        <w:t xml:space="preserve">through </w:t>
      </w:r>
      <w:r w:rsidR="00C436E2" w:rsidRPr="008E3F9F">
        <w:rPr>
          <w:color w:val="auto"/>
          <w:sz w:val="24"/>
          <w:szCs w:val="24"/>
        </w:rPr>
        <w:t xml:space="preserve">support </w:t>
      </w:r>
      <w:r w:rsidR="00D755AB" w:rsidRPr="008E3F9F">
        <w:rPr>
          <w:color w:val="auto"/>
          <w:sz w:val="24"/>
          <w:szCs w:val="24"/>
        </w:rPr>
        <w:t>of</w:t>
      </w:r>
      <w:r w:rsidR="00C436E2" w:rsidRPr="008E3F9F">
        <w:rPr>
          <w:color w:val="auto"/>
          <w:sz w:val="24"/>
          <w:szCs w:val="24"/>
        </w:rPr>
        <w:t xml:space="preserve"> </w:t>
      </w:r>
      <w:r w:rsidR="00447847" w:rsidRPr="008E3F9F">
        <w:rPr>
          <w:color w:val="auto"/>
          <w:sz w:val="24"/>
          <w:szCs w:val="24"/>
        </w:rPr>
        <w:t>new</w:t>
      </w:r>
      <w:r w:rsidR="00C436E2" w:rsidRPr="008E3F9F">
        <w:rPr>
          <w:color w:val="auto"/>
          <w:sz w:val="24"/>
          <w:szCs w:val="24"/>
        </w:rPr>
        <w:t xml:space="preserve"> programs</w:t>
      </w:r>
      <w:r w:rsidR="007C4ECF" w:rsidRPr="008E3F9F">
        <w:rPr>
          <w:color w:val="auto"/>
          <w:sz w:val="24"/>
          <w:szCs w:val="24"/>
        </w:rPr>
        <w:t xml:space="preserve"> </w:t>
      </w:r>
      <w:r w:rsidR="00C436E2" w:rsidRPr="008E3F9F">
        <w:rPr>
          <w:color w:val="auto"/>
          <w:sz w:val="24"/>
          <w:szCs w:val="24"/>
        </w:rPr>
        <w:t>or for all</w:t>
      </w:r>
      <w:r w:rsidR="00F246C1" w:rsidRPr="008E3F9F">
        <w:rPr>
          <w:color w:val="auto"/>
          <w:sz w:val="24"/>
          <w:szCs w:val="24"/>
        </w:rPr>
        <w:t xml:space="preserve"> First Nations focussed pharmacy programs</w:t>
      </w:r>
      <w:r w:rsidR="00C436E2" w:rsidRPr="008E3F9F">
        <w:rPr>
          <w:color w:val="auto"/>
          <w:sz w:val="24"/>
          <w:szCs w:val="24"/>
        </w:rPr>
        <w:t xml:space="preserve"> including </w:t>
      </w:r>
      <w:r w:rsidR="007C4ECF" w:rsidRPr="008E3F9F">
        <w:rPr>
          <w:color w:val="auto"/>
          <w:sz w:val="24"/>
          <w:szCs w:val="24"/>
        </w:rPr>
        <w:t xml:space="preserve">existing </w:t>
      </w:r>
      <w:r w:rsidR="00C436E2" w:rsidRPr="008E3F9F">
        <w:rPr>
          <w:color w:val="auto"/>
          <w:sz w:val="24"/>
          <w:szCs w:val="24"/>
        </w:rPr>
        <w:t xml:space="preserve">workforce support and </w:t>
      </w:r>
      <w:r w:rsidR="00C436E2" w:rsidRPr="008E3F9F">
        <w:rPr>
          <w:color w:val="auto"/>
          <w:sz w:val="24"/>
          <w:szCs w:val="24"/>
        </w:rPr>
        <w:lastRenderedPageBreak/>
        <w:t>pharmacy programs to be included in a single package to be administered by a single organisation. The rational</w:t>
      </w:r>
      <w:r w:rsidR="00C81202" w:rsidRPr="008E3F9F">
        <w:rPr>
          <w:color w:val="auto"/>
          <w:sz w:val="24"/>
          <w:szCs w:val="24"/>
        </w:rPr>
        <w:t>e</w:t>
      </w:r>
      <w:r w:rsidR="00C436E2" w:rsidRPr="008E3F9F">
        <w:rPr>
          <w:color w:val="auto"/>
          <w:sz w:val="24"/>
          <w:szCs w:val="24"/>
        </w:rPr>
        <w:t xml:space="preserve"> for this support was </w:t>
      </w:r>
      <w:r w:rsidR="00D755AB" w:rsidRPr="008E3F9F">
        <w:rPr>
          <w:color w:val="auto"/>
          <w:sz w:val="24"/>
          <w:szCs w:val="24"/>
        </w:rPr>
        <w:t xml:space="preserve">primarily </w:t>
      </w:r>
      <w:r w:rsidR="00C436E2" w:rsidRPr="008E3F9F">
        <w:rPr>
          <w:color w:val="auto"/>
          <w:sz w:val="24"/>
          <w:szCs w:val="24"/>
        </w:rPr>
        <w:t xml:space="preserve">that </w:t>
      </w:r>
      <w:r w:rsidR="00DC7E03" w:rsidRPr="008E3F9F">
        <w:rPr>
          <w:color w:val="auto"/>
          <w:sz w:val="24"/>
          <w:szCs w:val="24"/>
        </w:rPr>
        <w:t xml:space="preserve">a First Nations-operated </w:t>
      </w:r>
      <w:r w:rsidR="00C436E2" w:rsidRPr="008E3F9F">
        <w:rPr>
          <w:color w:val="auto"/>
          <w:sz w:val="24"/>
          <w:szCs w:val="24"/>
        </w:rPr>
        <w:t xml:space="preserve">organisation would be best placed to tailor these programs to best meet the needs of </w:t>
      </w:r>
      <w:r w:rsidR="00637BAD" w:rsidRPr="008E3F9F">
        <w:rPr>
          <w:color w:val="auto"/>
          <w:sz w:val="24"/>
          <w:szCs w:val="24"/>
        </w:rPr>
        <w:t xml:space="preserve">First Nations </w:t>
      </w:r>
      <w:r w:rsidR="00C436E2" w:rsidRPr="008E3F9F">
        <w:rPr>
          <w:color w:val="auto"/>
          <w:sz w:val="24"/>
          <w:szCs w:val="24"/>
        </w:rPr>
        <w:t>peoples.</w:t>
      </w:r>
    </w:p>
    <w:p w14:paraId="6F76D683" w14:textId="46A54843" w:rsidR="00490396" w:rsidRPr="008E3F9F" w:rsidRDefault="00F61874" w:rsidP="00D02E44">
      <w:pPr>
        <w:pStyle w:val="BodyText"/>
        <w:rPr>
          <w:color w:val="auto"/>
          <w:sz w:val="24"/>
          <w:szCs w:val="24"/>
        </w:rPr>
      </w:pPr>
      <w:r w:rsidRPr="008E3F9F">
        <w:rPr>
          <w:color w:val="auto"/>
          <w:sz w:val="24"/>
          <w:szCs w:val="24"/>
        </w:rPr>
        <w:t xml:space="preserve">There was support for </w:t>
      </w:r>
      <w:r w:rsidR="007423D5" w:rsidRPr="008E3F9F">
        <w:rPr>
          <w:color w:val="auto"/>
          <w:sz w:val="24"/>
          <w:szCs w:val="24"/>
        </w:rPr>
        <w:t>including</w:t>
      </w:r>
      <w:r w:rsidRPr="008E3F9F">
        <w:rPr>
          <w:color w:val="auto"/>
          <w:sz w:val="24"/>
          <w:szCs w:val="24"/>
        </w:rPr>
        <w:t xml:space="preserve"> s</w:t>
      </w:r>
      <w:r w:rsidR="00490396" w:rsidRPr="008E3F9F">
        <w:rPr>
          <w:color w:val="auto"/>
          <w:sz w:val="24"/>
          <w:szCs w:val="24"/>
        </w:rPr>
        <w:t xml:space="preserve">tructural change </w:t>
      </w:r>
      <w:r w:rsidRPr="008E3F9F">
        <w:rPr>
          <w:color w:val="auto"/>
          <w:sz w:val="24"/>
          <w:szCs w:val="24"/>
        </w:rPr>
        <w:t>in any agreement to include supporting a model allowing for the</w:t>
      </w:r>
      <w:r w:rsidR="00490396" w:rsidRPr="008E3F9F">
        <w:rPr>
          <w:color w:val="auto"/>
          <w:sz w:val="24"/>
          <w:szCs w:val="24"/>
        </w:rPr>
        <w:t xml:space="preserve"> separation of dispensing and non-dispensing</w:t>
      </w:r>
      <w:r w:rsidRPr="008E3F9F">
        <w:rPr>
          <w:color w:val="auto"/>
          <w:sz w:val="24"/>
          <w:szCs w:val="24"/>
        </w:rPr>
        <w:t xml:space="preserve"> pharmacists in the </w:t>
      </w:r>
      <w:r w:rsidR="007423D5" w:rsidRPr="008E3F9F">
        <w:rPr>
          <w:color w:val="auto"/>
          <w:sz w:val="24"/>
          <w:szCs w:val="24"/>
        </w:rPr>
        <w:t xml:space="preserve">community </w:t>
      </w:r>
      <w:r w:rsidRPr="008E3F9F">
        <w:rPr>
          <w:color w:val="auto"/>
          <w:sz w:val="24"/>
          <w:szCs w:val="24"/>
        </w:rPr>
        <w:t>health workforce</w:t>
      </w:r>
      <w:r w:rsidR="00490396" w:rsidRPr="008E3F9F">
        <w:rPr>
          <w:color w:val="auto"/>
          <w:sz w:val="24"/>
          <w:szCs w:val="24"/>
        </w:rPr>
        <w:t xml:space="preserve">. </w:t>
      </w:r>
      <w:r w:rsidRPr="008E3F9F">
        <w:rPr>
          <w:color w:val="auto"/>
          <w:sz w:val="24"/>
          <w:szCs w:val="24"/>
        </w:rPr>
        <w:t xml:space="preserve">This could be enabled by supporting </w:t>
      </w:r>
      <w:r w:rsidR="007423D5" w:rsidRPr="008E3F9F">
        <w:rPr>
          <w:color w:val="auto"/>
          <w:sz w:val="24"/>
          <w:szCs w:val="24"/>
        </w:rPr>
        <w:t xml:space="preserve">embedding non-dispensing pharmacists in healthcare providers such as </w:t>
      </w:r>
      <w:r w:rsidR="007A1584" w:rsidRPr="008E3F9F">
        <w:rPr>
          <w:color w:val="auto"/>
          <w:sz w:val="24"/>
          <w:szCs w:val="24"/>
        </w:rPr>
        <w:t>primary care</w:t>
      </w:r>
      <w:r w:rsidR="007423D5" w:rsidRPr="008E3F9F">
        <w:rPr>
          <w:color w:val="auto"/>
          <w:sz w:val="24"/>
          <w:szCs w:val="24"/>
        </w:rPr>
        <w:t xml:space="preserve"> clinics and ACCHOs. </w:t>
      </w:r>
    </w:p>
    <w:p w14:paraId="1417DD63" w14:textId="47069DD3" w:rsidR="003122D7" w:rsidRPr="008E3F9F" w:rsidRDefault="009F0915" w:rsidP="00866EFD">
      <w:pPr>
        <w:pStyle w:val="BodyText"/>
        <w:rPr>
          <w:color w:val="auto"/>
          <w:sz w:val="24"/>
          <w:szCs w:val="24"/>
        </w:rPr>
      </w:pPr>
      <w:r w:rsidRPr="008E3F9F">
        <w:rPr>
          <w:color w:val="auto"/>
          <w:sz w:val="24"/>
          <w:szCs w:val="24"/>
        </w:rPr>
        <w:t xml:space="preserve">There was </w:t>
      </w:r>
      <w:r w:rsidR="00F246C1" w:rsidRPr="008E3F9F">
        <w:rPr>
          <w:color w:val="auto"/>
          <w:sz w:val="24"/>
          <w:szCs w:val="24"/>
        </w:rPr>
        <w:t xml:space="preserve">further </w:t>
      </w:r>
      <w:r w:rsidRPr="008E3F9F">
        <w:rPr>
          <w:color w:val="auto"/>
          <w:sz w:val="24"/>
          <w:szCs w:val="24"/>
        </w:rPr>
        <w:t xml:space="preserve">limited support </w:t>
      </w:r>
      <w:r w:rsidR="008D7292" w:rsidRPr="008E3F9F">
        <w:rPr>
          <w:color w:val="auto"/>
          <w:sz w:val="24"/>
          <w:szCs w:val="24"/>
        </w:rPr>
        <w:t xml:space="preserve">to explore </w:t>
      </w:r>
      <w:r w:rsidR="003122D7" w:rsidRPr="008E3F9F">
        <w:rPr>
          <w:color w:val="auto"/>
          <w:sz w:val="24"/>
          <w:szCs w:val="24"/>
        </w:rPr>
        <w:t>funding for pharmacists to perform more clinical duties not coupled to dispensing revenue, especially within rural and remote pharmacies</w:t>
      </w:r>
      <w:r w:rsidR="0068034D" w:rsidRPr="008E3F9F">
        <w:rPr>
          <w:color w:val="auto"/>
          <w:sz w:val="24"/>
          <w:szCs w:val="24"/>
        </w:rPr>
        <w:t>. M</w:t>
      </w:r>
      <w:r w:rsidR="008D7292" w:rsidRPr="008E3F9F">
        <w:rPr>
          <w:color w:val="auto"/>
          <w:sz w:val="24"/>
          <w:szCs w:val="24"/>
        </w:rPr>
        <w:t xml:space="preserve">any of these pharmacies </w:t>
      </w:r>
      <w:r w:rsidR="0068034D" w:rsidRPr="008E3F9F">
        <w:rPr>
          <w:color w:val="auto"/>
          <w:sz w:val="24"/>
          <w:szCs w:val="24"/>
        </w:rPr>
        <w:t xml:space="preserve">are </w:t>
      </w:r>
      <w:r w:rsidR="008D7292" w:rsidRPr="008E3F9F">
        <w:rPr>
          <w:color w:val="auto"/>
          <w:sz w:val="24"/>
          <w:szCs w:val="24"/>
        </w:rPr>
        <w:t>small business</w:t>
      </w:r>
      <w:r w:rsidR="0068034D" w:rsidRPr="008E3F9F">
        <w:rPr>
          <w:color w:val="auto"/>
          <w:sz w:val="24"/>
          <w:szCs w:val="24"/>
        </w:rPr>
        <w:t>es</w:t>
      </w:r>
      <w:r w:rsidR="008D7292" w:rsidRPr="008E3F9F">
        <w:rPr>
          <w:color w:val="auto"/>
          <w:sz w:val="24"/>
          <w:szCs w:val="24"/>
        </w:rPr>
        <w:t xml:space="preserve"> with </w:t>
      </w:r>
      <w:r w:rsidR="00FC7D20" w:rsidRPr="008E3F9F">
        <w:rPr>
          <w:color w:val="auto"/>
          <w:sz w:val="24"/>
          <w:szCs w:val="24"/>
        </w:rPr>
        <w:t>possibly only one pharmacist</w:t>
      </w:r>
      <w:r w:rsidR="0068034D" w:rsidRPr="008E3F9F">
        <w:rPr>
          <w:color w:val="auto"/>
          <w:sz w:val="24"/>
          <w:szCs w:val="24"/>
        </w:rPr>
        <w:t>.</w:t>
      </w:r>
      <w:r w:rsidR="00FC7D20" w:rsidRPr="008E3F9F">
        <w:rPr>
          <w:color w:val="auto"/>
          <w:sz w:val="24"/>
          <w:szCs w:val="24"/>
        </w:rPr>
        <w:t xml:space="preserve"> </w:t>
      </w:r>
      <w:r w:rsidR="0068034D" w:rsidRPr="008E3F9F">
        <w:rPr>
          <w:color w:val="auto"/>
          <w:sz w:val="24"/>
          <w:szCs w:val="24"/>
        </w:rPr>
        <w:t>S</w:t>
      </w:r>
      <w:r w:rsidR="00FC7D20" w:rsidRPr="008E3F9F">
        <w:rPr>
          <w:color w:val="auto"/>
          <w:sz w:val="24"/>
          <w:szCs w:val="24"/>
        </w:rPr>
        <w:t xml:space="preserve">ometimes </w:t>
      </w:r>
      <w:r w:rsidR="0068034D" w:rsidRPr="008E3F9F">
        <w:rPr>
          <w:color w:val="auto"/>
          <w:sz w:val="24"/>
          <w:szCs w:val="24"/>
        </w:rPr>
        <w:t>they are also</w:t>
      </w:r>
      <w:r w:rsidR="00FC7D20" w:rsidRPr="008E3F9F">
        <w:rPr>
          <w:color w:val="auto"/>
          <w:sz w:val="24"/>
          <w:szCs w:val="24"/>
        </w:rPr>
        <w:t xml:space="preserve"> the only medical service provider within the region. Support </w:t>
      </w:r>
      <w:r w:rsidR="0068034D" w:rsidRPr="008E3F9F">
        <w:rPr>
          <w:color w:val="auto"/>
          <w:sz w:val="24"/>
          <w:szCs w:val="24"/>
        </w:rPr>
        <w:t xml:space="preserve">is therefore needed </w:t>
      </w:r>
      <w:r w:rsidR="00FC7D20" w:rsidRPr="008E3F9F">
        <w:rPr>
          <w:color w:val="auto"/>
          <w:sz w:val="24"/>
          <w:szCs w:val="24"/>
        </w:rPr>
        <w:t>to enable other pharmacist</w:t>
      </w:r>
      <w:r w:rsidR="007228FD" w:rsidRPr="008E3F9F">
        <w:rPr>
          <w:color w:val="auto"/>
          <w:sz w:val="24"/>
          <w:szCs w:val="24"/>
        </w:rPr>
        <w:t>s</w:t>
      </w:r>
      <w:r w:rsidR="00FC7D20" w:rsidRPr="008E3F9F">
        <w:rPr>
          <w:color w:val="auto"/>
          <w:sz w:val="24"/>
          <w:szCs w:val="24"/>
        </w:rPr>
        <w:t xml:space="preserve"> to be employed in the pharmacy </w:t>
      </w:r>
      <w:r w:rsidR="0068034D" w:rsidRPr="008E3F9F">
        <w:rPr>
          <w:color w:val="auto"/>
          <w:sz w:val="24"/>
          <w:szCs w:val="24"/>
        </w:rPr>
        <w:t>in order to</w:t>
      </w:r>
      <w:r w:rsidR="004D4913" w:rsidRPr="008E3F9F">
        <w:rPr>
          <w:color w:val="auto"/>
          <w:sz w:val="24"/>
          <w:szCs w:val="24"/>
        </w:rPr>
        <w:t xml:space="preserve"> allow </w:t>
      </w:r>
      <w:r w:rsidR="0068034D" w:rsidRPr="008E3F9F">
        <w:rPr>
          <w:color w:val="auto"/>
          <w:sz w:val="24"/>
          <w:szCs w:val="24"/>
        </w:rPr>
        <w:t>for a broader scope of</w:t>
      </w:r>
      <w:r w:rsidR="004D4913" w:rsidRPr="008E3F9F">
        <w:rPr>
          <w:color w:val="auto"/>
          <w:sz w:val="24"/>
          <w:szCs w:val="24"/>
        </w:rPr>
        <w:t xml:space="preserve"> professional services such as medication adherence and </w:t>
      </w:r>
      <w:r w:rsidR="00206F7A" w:rsidRPr="008E3F9F">
        <w:rPr>
          <w:color w:val="auto"/>
          <w:sz w:val="24"/>
          <w:szCs w:val="24"/>
        </w:rPr>
        <w:t xml:space="preserve">medication review interventions to be offered to these communities. </w:t>
      </w:r>
    </w:p>
    <w:p w14:paraId="793202B2" w14:textId="47C5BF49" w:rsidR="00DA6346" w:rsidRPr="00A963D4" w:rsidRDefault="005830D5" w:rsidP="00866EFD">
      <w:pPr>
        <w:pStyle w:val="BodyText"/>
        <w:rPr>
          <w:color w:val="auto"/>
          <w:sz w:val="24"/>
          <w:szCs w:val="24"/>
        </w:rPr>
      </w:pPr>
      <w:r w:rsidRPr="00C20287">
        <w:rPr>
          <w:sz w:val="24"/>
          <w:szCs w:val="24"/>
        </w:rPr>
        <w:t>There was significant</w:t>
      </w:r>
      <w:r w:rsidR="00F246C1">
        <w:rPr>
          <w:sz w:val="24"/>
          <w:szCs w:val="24"/>
        </w:rPr>
        <w:t xml:space="preserve"> stakeholder</w:t>
      </w:r>
      <w:r w:rsidRPr="00C20287">
        <w:rPr>
          <w:sz w:val="24"/>
          <w:szCs w:val="24"/>
        </w:rPr>
        <w:t xml:space="preserve"> input </w:t>
      </w:r>
      <w:r w:rsidR="007228FD" w:rsidRPr="00C20287">
        <w:rPr>
          <w:sz w:val="24"/>
          <w:szCs w:val="24"/>
        </w:rPr>
        <w:t xml:space="preserve">suggesting </w:t>
      </w:r>
      <w:r w:rsidRPr="00C20287">
        <w:rPr>
          <w:sz w:val="24"/>
          <w:szCs w:val="24"/>
        </w:rPr>
        <w:t>the Home Medicine Review</w:t>
      </w:r>
      <w:r w:rsidR="00490396" w:rsidRPr="00C20287">
        <w:rPr>
          <w:sz w:val="24"/>
          <w:szCs w:val="24"/>
        </w:rPr>
        <w:t xml:space="preserve"> </w:t>
      </w:r>
      <w:r w:rsidRPr="00C20287">
        <w:rPr>
          <w:sz w:val="24"/>
          <w:szCs w:val="24"/>
        </w:rPr>
        <w:t>(</w:t>
      </w:r>
      <w:r w:rsidR="00490396" w:rsidRPr="00C20287">
        <w:rPr>
          <w:sz w:val="24"/>
          <w:szCs w:val="24"/>
        </w:rPr>
        <w:t>HMR</w:t>
      </w:r>
      <w:r w:rsidRPr="00C20287">
        <w:rPr>
          <w:sz w:val="24"/>
          <w:szCs w:val="24"/>
        </w:rPr>
        <w:t xml:space="preserve">) program should be expanded, </w:t>
      </w:r>
      <w:r w:rsidR="0011291C" w:rsidRPr="00C20287">
        <w:rPr>
          <w:sz w:val="24"/>
          <w:szCs w:val="24"/>
        </w:rPr>
        <w:t xml:space="preserve">and consideration given to removing the cap of </w:t>
      </w:r>
      <w:r w:rsidRPr="00C20287">
        <w:rPr>
          <w:sz w:val="24"/>
          <w:szCs w:val="24"/>
        </w:rPr>
        <w:t xml:space="preserve">30 </w:t>
      </w:r>
      <w:r w:rsidR="0011291C" w:rsidRPr="00C20287">
        <w:rPr>
          <w:sz w:val="24"/>
          <w:szCs w:val="24"/>
        </w:rPr>
        <w:t xml:space="preserve">reviews </w:t>
      </w:r>
      <w:r w:rsidRPr="00C20287">
        <w:rPr>
          <w:sz w:val="24"/>
          <w:szCs w:val="24"/>
        </w:rPr>
        <w:t>per month per service provider. The intent of the HMR Program is to support the quality use of medicines and assist minimising adverse medicine events by helping people to better understand and manage their medicines through a medication review conducted by an Accredited Pharmacist in the home.</w:t>
      </w:r>
      <w:r w:rsidR="00097775" w:rsidRPr="00C20287">
        <w:rPr>
          <w:sz w:val="24"/>
          <w:szCs w:val="24"/>
        </w:rPr>
        <w:t xml:space="preserve"> Feedback received from the bilateral meetings indicated that there was support for the HMR (and the associated </w:t>
      </w:r>
      <w:r w:rsidR="00097775" w:rsidRPr="00A963D4">
        <w:rPr>
          <w:color w:val="auto"/>
          <w:sz w:val="24"/>
          <w:szCs w:val="24"/>
        </w:rPr>
        <w:t xml:space="preserve">Residential Medication Management Review (RMMR) program) to be </w:t>
      </w:r>
      <w:r w:rsidR="00490396" w:rsidRPr="00A963D4">
        <w:rPr>
          <w:color w:val="auto"/>
          <w:sz w:val="24"/>
          <w:szCs w:val="24"/>
        </w:rPr>
        <w:t>de-couple</w:t>
      </w:r>
      <w:r w:rsidR="00097775" w:rsidRPr="00A963D4">
        <w:rPr>
          <w:color w:val="auto"/>
          <w:sz w:val="24"/>
          <w:szCs w:val="24"/>
        </w:rPr>
        <w:t>d</w:t>
      </w:r>
      <w:r w:rsidR="00490396" w:rsidRPr="00A963D4">
        <w:rPr>
          <w:color w:val="auto"/>
          <w:sz w:val="24"/>
          <w:szCs w:val="24"/>
        </w:rPr>
        <w:t xml:space="preserve"> from community pharmacy to remove any possibility of conflict of interest</w:t>
      </w:r>
      <w:r w:rsidR="00DA6346" w:rsidRPr="00A963D4">
        <w:rPr>
          <w:color w:val="auto"/>
          <w:sz w:val="24"/>
          <w:szCs w:val="24"/>
        </w:rPr>
        <w:t xml:space="preserve"> for any recommended de-prescribing</w:t>
      </w:r>
      <w:r w:rsidR="00DA6CC9" w:rsidRPr="00A963D4">
        <w:rPr>
          <w:color w:val="auto"/>
          <w:sz w:val="24"/>
          <w:szCs w:val="24"/>
        </w:rPr>
        <w:t xml:space="preserve"> which would impact remuneration through loss of dispensing revenue</w:t>
      </w:r>
      <w:r w:rsidR="00490396" w:rsidRPr="00A963D4">
        <w:rPr>
          <w:color w:val="auto"/>
          <w:sz w:val="24"/>
          <w:szCs w:val="24"/>
        </w:rPr>
        <w:t>.</w:t>
      </w:r>
      <w:r w:rsidR="00624BE9" w:rsidRPr="00A963D4">
        <w:rPr>
          <w:color w:val="auto"/>
          <w:sz w:val="24"/>
          <w:szCs w:val="24"/>
        </w:rPr>
        <w:t xml:space="preserve"> This de-coupling would enable GPs and specialist prescribers to refer patients who may be in need of a medicine review to consultant pharmacists directly.</w:t>
      </w:r>
    </w:p>
    <w:p w14:paraId="77069B92" w14:textId="72D685B4" w:rsidR="00490396" w:rsidRPr="00A963D4" w:rsidRDefault="00EC20B6" w:rsidP="00866EFD">
      <w:pPr>
        <w:pStyle w:val="BodyText"/>
        <w:rPr>
          <w:color w:val="auto"/>
          <w:sz w:val="24"/>
          <w:szCs w:val="24"/>
        </w:rPr>
      </w:pPr>
      <w:r w:rsidRPr="00A963D4">
        <w:rPr>
          <w:color w:val="auto"/>
          <w:sz w:val="24"/>
          <w:szCs w:val="24"/>
        </w:rPr>
        <w:t xml:space="preserve">In regards to </w:t>
      </w:r>
      <w:r w:rsidR="00502761" w:rsidRPr="00A963D4">
        <w:rPr>
          <w:color w:val="auto"/>
          <w:sz w:val="24"/>
          <w:szCs w:val="24"/>
        </w:rPr>
        <w:t>M</w:t>
      </w:r>
      <w:r w:rsidRPr="00A963D4">
        <w:rPr>
          <w:color w:val="auto"/>
          <w:sz w:val="24"/>
          <w:szCs w:val="24"/>
        </w:rPr>
        <w:t>eds</w:t>
      </w:r>
      <w:r w:rsidR="00407C4F" w:rsidRPr="00A963D4">
        <w:rPr>
          <w:color w:val="auto"/>
          <w:sz w:val="24"/>
          <w:szCs w:val="24"/>
        </w:rPr>
        <w:t>C</w:t>
      </w:r>
      <w:r w:rsidRPr="00A963D4">
        <w:rPr>
          <w:color w:val="auto"/>
          <w:sz w:val="24"/>
          <w:szCs w:val="24"/>
        </w:rPr>
        <w:t>heck</w:t>
      </w:r>
      <w:r w:rsidR="00407C4F" w:rsidRPr="00A963D4">
        <w:rPr>
          <w:color w:val="auto"/>
          <w:sz w:val="24"/>
          <w:szCs w:val="24"/>
        </w:rPr>
        <w:t>s</w:t>
      </w:r>
      <w:r w:rsidRPr="00A963D4">
        <w:rPr>
          <w:color w:val="auto"/>
          <w:sz w:val="24"/>
          <w:szCs w:val="24"/>
        </w:rPr>
        <w:t xml:space="preserve"> </w:t>
      </w:r>
      <w:r w:rsidR="00502761" w:rsidRPr="00A963D4">
        <w:rPr>
          <w:color w:val="auto"/>
          <w:sz w:val="24"/>
          <w:szCs w:val="24"/>
        </w:rPr>
        <w:t xml:space="preserve">and Diabetes </w:t>
      </w:r>
      <w:r w:rsidR="00407C4F" w:rsidRPr="00A963D4">
        <w:rPr>
          <w:color w:val="auto"/>
          <w:sz w:val="24"/>
          <w:szCs w:val="24"/>
        </w:rPr>
        <w:t>MedsChecks</w:t>
      </w:r>
      <w:r w:rsidR="00502761" w:rsidRPr="00A963D4">
        <w:rPr>
          <w:color w:val="auto"/>
          <w:sz w:val="24"/>
          <w:szCs w:val="24"/>
        </w:rPr>
        <w:t xml:space="preserve"> </w:t>
      </w:r>
      <w:r w:rsidR="00A96BE3" w:rsidRPr="00A963D4">
        <w:rPr>
          <w:color w:val="auto"/>
          <w:sz w:val="24"/>
          <w:szCs w:val="24"/>
        </w:rPr>
        <w:t>(where a pharmacist provides one on one consultations in a pharmacy on all the medicines that a consumer is currently taking including non-prescribed medicines)</w:t>
      </w:r>
      <w:r w:rsidR="00D671FD" w:rsidRPr="00A963D4">
        <w:rPr>
          <w:color w:val="auto"/>
          <w:sz w:val="24"/>
          <w:szCs w:val="24"/>
        </w:rPr>
        <w:t>,</w:t>
      </w:r>
      <w:r w:rsidR="00A96BE3" w:rsidRPr="00A963D4">
        <w:rPr>
          <w:color w:val="auto"/>
          <w:sz w:val="24"/>
          <w:szCs w:val="24"/>
        </w:rPr>
        <w:t xml:space="preserve"> </w:t>
      </w:r>
      <w:r w:rsidR="00502761" w:rsidRPr="00A963D4">
        <w:rPr>
          <w:color w:val="auto"/>
          <w:sz w:val="24"/>
          <w:szCs w:val="24"/>
        </w:rPr>
        <w:t xml:space="preserve">several stakeholders voiced concerns that </w:t>
      </w:r>
      <w:r w:rsidR="00D35F6F" w:rsidRPr="00A963D4">
        <w:rPr>
          <w:color w:val="auto"/>
          <w:sz w:val="24"/>
          <w:szCs w:val="24"/>
        </w:rPr>
        <w:t xml:space="preserve">services </w:t>
      </w:r>
      <w:r w:rsidR="000F6AED" w:rsidRPr="00A963D4">
        <w:rPr>
          <w:color w:val="auto"/>
          <w:sz w:val="24"/>
          <w:szCs w:val="24"/>
        </w:rPr>
        <w:t xml:space="preserve">conducted in a community pharmacy have limited clinical benefit to patients as there was no requirement to notify the </w:t>
      </w:r>
      <w:r w:rsidR="00205443" w:rsidRPr="00A963D4">
        <w:rPr>
          <w:color w:val="auto"/>
          <w:sz w:val="24"/>
          <w:szCs w:val="24"/>
        </w:rPr>
        <w:t>patient’s</w:t>
      </w:r>
      <w:r w:rsidR="000F6AED" w:rsidRPr="00A963D4">
        <w:rPr>
          <w:color w:val="auto"/>
          <w:sz w:val="24"/>
          <w:szCs w:val="24"/>
        </w:rPr>
        <w:t xml:space="preserve"> normal prescribers of any outcomes of the review. </w:t>
      </w:r>
      <w:r w:rsidR="008B352C" w:rsidRPr="00A963D4">
        <w:rPr>
          <w:color w:val="auto"/>
          <w:sz w:val="24"/>
          <w:szCs w:val="24"/>
        </w:rPr>
        <w:t>Stakeholders also noted that w</w:t>
      </w:r>
      <w:r w:rsidR="000F6AED" w:rsidRPr="00A963D4">
        <w:rPr>
          <w:color w:val="auto"/>
          <w:sz w:val="24"/>
          <w:szCs w:val="24"/>
        </w:rPr>
        <w:t xml:space="preserve">hile the </w:t>
      </w:r>
      <w:r w:rsidR="008B352C" w:rsidRPr="00A963D4">
        <w:rPr>
          <w:color w:val="auto"/>
          <w:sz w:val="24"/>
          <w:szCs w:val="24"/>
        </w:rPr>
        <w:t xml:space="preserve">primary </w:t>
      </w:r>
      <w:r w:rsidR="000F6AED" w:rsidRPr="00A963D4">
        <w:rPr>
          <w:color w:val="auto"/>
          <w:sz w:val="24"/>
          <w:szCs w:val="24"/>
        </w:rPr>
        <w:t>go</w:t>
      </w:r>
      <w:r w:rsidR="007A1584" w:rsidRPr="00A963D4">
        <w:rPr>
          <w:color w:val="auto"/>
          <w:sz w:val="24"/>
          <w:szCs w:val="24"/>
        </w:rPr>
        <w:t>a</w:t>
      </w:r>
      <w:r w:rsidR="000F6AED" w:rsidRPr="00A963D4">
        <w:rPr>
          <w:color w:val="auto"/>
          <w:sz w:val="24"/>
          <w:szCs w:val="24"/>
        </w:rPr>
        <w:t>l of the programs is to aid in improving the health literacy of</w:t>
      </w:r>
      <w:r w:rsidR="00205443" w:rsidRPr="00A963D4">
        <w:rPr>
          <w:color w:val="auto"/>
          <w:sz w:val="24"/>
          <w:szCs w:val="24"/>
        </w:rPr>
        <w:t xml:space="preserve"> patients in </w:t>
      </w:r>
      <w:r w:rsidR="00F609D0" w:rsidRPr="00A963D4">
        <w:rPr>
          <w:color w:val="auto"/>
          <w:sz w:val="24"/>
          <w:szCs w:val="24"/>
        </w:rPr>
        <w:t>managing their own medicine compliance</w:t>
      </w:r>
      <w:r w:rsidR="008B352C" w:rsidRPr="00A963D4">
        <w:rPr>
          <w:color w:val="auto"/>
          <w:sz w:val="24"/>
          <w:szCs w:val="24"/>
        </w:rPr>
        <w:t>, t</w:t>
      </w:r>
      <w:r w:rsidR="00F609D0" w:rsidRPr="00A963D4">
        <w:rPr>
          <w:color w:val="auto"/>
          <w:sz w:val="24"/>
          <w:szCs w:val="24"/>
        </w:rPr>
        <w:t xml:space="preserve">here is very little evidence available to indicate that these interventions lead to better adherence </w:t>
      </w:r>
      <w:r w:rsidR="008B352C" w:rsidRPr="00A963D4">
        <w:rPr>
          <w:color w:val="auto"/>
          <w:sz w:val="24"/>
          <w:szCs w:val="24"/>
        </w:rPr>
        <w:t xml:space="preserve">by </w:t>
      </w:r>
      <w:r w:rsidR="00F609D0" w:rsidRPr="00A963D4">
        <w:rPr>
          <w:color w:val="auto"/>
          <w:sz w:val="24"/>
          <w:szCs w:val="24"/>
        </w:rPr>
        <w:t>patients. It was also suggested that</w:t>
      </w:r>
      <w:r w:rsidR="00502761" w:rsidRPr="00A963D4">
        <w:rPr>
          <w:color w:val="auto"/>
          <w:sz w:val="24"/>
          <w:szCs w:val="24"/>
        </w:rPr>
        <w:t xml:space="preserve"> </w:t>
      </w:r>
      <w:r w:rsidR="00407C4F" w:rsidRPr="00A963D4">
        <w:rPr>
          <w:color w:val="auto"/>
          <w:sz w:val="24"/>
          <w:szCs w:val="24"/>
        </w:rPr>
        <w:t xml:space="preserve">MedsChecks </w:t>
      </w:r>
      <w:r w:rsidR="003122D7" w:rsidRPr="00A963D4">
        <w:rPr>
          <w:color w:val="auto"/>
          <w:sz w:val="24"/>
          <w:szCs w:val="24"/>
        </w:rPr>
        <w:t xml:space="preserve">don’t work well in rural and remote areas where pharmacists are </w:t>
      </w:r>
      <w:r w:rsidR="00F609D0" w:rsidRPr="00A963D4">
        <w:rPr>
          <w:color w:val="auto"/>
          <w:sz w:val="24"/>
          <w:szCs w:val="24"/>
        </w:rPr>
        <w:t xml:space="preserve">often </w:t>
      </w:r>
      <w:r w:rsidR="003122D7" w:rsidRPr="00A963D4">
        <w:rPr>
          <w:color w:val="auto"/>
          <w:sz w:val="24"/>
          <w:szCs w:val="24"/>
        </w:rPr>
        <w:t xml:space="preserve">too busy with other work to perform them and </w:t>
      </w:r>
      <w:r w:rsidR="00F609D0" w:rsidRPr="00A963D4">
        <w:rPr>
          <w:color w:val="auto"/>
          <w:sz w:val="24"/>
          <w:szCs w:val="24"/>
        </w:rPr>
        <w:t xml:space="preserve">the </w:t>
      </w:r>
      <w:r w:rsidR="003122D7" w:rsidRPr="00A963D4">
        <w:rPr>
          <w:color w:val="auto"/>
          <w:sz w:val="24"/>
          <w:szCs w:val="24"/>
        </w:rPr>
        <w:t xml:space="preserve">distance required to travel </w:t>
      </w:r>
      <w:r w:rsidR="00B14ECE" w:rsidRPr="00A963D4">
        <w:rPr>
          <w:color w:val="auto"/>
          <w:sz w:val="24"/>
          <w:szCs w:val="24"/>
        </w:rPr>
        <w:t xml:space="preserve">into a pharmacy </w:t>
      </w:r>
      <w:r w:rsidR="003122D7" w:rsidRPr="00A963D4">
        <w:rPr>
          <w:color w:val="auto"/>
          <w:sz w:val="24"/>
          <w:szCs w:val="24"/>
        </w:rPr>
        <w:t xml:space="preserve">is prohibitive. </w:t>
      </w:r>
    </w:p>
    <w:p w14:paraId="7581657D" w14:textId="2E48FA28" w:rsidR="004B78F1" w:rsidRPr="00A963D4" w:rsidRDefault="00F53479" w:rsidP="00866EFD">
      <w:pPr>
        <w:pStyle w:val="BodyText"/>
        <w:rPr>
          <w:color w:val="auto"/>
          <w:sz w:val="24"/>
          <w:szCs w:val="24"/>
        </w:rPr>
      </w:pPr>
      <w:r w:rsidRPr="00A963D4">
        <w:rPr>
          <w:color w:val="auto"/>
          <w:sz w:val="24"/>
          <w:szCs w:val="24"/>
        </w:rPr>
        <w:t xml:space="preserve">There was extensive support to enable </w:t>
      </w:r>
      <w:r w:rsidR="008B352C" w:rsidRPr="00A963D4">
        <w:rPr>
          <w:color w:val="auto"/>
          <w:sz w:val="24"/>
          <w:szCs w:val="24"/>
        </w:rPr>
        <w:t xml:space="preserve">new pharmacy </w:t>
      </w:r>
      <w:r w:rsidRPr="00A963D4">
        <w:rPr>
          <w:color w:val="auto"/>
          <w:sz w:val="24"/>
          <w:szCs w:val="24"/>
        </w:rPr>
        <w:t>programs and support to a</w:t>
      </w:r>
      <w:r w:rsidR="003122D7" w:rsidRPr="00A963D4">
        <w:rPr>
          <w:color w:val="auto"/>
          <w:sz w:val="24"/>
          <w:szCs w:val="24"/>
        </w:rPr>
        <w:t xml:space="preserve">llow for </w:t>
      </w:r>
      <w:r w:rsidRPr="00A963D4">
        <w:rPr>
          <w:color w:val="auto"/>
          <w:sz w:val="24"/>
          <w:szCs w:val="24"/>
        </w:rPr>
        <w:t>pharmacists to</w:t>
      </w:r>
      <w:r w:rsidR="003122D7" w:rsidRPr="00A963D4">
        <w:rPr>
          <w:color w:val="auto"/>
          <w:sz w:val="24"/>
          <w:szCs w:val="24"/>
        </w:rPr>
        <w:t xml:space="preserve"> work to</w:t>
      </w:r>
      <w:r w:rsidRPr="00A963D4">
        <w:rPr>
          <w:color w:val="auto"/>
          <w:sz w:val="24"/>
          <w:szCs w:val="24"/>
        </w:rPr>
        <w:t xml:space="preserve"> the</w:t>
      </w:r>
      <w:r w:rsidR="003122D7" w:rsidRPr="00A963D4">
        <w:rPr>
          <w:color w:val="auto"/>
          <w:sz w:val="24"/>
          <w:szCs w:val="24"/>
        </w:rPr>
        <w:t xml:space="preserve"> top of scope of practise to be implemented. </w:t>
      </w:r>
      <w:r w:rsidR="006540AE" w:rsidRPr="00A963D4">
        <w:rPr>
          <w:color w:val="auto"/>
          <w:sz w:val="24"/>
          <w:szCs w:val="24"/>
        </w:rPr>
        <w:t>S</w:t>
      </w:r>
      <w:r w:rsidR="0013590E" w:rsidRPr="00A963D4">
        <w:rPr>
          <w:color w:val="auto"/>
          <w:sz w:val="24"/>
          <w:szCs w:val="24"/>
        </w:rPr>
        <w:t xml:space="preserve">pecifics of how this could be implemented </w:t>
      </w:r>
      <w:r w:rsidR="00461081" w:rsidRPr="00A963D4">
        <w:rPr>
          <w:color w:val="auto"/>
          <w:sz w:val="24"/>
          <w:szCs w:val="24"/>
        </w:rPr>
        <w:t>through a</w:t>
      </w:r>
      <w:r w:rsidR="00AE11BD" w:rsidRPr="00A963D4">
        <w:rPr>
          <w:color w:val="auto"/>
          <w:sz w:val="24"/>
          <w:szCs w:val="24"/>
        </w:rPr>
        <w:t>n</w:t>
      </w:r>
      <w:r w:rsidR="00461081" w:rsidRPr="00A963D4">
        <w:rPr>
          <w:color w:val="auto"/>
          <w:sz w:val="24"/>
          <w:szCs w:val="24"/>
        </w:rPr>
        <w:t xml:space="preserve"> 8CPA </w:t>
      </w:r>
      <w:r w:rsidR="008B352C" w:rsidRPr="00A963D4">
        <w:rPr>
          <w:color w:val="auto"/>
          <w:sz w:val="24"/>
          <w:szCs w:val="24"/>
        </w:rPr>
        <w:t xml:space="preserve">or other arrangements </w:t>
      </w:r>
      <w:r w:rsidR="0013590E" w:rsidRPr="00A963D4">
        <w:rPr>
          <w:color w:val="auto"/>
          <w:sz w:val="24"/>
          <w:szCs w:val="24"/>
        </w:rPr>
        <w:t xml:space="preserve">were </w:t>
      </w:r>
      <w:r w:rsidR="008B352C" w:rsidRPr="00A963D4">
        <w:rPr>
          <w:color w:val="auto"/>
          <w:sz w:val="24"/>
          <w:szCs w:val="24"/>
        </w:rPr>
        <w:t xml:space="preserve">limited </w:t>
      </w:r>
      <w:r w:rsidR="00D52995" w:rsidRPr="00A963D4">
        <w:rPr>
          <w:color w:val="auto"/>
          <w:sz w:val="24"/>
          <w:szCs w:val="24"/>
        </w:rPr>
        <w:t>during</w:t>
      </w:r>
      <w:r w:rsidR="008B352C" w:rsidRPr="00A963D4">
        <w:rPr>
          <w:color w:val="auto"/>
          <w:sz w:val="24"/>
          <w:szCs w:val="24"/>
        </w:rPr>
        <w:t xml:space="preserve"> </w:t>
      </w:r>
      <w:r w:rsidR="00727BF2" w:rsidRPr="00A963D4">
        <w:rPr>
          <w:color w:val="auto"/>
          <w:sz w:val="24"/>
          <w:szCs w:val="24"/>
        </w:rPr>
        <w:t>the consultations.</w:t>
      </w:r>
      <w:r w:rsidR="00B05373" w:rsidRPr="00A963D4">
        <w:rPr>
          <w:color w:val="auto"/>
          <w:sz w:val="24"/>
          <w:szCs w:val="24"/>
        </w:rPr>
        <w:t xml:space="preserve"> </w:t>
      </w:r>
    </w:p>
    <w:p w14:paraId="504931BE" w14:textId="42E7BF52" w:rsidR="00085509" w:rsidRPr="00A963D4" w:rsidRDefault="00127BB4" w:rsidP="00866EFD">
      <w:pPr>
        <w:pStyle w:val="BodyText"/>
        <w:rPr>
          <w:color w:val="auto"/>
          <w:sz w:val="24"/>
          <w:szCs w:val="24"/>
        </w:rPr>
      </w:pPr>
      <w:r w:rsidRPr="00A963D4">
        <w:rPr>
          <w:color w:val="auto"/>
          <w:sz w:val="24"/>
          <w:szCs w:val="24"/>
        </w:rPr>
        <w:lastRenderedPageBreak/>
        <w:t>Several stakeholders indicated that any new agreement should include mechanisms to improve the transition of care from hospital to either an aged care facility or to home. This would be open to consideration from any reform of CPP</w:t>
      </w:r>
      <w:r w:rsidR="006540AE" w:rsidRPr="00A963D4">
        <w:rPr>
          <w:color w:val="auto"/>
          <w:sz w:val="24"/>
          <w:szCs w:val="24"/>
        </w:rPr>
        <w:t>s</w:t>
      </w:r>
      <w:r w:rsidRPr="00A963D4">
        <w:rPr>
          <w:color w:val="auto"/>
          <w:sz w:val="24"/>
          <w:szCs w:val="24"/>
        </w:rPr>
        <w:t xml:space="preserve"> through</w:t>
      </w:r>
      <w:r w:rsidR="004831F2" w:rsidRPr="00A963D4">
        <w:rPr>
          <w:color w:val="auto"/>
          <w:sz w:val="24"/>
          <w:szCs w:val="24"/>
        </w:rPr>
        <w:t xml:space="preserve"> the preferred option</w:t>
      </w:r>
      <w:r w:rsidRPr="00A963D4">
        <w:rPr>
          <w:color w:val="auto"/>
          <w:sz w:val="24"/>
          <w:szCs w:val="24"/>
        </w:rPr>
        <w:t>.</w:t>
      </w:r>
    </w:p>
    <w:p w14:paraId="78CCD43B" w14:textId="135B0616" w:rsidR="00680690" w:rsidRPr="00A963D4" w:rsidRDefault="00680690" w:rsidP="00680690">
      <w:pPr>
        <w:pStyle w:val="BodyText"/>
        <w:rPr>
          <w:color w:val="auto"/>
          <w:sz w:val="24"/>
          <w:szCs w:val="24"/>
        </w:rPr>
      </w:pPr>
      <w:r w:rsidRPr="00A963D4">
        <w:rPr>
          <w:color w:val="auto"/>
          <w:sz w:val="24"/>
          <w:szCs w:val="24"/>
        </w:rPr>
        <w:t xml:space="preserve">In light of the stakeholder feedback </w:t>
      </w:r>
      <w:r w:rsidR="006540AE" w:rsidRPr="00A963D4">
        <w:rPr>
          <w:color w:val="auto"/>
          <w:sz w:val="24"/>
          <w:szCs w:val="24"/>
        </w:rPr>
        <w:t>O</w:t>
      </w:r>
      <w:r w:rsidRPr="00A963D4">
        <w:rPr>
          <w:color w:val="auto"/>
          <w:sz w:val="24"/>
          <w:szCs w:val="24"/>
        </w:rPr>
        <w:t xml:space="preserve">ption 3 has been developed </w:t>
      </w:r>
      <w:r w:rsidR="006540AE" w:rsidRPr="00A963D4">
        <w:rPr>
          <w:color w:val="auto"/>
          <w:sz w:val="24"/>
          <w:szCs w:val="24"/>
        </w:rPr>
        <w:t xml:space="preserve">to </w:t>
      </w:r>
      <w:r w:rsidRPr="00A963D4">
        <w:rPr>
          <w:color w:val="auto"/>
          <w:sz w:val="24"/>
          <w:szCs w:val="24"/>
        </w:rPr>
        <w:t xml:space="preserve">explicitly focus on reform options both enabled within the auspices of the agreement for those relevant </w:t>
      </w:r>
      <w:r w:rsidR="00A53549">
        <w:rPr>
          <w:color w:val="auto"/>
          <w:sz w:val="24"/>
          <w:szCs w:val="24"/>
        </w:rPr>
        <w:t xml:space="preserve">CPPs </w:t>
      </w:r>
      <w:r w:rsidRPr="00A963D4">
        <w:rPr>
          <w:color w:val="auto"/>
          <w:sz w:val="24"/>
          <w:szCs w:val="24"/>
        </w:rPr>
        <w:t>to be included within the CPA, and in a separate co-design process with all relevant parties for the remaining pharmacy programs.</w:t>
      </w:r>
    </w:p>
    <w:p w14:paraId="02247A13" w14:textId="33C21910" w:rsidR="00615BF7" w:rsidRPr="00C20287" w:rsidRDefault="00615BF7" w:rsidP="00866EFD">
      <w:pPr>
        <w:pStyle w:val="Heading3"/>
      </w:pPr>
      <w:bookmarkStart w:id="82" w:name="_Toc168652752"/>
      <w:r w:rsidRPr="00C20287">
        <w:t>Ongoing consultations</w:t>
      </w:r>
      <w:bookmarkEnd w:id="82"/>
    </w:p>
    <w:p w14:paraId="712260B2" w14:textId="1CF86AEA" w:rsidR="009A4A5D" w:rsidRDefault="00C42AF2" w:rsidP="00C90277">
      <w:pPr>
        <w:pStyle w:val="BodyText"/>
        <w:rPr>
          <w:color w:val="auto"/>
          <w:sz w:val="24"/>
        </w:rPr>
      </w:pPr>
      <w:r w:rsidRPr="00C20287">
        <w:rPr>
          <w:color w:val="auto"/>
          <w:sz w:val="24"/>
        </w:rPr>
        <w:t>The Depart</w:t>
      </w:r>
      <w:r w:rsidR="00F664F8" w:rsidRPr="00C20287">
        <w:rPr>
          <w:color w:val="auto"/>
          <w:sz w:val="24"/>
        </w:rPr>
        <w:t>ment will continue</w:t>
      </w:r>
      <w:r w:rsidRPr="00C20287">
        <w:rPr>
          <w:color w:val="auto"/>
          <w:sz w:val="24"/>
        </w:rPr>
        <w:t xml:space="preserve"> to work with</w:t>
      </w:r>
      <w:r w:rsidR="00DB43C4">
        <w:rPr>
          <w:color w:val="auto"/>
          <w:sz w:val="24"/>
        </w:rPr>
        <w:t xml:space="preserve"> </w:t>
      </w:r>
      <w:r w:rsidR="000571CD" w:rsidRPr="00C20287">
        <w:rPr>
          <w:color w:val="auto"/>
          <w:sz w:val="24"/>
        </w:rPr>
        <w:t>community organisations</w:t>
      </w:r>
      <w:r w:rsidR="000571CD">
        <w:rPr>
          <w:color w:val="auto"/>
          <w:sz w:val="24"/>
        </w:rPr>
        <w:t>,</w:t>
      </w:r>
      <w:r w:rsidR="000571CD" w:rsidRPr="00C20287">
        <w:rPr>
          <w:color w:val="auto"/>
          <w:sz w:val="24"/>
        </w:rPr>
        <w:t xml:space="preserve"> consumer organisations</w:t>
      </w:r>
      <w:r w:rsidR="000571CD">
        <w:rPr>
          <w:color w:val="auto"/>
          <w:sz w:val="24"/>
        </w:rPr>
        <w:t xml:space="preserve"> and</w:t>
      </w:r>
      <w:r w:rsidR="000571CD" w:rsidRPr="00C20287">
        <w:rPr>
          <w:color w:val="auto"/>
          <w:sz w:val="24"/>
        </w:rPr>
        <w:t xml:space="preserve"> </w:t>
      </w:r>
      <w:r w:rsidR="00DB43C4">
        <w:rPr>
          <w:color w:val="auto"/>
          <w:sz w:val="24"/>
        </w:rPr>
        <w:t>pharmacy stakeholders, including the Guild</w:t>
      </w:r>
      <w:r w:rsidR="000571CD">
        <w:rPr>
          <w:color w:val="auto"/>
          <w:sz w:val="24"/>
        </w:rPr>
        <w:t xml:space="preserve"> and</w:t>
      </w:r>
      <w:r w:rsidR="00DB43C4">
        <w:rPr>
          <w:color w:val="auto"/>
          <w:sz w:val="24"/>
        </w:rPr>
        <w:t xml:space="preserve"> PSA,</w:t>
      </w:r>
      <w:r w:rsidR="009A4A5D">
        <w:rPr>
          <w:color w:val="auto"/>
          <w:sz w:val="24"/>
        </w:rPr>
        <w:t xml:space="preserve"> </w:t>
      </w:r>
      <w:r w:rsidR="00F664F8" w:rsidRPr="00C20287">
        <w:rPr>
          <w:color w:val="auto"/>
          <w:sz w:val="24"/>
        </w:rPr>
        <w:t>to</w:t>
      </w:r>
      <w:r w:rsidRPr="00C20287">
        <w:rPr>
          <w:color w:val="auto"/>
          <w:sz w:val="24"/>
        </w:rPr>
        <w:t xml:space="preserve"> </w:t>
      </w:r>
      <w:r w:rsidR="00DB43C4">
        <w:rPr>
          <w:color w:val="auto"/>
          <w:sz w:val="24"/>
        </w:rPr>
        <w:t xml:space="preserve">review and </w:t>
      </w:r>
      <w:r w:rsidRPr="00C20287">
        <w:rPr>
          <w:color w:val="auto"/>
          <w:sz w:val="24"/>
        </w:rPr>
        <w:t>consider the development a</w:t>
      </w:r>
      <w:r w:rsidR="00F664F8" w:rsidRPr="00C20287">
        <w:rPr>
          <w:color w:val="auto"/>
          <w:sz w:val="24"/>
        </w:rPr>
        <w:t>nd implementation of pharmacy programs and services</w:t>
      </w:r>
      <w:r w:rsidRPr="00C20287">
        <w:rPr>
          <w:color w:val="auto"/>
          <w:sz w:val="24"/>
        </w:rPr>
        <w:t xml:space="preserve">. </w:t>
      </w:r>
      <w:r w:rsidR="00F664F8" w:rsidRPr="00C20287">
        <w:rPr>
          <w:color w:val="auto"/>
          <w:sz w:val="24"/>
        </w:rPr>
        <w:t xml:space="preserve">This would include the </w:t>
      </w:r>
      <w:r w:rsidRPr="00C20287">
        <w:rPr>
          <w:color w:val="auto"/>
          <w:sz w:val="24"/>
        </w:rPr>
        <w:t>design of data collection and development of an evaluation framework for each program</w:t>
      </w:r>
      <w:r w:rsidR="00DB43C4">
        <w:rPr>
          <w:color w:val="auto"/>
          <w:sz w:val="24"/>
        </w:rPr>
        <w:t>, to provide for the analysis of the health outcomes being achieved as well as the cost effectiveness of programs</w:t>
      </w:r>
      <w:r w:rsidRPr="00C20287">
        <w:rPr>
          <w:color w:val="auto"/>
          <w:sz w:val="24"/>
        </w:rPr>
        <w:t>.</w:t>
      </w:r>
      <w:r w:rsidR="00680690">
        <w:rPr>
          <w:color w:val="auto"/>
          <w:sz w:val="24"/>
        </w:rPr>
        <w:t xml:space="preserve"> </w:t>
      </w:r>
    </w:p>
    <w:p w14:paraId="5432A30B" w14:textId="4B166CE6" w:rsidR="003553D0" w:rsidRDefault="003553D0" w:rsidP="00C90277">
      <w:pPr>
        <w:pStyle w:val="BodyText"/>
        <w:rPr>
          <w:color w:val="auto"/>
          <w:sz w:val="24"/>
        </w:rPr>
      </w:pPr>
      <w:r>
        <w:rPr>
          <w:color w:val="auto"/>
          <w:sz w:val="24"/>
        </w:rPr>
        <w:t>Th</w:t>
      </w:r>
      <w:r w:rsidR="009A4A5D">
        <w:rPr>
          <w:color w:val="auto"/>
          <w:sz w:val="24"/>
        </w:rPr>
        <w:t xml:space="preserve">rough these consultations </w:t>
      </w:r>
      <w:r>
        <w:rPr>
          <w:color w:val="auto"/>
          <w:sz w:val="24"/>
        </w:rPr>
        <w:t xml:space="preserve">robust evaluation frameworks for the </w:t>
      </w:r>
      <w:r w:rsidR="009A4A5D">
        <w:rPr>
          <w:color w:val="auto"/>
          <w:sz w:val="24"/>
        </w:rPr>
        <w:t>CPPs included in the 8CPA w</w:t>
      </w:r>
      <w:r w:rsidR="00C3758D">
        <w:rPr>
          <w:color w:val="auto"/>
          <w:sz w:val="24"/>
        </w:rPr>
        <w:t>ill be d</w:t>
      </w:r>
      <w:r w:rsidR="009A4A5D">
        <w:rPr>
          <w:color w:val="auto"/>
          <w:sz w:val="24"/>
        </w:rPr>
        <w:t>ev</w:t>
      </w:r>
      <w:r w:rsidR="00C3758D">
        <w:rPr>
          <w:color w:val="auto"/>
          <w:sz w:val="24"/>
        </w:rPr>
        <w:t>e</w:t>
      </w:r>
      <w:r w:rsidR="009A4A5D">
        <w:rPr>
          <w:color w:val="auto"/>
          <w:sz w:val="24"/>
        </w:rPr>
        <w:t xml:space="preserve">loped </w:t>
      </w:r>
      <w:r>
        <w:rPr>
          <w:color w:val="auto"/>
          <w:sz w:val="24"/>
        </w:rPr>
        <w:t>within 1</w:t>
      </w:r>
      <w:r w:rsidR="00C3758D">
        <w:rPr>
          <w:color w:val="auto"/>
          <w:sz w:val="24"/>
        </w:rPr>
        <w:t>8</w:t>
      </w:r>
      <w:r>
        <w:rPr>
          <w:color w:val="auto"/>
          <w:sz w:val="24"/>
        </w:rPr>
        <w:t xml:space="preserve"> months. </w:t>
      </w:r>
      <w:r w:rsidR="00C3758D">
        <w:rPr>
          <w:color w:val="auto"/>
          <w:sz w:val="24"/>
        </w:rPr>
        <w:t>Within this timeframe d</w:t>
      </w:r>
      <w:r>
        <w:rPr>
          <w:color w:val="auto"/>
          <w:sz w:val="24"/>
        </w:rPr>
        <w:t xml:space="preserve">ata collection </w:t>
      </w:r>
      <w:r w:rsidR="00C3758D">
        <w:rPr>
          <w:color w:val="auto"/>
          <w:sz w:val="24"/>
        </w:rPr>
        <w:t>and analysis would occur to establish a</w:t>
      </w:r>
      <w:r w:rsidR="00717CF3">
        <w:rPr>
          <w:color w:val="auto"/>
          <w:sz w:val="24"/>
        </w:rPr>
        <w:t xml:space="preserve"> baseline</w:t>
      </w:r>
      <w:r>
        <w:rPr>
          <w:color w:val="auto"/>
          <w:sz w:val="24"/>
        </w:rPr>
        <w:t>. Any changes that are recommended through the</w:t>
      </w:r>
      <w:r w:rsidR="00C3758D">
        <w:rPr>
          <w:color w:val="auto"/>
          <w:sz w:val="24"/>
        </w:rPr>
        <w:t xml:space="preserve"> analysis of data collected through the </w:t>
      </w:r>
      <w:r>
        <w:rPr>
          <w:color w:val="auto"/>
          <w:sz w:val="24"/>
        </w:rPr>
        <w:t>evaluation</w:t>
      </w:r>
      <w:r w:rsidR="00C3758D">
        <w:rPr>
          <w:color w:val="auto"/>
          <w:sz w:val="24"/>
        </w:rPr>
        <w:t xml:space="preserve"> frameworks </w:t>
      </w:r>
      <w:r>
        <w:rPr>
          <w:color w:val="auto"/>
          <w:sz w:val="24"/>
        </w:rPr>
        <w:t>would then be implemented as soon as possible or be used to deliver changes in the next round of negotiations for a 9CPA should the Government wish to enter a new agreement.</w:t>
      </w:r>
    </w:p>
    <w:p w14:paraId="75A9701D" w14:textId="3B681016" w:rsidR="00C42AF2" w:rsidRPr="00C20287" w:rsidRDefault="00680690" w:rsidP="00C90277">
      <w:pPr>
        <w:pStyle w:val="BodyText"/>
        <w:rPr>
          <w:sz w:val="24"/>
          <w:szCs w:val="24"/>
        </w:rPr>
      </w:pPr>
      <w:r>
        <w:rPr>
          <w:color w:val="auto"/>
          <w:sz w:val="24"/>
        </w:rPr>
        <w:t>The Department is also continuing to engage with wholesaler stakeholders to negotiate the wholesaler arrangements.</w:t>
      </w:r>
      <w:r w:rsidR="003553D0">
        <w:rPr>
          <w:color w:val="auto"/>
          <w:sz w:val="24"/>
        </w:rPr>
        <w:t xml:space="preserve"> These consultations have been undertaken in parallel with the 8CPA negotiations and are expected to be concluded in 2024. </w:t>
      </w:r>
    </w:p>
    <w:p w14:paraId="610CFC6C" w14:textId="77777777" w:rsidR="00500574" w:rsidRPr="00C20287" w:rsidRDefault="00500574" w:rsidP="00807CCA">
      <w:pPr>
        <w:pStyle w:val="BodyText"/>
      </w:pPr>
    </w:p>
    <w:p w14:paraId="5F77E730" w14:textId="42D3A241" w:rsidR="009C0DB6" w:rsidRPr="00C20287" w:rsidRDefault="009C0DB6" w:rsidP="00FE0772">
      <w:pPr>
        <w:pStyle w:val="Heading2"/>
        <w:pageBreakBefore/>
      </w:pPr>
      <w:bookmarkStart w:id="83" w:name="_Toc132192312"/>
      <w:bookmarkStart w:id="84" w:name="_Toc168652753"/>
      <w:r w:rsidRPr="00C20287">
        <w:rPr>
          <w:rFonts w:eastAsiaTheme="minorHAnsi"/>
        </w:rPr>
        <w:lastRenderedPageBreak/>
        <w:t xml:space="preserve">6. What is the best option from those you have considered and how will it be </w:t>
      </w:r>
      <w:r w:rsidRPr="00C20287">
        <w:t>implemented</w:t>
      </w:r>
      <w:r w:rsidRPr="00C20287">
        <w:rPr>
          <w:rFonts w:eastAsiaTheme="minorHAnsi"/>
        </w:rPr>
        <w:t>?</w:t>
      </w:r>
      <w:bookmarkEnd w:id="83"/>
      <w:bookmarkEnd w:id="84"/>
    </w:p>
    <w:p w14:paraId="4007EF1C" w14:textId="77777777" w:rsidR="000516FF" w:rsidRPr="00C20287" w:rsidRDefault="000516FF" w:rsidP="000516FF">
      <w:pPr>
        <w:pStyle w:val="Heading3"/>
      </w:pPr>
      <w:bookmarkStart w:id="85" w:name="_Toc132192313"/>
      <w:bookmarkStart w:id="86" w:name="_Toc134603944"/>
      <w:bookmarkStart w:id="87" w:name="_Toc168652754"/>
      <w:r w:rsidRPr="00C20287">
        <w:t>Preferred option</w:t>
      </w:r>
      <w:bookmarkEnd w:id="85"/>
      <w:bookmarkEnd w:id="86"/>
      <w:bookmarkEnd w:id="87"/>
    </w:p>
    <w:p w14:paraId="1CCA3BA3" w14:textId="3A848EA8" w:rsidR="009B3E87" w:rsidRPr="0016563D" w:rsidRDefault="00BE5669" w:rsidP="006562C2">
      <w:pPr>
        <w:rPr>
          <w:sz w:val="24"/>
          <w:szCs w:val="24"/>
        </w:rPr>
      </w:pPr>
      <w:r w:rsidRPr="009B3E87">
        <w:rPr>
          <w:color w:val="auto"/>
          <w:sz w:val="24"/>
        </w:rPr>
        <w:t xml:space="preserve">To enable </w:t>
      </w:r>
      <w:r w:rsidR="009C584F">
        <w:rPr>
          <w:color w:val="auto"/>
          <w:sz w:val="24"/>
        </w:rPr>
        <w:t xml:space="preserve">successful establishment of an appropriate </w:t>
      </w:r>
      <w:r w:rsidRPr="009B3E87">
        <w:rPr>
          <w:color w:val="auto"/>
          <w:sz w:val="24"/>
        </w:rPr>
        <w:t xml:space="preserve">Commonwealth </w:t>
      </w:r>
      <w:r w:rsidR="00C039F9" w:rsidRPr="009B3E87">
        <w:rPr>
          <w:color w:val="auto"/>
          <w:sz w:val="24"/>
        </w:rPr>
        <w:t>p</w:t>
      </w:r>
      <w:r w:rsidRPr="009B3E87">
        <w:rPr>
          <w:color w:val="auto"/>
          <w:sz w:val="24"/>
        </w:rPr>
        <w:t>rice</w:t>
      </w:r>
      <w:r w:rsidR="009C584F">
        <w:rPr>
          <w:color w:val="auto"/>
          <w:sz w:val="24"/>
        </w:rPr>
        <w:t xml:space="preserve"> for the dispensing of PBS medicines</w:t>
      </w:r>
      <w:r w:rsidRPr="009B3E87">
        <w:rPr>
          <w:color w:val="auto"/>
          <w:sz w:val="24"/>
        </w:rPr>
        <w:t xml:space="preserve">, the preferred option is the option which will provide the greatest </w:t>
      </w:r>
      <w:r w:rsidR="009B3E87" w:rsidRPr="009B3E87">
        <w:rPr>
          <w:color w:val="auto"/>
          <w:sz w:val="24"/>
        </w:rPr>
        <w:t xml:space="preserve">net benefit and </w:t>
      </w:r>
      <w:r w:rsidR="009B3E87">
        <w:rPr>
          <w:color w:val="auto"/>
          <w:sz w:val="24"/>
        </w:rPr>
        <w:t xml:space="preserve">achieve </w:t>
      </w:r>
      <w:r w:rsidR="009B3E87" w:rsidRPr="009B3E87">
        <w:rPr>
          <w:sz w:val="24"/>
          <w:szCs w:val="24"/>
        </w:rPr>
        <w:t xml:space="preserve">equitable, timely, safe and reliable access to medicines and pharmacy services at a cost that individuals and the community </w:t>
      </w:r>
      <w:r w:rsidR="009B3E87">
        <w:rPr>
          <w:sz w:val="24"/>
          <w:szCs w:val="24"/>
        </w:rPr>
        <w:t>can afford.</w:t>
      </w:r>
      <w:r w:rsidR="009B3E87" w:rsidRPr="009B3E87">
        <w:rPr>
          <w:sz w:val="24"/>
          <w:szCs w:val="24"/>
        </w:rPr>
        <w:t xml:space="preserve"> </w:t>
      </w:r>
      <w:r w:rsidR="009B3E87" w:rsidRPr="0016563D">
        <w:rPr>
          <w:color w:val="auto"/>
          <w:sz w:val="24"/>
        </w:rPr>
        <w:t xml:space="preserve">A summary of the </w:t>
      </w:r>
      <w:r w:rsidR="00A43055" w:rsidRPr="0016563D">
        <w:rPr>
          <w:color w:val="auto"/>
          <w:sz w:val="24"/>
        </w:rPr>
        <w:t>net-benefit analysis of each of the three options</w:t>
      </w:r>
      <w:r w:rsidR="009B3E87" w:rsidRPr="0016563D">
        <w:rPr>
          <w:color w:val="auto"/>
          <w:sz w:val="24"/>
        </w:rPr>
        <w:t xml:space="preserve"> is provided in Table 15 and identifies </w:t>
      </w:r>
      <w:r w:rsidR="000807B1" w:rsidRPr="0016563D">
        <w:rPr>
          <w:color w:val="auto"/>
          <w:sz w:val="24"/>
        </w:rPr>
        <w:t>O</w:t>
      </w:r>
      <w:r w:rsidR="00A43055" w:rsidRPr="0016563D">
        <w:rPr>
          <w:color w:val="auto"/>
          <w:sz w:val="24"/>
        </w:rPr>
        <w:t xml:space="preserve">ption 3 </w:t>
      </w:r>
      <w:r w:rsidR="009B3E87" w:rsidRPr="0016563D">
        <w:rPr>
          <w:color w:val="auto"/>
          <w:sz w:val="24"/>
        </w:rPr>
        <w:t>as</w:t>
      </w:r>
      <w:r w:rsidR="00A43055" w:rsidRPr="0016563D">
        <w:rPr>
          <w:color w:val="auto"/>
          <w:sz w:val="24"/>
        </w:rPr>
        <w:t xml:space="preserve"> the preferred approach. </w:t>
      </w:r>
    </w:p>
    <w:p w14:paraId="7719D8B5" w14:textId="411B87CC" w:rsidR="00207AB2" w:rsidRPr="0016563D" w:rsidRDefault="00724D88" w:rsidP="006562C2">
      <w:pPr>
        <w:rPr>
          <w:color w:val="auto"/>
          <w:sz w:val="24"/>
        </w:rPr>
      </w:pPr>
      <w:r w:rsidRPr="0016563D">
        <w:rPr>
          <w:color w:val="auto"/>
          <w:sz w:val="24"/>
        </w:rPr>
        <w:t>L</w:t>
      </w:r>
      <w:r w:rsidR="00D042C9" w:rsidRPr="0016563D">
        <w:rPr>
          <w:color w:val="auto"/>
          <w:sz w:val="24"/>
        </w:rPr>
        <w:t>oo</w:t>
      </w:r>
      <w:r w:rsidRPr="0016563D">
        <w:rPr>
          <w:color w:val="auto"/>
          <w:sz w:val="24"/>
        </w:rPr>
        <w:t xml:space="preserve">king at </w:t>
      </w:r>
      <w:r w:rsidR="00B4061E" w:rsidRPr="0016563D">
        <w:rPr>
          <w:color w:val="auto"/>
          <w:sz w:val="24"/>
        </w:rPr>
        <w:t>‘</w:t>
      </w:r>
      <w:r w:rsidRPr="0016563D">
        <w:rPr>
          <w:color w:val="auto"/>
          <w:sz w:val="24"/>
        </w:rPr>
        <w:t>person-centred dispensing</w:t>
      </w:r>
      <w:r w:rsidR="00B4061E" w:rsidRPr="0016563D">
        <w:rPr>
          <w:color w:val="auto"/>
          <w:sz w:val="24"/>
        </w:rPr>
        <w:t>’</w:t>
      </w:r>
      <w:r w:rsidRPr="0016563D">
        <w:rPr>
          <w:color w:val="auto"/>
          <w:sz w:val="24"/>
        </w:rPr>
        <w:t xml:space="preserve">, the first criterion, it is clear that there is little </w:t>
      </w:r>
      <w:r w:rsidR="00A53549">
        <w:rPr>
          <w:color w:val="auto"/>
          <w:sz w:val="24"/>
        </w:rPr>
        <w:t>variation</w:t>
      </w:r>
      <w:r w:rsidR="00484CA4">
        <w:rPr>
          <w:color w:val="auto"/>
          <w:sz w:val="24"/>
        </w:rPr>
        <w:t xml:space="preserve"> </w:t>
      </w:r>
      <w:r w:rsidR="00207AB2" w:rsidRPr="0016563D">
        <w:rPr>
          <w:color w:val="auto"/>
          <w:sz w:val="24"/>
        </w:rPr>
        <w:t>between the options. This is because ensuring</w:t>
      </w:r>
      <w:r w:rsidR="00A963D4">
        <w:rPr>
          <w:color w:val="auto"/>
          <w:sz w:val="24"/>
        </w:rPr>
        <w:t xml:space="preserve"> appropriate </w:t>
      </w:r>
      <w:r w:rsidR="00207AB2" w:rsidRPr="0016563D">
        <w:rPr>
          <w:color w:val="auto"/>
          <w:sz w:val="24"/>
        </w:rPr>
        <w:t>remuneration for dispensing activities remains</w:t>
      </w:r>
      <w:r w:rsidR="00A963D4">
        <w:rPr>
          <w:color w:val="auto"/>
          <w:sz w:val="24"/>
        </w:rPr>
        <w:t xml:space="preserve"> core to each option and</w:t>
      </w:r>
      <w:r w:rsidR="00207AB2" w:rsidRPr="0016563D">
        <w:rPr>
          <w:color w:val="auto"/>
          <w:sz w:val="24"/>
        </w:rPr>
        <w:t xml:space="preserve"> a certainty regardless of </w:t>
      </w:r>
      <w:r w:rsidR="00952A49" w:rsidRPr="0016563D">
        <w:rPr>
          <w:color w:val="auto"/>
          <w:sz w:val="24"/>
        </w:rPr>
        <w:t xml:space="preserve">the final </w:t>
      </w:r>
      <w:r w:rsidR="000807B1" w:rsidRPr="0016563D">
        <w:rPr>
          <w:color w:val="auto"/>
          <w:sz w:val="24"/>
        </w:rPr>
        <w:t>O</w:t>
      </w:r>
      <w:r w:rsidR="00952A49" w:rsidRPr="0016563D">
        <w:rPr>
          <w:color w:val="auto"/>
          <w:sz w:val="24"/>
        </w:rPr>
        <w:t>ption chosen</w:t>
      </w:r>
      <w:r w:rsidR="00207AB2" w:rsidRPr="0016563D">
        <w:rPr>
          <w:color w:val="auto"/>
          <w:sz w:val="24"/>
        </w:rPr>
        <w:t>.</w:t>
      </w:r>
    </w:p>
    <w:p w14:paraId="1E05A805" w14:textId="52442358" w:rsidR="00207AB2" w:rsidRPr="0016563D" w:rsidRDefault="00B4061E" w:rsidP="006562C2">
      <w:pPr>
        <w:rPr>
          <w:color w:val="auto"/>
          <w:sz w:val="24"/>
        </w:rPr>
      </w:pPr>
      <w:r w:rsidRPr="0016563D">
        <w:rPr>
          <w:color w:val="auto"/>
          <w:sz w:val="24"/>
        </w:rPr>
        <w:t>‘</w:t>
      </w:r>
      <w:r w:rsidR="00207AB2" w:rsidRPr="0016563D">
        <w:rPr>
          <w:color w:val="auto"/>
          <w:sz w:val="24"/>
        </w:rPr>
        <w:t>Person-centred programs</w:t>
      </w:r>
      <w:r w:rsidRPr="0016563D">
        <w:rPr>
          <w:color w:val="auto"/>
          <w:sz w:val="24"/>
        </w:rPr>
        <w:t>’</w:t>
      </w:r>
      <w:r w:rsidR="00207AB2" w:rsidRPr="0016563D">
        <w:rPr>
          <w:color w:val="auto"/>
          <w:sz w:val="24"/>
        </w:rPr>
        <w:t xml:space="preserve"> sees greater variation between options. Option 1, graded two </w:t>
      </w:r>
      <w:r w:rsidR="00952A49" w:rsidRPr="0016563D">
        <w:rPr>
          <w:color w:val="auto"/>
          <w:sz w:val="24"/>
        </w:rPr>
        <w:t>(2)</w:t>
      </w:r>
      <w:r w:rsidR="000807B1" w:rsidRPr="0016563D">
        <w:rPr>
          <w:color w:val="auto"/>
          <w:sz w:val="24"/>
        </w:rPr>
        <w:t xml:space="preserve"> </w:t>
      </w:r>
      <w:r w:rsidR="00207AB2" w:rsidRPr="0016563D">
        <w:rPr>
          <w:color w:val="auto"/>
          <w:sz w:val="24"/>
        </w:rPr>
        <w:t xml:space="preserve">out of a potential four points, sees an opportunity for CPP reform through wider consultation </w:t>
      </w:r>
      <w:r w:rsidR="00A53549">
        <w:rPr>
          <w:color w:val="auto"/>
          <w:sz w:val="24"/>
        </w:rPr>
        <w:t>than</w:t>
      </w:r>
      <w:r w:rsidR="00207AB2" w:rsidRPr="0016563D">
        <w:rPr>
          <w:color w:val="auto"/>
          <w:sz w:val="24"/>
        </w:rPr>
        <w:t xml:space="preserve"> is currently possible, however it notes that the lack of certainty caused by transitioning to the PBRT for </w:t>
      </w:r>
      <w:r w:rsidR="00952A49" w:rsidRPr="0016563D">
        <w:rPr>
          <w:color w:val="auto"/>
          <w:sz w:val="24"/>
        </w:rPr>
        <w:t>determining</w:t>
      </w:r>
      <w:r w:rsidR="00207AB2" w:rsidRPr="0016563D">
        <w:rPr>
          <w:color w:val="auto"/>
          <w:sz w:val="24"/>
        </w:rPr>
        <w:t xml:space="preserve"> the Commonwealth </w:t>
      </w:r>
      <w:r w:rsidR="00322777" w:rsidRPr="0016563D">
        <w:rPr>
          <w:color w:val="auto"/>
          <w:sz w:val="24"/>
        </w:rPr>
        <w:t>p</w:t>
      </w:r>
      <w:r w:rsidR="00207AB2" w:rsidRPr="0016563D">
        <w:rPr>
          <w:color w:val="auto"/>
          <w:sz w:val="24"/>
        </w:rPr>
        <w:t xml:space="preserve">rice would inevitably have implications on </w:t>
      </w:r>
      <w:r w:rsidR="00952A49" w:rsidRPr="0016563D">
        <w:rPr>
          <w:color w:val="auto"/>
          <w:sz w:val="24"/>
        </w:rPr>
        <w:t>participation by community pharmacists in these reforms</w:t>
      </w:r>
      <w:r w:rsidR="00207AB2" w:rsidRPr="0016563D">
        <w:rPr>
          <w:color w:val="auto"/>
          <w:sz w:val="24"/>
        </w:rPr>
        <w:t xml:space="preserve">. Option 2, does not provide any further opportunity for program reform, and so is </w:t>
      </w:r>
      <w:r w:rsidR="00322777" w:rsidRPr="0016563D">
        <w:rPr>
          <w:color w:val="auto"/>
          <w:sz w:val="24"/>
        </w:rPr>
        <w:t>score</w:t>
      </w:r>
      <w:r w:rsidR="00207AB2" w:rsidRPr="0016563D">
        <w:rPr>
          <w:color w:val="auto"/>
          <w:sz w:val="24"/>
        </w:rPr>
        <w:t>d a one</w:t>
      </w:r>
      <w:r w:rsidR="00952A49" w:rsidRPr="0016563D">
        <w:rPr>
          <w:color w:val="auto"/>
          <w:sz w:val="24"/>
        </w:rPr>
        <w:t xml:space="preserve"> (1)</w:t>
      </w:r>
      <w:r w:rsidR="00207AB2" w:rsidRPr="0016563D">
        <w:rPr>
          <w:color w:val="auto"/>
          <w:sz w:val="24"/>
        </w:rPr>
        <w:t xml:space="preserve">. Finally, Option 3 </w:t>
      </w:r>
      <w:r w:rsidR="00952A49" w:rsidRPr="0016563D">
        <w:rPr>
          <w:color w:val="auto"/>
          <w:sz w:val="24"/>
        </w:rPr>
        <w:t>was</w:t>
      </w:r>
      <w:r w:rsidR="009318CD">
        <w:rPr>
          <w:color w:val="auto"/>
          <w:sz w:val="24"/>
        </w:rPr>
        <w:t xml:space="preserve"> viewed</w:t>
      </w:r>
      <w:r w:rsidR="00207AB2" w:rsidRPr="0016563D">
        <w:rPr>
          <w:color w:val="auto"/>
          <w:sz w:val="24"/>
        </w:rPr>
        <w:t xml:space="preserve"> as fully enabling </w:t>
      </w:r>
      <w:r w:rsidR="00976F6B" w:rsidRPr="0016563D">
        <w:rPr>
          <w:color w:val="auto"/>
          <w:sz w:val="24"/>
        </w:rPr>
        <w:t xml:space="preserve">a </w:t>
      </w:r>
      <w:r w:rsidR="00207AB2" w:rsidRPr="0016563D">
        <w:rPr>
          <w:color w:val="auto"/>
          <w:sz w:val="24"/>
        </w:rPr>
        <w:t xml:space="preserve">positive reform opportunity </w:t>
      </w:r>
      <w:r w:rsidR="00952A49" w:rsidRPr="0016563D">
        <w:rPr>
          <w:color w:val="auto"/>
          <w:sz w:val="24"/>
        </w:rPr>
        <w:t xml:space="preserve">for CPPs </w:t>
      </w:r>
      <w:r w:rsidR="00207AB2" w:rsidRPr="0016563D">
        <w:rPr>
          <w:color w:val="auto"/>
          <w:sz w:val="24"/>
        </w:rPr>
        <w:t xml:space="preserve">going forward and </w:t>
      </w:r>
      <w:r w:rsidR="00976F6B" w:rsidRPr="0016563D">
        <w:rPr>
          <w:color w:val="auto"/>
          <w:sz w:val="24"/>
        </w:rPr>
        <w:t>achieved</w:t>
      </w:r>
      <w:r w:rsidR="00207AB2" w:rsidRPr="0016563D">
        <w:rPr>
          <w:color w:val="auto"/>
          <w:sz w:val="24"/>
        </w:rPr>
        <w:t xml:space="preserve"> </w:t>
      </w:r>
      <w:r w:rsidR="00976F6B" w:rsidRPr="0016563D">
        <w:rPr>
          <w:color w:val="auto"/>
          <w:sz w:val="24"/>
        </w:rPr>
        <w:t>a</w:t>
      </w:r>
      <w:r w:rsidR="00207AB2" w:rsidRPr="0016563D">
        <w:rPr>
          <w:color w:val="auto"/>
          <w:sz w:val="24"/>
        </w:rPr>
        <w:t xml:space="preserve"> full </w:t>
      </w:r>
      <w:r w:rsidR="00976F6B" w:rsidRPr="0016563D">
        <w:rPr>
          <w:color w:val="auto"/>
          <w:sz w:val="24"/>
        </w:rPr>
        <w:t>value of four (4)</w:t>
      </w:r>
      <w:r w:rsidR="00207AB2" w:rsidRPr="0016563D">
        <w:rPr>
          <w:color w:val="auto"/>
          <w:sz w:val="24"/>
        </w:rPr>
        <w:t>.</w:t>
      </w:r>
    </w:p>
    <w:p w14:paraId="422DF7C6" w14:textId="6F23212C" w:rsidR="00B4061E" w:rsidRPr="0016563D" w:rsidRDefault="00586E47" w:rsidP="006562C2">
      <w:pPr>
        <w:rPr>
          <w:color w:val="auto"/>
          <w:sz w:val="24"/>
        </w:rPr>
      </w:pPr>
      <w:r w:rsidRPr="0016563D">
        <w:rPr>
          <w:color w:val="auto"/>
          <w:sz w:val="24"/>
        </w:rPr>
        <w:t xml:space="preserve">The next criterion, ‘equity, sustainability and access for consumers’ </w:t>
      </w:r>
      <w:r w:rsidR="00B4061E" w:rsidRPr="0016563D">
        <w:rPr>
          <w:color w:val="auto"/>
          <w:sz w:val="24"/>
        </w:rPr>
        <w:t xml:space="preserve">sees identical full </w:t>
      </w:r>
      <w:r w:rsidR="00976F6B" w:rsidRPr="0016563D">
        <w:rPr>
          <w:color w:val="auto"/>
          <w:sz w:val="24"/>
        </w:rPr>
        <w:t>value</w:t>
      </w:r>
      <w:r w:rsidR="00B4061E" w:rsidRPr="0016563D">
        <w:rPr>
          <w:color w:val="auto"/>
          <w:sz w:val="24"/>
        </w:rPr>
        <w:t xml:space="preserve"> </w:t>
      </w:r>
      <w:r w:rsidR="00322777" w:rsidRPr="0016563D">
        <w:rPr>
          <w:color w:val="auto"/>
          <w:sz w:val="24"/>
        </w:rPr>
        <w:t>(4)</w:t>
      </w:r>
      <w:r w:rsidR="00B4061E" w:rsidRPr="0016563D">
        <w:rPr>
          <w:color w:val="auto"/>
          <w:sz w:val="24"/>
        </w:rPr>
        <w:t xml:space="preserve"> from </w:t>
      </w:r>
      <w:r w:rsidR="00976F6B" w:rsidRPr="0016563D">
        <w:rPr>
          <w:color w:val="auto"/>
          <w:sz w:val="24"/>
        </w:rPr>
        <w:t>O</w:t>
      </w:r>
      <w:r w:rsidR="00B4061E" w:rsidRPr="0016563D">
        <w:rPr>
          <w:color w:val="auto"/>
          <w:sz w:val="24"/>
        </w:rPr>
        <w:t xml:space="preserve">ptions 2 and 3, noting that dispensing remuneration would continue as expected in both </w:t>
      </w:r>
      <w:r w:rsidR="000807B1" w:rsidRPr="0016563D">
        <w:rPr>
          <w:color w:val="auto"/>
          <w:sz w:val="24"/>
        </w:rPr>
        <w:t>O</w:t>
      </w:r>
      <w:r w:rsidR="00976F6B" w:rsidRPr="0016563D">
        <w:rPr>
          <w:color w:val="auto"/>
          <w:sz w:val="24"/>
        </w:rPr>
        <w:t>ptions</w:t>
      </w:r>
      <w:r w:rsidR="00B4061E" w:rsidRPr="0016563D">
        <w:rPr>
          <w:color w:val="auto"/>
          <w:sz w:val="24"/>
        </w:rPr>
        <w:t xml:space="preserve">. However, it notes that Option 1 would create uncertainty among community pharmacy as to how dispensing remuneration would operate. Due to this remuneration generally acting as the financial backbone of the community pharmacy, it would be likely that this uncertainty would have indirect implications for consumer access to community pharmacy across the country as the sector adjusted to an alternate form of remuneration. These considerations meant that </w:t>
      </w:r>
      <w:r w:rsidR="00976F6B" w:rsidRPr="0016563D">
        <w:rPr>
          <w:color w:val="auto"/>
          <w:sz w:val="24"/>
        </w:rPr>
        <w:t>O</w:t>
      </w:r>
      <w:r w:rsidR="00B4061E" w:rsidRPr="0016563D">
        <w:rPr>
          <w:color w:val="auto"/>
          <w:sz w:val="24"/>
        </w:rPr>
        <w:t xml:space="preserve">ption 1 was given </w:t>
      </w:r>
      <w:r w:rsidR="00976F6B" w:rsidRPr="0016563D">
        <w:rPr>
          <w:color w:val="auto"/>
          <w:sz w:val="24"/>
        </w:rPr>
        <w:t xml:space="preserve">a value of </w:t>
      </w:r>
      <w:r w:rsidR="00B4061E" w:rsidRPr="0016563D">
        <w:rPr>
          <w:color w:val="auto"/>
          <w:sz w:val="24"/>
        </w:rPr>
        <w:t xml:space="preserve">two </w:t>
      </w:r>
      <w:r w:rsidR="00976F6B" w:rsidRPr="0016563D">
        <w:rPr>
          <w:color w:val="auto"/>
          <w:sz w:val="24"/>
        </w:rPr>
        <w:t>(2)</w:t>
      </w:r>
      <w:r w:rsidR="00B4061E" w:rsidRPr="0016563D">
        <w:rPr>
          <w:color w:val="auto"/>
          <w:sz w:val="24"/>
        </w:rPr>
        <w:t>.</w:t>
      </w:r>
    </w:p>
    <w:p w14:paraId="39595FC9" w14:textId="1B0CD0B2" w:rsidR="00B24B06" w:rsidRPr="0016563D" w:rsidRDefault="00B24B06" w:rsidP="006562C2">
      <w:pPr>
        <w:rPr>
          <w:color w:val="auto"/>
          <w:sz w:val="24"/>
        </w:rPr>
      </w:pPr>
      <w:r w:rsidRPr="0016563D">
        <w:rPr>
          <w:color w:val="auto"/>
          <w:sz w:val="24"/>
        </w:rPr>
        <w:t xml:space="preserve">Similar results were found for </w:t>
      </w:r>
      <w:r w:rsidR="00976F6B" w:rsidRPr="0016563D">
        <w:rPr>
          <w:color w:val="auto"/>
          <w:sz w:val="24"/>
        </w:rPr>
        <w:t>O</w:t>
      </w:r>
      <w:r w:rsidRPr="0016563D">
        <w:rPr>
          <w:color w:val="auto"/>
          <w:sz w:val="24"/>
        </w:rPr>
        <w:t xml:space="preserve">ption 1 in the next criterion, ‘equity, sustainability and access for businesses’. The uncertainty in financial arrangements, not just in remuneration but </w:t>
      </w:r>
      <w:r w:rsidR="00976F6B" w:rsidRPr="0016563D">
        <w:rPr>
          <w:color w:val="auto"/>
          <w:sz w:val="24"/>
        </w:rPr>
        <w:t>for</w:t>
      </w:r>
      <w:r w:rsidRPr="0016563D">
        <w:rPr>
          <w:color w:val="auto"/>
          <w:sz w:val="24"/>
        </w:rPr>
        <w:t xml:space="preserve"> all elements of the CPA</w:t>
      </w:r>
      <w:r w:rsidR="00976F6B" w:rsidRPr="0016563D">
        <w:rPr>
          <w:color w:val="auto"/>
          <w:sz w:val="24"/>
        </w:rPr>
        <w:t>,</w:t>
      </w:r>
      <w:r w:rsidRPr="0016563D">
        <w:rPr>
          <w:color w:val="auto"/>
          <w:sz w:val="24"/>
        </w:rPr>
        <w:t xml:space="preserve"> such as pharmacy programs, CSO and wholesaler arrangements and support for regional, rural and remote pharmacies</w:t>
      </w:r>
      <w:r w:rsidR="00976F6B" w:rsidRPr="0016563D">
        <w:rPr>
          <w:color w:val="auto"/>
          <w:sz w:val="24"/>
        </w:rPr>
        <w:t>,</w:t>
      </w:r>
      <w:r w:rsidRPr="0016563D">
        <w:rPr>
          <w:color w:val="auto"/>
          <w:sz w:val="24"/>
        </w:rPr>
        <w:t xml:space="preserve"> would </w:t>
      </w:r>
      <w:r w:rsidR="009318CD">
        <w:rPr>
          <w:color w:val="auto"/>
          <w:sz w:val="24"/>
        </w:rPr>
        <w:t>be a significant challenge in the short-term. This</w:t>
      </w:r>
      <w:r w:rsidRPr="0016563D">
        <w:rPr>
          <w:color w:val="auto"/>
          <w:sz w:val="24"/>
        </w:rPr>
        <w:t xml:space="preserve"> </w:t>
      </w:r>
      <w:r w:rsidR="009318CD">
        <w:rPr>
          <w:color w:val="auto"/>
          <w:sz w:val="24"/>
        </w:rPr>
        <w:t xml:space="preserve">uncertainty </w:t>
      </w:r>
      <w:r w:rsidRPr="0016563D">
        <w:rPr>
          <w:color w:val="auto"/>
          <w:sz w:val="24"/>
        </w:rPr>
        <w:t xml:space="preserve">would likely have direct business implications for those in the sector. Option 2 sees the </w:t>
      </w:r>
      <w:r w:rsidR="00976F6B" w:rsidRPr="0016563D">
        <w:rPr>
          <w:color w:val="auto"/>
          <w:sz w:val="24"/>
        </w:rPr>
        <w:t>current funding mechanisms</w:t>
      </w:r>
      <w:r w:rsidRPr="0016563D">
        <w:rPr>
          <w:color w:val="auto"/>
          <w:sz w:val="24"/>
        </w:rPr>
        <w:t xml:space="preserve"> maintained, noting that wholesaler and CSO arrangements remain </w:t>
      </w:r>
      <w:r w:rsidR="009318CD">
        <w:rPr>
          <w:color w:val="auto"/>
          <w:sz w:val="24"/>
        </w:rPr>
        <w:t xml:space="preserve">within </w:t>
      </w:r>
      <w:r w:rsidRPr="0016563D">
        <w:rPr>
          <w:color w:val="auto"/>
          <w:sz w:val="24"/>
        </w:rPr>
        <w:t xml:space="preserve">the CPA, and </w:t>
      </w:r>
      <w:r w:rsidR="00976F6B" w:rsidRPr="0016563D">
        <w:rPr>
          <w:color w:val="auto"/>
          <w:sz w:val="24"/>
        </w:rPr>
        <w:t>would be unable to be</w:t>
      </w:r>
      <w:r w:rsidRPr="0016563D">
        <w:rPr>
          <w:color w:val="auto"/>
          <w:sz w:val="24"/>
        </w:rPr>
        <w:t xml:space="preserve"> reform</w:t>
      </w:r>
      <w:r w:rsidR="00976F6B" w:rsidRPr="0016563D">
        <w:rPr>
          <w:color w:val="auto"/>
          <w:sz w:val="24"/>
        </w:rPr>
        <w:t>ed</w:t>
      </w:r>
      <w:r w:rsidRPr="0016563D">
        <w:rPr>
          <w:color w:val="auto"/>
          <w:sz w:val="24"/>
        </w:rPr>
        <w:t xml:space="preserve"> through alternative arrangements. As such, it is </w:t>
      </w:r>
      <w:r w:rsidR="00976F6B" w:rsidRPr="0016563D">
        <w:rPr>
          <w:color w:val="auto"/>
          <w:sz w:val="24"/>
        </w:rPr>
        <w:t>valued</w:t>
      </w:r>
      <w:r w:rsidRPr="0016563D">
        <w:rPr>
          <w:color w:val="auto"/>
          <w:sz w:val="24"/>
        </w:rPr>
        <w:t xml:space="preserve"> three</w:t>
      </w:r>
      <w:r w:rsidR="00976F6B" w:rsidRPr="0016563D">
        <w:rPr>
          <w:color w:val="auto"/>
          <w:sz w:val="24"/>
        </w:rPr>
        <w:t xml:space="preserve"> (3)</w:t>
      </w:r>
      <w:r w:rsidRPr="0016563D">
        <w:rPr>
          <w:color w:val="auto"/>
          <w:sz w:val="24"/>
        </w:rPr>
        <w:t xml:space="preserve">, providing certainty but not reform opportunity. </w:t>
      </w:r>
      <w:r w:rsidR="00976F6B" w:rsidRPr="0016563D">
        <w:rPr>
          <w:color w:val="auto"/>
          <w:sz w:val="24"/>
        </w:rPr>
        <w:t xml:space="preserve">Option 3, was valued at four (4) as it gives business certainty going forward however it also opens up reform opportunities as negotiated during the finalisation of an agreement. </w:t>
      </w:r>
    </w:p>
    <w:p w14:paraId="4B58D883" w14:textId="5623E0CE" w:rsidR="0012306D" w:rsidRPr="0016563D" w:rsidRDefault="00B4061E" w:rsidP="006562C2">
      <w:pPr>
        <w:rPr>
          <w:color w:val="auto"/>
          <w:sz w:val="24"/>
        </w:rPr>
      </w:pPr>
      <w:r w:rsidRPr="0016563D">
        <w:rPr>
          <w:color w:val="auto"/>
          <w:sz w:val="24"/>
        </w:rPr>
        <w:t xml:space="preserve">‘Accountability and transparency’ has a range of scores across </w:t>
      </w:r>
      <w:r w:rsidR="00976F6B" w:rsidRPr="0016563D">
        <w:rPr>
          <w:color w:val="auto"/>
          <w:sz w:val="24"/>
        </w:rPr>
        <w:t xml:space="preserve">the </w:t>
      </w:r>
      <w:r w:rsidRPr="0016563D">
        <w:rPr>
          <w:color w:val="auto"/>
          <w:sz w:val="24"/>
        </w:rPr>
        <w:t xml:space="preserve">options. Option 1, which would place the responsibility of price setting upon the </w:t>
      </w:r>
      <w:r w:rsidR="00976F6B" w:rsidRPr="0016563D">
        <w:rPr>
          <w:color w:val="auto"/>
          <w:sz w:val="24"/>
        </w:rPr>
        <w:t>PBRT</w:t>
      </w:r>
      <w:r w:rsidRPr="0016563D">
        <w:rPr>
          <w:color w:val="auto"/>
          <w:sz w:val="24"/>
        </w:rPr>
        <w:t xml:space="preserve">, </w:t>
      </w:r>
      <w:r w:rsidR="00976F6B" w:rsidRPr="0016563D">
        <w:rPr>
          <w:color w:val="auto"/>
          <w:sz w:val="24"/>
        </w:rPr>
        <w:t>wa</w:t>
      </w:r>
      <w:r w:rsidRPr="0016563D">
        <w:rPr>
          <w:color w:val="auto"/>
          <w:sz w:val="24"/>
        </w:rPr>
        <w:t>s scored as a</w:t>
      </w:r>
      <w:r w:rsidR="00A53549">
        <w:rPr>
          <w:color w:val="auto"/>
          <w:sz w:val="24"/>
        </w:rPr>
        <w:t xml:space="preserve"> four (4)</w:t>
      </w:r>
      <w:r w:rsidRPr="0016563D">
        <w:rPr>
          <w:color w:val="auto"/>
          <w:sz w:val="24"/>
        </w:rPr>
        <w:t>.</w:t>
      </w:r>
      <w:r w:rsidR="00503676">
        <w:rPr>
          <w:color w:val="auto"/>
          <w:sz w:val="24"/>
        </w:rPr>
        <w:t xml:space="preserve"> In this scenario, it was viewed</w:t>
      </w:r>
      <w:r w:rsidR="0012306D" w:rsidRPr="0016563D">
        <w:rPr>
          <w:color w:val="auto"/>
          <w:sz w:val="24"/>
        </w:rPr>
        <w:t xml:space="preserve"> </w:t>
      </w:r>
      <w:r w:rsidR="0012306D" w:rsidRPr="0016563D">
        <w:rPr>
          <w:color w:val="auto"/>
          <w:sz w:val="24"/>
        </w:rPr>
        <w:lastRenderedPageBreak/>
        <w:t>that</w:t>
      </w:r>
      <w:r w:rsidR="0066312E">
        <w:rPr>
          <w:color w:val="auto"/>
          <w:sz w:val="24"/>
        </w:rPr>
        <w:t xml:space="preserve"> </w:t>
      </w:r>
      <w:r w:rsidR="0012306D" w:rsidRPr="0016563D">
        <w:rPr>
          <w:color w:val="auto"/>
          <w:sz w:val="24"/>
        </w:rPr>
        <w:t xml:space="preserve">the tribunal would open up the price-setting mechanism for the general level of remuneration, </w:t>
      </w:r>
      <w:r w:rsidR="0066312E">
        <w:rPr>
          <w:color w:val="auto"/>
          <w:sz w:val="24"/>
        </w:rPr>
        <w:t xml:space="preserve">and </w:t>
      </w:r>
      <w:r w:rsidR="0012306D" w:rsidRPr="0016563D">
        <w:rPr>
          <w:color w:val="auto"/>
          <w:sz w:val="24"/>
        </w:rPr>
        <w:t xml:space="preserve">improve the transparency of costs within the </w:t>
      </w:r>
      <w:r w:rsidR="00322777" w:rsidRPr="0016563D">
        <w:rPr>
          <w:color w:val="auto"/>
          <w:sz w:val="24"/>
        </w:rPr>
        <w:t>PBS</w:t>
      </w:r>
      <w:r w:rsidR="0012306D" w:rsidRPr="0016563D">
        <w:rPr>
          <w:color w:val="auto"/>
          <w:sz w:val="24"/>
        </w:rPr>
        <w:t xml:space="preserve">. </w:t>
      </w:r>
      <w:r w:rsidR="00322777" w:rsidRPr="0016563D">
        <w:rPr>
          <w:color w:val="auto"/>
          <w:sz w:val="24"/>
        </w:rPr>
        <w:t>O</w:t>
      </w:r>
      <w:r w:rsidR="00503676">
        <w:rPr>
          <w:color w:val="auto"/>
          <w:sz w:val="24"/>
        </w:rPr>
        <w:t xml:space="preserve">ption 2 would have an </w:t>
      </w:r>
      <w:r w:rsidR="0012306D" w:rsidRPr="0016563D">
        <w:rPr>
          <w:color w:val="auto"/>
          <w:sz w:val="24"/>
        </w:rPr>
        <w:t>8CPA publish</w:t>
      </w:r>
      <w:r w:rsidR="00322777" w:rsidRPr="0016563D">
        <w:rPr>
          <w:color w:val="auto"/>
          <w:sz w:val="24"/>
        </w:rPr>
        <w:t>ed which includes</w:t>
      </w:r>
      <w:r w:rsidR="0012306D" w:rsidRPr="0016563D">
        <w:rPr>
          <w:color w:val="auto"/>
          <w:sz w:val="24"/>
        </w:rPr>
        <w:t xml:space="preserve"> the components which add up to the Commonwealth </w:t>
      </w:r>
      <w:r w:rsidR="00322777" w:rsidRPr="0016563D">
        <w:rPr>
          <w:color w:val="auto"/>
          <w:sz w:val="24"/>
        </w:rPr>
        <w:t>p</w:t>
      </w:r>
      <w:r w:rsidR="0012306D" w:rsidRPr="0016563D">
        <w:rPr>
          <w:color w:val="auto"/>
          <w:sz w:val="24"/>
        </w:rPr>
        <w:t xml:space="preserve">rice. This would maintain the </w:t>
      </w:r>
      <w:r w:rsidR="00322777" w:rsidRPr="0016563D">
        <w:rPr>
          <w:color w:val="auto"/>
          <w:sz w:val="24"/>
        </w:rPr>
        <w:t>current situation</w:t>
      </w:r>
      <w:r w:rsidR="0012306D" w:rsidRPr="0016563D">
        <w:rPr>
          <w:color w:val="auto"/>
          <w:sz w:val="24"/>
        </w:rPr>
        <w:t xml:space="preserve">, but would not </w:t>
      </w:r>
      <w:r w:rsidR="00322777" w:rsidRPr="0016563D">
        <w:rPr>
          <w:color w:val="auto"/>
          <w:sz w:val="24"/>
        </w:rPr>
        <w:t>significantly</w:t>
      </w:r>
      <w:r w:rsidR="0012306D" w:rsidRPr="0016563D">
        <w:rPr>
          <w:color w:val="auto"/>
          <w:sz w:val="24"/>
        </w:rPr>
        <w:t xml:space="preserve"> improve transparency of individual costs</w:t>
      </w:r>
      <w:r w:rsidR="00322777" w:rsidRPr="0016563D">
        <w:rPr>
          <w:color w:val="auto"/>
          <w:sz w:val="24"/>
        </w:rPr>
        <w:t xml:space="preserve"> to consumers</w:t>
      </w:r>
      <w:r w:rsidR="0012306D" w:rsidRPr="0016563D">
        <w:rPr>
          <w:color w:val="auto"/>
          <w:sz w:val="24"/>
        </w:rPr>
        <w:t xml:space="preserve">. As such, it was </w:t>
      </w:r>
      <w:r w:rsidR="00322777" w:rsidRPr="0016563D">
        <w:rPr>
          <w:color w:val="auto"/>
          <w:sz w:val="24"/>
        </w:rPr>
        <w:t>scored</w:t>
      </w:r>
      <w:r w:rsidR="0012306D" w:rsidRPr="0016563D">
        <w:rPr>
          <w:color w:val="auto"/>
          <w:sz w:val="24"/>
        </w:rPr>
        <w:t xml:space="preserve"> a two </w:t>
      </w:r>
      <w:r w:rsidR="00322777" w:rsidRPr="0016563D">
        <w:rPr>
          <w:color w:val="auto"/>
          <w:sz w:val="24"/>
        </w:rPr>
        <w:t>(2)</w:t>
      </w:r>
      <w:r w:rsidR="0012306D" w:rsidRPr="0016563D">
        <w:rPr>
          <w:color w:val="auto"/>
          <w:sz w:val="24"/>
        </w:rPr>
        <w:t>. Option 3 provides the clearest pathway for reform, as it also provide</w:t>
      </w:r>
      <w:r w:rsidR="00322777" w:rsidRPr="0016563D">
        <w:rPr>
          <w:color w:val="auto"/>
          <w:sz w:val="24"/>
        </w:rPr>
        <w:t>s</w:t>
      </w:r>
      <w:r w:rsidR="0012306D" w:rsidRPr="0016563D">
        <w:rPr>
          <w:color w:val="auto"/>
          <w:sz w:val="24"/>
        </w:rPr>
        <w:t xml:space="preserve"> the justification for the Commonwealth </w:t>
      </w:r>
      <w:r w:rsidR="00322777" w:rsidRPr="0016563D">
        <w:rPr>
          <w:color w:val="auto"/>
          <w:sz w:val="24"/>
        </w:rPr>
        <w:t>p</w:t>
      </w:r>
      <w:r w:rsidR="0012306D" w:rsidRPr="0016563D">
        <w:rPr>
          <w:color w:val="auto"/>
          <w:sz w:val="24"/>
        </w:rPr>
        <w:t xml:space="preserve">rice within </w:t>
      </w:r>
      <w:r w:rsidR="00322777" w:rsidRPr="0016563D">
        <w:rPr>
          <w:color w:val="auto"/>
          <w:sz w:val="24"/>
        </w:rPr>
        <w:t>the published</w:t>
      </w:r>
      <w:r w:rsidR="0012306D" w:rsidRPr="0016563D">
        <w:rPr>
          <w:color w:val="auto"/>
          <w:sz w:val="24"/>
        </w:rPr>
        <w:t xml:space="preserve"> 8CPA, but would additionally provide</w:t>
      </w:r>
      <w:r w:rsidR="00E96847" w:rsidRPr="0016563D">
        <w:rPr>
          <w:color w:val="auto"/>
          <w:sz w:val="24"/>
        </w:rPr>
        <w:t xml:space="preserve"> opportunity to continue to improve </w:t>
      </w:r>
      <w:r w:rsidR="0012306D" w:rsidRPr="0016563D">
        <w:rPr>
          <w:color w:val="auto"/>
          <w:sz w:val="24"/>
        </w:rPr>
        <w:t xml:space="preserve">transparency and </w:t>
      </w:r>
      <w:r w:rsidR="00E96847" w:rsidRPr="0016563D">
        <w:rPr>
          <w:color w:val="auto"/>
          <w:sz w:val="24"/>
        </w:rPr>
        <w:t xml:space="preserve">increase consumer </w:t>
      </w:r>
      <w:r w:rsidR="0012306D" w:rsidRPr="0016563D">
        <w:rPr>
          <w:color w:val="auto"/>
          <w:sz w:val="24"/>
        </w:rPr>
        <w:t xml:space="preserve">understanding </w:t>
      </w:r>
      <w:r w:rsidR="00E96847" w:rsidRPr="0016563D">
        <w:rPr>
          <w:color w:val="auto"/>
          <w:sz w:val="24"/>
        </w:rPr>
        <w:t xml:space="preserve">and awareness </w:t>
      </w:r>
      <w:r w:rsidR="0012306D" w:rsidRPr="0016563D">
        <w:rPr>
          <w:color w:val="auto"/>
          <w:sz w:val="24"/>
        </w:rPr>
        <w:t>of PBS medicine costs</w:t>
      </w:r>
      <w:r w:rsidR="00503676">
        <w:rPr>
          <w:color w:val="auto"/>
          <w:sz w:val="24"/>
        </w:rPr>
        <w:t xml:space="preserve"> both through relevant commitments in the 8CPA and related future stakeholder engagement</w:t>
      </w:r>
      <w:r w:rsidR="0012306D" w:rsidRPr="0016563D">
        <w:rPr>
          <w:color w:val="auto"/>
          <w:sz w:val="24"/>
        </w:rPr>
        <w:t xml:space="preserve">. As such, it was </w:t>
      </w:r>
      <w:r w:rsidR="00322777" w:rsidRPr="0016563D">
        <w:rPr>
          <w:color w:val="auto"/>
          <w:sz w:val="24"/>
        </w:rPr>
        <w:t>scored</w:t>
      </w:r>
      <w:r w:rsidR="0012306D" w:rsidRPr="0016563D">
        <w:rPr>
          <w:color w:val="auto"/>
          <w:sz w:val="24"/>
        </w:rPr>
        <w:t xml:space="preserve"> higher </w:t>
      </w:r>
      <w:r w:rsidR="006B30F2" w:rsidRPr="0016563D">
        <w:rPr>
          <w:color w:val="auto"/>
          <w:sz w:val="24"/>
        </w:rPr>
        <w:t>than</w:t>
      </w:r>
      <w:r w:rsidR="0012306D" w:rsidRPr="0016563D">
        <w:rPr>
          <w:color w:val="auto"/>
          <w:sz w:val="24"/>
        </w:rPr>
        <w:t xml:space="preserve"> </w:t>
      </w:r>
      <w:r w:rsidR="00322777" w:rsidRPr="0016563D">
        <w:rPr>
          <w:color w:val="auto"/>
          <w:sz w:val="24"/>
        </w:rPr>
        <w:t>the</w:t>
      </w:r>
      <w:r w:rsidR="0012306D" w:rsidRPr="0016563D">
        <w:rPr>
          <w:color w:val="auto"/>
          <w:sz w:val="24"/>
        </w:rPr>
        <w:t xml:space="preserve"> other </w:t>
      </w:r>
      <w:r w:rsidR="000807B1" w:rsidRPr="0016563D">
        <w:rPr>
          <w:color w:val="auto"/>
          <w:sz w:val="24"/>
        </w:rPr>
        <w:t>O</w:t>
      </w:r>
      <w:r w:rsidR="0012306D" w:rsidRPr="0016563D">
        <w:rPr>
          <w:color w:val="auto"/>
          <w:sz w:val="24"/>
        </w:rPr>
        <w:t>ption</w:t>
      </w:r>
      <w:r w:rsidR="00322777" w:rsidRPr="0016563D">
        <w:rPr>
          <w:color w:val="auto"/>
          <w:sz w:val="24"/>
        </w:rPr>
        <w:t>s</w:t>
      </w:r>
      <w:r w:rsidR="0012306D" w:rsidRPr="0016563D">
        <w:rPr>
          <w:color w:val="auto"/>
          <w:sz w:val="24"/>
        </w:rPr>
        <w:t xml:space="preserve"> </w:t>
      </w:r>
      <w:r w:rsidR="00322777" w:rsidRPr="0016563D">
        <w:rPr>
          <w:color w:val="auto"/>
          <w:sz w:val="24"/>
        </w:rPr>
        <w:t>at</w:t>
      </w:r>
      <w:r w:rsidR="006407F0" w:rsidRPr="0016563D">
        <w:rPr>
          <w:color w:val="auto"/>
          <w:sz w:val="24"/>
        </w:rPr>
        <w:t xml:space="preserve"> a</w:t>
      </w:r>
      <w:r w:rsidR="0012306D" w:rsidRPr="0016563D">
        <w:rPr>
          <w:color w:val="auto"/>
          <w:sz w:val="24"/>
        </w:rPr>
        <w:t xml:space="preserve"> three </w:t>
      </w:r>
      <w:r w:rsidR="00322777" w:rsidRPr="0016563D">
        <w:rPr>
          <w:color w:val="auto"/>
          <w:sz w:val="24"/>
        </w:rPr>
        <w:t>(3)</w:t>
      </w:r>
      <w:r w:rsidR="0012306D" w:rsidRPr="0016563D">
        <w:rPr>
          <w:color w:val="auto"/>
          <w:sz w:val="24"/>
        </w:rPr>
        <w:t>.</w:t>
      </w:r>
    </w:p>
    <w:p w14:paraId="6846FDBB" w14:textId="39742D35" w:rsidR="00BE5669" w:rsidRPr="0016563D" w:rsidRDefault="00FF17A9" w:rsidP="006562C2">
      <w:pPr>
        <w:rPr>
          <w:color w:val="auto"/>
          <w:sz w:val="24"/>
        </w:rPr>
      </w:pPr>
      <w:r w:rsidRPr="0016563D">
        <w:rPr>
          <w:color w:val="auto"/>
          <w:sz w:val="24"/>
        </w:rPr>
        <w:t>Finally, ‘innovation and continuous improvement’ saw distinct</w:t>
      </w:r>
      <w:r w:rsidR="006407F0" w:rsidRPr="0016563D">
        <w:rPr>
          <w:color w:val="auto"/>
          <w:sz w:val="24"/>
        </w:rPr>
        <w:t>ly different</w:t>
      </w:r>
      <w:r w:rsidRPr="0016563D">
        <w:rPr>
          <w:color w:val="auto"/>
          <w:sz w:val="24"/>
        </w:rPr>
        <w:t xml:space="preserve"> outcomes </w:t>
      </w:r>
      <w:r w:rsidR="002E570E" w:rsidRPr="0016563D">
        <w:rPr>
          <w:color w:val="auto"/>
          <w:sz w:val="24"/>
        </w:rPr>
        <w:t>and scoring</w:t>
      </w:r>
      <w:r w:rsidRPr="0016563D">
        <w:rPr>
          <w:color w:val="auto"/>
          <w:sz w:val="24"/>
        </w:rPr>
        <w:t xml:space="preserve"> between the three </w:t>
      </w:r>
      <w:r w:rsidR="000807B1" w:rsidRPr="0016563D">
        <w:rPr>
          <w:color w:val="auto"/>
          <w:sz w:val="24"/>
        </w:rPr>
        <w:t>O</w:t>
      </w:r>
      <w:r w:rsidRPr="0016563D">
        <w:rPr>
          <w:color w:val="auto"/>
          <w:sz w:val="24"/>
        </w:rPr>
        <w:t xml:space="preserve">ptions. Option </w:t>
      </w:r>
      <w:r w:rsidR="00322777" w:rsidRPr="0016563D">
        <w:rPr>
          <w:color w:val="auto"/>
          <w:sz w:val="24"/>
        </w:rPr>
        <w:t>1</w:t>
      </w:r>
      <w:r w:rsidRPr="0016563D">
        <w:rPr>
          <w:color w:val="auto"/>
          <w:sz w:val="24"/>
        </w:rPr>
        <w:t xml:space="preserve"> saw the opportunity for reform through the removal of the current CPA structures. However, this potential opportunity was mitigated somewhat by the uncertainty created by the removal of the existing funding structures. It noted that meaningful </w:t>
      </w:r>
      <w:r w:rsidR="002E570E" w:rsidRPr="0016563D">
        <w:rPr>
          <w:color w:val="auto"/>
          <w:sz w:val="24"/>
        </w:rPr>
        <w:t>engagement from community pharmacists in</w:t>
      </w:r>
      <w:r w:rsidRPr="0016563D">
        <w:rPr>
          <w:color w:val="auto"/>
          <w:sz w:val="24"/>
        </w:rPr>
        <w:t xml:space="preserve"> reform</w:t>
      </w:r>
      <w:r w:rsidR="002E570E" w:rsidRPr="0016563D">
        <w:rPr>
          <w:color w:val="auto"/>
          <w:sz w:val="24"/>
        </w:rPr>
        <w:t>ing CPPs</w:t>
      </w:r>
      <w:r w:rsidRPr="0016563D">
        <w:rPr>
          <w:color w:val="auto"/>
          <w:sz w:val="24"/>
        </w:rPr>
        <w:t xml:space="preserve"> would be unlikely to occur until</w:t>
      </w:r>
      <w:r w:rsidR="00A53549">
        <w:rPr>
          <w:color w:val="auto"/>
          <w:sz w:val="24"/>
        </w:rPr>
        <w:t xml:space="preserve"> </w:t>
      </w:r>
      <w:r w:rsidR="002E570E" w:rsidRPr="0016563D">
        <w:rPr>
          <w:color w:val="auto"/>
          <w:sz w:val="24"/>
        </w:rPr>
        <w:t>business confidence</w:t>
      </w:r>
      <w:r w:rsidRPr="0016563D">
        <w:rPr>
          <w:color w:val="auto"/>
          <w:sz w:val="24"/>
        </w:rPr>
        <w:t xml:space="preserve"> was restored. As such, it was </w:t>
      </w:r>
      <w:r w:rsidR="002E570E" w:rsidRPr="0016563D">
        <w:rPr>
          <w:color w:val="auto"/>
          <w:sz w:val="24"/>
        </w:rPr>
        <w:t>score</w:t>
      </w:r>
      <w:r w:rsidR="00A53549">
        <w:rPr>
          <w:color w:val="auto"/>
          <w:sz w:val="24"/>
        </w:rPr>
        <w:t>d</w:t>
      </w:r>
      <w:r w:rsidRPr="0016563D">
        <w:rPr>
          <w:color w:val="auto"/>
          <w:sz w:val="24"/>
        </w:rPr>
        <w:t xml:space="preserve"> a two </w:t>
      </w:r>
      <w:r w:rsidR="002E570E" w:rsidRPr="0016563D">
        <w:rPr>
          <w:color w:val="auto"/>
          <w:sz w:val="24"/>
        </w:rPr>
        <w:t>(2)</w:t>
      </w:r>
      <w:r w:rsidRPr="0016563D">
        <w:rPr>
          <w:color w:val="auto"/>
          <w:sz w:val="24"/>
        </w:rPr>
        <w:t xml:space="preserve">. Option 2 saw no potential for changes to the </w:t>
      </w:r>
      <w:r w:rsidR="002E570E" w:rsidRPr="0016563D">
        <w:rPr>
          <w:color w:val="auto"/>
          <w:sz w:val="24"/>
        </w:rPr>
        <w:t>current situation</w:t>
      </w:r>
      <w:r w:rsidR="000474EE" w:rsidRPr="0016563D">
        <w:rPr>
          <w:color w:val="auto"/>
          <w:sz w:val="24"/>
        </w:rPr>
        <w:t xml:space="preserve"> which has persisted across multiple CPAs,</w:t>
      </w:r>
      <w:r w:rsidR="0066312E">
        <w:rPr>
          <w:color w:val="auto"/>
          <w:sz w:val="24"/>
        </w:rPr>
        <w:t xml:space="preserve"> and</w:t>
      </w:r>
      <w:r w:rsidR="000474EE" w:rsidRPr="0016563D">
        <w:rPr>
          <w:color w:val="auto"/>
          <w:sz w:val="24"/>
        </w:rPr>
        <w:t xml:space="preserve"> </w:t>
      </w:r>
      <w:r w:rsidR="002E570E" w:rsidRPr="0016563D">
        <w:rPr>
          <w:color w:val="auto"/>
          <w:sz w:val="24"/>
        </w:rPr>
        <w:t>it was therefore scored</w:t>
      </w:r>
      <w:r w:rsidR="000474EE" w:rsidRPr="0016563D">
        <w:rPr>
          <w:color w:val="auto"/>
          <w:sz w:val="24"/>
        </w:rPr>
        <w:t xml:space="preserve"> as a one </w:t>
      </w:r>
      <w:r w:rsidR="002E570E" w:rsidRPr="0016563D">
        <w:rPr>
          <w:color w:val="auto"/>
          <w:sz w:val="24"/>
        </w:rPr>
        <w:t>(1)</w:t>
      </w:r>
      <w:r w:rsidR="000474EE" w:rsidRPr="0016563D">
        <w:rPr>
          <w:color w:val="auto"/>
          <w:sz w:val="24"/>
        </w:rPr>
        <w:t>. Option 3 introduced several avenues of meaningful ref</w:t>
      </w:r>
      <w:r w:rsidR="00503676">
        <w:rPr>
          <w:color w:val="auto"/>
          <w:sz w:val="24"/>
        </w:rPr>
        <w:t>orm potential, with some CPPs considered</w:t>
      </w:r>
      <w:r w:rsidR="000474EE" w:rsidRPr="0016563D">
        <w:rPr>
          <w:color w:val="auto"/>
          <w:sz w:val="24"/>
        </w:rPr>
        <w:t xml:space="preserve"> </w:t>
      </w:r>
      <w:r w:rsidR="00503676">
        <w:rPr>
          <w:color w:val="auto"/>
          <w:sz w:val="24"/>
        </w:rPr>
        <w:t xml:space="preserve">outside of the CPA </w:t>
      </w:r>
      <w:r w:rsidR="000474EE" w:rsidRPr="0016563D">
        <w:rPr>
          <w:color w:val="auto"/>
          <w:sz w:val="24"/>
        </w:rPr>
        <w:t xml:space="preserve">as well as the establishment of independent wholesaler and CSO </w:t>
      </w:r>
      <w:r w:rsidR="00503676">
        <w:rPr>
          <w:color w:val="auto"/>
          <w:sz w:val="24"/>
        </w:rPr>
        <w:t>funding arrangements. Finally, Option 3</w:t>
      </w:r>
      <w:r w:rsidR="000474EE" w:rsidRPr="0016563D">
        <w:rPr>
          <w:color w:val="auto"/>
          <w:sz w:val="24"/>
        </w:rPr>
        <w:t xml:space="preserve"> would establish a distinct evaluation reform agenda for CPPs. This would see an agreement between all key stakeholders to ensure that consultation continues to progress towards implementation of the evaluation frameworks planned for mid-2026.</w:t>
      </w:r>
      <w:r w:rsidR="00481AD2" w:rsidRPr="0016563D">
        <w:rPr>
          <w:color w:val="auto"/>
          <w:sz w:val="24"/>
        </w:rPr>
        <w:t xml:space="preserve"> These benefits </w:t>
      </w:r>
      <w:r w:rsidR="002E570E" w:rsidRPr="0016563D">
        <w:rPr>
          <w:color w:val="auto"/>
          <w:sz w:val="24"/>
        </w:rPr>
        <w:t>scored</w:t>
      </w:r>
      <w:r w:rsidR="00481AD2" w:rsidRPr="0016563D">
        <w:rPr>
          <w:color w:val="auto"/>
          <w:sz w:val="24"/>
        </w:rPr>
        <w:t xml:space="preserve"> </w:t>
      </w:r>
      <w:r w:rsidR="002E570E" w:rsidRPr="0016563D">
        <w:rPr>
          <w:color w:val="auto"/>
          <w:sz w:val="24"/>
        </w:rPr>
        <w:t>O</w:t>
      </w:r>
      <w:r w:rsidR="00481AD2" w:rsidRPr="0016563D">
        <w:rPr>
          <w:color w:val="auto"/>
          <w:sz w:val="24"/>
        </w:rPr>
        <w:t xml:space="preserve">ption 3 full </w:t>
      </w:r>
      <w:r w:rsidR="002E570E" w:rsidRPr="0016563D">
        <w:rPr>
          <w:color w:val="auto"/>
          <w:sz w:val="24"/>
        </w:rPr>
        <w:t>value of four (4)</w:t>
      </w:r>
      <w:r w:rsidR="00481AD2" w:rsidRPr="0016563D">
        <w:rPr>
          <w:color w:val="auto"/>
          <w:sz w:val="24"/>
        </w:rPr>
        <w:t xml:space="preserve"> </w:t>
      </w:r>
      <w:r w:rsidR="002E570E" w:rsidRPr="0016563D">
        <w:rPr>
          <w:color w:val="auto"/>
          <w:sz w:val="24"/>
        </w:rPr>
        <w:t>for</w:t>
      </w:r>
      <w:r w:rsidR="00481AD2" w:rsidRPr="0016563D">
        <w:rPr>
          <w:color w:val="auto"/>
          <w:sz w:val="24"/>
        </w:rPr>
        <w:t xml:space="preserve"> this criterion.</w:t>
      </w:r>
    </w:p>
    <w:p w14:paraId="36ACD481" w14:textId="23C884AE" w:rsidR="00BA0A9B" w:rsidRPr="00C20287" w:rsidRDefault="004A08EA" w:rsidP="006562C2">
      <w:pPr>
        <w:rPr>
          <w:color w:val="auto"/>
          <w:sz w:val="24"/>
        </w:rPr>
      </w:pPr>
      <w:r w:rsidRPr="00C20287">
        <w:rPr>
          <w:color w:val="auto"/>
          <w:sz w:val="24"/>
        </w:rPr>
        <w:t>Following consultation,</w:t>
      </w:r>
      <w:r w:rsidR="00481AD2">
        <w:rPr>
          <w:color w:val="auto"/>
          <w:sz w:val="24"/>
        </w:rPr>
        <w:t xml:space="preserve"> and informed by the net-benefit analysis</w:t>
      </w:r>
      <w:r w:rsidR="002E570E">
        <w:rPr>
          <w:color w:val="auto"/>
          <w:sz w:val="24"/>
        </w:rPr>
        <w:t xml:space="preserve"> summaries above</w:t>
      </w:r>
      <w:r w:rsidR="00481AD2">
        <w:rPr>
          <w:color w:val="auto"/>
          <w:sz w:val="24"/>
        </w:rPr>
        <w:t>,</w:t>
      </w:r>
      <w:r w:rsidRPr="00C20287">
        <w:rPr>
          <w:color w:val="auto"/>
          <w:sz w:val="24"/>
        </w:rPr>
        <w:t xml:space="preserve"> </w:t>
      </w:r>
      <w:r w:rsidR="00772CDB" w:rsidRPr="00C20287">
        <w:rPr>
          <w:color w:val="auto"/>
          <w:sz w:val="24"/>
        </w:rPr>
        <w:t xml:space="preserve">Option 3 </w:t>
      </w:r>
      <w:r w:rsidR="006E221C" w:rsidRPr="00C20287">
        <w:rPr>
          <w:color w:val="auto"/>
          <w:sz w:val="24"/>
        </w:rPr>
        <w:t xml:space="preserve">“An 8CPA </w:t>
      </w:r>
      <w:r w:rsidR="00CC6E49" w:rsidRPr="00C20287">
        <w:rPr>
          <w:sz w:val="24"/>
          <w:szCs w:val="24"/>
        </w:rPr>
        <w:t xml:space="preserve">which </w:t>
      </w:r>
      <w:r w:rsidR="00681B3F">
        <w:rPr>
          <w:sz w:val="24"/>
          <w:szCs w:val="24"/>
        </w:rPr>
        <w:t xml:space="preserve">focusses on </w:t>
      </w:r>
      <w:r w:rsidR="00CC6E49" w:rsidRPr="00C20287">
        <w:rPr>
          <w:sz w:val="24"/>
          <w:szCs w:val="24"/>
        </w:rPr>
        <w:t>dispensing remuneration</w:t>
      </w:r>
      <w:r w:rsidR="00681B3F">
        <w:rPr>
          <w:sz w:val="24"/>
          <w:szCs w:val="24"/>
        </w:rPr>
        <w:t xml:space="preserve"> and CPPs delivered </w:t>
      </w:r>
      <w:r w:rsidR="002E570E">
        <w:rPr>
          <w:sz w:val="24"/>
          <w:szCs w:val="24"/>
        </w:rPr>
        <w:t xml:space="preserve">directly </w:t>
      </w:r>
      <w:r w:rsidR="00681B3F">
        <w:rPr>
          <w:sz w:val="24"/>
          <w:szCs w:val="24"/>
        </w:rPr>
        <w:t>through community pharmacies</w:t>
      </w:r>
      <w:r w:rsidR="006E221C" w:rsidRPr="00C20287">
        <w:rPr>
          <w:color w:val="auto"/>
          <w:sz w:val="24"/>
        </w:rPr>
        <w:t>”</w:t>
      </w:r>
      <w:r w:rsidR="00DB74B3" w:rsidRPr="00C20287">
        <w:rPr>
          <w:color w:val="auto"/>
          <w:sz w:val="24"/>
        </w:rPr>
        <w:t xml:space="preserve"> </w:t>
      </w:r>
      <w:r w:rsidR="002E570E">
        <w:rPr>
          <w:color w:val="auto"/>
          <w:sz w:val="24"/>
        </w:rPr>
        <w:t>wa</w:t>
      </w:r>
      <w:r w:rsidRPr="00C20287">
        <w:rPr>
          <w:color w:val="auto"/>
          <w:sz w:val="24"/>
        </w:rPr>
        <w:t>s</w:t>
      </w:r>
      <w:r w:rsidR="002E570E">
        <w:rPr>
          <w:color w:val="auto"/>
          <w:sz w:val="24"/>
        </w:rPr>
        <w:t xml:space="preserve"> the</w:t>
      </w:r>
      <w:r w:rsidRPr="00C20287">
        <w:rPr>
          <w:color w:val="auto"/>
          <w:sz w:val="24"/>
        </w:rPr>
        <w:t xml:space="preserve"> preferred</w:t>
      </w:r>
      <w:r w:rsidR="002E570E">
        <w:rPr>
          <w:color w:val="auto"/>
          <w:sz w:val="24"/>
        </w:rPr>
        <w:t xml:space="preserve"> option</w:t>
      </w:r>
      <w:r w:rsidR="00AA5FBD">
        <w:rPr>
          <w:color w:val="auto"/>
          <w:sz w:val="24"/>
        </w:rPr>
        <w:t>.</w:t>
      </w:r>
      <w:r w:rsidR="00AA5FBD" w:rsidRPr="00C20287" w:rsidDel="00AA5FBD">
        <w:rPr>
          <w:color w:val="auto"/>
          <w:sz w:val="24"/>
        </w:rPr>
        <w:t xml:space="preserve"> </w:t>
      </w:r>
      <w:r w:rsidR="00AA5FBD">
        <w:rPr>
          <w:color w:val="auto"/>
          <w:sz w:val="24"/>
        </w:rPr>
        <w:t>T</w:t>
      </w:r>
      <w:r w:rsidRPr="00C20287">
        <w:rPr>
          <w:color w:val="auto"/>
          <w:sz w:val="24"/>
        </w:rPr>
        <w:t xml:space="preserve">his </w:t>
      </w:r>
      <w:r w:rsidR="00681B3F">
        <w:rPr>
          <w:color w:val="auto"/>
          <w:sz w:val="24"/>
        </w:rPr>
        <w:t xml:space="preserve">option is expected to </w:t>
      </w:r>
      <w:r w:rsidRPr="00C20287">
        <w:rPr>
          <w:color w:val="auto"/>
          <w:sz w:val="24"/>
        </w:rPr>
        <w:t xml:space="preserve">provide the greatest </w:t>
      </w:r>
      <w:r w:rsidR="008525DA">
        <w:rPr>
          <w:color w:val="auto"/>
          <w:sz w:val="24"/>
        </w:rPr>
        <w:t xml:space="preserve">certainty while also giving the </w:t>
      </w:r>
      <w:r w:rsidRPr="00C20287">
        <w:rPr>
          <w:color w:val="auto"/>
          <w:sz w:val="24"/>
        </w:rPr>
        <w:t>flexibility and opportunity to</w:t>
      </w:r>
      <w:r w:rsidR="005E5191">
        <w:rPr>
          <w:color w:val="auto"/>
          <w:sz w:val="24"/>
        </w:rPr>
        <w:t xml:space="preserve"> consider</w:t>
      </w:r>
      <w:r w:rsidR="000571CD">
        <w:rPr>
          <w:color w:val="auto"/>
          <w:sz w:val="24"/>
        </w:rPr>
        <w:t xml:space="preserve"> </w:t>
      </w:r>
      <w:r w:rsidR="005E5191">
        <w:rPr>
          <w:color w:val="auto"/>
          <w:sz w:val="24"/>
        </w:rPr>
        <w:t>wholesaler arrangement</w:t>
      </w:r>
      <w:r w:rsidR="00680690">
        <w:rPr>
          <w:color w:val="auto"/>
          <w:sz w:val="24"/>
        </w:rPr>
        <w:t>s</w:t>
      </w:r>
      <w:r w:rsidR="005E5191">
        <w:rPr>
          <w:color w:val="auto"/>
          <w:sz w:val="24"/>
        </w:rPr>
        <w:t xml:space="preserve"> and program </w:t>
      </w:r>
      <w:r w:rsidRPr="00C20287">
        <w:rPr>
          <w:color w:val="auto"/>
          <w:sz w:val="24"/>
        </w:rPr>
        <w:t xml:space="preserve">reforms in collaboration with </w:t>
      </w:r>
      <w:r w:rsidR="007A1584" w:rsidRPr="00C20287">
        <w:rPr>
          <w:color w:val="auto"/>
          <w:sz w:val="24"/>
        </w:rPr>
        <w:t>a wider group of interested</w:t>
      </w:r>
      <w:r w:rsidRPr="00C20287">
        <w:rPr>
          <w:color w:val="auto"/>
          <w:sz w:val="24"/>
        </w:rPr>
        <w:t xml:space="preserve"> stakeholders.</w:t>
      </w:r>
    </w:p>
    <w:p w14:paraId="6799A847" w14:textId="4AA918DF" w:rsidR="00BA0A9B" w:rsidRPr="00C20287" w:rsidRDefault="00BA0A9B" w:rsidP="006562C2">
      <w:pPr>
        <w:rPr>
          <w:color w:val="auto"/>
          <w:sz w:val="24"/>
        </w:rPr>
      </w:pPr>
      <w:r w:rsidRPr="00C20287">
        <w:rPr>
          <w:color w:val="auto"/>
          <w:sz w:val="24"/>
        </w:rPr>
        <w:t xml:space="preserve">Option 1 would </w:t>
      </w:r>
      <w:r w:rsidR="004A08EA" w:rsidRPr="00C20287">
        <w:rPr>
          <w:color w:val="auto"/>
          <w:sz w:val="24"/>
        </w:rPr>
        <w:t>result in</w:t>
      </w:r>
      <w:r w:rsidRPr="00C20287">
        <w:rPr>
          <w:color w:val="auto"/>
          <w:sz w:val="24"/>
        </w:rPr>
        <w:t xml:space="preserve"> considerable uncertainty to the community pharmacy sector and the wider community as future remuneration for dispensing PBS medicines would be subject to an independent </w:t>
      </w:r>
      <w:r w:rsidR="00CD7E0E" w:rsidRPr="00C20287">
        <w:rPr>
          <w:color w:val="auto"/>
          <w:sz w:val="24"/>
        </w:rPr>
        <w:t>i</w:t>
      </w:r>
      <w:r w:rsidRPr="00C20287">
        <w:rPr>
          <w:color w:val="auto"/>
          <w:sz w:val="24"/>
        </w:rPr>
        <w:t xml:space="preserve">nquiry by the PBRT. </w:t>
      </w:r>
      <w:r w:rsidR="00C05900" w:rsidRPr="00C20287">
        <w:rPr>
          <w:color w:val="auto"/>
          <w:sz w:val="24"/>
        </w:rPr>
        <w:t xml:space="preserve">The impacts on Government funding and reform </w:t>
      </w:r>
      <w:r w:rsidR="00C94099" w:rsidRPr="00C20287">
        <w:rPr>
          <w:color w:val="auto"/>
          <w:sz w:val="24"/>
        </w:rPr>
        <w:t xml:space="preserve">of </w:t>
      </w:r>
      <w:r w:rsidR="00C05900" w:rsidRPr="00C20287">
        <w:rPr>
          <w:color w:val="auto"/>
          <w:sz w:val="24"/>
        </w:rPr>
        <w:t xml:space="preserve">CPPs would also </w:t>
      </w:r>
      <w:r w:rsidR="00AA5FBD">
        <w:rPr>
          <w:color w:val="auto"/>
          <w:sz w:val="24"/>
        </w:rPr>
        <w:t>be less certain than other options</w:t>
      </w:r>
      <w:r w:rsidR="00C05900" w:rsidRPr="00C20287">
        <w:rPr>
          <w:color w:val="auto"/>
          <w:sz w:val="24"/>
        </w:rPr>
        <w:t xml:space="preserve">. </w:t>
      </w:r>
    </w:p>
    <w:p w14:paraId="3DCA2676" w14:textId="221C2092" w:rsidR="00BA0A9B" w:rsidRPr="00C20287" w:rsidRDefault="00BA0A9B" w:rsidP="006562C2">
      <w:pPr>
        <w:rPr>
          <w:color w:val="auto"/>
          <w:sz w:val="24"/>
        </w:rPr>
      </w:pPr>
      <w:r w:rsidRPr="00C20287">
        <w:rPr>
          <w:color w:val="auto"/>
          <w:sz w:val="24"/>
        </w:rPr>
        <w:t xml:space="preserve">Option 2 </w:t>
      </w:r>
      <w:r w:rsidR="005E5191">
        <w:rPr>
          <w:color w:val="auto"/>
          <w:sz w:val="24"/>
        </w:rPr>
        <w:t xml:space="preserve">would result in </w:t>
      </w:r>
      <w:r w:rsidR="00AA5FBD">
        <w:rPr>
          <w:color w:val="auto"/>
          <w:sz w:val="24"/>
        </w:rPr>
        <w:t xml:space="preserve">large </w:t>
      </w:r>
      <w:r w:rsidR="005E5191">
        <w:rPr>
          <w:color w:val="auto"/>
          <w:sz w:val="24"/>
        </w:rPr>
        <w:t xml:space="preserve">increases to patient </w:t>
      </w:r>
      <w:r w:rsidR="00AA5FBD">
        <w:rPr>
          <w:color w:val="auto"/>
          <w:sz w:val="24"/>
        </w:rPr>
        <w:t xml:space="preserve">and community </w:t>
      </w:r>
      <w:r w:rsidR="005E5191">
        <w:rPr>
          <w:color w:val="auto"/>
          <w:sz w:val="24"/>
        </w:rPr>
        <w:t xml:space="preserve">costs </w:t>
      </w:r>
      <w:r w:rsidR="00C05900" w:rsidRPr="00C20287">
        <w:rPr>
          <w:color w:val="auto"/>
          <w:sz w:val="24"/>
        </w:rPr>
        <w:t xml:space="preserve">and limit </w:t>
      </w:r>
      <w:r w:rsidR="005E5191">
        <w:rPr>
          <w:color w:val="auto"/>
          <w:sz w:val="24"/>
        </w:rPr>
        <w:t xml:space="preserve">the </w:t>
      </w:r>
      <w:r w:rsidR="00C05900" w:rsidRPr="00C20287">
        <w:rPr>
          <w:color w:val="auto"/>
          <w:sz w:val="24"/>
        </w:rPr>
        <w:t xml:space="preserve">opportunity to </w:t>
      </w:r>
      <w:r w:rsidR="005E5191">
        <w:rPr>
          <w:color w:val="auto"/>
          <w:sz w:val="24"/>
        </w:rPr>
        <w:t>undertake comprehensive consultation in relation to wholesaler arrangemen</w:t>
      </w:r>
      <w:r w:rsidR="004E2C72">
        <w:rPr>
          <w:color w:val="auto"/>
          <w:sz w:val="24"/>
        </w:rPr>
        <w:t>t</w:t>
      </w:r>
      <w:r w:rsidR="005E5191">
        <w:rPr>
          <w:color w:val="auto"/>
          <w:sz w:val="24"/>
        </w:rPr>
        <w:t xml:space="preserve">s and </w:t>
      </w:r>
      <w:r w:rsidR="004E2C72">
        <w:rPr>
          <w:color w:val="auto"/>
          <w:sz w:val="24"/>
        </w:rPr>
        <w:t>CPPs</w:t>
      </w:r>
      <w:r w:rsidR="001C34F3" w:rsidRPr="00C20287">
        <w:rPr>
          <w:color w:val="auto"/>
          <w:sz w:val="24"/>
        </w:rPr>
        <w:t>.</w:t>
      </w:r>
      <w:r w:rsidR="00C94099" w:rsidRPr="00C20287">
        <w:rPr>
          <w:color w:val="auto"/>
          <w:sz w:val="24"/>
        </w:rPr>
        <w:t xml:space="preserve"> Existing arrangements </w:t>
      </w:r>
      <w:r w:rsidR="00070D0F">
        <w:rPr>
          <w:color w:val="auto"/>
          <w:sz w:val="24"/>
        </w:rPr>
        <w:t xml:space="preserve">for CPPs </w:t>
      </w:r>
      <w:r w:rsidR="00C94099" w:rsidRPr="00C20287">
        <w:rPr>
          <w:color w:val="auto"/>
          <w:sz w:val="24"/>
        </w:rPr>
        <w:t>would largely be extended</w:t>
      </w:r>
      <w:r w:rsidR="00070D0F">
        <w:rPr>
          <w:color w:val="auto"/>
          <w:sz w:val="24"/>
        </w:rPr>
        <w:t xml:space="preserve"> should O</w:t>
      </w:r>
      <w:r w:rsidR="00AA5FBD">
        <w:rPr>
          <w:color w:val="auto"/>
          <w:sz w:val="24"/>
        </w:rPr>
        <w:t>ption</w:t>
      </w:r>
      <w:r w:rsidR="005E1681">
        <w:rPr>
          <w:color w:val="auto"/>
          <w:sz w:val="24"/>
        </w:rPr>
        <w:t xml:space="preserve"> </w:t>
      </w:r>
      <w:r w:rsidR="00AA5FBD">
        <w:rPr>
          <w:color w:val="auto"/>
          <w:sz w:val="24"/>
        </w:rPr>
        <w:t>2 be implemented</w:t>
      </w:r>
      <w:r w:rsidR="00C94099" w:rsidRPr="00C20287">
        <w:rPr>
          <w:color w:val="auto"/>
          <w:sz w:val="24"/>
        </w:rPr>
        <w:t>.</w:t>
      </w:r>
    </w:p>
    <w:p w14:paraId="2677B786" w14:textId="4C0E90F3" w:rsidR="0015483D" w:rsidRPr="00C20287" w:rsidRDefault="00AA5FBD" w:rsidP="00BE6604">
      <w:pPr>
        <w:rPr>
          <w:color w:val="auto"/>
          <w:sz w:val="24"/>
          <w:szCs w:val="24"/>
        </w:rPr>
      </w:pPr>
      <w:r w:rsidRPr="00C20287">
        <w:rPr>
          <w:color w:val="auto"/>
          <w:sz w:val="24"/>
        </w:rPr>
        <w:t xml:space="preserve">Option 3 will </w:t>
      </w:r>
      <w:r>
        <w:rPr>
          <w:color w:val="auto"/>
          <w:sz w:val="24"/>
        </w:rPr>
        <w:t xml:space="preserve">provide for the greatest </w:t>
      </w:r>
      <w:r w:rsidRPr="00C20287">
        <w:rPr>
          <w:color w:val="auto"/>
          <w:sz w:val="24"/>
        </w:rPr>
        <w:t>align</w:t>
      </w:r>
      <w:r>
        <w:rPr>
          <w:color w:val="auto"/>
          <w:sz w:val="24"/>
        </w:rPr>
        <w:t>ment</w:t>
      </w:r>
      <w:r w:rsidRPr="00C20287">
        <w:rPr>
          <w:color w:val="auto"/>
          <w:sz w:val="24"/>
        </w:rPr>
        <w:t xml:space="preserve"> </w:t>
      </w:r>
      <w:r>
        <w:rPr>
          <w:color w:val="auto"/>
          <w:sz w:val="24"/>
        </w:rPr>
        <w:t xml:space="preserve">of </w:t>
      </w:r>
      <w:r w:rsidRPr="00C20287">
        <w:rPr>
          <w:color w:val="auto"/>
          <w:sz w:val="24"/>
        </w:rPr>
        <w:t xml:space="preserve">the </w:t>
      </w:r>
      <w:r>
        <w:rPr>
          <w:color w:val="auto"/>
          <w:sz w:val="24"/>
        </w:rPr>
        <w:t xml:space="preserve">outcomes to be delivered by the </w:t>
      </w:r>
      <w:r w:rsidRPr="00C20287">
        <w:rPr>
          <w:color w:val="auto"/>
          <w:sz w:val="24"/>
        </w:rPr>
        <w:t xml:space="preserve">8CPA </w:t>
      </w:r>
      <w:r>
        <w:rPr>
          <w:color w:val="auto"/>
          <w:sz w:val="24"/>
        </w:rPr>
        <w:t xml:space="preserve">with the objectives of the NMP. </w:t>
      </w:r>
      <w:r w:rsidR="001C34F3" w:rsidRPr="00C20287">
        <w:rPr>
          <w:color w:val="auto"/>
          <w:sz w:val="24"/>
        </w:rPr>
        <w:t>O</w:t>
      </w:r>
      <w:r w:rsidR="00DB74B3" w:rsidRPr="00C20287">
        <w:rPr>
          <w:color w:val="auto"/>
          <w:sz w:val="24"/>
        </w:rPr>
        <w:t>ption</w:t>
      </w:r>
      <w:r w:rsidR="001C34F3" w:rsidRPr="00C20287">
        <w:rPr>
          <w:color w:val="auto"/>
          <w:sz w:val="24"/>
        </w:rPr>
        <w:t xml:space="preserve"> 3</w:t>
      </w:r>
      <w:r w:rsidR="00DB74B3" w:rsidRPr="00C20287">
        <w:rPr>
          <w:color w:val="auto"/>
          <w:sz w:val="24"/>
        </w:rPr>
        <w:t xml:space="preserve"> separates aspects of dispensing revenue </w:t>
      </w:r>
      <w:r>
        <w:rPr>
          <w:color w:val="auto"/>
          <w:sz w:val="24"/>
        </w:rPr>
        <w:t xml:space="preserve">and CPPs delivered in community pharmacies </w:t>
      </w:r>
      <w:r w:rsidR="00DB74B3" w:rsidRPr="00C20287">
        <w:rPr>
          <w:color w:val="auto"/>
          <w:sz w:val="24"/>
        </w:rPr>
        <w:t xml:space="preserve">from special arrangements for wholesalers of PBS medicines professional </w:t>
      </w:r>
      <w:r w:rsidR="0015483D" w:rsidRPr="00C20287">
        <w:rPr>
          <w:color w:val="auto"/>
          <w:sz w:val="24"/>
        </w:rPr>
        <w:t xml:space="preserve">education and certification activities within the 8CPA. </w:t>
      </w:r>
      <w:r w:rsidR="00C05900" w:rsidRPr="00C20287">
        <w:rPr>
          <w:color w:val="auto"/>
          <w:sz w:val="24"/>
        </w:rPr>
        <w:t xml:space="preserve">This </w:t>
      </w:r>
      <w:r w:rsidR="0015483D" w:rsidRPr="00C20287">
        <w:rPr>
          <w:color w:val="auto"/>
          <w:sz w:val="24"/>
        </w:rPr>
        <w:t xml:space="preserve">will allow the </w:t>
      </w:r>
      <w:r w:rsidR="007A1584" w:rsidRPr="00C20287">
        <w:rPr>
          <w:color w:val="auto"/>
          <w:sz w:val="24"/>
        </w:rPr>
        <w:t>Government</w:t>
      </w:r>
      <w:r w:rsidR="00C94099" w:rsidRPr="00C20287">
        <w:rPr>
          <w:color w:val="auto"/>
          <w:sz w:val="24"/>
        </w:rPr>
        <w:t xml:space="preserve"> to</w:t>
      </w:r>
      <w:r w:rsidR="0015483D" w:rsidRPr="00C20287">
        <w:rPr>
          <w:color w:val="auto"/>
          <w:sz w:val="24"/>
        </w:rPr>
        <w:t xml:space="preserve"> </w:t>
      </w:r>
      <w:r w:rsidR="00C05900" w:rsidRPr="00C20287">
        <w:rPr>
          <w:color w:val="auto"/>
          <w:sz w:val="24"/>
        </w:rPr>
        <w:t>appropriately prioritise and consider</w:t>
      </w:r>
      <w:r>
        <w:rPr>
          <w:color w:val="auto"/>
          <w:sz w:val="24"/>
        </w:rPr>
        <w:t>,</w:t>
      </w:r>
      <w:r w:rsidR="0015483D" w:rsidRPr="00C20287">
        <w:rPr>
          <w:color w:val="auto"/>
          <w:sz w:val="24"/>
        </w:rPr>
        <w:t xml:space="preserve"> </w:t>
      </w:r>
      <w:r w:rsidRPr="00C20287">
        <w:rPr>
          <w:color w:val="auto"/>
          <w:sz w:val="24"/>
        </w:rPr>
        <w:t>in collaboration with all relevant stakeholders</w:t>
      </w:r>
      <w:r>
        <w:rPr>
          <w:color w:val="auto"/>
          <w:sz w:val="24"/>
        </w:rPr>
        <w:t>,</w:t>
      </w:r>
      <w:r w:rsidRPr="00C20287">
        <w:rPr>
          <w:color w:val="auto"/>
          <w:sz w:val="24"/>
        </w:rPr>
        <w:t xml:space="preserve"> </w:t>
      </w:r>
      <w:r w:rsidR="00C05900" w:rsidRPr="00C20287">
        <w:rPr>
          <w:color w:val="auto"/>
          <w:sz w:val="24"/>
        </w:rPr>
        <w:t xml:space="preserve">proposed reforms </w:t>
      </w:r>
      <w:r w:rsidR="0015483D" w:rsidRPr="00C20287">
        <w:rPr>
          <w:color w:val="auto"/>
          <w:sz w:val="24"/>
        </w:rPr>
        <w:t xml:space="preserve">to these </w:t>
      </w:r>
      <w:r w:rsidR="00C05900" w:rsidRPr="00C20287">
        <w:rPr>
          <w:color w:val="auto"/>
          <w:sz w:val="24"/>
        </w:rPr>
        <w:t>areas on an ongoing basis.</w:t>
      </w:r>
      <w:r w:rsidR="00C05900" w:rsidRPr="00C20287" w:rsidDel="00C05900">
        <w:rPr>
          <w:color w:val="auto"/>
          <w:sz w:val="24"/>
        </w:rPr>
        <w:t xml:space="preserve"> </w:t>
      </w:r>
    </w:p>
    <w:p w14:paraId="3ECB1B91" w14:textId="38F71316" w:rsidR="003321A0" w:rsidRPr="00C20287" w:rsidRDefault="00083996" w:rsidP="006562C2">
      <w:pPr>
        <w:rPr>
          <w:color w:val="auto"/>
          <w:sz w:val="24"/>
        </w:rPr>
      </w:pPr>
      <w:r>
        <w:rPr>
          <w:color w:val="auto"/>
          <w:sz w:val="24"/>
        </w:rPr>
        <w:lastRenderedPageBreak/>
        <w:t xml:space="preserve">If </w:t>
      </w:r>
      <w:r w:rsidR="0066312E">
        <w:rPr>
          <w:color w:val="auto"/>
          <w:sz w:val="24"/>
        </w:rPr>
        <w:t>O</w:t>
      </w:r>
      <w:r>
        <w:rPr>
          <w:color w:val="auto"/>
          <w:sz w:val="24"/>
        </w:rPr>
        <w:t>ption 3 is implemented, o</w:t>
      </w:r>
      <w:r w:rsidR="003321A0" w:rsidRPr="00C20287">
        <w:rPr>
          <w:color w:val="auto"/>
          <w:sz w:val="24"/>
        </w:rPr>
        <w:t>utside of the 8CPA t</w:t>
      </w:r>
      <w:r w:rsidR="00446DB3" w:rsidRPr="00C20287">
        <w:rPr>
          <w:color w:val="auto"/>
          <w:sz w:val="24"/>
        </w:rPr>
        <w:t xml:space="preserve">he Department will seek to work with key stakeholders </w:t>
      </w:r>
      <w:r w:rsidR="003321A0" w:rsidRPr="00C20287">
        <w:rPr>
          <w:color w:val="auto"/>
          <w:sz w:val="24"/>
        </w:rPr>
        <w:t xml:space="preserve">including PSA, community organisations, </w:t>
      </w:r>
      <w:r w:rsidR="00D27D0C" w:rsidRPr="00C20287">
        <w:rPr>
          <w:color w:val="auto"/>
          <w:sz w:val="24"/>
        </w:rPr>
        <w:t xml:space="preserve">and </w:t>
      </w:r>
      <w:r w:rsidR="00C94099" w:rsidRPr="00C20287">
        <w:rPr>
          <w:color w:val="auto"/>
          <w:sz w:val="24"/>
        </w:rPr>
        <w:t>c</w:t>
      </w:r>
      <w:r w:rsidR="00D27D0C" w:rsidRPr="00C20287">
        <w:rPr>
          <w:color w:val="auto"/>
          <w:sz w:val="24"/>
        </w:rPr>
        <w:t xml:space="preserve">onsumer organisations to </w:t>
      </w:r>
      <w:r>
        <w:rPr>
          <w:color w:val="auto"/>
          <w:sz w:val="24"/>
        </w:rPr>
        <w:t>review and establish evaluation frameworks for programs relating to home medicines reviews, workforce and First Nations. This will address a key theme raised throughout</w:t>
      </w:r>
      <w:r w:rsidR="00FF1F8B">
        <w:rPr>
          <w:color w:val="auto"/>
          <w:sz w:val="24"/>
        </w:rPr>
        <w:t xml:space="preserve"> the consultation process</w:t>
      </w:r>
      <w:r w:rsidR="00F825B5">
        <w:rPr>
          <w:color w:val="auto"/>
          <w:sz w:val="24"/>
        </w:rPr>
        <w:t>,</w:t>
      </w:r>
      <w:r w:rsidR="00FF1F8B">
        <w:rPr>
          <w:color w:val="auto"/>
          <w:sz w:val="24"/>
        </w:rPr>
        <w:t xml:space="preserve"> that</w:t>
      </w:r>
      <w:r w:rsidR="00F825B5">
        <w:rPr>
          <w:color w:val="auto"/>
          <w:sz w:val="24"/>
        </w:rPr>
        <w:t xml:space="preserve"> being </w:t>
      </w:r>
      <w:r>
        <w:rPr>
          <w:color w:val="auto"/>
          <w:sz w:val="24"/>
        </w:rPr>
        <w:t>a desire for greater collaboration and multiple agreements</w:t>
      </w:r>
      <w:r w:rsidR="003264F8">
        <w:rPr>
          <w:color w:val="auto"/>
          <w:sz w:val="24"/>
        </w:rPr>
        <w:t>, whi</w:t>
      </w:r>
      <w:r w:rsidR="00534421">
        <w:rPr>
          <w:color w:val="auto"/>
          <w:sz w:val="24"/>
        </w:rPr>
        <w:t>l</w:t>
      </w:r>
      <w:r w:rsidR="003264F8">
        <w:rPr>
          <w:color w:val="auto"/>
          <w:sz w:val="24"/>
        </w:rPr>
        <w:t>st still meeting the requirement of the Act</w:t>
      </w:r>
      <w:r>
        <w:rPr>
          <w:color w:val="auto"/>
          <w:sz w:val="24"/>
        </w:rPr>
        <w:t>.</w:t>
      </w:r>
    </w:p>
    <w:p w14:paraId="48ADB90D" w14:textId="14D744DD" w:rsidR="009C0DB6" w:rsidRPr="00C20287" w:rsidRDefault="009C0DB6" w:rsidP="000E413C">
      <w:pPr>
        <w:pStyle w:val="Heading3"/>
      </w:pPr>
      <w:bookmarkStart w:id="88" w:name="_Toc132192314"/>
      <w:bookmarkStart w:id="89" w:name="_Toc168652755"/>
      <w:r w:rsidRPr="00C20287">
        <w:t>Implementation</w:t>
      </w:r>
      <w:bookmarkEnd w:id="88"/>
      <w:bookmarkEnd w:id="89"/>
    </w:p>
    <w:p w14:paraId="032CD672" w14:textId="29F31730" w:rsidR="0078025C" w:rsidRPr="001507E4" w:rsidRDefault="0078025C" w:rsidP="00026E79">
      <w:pPr>
        <w:rPr>
          <w:rFonts w:cstheme="minorHAnsi"/>
          <w:color w:val="auto"/>
          <w:sz w:val="24"/>
          <w:szCs w:val="24"/>
        </w:rPr>
      </w:pPr>
      <w:r>
        <w:rPr>
          <w:color w:val="auto"/>
          <w:sz w:val="24"/>
        </w:rPr>
        <w:t>I</w:t>
      </w:r>
      <w:r w:rsidR="003773F5">
        <w:rPr>
          <w:color w:val="auto"/>
          <w:sz w:val="24"/>
        </w:rPr>
        <w:t xml:space="preserve">mplementation of Option 3 will require negotiation and </w:t>
      </w:r>
      <w:r w:rsidR="00863558" w:rsidRPr="00C20287">
        <w:rPr>
          <w:color w:val="auto"/>
          <w:sz w:val="24"/>
        </w:rPr>
        <w:t>signing of a</w:t>
      </w:r>
      <w:r>
        <w:rPr>
          <w:color w:val="auto"/>
          <w:sz w:val="24"/>
        </w:rPr>
        <w:t xml:space="preserve"> suitable</w:t>
      </w:r>
      <w:r w:rsidR="00863558" w:rsidRPr="00C20287">
        <w:rPr>
          <w:color w:val="auto"/>
          <w:sz w:val="24"/>
        </w:rPr>
        <w:t xml:space="preserve"> </w:t>
      </w:r>
      <w:r w:rsidR="00863558" w:rsidRPr="009C584F">
        <w:rPr>
          <w:color w:val="auto"/>
          <w:sz w:val="24"/>
        </w:rPr>
        <w:t xml:space="preserve">agreement </w:t>
      </w:r>
      <w:r w:rsidR="003773F5" w:rsidRPr="009C584F">
        <w:rPr>
          <w:color w:val="auto"/>
          <w:sz w:val="24"/>
        </w:rPr>
        <w:t>with the Guild</w:t>
      </w:r>
      <w:r w:rsidR="003773F5">
        <w:rPr>
          <w:color w:val="auto"/>
          <w:sz w:val="24"/>
        </w:rPr>
        <w:t>. Following th</w:t>
      </w:r>
      <w:r w:rsidR="004C2641">
        <w:rPr>
          <w:color w:val="auto"/>
          <w:sz w:val="24"/>
        </w:rPr>
        <w:t>e formal signing</w:t>
      </w:r>
      <w:r w:rsidR="00A056DB">
        <w:rPr>
          <w:color w:val="auto"/>
          <w:sz w:val="24"/>
        </w:rPr>
        <w:t xml:space="preserve"> of an 8CPA</w:t>
      </w:r>
      <w:r w:rsidR="004C2641">
        <w:rPr>
          <w:color w:val="auto"/>
          <w:sz w:val="24"/>
        </w:rPr>
        <w:t>,</w:t>
      </w:r>
      <w:r w:rsidR="003773F5">
        <w:rPr>
          <w:color w:val="auto"/>
          <w:sz w:val="24"/>
        </w:rPr>
        <w:t xml:space="preserve"> </w:t>
      </w:r>
      <w:r w:rsidR="00ED075A" w:rsidRPr="00C20287">
        <w:rPr>
          <w:color w:val="auto"/>
          <w:sz w:val="24"/>
        </w:rPr>
        <w:t xml:space="preserve">the </w:t>
      </w:r>
      <w:r w:rsidR="000248A4" w:rsidRPr="00842EB1">
        <w:rPr>
          <w:color w:val="auto"/>
          <w:sz w:val="24"/>
        </w:rPr>
        <w:t>Department will</w:t>
      </w:r>
      <w:r w:rsidRPr="00842EB1">
        <w:rPr>
          <w:color w:val="auto"/>
          <w:sz w:val="24"/>
        </w:rPr>
        <w:t xml:space="preserve">, as soon as practicable, draft the necessary legislative instrument or amendments to </w:t>
      </w:r>
      <w:r w:rsidRPr="00842EB1">
        <w:rPr>
          <w:rFonts w:cstheme="minorHAnsi"/>
          <w:color w:val="auto"/>
          <w:sz w:val="24"/>
          <w:szCs w:val="24"/>
        </w:rPr>
        <w:t xml:space="preserve">the </w:t>
      </w:r>
      <w:r w:rsidRPr="00842EB1">
        <w:rPr>
          <w:rFonts w:cstheme="minorHAnsi"/>
          <w:i/>
          <w:iCs/>
          <w:color w:val="auto"/>
          <w:sz w:val="24"/>
          <w:szCs w:val="24"/>
        </w:rPr>
        <w:t>Commonwealth price (Pharmaceutical benefits supplied by approved pharmacists)</w:t>
      </w:r>
      <w:r w:rsidRPr="00842EB1">
        <w:rPr>
          <w:rFonts w:cstheme="minorHAnsi"/>
          <w:i/>
          <w:color w:val="auto"/>
          <w:sz w:val="24"/>
          <w:szCs w:val="24"/>
        </w:rPr>
        <w:t xml:space="preserve"> </w:t>
      </w:r>
      <w:r w:rsidRPr="001507E4">
        <w:rPr>
          <w:rFonts w:cstheme="minorHAnsi"/>
          <w:i/>
          <w:color w:val="auto"/>
          <w:sz w:val="24"/>
          <w:szCs w:val="24"/>
        </w:rPr>
        <w:t>Determination 2020</w:t>
      </w:r>
      <w:r w:rsidRPr="001507E4">
        <w:rPr>
          <w:rFonts w:cstheme="minorHAnsi"/>
          <w:color w:val="auto"/>
          <w:sz w:val="24"/>
          <w:szCs w:val="24"/>
        </w:rPr>
        <w:t xml:space="preserve">. </w:t>
      </w:r>
      <w:r w:rsidRPr="001507E4">
        <w:rPr>
          <w:color w:val="auto"/>
          <w:sz w:val="24"/>
        </w:rPr>
        <w:t xml:space="preserve">A </w:t>
      </w:r>
      <w:r w:rsidR="003773F5" w:rsidRPr="001507E4">
        <w:rPr>
          <w:color w:val="auto"/>
          <w:sz w:val="24"/>
        </w:rPr>
        <w:t xml:space="preserve">meeting of the </w:t>
      </w:r>
      <w:r w:rsidR="000248A4" w:rsidRPr="001507E4">
        <w:rPr>
          <w:color w:val="auto"/>
          <w:sz w:val="24"/>
        </w:rPr>
        <w:t xml:space="preserve">PBRT </w:t>
      </w:r>
      <w:r w:rsidRPr="001507E4">
        <w:rPr>
          <w:color w:val="auto"/>
          <w:sz w:val="24"/>
        </w:rPr>
        <w:t xml:space="preserve">will be arranged </w:t>
      </w:r>
      <w:r w:rsidR="000248A4" w:rsidRPr="001507E4">
        <w:rPr>
          <w:rFonts w:cstheme="minorHAnsi"/>
          <w:color w:val="auto"/>
          <w:sz w:val="24"/>
          <w:szCs w:val="24"/>
        </w:rPr>
        <w:t>to give effect to relevant</w:t>
      </w:r>
      <w:r w:rsidR="003773F5" w:rsidRPr="001507E4">
        <w:rPr>
          <w:rFonts w:cstheme="minorHAnsi"/>
          <w:color w:val="auto"/>
          <w:sz w:val="24"/>
          <w:szCs w:val="24"/>
        </w:rPr>
        <w:t xml:space="preserve"> changes to the Commonwealth price consistent with the agreement through</w:t>
      </w:r>
      <w:r w:rsidR="000248A4" w:rsidRPr="001507E4">
        <w:rPr>
          <w:rFonts w:cstheme="minorHAnsi"/>
          <w:color w:val="auto"/>
          <w:sz w:val="24"/>
          <w:szCs w:val="24"/>
        </w:rPr>
        <w:t xml:space="preserve"> </w:t>
      </w:r>
      <w:r w:rsidRPr="001507E4">
        <w:rPr>
          <w:rFonts w:cstheme="minorHAnsi"/>
          <w:color w:val="auto"/>
          <w:sz w:val="24"/>
          <w:szCs w:val="24"/>
        </w:rPr>
        <w:t>the drafted legislative instrument.</w:t>
      </w:r>
    </w:p>
    <w:p w14:paraId="267EACE7" w14:textId="1C0F37E7" w:rsidR="0078025C" w:rsidRPr="001507E4" w:rsidRDefault="0078025C" w:rsidP="0098715E">
      <w:pPr>
        <w:rPr>
          <w:rFonts w:cstheme="minorHAnsi"/>
          <w:color w:val="auto"/>
          <w:sz w:val="24"/>
          <w:szCs w:val="24"/>
        </w:rPr>
      </w:pPr>
      <w:r w:rsidRPr="001507E4">
        <w:rPr>
          <w:rFonts w:cstheme="minorHAnsi"/>
          <w:color w:val="auto"/>
          <w:sz w:val="24"/>
          <w:szCs w:val="24"/>
        </w:rPr>
        <w:t xml:space="preserve">Minor amendments will also be required to the following </w:t>
      </w:r>
      <w:r w:rsidR="008E2B88" w:rsidRPr="001507E4">
        <w:rPr>
          <w:rFonts w:cstheme="minorHAnsi"/>
          <w:color w:val="auto"/>
          <w:sz w:val="24"/>
          <w:szCs w:val="24"/>
        </w:rPr>
        <w:t>legislative</w:t>
      </w:r>
      <w:r w:rsidR="0098715E" w:rsidRPr="001507E4">
        <w:rPr>
          <w:rFonts w:cstheme="minorHAnsi"/>
          <w:color w:val="auto"/>
          <w:sz w:val="24"/>
          <w:szCs w:val="24"/>
        </w:rPr>
        <w:t xml:space="preserve"> </w:t>
      </w:r>
      <w:r w:rsidR="008E2B88" w:rsidRPr="001507E4">
        <w:rPr>
          <w:rFonts w:cstheme="minorHAnsi"/>
          <w:color w:val="auto"/>
          <w:sz w:val="24"/>
          <w:szCs w:val="24"/>
        </w:rPr>
        <w:t>instruments</w:t>
      </w:r>
      <w:r w:rsidR="0098715E" w:rsidRPr="001507E4">
        <w:rPr>
          <w:rFonts w:cstheme="minorHAnsi"/>
          <w:color w:val="auto"/>
          <w:sz w:val="24"/>
          <w:szCs w:val="24"/>
        </w:rPr>
        <w:t xml:space="preserve"> which refer to the 7CPA:</w:t>
      </w:r>
    </w:p>
    <w:p w14:paraId="74AAD614" w14:textId="77777777" w:rsidR="00C5744C" w:rsidRPr="001507E4" w:rsidRDefault="00C5744C" w:rsidP="0095671A">
      <w:pPr>
        <w:pStyle w:val="ListParagraph"/>
        <w:numPr>
          <w:ilvl w:val="0"/>
          <w:numId w:val="42"/>
        </w:numPr>
        <w:rPr>
          <w:rFonts w:cstheme="minorHAnsi"/>
          <w:i/>
          <w:color w:val="auto"/>
          <w:sz w:val="24"/>
          <w:szCs w:val="24"/>
        </w:rPr>
      </w:pPr>
      <w:r w:rsidRPr="001507E4">
        <w:rPr>
          <w:rFonts w:cstheme="minorHAnsi"/>
          <w:i/>
          <w:color w:val="auto"/>
          <w:sz w:val="24"/>
          <w:szCs w:val="24"/>
        </w:rPr>
        <w:t>National Health (Commonwealth Price</w:t>
      </w:r>
      <w:r w:rsidRPr="001507E4">
        <w:rPr>
          <w:rFonts w:cstheme="minorHAnsi" w:hint="eastAsia"/>
          <w:i/>
          <w:color w:val="auto"/>
          <w:sz w:val="24"/>
          <w:szCs w:val="24"/>
        </w:rPr>
        <w:t>—</w:t>
      </w:r>
      <w:r w:rsidRPr="001507E4">
        <w:rPr>
          <w:rFonts w:cstheme="minorHAnsi"/>
          <w:i/>
          <w:color w:val="auto"/>
          <w:sz w:val="24"/>
          <w:szCs w:val="24"/>
        </w:rPr>
        <w:t xml:space="preserve"> Pharmaceutical benefits supplied by private hospitals) Determination 2020</w:t>
      </w:r>
    </w:p>
    <w:p w14:paraId="2523AAE6" w14:textId="77777777" w:rsidR="00C5744C" w:rsidRPr="001507E4" w:rsidRDefault="00C5744C" w:rsidP="0095671A">
      <w:pPr>
        <w:pStyle w:val="ListParagraph"/>
        <w:numPr>
          <w:ilvl w:val="0"/>
          <w:numId w:val="42"/>
        </w:numPr>
        <w:autoSpaceDE w:val="0"/>
        <w:autoSpaceDN w:val="0"/>
        <w:rPr>
          <w:rFonts w:cstheme="minorHAnsi"/>
          <w:i/>
          <w:color w:val="auto"/>
          <w:sz w:val="24"/>
          <w:szCs w:val="24"/>
        </w:rPr>
      </w:pPr>
      <w:r w:rsidRPr="001507E4">
        <w:rPr>
          <w:rFonts w:cstheme="minorHAnsi"/>
          <w:i/>
          <w:color w:val="auto"/>
          <w:sz w:val="24"/>
          <w:szCs w:val="24"/>
        </w:rPr>
        <w:t>National Health (Commonwealth Price</w:t>
      </w:r>
      <w:r w:rsidRPr="001507E4">
        <w:rPr>
          <w:rFonts w:cstheme="minorHAnsi" w:hint="eastAsia"/>
          <w:i/>
          <w:color w:val="auto"/>
          <w:sz w:val="24"/>
          <w:szCs w:val="24"/>
        </w:rPr>
        <w:t>—</w:t>
      </w:r>
      <w:r w:rsidRPr="001507E4">
        <w:rPr>
          <w:rFonts w:cstheme="minorHAnsi"/>
          <w:i/>
          <w:color w:val="auto"/>
          <w:sz w:val="24"/>
          <w:szCs w:val="24"/>
        </w:rPr>
        <w:t>Pharmaceutical Benefits Supplied By Public Hospitals) Determination 2017</w:t>
      </w:r>
    </w:p>
    <w:p w14:paraId="194F672F" w14:textId="5173FE71" w:rsidR="0098715E" w:rsidRPr="001507E4" w:rsidRDefault="0098715E" w:rsidP="0095671A">
      <w:pPr>
        <w:pStyle w:val="ListParagraph"/>
        <w:numPr>
          <w:ilvl w:val="0"/>
          <w:numId w:val="42"/>
        </w:numPr>
        <w:rPr>
          <w:rFonts w:cstheme="minorHAnsi"/>
          <w:i/>
          <w:color w:val="auto"/>
          <w:sz w:val="24"/>
          <w:szCs w:val="24"/>
        </w:rPr>
      </w:pPr>
      <w:r w:rsidRPr="001507E4">
        <w:rPr>
          <w:rFonts w:cstheme="minorHAnsi"/>
          <w:i/>
          <w:color w:val="auto"/>
          <w:sz w:val="24"/>
          <w:szCs w:val="24"/>
        </w:rPr>
        <w:t xml:space="preserve">National Health (Pharmaceutical Benefits) (subsection 84C(7) Price) Determination 2019 </w:t>
      </w:r>
    </w:p>
    <w:p w14:paraId="714D7D13" w14:textId="4E9445E7" w:rsidR="0098715E" w:rsidRPr="001507E4" w:rsidRDefault="0098715E" w:rsidP="0095671A">
      <w:pPr>
        <w:pStyle w:val="ListParagraph"/>
        <w:numPr>
          <w:ilvl w:val="0"/>
          <w:numId w:val="42"/>
        </w:numPr>
        <w:rPr>
          <w:rFonts w:cstheme="minorHAnsi"/>
          <w:i/>
          <w:color w:val="auto"/>
          <w:sz w:val="24"/>
          <w:szCs w:val="24"/>
        </w:rPr>
      </w:pPr>
      <w:r w:rsidRPr="001507E4">
        <w:rPr>
          <w:rFonts w:cstheme="minorHAnsi"/>
          <w:i/>
          <w:color w:val="auto"/>
          <w:sz w:val="24"/>
          <w:szCs w:val="24"/>
        </w:rPr>
        <w:t>National Health (Remote Area Aboriginal Health Services Program) Special Arrangement 2017</w:t>
      </w:r>
    </w:p>
    <w:p w14:paraId="7C4BCD25" w14:textId="3E152E6A" w:rsidR="0098715E" w:rsidRPr="001507E4" w:rsidRDefault="0098715E" w:rsidP="0095671A">
      <w:pPr>
        <w:pStyle w:val="ListParagraph"/>
        <w:numPr>
          <w:ilvl w:val="0"/>
          <w:numId w:val="42"/>
        </w:numPr>
        <w:autoSpaceDE w:val="0"/>
        <w:autoSpaceDN w:val="0"/>
        <w:rPr>
          <w:rFonts w:cstheme="minorHAnsi"/>
          <w:i/>
          <w:color w:val="auto"/>
          <w:sz w:val="24"/>
          <w:szCs w:val="24"/>
        </w:rPr>
      </w:pPr>
      <w:r w:rsidRPr="001507E4">
        <w:rPr>
          <w:rFonts w:cstheme="minorHAnsi"/>
          <w:i/>
          <w:color w:val="auto"/>
          <w:sz w:val="24"/>
          <w:szCs w:val="24"/>
        </w:rPr>
        <w:t>Repatriation Pharmaceutical Benefits Scheme</w:t>
      </w:r>
    </w:p>
    <w:p w14:paraId="2798AB29" w14:textId="11E940A0" w:rsidR="00026E79" w:rsidRPr="001507E4" w:rsidRDefault="00362E6B" w:rsidP="00026E79">
      <w:pPr>
        <w:rPr>
          <w:color w:val="auto"/>
          <w:sz w:val="24"/>
        </w:rPr>
      </w:pPr>
      <w:r w:rsidRPr="001507E4">
        <w:rPr>
          <w:color w:val="auto"/>
          <w:sz w:val="24"/>
        </w:rPr>
        <w:t xml:space="preserve">The </w:t>
      </w:r>
      <w:r w:rsidR="00026E79" w:rsidRPr="001507E4">
        <w:rPr>
          <w:color w:val="auto"/>
          <w:sz w:val="24"/>
        </w:rPr>
        <w:t>Department w</w:t>
      </w:r>
      <w:r w:rsidR="0099532D" w:rsidRPr="001507E4">
        <w:rPr>
          <w:color w:val="auto"/>
          <w:sz w:val="24"/>
        </w:rPr>
        <w:t>ill</w:t>
      </w:r>
      <w:r w:rsidR="00026E79" w:rsidRPr="001507E4">
        <w:rPr>
          <w:color w:val="auto"/>
          <w:sz w:val="24"/>
        </w:rPr>
        <w:t xml:space="preserve"> continue negotiations with </w:t>
      </w:r>
      <w:r w:rsidRPr="001507E4">
        <w:rPr>
          <w:color w:val="auto"/>
          <w:sz w:val="24"/>
        </w:rPr>
        <w:t xml:space="preserve">relevant </w:t>
      </w:r>
      <w:r w:rsidR="00026E79" w:rsidRPr="001507E4">
        <w:rPr>
          <w:color w:val="auto"/>
          <w:sz w:val="24"/>
        </w:rPr>
        <w:t>pharmacy stakeholders</w:t>
      </w:r>
      <w:r w:rsidRPr="001507E4">
        <w:rPr>
          <w:color w:val="auto"/>
          <w:sz w:val="24"/>
        </w:rPr>
        <w:t>, including the Guild,</w:t>
      </w:r>
      <w:r w:rsidR="00026E79" w:rsidRPr="001507E4">
        <w:rPr>
          <w:color w:val="auto"/>
          <w:sz w:val="24"/>
        </w:rPr>
        <w:t xml:space="preserve"> </w:t>
      </w:r>
      <w:r w:rsidRPr="001507E4">
        <w:rPr>
          <w:color w:val="auto"/>
          <w:sz w:val="24"/>
        </w:rPr>
        <w:t>in relation to</w:t>
      </w:r>
      <w:r w:rsidR="00C94099" w:rsidRPr="001507E4">
        <w:rPr>
          <w:color w:val="auto"/>
          <w:sz w:val="24"/>
        </w:rPr>
        <w:t>:</w:t>
      </w:r>
    </w:p>
    <w:p w14:paraId="27F435B2" w14:textId="79A3FBBF" w:rsidR="006C2DD9" w:rsidRPr="009C584F" w:rsidRDefault="00026E79" w:rsidP="009C584F">
      <w:pPr>
        <w:pStyle w:val="ListParagraph"/>
        <w:numPr>
          <w:ilvl w:val="0"/>
          <w:numId w:val="23"/>
        </w:numPr>
        <w:rPr>
          <w:color w:val="auto"/>
          <w:sz w:val="24"/>
        </w:rPr>
      </w:pPr>
      <w:r w:rsidRPr="001507E4">
        <w:rPr>
          <w:color w:val="auto"/>
          <w:sz w:val="24"/>
        </w:rPr>
        <w:t>Arrangements for wholesalers of PBS medicines</w:t>
      </w:r>
      <w:r w:rsidR="006C2DD9">
        <w:rPr>
          <w:color w:val="auto"/>
          <w:sz w:val="24"/>
        </w:rPr>
        <w:t xml:space="preserve"> (primary stakeholder NPSA)</w:t>
      </w:r>
      <w:r w:rsidR="003F19C6">
        <w:rPr>
          <w:color w:val="auto"/>
          <w:sz w:val="24"/>
        </w:rPr>
        <w:t>,</w:t>
      </w:r>
      <w:r w:rsidR="0016563D">
        <w:rPr>
          <w:color w:val="auto"/>
          <w:sz w:val="24"/>
        </w:rPr>
        <w:t xml:space="preserve"> </w:t>
      </w:r>
      <w:r w:rsidR="006C2DD9" w:rsidRPr="009C584F">
        <w:rPr>
          <w:color w:val="auto"/>
          <w:sz w:val="24"/>
        </w:rPr>
        <w:t>including wholesaler mark-up and CSO arrangements</w:t>
      </w:r>
    </w:p>
    <w:p w14:paraId="50D8EB8C" w14:textId="22FDB68A" w:rsidR="00362E6B" w:rsidRDefault="00680690" w:rsidP="0095671A">
      <w:pPr>
        <w:pStyle w:val="ListParagraph"/>
        <w:numPr>
          <w:ilvl w:val="0"/>
          <w:numId w:val="23"/>
        </w:numPr>
        <w:rPr>
          <w:color w:val="auto"/>
          <w:sz w:val="24"/>
        </w:rPr>
      </w:pPr>
      <w:r w:rsidRPr="001507E4">
        <w:rPr>
          <w:color w:val="auto"/>
          <w:sz w:val="24"/>
        </w:rPr>
        <w:t>Review and establishment of e</w:t>
      </w:r>
      <w:r w:rsidR="00362E6B" w:rsidRPr="001507E4">
        <w:rPr>
          <w:color w:val="auto"/>
          <w:sz w:val="24"/>
        </w:rPr>
        <w:t>valuation</w:t>
      </w:r>
      <w:r w:rsidRPr="001507E4">
        <w:rPr>
          <w:color w:val="auto"/>
          <w:sz w:val="24"/>
        </w:rPr>
        <w:t xml:space="preserve"> frameworks for </w:t>
      </w:r>
      <w:r w:rsidR="00362E6B" w:rsidRPr="001507E4">
        <w:rPr>
          <w:color w:val="auto"/>
          <w:sz w:val="24"/>
        </w:rPr>
        <w:t xml:space="preserve">the CPPs </w:t>
      </w:r>
      <w:r w:rsidR="00362E6B">
        <w:rPr>
          <w:color w:val="auto"/>
          <w:sz w:val="24"/>
        </w:rPr>
        <w:t>included in the CPA</w:t>
      </w:r>
      <w:r w:rsidR="006C2DD9">
        <w:rPr>
          <w:color w:val="auto"/>
          <w:sz w:val="24"/>
        </w:rPr>
        <w:t xml:space="preserve"> (primary stakeholders the Guild, PSA and consumer organisations)</w:t>
      </w:r>
      <w:r w:rsidR="0066312E">
        <w:rPr>
          <w:color w:val="auto"/>
          <w:sz w:val="24"/>
        </w:rPr>
        <w:t>, and</w:t>
      </w:r>
    </w:p>
    <w:p w14:paraId="2508C529" w14:textId="139D8405" w:rsidR="00026E79" w:rsidRDefault="003F19C6" w:rsidP="0095671A">
      <w:pPr>
        <w:pStyle w:val="ListParagraph"/>
        <w:numPr>
          <w:ilvl w:val="0"/>
          <w:numId w:val="23"/>
        </w:numPr>
        <w:rPr>
          <w:color w:val="auto"/>
          <w:sz w:val="24"/>
        </w:rPr>
      </w:pPr>
      <w:r>
        <w:rPr>
          <w:color w:val="auto"/>
          <w:sz w:val="24"/>
        </w:rPr>
        <w:t xml:space="preserve">Review of </w:t>
      </w:r>
      <w:r w:rsidR="00026E79" w:rsidRPr="00C20287">
        <w:rPr>
          <w:color w:val="auto"/>
          <w:sz w:val="24"/>
        </w:rPr>
        <w:t>Pharmacy Programs and Clinical Services (existing and new)</w:t>
      </w:r>
      <w:r w:rsidR="00362E6B">
        <w:rPr>
          <w:color w:val="auto"/>
          <w:sz w:val="24"/>
        </w:rPr>
        <w:t xml:space="preserve"> to be delivered outside of the CPA</w:t>
      </w:r>
      <w:r w:rsidR="006C2DD9">
        <w:rPr>
          <w:color w:val="auto"/>
          <w:sz w:val="24"/>
        </w:rPr>
        <w:t xml:space="preserve"> (primary stakeholders PSA and consumer organisations)</w:t>
      </w:r>
      <w:r w:rsidR="00026E79" w:rsidRPr="00C20287">
        <w:rPr>
          <w:color w:val="auto"/>
          <w:sz w:val="24"/>
        </w:rPr>
        <w:t>.</w:t>
      </w:r>
    </w:p>
    <w:p w14:paraId="1AD2FA3D" w14:textId="05895EA2" w:rsidR="005F11DD" w:rsidRDefault="00D52086" w:rsidP="00BE6604">
      <w:pPr>
        <w:rPr>
          <w:color w:val="auto"/>
          <w:sz w:val="24"/>
        </w:rPr>
      </w:pPr>
      <w:r>
        <w:rPr>
          <w:color w:val="auto"/>
          <w:sz w:val="24"/>
        </w:rPr>
        <w:t>Until these further negotiations are finalised</w:t>
      </w:r>
      <w:r w:rsidR="009E7381">
        <w:rPr>
          <w:color w:val="auto"/>
          <w:sz w:val="24"/>
        </w:rPr>
        <w:t xml:space="preserve"> and a future decision of Government</w:t>
      </w:r>
      <w:r>
        <w:rPr>
          <w:color w:val="auto"/>
          <w:sz w:val="24"/>
        </w:rPr>
        <w:t xml:space="preserve"> </w:t>
      </w:r>
      <w:r w:rsidR="002705D9">
        <w:rPr>
          <w:color w:val="auto"/>
          <w:sz w:val="24"/>
        </w:rPr>
        <w:t xml:space="preserve">occurs it is intended that </w:t>
      </w:r>
      <w:r>
        <w:rPr>
          <w:color w:val="auto"/>
          <w:sz w:val="24"/>
        </w:rPr>
        <w:t xml:space="preserve">the existing wholesaler arrangements and CPPs will continue </w:t>
      </w:r>
      <w:r w:rsidR="002705D9">
        <w:rPr>
          <w:color w:val="auto"/>
          <w:sz w:val="24"/>
        </w:rPr>
        <w:t>largely unchanged</w:t>
      </w:r>
      <w:r>
        <w:rPr>
          <w:color w:val="auto"/>
          <w:sz w:val="24"/>
        </w:rPr>
        <w:t>.</w:t>
      </w:r>
      <w:r w:rsidR="002705D9">
        <w:rPr>
          <w:color w:val="auto"/>
          <w:sz w:val="24"/>
        </w:rPr>
        <w:t xml:space="preserve"> </w:t>
      </w:r>
      <w:r w:rsidR="002705D9" w:rsidRPr="00BE6604">
        <w:rPr>
          <w:color w:val="auto"/>
          <w:sz w:val="24"/>
        </w:rPr>
        <w:t xml:space="preserve">To ensure this is possible </w:t>
      </w:r>
      <w:r w:rsidR="009E7381">
        <w:rPr>
          <w:color w:val="auto"/>
          <w:sz w:val="24"/>
        </w:rPr>
        <w:t>t</w:t>
      </w:r>
      <w:r w:rsidR="005B4066">
        <w:rPr>
          <w:color w:val="auto"/>
          <w:sz w:val="24"/>
        </w:rPr>
        <w:t xml:space="preserve">he Department will develop a </w:t>
      </w:r>
      <w:r w:rsidR="005F11DD">
        <w:rPr>
          <w:color w:val="auto"/>
          <w:sz w:val="24"/>
        </w:rPr>
        <w:t xml:space="preserve">suitable </w:t>
      </w:r>
      <w:r w:rsidR="005B4066">
        <w:rPr>
          <w:color w:val="auto"/>
          <w:sz w:val="24"/>
        </w:rPr>
        <w:t xml:space="preserve">service agreement with a third-party administrator for the delivery of </w:t>
      </w:r>
      <w:r w:rsidR="005F11DD">
        <w:rPr>
          <w:color w:val="auto"/>
          <w:sz w:val="24"/>
        </w:rPr>
        <w:t>both the CPPs outlined in the 8CPA and other existing CPPs</w:t>
      </w:r>
      <w:r w:rsidR="005B4066">
        <w:rPr>
          <w:color w:val="auto"/>
          <w:sz w:val="24"/>
        </w:rPr>
        <w:t xml:space="preserve"> </w:t>
      </w:r>
      <w:r w:rsidR="002651AB">
        <w:rPr>
          <w:color w:val="auto"/>
          <w:sz w:val="24"/>
        </w:rPr>
        <w:t>from the</w:t>
      </w:r>
      <w:r w:rsidR="005B4066">
        <w:rPr>
          <w:color w:val="auto"/>
          <w:sz w:val="24"/>
        </w:rPr>
        <w:t xml:space="preserve"> 8CPA’s execution date. </w:t>
      </w:r>
    </w:p>
    <w:p w14:paraId="436A6B8A" w14:textId="4D736F9C" w:rsidR="005F11DD" w:rsidRDefault="005B4066" w:rsidP="00BE6604">
      <w:pPr>
        <w:rPr>
          <w:color w:val="auto"/>
          <w:sz w:val="24"/>
        </w:rPr>
      </w:pPr>
      <w:r>
        <w:rPr>
          <w:color w:val="auto"/>
          <w:sz w:val="24"/>
        </w:rPr>
        <w:t xml:space="preserve">The Department in collaboration </w:t>
      </w:r>
      <w:r w:rsidR="002651AB">
        <w:rPr>
          <w:color w:val="auto"/>
          <w:sz w:val="24"/>
        </w:rPr>
        <w:t xml:space="preserve">with the </w:t>
      </w:r>
      <w:r w:rsidR="00680690">
        <w:rPr>
          <w:color w:val="auto"/>
          <w:sz w:val="24"/>
        </w:rPr>
        <w:t>relevant a</w:t>
      </w:r>
      <w:r w:rsidR="002651AB">
        <w:rPr>
          <w:color w:val="auto"/>
          <w:sz w:val="24"/>
        </w:rPr>
        <w:t xml:space="preserve">dministrator will create and distribute </w:t>
      </w:r>
      <w:r w:rsidR="005F11DD">
        <w:rPr>
          <w:color w:val="auto"/>
          <w:sz w:val="24"/>
        </w:rPr>
        <w:t xml:space="preserve">any </w:t>
      </w:r>
      <w:r w:rsidR="002651AB">
        <w:rPr>
          <w:color w:val="auto"/>
          <w:sz w:val="24"/>
        </w:rPr>
        <w:t>relevant</w:t>
      </w:r>
      <w:r w:rsidR="005F11DD">
        <w:rPr>
          <w:color w:val="auto"/>
          <w:sz w:val="24"/>
        </w:rPr>
        <w:t xml:space="preserve"> updated</w:t>
      </w:r>
      <w:r w:rsidR="002651AB">
        <w:rPr>
          <w:color w:val="auto"/>
          <w:sz w:val="24"/>
        </w:rPr>
        <w:t xml:space="preserve"> program documentation including Programs rules, consent forms and General Terms and Conditions for participation under the programs. </w:t>
      </w:r>
    </w:p>
    <w:p w14:paraId="0F9BEF5C" w14:textId="5E3BCB0C" w:rsidR="005F11DD" w:rsidRDefault="00E55012" w:rsidP="00BE6604">
      <w:pPr>
        <w:rPr>
          <w:color w:val="auto"/>
          <w:sz w:val="24"/>
        </w:rPr>
      </w:pPr>
      <w:r>
        <w:rPr>
          <w:color w:val="auto"/>
          <w:sz w:val="24"/>
        </w:rPr>
        <w:lastRenderedPageBreak/>
        <w:t xml:space="preserve">As soon as an announcement has been </w:t>
      </w:r>
      <w:r w:rsidR="00BE6816">
        <w:rPr>
          <w:color w:val="auto"/>
          <w:sz w:val="24"/>
        </w:rPr>
        <w:t>made t</w:t>
      </w:r>
      <w:r w:rsidR="002651AB">
        <w:rPr>
          <w:color w:val="auto"/>
          <w:sz w:val="24"/>
        </w:rPr>
        <w:t xml:space="preserve">he Department in collaboration with the </w:t>
      </w:r>
      <w:r w:rsidR="00680690">
        <w:rPr>
          <w:color w:val="auto"/>
          <w:sz w:val="24"/>
        </w:rPr>
        <w:t>a</w:t>
      </w:r>
      <w:r w:rsidR="002651AB">
        <w:rPr>
          <w:color w:val="auto"/>
          <w:sz w:val="24"/>
        </w:rPr>
        <w:t xml:space="preserve">dministrator and key pharmacy stakeholders including the </w:t>
      </w:r>
      <w:r w:rsidR="00BE6816">
        <w:rPr>
          <w:color w:val="auto"/>
          <w:sz w:val="24"/>
        </w:rPr>
        <w:t>G</w:t>
      </w:r>
      <w:r w:rsidR="002651AB">
        <w:rPr>
          <w:color w:val="auto"/>
          <w:sz w:val="24"/>
        </w:rPr>
        <w:t>uild, will ensure appropriate communication to notify</w:t>
      </w:r>
      <w:r>
        <w:rPr>
          <w:color w:val="auto"/>
          <w:sz w:val="24"/>
        </w:rPr>
        <w:t xml:space="preserve"> the community, health professionals, pharmacists and consumers </w:t>
      </w:r>
      <w:r w:rsidR="002651AB">
        <w:rPr>
          <w:color w:val="auto"/>
          <w:sz w:val="24"/>
        </w:rPr>
        <w:t>of the commencement of the 8CPA</w:t>
      </w:r>
      <w:r w:rsidR="005F11DD">
        <w:rPr>
          <w:color w:val="auto"/>
          <w:sz w:val="24"/>
        </w:rPr>
        <w:t xml:space="preserve"> and</w:t>
      </w:r>
      <w:r w:rsidR="002651AB">
        <w:rPr>
          <w:color w:val="auto"/>
          <w:sz w:val="24"/>
        </w:rPr>
        <w:t xml:space="preserve"> CPPs</w:t>
      </w:r>
      <w:r w:rsidR="005F11DD">
        <w:rPr>
          <w:color w:val="auto"/>
          <w:sz w:val="24"/>
        </w:rPr>
        <w:t xml:space="preserve"> arrangements</w:t>
      </w:r>
      <w:r w:rsidR="002651AB">
        <w:rPr>
          <w:color w:val="auto"/>
          <w:sz w:val="24"/>
        </w:rPr>
        <w:t xml:space="preserve">.  </w:t>
      </w:r>
    </w:p>
    <w:p w14:paraId="1DE027B1" w14:textId="5913AD8B" w:rsidR="009D1A03" w:rsidRPr="0016563D" w:rsidRDefault="009E7381" w:rsidP="00BE6604">
      <w:pPr>
        <w:pStyle w:val="BodyText"/>
        <w:rPr>
          <w:color w:val="auto"/>
          <w:sz w:val="24"/>
        </w:rPr>
      </w:pPr>
      <w:r w:rsidRPr="009C584F">
        <w:rPr>
          <w:color w:val="auto"/>
          <w:sz w:val="24"/>
        </w:rPr>
        <w:t xml:space="preserve">The Department will continue consultations with </w:t>
      </w:r>
      <w:r w:rsidR="00C04DFF" w:rsidRPr="009C584F">
        <w:rPr>
          <w:color w:val="auto"/>
          <w:sz w:val="24"/>
        </w:rPr>
        <w:t xml:space="preserve">a broad base of </w:t>
      </w:r>
      <w:r w:rsidRPr="009C584F">
        <w:rPr>
          <w:color w:val="auto"/>
          <w:sz w:val="24"/>
        </w:rPr>
        <w:t>stakeholders</w:t>
      </w:r>
      <w:r w:rsidR="00C039F9" w:rsidRPr="009C584F">
        <w:rPr>
          <w:color w:val="auto"/>
          <w:sz w:val="24"/>
        </w:rPr>
        <w:t>, as outlined above,</w:t>
      </w:r>
      <w:r w:rsidRPr="009C584F">
        <w:rPr>
          <w:color w:val="auto"/>
          <w:sz w:val="24"/>
        </w:rPr>
        <w:t xml:space="preserve"> to discuss the ongoing, future delivery of </w:t>
      </w:r>
      <w:r w:rsidR="003A0E13" w:rsidRPr="009C584F">
        <w:rPr>
          <w:color w:val="auto"/>
          <w:sz w:val="24"/>
        </w:rPr>
        <w:t xml:space="preserve">those </w:t>
      </w:r>
      <w:r w:rsidRPr="009C584F">
        <w:rPr>
          <w:color w:val="auto"/>
          <w:sz w:val="24"/>
        </w:rPr>
        <w:t>programs</w:t>
      </w:r>
      <w:r w:rsidR="003A0E13" w:rsidRPr="009C584F">
        <w:rPr>
          <w:color w:val="auto"/>
          <w:sz w:val="24"/>
        </w:rPr>
        <w:t xml:space="preserve"> which are</w:t>
      </w:r>
      <w:r w:rsidRPr="009C584F">
        <w:rPr>
          <w:color w:val="auto"/>
          <w:sz w:val="24"/>
        </w:rPr>
        <w:t xml:space="preserve"> outside of a</w:t>
      </w:r>
      <w:r w:rsidR="00C5744C" w:rsidRPr="009C584F">
        <w:rPr>
          <w:color w:val="auto"/>
          <w:sz w:val="24"/>
        </w:rPr>
        <w:t xml:space="preserve"> CPA</w:t>
      </w:r>
      <w:r w:rsidRPr="009C584F">
        <w:rPr>
          <w:color w:val="auto"/>
          <w:sz w:val="24"/>
        </w:rPr>
        <w:t>.</w:t>
      </w:r>
      <w:r w:rsidR="00BE6816" w:rsidRPr="009C584F">
        <w:rPr>
          <w:color w:val="auto"/>
          <w:sz w:val="24"/>
        </w:rPr>
        <w:t xml:space="preserve"> A review of the CPPs outlined in the 8CPA, including an assessment of their health be</w:t>
      </w:r>
      <w:r w:rsidR="00C5744C" w:rsidRPr="009C584F">
        <w:rPr>
          <w:color w:val="auto"/>
          <w:sz w:val="24"/>
        </w:rPr>
        <w:t>ne</w:t>
      </w:r>
      <w:r w:rsidR="00BE6816" w:rsidRPr="009C584F">
        <w:rPr>
          <w:color w:val="auto"/>
          <w:sz w:val="24"/>
        </w:rPr>
        <w:t>fits and cost effectiveness in con</w:t>
      </w:r>
      <w:r w:rsidR="009D1A03" w:rsidRPr="004323FF">
        <w:rPr>
          <w:color w:val="auto"/>
          <w:sz w:val="24"/>
        </w:rPr>
        <w:t>s</w:t>
      </w:r>
      <w:r w:rsidR="00BE6816" w:rsidRPr="0016563D">
        <w:rPr>
          <w:color w:val="auto"/>
          <w:sz w:val="24"/>
        </w:rPr>
        <w:t>ul</w:t>
      </w:r>
      <w:r w:rsidR="009D1A03" w:rsidRPr="0016563D">
        <w:rPr>
          <w:color w:val="auto"/>
          <w:sz w:val="24"/>
        </w:rPr>
        <w:t>t</w:t>
      </w:r>
      <w:r w:rsidR="00BE6816" w:rsidRPr="0016563D">
        <w:rPr>
          <w:color w:val="auto"/>
          <w:sz w:val="24"/>
        </w:rPr>
        <w:t>ation with relevant stakeholders is expected to be completed by early 2026. Following this review it is expected that a proposal for program redesign and development of suitable evaluation frameworks w</w:t>
      </w:r>
      <w:r w:rsidR="009D1A03" w:rsidRPr="0016563D">
        <w:rPr>
          <w:color w:val="auto"/>
          <w:sz w:val="24"/>
        </w:rPr>
        <w:t>ill be completed by mid-2026.</w:t>
      </w:r>
    </w:p>
    <w:p w14:paraId="7B444322" w14:textId="2EA41F94" w:rsidR="003A0E13" w:rsidRPr="0016563D" w:rsidRDefault="002641C3" w:rsidP="003A0E13">
      <w:pPr>
        <w:rPr>
          <w:color w:val="auto"/>
          <w:sz w:val="24"/>
        </w:rPr>
      </w:pPr>
      <w:r w:rsidRPr="0016563D">
        <w:rPr>
          <w:color w:val="auto"/>
          <w:sz w:val="24"/>
        </w:rPr>
        <w:t xml:space="preserve">The inclusion of CPPs within the CPA creates some risk of there being a reluctance </w:t>
      </w:r>
      <w:r w:rsidR="0066312E">
        <w:rPr>
          <w:color w:val="auto"/>
          <w:sz w:val="24"/>
        </w:rPr>
        <w:t xml:space="preserve">from </w:t>
      </w:r>
      <w:r w:rsidRPr="0016563D">
        <w:rPr>
          <w:color w:val="auto"/>
          <w:sz w:val="24"/>
        </w:rPr>
        <w:t xml:space="preserve">stakeholders to </w:t>
      </w:r>
      <w:r w:rsidR="003A0E13" w:rsidRPr="0016563D">
        <w:rPr>
          <w:color w:val="auto"/>
          <w:sz w:val="24"/>
        </w:rPr>
        <w:t xml:space="preserve">deliver </w:t>
      </w:r>
      <w:r w:rsidRPr="0016563D">
        <w:rPr>
          <w:color w:val="auto"/>
          <w:sz w:val="24"/>
        </w:rPr>
        <w:t>continuous improvement and innovation through those CPPs.</w:t>
      </w:r>
      <w:r w:rsidR="003A0E13" w:rsidRPr="0016563D">
        <w:rPr>
          <w:color w:val="auto"/>
          <w:sz w:val="24"/>
        </w:rPr>
        <w:t xml:space="preserve"> </w:t>
      </w:r>
      <w:r w:rsidRPr="0016563D">
        <w:rPr>
          <w:color w:val="auto"/>
          <w:sz w:val="24"/>
        </w:rPr>
        <w:t>To mitigate this risk under Option</w:t>
      </w:r>
      <w:r w:rsidR="00D07345">
        <w:rPr>
          <w:color w:val="auto"/>
          <w:sz w:val="24"/>
        </w:rPr>
        <w:t xml:space="preserve"> </w:t>
      </w:r>
      <w:r w:rsidRPr="0016563D">
        <w:rPr>
          <w:color w:val="auto"/>
          <w:sz w:val="24"/>
        </w:rPr>
        <w:t xml:space="preserve">3 the 8CPA would include a commitment from both </w:t>
      </w:r>
      <w:r w:rsidR="003A0E13" w:rsidRPr="0016563D">
        <w:rPr>
          <w:color w:val="auto"/>
          <w:sz w:val="24"/>
        </w:rPr>
        <w:t xml:space="preserve">Government </w:t>
      </w:r>
      <w:r w:rsidRPr="0016563D">
        <w:rPr>
          <w:color w:val="auto"/>
          <w:sz w:val="24"/>
        </w:rPr>
        <w:t xml:space="preserve">and the Guild </w:t>
      </w:r>
      <w:r w:rsidR="003A0E13" w:rsidRPr="0016563D">
        <w:rPr>
          <w:color w:val="auto"/>
          <w:sz w:val="24"/>
        </w:rPr>
        <w:t xml:space="preserve">to </w:t>
      </w:r>
      <w:r w:rsidRPr="0016563D">
        <w:rPr>
          <w:color w:val="auto"/>
          <w:sz w:val="24"/>
        </w:rPr>
        <w:t>establish</w:t>
      </w:r>
      <w:r w:rsidR="003A0E13" w:rsidRPr="0016563D">
        <w:rPr>
          <w:color w:val="auto"/>
          <w:sz w:val="24"/>
        </w:rPr>
        <w:t xml:space="preserve"> quality and evaluation </w:t>
      </w:r>
      <w:r w:rsidR="00F9015C" w:rsidRPr="0016563D">
        <w:rPr>
          <w:color w:val="auto"/>
          <w:sz w:val="24"/>
        </w:rPr>
        <w:t xml:space="preserve">frameworks for the </w:t>
      </w:r>
      <w:r w:rsidR="003A0E13" w:rsidRPr="0016563D">
        <w:rPr>
          <w:color w:val="auto"/>
          <w:sz w:val="24"/>
        </w:rPr>
        <w:t xml:space="preserve">CPPs, </w:t>
      </w:r>
      <w:r w:rsidR="00F9015C" w:rsidRPr="0016563D">
        <w:rPr>
          <w:color w:val="auto"/>
          <w:sz w:val="24"/>
        </w:rPr>
        <w:t>within the first 3 years of the CPA.</w:t>
      </w:r>
      <w:r w:rsidR="003A0E13" w:rsidRPr="0016563D">
        <w:rPr>
          <w:color w:val="auto"/>
          <w:sz w:val="24"/>
        </w:rPr>
        <w:t xml:space="preserve"> </w:t>
      </w:r>
    </w:p>
    <w:p w14:paraId="2B6385D4" w14:textId="5C9EE41F" w:rsidR="003A0E13" w:rsidRPr="009C584F" w:rsidRDefault="003A0E13" w:rsidP="0095671A">
      <w:pPr>
        <w:rPr>
          <w:color w:val="auto"/>
          <w:sz w:val="24"/>
        </w:rPr>
      </w:pPr>
      <w:r w:rsidRPr="009C584F">
        <w:rPr>
          <w:color w:val="auto"/>
          <w:sz w:val="24"/>
        </w:rPr>
        <w:t xml:space="preserve">The movement of some </w:t>
      </w:r>
      <w:r w:rsidR="00F9015C" w:rsidRPr="009C584F">
        <w:rPr>
          <w:color w:val="auto"/>
          <w:sz w:val="24"/>
        </w:rPr>
        <w:t xml:space="preserve">smaller </w:t>
      </w:r>
      <w:r w:rsidRPr="009C584F">
        <w:rPr>
          <w:color w:val="auto"/>
          <w:sz w:val="24"/>
        </w:rPr>
        <w:t>pharmacy programs</w:t>
      </w:r>
      <w:r w:rsidR="00F9015C" w:rsidRPr="009C584F">
        <w:rPr>
          <w:color w:val="auto"/>
          <w:sz w:val="24"/>
        </w:rPr>
        <w:t>, which primarily focus on workforce and pharmacists</w:t>
      </w:r>
      <w:r w:rsidR="002E570E" w:rsidRPr="009C584F">
        <w:rPr>
          <w:color w:val="auto"/>
          <w:sz w:val="24"/>
        </w:rPr>
        <w:t xml:space="preserve"> delivering services </w:t>
      </w:r>
      <w:r w:rsidR="00306EC1" w:rsidRPr="009C584F">
        <w:rPr>
          <w:color w:val="auto"/>
          <w:sz w:val="24"/>
        </w:rPr>
        <w:t>in the home or care settings</w:t>
      </w:r>
      <w:r w:rsidR="00F9015C" w:rsidRPr="009C584F">
        <w:rPr>
          <w:color w:val="auto"/>
          <w:sz w:val="24"/>
        </w:rPr>
        <w:t>,</w:t>
      </w:r>
      <w:r w:rsidRPr="009C584F">
        <w:rPr>
          <w:color w:val="auto"/>
          <w:sz w:val="24"/>
        </w:rPr>
        <w:t xml:space="preserve"> outside the auspices of the CPA </w:t>
      </w:r>
      <w:r w:rsidR="00F9015C" w:rsidRPr="009C584F">
        <w:rPr>
          <w:color w:val="auto"/>
          <w:sz w:val="24"/>
        </w:rPr>
        <w:t xml:space="preserve">will further </w:t>
      </w:r>
      <w:r w:rsidRPr="009C584F">
        <w:rPr>
          <w:color w:val="auto"/>
          <w:sz w:val="24"/>
        </w:rPr>
        <w:t>ensure an ongoing reform effort with appropriate broad-based stakeholder consultation</w:t>
      </w:r>
      <w:r w:rsidR="00F9015C" w:rsidRPr="009C584F">
        <w:rPr>
          <w:color w:val="auto"/>
          <w:sz w:val="24"/>
        </w:rPr>
        <w:t xml:space="preserve">. </w:t>
      </w:r>
    </w:p>
    <w:p w14:paraId="2E854506" w14:textId="1BC9C51B" w:rsidR="001372B9" w:rsidRPr="00503676" w:rsidRDefault="001372B9" w:rsidP="00503676">
      <w:r w:rsidRPr="009C584F">
        <w:rPr>
          <w:color w:val="auto"/>
          <w:sz w:val="24"/>
        </w:rPr>
        <w:t xml:space="preserve">The establishment of evaluation frameworks for </w:t>
      </w:r>
      <w:r w:rsidR="00651D1A" w:rsidRPr="009C584F">
        <w:rPr>
          <w:color w:val="auto"/>
          <w:sz w:val="24"/>
        </w:rPr>
        <w:t xml:space="preserve">those </w:t>
      </w:r>
      <w:r w:rsidRPr="009C584F">
        <w:rPr>
          <w:color w:val="auto"/>
          <w:sz w:val="24"/>
        </w:rPr>
        <w:t>individual CPPs outside of the CPA will be reported publicly and will be open to comment and input from interested stakeholders including consumer groups and members of the public. Evaluations of the CPPs undertaken by, or on behalf of, the Department will be published in a timely manner to enable interested parties to provide input into any proposed changes to the program examined. Any changes to existing programs or any new programs will have the details of the program including details of eligibility published by the Department.</w:t>
      </w:r>
    </w:p>
    <w:p w14:paraId="0A29241D" w14:textId="680E72B2" w:rsidR="002E7F10" w:rsidRPr="00BE6604" w:rsidRDefault="009D1A03" w:rsidP="00BE6604">
      <w:pPr>
        <w:pStyle w:val="Heading3"/>
      </w:pPr>
      <w:bookmarkStart w:id="90" w:name="_Toc168652756"/>
      <w:r w:rsidRPr="00BE6604">
        <w:t>C</w:t>
      </w:r>
      <w:r w:rsidR="002E7F10" w:rsidRPr="00BE6604">
        <w:t>ommunications</w:t>
      </w:r>
      <w:bookmarkEnd w:id="90"/>
    </w:p>
    <w:p w14:paraId="72B6649B" w14:textId="6B68E0C6" w:rsidR="00CC422B" w:rsidRDefault="009C0DB6" w:rsidP="00BE6604">
      <w:pPr>
        <w:tabs>
          <w:tab w:val="right" w:pos="10194"/>
        </w:tabs>
        <w:autoSpaceDE w:val="0"/>
        <w:autoSpaceDN w:val="0"/>
        <w:adjustRightInd w:val="0"/>
        <w:spacing w:line="240" w:lineRule="auto"/>
        <w:rPr>
          <w:color w:val="auto"/>
          <w:sz w:val="24"/>
        </w:rPr>
      </w:pPr>
      <w:r w:rsidRPr="00C20287">
        <w:rPr>
          <w:color w:val="auto"/>
          <w:sz w:val="24"/>
        </w:rPr>
        <w:t>The Department</w:t>
      </w:r>
      <w:r w:rsidR="00500574" w:rsidRPr="00C20287">
        <w:rPr>
          <w:color w:val="auto"/>
          <w:sz w:val="24"/>
        </w:rPr>
        <w:t xml:space="preserve"> will</w:t>
      </w:r>
      <w:r w:rsidR="002C5C91" w:rsidRPr="00C20287">
        <w:rPr>
          <w:color w:val="auto"/>
          <w:sz w:val="24"/>
        </w:rPr>
        <w:t xml:space="preserve"> prepare communication materials</w:t>
      </w:r>
      <w:r w:rsidR="00C039F9">
        <w:rPr>
          <w:color w:val="auto"/>
          <w:sz w:val="24"/>
        </w:rPr>
        <w:t>, for consumers and businesses,</w:t>
      </w:r>
      <w:r w:rsidR="002C5C91" w:rsidRPr="00C20287">
        <w:rPr>
          <w:color w:val="auto"/>
          <w:sz w:val="24"/>
        </w:rPr>
        <w:t xml:space="preserve"> to </w:t>
      </w:r>
      <w:r w:rsidR="00CC422B">
        <w:rPr>
          <w:color w:val="auto"/>
          <w:sz w:val="24"/>
        </w:rPr>
        <w:t>outline the ways in which the 8CPA aims to improve o</w:t>
      </w:r>
      <w:r w:rsidR="00806DAB">
        <w:rPr>
          <w:color w:val="auto"/>
          <w:sz w:val="24"/>
        </w:rPr>
        <w:t>n the 7</w:t>
      </w:r>
      <w:r w:rsidR="00CC422B">
        <w:rPr>
          <w:color w:val="auto"/>
          <w:sz w:val="24"/>
        </w:rPr>
        <w:t>CPA</w:t>
      </w:r>
      <w:r w:rsidR="005F11DD">
        <w:rPr>
          <w:color w:val="auto"/>
          <w:sz w:val="24"/>
        </w:rPr>
        <w:t>. This includes</w:t>
      </w:r>
      <w:r w:rsidR="00CC422B">
        <w:rPr>
          <w:color w:val="auto"/>
          <w:sz w:val="24"/>
        </w:rPr>
        <w:t>:</w:t>
      </w:r>
    </w:p>
    <w:p w14:paraId="6742C33D" w14:textId="65FA3DDD" w:rsidR="003F19C6" w:rsidRPr="00BE6604" w:rsidRDefault="003F19C6" w:rsidP="003F19C6">
      <w:pPr>
        <w:pStyle w:val="ListParagraph"/>
        <w:numPr>
          <w:ilvl w:val="0"/>
          <w:numId w:val="40"/>
        </w:numPr>
        <w:tabs>
          <w:tab w:val="right" w:pos="10194"/>
        </w:tabs>
        <w:autoSpaceDE w:val="0"/>
        <w:autoSpaceDN w:val="0"/>
        <w:adjustRightInd w:val="0"/>
        <w:spacing w:line="240" w:lineRule="auto"/>
        <w:rPr>
          <w:color w:val="auto"/>
          <w:sz w:val="24"/>
        </w:rPr>
      </w:pPr>
      <w:r>
        <w:rPr>
          <w:color w:val="auto"/>
          <w:sz w:val="24"/>
        </w:rPr>
        <w:t xml:space="preserve">Continuing to deliver cheaper medicines for consumers </w:t>
      </w:r>
    </w:p>
    <w:p w14:paraId="543A2122" w14:textId="260E910D" w:rsidR="00806DAB" w:rsidRPr="00BE6604" w:rsidRDefault="00070D0F" w:rsidP="0095671A">
      <w:pPr>
        <w:pStyle w:val="ListParagraph"/>
        <w:numPr>
          <w:ilvl w:val="0"/>
          <w:numId w:val="40"/>
        </w:numPr>
        <w:tabs>
          <w:tab w:val="right" w:pos="10194"/>
        </w:tabs>
        <w:autoSpaceDE w:val="0"/>
        <w:autoSpaceDN w:val="0"/>
        <w:adjustRightInd w:val="0"/>
        <w:spacing w:line="240" w:lineRule="auto"/>
        <w:rPr>
          <w:color w:val="auto"/>
          <w:sz w:val="24"/>
        </w:rPr>
      </w:pPr>
      <w:r>
        <w:rPr>
          <w:color w:val="auto"/>
          <w:sz w:val="24"/>
        </w:rPr>
        <w:t xml:space="preserve">Increasing </w:t>
      </w:r>
      <w:r w:rsidR="005F11DD">
        <w:rPr>
          <w:color w:val="auto"/>
          <w:sz w:val="24"/>
        </w:rPr>
        <w:t xml:space="preserve">stakeholder </w:t>
      </w:r>
      <w:r>
        <w:rPr>
          <w:color w:val="auto"/>
          <w:sz w:val="24"/>
        </w:rPr>
        <w:t>engagement</w:t>
      </w:r>
      <w:r w:rsidR="007759B0">
        <w:rPr>
          <w:color w:val="auto"/>
          <w:sz w:val="24"/>
        </w:rPr>
        <w:t xml:space="preserve"> and innovation</w:t>
      </w:r>
      <w:r>
        <w:rPr>
          <w:color w:val="auto"/>
          <w:sz w:val="24"/>
        </w:rPr>
        <w:t xml:space="preserve"> by separating </w:t>
      </w:r>
      <w:r w:rsidR="005F11DD">
        <w:rPr>
          <w:color w:val="auto"/>
          <w:sz w:val="24"/>
        </w:rPr>
        <w:t xml:space="preserve">the </w:t>
      </w:r>
      <w:r>
        <w:rPr>
          <w:color w:val="auto"/>
          <w:sz w:val="24"/>
        </w:rPr>
        <w:t>negotiation</w:t>
      </w:r>
      <w:r w:rsidR="005F11DD">
        <w:rPr>
          <w:color w:val="auto"/>
          <w:sz w:val="24"/>
        </w:rPr>
        <w:t>s for</w:t>
      </w:r>
      <w:r>
        <w:rPr>
          <w:color w:val="auto"/>
          <w:sz w:val="24"/>
        </w:rPr>
        <w:t xml:space="preserve"> wholesaler arrangements and CPPs </w:t>
      </w:r>
      <w:r w:rsidR="003F19C6">
        <w:rPr>
          <w:color w:val="auto"/>
          <w:sz w:val="24"/>
        </w:rPr>
        <w:t xml:space="preserve">not directly delivered by community pharmacy </w:t>
      </w:r>
      <w:r>
        <w:rPr>
          <w:color w:val="auto"/>
          <w:sz w:val="24"/>
        </w:rPr>
        <w:t>from the CPA</w:t>
      </w:r>
      <w:r w:rsidR="0066312E">
        <w:rPr>
          <w:color w:val="auto"/>
          <w:sz w:val="24"/>
        </w:rPr>
        <w:t>, and</w:t>
      </w:r>
      <w:r>
        <w:rPr>
          <w:color w:val="auto"/>
          <w:sz w:val="24"/>
        </w:rPr>
        <w:t xml:space="preserve"> </w:t>
      </w:r>
    </w:p>
    <w:p w14:paraId="3B663AE2" w14:textId="281BB9F7" w:rsidR="00806DAB" w:rsidRPr="00BE6604" w:rsidRDefault="00070D0F" w:rsidP="0095671A">
      <w:pPr>
        <w:pStyle w:val="ListParagraph"/>
        <w:numPr>
          <w:ilvl w:val="0"/>
          <w:numId w:val="40"/>
        </w:numPr>
        <w:tabs>
          <w:tab w:val="right" w:pos="10194"/>
        </w:tabs>
        <w:autoSpaceDE w:val="0"/>
        <w:autoSpaceDN w:val="0"/>
        <w:adjustRightInd w:val="0"/>
        <w:spacing w:line="240" w:lineRule="auto"/>
        <w:rPr>
          <w:color w:val="auto"/>
          <w:sz w:val="24"/>
        </w:rPr>
      </w:pPr>
      <w:r>
        <w:rPr>
          <w:color w:val="auto"/>
          <w:sz w:val="24"/>
        </w:rPr>
        <w:t>Simplifying indexation arrangements</w:t>
      </w:r>
      <w:r w:rsidR="0078025C">
        <w:rPr>
          <w:color w:val="auto"/>
          <w:sz w:val="24"/>
        </w:rPr>
        <w:t xml:space="preserve"> for dispensing costs</w:t>
      </w:r>
      <w:r w:rsidR="00806DAB" w:rsidRPr="00BE6604">
        <w:rPr>
          <w:color w:val="auto"/>
          <w:sz w:val="24"/>
        </w:rPr>
        <w:t xml:space="preserve">. </w:t>
      </w:r>
      <w:r w:rsidR="00CC422B" w:rsidRPr="00BE6604">
        <w:rPr>
          <w:color w:val="auto"/>
          <w:sz w:val="24"/>
        </w:rPr>
        <w:t xml:space="preserve"> </w:t>
      </w:r>
    </w:p>
    <w:p w14:paraId="1CFEA76C" w14:textId="20D80907" w:rsidR="00806DAB" w:rsidRDefault="00806DAB" w:rsidP="00BE6604">
      <w:pPr>
        <w:tabs>
          <w:tab w:val="right" w:pos="10194"/>
        </w:tabs>
        <w:autoSpaceDE w:val="0"/>
        <w:autoSpaceDN w:val="0"/>
        <w:adjustRightInd w:val="0"/>
        <w:spacing w:line="240" w:lineRule="auto"/>
        <w:rPr>
          <w:color w:val="auto"/>
          <w:sz w:val="24"/>
        </w:rPr>
      </w:pPr>
      <w:r>
        <w:rPr>
          <w:color w:val="auto"/>
          <w:sz w:val="24"/>
        </w:rPr>
        <w:t xml:space="preserve">Updates will be made to the websites outlining PBS medicine costs to reflect the changes to pricing as implemented and revised as indexation occurs in line with the agreement. </w:t>
      </w:r>
    </w:p>
    <w:p w14:paraId="7E3CE809" w14:textId="5F1B50D1" w:rsidR="002E7F10" w:rsidRPr="00C20287" w:rsidRDefault="00806DAB" w:rsidP="00BE6604">
      <w:pPr>
        <w:tabs>
          <w:tab w:val="right" w:pos="10194"/>
        </w:tabs>
        <w:autoSpaceDE w:val="0"/>
        <w:autoSpaceDN w:val="0"/>
        <w:adjustRightInd w:val="0"/>
        <w:spacing w:line="240" w:lineRule="auto"/>
        <w:rPr>
          <w:color w:val="auto"/>
          <w:sz w:val="24"/>
        </w:rPr>
      </w:pPr>
      <w:r>
        <w:rPr>
          <w:color w:val="auto"/>
          <w:sz w:val="24"/>
        </w:rPr>
        <w:t>Further communications with key s</w:t>
      </w:r>
      <w:r w:rsidR="004B23B1" w:rsidRPr="00C20287">
        <w:rPr>
          <w:color w:val="auto"/>
          <w:sz w:val="24"/>
        </w:rPr>
        <w:t>takeholder</w:t>
      </w:r>
      <w:r w:rsidR="0066312E">
        <w:rPr>
          <w:color w:val="auto"/>
          <w:sz w:val="24"/>
        </w:rPr>
        <w:t>s</w:t>
      </w:r>
      <w:r w:rsidR="004B23B1" w:rsidRPr="00C20287">
        <w:rPr>
          <w:color w:val="auto"/>
          <w:sz w:val="24"/>
        </w:rPr>
        <w:t xml:space="preserve"> will </w:t>
      </w:r>
      <w:r>
        <w:rPr>
          <w:color w:val="auto"/>
          <w:sz w:val="24"/>
        </w:rPr>
        <w:t xml:space="preserve">be developed to </w:t>
      </w:r>
      <w:r w:rsidR="00BE6816">
        <w:rPr>
          <w:color w:val="auto"/>
          <w:sz w:val="24"/>
        </w:rPr>
        <w:t xml:space="preserve">outline </w:t>
      </w:r>
      <w:r w:rsidR="004B23B1" w:rsidRPr="00C20287">
        <w:rPr>
          <w:color w:val="auto"/>
          <w:sz w:val="24"/>
        </w:rPr>
        <w:t xml:space="preserve">the ongoing opportunities to contribute to the </w:t>
      </w:r>
      <w:r>
        <w:rPr>
          <w:color w:val="auto"/>
          <w:sz w:val="24"/>
        </w:rPr>
        <w:t>review an</w:t>
      </w:r>
      <w:r w:rsidR="00C5744C">
        <w:rPr>
          <w:color w:val="auto"/>
          <w:sz w:val="24"/>
        </w:rPr>
        <w:t>d</w:t>
      </w:r>
      <w:r>
        <w:rPr>
          <w:color w:val="auto"/>
          <w:sz w:val="24"/>
        </w:rPr>
        <w:t xml:space="preserve"> evaluation of CPPs and </w:t>
      </w:r>
      <w:r w:rsidR="004B23B1" w:rsidRPr="00C20287">
        <w:rPr>
          <w:color w:val="auto"/>
          <w:sz w:val="24"/>
        </w:rPr>
        <w:t>encoura</w:t>
      </w:r>
      <w:r w:rsidR="00BE6816">
        <w:rPr>
          <w:color w:val="auto"/>
          <w:sz w:val="24"/>
        </w:rPr>
        <w:t>ge</w:t>
      </w:r>
      <w:r w:rsidR="004B23B1" w:rsidRPr="00C20287">
        <w:rPr>
          <w:color w:val="auto"/>
          <w:sz w:val="24"/>
        </w:rPr>
        <w:t xml:space="preserve"> b</w:t>
      </w:r>
      <w:r w:rsidR="00C5744C">
        <w:rPr>
          <w:color w:val="auto"/>
          <w:sz w:val="24"/>
        </w:rPr>
        <w:t>r</w:t>
      </w:r>
      <w:r w:rsidR="004B23B1" w:rsidRPr="00C20287">
        <w:rPr>
          <w:color w:val="auto"/>
          <w:sz w:val="24"/>
        </w:rPr>
        <w:t xml:space="preserve">oad participation in this </w:t>
      </w:r>
      <w:r w:rsidR="00BE6816">
        <w:rPr>
          <w:color w:val="auto"/>
          <w:sz w:val="24"/>
        </w:rPr>
        <w:t xml:space="preserve">future </w:t>
      </w:r>
      <w:r w:rsidR="004B23B1" w:rsidRPr="00C20287">
        <w:rPr>
          <w:color w:val="auto"/>
          <w:sz w:val="24"/>
        </w:rPr>
        <w:t xml:space="preserve">work program. </w:t>
      </w:r>
    </w:p>
    <w:p w14:paraId="729AF960" w14:textId="09614BDA" w:rsidR="009C0DB6" w:rsidRPr="00C20287" w:rsidRDefault="009C0DB6" w:rsidP="000A224A">
      <w:pPr>
        <w:pStyle w:val="Heading2"/>
        <w:pageBreakBefore/>
      </w:pPr>
      <w:bookmarkStart w:id="91" w:name="_Toc132192315"/>
      <w:bookmarkStart w:id="92" w:name="_Toc168652757"/>
      <w:r w:rsidRPr="00C20287">
        <w:lastRenderedPageBreak/>
        <w:t>7. How will you evaluate the chosen option against the success metrics?</w:t>
      </w:r>
      <w:bookmarkEnd w:id="91"/>
      <w:bookmarkEnd w:id="92"/>
    </w:p>
    <w:p w14:paraId="2A6AFD70" w14:textId="0DBD00EF" w:rsidR="00C3397E" w:rsidRPr="00C20287" w:rsidRDefault="009C0DB6" w:rsidP="0016563D">
      <w:pPr>
        <w:tabs>
          <w:tab w:val="right" w:pos="10194"/>
        </w:tabs>
        <w:autoSpaceDE w:val="0"/>
        <w:autoSpaceDN w:val="0"/>
        <w:adjustRightInd w:val="0"/>
        <w:rPr>
          <w:rFonts w:cstheme="minorHAnsi"/>
          <w:color w:val="auto"/>
          <w:sz w:val="24"/>
          <w:szCs w:val="24"/>
        </w:rPr>
      </w:pPr>
      <w:r w:rsidRPr="00C20287">
        <w:rPr>
          <w:color w:val="auto"/>
          <w:sz w:val="24"/>
        </w:rPr>
        <w:t xml:space="preserve">The Department </w:t>
      </w:r>
      <w:r w:rsidR="00C32DCE" w:rsidRPr="00C20287">
        <w:rPr>
          <w:rFonts w:cstheme="minorHAnsi"/>
          <w:color w:val="auto"/>
          <w:sz w:val="24"/>
          <w:szCs w:val="24"/>
        </w:rPr>
        <w:t>will develop</w:t>
      </w:r>
      <w:r w:rsidRPr="00C20287">
        <w:rPr>
          <w:color w:val="auto"/>
          <w:sz w:val="24"/>
        </w:rPr>
        <w:t xml:space="preserve"> a comprehensive evaluation framework that </w:t>
      </w:r>
      <w:r w:rsidR="00C32DCE" w:rsidRPr="00C20287">
        <w:rPr>
          <w:rFonts w:cstheme="minorHAnsi"/>
          <w:color w:val="auto"/>
          <w:sz w:val="24"/>
          <w:szCs w:val="24"/>
        </w:rPr>
        <w:t xml:space="preserve">will monitor risks and provide mitigation strategies should unforeseen circumstances arise. </w:t>
      </w:r>
    </w:p>
    <w:p w14:paraId="260581F3" w14:textId="66E5368B" w:rsidR="00CB0710" w:rsidRDefault="00CB0710" w:rsidP="009864C2">
      <w:pPr>
        <w:pStyle w:val="Heading3"/>
      </w:pPr>
      <w:bookmarkStart w:id="93" w:name="_Toc168652758"/>
      <w:bookmarkStart w:id="94" w:name="_Toc132192316"/>
      <w:r>
        <w:t>Evaluation questions</w:t>
      </w:r>
      <w:bookmarkEnd w:id="93"/>
    </w:p>
    <w:p w14:paraId="026A62E5" w14:textId="327DA3F4" w:rsidR="00CB0710" w:rsidRPr="0016563D" w:rsidRDefault="00CB0710" w:rsidP="0016563D">
      <w:pPr>
        <w:pStyle w:val="BodyText"/>
        <w:rPr>
          <w:color w:val="auto"/>
          <w:sz w:val="24"/>
        </w:rPr>
      </w:pPr>
      <w:r w:rsidRPr="0016563D">
        <w:rPr>
          <w:color w:val="auto"/>
          <w:sz w:val="24"/>
        </w:rPr>
        <w:t>To aid in the evaluation of the 8CPA</w:t>
      </w:r>
      <w:r>
        <w:rPr>
          <w:color w:val="auto"/>
          <w:sz w:val="24"/>
        </w:rPr>
        <w:t xml:space="preserve"> the Department will consider the following key </w:t>
      </w:r>
      <w:r w:rsidR="00B65F8A">
        <w:rPr>
          <w:color w:val="auto"/>
          <w:sz w:val="24"/>
        </w:rPr>
        <w:t>questions:</w:t>
      </w:r>
    </w:p>
    <w:p w14:paraId="50B48DD2" w14:textId="43DF1CE8" w:rsidR="00CB0710" w:rsidRPr="0016563D" w:rsidRDefault="00CB0710" w:rsidP="0016563D">
      <w:pPr>
        <w:pStyle w:val="CommentText"/>
        <w:numPr>
          <w:ilvl w:val="0"/>
          <w:numId w:val="45"/>
        </w:numPr>
        <w:rPr>
          <w:color w:val="auto"/>
          <w:sz w:val="24"/>
        </w:rPr>
      </w:pPr>
      <w:r w:rsidRPr="0016563D">
        <w:rPr>
          <w:color w:val="auto"/>
          <w:sz w:val="24"/>
        </w:rPr>
        <w:t xml:space="preserve">How has the policy made things better for people in Australia? </w:t>
      </w:r>
    </w:p>
    <w:p w14:paraId="39B1965E" w14:textId="1E82D86C" w:rsidR="00CB0710" w:rsidRPr="0016563D" w:rsidRDefault="00CB0710" w:rsidP="00CB0710">
      <w:pPr>
        <w:pStyle w:val="CommentText"/>
        <w:numPr>
          <w:ilvl w:val="0"/>
          <w:numId w:val="45"/>
        </w:numPr>
        <w:rPr>
          <w:color w:val="auto"/>
          <w:sz w:val="24"/>
        </w:rPr>
      </w:pPr>
      <w:r w:rsidRPr="0016563D">
        <w:rPr>
          <w:color w:val="auto"/>
          <w:sz w:val="24"/>
        </w:rPr>
        <w:t xml:space="preserve">Was the policy effective </w:t>
      </w:r>
      <w:r w:rsidRPr="00CB0710">
        <w:rPr>
          <w:color w:val="auto"/>
          <w:sz w:val="24"/>
        </w:rPr>
        <w:t>in</w:t>
      </w:r>
      <w:r>
        <w:rPr>
          <w:color w:val="auto"/>
          <w:sz w:val="24"/>
        </w:rPr>
        <w:t xml:space="preserve"> supporting the objectives of the NMP</w:t>
      </w:r>
      <w:r w:rsidRPr="0016563D">
        <w:rPr>
          <w:color w:val="auto"/>
          <w:sz w:val="24"/>
        </w:rPr>
        <w:t xml:space="preserve">? </w:t>
      </w:r>
    </w:p>
    <w:p w14:paraId="6CE26F42" w14:textId="43DEB77B" w:rsidR="00CB0710" w:rsidRPr="0016563D" w:rsidRDefault="00CB0710" w:rsidP="00CB0710">
      <w:pPr>
        <w:pStyle w:val="CommentText"/>
        <w:numPr>
          <w:ilvl w:val="0"/>
          <w:numId w:val="45"/>
        </w:numPr>
        <w:rPr>
          <w:color w:val="auto"/>
          <w:sz w:val="24"/>
        </w:rPr>
      </w:pPr>
      <w:r w:rsidRPr="0016563D">
        <w:rPr>
          <w:color w:val="auto"/>
          <w:sz w:val="24"/>
        </w:rPr>
        <w:t xml:space="preserve">Was the policy efficient (i.e. did it achieve its outcomes at least cost)? </w:t>
      </w:r>
    </w:p>
    <w:p w14:paraId="7AA63ACD" w14:textId="6EFDF375" w:rsidR="00B65F8A" w:rsidRPr="0016563D" w:rsidRDefault="00B65F8A" w:rsidP="0016563D">
      <w:pPr>
        <w:tabs>
          <w:tab w:val="right" w:pos="10194"/>
        </w:tabs>
        <w:autoSpaceDE w:val="0"/>
        <w:autoSpaceDN w:val="0"/>
        <w:adjustRightInd w:val="0"/>
        <w:rPr>
          <w:color w:val="auto"/>
          <w:sz w:val="24"/>
        </w:rPr>
      </w:pPr>
      <w:r>
        <w:rPr>
          <w:color w:val="auto"/>
          <w:sz w:val="24"/>
        </w:rPr>
        <w:t xml:space="preserve">The mechanisms through which such evaluation will be achieved are further outlined below </w:t>
      </w:r>
      <w:r>
        <w:rPr>
          <w:rFonts w:cstheme="minorHAnsi"/>
          <w:color w:val="auto"/>
          <w:sz w:val="24"/>
          <w:szCs w:val="24"/>
        </w:rPr>
        <w:t xml:space="preserve">in </w:t>
      </w:r>
      <w:r w:rsidRPr="00C20287">
        <w:rPr>
          <w:rFonts w:cstheme="minorHAnsi"/>
          <w:color w:val="auto"/>
          <w:sz w:val="24"/>
          <w:szCs w:val="24"/>
        </w:rPr>
        <w:t>align</w:t>
      </w:r>
      <w:r>
        <w:rPr>
          <w:rFonts w:cstheme="minorHAnsi"/>
          <w:color w:val="auto"/>
          <w:sz w:val="24"/>
          <w:szCs w:val="24"/>
        </w:rPr>
        <w:t>ment</w:t>
      </w:r>
      <w:r w:rsidRPr="00C20287">
        <w:rPr>
          <w:rFonts w:cstheme="minorHAnsi"/>
          <w:color w:val="auto"/>
          <w:sz w:val="24"/>
          <w:szCs w:val="24"/>
        </w:rPr>
        <w:t xml:space="preserve"> with the objectives</w:t>
      </w:r>
      <w:r>
        <w:rPr>
          <w:rFonts w:cstheme="minorHAnsi"/>
          <w:color w:val="auto"/>
          <w:sz w:val="24"/>
          <w:szCs w:val="24"/>
        </w:rPr>
        <w:t xml:space="preserve"> of Government </w:t>
      </w:r>
      <w:r w:rsidRPr="00C20287">
        <w:rPr>
          <w:rFonts w:cstheme="minorHAnsi"/>
          <w:color w:val="auto"/>
          <w:sz w:val="24"/>
          <w:szCs w:val="24"/>
        </w:rPr>
        <w:t xml:space="preserve">underpinning this proposal </w:t>
      </w:r>
      <w:r>
        <w:rPr>
          <w:rFonts w:cstheme="minorHAnsi"/>
          <w:color w:val="auto"/>
          <w:sz w:val="24"/>
          <w:szCs w:val="24"/>
        </w:rPr>
        <w:t>as</w:t>
      </w:r>
      <w:r w:rsidRPr="00C20287">
        <w:rPr>
          <w:rFonts w:cstheme="minorHAnsi"/>
          <w:color w:val="auto"/>
          <w:sz w:val="24"/>
          <w:szCs w:val="24"/>
        </w:rPr>
        <w:t xml:space="preserve"> </w:t>
      </w:r>
      <w:r>
        <w:rPr>
          <w:rFonts w:cstheme="minorHAnsi"/>
          <w:color w:val="auto"/>
          <w:sz w:val="24"/>
          <w:szCs w:val="24"/>
        </w:rPr>
        <w:t>outlined in section 2.</w:t>
      </w:r>
    </w:p>
    <w:p w14:paraId="20D2AE82" w14:textId="1C4C61E2" w:rsidR="009864C2" w:rsidRPr="00C20287" w:rsidRDefault="00B73E22" w:rsidP="009864C2">
      <w:pPr>
        <w:pStyle w:val="Heading3"/>
      </w:pPr>
      <w:bookmarkStart w:id="95" w:name="_Toc168652759"/>
      <w:r>
        <w:t>E</w:t>
      </w:r>
      <w:r w:rsidR="009864C2" w:rsidRPr="00C20287">
        <w:t>valuation framework</w:t>
      </w:r>
      <w:bookmarkEnd w:id="94"/>
      <w:r w:rsidR="00B65F8A">
        <w:t xml:space="preserve"> for CPPs</w:t>
      </w:r>
      <w:bookmarkEnd w:id="95"/>
    </w:p>
    <w:p w14:paraId="3B7C58DE" w14:textId="1E63D5E0" w:rsidR="005F602D" w:rsidRDefault="00BC2F61" w:rsidP="00714419">
      <w:pPr>
        <w:pStyle w:val="BodyText"/>
        <w:rPr>
          <w:color w:val="auto"/>
          <w:sz w:val="24"/>
        </w:rPr>
      </w:pPr>
      <w:r>
        <w:rPr>
          <w:color w:val="auto"/>
          <w:sz w:val="24"/>
        </w:rPr>
        <w:t xml:space="preserve">It is proposed that </w:t>
      </w:r>
      <w:r w:rsidRPr="009C584F">
        <w:rPr>
          <w:color w:val="auto"/>
          <w:sz w:val="24"/>
        </w:rPr>
        <w:t>t</w:t>
      </w:r>
      <w:r w:rsidR="005F602D" w:rsidRPr="009C584F">
        <w:rPr>
          <w:color w:val="auto"/>
          <w:sz w:val="24"/>
        </w:rPr>
        <w:t xml:space="preserve">he </w:t>
      </w:r>
      <w:r w:rsidR="00306EC1" w:rsidRPr="0016563D">
        <w:rPr>
          <w:color w:val="auto"/>
          <w:sz w:val="24"/>
        </w:rPr>
        <w:t>8CPA</w:t>
      </w:r>
      <w:r w:rsidR="005F602D" w:rsidRPr="009C584F">
        <w:rPr>
          <w:color w:val="auto"/>
          <w:sz w:val="24"/>
        </w:rPr>
        <w:t xml:space="preserve"> </w:t>
      </w:r>
      <w:r w:rsidRPr="009C584F">
        <w:rPr>
          <w:color w:val="auto"/>
          <w:sz w:val="24"/>
        </w:rPr>
        <w:t>includes a</w:t>
      </w:r>
      <w:r>
        <w:rPr>
          <w:color w:val="auto"/>
          <w:sz w:val="24"/>
        </w:rPr>
        <w:t xml:space="preserve"> commitment </w:t>
      </w:r>
      <w:r w:rsidR="005F602D">
        <w:rPr>
          <w:color w:val="auto"/>
          <w:sz w:val="24"/>
        </w:rPr>
        <w:t xml:space="preserve">to the development, in collaboration with the key stakeholders, of evaluation frameworks for all </w:t>
      </w:r>
      <w:r w:rsidR="00CB0710">
        <w:rPr>
          <w:color w:val="auto"/>
          <w:sz w:val="24"/>
        </w:rPr>
        <w:t xml:space="preserve">CPPs outlined in </w:t>
      </w:r>
      <w:r w:rsidR="005F602D">
        <w:rPr>
          <w:color w:val="auto"/>
          <w:sz w:val="24"/>
        </w:rPr>
        <w:t xml:space="preserve">the 8CPA. This process will formally begin with the signing of the 8CPA. </w:t>
      </w:r>
    </w:p>
    <w:p w14:paraId="4447431C" w14:textId="6FC1287F" w:rsidR="005F602D" w:rsidRPr="00C20287" w:rsidRDefault="005F602D" w:rsidP="00714419">
      <w:pPr>
        <w:pStyle w:val="BodyText"/>
        <w:rPr>
          <w:rFonts w:cstheme="minorHAnsi"/>
          <w:color w:val="0D0D0D" w:themeColor="text1" w:themeTint="F2"/>
          <w:sz w:val="24"/>
          <w:szCs w:val="24"/>
        </w:rPr>
      </w:pPr>
      <w:r>
        <w:rPr>
          <w:color w:val="auto"/>
          <w:sz w:val="24"/>
        </w:rPr>
        <w:t>The Department expects this process to conclude by mid-2026, noting the need for timely delivery of quality evaluation frameworks</w:t>
      </w:r>
      <w:r w:rsidR="001A02D4">
        <w:rPr>
          <w:color w:val="auto"/>
          <w:sz w:val="24"/>
        </w:rPr>
        <w:t xml:space="preserve"> to inform future Government decision-making on funding and reform options for these programs</w:t>
      </w:r>
      <w:r w:rsidR="00306EC1">
        <w:rPr>
          <w:color w:val="auto"/>
          <w:sz w:val="24"/>
        </w:rPr>
        <w:t xml:space="preserve"> as may be part of a further CPA negotiation</w:t>
      </w:r>
      <w:r>
        <w:rPr>
          <w:color w:val="auto"/>
          <w:sz w:val="24"/>
        </w:rPr>
        <w:t xml:space="preserve">. </w:t>
      </w:r>
      <w:r w:rsidRPr="00C20287">
        <w:rPr>
          <w:rFonts w:cstheme="minorHAnsi"/>
          <w:color w:val="0D0D0D" w:themeColor="text1" w:themeTint="F2"/>
          <w:sz w:val="24"/>
          <w:szCs w:val="24"/>
        </w:rPr>
        <w:t>This would bring the</w:t>
      </w:r>
      <w:r w:rsidR="001A02D4">
        <w:rPr>
          <w:rFonts w:cstheme="minorHAnsi"/>
          <w:color w:val="0D0D0D" w:themeColor="text1" w:themeTint="F2"/>
          <w:sz w:val="24"/>
          <w:szCs w:val="24"/>
        </w:rPr>
        <w:t xml:space="preserve"> relevant</w:t>
      </w:r>
      <w:r w:rsidRPr="00C20287">
        <w:rPr>
          <w:rFonts w:cstheme="minorHAnsi"/>
          <w:color w:val="0D0D0D" w:themeColor="text1" w:themeTint="F2"/>
          <w:sz w:val="24"/>
          <w:szCs w:val="24"/>
        </w:rPr>
        <w:t xml:space="preserve"> programs into line with best government practice where regular reviews of government funded programs ensure these demonstrate the effective and efficient use of government resources under the</w:t>
      </w:r>
      <w:r w:rsidR="0066312E">
        <w:rPr>
          <w:rFonts w:cstheme="minorHAnsi"/>
          <w:color w:val="0D0D0D" w:themeColor="text1" w:themeTint="F2"/>
          <w:sz w:val="24"/>
          <w:szCs w:val="24"/>
        </w:rPr>
        <w:t xml:space="preserve"> PGPA Act</w:t>
      </w:r>
      <w:r w:rsidR="00CB0710">
        <w:rPr>
          <w:rFonts w:cstheme="minorHAnsi"/>
          <w:i/>
          <w:color w:val="0D0D0D" w:themeColor="text1" w:themeTint="F2"/>
          <w:sz w:val="24"/>
          <w:szCs w:val="24"/>
        </w:rPr>
        <w:t>.</w:t>
      </w:r>
      <w:r w:rsidRPr="00C20287">
        <w:rPr>
          <w:rStyle w:val="FootnoteReference"/>
          <w:rFonts w:cstheme="minorHAnsi"/>
          <w:i/>
          <w:color w:val="0D0D0D" w:themeColor="text1" w:themeTint="F2"/>
          <w:sz w:val="24"/>
          <w:szCs w:val="24"/>
        </w:rPr>
        <w:footnoteReference w:id="76"/>
      </w:r>
      <w:r w:rsidRPr="00C20287">
        <w:rPr>
          <w:rFonts w:cstheme="minorHAnsi"/>
          <w:color w:val="0D0D0D" w:themeColor="text1" w:themeTint="F2"/>
          <w:sz w:val="24"/>
          <w:szCs w:val="24"/>
        </w:rPr>
        <w:t xml:space="preserve">, </w:t>
      </w:r>
      <w:r w:rsidR="00CB0710">
        <w:rPr>
          <w:rFonts w:cstheme="minorHAnsi"/>
          <w:color w:val="0D0D0D" w:themeColor="text1" w:themeTint="F2"/>
          <w:sz w:val="24"/>
          <w:szCs w:val="24"/>
        </w:rPr>
        <w:t>T</w:t>
      </w:r>
      <w:r w:rsidRPr="00C20287">
        <w:rPr>
          <w:rFonts w:cstheme="minorHAnsi"/>
          <w:color w:val="0D0D0D" w:themeColor="text1" w:themeTint="F2"/>
          <w:sz w:val="24"/>
          <w:szCs w:val="24"/>
        </w:rPr>
        <w:t>he Government is not restricted by negotiated commitments in its ability to evaluate and improve the operation of publicly funded programs, with the interests of the Australian community at the centre.</w:t>
      </w:r>
    </w:p>
    <w:p w14:paraId="7857F11B" w14:textId="65E9C4B3" w:rsidR="00E94904" w:rsidRDefault="00856E1A" w:rsidP="0016563D">
      <w:pPr>
        <w:tabs>
          <w:tab w:val="right" w:pos="10194"/>
        </w:tabs>
        <w:autoSpaceDE w:val="0"/>
        <w:autoSpaceDN w:val="0"/>
        <w:adjustRightInd w:val="0"/>
        <w:rPr>
          <w:color w:val="auto"/>
          <w:sz w:val="24"/>
        </w:rPr>
      </w:pPr>
      <w:r>
        <w:rPr>
          <w:color w:val="auto"/>
          <w:sz w:val="24"/>
        </w:rPr>
        <w:t xml:space="preserve">The evaluation framework development process will begin with the development of a data collection methodology, which will rely on both existing and new forms of data collection as agreed with industry stakeholders. </w:t>
      </w:r>
      <w:r w:rsidRPr="00856E1A">
        <w:rPr>
          <w:color w:val="auto"/>
          <w:sz w:val="24"/>
        </w:rPr>
        <w:t>Data for relevant pharmacy programs</w:t>
      </w:r>
      <w:r w:rsidR="00CB0710">
        <w:rPr>
          <w:color w:val="auto"/>
          <w:sz w:val="24"/>
        </w:rPr>
        <w:t xml:space="preserve"> </w:t>
      </w:r>
      <w:r w:rsidR="00D07345">
        <w:rPr>
          <w:color w:val="auto"/>
          <w:sz w:val="24"/>
        </w:rPr>
        <w:t>are</w:t>
      </w:r>
      <w:r w:rsidRPr="00856E1A">
        <w:rPr>
          <w:color w:val="auto"/>
          <w:sz w:val="24"/>
        </w:rPr>
        <w:t xml:space="preserve"> monitored and</w:t>
      </w:r>
      <w:r w:rsidR="00306EC1">
        <w:rPr>
          <w:color w:val="auto"/>
          <w:sz w:val="24"/>
        </w:rPr>
        <w:t xml:space="preserve"> </w:t>
      </w:r>
      <w:r w:rsidRPr="00856E1A">
        <w:rPr>
          <w:color w:val="auto"/>
          <w:sz w:val="24"/>
        </w:rPr>
        <w:t xml:space="preserve">published monthly on the Department’s website. The data </w:t>
      </w:r>
      <w:r w:rsidR="00CB0710">
        <w:rPr>
          <w:color w:val="auto"/>
          <w:sz w:val="24"/>
        </w:rPr>
        <w:t xml:space="preserve">currently </w:t>
      </w:r>
      <w:r w:rsidRPr="00856E1A">
        <w:rPr>
          <w:color w:val="auto"/>
          <w:sz w:val="24"/>
        </w:rPr>
        <w:t>available largely relate to volumes and expenditure and while this provides some insight to the need for such programs, further improvements could be made by developing and implementing approaches to monitor and evaluate the health outcomes achieved through each of the programs.</w:t>
      </w:r>
      <w:r>
        <w:rPr>
          <w:color w:val="auto"/>
          <w:sz w:val="24"/>
        </w:rPr>
        <w:t xml:space="preserve"> By making </w:t>
      </w:r>
      <w:r w:rsidR="00D30940">
        <w:rPr>
          <w:color w:val="auto"/>
          <w:sz w:val="24"/>
        </w:rPr>
        <w:t xml:space="preserve">consideration of </w:t>
      </w:r>
      <w:r>
        <w:rPr>
          <w:color w:val="auto"/>
          <w:sz w:val="24"/>
        </w:rPr>
        <w:t xml:space="preserve">these improvements </w:t>
      </w:r>
      <w:r w:rsidR="00D30940">
        <w:rPr>
          <w:color w:val="auto"/>
          <w:sz w:val="24"/>
        </w:rPr>
        <w:t xml:space="preserve">a part of an </w:t>
      </w:r>
      <w:r>
        <w:rPr>
          <w:color w:val="auto"/>
          <w:sz w:val="24"/>
        </w:rPr>
        <w:t xml:space="preserve">8CPA, the Department </w:t>
      </w:r>
      <w:r w:rsidR="00D30940">
        <w:rPr>
          <w:color w:val="auto"/>
          <w:sz w:val="24"/>
        </w:rPr>
        <w:t xml:space="preserve">and the Guild can facilitate </w:t>
      </w:r>
      <w:r>
        <w:rPr>
          <w:color w:val="auto"/>
          <w:sz w:val="24"/>
        </w:rPr>
        <w:t>participation from the necessary stakeholders to inform the development of additional data collection processes that are both efficient and not overly onerous for the pharmacist.</w:t>
      </w:r>
    </w:p>
    <w:p w14:paraId="0127D8F0" w14:textId="1A38C06E" w:rsidR="00E94904" w:rsidRDefault="00E94904" w:rsidP="0016563D">
      <w:pPr>
        <w:tabs>
          <w:tab w:val="right" w:pos="10194"/>
        </w:tabs>
        <w:autoSpaceDE w:val="0"/>
        <w:autoSpaceDN w:val="0"/>
        <w:adjustRightInd w:val="0"/>
        <w:rPr>
          <w:color w:val="auto"/>
          <w:sz w:val="24"/>
        </w:rPr>
      </w:pPr>
      <w:r>
        <w:rPr>
          <w:color w:val="auto"/>
          <w:sz w:val="24"/>
        </w:rPr>
        <w:lastRenderedPageBreak/>
        <w:t xml:space="preserve">The </w:t>
      </w:r>
      <w:r w:rsidR="00D30940">
        <w:rPr>
          <w:color w:val="auto"/>
          <w:sz w:val="24"/>
        </w:rPr>
        <w:t xml:space="preserve">additional data will allow for a more robust </w:t>
      </w:r>
      <w:r>
        <w:rPr>
          <w:color w:val="auto"/>
          <w:sz w:val="24"/>
        </w:rPr>
        <w:t>clinical and cost-effectiveness study methodology</w:t>
      </w:r>
      <w:r w:rsidR="00D30940">
        <w:rPr>
          <w:color w:val="auto"/>
          <w:sz w:val="24"/>
        </w:rPr>
        <w:t xml:space="preserve"> across the</w:t>
      </w:r>
      <w:r w:rsidR="00306EC1">
        <w:rPr>
          <w:color w:val="auto"/>
          <w:sz w:val="24"/>
        </w:rPr>
        <w:t xml:space="preserve"> CPPs</w:t>
      </w:r>
      <w:r>
        <w:rPr>
          <w:color w:val="auto"/>
          <w:sz w:val="24"/>
        </w:rPr>
        <w:t>. This will inform bo</w:t>
      </w:r>
      <w:r w:rsidR="00D30940">
        <w:rPr>
          <w:color w:val="auto"/>
          <w:sz w:val="24"/>
        </w:rPr>
        <w:t>th the ‘baseline’ review</w:t>
      </w:r>
      <w:r>
        <w:rPr>
          <w:color w:val="auto"/>
          <w:sz w:val="24"/>
        </w:rPr>
        <w:t xml:space="preserve"> and the processes required for the ongoing administration of the relevant pharmacy program evaluation frameworks as part of business-as-usual processes. </w:t>
      </w:r>
    </w:p>
    <w:p w14:paraId="39A6D387" w14:textId="0FBDC2FF" w:rsidR="008B6CA3" w:rsidRDefault="00830EE4" w:rsidP="0016563D">
      <w:pPr>
        <w:tabs>
          <w:tab w:val="right" w:pos="10194"/>
        </w:tabs>
        <w:autoSpaceDE w:val="0"/>
        <w:autoSpaceDN w:val="0"/>
        <w:adjustRightInd w:val="0"/>
        <w:rPr>
          <w:color w:val="auto"/>
          <w:sz w:val="24"/>
        </w:rPr>
      </w:pPr>
      <w:r>
        <w:rPr>
          <w:color w:val="auto"/>
          <w:sz w:val="24"/>
        </w:rPr>
        <w:t xml:space="preserve">This work will culminate in the identification of necessary program changes, and any potential reform options, as part of the program evaluation processes. Due to the ongoing involvement and investment of all key stakeholders in these reform efforts, the Department will </w:t>
      </w:r>
      <w:r w:rsidR="009835BA">
        <w:rPr>
          <w:color w:val="auto"/>
          <w:sz w:val="24"/>
        </w:rPr>
        <w:t>aim</w:t>
      </w:r>
      <w:r>
        <w:rPr>
          <w:color w:val="auto"/>
          <w:sz w:val="24"/>
        </w:rPr>
        <w:t xml:space="preserve"> towards implementing these changes, along with business-as-usual processes stemming from the evaluation frameworks for each program, ahead of the conclusion of the 8CPA. Through this work, the Department will be </w:t>
      </w:r>
      <w:r w:rsidR="003561A8">
        <w:rPr>
          <w:color w:val="auto"/>
          <w:sz w:val="24"/>
        </w:rPr>
        <w:t>be</w:t>
      </w:r>
      <w:r w:rsidR="008B6CA3">
        <w:rPr>
          <w:color w:val="auto"/>
          <w:sz w:val="24"/>
        </w:rPr>
        <w:t>t</w:t>
      </w:r>
      <w:r w:rsidR="003561A8">
        <w:rPr>
          <w:color w:val="auto"/>
          <w:sz w:val="24"/>
        </w:rPr>
        <w:t xml:space="preserve">ter informed and </w:t>
      </w:r>
      <w:r>
        <w:rPr>
          <w:color w:val="auto"/>
          <w:sz w:val="24"/>
        </w:rPr>
        <w:t xml:space="preserve">positioned to discuss the funding </w:t>
      </w:r>
      <w:r w:rsidR="003561A8">
        <w:rPr>
          <w:color w:val="auto"/>
          <w:sz w:val="24"/>
        </w:rPr>
        <w:t xml:space="preserve">and administration </w:t>
      </w:r>
      <w:r>
        <w:rPr>
          <w:color w:val="auto"/>
          <w:sz w:val="24"/>
        </w:rPr>
        <w:t xml:space="preserve">of programs under a potential 9CPA. </w:t>
      </w:r>
    </w:p>
    <w:p w14:paraId="290366E8" w14:textId="5126C86F" w:rsidR="009C0DB6" w:rsidRPr="00C20287" w:rsidRDefault="00003067" w:rsidP="0095671A">
      <w:pPr>
        <w:pStyle w:val="Subtitle"/>
        <w:numPr>
          <w:ilvl w:val="0"/>
          <w:numId w:val="13"/>
        </w:numPr>
        <w:tabs>
          <w:tab w:val="left" w:pos="5670"/>
        </w:tabs>
        <w:spacing w:before="240" w:after="240"/>
        <w:ind w:left="357" w:hanging="357"/>
        <w:rPr>
          <w:sz w:val="24"/>
        </w:rPr>
      </w:pPr>
      <w:r>
        <w:rPr>
          <w:sz w:val="24"/>
        </w:rPr>
        <w:t>P</w:t>
      </w:r>
      <w:r w:rsidR="00D97051">
        <w:rPr>
          <w:sz w:val="24"/>
        </w:rPr>
        <w:t>erson</w:t>
      </w:r>
      <w:r w:rsidR="00226BA9">
        <w:rPr>
          <w:sz w:val="24"/>
        </w:rPr>
        <w:t>-centred</w:t>
      </w:r>
    </w:p>
    <w:p w14:paraId="522C33FC" w14:textId="542BE97B" w:rsidR="008E2B88" w:rsidRPr="00BC612B" w:rsidRDefault="00D97051" w:rsidP="00BC612B">
      <w:pPr>
        <w:rPr>
          <w:rFonts w:eastAsiaTheme="majorEastAsia" w:cs="Arial"/>
          <w:bCs/>
          <w:color w:val="0D0D0D" w:themeColor="text1" w:themeTint="F2"/>
          <w:sz w:val="24"/>
          <w:szCs w:val="24"/>
        </w:rPr>
      </w:pPr>
      <w:r w:rsidRPr="00BC612B">
        <w:rPr>
          <w:sz w:val="24"/>
          <w:szCs w:val="24"/>
        </w:rPr>
        <w:t xml:space="preserve">As discussed above the </w:t>
      </w:r>
      <w:r w:rsidRPr="00D10AA6">
        <w:rPr>
          <w:rFonts w:eastAsiaTheme="majorEastAsia" w:cs="Arial"/>
          <w:bCs/>
          <w:color w:val="0D0D0D" w:themeColor="text1" w:themeTint="F2"/>
          <w:sz w:val="24"/>
          <w:szCs w:val="24"/>
        </w:rPr>
        <w:t xml:space="preserve">provision of dispensing remuneration supports </w:t>
      </w:r>
      <w:r w:rsidRPr="00D10AA6">
        <w:rPr>
          <w:color w:val="0D0D0D" w:themeColor="text1" w:themeTint="F2"/>
          <w:sz w:val="24"/>
          <w:szCs w:val="24"/>
        </w:rPr>
        <w:t>access</w:t>
      </w:r>
      <w:r w:rsidRPr="00BC612B">
        <w:rPr>
          <w:color w:val="0D0D0D" w:themeColor="text1" w:themeTint="F2"/>
          <w:sz w:val="24"/>
          <w:szCs w:val="24"/>
        </w:rPr>
        <w:t xml:space="preserve"> to</w:t>
      </w:r>
      <w:r w:rsidRPr="00D10AA6">
        <w:rPr>
          <w:color w:val="0D0D0D" w:themeColor="text1" w:themeTint="F2"/>
          <w:sz w:val="24"/>
          <w:szCs w:val="24"/>
        </w:rPr>
        <w:t xml:space="preserve"> timely and easy-to-understand information on the safe use of PBS medicines </w:t>
      </w:r>
      <w:r w:rsidRPr="00D10AA6">
        <w:rPr>
          <w:rFonts w:eastAsiaTheme="majorEastAsia" w:cs="Arial"/>
          <w:bCs/>
          <w:color w:val="0D0D0D" w:themeColor="text1" w:themeTint="F2"/>
          <w:sz w:val="24"/>
          <w:szCs w:val="24"/>
        </w:rPr>
        <w:t>by ensuring that pharmacists</w:t>
      </w:r>
      <w:r w:rsidRPr="00BC612B">
        <w:rPr>
          <w:rFonts w:eastAsiaTheme="majorEastAsia" w:cs="Arial"/>
          <w:bCs/>
          <w:color w:val="0D0D0D" w:themeColor="text1" w:themeTint="F2"/>
          <w:sz w:val="24"/>
          <w:szCs w:val="24"/>
        </w:rPr>
        <w:t>, as a part of their core role</w:t>
      </w:r>
      <w:r w:rsidRPr="00D10AA6">
        <w:rPr>
          <w:rFonts w:eastAsiaTheme="majorEastAsia" w:cs="Arial"/>
          <w:bCs/>
          <w:color w:val="0D0D0D" w:themeColor="text1" w:themeTint="F2"/>
          <w:sz w:val="24"/>
          <w:szCs w:val="24"/>
        </w:rPr>
        <w:t xml:space="preserve"> when dispensing medicines</w:t>
      </w:r>
      <w:r w:rsidRPr="00BC612B">
        <w:rPr>
          <w:rFonts w:eastAsiaTheme="majorEastAsia" w:cs="Arial"/>
          <w:bCs/>
          <w:color w:val="0D0D0D" w:themeColor="text1" w:themeTint="F2"/>
          <w:sz w:val="24"/>
          <w:szCs w:val="24"/>
        </w:rPr>
        <w:t>,</w:t>
      </w:r>
      <w:r w:rsidRPr="00D10AA6">
        <w:rPr>
          <w:rFonts w:eastAsiaTheme="majorEastAsia" w:cs="Arial"/>
          <w:bCs/>
          <w:color w:val="0D0D0D" w:themeColor="text1" w:themeTint="F2"/>
          <w:sz w:val="24"/>
          <w:szCs w:val="24"/>
        </w:rPr>
        <w:t xml:space="preserve"> are able to undertake the relevant checks, and consult</w:t>
      </w:r>
      <w:r w:rsidRPr="00BC612B">
        <w:rPr>
          <w:rFonts w:eastAsiaTheme="majorEastAsia" w:cs="Arial"/>
          <w:bCs/>
          <w:color w:val="0D0D0D" w:themeColor="text1" w:themeTint="F2"/>
          <w:sz w:val="24"/>
          <w:szCs w:val="24"/>
        </w:rPr>
        <w:t xml:space="preserve"> with patients when required. In addition</w:t>
      </w:r>
      <w:r w:rsidR="007F2E25">
        <w:rPr>
          <w:rFonts w:eastAsiaTheme="majorEastAsia" w:cs="Arial"/>
          <w:bCs/>
          <w:color w:val="0D0D0D" w:themeColor="text1" w:themeTint="F2"/>
          <w:sz w:val="24"/>
          <w:szCs w:val="24"/>
        </w:rPr>
        <w:t>,</w:t>
      </w:r>
      <w:r w:rsidRPr="00BC612B">
        <w:rPr>
          <w:rFonts w:eastAsiaTheme="majorEastAsia" w:cs="Arial"/>
          <w:bCs/>
          <w:color w:val="0D0D0D" w:themeColor="text1" w:themeTint="F2"/>
          <w:sz w:val="24"/>
          <w:szCs w:val="24"/>
        </w:rPr>
        <w:t xml:space="preserve"> the 7CPA</w:t>
      </w:r>
      <w:r w:rsidR="0064063A">
        <w:rPr>
          <w:rFonts w:eastAsiaTheme="majorEastAsia" w:cs="Arial"/>
          <w:bCs/>
          <w:color w:val="0D0D0D" w:themeColor="text1" w:themeTint="F2"/>
          <w:sz w:val="24"/>
          <w:szCs w:val="24"/>
        </w:rPr>
        <w:t xml:space="preserve"> </w:t>
      </w:r>
      <w:r w:rsidR="007F2E25">
        <w:rPr>
          <w:rFonts w:eastAsiaTheme="majorEastAsia" w:cs="Arial"/>
          <w:bCs/>
          <w:color w:val="0D0D0D" w:themeColor="text1" w:themeTint="F2"/>
          <w:sz w:val="24"/>
          <w:szCs w:val="24"/>
        </w:rPr>
        <w:t>and previous CPAs have</w:t>
      </w:r>
      <w:r w:rsidRPr="00BC612B">
        <w:rPr>
          <w:rFonts w:eastAsiaTheme="majorEastAsia" w:cs="Arial"/>
          <w:bCs/>
          <w:color w:val="0D0D0D" w:themeColor="text1" w:themeTint="F2"/>
          <w:sz w:val="24"/>
          <w:szCs w:val="24"/>
        </w:rPr>
        <w:t xml:space="preserve"> included a number of person-centred CPPs which enable the provision of additional specific pharmacy support services for patients. The volume of services provided is </w:t>
      </w:r>
      <w:r w:rsidR="00610DF2">
        <w:rPr>
          <w:rFonts w:eastAsiaTheme="majorEastAsia" w:cs="Arial"/>
          <w:bCs/>
          <w:color w:val="0D0D0D" w:themeColor="text1" w:themeTint="F2"/>
          <w:sz w:val="24"/>
          <w:szCs w:val="24"/>
        </w:rPr>
        <w:t>reported</w:t>
      </w:r>
      <w:r w:rsidRPr="00BC612B">
        <w:rPr>
          <w:rFonts w:eastAsiaTheme="majorEastAsia" w:cs="Arial"/>
          <w:bCs/>
          <w:color w:val="0D0D0D" w:themeColor="text1" w:themeTint="F2"/>
          <w:sz w:val="24"/>
          <w:szCs w:val="24"/>
        </w:rPr>
        <w:t xml:space="preserve"> monthly and shows that these services have generally continued to have moderate growth over the life of the 7CPA. </w:t>
      </w:r>
      <w:r w:rsidR="00610DF2">
        <w:rPr>
          <w:rFonts w:eastAsiaTheme="majorEastAsia" w:cs="Arial"/>
          <w:bCs/>
          <w:color w:val="0D0D0D" w:themeColor="text1" w:themeTint="F2"/>
          <w:sz w:val="24"/>
          <w:szCs w:val="24"/>
        </w:rPr>
        <w:t>CPP</w:t>
      </w:r>
      <w:r w:rsidR="0064063A">
        <w:rPr>
          <w:rFonts w:eastAsiaTheme="majorEastAsia" w:cs="Arial"/>
          <w:bCs/>
          <w:color w:val="0D0D0D" w:themeColor="text1" w:themeTint="F2"/>
          <w:sz w:val="24"/>
          <w:szCs w:val="24"/>
        </w:rPr>
        <w:t xml:space="preserve"> data</w:t>
      </w:r>
      <w:r w:rsidR="00610DF2">
        <w:rPr>
          <w:rFonts w:eastAsiaTheme="majorEastAsia" w:cs="Arial"/>
          <w:bCs/>
          <w:color w:val="0D0D0D" w:themeColor="text1" w:themeTint="F2"/>
          <w:sz w:val="24"/>
          <w:szCs w:val="24"/>
        </w:rPr>
        <w:t xml:space="preserve"> </w:t>
      </w:r>
      <w:r w:rsidR="00D07345">
        <w:rPr>
          <w:rFonts w:eastAsiaTheme="majorEastAsia" w:cs="Arial"/>
          <w:bCs/>
          <w:color w:val="0D0D0D" w:themeColor="text1" w:themeTint="F2"/>
          <w:sz w:val="24"/>
          <w:szCs w:val="24"/>
        </w:rPr>
        <w:t>are</w:t>
      </w:r>
      <w:r w:rsidR="00610DF2">
        <w:rPr>
          <w:rFonts w:eastAsiaTheme="majorEastAsia" w:cs="Arial"/>
          <w:bCs/>
          <w:color w:val="0D0D0D" w:themeColor="text1" w:themeTint="F2"/>
          <w:sz w:val="24"/>
          <w:szCs w:val="24"/>
        </w:rPr>
        <w:t xml:space="preserve"> available o</w:t>
      </w:r>
      <w:r w:rsidR="00C5744C">
        <w:rPr>
          <w:rFonts w:eastAsiaTheme="majorEastAsia" w:cs="Arial"/>
          <w:bCs/>
          <w:color w:val="0D0D0D" w:themeColor="text1" w:themeTint="F2"/>
          <w:sz w:val="24"/>
          <w:szCs w:val="24"/>
        </w:rPr>
        <w:t>n</w:t>
      </w:r>
      <w:r w:rsidR="00610DF2">
        <w:rPr>
          <w:rFonts w:eastAsiaTheme="majorEastAsia" w:cs="Arial"/>
          <w:bCs/>
          <w:color w:val="0D0D0D" w:themeColor="text1" w:themeTint="F2"/>
          <w:sz w:val="24"/>
          <w:szCs w:val="24"/>
        </w:rPr>
        <w:t xml:space="preserve"> the Department website at </w:t>
      </w:r>
      <w:hyperlink r:id="rId31" w:history="1">
        <w:r w:rsidR="00610DF2" w:rsidRPr="00516A31">
          <w:rPr>
            <w:rStyle w:val="Hyperlink"/>
            <w:rFonts w:eastAsiaTheme="majorEastAsia" w:cs="Arial"/>
            <w:bCs/>
            <w:sz w:val="24"/>
            <w:szCs w:val="24"/>
          </w:rPr>
          <w:t>https://www.health.gov.au/resources/collections/pharmacy-programs-data</w:t>
        </w:r>
      </w:hyperlink>
      <w:r w:rsidR="00610DF2">
        <w:rPr>
          <w:rFonts w:eastAsiaTheme="majorEastAsia" w:cs="Arial"/>
          <w:bCs/>
          <w:color w:val="0D0D0D" w:themeColor="text1" w:themeTint="F2"/>
          <w:sz w:val="24"/>
          <w:szCs w:val="24"/>
        </w:rPr>
        <w:t xml:space="preserve">. </w:t>
      </w:r>
    </w:p>
    <w:p w14:paraId="55045AE0" w14:textId="6530C14D" w:rsidR="006639BA" w:rsidRDefault="00D97051" w:rsidP="00BC612B">
      <w:pPr>
        <w:rPr>
          <w:color w:val="auto"/>
          <w:sz w:val="24"/>
        </w:rPr>
      </w:pPr>
      <w:r>
        <w:rPr>
          <w:rFonts w:eastAsiaTheme="majorEastAsia" w:cs="Arial"/>
          <w:bCs/>
          <w:color w:val="0D0D0D" w:themeColor="text1" w:themeTint="F2"/>
          <w:sz w:val="24"/>
          <w:szCs w:val="24"/>
        </w:rPr>
        <w:t xml:space="preserve">To further </w:t>
      </w:r>
      <w:r w:rsidR="00D10AA6">
        <w:rPr>
          <w:rFonts w:eastAsiaTheme="majorEastAsia" w:cs="Arial"/>
          <w:bCs/>
          <w:color w:val="0D0D0D" w:themeColor="text1" w:themeTint="F2"/>
          <w:sz w:val="24"/>
          <w:szCs w:val="24"/>
        </w:rPr>
        <w:t xml:space="preserve">build </w:t>
      </w:r>
      <w:r>
        <w:rPr>
          <w:rFonts w:eastAsiaTheme="majorEastAsia" w:cs="Arial"/>
          <w:bCs/>
          <w:color w:val="0D0D0D" w:themeColor="text1" w:themeTint="F2"/>
          <w:sz w:val="24"/>
          <w:szCs w:val="24"/>
        </w:rPr>
        <w:t>a person</w:t>
      </w:r>
      <w:r w:rsidR="00C5744C">
        <w:rPr>
          <w:rFonts w:eastAsiaTheme="majorEastAsia" w:cs="Arial"/>
          <w:bCs/>
          <w:color w:val="0D0D0D" w:themeColor="text1" w:themeTint="F2"/>
          <w:sz w:val="24"/>
          <w:szCs w:val="24"/>
        </w:rPr>
        <w:t>-</w:t>
      </w:r>
      <w:r>
        <w:rPr>
          <w:rFonts w:eastAsiaTheme="majorEastAsia" w:cs="Arial"/>
          <w:bCs/>
          <w:color w:val="0D0D0D" w:themeColor="text1" w:themeTint="F2"/>
          <w:sz w:val="24"/>
          <w:szCs w:val="24"/>
        </w:rPr>
        <w:t xml:space="preserve">centred approach the 8CPA will encourage </w:t>
      </w:r>
      <w:r w:rsidR="008E2B88">
        <w:rPr>
          <w:rFonts w:eastAsiaTheme="majorEastAsia" w:cs="Arial"/>
          <w:bCs/>
          <w:color w:val="0D0D0D" w:themeColor="text1" w:themeTint="F2"/>
          <w:sz w:val="24"/>
          <w:szCs w:val="24"/>
        </w:rPr>
        <w:t>greater inclusion of consumer representative stakeholders in</w:t>
      </w:r>
      <w:r w:rsidR="006639BA">
        <w:rPr>
          <w:rFonts w:eastAsiaTheme="majorEastAsia" w:cs="Arial"/>
          <w:bCs/>
          <w:color w:val="0D0D0D" w:themeColor="text1" w:themeTint="F2"/>
          <w:sz w:val="24"/>
          <w:szCs w:val="24"/>
        </w:rPr>
        <w:t xml:space="preserve"> consultations for</w:t>
      </w:r>
      <w:r w:rsidR="008E2B88">
        <w:rPr>
          <w:rFonts w:eastAsiaTheme="majorEastAsia" w:cs="Arial"/>
          <w:bCs/>
          <w:color w:val="0D0D0D" w:themeColor="text1" w:themeTint="F2"/>
          <w:sz w:val="24"/>
          <w:szCs w:val="24"/>
        </w:rPr>
        <w:t xml:space="preserve"> the</w:t>
      </w:r>
      <w:r w:rsidR="006639BA">
        <w:rPr>
          <w:rFonts w:eastAsiaTheme="majorEastAsia" w:cs="Arial"/>
          <w:bCs/>
          <w:color w:val="0D0D0D" w:themeColor="text1" w:themeTint="F2"/>
          <w:sz w:val="24"/>
          <w:szCs w:val="24"/>
        </w:rPr>
        <w:t xml:space="preserve"> review and</w:t>
      </w:r>
      <w:r w:rsidR="008E2B88">
        <w:rPr>
          <w:rFonts w:eastAsiaTheme="majorEastAsia" w:cs="Arial"/>
          <w:bCs/>
          <w:color w:val="0D0D0D" w:themeColor="text1" w:themeTint="F2"/>
          <w:sz w:val="24"/>
          <w:szCs w:val="24"/>
        </w:rPr>
        <w:t xml:space="preserve"> establishment of </w:t>
      </w:r>
      <w:r w:rsidR="006639BA">
        <w:rPr>
          <w:rFonts w:eastAsiaTheme="majorEastAsia" w:cs="Arial"/>
          <w:bCs/>
          <w:color w:val="0D0D0D" w:themeColor="text1" w:themeTint="F2"/>
          <w:sz w:val="24"/>
          <w:szCs w:val="24"/>
        </w:rPr>
        <w:t xml:space="preserve">specific </w:t>
      </w:r>
      <w:r w:rsidR="008E2B88">
        <w:rPr>
          <w:rFonts w:eastAsiaTheme="majorEastAsia" w:cs="Arial"/>
          <w:bCs/>
          <w:color w:val="0D0D0D" w:themeColor="text1" w:themeTint="F2"/>
          <w:sz w:val="24"/>
          <w:szCs w:val="24"/>
        </w:rPr>
        <w:t xml:space="preserve">evaluation frameworks for </w:t>
      </w:r>
      <w:r w:rsidR="006639BA">
        <w:rPr>
          <w:rFonts w:eastAsiaTheme="majorEastAsia" w:cs="Arial"/>
          <w:bCs/>
          <w:color w:val="0D0D0D" w:themeColor="text1" w:themeTint="F2"/>
          <w:sz w:val="24"/>
          <w:szCs w:val="24"/>
        </w:rPr>
        <w:t xml:space="preserve">each of the </w:t>
      </w:r>
      <w:r w:rsidR="008E2B88">
        <w:rPr>
          <w:rFonts w:eastAsiaTheme="majorEastAsia" w:cs="Arial"/>
          <w:bCs/>
          <w:color w:val="0D0D0D" w:themeColor="text1" w:themeTint="F2"/>
          <w:sz w:val="24"/>
          <w:szCs w:val="24"/>
        </w:rPr>
        <w:t xml:space="preserve">CPPs relating to medication management </w:t>
      </w:r>
      <w:r w:rsidR="006639BA">
        <w:rPr>
          <w:rFonts w:eastAsiaTheme="majorEastAsia" w:cs="Arial"/>
          <w:bCs/>
          <w:color w:val="0D0D0D" w:themeColor="text1" w:themeTint="F2"/>
          <w:sz w:val="24"/>
          <w:szCs w:val="24"/>
        </w:rPr>
        <w:t xml:space="preserve">included </w:t>
      </w:r>
      <w:r w:rsidR="008E2B88">
        <w:rPr>
          <w:rFonts w:eastAsiaTheme="majorEastAsia" w:cs="Arial"/>
          <w:bCs/>
          <w:color w:val="0D0D0D" w:themeColor="text1" w:themeTint="F2"/>
          <w:sz w:val="24"/>
          <w:szCs w:val="24"/>
        </w:rPr>
        <w:t xml:space="preserve">and in </w:t>
      </w:r>
      <w:r w:rsidR="006639BA">
        <w:rPr>
          <w:rFonts w:eastAsiaTheme="majorEastAsia" w:cs="Arial"/>
          <w:bCs/>
          <w:color w:val="0D0D0D" w:themeColor="text1" w:themeTint="F2"/>
          <w:sz w:val="24"/>
          <w:szCs w:val="24"/>
        </w:rPr>
        <w:t xml:space="preserve">the 8CPA as well as in </w:t>
      </w:r>
      <w:r w:rsidR="008E2B88">
        <w:rPr>
          <w:rFonts w:eastAsiaTheme="majorEastAsia" w:cs="Arial"/>
          <w:bCs/>
          <w:color w:val="0D0D0D" w:themeColor="text1" w:themeTint="F2"/>
          <w:sz w:val="24"/>
          <w:szCs w:val="24"/>
        </w:rPr>
        <w:t>future CPP development.</w:t>
      </w:r>
      <w:r w:rsidR="006639BA">
        <w:rPr>
          <w:rFonts w:eastAsiaTheme="majorEastAsia" w:cs="Arial"/>
          <w:bCs/>
          <w:color w:val="0D0D0D" w:themeColor="text1" w:themeTint="F2"/>
          <w:sz w:val="24"/>
          <w:szCs w:val="24"/>
        </w:rPr>
        <w:t xml:space="preserve"> </w:t>
      </w:r>
      <w:r w:rsidR="00AC2467" w:rsidRPr="00C20287">
        <w:rPr>
          <w:color w:val="auto"/>
          <w:sz w:val="24"/>
        </w:rPr>
        <w:t xml:space="preserve">This </w:t>
      </w:r>
      <w:r w:rsidR="006639BA">
        <w:rPr>
          <w:color w:val="auto"/>
          <w:sz w:val="24"/>
        </w:rPr>
        <w:t xml:space="preserve">broad consultation will help </w:t>
      </w:r>
      <w:r w:rsidR="0064063A">
        <w:rPr>
          <w:color w:val="auto"/>
          <w:sz w:val="24"/>
        </w:rPr>
        <w:t>to ensure that consumer views are incorporated into the design of CPPs and that</w:t>
      </w:r>
      <w:r w:rsidR="00226BA9">
        <w:rPr>
          <w:color w:val="auto"/>
          <w:sz w:val="24"/>
        </w:rPr>
        <w:t xml:space="preserve"> the interests of patients </w:t>
      </w:r>
      <w:r w:rsidR="0064063A">
        <w:rPr>
          <w:color w:val="auto"/>
          <w:sz w:val="24"/>
        </w:rPr>
        <w:t xml:space="preserve">are placed </w:t>
      </w:r>
      <w:r w:rsidR="00226BA9">
        <w:rPr>
          <w:color w:val="auto"/>
          <w:sz w:val="24"/>
        </w:rPr>
        <w:t xml:space="preserve">at the heart of the programs. </w:t>
      </w:r>
    </w:p>
    <w:p w14:paraId="4216BA41" w14:textId="33A90773" w:rsidR="00A758C6" w:rsidRDefault="00A758C6" w:rsidP="00BC612B">
      <w:pPr>
        <w:rPr>
          <w:color w:val="auto"/>
          <w:sz w:val="24"/>
        </w:rPr>
      </w:pPr>
      <w:r w:rsidRPr="00A758C6">
        <w:rPr>
          <w:color w:val="auto"/>
          <w:sz w:val="24"/>
        </w:rPr>
        <w:t>Th</w:t>
      </w:r>
      <w:r w:rsidR="003E68DE">
        <w:rPr>
          <w:color w:val="auto"/>
          <w:sz w:val="24"/>
        </w:rPr>
        <w:t xml:space="preserve">e </w:t>
      </w:r>
      <w:r w:rsidRPr="00A758C6">
        <w:rPr>
          <w:color w:val="auto"/>
          <w:sz w:val="24"/>
        </w:rPr>
        <w:t>evaluation framework</w:t>
      </w:r>
      <w:r w:rsidR="006639BA">
        <w:rPr>
          <w:color w:val="auto"/>
          <w:sz w:val="24"/>
        </w:rPr>
        <w:t>s developed in consultation with stakeholders</w:t>
      </w:r>
      <w:r w:rsidRPr="00A758C6">
        <w:rPr>
          <w:color w:val="auto"/>
          <w:sz w:val="24"/>
        </w:rPr>
        <w:t xml:space="preserve"> will be used to determine what data need to be collected to allow a thorough evaluation of the clinical benefit and cost effectiveness. If no or limited clinical benefit was determined after evaluation the money for that program may be directed to other better performing programs or to other services that could provide the clinical benefit that the initial program was designed to deliver</w:t>
      </w:r>
      <w:r>
        <w:rPr>
          <w:color w:val="auto"/>
          <w:sz w:val="24"/>
        </w:rPr>
        <w:t>.</w:t>
      </w:r>
    </w:p>
    <w:p w14:paraId="13A1346F" w14:textId="36836BDC" w:rsidR="008E4A25" w:rsidRDefault="003E68DE" w:rsidP="00BC612B">
      <w:pPr>
        <w:rPr>
          <w:color w:val="auto"/>
          <w:sz w:val="24"/>
        </w:rPr>
      </w:pPr>
      <w:r>
        <w:rPr>
          <w:color w:val="auto"/>
          <w:sz w:val="24"/>
        </w:rPr>
        <w:t>T</w:t>
      </w:r>
      <w:r w:rsidR="00226BA9">
        <w:rPr>
          <w:color w:val="auto"/>
          <w:sz w:val="24"/>
        </w:rPr>
        <w:t xml:space="preserve">his objective will be evaluated by </w:t>
      </w:r>
      <w:r w:rsidR="006639BA">
        <w:rPr>
          <w:color w:val="auto"/>
          <w:sz w:val="24"/>
        </w:rPr>
        <w:t xml:space="preserve">the inclusion of consumer focussed stakeholders in the review of CPPs and establishment of suitable </w:t>
      </w:r>
      <w:r w:rsidR="00226BA9">
        <w:rPr>
          <w:color w:val="auto"/>
          <w:sz w:val="24"/>
        </w:rPr>
        <w:t xml:space="preserve">evaluation frameworks for </w:t>
      </w:r>
      <w:r w:rsidR="006639BA">
        <w:rPr>
          <w:color w:val="auto"/>
          <w:sz w:val="24"/>
        </w:rPr>
        <w:t xml:space="preserve">the </w:t>
      </w:r>
      <w:r w:rsidR="00226BA9">
        <w:rPr>
          <w:color w:val="auto"/>
          <w:sz w:val="24"/>
        </w:rPr>
        <w:t xml:space="preserve">individual </w:t>
      </w:r>
      <w:r>
        <w:rPr>
          <w:color w:val="auto"/>
          <w:sz w:val="24"/>
        </w:rPr>
        <w:t xml:space="preserve">8CPA </w:t>
      </w:r>
      <w:r w:rsidR="00226BA9">
        <w:rPr>
          <w:color w:val="auto"/>
          <w:sz w:val="24"/>
        </w:rPr>
        <w:t>programs</w:t>
      </w:r>
      <w:r w:rsidR="006639BA">
        <w:rPr>
          <w:color w:val="auto"/>
          <w:sz w:val="24"/>
        </w:rPr>
        <w:t xml:space="preserve"> which take into consideration consumer views</w:t>
      </w:r>
      <w:r w:rsidR="00226BA9">
        <w:rPr>
          <w:color w:val="auto"/>
          <w:sz w:val="24"/>
        </w:rPr>
        <w:t xml:space="preserve">. A successful evaluation against an established framework will </w:t>
      </w:r>
      <w:r w:rsidR="008E4A25">
        <w:rPr>
          <w:color w:val="auto"/>
          <w:sz w:val="24"/>
        </w:rPr>
        <w:t>lead to publishable outcomes and possible changes to the evaluated program.</w:t>
      </w:r>
      <w:r w:rsidR="00226BA9">
        <w:rPr>
          <w:color w:val="auto"/>
          <w:sz w:val="24"/>
        </w:rPr>
        <w:t xml:space="preserve"> </w:t>
      </w:r>
      <w:r>
        <w:rPr>
          <w:color w:val="auto"/>
          <w:sz w:val="24"/>
        </w:rPr>
        <w:t>T</w:t>
      </w:r>
      <w:r w:rsidR="00673F0B">
        <w:rPr>
          <w:color w:val="auto"/>
          <w:sz w:val="24"/>
        </w:rPr>
        <w:t>he volume of services provided through CPPs will</w:t>
      </w:r>
      <w:r>
        <w:rPr>
          <w:color w:val="auto"/>
          <w:sz w:val="24"/>
        </w:rPr>
        <w:t xml:space="preserve"> also</w:t>
      </w:r>
      <w:r w:rsidR="00673F0B">
        <w:rPr>
          <w:color w:val="auto"/>
          <w:sz w:val="24"/>
        </w:rPr>
        <w:t xml:space="preserve"> continue to be monitored and analysed. </w:t>
      </w:r>
    </w:p>
    <w:p w14:paraId="6ACD9D94" w14:textId="0CE73F96" w:rsidR="00CA72FA" w:rsidRDefault="00CA72FA" w:rsidP="00BC612B">
      <w:pPr>
        <w:rPr>
          <w:color w:val="auto"/>
          <w:sz w:val="24"/>
        </w:rPr>
      </w:pPr>
    </w:p>
    <w:p w14:paraId="1E7F1F6F" w14:textId="77777777" w:rsidR="00CA72FA" w:rsidRDefault="00CA72FA" w:rsidP="00BC612B">
      <w:pPr>
        <w:rPr>
          <w:color w:val="auto"/>
          <w:sz w:val="24"/>
        </w:rPr>
      </w:pPr>
    </w:p>
    <w:p w14:paraId="5357FFF9" w14:textId="5E4BB1E6" w:rsidR="009C0DB6" w:rsidRPr="00C20287" w:rsidRDefault="008E4A25" w:rsidP="0095671A">
      <w:pPr>
        <w:pStyle w:val="Subtitle"/>
        <w:numPr>
          <w:ilvl w:val="0"/>
          <w:numId w:val="13"/>
        </w:numPr>
        <w:tabs>
          <w:tab w:val="left" w:pos="5670"/>
        </w:tabs>
        <w:spacing w:before="240" w:after="240"/>
        <w:ind w:left="357" w:hanging="357"/>
        <w:rPr>
          <w:sz w:val="24"/>
        </w:rPr>
      </w:pPr>
      <w:r w:rsidRPr="008E4A25">
        <w:rPr>
          <w:sz w:val="24"/>
        </w:rPr>
        <w:lastRenderedPageBreak/>
        <w:t>Equity, sustainability and Access for</w:t>
      </w:r>
      <w:r w:rsidR="00E93326">
        <w:rPr>
          <w:sz w:val="24"/>
        </w:rPr>
        <w:t xml:space="preserve"> Consumers and Businesses</w:t>
      </w:r>
      <w:r w:rsidRPr="008E4A25">
        <w:rPr>
          <w:sz w:val="24"/>
        </w:rPr>
        <w:t xml:space="preserve"> </w:t>
      </w:r>
    </w:p>
    <w:p w14:paraId="6E29ACE6" w14:textId="768F929A" w:rsidR="004E1522" w:rsidRPr="009C584F" w:rsidRDefault="00610DF2" w:rsidP="00596954">
      <w:pPr>
        <w:rPr>
          <w:color w:val="auto"/>
          <w:sz w:val="24"/>
        </w:rPr>
      </w:pPr>
      <w:r>
        <w:rPr>
          <w:color w:val="auto"/>
          <w:sz w:val="24"/>
        </w:rPr>
        <w:t>As the objective</w:t>
      </w:r>
      <w:r w:rsidR="007F2E25">
        <w:rPr>
          <w:color w:val="auto"/>
          <w:sz w:val="24"/>
        </w:rPr>
        <w:t>s</w:t>
      </w:r>
      <w:r>
        <w:rPr>
          <w:color w:val="auto"/>
          <w:sz w:val="24"/>
        </w:rPr>
        <w:t xml:space="preserve"> of equity, sustainability and access for consumers and businesses are closely lin</w:t>
      </w:r>
      <w:r w:rsidR="007F2E25">
        <w:rPr>
          <w:color w:val="auto"/>
          <w:sz w:val="24"/>
        </w:rPr>
        <w:t>ked</w:t>
      </w:r>
      <w:r w:rsidR="0066312E">
        <w:rPr>
          <w:color w:val="auto"/>
          <w:sz w:val="24"/>
        </w:rPr>
        <w:t>,</w:t>
      </w:r>
      <w:r w:rsidR="007F2E25">
        <w:rPr>
          <w:color w:val="auto"/>
          <w:sz w:val="24"/>
        </w:rPr>
        <w:t xml:space="preserve"> the</w:t>
      </w:r>
      <w:r>
        <w:rPr>
          <w:color w:val="auto"/>
          <w:sz w:val="24"/>
        </w:rPr>
        <w:t xml:space="preserve"> evaluation of these </w:t>
      </w:r>
      <w:r w:rsidR="0097751D">
        <w:rPr>
          <w:color w:val="auto"/>
          <w:sz w:val="24"/>
        </w:rPr>
        <w:t>objective</w:t>
      </w:r>
      <w:r>
        <w:rPr>
          <w:color w:val="auto"/>
          <w:sz w:val="24"/>
        </w:rPr>
        <w:t>s</w:t>
      </w:r>
      <w:r w:rsidR="0097751D">
        <w:rPr>
          <w:color w:val="auto"/>
          <w:sz w:val="24"/>
        </w:rPr>
        <w:t xml:space="preserve"> </w:t>
      </w:r>
      <w:r>
        <w:rPr>
          <w:color w:val="auto"/>
          <w:sz w:val="24"/>
        </w:rPr>
        <w:t xml:space="preserve">will be discussed together. </w:t>
      </w:r>
      <w:r w:rsidR="006F1DB6">
        <w:rPr>
          <w:color w:val="auto"/>
          <w:sz w:val="24"/>
        </w:rPr>
        <w:t xml:space="preserve">In meeting this objective the </w:t>
      </w:r>
      <w:r w:rsidR="007F2E25">
        <w:rPr>
          <w:color w:val="auto"/>
          <w:sz w:val="24"/>
        </w:rPr>
        <w:t>7CPA</w:t>
      </w:r>
      <w:r w:rsidR="006F1DB6">
        <w:rPr>
          <w:color w:val="auto"/>
          <w:sz w:val="24"/>
        </w:rPr>
        <w:t xml:space="preserve"> outlined growth of dispensing remuneration over 5 years</w:t>
      </w:r>
      <w:r w:rsidR="004E1522">
        <w:rPr>
          <w:color w:val="auto"/>
          <w:sz w:val="24"/>
        </w:rPr>
        <w:t>.</w:t>
      </w:r>
      <w:r w:rsidR="004E1522" w:rsidRPr="004E1522">
        <w:rPr>
          <w:color w:val="auto"/>
          <w:sz w:val="24"/>
        </w:rPr>
        <w:t xml:space="preserve"> </w:t>
      </w:r>
      <w:r w:rsidR="004E1522">
        <w:rPr>
          <w:color w:val="auto"/>
          <w:sz w:val="24"/>
        </w:rPr>
        <w:t>D</w:t>
      </w:r>
      <w:r w:rsidR="004E1522" w:rsidRPr="00AE4FE0">
        <w:rPr>
          <w:color w:val="auto"/>
          <w:sz w:val="24"/>
        </w:rPr>
        <w:t xml:space="preserve">ispensing remuneration </w:t>
      </w:r>
      <w:r w:rsidR="004E1522">
        <w:rPr>
          <w:color w:val="auto"/>
          <w:sz w:val="24"/>
        </w:rPr>
        <w:t xml:space="preserve">is closely monitored and its </w:t>
      </w:r>
      <w:r w:rsidR="004E1522" w:rsidRPr="00AE4FE0">
        <w:rPr>
          <w:color w:val="auto"/>
          <w:sz w:val="24"/>
        </w:rPr>
        <w:t xml:space="preserve">trajectory compared to </w:t>
      </w:r>
      <w:r w:rsidR="004E1522">
        <w:rPr>
          <w:color w:val="auto"/>
          <w:sz w:val="24"/>
        </w:rPr>
        <w:t xml:space="preserve">both that forecasted and </w:t>
      </w:r>
      <w:r w:rsidR="004E1522" w:rsidRPr="00AE4FE0">
        <w:rPr>
          <w:color w:val="auto"/>
          <w:sz w:val="24"/>
        </w:rPr>
        <w:t xml:space="preserve">the </w:t>
      </w:r>
      <w:r w:rsidR="004E1522" w:rsidRPr="009C584F">
        <w:rPr>
          <w:color w:val="auto"/>
          <w:sz w:val="24"/>
        </w:rPr>
        <w:t xml:space="preserve">overall growth in the PBS. </w:t>
      </w:r>
      <w:r w:rsidR="001A1599" w:rsidRPr="0016563D">
        <w:rPr>
          <w:color w:val="auto"/>
          <w:sz w:val="24"/>
        </w:rPr>
        <w:t>Over the</w:t>
      </w:r>
      <w:r w:rsidR="003E68DE" w:rsidRPr="0016563D">
        <w:rPr>
          <w:color w:val="auto"/>
          <w:sz w:val="24"/>
        </w:rPr>
        <w:t xml:space="preserve"> first three years of the 7CPA, actual remuneration provided to pharmacies was greater than originally agreed as a result of higher prescription volumes and more medicines being listed and supplied through the PBS as well as</w:t>
      </w:r>
      <w:r w:rsidR="001A1599" w:rsidRPr="0016563D">
        <w:rPr>
          <w:color w:val="auto"/>
          <w:sz w:val="24"/>
        </w:rPr>
        <w:t xml:space="preserve"> high </w:t>
      </w:r>
      <w:r w:rsidR="003E68DE" w:rsidRPr="0016563D">
        <w:rPr>
          <w:color w:val="auto"/>
          <w:sz w:val="24"/>
        </w:rPr>
        <w:t xml:space="preserve">consumer price </w:t>
      </w:r>
      <w:r w:rsidR="001A1599" w:rsidRPr="0016563D">
        <w:rPr>
          <w:color w:val="auto"/>
          <w:sz w:val="24"/>
        </w:rPr>
        <w:t>indexation rates</w:t>
      </w:r>
      <w:r w:rsidR="003E68DE" w:rsidRPr="0016563D">
        <w:rPr>
          <w:color w:val="auto"/>
          <w:sz w:val="24"/>
        </w:rPr>
        <w:t>.</w:t>
      </w:r>
      <w:r w:rsidR="001A1599" w:rsidRPr="0016563D">
        <w:rPr>
          <w:color w:val="auto"/>
          <w:sz w:val="24"/>
        </w:rPr>
        <w:t xml:space="preserve"> </w:t>
      </w:r>
      <w:r w:rsidR="003E68DE" w:rsidRPr="0016563D">
        <w:rPr>
          <w:color w:val="auto"/>
          <w:sz w:val="24"/>
        </w:rPr>
        <w:t xml:space="preserve">This additional </w:t>
      </w:r>
      <w:r w:rsidR="00BF4BC7">
        <w:rPr>
          <w:color w:val="auto"/>
          <w:sz w:val="24"/>
        </w:rPr>
        <w:t>volume/</w:t>
      </w:r>
      <w:r w:rsidR="003E68DE" w:rsidRPr="0016563D">
        <w:rPr>
          <w:color w:val="auto"/>
          <w:sz w:val="24"/>
        </w:rPr>
        <w:t xml:space="preserve">remuneration was </w:t>
      </w:r>
      <w:r w:rsidR="001A1599" w:rsidRPr="0016563D">
        <w:rPr>
          <w:color w:val="auto"/>
          <w:sz w:val="24"/>
        </w:rPr>
        <w:t>somewhat c</w:t>
      </w:r>
      <w:r w:rsidR="00BF4BC7">
        <w:rPr>
          <w:color w:val="auto"/>
          <w:sz w:val="24"/>
        </w:rPr>
        <w:t>ounteracted</w:t>
      </w:r>
      <w:r w:rsidR="001A1599" w:rsidRPr="0016563D">
        <w:rPr>
          <w:color w:val="auto"/>
          <w:sz w:val="24"/>
        </w:rPr>
        <w:t xml:space="preserve"> through the introduction of 60-day dispensing which is expected to reduce the number of scripts dispensed.</w:t>
      </w:r>
      <w:r w:rsidR="001A1599" w:rsidRPr="009C584F">
        <w:rPr>
          <w:color w:val="auto"/>
          <w:sz w:val="24"/>
        </w:rPr>
        <w:t xml:space="preserve">   </w:t>
      </w:r>
    </w:p>
    <w:p w14:paraId="473B5B3A" w14:textId="1BA8994C" w:rsidR="00E93326" w:rsidRDefault="001A1599" w:rsidP="00091514">
      <w:pPr>
        <w:rPr>
          <w:color w:val="auto"/>
          <w:sz w:val="24"/>
        </w:rPr>
      </w:pPr>
      <w:r w:rsidRPr="004323FF">
        <w:rPr>
          <w:color w:val="auto"/>
          <w:sz w:val="24"/>
        </w:rPr>
        <w:t>The 7CPA also included</w:t>
      </w:r>
      <w:r w:rsidR="006F1DB6" w:rsidRPr="0016563D">
        <w:rPr>
          <w:color w:val="auto"/>
          <w:sz w:val="24"/>
        </w:rPr>
        <w:t xml:space="preserve"> agreement on CSO and wholesaler arrangements, a Regional Pharmacy Maintenance allowance and a number of smaller</w:t>
      </w:r>
      <w:r w:rsidR="006F1DB6">
        <w:rPr>
          <w:color w:val="auto"/>
          <w:sz w:val="24"/>
        </w:rPr>
        <w:t xml:space="preserve"> CPPs aimed at assisting in the maintenance of rural and indigenous workforce. The volume of these CPPs accessed is reported on quarterly and generally show</w:t>
      </w:r>
      <w:r w:rsidR="00C5744C">
        <w:rPr>
          <w:color w:val="auto"/>
          <w:sz w:val="24"/>
        </w:rPr>
        <w:t>s</w:t>
      </w:r>
      <w:r w:rsidR="006F1DB6">
        <w:rPr>
          <w:color w:val="auto"/>
          <w:sz w:val="24"/>
        </w:rPr>
        <w:t xml:space="preserve"> slow but steady growth.</w:t>
      </w:r>
    </w:p>
    <w:p w14:paraId="383433BA" w14:textId="4C4E813F" w:rsidR="004E1522" w:rsidRDefault="001A1599" w:rsidP="00091514">
      <w:pPr>
        <w:rPr>
          <w:color w:val="auto"/>
          <w:sz w:val="24"/>
        </w:rPr>
      </w:pPr>
      <w:r>
        <w:rPr>
          <w:color w:val="auto"/>
          <w:sz w:val="24"/>
        </w:rPr>
        <w:t xml:space="preserve">The </w:t>
      </w:r>
      <w:r w:rsidR="00194E09">
        <w:rPr>
          <w:color w:val="auto"/>
          <w:sz w:val="24"/>
        </w:rPr>
        <w:t xml:space="preserve">outcomes of the above measures collectively can be further informed </w:t>
      </w:r>
      <w:r>
        <w:rPr>
          <w:color w:val="auto"/>
          <w:sz w:val="24"/>
        </w:rPr>
        <w:t xml:space="preserve">by </w:t>
      </w:r>
      <w:r w:rsidRPr="00C20287">
        <w:rPr>
          <w:color w:val="auto"/>
          <w:sz w:val="24"/>
        </w:rPr>
        <w:t>monitoring the</w:t>
      </w:r>
      <w:r>
        <w:rPr>
          <w:color w:val="auto"/>
          <w:sz w:val="24"/>
        </w:rPr>
        <w:t xml:space="preserve"> </w:t>
      </w:r>
      <w:r w:rsidR="00194E09">
        <w:rPr>
          <w:color w:val="auto"/>
          <w:sz w:val="24"/>
        </w:rPr>
        <w:t xml:space="preserve">ongoing </w:t>
      </w:r>
      <w:r>
        <w:rPr>
          <w:color w:val="auto"/>
          <w:sz w:val="24"/>
        </w:rPr>
        <w:t>number and</w:t>
      </w:r>
      <w:r w:rsidRPr="00C20287">
        <w:rPr>
          <w:color w:val="auto"/>
          <w:sz w:val="24"/>
        </w:rPr>
        <w:t xml:space="preserve"> distribution of community pharmacies.</w:t>
      </w:r>
      <w:r w:rsidR="00194E09">
        <w:rPr>
          <w:color w:val="auto"/>
          <w:sz w:val="24"/>
        </w:rPr>
        <w:t xml:space="preserve"> As would be anticipated over the life of the 7CPA there has been very slow growth in the number of approved pharmacies</w:t>
      </w:r>
      <w:r>
        <w:rPr>
          <w:color w:val="auto"/>
          <w:sz w:val="24"/>
        </w:rPr>
        <w:t>.</w:t>
      </w:r>
    </w:p>
    <w:p w14:paraId="430B9570" w14:textId="2FD04B26" w:rsidR="004E1522" w:rsidRDefault="004E1522" w:rsidP="009F736B">
      <w:pPr>
        <w:rPr>
          <w:color w:val="auto"/>
          <w:sz w:val="24"/>
        </w:rPr>
      </w:pPr>
      <w:r>
        <w:rPr>
          <w:color w:val="auto"/>
          <w:sz w:val="24"/>
        </w:rPr>
        <w:t xml:space="preserve">To enable further focus on these core objectives of equity, sustainability and access the 8CPA will not include wholesaler arrangements or the workforce, rural and indigenous focussed CPPs. </w:t>
      </w:r>
      <w:r w:rsidR="00194E09">
        <w:rPr>
          <w:color w:val="auto"/>
          <w:sz w:val="24"/>
        </w:rPr>
        <w:t>These arrangements will instead be</w:t>
      </w:r>
      <w:r>
        <w:rPr>
          <w:color w:val="auto"/>
          <w:sz w:val="24"/>
        </w:rPr>
        <w:t xml:space="preserve"> negotiate</w:t>
      </w:r>
      <w:r w:rsidR="00194E09">
        <w:rPr>
          <w:color w:val="auto"/>
          <w:sz w:val="24"/>
        </w:rPr>
        <w:t>d</w:t>
      </w:r>
      <w:r>
        <w:rPr>
          <w:color w:val="auto"/>
          <w:sz w:val="24"/>
        </w:rPr>
        <w:t xml:space="preserve"> separately with the most relevant stakeholders. This will provide for broader reform in these areas and </w:t>
      </w:r>
      <w:r w:rsidR="00194E09">
        <w:rPr>
          <w:color w:val="auto"/>
          <w:sz w:val="24"/>
        </w:rPr>
        <w:t xml:space="preserve">allow for these arrangements to be </w:t>
      </w:r>
      <w:r>
        <w:rPr>
          <w:color w:val="auto"/>
          <w:sz w:val="24"/>
        </w:rPr>
        <w:t>better targeted to meet the needs for consumers, including First Nations Peoples, and businesses in regional and remote areas.</w:t>
      </w:r>
    </w:p>
    <w:p w14:paraId="4189C5F8" w14:textId="7CF81740" w:rsidR="00194E09" w:rsidRPr="00FF4C3F" w:rsidRDefault="00194E09" w:rsidP="009F736B">
      <w:pPr>
        <w:rPr>
          <w:color w:val="0D0D0D" w:themeColor="text1" w:themeTint="F2"/>
          <w:sz w:val="24"/>
          <w:szCs w:val="24"/>
        </w:rPr>
      </w:pPr>
      <w:r>
        <w:rPr>
          <w:color w:val="0D0D0D" w:themeColor="text1" w:themeTint="F2"/>
          <w:sz w:val="24"/>
          <w:szCs w:val="24"/>
        </w:rPr>
        <w:t xml:space="preserve">Success against these objectives will continue to be monitored and evaluated through analysis of PBS dispensing data. </w:t>
      </w:r>
      <w:r w:rsidRPr="00AE4FE0">
        <w:rPr>
          <w:color w:val="auto"/>
          <w:sz w:val="24"/>
        </w:rPr>
        <w:t>To evaluate</w:t>
      </w:r>
      <w:r>
        <w:rPr>
          <w:color w:val="auto"/>
          <w:sz w:val="24"/>
        </w:rPr>
        <w:t xml:space="preserve"> affordable access for the community</w:t>
      </w:r>
      <w:r w:rsidRPr="00AE4FE0">
        <w:rPr>
          <w:color w:val="auto"/>
          <w:sz w:val="24"/>
        </w:rPr>
        <w:t>, the total growth in PBS Government expense for the supply of medicines for future financial years will be monitored</w:t>
      </w:r>
      <w:r w:rsidR="00C5744C">
        <w:rPr>
          <w:color w:val="auto"/>
          <w:sz w:val="24"/>
        </w:rPr>
        <w:t>.</w:t>
      </w:r>
      <w:r w:rsidRPr="00AE4FE0">
        <w:rPr>
          <w:color w:val="auto"/>
          <w:sz w:val="24"/>
        </w:rPr>
        <w:t xml:space="preserve"> </w:t>
      </w:r>
      <w:r w:rsidR="00324775">
        <w:rPr>
          <w:color w:val="auto"/>
          <w:sz w:val="24"/>
        </w:rPr>
        <w:t>T</w:t>
      </w:r>
      <w:r w:rsidRPr="00EA16CE">
        <w:rPr>
          <w:color w:val="0D0D0D" w:themeColor="text1" w:themeTint="F2"/>
          <w:sz w:val="24"/>
          <w:szCs w:val="24"/>
        </w:rPr>
        <w:t>he</w:t>
      </w:r>
      <w:r>
        <w:rPr>
          <w:color w:val="0D0D0D" w:themeColor="text1" w:themeTint="F2"/>
          <w:sz w:val="24"/>
          <w:szCs w:val="24"/>
        </w:rPr>
        <w:t xml:space="preserve"> total</w:t>
      </w:r>
      <w:r w:rsidRPr="00EA16CE">
        <w:rPr>
          <w:color w:val="0D0D0D" w:themeColor="text1" w:themeTint="F2"/>
          <w:sz w:val="24"/>
          <w:szCs w:val="24"/>
        </w:rPr>
        <w:t xml:space="preserve"> cost to patients for medicines priced below the </w:t>
      </w:r>
      <w:r>
        <w:rPr>
          <w:color w:val="0D0D0D" w:themeColor="text1" w:themeTint="F2"/>
          <w:sz w:val="24"/>
          <w:szCs w:val="24"/>
        </w:rPr>
        <w:t xml:space="preserve">level of the </w:t>
      </w:r>
      <w:r w:rsidRPr="00EA16CE">
        <w:rPr>
          <w:color w:val="0D0D0D" w:themeColor="text1" w:themeTint="F2"/>
          <w:sz w:val="24"/>
          <w:szCs w:val="24"/>
        </w:rPr>
        <w:t>patient co-payment</w:t>
      </w:r>
      <w:r w:rsidRPr="00FF4C3F">
        <w:rPr>
          <w:color w:val="0D0D0D" w:themeColor="text1" w:themeTint="F2"/>
          <w:sz w:val="24"/>
          <w:szCs w:val="24"/>
        </w:rPr>
        <w:t xml:space="preserve"> </w:t>
      </w:r>
      <w:r>
        <w:rPr>
          <w:color w:val="0D0D0D" w:themeColor="text1" w:themeTint="F2"/>
          <w:sz w:val="24"/>
          <w:szCs w:val="24"/>
        </w:rPr>
        <w:t xml:space="preserve">(i.e. </w:t>
      </w:r>
      <w:r w:rsidRPr="00FF4C3F">
        <w:rPr>
          <w:color w:val="0D0D0D" w:themeColor="text1" w:themeTint="F2"/>
          <w:sz w:val="24"/>
          <w:szCs w:val="24"/>
        </w:rPr>
        <w:t>patient contributions through under co-payment prescriptions</w:t>
      </w:r>
      <w:r>
        <w:rPr>
          <w:color w:val="0D0D0D" w:themeColor="text1" w:themeTint="F2"/>
          <w:sz w:val="24"/>
          <w:szCs w:val="24"/>
        </w:rPr>
        <w:t xml:space="preserve">) and dispensing remuneration data </w:t>
      </w:r>
      <w:r w:rsidR="00324775">
        <w:rPr>
          <w:color w:val="0D0D0D" w:themeColor="text1" w:themeTint="F2"/>
          <w:sz w:val="24"/>
          <w:szCs w:val="24"/>
        </w:rPr>
        <w:t>will also continue to be monitored</w:t>
      </w:r>
      <w:r w:rsidRPr="00FF4C3F">
        <w:rPr>
          <w:color w:val="0D0D0D" w:themeColor="text1" w:themeTint="F2"/>
          <w:sz w:val="24"/>
          <w:szCs w:val="24"/>
        </w:rPr>
        <w:t>.</w:t>
      </w:r>
      <w:r w:rsidRPr="001D3CF6">
        <w:rPr>
          <w:color w:val="0D0D0D" w:themeColor="text1" w:themeTint="F2"/>
          <w:sz w:val="24"/>
          <w:szCs w:val="24"/>
        </w:rPr>
        <w:t xml:space="preserve"> </w:t>
      </w:r>
    </w:p>
    <w:p w14:paraId="72731ED4" w14:textId="54A0F573" w:rsidR="005311D3" w:rsidRDefault="00324775" w:rsidP="00277DFA">
      <w:pPr>
        <w:rPr>
          <w:color w:val="0D0D0D" w:themeColor="text1" w:themeTint="F2"/>
          <w:sz w:val="24"/>
          <w:szCs w:val="24"/>
        </w:rPr>
      </w:pPr>
      <w:r>
        <w:rPr>
          <w:color w:val="0D0D0D" w:themeColor="text1" w:themeTint="F2"/>
          <w:sz w:val="24"/>
          <w:szCs w:val="24"/>
        </w:rPr>
        <w:t>In addition</w:t>
      </w:r>
      <w:r w:rsidR="0066312E">
        <w:rPr>
          <w:color w:val="0D0D0D" w:themeColor="text1" w:themeTint="F2"/>
          <w:sz w:val="24"/>
          <w:szCs w:val="24"/>
        </w:rPr>
        <w:t>,</w:t>
      </w:r>
      <w:r>
        <w:rPr>
          <w:color w:val="0D0D0D" w:themeColor="text1" w:themeTint="F2"/>
          <w:sz w:val="24"/>
          <w:szCs w:val="24"/>
        </w:rPr>
        <w:t xml:space="preserve"> success of this objective for the 8CPA will be informed by the establishment of separate </w:t>
      </w:r>
      <w:r w:rsidR="0066312E">
        <w:rPr>
          <w:color w:val="0D0D0D" w:themeColor="text1" w:themeTint="F2"/>
          <w:sz w:val="24"/>
          <w:szCs w:val="24"/>
        </w:rPr>
        <w:t>arrangements</w:t>
      </w:r>
      <w:r>
        <w:rPr>
          <w:color w:val="0D0D0D" w:themeColor="text1" w:themeTint="F2"/>
          <w:sz w:val="24"/>
          <w:szCs w:val="24"/>
        </w:rPr>
        <w:t xml:space="preserve"> in relation to</w:t>
      </w:r>
      <w:r w:rsidR="005311D3">
        <w:rPr>
          <w:color w:val="0D0D0D" w:themeColor="text1" w:themeTint="F2"/>
          <w:sz w:val="24"/>
          <w:szCs w:val="24"/>
        </w:rPr>
        <w:t>:</w:t>
      </w:r>
    </w:p>
    <w:p w14:paraId="0E0F1314" w14:textId="6545DF14" w:rsidR="005311D3" w:rsidRPr="00BC612B" w:rsidRDefault="00324775" w:rsidP="0016563D">
      <w:pPr>
        <w:pStyle w:val="ListParagraph"/>
        <w:numPr>
          <w:ilvl w:val="0"/>
          <w:numId w:val="43"/>
        </w:numPr>
        <w:contextualSpacing w:val="0"/>
        <w:rPr>
          <w:color w:val="0D0D0D" w:themeColor="text1" w:themeTint="F2"/>
          <w:sz w:val="24"/>
          <w:szCs w:val="24"/>
        </w:rPr>
      </w:pPr>
      <w:r>
        <w:rPr>
          <w:color w:val="0D0D0D" w:themeColor="text1" w:themeTint="F2"/>
          <w:sz w:val="24"/>
          <w:szCs w:val="24"/>
        </w:rPr>
        <w:t xml:space="preserve">wholesaler arrangements, negotiated and signed by wholesaler stakeholders. </w:t>
      </w:r>
    </w:p>
    <w:p w14:paraId="7B41305B" w14:textId="55DF9783" w:rsidR="005311D3" w:rsidRPr="00BC612B" w:rsidRDefault="000744D0" w:rsidP="0016563D">
      <w:pPr>
        <w:pStyle w:val="ListParagraph"/>
        <w:numPr>
          <w:ilvl w:val="0"/>
          <w:numId w:val="43"/>
        </w:numPr>
        <w:contextualSpacing w:val="0"/>
        <w:rPr>
          <w:color w:val="0D0D0D" w:themeColor="text1" w:themeTint="F2"/>
          <w:sz w:val="24"/>
          <w:szCs w:val="24"/>
        </w:rPr>
      </w:pPr>
      <w:r>
        <w:rPr>
          <w:color w:val="0D0D0D" w:themeColor="text1" w:themeTint="F2"/>
          <w:sz w:val="24"/>
          <w:szCs w:val="24"/>
        </w:rPr>
        <w:t xml:space="preserve">CPPs relating to pharmacy workforce and rural and remote pharmacies as well as First </w:t>
      </w:r>
      <w:r w:rsidR="0066312E">
        <w:rPr>
          <w:color w:val="0D0D0D" w:themeColor="text1" w:themeTint="F2"/>
          <w:sz w:val="24"/>
          <w:szCs w:val="24"/>
        </w:rPr>
        <w:t>N</w:t>
      </w:r>
      <w:r>
        <w:rPr>
          <w:color w:val="0D0D0D" w:themeColor="text1" w:themeTint="F2"/>
          <w:sz w:val="24"/>
          <w:szCs w:val="24"/>
        </w:rPr>
        <w:t xml:space="preserve">ations </w:t>
      </w:r>
      <w:r w:rsidR="00C5744C">
        <w:rPr>
          <w:color w:val="0D0D0D" w:themeColor="text1" w:themeTint="F2"/>
          <w:sz w:val="24"/>
          <w:szCs w:val="24"/>
        </w:rPr>
        <w:t>s</w:t>
      </w:r>
      <w:r>
        <w:rPr>
          <w:color w:val="0D0D0D" w:themeColor="text1" w:themeTint="F2"/>
          <w:sz w:val="24"/>
          <w:szCs w:val="24"/>
        </w:rPr>
        <w:t xml:space="preserve">pecific programs </w:t>
      </w:r>
      <w:r w:rsidR="005311D3" w:rsidRPr="00BC612B">
        <w:rPr>
          <w:color w:val="0D0D0D" w:themeColor="text1" w:themeTint="F2"/>
          <w:sz w:val="24"/>
          <w:szCs w:val="24"/>
        </w:rPr>
        <w:t>developed with a broad range of stakeholders.</w:t>
      </w:r>
    </w:p>
    <w:p w14:paraId="5480E614" w14:textId="50382B00" w:rsidR="00324775" w:rsidRDefault="005311D3" w:rsidP="00596954">
      <w:pPr>
        <w:rPr>
          <w:color w:val="0D0D0D" w:themeColor="text1" w:themeTint="F2"/>
          <w:sz w:val="24"/>
          <w:szCs w:val="24"/>
        </w:rPr>
      </w:pPr>
      <w:r>
        <w:rPr>
          <w:color w:val="0D0D0D" w:themeColor="text1" w:themeTint="F2"/>
          <w:sz w:val="24"/>
          <w:szCs w:val="24"/>
        </w:rPr>
        <w:t xml:space="preserve">The CPPs will </w:t>
      </w:r>
      <w:r w:rsidR="000744D0">
        <w:rPr>
          <w:color w:val="0D0D0D" w:themeColor="text1" w:themeTint="F2"/>
          <w:sz w:val="24"/>
          <w:szCs w:val="24"/>
        </w:rPr>
        <w:t xml:space="preserve">be reviewed </w:t>
      </w:r>
      <w:r w:rsidR="00C5744C">
        <w:rPr>
          <w:color w:val="0D0D0D" w:themeColor="text1" w:themeTint="F2"/>
          <w:sz w:val="24"/>
          <w:szCs w:val="24"/>
        </w:rPr>
        <w:t xml:space="preserve">in </w:t>
      </w:r>
      <w:r w:rsidR="00324775">
        <w:rPr>
          <w:color w:val="0D0D0D" w:themeColor="text1" w:themeTint="F2"/>
          <w:sz w:val="24"/>
          <w:szCs w:val="24"/>
        </w:rPr>
        <w:t>collaboration with relevant stakeholders</w:t>
      </w:r>
      <w:r w:rsidR="000744D0">
        <w:rPr>
          <w:color w:val="0D0D0D" w:themeColor="text1" w:themeTint="F2"/>
          <w:sz w:val="24"/>
          <w:szCs w:val="24"/>
        </w:rPr>
        <w:t>, outside of the CPA. R</w:t>
      </w:r>
      <w:r w:rsidR="00324775">
        <w:rPr>
          <w:color w:val="0D0D0D" w:themeColor="text1" w:themeTint="F2"/>
          <w:sz w:val="24"/>
          <w:szCs w:val="24"/>
        </w:rPr>
        <w:t>eforms to the existing CPPs</w:t>
      </w:r>
      <w:r w:rsidR="000744D0">
        <w:rPr>
          <w:color w:val="0D0D0D" w:themeColor="text1" w:themeTint="F2"/>
          <w:sz w:val="24"/>
          <w:szCs w:val="24"/>
        </w:rPr>
        <w:t xml:space="preserve"> or new proposals will include the establishment of appropriate evaluation frameworks which provide for the analysis of the outcomes achieved and the cost effectiveness of each program</w:t>
      </w:r>
      <w:r w:rsidR="00324775">
        <w:rPr>
          <w:color w:val="0D0D0D" w:themeColor="text1" w:themeTint="F2"/>
          <w:sz w:val="24"/>
          <w:szCs w:val="24"/>
        </w:rPr>
        <w:t xml:space="preserve">. </w:t>
      </w:r>
    </w:p>
    <w:p w14:paraId="7ED62088" w14:textId="46D006C4" w:rsidR="00CA72FA" w:rsidRDefault="00CA72FA" w:rsidP="00596954">
      <w:pPr>
        <w:rPr>
          <w:color w:val="0D0D0D" w:themeColor="text1" w:themeTint="F2"/>
          <w:sz w:val="24"/>
          <w:szCs w:val="24"/>
        </w:rPr>
      </w:pPr>
    </w:p>
    <w:p w14:paraId="46FD8F39" w14:textId="5C2BAD7D" w:rsidR="007762FA" w:rsidRDefault="007762FA" w:rsidP="0095671A">
      <w:pPr>
        <w:pStyle w:val="Subtitle"/>
        <w:numPr>
          <w:ilvl w:val="0"/>
          <w:numId w:val="13"/>
        </w:numPr>
        <w:tabs>
          <w:tab w:val="left" w:pos="5670"/>
        </w:tabs>
        <w:spacing w:before="240" w:after="240"/>
        <w:rPr>
          <w:sz w:val="24"/>
        </w:rPr>
      </w:pPr>
      <w:r w:rsidRPr="007762FA">
        <w:rPr>
          <w:sz w:val="24"/>
        </w:rPr>
        <w:lastRenderedPageBreak/>
        <w:t>Accountability and Transparency</w:t>
      </w:r>
    </w:p>
    <w:p w14:paraId="59BD2F61" w14:textId="5AA34DC1" w:rsidR="006F1CD2" w:rsidRPr="009C584F" w:rsidRDefault="006F1CD2" w:rsidP="00596954">
      <w:pPr>
        <w:rPr>
          <w:color w:val="auto"/>
          <w:sz w:val="24"/>
        </w:rPr>
      </w:pPr>
      <w:r>
        <w:rPr>
          <w:color w:val="auto"/>
          <w:sz w:val="24"/>
        </w:rPr>
        <w:t xml:space="preserve">As discussed earlier the 7CPA included </w:t>
      </w:r>
      <w:r w:rsidR="00DF5215">
        <w:rPr>
          <w:color w:val="auto"/>
          <w:sz w:val="24"/>
        </w:rPr>
        <w:t xml:space="preserve">the strongest and most specific clauses </w:t>
      </w:r>
      <w:r>
        <w:rPr>
          <w:color w:val="auto"/>
          <w:sz w:val="24"/>
        </w:rPr>
        <w:t xml:space="preserve">to </w:t>
      </w:r>
      <w:r w:rsidR="00DF5215">
        <w:rPr>
          <w:color w:val="auto"/>
          <w:sz w:val="24"/>
        </w:rPr>
        <w:t xml:space="preserve">date in relation to </w:t>
      </w:r>
      <w:r>
        <w:rPr>
          <w:color w:val="auto"/>
          <w:sz w:val="24"/>
        </w:rPr>
        <w:t xml:space="preserve">increasing the transparency of pharmacy charges. As a direct result of this </w:t>
      </w:r>
      <w:r w:rsidR="00DF5215">
        <w:rPr>
          <w:color w:val="auto"/>
          <w:sz w:val="24"/>
        </w:rPr>
        <w:t xml:space="preserve">undertaking </w:t>
      </w:r>
      <w:r>
        <w:rPr>
          <w:color w:val="auto"/>
          <w:sz w:val="24"/>
        </w:rPr>
        <w:t xml:space="preserve">the Guild </w:t>
      </w:r>
      <w:r w:rsidR="00DF5215">
        <w:rPr>
          <w:color w:val="auto"/>
          <w:sz w:val="24"/>
        </w:rPr>
        <w:t xml:space="preserve">has </w:t>
      </w:r>
      <w:r>
        <w:rPr>
          <w:color w:val="auto"/>
          <w:sz w:val="24"/>
        </w:rPr>
        <w:t xml:space="preserve">developed a range of in pharmacy resources aimed at assisting pharmacists in improving general understanding of PBS medicine costs including dispensing charges. These resources in practice however </w:t>
      </w:r>
      <w:r w:rsidRPr="009C584F">
        <w:rPr>
          <w:color w:val="auto"/>
          <w:sz w:val="24"/>
        </w:rPr>
        <w:t>have done little to improve the transparency of the actual cost of dispensing remuneration and pharmacy charges for consumers.</w:t>
      </w:r>
    </w:p>
    <w:p w14:paraId="54028C85" w14:textId="190472EE" w:rsidR="00DF5215" w:rsidRPr="0016563D" w:rsidRDefault="00774C15" w:rsidP="00091514">
      <w:pPr>
        <w:rPr>
          <w:color w:val="auto"/>
          <w:sz w:val="24"/>
        </w:rPr>
      </w:pPr>
      <w:r w:rsidRPr="0016563D">
        <w:rPr>
          <w:color w:val="auto"/>
          <w:sz w:val="24"/>
        </w:rPr>
        <w:t xml:space="preserve">To </w:t>
      </w:r>
      <w:r w:rsidR="00DF5215" w:rsidRPr="0016563D">
        <w:rPr>
          <w:color w:val="auto"/>
          <w:sz w:val="24"/>
        </w:rPr>
        <w:t>encourage</w:t>
      </w:r>
      <w:r w:rsidRPr="0016563D">
        <w:rPr>
          <w:color w:val="auto"/>
          <w:sz w:val="24"/>
        </w:rPr>
        <w:t xml:space="preserve"> further </w:t>
      </w:r>
      <w:r w:rsidR="00DF5215" w:rsidRPr="0016563D">
        <w:rPr>
          <w:color w:val="auto"/>
          <w:sz w:val="24"/>
        </w:rPr>
        <w:t>transparency</w:t>
      </w:r>
      <w:r w:rsidRPr="0016563D">
        <w:rPr>
          <w:color w:val="auto"/>
          <w:sz w:val="24"/>
        </w:rPr>
        <w:t xml:space="preserve"> the 8CPA</w:t>
      </w:r>
      <w:r w:rsidR="00DF5215" w:rsidRPr="0016563D">
        <w:rPr>
          <w:color w:val="auto"/>
          <w:sz w:val="24"/>
        </w:rPr>
        <w:t xml:space="preserve"> </w:t>
      </w:r>
      <w:r w:rsidR="00A9346A" w:rsidRPr="0016563D">
        <w:rPr>
          <w:color w:val="auto"/>
          <w:sz w:val="24"/>
        </w:rPr>
        <w:t>will recognise that the Government will undertake further work to confirm that pharmacists are responsible for ensuring that consumers are made aware of the components of the costs of their medicines prior to the</w:t>
      </w:r>
      <w:r w:rsidR="00C5744C" w:rsidRPr="0016563D">
        <w:rPr>
          <w:color w:val="auto"/>
          <w:sz w:val="24"/>
        </w:rPr>
        <w:t>m</w:t>
      </w:r>
      <w:r w:rsidR="00A9346A" w:rsidRPr="0016563D">
        <w:rPr>
          <w:color w:val="auto"/>
          <w:sz w:val="24"/>
        </w:rPr>
        <w:t xml:space="preserve"> being dispensed. </w:t>
      </w:r>
    </w:p>
    <w:p w14:paraId="5BC19A18" w14:textId="52AE58E9" w:rsidR="003474BB" w:rsidRPr="00FC445F" w:rsidRDefault="00B51EC6" w:rsidP="00091514">
      <w:pPr>
        <w:rPr>
          <w:color w:val="auto"/>
          <w:sz w:val="24"/>
        </w:rPr>
      </w:pPr>
      <w:r w:rsidRPr="0016563D">
        <w:rPr>
          <w:color w:val="auto"/>
          <w:sz w:val="24"/>
        </w:rPr>
        <w:t>To assist in this evaluation and analysis the additional support of consumer focussed stakeholder groups may be sought to</w:t>
      </w:r>
      <w:r w:rsidR="007A3199" w:rsidRPr="0016563D">
        <w:rPr>
          <w:color w:val="auto"/>
          <w:sz w:val="24"/>
        </w:rPr>
        <w:t xml:space="preserve"> both the co-design</w:t>
      </w:r>
      <w:r w:rsidR="00701C80" w:rsidRPr="0016563D">
        <w:rPr>
          <w:color w:val="auto"/>
          <w:sz w:val="24"/>
        </w:rPr>
        <w:t>ing</w:t>
      </w:r>
      <w:r w:rsidR="007A3199" w:rsidRPr="0016563D">
        <w:rPr>
          <w:color w:val="auto"/>
          <w:sz w:val="24"/>
        </w:rPr>
        <w:t xml:space="preserve"> and</w:t>
      </w:r>
      <w:r w:rsidRPr="0016563D">
        <w:rPr>
          <w:color w:val="auto"/>
          <w:sz w:val="24"/>
        </w:rPr>
        <w:t xml:space="preserve"> </w:t>
      </w:r>
      <w:r w:rsidR="007A3199" w:rsidRPr="0016563D">
        <w:rPr>
          <w:color w:val="auto"/>
          <w:sz w:val="24"/>
        </w:rPr>
        <w:t>undertaking</w:t>
      </w:r>
      <w:r w:rsidR="00DD2203" w:rsidRPr="0016563D">
        <w:rPr>
          <w:color w:val="auto"/>
          <w:sz w:val="24"/>
        </w:rPr>
        <w:t xml:space="preserve"> of</w:t>
      </w:r>
      <w:r w:rsidR="007A3199" w:rsidRPr="0016563D">
        <w:rPr>
          <w:color w:val="auto"/>
          <w:sz w:val="24"/>
        </w:rPr>
        <w:t xml:space="preserve"> </w:t>
      </w:r>
      <w:r w:rsidRPr="0016563D">
        <w:rPr>
          <w:color w:val="auto"/>
          <w:sz w:val="24"/>
        </w:rPr>
        <w:t>representative surveys as a source of evidence for changes in consumer awareness and understanding of relevant charges.</w:t>
      </w:r>
    </w:p>
    <w:p w14:paraId="3922C746" w14:textId="526A01B6" w:rsidR="004B23B1" w:rsidRPr="00C20287" w:rsidRDefault="004B23B1" w:rsidP="0095671A">
      <w:pPr>
        <w:pStyle w:val="Subtitle"/>
        <w:numPr>
          <w:ilvl w:val="0"/>
          <w:numId w:val="13"/>
        </w:numPr>
        <w:tabs>
          <w:tab w:val="left" w:pos="5670"/>
        </w:tabs>
        <w:spacing w:before="240" w:after="240"/>
        <w:rPr>
          <w:sz w:val="24"/>
        </w:rPr>
      </w:pPr>
      <w:r w:rsidRPr="00C20287">
        <w:rPr>
          <w:sz w:val="24"/>
        </w:rPr>
        <w:t xml:space="preserve">Supporting stronger collaboration and innovation </w:t>
      </w:r>
    </w:p>
    <w:p w14:paraId="329EB69A" w14:textId="3DF518B7" w:rsidR="00B648C2" w:rsidRDefault="00B648C2" w:rsidP="00BC612B">
      <w:pPr>
        <w:rPr>
          <w:color w:val="auto"/>
          <w:sz w:val="24"/>
        </w:rPr>
      </w:pPr>
      <w:r>
        <w:rPr>
          <w:color w:val="auto"/>
          <w:sz w:val="24"/>
        </w:rPr>
        <w:t>As discussed in earlier sections</w:t>
      </w:r>
      <w:r w:rsidR="0066312E">
        <w:rPr>
          <w:color w:val="auto"/>
          <w:sz w:val="24"/>
        </w:rPr>
        <w:t>,</w:t>
      </w:r>
      <w:r>
        <w:rPr>
          <w:color w:val="auto"/>
          <w:sz w:val="24"/>
        </w:rPr>
        <w:t xml:space="preserve"> successive CPAs have sought to encourage collaboration and innovation across the pharmacy sector. A number of pharmacy program pilots and trial</w:t>
      </w:r>
      <w:r w:rsidR="00A9346A">
        <w:rPr>
          <w:color w:val="auto"/>
          <w:sz w:val="24"/>
        </w:rPr>
        <w:t>s</w:t>
      </w:r>
      <w:r>
        <w:rPr>
          <w:color w:val="auto"/>
          <w:sz w:val="24"/>
        </w:rPr>
        <w:t xml:space="preserve"> were established under the 6CPA. During the 7CPA the results and outcomes f</w:t>
      </w:r>
      <w:r w:rsidR="000F646E">
        <w:rPr>
          <w:color w:val="auto"/>
          <w:sz w:val="24"/>
        </w:rPr>
        <w:t>ro</w:t>
      </w:r>
      <w:r>
        <w:rPr>
          <w:color w:val="auto"/>
          <w:sz w:val="24"/>
        </w:rPr>
        <w:t>m these trials and other reviews were used to inform MSAC consideration of the CPP</w:t>
      </w:r>
      <w:r w:rsidR="00A9346A">
        <w:rPr>
          <w:color w:val="auto"/>
          <w:sz w:val="24"/>
        </w:rPr>
        <w:t>s</w:t>
      </w:r>
      <w:r>
        <w:rPr>
          <w:color w:val="auto"/>
          <w:sz w:val="24"/>
        </w:rPr>
        <w:t>. The outcomes and feedback from the MSAC consideration will be used to inform the review of CPPs included in the 8CPA as well as the establishment of appropriate evaluation frameworks.</w:t>
      </w:r>
    </w:p>
    <w:p w14:paraId="2CE5FF66" w14:textId="7EC1F972" w:rsidR="00B648C2" w:rsidRDefault="00B648C2" w:rsidP="00BC612B">
      <w:pPr>
        <w:rPr>
          <w:color w:val="auto"/>
          <w:sz w:val="24"/>
        </w:rPr>
      </w:pPr>
      <w:r w:rsidRPr="00A758C6">
        <w:rPr>
          <w:color w:val="auto"/>
          <w:sz w:val="24"/>
        </w:rPr>
        <w:t xml:space="preserve">The evaluation of </w:t>
      </w:r>
      <w:r>
        <w:rPr>
          <w:color w:val="auto"/>
          <w:sz w:val="24"/>
        </w:rPr>
        <w:t xml:space="preserve">CPPs </w:t>
      </w:r>
      <w:r w:rsidRPr="00A758C6">
        <w:rPr>
          <w:color w:val="auto"/>
          <w:sz w:val="24"/>
        </w:rPr>
        <w:t>will require designing individual evaluation frameworks as outlined in the implementation section above. This evaluation framework will be used to determine what data need to be collected to allow a thorough evaluation of the clinical benefit and cost effectiveness. If no or limited clinical benefit was determined after evaluation the money for that program may be directed to other better performing programs or to other services that could provide the clinical benefit that the initial program was designed to deliver</w:t>
      </w:r>
      <w:r>
        <w:rPr>
          <w:color w:val="auto"/>
          <w:sz w:val="24"/>
        </w:rPr>
        <w:t>.</w:t>
      </w:r>
    </w:p>
    <w:p w14:paraId="14871836" w14:textId="2F69CD5B" w:rsidR="004B23B1" w:rsidRPr="001372B9" w:rsidRDefault="001372B9" w:rsidP="00BC612B">
      <w:pPr>
        <w:rPr>
          <w:color w:val="auto"/>
          <w:sz w:val="24"/>
        </w:rPr>
      </w:pPr>
      <w:r>
        <w:rPr>
          <w:color w:val="auto"/>
          <w:sz w:val="24"/>
        </w:rPr>
        <w:t xml:space="preserve">Success against this objective will be evaluated through </w:t>
      </w:r>
      <w:r w:rsidR="004B23B1" w:rsidRPr="001372B9">
        <w:rPr>
          <w:color w:val="auto"/>
          <w:sz w:val="24"/>
        </w:rPr>
        <w:t xml:space="preserve">stakeholder engagement in the design and </w:t>
      </w:r>
      <w:r>
        <w:rPr>
          <w:color w:val="auto"/>
          <w:sz w:val="24"/>
        </w:rPr>
        <w:t xml:space="preserve">establishment of </w:t>
      </w:r>
      <w:r w:rsidR="00B648C2">
        <w:rPr>
          <w:color w:val="auto"/>
          <w:sz w:val="24"/>
        </w:rPr>
        <w:t xml:space="preserve">appropriate evaluation frameworks </w:t>
      </w:r>
      <w:r w:rsidR="007F5CB0" w:rsidRPr="001372B9">
        <w:rPr>
          <w:color w:val="auto"/>
          <w:sz w:val="24"/>
        </w:rPr>
        <w:t>to enable</w:t>
      </w:r>
      <w:r w:rsidR="00042558" w:rsidRPr="001372B9">
        <w:rPr>
          <w:color w:val="auto"/>
          <w:sz w:val="24"/>
        </w:rPr>
        <w:t xml:space="preserve"> </w:t>
      </w:r>
      <w:r w:rsidR="00B648C2">
        <w:rPr>
          <w:color w:val="auto"/>
          <w:sz w:val="24"/>
        </w:rPr>
        <w:t>the ongoing analysis of the</w:t>
      </w:r>
      <w:r w:rsidR="007F5CB0" w:rsidRPr="001372B9">
        <w:rPr>
          <w:color w:val="auto"/>
          <w:sz w:val="24"/>
        </w:rPr>
        <w:t xml:space="preserve"> health outcomes</w:t>
      </w:r>
      <w:r w:rsidR="00B648C2">
        <w:rPr>
          <w:color w:val="auto"/>
          <w:sz w:val="24"/>
        </w:rPr>
        <w:t xml:space="preserve"> achieved and the cost effectiveness of each program</w:t>
      </w:r>
      <w:r w:rsidR="007F5CB0" w:rsidRPr="00BC612B">
        <w:rPr>
          <w:color w:val="auto"/>
          <w:sz w:val="24"/>
        </w:rPr>
        <w:t>.</w:t>
      </w:r>
      <w:r w:rsidR="007F5CB0" w:rsidRPr="001372B9">
        <w:rPr>
          <w:color w:val="auto"/>
          <w:sz w:val="24"/>
        </w:rPr>
        <w:t xml:space="preserve"> </w:t>
      </w:r>
    </w:p>
    <w:p w14:paraId="5217C2B1" w14:textId="1F0DADB6" w:rsidR="009864C2" w:rsidRPr="00C20287" w:rsidRDefault="009864C2" w:rsidP="00460580">
      <w:pPr>
        <w:pStyle w:val="Heading3"/>
      </w:pPr>
      <w:bookmarkStart w:id="96" w:name="_Toc132192317"/>
      <w:bookmarkStart w:id="97" w:name="_Toc168652760"/>
      <w:r w:rsidRPr="00C20287">
        <w:lastRenderedPageBreak/>
        <w:t>Monitoring stakeholder impacts</w:t>
      </w:r>
      <w:bookmarkEnd w:id="96"/>
      <w:bookmarkEnd w:id="97"/>
      <w:r w:rsidRPr="00C20287">
        <w:t xml:space="preserve"> </w:t>
      </w:r>
    </w:p>
    <w:p w14:paraId="352AEFE8" w14:textId="728B89DD" w:rsidR="009864C2" w:rsidRPr="00C20287" w:rsidRDefault="009864C2" w:rsidP="00A51698">
      <w:pPr>
        <w:pStyle w:val="BodyText"/>
        <w:keepNext/>
        <w:keepLines/>
        <w:spacing w:after="0"/>
        <w:rPr>
          <w:rFonts w:cstheme="minorHAnsi"/>
          <w:color w:val="000000" w:themeColor="text1"/>
          <w:sz w:val="24"/>
          <w:szCs w:val="24"/>
        </w:rPr>
      </w:pPr>
      <w:r w:rsidRPr="00C20287">
        <w:rPr>
          <w:rFonts w:cstheme="minorHAnsi"/>
          <w:color w:val="000000" w:themeColor="text1"/>
          <w:sz w:val="24"/>
          <w:szCs w:val="24"/>
        </w:rPr>
        <w:t xml:space="preserve">In addition to the development of a comprehensive evaluation framework to measure success and mitigate unforeseen issues, the Department is also committed to evaluating the impacts of implementation of the proposal </w:t>
      </w:r>
      <w:r w:rsidR="00107328" w:rsidRPr="00C20287">
        <w:rPr>
          <w:rFonts w:cstheme="minorHAnsi"/>
          <w:color w:val="000000" w:themeColor="text1"/>
          <w:sz w:val="24"/>
          <w:szCs w:val="24"/>
        </w:rPr>
        <w:t xml:space="preserve">on </w:t>
      </w:r>
      <w:r w:rsidRPr="00C20287">
        <w:rPr>
          <w:rFonts w:cstheme="minorHAnsi"/>
          <w:color w:val="000000" w:themeColor="text1"/>
          <w:sz w:val="24"/>
          <w:szCs w:val="24"/>
        </w:rPr>
        <w:t>all affected stakeholders</w:t>
      </w:r>
      <w:r w:rsidR="00BB51B2" w:rsidRPr="00C20287">
        <w:rPr>
          <w:rFonts w:cstheme="minorHAnsi"/>
          <w:color w:val="000000" w:themeColor="text1"/>
          <w:sz w:val="24"/>
          <w:szCs w:val="24"/>
        </w:rPr>
        <w:t xml:space="preserve"> through existing mechanisms</w:t>
      </w:r>
      <w:r w:rsidRPr="00C20287">
        <w:rPr>
          <w:rFonts w:cstheme="minorHAnsi"/>
          <w:color w:val="000000" w:themeColor="text1"/>
          <w:sz w:val="24"/>
          <w:szCs w:val="24"/>
        </w:rPr>
        <w:t>.</w:t>
      </w:r>
      <w:r w:rsidR="00107328" w:rsidRPr="00C20287">
        <w:rPr>
          <w:rFonts w:cstheme="minorHAnsi"/>
          <w:color w:val="000000" w:themeColor="text1"/>
          <w:sz w:val="24"/>
          <w:szCs w:val="24"/>
        </w:rPr>
        <w:t xml:space="preserve"> Suggested changes to improve clinical outcomes will be incorporated into programs and services as soon as possible.</w:t>
      </w:r>
      <w:r w:rsidR="00952A49">
        <w:rPr>
          <w:rFonts w:cstheme="minorHAnsi"/>
          <w:color w:val="000000" w:themeColor="text1"/>
          <w:sz w:val="24"/>
          <w:szCs w:val="24"/>
        </w:rPr>
        <w:t xml:space="preserve"> Evaluation will be ongoing for the life of any agreement and will </w:t>
      </w:r>
      <w:r w:rsidR="000F646E">
        <w:rPr>
          <w:rFonts w:cstheme="minorHAnsi"/>
          <w:color w:val="000000" w:themeColor="text1"/>
          <w:sz w:val="24"/>
          <w:szCs w:val="24"/>
        </w:rPr>
        <w:t>relate to</w:t>
      </w:r>
      <w:r w:rsidR="00952A49">
        <w:rPr>
          <w:rFonts w:cstheme="minorHAnsi"/>
          <w:color w:val="000000" w:themeColor="text1"/>
          <w:sz w:val="24"/>
          <w:szCs w:val="24"/>
        </w:rPr>
        <w:t xml:space="preserve"> individual components as outlined below. The Department is committed </w:t>
      </w:r>
      <w:r w:rsidR="0066312E">
        <w:rPr>
          <w:rFonts w:cstheme="minorHAnsi"/>
          <w:color w:val="000000" w:themeColor="text1"/>
          <w:sz w:val="24"/>
          <w:szCs w:val="24"/>
        </w:rPr>
        <w:t xml:space="preserve">to </w:t>
      </w:r>
      <w:r w:rsidR="00596954">
        <w:rPr>
          <w:rFonts w:cstheme="minorHAnsi"/>
          <w:color w:val="000000" w:themeColor="text1"/>
          <w:sz w:val="24"/>
          <w:szCs w:val="24"/>
        </w:rPr>
        <w:t xml:space="preserve">ongoing consultations </w:t>
      </w:r>
      <w:r w:rsidR="00952A49">
        <w:rPr>
          <w:rFonts w:cstheme="minorHAnsi"/>
          <w:color w:val="000000" w:themeColor="text1"/>
          <w:sz w:val="24"/>
          <w:szCs w:val="24"/>
        </w:rPr>
        <w:t xml:space="preserve">with key stakeholders in the community pharmacy space, </w:t>
      </w:r>
      <w:r w:rsidR="00596954">
        <w:rPr>
          <w:rFonts w:cstheme="minorHAnsi"/>
          <w:color w:val="000000" w:themeColor="text1"/>
          <w:sz w:val="24"/>
          <w:szCs w:val="24"/>
        </w:rPr>
        <w:t xml:space="preserve">including </w:t>
      </w:r>
      <w:r w:rsidR="00952A49">
        <w:rPr>
          <w:rFonts w:cstheme="minorHAnsi"/>
          <w:color w:val="000000" w:themeColor="text1"/>
          <w:sz w:val="24"/>
          <w:szCs w:val="24"/>
        </w:rPr>
        <w:t>the Guild, PSA, NPSA and consumer organisations to ensure that the goals of the agreement as outline in Sect</w:t>
      </w:r>
      <w:r w:rsidR="00F86906">
        <w:rPr>
          <w:rFonts w:cstheme="minorHAnsi"/>
          <w:color w:val="000000" w:themeColor="text1"/>
          <w:sz w:val="24"/>
          <w:szCs w:val="24"/>
        </w:rPr>
        <w:t>i</w:t>
      </w:r>
      <w:r w:rsidR="00952A49">
        <w:rPr>
          <w:rFonts w:cstheme="minorHAnsi"/>
          <w:color w:val="000000" w:themeColor="text1"/>
          <w:sz w:val="24"/>
          <w:szCs w:val="24"/>
        </w:rPr>
        <w:t>o</w:t>
      </w:r>
      <w:r w:rsidR="00F86906">
        <w:rPr>
          <w:rFonts w:cstheme="minorHAnsi"/>
          <w:color w:val="000000" w:themeColor="text1"/>
          <w:sz w:val="24"/>
          <w:szCs w:val="24"/>
        </w:rPr>
        <w:t>n</w:t>
      </w:r>
      <w:r w:rsidR="00952A49">
        <w:rPr>
          <w:rFonts w:cstheme="minorHAnsi"/>
          <w:color w:val="000000" w:themeColor="text1"/>
          <w:sz w:val="24"/>
          <w:szCs w:val="24"/>
        </w:rPr>
        <w:t xml:space="preserve"> 2 above are being met.</w:t>
      </w:r>
    </w:p>
    <w:p w14:paraId="65BC13ED" w14:textId="6604AE30" w:rsidR="009C0DB6" w:rsidRPr="00C20287" w:rsidRDefault="009C0DB6" w:rsidP="007D66D7">
      <w:pPr>
        <w:pStyle w:val="Subtitle"/>
        <w:keepNext/>
        <w:keepLines/>
        <w:spacing w:after="0"/>
        <w:rPr>
          <w:sz w:val="24"/>
        </w:rPr>
      </w:pPr>
      <w:r w:rsidRPr="00C20287">
        <w:rPr>
          <w:sz w:val="24"/>
        </w:rPr>
        <w:t>Community pharmacy sector</w:t>
      </w:r>
    </w:p>
    <w:p w14:paraId="6AB055FF" w14:textId="6E34E270" w:rsidR="000A224A" w:rsidRPr="00BE6604" w:rsidRDefault="009C0DB6" w:rsidP="00BE6604">
      <w:pPr>
        <w:spacing w:before="240" w:after="240"/>
        <w:rPr>
          <w:color w:val="auto"/>
          <w:sz w:val="24"/>
        </w:rPr>
      </w:pPr>
      <w:r w:rsidRPr="00C20287">
        <w:rPr>
          <w:rFonts w:ascii="Calibri" w:hAnsi="Calibri"/>
          <w:color w:val="auto"/>
          <w:sz w:val="24"/>
        </w:rPr>
        <w:t>T</w:t>
      </w:r>
      <w:r w:rsidRPr="00BE6604">
        <w:rPr>
          <w:color w:val="auto"/>
          <w:sz w:val="24"/>
        </w:rPr>
        <w:t>he Department will continue to monitor the impact on the community pharmacy sector</w:t>
      </w:r>
      <w:r w:rsidR="000A224A" w:rsidRPr="00BE6604">
        <w:rPr>
          <w:color w:val="auto"/>
          <w:sz w:val="24"/>
        </w:rPr>
        <w:t>.</w:t>
      </w:r>
      <w:r w:rsidR="00107328" w:rsidRPr="00BE6604">
        <w:rPr>
          <w:color w:val="auto"/>
          <w:sz w:val="24"/>
        </w:rPr>
        <w:t xml:space="preserve"> Remuneration for dispensing PBS medicines will continue to be monitored by the Department through existing mechanisms</w:t>
      </w:r>
      <w:r w:rsidR="0086296C">
        <w:rPr>
          <w:color w:val="auto"/>
          <w:sz w:val="24"/>
        </w:rPr>
        <w:t xml:space="preserve">, as outlined </w:t>
      </w:r>
      <w:r w:rsidR="00596954">
        <w:rPr>
          <w:color w:val="auto"/>
          <w:sz w:val="24"/>
        </w:rPr>
        <w:t>above. A</w:t>
      </w:r>
      <w:r w:rsidR="0086296C">
        <w:rPr>
          <w:color w:val="auto"/>
          <w:sz w:val="24"/>
        </w:rPr>
        <w:t xml:space="preserve">ctual expenditure </w:t>
      </w:r>
      <w:r w:rsidR="00596954">
        <w:rPr>
          <w:color w:val="auto"/>
          <w:sz w:val="24"/>
        </w:rPr>
        <w:t xml:space="preserve">data </w:t>
      </w:r>
      <w:r w:rsidR="00347A58">
        <w:rPr>
          <w:color w:val="auto"/>
          <w:sz w:val="24"/>
        </w:rPr>
        <w:t>are</w:t>
      </w:r>
      <w:r w:rsidR="0086296C">
        <w:rPr>
          <w:color w:val="auto"/>
          <w:sz w:val="24"/>
        </w:rPr>
        <w:t xml:space="preserve"> supplied by Services Australia and tracked on an annual basis by the Department</w:t>
      </w:r>
      <w:r w:rsidR="00107328" w:rsidRPr="00BE6604">
        <w:rPr>
          <w:color w:val="auto"/>
          <w:sz w:val="24"/>
        </w:rPr>
        <w:t xml:space="preserve">. Participation of community pharmacies in pharmacy programs will be monitored by the Department </w:t>
      </w:r>
      <w:r w:rsidR="0086296C">
        <w:rPr>
          <w:color w:val="auto"/>
          <w:sz w:val="24"/>
        </w:rPr>
        <w:t>and reported on the Health website as is currently undertaken,</w:t>
      </w:r>
      <w:r w:rsidR="00107328" w:rsidRPr="00BE6604">
        <w:rPr>
          <w:color w:val="auto"/>
          <w:sz w:val="24"/>
        </w:rPr>
        <w:t xml:space="preserve"> to ensure that access to these programs is maximised for all Australians. </w:t>
      </w:r>
      <w:r w:rsidR="0086296C">
        <w:rPr>
          <w:color w:val="auto"/>
          <w:sz w:val="24"/>
        </w:rPr>
        <w:t>Any changes in these metrics that indicate a lessening of access to medicines and services for consumers will trigger the Department to look at measures to restore equitable access.</w:t>
      </w:r>
    </w:p>
    <w:p w14:paraId="7B5567B3" w14:textId="1CFAAC61" w:rsidR="009C0DB6" w:rsidRPr="00C20287" w:rsidRDefault="00107328" w:rsidP="007D66D7">
      <w:pPr>
        <w:spacing w:before="240" w:after="240"/>
        <w:contextualSpacing/>
        <w:rPr>
          <w:rFonts w:ascii="Calibri" w:hAnsi="Calibri"/>
          <w:color w:val="auto"/>
          <w:sz w:val="24"/>
        </w:rPr>
      </w:pPr>
      <w:r w:rsidRPr="00C20287">
        <w:rPr>
          <w:rFonts w:ascii="Calibri" w:hAnsi="Calibri"/>
          <w:color w:val="auto"/>
          <w:sz w:val="24"/>
        </w:rPr>
        <w:t xml:space="preserve">The Department will also monitor the number and distribution of pharmacies across Australia to ensure businesses continue to be viable and provide convenient </w:t>
      </w:r>
      <w:r w:rsidR="001372B9">
        <w:rPr>
          <w:rFonts w:ascii="Calibri" w:hAnsi="Calibri"/>
          <w:color w:val="auto"/>
          <w:sz w:val="24"/>
        </w:rPr>
        <w:t xml:space="preserve">means of </w:t>
      </w:r>
      <w:r w:rsidRPr="00C20287">
        <w:rPr>
          <w:rFonts w:ascii="Calibri" w:hAnsi="Calibri"/>
          <w:color w:val="auto"/>
          <w:sz w:val="24"/>
        </w:rPr>
        <w:t>access to medicines for all Australians.</w:t>
      </w:r>
      <w:r w:rsidR="00AA2DC1" w:rsidRPr="00C20287">
        <w:rPr>
          <w:rFonts w:ascii="Calibri" w:hAnsi="Calibri"/>
          <w:color w:val="auto"/>
          <w:sz w:val="24"/>
        </w:rPr>
        <w:t xml:space="preserve"> </w:t>
      </w:r>
      <w:r w:rsidR="00F640A8">
        <w:rPr>
          <w:rFonts w:ascii="Calibri" w:hAnsi="Calibri"/>
          <w:color w:val="auto"/>
          <w:sz w:val="24"/>
        </w:rPr>
        <w:t xml:space="preserve">Currently the Department receives monthly statistics on the number of pharmacy applications to move, change owners, open a new premises or close an existing pharmacy. The Department then tracks this data </w:t>
      </w:r>
      <w:r w:rsidR="00596954">
        <w:rPr>
          <w:rFonts w:ascii="Calibri" w:hAnsi="Calibri"/>
          <w:color w:val="auto"/>
          <w:sz w:val="24"/>
        </w:rPr>
        <w:t xml:space="preserve">with reference to population data </w:t>
      </w:r>
      <w:r w:rsidR="00F640A8">
        <w:rPr>
          <w:rFonts w:ascii="Calibri" w:hAnsi="Calibri"/>
          <w:color w:val="auto"/>
          <w:sz w:val="24"/>
        </w:rPr>
        <w:t xml:space="preserve">to ensure that access to pharmacies remains at similar levels or improves. The distribution of pharmacies is also tracked by the Department ensuring that rural and remote communities are not adversely affected by any proposed closures. </w:t>
      </w:r>
    </w:p>
    <w:p w14:paraId="1E5CCABB" w14:textId="77777777" w:rsidR="009C0DB6" w:rsidRPr="00C20287" w:rsidRDefault="009C0DB6" w:rsidP="000A1249">
      <w:pPr>
        <w:pStyle w:val="Subtitle"/>
        <w:keepNext/>
        <w:keepLines/>
        <w:spacing w:after="0"/>
        <w:rPr>
          <w:sz w:val="24"/>
        </w:rPr>
      </w:pPr>
      <w:r w:rsidRPr="00C20287">
        <w:rPr>
          <w:sz w:val="24"/>
        </w:rPr>
        <w:t>Wholesalers</w:t>
      </w:r>
    </w:p>
    <w:p w14:paraId="09A7A3DC" w14:textId="563EBB23" w:rsidR="0069411E" w:rsidRPr="00C20287" w:rsidRDefault="009C0DB6" w:rsidP="0016563D">
      <w:pPr>
        <w:spacing w:before="120" w:after="0"/>
        <w:rPr>
          <w:color w:val="auto"/>
          <w:sz w:val="24"/>
        </w:rPr>
      </w:pPr>
      <w:r w:rsidRPr="00C20287">
        <w:rPr>
          <w:color w:val="auto"/>
          <w:sz w:val="24"/>
        </w:rPr>
        <w:t>The</w:t>
      </w:r>
      <w:r w:rsidR="00107328" w:rsidRPr="00C20287">
        <w:rPr>
          <w:color w:val="auto"/>
          <w:sz w:val="24"/>
        </w:rPr>
        <w:t xml:space="preserve"> Department will monitor the ongoing remuneration to wholesalers through existing mechanisms</w:t>
      </w:r>
      <w:r w:rsidR="00F640A8">
        <w:rPr>
          <w:color w:val="auto"/>
          <w:sz w:val="24"/>
        </w:rPr>
        <w:t>, with the financial data provided by the administrator of the CSO and Services Australia</w:t>
      </w:r>
      <w:r w:rsidR="00107328" w:rsidRPr="00C20287">
        <w:rPr>
          <w:color w:val="auto"/>
          <w:sz w:val="24"/>
        </w:rPr>
        <w:t xml:space="preserve">. </w:t>
      </w:r>
      <w:r w:rsidR="00F8388D" w:rsidRPr="00C20287">
        <w:rPr>
          <w:color w:val="auto"/>
          <w:sz w:val="24"/>
        </w:rPr>
        <w:t xml:space="preserve">The viability and performance of wholesalers to supply medicines to all pharmacies will be monitored to ensure that no </w:t>
      </w:r>
      <w:r w:rsidR="00A37E4F" w:rsidRPr="00C20287">
        <w:rPr>
          <w:color w:val="auto"/>
          <w:sz w:val="24"/>
        </w:rPr>
        <w:t xml:space="preserve">adverse </w:t>
      </w:r>
      <w:r w:rsidR="00F8388D" w:rsidRPr="00C20287">
        <w:rPr>
          <w:color w:val="auto"/>
          <w:sz w:val="24"/>
        </w:rPr>
        <w:t>effect on supply to pharmacies outside of metro areas has resulted as a consequence of the implementation</w:t>
      </w:r>
      <w:r w:rsidRPr="00C20287">
        <w:rPr>
          <w:color w:val="auto"/>
          <w:sz w:val="24"/>
        </w:rPr>
        <w:t>.</w:t>
      </w:r>
      <w:r w:rsidR="00F640A8">
        <w:rPr>
          <w:color w:val="auto"/>
          <w:sz w:val="24"/>
        </w:rPr>
        <w:t xml:space="preserve"> Regular meeting</w:t>
      </w:r>
      <w:r w:rsidR="0066312E">
        <w:rPr>
          <w:color w:val="auto"/>
          <w:sz w:val="24"/>
        </w:rPr>
        <w:t>s</w:t>
      </w:r>
      <w:r w:rsidR="00F640A8">
        <w:rPr>
          <w:color w:val="auto"/>
          <w:sz w:val="24"/>
        </w:rPr>
        <w:t xml:space="preserve"> with </w:t>
      </w:r>
      <w:r w:rsidR="0066312E">
        <w:rPr>
          <w:color w:val="auto"/>
          <w:sz w:val="24"/>
        </w:rPr>
        <w:t xml:space="preserve">the </w:t>
      </w:r>
      <w:r w:rsidR="00F640A8">
        <w:rPr>
          <w:color w:val="auto"/>
          <w:sz w:val="24"/>
        </w:rPr>
        <w:t>NPSA will continue for the life of any agreement to further ensure that access to medicines supplied through the wholesalers is not adversely affected by Government action.</w:t>
      </w:r>
    </w:p>
    <w:p w14:paraId="4DB30352" w14:textId="72F8EB82" w:rsidR="000516FF" w:rsidRPr="00C20287" w:rsidRDefault="000516FF" w:rsidP="00F8388D">
      <w:pPr>
        <w:pStyle w:val="Subtitle"/>
        <w:keepNext/>
        <w:keepLines/>
        <w:spacing w:after="0"/>
        <w:rPr>
          <w:sz w:val="24"/>
        </w:rPr>
      </w:pPr>
      <w:r w:rsidRPr="00C20287">
        <w:rPr>
          <w:sz w:val="24"/>
        </w:rPr>
        <w:t>Consumers</w:t>
      </w:r>
    </w:p>
    <w:p w14:paraId="12593133" w14:textId="0CBA8880" w:rsidR="00712611" w:rsidRPr="00C20287" w:rsidRDefault="00F8388D" w:rsidP="0016563D">
      <w:pPr>
        <w:spacing w:before="120" w:after="0"/>
        <w:rPr>
          <w:color w:val="auto"/>
          <w:sz w:val="24"/>
        </w:rPr>
      </w:pPr>
      <w:r w:rsidRPr="00C20287">
        <w:rPr>
          <w:color w:val="auto"/>
          <w:sz w:val="24"/>
        </w:rPr>
        <w:t xml:space="preserve">Impacts on </w:t>
      </w:r>
      <w:r w:rsidR="005710B6" w:rsidRPr="00C20287">
        <w:rPr>
          <w:color w:val="auto"/>
          <w:sz w:val="24"/>
        </w:rPr>
        <w:t>consumers’</w:t>
      </w:r>
      <w:r w:rsidRPr="00C20287">
        <w:rPr>
          <w:color w:val="auto"/>
          <w:sz w:val="24"/>
        </w:rPr>
        <w:t xml:space="preserve"> access to medicines will be monitored through the Department monitoring the viability and distribution of community pharmacies</w:t>
      </w:r>
      <w:r w:rsidR="00F640A8">
        <w:rPr>
          <w:color w:val="auto"/>
          <w:sz w:val="24"/>
        </w:rPr>
        <w:t xml:space="preserve"> as above</w:t>
      </w:r>
      <w:r w:rsidR="000F646E">
        <w:rPr>
          <w:color w:val="auto"/>
          <w:sz w:val="24"/>
        </w:rPr>
        <w:t>, and the ongoing collection and monitoring of PBS medicines prescribed and dispensed to patients</w:t>
      </w:r>
      <w:r w:rsidRPr="00C20287">
        <w:rPr>
          <w:color w:val="auto"/>
          <w:sz w:val="24"/>
        </w:rPr>
        <w:t>.</w:t>
      </w:r>
      <w:r w:rsidR="000F646E">
        <w:rPr>
          <w:color w:val="auto"/>
          <w:sz w:val="24"/>
        </w:rPr>
        <w:t xml:space="preserve"> The Department will continue publishing data </w:t>
      </w:r>
      <w:r w:rsidR="000F646E">
        <w:rPr>
          <w:color w:val="auto"/>
          <w:sz w:val="24"/>
        </w:rPr>
        <w:lastRenderedPageBreak/>
        <w:t>on PBS medicines trends, including through the annual PBS</w:t>
      </w:r>
      <w:r w:rsidR="005710B6">
        <w:rPr>
          <w:color w:val="auto"/>
          <w:sz w:val="24"/>
        </w:rPr>
        <w:t xml:space="preserve"> Expenditure and</w:t>
      </w:r>
      <w:r w:rsidR="000F646E">
        <w:rPr>
          <w:color w:val="auto"/>
          <w:sz w:val="24"/>
        </w:rPr>
        <w:t xml:space="preserve"> P</w:t>
      </w:r>
      <w:r w:rsidR="005710B6">
        <w:rPr>
          <w:color w:val="auto"/>
          <w:sz w:val="24"/>
        </w:rPr>
        <w:t xml:space="preserve">rescriptions </w:t>
      </w:r>
      <w:r w:rsidR="000F646E">
        <w:rPr>
          <w:color w:val="auto"/>
          <w:sz w:val="24"/>
        </w:rPr>
        <w:t>report</w:t>
      </w:r>
      <w:r w:rsidR="005710B6">
        <w:rPr>
          <w:color w:val="auto"/>
          <w:sz w:val="24"/>
        </w:rPr>
        <w:t>s.</w:t>
      </w:r>
      <w:r w:rsidRPr="00C20287">
        <w:rPr>
          <w:color w:val="auto"/>
          <w:sz w:val="24"/>
        </w:rPr>
        <w:t xml:space="preserve"> </w:t>
      </w:r>
      <w:r w:rsidR="00D024CD" w:rsidRPr="00C20287">
        <w:rPr>
          <w:color w:val="auto"/>
          <w:sz w:val="24"/>
        </w:rPr>
        <w:t xml:space="preserve">Use of pharmacy programs will </w:t>
      </w:r>
      <w:r w:rsidR="001372B9">
        <w:rPr>
          <w:color w:val="auto"/>
          <w:sz w:val="24"/>
        </w:rPr>
        <w:t xml:space="preserve">continue to </w:t>
      </w:r>
      <w:r w:rsidR="00D024CD" w:rsidRPr="00C20287">
        <w:rPr>
          <w:color w:val="auto"/>
          <w:sz w:val="24"/>
        </w:rPr>
        <w:t>be monitored through</w:t>
      </w:r>
      <w:r w:rsidR="001372B9">
        <w:rPr>
          <w:color w:val="auto"/>
          <w:sz w:val="24"/>
        </w:rPr>
        <w:t xml:space="preserve"> the volume of services provided</w:t>
      </w:r>
      <w:r w:rsidR="00F640A8">
        <w:rPr>
          <w:color w:val="auto"/>
          <w:sz w:val="24"/>
        </w:rPr>
        <w:t>, with this data published, as currently available, on the Health website</w:t>
      </w:r>
      <w:r w:rsidR="00D024CD" w:rsidRPr="00C20287">
        <w:rPr>
          <w:color w:val="auto"/>
          <w:sz w:val="24"/>
        </w:rPr>
        <w:t>.</w:t>
      </w:r>
      <w:r w:rsidR="00712611" w:rsidRPr="00C20287">
        <w:rPr>
          <w:color w:val="auto"/>
          <w:sz w:val="24"/>
        </w:rPr>
        <w:t xml:space="preserve"> Consumer organisations will be involved in </w:t>
      </w:r>
      <w:r w:rsidR="001372B9">
        <w:rPr>
          <w:color w:val="auto"/>
          <w:sz w:val="24"/>
        </w:rPr>
        <w:t xml:space="preserve">consultations regarding </w:t>
      </w:r>
      <w:r w:rsidR="00712611" w:rsidRPr="00C20287">
        <w:rPr>
          <w:color w:val="auto"/>
          <w:sz w:val="24"/>
        </w:rPr>
        <w:t xml:space="preserve">development </w:t>
      </w:r>
      <w:r w:rsidR="001372B9">
        <w:rPr>
          <w:color w:val="auto"/>
          <w:sz w:val="24"/>
        </w:rPr>
        <w:t>of pharmacy program</w:t>
      </w:r>
      <w:r w:rsidR="00712611" w:rsidRPr="00C20287">
        <w:rPr>
          <w:color w:val="auto"/>
          <w:sz w:val="24"/>
        </w:rPr>
        <w:t xml:space="preserve"> evaluation frameworks</w:t>
      </w:r>
      <w:r w:rsidR="00952A49">
        <w:rPr>
          <w:color w:val="auto"/>
          <w:sz w:val="24"/>
        </w:rPr>
        <w:t xml:space="preserve"> and any proposed changes to programs that may eventuate from </w:t>
      </w:r>
      <w:r w:rsidR="0066312E">
        <w:rPr>
          <w:color w:val="auto"/>
          <w:sz w:val="24"/>
        </w:rPr>
        <w:t>their</w:t>
      </w:r>
      <w:r w:rsidR="00952A49">
        <w:rPr>
          <w:color w:val="auto"/>
          <w:sz w:val="24"/>
        </w:rPr>
        <w:t xml:space="preserve"> evaluation</w:t>
      </w:r>
      <w:r w:rsidR="001372B9">
        <w:rPr>
          <w:color w:val="auto"/>
          <w:sz w:val="24"/>
        </w:rPr>
        <w:t xml:space="preserve">. </w:t>
      </w:r>
    </w:p>
    <w:p w14:paraId="61969491" w14:textId="0AF53844" w:rsidR="00B74395" w:rsidRPr="00C20287" w:rsidRDefault="00B74395" w:rsidP="00712611">
      <w:pPr>
        <w:spacing w:before="120" w:after="0" w:line="240" w:lineRule="auto"/>
        <w:rPr>
          <w:color w:val="auto"/>
          <w:sz w:val="24"/>
        </w:rPr>
      </w:pPr>
      <w:r w:rsidRPr="00C20287">
        <w:rPr>
          <w:color w:val="auto"/>
          <w:sz w:val="24"/>
        </w:rPr>
        <w:br w:type="page"/>
      </w:r>
    </w:p>
    <w:p w14:paraId="17B4551B" w14:textId="77777777" w:rsidR="00B74395" w:rsidRPr="00C20287" w:rsidRDefault="00B74395" w:rsidP="00B74395">
      <w:pPr>
        <w:pStyle w:val="Heading1"/>
      </w:pPr>
      <w:bookmarkStart w:id="98" w:name="_Toc102981405"/>
      <w:bookmarkStart w:id="99" w:name="_Toc118393797"/>
      <w:bookmarkStart w:id="100" w:name="_Toc168652761"/>
      <w:r w:rsidRPr="00C20287">
        <w:lastRenderedPageBreak/>
        <w:t>APPENDICES</w:t>
      </w:r>
      <w:bookmarkEnd w:id="98"/>
      <w:bookmarkEnd w:id="99"/>
      <w:bookmarkEnd w:id="100"/>
    </w:p>
    <w:p w14:paraId="7C31A59A" w14:textId="77777777" w:rsidR="00B74395" w:rsidRPr="00C20287" w:rsidRDefault="00B74395" w:rsidP="00B74395">
      <w:pPr>
        <w:pStyle w:val="Heading2"/>
        <w:tabs>
          <w:tab w:val="left" w:pos="426"/>
        </w:tabs>
        <w:ind w:left="426" w:hanging="426"/>
      </w:pPr>
      <w:bookmarkStart w:id="101" w:name="_Toc118393798"/>
      <w:bookmarkStart w:id="102" w:name="_Toc168652762"/>
      <w:bookmarkStart w:id="103" w:name="_Hlk84595762"/>
      <w:r w:rsidRPr="00C20287">
        <w:t xml:space="preserve">1. </w:t>
      </w:r>
      <w:r w:rsidRPr="00C20287">
        <w:tab/>
        <w:t>Abbreviations</w:t>
      </w:r>
      <w:bookmarkEnd w:id="101"/>
      <w:bookmarkEnd w:id="102"/>
    </w:p>
    <w:tbl>
      <w:tblPr>
        <w:tblStyle w:val="TableGrid"/>
        <w:tblW w:w="49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7804"/>
      </w:tblGrid>
      <w:tr w:rsidR="00B74395" w:rsidRPr="00C20287" w14:paraId="3A390195" w14:textId="77777777" w:rsidTr="007919D5">
        <w:trPr>
          <w:trHeight w:hRule="exact" w:val="454"/>
        </w:trPr>
        <w:tc>
          <w:tcPr>
            <w:tcW w:w="1150" w:type="pct"/>
          </w:tcPr>
          <w:p w14:paraId="46D7AE62" w14:textId="77777777" w:rsidR="00B74395" w:rsidRPr="00C20287" w:rsidRDefault="00B74395" w:rsidP="00BE6604">
            <w:r w:rsidRPr="00C20287">
              <w:t>ACCHO</w:t>
            </w:r>
          </w:p>
        </w:tc>
        <w:tc>
          <w:tcPr>
            <w:tcW w:w="3850" w:type="pct"/>
          </w:tcPr>
          <w:p w14:paraId="5B49D338" w14:textId="77777777" w:rsidR="00B74395" w:rsidRPr="00C20287" w:rsidRDefault="00B74395" w:rsidP="007919D5">
            <w:r w:rsidRPr="00C20287">
              <w:t xml:space="preserve">Aboriginal Community Controlled Health Organisation </w:t>
            </w:r>
          </w:p>
        </w:tc>
      </w:tr>
      <w:tr w:rsidR="00B74395" w:rsidRPr="00C20287" w14:paraId="680E2A5D" w14:textId="77777777" w:rsidTr="007919D5">
        <w:trPr>
          <w:trHeight w:hRule="exact" w:val="454"/>
        </w:trPr>
        <w:tc>
          <w:tcPr>
            <w:tcW w:w="1150" w:type="pct"/>
          </w:tcPr>
          <w:p w14:paraId="37FE7CBB" w14:textId="77777777" w:rsidR="00B74395" w:rsidRPr="00C20287" w:rsidRDefault="00B74395" w:rsidP="00264423">
            <w:r w:rsidRPr="00C20287">
              <w:t>ACPA</w:t>
            </w:r>
          </w:p>
        </w:tc>
        <w:tc>
          <w:tcPr>
            <w:tcW w:w="3850" w:type="pct"/>
          </w:tcPr>
          <w:p w14:paraId="3903F657" w14:textId="77777777" w:rsidR="00B74395" w:rsidRPr="00C20287" w:rsidRDefault="00B74395" w:rsidP="007919D5">
            <w:r w:rsidRPr="00C20287">
              <w:t xml:space="preserve">Australian Community Pharmacy Authority </w:t>
            </w:r>
          </w:p>
        </w:tc>
      </w:tr>
      <w:tr w:rsidR="00B74395" w:rsidRPr="00C20287" w14:paraId="52BB1460" w14:textId="77777777" w:rsidTr="007919D5">
        <w:trPr>
          <w:trHeight w:hRule="exact" w:val="454"/>
        </w:trPr>
        <w:tc>
          <w:tcPr>
            <w:tcW w:w="1150" w:type="pct"/>
          </w:tcPr>
          <w:p w14:paraId="027C2BEC" w14:textId="77777777" w:rsidR="00B74395" w:rsidRPr="00C20287" w:rsidRDefault="00B74395" w:rsidP="00163D93">
            <w:r w:rsidRPr="00C20287">
              <w:t>the Act</w:t>
            </w:r>
          </w:p>
        </w:tc>
        <w:tc>
          <w:tcPr>
            <w:tcW w:w="3850" w:type="pct"/>
          </w:tcPr>
          <w:p w14:paraId="70ADB30E" w14:textId="77777777" w:rsidR="00B74395" w:rsidRPr="00C20287" w:rsidRDefault="00B74395" w:rsidP="007919D5">
            <w:r w:rsidRPr="00C20287">
              <w:rPr>
                <w:i/>
                <w:iCs/>
              </w:rPr>
              <w:t>National Health Act 1953</w:t>
            </w:r>
            <w:r w:rsidRPr="00C20287">
              <w:t xml:space="preserve"> </w:t>
            </w:r>
          </w:p>
        </w:tc>
      </w:tr>
      <w:tr w:rsidR="00B74395" w:rsidRPr="00C20287" w14:paraId="5A5E4347" w14:textId="77777777" w:rsidTr="007919D5">
        <w:trPr>
          <w:trHeight w:hRule="exact" w:val="454"/>
        </w:trPr>
        <w:tc>
          <w:tcPr>
            <w:tcW w:w="1150" w:type="pct"/>
          </w:tcPr>
          <w:p w14:paraId="6E099431" w14:textId="77777777" w:rsidR="00B74395" w:rsidRPr="00C20287" w:rsidRDefault="00B74395" w:rsidP="00163D93">
            <w:r w:rsidRPr="00C20287">
              <w:t>ADHA</w:t>
            </w:r>
          </w:p>
        </w:tc>
        <w:tc>
          <w:tcPr>
            <w:tcW w:w="3850" w:type="pct"/>
          </w:tcPr>
          <w:p w14:paraId="00871C88" w14:textId="77777777" w:rsidR="00B74395" w:rsidRPr="00C20287" w:rsidRDefault="00B74395" w:rsidP="007919D5">
            <w:r w:rsidRPr="00C20287">
              <w:t xml:space="preserve">Australian Digital Health Agency </w:t>
            </w:r>
          </w:p>
        </w:tc>
      </w:tr>
      <w:tr w:rsidR="00B74395" w:rsidRPr="00C20287" w14:paraId="3A3CE2DE" w14:textId="77777777" w:rsidTr="007919D5">
        <w:trPr>
          <w:trHeight w:hRule="exact" w:val="454"/>
        </w:trPr>
        <w:tc>
          <w:tcPr>
            <w:tcW w:w="1150" w:type="pct"/>
          </w:tcPr>
          <w:p w14:paraId="6D47EBA2" w14:textId="77777777" w:rsidR="00B74395" w:rsidRPr="00C20287" w:rsidRDefault="00B74395" w:rsidP="00163D93">
            <w:r w:rsidRPr="00C20287">
              <w:t>AEMP</w:t>
            </w:r>
          </w:p>
        </w:tc>
        <w:tc>
          <w:tcPr>
            <w:tcW w:w="3850" w:type="pct"/>
          </w:tcPr>
          <w:p w14:paraId="7B27A048" w14:textId="77777777" w:rsidR="00B74395" w:rsidRPr="00C20287" w:rsidRDefault="00B74395" w:rsidP="007919D5">
            <w:r w:rsidRPr="00C20287">
              <w:t xml:space="preserve">Approved Ex-Manufacturer Price </w:t>
            </w:r>
          </w:p>
        </w:tc>
      </w:tr>
      <w:tr w:rsidR="00B74395" w:rsidRPr="00C20287" w14:paraId="2EC0C503" w14:textId="77777777" w:rsidTr="007919D5">
        <w:trPr>
          <w:trHeight w:hRule="exact" w:val="454"/>
        </w:trPr>
        <w:tc>
          <w:tcPr>
            <w:tcW w:w="1150" w:type="pct"/>
          </w:tcPr>
          <w:p w14:paraId="4CD82A1A" w14:textId="77777777" w:rsidR="00B74395" w:rsidRPr="00C20287" w:rsidRDefault="00B74395" w:rsidP="00163D93">
            <w:r w:rsidRPr="00C20287">
              <w:t>ANAO Audit</w:t>
            </w:r>
          </w:p>
        </w:tc>
        <w:tc>
          <w:tcPr>
            <w:tcW w:w="3850" w:type="pct"/>
          </w:tcPr>
          <w:p w14:paraId="1BD3FDEA" w14:textId="77777777" w:rsidR="00B74395" w:rsidRPr="00C20287" w:rsidRDefault="00B74395" w:rsidP="007919D5">
            <w:r w:rsidRPr="00C20287">
              <w:t>Australian National Audit Office’s audit of the Administration of the Fifth Community Pharmacy Agreement</w:t>
            </w:r>
          </w:p>
        </w:tc>
      </w:tr>
      <w:tr w:rsidR="00B74395" w:rsidRPr="00C20287" w14:paraId="2047DEB1" w14:textId="77777777" w:rsidTr="007919D5">
        <w:trPr>
          <w:trHeight w:hRule="exact" w:val="454"/>
        </w:trPr>
        <w:tc>
          <w:tcPr>
            <w:tcW w:w="1150" w:type="pct"/>
          </w:tcPr>
          <w:p w14:paraId="3452D71D" w14:textId="77777777" w:rsidR="00B74395" w:rsidRPr="00C20287" w:rsidRDefault="00B74395" w:rsidP="00163D93">
            <w:r w:rsidRPr="00C20287">
              <w:t>AOC</w:t>
            </w:r>
          </w:p>
        </w:tc>
        <w:tc>
          <w:tcPr>
            <w:tcW w:w="3850" w:type="pct"/>
          </w:tcPr>
          <w:p w14:paraId="691330E6" w14:textId="77777777" w:rsidR="00B74395" w:rsidRPr="00C20287" w:rsidRDefault="00B74395" w:rsidP="007919D5">
            <w:r w:rsidRPr="00C20287">
              <w:t xml:space="preserve">Agreement Oversight Committee </w:t>
            </w:r>
          </w:p>
        </w:tc>
      </w:tr>
      <w:tr w:rsidR="00B74395" w:rsidRPr="00C20287" w14:paraId="327869DB" w14:textId="77777777" w:rsidTr="007919D5">
        <w:trPr>
          <w:trHeight w:hRule="exact" w:val="454"/>
        </w:trPr>
        <w:tc>
          <w:tcPr>
            <w:tcW w:w="1150" w:type="pct"/>
          </w:tcPr>
          <w:p w14:paraId="0036FECD" w14:textId="77777777" w:rsidR="00B74395" w:rsidRPr="00C20287" w:rsidRDefault="00B74395" w:rsidP="00163D93">
            <w:r w:rsidRPr="00C20287">
              <w:t>Compact</w:t>
            </w:r>
          </w:p>
        </w:tc>
        <w:tc>
          <w:tcPr>
            <w:tcW w:w="3850" w:type="pct"/>
          </w:tcPr>
          <w:p w14:paraId="58D9B16C" w14:textId="77777777" w:rsidR="00B74395" w:rsidRPr="00C20287" w:rsidRDefault="00B74395" w:rsidP="007919D5">
            <w:r w:rsidRPr="00C20287">
              <w:t xml:space="preserve">2017 Strengthening PBS Compact </w:t>
            </w:r>
          </w:p>
        </w:tc>
      </w:tr>
      <w:tr w:rsidR="00B74395" w:rsidRPr="00C20287" w14:paraId="46F0E282" w14:textId="77777777" w:rsidTr="007919D5">
        <w:trPr>
          <w:trHeight w:hRule="exact" w:val="454"/>
        </w:trPr>
        <w:tc>
          <w:tcPr>
            <w:tcW w:w="1150" w:type="pct"/>
          </w:tcPr>
          <w:p w14:paraId="5081D4D1" w14:textId="77777777" w:rsidR="00B74395" w:rsidRPr="00C20287" w:rsidRDefault="00B74395" w:rsidP="00163D93">
            <w:r w:rsidRPr="00C20287">
              <w:t>CPA</w:t>
            </w:r>
          </w:p>
        </w:tc>
        <w:tc>
          <w:tcPr>
            <w:tcW w:w="3850" w:type="pct"/>
          </w:tcPr>
          <w:p w14:paraId="1FCE4319" w14:textId="77777777" w:rsidR="00B74395" w:rsidRPr="00C20287" w:rsidRDefault="00B74395" w:rsidP="007919D5">
            <w:r w:rsidRPr="00C20287">
              <w:t xml:space="preserve">Community Pharmacy Agreement </w:t>
            </w:r>
          </w:p>
        </w:tc>
      </w:tr>
      <w:tr w:rsidR="00B74395" w:rsidRPr="00C20287" w14:paraId="757A36E9" w14:textId="77777777" w:rsidTr="007919D5">
        <w:trPr>
          <w:trHeight w:hRule="exact" w:val="454"/>
        </w:trPr>
        <w:tc>
          <w:tcPr>
            <w:tcW w:w="1150" w:type="pct"/>
          </w:tcPr>
          <w:p w14:paraId="222E798F" w14:textId="77777777" w:rsidR="00B74395" w:rsidRPr="00C20287" w:rsidRDefault="00B74395" w:rsidP="00163D93">
            <w:r w:rsidRPr="00C20287">
              <w:t>6CPA</w:t>
            </w:r>
          </w:p>
        </w:tc>
        <w:tc>
          <w:tcPr>
            <w:tcW w:w="3850" w:type="pct"/>
          </w:tcPr>
          <w:p w14:paraId="6BFA1EBD" w14:textId="77777777" w:rsidR="00B74395" w:rsidRPr="00C20287" w:rsidRDefault="00B74395" w:rsidP="007919D5">
            <w:r w:rsidRPr="00C20287">
              <w:t xml:space="preserve">Sixth Community Pharmacy Agreement </w:t>
            </w:r>
          </w:p>
        </w:tc>
      </w:tr>
      <w:tr w:rsidR="00B74395" w:rsidRPr="00C20287" w14:paraId="70AD247A" w14:textId="77777777" w:rsidTr="007919D5">
        <w:trPr>
          <w:trHeight w:hRule="exact" w:val="454"/>
        </w:trPr>
        <w:tc>
          <w:tcPr>
            <w:tcW w:w="1150" w:type="pct"/>
          </w:tcPr>
          <w:p w14:paraId="6C998B64" w14:textId="77777777" w:rsidR="00B74395" w:rsidRPr="00C20287" w:rsidRDefault="00B74395" w:rsidP="00163D93">
            <w:r w:rsidRPr="00C20287">
              <w:t>7CPA</w:t>
            </w:r>
          </w:p>
        </w:tc>
        <w:tc>
          <w:tcPr>
            <w:tcW w:w="3850" w:type="pct"/>
          </w:tcPr>
          <w:p w14:paraId="59857A2E" w14:textId="77777777" w:rsidR="00B74395" w:rsidRPr="00C20287" w:rsidRDefault="00B74395" w:rsidP="007919D5">
            <w:r w:rsidRPr="00C20287">
              <w:t xml:space="preserve">Seventh Community Pharmacy Agreement </w:t>
            </w:r>
          </w:p>
        </w:tc>
      </w:tr>
      <w:tr w:rsidR="00B74395" w:rsidRPr="00C20287" w14:paraId="21ADD146" w14:textId="77777777" w:rsidTr="007919D5">
        <w:trPr>
          <w:trHeight w:hRule="exact" w:val="454"/>
        </w:trPr>
        <w:tc>
          <w:tcPr>
            <w:tcW w:w="1150" w:type="pct"/>
          </w:tcPr>
          <w:p w14:paraId="0F8E015A" w14:textId="180B5BA5" w:rsidR="00B74395" w:rsidRPr="00C20287" w:rsidRDefault="00B74395" w:rsidP="00163D93">
            <w:r w:rsidRPr="00C20287">
              <w:t>8CPA</w:t>
            </w:r>
          </w:p>
        </w:tc>
        <w:tc>
          <w:tcPr>
            <w:tcW w:w="3850" w:type="pct"/>
          </w:tcPr>
          <w:p w14:paraId="55D684B4" w14:textId="4889F88F" w:rsidR="00B74395" w:rsidRPr="00C20287" w:rsidRDefault="00B74395" w:rsidP="007919D5">
            <w:r w:rsidRPr="00C20287">
              <w:t>Eighth Community Pharmacy Agreement</w:t>
            </w:r>
          </w:p>
        </w:tc>
      </w:tr>
      <w:tr w:rsidR="00B74395" w:rsidRPr="00C20287" w14:paraId="6BFF0C4A" w14:textId="77777777" w:rsidTr="007919D5">
        <w:trPr>
          <w:trHeight w:hRule="exact" w:val="454"/>
        </w:trPr>
        <w:tc>
          <w:tcPr>
            <w:tcW w:w="1150" w:type="pct"/>
          </w:tcPr>
          <w:p w14:paraId="3D5D607F" w14:textId="77777777" w:rsidR="00B74395" w:rsidRPr="00C20287" w:rsidRDefault="00B74395" w:rsidP="00163D93">
            <w:r w:rsidRPr="00C20287">
              <w:t>CHF</w:t>
            </w:r>
          </w:p>
        </w:tc>
        <w:tc>
          <w:tcPr>
            <w:tcW w:w="3850" w:type="pct"/>
          </w:tcPr>
          <w:p w14:paraId="424BAB7F" w14:textId="77777777" w:rsidR="00B74395" w:rsidRPr="00C20287" w:rsidRDefault="00B74395" w:rsidP="007919D5">
            <w:r w:rsidRPr="00C20287">
              <w:t xml:space="preserve">Consumers Health Forum of Australia </w:t>
            </w:r>
          </w:p>
        </w:tc>
      </w:tr>
      <w:tr w:rsidR="00B74395" w:rsidRPr="00C20287" w14:paraId="22FFBEF9" w14:textId="77777777" w:rsidTr="007919D5">
        <w:trPr>
          <w:trHeight w:hRule="exact" w:val="454"/>
        </w:trPr>
        <w:tc>
          <w:tcPr>
            <w:tcW w:w="1150" w:type="pct"/>
          </w:tcPr>
          <w:p w14:paraId="328754F7" w14:textId="77777777" w:rsidR="00B74395" w:rsidRPr="00C20287" w:rsidRDefault="00B74395" w:rsidP="00163D93">
            <w:r w:rsidRPr="00C20287">
              <w:t>CMI</w:t>
            </w:r>
          </w:p>
        </w:tc>
        <w:tc>
          <w:tcPr>
            <w:tcW w:w="3850" w:type="pct"/>
          </w:tcPr>
          <w:p w14:paraId="0CD358BB" w14:textId="77777777" w:rsidR="00B74395" w:rsidRPr="00C20287" w:rsidRDefault="00B74395" w:rsidP="007919D5">
            <w:r w:rsidRPr="00C20287">
              <w:t xml:space="preserve">Consumer Medicines Information </w:t>
            </w:r>
          </w:p>
        </w:tc>
      </w:tr>
      <w:tr w:rsidR="00B74395" w:rsidRPr="00C20287" w14:paraId="42456F5A" w14:textId="77777777" w:rsidTr="007919D5">
        <w:trPr>
          <w:trHeight w:hRule="exact" w:val="454"/>
        </w:trPr>
        <w:tc>
          <w:tcPr>
            <w:tcW w:w="1150" w:type="pct"/>
          </w:tcPr>
          <w:p w14:paraId="484E2369" w14:textId="77777777" w:rsidR="00B74395" w:rsidRPr="00C20287" w:rsidRDefault="00B74395" w:rsidP="00163D93">
            <w:r w:rsidRPr="00C20287">
              <w:t>CPCC</w:t>
            </w:r>
          </w:p>
        </w:tc>
        <w:tc>
          <w:tcPr>
            <w:tcW w:w="3850" w:type="pct"/>
          </w:tcPr>
          <w:p w14:paraId="78B13B86" w14:textId="77777777" w:rsidR="00B74395" w:rsidRPr="00C20287" w:rsidRDefault="00B74395" w:rsidP="007919D5">
            <w:r w:rsidRPr="00C20287">
              <w:t xml:space="preserve">Community Pharmacy Consultation Committee </w:t>
            </w:r>
          </w:p>
        </w:tc>
      </w:tr>
      <w:tr w:rsidR="00B74395" w:rsidRPr="00C20287" w14:paraId="226FF159" w14:textId="77777777" w:rsidTr="007919D5">
        <w:trPr>
          <w:trHeight w:hRule="exact" w:val="454"/>
        </w:trPr>
        <w:tc>
          <w:tcPr>
            <w:tcW w:w="1150" w:type="pct"/>
          </w:tcPr>
          <w:p w14:paraId="7CCDAA48" w14:textId="77777777" w:rsidR="00B74395" w:rsidRPr="00C20287" w:rsidRDefault="00B74395" w:rsidP="00163D93">
            <w:r w:rsidRPr="00C20287">
              <w:t>CPSF</w:t>
            </w:r>
          </w:p>
        </w:tc>
        <w:tc>
          <w:tcPr>
            <w:tcW w:w="3850" w:type="pct"/>
          </w:tcPr>
          <w:p w14:paraId="790A7D25" w14:textId="77777777" w:rsidR="00B74395" w:rsidRPr="00C20287" w:rsidRDefault="00B74395" w:rsidP="007919D5">
            <w:r w:rsidRPr="00C20287">
              <w:t xml:space="preserve">Community Pharmacy Stakeholder Forum </w:t>
            </w:r>
          </w:p>
        </w:tc>
      </w:tr>
      <w:tr w:rsidR="00B74395" w:rsidRPr="00C20287" w14:paraId="5452AA1F" w14:textId="77777777" w:rsidTr="007919D5">
        <w:trPr>
          <w:trHeight w:hRule="exact" w:val="454"/>
        </w:trPr>
        <w:tc>
          <w:tcPr>
            <w:tcW w:w="1150" w:type="pct"/>
          </w:tcPr>
          <w:p w14:paraId="5C218B1E" w14:textId="6F19C023" w:rsidR="00B74395" w:rsidRPr="00C20287" w:rsidRDefault="00B74395" w:rsidP="00163D93">
            <w:r w:rsidRPr="00C20287">
              <w:t>CPP</w:t>
            </w:r>
          </w:p>
        </w:tc>
        <w:tc>
          <w:tcPr>
            <w:tcW w:w="3850" w:type="pct"/>
          </w:tcPr>
          <w:p w14:paraId="0DE2E407" w14:textId="0595C4B8" w:rsidR="00B74395" w:rsidRPr="00C20287" w:rsidRDefault="00B74395" w:rsidP="007919D5">
            <w:r w:rsidRPr="00C20287">
              <w:t>Community Pharmacy Program</w:t>
            </w:r>
          </w:p>
        </w:tc>
      </w:tr>
      <w:tr w:rsidR="00B74395" w:rsidRPr="00C20287" w14:paraId="36A58BCB" w14:textId="77777777" w:rsidTr="007919D5">
        <w:trPr>
          <w:trHeight w:hRule="exact" w:val="454"/>
        </w:trPr>
        <w:tc>
          <w:tcPr>
            <w:tcW w:w="1150" w:type="pct"/>
          </w:tcPr>
          <w:p w14:paraId="3B8AB561" w14:textId="77777777" w:rsidR="00B74395" w:rsidRPr="00C20287" w:rsidRDefault="00B74395" w:rsidP="00163D93">
            <w:r w:rsidRPr="00C20287">
              <w:t>CSO</w:t>
            </w:r>
          </w:p>
        </w:tc>
        <w:tc>
          <w:tcPr>
            <w:tcW w:w="3850" w:type="pct"/>
          </w:tcPr>
          <w:p w14:paraId="535D201B" w14:textId="77777777" w:rsidR="00B74395" w:rsidRPr="00C20287" w:rsidRDefault="00B74395" w:rsidP="007919D5">
            <w:r w:rsidRPr="00C20287">
              <w:t xml:space="preserve">Community Service Obligation </w:t>
            </w:r>
          </w:p>
        </w:tc>
      </w:tr>
      <w:tr w:rsidR="00B74395" w:rsidRPr="00C20287" w14:paraId="36163878" w14:textId="77777777" w:rsidTr="007919D5">
        <w:trPr>
          <w:trHeight w:hRule="exact" w:val="454"/>
        </w:trPr>
        <w:tc>
          <w:tcPr>
            <w:tcW w:w="1150" w:type="pct"/>
          </w:tcPr>
          <w:p w14:paraId="07F0B860" w14:textId="77777777" w:rsidR="00B74395" w:rsidRPr="00C20287" w:rsidRDefault="00B74395" w:rsidP="00163D93">
            <w:r w:rsidRPr="00C20287">
              <w:t>CTG</w:t>
            </w:r>
          </w:p>
        </w:tc>
        <w:tc>
          <w:tcPr>
            <w:tcW w:w="3850" w:type="pct"/>
          </w:tcPr>
          <w:p w14:paraId="38DDF53F" w14:textId="77777777" w:rsidR="00B74395" w:rsidRPr="00C20287" w:rsidRDefault="00B74395" w:rsidP="007919D5">
            <w:r w:rsidRPr="00C20287">
              <w:t xml:space="preserve">Closing the Gap </w:t>
            </w:r>
          </w:p>
        </w:tc>
      </w:tr>
      <w:tr w:rsidR="00B74395" w:rsidRPr="00C20287" w14:paraId="22778220" w14:textId="77777777" w:rsidTr="007919D5">
        <w:trPr>
          <w:trHeight w:hRule="exact" w:val="454"/>
        </w:trPr>
        <w:tc>
          <w:tcPr>
            <w:tcW w:w="1150" w:type="pct"/>
          </w:tcPr>
          <w:p w14:paraId="0D81317B" w14:textId="77777777" w:rsidR="00B74395" w:rsidRPr="00C20287" w:rsidRDefault="00B74395" w:rsidP="00163D93">
            <w:r w:rsidRPr="00C20287">
              <w:t>DAA</w:t>
            </w:r>
          </w:p>
        </w:tc>
        <w:tc>
          <w:tcPr>
            <w:tcW w:w="3850" w:type="pct"/>
          </w:tcPr>
          <w:p w14:paraId="30540604" w14:textId="77777777" w:rsidR="00B74395" w:rsidRPr="00C20287" w:rsidRDefault="00B74395" w:rsidP="007919D5">
            <w:r w:rsidRPr="00C20287">
              <w:t>Dose Administration Aid</w:t>
            </w:r>
          </w:p>
        </w:tc>
      </w:tr>
      <w:tr w:rsidR="00B74395" w:rsidRPr="00C20287" w14:paraId="1154A5B8" w14:textId="77777777" w:rsidTr="007919D5">
        <w:trPr>
          <w:trHeight w:hRule="exact" w:val="454"/>
        </w:trPr>
        <w:tc>
          <w:tcPr>
            <w:tcW w:w="1150" w:type="pct"/>
          </w:tcPr>
          <w:p w14:paraId="5DC7C1B7" w14:textId="77777777" w:rsidR="00B74395" w:rsidRPr="00C20287" w:rsidRDefault="00B74395" w:rsidP="00163D93">
            <w:r w:rsidRPr="00C20287">
              <w:t>Department</w:t>
            </w:r>
          </w:p>
        </w:tc>
        <w:tc>
          <w:tcPr>
            <w:tcW w:w="3850" w:type="pct"/>
          </w:tcPr>
          <w:p w14:paraId="535F7D3E" w14:textId="77777777" w:rsidR="00B74395" w:rsidRPr="00C20287" w:rsidRDefault="00B74395" w:rsidP="007919D5">
            <w:r w:rsidRPr="00C20287">
              <w:t>Department of Health and Aged Care</w:t>
            </w:r>
          </w:p>
        </w:tc>
      </w:tr>
      <w:tr w:rsidR="00B74395" w:rsidRPr="00C20287" w14:paraId="4ACD7877" w14:textId="77777777" w:rsidTr="007919D5">
        <w:trPr>
          <w:trHeight w:hRule="exact" w:val="454"/>
        </w:trPr>
        <w:tc>
          <w:tcPr>
            <w:tcW w:w="1150" w:type="pct"/>
          </w:tcPr>
          <w:p w14:paraId="7766306C" w14:textId="77777777" w:rsidR="00B74395" w:rsidRPr="00C20287" w:rsidRDefault="00B74395" w:rsidP="00163D93">
            <w:r w:rsidRPr="00C20287">
              <w:t>EPF</w:t>
            </w:r>
          </w:p>
        </w:tc>
        <w:tc>
          <w:tcPr>
            <w:tcW w:w="3850" w:type="pct"/>
          </w:tcPr>
          <w:p w14:paraId="265CA25C" w14:textId="77777777" w:rsidR="00B74395" w:rsidRPr="00C20287" w:rsidRDefault="00B74395" w:rsidP="007919D5">
            <w:r w:rsidRPr="00C20287">
              <w:t xml:space="preserve">Electronic Prescription Fee </w:t>
            </w:r>
          </w:p>
        </w:tc>
      </w:tr>
      <w:tr w:rsidR="00B74395" w:rsidRPr="00C20287" w14:paraId="6531F8EE" w14:textId="77777777" w:rsidTr="007919D5">
        <w:trPr>
          <w:trHeight w:hRule="exact" w:val="454"/>
        </w:trPr>
        <w:tc>
          <w:tcPr>
            <w:tcW w:w="1150" w:type="pct"/>
          </w:tcPr>
          <w:p w14:paraId="47934D4A" w14:textId="77777777" w:rsidR="00B74395" w:rsidRPr="00C20287" w:rsidRDefault="00B74395" w:rsidP="00163D93">
            <w:r w:rsidRPr="00C20287">
              <w:t>GBMA</w:t>
            </w:r>
          </w:p>
        </w:tc>
        <w:tc>
          <w:tcPr>
            <w:tcW w:w="3850" w:type="pct"/>
          </w:tcPr>
          <w:p w14:paraId="7908E479" w14:textId="77777777" w:rsidR="00B74395" w:rsidRPr="00C20287" w:rsidRDefault="00B74395" w:rsidP="007919D5">
            <w:r w:rsidRPr="00C20287">
              <w:t xml:space="preserve">Generic and Biosimilars Association </w:t>
            </w:r>
          </w:p>
        </w:tc>
      </w:tr>
      <w:tr w:rsidR="00B74395" w:rsidRPr="00C20287" w14:paraId="2249A9E8" w14:textId="77777777" w:rsidTr="007919D5">
        <w:trPr>
          <w:trHeight w:hRule="exact" w:val="454"/>
        </w:trPr>
        <w:tc>
          <w:tcPr>
            <w:tcW w:w="1150" w:type="pct"/>
          </w:tcPr>
          <w:p w14:paraId="4927AFC8" w14:textId="77777777" w:rsidR="00B74395" w:rsidRPr="00C20287" w:rsidRDefault="00B74395" w:rsidP="00163D93">
            <w:r w:rsidRPr="00C20287">
              <w:t>Guild</w:t>
            </w:r>
          </w:p>
        </w:tc>
        <w:tc>
          <w:tcPr>
            <w:tcW w:w="3850" w:type="pct"/>
          </w:tcPr>
          <w:p w14:paraId="128F6606" w14:textId="77777777" w:rsidR="00B74395" w:rsidRPr="00C20287" w:rsidRDefault="00B74395" w:rsidP="007919D5">
            <w:r w:rsidRPr="00C20287">
              <w:t xml:space="preserve">The Pharmacy Guild of Australia </w:t>
            </w:r>
          </w:p>
        </w:tc>
      </w:tr>
      <w:tr w:rsidR="00B74395" w:rsidRPr="00C20287" w14:paraId="7F022809" w14:textId="77777777" w:rsidTr="007919D5">
        <w:trPr>
          <w:trHeight w:hRule="exact" w:val="454"/>
        </w:trPr>
        <w:tc>
          <w:tcPr>
            <w:tcW w:w="1150" w:type="pct"/>
          </w:tcPr>
          <w:p w14:paraId="7F07E5D2" w14:textId="77777777" w:rsidR="00B74395" w:rsidRPr="00C20287" w:rsidRDefault="00B74395" w:rsidP="00163D93">
            <w:r w:rsidRPr="00C20287">
              <w:t>HMR</w:t>
            </w:r>
          </w:p>
        </w:tc>
        <w:tc>
          <w:tcPr>
            <w:tcW w:w="3850" w:type="pct"/>
          </w:tcPr>
          <w:p w14:paraId="6D08A07F" w14:textId="2F51458F" w:rsidR="00226130" w:rsidRDefault="00B74395" w:rsidP="007919D5">
            <w:r w:rsidRPr="00C20287">
              <w:t>Home Medicines Review</w:t>
            </w:r>
          </w:p>
          <w:p w14:paraId="776A645B" w14:textId="77777777" w:rsidR="00226130" w:rsidRPr="00226130" w:rsidRDefault="00226130" w:rsidP="00226130"/>
          <w:p w14:paraId="515B6235" w14:textId="77777777" w:rsidR="00226130" w:rsidRPr="00226130" w:rsidRDefault="00226130" w:rsidP="00226130"/>
          <w:p w14:paraId="0032E05E" w14:textId="77777777" w:rsidR="00226130" w:rsidRPr="00226130" w:rsidRDefault="00226130" w:rsidP="00226130"/>
          <w:p w14:paraId="5BE64A7A" w14:textId="3BE661CC" w:rsidR="00226130" w:rsidRDefault="00226130" w:rsidP="00226130"/>
          <w:p w14:paraId="1042B2D8" w14:textId="77777777" w:rsidR="00B74395" w:rsidRPr="00226130" w:rsidRDefault="00B74395" w:rsidP="00226130">
            <w:pPr>
              <w:ind w:firstLine="720"/>
            </w:pPr>
          </w:p>
        </w:tc>
      </w:tr>
      <w:tr w:rsidR="00B74395" w:rsidRPr="00C20287" w14:paraId="1D5F2DD5" w14:textId="77777777" w:rsidTr="007919D5">
        <w:trPr>
          <w:trHeight w:hRule="exact" w:val="454"/>
        </w:trPr>
        <w:tc>
          <w:tcPr>
            <w:tcW w:w="1150" w:type="pct"/>
          </w:tcPr>
          <w:p w14:paraId="4F66C225" w14:textId="75390820" w:rsidR="00B74395" w:rsidRPr="00C20287" w:rsidRDefault="00B74395" w:rsidP="00163D93">
            <w:r w:rsidRPr="00C20287">
              <w:lastRenderedPageBreak/>
              <w:t>IA</w:t>
            </w:r>
          </w:p>
        </w:tc>
        <w:tc>
          <w:tcPr>
            <w:tcW w:w="3850" w:type="pct"/>
          </w:tcPr>
          <w:p w14:paraId="3432D697" w14:textId="1C98AE39" w:rsidR="00B74395" w:rsidRPr="00C20287" w:rsidRDefault="00B74395" w:rsidP="007919D5">
            <w:r w:rsidRPr="00C20287">
              <w:t>Impact Analysis</w:t>
            </w:r>
          </w:p>
        </w:tc>
      </w:tr>
      <w:tr w:rsidR="00B74395" w:rsidRPr="00C20287" w14:paraId="35890640" w14:textId="77777777" w:rsidTr="007919D5">
        <w:trPr>
          <w:trHeight w:hRule="exact" w:val="454"/>
        </w:trPr>
        <w:tc>
          <w:tcPr>
            <w:tcW w:w="1150" w:type="pct"/>
          </w:tcPr>
          <w:p w14:paraId="10C6E3DF" w14:textId="77777777" w:rsidR="00B74395" w:rsidRPr="00C20287" w:rsidRDefault="00B74395" w:rsidP="00163D93">
            <w:r w:rsidRPr="00C20287">
              <w:t>IDAA</w:t>
            </w:r>
          </w:p>
        </w:tc>
        <w:tc>
          <w:tcPr>
            <w:tcW w:w="3850" w:type="pct"/>
          </w:tcPr>
          <w:p w14:paraId="3920AC91" w14:textId="77777777" w:rsidR="00B74395" w:rsidRPr="00C20287" w:rsidRDefault="00B74395" w:rsidP="007919D5">
            <w:r w:rsidRPr="00C20287">
              <w:t xml:space="preserve">Indigenous Dose Administration Aids program </w:t>
            </w:r>
          </w:p>
        </w:tc>
      </w:tr>
      <w:tr w:rsidR="002A50C7" w:rsidRPr="00C20287" w14:paraId="6826F4E6" w14:textId="77777777" w:rsidTr="007919D5">
        <w:trPr>
          <w:trHeight w:hRule="exact" w:val="454"/>
        </w:trPr>
        <w:tc>
          <w:tcPr>
            <w:tcW w:w="1150" w:type="pct"/>
          </w:tcPr>
          <w:p w14:paraId="40AC3410" w14:textId="7030420F" w:rsidR="002A50C7" w:rsidRPr="00C20287" w:rsidRDefault="002A50C7" w:rsidP="00163D93">
            <w:r w:rsidRPr="00C20287">
              <w:t>IPP</w:t>
            </w:r>
          </w:p>
        </w:tc>
        <w:tc>
          <w:tcPr>
            <w:tcW w:w="3850" w:type="pct"/>
          </w:tcPr>
          <w:p w14:paraId="2956206E" w14:textId="18728DE8" w:rsidR="002A50C7" w:rsidRPr="00C20287" w:rsidRDefault="002A50C7" w:rsidP="007919D5">
            <w:r w:rsidRPr="00C20287">
              <w:t>Indigenous Pharmacy Programs</w:t>
            </w:r>
          </w:p>
        </w:tc>
      </w:tr>
      <w:tr w:rsidR="00B74395" w:rsidRPr="00C20287" w14:paraId="186359BD" w14:textId="77777777" w:rsidTr="007919D5">
        <w:trPr>
          <w:trHeight w:hRule="exact" w:val="454"/>
        </w:trPr>
        <w:tc>
          <w:tcPr>
            <w:tcW w:w="1150" w:type="pct"/>
          </w:tcPr>
          <w:p w14:paraId="214CA4FD" w14:textId="77777777" w:rsidR="00B74395" w:rsidRPr="00C20287" w:rsidRDefault="00B74395" w:rsidP="00163D93">
            <w:r w:rsidRPr="00C20287">
              <w:t>KPM</w:t>
            </w:r>
          </w:p>
        </w:tc>
        <w:tc>
          <w:tcPr>
            <w:tcW w:w="3850" w:type="pct"/>
          </w:tcPr>
          <w:p w14:paraId="146240F9" w14:textId="77777777" w:rsidR="00B74395" w:rsidRPr="00C20287" w:rsidRDefault="00B74395" w:rsidP="007919D5">
            <w:r w:rsidRPr="00C20287">
              <w:t xml:space="preserve">Key Performance Measures </w:t>
            </w:r>
          </w:p>
        </w:tc>
      </w:tr>
      <w:tr w:rsidR="00B74395" w:rsidRPr="00C20287" w14:paraId="4EEC7246" w14:textId="77777777" w:rsidTr="007919D5">
        <w:trPr>
          <w:trHeight w:hRule="exact" w:val="454"/>
        </w:trPr>
        <w:tc>
          <w:tcPr>
            <w:tcW w:w="1150" w:type="pct"/>
          </w:tcPr>
          <w:p w14:paraId="367673DD" w14:textId="77777777" w:rsidR="00B74395" w:rsidRPr="00C20287" w:rsidRDefault="00B74395" w:rsidP="00163D93">
            <w:r w:rsidRPr="00C20287">
              <w:t>Location Rules</w:t>
            </w:r>
          </w:p>
        </w:tc>
        <w:tc>
          <w:tcPr>
            <w:tcW w:w="3850" w:type="pct"/>
          </w:tcPr>
          <w:p w14:paraId="7947B4B5" w14:textId="77777777" w:rsidR="00B74395" w:rsidRPr="00C20287" w:rsidRDefault="00B74395" w:rsidP="007919D5">
            <w:r w:rsidRPr="00C20287">
              <w:t xml:space="preserve">Pharmacy Location Rules </w:t>
            </w:r>
          </w:p>
        </w:tc>
      </w:tr>
      <w:tr w:rsidR="002A50C7" w:rsidRPr="00C20287" w14:paraId="2BF70E26" w14:textId="77777777" w:rsidTr="007919D5">
        <w:trPr>
          <w:trHeight w:hRule="exact" w:val="454"/>
        </w:trPr>
        <w:tc>
          <w:tcPr>
            <w:tcW w:w="1150" w:type="pct"/>
          </w:tcPr>
          <w:p w14:paraId="675E3424" w14:textId="1520481C" w:rsidR="002A50C7" w:rsidRPr="00C20287" w:rsidRDefault="002A50C7" w:rsidP="00163D93">
            <w:r w:rsidRPr="00C20287">
              <w:t>MDQ</w:t>
            </w:r>
          </w:p>
        </w:tc>
        <w:tc>
          <w:tcPr>
            <w:tcW w:w="3850" w:type="pct"/>
          </w:tcPr>
          <w:p w14:paraId="24034191" w14:textId="1FA3A71B" w:rsidR="002A50C7" w:rsidRPr="00C20287" w:rsidRDefault="002A50C7" w:rsidP="007919D5">
            <w:r w:rsidRPr="00C20287">
              <w:t xml:space="preserve">Maximum Dispensed </w:t>
            </w:r>
            <w:r w:rsidR="00A37E4F" w:rsidRPr="00C20287">
              <w:t>Quantity</w:t>
            </w:r>
          </w:p>
        </w:tc>
      </w:tr>
      <w:tr w:rsidR="00757207" w:rsidRPr="00C20287" w14:paraId="3346CC79" w14:textId="77777777" w:rsidTr="007919D5">
        <w:trPr>
          <w:trHeight w:hRule="exact" w:val="454"/>
        </w:trPr>
        <w:tc>
          <w:tcPr>
            <w:tcW w:w="1150" w:type="pct"/>
          </w:tcPr>
          <w:p w14:paraId="389C77FA" w14:textId="33505FE2" w:rsidR="00757207" w:rsidRPr="00C20287" w:rsidRDefault="00757207" w:rsidP="00163D93">
            <w:r w:rsidRPr="00C20287">
              <w:t>MSAC</w:t>
            </w:r>
          </w:p>
        </w:tc>
        <w:tc>
          <w:tcPr>
            <w:tcW w:w="3850" w:type="pct"/>
          </w:tcPr>
          <w:p w14:paraId="65B386C9" w14:textId="4F21127E" w:rsidR="00757207" w:rsidRPr="00C20287" w:rsidRDefault="00757207" w:rsidP="007919D5">
            <w:r w:rsidRPr="00C20287">
              <w:t xml:space="preserve">Medical Services Advisory Committee </w:t>
            </w:r>
          </w:p>
        </w:tc>
      </w:tr>
      <w:tr w:rsidR="00B74395" w:rsidRPr="00C20287" w14:paraId="15F78385" w14:textId="77777777" w:rsidTr="007919D5">
        <w:trPr>
          <w:trHeight w:hRule="exact" w:val="454"/>
        </w:trPr>
        <w:tc>
          <w:tcPr>
            <w:tcW w:w="1150" w:type="pct"/>
          </w:tcPr>
          <w:p w14:paraId="10A961EA" w14:textId="77777777" w:rsidR="00B74395" w:rsidRPr="00C20287" w:rsidRDefault="00B74395" w:rsidP="00163D93">
            <w:r w:rsidRPr="00C20287">
              <w:t>NACCHO</w:t>
            </w:r>
          </w:p>
        </w:tc>
        <w:tc>
          <w:tcPr>
            <w:tcW w:w="3850" w:type="pct"/>
          </w:tcPr>
          <w:p w14:paraId="4D1E1424" w14:textId="77777777" w:rsidR="00B74395" w:rsidRPr="00C20287" w:rsidRDefault="00B74395" w:rsidP="007919D5">
            <w:r w:rsidRPr="00C20287">
              <w:t xml:space="preserve">National Aboriginal Community Controlled Heath Organisation </w:t>
            </w:r>
          </w:p>
        </w:tc>
      </w:tr>
      <w:tr w:rsidR="00B74395" w:rsidRPr="00C20287" w14:paraId="285DE3D0" w14:textId="77777777" w:rsidTr="007919D5">
        <w:trPr>
          <w:trHeight w:hRule="exact" w:val="454"/>
        </w:trPr>
        <w:tc>
          <w:tcPr>
            <w:tcW w:w="1150" w:type="pct"/>
          </w:tcPr>
          <w:p w14:paraId="537D4202" w14:textId="77777777" w:rsidR="00B74395" w:rsidRPr="00C20287" w:rsidRDefault="00B74395" w:rsidP="00163D93">
            <w:r w:rsidRPr="00C20287">
              <w:t>NDSS</w:t>
            </w:r>
          </w:p>
        </w:tc>
        <w:tc>
          <w:tcPr>
            <w:tcW w:w="3850" w:type="pct"/>
          </w:tcPr>
          <w:p w14:paraId="075A2584" w14:textId="77777777" w:rsidR="00B74395" w:rsidRPr="00C20287" w:rsidRDefault="00B74395" w:rsidP="007919D5">
            <w:r w:rsidRPr="00C20287">
              <w:t xml:space="preserve">National Diabetes Services Scheme </w:t>
            </w:r>
          </w:p>
        </w:tc>
      </w:tr>
      <w:tr w:rsidR="00B74395" w:rsidRPr="00C20287" w14:paraId="0C1AC26F" w14:textId="77777777" w:rsidTr="007919D5">
        <w:trPr>
          <w:trHeight w:hRule="exact" w:val="454"/>
        </w:trPr>
        <w:tc>
          <w:tcPr>
            <w:tcW w:w="1150" w:type="pct"/>
          </w:tcPr>
          <w:p w14:paraId="34F97882" w14:textId="77777777" w:rsidR="00B74395" w:rsidRPr="00C20287" w:rsidRDefault="00B74395" w:rsidP="00163D93">
            <w:r w:rsidRPr="00C20287">
              <w:t>NIP</w:t>
            </w:r>
          </w:p>
        </w:tc>
        <w:tc>
          <w:tcPr>
            <w:tcW w:w="3850" w:type="pct"/>
          </w:tcPr>
          <w:p w14:paraId="6190D3D0" w14:textId="77777777" w:rsidR="00B74395" w:rsidRPr="00C20287" w:rsidRDefault="00B74395" w:rsidP="007919D5">
            <w:r w:rsidRPr="00C20287">
              <w:t xml:space="preserve">National Immunisation Program </w:t>
            </w:r>
          </w:p>
        </w:tc>
      </w:tr>
      <w:tr w:rsidR="00B74395" w:rsidRPr="00C20287" w14:paraId="1FEC2D4D" w14:textId="77777777" w:rsidTr="007919D5">
        <w:trPr>
          <w:trHeight w:hRule="exact" w:val="454"/>
        </w:trPr>
        <w:tc>
          <w:tcPr>
            <w:tcW w:w="1150" w:type="pct"/>
          </w:tcPr>
          <w:p w14:paraId="79A1D711" w14:textId="77777777" w:rsidR="00B74395" w:rsidRPr="00C20287" w:rsidRDefault="00B74395" w:rsidP="00163D93">
            <w:r w:rsidRPr="00C20287">
              <w:t>NMP</w:t>
            </w:r>
          </w:p>
        </w:tc>
        <w:tc>
          <w:tcPr>
            <w:tcW w:w="3850" w:type="pct"/>
          </w:tcPr>
          <w:p w14:paraId="50C49099" w14:textId="77777777" w:rsidR="00B74395" w:rsidRPr="00C20287" w:rsidRDefault="00B74395" w:rsidP="007919D5">
            <w:r w:rsidRPr="00C20287">
              <w:t xml:space="preserve">National Medicines Policy </w:t>
            </w:r>
          </w:p>
        </w:tc>
      </w:tr>
      <w:tr w:rsidR="00B74395" w:rsidRPr="00C20287" w14:paraId="09258BEC" w14:textId="77777777" w:rsidTr="007919D5">
        <w:trPr>
          <w:trHeight w:hRule="exact" w:val="454"/>
        </w:trPr>
        <w:tc>
          <w:tcPr>
            <w:tcW w:w="1150" w:type="pct"/>
          </w:tcPr>
          <w:p w14:paraId="4292B625" w14:textId="77777777" w:rsidR="00B74395" w:rsidRPr="00C20287" w:rsidRDefault="00B74395" w:rsidP="00163D93">
            <w:r w:rsidRPr="00C20287">
              <w:t>NPSA</w:t>
            </w:r>
          </w:p>
        </w:tc>
        <w:tc>
          <w:tcPr>
            <w:tcW w:w="3850" w:type="pct"/>
          </w:tcPr>
          <w:p w14:paraId="116274BF" w14:textId="77777777" w:rsidR="00B74395" w:rsidRPr="00C20287" w:rsidRDefault="00B74395" w:rsidP="007919D5">
            <w:r w:rsidRPr="00C20287">
              <w:t xml:space="preserve">National Pharmaceutical Services Association </w:t>
            </w:r>
          </w:p>
        </w:tc>
      </w:tr>
      <w:tr w:rsidR="00B74395" w:rsidRPr="00C20287" w14:paraId="3BB03EE5" w14:textId="77777777" w:rsidTr="007919D5">
        <w:trPr>
          <w:trHeight w:hRule="exact" w:val="454"/>
        </w:trPr>
        <w:tc>
          <w:tcPr>
            <w:tcW w:w="1150" w:type="pct"/>
          </w:tcPr>
          <w:p w14:paraId="0075899F" w14:textId="77777777" w:rsidR="00B74395" w:rsidRPr="00C20287" w:rsidRDefault="00B74395" w:rsidP="00163D93">
            <w:r w:rsidRPr="00C20287">
              <w:t>PBAC</w:t>
            </w:r>
          </w:p>
        </w:tc>
        <w:tc>
          <w:tcPr>
            <w:tcW w:w="3850" w:type="pct"/>
          </w:tcPr>
          <w:p w14:paraId="382D44AC" w14:textId="77777777" w:rsidR="00B74395" w:rsidRPr="00C20287" w:rsidRDefault="00B74395" w:rsidP="007919D5">
            <w:r w:rsidRPr="00C20287">
              <w:t xml:space="preserve">Pharmaceutical Benefits Advisory Committee </w:t>
            </w:r>
          </w:p>
        </w:tc>
      </w:tr>
      <w:tr w:rsidR="00B74395" w:rsidRPr="00C20287" w14:paraId="5FBC6880" w14:textId="77777777" w:rsidTr="007919D5">
        <w:trPr>
          <w:trHeight w:hRule="exact" w:val="454"/>
        </w:trPr>
        <w:tc>
          <w:tcPr>
            <w:tcW w:w="1150" w:type="pct"/>
          </w:tcPr>
          <w:p w14:paraId="7369B646" w14:textId="77777777" w:rsidR="00B74395" w:rsidRPr="00C20287" w:rsidRDefault="00B74395" w:rsidP="00163D93">
            <w:r w:rsidRPr="00C20287">
              <w:t>PBS</w:t>
            </w:r>
          </w:p>
        </w:tc>
        <w:tc>
          <w:tcPr>
            <w:tcW w:w="3850" w:type="pct"/>
          </w:tcPr>
          <w:p w14:paraId="39828887" w14:textId="77777777" w:rsidR="00B74395" w:rsidRPr="00C20287" w:rsidRDefault="00B74395" w:rsidP="007919D5">
            <w:r w:rsidRPr="00C20287">
              <w:t xml:space="preserve">Pharmaceutical Benefits Scheme </w:t>
            </w:r>
          </w:p>
        </w:tc>
      </w:tr>
      <w:tr w:rsidR="00B74395" w:rsidRPr="00C20287" w14:paraId="7B9D04DC" w14:textId="77777777" w:rsidTr="007919D5">
        <w:trPr>
          <w:trHeight w:hRule="exact" w:val="454"/>
        </w:trPr>
        <w:tc>
          <w:tcPr>
            <w:tcW w:w="1150" w:type="pct"/>
          </w:tcPr>
          <w:p w14:paraId="5A01DEF3" w14:textId="77777777" w:rsidR="00B74395" w:rsidRPr="00C20287" w:rsidRDefault="00B74395" w:rsidP="00163D93">
            <w:r w:rsidRPr="00C20287">
              <w:t>PSCC</w:t>
            </w:r>
          </w:p>
        </w:tc>
        <w:tc>
          <w:tcPr>
            <w:tcW w:w="3850" w:type="pct"/>
          </w:tcPr>
          <w:p w14:paraId="14D2F210" w14:textId="77777777" w:rsidR="00B74395" w:rsidRPr="00C20287" w:rsidRDefault="00B74395" w:rsidP="007919D5">
            <w:r w:rsidRPr="00C20287">
              <w:t xml:space="preserve">Pharmacy Stakeholder Consultation Committee </w:t>
            </w:r>
          </w:p>
        </w:tc>
      </w:tr>
      <w:tr w:rsidR="00B74395" w:rsidRPr="00C20287" w14:paraId="5E13902C" w14:textId="77777777" w:rsidTr="007919D5">
        <w:trPr>
          <w:trHeight w:hRule="exact" w:val="454"/>
        </w:trPr>
        <w:tc>
          <w:tcPr>
            <w:tcW w:w="1150" w:type="pct"/>
          </w:tcPr>
          <w:p w14:paraId="51D05CD7" w14:textId="77777777" w:rsidR="00B74395" w:rsidRPr="00C20287" w:rsidRDefault="00B74395" w:rsidP="00163D93">
            <w:r w:rsidRPr="00C20287">
              <w:t>PES</w:t>
            </w:r>
          </w:p>
        </w:tc>
        <w:tc>
          <w:tcPr>
            <w:tcW w:w="3850" w:type="pct"/>
          </w:tcPr>
          <w:p w14:paraId="418673C1" w14:textId="77777777" w:rsidR="00B74395" w:rsidRPr="00C20287" w:rsidRDefault="00B74395" w:rsidP="007919D5">
            <w:r w:rsidRPr="00C20287">
              <w:t xml:space="preserve">Prescription Exchange Service </w:t>
            </w:r>
          </w:p>
        </w:tc>
      </w:tr>
      <w:tr w:rsidR="00B74395" w:rsidRPr="00C20287" w14:paraId="1D9B1516" w14:textId="77777777" w:rsidTr="007919D5">
        <w:trPr>
          <w:trHeight w:hRule="exact" w:val="454"/>
        </w:trPr>
        <w:tc>
          <w:tcPr>
            <w:tcW w:w="1150" w:type="pct"/>
          </w:tcPr>
          <w:p w14:paraId="2F8ED8C1" w14:textId="77777777" w:rsidR="00B74395" w:rsidRPr="00C20287" w:rsidRDefault="00B74395" w:rsidP="00163D93">
            <w:r w:rsidRPr="00C20287">
              <w:t>Pharmacy Review</w:t>
            </w:r>
          </w:p>
        </w:tc>
        <w:tc>
          <w:tcPr>
            <w:tcW w:w="3850" w:type="pct"/>
          </w:tcPr>
          <w:p w14:paraId="161E25C1" w14:textId="77777777" w:rsidR="00B74395" w:rsidRPr="00C20287" w:rsidRDefault="00B74395" w:rsidP="007919D5">
            <w:r w:rsidRPr="00C20287">
              <w:t xml:space="preserve">Review of Pharmacy Remuneration and Regulation </w:t>
            </w:r>
          </w:p>
        </w:tc>
      </w:tr>
      <w:tr w:rsidR="00B74395" w:rsidRPr="00C20287" w14:paraId="158252B8" w14:textId="77777777" w:rsidTr="007919D5">
        <w:trPr>
          <w:trHeight w:hRule="exact" w:val="454"/>
        </w:trPr>
        <w:tc>
          <w:tcPr>
            <w:tcW w:w="1150" w:type="pct"/>
          </w:tcPr>
          <w:p w14:paraId="6184BAC4" w14:textId="77777777" w:rsidR="00B74395" w:rsidRPr="00C20287" w:rsidRDefault="00B74395" w:rsidP="00163D93">
            <w:r w:rsidRPr="00C20287">
              <w:t>PPA</w:t>
            </w:r>
          </w:p>
        </w:tc>
        <w:tc>
          <w:tcPr>
            <w:tcW w:w="3850" w:type="pct"/>
          </w:tcPr>
          <w:p w14:paraId="3BFDDFDF" w14:textId="77777777" w:rsidR="00B74395" w:rsidRPr="00C20287" w:rsidRDefault="00B74395" w:rsidP="007919D5">
            <w:r w:rsidRPr="00C20287">
              <w:t xml:space="preserve">Pharmacy Programs Administrator </w:t>
            </w:r>
          </w:p>
        </w:tc>
      </w:tr>
      <w:tr w:rsidR="00B74395" w:rsidRPr="00C20287" w14:paraId="58C26042" w14:textId="77777777" w:rsidTr="007919D5">
        <w:trPr>
          <w:trHeight w:hRule="exact" w:val="454"/>
        </w:trPr>
        <w:tc>
          <w:tcPr>
            <w:tcW w:w="1150" w:type="pct"/>
          </w:tcPr>
          <w:p w14:paraId="43AC151D" w14:textId="77777777" w:rsidR="00B74395" w:rsidRPr="00C20287" w:rsidRDefault="00B74395" w:rsidP="00163D93">
            <w:r w:rsidRPr="00C20287">
              <w:t>PBRT</w:t>
            </w:r>
          </w:p>
        </w:tc>
        <w:tc>
          <w:tcPr>
            <w:tcW w:w="3850" w:type="pct"/>
          </w:tcPr>
          <w:p w14:paraId="3BB2E32F" w14:textId="77777777" w:rsidR="00B74395" w:rsidRPr="00C20287" w:rsidRDefault="00B74395" w:rsidP="007919D5">
            <w:r w:rsidRPr="00C20287">
              <w:t xml:space="preserve">Pharmaceutical Benefits Remuneration Tribunal </w:t>
            </w:r>
          </w:p>
        </w:tc>
      </w:tr>
      <w:tr w:rsidR="00B74395" w:rsidRPr="00C20287" w14:paraId="62F002EE" w14:textId="77777777" w:rsidTr="007919D5">
        <w:trPr>
          <w:trHeight w:hRule="exact" w:val="454"/>
        </w:trPr>
        <w:tc>
          <w:tcPr>
            <w:tcW w:w="1150" w:type="pct"/>
          </w:tcPr>
          <w:p w14:paraId="33F3AA2E" w14:textId="77777777" w:rsidR="00B74395" w:rsidRPr="00C20287" w:rsidRDefault="00B74395" w:rsidP="00163D93">
            <w:r w:rsidRPr="00C20287">
              <w:t>PIR</w:t>
            </w:r>
          </w:p>
        </w:tc>
        <w:tc>
          <w:tcPr>
            <w:tcW w:w="3850" w:type="pct"/>
          </w:tcPr>
          <w:p w14:paraId="25D47743" w14:textId="77777777" w:rsidR="00B74395" w:rsidRPr="00C20287" w:rsidRDefault="00B74395" w:rsidP="007919D5">
            <w:r w:rsidRPr="00C20287">
              <w:t xml:space="preserve">Post-Implementation Review </w:t>
            </w:r>
          </w:p>
        </w:tc>
      </w:tr>
      <w:tr w:rsidR="00B74395" w:rsidRPr="00C20287" w14:paraId="5CC1AB0E" w14:textId="77777777" w:rsidTr="007919D5">
        <w:trPr>
          <w:trHeight w:hRule="exact" w:val="454"/>
        </w:trPr>
        <w:tc>
          <w:tcPr>
            <w:tcW w:w="1150" w:type="pct"/>
          </w:tcPr>
          <w:p w14:paraId="2CAD4A24" w14:textId="77777777" w:rsidR="00B74395" w:rsidRPr="00C20287" w:rsidRDefault="00B74395" w:rsidP="00163D93">
            <w:r w:rsidRPr="00C20287">
              <w:t>PSA</w:t>
            </w:r>
          </w:p>
        </w:tc>
        <w:tc>
          <w:tcPr>
            <w:tcW w:w="3850" w:type="pct"/>
          </w:tcPr>
          <w:p w14:paraId="0F020D37" w14:textId="77777777" w:rsidR="00B74395" w:rsidRPr="00C20287" w:rsidRDefault="00B74395" w:rsidP="007919D5">
            <w:r w:rsidRPr="00C20287">
              <w:t xml:space="preserve">Pharmaceutical Society of Australia </w:t>
            </w:r>
          </w:p>
        </w:tc>
      </w:tr>
      <w:tr w:rsidR="00B74395" w:rsidRPr="00C20287" w14:paraId="07F27983" w14:textId="77777777" w:rsidTr="007919D5">
        <w:trPr>
          <w:trHeight w:hRule="exact" w:val="454"/>
        </w:trPr>
        <w:tc>
          <w:tcPr>
            <w:tcW w:w="1150" w:type="pct"/>
          </w:tcPr>
          <w:p w14:paraId="0CCC1B25" w14:textId="77777777" w:rsidR="00B74395" w:rsidRPr="00C20287" w:rsidRDefault="00B74395" w:rsidP="00163D93">
            <w:r w:rsidRPr="00C20287">
              <w:t>QUM</w:t>
            </w:r>
          </w:p>
        </w:tc>
        <w:tc>
          <w:tcPr>
            <w:tcW w:w="3850" w:type="pct"/>
          </w:tcPr>
          <w:p w14:paraId="0D3A12DE" w14:textId="77777777" w:rsidR="00B74395" w:rsidRPr="00C20287" w:rsidRDefault="00B74395" w:rsidP="007919D5">
            <w:r w:rsidRPr="00C20287">
              <w:t xml:space="preserve">Quality Use of Medicines </w:t>
            </w:r>
          </w:p>
        </w:tc>
      </w:tr>
      <w:tr w:rsidR="00B74395" w:rsidRPr="00C20287" w14:paraId="38AABF0F" w14:textId="77777777" w:rsidTr="007919D5">
        <w:trPr>
          <w:trHeight w:hRule="exact" w:val="454"/>
        </w:trPr>
        <w:tc>
          <w:tcPr>
            <w:tcW w:w="1150" w:type="pct"/>
          </w:tcPr>
          <w:p w14:paraId="7C2C462A" w14:textId="77777777" w:rsidR="00B74395" w:rsidRPr="00C20287" w:rsidRDefault="00B74395" w:rsidP="00163D93">
            <w:r w:rsidRPr="00C20287">
              <w:t>RAM</w:t>
            </w:r>
          </w:p>
        </w:tc>
        <w:tc>
          <w:tcPr>
            <w:tcW w:w="3850" w:type="pct"/>
          </w:tcPr>
          <w:p w14:paraId="498CC693" w14:textId="77777777" w:rsidR="00B74395" w:rsidRPr="00C20287" w:rsidRDefault="00B74395" w:rsidP="007919D5">
            <w:r w:rsidRPr="00C20287">
              <w:t xml:space="preserve">Remuneration Adjustment Mechanism </w:t>
            </w:r>
          </w:p>
        </w:tc>
      </w:tr>
      <w:tr w:rsidR="00B74395" w:rsidRPr="00C20287" w14:paraId="369783F0" w14:textId="77777777" w:rsidTr="007919D5">
        <w:trPr>
          <w:trHeight w:hRule="exact" w:val="454"/>
        </w:trPr>
        <w:tc>
          <w:tcPr>
            <w:tcW w:w="1150" w:type="pct"/>
          </w:tcPr>
          <w:p w14:paraId="5C33BA9C" w14:textId="77777777" w:rsidR="00B74395" w:rsidRPr="00C20287" w:rsidRDefault="00B74395" w:rsidP="00163D93">
            <w:r w:rsidRPr="00C20287">
              <w:t>RMMR</w:t>
            </w:r>
          </w:p>
        </w:tc>
        <w:tc>
          <w:tcPr>
            <w:tcW w:w="3850" w:type="pct"/>
          </w:tcPr>
          <w:p w14:paraId="478AE59D" w14:textId="77777777" w:rsidR="00B74395" w:rsidRPr="00C20287" w:rsidRDefault="00B74395" w:rsidP="007919D5">
            <w:r w:rsidRPr="00C20287">
              <w:t>Residential Medication Management Review</w:t>
            </w:r>
          </w:p>
        </w:tc>
      </w:tr>
      <w:tr w:rsidR="00B74395" w:rsidRPr="00C20287" w14:paraId="2747CF56" w14:textId="77777777" w:rsidTr="007919D5">
        <w:trPr>
          <w:trHeight w:hRule="exact" w:val="454"/>
        </w:trPr>
        <w:tc>
          <w:tcPr>
            <w:tcW w:w="1150" w:type="pct"/>
          </w:tcPr>
          <w:p w14:paraId="6DAD6819" w14:textId="77777777" w:rsidR="00B74395" w:rsidRPr="00C20287" w:rsidRDefault="00B74395" w:rsidP="00163D93">
            <w:r w:rsidRPr="00C20287">
              <w:t>RPBS</w:t>
            </w:r>
          </w:p>
        </w:tc>
        <w:tc>
          <w:tcPr>
            <w:tcW w:w="3850" w:type="pct"/>
          </w:tcPr>
          <w:p w14:paraId="307F8616" w14:textId="77777777" w:rsidR="00B74395" w:rsidRPr="00C20287" w:rsidRDefault="00B74395" w:rsidP="007919D5">
            <w:r w:rsidRPr="00C20287">
              <w:t xml:space="preserve">Repatriation Pharmaceutical Benefits Scheme </w:t>
            </w:r>
          </w:p>
        </w:tc>
      </w:tr>
      <w:tr w:rsidR="00B74395" w:rsidRPr="00C20287" w14:paraId="06BEFA99" w14:textId="77777777" w:rsidTr="007919D5">
        <w:trPr>
          <w:trHeight w:hRule="exact" w:val="454"/>
        </w:trPr>
        <w:tc>
          <w:tcPr>
            <w:tcW w:w="1150" w:type="pct"/>
          </w:tcPr>
          <w:p w14:paraId="08E9EBD0" w14:textId="77777777" w:rsidR="00B74395" w:rsidRPr="00C20287" w:rsidRDefault="00B74395" w:rsidP="00163D93">
            <w:r w:rsidRPr="00C20287">
              <w:t>RPMA</w:t>
            </w:r>
          </w:p>
        </w:tc>
        <w:tc>
          <w:tcPr>
            <w:tcW w:w="3850" w:type="pct"/>
          </w:tcPr>
          <w:p w14:paraId="11084EAD" w14:textId="77777777" w:rsidR="00B74395" w:rsidRPr="00C20287" w:rsidRDefault="00B74395" w:rsidP="007919D5">
            <w:r w:rsidRPr="00C20287">
              <w:t xml:space="preserve">Rural / Regional Pharmacy Maintenance Allowance </w:t>
            </w:r>
          </w:p>
        </w:tc>
      </w:tr>
      <w:tr w:rsidR="00B74395" w:rsidRPr="00C20287" w14:paraId="4EBFBEC7" w14:textId="77777777" w:rsidTr="007919D5">
        <w:trPr>
          <w:trHeight w:hRule="exact" w:val="454"/>
        </w:trPr>
        <w:tc>
          <w:tcPr>
            <w:tcW w:w="1150" w:type="pct"/>
          </w:tcPr>
          <w:p w14:paraId="67A07873" w14:textId="77777777" w:rsidR="00B74395" w:rsidRPr="00C20287" w:rsidRDefault="00B74395" w:rsidP="00163D93">
            <w:r w:rsidRPr="00C20287">
              <w:t>TGA</w:t>
            </w:r>
          </w:p>
        </w:tc>
        <w:tc>
          <w:tcPr>
            <w:tcW w:w="3850" w:type="pct"/>
          </w:tcPr>
          <w:p w14:paraId="1239CED0" w14:textId="77777777" w:rsidR="00B74395" w:rsidRPr="00C20287" w:rsidRDefault="00B74395" w:rsidP="007919D5">
            <w:r w:rsidRPr="00C20287">
              <w:t xml:space="preserve">Therapeutic Goods Administration </w:t>
            </w:r>
          </w:p>
        </w:tc>
      </w:tr>
    </w:tbl>
    <w:p w14:paraId="2D06C17E" w14:textId="77777777" w:rsidR="00B74395" w:rsidRPr="00C20287" w:rsidRDefault="00B74395" w:rsidP="00B74395">
      <w:pPr>
        <w:tabs>
          <w:tab w:val="right" w:pos="2127"/>
          <w:tab w:val="left" w:pos="2410"/>
        </w:tabs>
      </w:pPr>
      <w:r w:rsidRPr="00C20287">
        <w:br w:type="page"/>
      </w:r>
    </w:p>
    <w:p w14:paraId="7739D982" w14:textId="77777777" w:rsidR="00B74395" w:rsidRPr="00C20287" w:rsidRDefault="00B74395" w:rsidP="00B74395">
      <w:pPr>
        <w:pStyle w:val="Heading2"/>
        <w:tabs>
          <w:tab w:val="left" w:pos="426"/>
        </w:tabs>
        <w:ind w:left="426" w:hanging="426"/>
      </w:pPr>
      <w:bookmarkStart w:id="104" w:name="_Toc118393799"/>
      <w:bookmarkStart w:id="105" w:name="_Toc168652763"/>
      <w:r w:rsidRPr="00C20287">
        <w:lastRenderedPageBreak/>
        <w:t xml:space="preserve">2. </w:t>
      </w:r>
      <w:r w:rsidRPr="00C20287">
        <w:tab/>
        <w:t>Glossary</w:t>
      </w:r>
      <w:bookmarkEnd w:id="104"/>
      <w:bookmarkEnd w:id="10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B74395" w:rsidRPr="00C20287" w14:paraId="6889A0D7" w14:textId="77777777" w:rsidTr="007919D5">
        <w:tc>
          <w:tcPr>
            <w:tcW w:w="3397" w:type="dxa"/>
          </w:tcPr>
          <w:p w14:paraId="015A4F29" w14:textId="77777777" w:rsidR="00B74395" w:rsidRPr="00C20287" w:rsidRDefault="00B74395" w:rsidP="007919D5">
            <w:pPr>
              <w:tabs>
                <w:tab w:val="right" w:pos="2127"/>
                <w:tab w:val="left" w:pos="2410"/>
              </w:tabs>
              <w:jc w:val="right"/>
            </w:pPr>
            <w:r w:rsidRPr="00C20287">
              <w:t xml:space="preserve">Approved Ex-Manufacturer Price (AEMP) </w:t>
            </w:r>
          </w:p>
        </w:tc>
        <w:tc>
          <w:tcPr>
            <w:tcW w:w="5619" w:type="dxa"/>
          </w:tcPr>
          <w:p w14:paraId="009B7FFC" w14:textId="77777777" w:rsidR="00B74395" w:rsidRPr="00C20287" w:rsidRDefault="00B74395" w:rsidP="007919D5">
            <w:pPr>
              <w:tabs>
                <w:tab w:val="right" w:pos="2127"/>
                <w:tab w:val="left" w:pos="2410"/>
              </w:tabs>
            </w:pPr>
            <w:r w:rsidRPr="00C20287">
              <w:t xml:space="preserve">The price charged by a manufacturer for medicines listed on the Pharmaceutical Benefit Scheme (PBS), as agreed between the Australian Government and the manufacturer </w:t>
            </w:r>
          </w:p>
        </w:tc>
      </w:tr>
      <w:bookmarkEnd w:id="103"/>
      <w:tr w:rsidR="00B74395" w:rsidRPr="00C20287" w14:paraId="640BE606" w14:textId="77777777" w:rsidTr="007919D5">
        <w:tc>
          <w:tcPr>
            <w:tcW w:w="3397" w:type="dxa"/>
          </w:tcPr>
          <w:p w14:paraId="02EC4996" w14:textId="77777777" w:rsidR="00B74395" w:rsidRPr="00C20287" w:rsidRDefault="00B74395" w:rsidP="007919D5">
            <w:pPr>
              <w:tabs>
                <w:tab w:val="right" w:pos="2127"/>
                <w:tab w:val="left" w:pos="2410"/>
              </w:tabs>
              <w:jc w:val="right"/>
            </w:pPr>
            <w:r w:rsidRPr="00C20287">
              <w:t>Approved pharmacist</w:t>
            </w:r>
            <w:r w:rsidRPr="00C20287">
              <w:tab/>
            </w:r>
          </w:p>
        </w:tc>
        <w:tc>
          <w:tcPr>
            <w:tcW w:w="5619" w:type="dxa"/>
          </w:tcPr>
          <w:p w14:paraId="3DCFB2D2" w14:textId="77777777" w:rsidR="00B74395" w:rsidRPr="00C20287" w:rsidRDefault="00B74395" w:rsidP="007919D5">
            <w:pPr>
              <w:tabs>
                <w:tab w:val="right" w:pos="2127"/>
                <w:tab w:val="left" w:pos="2410"/>
              </w:tabs>
            </w:pPr>
            <w:r w:rsidRPr="00C20287">
              <w:t xml:space="preserve">A pharmacist approved under section 90 of the </w:t>
            </w:r>
            <w:r w:rsidRPr="00C20287">
              <w:rPr>
                <w:i/>
                <w:iCs/>
              </w:rPr>
              <w:t xml:space="preserve">National Health Act 1953 </w:t>
            </w:r>
            <w:r w:rsidRPr="00C20287">
              <w:t xml:space="preserve">to supply pharmaceutical benefits (i.e., to dispense Pharmaceutical Benefits Scheme subsidised medicines) from a particular premises </w:t>
            </w:r>
          </w:p>
        </w:tc>
      </w:tr>
      <w:tr w:rsidR="00B74395" w:rsidRPr="00C20287" w14:paraId="741680DC" w14:textId="77777777" w:rsidTr="007919D5">
        <w:tc>
          <w:tcPr>
            <w:tcW w:w="3397" w:type="dxa"/>
          </w:tcPr>
          <w:p w14:paraId="37846CD1" w14:textId="77777777" w:rsidR="00B74395" w:rsidRPr="00C20287" w:rsidRDefault="00B74395" w:rsidP="007919D5">
            <w:pPr>
              <w:tabs>
                <w:tab w:val="right" w:pos="2127"/>
                <w:tab w:val="left" w:pos="2410"/>
              </w:tabs>
              <w:jc w:val="right"/>
            </w:pPr>
            <w:r w:rsidRPr="00C20287">
              <w:t>Brand Price Premium</w:t>
            </w:r>
          </w:p>
        </w:tc>
        <w:tc>
          <w:tcPr>
            <w:tcW w:w="5619" w:type="dxa"/>
          </w:tcPr>
          <w:p w14:paraId="6E4F5255" w14:textId="77777777" w:rsidR="00B74395" w:rsidRPr="00C20287" w:rsidRDefault="00B74395" w:rsidP="007919D5">
            <w:pPr>
              <w:tabs>
                <w:tab w:val="right" w:pos="2127"/>
                <w:tab w:val="left" w:pos="2410"/>
              </w:tabs>
            </w:pPr>
            <w:r w:rsidRPr="00C20287">
              <w:t xml:space="preserve">An additional price paid by a patient for a more expensive brand of a Pharmaceutical Benefits Scheme (PBS) medicine, arising where a medicine manufacturer has set the price of that medicine higher than the cheapest brand, in the case where a number of therapeutically equivalent brands are available on the PBS </w:t>
            </w:r>
          </w:p>
        </w:tc>
      </w:tr>
      <w:tr w:rsidR="00B74395" w:rsidRPr="00C20287" w14:paraId="74BA260C" w14:textId="77777777" w:rsidTr="007919D5">
        <w:tc>
          <w:tcPr>
            <w:tcW w:w="3397" w:type="dxa"/>
          </w:tcPr>
          <w:p w14:paraId="1E5A6D0A" w14:textId="77777777" w:rsidR="00B74395" w:rsidRPr="00C20287" w:rsidRDefault="00B74395" w:rsidP="007919D5">
            <w:pPr>
              <w:tabs>
                <w:tab w:val="right" w:pos="2127"/>
                <w:tab w:val="left" w:pos="2410"/>
              </w:tabs>
              <w:jc w:val="right"/>
            </w:pPr>
            <w:r w:rsidRPr="00C20287">
              <w:t>Community pharmacy</w:t>
            </w:r>
          </w:p>
        </w:tc>
        <w:tc>
          <w:tcPr>
            <w:tcW w:w="5619" w:type="dxa"/>
          </w:tcPr>
          <w:p w14:paraId="0E15C884" w14:textId="77777777" w:rsidR="00B74395" w:rsidRPr="00C20287" w:rsidRDefault="00B74395" w:rsidP="007919D5">
            <w:pPr>
              <w:tabs>
                <w:tab w:val="right" w:pos="2127"/>
                <w:tab w:val="left" w:pos="2410"/>
              </w:tabs>
            </w:pPr>
            <w:r w:rsidRPr="00C20287">
              <w:t xml:space="preserve">A retail pharmacy premises from which patients may obtain a range of medicines and other health related products, including prescription and over the counter medicines. In addition to dispensing medicines, pharmacists in community pharmacies may also provide advice on the appropriate use of medicines, as well as medication management and other services, including vaccinations and wound management </w:t>
            </w:r>
          </w:p>
        </w:tc>
      </w:tr>
      <w:tr w:rsidR="008E7D5A" w:rsidRPr="00C20287" w14:paraId="15B62DF4" w14:textId="77777777" w:rsidTr="007919D5">
        <w:tc>
          <w:tcPr>
            <w:tcW w:w="3397" w:type="dxa"/>
          </w:tcPr>
          <w:p w14:paraId="6FF504F3" w14:textId="69CF76DC" w:rsidR="008E7D5A" w:rsidRPr="00C20287" w:rsidRDefault="008E7D5A" w:rsidP="007919D5">
            <w:pPr>
              <w:tabs>
                <w:tab w:val="right" w:pos="2127"/>
                <w:tab w:val="left" w:pos="2410"/>
              </w:tabs>
              <w:jc w:val="right"/>
            </w:pPr>
            <w:r w:rsidRPr="00C20287">
              <w:t>Community Service Obligation</w:t>
            </w:r>
            <w:r w:rsidR="009C6DF6" w:rsidRPr="00C20287">
              <w:t xml:space="preserve"> (CSO)</w:t>
            </w:r>
          </w:p>
        </w:tc>
        <w:tc>
          <w:tcPr>
            <w:tcW w:w="5619" w:type="dxa"/>
          </w:tcPr>
          <w:p w14:paraId="25CBC7A1" w14:textId="5EE7740E" w:rsidR="008E7D5A" w:rsidRPr="00C20287" w:rsidRDefault="009C6DF6" w:rsidP="009C6DF6">
            <w:pPr>
              <w:tabs>
                <w:tab w:val="right" w:pos="2127"/>
                <w:tab w:val="left" w:pos="2410"/>
              </w:tabs>
            </w:pPr>
            <w:r w:rsidRPr="00C20287">
              <w:t>The primary objective of the CSO Funding Pool is to ensure that arrangements are in place to provide all Australians with ongoing and timely access to all PBS Medicines, through Community Pharmacies. Under the CSO Funding Pool arrangements, eligible entities, known as CSO Distributors, receive Payments from the CSO Funding Pool for supplying PBS Medicines to Community Pharmacies</w:t>
            </w:r>
          </w:p>
        </w:tc>
      </w:tr>
      <w:tr w:rsidR="00B74395" w:rsidRPr="00C20287" w14:paraId="5899B3B7" w14:textId="77777777" w:rsidTr="007919D5">
        <w:tc>
          <w:tcPr>
            <w:tcW w:w="3397" w:type="dxa"/>
          </w:tcPr>
          <w:p w14:paraId="2452A01C" w14:textId="77777777" w:rsidR="00B74395" w:rsidRPr="00C20287" w:rsidRDefault="00B74395" w:rsidP="007919D5">
            <w:pPr>
              <w:tabs>
                <w:tab w:val="right" w:pos="2127"/>
                <w:tab w:val="left" w:pos="2410"/>
              </w:tabs>
              <w:jc w:val="right"/>
            </w:pPr>
            <w:r w:rsidRPr="00C20287">
              <w:t>Controlled Drug</w:t>
            </w:r>
          </w:p>
        </w:tc>
        <w:tc>
          <w:tcPr>
            <w:tcW w:w="5619" w:type="dxa"/>
          </w:tcPr>
          <w:p w14:paraId="10D50E7E" w14:textId="77777777" w:rsidR="00B74395" w:rsidRPr="00C20287" w:rsidRDefault="00B74395" w:rsidP="007919D5">
            <w:pPr>
              <w:tabs>
                <w:tab w:val="right" w:pos="2127"/>
                <w:tab w:val="left" w:pos="2410"/>
              </w:tabs>
            </w:pPr>
            <w:r w:rsidRPr="00C20287">
              <w:t xml:space="preserve">A medicine containing a substance included in Schedule 8 of the Poisons Standard (Cwlth) </w:t>
            </w:r>
          </w:p>
        </w:tc>
      </w:tr>
      <w:tr w:rsidR="00B74395" w:rsidRPr="00C20287" w14:paraId="3966FAC3" w14:textId="77777777" w:rsidTr="007919D5">
        <w:tc>
          <w:tcPr>
            <w:tcW w:w="3397" w:type="dxa"/>
          </w:tcPr>
          <w:p w14:paraId="1B905950" w14:textId="77777777" w:rsidR="00B74395" w:rsidRPr="00C20287" w:rsidRDefault="00B74395" w:rsidP="007919D5">
            <w:pPr>
              <w:tabs>
                <w:tab w:val="right" w:pos="2127"/>
                <w:tab w:val="left" w:pos="2410"/>
              </w:tabs>
              <w:jc w:val="right"/>
            </w:pPr>
            <w:r w:rsidRPr="00C20287">
              <w:t>Dose administration aid</w:t>
            </w:r>
          </w:p>
        </w:tc>
        <w:tc>
          <w:tcPr>
            <w:tcW w:w="5619" w:type="dxa"/>
          </w:tcPr>
          <w:p w14:paraId="0BBEFFC6" w14:textId="77777777" w:rsidR="00B74395" w:rsidRPr="00C20287" w:rsidRDefault="00B74395" w:rsidP="007919D5">
            <w:pPr>
              <w:tabs>
                <w:tab w:val="right" w:pos="2127"/>
                <w:tab w:val="left" w:pos="2410"/>
              </w:tabs>
            </w:pPr>
            <w:r w:rsidRPr="00C20287">
              <w:t xml:space="preserve">A sealed medicine packaging system designed to reduce unintentional medication non-adherence by organising does of a patient’s medicines according to time of administration and enabling patients to see if they have taken their medicines </w:t>
            </w:r>
          </w:p>
        </w:tc>
      </w:tr>
      <w:tr w:rsidR="00B74395" w:rsidRPr="00C20287" w14:paraId="7A6192F2" w14:textId="77777777" w:rsidTr="007919D5">
        <w:tc>
          <w:tcPr>
            <w:tcW w:w="3397" w:type="dxa"/>
          </w:tcPr>
          <w:p w14:paraId="3EAEEEA5" w14:textId="77777777" w:rsidR="00B74395" w:rsidRPr="00C20287" w:rsidRDefault="00B74395" w:rsidP="007919D5">
            <w:pPr>
              <w:tabs>
                <w:tab w:val="right" w:pos="2127"/>
                <w:tab w:val="left" w:pos="2410"/>
              </w:tabs>
              <w:jc w:val="right"/>
            </w:pPr>
            <w:r w:rsidRPr="00C20287">
              <w:t>Home Medicines Review (HMR)</w:t>
            </w:r>
          </w:p>
        </w:tc>
        <w:tc>
          <w:tcPr>
            <w:tcW w:w="5619" w:type="dxa"/>
          </w:tcPr>
          <w:p w14:paraId="580607AE" w14:textId="77777777" w:rsidR="00B74395" w:rsidRPr="00C20287" w:rsidRDefault="00B74395" w:rsidP="007919D5">
            <w:pPr>
              <w:tabs>
                <w:tab w:val="right" w:pos="2127"/>
                <w:tab w:val="left" w:pos="2410"/>
              </w:tabs>
            </w:pPr>
            <w:r w:rsidRPr="00C20287">
              <w:t xml:space="preserve">A medication review conducted by an accredited pharmacist in a patient’s home. An HMR is initiated at the request of an eligible patient’s referring medical practitioner and involves an initial face-to-face patient consultation with a pharmacist with one more follow-up consultations as required, each time after which a written assessment is provided to the patient’s referring medical practitioner </w:t>
            </w:r>
          </w:p>
        </w:tc>
      </w:tr>
      <w:tr w:rsidR="00B74395" w:rsidRPr="00C20287" w14:paraId="0E9D1485" w14:textId="77777777" w:rsidTr="007919D5">
        <w:tc>
          <w:tcPr>
            <w:tcW w:w="3397" w:type="dxa"/>
          </w:tcPr>
          <w:p w14:paraId="0C4F4DF8" w14:textId="77777777" w:rsidR="00B74395" w:rsidRPr="00C20287" w:rsidRDefault="00B74395" w:rsidP="007919D5">
            <w:pPr>
              <w:tabs>
                <w:tab w:val="right" w:pos="2127"/>
                <w:tab w:val="left" w:pos="2410"/>
              </w:tabs>
              <w:jc w:val="right"/>
            </w:pPr>
            <w:r w:rsidRPr="00C20287">
              <w:t>Medication Review</w:t>
            </w:r>
          </w:p>
        </w:tc>
        <w:tc>
          <w:tcPr>
            <w:tcW w:w="5619" w:type="dxa"/>
          </w:tcPr>
          <w:p w14:paraId="596EE6E7" w14:textId="77777777" w:rsidR="00B74395" w:rsidRPr="00C20287" w:rsidRDefault="00B74395" w:rsidP="007919D5">
            <w:pPr>
              <w:tabs>
                <w:tab w:val="right" w:pos="2127"/>
                <w:tab w:val="left" w:pos="2410"/>
              </w:tabs>
            </w:pPr>
            <w:r w:rsidRPr="00C20287">
              <w:t xml:space="preserve">A systematic assessment of a patient's medication management with the aim of optimising the quality use of medicines and minimising medication-related problems </w:t>
            </w:r>
          </w:p>
        </w:tc>
      </w:tr>
      <w:tr w:rsidR="00B74395" w:rsidRPr="00C20287" w14:paraId="2C5DA056" w14:textId="77777777" w:rsidTr="007919D5">
        <w:tc>
          <w:tcPr>
            <w:tcW w:w="3397" w:type="dxa"/>
          </w:tcPr>
          <w:p w14:paraId="3B28FBAC" w14:textId="77777777" w:rsidR="00B74395" w:rsidRPr="00C20287" w:rsidRDefault="00B74395" w:rsidP="007919D5">
            <w:pPr>
              <w:tabs>
                <w:tab w:val="right" w:pos="2127"/>
                <w:tab w:val="left" w:pos="2410"/>
              </w:tabs>
              <w:jc w:val="right"/>
            </w:pPr>
            <w:r w:rsidRPr="00C20287">
              <w:t>National Diabetes Services Scheme (NDSS)</w:t>
            </w:r>
          </w:p>
        </w:tc>
        <w:tc>
          <w:tcPr>
            <w:tcW w:w="5619" w:type="dxa"/>
          </w:tcPr>
          <w:p w14:paraId="2E4BC8A8" w14:textId="77777777" w:rsidR="00B74395" w:rsidRPr="00C20287" w:rsidRDefault="00B74395" w:rsidP="007919D5">
            <w:pPr>
              <w:tabs>
                <w:tab w:val="right" w:pos="2127"/>
                <w:tab w:val="left" w:pos="2410"/>
              </w:tabs>
            </w:pPr>
            <w:r w:rsidRPr="00C20287">
              <w:t xml:space="preserve">An Australian Government program, administered by Diabetes Australia, to enhance the capacity of people with diabetes to understand and self-manage their condition and to provide patients access to services, support and subsidised diabetes products </w:t>
            </w:r>
          </w:p>
        </w:tc>
      </w:tr>
      <w:tr w:rsidR="00B74395" w:rsidRPr="00C20287" w14:paraId="197BB583" w14:textId="77777777" w:rsidTr="007919D5">
        <w:tc>
          <w:tcPr>
            <w:tcW w:w="3397" w:type="dxa"/>
          </w:tcPr>
          <w:p w14:paraId="1EDCCBC6" w14:textId="77777777" w:rsidR="00B74395" w:rsidRPr="00C20287" w:rsidRDefault="00B74395" w:rsidP="007919D5">
            <w:pPr>
              <w:tabs>
                <w:tab w:val="right" w:pos="2127"/>
                <w:tab w:val="left" w:pos="2410"/>
              </w:tabs>
              <w:jc w:val="right"/>
            </w:pPr>
            <w:r w:rsidRPr="00C20287">
              <w:t>Over-the-counter medicines</w:t>
            </w:r>
          </w:p>
        </w:tc>
        <w:tc>
          <w:tcPr>
            <w:tcW w:w="5619" w:type="dxa"/>
          </w:tcPr>
          <w:p w14:paraId="17823E2E" w14:textId="77777777" w:rsidR="00B74395" w:rsidRPr="00C20287" w:rsidRDefault="00B74395" w:rsidP="007919D5">
            <w:pPr>
              <w:tabs>
                <w:tab w:val="right" w:pos="2127"/>
                <w:tab w:val="left" w:pos="2410"/>
              </w:tabs>
            </w:pPr>
            <w:r w:rsidRPr="00C20287">
              <w:t xml:space="preserve">Medicines that are used to treat mild health conditions and which do not require a prescription for supply. </w:t>
            </w:r>
          </w:p>
          <w:p w14:paraId="7A98169E" w14:textId="77777777" w:rsidR="00B74395" w:rsidRPr="00C20287" w:rsidRDefault="00B74395" w:rsidP="007919D5">
            <w:pPr>
              <w:tabs>
                <w:tab w:val="right" w:pos="2127"/>
                <w:tab w:val="left" w:pos="2410"/>
              </w:tabs>
            </w:pPr>
            <w:r w:rsidRPr="00C20287">
              <w:t>These can be:</w:t>
            </w:r>
          </w:p>
          <w:p w14:paraId="37A8962C" w14:textId="77777777" w:rsidR="00B74395" w:rsidRPr="00C20287" w:rsidRDefault="00B74395" w:rsidP="0095671A">
            <w:pPr>
              <w:pStyle w:val="ListParagraph"/>
              <w:numPr>
                <w:ilvl w:val="0"/>
                <w:numId w:val="21"/>
              </w:numPr>
              <w:tabs>
                <w:tab w:val="right" w:pos="2127"/>
                <w:tab w:val="left" w:pos="2410"/>
              </w:tabs>
              <w:spacing w:before="120" w:line="276" w:lineRule="auto"/>
            </w:pPr>
            <w:r w:rsidRPr="00C20287">
              <w:rPr>
                <w:i/>
                <w:iCs/>
              </w:rPr>
              <w:lastRenderedPageBreak/>
              <w:t>Pharmacist Only Medicines</w:t>
            </w:r>
            <w:r w:rsidRPr="00C20287">
              <w:t xml:space="preserve"> – which can only be supplied from a pharmacy on the advice of a pharmacist; </w:t>
            </w:r>
          </w:p>
          <w:p w14:paraId="5995E9AE" w14:textId="77777777" w:rsidR="00B74395" w:rsidRPr="00C20287" w:rsidRDefault="00B74395" w:rsidP="0095671A">
            <w:pPr>
              <w:pStyle w:val="ListParagraph"/>
              <w:numPr>
                <w:ilvl w:val="0"/>
                <w:numId w:val="21"/>
              </w:numPr>
              <w:tabs>
                <w:tab w:val="right" w:pos="2127"/>
                <w:tab w:val="left" w:pos="2410"/>
              </w:tabs>
              <w:spacing w:before="120" w:line="276" w:lineRule="auto"/>
            </w:pPr>
            <w:r w:rsidRPr="00C20287">
              <w:rPr>
                <w:i/>
                <w:iCs/>
              </w:rPr>
              <w:t>Pharmacy Medicines</w:t>
            </w:r>
            <w:r w:rsidRPr="00C20287">
              <w:t xml:space="preserve"> – which are available for self-selection from pharmacies only; or</w:t>
            </w:r>
          </w:p>
          <w:p w14:paraId="67328DED" w14:textId="77777777" w:rsidR="00B74395" w:rsidRPr="00C20287" w:rsidRDefault="00B74395" w:rsidP="0095671A">
            <w:pPr>
              <w:pStyle w:val="ListParagraph"/>
              <w:numPr>
                <w:ilvl w:val="0"/>
                <w:numId w:val="21"/>
              </w:numPr>
              <w:tabs>
                <w:tab w:val="right" w:pos="2127"/>
                <w:tab w:val="left" w:pos="2410"/>
              </w:tabs>
              <w:spacing w:before="120" w:line="276" w:lineRule="auto"/>
            </w:pPr>
            <w:r w:rsidRPr="00C20287">
              <w:rPr>
                <w:i/>
                <w:iCs/>
              </w:rPr>
              <w:t>Non-Scheduled Medicines</w:t>
            </w:r>
            <w:r w:rsidRPr="00C20287">
              <w:t xml:space="preserve"> – which are available for self-selection from pharmacies, supermarkets or health foods stores. </w:t>
            </w:r>
          </w:p>
        </w:tc>
      </w:tr>
      <w:tr w:rsidR="00B74395" w:rsidRPr="00C20287" w14:paraId="4CF28104" w14:textId="77777777" w:rsidTr="007919D5">
        <w:tc>
          <w:tcPr>
            <w:tcW w:w="3397" w:type="dxa"/>
          </w:tcPr>
          <w:p w14:paraId="39EF1218" w14:textId="77777777" w:rsidR="00B74395" w:rsidRPr="00C20287" w:rsidRDefault="00B74395" w:rsidP="007919D5">
            <w:pPr>
              <w:tabs>
                <w:tab w:val="right" w:pos="2127"/>
                <w:tab w:val="left" w:pos="2410"/>
              </w:tabs>
              <w:jc w:val="right"/>
            </w:pPr>
            <w:r w:rsidRPr="00C20287">
              <w:lastRenderedPageBreak/>
              <w:t>Prescription medicines</w:t>
            </w:r>
          </w:p>
        </w:tc>
        <w:tc>
          <w:tcPr>
            <w:tcW w:w="5619" w:type="dxa"/>
          </w:tcPr>
          <w:p w14:paraId="239602B4" w14:textId="77777777" w:rsidR="00B74395" w:rsidRPr="00C20287" w:rsidRDefault="00B74395" w:rsidP="007919D5">
            <w:pPr>
              <w:tabs>
                <w:tab w:val="right" w:pos="2127"/>
                <w:tab w:val="left" w:pos="2410"/>
              </w:tabs>
            </w:pPr>
            <w:r w:rsidRPr="00C20287">
              <w:t xml:space="preserve">Medicines that can only be made available to a patient on the written instruction of a health practitioner authorised under state or territory legislation to prescribe. This usually pertains to medicines containing a substance included in Schedule 4 or Schedule 8 of the Poisons Standard (Cwlth) </w:t>
            </w:r>
          </w:p>
        </w:tc>
      </w:tr>
      <w:tr w:rsidR="00B74395" w:rsidRPr="00C20287" w14:paraId="674A04B3" w14:textId="77777777" w:rsidTr="007919D5">
        <w:tc>
          <w:tcPr>
            <w:tcW w:w="3397" w:type="dxa"/>
          </w:tcPr>
          <w:p w14:paraId="0E4C5730" w14:textId="77777777" w:rsidR="00B74395" w:rsidRPr="00C20287" w:rsidRDefault="00B74395" w:rsidP="007919D5">
            <w:pPr>
              <w:tabs>
                <w:tab w:val="right" w:pos="2127"/>
                <w:tab w:val="left" w:pos="2410"/>
              </w:tabs>
              <w:jc w:val="right"/>
            </w:pPr>
            <w:r w:rsidRPr="00C20287">
              <w:t>Pharmacy Location Rules</w:t>
            </w:r>
          </w:p>
        </w:tc>
        <w:tc>
          <w:tcPr>
            <w:tcW w:w="5619" w:type="dxa"/>
          </w:tcPr>
          <w:p w14:paraId="21B99306" w14:textId="77777777" w:rsidR="00B74395" w:rsidRPr="00C20287" w:rsidRDefault="00B74395" w:rsidP="007919D5">
            <w:pPr>
              <w:tabs>
                <w:tab w:val="right" w:pos="2127"/>
                <w:tab w:val="left" w:pos="2410"/>
              </w:tabs>
            </w:pPr>
            <w:r w:rsidRPr="00C20287">
              <w:t xml:space="preserve">Rules relating to the establishment of a new pharmacy, or the relocation of an existing pharmacy, approved to supply pharmaceutical benefits under section 90 of the </w:t>
            </w:r>
            <w:r w:rsidRPr="00C20287">
              <w:rPr>
                <w:i/>
                <w:iCs/>
              </w:rPr>
              <w:t>National Health Act 1593</w:t>
            </w:r>
            <w:r w:rsidRPr="00C20287">
              <w:t xml:space="preserve"> (Cwlth). The rules set out location-based criteria which must be met for the Australian Community Pharmacy Authority (ACPA) to recommend approval under section 90 of the Act. The Rules are legislated under the </w:t>
            </w:r>
            <w:r w:rsidRPr="00C20287">
              <w:rPr>
                <w:i/>
                <w:iCs/>
              </w:rPr>
              <w:t>National Health (Australian Community Pharmacy Authority Rules) Determination 2018 (PB 46 of 2018)</w:t>
            </w:r>
            <w:r w:rsidRPr="00C20287">
              <w:t xml:space="preserve">, made under section 99L of the Act </w:t>
            </w:r>
          </w:p>
        </w:tc>
      </w:tr>
      <w:tr w:rsidR="00B74395" w:rsidRPr="00C20287" w14:paraId="47B369D5" w14:textId="77777777" w:rsidTr="007919D5">
        <w:tc>
          <w:tcPr>
            <w:tcW w:w="3397" w:type="dxa"/>
          </w:tcPr>
          <w:p w14:paraId="1DA337B9" w14:textId="77777777" w:rsidR="00B74395" w:rsidRPr="00C20287" w:rsidRDefault="00B74395" w:rsidP="007919D5">
            <w:pPr>
              <w:tabs>
                <w:tab w:val="right" w:pos="2127"/>
                <w:tab w:val="left" w:pos="2410"/>
              </w:tabs>
              <w:jc w:val="right"/>
            </w:pPr>
            <w:r w:rsidRPr="00C20287">
              <w:t xml:space="preserve">Community Services Obligation (CSO) </w:t>
            </w:r>
          </w:p>
        </w:tc>
        <w:tc>
          <w:tcPr>
            <w:tcW w:w="5619" w:type="dxa"/>
          </w:tcPr>
          <w:p w14:paraId="199D6EE1" w14:textId="77777777" w:rsidR="00B74395" w:rsidRPr="00C20287" w:rsidRDefault="00B74395" w:rsidP="007919D5">
            <w:pPr>
              <w:tabs>
                <w:tab w:val="right" w:pos="2127"/>
                <w:tab w:val="left" w:pos="2410"/>
              </w:tabs>
            </w:pPr>
            <w:r w:rsidRPr="00C20287">
              <w:t xml:space="preserve">The CSO encompasses a set of service standards and compliance requirements, pertaining to the stocking and distribution of PBS medicines to community pharmacies across Australia, which medicines wholesalers must comply with when becoming a CSO Distributor eligible for receiving payments under CSO Funding Pool arrangements administered under the 7CPA </w:t>
            </w:r>
          </w:p>
        </w:tc>
      </w:tr>
      <w:tr w:rsidR="00B74395" w:rsidRPr="00C20287" w14:paraId="103E20FF" w14:textId="77777777" w:rsidTr="007919D5">
        <w:tc>
          <w:tcPr>
            <w:tcW w:w="3397" w:type="dxa"/>
          </w:tcPr>
          <w:p w14:paraId="48EFDDC8" w14:textId="77777777" w:rsidR="00B74395" w:rsidRPr="00C20287" w:rsidRDefault="00B74395" w:rsidP="007919D5">
            <w:pPr>
              <w:tabs>
                <w:tab w:val="right" w:pos="2127"/>
                <w:tab w:val="left" w:pos="2410"/>
              </w:tabs>
              <w:jc w:val="right"/>
            </w:pPr>
            <w:r w:rsidRPr="00C20287">
              <w:t>CSO Funding Pool</w:t>
            </w:r>
          </w:p>
        </w:tc>
        <w:tc>
          <w:tcPr>
            <w:tcW w:w="5619" w:type="dxa"/>
          </w:tcPr>
          <w:p w14:paraId="351C0D7C" w14:textId="77777777" w:rsidR="00B74395" w:rsidRPr="00C20287" w:rsidRDefault="00B74395" w:rsidP="007919D5">
            <w:pPr>
              <w:tabs>
                <w:tab w:val="right" w:pos="2127"/>
                <w:tab w:val="left" w:pos="2410"/>
              </w:tabs>
            </w:pPr>
            <w:r w:rsidRPr="00C20287">
              <w:t xml:space="preserve">A pool of funds, totalling $1.083 billion over five years under the 7CPA, to support eligible CSO Distributors for the additional costs incurred in ensuring the timely supply of Pharmaceutical Benefit Scheme (PBS) medicines and National Diabetes Services Scheme (NDSS) products to community pharmacies across Australia </w:t>
            </w:r>
          </w:p>
        </w:tc>
      </w:tr>
      <w:tr w:rsidR="00B74395" w:rsidRPr="00C20287" w14:paraId="0B398862" w14:textId="77777777" w:rsidTr="007919D5">
        <w:tc>
          <w:tcPr>
            <w:tcW w:w="3397" w:type="dxa"/>
          </w:tcPr>
          <w:p w14:paraId="3A848D09" w14:textId="77777777" w:rsidR="00B74395" w:rsidRPr="00C20287" w:rsidRDefault="00B74395" w:rsidP="007919D5">
            <w:pPr>
              <w:tabs>
                <w:tab w:val="right" w:pos="2127"/>
                <w:tab w:val="left" w:pos="2410"/>
              </w:tabs>
              <w:jc w:val="right"/>
            </w:pPr>
            <w:r w:rsidRPr="00C20287">
              <w:t>QUM in Aged Care</w:t>
            </w:r>
          </w:p>
        </w:tc>
        <w:tc>
          <w:tcPr>
            <w:tcW w:w="5619" w:type="dxa"/>
          </w:tcPr>
          <w:p w14:paraId="0A23672B" w14:textId="77777777" w:rsidR="00B74395" w:rsidRPr="00C20287" w:rsidRDefault="00B74395" w:rsidP="007919D5">
            <w:pPr>
              <w:tabs>
                <w:tab w:val="right" w:pos="2127"/>
                <w:tab w:val="left" w:pos="2410"/>
              </w:tabs>
            </w:pPr>
            <w:r w:rsidRPr="00C20287">
              <w:t xml:space="preserve">The Quality Use of Medicines (QUM) Program supports the delivery of services and activities by pharmacists aimed at supporting the quality use of medicines, including the safe use of medicines, within Australian Government-funded aged care facilities </w:t>
            </w:r>
          </w:p>
        </w:tc>
      </w:tr>
      <w:tr w:rsidR="00B74395" w:rsidRPr="00C20287" w14:paraId="23C74F35" w14:textId="77777777" w:rsidTr="007919D5">
        <w:tc>
          <w:tcPr>
            <w:tcW w:w="3397" w:type="dxa"/>
          </w:tcPr>
          <w:p w14:paraId="3931CE13" w14:textId="77777777" w:rsidR="00B74395" w:rsidRPr="00C20287" w:rsidRDefault="00B74395" w:rsidP="007919D5">
            <w:pPr>
              <w:tabs>
                <w:tab w:val="right" w:pos="2127"/>
                <w:tab w:val="left" w:pos="2410"/>
              </w:tabs>
              <w:jc w:val="right"/>
            </w:pPr>
            <w:r w:rsidRPr="00C20287">
              <w:t>Residential Medication Management Review (RMMR)</w:t>
            </w:r>
          </w:p>
        </w:tc>
        <w:tc>
          <w:tcPr>
            <w:tcW w:w="5619" w:type="dxa"/>
          </w:tcPr>
          <w:p w14:paraId="46BB8AC4" w14:textId="77777777" w:rsidR="00B74395" w:rsidRPr="00C20287" w:rsidRDefault="00B74395" w:rsidP="007919D5">
            <w:pPr>
              <w:tabs>
                <w:tab w:val="right" w:pos="2127"/>
                <w:tab w:val="left" w:pos="2410"/>
              </w:tabs>
            </w:pPr>
            <w:r w:rsidRPr="00C20287">
              <w:t xml:space="preserve">A medication review conducted in an Australian Government funded Aged Care Facility by an accredited pharmacist for a patient living in that facility. An RMMR is initiated at the request of an eligible patient’s referring medical practitioner and involves an initial face-to-face patient consultation with a pharmacist with one more follow-up consultations as required, each time after which a written assessment is provided to the patient’s referring medical practitioner </w:t>
            </w:r>
          </w:p>
        </w:tc>
      </w:tr>
      <w:tr w:rsidR="00B74395" w:rsidRPr="00C20287" w14:paraId="4D2A1AC7" w14:textId="77777777" w:rsidTr="007919D5">
        <w:tc>
          <w:tcPr>
            <w:tcW w:w="3397" w:type="dxa"/>
          </w:tcPr>
          <w:p w14:paraId="30365B1A" w14:textId="77777777" w:rsidR="00B74395" w:rsidRPr="00C20287" w:rsidRDefault="00B74395" w:rsidP="007919D5">
            <w:pPr>
              <w:tabs>
                <w:tab w:val="right" w:pos="2127"/>
                <w:tab w:val="left" w:pos="2410"/>
              </w:tabs>
              <w:jc w:val="right"/>
            </w:pPr>
            <w:r w:rsidRPr="00C20287">
              <w:t>S100 – Highly Specialised Drugs Program</w:t>
            </w:r>
          </w:p>
        </w:tc>
        <w:tc>
          <w:tcPr>
            <w:tcW w:w="5619" w:type="dxa"/>
          </w:tcPr>
          <w:p w14:paraId="3051CCC9" w14:textId="77777777" w:rsidR="00B74395" w:rsidRPr="00C20287" w:rsidRDefault="00B74395" w:rsidP="007919D5">
            <w:pPr>
              <w:tabs>
                <w:tab w:val="right" w:pos="2127"/>
                <w:tab w:val="left" w:pos="2410"/>
              </w:tabs>
            </w:pPr>
            <w:r w:rsidRPr="00C20287">
              <w:t xml:space="preserve">The Highly Specialised Drugs (HSD) Program provides access to specialised Pharmaceutical Benefits Scheme (PBS) medicines for the treatment of chronic conditions which, because of their clinical use and other special features, have restrictions on where they can be prescribed and supplied.  In most cases, medical practitioners are required to undertake specific training or be affiliated with a specialised hospital unit to prescribe these </w:t>
            </w:r>
            <w:r w:rsidRPr="00C20287">
              <w:lastRenderedPageBreak/>
              <w:t xml:space="preserve">medicines. HSDs may be prescribed through public or private hospitals, or in limited instances, in the community setting </w:t>
            </w:r>
          </w:p>
        </w:tc>
      </w:tr>
      <w:tr w:rsidR="00B74395" w:rsidRPr="00C20287" w14:paraId="3E2C43EA" w14:textId="77777777" w:rsidTr="007919D5">
        <w:tc>
          <w:tcPr>
            <w:tcW w:w="3397" w:type="dxa"/>
          </w:tcPr>
          <w:p w14:paraId="63522360" w14:textId="77777777" w:rsidR="00B74395" w:rsidRPr="00C20287" w:rsidRDefault="00B74395" w:rsidP="007919D5">
            <w:pPr>
              <w:tabs>
                <w:tab w:val="right" w:pos="2127"/>
                <w:tab w:val="left" w:pos="2410"/>
              </w:tabs>
              <w:jc w:val="right"/>
            </w:pPr>
            <w:r w:rsidRPr="00C20287">
              <w:lastRenderedPageBreak/>
              <w:t xml:space="preserve">S100 Pharmacy Support Allowance </w:t>
            </w:r>
          </w:p>
        </w:tc>
        <w:tc>
          <w:tcPr>
            <w:tcW w:w="5619" w:type="dxa"/>
          </w:tcPr>
          <w:p w14:paraId="612406F8" w14:textId="77777777" w:rsidR="00B74395" w:rsidRPr="00C20287" w:rsidRDefault="00B74395" w:rsidP="007919D5">
            <w:pPr>
              <w:tabs>
                <w:tab w:val="right" w:pos="2127"/>
                <w:tab w:val="left" w:pos="2410"/>
              </w:tabs>
            </w:pPr>
            <w:r w:rsidRPr="00C20287">
              <w:t xml:space="preserve">An allowance paid to approved pharmacists that provide support to remote area Aboriginal Health Services in relation to Section 100 Supply Arrangements </w:t>
            </w:r>
          </w:p>
        </w:tc>
      </w:tr>
      <w:tr w:rsidR="00B74395" w:rsidRPr="00C20287" w14:paraId="7EAA2460" w14:textId="77777777" w:rsidTr="007919D5">
        <w:tc>
          <w:tcPr>
            <w:tcW w:w="3397" w:type="dxa"/>
          </w:tcPr>
          <w:p w14:paraId="15B97A4A" w14:textId="77777777" w:rsidR="00B74395" w:rsidRPr="00C20287" w:rsidRDefault="00B74395" w:rsidP="007919D5">
            <w:pPr>
              <w:tabs>
                <w:tab w:val="right" w:pos="2127"/>
                <w:tab w:val="left" w:pos="2410"/>
              </w:tabs>
              <w:jc w:val="right"/>
            </w:pPr>
            <w:r w:rsidRPr="00C20287">
              <w:t>S100 Supply Arrangements</w:t>
            </w:r>
          </w:p>
        </w:tc>
        <w:tc>
          <w:tcPr>
            <w:tcW w:w="5619" w:type="dxa"/>
          </w:tcPr>
          <w:p w14:paraId="07951DF0" w14:textId="77777777" w:rsidR="00B74395" w:rsidRPr="00C20287" w:rsidRDefault="00B74395" w:rsidP="007919D5">
            <w:pPr>
              <w:tabs>
                <w:tab w:val="right" w:pos="2127"/>
                <w:tab w:val="left" w:pos="2410"/>
              </w:tabs>
            </w:pPr>
            <w:r w:rsidRPr="00C20287">
              <w:t xml:space="preserve">Supply of Pharmaceutical Benefit Scheme (PBS) medicines to remote area Aboriginal Health Services under the provisions of section 100 of the </w:t>
            </w:r>
            <w:r w:rsidRPr="00C20287">
              <w:rPr>
                <w:i/>
                <w:iCs/>
              </w:rPr>
              <w:t xml:space="preserve">National Health Act 1953 </w:t>
            </w:r>
          </w:p>
        </w:tc>
      </w:tr>
      <w:tr w:rsidR="00B74395" w:rsidRPr="00C20287" w14:paraId="3430E44C" w14:textId="77777777" w:rsidTr="007919D5">
        <w:tc>
          <w:tcPr>
            <w:tcW w:w="3397" w:type="dxa"/>
          </w:tcPr>
          <w:p w14:paraId="60426CCF" w14:textId="77777777" w:rsidR="00B74395" w:rsidRPr="00C20287" w:rsidRDefault="00B74395" w:rsidP="007919D5">
            <w:pPr>
              <w:tabs>
                <w:tab w:val="right" w:pos="2127"/>
                <w:tab w:val="left" w:pos="2410"/>
              </w:tabs>
              <w:jc w:val="right"/>
            </w:pPr>
            <w:r w:rsidRPr="00C20287">
              <w:t xml:space="preserve">Special Pricing Arrangement </w:t>
            </w:r>
          </w:p>
        </w:tc>
        <w:tc>
          <w:tcPr>
            <w:tcW w:w="5619" w:type="dxa"/>
          </w:tcPr>
          <w:p w14:paraId="6F553DCD" w14:textId="77777777" w:rsidR="00B74395" w:rsidRPr="00C20287" w:rsidRDefault="00B74395" w:rsidP="007919D5">
            <w:pPr>
              <w:tabs>
                <w:tab w:val="right" w:pos="2127"/>
                <w:tab w:val="left" w:pos="2410"/>
              </w:tabs>
            </w:pPr>
            <w:r w:rsidRPr="00C20287">
              <w:t xml:space="preserve">A deed of agreement between a medicine sponsor and the Australian Government, for supply of a medicine at a price recommended by Pharmaceutical Benefits Advisory Committee (PBAC) as cost-effective, without affecting the price of the medicine in other markets. Special Pricing Arrangements formalise a ‘published’ versus ‘effective’ pricing component, where the difference between the published price in the Schedule of Pharmaceutical Benefits and the price actually paid by the Commonwealth (the ‘effective’ price), is managed through a rebate arrangement </w:t>
            </w:r>
          </w:p>
        </w:tc>
      </w:tr>
      <w:tr w:rsidR="00B74395" w:rsidRPr="00C20287" w14:paraId="790396DB" w14:textId="77777777" w:rsidTr="007919D5">
        <w:tc>
          <w:tcPr>
            <w:tcW w:w="3397" w:type="dxa"/>
          </w:tcPr>
          <w:p w14:paraId="52B31724" w14:textId="77777777" w:rsidR="00B74395" w:rsidRPr="00C20287" w:rsidRDefault="00B74395" w:rsidP="007919D5">
            <w:pPr>
              <w:tabs>
                <w:tab w:val="right" w:pos="2127"/>
                <w:tab w:val="left" w:pos="2410"/>
              </w:tabs>
              <w:jc w:val="right"/>
            </w:pPr>
            <w:r w:rsidRPr="00C20287">
              <w:t>Staged Supply</w:t>
            </w:r>
          </w:p>
        </w:tc>
        <w:tc>
          <w:tcPr>
            <w:tcW w:w="5619" w:type="dxa"/>
          </w:tcPr>
          <w:p w14:paraId="654051FE" w14:textId="77777777" w:rsidR="00B74395" w:rsidRPr="00C20287" w:rsidRDefault="00B74395" w:rsidP="007919D5">
            <w:pPr>
              <w:tabs>
                <w:tab w:val="right" w:pos="2127"/>
                <w:tab w:val="left" w:pos="2410"/>
              </w:tabs>
            </w:pPr>
            <w:r w:rsidRPr="00C20287">
              <w:t xml:space="preserve">An in-pharmacy service involving the supply of Pharmaceutical Benefit Scheme (PBS) medicines to a patient in instalments when requested by the prescriber. The program is designed to assist patients who are at risk of drug dependency or who are otherwise unable to manage their medicines safely </w:t>
            </w:r>
          </w:p>
          <w:p w14:paraId="2499F944" w14:textId="77777777" w:rsidR="000B1BCF" w:rsidRPr="00C20287" w:rsidRDefault="000B1BCF" w:rsidP="007919D5">
            <w:pPr>
              <w:tabs>
                <w:tab w:val="right" w:pos="2127"/>
                <w:tab w:val="left" w:pos="2410"/>
              </w:tabs>
            </w:pPr>
          </w:p>
          <w:p w14:paraId="3B8BB09F" w14:textId="3FFB3E83" w:rsidR="000B1BCF" w:rsidRPr="00C20287" w:rsidRDefault="000B1BCF" w:rsidP="007919D5">
            <w:pPr>
              <w:tabs>
                <w:tab w:val="right" w:pos="2127"/>
                <w:tab w:val="left" w:pos="2410"/>
              </w:tabs>
            </w:pPr>
          </w:p>
        </w:tc>
      </w:tr>
    </w:tbl>
    <w:p w14:paraId="19BF3A42" w14:textId="0E232AF1" w:rsidR="00360DAD" w:rsidRDefault="00360DAD" w:rsidP="00B74395">
      <w:pPr>
        <w:tabs>
          <w:tab w:val="right" w:pos="2127"/>
          <w:tab w:val="left" w:pos="2410"/>
        </w:tabs>
      </w:pPr>
    </w:p>
    <w:p w14:paraId="76330862" w14:textId="77777777" w:rsidR="00360DAD" w:rsidRDefault="00360DAD">
      <w:r>
        <w:br w:type="page"/>
      </w:r>
    </w:p>
    <w:p w14:paraId="04C23E00" w14:textId="78D0A607" w:rsidR="00360DAD" w:rsidRPr="00C20287" w:rsidRDefault="0057540F" w:rsidP="00B67885">
      <w:pPr>
        <w:pStyle w:val="Heading2"/>
        <w:tabs>
          <w:tab w:val="left" w:pos="426"/>
        </w:tabs>
      </w:pPr>
      <w:bookmarkStart w:id="106" w:name="_Toc168652764"/>
      <w:r>
        <w:lastRenderedPageBreak/>
        <w:t>3.</w:t>
      </w:r>
      <w:r>
        <w:tab/>
      </w:r>
      <w:r w:rsidR="00360DAD" w:rsidRPr="00C20287">
        <w:t>Jurisdictional ownership rules</w:t>
      </w:r>
      <w:bookmarkEnd w:id="106"/>
    </w:p>
    <w:tbl>
      <w:tblPr>
        <w:tblStyle w:val="TableGrid"/>
        <w:tblW w:w="10343" w:type="dxa"/>
        <w:tblLook w:val="04A0" w:firstRow="1" w:lastRow="0" w:firstColumn="1" w:lastColumn="0" w:noHBand="0" w:noVBand="1"/>
      </w:tblPr>
      <w:tblGrid>
        <w:gridCol w:w="2405"/>
        <w:gridCol w:w="4111"/>
        <w:gridCol w:w="3827"/>
      </w:tblGrid>
      <w:tr w:rsidR="00360DAD" w:rsidRPr="00C20287" w14:paraId="29068A8B" w14:textId="77777777" w:rsidTr="00F81890">
        <w:tc>
          <w:tcPr>
            <w:tcW w:w="2405" w:type="dxa"/>
            <w:shd w:val="clear" w:color="auto" w:fill="015E8A" w:themeFill="accent2" w:themeFillTint="E6"/>
          </w:tcPr>
          <w:p w14:paraId="2AD12D7D" w14:textId="77777777" w:rsidR="00360DAD" w:rsidRPr="00C20287" w:rsidRDefault="00360DAD" w:rsidP="00F81890">
            <w:pPr>
              <w:rPr>
                <w:b/>
                <w:bCs/>
                <w:color w:val="FFFFFF" w:themeColor="background1"/>
              </w:rPr>
            </w:pPr>
            <w:r w:rsidRPr="00C20287">
              <w:rPr>
                <w:b/>
                <w:bCs/>
                <w:color w:val="FFFFFF" w:themeColor="background1"/>
              </w:rPr>
              <w:t>Jurisdiction</w:t>
            </w:r>
          </w:p>
        </w:tc>
        <w:tc>
          <w:tcPr>
            <w:tcW w:w="4111" w:type="dxa"/>
            <w:shd w:val="clear" w:color="auto" w:fill="015E8A" w:themeFill="accent2" w:themeFillTint="E6"/>
          </w:tcPr>
          <w:p w14:paraId="35CAE3AF" w14:textId="77777777" w:rsidR="00360DAD" w:rsidRPr="00C20287" w:rsidRDefault="00360DAD" w:rsidP="00F81890">
            <w:pPr>
              <w:rPr>
                <w:b/>
                <w:bCs/>
                <w:color w:val="FFFFFF" w:themeColor="background1"/>
              </w:rPr>
            </w:pPr>
            <w:r w:rsidRPr="00C20287">
              <w:rPr>
                <w:b/>
                <w:bCs/>
                <w:color w:val="FFFFFF" w:themeColor="background1"/>
              </w:rPr>
              <w:t>Who can own/have a financial interest</w:t>
            </w:r>
          </w:p>
        </w:tc>
        <w:tc>
          <w:tcPr>
            <w:tcW w:w="3827" w:type="dxa"/>
            <w:shd w:val="clear" w:color="auto" w:fill="015E8A" w:themeFill="accent2" w:themeFillTint="E6"/>
          </w:tcPr>
          <w:p w14:paraId="438D9128" w14:textId="77777777" w:rsidR="00360DAD" w:rsidRPr="00C20287" w:rsidRDefault="00360DAD" w:rsidP="00F81890">
            <w:pPr>
              <w:rPr>
                <w:b/>
                <w:bCs/>
                <w:color w:val="FFFFFF" w:themeColor="background1"/>
              </w:rPr>
            </w:pPr>
            <w:r w:rsidRPr="00C20287">
              <w:rPr>
                <w:b/>
                <w:bCs/>
                <w:color w:val="FFFFFF" w:themeColor="background1"/>
              </w:rPr>
              <w:t>How many can be owned/have a financial interest by one individual/entity</w:t>
            </w:r>
          </w:p>
        </w:tc>
      </w:tr>
      <w:tr w:rsidR="00360DAD" w:rsidRPr="00C20287" w14:paraId="6F10F100" w14:textId="77777777" w:rsidTr="00F81890">
        <w:tc>
          <w:tcPr>
            <w:tcW w:w="2405" w:type="dxa"/>
          </w:tcPr>
          <w:p w14:paraId="7AFDB642" w14:textId="77777777" w:rsidR="00360DAD" w:rsidRPr="00C20287" w:rsidRDefault="00360DAD" w:rsidP="00F81890">
            <w:r w:rsidRPr="00C20287">
              <w:t>Australia Capital Territory</w:t>
            </w:r>
          </w:p>
        </w:tc>
        <w:tc>
          <w:tcPr>
            <w:tcW w:w="4111" w:type="dxa"/>
          </w:tcPr>
          <w:p w14:paraId="7245F1EB" w14:textId="77777777" w:rsidR="00360DAD" w:rsidRPr="00C20287" w:rsidRDefault="00360DAD" w:rsidP="00F81890">
            <w:r w:rsidRPr="00C20287">
              <w:t xml:space="preserve">1. a pharmacist, </w:t>
            </w:r>
          </w:p>
          <w:p w14:paraId="005EAC9A" w14:textId="77777777" w:rsidR="00360DAD" w:rsidRPr="00C20287" w:rsidRDefault="00360DAD" w:rsidP="00F81890">
            <w:r w:rsidRPr="00C20287">
              <w:t>2. a complying pharmacy corporation, or</w:t>
            </w:r>
          </w:p>
          <w:p w14:paraId="4B103688" w14:textId="77777777" w:rsidR="00360DAD" w:rsidRPr="00C20287" w:rsidRDefault="00360DAD" w:rsidP="00F81890">
            <w:r w:rsidRPr="00C20287">
              <w:t>3. a former corporate pharmacist</w:t>
            </w:r>
          </w:p>
          <w:p w14:paraId="4808EE27" w14:textId="77777777" w:rsidR="00360DAD" w:rsidRPr="00C20287" w:rsidRDefault="00360DAD" w:rsidP="00F81890">
            <w:pPr>
              <w:ind w:left="175"/>
            </w:pPr>
            <w:r w:rsidRPr="00C20287">
              <w:t>Note: Friendly societies are excluded from ownership</w:t>
            </w:r>
          </w:p>
        </w:tc>
        <w:tc>
          <w:tcPr>
            <w:tcW w:w="3827" w:type="dxa"/>
          </w:tcPr>
          <w:p w14:paraId="19A521DE" w14:textId="77777777" w:rsidR="00360DAD" w:rsidRPr="00C20287" w:rsidRDefault="00360DAD" w:rsidP="00F81890">
            <w:r w:rsidRPr="00C20287">
              <w:t>No maximum limit legislated</w:t>
            </w:r>
          </w:p>
        </w:tc>
      </w:tr>
      <w:tr w:rsidR="00360DAD" w:rsidRPr="00C20287" w14:paraId="44BE15F9" w14:textId="77777777" w:rsidTr="00F81890">
        <w:tc>
          <w:tcPr>
            <w:tcW w:w="2405" w:type="dxa"/>
          </w:tcPr>
          <w:p w14:paraId="77FA8568" w14:textId="77777777" w:rsidR="00360DAD" w:rsidRPr="00C20287" w:rsidRDefault="00360DAD" w:rsidP="00F81890">
            <w:r w:rsidRPr="00C20287">
              <w:t>Queensland</w:t>
            </w:r>
          </w:p>
        </w:tc>
        <w:tc>
          <w:tcPr>
            <w:tcW w:w="4111" w:type="dxa"/>
          </w:tcPr>
          <w:p w14:paraId="60DCE316" w14:textId="77777777" w:rsidR="00360DAD" w:rsidRPr="00C20287" w:rsidRDefault="00360DAD" w:rsidP="00F81890">
            <w:r w:rsidRPr="00C20287">
              <w:t>1. a pharmacist; or</w:t>
            </w:r>
          </w:p>
          <w:p w14:paraId="1500AA06" w14:textId="77777777" w:rsidR="00360DAD" w:rsidRPr="00C20287" w:rsidRDefault="00360DAD" w:rsidP="00F81890">
            <w:pPr>
              <w:ind w:left="175" w:hanging="175"/>
            </w:pPr>
            <w:r w:rsidRPr="00C20287">
              <w:t>2. a corporation whose directors and shareholders are all pharmacists; or</w:t>
            </w:r>
          </w:p>
          <w:p w14:paraId="5587524A" w14:textId="77777777" w:rsidR="00360DAD" w:rsidRPr="00C20287" w:rsidRDefault="00360DAD" w:rsidP="00F81890">
            <w:r w:rsidRPr="00C20287">
              <w:t>3. a corporation:</w:t>
            </w:r>
          </w:p>
          <w:p w14:paraId="436CBDDE" w14:textId="77777777" w:rsidR="00360DAD" w:rsidRPr="00C20287" w:rsidRDefault="00360DAD" w:rsidP="00F81890">
            <w:pPr>
              <w:ind w:left="175"/>
            </w:pPr>
            <w:r w:rsidRPr="00C20287">
              <w:t>i. whose directors and shareholders are a combination of pharmacists</w:t>
            </w:r>
          </w:p>
          <w:p w14:paraId="3DBCD773" w14:textId="77777777" w:rsidR="00360DAD" w:rsidRPr="00C20287" w:rsidRDefault="00360DAD" w:rsidP="00F81890">
            <w:pPr>
              <w:ind w:left="175"/>
            </w:pPr>
            <w:r w:rsidRPr="00C20287">
              <w:t>and relatives of the pharmacists (defined as the pharmacist's spouse</w:t>
            </w:r>
          </w:p>
          <w:p w14:paraId="10A21C8A" w14:textId="77777777" w:rsidR="00360DAD" w:rsidRPr="00C20287" w:rsidRDefault="00360DAD" w:rsidP="00F81890">
            <w:pPr>
              <w:ind w:left="175"/>
            </w:pPr>
            <w:r w:rsidRPr="00C20287">
              <w:t>or a child of the pharmacist who is at least 18 years of age); and</w:t>
            </w:r>
          </w:p>
          <w:p w14:paraId="362D91BB" w14:textId="77777777" w:rsidR="00360DAD" w:rsidRPr="00C20287" w:rsidRDefault="00360DAD" w:rsidP="00F81890">
            <w:pPr>
              <w:ind w:left="175"/>
            </w:pPr>
            <w:r w:rsidRPr="00C20287">
              <w:t>ii. in which the majority of shares are held by pharmacists; and</w:t>
            </w:r>
          </w:p>
          <w:p w14:paraId="0D3C843C" w14:textId="77777777" w:rsidR="00360DAD" w:rsidRPr="00C20287" w:rsidRDefault="00360DAD" w:rsidP="00F81890">
            <w:pPr>
              <w:ind w:left="175"/>
            </w:pPr>
            <w:r w:rsidRPr="00C20287">
              <w:t>iii. in which only pharmacists hold voting shares; or</w:t>
            </w:r>
          </w:p>
          <w:p w14:paraId="65A9A858" w14:textId="77777777" w:rsidR="00360DAD" w:rsidRPr="00C20287" w:rsidRDefault="00360DAD" w:rsidP="00F81890">
            <w:pPr>
              <w:ind w:left="175"/>
            </w:pPr>
            <w:r w:rsidRPr="00C20287">
              <w:t>iv. a friendly society; or</w:t>
            </w:r>
          </w:p>
          <w:p w14:paraId="38AC1ACD" w14:textId="77777777" w:rsidR="00360DAD" w:rsidRPr="00C20287" w:rsidRDefault="00360DAD" w:rsidP="00F81890">
            <w:pPr>
              <w:ind w:left="175"/>
            </w:pPr>
            <w:r w:rsidRPr="00C20287">
              <w:t>v. Mater Misericordiae Health Services Brisbane Limited.</w:t>
            </w:r>
          </w:p>
        </w:tc>
        <w:tc>
          <w:tcPr>
            <w:tcW w:w="3827" w:type="dxa"/>
          </w:tcPr>
          <w:p w14:paraId="3D8CF45A" w14:textId="77777777" w:rsidR="00360DAD" w:rsidRPr="00C20287" w:rsidRDefault="00360DAD" w:rsidP="00F81890">
            <w:r w:rsidRPr="00C20287">
              <w:t>A pharmacist or eligible corporation no more than five (5).</w:t>
            </w:r>
          </w:p>
          <w:p w14:paraId="6386FE47" w14:textId="77777777" w:rsidR="00360DAD" w:rsidRPr="00C20287" w:rsidRDefault="00360DAD" w:rsidP="00F81890"/>
          <w:p w14:paraId="4CD5E4FA" w14:textId="77777777" w:rsidR="00360DAD" w:rsidRPr="00C20287" w:rsidRDefault="00360DAD" w:rsidP="00F81890">
            <w:r w:rsidRPr="00C20287">
              <w:t>Friendly societies and Mater Misericordiae Health Services Brisbane Limited no more than six (6)</w:t>
            </w:r>
          </w:p>
        </w:tc>
      </w:tr>
      <w:tr w:rsidR="00360DAD" w:rsidRPr="00C20287" w14:paraId="185EB116" w14:textId="77777777" w:rsidTr="00F81890">
        <w:tc>
          <w:tcPr>
            <w:tcW w:w="2405" w:type="dxa"/>
          </w:tcPr>
          <w:p w14:paraId="4B5DD26A" w14:textId="77777777" w:rsidR="00360DAD" w:rsidRPr="00C20287" w:rsidRDefault="00360DAD" w:rsidP="00F81890">
            <w:r w:rsidRPr="00C20287">
              <w:t>New South Wales</w:t>
            </w:r>
          </w:p>
        </w:tc>
        <w:tc>
          <w:tcPr>
            <w:tcW w:w="4111" w:type="dxa"/>
          </w:tcPr>
          <w:p w14:paraId="695E07FE" w14:textId="77777777" w:rsidR="00360DAD" w:rsidRPr="00C20287" w:rsidRDefault="00360DAD" w:rsidP="00F81890">
            <w:r w:rsidRPr="00C20287">
              <w:t xml:space="preserve">1. a registered pharmacist, </w:t>
            </w:r>
          </w:p>
          <w:p w14:paraId="57659328" w14:textId="77777777" w:rsidR="00360DAD" w:rsidRPr="00C20287" w:rsidRDefault="00360DAD" w:rsidP="00F81890">
            <w:r w:rsidRPr="00C20287">
              <w:t>2. a partnership of registered pharmacists,</w:t>
            </w:r>
          </w:p>
          <w:p w14:paraId="6ECB5758" w14:textId="77777777" w:rsidR="00360DAD" w:rsidRPr="00C20287" w:rsidRDefault="00360DAD" w:rsidP="00F81890">
            <w:pPr>
              <w:ind w:left="175" w:hanging="175"/>
            </w:pPr>
            <w:r w:rsidRPr="00C20287">
              <w:t>3. a pharmacist's body corporate (as defined in the National Law (NSW)), and</w:t>
            </w:r>
          </w:p>
          <w:p w14:paraId="09E2C7CE" w14:textId="77777777" w:rsidR="00360DAD" w:rsidRPr="00C20287" w:rsidRDefault="00360DAD" w:rsidP="00F81890">
            <w:r w:rsidRPr="00C20287">
              <w:t>4. a friendly society with a prior written approval from the Minister of Health (NSW).</w:t>
            </w:r>
          </w:p>
        </w:tc>
        <w:tc>
          <w:tcPr>
            <w:tcW w:w="3827" w:type="dxa"/>
          </w:tcPr>
          <w:p w14:paraId="5C17CEA0" w14:textId="77777777" w:rsidR="00360DAD" w:rsidRPr="00C20287" w:rsidRDefault="00360DAD" w:rsidP="00F81890">
            <w:r w:rsidRPr="00C20287">
              <w:t>Each entity can hold a financial interest in up to five (5) pharmacies.</w:t>
            </w:r>
          </w:p>
        </w:tc>
      </w:tr>
      <w:tr w:rsidR="00360DAD" w:rsidRPr="00C20287" w14:paraId="199AC174" w14:textId="77777777" w:rsidTr="00F81890">
        <w:tc>
          <w:tcPr>
            <w:tcW w:w="2405" w:type="dxa"/>
          </w:tcPr>
          <w:p w14:paraId="03BC4E1F" w14:textId="77777777" w:rsidR="00360DAD" w:rsidRPr="00C20287" w:rsidRDefault="00360DAD" w:rsidP="00F81890">
            <w:r w:rsidRPr="00C20287">
              <w:t>Northern Territory</w:t>
            </w:r>
          </w:p>
        </w:tc>
        <w:tc>
          <w:tcPr>
            <w:tcW w:w="4111" w:type="dxa"/>
          </w:tcPr>
          <w:p w14:paraId="6A0DA66B" w14:textId="77777777" w:rsidR="00360DAD" w:rsidRPr="00C20287" w:rsidRDefault="00360DAD" w:rsidP="00F81890">
            <w:r w:rsidRPr="00C20287">
              <w:t>1. A pharmacist;</w:t>
            </w:r>
          </w:p>
          <w:p w14:paraId="28B648B0" w14:textId="77777777" w:rsidR="00360DAD" w:rsidRPr="00C20287" w:rsidRDefault="00360DAD" w:rsidP="00F81890">
            <w:r w:rsidRPr="00C20287">
              <w:t>2. a partnership of which all partners are pharmacists;</w:t>
            </w:r>
          </w:p>
          <w:p w14:paraId="740F5E67" w14:textId="77777777" w:rsidR="00360DAD" w:rsidRPr="00C20287" w:rsidRDefault="00360DAD" w:rsidP="00F81890">
            <w:r w:rsidRPr="00C20287">
              <w:t>3. a corporation of which all shareholders and directors are pharmacists;</w:t>
            </w:r>
          </w:p>
          <w:p w14:paraId="0CA586CA" w14:textId="77777777" w:rsidR="00360DAD" w:rsidRPr="00C20287" w:rsidRDefault="00360DAD" w:rsidP="00F81890">
            <w:r w:rsidRPr="00C20287">
              <w:t>4. an Aboriginal health service or friendly society that has been granted an exemption by the Minister</w:t>
            </w:r>
          </w:p>
        </w:tc>
        <w:tc>
          <w:tcPr>
            <w:tcW w:w="3827" w:type="dxa"/>
          </w:tcPr>
          <w:p w14:paraId="4530A01D" w14:textId="77777777" w:rsidR="00360DAD" w:rsidRPr="00C20287" w:rsidRDefault="00360DAD" w:rsidP="00F81890">
            <w:pPr>
              <w:pStyle w:val="ListParagraph"/>
              <w:ind w:left="0"/>
            </w:pPr>
            <w:r w:rsidRPr="00C20287">
              <w:t>No maximum limit legislated</w:t>
            </w:r>
          </w:p>
          <w:p w14:paraId="757B633B" w14:textId="77777777" w:rsidR="00360DAD" w:rsidRPr="00C20287" w:rsidRDefault="00360DAD" w:rsidP="00F81890">
            <w:pPr>
              <w:pStyle w:val="ListParagraph"/>
              <w:ind w:left="0"/>
            </w:pPr>
            <w:r w:rsidRPr="00C20287">
              <w:t>Ministerial approval required for Friendly Society applications.</w:t>
            </w:r>
          </w:p>
        </w:tc>
      </w:tr>
      <w:tr w:rsidR="00360DAD" w:rsidRPr="00C20287" w14:paraId="717C0B13" w14:textId="77777777" w:rsidTr="00F81890">
        <w:tc>
          <w:tcPr>
            <w:tcW w:w="2405" w:type="dxa"/>
          </w:tcPr>
          <w:p w14:paraId="60FC2BB9" w14:textId="77777777" w:rsidR="00360DAD" w:rsidRPr="00C20287" w:rsidRDefault="00360DAD" w:rsidP="00F81890">
            <w:r w:rsidRPr="00C20287">
              <w:t>South Australia</w:t>
            </w:r>
          </w:p>
        </w:tc>
        <w:tc>
          <w:tcPr>
            <w:tcW w:w="4111" w:type="dxa"/>
          </w:tcPr>
          <w:p w14:paraId="452634F8" w14:textId="77777777" w:rsidR="00360DAD" w:rsidRPr="00C20287" w:rsidRDefault="00360DAD" w:rsidP="00F81890">
            <w:r w:rsidRPr="00C20287">
              <w:t>1. A pharmacist; or</w:t>
            </w:r>
          </w:p>
          <w:p w14:paraId="65CAE2FC" w14:textId="77777777" w:rsidR="00360DAD" w:rsidRPr="00C20287" w:rsidRDefault="00360DAD" w:rsidP="00F81890">
            <w:r w:rsidRPr="00C20287">
              <w:t>2. a corporation whose directors and shareholders are all pharmacists; or</w:t>
            </w:r>
          </w:p>
          <w:p w14:paraId="3372D608" w14:textId="77777777" w:rsidR="00360DAD" w:rsidRPr="00C20287" w:rsidRDefault="00360DAD" w:rsidP="00F81890">
            <w:r w:rsidRPr="00C20287">
              <w:t>3. a corporation:</w:t>
            </w:r>
          </w:p>
          <w:p w14:paraId="5789CDBE" w14:textId="77777777" w:rsidR="00360DAD" w:rsidRPr="00C20287" w:rsidRDefault="00360DAD" w:rsidP="00F81890">
            <w:r w:rsidRPr="00C20287">
              <w:t>i. whose directors and shareholders are a combination of pharmacists</w:t>
            </w:r>
          </w:p>
          <w:p w14:paraId="5CA6CDE2" w14:textId="77777777" w:rsidR="00360DAD" w:rsidRPr="00C20287" w:rsidRDefault="00360DAD" w:rsidP="00F81890">
            <w:r w:rsidRPr="00C20287">
              <w:t>and relatives of the pharmacists,</w:t>
            </w:r>
          </w:p>
          <w:p w14:paraId="06354B78" w14:textId="77777777" w:rsidR="00360DAD" w:rsidRPr="00C20287" w:rsidRDefault="00360DAD" w:rsidP="00F81890">
            <w:r w:rsidRPr="00C20287">
              <w:t>ii) a friendly society</w:t>
            </w:r>
          </w:p>
          <w:p w14:paraId="459CF171" w14:textId="77777777" w:rsidR="00360DAD" w:rsidRPr="00C20287" w:rsidRDefault="00360DAD" w:rsidP="00F81890">
            <w:r w:rsidRPr="00C20287">
              <w:t xml:space="preserve">iii) Friendly Society Medical Association Limited; or </w:t>
            </w:r>
          </w:p>
          <w:p w14:paraId="30E75464" w14:textId="77777777" w:rsidR="00360DAD" w:rsidRPr="00C20287" w:rsidRDefault="00360DAD" w:rsidP="00F81890">
            <w:r w:rsidRPr="00C20287">
              <w:t>iv) The Mount Gambier United Friendly Societies Dispensary Limited.</w:t>
            </w:r>
          </w:p>
        </w:tc>
        <w:tc>
          <w:tcPr>
            <w:tcW w:w="3827" w:type="dxa"/>
          </w:tcPr>
          <w:p w14:paraId="359D6016" w14:textId="77777777" w:rsidR="00360DAD" w:rsidRPr="00C20287" w:rsidRDefault="00360DAD" w:rsidP="00F81890">
            <w:r w:rsidRPr="00C20287">
              <w:t>Limited to six (6) for Pharmacists and forty (40) for Friendly Society Medical Association Limited and 9 for other friendly Societies.</w:t>
            </w:r>
          </w:p>
        </w:tc>
      </w:tr>
      <w:tr w:rsidR="00360DAD" w:rsidRPr="00C20287" w14:paraId="6D69FD60" w14:textId="77777777" w:rsidTr="00F81890">
        <w:tc>
          <w:tcPr>
            <w:tcW w:w="2405" w:type="dxa"/>
          </w:tcPr>
          <w:p w14:paraId="3EC1C500" w14:textId="77777777" w:rsidR="00360DAD" w:rsidRPr="00C20287" w:rsidRDefault="00360DAD" w:rsidP="00F81890">
            <w:r w:rsidRPr="00C20287">
              <w:t>Tasmania</w:t>
            </w:r>
          </w:p>
        </w:tc>
        <w:tc>
          <w:tcPr>
            <w:tcW w:w="4111" w:type="dxa"/>
          </w:tcPr>
          <w:p w14:paraId="2AAF5676" w14:textId="77777777" w:rsidR="00360DAD" w:rsidRPr="00C20287" w:rsidRDefault="00360DAD" w:rsidP="00F81890">
            <w:r w:rsidRPr="00C20287">
              <w:t>1. An individual pharmacist</w:t>
            </w:r>
          </w:p>
          <w:p w14:paraId="2394AEF5" w14:textId="77777777" w:rsidR="00360DAD" w:rsidRPr="00C20287" w:rsidRDefault="00360DAD" w:rsidP="00F81890">
            <w:r w:rsidRPr="00C20287">
              <w:lastRenderedPageBreak/>
              <w:t>2. a partnership where all partners are registered pharmacists</w:t>
            </w:r>
          </w:p>
          <w:p w14:paraId="1A08A86D" w14:textId="77777777" w:rsidR="00360DAD" w:rsidRPr="00C20287" w:rsidRDefault="00360DAD" w:rsidP="00F81890">
            <w:r w:rsidRPr="00C20287">
              <w:t>3. a company with each director who is a registered pharmacist and the controlling interest (i.e. more than 50% of the voting shares) is held by one or more registered pharmacists</w:t>
            </w:r>
          </w:p>
          <w:p w14:paraId="593212A5" w14:textId="77777777" w:rsidR="00360DAD" w:rsidRPr="00C20287" w:rsidRDefault="00360DAD" w:rsidP="00F81890">
            <w:r w:rsidRPr="00C20287">
              <w:t>4. an individual or a body corporate as trustee for a discretionary (family) trust. The beneficiaries are limited to the registered pharmacist and/or their close relatives,</w:t>
            </w:r>
          </w:p>
          <w:p w14:paraId="710234DB" w14:textId="77777777" w:rsidR="00360DAD" w:rsidRPr="00C20287" w:rsidRDefault="00360DAD" w:rsidP="00F81890">
            <w:r w:rsidRPr="00C20287">
              <w:t>5. an individual or a body corporate as trustee for a unit trust, provided that all unit holders must be registered pharmacists or close relatives</w:t>
            </w:r>
          </w:p>
        </w:tc>
        <w:tc>
          <w:tcPr>
            <w:tcW w:w="3827" w:type="dxa"/>
          </w:tcPr>
          <w:p w14:paraId="7CB2AB7E" w14:textId="77777777" w:rsidR="00360DAD" w:rsidRPr="00C20287" w:rsidRDefault="00360DAD" w:rsidP="00F81890">
            <w:r w:rsidRPr="00C20287">
              <w:lastRenderedPageBreak/>
              <w:t>Limited to four (4) for Pharmacists and friendly Societies</w:t>
            </w:r>
          </w:p>
        </w:tc>
      </w:tr>
      <w:tr w:rsidR="00360DAD" w:rsidRPr="00C20287" w14:paraId="4D8A274D" w14:textId="77777777" w:rsidTr="00F81890">
        <w:tc>
          <w:tcPr>
            <w:tcW w:w="2405" w:type="dxa"/>
          </w:tcPr>
          <w:p w14:paraId="162A4EC7" w14:textId="77777777" w:rsidR="00360DAD" w:rsidRPr="00C20287" w:rsidRDefault="00360DAD" w:rsidP="00F81890">
            <w:r w:rsidRPr="00C20287">
              <w:t xml:space="preserve">Victoria </w:t>
            </w:r>
          </w:p>
        </w:tc>
        <w:tc>
          <w:tcPr>
            <w:tcW w:w="4111" w:type="dxa"/>
          </w:tcPr>
          <w:p w14:paraId="701CE85B" w14:textId="77777777" w:rsidR="00360DAD" w:rsidRPr="00C20287" w:rsidRDefault="00360DAD" w:rsidP="00F81890">
            <w:r w:rsidRPr="00C20287">
              <w:t xml:space="preserve">1. a partnership of registered pharmacists, or </w:t>
            </w:r>
          </w:p>
          <w:p w14:paraId="200AD084" w14:textId="77777777" w:rsidR="00360DAD" w:rsidRPr="00C20287" w:rsidRDefault="00360DAD" w:rsidP="00F81890">
            <w:r w:rsidRPr="00C20287">
              <w:t>2. a partnership of registered</w:t>
            </w:r>
          </w:p>
          <w:p w14:paraId="59EE0954" w14:textId="77777777" w:rsidR="00360DAD" w:rsidRPr="00C20287" w:rsidRDefault="00360DAD" w:rsidP="00F81890">
            <w:r w:rsidRPr="00C20287">
              <w:t>pharmacist(s) and one or more eligible companies, or a partnership of eligible companies</w:t>
            </w:r>
          </w:p>
        </w:tc>
        <w:tc>
          <w:tcPr>
            <w:tcW w:w="3827" w:type="dxa"/>
          </w:tcPr>
          <w:p w14:paraId="1BE8D042" w14:textId="77777777" w:rsidR="00360DAD" w:rsidRPr="00C20287" w:rsidRDefault="00360DAD" w:rsidP="00F81890">
            <w:r w:rsidRPr="00C20287">
              <w:t>A registered pharmacist, or pharmacy company, cannot own nor have a financial interest in more than five (5) separate pharmacy businesses</w:t>
            </w:r>
          </w:p>
        </w:tc>
      </w:tr>
      <w:tr w:rsidR="00360DAD" w:rsidRPr="00C20287" w14:paraId="34C6B72F" w14:textId="77777777" w:rsidTr="00F81890">
        <w:tc>
          <w:tcPr>
            <w:tcW w:w="2405" w:type="dxa"/>
          </w:tcPr>
          <w:p w14:paraId="48129F12" w14:textId="77777777" w:rsidR="00360DAD" w:rsidRPr="00C20287" w:rsidRDefault="00360DAD" w:rsidP="00F81890">
            <w:r w:rsidRPr="00C20287">
              <w:t>Western Australia</w:t>
            </w:r>
          </w:p>
        </w:tc>
        <w:tc>
          <w:tcPr>
            <w:tcW w:w="4111" w:type="dxa"/>
          </w:tcPr>
          <w:p w14:paraId="0D6D572D" w14:textId="77777777" w:rsidR="00360DAD" w:rsidRPr="00C20287" w:rsidRDefault="00360DAD" w:rsidP="00F81890">
            <w:r w:rsidRPr="00C20287">
              <w:t>1. a pharmacist; or</w:t>
            </w:r>
          </w:p>
          <w:p w14:paraId="36B60076" w14:textId="77777777" w:rsidR="00360DAD" w:rsidRPr="00C20287" w:rsidRDefault="00360DAD" w:rsidP="00F81890">
            <w:r w:rsidRPr="00C20287">
              <w:t>2. a person who is a partner in a partnership that carries on the business and in which every partner is either —</w:t>
            </w:r>
          </w:p>
          <w:p w14:paraId="7F3C81A9" w14:textId="77777777" w:rsidR="00360DAD" w:rsidRPr="00C20287" w:rsidRDefault="00360DAD" w:rsidP="00F81890">
            <w:r w:rsidRPr="00C20287">
              <w:t>(i) a pharmacist; or</w:t>
            </w:r>
          </w:p>
          <w:p w14:paraId="4F472595" w14:textId="77777777" w:rsidR="00360DAD" w:rsidRPr="00C20287" w:rsidRDefault="00360DAD" w:rsidP="00F81890">
            <w:r w:rsidRPr="00C20287">
              <w:t>(ii) a close family member of a partner who is a pharmacist; or</w:t>
            </w:r>
          </w:p>
          <w:p w14:paraId="7779A243" w14:textId="77777777" w:rsidR="00360DAD" w:rsidRPr="00C20287" w:rsidRDefault="00360DAD" w:rsidP="00F81890">
            <w:r w:rsidRPr="00C20287">
              <w:t>3. a pharmacist controlled company; or</w:t>
            </w:r>
          </w:p>
          <w:p w14:paraId="1052DC14" w14:textId="77777777" w:rsidR="00360DAD" w:rsidRPr="00C20287" w:rsidRDefault="00360DAD" w:rsidP="00F81890">
            <w:r w:rsidRPr="00C20287">
              <w:t>4. a friendly society; or</w:t>
            </w:r>
          </w:p>
          <w:p w14:paraId="55D1A8EE" w14:textId="77777777" w:rsidR="00360DAD" w:rsidRPr="00C20287" w:rsidRDefault="00360DAD" w:rsidP="00F81890">
            <w:r w:rsidRPr="00C20287">
              <w:t>5. the preserved company.</w:t>
            </w:r>
          </w:p>
        </w:tc>
        <w:tc>
          <w:tcPr>
            <w:tcW w:w="3827" w:type="dxa"/>
          </w:tcPr>
          <w:p w14:paraId="674A9F1B" w14:textId="77777777" w:rsidR="00360DAD" w:rsidRPr="00C20287" w:rsidRDefault="00360DAD" w:rsidP="00F81890">
            <w:r w:rsidRPr="00C20287">
              <w:t>A pharmacist or close family member must not own, or hold a proprietary interest in, more than four (4) pharmacy businesses.</w:t>
            </w:r>
          </w:p>
        </w:tc>
      </w:tr>
    </w:tbl>
    <w:p w14:paraId="466E60E3" w14:textId="77777777" w:rsidR="00360DAD" w:rsidRPr="00C20287" w:rsidRDefault="00360DAD" w:rsidP="00360DAD">
      <w:pPr>
        <w:spacing w:after="160" w:line="259" w:lineRule="auto"/>
      </w:pPr>
    </w:p>
    <w:p w14:paraId="41EF231F" w14:textId="77777777" w:rsidR="00B74395" w:rsidRPr="00C20287" w:rsidRDefault="00B74395" w:rsidP="00B74395">
      <w:pPr>
        <w:tabs>
          <w:tab w:val="right" w:pos="2127"/>
          <w:tab w:val="left" w:pos="2410"/>
        </w:tabs>
      </w:pPr>
    </w:p>
    <w:p w14:paraId="793AF62C" w14:textId="77777777" w:rsidR="000B1BCF" w:rsidRPr="00C20287" w:rsidRDefault="000B1BCF">
      <w:pPr>
        <w:rPr>
          <w:color w:val="auto"/>
          <w:sz w:val="24"/>
        </w:rPr>
        <w:sectPr w:rsidR="000B1BCF" w:rsidRPr="00C20287" w:rsidSect="00AE413D">
          <w:headerReference w:type="first" r:id="rId32"/>
          <w:footerReference w:type="first" r:id="rId33"/>
          <w:pgSz w:w="11906" w:h="16838"/>
          <w:pgMar w:top="1559" w:right="851" w:bottom="1701" w:left="851" w:header="567" w:footer="57" w:gutter="0"/>
          <w:cols w:space="708"/>
          <w:docGrid w:linePitch="360"/>
        </w:sectPr>
      </w:pPr>
      <w:r w:rsidRPr="00C20287">
        <w:rPr>
          <w:color w:val="auto"/>
          <w:sz w:val="24"/>
        </w:rPr>
        <w:br w:type="page"/>
      </w:r>
    </w:p>
    <w:p w14:paraId="418B2FA7" w14:textId="73EEE0B2" w:rsidR="007E00C8" w:rsidRPr="00C20287" w:rsidRDefault="0057540F" w:rsidP="00E97F25">
      <w:pPr>
        <w:pStyle w:val="Heading2"/>
        <w:tabs>
          <w:tab w:val="left" w:pos="426"/>
        </w:tabs>
        <w:spacing w:before="120" w:after="120"/>
        <w:ind w:left="425" w:hanging="425"/>
      </w:pPr>
      <w:bookmarkStart w:id="107" w:name="_Toc168652765"/>
      <w:r>
        <w:lastRenderedPageBreak/>
        <w:t>4</w:t>
      </w:r>
      <w:r w:rsidR="007E00C8" w:rsidRPr="00C20287">
        <w:t xml:space="preserve">. </w:t>
      </w:r>
      <w:r w:rsidR="0066348A" w:rsidRPr="00C20287">
        <w:tab/>
      </w:r>
      <w:r w:rsidR="007E00C8" w:rsidRPr="00C20287">
        <w:t xml:space="preserve">Comparative Commonwealth </w:t>
      </w:r>
      <w:r w:rsidR="003756A3">
        <w:t>p</w:t>
      </w:r>
      <w:r w:rsidR="007E00C8" w:rsidRPr="00C20287">
        <w:t>rice under previous CPAs</w:t>
      </w:r>
      <w:bookmarkEnd w:id="107"/>
    </w:p>
    <w:p w14:paraId="5C9EC023" w14:textId="07C5F1D4" w:rsidR="007E00C8" w:rsidRPr="00C20287" w:rsidRDefault="007E00C8" w:rsidP="0059393F">
      <w:pPr>
        <w:rPr>
          <w:sz w:val="18"/>
          <w:szCs w:val="18"/>
        </w:rPr>
      </w:pPr>
      <w:r w:rsidRPr="00C20287">
        <w:t>The tables below set out details of the contributions that were expected to be made during the terms of the fifth, sixth and seventh community pharmacy agreements. This information has been consolidated from each of the individual agreements and does not present the actual costs, which are dependent on script volumes over their life of each agreement</w:t>
      </w:r>
      <w:r w:rsidR="00043049" w:rsidRPr="00C20287">
        <w:t xml:space="preserve"> or any indexation applied throughout the life of the agreement</w:t>
      </w:r>
      <w:r w:rsidRPr="00C20287">
        <w:rPr>
          <w:sz w:val="18"/>
          <w:szCs w:val="18"/>
        </w:rPr>
        <w:t xml:space="preserve">. </w:t>
      </w:r>
    </w:p>
    <w:p w14:paraId="41655B33" w14:textId="73E03FC9" w:rsidR="007E00C8" w:rsidRPr="00C20287" w:rsidRDefault="007E00C8" w:rsidP="00E97F25">
      <w:pPr>
        <w:spacing w:after="0"/>
        <w:rPr>
          <w:b/>
        </w:rPr>
      </w:pPr>
      <w:bookmarkStart w:id="108" w:name="_Hlk41333159"/>
      <w:r w:rsidRPr="00C20287">
        <w:rPr>
          <w:b/>
        </w:rPr>
        <w:t>Table 1: Components of the remuneration and funding</w:t>
      </w:r>
    </w:p>
    <w:tbl>
      <w:tblPr>
        <w:tblStyle w:val="TableGrid1"/>
        <w:tblW w:w="5000" w:type="pct"/>
        <w:tblLook w:val="04A0" w:firstRow="1" w:lastRow="0" w:firstColumn="1" w:lastColumn="0" w:noHBand="0" w:noVBand="1"/>
        <w:tblDescription w:val="Table 1: Components of the remuneration and funding"/>
      </w:tblPr>
      <w:tblGrid>
        <w:gridCol w:w="5584"/>
        <w:gridCol w:w="2991"/>
        <w:gridCol w:w="2271"/>
        <w:gridCol w:w="2271"/>
        <w:gridCol w:w="2271"/>
      </w:tblGrid>
      <w:tr w:rsidR="007E00C8" w:rsidRPr="00C20287" w14:paraId="06856437" w14:textId="77777777" w:rsidTr="00C90277">
        <w:trPr>
          <w:tblHeader/>
        </w:trPr>
        <w:tc>
          <w:tcPr>
            <w:tcW w:w="1814" w:type="pct"/>
            <w:shd w:val="clear" w:color="auto" w:fill="0070C0"/>
          </w:tcPr>
          <w:bookmarkEnd w:id="108"/>
          <w:p w14:paraId="68689635" w14:textId="77777777" w:rsidR="007E00C8" w:rsidRPr="00C20287" w:rsidRDefault="007E00C8" w:rsidP="007E00C8">
            <w:pPr>
              <w:keepNext/>
              <w:ind w:left="176"/>
              <w:rPr>
                <w:rFonts w:cs="Arial"/>
                <w:b/>
                <w:color w:val="FFFFFF" w:themeColor="background1"/>
              </w:rPr>
            </w:pPr>
            <w:r w:rsidRPr="00C20287">
              <w:rPr>
                <w:rFonts w:cs="Arial"/>
                <w:b/>
                <w:color w:val="FFFFFF" w:themeColor="background1"/>
              </w:rPr>
              <w:t>Component</w:t>
            </w:r>
          </w:p>
        </w:tc>
        <w:tc>
          <w:tcPr>
            <w:tcW w:w="972" w:type="pct"/>
            <w:shd w:val="clear" w:color="auto" w:fill="0070C0"/>
          </w:tcPr>
          <w:p w14:paraId="0F575190" w14:textId="77777777" w:rsidR="007E00C8" w:rsidRPr="00C20287" w:rsidRDefault="007E00C8" w:rsidP="007E00C8">
            <w:pPr>
              <w:keepNext/>
              <w:ind w:left="176" w:hanging="1"/>
              <w:rPr>
                <w:rFonts w:cs="Arial"/>
                <w:b/>
                <w:color w:val="FFFFFF" w:themeColor="background1"/>
              </w:rPr>
            </w:pPr>
            <w:r w:rsidRPr="00C20287">
              <w:rPr>
                <w:rFonts w:cs="Arial"/>
                <w:b/>
                <w:color w:val="FFFFFF" w:themeColor="background1"/>
              </w:rPr>
              <w:t>Contributor</w:t>
            </w:r>
          </w:p>
        </w:tc>
        <w:tc>
          <w:tcPr>
            <w:tcW w:w="738" w:type="pct"/>
            <w:shd w:val="clear" w:color="auto" w:fill="0070C0"/>
          </w:tcPr>
          <w:p w14:paraId="23E0C0C7" w14:textId="77777777" w:rsidR="007E00C8" w:rsidRPr="00C20287" w:rsidRDefault="007E00C8" w:rsidP="007E00C8">
            <w:pPr>
              <w:keepNext/>
              <w:ind w:left="176" w:hanging="1"/>
              <w:jc w:val="center"/>
              <w:rPr>
                <w:rFonts w:cs="Arial"/>
                <w:b/>
                <w:color w:val="FFFFFF" w:themeColor="background1"/>
              </w:rPr>
            </w:pPr>
            <w:r w:rsidRPr="00C20287">
              <w:rPr>
                <w:rFonts w:cs="Arial"/>
                <w:b/>
                <w:color w:val="FFFFFF" w:themeColor="background1"/>
              </w:rPr>
              <w:t>5CPA 2010 $million (estimated</w:t>
            </w:r>
            <w:r w:rsidRPr="00C20287">
              <w:rPr>
                <w:rFonts w:cs="Arial"/>
                <w:bCs/>
                <w:color w:val="FFFFFF" w:themeColor="background1"/>
              </w:rPr>
              <w:t>)</w:t>
            </w:r>
          </w:p>
        </w:tc>
        <w:tc>
          <w:tcPr>
            <w:tcW w:w="738" w:type="pct"/>
            <w:shd w:val="clear" w:color="auto" w:fill="0070C0"/>
          </w:tcPr>
          <w:p w14:paraId="0050665E" w14:textId="77777777" w:rsidR="007E00C8" w:rsidRPr="00C20287" w:rsidRDefault="007E00C8" w:rsidP="007E00C8">
            <w:pPr>
              <w:keepNext/>
              <w:ind w:left="176" w:hanging="1"/>
              <w:jc w:val="center"/>
              <w:rPr>
                <w:rFonts w:cs="Arial"/>
                <w:b/>
                <w:color w:val="FFFFFF" w:themeColor="background1"/>
              </w:rPr>
            </w:pPr>
            <w:r w:rsidRPr="00C20287">
              <w:rPr>
                <w:rFonts w:cs="Arial"/>
                <w:b/>
                <w:color w:val="FFFFFF" w:themeColor="background1"/>
              </w:rPr>
              <w:t>6CPA 2015</w:t>
            </w:r>
          </w:p>
          <w:p w14:paraId="2773CFFC" w14:textId="77777777" w:rsidR="007E00C8" w:rsidRPr="00C20287" w:rsidRDefault="007E00C8" w:rsidP="007E00C8">
            <w:pPr>
              <w:keepNext/>
              <w:ind w:left="176" w:hanging="1"/>
              <w:jc w:val="center"/>
              <w:rPr>
                <w:rFonts w:cs="Arial"/>
                <w:bCs/>
                <w:color w:val="FFFFFF" w:themeColor="background1"/>
              </w:rPr>
            </w:pPr>
            <w:r w:rsidRPr="00C20287">
              <w:rPr>
                <w:rFonts w:cs="Arial"/>
                <w:b/>
                <w:color w:val="FFFFFF" w:themeColor="background1"/>
              </w:rPr>
              <w:t>$million (estimated</w:t>
            </w:r>
            <w:r w:rsidRPr="00C20287">
              <w:rPr>
                <w:rFonts w:cs="Arial"/>
                <w:bCs/>
                <w:color w:val="FFFFFF" w:themeColor="background1"/>
              </w:rPr>
              <w:t>)</w:t>
            </w:r>
          </w:p>
        </w:tc>
        <w:tc>
          <w:tcPr>
            <w:tcW w:w="738" w:type="pct"/>
            <w:shd w:val="clear" w:color="auto" w:fill="0070C0"/>
          </w:tcPr>
          <w:p w14:paraId="20FEB3FE" w14:textId="77777777" w:rsidR="007E00C8" w:rsidRPr="00C20287" w:rsidRDefault="007E00C8" w:rsidP="007E00C8">
            <w:pPr>
              <w:keepNext/>
              <w:ind w:left="176" w:hanging="1"/>
              <w:jc w:val="center"/>
              <w:rPr>
                <w:rFonts w:cs="Arial"/>
                <w:b/>
                <w:color w:val="FFFFFF" w:themeColor="background1"/>
              </w:rPr>
            </w:pPr>
            <w:r w:rsidRPr="00C20287">
              <w:rPr>
                <w:rFonts w:cs="Arial"/>
                <w:b/>
                <w:color w:val="FFFFFF" w:themeColor="background1"/>
              </w:rPr>
              <w:t>7CPA 2020</w:t>
            </w:r>
          </w:p>
          <w:p w14:paraId="664BD709" w14:textId="77777777" w:rsidR="007E00C8" w:rsidRPr="00C20287" w:rsidRDefault="007E00C8" w:rsidP="007E00C8">
            <w:pPr>
              <w:keepNext/>
              <w:ind w:left="176" w:hanging="1"/>
              <w:jc w:val="center"/>
              <w:rPr>
                <w:rFonts w:cs="Arial"/>
                <w:b/>
                <w:color w:val="FFFFFF" w:themeColor="background1"/>
              </w:rPr>
            </w:pPr>
            <w:r w:rsidRPr="00C20287">
              <w:rPr>
                <w:rFonts w:cs="Arial"/>
                <w:b/>
                <w:color w:val="FFFFFF" w:themeColor="background1"/>
              </w:rPr>
              <w:t>$million (estimated)</w:t>
            </w:r>
          </w:p>
        </w:tc>
      </w:tr>
      <w:tr w:rsidR="007E00C8" w:rsidRPr="00C20287" w14:paraId="57C3D68B" w14:textId="77777777" w:rsidTr="00C90277">
        <w:trPr>
          <w:trHeight w:val="375"/>
        </w:trPr>
        <w:tc>
          <w:tcPr>
            <w:tcW w:w="1814" w:type="pct"/>
            <w:vMerge w:val="restart"/>
          </w:tcPr>
          <w:p w14:paraId="466253B1" w14:textId="77777777" w:rsidR="007E00C8" w:rsidRPr="00C20287" w:rsidRDefault="007E00C8" w:rsidP="007E00C8">
            <w:pPr>
              <w:keepNext/>
              <w:spacing w:before="20" w:after="20"/>
              <w:ind w:left="34"/>
              <w:rPr>
                <w:rFonts w:cs="Arial"/>
              </w:rPr>
            </w:pPr>
            <w:r w:rsidRPr="00C20287">
              <w:rPr>
                <w:rFonts w:cs="Arial"/>
              </w:rPr>
              <w:t>Pharmacy remuneration for the dispensing of Pharmaceutical Benefits that are Commonwealth subsidised, including dispensing fee, Administration Handling and Infrastructure Fee and Dangerous Drug fee</w:t>
            </w:r>
          </w:p>
        </w:tc>
        <w:tc>
          <w:tcPr>
            <w:tcW w:w="972" w:type="pct"/>
          </w:tcPr>
          <w:p w14:paraId="4531929B" w14:textId="77777777" w:rsidR="007E00C8" w:rsidRPr="00C20287" w:rsidRDefault="007E00C8" w:rsidP="007E00C8">
            <w:pPr>
              <w:keepNext/>
              <w:spacing w:before="20" w:after="20"/>
              <w:rPr>
                <w:rFonts w:cs="Arial"/>
              </w:rPr>
            </w:pPr>
            <w:r w:rsidRPr="00C20287">
              <w:rPr>
                <w:rFonts w:cs="Arial"/>
              </w:rPr>
              <w:t xml:space="preserve">Commonwealth </w:t>
            </w:r>
          </w:p>
        </w:tc>
        <w:tc>
          <w:tcPr>
            <w:tcW w:w="738" w:type="pct"/>
          </w:tcPr>
          <w:p w14:paraId="19D20DF7" w14:textId="77777777" w:rsidR="007E00C8" w:rsidRPr="00C20287" w:rsidRDefault="007E00C8" w:rsidP="007E00C8">
            <w:pPr>
              <w:keepNext/>
              <w:spacing w:before="20" w:after="20"/>
              <w:ind w:left="176" w:hanging="87"/>
              <w:jc w:val="center"/>
              <w:rPr>
                <w:rFonts w:cs="Arial"/>
              </w:rPr>
            </w:pPr>
            <w:r w:rsidRPr="00C20287">
              <w:rPr>
                <w:rFonts w:cs="Arial"/>
              </w:rPr>
              <w:t>$13,771.60</w:t>
            </w:r>
            <w:r w:rsidRPr="00C20287">
              <w:rPr>
                <w:rFonts w:cs="Arial"/>
                <w:vertAlign w:val="superscript"/>
              </w:rPr>
              <w:t>#</w:t>
            </w:r>
          </w:p>
        </w:tc>
        <w:tc>
          <w:tcPr>
            <w:tcW w:w="738" w:type="pct"/>
          </w:tcPr>
          <w:p w14:paraId="2A6E856A" w14:textId="77777777" w:rsidR="007E00C8" w:rsidRPr="00C20287" w:rsidRDefault="007E00C8" w:rsidP="007E00C8">
            <w:pPr>
              <w:keepNext/>
              <w:spacing w:before="20" w:after="20"/>
              <w:ind w:left="176" w:hanging="87"/>
              <w:jc w:val="center"/>
              <w:rPr>
                <w:rFonts w:cs="Arial"/>
              </w:rPr>
            </w:pPr>
            <w:r w:rsidRPr="00C20287">
              <w:rPr>
                <w:rFonts w:cs="Arial"/>
              </w:rPr>
              <w:t>$11,112</w:t>
            </w:r>
          </w:p>
        </w:tc>
        <w:tc>
          <w:tcPr>
            <w:tcW w:w="738" w:type="pct"/>
            <w:shd w:val="clear" w:color="auto" w:fill="auto"/>
          </w:tcPr>
          <w:p w14:paraId="6D00EE53" w14:textId="77777777" w:rsidR="007E00C8" w:rsidRPr="00C20287" w:rsidRDefault="007E00C8" w:rsidP="007E00C8">
            <w:pPr>
              <w:keepNext/>
              <w:spacing w:before="20" w:after="20"/>
              <w:ind w:left="176" w:hanging="87"/>
              <w:jc w:val="center"/>
              <w:rPr>
                <w:rFonts w:cs="Arial"/>
              </w:rPr>
            </w:pPr>
            <w:r w:rsidRPr="00C20287">
              <w:rPr>
                <w:rFonts w:cs="Arial"/>
              </w:rPr>
              <w:t>$11,757</w:t>
            </w:r>
          </w:p>
        </w:tc>
      </w:tr>
      <w:tr w:rsidR="007E00C8" w:rsidRPr="00C20287" w14:paraId="284B2D8C" w14:textId="77777777" w:rsidTr="00C90277">
        <w:trPr>
          <w:trHeight w:val="374"/>
        </w:trPr>
        <w:tc>
          <w:tcPr>
            <w:tcW w:w="1814" w:type="pct"/>
            <w:vMerge/>
          </w:tcPr>
          <w:p w14:paraId="0F0A7E06" w14:textId="77777777" w:rsidR="007E00C8" w:rsidRPr="00C20287" w:rsidRDefault="007E00C8" w:rsidP="007E00C8">
            <w:pPr>
              <w:spacing w:before="20" w:after="20"/>
              <w:ind w:left="34"/>
              <w:rPr>
                <w:rFonts w:cs="Arial"/>
              </w:rPr>
            </w:pPr>
          </w:p>
        </w:tc>
        <w:tc>
          <w:tcPr>
            <w:tcW w:w="972" w:type="pct"/>
          </w:tcPr>
          <w:p w14:paraId="20915265" w14:textId="77777777" w:rsidR="007E00C8" w:rsidRPr="00C20287" w:rsidRDefault="007E00C8" w:rsidP="007E00C8">
            <w:pPr>
              <w:spacing w:before="20" w:after="20"/>
              <w:rPr>
                <w:rFonts w:cs="Arial"/>
              </w:rPr>
            </w:pPr>
            <w:r w:rsidRPr="00C20287">
              <w:rPr>
                <w:rFonts w:cs="Arial"/>
              </w:rPr>
              <w:t>Patient</w:t>
            </w:r>
          </w:p>
        </w:tc>
        <w:tc>
          <w:tcPr>
            <w:tcW w:w="738" w:type="pct"/>
          </w:tcPr>
          <w:p w14:paraId="0212B899" w14:textId="77777777" w:rsidR="007E00C8" w:rsidRPr="00C20287" w:rsidRDefault="007E00C8" w:rsidP="007E00C8">
            <w:pPr>
              <w:spacing w:before="20" w:after="20"/>
              <w:ind w:left="176" w:hanging="87"/>
              <w:jc w:val="center"/>
              <w:rPr>
                <w:rFonts w:cs="Arial"/>
              </w:rPr>
            </w:pPr>
          </w:p>
        </w:tc>
        <w:tc>
          <w:tcPr>
            <w:tcW w:w="738" w:type="pct"/>
          </w:tcPr>
          <w:p w14:paraId="23407923" w14:textId="77777777" w:rsidR="007E00C8" w:rsidRPr="00C20287" w:rsidRDefault="007E00C8" w:rsidP="007E00C8">
            <w:pPr>
              <w:spacing w:before="20" w:after="20"/>
              <w:ind w:left="176" w:hanging="87"/>
              <w:jc w:val="center"/>
              <w:rPr>
                <w:rFonts w:cs="Arial"/>
              </w:rPr>
            </w:pPr>
            <w:r w:rsidRPr="00C20287">
              <w:rPr>
                <w:rFonts w:cs="Arial"/>
              </w:rPr>
              <w:t>$3,025</w:t>
            </w:r>
          </w:p>
        </w:tc>
        <w:tc>
          <w:tcPr>
            <w:tcW w:w="738" w:type="pct"/>
            <w:shd w:val="clear" w:color="auto" w:fill="auto"/>
          </w:tcPr>
          <w:p w14:paraId="7B73E5FE" w14:textId="77777777" w:rsidR="007E00C8" w:rsidRPr="00C20287" w:rsidRDefault="007E00C8" w:rsidP="007E00C8">
            <w:pPr>
              <w:spacing w:before="20" w:after="20"/>
              <w:ind w:left="176" w:hanging="87"/>
              <w:jc w:val="center"/>
              <w:rPr>
                <w:rFonts w:cs="Arial"/>
              </w:rPr>
            </w:pPr>
            <w:r w:rsidRPr="00C20287">
              <w:rPr>
                <w:rFonts w:cs="Arial"/>
              </w:rPr>
              <w:t>$2,177</w:t>
            </w:r>
          </w:p>
        </w:tc>
      </w:tr>
      <w:tr w:rsidR="007E00C8" w:rsidRPr="00C20287" w14:paraId="619826FB" w14:textId="77777777" w:rsidTr="00C90277">
        <w:trPr>
          <w:cantSplit/>
          <w:trHeight w:val="400"/>
        </w:trPr>
        <w:tc>
          <w:tcPr>
            <w:tcW w:w="1814" w:type="pct"/>
            <w:vMerge w:val="restart"/>
          </w:tcPr>
          <w:p w14:paraId="671F1977" w14:textId="77777777" w:rsidR="007E00C8" w:rsidRPr="00C20287" w:rsidRDefault="007E00C8" w:rsidP="007E00C8">
            <w:pPr>
              <w:spacing w:before="20" w:after="20"/>
              <w:ind w:left="34"/>
              <w:rPr>
                <w:rFonts w:cs="Arial"/>
              </w:rPr>
            </w:pPr>
            <w:r w:rsidRPr="00C20287">
              <w:rPr>
                <w:rFonts w:cs="Arial"/>
              </w:rPr>
              <w:t>Remuneration for wholesalers to hold and deliver subsidised Pharmaceutical Benefits to Approved Pharmacists (excluding the Community Service Obligation)</w:t>
            </w:r>
          </w:p>
        </w:tc>
        <w:tc>
          <w:tcPr>
            <w:tcW w:w="972" w:type="pct"/>
          </w:tcPr>
          <w:p w14:paraId="2F20E09E" w14:textId="77777777" w:rsidR="007E00C8" w:rsidRPr="00C20287" w:rsidRDefault="007E00C8" w:rsidP="007E00C8">
            <w:pPr>
              <w:keepNext/>
              <w:spacing w:before="20" w:after="20"/>
              <w:rPr>
                <w:rFonts w:cs="Arial"/>
              </w:rPr>
            </w:pPr>
            <w:r w:rsidRPr="00C20287">
              <w:rPr>
                <w:rFonts w:cs="Arial"/>
              </w:rPr>
              <w:t xml:space="preserve">Commonwealth </w:t>
            </w:r>
          </w:p>
        </w:tc>
        <w:tc>
          <w:tcPr>
            <w:tcW w:w="738" w:type="pct"/>
          </w:tcPr>
          <w:p w14:paraId="1B55E6F1" w14:textId="77777777" w:rsidR="007E00C8" w:rsidRPr="00C20287" w:rsidRDefault="007E00C8" w:rsidP="007E00C8">
            <w:pPr>
              <w:keepNext/>
              <w:spacing w:before="20" w:after="20"/>
              <w:jc w:val="center"/>
              <w:rPr>
                <w:rFonts w:cs="Arial"/>
              </w:rPr>
            </w:pPr>
          </w:p>
        </w:tc>
        <w:tc>
          <w:tcPr>
            <w:tcW w:w="738" w:type="pct"/>
          </w:tcPr>
          <w:p w14:paraId="49896159" w14:textId="77777777" w:rsidR="007E00C8" w:rsidRPr="00C20287" w:rsidRDefault="007E00C8" w:rsidP="007E00C8">
            <w:pPr>
              <w:keepNext/>
              <w:spacing w:before="20" w:after="20"/>
              <w:jc w:val="center"/>
              <w:rPr>
                <w:rFonts w:cs="Arial"/>
              </w:rPr>
            </w:pPr>
            <w:r w:rsidRPr="00C20287">
              <w:rPr>
                <w:rFonts w:cs="Arial"/>
              </w:rPr>
              <w:t>$1,414</w:t>
            </w:r>
          </w:p>
        </w:tc>
        <w:tc>
          <w:tcPr>
            <w:tcW w:w="738" w:type="pct"/>
            <w:shd w:val="clear" w:color="auto" w:fill="auto"/>
          </w:tcPr>
          <w:p w14:paraId="36687D35" w14:textId="77777777" w:rsidR="007E00C8" w:rsidRPr="00C20287" w:rsidRDefault="007E00C8" w:rsidP="007E00C8">
            <w:pPr>
              <w:keepNext/>
              <w:spacing w:before="20" w:after="20"/>
              <w:jc w:val="center"/>
              <w:rPr>
                <w:rFonts w:cs="Arial"/>
              </w:rPr>
            </w:pPr>
            <w:r w:rsidRPr="00C20287">
              <w:rPr>
                <w:rFonts w:cs="Arial"/>
              </w:rPr>
              <w:t>$1,746</w:t>
            </w:r>
          </w:p>
        </w:tc>
      </w:tr>
      <w:tr w:rsidR="007E00C8" w:rsidRPr="00C20287" w14:paraId="6B4C438F" w14:textId="77777777" w:rsidTr="00C90277">
        <w:trPr>
          <w:cantSplit/>
          <w:trHeight w:val="399"/>
        </w:trPr>
        <w:tc>
          <w:tcPr>
            <w:tcW w:w="1814" w:type="pct"/>
            <w:vMerge/>
          </w:tcPr>
          <w:p w14:paraId="251C4506" w14:textId="77777777" w:rsidR="007E00C8" w:rsidRPr="00C20287" w:rsidRDefault="007E00C8" w:rsidP="007E00C8">
            <w:pPr>
              <w:spacing w:before="20" w:after="20"/>
              <w:ind w:left="34"/>
              <w:rPr>
                <w:rFonts w:cs="Arial"/>
              </w:rPr>
            </w:pPr>
          </w:p>
        </w:tc>
        <w:tc>
          <w:tcPr>
            <w:tcW w:w="972" w:type="pct"/>
          </w:tcPr>
          <w:p w14:paraId="4890C8DA" w14:textId="77777777" w:rsidR="007E00C8" w:rsidRPr="00C20287" w:rsidRDefault="007E00C8" w:rsidP="007E00C8">
            <w:pPr>
              <w:keepNext/>
              <w:spacing w:before="20" w:after="20"/>
              <w:rPr>
                <w:rFonts w:cs="Arial"/>
              </w:rPr>
            </w:pPr>
            <w:r w:rsidRPr="00C20287">
              <w:rPr>
                <w:rFonts w:cs="Arial"/>
              </w:rPr>
              <w:t>Patient</w:t>
            </w:r>
          </w:p>
        </w:tc>
        <w:tc>
          <w:tcPr>
            <w:tcW w:w="738" w:type="pct"/>
          </w:tcPr>
          <w:p w14:paraId="75762C95" w14:textId="77777777" w:rsidR="007E00C8" w:rsidRPr="00C20287" w:rsidRDefault="007E00C8" w:rsidP="007E00C8">
            <w:pPr>
              <w:keepNext/>
              <w:spacing w:before="20" w:after="20"/>
              <w:jc w:val="center"/>
              <w:rPr>
                <w:rFonts w:cs="Arial"/>
              </w:rPr>
            </w:pPr>
          </w:p>
        </w:tc>
        <w:tc>
          <w:tcPr>
            <w:tcW w:w="738" w:type="pct"/>
          </w:tcPr>
          <w:p w14:paraId="519944B7" w14:textId="77777777" w:rsidR="007E00C8" w:rsidRPr="00C20287" w:rsidRDefault="007E00C8" w:rsidP="007E00C8">
            <w:pPr>
              <w:keepNext/>
              <w:spacing w:before="20" w:after="20"/>
              <w:jc w:val="center"/>
              <w:rPr>
                <w:rFonts w:cs="Arial"/>
              </w:rPr>
            </w:pPr>
            <w:r w:rsidRPr="00C20287">
              <w:rPr>
                <w:rFonts w:cs="Arial"/>
              </w:rPr>
              <w:t>$385</w:t>
            </w:r>
          </w:p>
        </w:tc>
        <w:tc>
          <w:tcPr>
            <w:tcW w:w="738" w:type="pct"/>
            <w:shd w:val="clear" w:color="auto" w:fill="auto"/>
          </w:tcPr>
          <w:p w14:paraId="7FEE1298" w14:textId="77777777" w:rsidR="007E00C8" w:rsidRPr="00C20287" w:rsidRDefault="007E00C8" w:rsidP="007E00C8">
            <w:pPr>
              <w:keepNext/>
              <w:spacing w:before="20" w:after="20"/>
              <w:jc w:val="center"/>
              <w:rPr>
                <w:rFonts w:cs="Arial"/>
              </w:rPr>
            </w:pPr>
            <w:r w:rsidRPr="00C20287">
              <w:rPr>
                <w:rFonts w:cs="Arial"/>
              </w:rPr>
              <w:t>$320</w:t>
            </w:r>
          </w:p>
        </w:tc>
      </w:tr>
      <w:tr w:rsidR="007E00C8" w:rsidRPr="00C20287" w14:paraId="2AF93C67" w14:textId="77777777" w:rsidTr="00C90277">
        <w:trPr>
          <w:cantSplit/>
          <w:trHeight w:val="202"/>
        </w:trPr>
        <w:tc>
          <w:tcPr>
            <w:tcW w:w="1814" w:type="pct"/>
            <w:vMerge w:val="restart"/>
          </w:tcPr>
          <w:p w14:paraId="67C8A5FB" w14:textId="77777777" w:rsidR="007E00C8" w:rsidRPr="00C20287" w:rsidRDefault="007E00C8" w:rsidP="007E00C8">
            <w:pPr>
              <w:spacing w:before="20" w:after="20"/>
              <w:ind w:left="34"/>
              <w:rPr>
                <w:rFonts w:cs="Arial"/>
              </w:rPr>
            </w:pPr>
            <w:r w:rsidRPr="00C20287">
              <w:rPr>
                <w:rFonts w:cs="Arial"/>
              </w:rPr>
              <w:t xml:space="preserve">Pharmacy remuneration for the dispensing of Pharmaceutical Benefits that are not Commonwealth subsidised*, including wholesaler remuneration, dispensing fee, Administration Handling and Infrastructure Fee and Dangerous Drug fee </w:t>
            </w:r>
          </w:p>
        </w:tc>
        <w:tc>
          <w:tcPr>
            <w:tcW w:w="972" w:type="pct"/>
          </w:tcPr>
          <w:p w14:paraId="179470B8" w14:textId="77777777" w:rsidR="007E00C8" w:rsidRPr="00C20287" w:rsidRDefault="007E00C8" w:rsidP="007E00C8">
            <w:pPr>
              <w:keepNext/>
              <w:spacing w:before="20" w:after="20"/>
              <w:rPr>
                <w:rFonts w:cs="Arial"/>
              </w:rPr>
            </w:pPr>
            <w:r w:rsidRPr="00C20287">
              <w:rPr>
                <w:rFonts w:cs="Arial"/>
              </w:rPr>
              <w:t>Commonwealth</w:t>
            </w:r>
          </w:p>
        </w:tc>
        <w:tc>
          <w:tcPr>
            <w:tcW w:w="738" w:type="pct"/>
          </w:tcPr>
          <w:p w14:paraId="34B4F0DA" w14:textId="77777777" w:rsidR="007E00C8" w:rsidRPr="00C20287" w:rsidRDefault="007E00C8" w:rsidP="007E00C8">
            <w:pPr>
              <w:keepNext/>
              <w:spacing w:before="20" w:after="20"/>
              <w:jc w:val="center"/>
              <w:rPr>
                <w:rFonts w:cs="Arial"/>
              </w:rPr>
            </w:pPr>
          </w:p>
        </w:tc>
        <w:tc>
          <w:tcPr>
            <w:tcW w:w="738" w:type="pct"/>
          </w:tcPr>
          <w:p w14:paraId="1C88A2E7" w14:textId="77777777" w:rsidR="007E00C8" w:rsidRPr="00C20287" w:rsidRDefault="007E00C8" w:rsidP="007E00C8">
            <w:pPr>
              <w:keepNext/>
              <w:spacing w:before="20" w:after="20"/>
              <w:jc w:val="center"/>
              <w:rPr>
                <w:rFonts w:cs="Arial"/>
              </w:rPr>
            </w:pPr>
          </w:p>
        </w:tc>
        <w:tc>
          <w:tcPr>
            <w:tcW w:w="738" w:type="pct"/>
            <w:shd w:val="clear" w:color="auto" w:fill="auto"/>
          </w:tcPr>
          <w:p w14:paraId="40DE4B3D" w14:textId="77777777" w:rsidR="007E00C8" w:rsidRPr="00C20287" w:rsidRDefault="007E00C8" w:rsidP="007E00C8">
            <w:pPr>
              <w:keepNext/>
              <w:spacing w:before="20" w:after="20"/>
              <w:jc w:val="center"/>
              <w:rPr>
                <w:rFonts w:cs="Arial"/>
              </w:rPr>
            </w:pPr>
            <w:r w:rsidRPr="00C20287">
              <w:rPr>
                <w:rFonts w:cs="Arial"/>
              </w:rPr>
              <w:t>N/A</w:t>
            </w:r>
          </w:p>
        </w:tc>
      </w:tr>
      <w:tr w:rsidR="007E00C8" w:rsidRPr="00C20287" w14:paraId="3813FC03" w14:textId="77777777" w:rsidTr="00C90277">
        <w:trPr>
          <w:trHeight w:val="202"/>
        </w:trPr>
        <w:tc>
          <w:tcPr>
            <w:tcW w:w="1814" w:type="pct"/>
            <w:vMerge/>
          </w:tcPr>
          <w:p w14:paraId="368EFBB5" w14:textId="77777777" w:rsidR="007E00C8" w:rsidRPr="00C20287" w:rsidRDefault="007E00C8" w:rsidP="007E00C8">
            <w:pPr>
              <w:spacing w:before="20" w:after="20"/>
              <w:ind w:left="34"/>
              <w:rPr>
                <w:rFonts w:cs="Arial"/>
              </w:rPr>
            </w:pPr>
          </w:p>
        </w:tc>
        <w:tc>
          <w:tcPr>
            <w:tcW w:w="972" w:type="pct"/>
          </w:tcPr>
          <w:p w14:paraId="265B22C0" w14:textId="77777777" w:rsidR="007E00C8" w:rsidRPr="00C20287" w:rsidRDefault="007E00C8" w:rsidP="007E00C8">
            <w:pPr>
              <w:keepNext/>
              <w:spacing w:before="20" w:after="20"/>
              <w:rPr>
                <w:rFonts w:cs="Arial"/>
              </w:rPr>
            </w:pPr>
            <w:r w:rsidRPr="00C20287">
              <w:rPr>
                <w:rFonts w:cs="Arial"/>
              </w:rPr>
              <w:t>Patient</w:t>
            </w:r>
          </w:p>
        </w:tc>
        <w:tc>
          <w:tcPr>
            <w:tcW w:w="738" w:type="pct"/>
          </w:tcPr>
          <w:p w14:paraId="1150EAFB" w14:textId="77777777" w:rsidR="007E00C8" w:rsidRPr="00C20287" w:rsidRDefault="007E00C8" w:rsidP="007E00C8">
            <w:pPr>
              <w:spacing w:before="20" w:after="20"/>
              <w:jc w:val="center"/>
              <w:rPr>
                <w:rFonts w:cs="Arial"/>
              </w:rPr>
            </w:pPr>
          </w:p>
        </w:tc>
        <w:tc>
          <w:tcPr>
            <w:tcW w:w="738" w:type="pct"/>
          </w:tcPr>
          <w:p w14:paraId="685360BE" w14:textId="77777777" w:rsidR="007E00C8" w:rsidRPr="00C20287" w:rsidRDefault="007E00C8" w:rsidP="007E00C8">
            <w:pPr>
              <w:spacing w:before="20" w:after="20"/>
              <w:jc w:val="center"/>
              <w:rPr>
                <w:rFonts w:cs="Arial"/>
              </w:rPr>
            </w:pPr>
          </w:p>
        </w:tc>
        <w:tc>
          <w:tcPr>
            <w:tcW w:w="738" w:type="pct"/>
            <w:shd w:val="clear" w:color="auto" w:fill="auto"/>
          </w:tcPr>
          <w:p w14:paraId="61B356C0" w14:textId="77777777" w:rsidR="007E00C8" w:rsidRPr="00C20287" w:rsidRDefault="007E00C8" w:rsidP="007E00C8">
            <w:pPr>
              <w:spacing w:before="20" w:after="20"/>
              <w:jc w:val="center"/>
              <w:rPr>
                <w:rFonts w:cs="Arial"/>
              </w:rPr>
            </w:pPr>
            <w:r w:rsidRPr="00C20287">
              <w:rPr>
                <w:rFonts w:cs="Arial"/>
              </w:rPr>
              <w:t>$6,954</w:t>
            </w:r>
          </w:p>
        </w:tc>
      </w:tr>
      <w:tr w:rsidR="007E00C8" w:rsidRPr="00C20287" w14:paraId="73766AE7" w14:textId="77777777" w:rsidTr="00C90277">
        <w:trPr>
          <w:trHeight w:val="202"/>
        </w:trPr>
        <w:tc>
          <w:tcPr>
            <w:tcW w:w="1814" w:type="pct"/>
            <w:vMerge w:val="restart"/>
          </w:tcPr>
          <w:p w14:paraId="71B7C705" w14:textId="77777777" w:rsidR="007E00C8" w:rsidRPr="00C20287" w:rsidRDefault="007E00C8" w:rsidP="007E00C8">
            <w:pPr>
              <w:spacing w:before="20" w:after="20"/>
              <w:ind w:left="34"/>
              <w:rPr>
                <w:rFonts w:cs="Arial"/>
              </w:rPr>
            </w:pPr>
            <w:r w:rsidRPr="00C20287">
              <w:rPr>
                <w:rFonts w:cs="Arial"/>
              </w:rPr>
              <w:t>Community Pharmacy Programs</w:t>
            </w:r>
          </w:p>
        </w:tc>
        <w:tc>
          <w:tcPr>
            <w:tcW w:w="972" w:type="pct"/>
          </w:tcPr>
          <w:p w14:paraId="325AF30B" w14:textId="77777777" w:rsidR="007E00C8" w:rsidRPr="00C20287" w:rsidRDefault="007E00C8" w:rsidP="007E00C8">
            <w:pPr>
              <w:spacing w:before="20" w:after="20"/>
              <w:rPr>
                <w:rFonts w:cs="Arial"/>
              </w:rPr>
            </w:pPr>
            <w:r w:rsidRPr="00C20287">
              <w:rPr>
                <w:rFonts w:cs="Arial"/>
              </w:rPr>
              <w:t>Commonwealth</w:t>
            </w:r>
          </w:p>
        </w:tc>
        <w:tc>
          <w:tcPr>
            <w:tcW w:w="738" w:type="pct"/>
          </w:tcPr>
          <w:p w14:paraId="662AB9F2" w14:textId="77777777" w:rsidR="007E00C8" w:rsidRPr="00C20287" w:rsidRDefault="007E00C8" w:rsidP="007E00C8">
            <w:pPr>
              <w:spacing w:before="20" w:after="20"/>
              <w:jc w:val="center"/>
              <w:rPr>
                <w:rFonts w:cs="Arial"/>
              </w:rPr>
            </w:pPr>
            <w:r w:rsidRPr="00C20287">
              <w:rPr>
                <w:rFonts w:cs="Arial"/>
              </w:rPr>
              <w:t>$663.4</w:t>
            </w:r>
          </w:p>
        </w:tc>
        <w:tc>
          <w:tcPr>
            <w:tcW w:w="738" w:type="pct"/>
          </w:tcPr>
          <w:p w14:paraId="102C67A9" w14:textId="77777777" w:rsidR="007E00C8" w:rsidRPr="00C20287" w:rsidRDefault="007E00C8" w:rsidP="007E00C8">
            <w:pPr>
              <w:spacing w:before="20" w:after="20"/>
              <w:jc w:val="center"/>
              <w:rPr>
                <w:rFonts w:cs="Arial"/>
              </w:rPr>
            </w:pPr>
            <w:r w:rsidRPr="00C20287">
              <w:rPr>
                <w:rFonts w:cs="Arial"/>
              </w:rPr>
              <w:t>$1,263</w:t>
            </w:r>
          </w:p>
        </w:tc>
        <w:tc>
          <w:tcPr>
            <w:tcW w:w="738" w:type="pct"/>
            <w:shd w:val="clear" w:color="auto" w:fill="auto"/>
          </w:tcPr>
          <w:p w14:paraId="129183B5" w14:textId="4421505D" w:rsidR="007E00C8" w:rsidRPr="00C20287" w:rsidRDefault="007E00C8" w:rsidP="00BE7969">
            <w:pPr>
              <w:spacing w:before="20" w:after="20"/>
              <w:jc w:val="center"/>
              <w:rPr>
                <w:rFonts w:cs="Arial"/>
              </w:rPr>
            </w:pPr>
            <w:r w:rsidRPr="00C20287">
              <w:rPr>
                <w:rFonts w:cs="Arial"/>
              </w:rPr>
              <w:t>$1,</w:t>
            </w:r>
            <w:r w:rsidR="00BE7969" w:rsidRPr="00C20287">
              <w:rPr>
                <w:rFonts w:cs="Arial"/>
              </w:rPr>
              <w:t>4</w:t>
            </w:r>
            <w:r w:rsidRPr="00C20287">
              <w:rPr>
                <w:rFonts w:cs="Arial"/>
              </w:rPr>
              <w:t>00</w:t>
            </w:r>
          </w:p>
        </w:tc>
      </w:tr>
      <w:tr w:rsidR="007E00C8" w:rsidRPr="00C20287" w14:paraId="37B5F0C4" w14:textId="77777777" w:rsidTr="00C90277">
        <w:trPr>
          <w:trHeight w:val="201"/>
        </w:trPr>
        <w:tc>
          <w:tcPr>
            <w:tcW w:w="1814" w:type="pct"/>
            <w:vMerge/>
          </w:tcPr>
          <w:p w14:paraId="20F009F2" w14:textId="77777777" w:rsidR="007E00C8" w:rsidRPr="00C20287" w:rsidRDefault="007E00C8" w:rsidP="007E00C8">
            <w:pPr>
              <w:spacing w:before="20" w:after="20"/>
              <w:ind w:left="34"/>
              <w:rPr>
                <w:rFonts w:cs="Arial"/>
              </w:rPr>
            </w:pPr>
          </w:p>
        </w:tc>
        <w:tc>
          <w:tcPr>
            <w:tcW w:w="972" w:type="pct"/>
          </w:tcPr>
          <w:p w14:paraId="33BA3D4A" w14:textId="77777777" w:rsidR="007E00C8" w:rsidRPr="00C20287" w:rsidRDefault="007E00C8" w:rsidP="007E00C8">
            <w:pPr>
              <w:spacing w:before="20" w:after="20"/>
              <w:rPr>
                <w:rFonts w:cs="Arial"/>
              </w:rPr>
            </w:pPr>
            <w:r w:rsidRPr="00C20287">
              <w:rPr>
                <w:rFonts w:cs="Arial"/>
              </w:rPr>
              <w:t>Patient</w:t>
            </w:r>
          </w:p>
        </w:tc>
        <w:tc>
          <w:tcPr>
            <w:tcW w:w="738" w:type="pct"/>
          </w:tcPr>
          <w:p w14:paraId="0ACE1874" w14:textId="77777777" w:rsidR="007E00C8" w:rsidRPr="00C20287" w:rsidRDefault="007E00C8" w:rsidP="007E00C8">
            <w:pPr>
              <w:spacing w:before="20" w:after="20"/>
              <w:jc w:val="center"/>
              <w:rPr>
                <w:rFonts w:cs="Arial"/>
              </w:rPr>
            </w:pPr>
          </w:p>
        </w:tc>
        <w:tc>
          <w:tcPr>
            <w:tcW w:w="738" w:type="pct"/>
          </w:tcPr>
          <w:p w14:paraId="1F8CC214" w14:textId="77777777" w:rsidR="007E00C8" w:rsidRPr="00C20287" w:rsidRDefault="007E00C8" w:rsidP="007E00C8">
            <w:pPr>
              <w:spacing w:before="20" w:after="20"/>
              <w:jc w:val="center"/>
              <w:rPr>
                <w:rFonts w:cs="Arial"/>
              </w:rPr>
            </w:pPr>
            <w:r w:rsidRPr="00C20287">
              <w:rPr>
                <w:rFonts w:cs="Arial"/>
              </w:rPr>
              <w:t>As set under the Community Pharmacy Programs</w:t>
            </w:r>
          </w:p>
        </w:tc>
        <w:tc>
          <w:tcPr>
            <w:tcW w:w="738" w:type="pct"/>
            <w:shd w:val="clear" w:color="auto" w:fill="auto"/>
          </w:tcPr>
          <w:p w14:paraId="75FE4BFC" w14:textId="77777777" w:rsidR="007E00C8" w:rsidRPr="00C20287" w:rsidRDefault="007E00C8" w:rsidP="007E00C8">
            <w:pPr>
              <w:spacing w:before="20" w:after="20"/>
              <w:jc w:val="center"/>
              <w:rPr>
                <w:rFonts w:cs="Arial"/>
              </w:rPr>
            </w:pPr>
            <w:r w:rsidRPr="00C20287">
              <w:rPr>
                <w:rFonts w:cs="Arial"/>
              </w:rPr>
              <w:t>As set under the Community Pharmacy Programs</w:t>
            </w:r>
          </w:p>
        </w:tc>
      </w:tr>
      <w:tr w:rsidR="007E00C8" w:rsidRPr="00C20287" w14:paraId="51876AD5" w14:textId="77777777" w:rsidTr="00C90277">
        <w:trPr>
          <w:trHeight w:val="202"/>
        </w:trPr>
        <w:tc>
          <w:tcPr>
            <w:tcW w:w="1814" w:type="pct"/>
            <w:vMerge w:val="restart"/>
          </w:tcPr>
          <w:p w14:paraId="59E27089" w14:textId="77777777" w:rsidR="007E00C8" w:rsidRPr="00C20287" w:rsidRDefault="007E00C8" w:rsidP="007E00C8">
            <w:pPr>
              <w:spacing w:before="20" w:after="20"/>
              <w:ind w:left="34"/>
              <w:rPr>
                <w:rFonts w:cs="Arial"/>
              </w:rPr>
            </w:pPr>
            <w:r w:rsidRPr="00C20287">
              <w:rPr>
                <w:rFonts w:cs="Arial"/>
              </w:rPr>
              <w:t xml:space="preserve">Community Service Obligation funding </w:t>
            </w:r>
          </w:p>
        </w:tc>
        <w:tc>
          <w:tcPr>
            <w:tcW w:w="972" w:type="pct"/>
          </w:tcPr>
          <w:p w14:paraId="5F040FBC" w14:textId="77777777" w:rsidR="007E00C8" w:rsidRPr="00C20287" w:rsidRDefault="007E00C8" w:rsidP="007E00C8">
            <w:pPr>
              <w:spacing w:before="20" w:after="20"/>
              <w:rPr>
                <w:rFonts w:cs="Arial"/>
              </w:rPr>
            </w:pPr>
            <w:r w:rsidRPr="00C20287">
              <w:rPr>
                <w:rFonts w:cs="Arial"/>
              </w:rPr>
              <w:t xml:space="preserve">Commonwealth </w:t>
            </w:r>
          </w:p>
        </w:tc>
        <w:tc>
          <w:tcPr>
            <w:tcW w:w="738" w:type="pct"/>
          </w:tcPr>
          <w:p w14:paraId="39DC8294" w14:textId="77777777" w:rsidR="007E00C8" w:rsidRPr="00C20287" w:rsidRDefault="007E00C8" w:rsidP="007E00C8">
            <w:pPr>
              <w:spacing w:before="20" w:after="20"/>
              <w:ind w:left="228" w:hanging="228"/>
              <w:jc w:val="center"/>
              <w:rPr>
                <w:rFonts w:cs="Arial"/>
              </w:rPr>
            </w:pPr>
            <w:r w:rsidRPr="00C20287">
              <w:t>$949.50</w:t>
            </w:r>
          </w:p>
        </w:tc>
        <w:tc>
          <w:tcPr>
            <w:tcW w:w="738" w:type="pct"/>
          </w:tcPr>
          <w:p w14:paraId="5B8A3517" w14:textId="77777777" w:rsidR="007E00C8" w:rsidRPr="00C20287" w:rsidRDefault="007E00C8" w:rsidP="007E00C8">
            <w:pPr>
              <w:spacing w:before="20" w:after="20"/>
              <w:ind w:left="228" w:hanging="228"/>
              <w:jc w:val="center"/>
              <w:rPr>
                <w:rFonts w:cs="Arial"/>
              </w:rPr>
            </w:pPr>
            <w:r w:rsidRPr="00C20287">
              <w:rPr>
                <w:rFonts w:cs="Arial"/>
              </w:rPr>
              <w:t>$976</w:t>
            </w:r>
          </w:p>
        </w:tc>
        <w:tc>
          <w:tcPr>
            <w:tcW w:w="738" w:type="pct"/>
            <w:shd w:val="clear" w:color="auto" w:fill="auto"/>
          </w:tcPr>
          <w:p w14:paraId="60239E94" w14:textId="77777777" w:rsidR="007E00C8" w:rsidRPr="00C20287" w:rsidRDefault="007E00C8" w:rsidP="007E00C8">
            <w:pPr>
              <w:spacing w:before="20" w:after="20"/>
              <w:ind w:left="228" w:hanging="228"/>
              <w:jc w:val="center"/>
              <w:rPr>
                <w:rFonts w:cs="Arial"/>
              </w:rPr>
            </w:pPr>
            <w:r w:rsidRPr="00C20287">
              <w:rPr>
                <w:rFonts w:cs="Arial"/>
              </w:rPr>
              <w:t>$1,083</w:t>
            </w:r>
          </w:p>
        </w:tc>
      </w:tr>
      <w:tr w:rsidR="007E00C8" w:rsidRPr="00C20287" w14:paraId="56A1E6AB" w14:textId="77777777" w:rsidTr="00C90277">
        <w:trPr>
          <w:trHeight w:val="201"/>
        </w:trPr>
        <w:tc>
          <w:tcPr>
            <w:tcW w:w="1814" w:type="pct"/>
            <w:vMerge/>
          </w:tcPr>
          <w:p w14:paraId="531A49C4" w14:textId="77777777" w:rsidR="007E00C8" w:rsidRPr="00C20287" w:rsidRDefault="007E00C8" w:rsidP="007E00C8">
            <w:pPr>
              <w:spacing w:before="20" w:after="20"/>
              <w:ind w:left="34"/>
              <w:rPr>
                <w:rFonts w:cs="Arial"/>
              </w:rPr>
            </w:pPr>
          </w:p>
        </w:tc>
        <w:tc>
          <w:tcPr>
            <w:tcW w:w="972" w:type="pct"/>
          </w:tcPr>
          <w:p w14:paraId="328CBC9F" w14:textId="77777777" w:rsidR="007E00C8" w:rsidRPr="00C20287" w:rsidRDefault="007E00C8" w:rsidP="007E00C8">
            <w:pPr>
              <w:spacing w:before="20" w:after="20"/>
              <w:rPr>
                <w:rFonts w:cs="Arial"/>
              </w:rPr>
            </w:pPr>
            <w:r w:rsidRPr="00C20287">
              <w:rPr>
                <w:rFonts w:cs="Arial"/>
              </w:rPr>
              <w:t>Patient</w:t>
            </w:r>
          </w:p>
        </w:tc>
        <w:tc>
          <w:tcPr>
            <w:tcW w:w="738" w:type="pct"/>
          </w:tcPr>
          <w:p w14:paraId="5C2CE020" w14:textId="77777777" w:rsidR="007E00C8" w:rsidRPr="00C20287" w:rsidRDefault="007E00C8" w:rsidP="007E00C8">
            <w:pPr>
              <w:spacing w:before="20" w:after="20"/>
              <w:ind w:left="228" w:hanging="228"/>
              <w:jc w:val="center"/>
              <w:rPr>
                <w:rFonts w:cs="Arial"/>
              </w:rPr>
            </w:pPr>
            <w:r w:rsidRPr="00C20287">
              <w:rPr>
                <w:rFonts w:cs="Arial"/>
              </w:rPr>
              <w:t>N/A</w:t>
            </w:r>
          </w:p>
        </w:tc>
        <w:tc>
          <w:tcPr>
            <w:tcW w:w="738" w:type="pct"/>
          </w:tcPr>
          <w:p w14:paraId="409F0697" w14:textId="77777777" w:rsidR="007E00C8" w:rsidRPr="00C20287" w:rsidRDefault="007E00C8" w:rsidP="007E00C8">
            <w:pPr>
              <w:spacing w:before="20" w:after="20"/>
              <w:ind w:left="228" w:hanging="228"/>
              <w:jc w:val="center"/>
              <w:rPr>
                <w:rFonts w:cs="Arial"/>
              </w:rPr>
            </w:pPr>
            <w:r w:rsidRPr="00C20287">
              <w:rPr>
                <w:rFonts w:cs="Arial"/>
              </w:rPr>
              <w:t>N/A</w:t>
            </w:r>
          </w:p>
        </w:tc>
        <w:tc>
          <w:tcPr>
            <w:tcW w:w="738" w:type="pct"/>
            <w:shd w:val="clear" w:color="auto" w:fill="auto"/>
          </w:tcPr>
          <w:p w14:paraId="2FCC95F7" w14:textId="77777777" w:rsidR="007E00C8" w:rsidRPr="00C20287" w:rsidRDefault="007E00C8" w:rsidP="007E00C8">
            <w:pPr>
              <w:spacing w:before="20" w:after="20"/>
              <w:ind w:left="228" w:hanging="228"/>
              <w:jc w:val="center"/>
              <w:rPr>
                <w:rFonts w:cs="Arial"/>
              </w:rPr>
            </w:pPr>
            <w:r w:rsidRPr="00C20287">
              <w:rPr>
                <w:rFonts w:cs="Arial"/>
              </w:rPr>
              <w:t>N/A</w:t>
            </w:r>
          </w:p>
        </w:tc>
      </w:tr>
      <w:tr w:rsidR="007E00C8" w:rsidRPr="00C20287" w14:paraId="7B7A133A" w14:textId="77777777" w:rsidTr="00C90277">
        <w:trPr>
          <w:trHeight w:val="202"/>
        </w:trPr>
        <w:tc>
          <w:tcPr>
            <w:tcW w:w="1814" w:type="pct"/>
            <w:vMerge w:val="restart"/>
          </w:tcPr>
          <w:p w14:paraId="1C1B01F8" w14:textId="77777777" w:rsidR="007E00C8" w:rsidRPr="00C20287" w:rsidRDefault="007E00C8" w:rsidP="007E00C8">
            <w:pPr>
              <w:spacing w:before="20" w:after="20"/>
              <w:ind w:left="34"/>
              <w:rPr>
                <w:rFonts w:cs="Arial"/>
              </w:rPr>
            </w:pPr>
            <w:r w:rsidRPr="00C20287">
              <w:rPr>
                <w:rFonts w:cs="Arial"/>
              </w:rPr>
              <w:t>Fees for Community Service Obligation distributors to distribute National Diabetes Services Scheme products</w:t>
            </w:r>
            <w:r w:rsidRPr="00C20287" w:rsidDel="00B329F2">
              <w:rPr>
                <w:rFonts w:cs="Arial"/>
              </w:rPr>
              <w:t xml:space="preserve"> </w:t>
            </w:r>
          </w:p>
        </w:tc>
        <w:tc>
          <w:tcPr>
            <w:tcW w:w="972" w:type="pct"/>
          </w:tcPr>
          <w:p w14:paraId="53274462" w14:textId="77777777" w:rsidR="007E00C8" w:rsidRPr="00C20287" w:rsidRDefault="007E00C8" w:rsidP="007E00C8">
            <w:pPr>
              <w:keepNext/>
              <w:keepLines/>
              <w:pageBreakBefore/>
              <w:spacing w:before="20" w:after="20"/>
              <w:rPr>
                <w:rFonts w:cs="Arial"/>
              </w:rPr>
            </w:pPr>
            <w:r w:rsidRPr="00C20287">
              <w:t xml:space="preserve">Commonwealth  </w:t>
            </w:r>
          </w:p>
        </w:tc>
        <w:tc>
          <w:tcPr>
            <w:tcW w:w="738" w:type="pct"/>
          </w:tcPr>
          <w:p w14:paraId="247753C5" w14:textId="77777777" w:rsidR="007E00C8" w:rsidRPr="00C20287" w:rsidRDefault="007E00C8" w:rsidP="007E00C8">
            <w:pPr>
              <w:spacing w:before="20" w:after="20"/>
              <w:jc w:val="center"/>
              <w:rPr>
                <w:rFonts w:cs="Arial"/>
              </w:rPr>
            </w:pPr>
          </w:p>
        </w:tc>
        <w:tc>
          <w:tcPr>
            <w:tcW w:w="738" w:type="pct"/>
          </w:tcPr>
          <w:p w14:paraId="10D58330" w14:textId="77777777" w:rsidR="007E00C8" w:rsidRPr="00C20287" w:rsidRDefault="007E00C8" w:rsidP="007E00C8">
            <w:pPr>
              <w:spacing w:before="20" w:after="20"/>
              <w:jc w:val="center"/>
              <w:rPr>
                <w:rFonts w:cs="Arial"/>
              </w:rPr>
            </w:pPr>
            <w:r w:rsidRPr="00C20287">
              <w:rPr>
                <w:rFonts w:cs="Arial"/>
              </w:rPr>
              <w:t>$28</w:t>
            </w:r>
          </w:p>
        </w:tc>
        <w:tc>
          <w:tcPr>
            <w:tcW w:w="738" w:type="pct"/>
            <w:shd w:val="clear" w:color="auto" w:fill="auto"/>
          </w:tcPr>
          <w:p w14:paraId="6A167B03" w14:textId="77777777" w:rsidR="007E00C8" w:rsidRPr="00C20287" w:rsidRDefault="007E00C8" w:rsidP="007E00C8">
            <w:pPr>
              <w:spacing w:before="20" w:after="20"/>
              <w:jc w:val="center"/>
              <w:rPr>
                <w:rFonts w:cs="Arial"/>
              </w:rPr>
            </w:pPr>
            <w:r w:rsidRPr="00C20287">
              <w:rPr>
                <w:rFonts w:cs="Arial"/>
              </w:rPr>
              <w:t>$33</w:t>
            </w:r>
          </w:p>
        </w:tc>
      </w:tr>
      <w:tr w:rsidR="007E00C8" w:rsidRPr="00C20287" w14:paraId="6EEA49E4" w14:textId="77777777" w:rsidTr="00C90277">
        <w:trPr>
          <w:trHeight w:val="202"/>
        </w:trPr>
        <w:tc>
          <w:tcPr>
            <w:tcW w:w="1814" w:type="pct"/>
            <w:vMerge/>
          </w:tcPr>
          <w:p w14:paraId="1540A2EA" w14:textId="77777777" w:rsidR="007E00C8" w:rsidRPr="00C20287" w:rsidRDefault="007E00C8" w:rsidP="007E00C8">
            <w:pPr>
              <w:spacing w:before="20" w:after="20"/>
              <w:ind w:left="34"/>
              <w:rPr>
                <w:rFonts w:cs="Arial"/>
              </w:rPr>
            </w:pPr>
          </w:p>
        </w:tc>
        <w:tc>
          <w:tcPr>
            <w:tcW w:w="972" w:type="pct"/>
          </w:tcPr>
          <w:p w14:paraId="6BB6B4CF" w14:textId="77777777" w:rsidR="007E00C8" w:rsidRPr="00C20287" w:rsidRDefault="007E00C8" w:rsidP="007E00C8">
            <w:pPr>
              <w:keepNext/>
              <w:keepLines/>
              <w:spacing w:before="20" w:after="20"/>
              <w:rPr>
                <w:rFonts w:cs="Arial"/>
              </w:rPr>
            </w:pPr>
            <w:r w:rsidRPr="00C20287">
              <w:t>Patient</w:t>
            </w:r>
          </w:p>
        </w:tc>
        <w:tc>
          <w:tcPr>
            <w:tcW w:w="738" w:type="pct"/>
          </w:tcPr>
          <w:p w14:paraId="5B43662E" w14:textId="77777777" w:rsidR="007E00C8" w:rsidRPr="00C20287" w:rsidRDefault="007E00C8" w:rsidP="007E00C8">
            <w:pPr>
              <w:spacing w:before="20" w:after="20"/>
              <w:jc w:val="center"/>
              <w:rPr>
                <w:rFonts w:cs="Arial"/>
              </w:rPr>
            </w:pPr>
          </w:p>
        </w:tc>
        <w:tc>
          <w:tcPr>
            <w:tcW w:w="738" w:type="pct"/>
          </w:tcPr>
          <w:p w14:paraId="43B3CBA7" w14:textId="77777777" w:rsidR="007E00C8" w:rsidRPr="00C20287" w:rsidRDefault="007E00C8" w:rsidP="007E00C8">
            <w:pPr>
              <w:spacing w:before="20" w:after="20"/>
              <w:jc w:val="center"/>
              <w:rPr>
                <w:rFonts w:cs="Arial"/>
              </w:rPr>
            </w:pPr>
            <w:r w:rsidRPr="00C20287">
              <w:rPr>
                <w:rFonts w:cs="Arial"/>
              </w:rPr>
              <w:t>NA</w:t>
            </w:r>
          </w:p>
        </w:tc>
        <w:tc>
          <w:tcPr>
            <w:tcW w:w="738" w:type="pct"/>
            <w:shd w:val="clear" w:color="auto" w:fill="auto"/>
          </w:tcPr>
          <w:p w14:paraId="63989072" w14:textId="77777777" w:rsidR="007E00C8" w:rsidRPr="00C20287" w:rsidRDefault="007E00C8" w:rsidP="007E00C8">
            <w:pPr>
              <w:spacing w:before="20" w:after="20"/>
              <w:jc w:val="center"/>
              <w:rPr>
                <w:rFonts w:cs="Arial"/>
              </w:rPr>
            </w:pPr>
            <w:r w:rsidRPr="00C20287">
              <w:rPr>
                <w:rFonts w:cs="Arial"/>
              </w:rPr>
              <w:t>N/A</w:t>
            </w:r>
          </w:p>
        </w:tc>
      </w:tr>
      <w:tr w:rsidR="007E00C8" w:rsidRPr="00C20287" w14:paraId="1EEC6F4F" w14:textId="77777777" w:rsidTr="00C90277">
        <w:trPr>
          <w:trHeight w:val="202"/>
        </w:trPr>
        <w:tc>
          <w:tcPr>
            <w:tcW w:w="1814" w:type="pct"/>
            <w:vMerge w:val="restart"/>
          </w:tcPr>
          <w:p w14:paraId="2D219FEC" w14:textId="77777777" w:rsidR="007E00C8" w:rsidRPr="00C20287" w:rsidRDefault="007E00C8" w:rsidP="007E00C8">
            <w:pPr>
              <w:spacing w:before="20" w:after="20"/>
              <w:ind w:left="34"/>
              <w:rPr>
                <w:rFonts w:cs="Arial"/>
              </w:rPr>
            </w:pPr>
            <w:r w:rsidRPr="00C20287">
              <w:rPr>
                <w:rFonts w:cs="Arial"/>
              </w:rPr>
              <w:t>Fees for pharmacy to distribute National Diabetes Services Scheme products</w:t>
            </w:r>
          </w:p>
        </w:tc>
        <w:tc>
          <w:tcPr>
            <w:tcW w:w="972" w:type="pct"/>
          </w:tcPr>
          <w:p w14:paraId="7E00F061" w14:textId="77777777" w:rsidR="007E00C8" w:rsidRPr="00C20287" w:rsidRDefault="007E00C8" w:rsidP="007E00C8">
            <w:pPr>
              <w:spacing w:before="20" w:after="20"/>
              <w:rPr>
                <w:rFonts w:cs="Arial"/>
              </w:rPr>
            </w:pPr>
            <w:r w:rsidRPr="00C20287">
              <w:rPr>
                <w:rFonts w:cs="Arial"/>
              </w:rPr>
              <w:t xml:space="preserve">Commonwealth  </w:t>
            </w:r>
          </w:p>
        </w:tc>
        <w:tc>
          <w:tcPr>
            <w:tcW w:w="738" w:type="pct"/>
          </w:tcPr>
          <w:p w14:paraId="0512BCAB" w14:textId="77777777" w:rsidR="007E00C8" w:rsidRPr="00C20287" w:rsidRDefault="007E00C8" w:rsidP="007E00C8">
            <w:pPr>
              <w:spacing w:before="20" w:after="20"/>
              <w:jc w:val="center"/>
              <w:rPr>
                <w:rFonts w:cs="Arial"/>
              </w:rPr>
            </w:pPr>
          </w:p>
        </w:tc>
        <w:tc>
          <w:tcPr>
            <w:tcW w:w="738" w:type="pct"/>
          </w:tcPr>
          <w:p w14:paraId="3ADC9050" w14:textId="77777777" w:rsidR="007E00C8" w:rsidRPr="00C20287" w:rsidRDefault="007E00C8" w:rsidP="007E00C8">
            <w:pPr>
              <w:spacing w:before="20" w:after="20"/>
              <w:jc w:val="center"/>
              <w:rPr>
                <w:rFonts w:cs="Arial"/>
              </w:rPr>
            </w:pPr>
            <w:r w:rsidRPr="00C20287">
              <w:rPr>
                <w:rFonts w:cs="Arial"/>
              </w:rPr>
              <w:t>$28</w:t>
            </w:r>
          </w:p>
        </w:tc>
        <w:tc>
          <w:tcPr>
            <w:tcW w:w="738" w:type="pct"/>
            <w:shd w:val="clear" w:color="auto" w:fill="auto"/>
          </w:tcPr>
          <w:p w14:paraId="3A991CA3" w14:textId="77777777" w:rsidR="007E00C8" w:rsidRPr="00C20287" w:rsidRDefault="007E00C8" w:rsidP="007E00C8">
            <w:pPr>
              <w:spacing w:before="20" w:after="20"/>
              <w:jc w:val="center"/>
              <w:rPr>
                <w:rFonts w:cs="Arial"/>
              </w:rPr>
            </w:pPr>
            <w:r w:rsidRPr="00C20287">
              <w:rPr>
                <w:rFonts w:cs="Arial"/>
              </w:rPr>
              <w:t>$33</w:t>
            </w:r>
          </w:p>
        </w:tc>
      </w:tr>
      <w:tr w:rsidR="007E00C8" w:rsidRPr="00C20287" w14:paraId="35EA8419" w14:textId="77777777" w:rsidTr="00C90277">
        <w:trPr>
          <w:trHeight w:val="201"/>
        </w:trPr>
        <w:tc>
          <w:tcPr>
            <w:tcW w:w="1814" w:type="pct"/>
            <w:vMerge/>
            <w:tcBorders>
              <w:bottom w:val="single" w:sz="18" w:space="0" w:color="auto"/>
            </w:tcBorders>
          </w:tcPr>
          <w:p w14:paraId="6F76F839" w14:textId="77777777" w:rsidR="007E00C8" w:rsidRPr="00C20287" w:rsidRDefault="007E00C8" w:rsidP="007E00C8">
            <w:pPr>
              <w:spacing w:before="20" w:after="20"/>
              <w:ind w:left="34"/>
              <w:rPr>
                <w:rFonts w:cs="Arial"/>
              </w:rPr>
            </w:pPr>
          </w:p>
        </w:tc>
        <w:tc>
          <w:tcPr>
            <w:tcW w:w="972" w:type="pct"/>
            <w:tcBorders>
              <w:bottom w:val="single" w:sz="18" w:space="0" w:color="auto"/>
            </w:tcBorders>
          </w:tcPr>
          <w:p w14:paraId="421D8A55" w14:textId="77777777" w:rsidR="007E00C8" w:rsidRPr="00C20287" w:rsidRDefault="007E00C8" w:rsidP="007E00C8">
            <w:pPr>
              <w:spacing w:before="20" w:after="20"/>
              <w:rPr>
                <w:rFonts w:cs="Arial"/>
              </w:rPr>
            </w:pPr>
            <w:r w:rsidRPr="00C20287">
              <w:rPr>
                <w:rFonts w:cs="Arial"/>
              </w:rPr>
              <w:t>Patient</w:t>
            </w:r>
          </w:p>
        </w:tc>
        <w:tc>
          <w:tcPr>
            <w:tcW w:w="738" w:type="pct"/>
            <w:tcBorders>
              <w:bottom w:val="single" w:sz="18" w:space="0" w:color="auto"/>
            </w:tcBorders>
          </w:tcPr>
          <w:p w14:paraId="0250C0D0" w14:textId="77777777" w:rsidR="007E00C8" w:rsidRPr="00C20287" w:rsidRDefault="007E00C8" w:rsidP="007E00C8">
            <w:pPr>
              <w:spacing w:before="20" w:after="20"/>
              <w:jc w:val="center"/>
              <w:rPr>
                <w:rFonts w:cs="Arial"/>
              </w:rPr>
            </w:pPr>
          </w:p>
        </w:tc>
        <w:tc>
          <w:tcPr>
            <w:tcW w:w="738" w:type="pct"/>
            <w:tcBorders>
              <w:bottom w:val="single" w:sz="18" w:space="0" w:color="auto"/>
            </w:tcBorders>
          </w:tcPr>
          <w:p w14:paraId="6F01AE8C" w14:textId="77777777" w:rsidR="007E00C8" w:rsidRPr="00C20287" w:rsidRDefault="007E00C8" w:rsidP="007E00C8">
            <w:pPr>
              <w:spacing w:before="20" w:after="20"/>
              <w:jc w:val="center"/>
              <w:rPr>
                <w:rFonts w:cs="Arial"/>
              </w:rPr>
            </w:pPr>
            <w:r w:rsidRPr="00C20287">
              <w:rPr>
                <w:rFonts w:cs="Arial"/>
              </w:rPr>
              <w:t>No additional patient charge</w:t>
            </w:r>
          </w:p>
        </w:tc>
        <w:tc>
          <w:tcPr>
            <w:tcW w:w="738" w:type="pct"/>
            <w:tcBorders>
              <w:bottom w:val="single" w:sz="18" w:space="0" w:color="auto"/>
            </w:tcBorders>
            <w:shd w:val="clear" w:color="auto" w:fill="auto"/>
          </w:tcPr>
          <w:p w14:paraId="2E92198A" w14:textId="77777777" w:rsidR="007E00C8" w:rsidRPr="00C20287" w:rsidRDefault="007E00C8" w:rsidP="007E00C8">
            <w:pPr>
              <w:spacing w:before="20" w:after="20"/>
              <w:jc w:val="center"/>
              <w:rPr>
                <w:rFonts w:cs="Arial"/>
              </w:rPr>
            </w:pPr>
            <w:r w:rsidRPr="00C20287">
              <w:rPr>
                <w:rFonts w:cs="Arial"/>
              </w:rPr>
              <w:t>No additional patient charge</w:t>
            </w:r>
          </w:p>
        </w:tc>
      </w:tr>
      <w:tr w:rsidR="007E00C8" w:rsidRPr="00C20287" w14:paraId="51CFC28E" w14:textId="77777777" w:rsidTr="00C90277">
        <w:trPr>
          <w:trHeight w:val="196"/>
        </w:trPr>
        <w:tc>
          <w:tcPr>
            <w:tcW w:w="1814" w:type="pct"/>
            <w:vMerge w:val="restart"/>
            <w:tcBorders>
              <w:top w:val="single" w:sz="18" w:space="0" w:color="auto"/>
            </w:tcBorders>
          </w:tcPr>
          <w:p w14:paraId="00DA7912" w14:textId="24A6BFC4" w:rsidR="007E00C8" w:rsidRPr="00C20287" w:rsidRDefault="007E00C8" w:rsidP="00E97F25">
            <w:pPr>
              <w:spacing w:before="20" w:after="20"/>
              <w:ind w:left="34"/>
              <w:rPr>
                <w:rFonts w:cs="Arial"/>
                <w:b/>
              </w:rPr>
            </w:pPr>
            <w:r w:rsidRPr="00C20287">
              <w:rPr>
                <w:rFonts w:cs="Arial"/>
                <w:b/>
              </w:rPr>
              <w:t>Total</w:t>
            </w:r>
            <w:r w:rsidR="00E97F25">
              <w:rPr>
                <w:rFonts w:cs="Arial"/>
                <w:vertAlign w:val="superscript"/>
              </w:rPr>
              <w:t>**</w:t>
            </w:r>
          </w:p>
        </w:tc>
        <w:tc>
          <w:tcPr>
            <w:tcW w:w="972" w:type="pct"/>
            <w:tcBorders>
              <w:top w:val="single" w:sz="18" w:space="0" w:color="auto"/>
            </w:tcBorders>
          </w:tcPr>
          <w:p w14:paraId="58634DAD" w14:textId="77777777" w:rsidR="007E00C8" w:rsidRPr="00C20287" w:rsidRDefault="007E00C8" w:rsidP="007E00C8">
            <w:pPr>
              <w:spacing w:before="20" w:after="20"/>
              <w:rPr>
                <w:rFonts w:cs="Arial"/>
              </w:rPr>
            </w:pPr>
            <w:r w:rsidRPr="00C20287">
              <w:rPr>
                <w:rFonts w:cs="Arial"/>
              </w:rPr>
              <w:t>Commonwealth</w:t>
            </w:r>
          </w:p>
        </w:tc>
        <w:tc>
          <w:tcPr>
            <w:tcW w:w="738" w:type="pct"/>
            <w:tcBorders>
              <w:top w:val="single" w:sz="18" w:space="0" w:color="auto"/>
            </w:tcBorders>
          </w:tcPr>
          <w:p w14:paraId="74A7D125" w14:textId="77777777" w:rsidR="007E00C8" w:rsidRPr="00C20287" w:rsidRDefault="007E00C8" w:rsidP="007E00C8">
            <w:pPr>
              <w:spacing w:before="20" w:after="20"/>
              <w:jc w:val="center"/>
              <w:rPr>
                <w:rFonts w:cs="Arial"/>
              </w:rPr>
            </w:pPr>
            <w:r w:rsidRPr="00C20287">
              <w:rPr>
                <w:rFonts w:cs="Arial"/>
              </w:rPr>
              <w:t>15,384.5</w:t>
            </w:r>
          </w:p>
        </w:tc>
        <w:tc>
          <w:tcPr>
            <w:tcW w:w="738" w:type="pct"/>
            <w:tcBorders>
              <w:top w:val="single" w:sz="18" w:space="0" w:color="auto"/>
            </w:tcBorders>
          </w:tcPr>
          <w:p w14:paraId="650F61F0" w14:textId="77777777" w:rsidR="007E00C8" w:rsidRPr="00C20287" w:rsidRDefault="007E00C8" w:rsidP="007E00C8">
            <w:pPr>
              <w:spacing w:before="20" w:after="20"/>
              <w:jc w:val="center"/>
              <w:rPr>
                <w:rFonts w:cs="Arial"/>
              </w:rPr>
            </w:pPr>
            <w:r w:rsidRPr="00C20287">
              <w:rPr>
                <w:rFonts w:cs="Arial"/>
              </w:rPr>
              <w:t>$15,476</w:t>
            </w:r>
          </w:p>
        </w:tc>
        <w:tc>
          <w:tcPr>
            <w:tcW w:w="738" w:type="pct"/>
            <w:tcBorders>
              <w:top w:val="single" w:sz="18" w:space="0" w:color="auto"/>
            </w:tcBorders>
            <w:shd w:val="clear" w:color="auto" w:fill="auto"/>
          </w:tcPr>
          <w:p w14:paraId="1A2D2ACD" w14:textId="77777777" w:rsidR="007E00C8" w:rsidRPr="00C20287" w:rsidRDefault="007E00C8" w:rsidP="007E00C8">
            <w:pPr>
              <w:spacing w:before="20" w:after="20"/>
              <w:jc w:val="center"/>
              <w:rPr>
                <w:rFonts w:cs="Arial"/>
              </w:rPr>
            </w:pPr>
            <w:r w:rsidRPr="00C20287">
              <w:rPr>
                <w:rFonts w:cs="Arial"/>
              </w:rPr>
              <w:t>$15,852</w:t>
            </w:r>
          </w:p>
        </w:tc>
      </w:tr>
      <w:tr w:rsidR="007E00C8" w:rsidRPr="00C20287" w14:paraId="20FF9F32" w14:textId="77777777" w:rsidTr="00C90277">
        <w:trPr>
          <w:trHeight w:val="196"/>
        </w:trPr>
        <w:tc>
          <w:tcPr>
            <w:tcW w:w="1814" w:type="pct"/>
            <w:vMerge/>
          </w:tcPr>
          <w:p w14:paraId="2A679163" w14:textId="77777777" w:rsidR="007E00C8" w:rsidRPr="00C20287" w:rsidRDefault="007E00C8" w:rsidP="007E00C8">
            <w:pPr>
              <w:spacing w:before="20" w:after="20"/>
              <w:ind w:left="34"/>
              <w:rPr>
                <w:rFonts w:cs="Arial"/>
                <w:b/>
              </w:rPr>
            </w:pPr>
          </w:p>
        </w:tc>
        <w:tc>
          <w:tcPr>
            <w:tcW w:w="972" w:type="pct"/>
          </w:tcPr>
          <w:p w14:paraId="62414799" w14:textId="77777777" w:rsidR="007E00C8" w:rsidRPr="00C20287" w:rsidRDefault="007E00C8" w:rsidP="007E00C8">
            <w:pPr>
              <w:spacing w:before="20" w:after="20"/>
              <w:rPr>
                <w:rFonts w:cs="Arial"/>
              </w:rPr>
            </w:pPr>
            <w:r w:rsidRPr="00C20287">
              <w:rPr>
                <w:rFonts w:cs="Arial"/>
              </w:rPr>
              <w:t>Patient</w:t>
            </w:r>
            <w:r w:rsidRPr="00C20287">
              <w:rPr>
                <w:rFonts w:cs="Arial"/>
                <w:vertAlign w:val="superscript"/>
              </w:rPr>
              <w:t>^</w:t>
            </w:r>
          </w:p>
        </w:tc>
        <w:tc>
          <w:tcPr>
            <w:tcW w:w="738" w:type="pct"/>
          </w:tcPr>
          <w:p w14:paraId="7D64A11B" w14:textId="77777777" w:rsidR="007E00C8" w:rsidRPr="00C20287" w:rsidRDefault="007E00C8" w:rsidP="007E00C8">
            <w:pPr>
              <w:spacing w:before="20" w:after="20"/>
              <w:jc w:val="center"/>
              <w:rPr>
                <w:rFonts w:cs="Arial"/>
              </w:rPr>
            </w:pPr>
            <w:r w:rsidRPr="00C20287">
              <w:rPr>
                <w:rFonts w:cs="Arial"/>
              </w:rPr>
              <w:t>Not available</w:t>
            </w:r>
          </w:p>
        </w:tc>
        <w:tc>
          <w:tcPr>
            <w:tcW w:w="738" w:type="pct"/>
          </w:tcPr>
          <w:p w14:paraId="18857190" w14:textId="77777777" w:rsidR="007E00C8" w:rsidRPr="00C20287" w:rsidRDefault="007E00C8" w:rsidP="007E00C8">
            <w:pPr>
              <w:spacing w:before="20" w:after="20"/>
              <w:jc w:val="center"/>
              <w:rPr>
                <w:rFonts w:cs="Arial"/>
              </w:rPr>
            </w:pPr>
            <w:r w:rsidRPr="00C20287">
              <w:rPr>
                <w:rFonts w:cs="Arial"/>
              </w:rPr>
              <w:t>$3,410</w:t>
            </w:r>
          </w:p>
        </w:tc>
        <w:tc>
          <w:tcPr>
            <w:tcW w:w="738" w:type="pct"/>
            <w:shd w:val="clear" w:color="auto" w:fill="auto"/>
          </w:tcPr>
          <w:p w14:paraId="52625264" w14:textId="77777777" w:rsidR="007E00C8" w:rsidRPr="00C20287" w:rsidRDefault="007E00C8" w:rsidP="007E00C8">
            <w:pPr>
              <w:spacing w:before="20" w:after="20"/>
              <w:jc w:val="center"/>
              <w:rPr>
                <w:rFonts w:cs="Arial"/>
              </w:rPr>
            </w:pPr>
            <w:r w:rsidRPr="00C20287">
              <w:rPr>
                <w:rFonts w:cs="Arial"/>
              </w:rPr>
              <w:t>$9,451</w:t>
            </w:r>
          </w:p>
        </w:tc>
      </w:tr>
      <w:tr w:rsidR="007E00C8" w:rsidRPr="00C20287" w14:paraId="5135DA70" w14:textId="77777777" w:rsidTr="00C90277">
        <w:trPr>
          <w:trHeight w:val="196"/>
        </w:trPr>
        <w:tc>
          <w:tcPr>
            <w:tcW w:w="1814" w:type="pct"/>
            <w:vMerge/>
            <w:tcBorders>
              <w:bottom w:val="single" w:sz="12" w:space="0" w:color="auto"/>
            </w:tcBorders>
          </w:tcPr>
          <w:p w14:paraId="098B04FA" w14:textId="77777777" w:rsidR="007E00C8" w:rsidRPr="00C20287" w:rsidRDefault="007E00C8" w:rsidP="007E00C8">
            <w:pPr>
              <w:spacing w:before="20" w:after="20"/>
              <w:ind w:left="34"/>
              <w:rPr>
                <w:rFonts w:cs="Arial"/>
                <w:b/>
              </w:rPr>
            </w:pPr>
          </w:p>
        </w:tc>
        <w:tc>
          <w:tcPr>
            <w:tcW w:w="972" w:type="pct"/>
            <w:tcBorders>
              <w:bottom w:val="single" w:sz="12" w:space="0" w:color="auto"/>
            </w:tcBorders>
          </w:tcPr>
          <w:p w14:paraId="354AAD0F" w14:textId="77777777" w:rsidR="007E00C8" w:rsidRPr="00C20287" w:rsidRDefault="007E00C8" w:rsidP="007E00C8">
            <w:pPr>
              <w:spacing w:before="20" w:after="20"/>
              <w:rPr>
                <w:rFonts w:cs="Arial"/>
              </w:rPr>
            </w:pPr>
            <w:r w:rsidRPr="00C20287">
              <w:rPr>
                <w:rFonts w:cs="Arial"/>
                <w:b/>
              </w:rPr>
              <w:t xml:space="preserve">Total </w:t>
            </w:r>
          </w:p>
        </w:tc>
        <w:tc>
          <w:tcPr>
            <w:tcW w:w="738" w:type="pct"/>
            <w:tcBorders>
              <w:bottom w:val="single" w:sz="12" w:space="0" w:color="auto"/>
            </w:tcBorders>
          </w:tcPr>
          <w:p w14:paraId="0CDDE1CF" w14:textId="77777777" w:rsidR="007E00C8" w:rsidRPr="00C20287" w:rsidRDefault="007E00C8" w:rsidP="007E00C8">
            <w:pPr>
              <w:spacing w:before="20" w:after="20"/>
              <w:jc w:val="center"/>
              <w:rPr>
                <w:rFonts w:cs="Arial"/>
              </w:rPr>
            </w:pPr>
            <w:r w:rsidRPr="00C20287">
              <w:rPr>
                <w:rFonts w:cs="Arial"/>
              </w:rPr>
              <w:t>Not available</w:t>
            </w:r>
          </w:p>
        </w:tc>
        <w:tc>
          <w:tcPr>
            <w:tcW w:w="738" w:type="pct"/>
            <w:tcBorders>
              <w:bottom w:val="single" w:sz="12" w:space="0" w:color="auto"/>
            </w:tcBorders>
          </w:tcPr>
          <w:p w14:paraId="372C6F02" w14:textId="77777777" w:rsidR="007E00C8" w:rsidRPr="00C20287" w:rsidRDefault="007E00C8" w:rsidP="007E00C8">
            <w:pPr>
              <w:spacing w:before="20" w:after="20"/>
              <w:jc w:val="center"/>
              <w:rPr>
                <w:rFonts w:cs="Arial"/>
              </w:rPr>
            </w:pPr>
            <w:r w:rsidRPr="00C20287">
              <w:rPr>
                <w:rFonts w:cs="Arial"/>
              </w:rPr>
              <w:t>$18,886</w:t>
            </w:r>
          </w:p>
        </w:tc>
        <w:tc>
          <w:tcPr>
            <w:tcW w:w="738" w:type="pct"/>
            <w:tcBorders>
              <w:bottom w:val="single" w:sz="12" w:space="0" w:color="auto"/>
            </w:tcBorders>
            <w:shd w:val="clear" w:color="auto" w:fill="auto"/>
          </w:tcPr>
          <w:p w14:paraId="3EAB6B08" w14:textId="77777777" w:rsidR="007E00C8" w:rsidRPr="00C20287" w:rsidRDefault="007E00C8" w:rsidP="007E00C8">
            <w:pPr>
              <w:spacing w:before="20" w:after="20"/>
              <w:jc w:val="center"/>
              <w:rPr>
                <w:rFonts w:cs="Arial"/>
              </w:rPr>
            </w:pPr>
            <w:r w:rsidRPr="00C20287">
              <w:rPr>
                <w:rFonts w:cs="Arial"/>
              </w:rPr>
              <w:t>$25,303</w:t>
            </w:r>
          </w:p>
        </w:tc>
      </w:tr>
    </w:tbl>
    <w:p w14:paraId="1A09CDEF" w14:textId="77777777" w:rsidR="007E00C8" w:rsidRPr="00C20287" w:rsidRDefault="007E00C8" w:rsidP="00E97F25">
      <w:pPr>
        <w:contextualSpacing/>
        <w:rPr>
          <w:sz w:val="18"/>
          <w:szCs w:val="18"/>
        </w:rPr>
      </w:pPr>
      <w:r w:rsidRPr="00C20287">
        <w:rPr>
          <w:sz w:val="18"/>
          <w:szCs w:val="18"/>
        </w:rPr>
        <w:t xml:space="preserve"># Includes </w:t>
      </w:r>
      <w:r w:rsidRPr="00C20287">
        <w:t>dispensing fee, pharmacy and wholesale mark-up, extemporaneously prepared and dangerous drug fees, premium free dispensing incentive and electronic prescription fee</w:t>
      </w:r>
    </w:p>
    <w:p w14:paraId="052E1C19" w14:textId="156C5FC1" w:rsidR="007E00C8" w:rsidRPr="00C20287" w:rsidRDefault="007E00C8" w:rsidP="00E97F25">
      <w:pPr>
        <w:spacing w:after="0"/>
        <w:contextualSpacing/>
        <w:jc w:val="both"/>
        <w:rPr>
          <w:sz w:val="18"/>
          <w:szCs w:val="18"/>
        </w:rPr>
      </w:pPr>
      <w:r w:rsidRPr="00C20287">
        <w:rPr>
          <w:sz w:val="18"/>
          <w:szCs w:val="18"/>
        </w:rPr>
        <w:t>*</w:t>
      </w:r>
      <w:r w:rsidRPr="00C20287">
        <w:rPr>
          <w:b/>
          <w:sz w:val="18"/>
          <w:szCs w:val="18"/>
        </w:rPr>
        <w:t>Note</w:t>
      </w:r>
      <w:r w:rsidRPr="00C20287">
        <w:rPr>
          <w:sz w:val="18"/>
          <w:szCs w:val="18"/>
        </w:rPr>
        <w:t>: the price that patients pay for prescriptions that are not Commonwealth subsidised may be subject to discretionary discounting and the application of additional allowable fees by Approved Pharmacists. Accordingly, total remuneration for dispensing PBS medicines where the Commonwealth does not subsidise the cost to the patient of the medicine is in no way assured by the Commonwealth.</w:t>
      </w:r>
    </w:p>
    <w:p w14:paraId="7C72A545" w14:textId="77777777" w:rsidR="00E97F25" w:rsidRDefault="007E00C8" w:rsidP="00E97F25">
      <w:pPr>
        <w:spacing w:after="0"/>
        <w:contextualSpacing/>
        <w:jc w:val="both"/>
        <w:rPr>
          <w:sz w:val="18"/>
          <w:szCs w:val="18"/>
        </w:rPr>
      </w:pPr>
      <w:r w:rsidRPr="00C20287">
        <w:rPr>
          <w:sz w:val="18"/>
          <w:szCs w:val="18"/>
        </w:rPr>
        <w:lastRenderedPageBreak/>
        <w:t xml:space="preserve">^ Greater transparency of total dispensing remuneration costs has been provided in successive CPA’s thus the total costs have not truly increased overtime. </w:t>
      </w:r>
    </w:p>
    <w:p w14:paraId="54F8AF7E" w14:textId="59B8D29B" w:rsidR="007E00C8" w:rsidRPr="00C20287" w:rsidRDefault="00E97F25" w:rsidP="00E97F25">
      <w:pPr>
        <w:spacing w:after="0"/>
        <w:contextualSpacing/>
        <w:jc w:val="both"/>
        <w:rPr>
          <w:sz w:val="18"/>
          <w:szCs w:val="18"/>
        </w:rPr>
      </w:pPr>
      <w:r>
        <w:rPr>
          <w:sz w:val="18"/>
          <w:szCs w:val="18"/>
        </w:rPr>
        <w:t>**</w:t>
      </w:r>
      <w:r w:rsidRPr="00E97F25">
        <w:rPr>
          <w:sz w:val="18"/>
          <w:szCs w:val="18"/>
        </w:rPr>
        <w:t>The total excludes remuneration when community pharmacies dispense medicines under section 100 special arrangements. Chemotherapy compounding fees will be paid directly to chemotherapy compounders, who may not be Approved Suppliers.</w:t>
      </w:r>
    </w:p>
    <w:p w14:paraId="65C35411" w14:textId="79B03219" w:rsidR="007E00C8" w:rsidRPr="00C20287" w:rsidRDefault="007E00C8" w:rsidP="0059393F">
      <w:pPr>
        <w:pStyle w:val="BodyIndent2"/>
        <w:keepNext/>
        <w:keepLines/>
        <w:spacing w:after="240"/>
        <w:ind w:left="0"/>
        <w:rPr>
          <w:b/>
        </w:rPr>
      </w:pPr>
      <w:bookmarkStart w:id="109" w:name="_Hlk41628555"/>
      <w:r w:rsidRPr="00C20287">
        <w:rPr>
          <w:b/>
        </w:rPr>
        <w:lastRenderedPageBreak/>
        <w:t xml:space="preserve">Table 2: Components of the Commonwealth </w:t>
      </w:r>
      <w:r w:rsidR="003756A3">
        <w:rPr>
          <w:b/>
        </w:rPr>
        <w:t>p</w:t>
      </w:r>
      <w:r w:rsidRPr="00C20287">
        <w:rPr>
          <w:b/>
        </w:rPr>
        <w:t>rice</w:t>
      </w:r>
      <w:r w:rsidR="00BE7969" w:rsidRPr="00C20287">
        <w:rPr>
          <w:rStyle w:val="FootnoteReference"/>
          <w:b/>
        </w:rPr>
        <w:footnoteReference w:id="77"/>
      </w:r>
    </w:p>
    <w:tbl>
      <w:tblPr>
        <w:tblW w:w="0" w:type="auto"/>
        <w:tblCellMar>
          <w:left w:w="0" w:type="dxa"/>
          <w:right w:w="0" w:type="dxa"/>
        </w:tblCellMar>
        <w:tblLook w:val="04A0" w:firstRow="1" w:lastRow="0" w:firstColumn="1" w:lastColumn="0" w:noHBand="0" w:noVBand="1"/>
      </w:tblPr>
      <w:tblGrid>
        <w:gridCol w:w="2026"/>
        <w:gridCol w:w="1230"/>
        <w:gridCol w:w="1563"/>
        <w:gridCol w:w="1663"/>
        <w:gridCol w:w="1666"/>
        <w:gridCol w:w="1663"/>
        <w:gridCol w:w="1894"/>
        <w:gridCol w:w="1755"/>
        <w:gridCol w:w="1923"/>
      </w:tblGrid>
      <w:tr w:rsidR="007E00C8" w:rsidRPr="00C20287" w14:paraId="4F813F84" w14:textId="77777777" w:rsidTr="00043049">
        <w:trPr>
          <w:cantSplit/>
          <w:trHeight w:val="357"/>
          <w:tblHeader/>
        </w:trPr>
        <w:tc>
          <w:tcPr>
            <w:tcW w:w="0" w:type="auto"/>
            <w:tcBorders>
              <w:top w:val="single" w:sz="8" w:space="0" w:color="auto"/>
              <w:left w:val="single" w:sz="8" w:space="0" w:color="auto"/>
              <w:bottom w:val="single" w:sz="8" w:space="0" w:color="auto"/>
              <w:right w:val="single" w:sz="4" w:space="0" w:color="auto"/>
            </w:tcBorders>
            <w:shd w:val="clear" w:color="auto" w:fill="0070C0"/>
            <w:tcMar>
              <w:top w:w="0" w:type="dxa"/>
              <w:left w:w="108" w:type="dxa"/>
              <w:bottom w:w="0" w:type="dxa"/>
              <w:right w:w="108" w:type="dxa"/>
            </w:tcMar>
            <w:hideMark/>
          </w:tcPr>
          <w:p w14:paraId="117CFA6D" w14:textId="77777777" w:rsidR="007E00C8" w:rsidRPr="00C20287" w:rsidRDefault="007E00C8" w:rsidP="007E00C8">
            <w:pPr>
              <w:keepNext/>
              <w:keepLines/>
              <w:spacing w:before="20" w:afterLines="20" w:after="48"/>
              <w:jc w:val="center"/>
              <w:rPr>
                <w:rFonts w:cs="Arial"/>
                <w:b/>
                <w:bCs/>
                <w:color w:val="FFFFFF"/>
              </w:rPr>
            </w:pPr>
            <w:bookmarkStart w:id="110" w:name="_Hlk41628540"/>
            <w:bookmarkStart w:id="111" w:name="_Hlk29800229"/>
            <w:bookmarkEnd w:id="109"/>
            <w:r w:rsidRPr="00C20287">
              <w:rPr>
                <w:b/>
                <w:bCs/>
                <w:color w:val="FFFFFF"/>
              </w:rPr>
              <w:t>Payment type</w:t>
            </w:r>
          </w:p>
        </w:tc>
        <w:tc>
          <w:tcPr>
            <w:tcW w:w="0" w:type="auto"/>
            <w:gridSpan w:val="2"/>
            <w:tcBorders>
              <w:top w:val="single" w:sz="4" w:space="0" w:color="auto"/>
              <w:left w:val="single" w:sz="4" w:space="0" w:color="auto"/>
              <w:bottom w:val="single" w:sz="4" w:space="0" w:color="auto"/>
              <w:right w:val="single" w:sz="4" w:space="0" w:color="auto"/>
            </w:tcBorders>
            <w:shd w:val="clear" w:color="auto" w:fill="0070C0"/>
          </w:tcPr>
          <w:p w14:paraId="029FF0CF" w14:textId="77777777" w:rsidR="007E00C8" w:rsidRPr="00C20287" w:rsidRDefault="007E00C8" w:rsidP="007E00C8">
            <w:pPr>
              <w:keepNext/>
              <w:keepLines/>
              <w:spacing w:before="20" w:afterLines="20" w:after="48"/>
              <w:jc w:val="center"/>
              <w:rPr>
                <w:b/>
                <w:bCs/>
                <w:color w:val="FFFFFF"/>
              </w:rPr>
            </w:pPr>
            <w:r w:rsidRPr="00C20287">
              <w:rPr>
                <w:b/>
                <w:bCs/>
                <w:color w:val="FFFFFF"/>
              </w:rPr>
              <w:t>Value of payment 2010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0070C0"/>
          </w:tcPr>
          <w:p w14:paraId="4CE5D412" w14:textId="77777777" w:rsidR="007E00C8" w:rsidRPr="00C20287" w:rsidRDefault="007E00C8" w:rsidP="007E00C8">
            <w:pPr>
              <w:keepNext/>
              <w:keepLines/>
              <w:spacing w:before="20" w:afterLines="20" w:after="48"/>
              <w:jc w:val="center"/>
              <w:rPr>
                <w:b/>
                <w:bCs/>
                <w:color w:val="FFFFFF"/>
              </w:rPr>
            </w:pPr>
            <w:r w:rsidRPr="00C20287">
              <w:rPr>
                <w:b/>
                <w:bCs/>
                <w:color w:val="FFFFFF"/>
              </w:rPr>
              <w:t>Value of payment 2015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0070C0"/>
          </w:tcPr>
          <w:p w14:paraId="28058A17" w14:textId="77777777" w:rsidR="007E00C8" w:rsidRPr="00C20287" w:rsidRDefault="007E00C8" w:rsidP="007E00C8">
            <w:pPr>
              <w:keepNext/>
              <w:keepLines/>
              <w:spacing w:before="20" w:afterLines="20" w:after="48"/>
              <w:jc w:val="center"/>
              <w:rPr>
                <w:b/>
                <w:bCs/>
                <w:color w:val="FFFFFF"/>
              </w:rPr>
            </w:pPr>
            <w:r w:rsidRPr="00C20287">
              <w:rPr>
                <w:b/>
                <w:bCs/>
                <w:color w:val="FFFFFF"/>
              </w:rPr>
              <w:t>Value of payment 2017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0070C0"/>
          </w:tcPr>
          <w:p w14:paraId="778F4CC6" w14:textId="77777777" w:rsidR="007E00C8" w:rsidRPr="00C20287" w:rsidRDefault="007E00C8" w:rsidP="007E00C8">
            <w:pPr>
              <w:keepNext/>
              <w:keepLines/>
              <w:spacing w:before="20" w:afterLines="20" w:after="48"/>
              <w:jc w:val="center"/>
              <w:rPr>
                <w:rFonts w:cs="Arial"/>
                <w:b/>
                <w:bCs/>
                <w:color w:val="FFFFFF"/>
              </w:rPr>
            </w:pPr>
            <w:r w:rsidRPr="00C20287">
              <w:rPr>
                <w:b/>
                <w:bCs/>
                <w:color w:val="FFFFFF"/>
              </w:rPr>
              <w:t>Value of payment (2020)</w:t>
            </w:r>
          </w:p>
        </w:tc>
      </w:tr>
      <w:bookmarkEnd w:id="110"/>
      <w:tr w:rsidR="007E00C8" w:rsidRPr="00C20287" w14:paraId="7D1E5EED" w14:textId="77777777" w:rsidTr="00043049">
        <w:trPr>
          <w:cantSplit/>
          <w:trHeight w:val="1261"/>
        </w:trPr>
        <w:tc>
          <w:tcPr>
            <w:tcW w:w="0" w:type="auto"/>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2C6E80E6" w14:textId="77777777" w:rsidR="007E00C8" w:rsidRPr="00C20287" w:rsidRDefault="007E00C8" w:rsidP="007E00C8">
            <w:pPr>
              <w:keepNext/>
              <w:keepLines/>
              <w:spacing w:before="20" w:afterLines="20" w:after="48"/>
              <w:rPr>
                <w:rFonts w:cs="Arial"/>
              </w:rPr>
            </w:pPr>
            <w:r w:rsidRPr="00C20287">
              <w:t>wholesale mark-up</w:t>
            </w:r>
            <w:r w:rsidRPr="00C20287">
              <w:rPr>
                <w:rStyle w:val="FootnoteReference"/>
              </w:rPr>
              <w:footnoteReference w:customMarkFollows="1" w:id="78"/>
              <w:t>[</w:t>
            </w:r>
            <w:r w:rsidRPr="00C20287">
              <w:rPr>
                <w:rStyle w:val="FootnoteReference"/>
              </w:rPr>
              <w:footnoteReference w:id="79"/>
            </w:r>
            <w:r w:rsidRPr="00C20287">
              <w:rPr>
                <w:rStyle w:val="FootnoteReference"/>
              </w:rPr>
              <w:t>]</w:t>
            </w:r>
            <w:r w:rsidRPr="00C20287">
              <w:rPr>
                <w:vertAlign w:val="superscript"/>
              </w:rPr>
              <w:t>[</w:t>
            </w:r>
            <w:r w:rsidRPr="00C20287">
              <w:rPr>
                <w:rStyle w:val="FootnoteReference"/>
              </w:rPr>
              <w:footnoteReference w:id="80"/>
            </w:r>
            <w:r w:rsidRPr="00C20287">
              <w:rPr>
                <w:vertAlign w:val="superscript"/>
              </w:rPr>
              <w:t>]</w:t>
            </w:r>
            <w:r w:rsidRPr="00C20287">
              <w:t xml:space="preserve"> (for Ready-Prepared Pharmaceutical Benefits)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653B825"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CC2CF1"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7E52105"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C30A63E"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16661CE"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FC2E80B" w14:textId="77777777" w:rsidR="007E00C8" w:rsidRPr="00C20287" w:rsidRDefault="007E00C8" w:rsidP="007E00C8">
            <w:pPr>
              <w:keepNext/>
              <w:keepLines/>
              <w:spacing w:before="20" w:afterLines="20" w:after="48"/>
              <w:ind w:left="58" w:right="130"/>
            </w:pPr>
          </w:p>
        </w:tc>
        <w:tc>
          <w:tcPr>
            <w:tcW w:w="0" w:type="auto"/>
            <w:tcBorders>
              <w:top w:val="single" w:sz="8" w:space="0" w:color="auto"/>
              <w:left w:val="single" w:sz="4" w:space="0" w:color="auto"/>
              <w:bottom w:val="single" w:sz="8" w:space="0" w:color="auto"/>
              <w:right w:val="single" w:sz="8" w:space="0" w:color="auto"/>
            </w:tcBorders>
            <w:shd w:val="clear" w:color="auto" w:fill="FFFFFF" w:themeFill="background1"/>
          </w:tcPr>
          <w:p w14:paraId="434C970F" w14:textId="77777777" w:rsidR="007E00C8" w:rsidRPr="00C20287" w:rsidRDefault="007E00C8" w:rsidP="007E00C8">
            <w:pPr>
              <w:keepNext/>
              <w:keepLines/>
              <w:spacing w:before="20" w:afterLines="20" w:after="48"/>
              <w:ind w:left="58" w:right="130"/>
              <w:rPr>
                <w:highlight w:val="yellow"/>
              </w:rPr>
            </w:pPr>
            <w:r w:rsidRPr="00C20287">
              <w:t>Where the Ex-Manufacturer Price is up to and including $5.50</w:t>
            </w:r>
          </w:p>
          <w:p w14:paraId="6C4BE29A" w14:textId="77777777" w:rsidR="007E00C8" w:rsidRPr="00C20287" w:rsidRDefault="007E00C8" w:rsidP="007E00C8">
            <w:pPr>
              <w:keepNext/>
              <w:keepLines/>
              <w:spacing w:before="20" w:afterLines="20" w:after="48"/>
              <w:ind w:left="58"/>
              <w:rPr>
                <w:rFonts w:cs="Arial"/>
              </w:rPr>
            </w:pPr>
          </w:p>
        </w:tc>
        <w:tc>
          <w:tcPr>
            <w:tcW w:w="0" w:type="auto"/>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6412B14" w14:textId="77777777" w:rsidR="007E00C8" w:rsidRPr="00C20287" w:rsidRDefault="007E00C8" w:rsidP="007E00C8">
            <w:pPr>
              <w:keepNext/>
              <w:keepLines/>
              <w:spacing w:before="20" w:afterLines="20" w:after="48"/>
              <w:rPr>
                <w:rFonts w:cs="Arial"/>
              </w:rPr>
            </w:pPr>
            <w:r w:rsidRPr="00C20287">
              <w:t>$0.41 per dispense</w:t>
            </w:r>
          </w:p>
        </w:tc>
      </w:tr>
      <w:bookmarkEnd w:id="111"/>
      <w:tr w:rsidR="007E00C8" w:rsidRPr="00C20287" w14:paraId="3C178634" w14:textId="77777777" w:rsidTr="00043049">
        <w:trPr>
          <w:cantSplit/>
          <w:trHeight w:val="357"/>
        </w:trPr>
        <w:tc>
          <w:tcPr>
            <w:tcW w:w="0" w:type="auto"/>
            <w:vMerge/>
            <w:tcBorders>
              <w:top w:val="single" w:sz="8" w:space="0" w:color="auto"/>
              <w:left w:val="single" w:sz="8" w:space="0" w:color="auto"/>
              <w:bottom w:val="single" w:sz="8" w:space="0" w:color="auto"/>
              <w:right w:val="single" w:sz="4" w:space="0" w:color="auto"/>
            </w:tcBorders>
            <w:vAlign w:val="center"/>
            <w:hideMark/>
          </w:tcPr>
          <w:p w14:paraId="112CA0F0" w14:textId="77777777" w:rsidR="007E00C8" w:rsidRPr="00C20287" w:rsidRDefault="007E00C8" w:rsidP="007E00C8">
            <w:pPr>
              <w:keepNext/>
              <w:keepLines/>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826CDF5" w14:textId="77777777" w:rsidR="007E00C8" w:rsidRPr="00C20287" w:rsidRDefault="007E00C8" w:rsidP="007E00C8">
            <w:pPr>
              <w:keepNext/>
              <w:keepLines/>
              <w:spacing w:before="20" w:afterLines="20" w:after="48"/>
              <w:ind w:left="58" w:right="130"/>
            </w:pPr>
            <w:r w:rsidRPr="00C20287">
              <w:t>Up to and including $930.06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3B827BE" w14:textId="77777777" w:rsidR="007E00C8" w:rsidRPr="00C20287" w:rsidRDefault="007E00C8" w:rsidP="007E00C8">
            <w:pPr>
              <w:keepNext/>
              <w:keepLines/>
              <w:spacing w:before="20" w:afterLines="20" w:after="48"/>
              <w:ind w:left="58" w:right="130"/>
            </w:pPr>
            <w:r w:rsidRPr="00C20287">
              <w:t>7.52% mark-up on ex-manufacturer’s price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D961B0" w14:textId="77777777" w:rsidR="007E00C8" w:rsidRPr="00C20287" w:rsidRDefault="007E00C8" w:rsidP="007E00C8">
            <w:pPr>
              <w:keepNext/>
              <w:keepLines/>
              <w:spacing w:before="20" w:afterLines="20" w:after="48"/>
              <w:ind w:left="58" w:right="130"/>
              <w:rPr>
                <w:highlight w:val="yellow"/>
              </w:rPr>
            </w:pPr>
            <w:r w:rsidRPr="00C20287">
              <w:t>Where the Ex-Manufacturer Price is up to and including $930.06</w:t>
            </w:r>
          </w:p>
          <w:p w14:paraId="10858996"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DFC0180" w14:textId="77777777" w:rsidR="007E00C8" w:rsidRPr="00C20287" w:rsidRDefault="007E00C8" w:rsidP="007E00C8">
            <w:pPr>
              <w:keepNext/>
              <w:keepLines/>
              <w:spacing w:before="20" w:afterLines="20" w:after="48"/>
              <w:ind w:left="58" w:right="130"/>
            </w:pPr>
            <w:r w:rsidRPr="00C20287">
              <w:t>7.52 per cent of the Ex-Manufacturer Price per dispense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7D28CAC" w14:textId="77777777" w:rsidR="007E00C8" w:rsidRPr="00C20287" w:rsidRDefault="007E00C8" w:rsidP="007E00C8">
            <w:pPr>
              <w:keepNext/>
              <w:keepLines/>
              <w:spacing w:before="20" w:afterLines="20" w:after="48"/>
              <w:ind w:left="58" w:right="130"/>
              <w:rPr>
                <w:highlight w:val="yellow"/>
              </w:rPr>
            </w:pPr>
            <w:r w:rsidRPr="00C20287">
              <w:t>Where the Ex-Manufacturer Price is up to and including $930.06</w:t>
            </w:r>
          </w:p>
          <w:p w14:paraId="636BA861" w14:textId="77777777" w:rsidR="007E00C8" w:rsidRPr="00C20287" w:rsidRDefault="007E00C8" w:rsidP="007E00C8">
            <w:pPr>
              <w:keepNext/>
              <w:keepLines/>
              <w:spacing w:before="20" w:afterLines="20" w:after="48"/>
              <w:ind w:left="5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2781DB" w14:textId="77777777" w:rsidR="007E00C8" w:rsidRPr="00C20287" w:rsidRDefault="007E00C8" w:rsidP="007E00C8">
            <w:pPr>
              <w:keepNext/>
              <w:keepLines/>
              <w:spacing w:before="20" w:afterLines="20" w:after="48"/>
              <w:ind w:left="58"/>
            </w:pPr>
            <w:r w:rsidRPr="00C20287">
              <w:t>7.52 per cent of the Ex-Manufacturer Price per dispense</w:t>
            </w:r>
          </w:p>
        </w:tc>
        <w:tc>
          <w:tcPr>
            <w:tcW w:w="0" w:type="auto"/>
            <w:tcBorders>
              <w:top w:val="single" w:sz="8" w:space="0" w:color="auto"/>
              <w:left w:val="single" w:sz="4" w:space="0" w:color="auto"/>
              <w:bottom w:val="single" w:sz="8" w:space="0" w:color="auto"/>
              <w:right w:val="single" w:sz="8" w:space="0" w:color="auto"/>
            </w:tcBorders>
            <w:shd w:val="clear" w:color="auto" w:fill="FFFFFF" w:themeFill="background1"/>
          </w:tcPr>
          <w:p w14:paraId="6AAD889F" w14:textId="77777777" w:rsidR="007E00C8" w:rsidRPr="00C20287" w:rsidRDefault="007E00C8" w:rsidP="007E00C8">
            <w:pPr>
              <w:keepNext/>
              <w:keepLines/>
              <w:spacing w:before="20" w:afterLines="20" w:after="48"/>
              <w:ind w:left="58"/>
              <w:rPr>
                <w:highlight w:val="yellow"/>
              </w:rPr>
            </w:pPr>
            <w:r w:rsidRPr="00C20287">
              <w:t>Where the Ex-Manufacturer Price is over $5.50 and up to and including $720</w:t>
            </w:r>
          </w:p>
          <w:p w14:paraId="1E5F2257" w14:textId="77777777" w:rsidR="007E00C8" w:rsidRPr="00C20287" w:rsidRDefault="007E00C8" w:rsidP="007E00C8">
            <w:pPr>
              <w:keepNext/>
              <w:keepLines/>
              <w:spacing w:before="20" w:afterLines="20" w:after="48"/>
              <w:ind w:left="58"/>
              <w:rPr>
                <w:rFonts w:cs="Arial"/>
              </w:rPr>
            </w:pPr>
          </w:p>
        </w:tc>
        <w:tc>
          <w:tcPr>
            <w:tcW w:w="0" w:type="auto"/>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B530A2" w14:textId="77777777" w:rsidR="007E00C8" w:rsidRPr="00C20287" w:rsidRDefault="007E00C8" w:rsidP="007E00C8">
            <w:pPr>
              <w:keepNext/>
              <w:keepLines/>
              <w:spacing w:before="20" w:afterLines="20" w:after="48"/>
              <w:rPr>
                <w:rFonts w:cs="Arial"/>
              </w:rPr>
            </w:pPr>
            <w:r w:rsidRPr="00C20287">
              <w:t>7.52 per cent of the Ex-Manufacturer Price per dispense</w:t>
            </w:r>
          </w:p>
        </w:tc>
      </w:tr>
      <w:tr w:rsidR="007E00C8" w:rsidRPr="00C20287" w14:paraId="38A2EB29" w14:textId="77777777" w:rsidTr="00043049">
        <w:trPr>
          <w:cantSplit/>
          <w:trHeight w:val="357"/>
        </w:trPr>
        <w:tc>
          <w:tcPr>
            <w:tcW w:w="0" w:type="auto"/>
            <w:vMerge/>
            <w:tcBorders>
              <w:top w:val="single" w:sz="8" w:space="0" w:color="auto"/>
              <w:left w:val="single" w:sz="8" w:space="0" w:color="auto"/>
              <w:bottom w:val="single" w:sz="8" w:space="0" w:color="auto"/>
              <w:right w:val="single" w:sz="4" w:space="0" w:color="auto"/>
            </w:tcBorders>
            <w:vAlign w:val="center"/>
          </w:tcPr>
          <w:p w14:paraId="6D843A13" w14:textId="77777777" w:rsidR="007E00C8" w:rsidRPr="00C20287" w:rsidRDefault="007E00C8" w:rsidP="007E00C8">
            <w:pPr>
              <w:keepNext/>
              <w:keepLines/>
              <w:rPr>
                <w:rFonts w:cs="Arial"/>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4B4EC28" w14:textId="77777777" w:rsidR="007E00C8" w:rsidRPr="00C20287" w:rsidRDefault="007E00C8" w:rsidP="007E00C8">
            <w:pPr>
              <w:keepNext/>
              <w:keepLines/>
              <w:spacing w:before="20" w:afterLines="20" w:after="48"/>
              <w:ind w:left="58" w:right="130"/>
            </w:pPr>
            <w:r w:rsidRPr="00C20287">
              <w:t>Over $930.06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BD47ABF" w14:textId="77777777" w:rsidR="007E00C8" w:rsidRPr="00C20287" w:rsidRDefault="007E00C8" w:rsidP="007E00C8">
            <w:pPr>
              <w:keepNext/>
              <w:keepLines/>
              <w:spacing w:before="20" w:afterLines="20" w:after="48"/>
              <w:ind w:left="58" w:right="130"/>
            </w:pPr>
            <w:r w:rsidRPr="00C20287">
              <w:t>$69.94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175BE6B" w14:textId="77777777" w:rsidR="007E00C8" w:rsidRPr="00C20287" w:rsidRDefault="007E00C8" w:rsidP="007E00C8">
            <w:pPr>
              <w:keepNext/>
              <w:keepLines/>
              <w:spacing w:before="20" w:afterLines="20" w:after="48"/>
              <w:ind w:left="58" w:right="130"/>
              <w:rPr>
                <w:highlight w:val="yellow"/>
              </w:rPr>
            </w:pPr>
            <w:r w:rsidRPr="00C20287">
              <w:t>Where the Ex-Manufacturer Price is over and including $930.06</w:t>
            </w:r>
          </w:p>
          <w:p w14:paraId="6D16B7DB" w14:textId="77777777" w:rsidR="007E00C8" w:rsidRPr="00C20287" w:rsidRDefault="007E00C8" w:rsidP="007E00C8">
            <w:pPr>
              <w:keepNext/>
              <w:keepLines/>
              <w:spacing w:before="20" w:afterLines="20" w:after="48"/>
              <w:ind w:left="58" w:right="130"/>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B98341D" w14:textId="77777777" w:rsidR="007E00C8" w:rsidRPr="00C20287" w:rsidRDefault="007E00C8" w:rsidP="007E00C8">
            <w:pPr>
              <w:keepNext/>
              <w:keepLines/>
              <w:spacing w:before="20" w:afterLines="20" w:after="48"/>
              <w:ind w:left="58" w:right="130"/>
            </w:pPr>
            <w:r w:rsidRPr="00C20287">
              <w:t>$69.94 per dispense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13F136" w14:textId="77777777" w:rsidR="007E00C8" w:rsidRPr="00C20287" w:rsidRDefault="007E00C8" w:rsidP="007E00C8">
            <w:pPr>
              <w:keepNext/>
              <w:keepLines/>
              <w:spacing w:before="20" w:afterLines="20" w:after="48"/>
              <w:ind w:left="58" w:right="130"/>
              <w:rPr>
                <w:highlight w:val="yellow"/>
              </w:rPr>
            </w:pPr>
            <w:r w:rsidRPr="00C20287">
              <w:t>Where the Ex-Manufacturer Price is over and including $930.06</w:t>
            </w:r>
          </w:p>
          <w:p w14:paraId="4D1972B1" w14:textId="77777777" w:rsidR="007E00C8" w:rsidRPr="00C20287" w:rsidRDefault="007E00C8" w:rsidP="007E00C8">
            <w:pPr>
              <w:keepNext/>
              <w:keepLines/>
              <w:spacing w:before="20" w:afterLines="20" w:after="48"/>
              <w:ind w:left="5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451D47A" w14:textId="77777777" w:rsidR="007E00C8" w:rsidRPr="00C20287" w:rsidRDefault="007E00C8" w:rsidP="007E00C8">
            <w:pPr>
              <w:keepNext/>
              <w:keepLines/>
              <w:spacing w:before="20" w:afterLines="20" w:after="48"/>
              <w:ind w:left="58"/>
            </w:pPr>
            <w:r w:rsidRPr="00C20287">
              <w:t>$69.94 per dispense</w:t>
            </w:r>
          </w:p>
        </w:tc>
        <w:tc>
          <w:tcPr>
            <w:tcW w:w="0" w:type="auto"/>
            <w:tcBorders>
              <w:top w:val="single" w:sz="8" w:space="0" w:color="auto"/>
              <w:left w:val="single" w:sz="4" w:space="0" w:color="auto"/>
              <w:bottom w:val="single" w:sz="8" w:space="0" w:color="auto"/>
              <w:right w:val="single" w:sz="8" w:space="0" w:color="auto"/>
            </w:tcBorders>
            <w:shd w:val="clear" w:color="auto" w:fill="FFFFFF" w:themeFill="background1"/>
          </w:tcPr>
          <w:p w14:paraId="325146E7" w14:textId="77777777" w:rsidR="007E00C8" w:rsidRPr="00C20287" w:rsidRDefault="007E00C8" w:rsidP="007E00C8">
            <w:pPr>
              <w:keepNext/>
              <w:keepLines/>
              <w:spacing w:before="20" w:afterLines="20" w:after="48"/>
              <w:ind w:left="58"/>
              <w:rPr>
                <w:highlight w:val="yellow"/>
              </w:rPr>
            </w:pPr>
            <w:r w:rsidRPr="00C20287">
              <w:t>Where the Ex-Manufacturer Price is over $720</w:t>
            </w:r>
          </w:p>
          <w:p w14:paraId="7319EC0C" w14:textId="77777777" w:rsidR="007E00C8" w:rsidRPr="00C20287" w:rsidRDefault="007E00C8" w:rsidP="007E00C8">
            <w:pPr>
              <w:keepNext/>
              <w:keepLines/>
              <w:spacing w:before="20" w:afterLines="20" w:after="48"/>
              <w:ind w:left="58"/>
            </w:pPr>
          </w:p>
        </w:tc>
        <w:tc>
          <w:tcPr>
            <w:tcW w:w="0" w:type="auto"/>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818A49" w14:textId="77777777" w:rsidR="007E00C8" w:rsidRPr="00C20287" w:rsidRDefault="007E00C8" w:rsidP="007E00C8">
            <w:pPr>
              <w:keepNext/>
              <w:keepLines/>
              <w:spacing w:before="20" w:afterLines="20" w:after="48"/>
            </w:pPr>
            <w:r w:rsidRPr="00C20287">
              <w:t>$54.14 per dispense</w:t>
            </w:r>
          </w:p>
        </w:tc>
      </w:tr>
      <w:tr w:rsidR="007E00C8" w:rsidRPr="00C20287" w14:paraId="33B678CE" w14:textId="77777777" w:rsidTr="00043049">
        <w:trPr>
          <w:cantSplit/>
          <w:trHeight w:val="1815"/>
        </w:trPr>
        <w:tc>
          <w:tcPr>
            <w:tcW w:w="0" w:type="auto"/>
            <w:vMerge w:val="restart"/>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14:paraId="5D245929" w14:textId="77777777" w:rsidR="007E00C8" w:rsidRPr="00C20287" w:rsidRDefault="007E00C8" w:rsidP="007E00C8">
            <w:pPr>
              <w:spacing w:before="20" w:afterLines="20" w:after="48"/>
              <w:rPr>
                <w:rFonts w:cs="Arial"/>
              </w:rPr>
            </w:pPr>
            <w:r w:rsidRPr="00C20287">
              <w:t>Administration, Handling and Infrastructure Fee</w:t>
            </w:r>
            <w:r w:rsidRPr="00C20287">
              <w:rPr>
                <w:vertAlign w:val="superscript"/>
              </w:rPr>
              <w:t>[</w:t>
            </w:r>
            <w:r w:rsidRPr="00C20287">
              <w:rPr>
                <w:rStyle w:val="FootnoteReference"/>
              </w:rPr>
              <w:footnoteReference w:id="81"/>
            </w:r>
            <w:r w:rsidRPr="00C20287">
              <w:rPr>
                <w:vertAlign w:val="superscript"/>
              </w:rPr>
              <w:t>]</w:t>
            </w:r>
            <w:r w:rsidRPr="00C20287">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67D6EDB" w14:textId="77777777" w:rsidR="007E00C8" w:rsidRPr="00C20287" w:rsidRDefault="007E00C8" w:rsidP="007E00C8">
            <w:pPr>
              <w:spacing w:before="20" w:afterLines="20" w:after="48"/>
            </w:pPr>
            <w:r w:rsidRPr="00C20287">
              <w:t>(mark-up on Approved Price to Pharmacist) Up to and including $30.00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12B628" w14:textId="77777777" w:rsidR="007E00C8" w:rsidRPr="00C20287" w:rsidRDefault="007E00C8" w:rsidP="007E00C8">
            <w:pPr>
              <w:spacing w:before="20" w:afterLines="20" w:after="48"/>
            </w:pPr>
            <w:r w:rsidRPr="00C20287">
              <w:t>15.0%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E2D3E7" w14:textId="77777777" w:rsidR="007E00C8" w:rsidRPr="00C20287" w:rsidRDefault="007E00C8" w:rsidP="007E00C8">
            <w:pPr>
              <w:spacing w:before="20" w:afterLines="20" w:after="48"/>
              <w:rPr>
                <w:shd w:val="clear" w:color="auto" w:fill="FFFF00"/>
              </w:rPr>
            </w:pPr>
            <w:r w:rsidRPr="00C20287">
              <w:t>For a pack quantity of a Listed Brand with a Price to Pharmacists less than $180</w:t>
            </w:r>
          </w:p>
          <w:p w14:paraId="6DE827AC" w14:textId="77777777" w:rsidR="007E00C8" w:rsidRPr="00C20287" w:rsidRDefault="007E00C8" w:rsidP="007E00C8">
            <w:pPr>
              <w:spacing w:before="20" w:afterLines="20" w:after="48"/>
              <w:ind w:left="104"/>
              <w:rPr>
                <w: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46DAC1" w14:textId="77777777" w:rsidR="007E00C8" w:rsidRPr="00C20287" w:rsidRDefault="007E00C8" w:rsidP="007E00C8">
            <w:pPr>
              <w:spacing w:before="20" w:afterLines="20" w:after="48"/>
              <w:ind w:left="104"/>
              <w:rPr>
                <w:b/>
              </w:rPr>
            </w:pPr>
            <w:r w:rsidRPr="00C20287">
              <w:t>$3.49 per dispense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F432641" w14:textId="77777777" w:rsidR="007E00C8" w:rsidRPr="00C20287" w:rsidRDefault="007E00C8" w:rsidP="007E00C8">
            <w:pPr>
              <w:spacing w:before="20" w:afterLines="20" w:after="48"/>
              <w:rPr>
                <w:shd w:val="clear" w:color="auto" w:fill="FFFF00"/>
              </w:rPr>
            </w:pPr>
            <w:r w:rsidRPr="00C20287">
              <w:t>For a pack quantity of a Listed Brand with a Price to Pharmacists less than $180</w:t>
            </w:r>
          </w:p>
          <w:p w14:paraId="4E1F8D77" w14:textId="77777777" w:rsidR="007E00C8" w:rsidRPr="00C20287" w:rsidRDefault="007E00C8" w:rsidP="007E00C8">
            <w:pPr>
              <w:spacing w:before="20" w:afterLines="20" w:after="48"/>
              <w:ind w:left="104"/>
              <w:rPr>
                <w: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B82DFD4" w14:textId="77777777" w:rsidR="007E00C8" w:rsidRPr="00C20287" w:rsidRDefault="007E00C8" w:rsidP="007E00C8">
            <w:pPr>
              <w:spacing w:before="20" w:afterLines="20" w:after="48"/>
              <w:ind w:left="104"/>
              <w:rPr>
                <w:b/>
              </w:rPr>
            </w:pPr>
            <w:r w:rsidRPr="00C20287">
              <w:t>$3.62 plus the Additional AHI Fee for the relevant Financial Year, per dispense</w:t>
            </w:r>
          </w:p>
        </w:tc>
        <w:tc>
          <w:tcPr>
            <w:tcW w:w="0" w:type="auto"/>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14:paraId="56D19A70" w14:textId="77777777" w:rsidR="007E00C8" w:rsidRPr="00C20287" w:rsidRDefault="007E00C8" w:rsidP="007E00C8">
            <w:pPr>
              <w:spacing w:before="20" w:afterLines="20" w:after="48"/>
              <w:rPr>
                <w:shd w:val="clear" w:color="auto" w:fill="FFFF00"/>
              </w:rPr>
            </w:pPr>
            <w:r w:rsidRPr="00C20287">
              <w:t>For a Listed Brand with a Price to Pharmacists for Maximum Quantity less than $100</w:t>
            </w:r>
          </w:p>
          <w:p w14:paraId="421E8D09" w14:textId="77777777" w:rsidR="007E00C8" w:rsidRPr="00C20287" w:rsidRDefault="007E00C8" w:rsidP="007E00C8">
            <w:pPr>
              <w:spacing w:before="20" w:afterLines="20" w:after="48"/>
            </w:pPr>
          </w:p>
        </w:tc>
        <w:tc>
          <w:tcPr>
            <w:tcW w:w="0" w:type="auto"/>
            <w:tcBorders>
              <w:top w:val="single" w:sz="8" w:space="0" w:color="auto"/>
              <w:left w:val="nil"/>
              <w:bottom w:val="single" w:sz="8" w:space="0" w:color="auto"/>
              <w:right w:val="single" w:sz="8" w:space="0" w:color="auto"/>
            </w:tcBorders>
            <w:shd w:val="clear" w:color="auto" w:fill="auto"/>
          </w:tcPr>
          <w:p w14:paraId="29155DA6" w14:textId="77777777" w:rsidR="007E00C8" w:rsidRPr="00C20287" w:rsidRDefault="007E00C8" w:rsidP="007E00C8">
            <w:pPr>
              <w:spacing w:before="20" w:afterLines="20" w:after="48"/>
              <w:ind w:left="104"/>
              <w:rPr>
                <w:rFonts w:cs="Arial"/>
                <w:b/>
              </w:rPr>
            </w:pPr>
            <w:r w:rsidRPr="00C20287">
              <w:t>$4.28 per dispense of Maximum Quantity</w:t>
            </w:r>
          </w:p>
        </w:tc>
      </w:tr>
      <w:tr w:rsidR="007E00C8" w:rsidRPr="00C20287" w14:paraId="00BE0829" w14:textId="77777777" w:rsidTr="00043049">
        <w:trPr>
          <w:cantSplit/>
          <w:trHeight w:val="1134"/>
        </w:trPr>
        <w:tc>
          <w:tcPr>
            <w:tcW w:w="0" w:type="auto"/>
            <w:vMerge/>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7A4545F5" w14:textId="77777777" w:rsidR="007E00C8" w:rsidRPr="00C20287" w:rsidRDefault="007E00C8" w:rsidP="007E00C8">
            <w:pPr>
              <w:spacing w:before="20" w:afterLines="20" w:after="4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E99C103" w14:textId="77777777" w:rsidR="007E00C8" w:rsidRPr="00C20287" w:rsidRDefault="007E00C8" w:rsidP="007E00C8">
            <w:pPr>
              <w:spacing w:before="20" w:afterLines="20" w:after="48"/>
            </w:pPr>
            <w:r w:rsidRPr="00C20287">
              <w:t>Between $180.01 and $450.00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8E776A" w14:textId="77777777" w:rsidR="007E00C8" w:rsidRPr="00C20287" w:rsidRDefault="007E00C8" w:rsidP="007E00C8">
            <w:pPr>
              <w:spacing w:before="20" w:afterLines="20" w:after="48"/>
            </w:pPr>
            <w:r w:rsidRPr="00C20287">
              <w:t>$18.00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38809DB" w14:textId="77777777" w:rsidR="007E00C8" w:rsidRPr="00C20287" w:rsidRDefault="007E00C8" w:rsidP="007E00C8">
            <w:pPr>
              <w:spacing w:before="20" w:afterLines="20" w:after="48"/>
              <w:rPr>
                <w:shd w:val="clear" w:color="auto" w:fill="FFFF00"/>
              </w:rPr>
            </w:pPr>
            <w:r w:rsidRPr="00C20287">
              <w:t>For a pack quantity of a Listed Brand with a Price to Pharmacists from $180 and to $2,0989.71</w:t>
            </w:r>
          </w:p>
          <w:p w14:paraId="34EEE336" w14:textId="77777777" w:rsidR="007E00C8" w:rsidRPr="00C20287" w:rsidRDefault="007E00C8" w:rsidP="007E00C8">
            <w:pPr>
              <w:spacing w:before="20" w:afterLines="20" w:after="48"/>
              <w:ind w:left="132"/>
              <w:rPr>
                <w:bC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8F617D" w14:textId="77777777" w:rsidR="007E00C8" w:rsidRPr="00C20287" w:rsidRDefault="007E00C8" w:rsidP="007E00C8">
            <w:pPr>
              <w:spacing w:before="20" w:afterLines="20" w:after="48"/>
              <w:ind w:left="132"/>
              <w:rPr>
                <w:b/>
              </w:rPr>
            </w:pPr>
            <w:r w:rsidRPr="00C20287">
              <w:t xml:space="preserve">$3.49 plus 3.5% of the amount by which the Price to Pharmacists exceeds $180, per dispense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69BCE34" w14:textId="77777777" w:rsidR="007E00C8" w:rsidRPr="00C20287" w:rsidRDefault="007E00C8" w:rsidP="007E00C8">
            <w:pPr>
              <w:spacing w:before="20" w:afterLines="20" w:after="48"/>
              <w:rPr>
                <w:shd w:val="clear" w:color="auto" w:fill="FFFF00"/>
              </w:rPr>
            </w:pPr>
            <w:r w:rsidRPr="00C20287">
              <w:t>For a pack quantity of a Listed Brand with a Price to Pharmacists from $180 and to $2,0989.71</w:t>
            </w:r>
          </w:p>
          <w:p w14:paraId="324279E8" w14:textId="77777777" w:rsidR="007E00C8" w:rsidRPr="00C20287" w:rsidRDefault="007E00C8" w:rsidP="00043049">
            <w:pPr>
              <w:spacing w:before="20" w:afterLines="20" w:after="48"/>
              <w:ind w:left="132"/>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B4B8B07" w14:textId="77777777" w:rsidR="007E00C8" w:rsidRPr="00C20287" w:rsidRDefault="007E00C8" w:rsidP="00043049">
            <w:pPr>
              <w:spacing w:before="20" w:afterLines="20" w:after="48"/>
              <w:ind w:left="132"/>
              <w:rPr>
                <w:b/>
              </w:rPr>
            </w:pPr>
            <w:r w:rsidRPr="00C20287">
              <w:t xml:space="preserve">$3.62 plus the Additional AHI Fee for the relevant Financial Year and 3.5% of the amount by which the Price to Pharmacists for Maximum Quantity exceeds $180, per dispense </w:t>
            </w:r>
          </w:p>
        </w:tc>
        <w:tc>
          <w:tcPr>
            <w:tcW w:w="0" w:type="auto"/>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5C216BE6" w14:textId="77777777" w:rsidR="007E00C8" w:rsidRPr="00C20287" w:rsidRDefault="007E00C8" w:rsidP="007E00C8">
            <w:pPr>
              <w:spacing w:before="20" w:afterLines="20" w:after="48"/>
              <w:rPr>
                <w:shd w:val="clear" w:color="auto" w:fill="FFFF00"/>
              </w:rPr>
            </w:pPr>
            <w:r w:rsidRPr="00C20287">
              <w:t>For a Listed Brand with a Price to Pharmacists for Maximum Quantity from $100 and up to and including $2,000</w:t>
            </w:r>
          </w:p>
          <w:p w14:paraId="09354707" w14:textId="77777777" w:rsidR="007E00C8" w:rsidRPr="00C20287" w:rsidRDefault="007E00C8" w:rsidP="007E00C8">
            <w:pPr>
              <w:spacing w:before="20" w:afterLines="20" w:after="48"/>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5BF27D4E" w14:textId="77777777" w:rsidR="007E00C8" w:rsidRPr="00C20287" w:rsidRDefault="007E00C8" w:rsidP="007E00C8">
            <w:pPr>
              <w:spacing w:before="20" w:afterLines="20" w:after="48"/>
              <w:ind w:left="132"/>
            </w:pPr>
            <w:r w:rsidRPr="00C20287">
              <w:t>Tier One AHI Fee plus 5% of the amount by which the Price to Pharmacists for Maximum Quantity exceeds $100, per dispense of Maximum Quantity</w:t>
            </w:r>
          </w:p>
        </w:tc>
      </w:tr>
      <w:tr w:rsidR="007E00C8" w:rsidRPr="00C20287" w14:paraId="5018F48B" w14:textId="77777777" w:rsidTr="00C90277">
        <w:trPr>
          <w:cantSplit/>
          <w:trHeight w:val="1648"/>
        </w:trPr>
        <w:tc>
          <w:tcPr>
            <w:tcW w:w="0" w:type="auto"/>
            <w:vMerge/>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54BB2D0" w14:textId="77777777" w:rsidR="007E00C8" w:rsidRPr="00C20287" w:rsidRDefault="007E00C8" w:rsidP="007E00C8">
            <w:pPr>
              <w:spacing w:before="20" w:afterLines="20" w:after="4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178599" w14:textId="77777777" w:rsidR="007E00C8" w:rsidRPr="00C20287" w:rsidRDefault="007E00C8" w:rsidP="007E00C8">
            <w:pPr>
              <w:spacing w:before="20" w:afterLines="20" w:after="48"/>
            </w:pPr>
            <w:r w:rsidRPr="00C20287">
              <w:t>Over $1750.00</w:t>
            </w:r>
            <w:r w:rsidRPr="00C20287">
              <w:rPr>
                <w:vertAlign w:val="superscript"/>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6CE7C1" w14:textId="77777777" w:rsidR="007E00C8" w:rsidRPr="00C20287" w:rsidRDefault="007E00C8" w:rsidP="007E00C8">
            <w:pPr>
              <w:spacing w:before="20" w:afterLines="20" w:after="48"/>
            </w:pPr>
            <w:r w:rsidRPr="00C20287">
              <w:t>$70.00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E03BCE8" w14:textId="77777777" w:rsidR="007E00C8" w:rsidRPr="00C20287" w:rsidRDefault="007E00C8" w:rsidP="007E00C8">
            <w:pPr>
              <w:spacing w:before="20" w:afterLines="20" w:after="48"/>
              <w:rPr>
                <w:shd w:val="clear" w:color="auto" w:fill="FFFF00"/>
              </w:rPr>
            </w:pPr>
            <w:r w:rsidRPr="00C20287">
              <w:t>For a pack quantity of a Listed Brand with a Price to Pharmacists more than $2,0989.71</w:t>
            </w:r>
          </w:p>
          <w:p w14:paraId="1072CDBA" w14:textId="77777777" w:rsidR="007E00C8" w:rsidRPr="00C20287" w:rsidRDefault="007E00C8" w:rsidP="007E00C8">
            <w:pPr>
              <w:spacing w:before="20" w:afterLines="20" w:after="48"/>
              <w:ind w:left="132"/>
              <w:rPr>
                <w: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4B09F3" w14:textId="77777777" w:rsidR="007E00C8" w:rsidRPr="00C20287" w:rsidRDefault="007E00C8" w:rsidP="007E00C8">
            <w:pPr>
              <w:spacing w:before="20" w:afterLines="20" w:after="48"/>
              <w:ind w:left="132"/>
              <w:rPr>
                <w:b/>
              </w:rPr>
            </w:pPr>
            <w:r w:rsidRPr="00C20287">
              <w:t>$70.00 per dispense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CC97DA8" w14:textId="77777777" w:rsidR="007E00C8" w:rsidRPr="00C20287" w:rsidRDefault="007E00C8" w:rsidP="007E00C8">
            <w:pPr>
              <w:spacing w:before="20" w:afterLines="20" w:after="48"/>
              <w:rPr>
                <w:shd w:val="clear" w:color="auto" w:fill="FFFF00"/>
              </w:rPr>
            </w:pPr>
            <w:r w:rsidRPr="00C20287">
              <w:t>For a pack quantity of a Listed Brand with a Price to Pharmacists more than $2,0989.71</w:t>
            </w:r>
          </w:p>
          <w:p w14:paraId="78E6495B" w14:textId="77777777" w:rsidR="007E00C8" w:rsidRPr="00C20287" w:rsidRDefault="007E00C8" w:rsidP="007E00C8">
            <w:pPr>
              <w:spacing w:before="20" w:afterLines="20" w:after="48"/>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5991228" w14:textId="77777777" w:rsidR="007E00C8" w:rsidRPr="00C20287" w:rsidRDefault="007E00C8" w:rsidP="007E00C8">
            <w:pPr>
              <w:spacing w:before="20" w:afterLines="20" w:after="48"/>
              <w:ind w:left="132"/>
              <w:rPr>
                <w:b/>
              </w:rPr>
            </w:pPr>
            <w:r w:rsidRPr="00C20287">
              <w:t>$72.43 per dispense</w:t>
            </w:r>
          </w:p>
        </w:tc>
        <w:tc>
          <w:tcPr>
            <w:tcW w:w="0" w:type="auto"/>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4C5A6A2A" w14:textId="77777777" w:rsidR="007E00C8" w:rsidRPr="00C20287" w:rsidRDefault="007E00C8" w:rsidP="007E00C8">
            <w:pPr>
              <w:spacing w:before="20" w:afterLines="20" w:after="48"/>
              <w:rPr>
                <w:shd w:val="clear" w:color="auto" w:fill="FFFF00"/>
              </w:rPr>
            </w:pPr>
            <w:r w:rsidRPr="00C20287">
              <w:t>For a Listed Brand with a Price to Pharmacists for Maximum Quantity over $2,000</w:t>
            </w:r>
          </w:p>
          <w:p w14:paraId="43A79ABC" w14:textId="77777777" w:rsidR="007E00C8" w:rsidRPr="00C20287" w:rsidRDefault="007E00C8" w:rsidP="007E00C8">
            <w:pPr>
              <w:spacing w:before="20" w:afterLines="20" w:after="48"/>
            </w:pPr>
          </w:p>
        </w:tc>
        <w:tc>
          <w:tcPr>
            <w:tcW w:w="0" w:type="auto"/>
            <w:tcBorders>
              <w:top w:val="single" w:sz="8" w:space="0" w:color="auto"/>
              <w:left w:val="single" w:sz="8" w:space="0" w:color="auto"/>
              <w:bottom w:val="single" w:sz="8" w:space="0" w:color="auto"/>
              <w:right w:val="single" w:sz="8" w:space="0" w:color="auto"/>
            </w:tcBorders>
            <w:shd w:val="clear" w:color="auto" w:fill="auto"/>
          </w:tcPr>
          <w:p w14:paraId="0FE7F119" w14:textId="77777777" w:rsidR="007E00C8" w:rsidRPr="00C20287" w:rsidRDefault="007E00C8" w:rsidP="007E00C8">
            <w:pPr>
              <w:spacing w:before="20" w:afterLines="20" w:after="48"/>
              <w:ind w:left="146"/>
            </w:pPr>
            <w:r w:rsidRPr="00C20287">
              <w:t>Tier One AHI Fee and $95 per dispense of Maximum Quantity</w:t>
            </w:r>
          </w:p>
        </w:tc>
      </w:tr>
      <w:tr w:rsidR="007E00C8" w:rsidRPr="00C20287" w14:paraId="64E4BD96" w14:textId="77777777" w:rsidTr="00C90277">
        <w:trPr>
          <w:cantSplit/>
          <w:trHeight w:val="1194"/>
        </w:trPr>
        <w:tc>
          <w:tcPr>
            <w:tcW w:w="0" w:type="auto"/>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5263F939" w14:textId="006FAEFA" w:rsidR="007E00C8" w:rsidRPr="00C20287" w:rsidRDefault="007E00C8" w:rsidP="007E00C8">
            <w:pPr>
              <w:spacing w:before="20" w:afterLines="20" w:after="48"/>
            </w:pPr>
            <w:r w:rsidRPr="00C20287">
              <w:t>dispensing fee (for Ready-Prepared Pharmaceutical Benefits)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5CE396" w14:textId="77777777" w:rsidR="007E00C8" w:rsidRPr="00C20287" w:rsidRDefault="007E00C8" w:rsidP="007E00C8">
            <w:pPr>
              <w:spacing w:before="20" w:afterLines="20" w:after="48"/>
            </w:pPr>
            <w:r w:rsidRPr="00C20287">
              <w:t>$6.42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93D033" w14:textId="77777777" w:rsidR="007E00C8" w:rsidRPr="00C20287" w:rsidRDefault="007E00C8" w:rsidP="007E00C8">
            <w:pPr>
              <w:spacing w:before="20" w:afterLines="20" w:after="48"/>
              <w:ind w:left="58"/>
              <w:rPr>
                <w:rFonts w:cs="Arial"/>
              </w:rPr>
            </w:pPr>
            <w:r w:rsidRPr="00C20287">
              <w:t>$6.93 per dispense</w:t>
            </w:r>
          </w:p>
          <w:p w14:paraId="4FA72525" w14:textId="77777777" w:rsidR="007E00C8" w:rsidRPr="00C20287" w:rsidRDefault="007E00C8" w:rsidP="007E00C8">
            <w:pPr>
              <w:spacing w:before="20" w:afterLines="20" w:after="48"/>
              <w:ind w:left="132"/>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8D681" w14:textId="77777777" w:rsidR="007E00C8" w:rsidRPr="00C20287" w:rsidRDefault="007E00C8" w:rsidP="007E00C8">
            <w:pPr>
              <w:spacing w:before="20" w:afterLines="20" w:after="48"/>
              <w:ind w:left="58"/>
              <w:rPr>
                <w:rFonts w:cs="Arial"/>
              </w:rPr>
            </w:pPr>
            <w:r w:rsidRPr="00C20287">
              <w:t>$7.15 per dispense</w:t>
            </w:r>
          </w:p>
          <w:p w14:paraId="3759F971" w14:textId="77777777" w:rsidR="007E00C8" w:rsidRPr="00C20287" w:rsidRDefault="007E00C8" w:rsidP="007E00C8">
            <w:pPr>
              <w:spacing w:before="20" w:afterLines="20" w:after="48"/>
              <w:ind w:left="132"/>
            </w:pPr>
          </w:p>
        </w:tc>
        <w:tc>
          <w:tcPr>
            <w:tcW w:w="0" w:type="auto"/>
            <w:gridSpan w:val="2"/>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11C33115" w14:textId="77777777" w:rsidR="007E00C8" w:rsidRPr="00C20287" w:rsidRDefault="007E00C8" w:rsidP="007E00C8">
            <w:pPr>
              <w:spacing w:before="20" w:afterLines="20" w:after="48"/>
              <w:ind w:left="58"/>
              <w:rPr>
                <w:rFonts w:cs="Arial"/>
              </w:rPr>
            </w:pPr>
            <w:r w:rsidRPr="00C20287">
              <w:t>$7.74 per dispense</w:t>
            </w:r>
          </w:p>
          <w:p w14:paraId="083E9B9E" w14:textId="77777777" w:rsidR="007E00C8" w:rsidRPr="00C20287" w:rsidRDefault="007E00C8" w:rsidP="007E00C8">
            <w:pPr>
              <w:spacing w:before="20" w:afterLines="20" w:after="48"/>
              <w:ind w:left="146"/>
            </w:pPr>
          </w:p>
        </w:tc>
      </w:tr>
      <w:tr w:rsidR="007E00C8" w:rsidRPr="00C20287" w14:paraId="2B2D57B6" w14:textId="77777777" w:rsidTr="00043049">
        <w:trPr>
          <w:cantSplit/>
          <w:trHeight w:val="1366"/>
        </w:trPr>
        <w:tc>
          <w:tcPr>
            <w:tcW w:w="0" w:type="auto"/>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FB0B5BD" w14:textId="579854D5" w:rsidR="007E00C8" w:rsidRPr="00C20287" w:rsidRDefault="007E00C8" w:rsidP="007E00C8">
            <w:pPr>
              <w:spacing w:before="20" w:afterLines="20" w:after="48"/>
            </w:pPr>
            <w:r w:rsidRPr="00C20287">
              <w:t>dispensing fee (for Extemporaneously-Prepared Pharmaceutical Benefits)</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90015" w14:textId="77777777" w:rsidR="007E00C8" w:rsidRPr="00C20287" w:rsidRDefault="007E00C8" w:rsidP="007E00C8">
            <w:pPr>
              <w:spacing w:before="20" w:afterLines="20" w:after="48"/>
            </w:pPr>
            <w:r w:rsidRPr="00C20287">
              <w:t>$2.04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C4F91A" w14:textId="77777777" w:rsidR="007E00C8" w:rsidRPr="00C20287" w:rsidRDefault="007E00C8" w:rsidP="007E00C8">
            <w:pPr>
              <w:spacing w:before="20" w:afterLines="20" w:after="48"/>
              <w:ind w:left="132"/>
            </w:pPr>
            <w:r w:rsidRPr="00C20287">
              <w:t>Dispensing fee for Ready-Prepared Pharmaceutical Benefits, plus $2.04, per dispense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51B42" w14:textId="77777777" w:rsidR="007E00C8" w:rsidRPr="00C20287" w:rsidRDefault="007E00C8" w:rsidP="007E00C8">
            <w:pPr>
              <w:spacing w:before="20" w:afterLines="20" w:after="48"/>
              <w:ind w:left="132"/>
            </w:pPr>
            <w:r w:rsidRPr="00C20287">
              <w:t>Dispensing fee for Ready-Prepared Pharmaceutical Benefits, plus $2.04, per dispense</w:t>
            </w:r>
          </w:p>
        </w:tc>
        <w:tc>
          <w:tcPr>
            <w:tcW w:w="0" w:type="auto"/>
            <w:gridSpan w:val="2"/>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30439163" w14:textId="77777777" w:rsidR="007E00C8" w:rsidRPr="00C20287" w:rsidRDefault="007E00C8" w:rsidP="007E00C8">
            <w:pPr>
              <w:spacing w:before="20" w:afterLines="20" w:after="48"/>
              <w:ind w:left="146"/>
            </w:pPr>
            <w:r w:rsidRPr="00C20287">
              <w:t>Dispensing fee for Ready-Prepared Pharmaceutical Benefits, plus $2.04, per dispense</w:t>
            </w:r>
          </w:p>
        </w:tc>
      </w:tr>
      <w:tr w:rsidR="007E00C8" w:rsidRPr="00C20287" w14:paraId="59226D88" w14:textId="77777777" w:rsidTr="00043049">
        <w:trPr>
          <w:cantSplit/>
          <w:trHeight w:val="476"/>
        </w:trPr>
        <w:tc>
          <w:tcPr>
            <w:tcW w:w="0" w:type="auto"/>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32F4600D" w14:textId="09FB4913" w:rsidR="007E00C8" w:rsidRPr="00C20287" w:rsidRDefault="007E00C8" w:rsidP="007E00C8">
            <w:pPr>
              <w:spacing w:before="20" w:afterLines="20" w:after="48"/>
            </w:pPr>
            <w:r w:rsidRPr="00C20287">
              <w:t xml:space="preserve">Dangerous Drug fee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15ADD5" w14:textId="77777777" w:rsidR="007E00C8" w:rsidRPr="00C20287" w:rsidRDefault="007E00C8" w:rsidP="007E00C8">
            <w:pPr>
              <w:spacing w:before="20" w:afterLines="20" w:after="48"/>
            </w:pPr>
            <w:r w:rsidRPr="00C20287">
              <w:t>$ 2.71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BABFCA" w14:textId="77777777" w:rsidR="007E00C8" w:rsidRPr="00C20287" w:rsidRDefault="007E00C8" w:rsidP="007E00C8">
            <w:pPr>
              <w:spacing w:before="20" w:afterLines="20" w:after="48"/>
              <w:ind w:left="132"/>
            </w:pPr>
            <w:r w:rsidRPr="00C20287">
              <w:t>$2.91 per Dangerous Drug dispensed</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5C6214" w14:textId="77777777" w:rsidR="007E00C8" w:rsidRPr="00C20287" w:rsidRDefault="007E00C8" w:rsidP="007E00C8">
            <w:pPr>
              <w:spacing w:before="20" w:afterLines="20" w:after="48"/>
              <w:ind w:left="132"/>
            </w:pPr>
            <w:r w:rsidRPr="00C20287">
              <w:t>$3.01 per Dangerous Drug dispensed</w:t>
            </w:r>
          </w:p>
        </w:tc>
        <w:tc>
          <w:tcPr>
            <w:tcW w:w="0" w:type="auto"/>
            <w:gridSpan w:val="2"/>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14:paraId="6C2B6DDB" w14:textId="77777777" w:rsidR="007E00C8" w:rsidRPr="00C20287" w:rsidRDefault="007E00C8" w:rsidP="007E00C8">
            <w:pPr>
              <w:spacing w:before="20" w:afterLines="20" w:after="48"/>
              <w:ind w:left="146"/>
            </w:pPr>
            <w:r w:rsidRPr="00C20287">
              <w:t>$4.80 per Dangerous Drug dispensed</w:t>
            </w:r>
          </w:p>
        </w:tc>
      </w:tr>
      <w:tr w:rsidR="007E00C8" w:rsidRPr="00C20287" w14:paraId="7C3CAB00" w14:textId="77777777" w:rsidTr="00043049">
        <w:trPr>
          <w:cantSplit/>
          <w:trHeight w:val="1014"/>
        </w:trPr>
        <w:tc>
          <w:tcPr>
            <w:tcW w:w="0" w:type="auto"/>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18D0E7BB" w14:textId="1C272469" w:rsidR="007E00C8" w:rsidRPr="00C20287" w:rsidRDefault="007E00C8" w:rsidP="007E00C8">
            <w:pPr>
              <w:spacing w:before="20" w:afterLines="20" w:after="48"/>
            </w:pPr>
            <w:r w:rsidRPr="00C20287">
              <w:t>Total (assuming maximum wholesale mark-up and AHI)</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156A4F0" w14:textId="77777777" w:rsidR="007E00C8" w:rsidRPr="00C20287" w:rsidRDefault="007E00C8" w:rsidP="007E00C8">
            <w:pPr>
              <w:spacing w:before="20" w:afterLines="20" w:after="48"/>
            </w:pPr>
            <w:r w:rsidRPr="00C20287">
              <w:rPr>
                <w:rFonts w:ascii="Calibri" w:hAnsi="Calibri" w:cs="Calibri"/>
                <w:b/>
                <w:bCs/>
                <w:color w:val="000000"/>
                <w:sz w:val="22"/>
                <w:szCs w:val="22"/>
              </w:rPr>
              <w:t>$151.11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0240EA" w14:textId="77777777" w:rsidR="007E00C8" w:rsidRPr="00C20287" w:rsidRDefault="007E00C8" w:rsidP="007E00C8">
            <w:pPr>
              <w:spacing w:before="20" w:afterLines="20" w:after="48"/>
              <w:ind w:left="132"/>
            </w:pPr>
            <w:r w:rsidRPr="00C20287">
              <w:rPr>
                <w:rFonts w:ascii="Calibri" w:hAnsi="Calibri" w:cs="Calibri"/>
                <w:b/>
                <w:bCs/>
                <w:color w:val="000000"/>
                <w:sz w:val="22"/>
                <w:szCs w:val="22"/>
              </w:rPr>
              <w:t>$151.82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5810D8D" w14:textId="77777777" w:rsidR="007E00C8" w:rsidRPr="00C20287" w:rsidRDefault="007E00C8" w:rsidP="007E00C8">
            <w:pPr>
              <w:spacing w:before="20" w:afterLines="20" w:after="48"/>
              <w:ind w:left="132"/>
            </w:pPr>
            <w:r w:rsidRPr="00C20287">
              <w:rPr>
                <w:rFonts w:ascii="Calibri" w:hAnsi="Calibri" w:cs="Calibri"/>
                <w:b/>
                <w:bCs/>
                <w:color w:val="000000"/>
                <w:sz w:val="22"/>
                <w:szCs w:val="22"/>
              </w:rPr>
              <w:t>$154.57</w:t>
            </w:r>
          </w:p>
        </w:tc>
        <w:tc>
          <w:tcPr>
            <w:tcW w:w="0" w:type="auto"/>
            <w:gridSpan w:val="2"/>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32F1AB12" w14:textId="77777777" w:rsidR="007E00C8" w:rsidRPr="00C20287" w:rsidRDefault="007E00C8" w:rsidP="007E00C8">
            <w:pPr>
              <w:spacing w:before="20" w:afterLines="20" w:after="48"/>
              <w:ind w:left="146"/>
            </w:pPr>
            <w:r w:rsidRPr="00C20287">
              <w:rPr>
                <w:rFonts w:ascii="Calibri" w:hAnsi="Calibri" w:cs="Calibri"/>
                <w:b/>
                <w:bCs/>
                <w:color w:val="000000"/>
                <w:sz w:val="22"/>
                <w:szCs w:val="22"/>
              </w:rPr>
              <w:t>$168.00</w:t>
            </w:r>
          </w:p>
        </w:tc>
      </w:tr>
    </w:tbl>
    <w:p w14:paraId="06CC7CC9" w14:textId="77777777" w:rsidR="00FB10AA" w:rsidRPr="00C20287" w:rsidRDefault="00FB10AA" w:rsidP="00FB10AA">
      <w:pPr>
        <w:spacing w:after="160" w:line="259" w:lineRule="auto"/>
        <w:sectPr w:rsidR="00FB10AA" w:rsidRPr="00C20287" w:rsidSect="00A874E9">
          <w:pgSz w:w="16838" w:h="11906" w:orient="landscape"/>
          <w:pgMar w:top="720" w:right="720" w:bottom="720" w:left="720" w:header="567" w:footer="57" w:gutter="0"/>
          <w:cols w:space="708"/>
          <w:docGrid w:linePitch="360"/>
        </w:sectPr>
      </w:pPr>
    </w:p>
    <w:p w14:paraId="4717B4F1" w14:textId="15A690A6" w:rsidR="00350F5C" w:rsidRDefault="0057540F" w:rsidP="0095671A">
      <w:pPr>
        <w:pStyle w:val="Heading2"/>
        <w:tabs>
          <w:tab w:val="left" w:pos="426"/>
        </w:tabs>
        <w:spacing w:before="0"/>
      </w:pPr>
      <w:bookmarkStart w:id="112" w:name="_Toc168652766"/>
      <w:r>
        <w:lastRenderedPageBreak/>
        <w:t>5</w:t>
      </w:r>
      <w:r w:rsidR="00350F5C" w:rsidRPr="00C20287">
        <w:t>.</w:t>
      </w:r>
      <w:r w:rsidR="00350F5C" w:rsidRPr="00C20287">
        <w:tab/>
      </w:r>
      <w:r w:rsidR="00350F5C" w:rsidRPr="004D592C">
        <w:t>Community Pharmacy Programs</w:t>
      </w:r>
      <w:r w:rsidR="00350F5C" w:rsidRPr="00C20287">
        <w:t xml:space="preserve"> </w:t>
      </w:r>
      <w:r w:rsidR="00350F5C">
        <w:t xml:space="preserve">in the </w:t>
      </w:r>
      <w:r w:rsidR="00350F5C" w:rsidRPr="004D592C">
        <w:t>7CPA</w:t>
      </w:r>
      <w:bookmarkEnd w:id="112"/>
      <w:r w:rsidR="00350F5C" w:rsidRPr="004D592C">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7071"/>
      </w:tblGrid>
      <w:tr w:rsidR="00350F5C" w:rsidRPr="004F1036" w14:paraId="597DDF68" w14:textId="77777777" w:rsidTr="00B67885">
        <w:trPr>
          <w:cantSplit/>
          <w:trHeight w:val="139"/>
          <w:tblHeader/>
          <w:jc w:val="center"/>
        </w:trPr>
        <w:tc>
          <w:tcPr>
            <w:tcW w:w="1532" w:type="pct"/>
            <w:shd w:val="clear" w:color="000000" w:fill="C6D9F1"/>
            <w:vAlign w:val="center"/>
            <w:hideMark/>
          </w:tcPr>
          <w:p w14:paraId="738551DF" w14:textId="7F8C25F2" w:rsidR="00350F5C" w:rsidRPr="00B67885" w:rsidRDefault="00350F5C" w:rsidP="001615AB">
            <w:pPr>
              <w:tabs>
                <w:tab w:val="left" w:pos="255"/>
              </w:tabs>
              <w:spacing w:after="60" w:line="259" w:lineRule="auto"/>
              <w:contextualSpacing/>
              <w:jc w:val="center"/>
              <w:rPr>
                <w:rFonts w:ascii="Calibri" w:eastAsia="Calibri" w:hAnsi="Calibri" w:cs="Calibri"/>
                <w:b/>
                <w:bCs/>
                <w:smallCaps/>
                <w:color w:val="auto"/>
                <w:spacing w:val="5"/>
                <w:sz w:val="22"/>
                <w:szCs w:val="18"/>
              </w:rPr>
            </w:pPr>
            <w:bookmarkStart w:id="113" w:name="RANGE!A1"/>
            <w:r w:rsidRPr="00B67885">
              <w:rPr>
                <w:rFonts w:ascii="Calibri" w:eastAsia="Calibri" w:hAnsi="Calibri" w:cs="Calibri"/>
                <w:b/>
                <w:bCs/>
                <w:smallCaps/>
                <w:color w:val="auto"/>
                <w:spacing w:val="5"/>
                <w:sz w:val="22"/>
                <w:szCs w:val="18"/>
              </w:rPr>
              <w:t>PROGRAM</w:t>
            </w:r>
            <w:bookmarkEnd w:id="113"/>
          </w:p>
        </w:tc>
        <w:tc>
          <w:tcPr>
            <w:tcW w:w="3468" w:type="pct"/>
            <w:shd w:val="clear" w:color="000000" w:fill="C6D9F1"/>
            <w:vAlign w:val="center"/>
            <w:hideMark/>
          </w:tcPr>
          <w:p w14:paraId="5CA2CD6C" w14:textId="77777777" w:rsidR="00350F5C" w:rsidRPr="00B67885" w:rsidRDefault="00350F5C" w:rsidP="001615AB">
            <w:pPr>
              <w:tabs>
                <w:tab w:val="left" w:pos="255"/>
              </w:tabs>
              <w:spacing w:after="60" w:line="259" w:lineRule="auto"/>
              <w:contextualSpacing/>
              <w:jc w:val="center"/>
              <w:rPr>
                <w:rFonts w:ascii="Calibri" w:eastAsia="Calibri" w:hAnsi="Calibri" w:cs="Calibri"/>
                <w:b/>
                <w:bCs/>
                <w:smallCaps/>
                <w:color w:val="auto"/>
                <w:spacing w:val="5"/>
                <w:sz w:val="22"/>
                <w:szCs w:val="18"/>
              </w:rPr>
            </w:pPr>
            <w:r w:rsidRPr="00B67885">
              <w:rPr>
                <w:rFonts w:ascii="Calibri" w:eastAsia="Calibri" w:hAnsi="Calibri" w:cs="Calibri"/>
                <w:b/>
                <w:bCs/>
                <w:smallCaps/>
                <w:color w:val="auto"/>
                <w:spacing w:val="5"/>
                <w:sz w:val="22"/>
                <w:szCs w:val="18"/>
              </w:rPr>
              <w:t>BACKGROUND</w:t>
            </w:r>
          </w:p>
        </w:tc>
      </w:tr>
      <w:tr w:rsidR="00350F5C" w:rsidRPr="004F1036" w14:paraId="5F245D91" w14:textId="77777777" w:rsidTr="00B67885">
        <w:trPr>
          <w:trHeight w:val="139"/>
          <w:jc w:val="center"/>
        </w:trPr>
        <w:tc>
          <w:tcPr>
            <w:tcW w:w="1532" w:type="pct"/>
            <w:shd w:val="clear" w:color="auto" w:fill="auto"/>
            <w:hideMark/>
          </w:tcPr>
          <w:p w14:paraId="4CF08C8C" w14:textId="77777777" w:rsidR="00350F5C" w:rsidRPr="004F1036" w:rsidRDefault="00350F5C" w:rsidP="001615AB">
            <w:pPr>
              <w:spacing w:after="60" w:line="259" w:lineRule="auto"/>
              <w:contextualSpacing/>
              <w:rPr>
                <w:rFonts w:ascii="Calibri" w:eastAsia="Calibri" w:hAnsi="Calibri" w:cs="Calibri"/>
                <w:b/>
                <w:bCs/>
                <w:sz w:val="22"/>
                <w:szCs w:val="18"/>
              </w:rPr>
            </w:pPr>
            <w:r w:rsidRPr="004F1036">
              <w:rPr>
                <w:rFonts w:ascii="Calibri" w:eastAsia="Calibri" w:hAnsi="Calibri" w:cs="Calibri"/>
                <w:b/>
                <w:bCs/>
                <w:sz w:val="22"/>
                <w:szCs w:val="18"/>
              </w:rPr>
              <w:t xml:space="preserve">MedsCheck and Diabetes MedsCheck </w:t>
            </w:r>
          </w:p>
        </w:tc>
        <w:tc>
          <w:tcPr>
            <w:tcW w:w="3468" w:type="pct"/>
            <w:shd w:val="clear" w:color="auto" w:fill="auto"/>
            <w:hideMark/>
          </w:tcPr>
          <w:p w14:paraId="434CA2B0" w14:textId="77777777" w:rsidR="00350F5C" w:rsidRPr="004F1036" w:rsidRDefault="00350F5C" w:rsidP="001615AB">
            <w:pPr>
              <w:spacing w:after="60" w:line="259" w:lineRule="auto"/>
              <w:contextualSpacing/>
              <w:rPr>
                <w:rFonts w:ascii="Calibri" w:eastAsia="Calibri" w:hAnsi="Calibri" w:cs="Calibri"/>
                <w:snapToGrid w:val="0"/>
                <w:sz w:val="22"/>
                <w:szCs w:val="18"/>
              </w:rPr>
            </w:pPr>
            <w:r w:rsidRPr="004F1036">
              <w:rPr>
                <w:rFonts w:ascii="Calibri" w:eastAsia="Calibri" w:hAnsi="Calibri" w:cs="Calibri"/>
                <w:snapToGrid w:val="0"/>
                <w:sz w:val="22"/>
                <w:szCs w:val="18"/>
              </w:rPr>
              <w:t>The MedsCheck and Diabetes MedsCheck programs provide for an in-pharmacy medication management review between a patient and registered pharmacist to enhance quality use of medicines and reduce adverse drug events.</w:t>
            </w:r>
          </w:p>
          <w:p w14:paraId="6E0A0CE1" w14:textId="77777777" w:rsidR="00350F5C" w:rsidRPr="004F1036" w:rsidRDefault="00350F5C" w:rsidP="001615AB">
            <w:pPr>
              <w:spacing w:after="60" w:line="259" w:lineRule="auto"/>
              <w:contextualSpacing/>
              <w:rPr>
                <w:rFonts w:ascii="Calibri" w:eastAsia="Calibri" w:hAnsi="Calibri" w:cs="Calibri"/>
                <w:snapToGrid w:val="0"/>
                <w:sz w:val="22"/>
                <w:szCs w:val="18"/>
              </w:rPr>
            </w:pPr>
          </w:p>
          <w:p w14:paraId="2F82F155" w14:textId="204691FB" w:rsidR="00350F5C" w:rsidRPr="00B67885" w:rsidRDefault="00350F5C" w:rsidP="001615AB">
            <w:pPr>
              <w:spacing w:after="60" w:line="259" w:lineRule="auto"/>
              <w:contextualSpacing/>
              <w:rPr>
                <w:rFonts w:ascii="Calibri" w:eastAsia="Calibri" w:hAnsi="Calibri" w:cs="Calibri"/>
                <w:snapToGrid w:val="0"/>
                <w:sz w:val="22"/>
                <w:szCs w:val="18"/>
              </w:rPr>
            </w:pPr>
            <w:r w:rsidRPr="004F1036">
              <w:rPr>
                <w:rFonts w:ascii="Calibri" w:eastAsia="Calibri" w:hAnsi="Calibri" w:cs="Calibri"/>
                <w:snapToGrid w:val="0"/>
                <w:sz w:val="22"/>
                <w:szCs w:val="18"/>
              </w:rPr>
              <w:t>Pharmacies who offer the service may conduct up</w:t>
            </w:r>
            <w:r w:rsidR="00C276C1">
              <w:rPr>
                <w:rFonts w:ascii="Calibri" w:eastAsia="Calibri" w:hAnsi="Calibri" w:cs="Calibri"/>
                <w:snapToGrid w:val="0"/>
                <w:sz w:val="22"/>
                <w:szCs w:val="18"/>
              </w:rPr>
              <w:t xml:space="preserve"> to</w:t>
            </w:r>
            <w:r w:rsidRPr="004F1036">
              <w:rPr>
                <w:rFonts w:ascii="Calibri" w:eastAsia="Calibri" w:hAnsi="Calibri" w:cs="Calibri"/>
                <w:snapToGrid w:val="0"/>
                <w:sz w:val="22"/>
                <w:szCs w:val="18"/>
              </w:rPr>
              <w:t xml:space="preserve"> 20 MedsChecks/Diabetes MedsChecks per calendar month. </w:t>
            </w:r>
          </w:p>
        </w:tc>
      </w:tr>
      <w:tr w:rsidR="00350F5C" w:rsidRPr="004F1036" w14:paraId="6A0A2C51" w14:textId="77777777" w:rsidTr="00B67885">
        <w:trPr>
          <w:cantSplit/>
          <w:trHeight w:val="139"/>
          <w:jc w:val="center"/>
        </w:trPr>
        <w:tc>
          <w:tcPr>
            <w:tcW w:w="1532" w:type="pct"/>
            <w:shd w:val="clear" w:color="auto" w:fill="auto"/>
            <w:hideMark/>
          </w:tcPr>
          <w:p w14:paraId="112671C0" w14:textId="77777777" w:rsidR="00350F5C" w:rsidRPr="004F1036" w:rsidRDefault="00350F5C" w:rsidP="001615AB">
            <w:pPr>
              <w:spacing w:after="60" w:line="259" w:lineRule="auto"/>
              <w:contextualSpacing/>
              <w:rPr>
                <w:rFonts w:ascii="Calibri" w:eastAsia="Calibri" w:hAnsi="Calibri" w:cs="Calibri"/>
                <w:b/>
                <w:bCs/>
                <w:sz w:val="22"/>
                <w:szCs w:val="18"/>
              </w:rPr>
            </w:pPr>
            <w:r w:rsidRPr="004F1036">
              <w:rPr>
                <w:rFonts w:ascii="Calibri" w:eastAsia="Calibri" w:hAnsi="Calibri" w:cs="Calibri"/>
                <w:b/>
                <w:bCs/>
                <w:snapToGrid w:val="0"/>
                <w:sz w:val="22"/>
                <w:szCs w:val="18"/>
              </w:rPr>
              <w:t>Home Medicines Review (HMR)</w:t>
            </w:r>
          </w:p>
        </w:tc>
        <w:tc>
          <w:tcPr>
            <w:tcW w:w="3468" w:type="pct"/>
            <w:shd w:val="clear" w:color="auto" w:fill="auto"/>
            <w:hideMark/>
          </w:tcPr>
          <w:p w14:paraId="32DE067E" w14:textId="73A25F52" w:rsidR="00C276C1" w:rsidRPr="004F1036" w:rsidRDefault="00350F5C" w:rsidP="00C276C1">
            <w:pPr>
              <w:spacing w:after="60" w:line="259" w:lineRule="auto"/>
              <w:contextualSpacing/>
              <w:rPr>
                <w:rFonts w:ascii="Calibri" w:eastAsia="Calibri" w:hAnsi="Calibri" w:cs="Calibri"/>
                <w:sz w:val="22"/>
                <w:szCs w:val="18"/>
              </w:rPr>
            </w:pPr>
            <w:r>
              <w:rPr>
                <w:rFonts w:ascii="Calibri" w:eastAsia="Calibri" w:hAnsi="Calibri" w:cs="Calibri"/>
                <w:snapToGrid w:val="0"/>
                <w:sz w:val="22"/>
                <w:szCs w:val="18"/>
              </w:rPr>
              <w:t>The HMR commenced in 2001 and</w:t>
            </w:r>
            <w:r w:rsidRPr="004F1036">
              <w:rPr>
                <w:rFonts w:ascii="Calibri" w:eastAsia="Calibri" w:hAnsi="Calibri" w:cs="Calibri"/>
                <w:snapToGrid w:val="0"/>
                <w:sz w:val="22"/>
                <w:szCs w:val="18"/>
              </w:rPr>
              <w:t xml:space="preserve"> funds comprehensive medication reviews for people living in the community to reduce the risk of medication misadventure and optimise the benefits achieved from medication treatment.</w:t>
            </w:r>
          </w:p>
        </w:tc>
      </w:tr>
      <w:tr w:rsidR="00350F5C" w:rsidRPr="004F1036" w14:paraId="0F4B7D61" w14:textId="77777777" w:rsidTr="00B67885">
        <w:trPr>
          <w:cantSplit/>
          <w:trHeight w:val="139"/>
          <w:jc w:val="center"/>
        </w:trPr>
        <w:tc>
          <w:tcPr>
            <w:tcW w:w="1532" w:type="pct"/>
            <w:shd w:val="clear" w:color="auto" w:fill="auto"/>
          </w:tcPr>
          <w:p w14:paraId="235315E4" w14:textId="77777777" w:rsidR="00350F5C" w:rsidRPr="004F1036" w:rsidRDefault="00350F5C" w:rsidP="001615AB">
            <w:pPr>
              <w:spacing w:after="60" w:line="259" w:lineRule="auto"/>
              <w:contextualSpacing/>
              <w:rPr>
                <w:rFonts w:ascii="Calibri" w:eastAsia="Calibri" w:hAnsi="Calibri" w:cs="Calibri"/>
                <w:b/>
                <w:bCs/>
                <w:snapToGrid w:val="0"/>
                <w:sz w:val="22"/>
                <w:szCs w:val="18"/>
              </w:rPr>
            </w:pPr>
            <w:r w:rsidRPr="004F1036">
              <w:rPr>
                <w:rFonts w:ascii="Calibri" w:eastAsia="Calibri" w:hAnsi="Calibri" w:cs="Calibri"/>
                <w:b/>
                <w:bCs/>
                <w:snapToGrid w:val="0"/>
                <w:sz w:val="22"/>
                <w:szCs w:val="18"/>
              </w:rPr>
              <w:t>Staged Supply (SS)</w:t>
            </w:r>
          </w:p>
        </w:tc>
        <w:tc>
          <w:tcPr>
            <w:tcW w:w="3468" w:type="pct"/>
            <w:shd w:val="clear" w:color="auto" w:fill="auto"/>
          </w:tcPr>
          <w:p w14:paraId="457B85F9" w14:textId="77777777" w:rsidR="00350F5C" w:rsidRPr="004F1036" w:rsidRDefault="00350F5C" w:rsidP="001615AB">
            <w:pPr>
              <w:spacing w:after="60" w:line="259" w:lineRule="auto"/>
              <w:rPr>
                <w:rFonts w:ascii="Calibri" w:eastAsia="Calibri" w:hAnsi="Calibri" w:cs="Calibri"/>
                <w:snapToGrid w:val="0"/>
                <w:sz w:val="22"/>
                <w:szCs w:val="18"/>
              </w:rPr>
            </w:pPr>
            <w:r w:rsidRPr="004F1036">
              <w:rPr>
                <w:rFonts w:ascii="Calibri" w:eastAsia="Calibri" w:hAnsi="Calibri" w:cs="Calibri"/>
                <w:snapToGrid w:val="0"/>
                <w:sz w:val="22"/>
                <w:szCs w:val="18"/>
              </w:rPr>
              <w:t>SS provides for the provision of medication in instalments where requested by a prescriber, with the aim to improve medication adherence.</w:t>
            </w:r>
          </w:p>
          <w:p w14:paraId="42B97B00" w14:textId="77777777" w:rsidR="00350F5C" w:rsidRDefault="00350F5C" w:rsidP="001615AB">
            <w:pPr>
              <w:spacing w:after="60" w:line="259" w:lineRule="auto"/>
              <w:rPr>
                <w:rFonts w:ascii="Calibri" w:eastAsia="Calibri" w:hAnsi="Calibri" w:cs="Calibri"/>
                <w:sz w:val="22"/>
                <w:szCs w:val="18"/>
              </w:rPr>
            </w:pPr>
          </w:p>
          <w:p w14:paraId="6874E762" w14:textId="21C7E42C" w:rsidR="00350F5C" w:rsidRPr="00B67885" w:rsidRDefault="00350F5C" w:rsidP="001615AB">
            <w:pPr>
              <w:spacing w:after="60" w:line="259" w:lineRule="auto"/>
              <w:rPr>
                <w:rFonts w:ascii="Calibri" w:eastAsia="Calibri" w:hAnsi="Calibri" w:cs="Calibri"/>
                <w:sz w:val="22"/>
                <w:szCs w:val="18"/>
              </w:rPr>
            </w:pPr>
            <w:r w:rsidRPr="004F1036">
              <w:rPr>
                <w:rFonts w:ascii="Calibri" w:eastAsia="Calibri" w:hAnsi="Calibri" w:cs="Calibri"/>
                <w:sz w:val="22"/>
                <w:szCs w:val="18"/>
              </w:rPr>
              <w:t xml:space="preserve">Each community pharmacy taking part in the program is funded to support up to 15 patients per month. </w:t>
            </w:r>
          </w:p>
        </w:tc>
      </w:tr>
      <w:tr w:rsidR="00350F5C" w:rsidRPr="004F1036" w14:paraId="24BEB560" w14:textId="77777777" w:rsidTr="00B67885">
        <w:trPr>
          <w:cantSplit/>
          <w:trHeight w:val="139"/>
          <w:jc w:val="center"/>
        </w:trPr>
        <w:tc>
          <w:tcPr>
            <w:tcW w:w="1532" w:type="pct"/>
            <w:shd w:val="clear" w:color="auto" w:fill="auto"/>
          </w:tcPr>
          <w:p w14:paraId="5E15B453" w14:textId="77777777" w:rsidR="00350F5C" w:rsidRPr="004F1036" w:rsidRDefault="00350F5C" w:rsidP="001615AB">
            <w:pPr>
              <w:spacing w:after="60" w:line="259" w:lineRule="auto"/>
              <w:contextualSpacing/>
              <w:rPr>
                <w:rFonts w:ascii="Calibri" w:eastAsia="Calibri" w:hAnsi="Calibri" w:cs="Calibri"/>
                <w:b/>
                <w:bCs/>
                <w:snapToGrid w:val="0"/>
                <w:sz w:val="22"/>
                <w:szCs w:val="18"/>
              </w:rPr>
            </w:pPr>
            <w:r w:rsidRPr="004F1036">
              <w:rPr>
                <w:rFonts w:ascii="Calibri" w:eastAsia="Calibri" w:hAnsi="Calibri" w:cs="Calibri"/>
                <w:b/>
                <w:bCs/>
                <w:snapToGrid w:val="0"/>
                <w:sz w:val="22"/>
                <w:szCs w:val="18"/>
              </w:rPr>
              <w:t>Dose Administration Aids (DAA)</w:t>
            </w:r>
          </w:p>
        </w:tc>
        <w:tc>
          <w:tcPr>
            <w:tcW w:w="3468" w:type="pct"/>
            <w:shd w:val="clear" w:color="auto" w:fill="auto"/>
          </w:tcPr>
          <w:p w14:paraId="01B3B5F0" w14:textId="7A43BF40" w:rsidR="00350F5C" w:rsidRPr="004F1036" w:rsidRDefault="00350F5C" w:rsidP="00E56353">
            <w:pPr>
              <w:spacing w:line="259" w:lineRule="auto"/>
              <w:rPr>
                <w:rFonts w:ascii="Calibri" w:eastAsia="Calibri" w:hAnsi="Calibri" w:cs="Calibri"/>
                <w:snapToGrid w:val="0"/>
                <w:sz w:val="22"/>
                <w:szCs w:val="18"/>
              </w:rPr>
            </w:pPr>
            <w:r w:rsidRPr="004F1036">
              <w:rPr>
                <w:rFonts w:ascii="Calibri" w:eastAsia="Calibri" w:hAnsi="Calibri" w:cs="Calibri"/>
                <w:snapToGrid w:val="0"/>
                <w:sz w:val="22"/>
                <w:szCs w:val="18"/>
              </w:rPr>
              <w:t>DAA</w:t>
            </w:r>
            <w:r>
              <w:rPr>
                <w:rFonts w:ascii="Calibri" w:eastAsia="Calibri" w:hAnsi="Calibri" w:cs="Calibri"/>
                <w:snapToGrid w:val="0"/>
                <w:sz w:val="22"/>
                <w:szCs w:val="18"/>
              </w:rPr>
              <w:t>s</w:t>
            </w:r>
            <w:r w:rsidRPr="004F1036">
              <w:rPr>
                <w:rFonts w:ascii="Calibri" w:eastAsia="Calibri" w:hAnsi="Calibri" w:cs="Calibri"/>
                <w:snapToGrid w:val="0"/>
                <w:sz w:val="22"/>
                <w:szCs w:val="18"/>
              </w:rPr>
              <w:t xml:space="preserve"> are provided with the aim of assisting people with the management and timing of their medicines. A DAA is a well-sealed, tamper-evident device that allows individual medicine doses to be organised according to the prescribed dose schedule.</w:t>
            </w:r>
          </w:p>
        </w:tc>
      </w:tr>
      <w:tr w:rsidR="00350F5C" w:rsidRPr="004F1036" w14:paraId="7F1CE7F6" w14:textId="77777777" w:rsidTr="00B67885">
        <w:trPr>
          <w:cantSplit/>
          <w:trHeight w:val="139"/>
          <w:jc w:val="center"/>
        </w:trPr>
        <w:tc>
          <w:tcPr>
            <w:tcW w:w="1532" w:type="pct"/>
            <w:shd w:val="clear" w:color="auto" w:fill="auto"/>
          </w:tcPr>
          <w:p w14:paraId="4340E404" w14:textId="77777777" w:rsidR="00350F5C" w:rsidRPr="004F1036" w:rsidRDefault="00350F5C" w:rsidP="001615AB">
            <w:pPr>
              <w:spacing w:after="60" w:line="259" w:lineRule="auto"/>
              <w:contextualSpacing/>
              <w:rPr>
                <w:rFonts w:ascii="Calibri" w:eastAsia="Calibri" w:hAnsi="Calibri" w:cs="Calibri"/>
                <w:b/>
                <w:bCs/>
                <w:snapToGrid w:val="0"/>
                <w:sz w:val="22"/>
                <w:szCs w:val="18"/>
              </w:rPr>
            </w:pPr>
            <w:r w:rsidRPr="004F1036">
              <w:rPr>
                <w:rFonts w:ascii="Calibri" w:eastAsia="Calibri" w:hAnsi="Calibri" w:cs="Calibri"/>
                <w:b/>
                <w:bCs/>
                <w:snapToGrid w:val="0"/>
                <w:sz w:val="22"/>
                <w:szCs w:val="18"/>
              </w:rPr>
              <w:t>Indigenous Dose Administration Aids (IDAA)</w:t>
            </w:r>
          </w:p>
        </w:tc>
        <w:tc>
          <w:tcPr>
            <w:tcW w:w="3468" w:type="pct"/>
            <w:shd w:val="clear" w:color="auto" w:fill="auto"/>
          </w:tcPr>
          <w:p w14:paraId="333EB2A0" w14:textId="6AAB997C" w:rsidR="001E6755" w:rsidRPr="00D80A80" w:rsidRDefault="00350F5C" w:rsidP="00D80A80">
            <w:pPr>
              <w:shd w:val="clear" w:color="auto" w:fill="FFFFFF"/>
              <w:rPr>
                <w:rFonts w:ascii="Calibri" w:hAnsi="Calibri" w:cs="Calibri"/>
                <w:snapToGrid w:val="0"/>
                <w:sz w:val="22"/>
                <w:szCs w:val="18"/>
              </w:rPr>
            </w:pPr>
            <w:r w:rsidRPr="004F1036">
              <w:rPr>
                <w:rFonts w:ascii="Calibri" w:hAnsi="Calibri" w:cs="Calibri"/>
                <w:snapToGrid w:val="0"/>
                <w:sz w:val="22"/>
                <w:szCs w:val="18"/>
              </w:rPr>
              <w:t>The IDAA Program closely mirrors and runs parallel with the broader DAA Program with a few key differences, including:</w:t>
            </w:r>
            <w:r w:rsidRPr="004F1036">
              <w:rPr>
                <w:rFonts w:ascii="Calibri" w:hAnsi="Calibri" w:cs="Calibri"/>
                <w:snapToGrid w:val="0"/>
                <w:sz w:val="22"/>
                <w:szCs w:val="18"/>
              </w:rPr>
              <w:br/>
            </w:r>
            <w:r w:rsidRPr="004F1036">
              <w:rPr>
                <w:rFonts w:ascii="Calibri" w:hAnsi="Calibri" w:cs="Calibri" w:hint="eastAsia"/>
                <w:snapToGrid w:val="0"/>
                <w:sz w:val="22"/>
                <w:szCs w:val="18"/>
              </w:rPr>
              <w:t>•</w:t>
            </w:r>
            <w:r w:rsidRPr="004F1036">
              <w:rPr>
                <w:rFonts w:ascii="Calibri" w:hAnsi="Calibri" w:cs="Calibri"/>
                <w:snapToGrid w:val="0"/>
                <w:sz w:val="22"/>
                <w:szCs w:val="18"/>
              </w:rPr>
              <w:t xml:space="preserve"> Patient eligibility criteria to support Aboriginal and/or Torres Strait Islander patients;</w:t>
            </w:r>
            <w:r w:rsidRPr="004F1036">
              <w:rPr>
                <w:rFonts w:ascii="Calibri" w:hAnsi="Calibri" w:cs="Calibri"/>
                <w:snapToGrid w:val="0"/>
                <w:sz w:val="22"/>
                <w:szCs w:val="18"/>
              </w:rPr>
              <w:br/>
            </w:r>
            <w:r w:rsidRPr="004F1036">
              <w:rPr>
                <w:rFonts w:ascii="Calibri" w:hAnsi="Calibri" w:cs="Calibri" w:hint="eastAsia"/>
                <w:snapToGrid w:val="0"/>
                <w:sz w:val="22"/>
                <w:szCs w:val="18"/>
              </w:rPr>
              <w:t>•</w:t>
            </w:r>
            <w:r w:rsidRPr="004F1036">
              <w:rPr>
                <w:rFonts w:ascii="Calibri" w:hAnsi="Calibri" w:cs="Calibri"/>
                <w:snapToGrid w:val="0"/>
                <w:sz w:val="22"/>
                <w:szCs w:val="18"/>
              </w:rPr>
              <w:t xml:space="preserve"> Access to the Program will be uncapped, unlike the broader DAA Program, which has weekly service caps applied to individual pharmacies.</w:t>
            </w:r>
          </w:p>
        </w:tc>
      </w:tr>
      <w:tr w:rsidR="00350F5C" w:rsidRPr="004F1036" w14:paraId="0E7245A3" w14:textId="77777777" w:rsidTr="00B67885">
        <w:tblPrEx>
          <w:tblCellMar>
            <w:left w:w="81" w:type="dxa"/>
            <w:right w:w="81" w:type="dxa"/>
          </w:tblCellMar>
        </w:tblPrEx>
        <w:trPr>
          <w:cantSplit/>
          <w:trHeight w:val="139"/>
          <w:jc w:val="center"/>
        </w:trPr>
        <w:tc>
          <w:tcPr>
            <w:tcW w:w="1532" w:type="pct"/>
            <w:tcBorders>
              <w:top w:val="single" w:sz="4" w:space="0" w:color="auto"/>
              <w:left w:val="single" w:sz="4" w:space="0" w:color="auto"/>
              <w:bottom w:val="single" w:sz="4" w:space="0" w:color="auto"/>
              <w:right w:val="single" w:sz="4" w:space="0" w:color="auto"/>
            </w:tcBorders>
            <w:hideMark/>
          </w:tcPr>
          <w:p w14:paraId="12FBCECB" w14:textId="77777777" w:rsidR="00350F5C" w:rsidRPr="004F1036" w:rsidRDefault="00350F5C" w:rsidP="001615AB">
            <w:pPr>
              <w:spacing w:after="60" w:line="259" w:lineRule="auto"/>
              <w:contextualSpacing/>
              <w:rPr>
                <w:rFonts w:ascii="Calibri" w:eastAsia="Calibri" w:hAnsi="Calibri" w:cs="Calibri"/>
                <w:b/>
                <w:bCs/>
                <w:sz w:val="22"/>
                <w:szCs w:val="18"/>
              </w:rPr>
            </w:pPr>
            <w:r w:rsidRPr="004F1036">
              <w:rPr>
                <w:rFonts w:ascii="Calibri" w:eastAsia="Calibri" w:hAnsi="Calibri" w:cs="Calibri"/>
                <w:b/>
                <w:bCs/>
                <w:snapToGrid w:val="0"/>
                <w:sz w:val="22"/>
                <w:szCs w:val="18"/>
              </w:rPr>
              <w:t>Residential Medication Management Review (RMMR) and Quality Use of Medicines (QUM)</w:t>
            </w:r>
          </w:p>
        </w:tc>
        <w:tc>
          <w:tcPr>
            <w:tcW w:w="3468" w:type="pct"/>
            <w:tcBorders>
              <w:top w:val="single" w:sz="4" w:space="0" w:color="auto"/>
              <w:left w:val="single" w:sz="4" w:space="0" w:color="auto"/>
              <w:bottom w:val="single" w:sz="4" w:space="0" w:color="auto"/>
              <w:right w:val="single" w:sz="4" w:space="0" w:color="auto"/>
            </w:tcBorders>
          </w:tcPr>
          <w:p w14:paraId="6138F020" w14:textId="77777777" w:rsidR="00350F5C" w:rsidRPr="004F1036" w:rsidRDefault="00350F5C" w:rsidP="001615AB">
            <w:pPr>
              <w:spacing w:after="60" w:line="259" w:lineRule="auto"/>
              <w:contextualSpacing/>
              <w:rPr>
                <w:rFonts w:ascii="Calibri" w:eastAsia="Calibri" w:hAnsi="Calibri" w:cs="Calibri"/>
                <w:sz w:val="22"/>
                <w:szCs w:val="18"/>
              </w:rPr>
            </w:pPr>
            <w:r w:rsidRPr="004F1036">
              <w:rPr>
                <w:rFonts w:ascii="Calibri" w:eastAsia="Calibri" w:hAnsi="Calibri" w:cs="Calibri"/>
                <w:snapToGrid w:val="0"/>
                <w:sz w:val="22"/>
                <w:szCs w:val="18"/>
              </w:rPr>
              <w:t>Established in 1997 under the Second Community Pharmacy Agreement (2CPA), the RMMR program provides for a review of a patient’s medication information in a Government funded Residential Aged Care Facility (RACF).</w:t>
            </w:r>
          </w:p>
          <w:p w14:paraId="6060E62C" w14:textId="77777777" w:rsidR="00350F5C" w:rsidRPr="004F1036" w:rsidRDefault="00350F5C" w:rsidP="001615AB">
            <w:pPr>
              <w:spacing w:after="60" w:line="259" w:lineRule="auto"/>
              <w:contextualSpacing/>
              <w:rPr>
                <w:rFonts w:ascii="Calibri" w:eastAsia="Calibri" w:hAnsi="Calibri" w:cs="Calibri"/>
                <w:snapToGrid w:val="0"/>
                <w:sz w:val="22"/>
                <w:szCs w:val="18"/>
              </w:rPr>
            </w:pPr>
          </w:p>
          <w:p w14:paraId="53D60197" w14:textId="388097A9" w:rsidR="00350F5C" w:rsidRPr="004F1036" w:rsidRDefault="00350F5C" w:rsidP="00B67885">
            <w:pPr>
              <w:spacing w:after="60" w:line="259" w:lineRule="auto"/>
              <w:contextualSpacing/>
              <w:rPr>
                <w:rFonts w:ascii="Calibri" w:eastAsia="Calibri" w:hAnsi="Calibri" w:cs="Calibri"/>
                <w:snapToGrid w:val="0"/>
                <w:sz w:val="22"/>
                <w:szCs w:val="18"/>
              </w:rPr>
            </w:pPr>
            <w:r w:rsidRPr="004F1036">
              <w:rPr>
                <w:rFonts w:ascii="Calibri" w:eastAsia="Calibri" w:hAnsi="Calibri" w:cs="Calibri"/>
                <w:snapToGrid w:val="0"/>
                <w:sz w:val="22"/>
                <w:szCs w:val="18"/>
              </w:rPr>
              <w:t>From 1 October 2011, the QUM service components were separated out as an individual fee.</w:t>
            </w:r>
            <w:r w:rsidR="00E85BFB">
              <w:rPr>
                <w:rFonts w:ascii="Calibri" w:eastAsia="Calibri" w:hAnsi="Calibri" w:cs="Calibri"/>
                <w:snapToGrid w:val="0"/>
                <w:sz w:val="22"/>
                <w:szCs w:val="18"/>
              </w:rPr>
              <w:t xml:space="preserve"> </w:t>
            </w:r>
            <w:r w:rsidRPr="004F1036">
              <w:rPr>
                <w:rFonts w:ascii="Calibri" w:eastAsia="Calibri" w:hAnsi="Calibri" w:cs="Calibri"/>
                <w:snapToGrid w:val="0"/>
                <w:sz w:val="22"/>
                <w:szCs w:val="18"/>
              </w:rPr>
              <w:t>QUM service focuses on improving practices and procedures as they relate to the quality use of medicines in a residential care facility.</w:t>
            </w:r>
          </w:p>
        </w:tc>
      </w:tr>
      <w:tr w:rsidR="00350F5C" w:rsidRPr="004F1036" w14:paraId="25DDD5A3" w14:textId="77777777" w:rsidTr="00B67885">
        <w:tblPrEx>
          <w:tblCellMar>
            <w:left w:w="81" w:type="dxa"/>
            <w:right w:w="81" w:type="dxa"/>
          </w:tblCellMar>
        </w:tblPrEx>
        <w:trPr>
          <w:cantSplit/>
          <w:jc w:val="center"/>
        </w:trPr>
        <w:tc>
          <w:tcPr>
            <w:tcW w:w="1532" w:type="pct"/>
            <w:tcBorders>
              <w:top w:val="single" w:sz="4" w:space="0" w:color="auto"/>
              <w:left w:val="single" w:sz="4" w:space="0" w:color="auto"/>
              <w:bottom w:val="single" w:sz="4" w:space="0" w:color="auto"/>
              <w:right w:val="single" w:sz="4" w:space="0" w:color="auto"/>
            </w:tcBorders>
          </w:tcPr>
          <w:p w14:paraId="50E6361C" w14:textId="5A6B8B49" w:rsidR="00350F5C" w:rsidRPr="004F1036" w:rsidRDefault="00350F5C" w:rsidP="00091514">
            <w:pPr>
              <w:spacing w:after="60" w:line="259" w:lineRule="auto"/>
              <w:contextualSpacing/>
              <w:rPr>
                <w:rFonts w:ascii="Calibri" w:eastAsia="Calibri" w:hAnsi="Calibri" w:cs="Calibri"/>
                <w:b/>
                <w:bCs/>
                <w:snapToGrid w:val="0"/>
                <w:sz w:val="22"/>
                <w:szCs w:val="18"/>
              </w:rPr>
            </w:pPr>
            <w:r w:rsidRPr="004F1036">
              <w:rPr>
                <w:rFonts w:ascii="Calibri" w:eastAsia="Calibri" w:hAnsi="Calibri" w:cs="Calibri"/>
                <w:b/>
                <w:bCs/>
                <w:snapToGrid w:val="0"/>
                <w:sz w:val="22"/>
                <w:szCs w:val="18"/>
              </w:rPr>
              <w:lastRenderedPageBreak/>
              <w:t>Rural Pharmacy Workforce Programs</w:t>
            </w:r>
          </w:p>
        </w:tc>
        <w:tc>
          <w:tcPr>
            <w:tcW w:w="3468" w:type="pct"/>
            <w:tcBorders>
              <w:top w:val="single" w:sz="4" w:space="0" w:color="auto"/>
              <w:left w:val="single" w:sz="4" w:space="0" w:color="auto"/>
              <w:bottom w:val="single" w:sz="4" w:space="0" w:color="auto"/>
              <w:right w:val="single" w:sz="4" w:space="0" w:color="auto"/>
            </w:tcBorders>
          </w:tcPr>
          <w:p w14:paraId="33978004" w14:textId="3B7756C5" w:rsidR="00091514" w:rsidRDefault="00091514" w:rsidP="001615AB">
            <w:pPr>
              <w:spacing w:after="60" w:line="259" w:lineRule="auto"/>
              <w:contextualSpacing/>
              <w:rPr>
                <w:rFonts w:ascii="Calibri" w:eastAsia="Calibri" w:hAnsi="Calibri" w:cs="Calibri"/>
                <w:snapToGrid w:val="0"/>
                <w:sz w:val="22"/>
                <w:szCs w:val="18"/>
              </w:rPr>
            </w:pPr>
            <w:r>
              <w:rPr>
                <w:rFonts w:ascii="Calibri" w:eastAsia="Calibri" w:hAnsi="Calibri" w:cs="Calibri"/>
                <w:snapToGrid w:val="0"/>
                <w:sz w:val="22"/>
                <w:szCs w:val="18"/>
              </w:rPr>
              <w:t>These programs aim</w:t>
            </w:r>
            <w:r w:rsidR="00350F5C" w:rsidRPr="004F1036">
              <w:rPr>
                <w:rFonts w:ascii="Calibri" w:eastAsia="Calibri" w:hAnsi="Calibri" w:cs="Calibri"/>
                <w:snapToGrid w:val="0"/>
                <w:sz w:val="22"/>
                <w:szCs w:val="18"/>
              </w:rPr>
              <w:t xml:space="preserve"> to maintain and improve access to quality community pharmacy services in rural communities and strengthen and support the rural pharmacy workforce</w:t>
            </w:r>
            <w:r>
              <w:rPr>
                <w:rFonts w:ascii="Calibri" w:eastAsia="Calibri" w:hAnsi="Calibri" w:cs="Calibri"/>
                <w:snapToGrid w:val="0"/>
                <w:sz w:val="22"/>
                <w:szCs w:val="18"/>
              </w:rPr>
              <w:t xml:space="preserve"> and include:</w:t>
            </w:r>
          </w:p>
          <w:p w14:paraId="6426E9EB" w14:textId="77777777" w:rsidR="009F736B" w:rsidRPr="00A163CD" w:rsidRDefault="009F736B" w:rsidP="009F736B">
            <w:pPr>
              <w:numPr>
                <w:ilvl w:val="0"/>
                <w:numId w:val="48"/>
              </w:numPr>
              <w:spacing w:after="0" w:line="240" w:lineRule="auto"/>
              <w:textAlignment w:val="center"/>
              <w:rPr>
                <w:rFonts w:eastAsia="Times New Roman"/>
                <w:sz w:val="22"/>
                <w:szCs w:val="22"/>
              </w:rPr>
            </w:pPr>
            <w:r w:rsidRPr="00A163CD">
              <w:rPr>
                <w:rFonts w:eastAsia="Times New Roman"/>
                <w:sz w:val="22"/>
                <w:szCs w:val="22"/>
              </w:rPr>
              <w:t xml:space="preserve">Administrative Support to Pharmacy Schools Scheme (Admin) </w:t>
            </w:r>
          </w:p>
          <w:p w14:paraId="2AA93A7C" w14:textId="77777777" w:rsidR="009F736B" w:rsidRDefault="009F736B" w:rsidP="009F736B">
            <w:pPr>
              <w:numPr>
                <w:ilvl w:val="0"/>
                <w:numId w:val="48"/>
              </w:numPr>
              <w:spacing w:after="0" w:line="240" w:lineRule="auto"/>
              <w:textAlignment w:val="center"/>
              <w:rPr>
                <w:rFonts w:eastAsia="Times New Roman"/>
                <w:sz w:val="22"/>
                <w:szCs w:val="22"/>
              </w:rPr>
            </w:pPr>
            <w:r w:rsidRPr="00561D68">
              <w:rPr>
                <w:rFonts w:eastAsia="Times New Roman"/>
                <w:sz w:val="22"/>
                <w:szCs w:val="22"/>
              </w:rPr>
              <w:t xml:space="preserve">Emergency Locum Service (ELS) </w:t>
            </w:r>
          </w:p>
          <w:p w14:paraId="4549D298" w14:textId="77777777" w:rsidR="0016563D" w:rsidRDefault="009F736B" w:rsidP="009F736B">
            <w:pPr>
              <w:numPr>
                <w:ilvl w:val="0"/>
                <w:numId w:val="48"/>
              </w:numPr>
              <w:spacing w:after="0" w:line="240" w:lineRule="auto"/>
              <w:textAlignment w:val="center"/>
              <w:rPr>
                <w:rFonts w:eastAsia="Times New Roman"/>
                <w:sz w:val="22"/>
                <w:szCs w:val="22"/>
              </w:rPr>
            </w:pPr>
            <w:r>
              <w:rPr>
                <w:rFonts w:eastAsia="Times New Roman"/>
                <w:sz w:val="22"/>
                <w:szCs w:val="22"/>
              </w:rPr>
              <w:t>Home Medicines Review Rural Loading Allowance (HMR-RLA</w:t>
            </w:r>
            <w:r w:rsidR="0016563D">
              <w:rPr>
                <w:rFonts w:eastAsia="Times New Roman"/>
                <w:sz w:val="22"/>
                <w:szCs w:val="22"/>
              </w:rPr>
              <w:t>)</w:t>
            </w:r>
            <w:r w:rsidRPr="00A163CD">
              <w:rPr>
                <w:rFonts w:eastAsia="Times New Roman"/>
                <w:sz w:val="22"/>
                <w:szCs w:val="22"/>
              </w:rPr>
              <w:t xml:space="preserve"> </w:t>
            </w:r>
          </w:p>
          <w:p w14:paraId="43E8CD23" w14:textId="0033261D" w:rsidR="009F736B" w:rsidRPr="00A163CD" w:rsidRDefault="009F736B" w:rsidP="009F736B">
            <w:pPr>
              <w:numPr>
                <w:ilvl w:val="0"/>
                <w:numId w:val="48"/>
              </w:numPr>
              <w:spacing w:after="0" w:line="240" w:lineRule="auto"/>
              <w:textAlignment w:val="center"/>
              <w:rPr>
                <w:rFonts w:eastAsia="Times New Roman"/>
                <w:sz w:val="22"/>
                <w:szCs w:val="22"/>
              </w:rPr>
            </w:pPr>
            <w:r w:rsidRPr="00A163CD">
              <w:rPr>
                <w:rFonts w:eastAsia="Times New Roman"/>
                <w:sz w:val="22"/>
                <w:szCs w:val="22"/>
              </w:rPr>
              <w:t>Intern Incentive Allowance for Rural Pharmacies (IIARP)</w:t>
            </w:r>
          </w:p>
          <w:p w14:paraId="55129FB7" w14:textId="77777777" w:rsidR="009F736B" w:rsidRPr="00A163CD" w:rsidRDefault="009F736B" w:rsidP="009F736B">
            <w:pPr>
              <w:numPr>
                <w:ilvl w:val="0"/>
                <w:numId w:val="48"/>
              </w:numPr>
              <w:spacing w:after="0" w:line="240" w:lineRule="auto"/>
              <w:textAlignment w:val="center"/>
              <w:rPr>
                <w:rFonts w:eastAsia="Times New Roman"/>
                <w:sz w:val="22"/>
                <w:szCs w:val="22"/>
              </w:rPr>
            </w:pPr>
            <w:r w:rsidRPr="00A163CD">
              <w:rPr>
                <w:rFonts w:eastAsia="Times New Roman"/>
                <w:sz w:val="22"/>
                <w:szCs w:val="22"/>
              </w:rPr>
              <w:t>Intern Incentive Allowance for Rural Pharmacies Extension program (IIARP-EP)</w:t>
            </w:r>
          </w:p>
          <w:p w14:paraId="7F05E05C" w14:textId="2BA40B72" w:rsidR="009F736B" w:rsidRPr="0016563D" w:rsidRDefault="00091514" w:rsidP="0016563D">
            <w:pPr>
              <w:numPr>
                <w:ilvl w:val="0"/>
                <w:numId w:val="48"/>
              </w:numPr>
              <w:spacing w:after="0" w:line="240" w:lineRule="auto"/>
              <w:textAlignment w:val="center"/>
              <w:rPr>
                <w:rFonts w:eastAsia="Times New Roman"/>
                <w:sz w:val="22"/>
                <w:szCs w:val="22"/>
              </w:rPr>
            </w:pPr>
            <w:r w:rsidRPr="0016563D">
              <w:rPr>
                <w:rFonts w:eastAsia="Times New Roman"/>
                <w:sz w:val="22"/>
                <w:szCs w:val="22"/>
              </w:rPr>
              <w:t xml:space="preserve">Rural Continuing Professional Education Allowance (CPE) </w:t>
            </w:r>
          </w:p>
          <w:p w14:paraId="78D6D711" w14:textId="77777777" w:rsidR="00091514" w:rsidRPr="0016563D" w:rsidRDefault="00091514" w:rsidP="00091514">
            <w:pPr>
              <w:numPr>
                <w:ilvl w:val="0"/>
                <w:numId w:val="48"/>
              </w:numPr>
              <w:spacing w:after="0" w:line="240" w:lineRule="auto"/>
              <w:textAlignment w:val="center"/>
              <w:rPr>
                <w:rFonts w:eastAsia="Times New Roman"/>
                <w:sz w:val="22"/>
                <w:szCs w:val="22"/>
              </w:rPr>
            </w:pPr>
            <w:r w:rsidRPr="0016563D">
              <w:rPr>
                <w:rFonts w:eastAsia="Times New Roman"/>
                <w:sz w:val="22"/>
                <w:szCs w:val="22"/>
              </w:rPr>
              <w:t>Rural Intern Training Allowance(RITA)</w:t>
            </w:r>
          </w:p>
          <w:p w14:paraId="6B6001C0" w14:textId="77777777" w:rsidR="009F736B" w:rsidRPr="00844713" w:rsidRDefault="009F736B" w:rsidP="009F736B">
            <w:pPr>
              <w:numPr>
                <w:ilvl w:val="0"/>
                <w:numId w:val="48"/>
              </w:numPr>
              <w:spacing w:after="0" w:line="240" w:lineRule="auto"/>
              <w:textAlignment w:val="center"/>
              <w:rPr>
                <w:rFonts w:eastAsia="Times New Roman"/>
                <w:sz w:val="22"/>
                <w:szCs w:val="22"/>
              </w:rPr>
            </w:pPr>
            <w:r w:rsidRPr="00844713">
              <w:rPr>
                <w:rFonts w:eastAsia="Times New Roman"/>
                <w:sz w:val="22"/>
                <w:szCs w:val="22"/>
              </w:rPr>
              <w:t>Rural Pharmacy Liaison Officer Program</w:t>
            </w:r>
            <w:r>
              <w:rPr>
                <w:rFonts w:eastAsia="Times New Roman"/>
                <w:sz w:val="22"/>
                <w:szCs w:val="22"/>
              </w:rPr>
              <w:t xml:space="preserve"> </w:t>
            </w:r>
            <w:r w:rsidRPr="00844713">
              <w:rPr>
                <w:rFonts w:eastAsia="Times New Roman"/>
                <w:sz w:val="22"/>
                <w:szCs w:val="22"/>
              </w:rPr>
              <w:t>(RPLO)</w:t>
            </w:r>
          </w:p>
          <w:p w14:paraId="21AE8B8C" w14:textId="4262BA0E" w:rsidR="00091514" w:rsidRPr="0016563D" w:rsidRDefault="009F736B" w:rsidP="0016563D">
            <w:pPr>
              <w:numPr>
                <w:ilvl w:val="0"/>
                <w:numId w:val="48"/>
              </w:numPr>
              <w:spacing w:after="0" w:line="240" w:lineRule="auto"/>
              <w:textAlignment w:val="center"/>
              <w:rPr>
                <w:rFonts w:eastAsia="Times New Roman"/>
                <w:sz w:val="22"/>
                <w:szCs w:val="22"/>
              </w:rPr>
            </w:pPr>
            <w:r w:rsidRPr="001311C4">
              <w:rPr>
                <w:rFonts w:eastAsia="Times New Roman"/>
                <w:sz w:val="22"/>
                <w:szCs w:val="22"/>
              </w:rPr>
              <w:t>Rural Pharmacy Scholarship Mentor Scheme (RPSS-Mentor)</w:t>
            </w:r>
            <w:r w:rsidR="00091514" w:rsidRPr="0016563D">
              <w:rPr>
                <w:rFonts w:eastAsia="Times New Roman"/>
                <w:sz w:val="22"/>
                <w:szCs w:val="22"/>
              </w:rPr>
              <w:t>Rural Pharmacy Scholarship Scheme (RPSS)</w:t>
            </w:r>
          </w:p>
          <w:p w14:paraId="7B411D7D" w14:textId="77777777" w:rsidR="00091514" w:rsidRPr="0016563D" w:rsidRDefault="00091514" w:rsidP="00091514">
            <w:pPr>
              <w:numPr>
                <w:ilvl w:val="0"/>
                <w:numId w:val="48"/>
              </w:numPr>
              <w:spacing w:after="0" w:line="240" w:lineRule="auto"/>
              <w:textAlignment w:val="center"/>
              <w:rPr>
                <w:rFonts w:eastAsia="Times New Roman"/>
                <w:sz w:val="22"/>
                <w:szCs w:val="22"/>
              </w:rPr>
            </w:pPr>
            <w:r w:rsidRPr="0016563D">
              <w:rPr>
                <w:rFonts w:eastAsia="Times New Roman"/>
                <w:sz w:val="22"/>
                <w:szCs w:val="22"/>
              </w:rPr>
              <w:t xml:space="preserve">Rural Pharmacy Student Placement Allowance Program (RPSPA ) </w:t>
            </w:r>
          </w:p>
          <w:p w14:paraId="3F8AA565" w14:textId="77777777" w:rsidR="00350F5C" w:rsidRPr="004F1036" w:rsidRDefault="00350F5C" w:rsidP="001615AB">
            <w:pPr>
              <w:spacing w:after="60" w:line="259" w:lineRule="auto"/>
              <w:contextualSpacing/>
              <w:rPr>
                <w:rFonts w:ascii="Calibri" w:eastAsia="Calibri" w:hAnsi="Calibri" w:cs="Calibri"/>
                <w:sz w:val="22"/>
                <w:szCs w:val="18"/>
              </w:rPr>
            </w:pPr>
          </w:p>
          <w:p w14:paraId="35D55D59" w14:textId="2922FC5B" w:rsidR="00350F5C" w:rsidRPr="0016563D" w:rsidRDefault="00350F5C" w:rsidP="001615AB">
            <w:pPr>
              <w:spacing w:after="60" w:line="259" w:lineRule="auto"/>
              <w:contextualSpacing/>
              <w:rPr>
                <w:rFonts w:ascii="Calibri" w:eastAsia="Calibri" w:hAnsi="Calibri" w:cs="Calibri"/>
                <w:sz w:val="22"/>
                <w:szCs w:val="18"/>
              </w:rPr>
            </w:pPr>
            <w:r w:rsidRPr="004F1036">
              <w:rPr>
                <w:rFonts w:ascii="Calibri" w:eastAsia="Calibri" w:hAnsi="Calibri" w:cs="Calibri"/>
                <w:snapToGrid w:val="0"/>
                <w:sz w:val="22"/>
                <w:szCs w:val="18"/>
              </w:rPr>
              <w:t>The programs are intended to recruit, train, support and retain pharmacists for regional, rural, and remote areas, including intern incentives, undergraduate and postgraduate scholarships, continuing professional education allowance and an emergency locum scheme.</w:t>
            </w:r>
          </w:p>
        </w:tc>
      </w:tr>
      <w:tr w:rsidR="00350F5C" w:rsidRPr="004F1036" w14:paraId="139937EE" w14:textId="77777777" w:rsidTr="00B67885">
        <w:tblPrEx>
          <w:tblCellMar>
            <w:left w:w="81" w:type="dxa"/>
            <w:right w:w="81" w:type="dxa"/>
          </w:tblCellMar>
        </w:tblPrEx>
        <w:trPr>
          <w:cantSplit/>
          <w:jc w:val="center"/>
        </w:trPr>
        <w:tc>
          <w:tcPr>
            <w:tcW w:w="1532" w:type="pct"/>
            <w:tcBorders>
              <w:top w:val="single" w:sz="4" w:space="0" w:color="auto"/>
              <w:left w:val="single" w:sz="4" w:space="0" w:color="auto"/>
              <w:bottom w:val="single" w:sz="4" w:space="0" w:color="auto"/>
              <w:right w:val="single" w:sz="4" w:space="0" w:color="auto"/>
            </w:tcBorders>
          </w:tcPr>
          <w:p w14:paraId="4A5982AA" w14:textId="77777777" w:rsidR="00350F5C" w:rsidRPr="004F1036" w:rsidRDefault="00350F5C" w:rsidP="001615AB">
            <w:pPr>
              <w:spacing w:after="60" w:line="259" w:lineRule="auto"/>
              <w:contextualSpacing/>
              <w:rPr>
                <w:rFonts w:ascii="Calibri" w:eastAsia="Calibri" w:hAnsi="Calibri" w:cs="Calibri"/>
                <w:b/>
                <w:bCs/>
                <w:snapToGrid w:val="0"/>
                <w:sz w:val="22"/>
                <w:szCs w:val="18"/>
              </w:rPr>
            </w:pPr>
            <w:r w:rsidRPr="004F1036">
              <w:rPr>
                <w:rFonts w:ascii="Calibri" w:eastAsia="Calibri" w:hAnsi="Calibri" w:cs="Calibri"/>
                <w:b/>
                <w:bCs/>
                <w:snapToGrid w:val="0"/>
                <w:sz w:val="22"/>
                <w:szCs w:val="18"/>
              </w:rPr>
              <w:t>Regional Pharmacy Maintenance Allowance</w:t>
            </w:r>
            <w:r>
              <w:rPr>
                <w:rFonts w:ascii="Calibri" w:eastAsia="Calibri" w:hAnsi="Calibri" w:cs="Calibri"/>
                <w:b/>
                <w:bCs/>
                <w:snapToGrid w:val="0"/>
                <w:sz w:val="22"/>
                <w:szCs w:val="18"/>
              </w:rPr>
              <w:t xml:space="preserve"> (RPMA)</w:t>
            </w:r>
          </w:p>
        </w:tc>
        <w:tc>
          <w:tcPr>
            <w:tcW w:w="3468" w:type="pct"/>
            <w:tcBorders>
              <w:top w:val="single" w:sz="4" w:space="0" w:color="auto"/>
              <w:left w:val="single" w:sz="4" w:space="0" w:color="auto"/>
              <w:bottom w:val="single" w:sz="4" w:space="0" w:color="auto"/>
              <w:right w:val="single" w:sz="4" w:space="0" w:color="auto"/>
            </w:tcBorders>
          </w:tcPr>
          <w:p w14:paraId="66F6934A" w14:textId="77777777" w:rsidR="00350F5C" w:rsidRPr="004F1036" w:rsidRDefault="00350F5C" w:rsidP="001615AB">
            <w:pPr>
              <w:spacing w:after="60" w:line="259" w:lineRule="auto"/>
              <w:contextualSpacing/>
              <w:rPr>
                <w:rFonts w:ascii="Calibri" w:eastAsia="Calibri" w:hAnsi="Calibri" w:cs="Calibri"/>
                <w:snapToGrid w:val="0"/>
                <w:sz w:val="22"/>
                <w:szCs w:val="18"/>
              </w:rPr>
            </w:pPr>
            <w:r>
              <w:rPr>
                <w:rFonts w:ascii="Calibri" w:eastAsia="Calibri" w:hAnsi="Calibri" w:cs="Calibri"/>
                <w:snapToGrid w:val="0"/>
                <w:sz w:val="22"/>
                <w:szCs w:val="18"/>
              </w:rPr>
              <w:t xml:space="preserve">The </w:t>
            </w:r>
            <w:r w:rsidRPr="004F1036">
              <w:rPr>
                <w:rFonts w:ascii="Calibri" w:eastAsia="Calibri" w:hAnsi="Calibri" w:cs="Calibri"/>
                <w:snapToGrid w:val="0"/>
                <w:sz w:val="22"/>
                <w:szCs w:val="18"/>
              </w:rPr>
              <w:t>RPMA provides financial assistance to eligible regional, rural and remote pharmacies.</w:t>
            </w:r>
          </w:p>
          <w:p w14:paraId="13021EB2" w14:textId="6B4783C6" w:rsidR="00350F5C" w:rsidRPr="004F1036" w:rsidRDefault="00350F5C" w:rsidP="001615AB">
            <w:pPr>
              <w:spacing w:after="60" w:line="259" w:lineRule="auto"/>
              <w:contextualSpacing/>
              <w:rPr>
                <w:rFonts w:ascii="Calibri" w:eastAsia="Calibri" w:hAnsi="Calibri" w:cs="Calibri"/>
                <w:snapToGrid w:val="0"/>
                <w:sz w:val="22"/>
                <w:szCs w:val="18"/>
                <w:lang w:val="en-US"/>
              </w:rPr>
            </w:pPr>
          </w:p>
        </w:tc>
      </w:tr>
      <w:tr w:rsidR="00350F5C" w:rsidRPr="004F1036" w14:paraId="7F380C18" w14:textId="77777777" w:rsidTr="00B67885">
        <w:tblPrEx>
          <w:tblCellMar>
            <w:left w:w="81" w:type="dxa"/>
            <w:right w:w="81" w:type="dxa"/>
          </w:tblCellMar>
        </w:tblPrEx>
        <w:trPr>
          <w:cantSplit/>
          <w:jc w:val="center"/>
        </w:trPr>
        <w:tc>
          <w:tcPr>
            <w:tcW w:w="1532" w:type="pct"/>
            <w:tcBorders>
              <w:top w:val="single" w:sz="4" w:space="0" w:color="auto"/>
              <w:left w:val="single" w:sz="4" w:space="0" w:color="auto"/>
              <w:bottom w:val="single" w:sz="4" w:space="0" w:color="auto"/>
              <w:right w:val="single" w:sz="4" w:space="0" w:color="auto"/>
            </w:tcBorders>
          </w:tcPr>
          <w:p w14:paraId="7803581C" w14:textId="77777777" w:rsidR="00350F5C" w:rsidRPr="004F1036" w:rsidRDefault="00350F5C" w:rsidP="001615AB">
            <w:pPr>
              <w:spacing w:after="60" w:line="259" w:lineRule="auto"/>
              <w:contextualSpacing/>
              <w:rPr>
                <w:rFonts w:ascii="Calibri" w:eastAsia="Calibri" w:hAnsi="Calibri" w:cs="Calibri"/>
                <w:b/>
                <w:bCs/>
                <w:snapToGrid w:val="0"/>
                <w:sz w:val="22"/>
                <w:szCs w:val="18"/>
              </w:rPr>
            </w:pPr>
            <w:bookmarkStart w:id="114" w:name="_Hlk92278436"/>
            <w:r w:rsidRPr="004F1036">
              <w:rPr>
                <w:rFonts w:ascii="Calibri" w:eastAsia="Calibri" w:hAnsi="Calibri" w:cs="Calibri"/>
                <w:b/>
                <w:bCs/>
                <w:snapToGrid w:val="0"/>
                <w:sz w:val="22"/>
                <w:szCs w:val="18"/>
              </w:rPr>
              <w:t xml:space="preserve">Aboriginal and Torres Strait Islander Pharmacy Assistant Traineeship </w:t>
            </w:r>
            <w:r>
              <w:rPr>
                <w:rFonts w:ascii="Calibri" w:eastAsia="Calibri" w:hAnsi="Calibri" w:cs="Calibri"/>
                <w:b/>
                <w:bCs/>
                <w:snapToGrid w:val="0"/>
                <w:sz w:val="22"/>
                <w:szCs w:val="18"/>
              </w:rPr>
              <w:t>Scheme (ATSIPATS)</w:t>
            </w:r>
            <w:bookmarkEnd w:id="114"/>
          </w:p>
        </w:tc>
        <w:tc>
          <w:tcPr>
            <w:tcW w:w="3468" w:type="pct"/>
            <w:tcBorders>
              <w:top w:val="single" w:sz="4" w:space="0" w:color="auto"/>
              <w:left w:val="single" w:sz="4" w:space="0" w:color="auto"/>
              <w:bottom w:val="single" w:sz="4" w:space="0" w:color="auto"/>
              <w:right w:val="single" w:sz="4" w:space="0" w:color="auto"/>
            </w:tcBorders>
          </w:tcPr>
          <w:p w14:paraId="33582248" w14:textId="544B6FE3" w:rsidR="00350F5C" w:rsidRPr="004F1036" w:rsidRDefault="00350F5C" w:rsidP="001615AB">
            <w:pPr>
              <w:spacing w:after="60" w:line="259" w:lineRule="auto"/>
              <w:contextualSpacing/>
              <w:rPr>
                <w:rFonts w:ascii="Calibri" w:eastAsia="Calibri" w:hAnsi="Calibri" w:cs="Calibri"/>
                <w:sz w:val="22"/>
                <w:szCs w:val="18"/>
              </w:rPr>
            </w:pPr>
            <w:r w:rsidRPr="004F1036">
              <w:rPr>
                <w:rFonts w:ascii="Calibri" w:eastAsia="Calibri" w:hAnsi="Calibri" w:cs="Calibri"/>
                <w:snapToGrid w:val="0"/>
                <w:sz w:val="22"/>
                <w:szCs w:val="18"/>
              </w:rPr>
              <w:t xml:space="preserve">This </w:t>
            </w:r>
            <w:r>
              <w:rPr>
                <w:rFonts w:ascii="Calibri" w:eastAsia="Calibri" w:hAnsi="Calibri" w:cs="Calibri"/>
                <w:snapToGrid w:val="0"/>
                <w:sz w:val="22"/>
                <w:szCs w:val="18"/>
              </w:rPr>
              <w:t>scheme</w:t>
            </w:r>
            <w:r w:rsidRPr="004F1036">
              <w:rPr>
                <w:rFonts w:ascii="Calibri" w:eastAsia="Calibri" w:hAnsi="Calibri" w:cs="Calibri"/>
                <w:snapToGrid w:val="0"/>
                <w:sz w:val="22"/>
                <w:szCs w:val="18"/>
              </w:rPr>
              <w:t xml:space="preserve"> supports Aboriginal and Torres Strait Islander participation in the pharmacy workforce, which in turn is intended to provide culturally appropriate pharmacy services to better meet the needs of </w:t>
            </w:r>
            <w:r w:rsidR="004D23E9">
              <w:rPr>
                <w:rFonts w:ascii="Calibri" w:eastAsia="Calibri" w:hAnsi="Calibri" w:cs="Calibri"/>
                <w:snapToGrid w:val="0"/>
                <w:sz w:val="22"/>
                <w:szCs w:val="18"/>
              </w:rPr>
              <w:t>First Nations</w:t>
            </w:r>
            <w:r w:rsidR="004D23E9" w:rsidRPr="004F1036">
              <w:rPr>
                <w:rFonts w:ascii="Calibri" w:eastAsia="Calibri" w:hAnsi="Calibri" w:cs="Calibri"/>
                <w:snapToGrid w:val="0"/>
                <w:sz w:val="22"/>
                <w:szCs w:val="18"/>
              </w:rPr>
              <w:t xml:space="preserve"> </w:t>
            </w:r>
            <w:r w:rsidRPr="004F1036">
              <w:rPr>
                <w:rFonts w:ascii="Calibri" w:eastAsia="Calibri" w:hAnsi="Calibri" w:cs="Calibri"/>
                <w:snapToGrid w:val="0"/>
                <w:sz w:val="22"/>
                <w:szCs w:val="18"/>
              </w:rPr>
              <w:t>communities and patients.</w:t>
            </w:r>
          </w:p>
          <w:p w14:paraId="57280496" w14:textId="77777777" w:rsidR="00350F5C" w:rsidRDefault="00350F5C" w:rsidP="001615AB">
            <w:pPr>
              <w:spacing w:after="60" w:line="259" w:lineRule="auto"/>
              <w:contextualSpacing/>
              <w:rPr>
                <w:rFonts w:ascii="Calibri" w:eastAsia="Calibri" w:hAnsi="Calibri" w:cs="Calibri"/>
                <w:sz w:val="22"/>
                <w:szCs w:val="18"/>
              </w:rPr>
            </w:pPr>
          </w:p>
          <w:p w14:paraId="37CCFB6D" w14:textId="770D1B0B" w:rsidR="00350F5C" w:rsidRPr="004F1036" w:rsidRDefault="00350F5C" w:rsidP="001615AB">
            <w:pPr>
              <w:spacing w:after="60" w:line="259" w:lineRule="auto"/>
              <w:contextualSpacing/>
              <w:rPr>
                <w:rFonts w:ascii="Calibri" w:eastAsia="Calibri" w:hAnsi="Calibri" w:cs="Calibri"/>
                <w:sz w:val="22"/>
                <w:szCs w:val="18"/>
              </w:rPr>
            </w:pPr>
            <w:r w:rsidRPr="007D75F1">
              <w:rPr>
                <w:rFonts w:ascii="Calibri" w:eastAsia="Calibri" w:hAnsi="Calibri" w:cs="Calibri"/>
                <w:sz w:val="22"/>
                <w:szCs w:val="18"/>
              </w:rPr>
              <w:t>A maximum allowance of $10,000 is available to a community pharmacy that employees and supports a trainee</w:t>
            </w:r>
            <w:r w:rsidR="004D592C">
              <w:rPr>
                <w:rFonts w:ascii="Calibri" w:eastAsia="Calibri" w:hAnsi="Calibri" w:cs="Calibri"/>
                <w:snapToGrid w:val="0"/>
                <w:sz w:val="22"/>
                <w:szCs w:val="18"/>
              </w:rPr>
              <w:t xml:space="preserve"> </w:t>
            </w:r>
            <w:r w:rsidRPr="007D75F1">
              <w:rPr>
                <w:rFonts w:ascii="Calibri" w:eastAsia="Calibri" w:hAnsi="Calibri" w:cs="Calibri"/>
                <w:snapToGrid w:val="0"/>
                <w:sz w:val="22"/>
                <w:szCs w:val="18"/>
              </w:rPr>
              <w:t>through the course of their studies (up to two years).</w:t>
            </w:r>
          </w:p>
        </w:tc>
      </w:tr>
      <w:tr w:rsidR="00350F5C" w:rsidRPr="004F1036" w14:paraId="34D626FD" w14:textId="77777777" w:rsidTr="00B67885">
        <w:tblPrEx>
          <w:tblCellMar>
            <w:left w:w="81" w:type="dxa"/>
            <w:right w:w="81" w:type="dxa"/>
          </w:tblCellMar>
        </w:tblPrEx>
        <w:trPr>
          <w:cantSplit/>
          <w:jc w:val="center"/>
        </w:trPr>
        <w:tc>
          <w:tcPr>
            <w:tcW w:w="1532" w:type="pct"/>
            <w:tcBorders>
              <w:top w:val="single" w:sz="4" w:space="0" w:color="auto"/>
              <w:left w:val="single" w:sz="4" w:space="0" w:color="auto"/>
              <w:bottom w:val="single" w:sz="4" w:space="0" w:color="auto"/>
              <w:right w:val="single" w:sz="4" w:space="0" w:color="auto"/>
            </w:tcBorders>
          </w:tcPr>
          <w:p w14:paraId="2434FDD7" w14:textId="77777777" w:rsidR="00350F5C" w:rsidRPr="004F1036" w:rsidRDefault="00350F5C" w:rsidP="001615AB">
            <w:pPr>
              <w:spacing w:after="60" w:line="259" w:lineRule="auto"/>
              <w:contextualSpacing/>
              <w:rPr>
                <w:rFonts w:ascii="Calibri" w:eastAsia="Calibri" w:hAnsi="Calibri" w:cs="Calibri"/>
                <w:b/>
                <w:bCs/>
                <w:snapToGrid w:val="0"/>
                <w:sz w:val="22"/>
                <w:szCs w:val="18"/>
              </w:rPr>
            </w:pPr>
            <w:r w:rsidRPr="004F1036">
              <w:rPr>
                <w:rFonts w:ascii="Calibri" w:eastAsia="Calibri" w:hAnsi="Calibri" w:cs="Calibri"/>
                <w:b/>
                <w:bCs/>
                <w:snapToGrid w:val="0"/>
                <w:sz w:val="22"/>
                <w:szCs w:val="18"/>
              </w:rPr>
              <w:t xml:space="preserve">Aboriginal and Torres Strait Islander Pharmacy Scholarship </w:t>
            </w:r>
            <w:r>
              <w:rPr>
                <w:rFonts w:ascii="Calibri" w:eastAsia="Calibri" w:hAnsi="Calibri" w:cs="Calibri"/>
                <w:b/>
                <w:bCs/>
                <w:snapToGrid w:val="0"/>
                <w:sz w:val="22"/>
                <w:szCs w:val="18"/>
              </w:rPr>
              <w:t>Scheme (ATSIPSS)</w:t>
            </w:r>
            <w:r w:rsidRPr="004F1036">
              <w:rPr>
                <w:rFonts w:ascii="Calibri" w:eastAsia="Calibri" w:hAnsi="Calibri" w:cs="Calibri"/>
                <w:b/>
                <w:bCs/>
                <w:snapToGrid w:val="0"/>
                <w:sz w:val="22"/>
                <w:szCs w:val="18"/>
              </w:rPr>
              <w:t xml:space="preserve"> </w:t>
            </w:r>
          </w:p>
        </w:tc>
        <w:tc>
          <w:tcPr>
            <w:tcW w:w="3468" w:type="pct"/>
            <w:tcBorders>
              <w:top w:val="single" w:sz="4" w:space="0" w:color="auto"/>
              <w:left w:val="single" w:sz="4" w:space="0" w:color="auto"/>
              <w:bottom w:val="single" w:sz="4" w:space="0" w:color="auto"/>
              <w:right w:val="single" w:sz="4" w:space="0" w:color="auto"/>
            </w:tcBorders>
          </w:tcPr>
          <w:p w14:paraId="1FFAE42B" w14:textId="77777777" w:rsidR="00350F5C" w:rsidRPr="004F1036" w:rsidRDefault="00350F5C" w:rsidP="001615AB">
            <w:pPr>
              <w:spacing w:after="60" w:line="259" w:lineRule="auto"/>
              <w:contextualSpacing/>
              <w:rPr>
                <w:rFonts w:ascii="Calibri" w:eastAsia="Calibri" w:hAnsi="Calibri" w:cs="Calibri"/>
                <w:sz w:val="22"/>
                <w:szCs w:val="18"/>
              </w:rPr>
            </w:pPr>
            <w:r w:rsidRPr="004F1036">
              <w:rPr>
                <w:rFonts w:ascii="Calibri" w:eastAsia="Calibri" w:hAnsi="Calibri" w:cs="Calibri"/>
                <w:snapToGrid w:val="0"/>
                <w:sz w:val="22"/>
                <w:szCs w:val="18"/>
              </w:rPr>
              <w:t>The aim of the Aboriginal and Torres Strait Islander Pharmacy Scholarship Scheme is to encourage Aboriginal and Torres Strait Islander students to undertake undergraduate or graduate entry studies in pharmacy at an Australian University.</w:t>
            </w:r>
          </w:p>
          <w:p w14:paraId="77100EE6" w14:textId="110D6495" w:rsidR="00350F5C" w:rsidRPr="004F1036" w:rsidRDefault="00350F5C" w:rsidP="001615AB">
            <w:pPr>
              <w:spacing w:after="60" w:line="259" w:lineRule="auto"/>
              <w:contextualSpacing/>
              <w:rPr>
                <w:rFonts w:ascii="Calibri" w:eastAsia="Calibri" w:hAnsi="Calibri" w:cs="Calibri"/>
                <w:sz w:val="22"/>
                <w:szCs w:val="18"/>
              </w:rPr>
            </w:pPr>
          </w:p>
          <w:p w14:paraId="4CF7F4C3" w14:textId="4CD37C8A" w:rsidR="00350F5C" w:rsidRPr="004F1036" w:rsidRDefault="00350F5C" w:rsidP="001615AB">
            <w:pPr>
              <w:spacing w:after="60" w:line="259" w:lineRule="auto"/>
              <w:contextualSpacing/>
              <w:rPr>
                <w:rFonts w:ascii="Calibri" w:eastAsia="Calibri" w:hAnsi="Calibri" w:cs="Calibri"/>
                <w:snapToGrid w:val="0"/>
                <w:sz w:val="22"/>
                <w:szCs w:val="18"/>
              </w:rPr>
            </w:pPr>
            <w:r w:rsidRPr="004F1036">
              <w:rPr>
                <w:rFonts w:ascii="Calibri" w:eastAsia="Calibri" w:hAnsi="Calibri" w:cs="Calibri"/>
                <w:snapToGrid w:val="0"/>
                <w:sz w:val="22"/>
                <w:szCs w:val="18"/>
              </w:rPr>
              <w:t>Three undergraduate or post graduate Aboriginal and Torres Strait Islander Pharmacy scholarships of up to $15,000 per annum are offered annually. The normal course length is four years (students can access up to $60,000 over the period of their degree).</w:t>
            </w:r>
          </w:p>
        </w:tc>
      </w:tr>
      <w:tr w:rsidR="00350F5C" w:rsidRPr="004F1036" w14:paraId="752883E3" w14:textId="77777777" w:rsidTr="00B67885">
        <w:tblPrEx>
          <w:tblCellMar>
            <w:left w:w="81" w:type="dxa"/>
            <w:right w:w="81" w:type="dxa"/>
          </w:tblCellMar>
        </w:tblPrEx>
        <w:trPr>
          <w:cantSplit/>
          <w:jc w:val="center"/>
        </w:trPr>
        <w:tc>
          <w:tcPr>
            <w:tcW w:w="1532" w:type="pct"/>
            <w:tcBorders>
              <w:top w:val="single" w:sz="4" w:space="0" w:color="auto"/>
              <w:left w:val="single" w:sz="4" w:space="0" w:color="auto"/>
              <w:bottom w:val="single" w:sz="4" w:space="0" w:color="auto"/>
              <w:right w:val="single" w:sz="4" w:space="0" w:color="auto"/>
            </w:tcBorders>
          </w:tcPr>
          <w:p w14:paraId="16A27C79" w14:textId="77777777" w:rsidR="00350F5C" w:rsidRPr="00396631" w:rsidRDefault="00350F5C" w:rsidP="001615AB">
            <w:pPr>
              <w:spacing w:after="60" w:line="259" w:lineRule="auto"/>
              <w:contextualSpacing/>
              <w:rPr>
                <w:rFonts w:ascii="Calibri" w:eastAsia="Calibri" w:hAnsi="Calibri" w:cs="Calibri"/>
                <w:b/>
                <w:bCs/>
                <w:snapToGrid w:val="0"/>
                <w:sz w:val="22"/>
                <w:szCs w:val="18"/>
              </w:rPr>
            </w:pPr>
            <w:r w:rsidRPr="00396631">
              <w:rPr>
                <w:rFonts w:ascii="Calibri" w:eastAsia="Calibri" w:hAnsi="Calibri" w:cs="Calibri"/>
                <w:b/>
                <w:bCs/>
                <w:snapToGrid w:val="0"/>
                <w:sz w:val="22"/>
                <w:szCs w:val="18"/>
              </w:rPr>
              <w:t>Indigenous Health Services Pharmacy Support Program (IHSPS)</w:t>
            </w:r>
          </w:p>
        </w:tc>
        <w:tc>
          <w:tcPr>
            <w:tcW w:w="3468" w:type="pct"/>
            <w:tcBorders>
              <w:top w:val="single" w:sz="4" w:space="0" w:color="auto"/>
              <w:left w:val="single" w:sz="4" w:space="0" w:color="auto"/>
              <w:bottom w:val="single" w:sz="4" w:space="0" w:color="auto"/>
              <w:right w:val="single" w:sz="4" w:space="0" w:color="auto"/>
            </w:tcBorders>
          </w:tcPr>
          <w:p w14:paraId="29266856" w14:textId="77B949AF" w:rsidR="0016563D" w:rsidRPr="0016563D" w:rsidRDefault="00350F5C" w:rsidP="001615AB">
            <w:pPr>
              <w:spacing w:after="60" w:line="259" w:lineRule="auto"/>
              <w:contextualSpacing/>
              <w:rPr>
                <w:rFonts w:cstheme="minorHAnsi"/>
                <w:spacing w:val="5"/>
                <w:sz w:val="22"/>
                <w:szCs w:val="22"/>
                <w:shd w:val="clear" w:color="auto" w:fill="FFFFFF"/>
              </w:rPr>
            </w:pPr>
            <w:r w:rsidRPr="00396631">
              <w:rPr>
                <w:rFonts w:eastAsia="Calibri" w:cstheme="minorHAnsi"/>
                <w:snapToGrid w:val="0"/>
                <w:sz w:val="22"/>
                <w:szCs w:val="22"/>
              </w:rPr>
              <w:t xml:space="preserve">The </w:t>
            </w:r>
            <w:r w:rsidRPr="00396631">
              <w:rPr>
                <w:rFonts w:cstheme="minorHAnsi"/>
                <w:spacing w:val="5"/>
                <w:sz w:val="22"/>
                <w:szCs w:val="22"/>
                <w:shd w:val="clear" w:color="auto" w:fill="FFFFFF"/>
              </w:rPr>
              <w:t>IHSPS Program supports services provided by Indigenous Health Services (IHSs) and Service Providers that contribute to the improvement of Quality Use of Medicines and health outcomes for Aboriginal and Torres Strait Is</w:t>
            </w:r>
            <w:r w:rsidR="0016563D">
              <w:rPr>
                <w:rFonts w:cstheme="minorHAnsi"/>
                <w:spacing w:val="5"/>
                <w:sz w:val="22"/>
                <w:szCs w:val="22"/>
                <w:shd w:val="clear" w:color="auto" w:fill="FFFFFF"/>
              </w:rPr>
              <w:t>lander people.</w:t>
            </w:r>
          </w:p>
        </w:tc>
      </w:tr>
    </w:tbl>
    <w:p w14:paraId="79144906" w14:textId="77777777" w:rsidR="00A27F28" w:rsidRDefault="00A27F28" w:rsidP="00B67885">
      <w:pPr>
        <w:pStyle w:val="BodyText"/>
        <w:rPr>
          <w:rFonts w:asciiTheme="majorHAnsi" w:eastAsiaTheme="majorEastAsia" w:hAnsiTheme="majorHAnsi" w:cstheme="majorBidi"/>
          <w:color w:val="014463" w:themeColor="text2"/>
          <w:sz w:val="40"/>
          <w:szCs w:val="40"/>
        </w:rPr>
      </w:pPr>
      <w:r>
        <w:br w:type="page"/>
      </w:r>
    </w:p>
    <w:p w14:paraId="427B15C4" w14:textId="685DAA99" w:rsidR="00CD3AB0" w:rsidRPr="00C20287" w:rsidRDefault="00350F5C" w:rsidP="00CD3AB0">
      <w:pPr>
        <w:pStyle w:val="Heading2"/>
        <w:tabs>
          <w:tab w:val="left" w:pos="426"/>
        </w:tabs>
        <w:rPr>
          <w:rFonts w:asciiTheme="minorHAnsi" w:hAnsiTheme="minorHAnsi" w:cstheme="minorHAnsi"/>
        </w:rPr>
      </w:pPr>
      <w:bookmarkStart w:id="115" w:name="_Toc168652767"/>
      <w:r>
        <w:lastRenderedPageBreak/>
        <w:t>6</w:t>
      </w:r>
      <w:r w:rsidR="00CD3AB0" w:rsidRPr="00C20287">
        <w:t>.</w:t>
      </w:r>
      <w:r w:rsidR="00C7222A" w:rsidRPr="00C20287">
        <w:tab/>
      </w:r>
      <w:r w:rsidR="006553D2" w:rsidRPr="00C20287">
        <w:t>M</w:t>
      </w:r>
      <w:r w:rsidR="00CD3AB0" w:rsidRPr="00C20287">
        <w:rPr>
          <w:rFonts w:asciiTheme="minorHAnsi" w:hAnsiTheme="minorHAnsi" w:cstheme="minorHAnsi"/>
        </w:rPr>
        <w:t>ethod and assumptions made in calculating the Regulatory Burden Estimates</w:t>
      </w:r>
      <w:bookmarkEnd w:id="115"/>
      <w:r w:rsidR="00CD3AB0" w:rsidRPr="00C20287">
        <w:rPr>
          <w:rFonts w:asciiTheme="minorHAnsi" w:hAnsiTheme="minorHAnsi" w:cstheme="minorHAnsi"/>
        </w:rPr>
        <w:t xml:space="preserve"> </w:t>
      </w:r>
    </w:p>
    <w:p w14:paraId="6AAD0C0A" w14:textId="77777777" w:rsidR="00CD3AB0" w:rsidRPr="00C20287" w:rsidRDefault="00CD3AB0" w:rsidP="00CD3AB0">
      <w:pPr>
        <w:autoSpaceDE w:val="0"/>
        <w:autoSpaceDN w:val="0"/>
        <w:adjustRightInd w:val="0"/>
        <w:spacing w:line="240" w:lineRule="auto"/>
        <w:rPr>
          <w:rFonts w:eastAsia="CIDFont+F5" w:cstheme="minorHAnsi"/>
          <w:sz w:val="24"/>
          <w:szCs w:val="24"/>
        </w:rPr>
      </w:pPr>
      <w:r w:rsidRPr="00C20287">
        <w:rPr>
          <w:rFonts w:eastAsia="CIDFont+F5" w:cstheme="minorHAnsi"/>
          <w:sz w:val="24"/>
          <w:szCs w:val="24"/>
        </w:rPr>
        <w:t xml:space="preserve">Estimates are presented to provide an indication of the likely scale of the regulatory burden from policy proposals. These estimates are based on a number of assumptions (detailed below). </w:t>
      </w:r>
    </w:p>
    <w:p w14:paraId="0BB3DBFD" w14:textId="77777777" w:rsidR="00CD3AB0" w:rsidRPr="00C20287" w:rsidRDefault="00CD3AB0" w:rsidP="00CD3AB0">
      <w:pPr>
        <w:autoSpaceDE w:val="0"/>
        <w:autoSpaceDN w:val="0"/>
        <w:adjustRightInd w:val="0"/>
        <w:spacing w:line="240" w:lineRule="auto"/>
        <w:rPr>
          <w:rFonts w:eastAsia="CIDFont+F5" w:cstheme="minorHAnsi"/>
        </w:rPr>
      </w:pPr>
    </w:p>
    <w:p w14:paraId="0E0B3229" w14:textId="77777777" w:rsidR="00CD3AB0" w:rsidRPr="00C20287" w:rsidRDefault="00CD3AB0" w:rsidP="0095671A">
      <w:pPr>
        <w:pStyle w:val="ListParagraph"/>
        <w:numPr>
          <w:ilvl w:val="0"/>
          <w:numId w:val="28"/>
        </w:numPr>
        <w:autoSpaceDE w:val="0"/>
        <w:autoSpaceDN w:val="0"/>
        <w:adjustRightInd w:val="0"/>
        <w:spacing w:line="240" w:lineRule="auto"/>
        <w:ind w:left="714" w:hanging="357"/>
        <w:contextualSpacing w:val="0"/>
        <w:rPr>
          <w:rFonts w:eastAsia="CIDFont+F5" w:cstheme="minorHAnsi"/>
          <w:sz w:val="24"/>
          <w:szCs w:val="24"/>
        </w:rPr>
      </w:pPr>
      <w:r w:rsidRPr="00C20287">
        <w:rPr>
          <w:rFonts w:eastAsia="CIDFont+F5" w:cstheme="minorHAnsi"/>
          <w:sz w:val="24"/>
          <w:szCs w:val="24"/>
        </w:rPr>
        <w:t>No regulatory burden is created for businesses, community organisations or individuals as a result of Commonwealth price changes for dispensing</w:t>
      </w:r>
      <w:r w:rsidRPr="00C20287">
        <w:rPr>
          <w:sz w:val="24"/>
          <w:szCs w:val="24"/>
        </w:rPr>
        <w:t xml:space="preserve"> because the effort required to comply with the relevant obligations remains the same irrespective of the price point</w:t>
      </w:r>
      <w:r w:rsidRPr="00C20287">
        <w:rPr>
          <w:rFonts w:eastAsia="CIDFont+F5" w:cstheme="minorHAnsi"/>
          <w:sz w:val="24"/>
          <w:szCs w:val="24"/>
        </w:rPr>
        <w:t>. The cost implications for government, business and individuals are therefore presented separately to the regulatory burden for each option.</w:t>
      </w:r>
    </w:p>
    <w:p w14:paraId="5E8FF9AD" w14:textId="77777777" w:rsidR="00CD3AB0" w:rsidRPr="00C20287" w:rsidRDefault="00CD3AB0" w:rsidP="0095671A">
      <w:pPr>
        <w:pStyle w:val="ListParagraph"/>
        <w:numPr>
          <w:ilvl w:val="0"/>
          <w:numId w:val="28"/>
        </w:numPr>
        <w:spacing w:line="240" w:lineRule="auto"/>
        <w:ind w:left="714" w:hanging="357"/>
        <w:contextualSpacing w:val="0"/>
        <w:rPr>
          <w:rFonts w:cstheme="minorHAnsi"/>
          <w:sz w:val="24"/>
          <w:szCs w:val="24"/>
        </w:rPr>
      </w:pPr>
      <w:r w:rsidRPr="00C20287">
        <w:rPr>
          <w:rFonts w:cstheme="minorHAnsi"/>
          <w:sz w:val="24"/>
          <w:szCs w:val="24"/>
        </w:rPr>
        <w:t xml:space="preserve">Maintaining existing arrangements in relation to wholesaler mark-up and supply or the continuation of existing programs and associated requirements would not create additional regulatory burden.  </w:t>
      </w:r>
      <w:r w:rsidRPr="00C20287">
        <w:rPr>
          <w:sz w:val="24"/>
          <w:szCs w:val="24"/>
        </w:rPr>
        <w:t>There is no additional effort required for businesses or to implement or meet the obligations if they maintain a similar approach</w:t>
      </w:r>
      <w:r w:rsidRPr="00C20287">
        <w:rPr>
          <w:rFonts w:eastAsia="CIDFont+F5" w:cstheme="minorHAnsi"/>
          <w:sz w:val="24"/>
          <w:szCs w:val="24"/>
        </w:rPr>
        <w:t>.</w:t>
      </w:r>
    </w:p>
    <w:p w14:paraId="546A572F" w14:textId="77777777" w:rsidR="00CD3AB0" w:rsidRPr="00C20287" w:rsidRDefault="00CD3AB0" w:rsidP="0095671A">
      <w:pPr>
        <w:pStyle w:val="ListParagraph"/>
        <w:numPr>
          <w:ilvl w:val="0"/>
          <w:numId w:val="28"/>
        </w:numPr>
        <w:autoSpaceDE w:val="0"/>
        <w:autoSpaceDN w:val="0"/>
        <w:adjustRightInd w:val="0"/>
        <w:spacing w:line="240" w:lineRule="auto"/>
        <w:ind w:left="714" w:hanging="357"/>
        <w:contextualSpacing w:val="0"/>
        <w:rPr>
          <w:rFonts w:eastAsia="CIDFont+F5" w:cstheme="minorHAnsi"/>
          <w:sz w:val="24"/>
          <w:szCs w:val="24"/>
        </w:rPr>
      </w:pPr>
      <w:r w:rsidRPr="00C20287">
        <w:rPr>
          <w:rFonts w:cstheme="minorHAnsi"/>
          <w:sz w:val="24"/>
          <w:szCs w:val="24"/>
        </w:rPr>
        <w:t xml:space="preserve">The regulatory burden considerations are limited to those impacts which will result from each of the options presented for the </w:t>
      </w:r>
      <w:r w:rsidRPr="00C20287">
        <w:rPr>
          <w:rFonts w:cstheme="minorHAnsi"/>
          <w:color w:val="0D0D0D" w:themeColor="text1" w:themeTint="F2"/>
          <w:sz w:val="24"/>
          <w:szCs w:val="24"/>
        </w:rPr>
        <w:t>remuneration of the supply of subsidised PBS medicines.</w:t>
      </w:r>
      <w:r w:rsidRPr="00C20287">
        <w:rPr>
          <w:rFonts w:cstheme="minorHAnsi"/>
          <w:sz w:val="24"/>
          <w:szCs w:val="24"/>
        </w:rPr>
        <w:t xml:space="preserve"> This would include the potential negotiation of additional agreements by relevant stakeholders, particularly in relation to pharmacy programs but not the potential subsequent impacts that may occur as a result of such future negotiations or considerations. </w:t>
      </w:r>
    </w:p>
    <w:p w14:paraId="0E9F9126" w14:textId="77777777" w:rsidR="00CD3AB0" w:rsidRPr="00C20287" w:rsidRDefault="00CD3AB0" w:rsidP="0095671A">
      <w:pPr>
        <w:pStyle w:val="ListParagraph"/>
        <w:numPr>
          <w:ilvl w:val="0"/>
          <w:numId w:val="28"/>
        </w:numPr>
        <w:autoSpaceDE w:val="0"/>
        <w:autoSpaceDN w:val="0"/>
        <w:adjustRightInd w:val="0"/>
        <w:spacing w:line="240" w:lineRule="auto"/>
        <w:ind w:left="714" w:hanging="357"/>
        <w:contextualSpacing w:val="0"/>
        <w:rPr>
          <w:rFonts w:eastAsia="CIDFont+F5" w:cstheme="minorHAnsi"/>
          <w:sz w:val="24"/>
          <w:szCs w:val="24"/>
        </w:rPr>
      </w:pPr>
      <w:r w:rsidRPr="00C20287">
        <w:rPr>
          <w:rFonts w:eastAsia="CIDFont+F5" w:cstheme="minorHAnsi"/>
          <w:sz w:val="24"/>
          <w:szCs w:val="24"/>
        </w:rPr>
        <w:t xml:space="preserve">Given stakeholder feedback to date there will be broad interest in contributing to the development agreements for pharmacy programs and their evaluation frameworks. </w:t>
      </w:r>
    </w:p>
    <w:p w14:paraId="1A9027F0" w14:textId="77777777" w:rsidR="00CD3AB0" w:rsidRPr="00C20287" w:rsidRDefault="00CD3AB0" w:rsidP="0095671A">
      <w:pPr>
        <w:pStyle w:val="ListParagraph"/>
        <w:numPr>
          <w:ilvl w:val="0"/>
          <w:numId w:val="28"/>
        </w:numPr>
        <w:autoSpaceDE w:val="0"/>
        <w:autoSpaceDN w:val="0"/>
        <w:adjustRightInd w:val="0"/>
        <w:spacing w:line="240" w:lineRule="auto"/>
        <w:ind w:left="714" w:hanging="357"/>
        <w:contextualSpacing w:val="0"/>
        <w:rPr>
          <w:rFonts w:eastAsia="CIDFont+F5" w:cstheme="minorHAnsi"/>
          <w:sz w:val="24"/>
          <w:szCs w:val="24"/>
        </w:rPr>
      </w:pPr>
      <w:r w:rsidRPr="00C20287">
        <w:rPr>
          <w:rFonts w:eastAsia="CIDFont+F5" w:cstheme="minorHAnsi"/>
          <w:sz w:val="24"/>
          <w:szCs w:val="24"/>
        </w:rPr>
        <w:t xml:space="preserve">The below estimates were derived within the Department from knowledge of previous components of CPA negotiations. </w:t>
      </w:r>
    </w:p>
    <w:p w14:paraId="2758E074" w14:textId="77777777" w:rsidR="00CD3AB0" w:rsidRPr="00C20287" w:rsidRDefault="00CD3AB0" w:rsidP="00CD3AB0">
      <w:pPr>
        <w:pStyle w:val="ListParagraph"/>
        <w:autoSpaceDE w:val="0"/>
        <w:autoSpaceDN w:val="0"/>
        <w:adjustRightInd w:val="0"/>
        <w:spacing w:line="240" w:lineRule="auto"/>
        <w:ind w:left="714"/>
        <w:contextualSpacing w:val="0"/>
        <w:rPr>
          <w:rFonts w:eastAsia="CIDFont+F5" w:cstheme="minorHAnsi"/>
          <w:sz w:val="24"/>
          <w:szCs w:val="24"/>
        </w:rPr>
      </w:pPr>
    </w:p>
    <w:p w14:paraId="17A799CF" w14:textId="77777777" w:rsidR="00CD3AB0" w:rsidRPr="00C20287" w:rsidRDefault="00CD3AB0" w:rsidP="00CD3AB0">
      <w:pPr>
        <w:pStyle w:val="ListParagraph"/>
        <w:rPr>
          <w:rFonts w:cstheme="minorHAnsi"/>
          <w:sz w:val="24"/>
          <w:szCs w:val="24"/>
          <w:u w:val="single"/>
        </w:rPr>
      </w:pPr>
      <w:r w:rsidRPr="00C20287">
        <w:rPr>
          <w:rFonts w:cstheme="minorHAnsi"/>
          <w:sz w:val="24"/>
          <w:szCs w:val="24"/>
          <w:u w:val="single"/>
        </w:rPr>
        <w:t>Wholesaler remuneration (Option 1)</w:t>
      </w:r>
    </w:p>
    <w:p w14:paraId="13C4619C" w14:textId="77777777" w:rsidR="00CD3AB0" w:rsidRPr="00C20287" w:rsidRDefault="00CD3AB0" w:rsidP="0095671A">
      <w:pPr>
        <w:pStyle w:val="ListParagraph"/>
        <w:keepNext/>
        <w:keepLines/>
        <w:numPr>
          <w:ilvl w:val="0"/>
          <w:numId w:val="28"/>
        </w:numPr>
        <w:spacing w:line="240" w:lineRule="auto"/>
        <w:contextualSpacing w:val="0"/>
        <w:rPr>
          <w:rFonts w:cstheme="minorHAnsi"/>
          <w:sz w:val="24"/>
          <w:szCs w:val="24"/>
        </w:rPr>
      </w:pPr>
      <w:r w:rsidRPr="00C20287">
        <w:rPr>
          <w:rFonts w:cstheme="minorHAnsi"/>
          <w:sz w:val="24"/>
          <w:szCs w:val="24"/>
        </w:rPr>
        <w:t xml:space="preserve">Wholesaler Remuneration is linked to the Commonwealth price, via the wholesale mark-up. The WMU can be viewed as a “pass-on” cost by pharmacies, as it is remuneration that is paid to wholesalers by the Commonwealth, through pharmacies. Changes to wholesaler remuneration would be negotiated with the peak body representative of wholesalers, the National Pharmaceutical Services Association (NPSA). </w:t>
      </w:r>
    </w:p>
    <w:p w14:paraId="6FE1551E"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 xml:space="preserve">Assume a 3 month negotiation period including weekly meetings of 3 hours (based on current Guild meeting schedule). </w:t>
      </w:r>
    </w:p>
    <w:p w14:paraId="328B49A0"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An average 5 individuals from NSPA at a base rate work related labour cost of $79.63/hour</w:t>
      </w:r>
      <w:r w:rsidRPr="00C20287">
        <w:rPr>
          <w:rStyle w:val="FootnoteReference"/>
          <w:rFonts w:cstheme="minorHAnsi"/>
          <w:sz w:val="24"/>
          <w:szCs w:val="24"/>
        </w:rPr>
        <w:footnoteReference w:id="82"/>
      </w:r>
      <w:r w:rsidRPr="00C20287">
        <w:rPr>
          <w:rFonts w:cstheme="minorHAnsi"/>
          <w:sz w:val="24"/>
          <w:szCs w:val="24"/>
        </w:rPr>
        <w:t xml:space="preserve"> would be involved in the negotiations for wholesaler remuneration.</w:t>
      </w:r>
    </w:p>
    <w:p w14:paraId="24943DFE"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Business impact = 12 weeks x 3 hours x 5 people x $79.63 = $14,333.40</w:t>
      </w:r>
    </w:p>
    <w:p w14:paraId="661AFBF5" w14:textId="77777777" w:rsidR="00CD3AB0" w:rsidRPr="00C20287" w:rsidRDefault="00CD3AB0" w:rsidP="00CD3AB0">
      <w:pPr>
        <w:pStyle w:val="ListParagraph"/>
        <w:keepNext/>
        <w:keepLines/>
        <w:spacing w:line="240" w:lineRule="auto"/>
        <w:contextualSpacing w:val="0"/>
        <w:rPr>
          <w:rFonts w:cstheme="minorHAnsi"/>
          <w:sz w:val="24"/>
          <w:szCs w:val="24"/>
        </w:rPr>
      </w:pPr>
    </w:p>
    <w:p w14:paraId="3440D92B" w14:textId="77777777" w:rsidR="00CD3AB0" w:rsidRPr="00C20287" w:rsidRDefault="00CD3AB0" w:rsidP="00CD3AB0">
      <w:pPr>
        <w:pStyle w:val="ListParagraph"/>
        <w:spacing w:line="240" w:lineRule="auto"/>
        <w:contextualSpacing w:val="0"/>
        <w:rPr>
          <w:rFonts w:cstheme="minorHAnsi"/>
          <w:sz w:val="24"/>
          <w:szCs w:val="24"/>
          <w:u w:val="single"/>
        </w:rPr>
      </w:pPr>
      <w:r w:rsidRPr="00C20287">
        <w:rPr>
          <w:rFonts w:cstheme="minorHAnsi"/>
          <w:sz w:val="24"/>
          <w:szCs w:val="24"/>
          <w:u w:val="single"/>
        </w:rPr>
        <w:t>Pharmacy programs (Options 1 and 3)</w:t>
      </w:r>
    </w:p>
    <w:p w14:paraId="36D8276E"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There are 23 existing community pharmacy programs and approximately five more have been identified as priorities by stakeholders. This gives a total of 28 pharmacy programs to be considered.</w:t>
      </w:r>
    </w:p>
    <w:p w14:paraId="1D6D7484"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 xml:space="preserve">An average of five key pharmacy sector stakeholder groups and two consumer groups, each including 3 individuals, would be involved in development of each program at a base rate work related labour cost of $79.63/hour. </w:t>
      </w:r>
    </w:p>
    <w:p w14:paraId="0B1B9F5C"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Assume an average 6 months of fortnightly meetings of 2 hours (based on current PSA meeting schedule).</w:t>
      </w:r>
    </w:p>
    <w:p w14:paraId="3DBD30C3"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Business impact = 28 programs x 13 weeks x 2 hours x 15 people x $79.63 = $869,559.60</w:t>
      </w:r>
    </w:p>
    <w:p w14:paraId="1E04865A" w14:textId="77777777" w:rsidR="00CD3AB0" w:rsidRPr="00C20287" w:rsidRDefault="00CD3AB0" w:rsidP="0095671A">
      <w:pPr>
        <w:pStyle w:val="ListParagraph"/>
        <w:numPr>
          <w:ilvl w:val="0"/>
          <w:numId w:val="28"/>
        </w:numPr>
        <w:spacing w:line="240" w:lineRule="auto"/>
        <w:contextualSpacing w:val="0"/>
        <w:rPr>
          <w:rFonts w:cstheme="minorHAnsi"/>
          <w:sz w:val="24"/>
          <w:szCs w:val="24"/>
        </w:rPr>
      </w:pPr>
      <w:r w:rsidRPr="00C20287">
        <w:rPr>
          <w:rFonts w:cstheme="minorHAnsi"/>
          <w:sz w:val="24"/>
          <w:szCs w:val="24"/>
        </w:rPr>
        <w:t>Community Organisation impact – 28 programs x 13 weeks x 2 hours x 2 people x $79.63 = $115,941.28</w:t>
      </w:r>
    </w:p>
    <w:p w14:paraId="2EA2F88C" w14:textId="77777777" w:rsidR="00CD3AB0" w:rsidRPr="00C20287" w:rsidRDefault="00CD3AB0" w:rsidP="00CD3AB0">
      <w:pPr>
        <w:spacing w:line="240" w:lineRule="auto"/>
        <w:rPr>
          <w:rFonts w:cstheme="minorHAnsi"/>
        </w:rPr>
      </w:pPr>
    </w:p>
    <w:p w14:paraId="3D25E222" w14:textId="77777777" w:rsidR="00CD3AB0" w:rsidRPr="00C20287" w:rsidRDefault="00CD3AB0" w:rsidP="00CD3AB0">
      <w:pPr>
        <w:rPr>
          <w:rFonts w:cstheme="minorHAnsi"/>
        </w:rPr>
      </w:pPr>
    </w:p>
    <w:sectPr w:rsidR="00CD3AB0" w:rsidRPr="00C20287" w:rsidSect="00EA20D1">
      <w:headerReference w:type="default" r:id="rId34"/>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D7251" w14:textId="77777777" w:rsidR="00A4667B" w:rsidRDefault="00A4667B" w:rsidP="00B95533">
      <w:pPr>
        <w:spacing w:after="0" w:line="240" w:lineRule="auto"/>
      </w:pPr>
      <w:r>
        <w:separator/>
      </w:r>
    </w:p>
  </w:endnote>
  <w:endnote w:type="continuationSeparator" w:id="0">
    <w:p w14:paraId="1E1A895E" w14:textId="77777777" w:rsidR="00A4667B" w:rsidRDefault="00A4667B" w:rsidP="00B95533">
      <w:pPr>
        <w:spacing w:after="0" w:line="240" w:lineRule="auto"/>
      </w:pPr>
      <w:r>
        <w:continuationSeparator/>
      </w:r>
    </w:p>
  </w:endnote>
  <w:endnote w:type="continuationNotice" w:id="1">
    <w:p w14:paraId="62791636" w14:textId="77777777" w:rsidR="00A4667B" w:rsidRDefault="00A46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08F4F" w14:textId="77777777" w:rsidR="00152300" w:rsidRDefault="00152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788740"/>
      <w:docPartObj>
        <w:docPartGallery w:val="Page Numbers (Bottom of Page)"/>
        <w:docPartUnique/>
      </w:docPartObj>
    </w:sdtPr>
    <w:sdtEndPr>
      <w:rPr>
        <w:noProof/>
      </w:rPr>
    </w:sdtEndPr>
    <w:sdtContent>
      <w:p w14:paraId="2C9DAB61" w14:textId="29B35C71" w:rsidR="00EA20D1" w:rsidRDefault="00EA20D1">
        <w:pPr>
          <w:pStyle w:val="Footer"/>
        </w:pPr>
        <w:r>
          <w:fldChar w:fldCharType="begin"/>
        </w:r>
        <w:r>
          <w:instrText xml:space="preserve"> PAGE   \* MERGEFORMAT </w:instrText>
        </w:r>
        <w:r>
          <w:fldChar w:fldCharType="separate"/>
        </w:r>
        <w:r w:rsidR="00152300">
          <w:rPr>
            <w:noProof/>
          </w:rPr>
          <w:t>2</w:t>
        </w:r>
        <w:r>
          <w:rPr>
            <w:noProof/>
          </w:rPr>
          <w:fldChar w:fldCharType="end"/>
        </w:r>
      </w:p>
    </w:sdtContent>
  </w:sdt>
  <w:p w14:paraId="2A2EED4A" w14:textId="328520B2" w:rsidR="00EA20D1" w:rsidRPr="00825B23" w:rsidRDefault="00EA20D1" w:rsidP="009B4379">
    <w:pPr>
      <w:pStyle w:val="Footer"/>
      <w:spacing w:after="500"/>
      <w:contextualSpacing/>
      <w:jc w:val="left"/>
      <w:rPr>
        <w:b w:val="0"/>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2965"/>
      <w:docPartObj>
        <w:docPartGallery w:val="Page Numbers (Bottom of Page)"/>
        <w:docPartUnique/>
      </w:docPartObj>
    </w:sdtPr>
    <w:sdtEndPr>
      <w:rPr>
        <w:noProof/>
      </w:rPr>
    </w:sdtEndPr>
    <w:sdtContent>
      <w:p w14:paraId="5CE74D36" w14:textId="2922BBB0" w:rsidR="00EA20D1" w:rsidRDefault="00EA20D1">
        <w:pPr>
          <w:pStyle w:val="Footer"/>
        </w:pPr>
        <w:r>
          <w:fldChar w:fldCharType="begin"/>
        </w:r>
        <w:r>
          <w:instrText xml:space="preserve"> PAGE   \* MERGEFORMAT </w:instrText>
        </w:r>
        <w:r>
          <w:fldChar w:fldCharType="separate"/>
        </w:r>
        <w:r w:rsidR="00152300">
          <w:rPr>
            <w:noProof/>
          </w:rPr>
          <w:t>1</w:t>
        </w:r>
        <w:r>
          <w:rPr>
            <w:noProof/>
          </w:rPr>
          <w:fldChar w:fldCharType="end"/>
        </w:r>
      </w:p>
    </w:sdtContent>
  </w:sdt>
  <w:p w14:paraId="7085F4D7" w14:textId="19473C76" w:rsidR="00EA20D1" w:rsidRPr="00195BA8" w:rsidRDefault="00EA20D1" w:rsidP="00195BA8">
    <w:pPr>
      <w:pStyle w:val="Footer"/>
      <w:spacing w:after="500"/>
      <w:contextualSpacing/>
      <w:jc w:val="left"/>
      <w:rPr>
        <w:color w:val="25303B"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226081"/>
      <w:docPartObj>
        <w:docPartGallery w:val="Page Numbers (Bottom of Page)"/>
        <w:docPartUnique/>
      </w:docPartObj>
    </w:sdtPr>
    <w:sdtEndPr>
      <w:rPr>
        <w:noProof/>
      </w:rPr>
    </w:sdtEndPr>
    <w:sdtContent>
      <w:p w14:paraId="78D3E62C" w14:textId="2A50EF00" w:rsidR="00EA20D1" w:rsidRDefault="00EA20D1">
        <w:pPr>
          <w:pStyle w:val="Footer"/>
        </w:pPr>
        <w:r>
          <w:fldChar w:fldCharType="begin"/>
        </w:r>
        <w:r>
          <w:instrText xml:space="preserve"> PAGE   \* MERGEFORMAT </w:instrText>
        </w:r>
        <w:r>
          <w:fldChar w:fldCharType="separate"/>
        </w:r>
        <w:r>
          <w:rPr>
            <w:noProof/>
          </w:rPr>
          <w:t>58</w:t>
        </w:r>
        <w:r>
          <w:rPr>
            <w:noProof/>
          </w:rPr>
          <w:fldChar w:fldCharType="end"/>
        </w:r>
      </w:p>
    </w:sdtContent>
  </w:sdt>
  <w:p w14:paraId="74320D88" w14:textId="77777777" w:rsidR="00EA20D1" w:rsidRDefault="00EA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BBEB" w14:textId="77777777" w:rsidR="00A4667B" w:rsidRPr="003A7E73" w:rsidRDefault="00A4667B" w:rsidP="00B95533">
      <w:pPr>
        <w:spacing w:after="0" w:line="240" w:lineRule="auto"/>
        <w:rPr>
          <w:color w:val="014463" w:themeColor="accent2"/>
        </w:rPr>
      </w:pPr>
      <w:r w:rsidRPr="003A7E73">
        <w:rPr>
          <w:color w:val="014463" w:themeColor="accent2"/>
        </w:rPr>
        <w:separator/>
      </w:r>
    </w:p>
  </w:footnote>
  <w:footnote w:type="continuationSeparator" w:id="0">
    <w:p w14:paraId="6CA2448F" w14:textId="77777777" w:rsidR="00A4667B" w:rsidRPr="003A7E73" w:rsidRDefault="00A4667B" w:rsidP="00B95533">
      <w:pPr>
        <w:spacing w:after="0" w:line="240" w:lineRule="auto"/>
        <w:rPr>
          <w:color w:val="014463" w:themeColor="accent2"/>
        </w:rPr>
      </w:pPr>
      <w:r w:rsidRPr="003A7E73">
        <w:rPr>
          <w:color w:val="014463" w:themeColor="accent2"/>
        </w:rPr>
        <w:continuationSeparator/>
      </w:r>
    </w:p>
  </w:footnote>
  <w:footnote w:type="continuationNotice" w:id="1">
    <w:p w14:paraId="63876650" w14:textId="77777777" w:rsidR="00A4667B" w:rsidRDefault="00A4667B">
      <w:pPr>
        <w:spacing w:after="0" w:line="240" w:lineRule="auto"/>
      </w:pPr>
    </w:p>
  </w:footnote>
  <w:footnote w:id="2">
    <w:p w14:paraId="13E0D764" w14:textId="3C51FD37" w:rsidR="00EA20D1" w:rsidRPr="0039368B" w:rsidRDefault="00EA20D1" w:rsidP="004160E2">
      <w:pPr>
        <w:pStyle w:val="FootnoteText"/>
        <w:rPr>
          <w:sz w:val="18"/>
          <w:szCs w:val="18"/>
        </w:rPr>
      </w:pPr>
      <w:r w:rsidRPr="0039368B">
        <w:rPr>
          <w:rStyle w:val="FootnoteReference"/>
          <w:sz w:val="18"/>
          <w:szCs w:val="18"/>
        </w:rPr>
        <w:footnoteRef/>
      </w:r>
      <w:r w:rsidRPr="0039368B">
        <w:rPr>
          <w:sz w:val="18"/>
          <w:szCs w:val="18"/>
        </w:rPr>
        <w:t xml:space="preserve"> </w:t>
      </w:r>
      <w:r w:rsidRPr="0039368B">
        <w:rPr>
          <w:rStyle w:val="Hyperlink"/>
          <w:sz w:val="18"/>
          <w:szCs w:val="18"/>
        </w:rPr>
        <w:t>https://www.health.gov.au/resources/publications/national-medicines-policy?language=en</w:t>
      </w:r>
    </w:p>
  </w:footnote>
  <w:footnote w:id="3">
    <w:p w14:paraId="33E793C6" w14:textId="55D710B7" w:rsidR="00EA20D1" w:rsidRDefault="00EA20D1">
      <w:pPr>
        <w:pStyle w:val="FootnoteText"/>
      </w:pPr>
      <w:r w:rsidRPr="0039368B">
        <w:rPr>
          <w:rStyle w:val="FootnoteReference"/>
          <w:sz w:val="18"/>
          <w:szCs w:val="18"/>
        </w:rPr>
        <w:footnoteRef/>
      </w:r>
      <w:r w:rsidRPr="0039368B">
        <w:rPr>
          <w:sz w:val="18"/>
          <w:szCs w:val="18"/>
        </w:rPr>
        <w:t xml:space="preserve"> https://www.aihw.gov.au/reports/australias-health/health-system-overview</w:t>
      </w:r>
    </w:p>
  </w:footnote>
  <w:footnote w:id="4">
    <w:p w14:paraId="4E593384" w14:textId="2D6C2B7E" w:rsidR="00EA20D1" w:rsidRPr="0039368B" w:rsidRDefault="00EA20D1" w:rsidP="0039368B">
      <w:pPr>
        <w:spacing w:after="0"/>
        <w:rPr>
          <w:sz w:val="18"/>
          <w:szCs w:val="18"/>
        </w:rPr>
      </w:pPr>
      <w:r w:rsidRPr="0039368B">
        <w:rPr>
          <w:rStyle w:val="FootnoteReference"/>
          <w:sz w:val="18"/>
          <w:szCs w:val="18"/>
        </w:rPr>
        <w:footnoteRef/>
      </w:r>
      <w:r w:rsidRPr="0039368B">
        <w:rPr>
          <w:sz w:val="18"/>
          <w:szCs w:val="18"/>
        </w:rPr>
        <w:t xml:space="preserve"> </w:t>
      </w:r>
      <w:hyperlink r:id="rId1" w:history="1">
        <w:r w:rsidRPr="0039368B">
          <w:rPr>
            <w:rStyle w:val="Hyperlink"/>
            <w:sz w:val="18"/>
            <w:szCs w:val="18"/>
          </w:rPr>
          <w:t>https://www.guild.org.au/about-us</w:t>
        </w:r>
      </w:hyperlink>
    </w:p>
  </w:footnote>
  <w:footnote w:id="5">
    <w:p w14:paraId="195C2365" w14:textId="7F8686F9" w:rsidR="00EA20D1" w:rsidRDefault="00EA20D1" w:rsidP="0039368B">
      <w:pPr>
        <w:pStyle w:val="FootnoteText"/>
      </w:pPr>
      <w:r w:rsidRPr="0039368B">
        <w:rPr>
          <w:rStyle w:val="FootnoteReference"/>
          <w:sz w:val="18"/>
          <w:szCs w:val="18"/>
        </w:rPr>
        <w:footnoteRef/>
      </w:r>
      <w:r w:rsidRPr="0039368B">
        <w:rPr>
          <w:sz w:val="18"/>
          <w:szCs w:val="18"/>
        </w:rPr>
        <w:t xml:space="preserve"> </w:t>
      </w:r>
      <w:hyperlink r:id="rId2" w:history="1">
        <w:r w:rsidRPr="0039368B">
          <w:rPr>
            <w:rStyle w:val="Hyperlink"/>
            <w:sz w:val="18"/>
            <w:szCs w:val="18"/>
          </w:rPr>
          <w:t>https://www.health.gov.au/ministers/the-hon-mark-butler-mp/media/negotiations-for-an-eighth-community-pharmacy-agreement?language=en</w:t>
        </w:r>
      </w:hyperlink>
      <w:r w:rsidRPr="0039368B">
        <w:rPr>
          <w:sz w:val="18"/>
          <w:szCs w:val="18"/>
        </w:rPr>
        <w:t xml:space="preserve"> </w:t>
      </w:r>
    </w:p>
  </w:footnote>
  <w:footnote w:id="6">
    <w:p w14:paraId="6119D95E" w14:textId="255F7298" w:rsidR="00EA20D1" w:rsidRPr="00A640E2" w:rsidRDefault="00EA20D1" w:rsidP="00A640E2">
      <w:pPr>
        <w:rPr>
          <w:rFonts w:cstheme="minorHAnsi"/>
          <w:sz w:val="18"/>
          <w:szCs w:val="18"/>
          <w:shd w:val="clear" w:color="auto" w:fill="FFFFFF"/>
        </w:rPr>
      </w:pPr>
      <w:r w:rsidRPr="00A640E2">
        <w:rPr>
          <w:rStyle w:val="FootnoteReference"/>
          <w:rFonts w:cstheme="minorHAnsi"/>
          <w:sz w:val="18"/>
          <w:szCs w:val="18"/>
        </w:rPr>
        <w:footnoteRef/>
      </w:r>
      <w:r w:rsidRPr="00A640E2">
        <w:rPr>
          <w:rFonts w:cstheme="minorHAnsi"/>
          <w:sz w:val="18"/>
          <w:szCs w:val="18"/>
        </w:rPr>
        <w:t xml:space="preserve"> </w:t>
      </w:r>
      <w:r w:rsidRPr="00A640E2">
        <w:rPr>
          <w:rFonts w:cstheme="minorHAnsi"/>
          <w:color w:val="333333"/>
          <w:sz w:val="18"/>
          <w:szCs w:val="18"/>
          <w:shd w:val="clear" w:color="auto" w:fill="FFFFFF"/>
        </w:rPr>
        <w:t>Jackson, J.K., Scahill, S.L., Mintrom, M. </w:t>
      </w:r>
      <w:r w:rsidRPr="00A640E2">
        <w:rPr>
          <w:rFonts w:cstheme="minorHAnsi"/>
          <w:i/>
          <w:color w:val="333333"/>
          <w:sz w:val="18"/>
          <w:szCs w:val="18"/>
          <w:shd w:val="clear" w:color="auto" w:fill="FFFFFF"/>
        </w:rPr>
        <w:t>et al.</w:t>
      </w:r>
      <w:r w:rsidRPr="00A640E2">
        <w:rPr>
          <w:rFonts w:cstheme="minorHAnsi"/>
          <w:color w:val="333333"/>
          <w:sz w:val="18"/>
          <w:szCs w:val="18"/>
          <w:shd w:val="clear" w:color="auto" w:fill="FFFFFF"/>
        </w:rPr>
        <w:t> An evaluation of the Australian Community Pharmacy Agreement from a public policy perspective: industry policy cloaked as health policy?. </w:t>
      </w:r>
      <w:r w:rsidRPr="00A640E2">
        <w:rPr>
          <w:rFonts w:cstheme="minorHAnsi"/>
          <w:i/>
          <w:color w:val="333333"/>
          <w:sz w:val="18"/>
          <w:szCs w:val="18"/>
          <w:shd w:val="clear" w:color="auto" w:fill="FFFFFF"/>
        </w:rPr>
        <w:t>J of Pharm Policy and Pract</w:t>
      </w:r>
      <w:r w:rsidRPr="00A640E2">
        <w:rPr>
          <w:rFonts w:cstheme="minorHAnsi"/>
          <w:color w:val="333333"/>
          <w:sz w:val="18"/>
          <w:szCs w:val="18"/>
          <w:shd w:val="clear" w:color="auto" w:fill="FFFFFF"/>
        </w:rPr>
        <w:t> </w:t>
      </w:r>
      <w:r w:rsidRPr="00A640E2">
        <w:rPr>
          <w:rFonts w:cstheme="minorHAnsi"/>
          <w:b/>
          <w:color w:val="333333"/>
          <w:sz w:val="18"/>
          <w:szCs w:val="18"/>
          <w:shd w:val="clear" w:color="auto" w:fill="FFFFFF"/>
        </w:rPr>
        <w:t>16</w:t>
      </w:r>
      <w:r w:rsidRPr="00A640E2">
        <w:rPr>
          <w:rFonts w:cstheme="minorHAnsi"/>
          <w:color w:val="333333"/>
          <w:sz w:val="18"/>
          <w:szCs w:val="18"/>
          <w:shd w:val="clear" w:color="auto" w:fill="FFFFFF"/>
        </w:rPr>
        <w:t xml:space="preserve">, 71 (2023). </w:t>
      </w:r>
      <w:hyperlink r:id="rId3" w:history="1">
        <w:r w:rsidRPr="00A640E2">
          <w:rPr>
            <w:rStyle w:val="Hyperlink"/>
            <w:rFonts w:cstheme="minorHAnsi"/>
            <w:sz w:val="18"/>
            <w:szCs w:val="18"/>
            <w:shd w:val="clear" w:color="auto" w:fill="FFFFFF"/>
          </w:rPr>
          <w:t>https://doi.org/10.1186/s40545-023-00571-y</w:t>
        </w:r>
      </w:hyperlink>
    </w:p>
  </w:footnote>
  <w:footnote w:id="7">
    <w:p w14:paraId="6FCF9771" w14:textId="03D5E90C" w:rsidR="00EA20D1" w:rsidRPr="0039368B" w:rsidRDefault="00EA20D1">
      <w:pPr>
        <w:pStyle w:val="FootnoteText"/>
        <w:rPr>
          <w:sz w:val="18"/>
          <w:szCs w:val="18"/>
        </w:rPr>
      </w:pPr>
      <w:r w:rsidRPr="0039368B">
        <w:rPr>
          <w:rStyle w:val="FootnoteReference"/>
          <w:sz w:val="18"/>
          <w:szCs w:val="18"/>
        </w:rPr>
        <w:footnoteRef/>
      </w:r>
      <w:r w:rsidRPr="0039368B">
        <w:rPr>
          <w:sz w:val="18"/>
          <w:szCs w:val="18"/>
        </w:rPr>
        <w:t xml:space="preserve"> https://www.finance.gov.au/government/setting-commonwealth-entity/governance-compliance</w:t>
      </w:r>
    </w:p>
  </w:footnote>
  <w:footnote w:id="8">
    <w:p w14:paraId="0090F48C" w14:textId="77777777" w:rsidR="00EA20D1" w:rsidRPr="0039368B" w:rsidRDefault="00EA20D1" w:rsidP="00DF3D29">
      <w:pPr>
        <w:pStyle w:val="FootnoteText"/>
        <w:rPr>
          <w:sz w:val="18"/>
          <w:szCs w:val="18"/>
        </w:rPr>
      </w:pPr>
      <w:r w:rsidRPr="0039368B">
        <w:rPr>
          <w:rStyle w:val="FootnoteReference"/>
          <w:sz w:val="18"/>
          <w:szCs w:val="18"/>
        </w:rPr>
        <w:footnoteRef/>
      </w:r>
      <w:r w:rsidRPr="0039368B">
        <w:rPr>
          <w:sz w:val="18"/>
          <w:szCs w:val="18"/>
        </w:rPr>
        <w:t xml:space="preserve"> The Pharmacy Guild of Australia 2020</w:t>
      </w:r>
    </w:p>
  </w:footnote>
  <w:footnote w:id="9">
    <w:p w14:paraId="540243F3" w14:textId="77777777" w:rsidR="00EA20D1" w:rsidRPr="0039368B" w:rsidRDefault="00EA20D1" w:rsidP="00DF3D29">
      <w:pPr>
        <w:pStyle w:val="FootnoteText"/>
        <w:rPr>
          <w:sz w:val="18"/>
          <w:szCs w:val="18"/>
        </w:rPr>
      </w:pPr>
      <w:r w:rsidRPr="0039368B">
        <w:rPr>
          <w:rStyle w:val="FootnoteReference"/>
          <w:sz w:val="18"/>
          <w:szCs w:val="18"/>
        </w:rPr>
        <w:footnoteRef/>
      </w:r>
      <w:r w:rsidRPr="0039368B">
        <w:rPr>
          <w:sz w:val="18"/>
          <w:szCs w:val="18"/>
        </w:rPr>
        <w:t xml:space="preserve"> Pearson, D., De lure, R. (2021) NAB Pharmacy Survey 2021. NAB. https://business.nab.com.au/nab-australian-pharmacy-survey 2021-48091/</w:t>
      </w:r>
    </w:p>
  </w:footnote>
  <w:footnote w:id="10">
    <w:p w14:paraId="75F597BE" w14:textId="1D1B31AC" w:rsidR="00EA20D1" w:rsidRPr="0039368B" w:rsidRDefault="00EA20D1" w:rsidP="00DF3D29">
      <w:pPr>
        <w:pStyle w:val="FootnoteText"/>
        <w:rPr>
          <w:sz w:val="18"/>
          <w:szCs w:val="18"/>
        </w:rPr>
      </w:pPr>
      <w:r w:rsidRPr="0039368B">
        <w:rPr>
          <w:rStyle w:val="FootnoteReference"/>
          <w:sz w:val="18"/>
          <w:szCs w:val="18"/>
        </w:rPr>
        <w:footnoteRef/>
      </w:r>
      <w:r w:rsidRPr="0039368B">
        <w:rPr>
          <w:sz w:val="18"/>
          <w:szCs w:val="18"/>
        </w:rPr>
        <w:t xml:space="preserve"> https://www.pbs.gov.au/info/statistics/expenditure-prescriptions/pbs-expenditure-and-prescriptions-report-1-july-2021-to-30-june-2022</w:t>
      </w:r>
    </w:p>
  </w:footnote>
  <w:footnote w:id="11">
    <w:p w14:paraId="27863FB1" w14:textId="069EC4EF" w:rsidR="00EA20D1" w:rsidRDefault="00EA20D1">
      <w:pPr>
        <w:pStyle w:val="FootnoteText"/>
      </w:pPr>
      <w:r>
        <w:rPr>
          <w:rStyle w:val="FootnoteReference"/>
        </w:rPr>
        <w:footnoteRef/>
      </w:r>
      <w:r>
        <w:t xml:space="preserve"> Non-scheduled medicines are medications that are not restricted to access only from a chemist, vitamins, herbal remedies and some painkillers such as aspirin and paracetamol in low dose formulations.</w:t>
      </w:r>
    </w:p>
  </w:footnote>
  <w:footnote w:id="12">
    <w:p w14:paraId="508E5DB1" w14:textId="77777777" w:rsidR="00EA20D1" w:rsidRPr="0039368B" w:rsidRDefault="00EA20D1" w:rsidP="001C670B">
      <w:pPr>
        <w:pStyle w:val="FootnoteText"/>
        <w:rPr>
          <w:color w:val="0D0D0D" w:themeColor="text1" w:themeTint="F2"/>
          <w:sz w:val="18"/>
          <w:szCs w:val="18"/>
        </w:rPr>
      </w:pPr>
      <w:r w:rsidRPr="0039368B">
        <w:rPr>
          <w:rStyle w:val="FootnoteReference"/>
          <w:color w:val="0D0D0D" w:themeColor="text1" w:themeTint="F2"/>
          <w:sz w:val="18"/>
          <w:szCs w:val="18"/>
        </w:rPr>
        <w:footnoteRef/>
      </w:r>
      <w:r w:rsidRPr="0039368B">
        <w:rPr>
          <w:color w:val="0D0D0D" w:themeColor="text1" w:themeTint="F2"/>
          <w:sz w:val="18"/>
          <w:szCs w:val="18"/>
        </w:rPr>
        <w:t xml:space="preserve"> </w:t>
      </w:r>
      <w:r w:rsidRPr="0039368B">
        <w:rPr>
          <w:sz w:val="18"/>
          <w:szCs w:val="18"/>
        </w:rPr>
        <w:t>https://</w:t>
      </w:r>
      <w:r w:rsidRPr="0039368B">
        <w:rPr>
          <w:color w:val="0D0D0D" w:themeColor="text1" w:themeTint="F2"/>
          <w:sz w:val="18"/>
          <w:szCs w:val="18"/>
        </w:rPr>
        <w:t>www.health.gov.au/sites/default/files/documents/2019/10/department-of-health-annual-report-2018-19_0.pdf</w:t>
      </w:r>
      <w:r w:rsidRPr="0039368B" w:rsidDel="00DB7CC2">
        <w:rPr>
          <w:color w:val="0D0D0D" w:themeColor="text1" w:themeTint="F2"/>
          <w:sz w:val="18"/>
          <w:szCs w:val="18"/>
        </w:rPr>
        <w:t xml:space="preserve"> </w:t>
      </w:r>
    </w:p>
  </w:footnote>
  <w:footnote w:id="13">
    <w:p w14:paraId="00AD3CA0" w14:textId="77777777" w:rsidR="00EA20D1" w:rsidRDefault="00EA20D1" w:rsidP="001C670B">
      <w:pPr>
        <w:pStyle w:val="FootnoteText"/>
      </w:pPr>
      <w:r w:rsidRPr="0039368B">
        <w:rPr>
          <w:rStyle w:val="FootnoteReference"/>
          <w:color w:val="0D0D0D" w:themeColor="text1" w:themeTint="F2"/>
          <w:sz w:val="18"/>
          <w:szCs w:val="18"/>
        </w:rPr>
        <w:footnoteRef/>
      </w:r>
      <w:r w:rsidRPr="0039368B">
        <w:rPr>
          <w:color w:val="0D0D0D" w:themeColor="text1" w:themeTint="F2"/>
          <w:sz w:val="18"/>
          <w:szCs w:val="18"/>
        </w:rPr>
        <w:t xml:space="preserve"> </w:t>
      </w:r>
      <w:r w:rsidRPr="0039368B">
        <w:rPr>
          <w:sz w:val="18"/>
          <w:szCs w:val="18"/>
        </w:rPr>
        <w:t>https://</w:t>
      </w:r>
      <w:r w:rsidRPr="0039368B">
        <w:rPr>
          <w:color w:val="0D0D0D" w:themeColor="text1" w:themeTint="F2"/>
          <w:sz w:val="18"/>
          <w:szCs w:val="18"/>
        </w:rPr>
        <w:t>www.health.gov.au/nationalmedicinespolicy</w:t>
      </w:r>
      <w:r w:rsidRPr="00290876">
        <w:rPr>
          <w:color w:val="0D0D0D" w:themeColor="text1" w:themeTint="F2"/>
        </w:rPr>
        <w:t xml:space="preserve"> </w:t>
      </w:r>
    </w:p>
  </w:footnote>
  <w:footnote w:id="14">
    <w:p w14:paraId="78F27E5C" w14:textId="77777777" w:rsidR="00EA20D1" w:rsidRPr="00D72C6E" w:rsidRDefault="00EA20D1" w:rsidP="001615AB">
      <w:pPr>
        <w:pStyle w:val="FootnoteText"/>
        <w:rPr>
          <w:sz w:val="18"/>
          <w:szCs w:val="18"/>
        </w:rPr>
      </w:pPr>
      <w:r w:rsidRPr="00D72C6E">
        <w:rPr>
          <w:rStyle w:val="FootnoteReference"/>
          <w:sz w:val="18"/>
          <w:szCs w:val="18"/>
        </w:rPr>
        <w:footnoteRef/>
      </w:r>
      <w:r w:rsidRPr="00D72C6E">
        <w:rPr>
          <w:sz w:val="18"/>
          <w:szCs w:val="18"/>
        </w:rPr>
        <w:t xml:space="preserve"> C Sloane, </w:t>
      </w:r>
      <w:r w:rsidRPr="00D72C6E">
        <w:rPr>
          <w:i/>
          <w:iCs/>
          <w:sz w:val="18"/>
          <w:szCs w:val="18"/>
        </w:rPr>
        <w:t>A History of the Pharmaceutical Benefits Scheme</w:t>
      </w:r>
      <w:r w:rsidRPr="00D72C6E">
        <w:rPr>
          <w:sz w:val="18"/>
          <w:szCs w:val="18"/>
        </w:rPr>
        <w:t xml:space="preserve"> </w:t>
      </w:r>
      <w:r w:rsidRPr="00970086">
        <w:rPr>
          <w:i/>
          <w:iCs/>
          <w:sz w:val="18"/>
          <w:szCs w:val="18"/>
        </w:rPr>
        <w:t>1947–1992</w:t>
      </w:r>
      <w:r w:rsidRPr="00D72C6E">
        <w:rPr>
          <w:sz w:val="18"/>
          <w:szCs w:val="18"/>
        </w:rPr>
        <w:t>, Australian Government Publishing Service, Canberra, 1995, pp. 52–59.</w:t>
      </w:r>
    </w:p>
  </w:footnote>
  <w:footnote w:id="15">
    <w:p w14:paraId="09E68D01" w14:textId="77777777" w:rsidR="00EA20D1" w:rsidRPr="00D72C6E" w:rsidRDefault="00EA20D1" w:rsidP="001615AB">
      <w:pPr>
        <w:pStyle w:val="FootnoteText"/>
        <w:rPr>
          <w:sz w:val="18"/>
          <w:szCs w:val="18"/>
        </w:rPr>
      </w:pPr>
      <w:r w:rsidRPr="00D72C6E">
        <w:rPr>
          <w:rStyle w:val="FootnoteReference"/>
          <w:sz w:val="18"/>
          <w:szCs w:val="18"/>
        </w:rPr>
        <w:footnoteRef/>
      </w:r>
      <w:r w:rsidRPr="00D72C6E">
        <w:rPr>
          <w:sz w:val="18"/>
          <w:szCs w:val="18"/>
        </w:rPr>
        <w:t xml:space="preserve"> Joint Committee of Public Accounts, </w:t>
      </w:r>
      <w:r w:rsidRPr="00D72C6E">
        <w:rPr>
          <w:i/>
          <w:iCs/>
          <w:sz w:val="18"/>
          <w:szCs w:val="18"/>
        </w:rPr>
        <w:t>Report 182: Pharmaceutical Benefits Scheme-Chemists’ Remuneration</w:t>
      </w:r>
      <w:r w:rsidRPr="00D72C6E">
        <w:rPr>
          <w:sz w:val="18"/>
          <w:szCs w:val="18"/>
        </w:rPr>
        <w:t>, Australian Government Publishing Service, Canberra, 1980, p. xiii. In this inquiry the Committee examined and reported on the reasons for a significant excess payment by the Department of Health to pharmacists in respect of their remuneration under the PBS between 1973 and 1980. The Committee also examined the concurrent excess payments made by the Department of Veterans’ Affairs to pharmacists under the RPBS. The combined total of overpayments was estimated at approximately $253 million.</w:t>
      </w:r>
    </w:p>
  </w:footnote>
  <w:footnote w:id="16">
    <w:p w14:paraId="6CBC2352" w14:textId="77777777" w:rsidR="00EA20D1" w:rsidRPr="00D72C6E" w:rsidRDefault="00EA20D1" w:rsidP="001615AB">
      <w:pPr>
        <w:spacing w:after="0" w:line="240" w:lineRule="auto"/>
        <w:rPr>
          <w:sz w:val="18"/>
          <w:szCs w:val="18"/>
        </w:rPr>
      </w:pPr>
      <w:r w:rsidRPr="00D72C6E">
        <w:rPr>
          <w:rStyle w:val="FootnoteReference"/>
          <w:sz w:val="18"/>
          <w:szCs w:val="18"/>
        </w:rPr>
        <w:footnoteRef/>
      </w:r>
      <w:r w:rsidRPr="00D72C6E">
        <w:rPr>
          <w:sz w:val="18"/>
          <w:szCs w:val="18"/>
        </w:rPr>
        <w:t xml:space="preserve"> As defined under section 84 of the </w:t>
      </w:r>
      <w:r w:rsidRPr="00D72C6E">
        <w:rPr>
          <w:i/>
          <w:iCs/>
          <w:sz w:val="18"/>
          <w:szCs w:val="18"/>
        </w:rPr>
        <w:t>National Health Act 1953</w:t>
      </w:r>
      <w:r w:rsidRPr="00D72C6E">
        <w:rPr>
          <w:sz w:val="18"/>
          <w:szCs w:val="18"/>
        </w:rPr>
        <w:t>.</w:t>
      </w:r>
    </w:p>
  </w:footnote>
  <w:footnote w:id="17">
    <w:p w14:paraId="08A3F754" w14:textId="77777777" w:rsidR="00EA20D1" w:rsidRPr="00887EFA" w:rsidRDefault="00EA20D1" w:rsidP="001615AB">
      <w:pPr>
        <w:pStyle w:val="FootnoteText"/>
        <w:rPr>
          <w:sz w:val="18"/>
          <w:szCs w:val="18"/>
        </w:rPr>
      </w:pPr>
      <w:r w:rsidRPr="00887EFA">
        <w:rPr>
          <w:rStyle w:val="FootnoteReference"/>
          <w:sz w:val="18"/>
          <w:szCs w:val="18"/>
        </w:rPr>
        <w:footnoteRef/>
      </w:r>
      <w:r w:rsidRPr="00887EFA">
        <w:rPr>
          <w:sz w:val="18"/>
          <w:szCs w:val="18"/>
        </w:rPr>
        <w:t xml:space="preserve"> Pharmaceutical Benefits Remuneration Tribunal, </w:t>
      </w:r>
      <w:r w:rsidRPr="00887EFA">
        <w:rPr>
          <w:i/>
          <w:iCs/>
          <w:sz w:val="18"/>
          <w:szCs w:val="18"/>
        </w:rPr>
        <w:t>Data Base Inquiry Final Report</w:t>
      </w:r>
      <w:r w:rsidRPr="00887EFA">
        <w:rPr>
          <w:sz w:val="18"/>
          <w:szCs w:val="18"/>
        </w:rPr>
        <w:t>, Canberra, 28 August 1989.</w:t>
      </w:r>
    </w:p>
  </w:footnote>
  <w:footnote w:id="18">
    <w:p w14:paraId="155412C8" w14:textId="77777777" w:rsidR="00EA20D1" w:rsidRPr="002F1037" w:rsidRDefault="00EA20D1" w:rsidP="001615AB">
      <w:pPr>
        <w:pStyle w:val="FootnoteText"/>
        <w:rPr>
          <w:sz w:val="18"/>
          <w:szCs w:val="18"/>
        </w:rPr>
      </w:pPr>
      <w:r w:rsidRPr="00F821DF">
        <w:rPr>
          <w:rStyle w:val="FootnoteReference"/>
          <w:sz w:val="18"/>
          <w:szCs w:val="18"/>
        </w:rPr>
        <w:footnoteRef/>
      </w:r>
      <w:r w:rsidRPr="00F821DF">
        <w:rPr>
          <w:sz w:val="18"/>
          <w:szCs w:val="18"/>
        </w:rPr>
        <w:t xml:space="preserve"> </w:t>
      </w:r>
      <w:r w:rsidRPr="002F1037">
        <w:rPr>
          <w:sz w:val="18"/>
          <w:szCs w:val="18"/>
        </w:rPr>
        <w:t>https://web.archive.org.au/awa/20220603170441mp_/https://www.pbs.gov.au/general/sixth-cpa-files/1cpa.pdf</w:t>
      </w:r>
    </w:p>
  </w:footnote>
  <w:footnote w:id="19">
    <w:p w14:paraId="55613E26" w14:textId="77777777" w:rsidR="00EA20D1" w:rsidRPr="00887EFA" w:rsidRDefault="00EA20D1" w:rsidP="001615AB">
      <w:pPr>
        <w:spacing w:after="0" w:line="240" w:lineRule="auto"/>
        <w:contextualSpacing/>
        <w:rPr>
          <w:sz w:val="18"/>
          <w:szCs w:val="18"/>
        </w:rPr>
      </w:pPr>
      <w:r w:rsidRPr="00887EFA">
        <w:rPr>
          <w:rStyle w:val="FootnoteReference"/>
          <w:sz w:val="18"/>
          <w:szCs w:val="18"/>
        </w:rPr>
        <w:footnoteRef/>
      </w:r>
      <w:r w:rsidRPr="00887EFA">
        <w:rPr>
          <w:sz w:val="18"/>
          <w:szCs w:val="18"/>
        </w:rPr>
        <w:t xml:space="preserve"> The “economy of scale factor” refers to a feature of remuneration at the time, whereby dispensing remuneration reduced with increasing volume. That is, the greater the number of prescriptions that a pharmacy dispensed, the lower the average payment per medicine dispensed.</w:t>
      </w:r>
    </w:p>
  </w:footnote>
  <w:footnote w:id="20">
    <w:p w14:paraId="0E9A1A30" w14:textId="77777777" w:rsidR="00EA20D1" w:rsidRPr="0039368B" w:rsidRDefault="00EA20D1" w:rsidP="001615AB">
      <w:pPr>
        <w:pStyle w:val="FootnoteText"/>
        <w:rPr>
          <w:sz w:val="18"/>
          <w:szCs w:val="18"/>
        </w:rPr>
      </w:pPr>
      <w:r>
        <w:rPr>
          <w:rStyle w:val="FootnoteReference"/>
        </w:rPr>
        <w:footnoteRef/>
      </w:r>
      <w:r>
        <w:t xml:space="preserve"> </w:t>
      </w:r>
      <w:r w:rsidRPr="0039368B">
        <w:rPr>
          <w:sz w:val="18"/>
          <w:szCs w:val="18"/>
        </w:rPr>
        <w:t>https://web.archive.org.au/awa/20220603170440mp_/https://www.pbs.gov.au/general/sixth-cpa-files/2cpa.pdf</w:t>
      </w:r>
    </w:p>
  </w:footnote>
  <w:footnote w:id="21">
    <w:p w14:paraId="48EB69DF" w14:textId="77777777" w:rsidR="00EA20D1" w:rsidRPr="0039368B" w:rsidRDefault="00EA20D1" w:rsidP="001615AB">
      <w:pPr>
        <w:pStyle w:val="FootnoteText"/>
        <w:rPr>
          <w:sz w:val="18"/>
          <w:szCs w:val="18"/>
        </w:rPr>
      </w:pPr>
      <w:r w:rsidRPr="0039368B">
        <w:rPr>
          <w:rStyle w:val="FootnoteReference"/>
          <w:sz w:val="18"/>
          <w:szCs w:val="18"/>
        </w:rPr>
        <w:footnoteRef/>
      </w:r>
      <w:r w:rsidRPr="0039368B">
        <w:rPr>
          <w:sz w:val="18"/>
          <w:szCs w:val="18"/>
        </w:rPr>
        <w:t xml:space="preserve"> https://web.archive.org.au/awa/20220603170438mp_/https://www.pbs.gov.au/general/sixth-cpa-files/3cpa.pdf</w:t>
      </w:r>
    </w:p>
  </w:footnote>
  <w:footnote w:id="22">
    <w:p w14:paraId="0A495FF7" w14:textId="77777777" w:rsidR="00EA20D1" w:rsidRDefault="00EA20D1" w:rsidP="001615AB">
      <w:pPr>
        <w:pStyle w:val="FootnoteText"/>
      </w:pPr>
      <w:r w:rsidRPr="0039368B">
        <w:rPr>
          <w:rStyle w:val="FootnoteReference"/>
          <w:sz w:val="18"/>
          <w:szCs w:val="18"/>
        </w:rPr>
        <w:footnoteRef/>
      </w:r>
      <w:r w:rsidRPr="0039368B">
        <w:rPr>
          <w:sz w:val="18"/>
          <w:szCs w:val="18"/>
        </w:rPr>
        <w:t xml:space="preserve"> https://web.archive.org.au/awa/20220603170620mp_/https://www.pbs.gov.au/general/sixth-cpa-files/4cpa.pdf</w:t>
      </w:r>
    </w:p>
  </w:footnote>
  <w:footnote w:id="23">
    <w:p w14:paraId="3BF332F0" w14:textId="77777777" w:rsidR="00EA20D1" w:rsidRPr="0039368B" w:rsidRDefault="00EA20D1" w:rsidP="001615AB">
      <w:pPr>
        <w:pStyle w:val="FootnoteText"/>
        <w:rPr>
          <w:sz w:val="18"/>
          <w:szCs w:val="18"/>
        </w:rPr>
      </w:pPr>
      <w:r w:rsidRPr="0039368B">
        <w:rPr>
          <w:rStyle w:val="FootnoteReference"/>
          <w:sz w:val="18"/>
          <w:szCs w:val="18"/>
        </w:rPr>
        <w:footnoteRef/>
      </w:r>
      <w:r w:rsidRPr="0039368B">
        <w:rPr>
          <w:sz w:val="18"/>
          <w:szCs w:val="18"/>
        </w:rPr>
        <w:t xml:space="preserve"> https://web.archive.org.au/awa/20220603170620mp_/https://www.pbs.gov.au/general/sixth-cpa-files/5cpa.pdf</w:t>
      </w:r>
    </w:p>
  </w:footnote>
  <w:footnote w:id="24">
    <w:p w14:paraId="7BF60178" w14:textId="77777777" w:rsidR="00EA20D1" w:rsidRPr="0039368B" w:rsidRDefault="00EA20D1" w:rsidP="001615AB">
      <w:pPr>
        <w:pStyle w:val="FootnoteText"/>
        <w:rPr>
          <w:sz w:val="18"/>
          <w:szCs w:val="18"/>
        </w:rPr>
      </w:pPr>
      <w:r w:rsidRPr="0039368B">
        <w:rPr>
          <w:rStyle w:val="FootnoteReference"/>
          <w:sz w:val="18"/>
          <w:szCs w:val="18"/>
        </w:rPr>
        <w:footnoteRef/>
      </w:r>
      <w:r w:rsidRPr="0039368B">
        <w:rPr>
          <w:sz w:val="18"/>
          <w:szCs w:val="18"/>
        </w:rPr>
        <w:t xml:space="preserve"> https://web.archive.org.au/awa/20220603091322mp_/https://www.pbs.gov.au/general/pbs-access-sustainability/signed-sixth-community-pharmacy-agreement-commonwealth-and-pharmacy-guild.pdf</w:t>
      </w:r>
    </w:p>
  </w:footnote>
  <w:footnote w:id="25">
    <w:p w14:paraId="27A34218" w14:textId="77777777" w:rsidR="00EA20D1" w:rsidRPr="0039368B" w:rsidRDefault="00EA20D1" w:rsidP="001615AB">
      <w:pPr>
        <w:pStyle w:val="FootnoteText"/>
        <w:rPr>
          <w:sz w:val="18"/>
          <w:szCs w:val="18"/>
        </w:rPr>
      </w:pPr>
      <w:r w:rsidRPr="0039368B">
        <w:rPr>
          <w:rStyle w:val="FootnoteReference"/>
          <w:sz w:val="18"/>
          <w:szCs w:val="18"/>
        </w:rPr>
        <w:footnoteRef/>
      </w:r>
      <w:r w:rsidRPr="0039368B">
        <w:rPr>
          <w:sz w:val="18"/>
          <w:szCs w:val="18"/>
        </w:rPr>
        <w:t xml:space="preserve"> </w:t>
      </w:r>
      <w:hyperlink r:id="rId4" w:history="1">
        <w:r w:rsidRPr="0039368B">
          <w:rPr>
            <w:rStyle w:val="Hyperlink"/>
            <w:sz w:val="18"/>
            <w:szCs w:val="18"/>
          </w:rPr>
          <w:t>www.pbs.gov.au/info/general/pbs-access-sustainability-package</w:t>
        </w:r>
      </w:hyperlink>
    </w:p>
  </w:footnote>
  <w:footnote w:id="26">
    <w:p w14:paraId="3D2B62F8" w14:textId="77777777" w:rsidR="00EA20D1" w:rsidRPr="00887EFA" w:rsidRDefault="00EA20D1" w:rsidP="001615AB">
      <w:pPr>
        <w:pStyle w:val="FootnoteText"/>
        <w:rPr>
          <w:sz w:val="18"/>
          <w:szCs w:val="18"/>
        </w:rPr>
      </w:pPr>
      <w:r w:rsidRPr="0039368B">
        <w:rPr>
          <w:rStyle w:val="FootnoteReference"/>
          <w:sz w:val="18"/>
          <w:szCs w:val="18"/>
        </w:rPr>
        <w:footnoteRef/>
      </w:r>
      <w:r w:rsidRPr="0039368B">
        <w:rPr>
          <w:sz w:val="18"/>
          <w:szCs w:val="18"/>
        </w:rPr>
        <w:t xml:space="preserve"> </w:t>
      </w:r>
      <w:hyperlink r:id="rId5" w:history="1">
        <w:r w:rsidRPr="0039368B">
          <w:rPr>
            <w:rStyle w:val="Hyperlink"/>
            <w:sz w:val="18"/>
            <w:szCs w:val="18"/>
          </w:rPr>
          <w:t>www.anao.gov.au/work/performance-audit/administration-fifth-community-pharmacy-agreement</w:t>
        </w:r>
      </w:hyperlink>
    </w:p>
  </w:footnote>
  <w:footnote w:id="27">
    <w:p w14:paraId="44808C2D" w14:textId="77777777" w:rsidR="00EA20D1" w:rsidRDefault="00EA20D1" w:rsidP="001615AB">
      <w:pPr>
        <w:pStyle w:val="FootnoteText"/>
      </w:pPr>
      <w:r>
        <w:rPr>
          <w:rStyle w:val="FootnoteReference"/>
        </w:rPr>
        <w:footnoteRef/>
      </w:r>
      <w:r>
        <w:t xml:space="preserve"> </w:t>
      </w:r>
      <w:r w:rsidRPr="002F1037">
        <w:rPr>
          <w:sz w:val="18"/>
          <w:szCs w:val="18"/>
        </w:rPr>
        <w:t>https://web.archive.org.au/awa/20220603091317mp_/https://www.pbs.gov.au/general/sixth-cpa-files/sixth-community-pharmacy-agreement-amended-06-2017.pdf</w:t>
      </w:r>
    </w:p>
  </w:footnote>
  <w:footnote w:id="28">
    <w:p w14:paraId="128E6A26" w14:textId="77777777" w:rsidR="00EA20D1" w:rsidRPr="00661481" w:rsidRDefault="00EA20D1" w:rsidP="001615AB">
      <w:pPr>
        <w:spacing w:after="0" w:line="240" w:lineRule="auto"/>
        <w:rPr>
          <w:sz w:val="18"/>
          <w:szCs w:val="18"/>
        </w:rPr>
      </w:pPr>
      <w:r w:rsidRPr="00661481">
        <w:rPr>
          <w:rStyle w:val="FootnoteReference"/>
          <w:sz w:val="18"/>
          <w:szCs w:val="18"/>
        </w:rPr>
        <w:footnoteRef/>
      </w:r>
      <w:r w:rsidRPr="00661481">
        <w:rPr>
          <w:sz w:val="18"/>
          <w:szCs w:val="18"/>
        </w:rPr>
        <w:t xml:space="preserve"> </w:t>
      </w:r>
      <w:r w:rsidRPr="00661481">
        <w:rPr>
          <w:sz w:val="18"/>
          <w:szCs w:val="18"/>
          <w:lang w:eastAsia="en-AU"/>
        </w:rPr>
        <w:t xml:space="preserve">The </w:t>
      </w:r>
      <w:hyperlink r:id="rId6" w:history="1">
        <w:r w:rsidRPr="00661481">
          <w:rPr>
            <w:rStyle w:val="Hyperlink"/>
            <w:i/>
            <w:sz w:val="18"/>
            <w:szCs w:val="18"/>
            <w:lang w:eastAsia="en-AU"/>
          </w:rPr>
          <w:t>National Health Amendment (Pharmaceutical Benefits-Budget and Other Measures) Bill 2017</w:t>
        </w:r>
      </w:hyperlink>
      <w:r w:rsidRPr="00661481">
        <w:rPr>
          <w:sz w:val="18"/>
          <w:szCs w:val="18"/>
          <w:lang w:eastAsia="en-AU"/>
        </w:rPr>
        <w:t xml:space="preserve"> repealed sections 90(3C) and 99Y of the </w:t>
      </w:r>
      <w:r w:rsidRPr="00661481">
        <w:rPr>
          <w:i/>
          <w:sz w:val="18"/>
          <w:szCs w:val="18"/>
          <w:lang w:eastAsia="en-AU"/>
        </w:rPr>
        <w:t>National Health Act 1953</w:t>
      </w:r>
      <w:r w:rsidRPr="00661481">
        <w:rPr>
          <w:sz w:val="18"/>
          <w:szCs w:val="18"/>
          <w:lang w:eastAsia="en-AU"/>
        </w:rPr>
        <w:t xml:space="preserve"> which would have ceased the Location Rules </w:t>
      </w:r>
      <w:r w:rsidRPr="00661481">
        <w:rPr>
          <w:color w:val="auto"/>
          <w:sz w:val="18"/>
          <w:szCs w:val="18"/>
          <w:lang w:eastAsia="en-AU"/>
        </w:rPr>
        <w:t>from 30</w:t>
      </w:r>
      <w:r>
        <w:rPr>
          <w:color w:val="auto"/>
          <w:sz w:val="18"/>
          <w:szCs w:val="18"/>
          <w:lang w:eastAsia="en-AU"/>
        </w:rPr>
        <w:t> </w:t>
      </w:r>
      <w:r w:rsidRPr="00661481">
        <w:rPr>
          <w:color w:val="auto"/>
          <w:sz w:val="18"/>
          <w:szCs w:val="18"/>
          <w:lang w:eastAsia="en-AU"/>
        </w:rPr>
        <w:t>June</w:t>
      </w:r>
      <w:r>
        <w:rPr>
          <w:color w:val="auto"/>
          <w:sz w:val="18"/>
          <w:szCs w:val="18"/>
          <w:lang w:eastAsia="en-AU"/>
        </w:rPr>
        <w:t> </w:t>
      </w:r>
      <w:r w:rsidRPr="00661481">
        <w:rPr>
          <w:color w:val="auto"/>
          <w:sz w:val="18"/>
          <w:szCs w:val="18"/>
          <w:lang w:eastAsia="en-AU"/>
        </w:rPr>
        <w:t>2020. The Bill was passed on 13 February 2018 and gained Royal Assent on 20 February 2018.</w:t>
      </w:r>
    </w:p>
  </w:footnote>
  <w:footnote w:id="29">
    <w:p w14:paraId="7C8AF870" w14:textId="77777777" w:rsidR="00EA20D1" w:rsidRPr="00EA6EF5" w:rsidRDefault="00EA20D1" w:rsidP="001615AB">
      <w:pPr>
        <w:pStyle w:val="FootnoteText"/>
        <w:rPr>
          <w:sz w:val="18"/>
          <w:szCs w:val="18"/>
        </w:rPr>
      </w:pPr>
      <w:r w:rsidRPr="00EA6EF5">
        <w:rPr>
          <w:rStyle w:val="FootnoteReference"/>
          <w:sz w:val="18"/>
          <w:szCs w:val="18"/>
        </w:rPr>
        <w:footnoteRef/>
      </w:r>
      <w:r w:rsidRPr="00EA6EF5">
        <w:rPr>
          <w:sz w:val="18"/>
          <w:szCs w:val="18"/>
        </w:rPr>
        <w:t xml:space="preserve"> https://www.health.gov.au/sites/default/files/2022-12/seventh-community-pharmacy-agreement.pdf</w:t>
      </w:r>
    </w:p>
  </w:footnote>
  <w:footnote w:id="30">
    <w:p w14:paraId="7A69C936" w14:textId="77777777" w:rsidR="00EA20D1" w:rsidRDefault="00EA20D1" w:rsidP="001615AB">
      <w:pPr>
        <w:pStyle w:val="FootnoteText"/>
      </w:pPr>
      <w:r w:rsidRPr="00EA6EF5">
        <w:rPr>
          <w:rStyle w:val="FootnoteReference"/>
          <w:sz w:val="18"/>
          <w:szCs w:val="18"/>
        </w:rPr>
        <w:footnoteRef/>
      </w:r>
      <w:r w:rsidRPr="00EA6EF5">
        <w:rPr>
          <w:sz w:val="18"/>
          <w:szCs w:val="18"/>
        </w:rPr>
        <w:t xml:space="preserve">  </w:t>
      </w:r>
      <w:hyperlink r:id="rId7" w:history="1">
        <w:r w:rsidRPr="00EA6EF5">
          <w:rPr>
            <w:rStyle w:val="Hyperlink"/>
            <w:sz w:val="18"/>
            <w:szCs w:val="18"/>
          </w:rPr>
          <w:t>https://www.psa.org.au/about/about-psa/</w:t>
        </w:r>
      </w:hyperlink>
    </w:p>
  </w:footnote>
  <w:footnote w:id="31">
    <w:p w14:paraId="5378ACF8" w14:textId="77777777" w:rsidR="00EA20D1" w:rsidRDefault="00EA20D1" w:rsidP="00B71E77">
      <w:pPr>
        <w:pStyle w:val="FootnoteText"/>
      </w:pPr>
      <w:r>
        <w:rPr>
          <w:rStyle w:val="FootnoteReference"/>
        </w:rPr>
        <w:footnoteRef/>
      </w:r>
      <w:r>
        <w:t xml:space="preserve"> </w:t>
      </w:r>
      <w:hyperlink r:id="rId8" w:history="1">
        <w:r>
          <w:rPr>
            <w:rStyle w:val="Hyperlink"/>
          </w:rPr>
          <w:t>Pharmacy Location Rules Applicants Handbook 2022</w:t>
        </w:r>
      </w:hyperlink>
    </w:p>
  </w:footnote>
  <w:footnote w:id="32">
    <w:p w14:paraId="57909570" w14:textId="77777777" w:rsidR="00EA20D1" w:rsidRDefault="00EA20D1" w:rsidP="00B71E77">
      <w:pPr>
        <w:pStyle w:val="FootnoteText"/>
      </w:pPr>
      <w:r>
        <w:rPr>
          <w:rStyle w:val="FootnoteReference"/>
        </w:rPr>
        <w:footnoteRef/>
      </w:r>
      <w:r>
        <w:t xml:space="preserve"> </w:t>
      </w:r>
      <w:r w:rsidRPr="004516E4">
        <w:t>https://www.legislation.gov.au/Details/F2018L01321</w:t>
      </w:r>
    </w:p>
  </w:footnote>
  <w:footnote w:id="33">
    <w:p w14:paraId="3E835949" w14:textId="77777777" w:rsidR="00EA20D1" w:rsidRDefault="00EA20D1" w:rsidP="003A0EA8">
      <w:pPr>
        <w:pStyle w:val="FootnoteText"/>
      </w:pPr>
      <w:r>
        <w:rPr>
          <w:rStyle w:val="FootnoteReference"/>
        </w:rPr>
        <w:footnoteRef/>
      </w:r>
      <w:r>
        <w:t xml:space="preserve"> </w:t>
      </w:r>
      <w:r w:rsidRPr="00E82983">
        <w:t>https://oia.pmc.gov.au/sites/default/files/posts/2023/05/Impact%20Analysis_3.pdf</w:t>
      </w:r>
    </w:p>
  </w:footnote>
  <w:footnote w:id="34">
    <w:p w14:paraId="2CCF9C17" w14:textId="39BFC228" w:rsidR="00EA20D1" w:rsidRPr="00EA6EF5" w:rsidRDefault="00EA20D1">
      <w:pPr>
        <w:pStyle w:val="FootnoteText"/>
        <w:rPr>
          <w:sz w:val="18"/>
          <w:szCs w:val="18"/>
        </w:rPr>
      </w:pPr>
      <w:r w:rsidRPr="00EA6EF5">
        <w:rPr>
          <w:rStyle w:val="FootnoteReference"/>
          <w:sz w:val="18"/>
          <w:szCs w:val="18"/>
        </w:rPr>
        <w:footnoteRef/>
      </w:r>
      <w:r w:rsidRPr="00EA6EF5">
        <w:rPr>
          <w:sz w:val="18"/>
          <w:szCs w:val="18"/>
        </w:rPr>
        <w:t xml:space="preserve"> </w:t>
      </w:r>
      <w:hyperlink r:id="rId9" w:history="1">
        <w:r w:rsidRPr="00EA6EF5">
          <w:rPr>
            <w:rStyle w:val="Hyperlink"/>
            <w:sz w:val="18"/>
            <w:szCs w:val="18"/>
          </w:rPr>
          <w:t>Review of Pharmacy Remuneration and Regulation Final Report</w:t>
        </w:r>
      </w:hyperlink>
      <w:r w:rsidRPr="00EA6EF5">
        <w:rPr>
          <w:sz w:val="18"/>
          <w:szCs w:val="18"/>
        </w:rPr>
        <w:t xml:space="preserve"> </w:t>
      </w:r>
    </w:p>
  </w:footnote>
  <w:footnote w:id="35">
    <w:p w14:paraId="26D697F0" w14:textId="1049F0F3" w:rsidR="00EA20D1" w:rsidRPr="0039368B" w:rsidRDefault="00EA20D1" w:rsidP="008F73EF">
      <w:pPr>
        <w:pStyle w:val="FootnoteText"/>
        <w:contextualSpacing/>
      </w:pPr>
      <w:r w:rsidRPr="00EA6EF5">
        <w:rPr>
          <w:rStyle w:val="FootnoteReference"/>
          <w:sz w:val="18"/>
          <w:szCs w:val="18"/>
        </w:rPr>
        <w:footnoteRef/>
      </w:r>
      <w:r w:rsidRPr="00EA6EF5">
        <w:rPr>
          <w:sz w:val="18"/>
          <w:szCs w:val="18"/>
        </w:rPr>
        <w:t xml:space="preserve"> </w:t>
      </w:r>
      <w:hyperlink r:id="rId10" w:history="1">
        <w:r w:rsidRPr="00EA6EF5">
          <w:rPr>
            <w:rStyle w:val="Hyperlink"/>
            <w:sz w:val="18"/>
            <w:szCs w:val="18"/>
          </w:rPr>
          <w:t>Government Response to Review of Pharmacy Remuneration and Regulation 2018</w:t>
        </w:r>
      </w:hyperlink>
      <w:r w:rsidRPr="0039368B">
        <w:t xml:space="preserve"> </w:t>
      </w:r>
    </w:p>
  </w:footnote>
  <w:footnote w:id="36">
    <w:p w14:paraId="118FA0F1" w14:textId="77777777" w:rsidR="00EA20D1" w:rsidRPr="00EA6EF5" w:rsidRDefault="00EA20D1" w:rsidP="008F73EF">
      <w:pPr>
        <w:pStyle w:val="FootnoteText"/>
        <w:rPr>
          <w:sz w:val="18"/>
          <w:szCs w:val="18"/>
        </w:rPr>
      </w:pPr>
      <w:r w:rsidRPr="00EA6EF5">
        <w:rPr>
          <w:rStyle w:val="FootnoteReference"/>
          <w:sz w:val="18"/>
          <w:szCs w:val="18"/>
        </w:rPr>
        <w:footnoteRef/>
      </w:r>
      <w:r w:rsidRPr="00EA6EF5">
        <w:rPr>
          <w:sz w:val="18"/>
          <w:szCs w:val="18"/>
        </w:rPr>
        <w:t xml:space="preserve"> The Discounting PBS Patient Co-Payment measure was introduced on 1 January 2016 as part of the </w:t>
      </w:r>
      <w:r w:rsidRPr="00EA6EF5">
        <w:rPr>
          <w:sz w:val="18"/>
          <w:szCs w:val="18"/>
        </w:rPr>
        <w:br/>
      </w:r>
      <w:hyperlink r:id="rId11" w:history="1">
        <w:r w:rsidRPr="00EA6EF5">
          <w:rPr>
            <w:rStyle w:val="Hyperlink"/>
            <w:i/>
            <w:iCs/>
            <w:sz w:val="18"/>
            <w:szCs w:val="18"/>
          </w:rPr>
          <w:t>PBS Access and Sustainability Package</w:t>
        </w:r>
      </w:hyperlink>
      <w:r w:rsidRPr="00EA6EF5">
        <w:rPr>
          <w:sz w:val="18"/>
          <w:szCs w:val="18"/>
        </w:rPr>
        <w:t>, under the 2015</w:t>
      </w:r>
      <w:r w:rsidRPr="00EA6EF5">
        <w:rPr>
          <w:sz w:val="18"/>
          <w:szCs w:val="18"/>
        </w:rPr>
        <w:noBreakHyphen/>
        <w:t>16 Budget.</w:t>
      </w:r>
    </w:p>
  </w:footnote>
  <w:footnote w:id="37">
    <w:p w14:paraId="68367B63" w14:textId="77777777" w:rsidR="00EA20D1" w:rsidRDefault="00EA20D1" w:rsidP="00D23776">
      <w:pPr>
        <w:pStyle w:val="FootnoteText"/>
      </w:pPr>
      <w:r>
        <w:rPr>
          <w:rStyle w:val="FootnoteReference"/>
        </w:rPr>
        <w:footnoteRef/>
      </w:r>
      <w:r>
        <w:t xml:space="preserve"> </w:t>
      </w:r>
      <w:r w:rsidRPr="00CC3F19">
        <w:t>https://www.health.gov.au/save-more-on-pbs/closing-the-gap-concession</w:t>
      </w:r>
    </w:p>
  </w:footnote>
  <w:footnote w:id="38">
    <w:p w14:paraId="072A931B" w14:textId="77777777" w:rsidR="00EA20D1" w:rsidRPr="001408E9" w:rsidRDefault="00EA20D1" w:rsidP="00400F66">
      <w:pPr>
        <w:pStyle w:val="FootnoteText"/>
        <w:rPr>
          <w:sz w:val="18"/>
          <w:szCs w:val="18"/>
        </w:rPr>
      </w:pPr>
      <w:r w:rsidRPr="001408E9">
        <w:rPr>
          <w:rStyle w:val="FootnoteReference"/>
          <w:sz w:val="18"/>
          <w:szCs w:val="18"/>
        </w:rPr>
        <w:footnoteRef/>
      </w:r>
      <w:r w:rsidRPr="001408E9">
        <w:rPr>
          <w:sz w:val="18"/>
          <w:szCs w:val="18"/>
        </w:rPr>
        <w:t xml:space="preserve"> https://www.pbs.gov.au/statistics/expenditure-prescriptions/2022-2023/PBS-Expenditure-prescriptions-report-2022-23.pdf</w:t>
      </w:r>
    </w:p>
  </w:footnote>
  <w:footnote w:id="39">
    <w:p w14:paraId="48A40D88" w14:textId="77777777" w:rsidR="00EA20D1" w:rsidRPr="00D60419" w:rsidRDefault="00EA20D1" w:rsidP="00400F66">
      <w:pPr>
        <w:pStyle w:val="FootnoteText"/>
        <w:rPr>
          <w:sz w:val="18"/>
          <w:szCs w:val="18"/>
        </w:rPr>
      </w:pPr>
      <w:r w:rsidRPr="00D60419">
        <w:rPr>
          <w:rStyle w:val="FootnoteReference"/>
          <w:sz w:val="18"/>
          <w:szCs w:val="18"/>
        </w:rPr>
        <w:footnoteRef/>
      </w:r>
      <w:r w:rsidRPr="00D60419">
        <w:rPr>
          <w:sz w:val="18"/>
          <w:szCs w:val="18"/>
        </w:rPr>
        <w:t xml:space="preserve"> https://www.abs.gov.au/statistics/health/health-services/patient-experiences/latest-release</w:t>
      </w:r>
    </w:p>
  </w:footnote>
  <w:footnote w:id="40">
    <w:p w14:paraId="0D262286" w14:textId="77777777" w:rsidR="00EA20D1" w:rsidRDefault="00EA20D1" w:rsidP="00813F69">
      <w:pPr>
        <w:pStyle w:val="FootnoteText"/>
      </w:pPr>
      <w:r>
        <w:rPr>
          <w:rStyle w:val="FootnoteReference"/>
        </w:rPr>
        <w:footnoteRef/>
      </w:r>
      <w:r>
        <w:t xml:space="preserve"> </w:t>
      </w:r>
      <w:r w:rsidRPr="00537727">
        <w:t>www.ibisworld.com/au/industry/pharmacies/1878/#IndustryStatisticsAndTrends</w:t>
      </w:r>
    </w:p>
  </w:footnote>
  <w:footnote w:id="41">
    <w:p w14:paraId="0B0734AB" w14:textId="77777777" w:rsidR="00EA20D1" w:rsidRPr="00131121" w:rsidRDefault="00EA20D1" w:rsidP="00813F69">
      <w:pPr>
        <w:pStyle w:val="FootnoteText"/>
        <w:rPr>
          <w:sz w:val="18"/>
          <w:szCs w:val="18"/>
        </w:rPr>
      </w:pPr>
      <w:r w:rsidRPr="00131121">
        <w:rPr>
          <w:rStyle w:val="FootnoteReference"/>
          <w:sz w:val="18"/>
          <w:szCs w:val="18"/>
        </w:rPr>
        <w:footnoteRef/>
      </w:r>
      <w:r w:rsidRPr="00131121">
        <w:rPr>
          <w:sz w:val="18"/>
          <w:szCs w:val="18"/>
        </w:rPr>
        <w:t xml:space="preserve"> </w:t>
      </w:r>
      <w:hyperlink r:id="rId12" w:history="1">
        <w:r w:rsidRPr="00131121">
          <w:rPr>
            <w:rStyle w:val="Hyperlink"/>
            <w:sz w:val="18"/>
            <w:szCs w:val="18"/>
          </w:rPr>
          <w:t>https://www.aihw.gov.au/reports/medicines/medicines-in-the-health-system</w:t>
        </w:r>
      </w:hyperlink>
    </w:p>
  </w:footnote>
  <w:footnote w:id="42">
    <w:p w14:paraId="2E7C2A43" w14:textId="77777777" w:rsidR="00EA20D1" w:rsidRDefault="00EA20D1" w:rsidP="00813F69">
      <w:pPr>
        <w:pStyle w:val="FootnoteText"/>
      </w:pPr>
      <w:r w:rsidRPr="00131121">
        <w:rPr>
          <w:rStyle w:val="FootnoteReference"/>
          <w:sz w:val="18"/>
          <w:szCs w:val="18"/>
        </w:rPr>
        <w:footnoteRef/>
      </w:r>
      <w:r w:rsidRPr="00131121">
        <w:rPr>
          <w:sz w:val="18"/>
          <w:szCs w:val="18"/>
        </w:rPr>
        <w:t xml:space="preserve"> https://www.ato.gov.au/businesses-and-organisations/income-deductions-and-concessions/small-business-benchmarks/in-detail/pharmacy</w:t>
      </w:r>
    </w:p>
  </w:footnote>
  <w:footnote w:id="43">
    <w:p w14:paraId="236E11EA" w14:textId="052B2B05" w:rsidR="00EA20D1" w:rsidRPr="009C62AF" w:rsidRDefault="00EA20D1">
      <w:pPr>
        <w:pStyle w:val="FootnoteText"/>
        <w:rPr>
          <w:color w:val="auto"/>
          <w:sz w:val="18"/>
          <w:szCs w:val="18"/>
        </w:rPr>
      </w:pPr>
      <w:r w:rsidRPr="002647C7">
        <w:rPr>
          <w:rStyle w:val="FootnoteReference"/>
          <w:sz w:val="18"/>
          <w:szCs w:val="18"/>
        </w:rPr>
        <w:footnoteRef/>
      </w:r>
      <w:r w:rsidRPr="002647C7">
        <w:rPr>
          <w:sz w:val="18"/>
          <w:szCs w:val="18"/>
        </w:rPr>
        <w:t xml:space="preserve"> </w:t>
      </w:r>
      <w:hyperlink r:id="rId13" w:history="1">
        <w:r w:rsidRPr="009C62AF">
          <w:rPr>
            <w:rStyle w:val="Hyperlink"/>
            <w:color w:val="auto"/>
            <w:sz w:val="18"/>
            <w:szCs w:val="18"/>
            <w:u w:val="none"/>
          </w:rPr>
          <w:t>plf95-c06.pdf.aspx (aihw.gov.au)</w:t>
        </w:r>
      </w:hyperlink>
    </w:p>
  </w:footnote>
  <w:footnote w:id="44">
    <w:p w14:paraId="78B2BC18" w14:textId="19B97C08" w:rsidR="00EA20D1" w:rsidRDefault="00EA20D1">
      <w:pPr>
        <w:pStyle w:val="FootnoteText"/>
      </w:pPr>
      <w:r w:rsidRPr="009C62AF">
        <w:rPr>
          <w:rStyle w:val="FootnoteReference"/>
          <w:color w:val="auto"/>
          <w:sz w:val="18"/>
          <w:szCs w:val="18"/>
        </w:rPr>
        <w:footnoteRef/>
      </w:r>
      <w:r w:rsidRPr="009C62AF">
        <w:rPr>
          <w:color w:val="auto"/>
          <w:sz w:val="18"/>
          <w:szCs w:val="18"/>
        </w:rPr>
        <w:t xml:space="preserve"> C Sloane, </w:t>
      </w:r>
      <w:r w:rsidRPr="009C62AF">
        <w:rPr>
          <w:i/>
          <w:color w:val="auto"/>
          <w:sz w:val="18"/>
          <w:szCs w:val="18"/>
        </w:rPr>
        <w:t>A History of the Pharmaceutical Benefits Scheme</w:t>
      </w:r>
      <w:r w:rsidRPr="009C62AF">
        <w:rPr>
          <w:color w:val="auto"/>
          <w:sz w:val="18"/>
          <w:szCs w:val="18"/>
        </w:rPr>
        <w:t xml:space="preserve"> </w:t>
      </w:r>
      <w:r w:rsidRPr="009C62AF">
        <w:rPr>
          <w:i/>
          <w:color w:val="auto"/>
          <w:sz w:val="18"/>
          <w:szCs w:val="18"/>
        </w:rPr>
        <w:t>1947–1992</w:t>
      </w:r>
      <w:r w:rsidRPr="009C62AF">
        <w:rPr>
          <w:color w:val="auto"/>
          <w:sz w:val="18"/>
          <w:szCs w:val="18"/>
        </w:rPr>
        <w:t>, Australian Government Publishing Service, Canberra, 1995, pp. 52-59.</w:t>
      </w:r>
    </w:p>
  </w:footnote>
  <w:footnote w:id="45">
    <w:p w14:paraId="13221500" w14:textId="5519B997" w:rsidR="00EA20D1" w:rsidRDefault="00EA20D1">
      <w:pPr>
        <w:pStyle w:val="FootnoteText"/>
      </w:pPr>
      <w:r>
        <w:rPr>
          <w:rStyle w:val="FootnoteReference"/>
        </w:rPr>
        <w:footnoteRef/>
      </w:r>
      <w:r>
        <w:t xml:space="preserve"> </w:t>
      </w:r>
      <w:r w:rsidRPr="00612A9F">
        <w:t>https://www.abs.gov.au/statistics/people/population/national-state-and-territory-population/mar-2023</w:t>
      </w:r>
    </w:p>
  </w:footnote>
  <w:footnote w:id="46">
    <w:p w14:paraId="17BD7258" w14:textId="77777777" w:rsidR="00EA20D1" w:rsidRPr="0024227F" w:rsidRDefault="00EA20D1" w:rsidP="00120019">
      <w:pPr>
        <w:pStyle w:val="FootnoteText"/>
        <w:rPr>
          <w:sz w:val="18"/>
          <w:szCs w:val="18"/>
        </w:rPr>
      </w:pPr>
      <w:r w:rsidRPr="0024227F">
        <w:rPr>
          <w:rStyle w:val="FootnoteReference"/>
          <w:sz w:val="18"/>
          <w:szCs w:val="18"/>
        </w:rPr>
        <w:footnoteRef/>
      </w:r>
      <w:r w:rsidRPr="0024227F">
        <w:rPr>
          <w:sz w:val="18"/>
          <w:szCs w:val="18"/>
        </w:rPr>
        <w:t xml:space="preserve"> https://www.abs.gov.au/articles/pharmaceutical-benefits-scheme-supplied-medications</w:t>
      </w:r>
    </w:p>
  </w:footnote>
  <w:footnote w:id="47">
    <w:p w14:paraId="59D8583C" w14:textId="77777777" w:rsidR="00EA20D1" w:rsidRPr="00EA6EF5" w:rsidRDefault="00EA20D1" w:rsidP="00120019">
      <w:pPr>
        <w:pStyle w:val="FootnoteText"/>
        <w:rPr>
          <w:sz w:val="18"/>
          <w:szCs w:val="18"/>
        </w:rPr>
      </w:pPr>
      <w:r w:rsidRPr="00EA6EF5">
        <w:rPr>
          <w:rStyle w:val="FootnoteReference"/>
          <w:sz w:val="18"/>
          <w:szCs w:val="18"/>
        </w:rPr>
        <w:footnoteRef/>
      </w:r>
      <w:r w:rsidRPr="00EA6EF5">
        <w:rPr>
          <w:sz w:val="18"/>
          <w:szCs w:val="18"/>
        </w:rPr>
        <w:t xml:space="preserve"> </w:t>
      </w:r>
      <w:hyperlink r:id="rId14" w:history="1">
        <w:r w:rsidRPr="00EA6EF5">
          <w:rPr>
            <w:rStyle w:val="Hyperlink"/>
            <w:sz w:val="18"/>
            <w:szCs w:val="18"/>
          </w:rPr>
          <w:t>http://ruralhealth.org.au/sites/default/files/documents/nrha-policy-document/policy-development/nrha-medicines-discussion-paper-january-2014.pdf</w:t>
        </w:r>
      </w:hyperlink>
    </w:p>
  </w:footnote>
  <w:footnote w:id="48">
    <w:p w14:paraId="001021BD" w14:textId="7C0804B4" w:rsidR="00EA20D1" w:rsidRDefault="00EA20D1">
      <w:pPr>
        <w:pStyle w:val="FootnoteText"/>
      </w:pPr>
      <w:r>
        <w:rPr>
          <w:rStyle w:val="FootnoteReference"/>
        </w:rPr>
        <w:footnoteRef/>
      </w:r>
      <w:r>
        <w:t xml:space="preserve"> </w:t>
      </w:r>
      <w:hyperlink r:id="rId15" w:history="1">
        <w:r w:rsidRPr="00DC5DE2">
          <w:rPr>
            <w:rStyle w:val="Hyperlink"/>
            <w:sz w:val="18"/>
            <w:szCs w:val="18"/>
          </w:rPr>
          <w:t>www.aihw.gov.au/reports/injury/accidental-poisoning</w:t>
        </w:r>
      </w:hyperlink>
      <w:r>
        <w:rPr>
          <w:sz w:val="18"/>
          <w:szCs w:val="18"/>
        </w:rPr>
        <w:t xml:space="preserve"> </w:t>
      </w:r>
    </w:p>
  </w:footnote>
  <w:footnote w:id="49">
    <w:p w14:paraId="16C6F12D" w14:textId="1D3DEFE3" w:rsidR="00EA20D1" w:rsidRDefault="00EA20D1">
      <w:pPr>
        <w:pStyle w:val="FootnoteText"/>
      </w:pPr>
      <w:r>
        <w:rPr>
          <w:rStyle w:val="FootnoteReference"/>
        </w:rPr>
        <w:footnoteRef/>
      </w:r>
      <w:r>
        <w:t xml:space="preserve"> </w:t>
      </w:r>
      <w:r w:rsidRPr="00AB3180">
        <w:t>https://www.aihw.gov.au/reports/injury/accidental-poisoning#Remote</w:t>
      </w:r>
    </w:p>
  </w:footnote>
  <w:footnote w:id="50">
    <w:p w14:paraId="54CF0B6D" w14:textId="15B40D4C" w:rsidR="00EA20D1" w:rsidRDefault="00EA20D1" w:rsidP="0095671A">
      <w:pPr>
        <w:spacing w:after="0"/>
      </w:pPr>
      <w:r>
        <w:rPr>
          <w:rStyle w:val="FootnoteReference"/>
        </w:rPr>
        <w:footnoteRef/>
      </w:r>
      <w:r>
        <w:t xml:space="preserve"> Disadvantaged by More Than Distance: A Systematic Literature Review of Injury in Rural Australia, Safety, Vol 8, Issue 3, 2022 </w:t>
      </w:r>
      <w:hyperlink r:id="rId16" w:history="1">
        <w:r>
          <w:rPr>
            <w:rStyle w:val="Hyperlink"/>
          </w:rPr>
          <w:t>https://www.mdpi.com/2313-576X/8/3/66</w:t>
        </w:r>
      </w:hyperlink>
    </w:p>
  </w:footnote>
  <w:footnote w:id="51">
    <w:p w14:paraId="69FFE240" w14:textId="31F9B01F" w:rsidR="00EA20D1" w:rsidRDefault="00EA20D1">
      <w:pPr>
        <w:pStyle w:val="FootnoteText"/>
      </w:pPr>
      <w:r>
        <w:rPr>
          <w:rStyle w:val="FootnoteReference"/>
        </w:rPr>
        <w:footnoteRef/>
      </w:r>
      <w:r>
        <w:t xml:space="preserve"> </w:t>
      </w:r>
      <w:r w:rsidRPr="00DE42BB">
        <w:t>https://www.aihw.gov.au/getmedia/81573af6-3fbc-4848-a23c-0952cc3f27d6/injcat39.pdf?v=20230605182328&amp;inline=true</w:t>
      </w:r>
    </w:p>
  </w:footnote>
  <w:footnote w:id="52">
    <w:p w14:paraId="0A9ABCF3" w14:textId="76211BE8" w:rsidR="00EA20D1" w:rsidRDefault="00EA20D1" w:rsidP="000B24F5">
      <w:r>
        <w:rPr>
          <w:rStyle w:val="FootnoteReference"/>
        </w:rPr>
        <w:footnoteRef/>
      </w:r>
      <w:r>
        <w:t xml:space="preserve"> </w:t>
      </w:r>
      <w:hyperlink r:id="rId17" w:history="1">
        <w:r>
          <w:rPr>
            <w:rStyle w:val="Hyperlink"/>
          </w:rPr>
          <w:t>https://www.injurymatters.org.au/programs/know-injury/know/poisoning/</w:t>
        </w:r>
      </w:hyperlink>
    </w:p>
  </w:footnote>
  <w:footnote w:id="53">
    <w:p w14:paraId="62733B4D" w14:textId="09291F36" w:rsidR="00EA20D1" w:rsidRDefault="00EA20D1">
      <w:pPr>
        <w:pStyle w:val="FootnoteText"/>
      </w:pPr>
      <w:r w:rsidRPr="00BE167D">
        <w:rPr>
          <w:rStyle w:val="FootnoteReference"/>
          <w:sz w:val="18"/>
          <w:szCs w:val="18"/>
        </w:rPr>
        <w:footnoteRef/>
      </w:r>
      <w:r w:rsidRPr="00BE167D">
        <w:rPr>
          <w:sz w:val="18"/>
          <w:szCs w:val="18"/>
        </w:rPr>
        <w:t xml:space="preserve"> https://www.penington.org.au/wp-content/uploads/2022/09/Penington-Institute-AAOR-2022.pdf</w:t>
      </w:r>
    </w:p>
  </w:footnote>
  <w:footnote w:id="54">
    <w:p w14:paraId="35237386" w14:textId="383F4B4F" w:rsidR="00EA20D1" w:rsidRDefault="00EA20D1">
      <w:pPr>
        <w:pStyle w:val="FootnoteText"/>
      </w:pPr>
      <w:r w:rsidRPr="00EA6EF5">
        <w:rPr>
          <w:rStyle w:val="FootnoteReference"/>
          <w:sz w:val="18"/>
          <w:szCs w:val="18"/>
        </w:rPr>
        <w:footnoteRef/>
      </w:r>
      <w:r w:rsidRPr="00EA6EF5">
        <w:rPr>
          <w:sz w:val="18"/>
          <w:szCs w:val="18"/>
        </w:rPr>
        <w:t xml:space="preserve"> www.msac.gov.au/internet/msac/publishing.nsf/Content/6CPA-PPI%20Programs-public</w:t>
      </w:r>
    </w:p>
  </w:footnote>
  <w:footnote w:id="55">
    <w:p w14:paraId="34527289" w14:textId="273834F1" w:rsidR="00EA20D1" w:rsidRPr="00EA6EF5" w:rsidRDefault="00EA20D1">
      <w:pPr>
        <w:pStyle w:val="FootnoteText"/>
        <w:rPr>
          <w:sz w:val="18"/>
          <w:szCs w:val="18"/>
        </w:rPr>
      </w:pPr>
      <w:r w:rsidRPr="00EA6EF5">
        <w:rPr>
          <w:rStyle w:val="FootnoteReference"/>
          <w:sz w:val="18"/>
          <w:szCs w:val="18"/>
        </w:rPr>
        <w:footnoteRef/>
      </w:r>
      <w:r w:rsidRPr="00EA6EF5">
        <w:rPr>
          <w:sz w:val="18"/>
          <w:szCs w:val="18"/>
        </w:rPr>
        <w:t xml:space="preserve"> https://www.health.gov.au/resources/collections/pharmacy-programs-data</w:t>
      </w:r>
    </w:p>
  </w:footnote>
  <w:footnote w:id="56">
    <w:p w14:paraId="343CF6C6" w14:textId="6406A07D" w:rsidR="00EA20D1" w:rsidRPr="00023746" w:rsidRDefault="00EA20D1">
      <w:pPr>
        <w:pStyle w:val="FootnoteText"/>
        <w:rPr>
          <w:sz w:val="18"/>
          <w:szCs w:val="18"/>
        </w:rPr>
      </w:pPr>
      <w:r w:rsidRPr="00FD75FF">
        <w:rPr>
          <w:rStyle w:val="FootnoteReference"/>
          <w:sz w:val="18"/>
          <w:szCs w:val="18"/>
        </w:rPr>
        <w:footnoteRef/>
      </w:r>
      <w:r w:rsidRPr="00FD75FF">
        <w:rPr>
          <w:sz w:val="18"/>
          <w:szCs w:val="18"/>
        </w:rPr>
        <w:t xml:space="preserve"> https://www.health.gov.au/sites/default/files/2023-06/integrating-practice-pharmacists-into-aboriginal-community-controlled-health-services-final-report.pdf</w:t>
      </w:r>
    </w:p>
  </w:footnote>
  <w:footnote w:id="57">
    <w:p w14:paraId="172A1544" w14:textId="27A6603F" w:rsidR="00EA20D1" w:rsidRDefault="00EA20D1">
      <w:pPr>
        <w:pStyle w:val="FootnoteText"/>
      </w:pPr>
      <w:r>
        <w:rPr>
          <w:rStyle w:val="FootnoteReference"/>
        </w:rPr>
        <w:footnoteRef/>
      </w:r>
      <w:hyperlink r:id="rId18" w:history="1">
        <w:r w:rsidRPr="002F0CE0">
          <w:rPr>
            <w:rStyle w:val="Hyperlink"/>
          </w:rPr>
          <w:t>https://web.archive.org.au/awa/20220816160934mp_/https://www1.health.gov.au/internet/main/publishing.nsf/Content/review-pharmacy-remuneration-regulation-submissions-cnt-10/$file/483-2016-29-09-consumers-health-forum-of-australia-submission.pdf</w:t>
        </w:r>
      </w:hyperlink>
      <w:r>
        <w:t xml:space="preserve"> </w:t>
      </w:r>
    </w:p>
  </w:footnote>
  <w:footnote w:id="58">
    <w:p w14:paraId="242809A0" w14:textId="77777777" w:rsidR="00EA20D1" w:rsidRDefault="00EA20D1" w:rsidP="009A7EE2">
      <w:pPr>
        <w:pStyle w:val="FootnoteText"/>
      </w:pPr>
      <w:r w:rsidRPr="00EA6EF5">
        <w:rPr>
          <w:rStyle w:val="FootnoteReference"/>
          <w:sz w:val="18"/>
          <w:szCs w:val="18"/>
        </w:rPr>
        <w:footnoteRef/>
      </w:r>
      <w:r w:rsidRPr="00EA6EF5">
        <w:rPr>
          <w:sz w:val="18"/>
          <w:szCs w:val="18"/>
        </w:rPr>
        <w:t xml:space="preserve"> https://www.aihw.gov.au/reports/rural-remote-australians/rural-and-remote-health</w:t>
      </w:r>
    </w:p>
  </w:footnote>
  <w:footnote w:id="59">
    <w:p w14:paraId="14007EBE" w14:textId="77777777" w:rsidR="00EA20D1" w:rsidRPr="00EA6EF5" w:rsidRDefault="00EA20D1" w:rsidP="002A330B">
      <w:pPr>
        <w:pStyle w:val="FootnoteText"/>
        <w:rPr>
          <w:sz w:val="18"/>
          <w:szCs w:val="18"/>
        </w:rPr>
      </w:pPr>
      <w:r w:rsidRPr="00EA6EF5">
        <w:rPr>
          <w:rStyle w:val="FootnoteReference"/>
          <w:sz w:val="18"/>
          <w:szCs w:val="18"/>
        </w:rPr>
        <w:footnoteRef/>
      </w:r>
      <w:r w:rsidRPr="00EA6EF5">
        <w:rPr>
          <w:sz w:val="18"/>
          <w:szCs w:val="18"/>
        </w:rPr>
        <w:t xml:space="preserve"> </w:t>
      </w:r>
      <w:hyperlink r:id="rId19" w:history="1">
        <w:r w:rsidRPr="00EA6EF5">
          <w:rPr>
            <w:rStyle w:val="Hyperlink"/>
            <w:sz w:val="18"/>
            <w:szCs w:val="18"/>
          </w:rPr>
          <w:t>https://oia.pmc.gov.au/published-impact-analyses-and-reports/lowering-costs-medicines-through-changes-maximum-dispensing</w:t>
        </w:r>
      </w:hyperlink>
    </w:p>
    <w:p w14:paraId="720AEEBE" w14:textId="77777777" w:rsidR="00EA20D1" w:rsidRDefault="00EA20D1" w:rsidP="002A330B">
      <w:pPr>
        <w:pStyle w:val="FootnoteText"/>
      </w:pPr>
    </w:p>
  </w:footnote>
  <w:footnote w:id="60">
    <w:p w14:paraId="495CA467" w14:textId="1A0875F5" w:rsidR="00EA20D1" w:rsidRPr="00B539E6" w:rsidRDefault="00EA20D1" w:rsidP="00B539E6">
      <w:pPr>
        <w:spacing w:after="0"/>
        <w:rPr>
          <w:sz w:val="18"/>
          <w:szCs w:val="18"/>
        </w:rPr>
      </w:pPr>
      <w:r w:rsidRPr="00B539E6">
        <w:rPr>
          <w:rStyle w:val="FootnoteReference"/>
          <w:sz w:val="18"/>
          <w:szCs w:val="18"/>
        </w:rPr>
        <w:footnoteRef/>
      </w:r>
      <w:r w:rsidRPr="00B539E6">
        <w:rPr>
          <w:sz w:val="18"/>
          <w:szCs w:val="18"/>
        </w:rPr>
        <w:t xml:space="preserve"> </w:t>
      </w:r>
      <w:hyperlink r:id="rId20" w:history="1">
        <w:r w:rsidRPr="00B539E6">
          <w:rPr>
            <w:rStyle w:val="Hyperlink"/>
            <w:sz w:val="18"/>
            <w:szCs w:val="18"/>
          </w:rPr>
          <w:t>https://www.pbs.gov.au/info/healthpro/explanatory-notes/front/fee</w:t>
        </w:r>
      </w:hyperlink>
    </w:p>
  </w:footnote>
  <w:footnote w:id="61">
    <w:p w14:paraId="5242173A" w14:textId="4397610A" w:rsidR="00EA20D1" w:rsidRPr="00B539E6" w:rsidRDefault="00EA20D1" w:rsidP="00B539E6">
      <w:pPr>
        <w:spacing w:after="0"/>
        <w:rPr>
          <w:sz w:val="18"/>
          <w:szCs w:val="18"/>
        </w:rPr>
      </w:pPr>
      <w:r w:rsidRPr="00B539E6">
        <w:rPr>
          <w:rStyle w:val="FootnoteReference"/>
          <w:sz w:val="18"/>
          <w:szCs w:val="18"/>
        </w:rPr>
        <w:footnoteRef/>
      </w:r>
      <w:r w:rsidRPr="00B539E6">
        <w:rPr>
          <w:sz w:val="18"/>
          <w:szCs w:val="18"/>
        </w:rPr>
        <w:t xml:space="preserve"> </w:t>
      </w:r>
      <w:hyperlink r:id="rId21" w:history="1">
        <w:r w:rsidRPr="00B539E6">
          <w:rPr>
            <w:rStyle w:val="Hyperlink"/>
            <w:sz w:val="18"/>
            <w:szCs w:val="18"/>
          </w:rPr>
          <w:t>https://www.servicesaustralia.gov.au/pharmaceutical-benefits-scheme</w:t>
        </w:r>
      </w:hyperlink>
    </w:p>
  </w:footnote>
  <w:footnote w:id="62">
    <w:p w14:paraId="02877D87" w14:textId="1E3B23C1" w:rsidR="00EA20D1" w:rsidRDefault="00EA20D1" w:rsidP="00B539E6">
      <w:pPr>
        <w:spacing w:after="0"/>
      </w:pPr>
      <w:r w:rsidRPr="00B539E6">
        <w:rPr>
          <w:rStyle w:val="FootnoteReference"/>
          <w:sz w:val="18"/>
          <w:szCs w:val="18"/>
        </w:rPr>
        <w:footnoteRef/>
      </w:r>
      <w:r w:rsidRPr="00B539E6">
        <w:rPr>
          <w:sz w:val="18"/>
          <w:szCs w:val="18"/>
        </w:rPr>
        <w:t xml:space="preserve"> </w:t>
      </w:r>
      <w:hyperlink r:id="rId22" w:history="1">
        <w:r w:rsidRPr="00B539E6">
          <w:rPr>
            <w:rStyle w:val="Hyperlink"/>
            <w:sz w:val="18"/>
            <w:szCs w:val="18"/>
          </w:rPr>
          <w:t>https://www.healthdirect.gov.au/pharmaceutical-benefits-scheme-pbs</w:t>
        </w:r>
      </w:hyperlink>
    </w:p>
  </w:footnote>
  <w:footnote w:id="63">
    <w:p w14:paraId="28569972" w14:textId="0CAC8788" w:rsidR="00EA20D1" w:rsidRPr="00B539E6" w:rsidRDefault="00EA20D1">
      <w:pPr>
        <w:pStyle w:val="FootnoteText"/>
        <w:rPr>
          <w:sz w:val="18"/>
          <w:szCs w:val="18"/>
        </w:rPr>
      </w:pPr>
      <w:r w:rsidRPr="00B539E6">
        <w:rPr>
          <w:rStyle w:val="FootnoteReference"/>
          <w:sz w:val="18"/>
          <w:szCs w:val="18"/>
        </w:rPr>
        <w:footnoteRef/>
      </w:r>
      <w:r w:rsidRPr="00B539E6">
        <w:rPr>
          <w:sz w:val="18"/>
          <w:szCs w:val="18"/>
        </w:rPr>
        <w:t xml:space="preserve"> </w:t>
      </w:r>
      <w:hyperlink r:id="rId23" w:history="1">
        <w:r w:rsidRPr="00B539E6">
          <w:rPr>
            <w:rStyle w:val="Hyperlink"/>
            <w:sz w:val="18"/>
            <w:szCs w:val="18"/>
          </w:rPr>
          <w:t>https://www.findapharmacy.com.au/pbs-pricing</w:t>
        </w:r>
      </w:hyperlink>
    </w:p>
  </w:footnote>
  <w:footnote w:id="64">
    <w:p w14:paraId="005244B6" w14:textId="13C3DAF3" w:rsidR="00EA20D1" w:rsidRPr="00EA6EF5" w:rsidRDefault="00EA20D1">
      <w:pPr>
        <w:pStyle w:val="FootnoteText"/>
        <w:rPr>
          <w:sz w:val="18"/>
          <w:szCs w:val="18"/>
        </w:rPr>
      </w:pPr>
      <w:r w:rsidRPr="00EA6EF5">
        <w:rPr>
          <w:rStyle w:val="FootnoteReference"/>
          <w:sz w:val="18"/>
          <w:szCs w:val="18"/>
        </w:rPr>
        <w:footnoteRef/>
      </w:r>
      <w:r w:rsidRPr="00EA6EF5">
        <w:rPr>
          <w:sz w:val="18"/>
          <w:szCs w:val="18"/>
        </w:rPr>
        <w:t xml:space="preserve"> https://ajp.com.au/in-depth/business-class/the-high-road-or-the-low-road/ , https://ajp.com.au/in-depth/business-class/the-valuation-impact/</w:t>
      </w:r>
    </w:p>
  </w:footnote>
  <w:footnote w:id="65">
    <w:p w14:paraId="6FD9573E" w14:textId="02A0C15C" w:rsidR="00EA20D1" w:rsidRDefault="00EA20D1">
      <w:pPr>
        <w:pStyle w:val="FootnoteText"/>
      </w:pPr>
      <w:r>
        <w:rPr>
          <w:rStyle w:val="FootnoteReference"/>
        </w:rPr>
        <w:footnoteRef/>
      </w:r>
      <w:r>
        <w:t xml:space="preserve"> </w:t>
      </w:r>
      <w:r w:rsidRPr="00666738">
        <w:t>https://treasury.gov.au/publication/p2015-cpr-final-report</w:t>
      </w:r>
    </w:p>
  </w:footnote>
  <w:footnote w:id="66">
    <w:p w14:paraId="014946C2" w14:textId="4AF77FFB" w:rsidR="00EA20D1" w:rsidRDefault="00EA20D1">
      <w:pPr>
        <w:pStyle w:val="FootnoteText"/>
      </w:pPr>
      <w:r>
        <w:rPr>
          <w:rStyle w:val="FootnoteReference"/>
        </w:rPr>
        <w:footnoteRef/>
      </w:r>
      <w:r>
        <w:t xml:space="preserve"> </w:t>
      </w:r>
      <w:r w:rsidRPr="00666738">
        <w:t>https://apo.org.au/sites/default/files/resource-files/2018-05/apo-nid143826_1.pdf</w:t>
      </w:r>
    </w:p>
  </w:footnote>
  <w:footnote w:id="67">
    <w:p w14:paraId="71CC350B" w14:textId="2E265042" w:rsidR="00EA20D1" w:rsidRDefault="00EA20D1">
      <w:pPr>
        <w:pStyle w:val="FootnoteText"/>
      </w:pPr>
      <w:r>
        <w:rPr>
          <w:rStyle w:val="FootnoteReference"/>
        </w:rPr>
        <w:footnoteRef/>
      </w:r>
      <w:r>
        <w:t> </w:t>
      </w:r>
      <w:r w:rsidRPr="00666738">
        <w:t>https://www.aph.gov.au/Parliamentary_Business/Committees/Senate/Red_Tape/Policyandprocess/~/media/Committees/redtape_ctte/Policyandprocess/report.pdf</w:t>
      </w:r>
    </w:p>
  </w:footnote>
  <w:footnote w:id="68">
    <w:p w14:paraId="63539446" w14:textId="63F6AE31" w:rsidR="00EA20D1" w:rsidRDefault="00EA20D1">
      <w:pPr>
        <w:pStyle w:val="FootnoteText"/>
      </w:pPr>
      <w:r>
        <w:rPr>
          <w:rStyle w:val="FootnoteReference"/>
        </w:rPr>
        <w:footnoteRef/>
      </w:r>
      <w:r>
        <w:t xml:space="preserve"> </w:t>
      </w:r>
      <w:r w:rsidRPr="00666738">
        <w:t>https://www.pc.gov.au/inquiries/completed/productivity-review/report/productivity-review-supporting-all.pdf</w:t>
      </w:r>
    </w:p>
  </w:footnote>
  <w:footnote w:id="69">
    <w:p w14:paraId="19D5E109" w14:textId="2B9099E8" w:rsidR="00EA20D1" w:rsidRDefault="00EA20D1">
      <w:pPr>
        <w:pStyle w:val="FootnoteText"/>
      </w:pPr>
      <w:r>
        <w:rPr>
          <w:rStyle w:val="FootnoteReference"/>
        </w:rPr>
        <w:footnoteRef/>
      </w:r>
      <w:r>
        <w:t xml:space="preserve"> </w:t>
      </w:r>
      <w:r w:rsidRPr="00666738">
        <w:t>https://www.pc.gov.au/inquiries/completed/productivity/report/productivity-advancing-prosperity-all-volumes.pdf</w:t>
      </w:r>
    </w:p>
  </w:footnote>
  <w:footnote w:id="70">
    <w:p w14:paraId="3B9F2909" w14:textId="70AFA91B" w:rsidR="00EA20D1" w:rsidRDefault="00EA20D1">
      <w:pPr>
        <w:pStyle w:val="FootnoteText"/>
      </w:pPr>
      <w:r>
        <w:rPr>
          <w:rStyle w:val="FootnoteReference"/>
        </w:rPr>
        <w:footnoteRef/>
      </w:r>
      <w:r>
        <w:t> </w:t>
      </w:r>
      <w:r w:rsidRPr="00666738">
        <w:t>https://www.aph.gov.au/Parliamentary_Business/Committees/Senate/Red_Tape/Policyandprocess/~/media/Committees/redtape_ctte/Policyandprocess/report.pdf</w:t>
      </w:r>
    </w:p>
  </w:footnote>
  <w:footnote w:id="71">
    <w:p w14:paraId="0B8D5F2E" w14:textId="04A155F9" w:rsidR="00EA20D1" w:rsidRDefault="00EA20D1">
      <w:pPr>
        <w:pStyle w:val="FootnoteText"/>
      </w:pPr>
      <w:r>
        <w:rPr>
          <w:rStyle w:val="FootnoteReference"/>
        </w:rPr>
        <w:footnoteRef/>
      </w:r>
      <w:r>
        <w:t xml:space="preserve"> </w:t>
      </w:r>
      <w:r w:rsidRPr="00666738">
        <w:t>https://apo.org.au/sites/default/files/resource-files/2018-05/apo-nid143826_1.pdf</w:t>
      </w:r>
    </w:p>
  </w:footnote>
  <w:footnote w:id="72">
    <w:p w14:paraId="79BAA064" w14:textId="2E4B1810" w:rsidR="00EA20D1" w:rsidRDefault="00EA20D1">
      <w:pPr>
        <w:pStyle w:val="FootnoteText"/>
      </w:pPr>
      <w:r>
        <w:rPr>
          <w:rStyle w:val="FootnoteReference"/>
        </w:rPr>
        <w:footnoteRef/>
      </w:r>
      <w:r>
        <w:t xml:space="preserve"> </w:t>
      </w:r>
      <w:r w:rsidRPr="00560322">
        <w:t>https://www.uts.edu.au/sites/default/files/2022-05/GSH-Pharmacy-Barometer-2021.pdf</w:t>
      </w:r>
    </w:p>
  </w:footnote>
  <w:footnote w:id="73">
    <w:p w14:paraId="20D09A21" w14:textId="222B47EB" w:rsidR="00EA20D1" w:rsidRDefault="00EA20D1">
      <w:pPr>
        <w:pStyle w:val="FootnoteText"/>
      </w:pPr>
      <w:r>
        <w:rPr>
          <w:rStyle w:val="FootnoteReference"/>
        </w:rPr>
        <w:footnoteRef/>
      </w:r>
      <w:r>
        <w:t xml:space="preserve"> </w:t>
      </w:r>
      <w:hyperlink r:id="rId24" w:history="1">
        <w:r w:rsidRPr="0039368B">
          <w:rPr>
            <w:rStyle w:val="Hyperlink"/>
            <w:sz w:val="18"/>
            <w:szCs w:val="18"/>
          </w:rPr>
          <w:t>https://www.health.gov.au/ministers/the-hon-mark-butler-mp/media/negotiations-for-an-eighth-community-pharmacy-agreement?language=en</w:t>
        </w:r>
      </w:hyperlink>
    </w:p>
  </w:footnote>
  <w:footnote w:id="74">
    <w:p w14:paraId="5A6C78D4" w14:textId="395AE010" w:rsidR="00EA20D1" w:rsidRDefault="00EA20D1">
      <w:pPr>
        <w:pStyle w:val="FootnoteText"/>
      </w:pPr>
      <w:r>
        <w:rPr>
          <w:rStyle w:val="FootnoteReference"/>
        </w:rPr>
        <w:footnoteRef/>
      </w:r>
      <w:r>
        <w:t xml:space="preserve"> </w:t>
      </w:r>
      <w:hyperlink r:id="rId25" w:history="1">
        <w:r w:rsidRPr="0095671A">
          <w:rPr>
            <w:rStyle w:val="Hyperlink"/>
            <w:sz w:val="18"/>
          </w:rPr>
          <w:t>https://www.apo.org.au/sites/default/files/resource-files/2018-05/apo-nid143826_1.pdf</w:t>
        </w:r>
      </w:hyperlink>
      <w:r w:rsidRPr="0095671A">
        <w:rPr>
          <w:sz w:val="18"/>
        </w:rPr>
        <w:t xml:space="preserve"> </w:t>
      </w:r>
    </w:p>
  </w:footnote>
  <w:footnote w:id="75">
    <w:p w14:paraId="229E71CA" w14:textId="6A348F88" w:rsidR="00EA20D1" w:rsidRDefault="00EA20D1">
      <w:pPr>
        <w:pStyle w:val="FootnoteText"/>
      </w:pPr>
      <w:r>
        <w:rPr>
          <w:rStyle w:val="FootnoteReference"/>
        </w:rPr>
        <w:footnoteRef/>
      </w:r>
      <w:r>
        <w:t xml:space="preserve"> </w:t>
      </w:r>
      <w:hyperlink r:id="rId26" w:history="1">
        <w:r w:rsidRPr="0095671A">
          <w:rPr>
            <w:rStyle w:val="Hyperlink"/>
            <w:sz w:val="18"/>
          </w:rPr>
          <w:t>https://www.oia.pmc.gov.au/sites/default/files/posts/2023/01/Post-Implementation%20Review%20of%20the%207CPA.pdf</w:t>
        </w:r>
      </w:hyperlink>
      <w:r w:rsidRPr="0095671A">
        <w:rPr>
          <w:sz w:val="18"/>
        </w:rPr>
        <w:t xml:space="preserve"> </w:t>
      </w:r>
    </w:p>
  </w:footnote>
  <w:footnote w:id="76">
    <w:p w14:paraId="7CE658F8" w14:textId="79950705" w:rsidR="00EA20D1" w:rsidRPr="0039368B" w:rsidRDefault="00EA20D1" w:rsidP="005F602D">
      <w:pPr>
        <w:pStyle w:val="FootnoteText"/>
        <w:rPr>
          <w:sz w:val="18"/>
          <w:szCs w:val="18"/>
        </w:rPr>
      </w:pPr>
      <w:r w:rsidRPr="0039368B">
        <w:rPr>
          <w:rStyle w:val="FootnoteReference"/>
          <w:sz w:val="18"/>
          <w:szCs w:val="18"/>
        </w:rPr>
        <w:footnoteRef/>
      </w:r>
      <w:r w:rsidRPr="0039368B">
        <w:rPr>
          <w:sz w:val="18"/>
          <w:szCs w:val="18"/>
        </w:rPr>
        <w:t xml:space="preserve"> </w:t>
      </w:r>
      <w:hyperlink r:id="rId27" w:history="1">
        <w:r w:rsidRPr="00AE3A42">
          <w:rPr>
            <w:rStyle w:val="Hyperlink"/>
            <w:sz w:val="18"/>
            <w:szCs w:val="18"/>
          </w:rPr>
          <w:t>https://www.finance.gov.au/government/setting-commonwealth-entity/governance-compliance</w:t>
        </w:r>
      </w:hyperlink>
      <w:r>
        <w:rPr>
          <w:sz w:val="18"/>
          <w:szCs w:val="18"/>
        </w:rPr>
        <w:t xml:space="preserve"> </w:t>
      </w:r>
    </w:p>
  </w:footnote>
  <w:footnote w:id="77">
    <w:p w14:paraId="7FA1DCE4" w14:textId="2652E78F" w:rsidR="00EA20D1" w:rsidRPr="00BC53FE" w:rsidRDefault="00EA20D1">
      <w:pPr>
        <w:pStyle w:val="FootnoteText"/>
        <w:rPr>
          <w:sz w:val="18"/>
          <w:szCs w:val="18"/>
        </w:rPr>
      </w:pPr>
      <w:r w:rsidRPr="00BC53FE">
        <w:rPr>
          <w:rStyle w:val="FootnoteReference"/>
          <w:sz w:val="18"/>
          <w:szCs w:val="18"/>
        </w:rPr>
        <w:footnoteRef/>
      </w:r>
      <w:r w:rsidRPr="00BC53FE">
        <w:rPr>
          <w:sz w:val="18"/>
          <w:szCs w:val="18"/>
        </w:rPr>
        <w:t xml:space="preserve"> Fees for the first level of AHI, dispensing fee and dangerous drug fee are subject to annual indexation as outlined I each CPA.</w:t>
      </w:r>
    </w:p>
  </w:footnote>
  <w:footnote w:id="78">
    <w:p w14:paraId="65B8AB59" w14:textId="77777777" w:rsidR="00EA20D1" w:rsidRPr="00BC53FE" w:rsidRDefault="00EA20D1" w:rsidP="007E00C8">
      <w:pPr>
        <w:pStyle w:val="FootnoteText"/>
        <w:rPr>
          <w:sz w:val="18"/>
          <w:szCs w:val="18"/>
        </w:rPr>
      </w:pPr>
    </w:p>
  </w:footnote>
  <w:footnote w:id="79">
    <w:p w14:paraId="789274EF" w14:textId="77777777" w:rsidR="00EA20D1" w:rsidRPr="00BC53FE" w:rsidRDefault="00EA20D1" w:rsidP="007E00C8">
      <w:pPr>
        <w:pStyle w:val="FootnoteText"/>
        <w:rPr>
          <w:sz w:val="18"/>
          <w:szCs w:val="18"/>
        </w:rPr>
      </w:pPr>
      <w:r w:rsidRPr="00BC53FE">
        <w:rPr>
          <w:sz w:val="18"/>
          <w:szCs w:val="18"/>
          <w:vertAlign w:val="superscript"/>
        </w:rPr>
        <w:t>[</w:t>
      </w:r>
      <w:r w:rsidRPr="00BC53FE">
        <w:rPr>
          <w:rStyle w:val="FootnoteReference"/>
          <w:sz w:val="18"/>
          <w:szCs w:val="18"/>
        </w:rPr>
        <w:footnoteRef/>
      </w:r>
      <w:r w:rsidRPr="00BC53FE">
        <w:rPr>
          <w:sz w:val="18"/>
          <w:szCs w:val="18"/>
          <w:vertAlign w:val="superscript"/>
        </w:rPr>
        <w:t>]</w:t>
      </w:r>
      <w:r w:rsidRPr="00BC53FE">
        <w:rPr>
          <w:sz w:val="18"/>
          <w:szCs w:val="18"/>
        </w:rPr>
        <w:t xml:space="preserve"> The wholesale mark-up for a Pack Quantity of a Listed Brand is calculated using the Relevant Quantity.</w:t>
      </w:r>
    </w:p>
  </w:footnote>
  <w:footnote w:id="80">
    <w:p w14:paraId="259CDB7A" w14:textId="77777777" w:rsidR="00EA20D1" w:rsidRPr="00BC53FE" w:rsidRDefault="00EA20D1" w:rsidP="007E00C8">
      <w:pPr>
        <w:pStyle w:val="FootnoteText"/>
        <w:rPr>
          <w:sz w:val="18"/>
          <w:szCs w:val="18"/>
        </w:rPr>
      </w:pPr>
      <w:r w:rsidRPr="00BC53FE">
        <w:rPr>
          <w:sz w:val="18"/>
          <w:szCs w:val="18"/>
          <w:vertAlign w:val="superscript"/>
        </w:rPr>
        <w:t>[</w:t>
      </w:r>
      <w:r w:rsidRPr="00BC53FE">
        <w:rPr>
          <w:rStyle w:val="FootnoteReference"/>
          <w:sz w:val="18"/>
          <w:szCs w:val="18"/>
        </w:rPr>
        <w:footnoteRef/>
      </w:r>
      <w:r w:rsidRPr="00BC53FE">
        <w:rPr>
          <w:sz w:val="18"/>
          <w:szCs w:val="18"/>
          <w:vertAlign w:val="superscript"/>
        </w:rPr>
        <w:t>]</w:t>
      </w:r>
      <w:r w:rsidRPr="00BC53FE">
        <w:rPr>
          <w:sz w:val="18"/>
          <w:szCs w:val="18"/>
        </w:rPr>
        <w:t xml:space="preserve"> The wholesale mark-up applying for the period from 1 July 2020 to 31 December 2020 will be the wholesale mark-up applying in the last year of the Sixth Community Pharmacy Agreement. The wholesale mark-up arrangements set out in Table 2 will commence from 1 January 2021.</w:t>
      </w:r>
    </w:p>
  </w:footnote>
  <w:footnote w:id="81">
    <w:p w14:paraId="0D9CAB78" w14:textId="77777777" w:rsidR="00EA20D1" w:rsidRPr="00BC53FE" w:rsidRDefault="00EA20D1" w:rsidP="007E00C8">
      <w:pPr>
        <w:pStyle w:val="FootnoteText"/>
        <w:rPr>
          <w:sz w:val="18"/>
          <w:szCs w:val="18"/>
        </w:rPr>
      </w:pPr>
      <w:r w:rsidRPr="00BC53FE">
        <w:rPr>
          <w:sz w:val="18"/>
          <w:szCs w:val="18"/>
          <w:vertAlign w:val="superscript"/>
        </w:rPr>
        <w:t>[</w:t>
      </w:r>
      <w:r w:rsidRPr="00BC53FE">
        <w:rPr>
          <w:rStyle w:val="FootnoteReference"/>
          <w:sz w:val="18"/>
          <w:szCs w:val="18"/>
        </w:rPr>
        <w:footnoteRef/>
      </w:r>
      <w:r w:rsidRPr="00BC53FE">
        <w:rPr>
          <w:sz w:val="18"/>
          <w:szCs w:val="18"/>
          <w:vertAlign w:val="superscript"/>
        </w:rPr>
        <w:t>]</w:t>
      </w:r>
      <w:r w:rsidRPr="00BC53FE">
        <w:rPr>
          <w:sz w:val="18"/>
          <w:szCs w:val="18"/>
        </w:rPr>
        <w:t xml:space="preserve"> The AHI Fee is calculated from the per pack price with the AHI Fee applied for the Maximum Quantity proportionate to the number of packs required for the Maximum Quantity, and will be adjusted if less or more than the Maximum Quantity is supplied.  Refer to the Determination for further details of the AHI Fee calculation.</w:t>
      </w:r>
    </w:p>
    <w:p w14:paraId="4E6ACD65" w14:textId="77777777" w:rsidR="00EA20D1" w:rsidRPr="00821A50" w:rsidRDefault="00EA20D1" w:rsidP="007E00C8">
      <w:pPr>
        <w:pStyle w:val="FootnoteText"/>
      </w:pPr>
      <w:r w:rsidRPr="00BC53FE">
        <w:rPr>
          <w:sz w:val="18"/>
          <w:szCs w:val="18"/>
        </w:rPr>
        <w:t>^^ Multiple additional tiers were included in 5CPA which has not been reflected here</w:t>
      </w:r>
    </w:p>
  </w:footnote>
  <w:footnote w:id="82">
    <w:p w14:paraId="716112EE" w14:textId="77777777" w:rsidR="00EA20D1" w:rsidRDefault="00EA20D1" w:rsidP="00CD3AB0">
      <w:pPr>
        <w:pStyle w:val="FootnoteText"/>
      </w:pPr>
      <w:r>
        <w:rPr>
          <w:rStyle w:val="FootnoteReference"/>
        </w:rPr>
        <w:footnoteRef/>
      </w:r>
      <w:r>
        <w:t xml:space="preserve"> </w:t>
      </w:r>
      <w:r w:rsidRPr="00EA0E45">
        <w:t>https://oia.pmc.gov.au/resources/guidance-assessing-impacts/regulatory-burden-measurement-framework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1784" w14:textId="77777777" w:rsidR="00152300" w:rsidRDefault="00152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8ABF1" w14:textId="06D50EC0" w:rsidR="00EA20D1" w:rsidRDefault="00EA20D1" w:rsidP="00FF4C3F">
    <w:pPr>
      <w:pStyle w:val="Header"/>
      <w:tabs>
        <w:tab w:val="clear" w:pos="4513"/>
        <w:tab w:val="clear" w:pos="9026"/>
        <w:tab w:val="left" w:pos="75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A7B6" w14:textId="77777777" w:rsidR="00EA20D1" w:rsidRDefault="00EA20D1" w:rsidP="006E1520">
    <w:pPr>
      <w:pStyle w:val="Header"/>
      <w:tabs>
        <w:tab w:val="clear" w:pos="4513"/>
        <w:tab w:val="clear" w:pos="9026"/>
        <w:tab w:val="left" w:pos="2490"/>
      </w:tabs>
    </w:pPr>
    <w:r>
      <w:rPr>
        <w:noProof/>
        <w:lang w:eastAsia="en-AU"/>
      </w:rPr>
      <w:drawing>
        <wp:anchor distT="0" distB="0" distL="114300" distR="114300" simplePos="0" relativeHeight="251658240" behindDoc="1" locked="0" layoutInCell="1" allowOverlap="1" wp14:anchorId="791AC75C" wp14:editId="3970CDE4">
          <wp:simplePos x="0" y="0"/>
          <wp:positionH relativeFrom="page">
            <wp:align>right</wp:align>
          </wp:positionH>
          <wp:positionV relativeFrom="margin">
            <wp:align>bottom</wp:align>
          </wp:positionV>
          <wp:extent cx="7213600" cy="9534525"/>
          <wp:effectExtent l="0" t="0" r="6350" b="9525"/>
          <wp:wrapNone/>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13600" cy="9534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0ED29" w14:textId="0F57A381" w:rsidR="00EA20D1" w:rsidRDefault="00EA20D1" w:rsidP="006E1520">
    <w:pPr>
      <w:pStyle w:val="Header"/>
      <w:tabs>
        <w:tab w:val="clear" w:pos="4513"/>
        <w:tab w:val="clear" w:pos="9026"/>
        <w:tab w:val="left" w:pos="249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B1EB" w14:textId="77777777" w:rsidR="00EA20D1" w:rsidRDefault="00EA20D1">
    <w:pPr>
      <w:pStyle w:val="Header"/>
    </w:pPr>
    <w:r>
      <w:rPr>
        <w:noProof/>
        <w:lang w:eastAsia="en-AU"/>
      </w:rPr>
      <w:drawing>
        <wp:anchor distT="0" distB="0" distL="114300" distR="114300" simplePos="0" relativeHeight="251658241" behindDoc="1" locked="0" layoutInCell="1" allowOverlap="1" wp14:anchorId="0AE45D64" wp14:editId="75DF70B5">
          <wp:simplePos x="0" y="0"/>
          <wp:positionH relativeFrom="page">
            <wp:align>right</wp:align>
          </wp:positionH>
          <wp:positionV relativeFrom="margin">
            <wp:align>bottom</wp:align>
          </wp:positionV>
          <wp:extent cx="7213600" cy="9534525"/>
          <wp:effectExtent l="0" t="0" r="6350" b="9525"/>
          <wp:wrapNone/>
          <wp:docPr id="3" name="Picture 3">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13600" cy="95345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2B6CB" w14:textId="3C9B0CA6" w:rsidR="00EA20D1" w:rsidRPr="00570C3F" w:rsidRDefault="00EA20D1" w:rsidP="00570C3F">
    <w:pPr>
      <w:pStyle w:val="Header"/>
      <w:jc w:val="center"/>
      <w:rPr>
        <w:rFonts w:asciiTheme="minorHAnsi" w:hAnsiTheme="minorHAnsi" w:cstheme="minorHAnsi"/>
        <w:color w:val="auto"/>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5F15"/>
    <w:multiLevelType w:val="hybridMultilevel"/>
    <w:tmpl w:val="AEFC6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245648"/>
    <w:multiLevelType w:val="multilevel"/>
    <w:tmpl w:val="3470F68E"/>
    <w:name w:val="MaddNumpara"/>
    <w:lvl w:ilvl="0">
      <w:start w:val="1"/>
      <w:numFmt w:val="decimal"/>
      <w:pStyle w:val="Numpara1"/>
      <w:lvlText w:val="%1."/>
      <w:lvlJc w:val="left"/>
      <w:pPr>
        <w:ind w:left="851" w:hanging="851"/>
      </w:pPr>
      <w:rPr>
        <w:rFonts w:cs="Times New Roman" w:hint="default"/>
        <w:b w:val="0"/>
        <w:bCs w:val="0"/>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2" w15:restartNumberingAfterBreak="0">
    <w:nsid w:val="032F5711"/>
    <w:multiLevelType w:val="hybridMultilevel"/>
    <w:tmpl w:val="E864F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4" w15:restartNumberingAfterBreak="0">
    <w:nsid w:val="0E2F6052"/>
    <w:multiLevelType w:val="multilevel"/>
    <w:tmpl w:val="E408B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D7F18"/>
    <w:multiLevelType w:val="hybridMultilevel"/>
    <w:tmpl w:val="C24C7FA0"/>
    <w:lvl w:ilvl="0" w:tplc="A6CEB434">
      <w:start w:val="1"/>
      <w:numFmt w:val="decimal"/>
      <w:lvlText w:val="%1."/>
      <w:lvlJc w:val="left"/>
      <w:pPr>
        <w:ind w:left="726" w:hanging="360"/>
      </w:pPr>
      <w:rPr>
        <w:rFonts w:hint="default"/>
        <w:b w:val="0"/>
      </w:rPr>
    </w:lvl>
    <w:lvl w:ilvl="1" w:tplc="FFFFFFFF">
      <w:numFmt w:val="bullet"/>
      <w:lvlText w:val="•"/>
      <w:lvlJc w:val="left"/>
      <w:pPr>
        <w:ind w:left="1446" w:hanging="360"/>
      </w:pPr>
      <w:rPr>
        <w:rFonts w:ascii="Calibri" w:eastAsiaTheme="minorHAnsi" w:hAnsi="Calibri" w:cs="Calibri"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6" w15:restartNumberingAfterBreak="0">
    <w:nsid w:val="11470B1E"/>
    <w:multiLevelType w:val="hybridMultilevel"/>
    <w:tmpl w:val="68366272"/>
    <w:lvl w:ilvl="0" w:tplc="AA2040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46399"/>
    <w:multiLevelType w:val="hybridMultilevel"/>
    <w:tmpl w:val="482C2126"/>
    <w:lvl w:ilvl="0" w:tplc="75FE00C0">
      <w:start w:val="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363506"/>
    <w:multiLevelType w:val="hybridMultilevel"/>
    <w:tmpl w:val="A4D4C320"/>
    <w:lvl w:ilvl="0" w:tplc="3F9A5150">
      <w:start w:val="1"/>
      <w:numFmt w:val="bullet"/>
      <w:pStyle w:val="ListBullet"/>
      <w:lvlText w:val=""/>
      <w:lvlJc w:val="left"/>
      <w:pPr>
        <w:ind w:left="360" w:hanging="360"/>
      </w:pPr>
      <w:rPr>
        <w:rFonts w:ascii="Symbol" w:hAnsi="Symbol" w:hint="default"/>
        <w:color w:val="123A6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39904D1"/>
    <w:multiLevelType w:val="hybridMultilevel"/>
    <w:tmpl w:val="03A2D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72D26"/>
    <w:multiLevelType w:val="hybridMultilevel"/>
    <w:tmpl w:val="923439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A06E0B"/>
    <w:multiLevelType w:val="hybridMultilevel"/>
    <w:tmpl w:val="E5966D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C7BA6"/>
    <w:multiLevelType w:val="hybridMultilevel"/>
    <w:tmpl w:val="B5181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1F14AFA"/>
    <w:multiLevelType w:val="hybridMultilevel"/>
    <w:tmpl w:val="2920F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078B9"/>
    <w:multiLevelType w:val="hybridMultilevel"/>
    <w:tmpl w:val="4880A37C"/>
    <w:lvl w:ilvl="0" w:tplc="0C090001">
      <w:start w:val="1"/>
      <w:numFmt w:val="bullet"/>
      <w:lvlText w:val=""/>
      <w:lvlJc w:val="left"/>
      <w:pPr>
        <w:ind w:left="643"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6" w15:restartNumberingAfterBreak="0">
    <w:nsid w:val="285570BB"/>
    <w:multiLevelType w:val="hybridMultilevel"/>
    <w:tmpl w:val="1BFC01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E25D9B"/>
    <w:multiLevelType w:val="hybridMultilevel"/>
    <w:tmpl w:val="841EE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CB26ED"/>
    <w:multiLevelType w:val="hybridMultilevel"/>
    <w:tmpl w:val="1CDA61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20" w15:restartNumberingAfterBreak="0">
    <w:nsid w:val="39F77330"/>
    <w:multiLevelType w:val="hybridMultilevel"/>
    <w:tmpl w:val="9F9A7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B172E6"/>
    <w:multiLevelType w:val="multilevel"/>
    <w:tmpl w:val="50ECEB6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11B5FA5"/>
    <w:multiLevelType w:val="hybridMultilevel"/>
    <w:tmpl w:val="280C9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9543EB"/>
    <w:multiLevelType w:val="hybridMultilevel"/>
    <w:tmpl w:val="808AB0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DE38E4"/>
    <w:multiLevelType w:val="hybridMultilevel"/>
    <w:tmpl w:val="6AB4F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B1BEB"/>
    <w:multiLevelType w:val="hybridMultilevel"/>
    <w:tmpl w:val="D46828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363B68"/>
    <w:multiLevelType w:val="hybridMultilevel"/>
    <w:tmpl w:val="99B2EE44"/>
    <w:lvl w:ilvl="0" w:tplc="3FAE8AF4">
      <w:numFmt w:val="bullet"/>
      <w:lvlText w:val="•"/>
      <w:lvlJc w:val="left"/>
      <w:pPr>
        <w:ind w:left="360" w:hanging="360"/>
      </w:pPr>
      <w:rPr>
        <w:rFonts w:asciiTheme="minorHAnsi" w:eastAsiaTheme="minorHAnsi" w:hAnsiTheme="minorHAns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5A14A9"/>
    <w:multiLevelType w:val="hybridMultilevel"/>
    <w:tmpl w:val="19B45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3DA2543"/>
    <w:multiLevelType w:val="hybridMultilevel"/>
    <w:tmpl w:val="7DB06D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743C0"/>
    <w:multiLevelType w:val="hybridMultilevel"/>
    <w:tmpl w:val="D08C2D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FA5BAD"/>
    <w:multiLevelType w:val="hybridMultilevel"/>
    <w:tmpl w:val="FF786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940FAA"/>
    <w:multiLevelType w:val="hybridMultilevel"/>
    <w:tmpl w:val="6060A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4E77D0"/>
    <w:multiLevelType w:val="hybridMultilevel"/>
    <w:tmpl w:val="90F8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4" w15:restartNumberingAfterBreak="0">
    <w:nsid w:val="6040544A"/>
    <w:multiLevelType w:val="hybridMultilevel"/>
    <w:tmpl w:val="A6FCBE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36" w15:restartNumberingAfterBreak="0">
    <w:nsid w:val="60F27A4B"/>
    <w:multiLevelType w:val="hybridMultilevel"/>
    <w:tmpl w:val="601A37DA"/>
    <w:lvl w:ilvl="0" w:tplc="D5FCC2EC">
      <w:numFmt w:val="bullet"/>
      <w:lvlText w:val="-"/>
      <w:lvlJc w:val="left"/>
      <w:pPr>
        <w:ind w:left="360" w:hanging="360"/>
      </w:pPr>
      <w:rPr>
        <w:rFonts w:ascii="Arial" w:eastAsia="Calibri" w:hAnsi="Arial" w:cs="Arial" w:hint="default"/>
      </w:rPr>
    </w:lvl>
    <w:lvl w:ilvl="1" w:tplc="8CCCE910">
      <w:start w:val="1"/>
      <w:numFmt w:val="bullet"/>
      <w:lvlText w:val="o"/>
      <w:lvlJc w:val="left"/>
      <w:pPr>
        <w:ind w:left="1080" w:hanging="360"/>
      </w:pPr>
      <w:rPr>
        <w:rFonts w:ascii="Courier New" w:hAnsi="Courier New" w:cs="Courier New" w:hint="default"/>
      </w:rPr>
    </w:lvl>
    <w:lvl w:ilvl="2" w:tplc="AD645FE2">
      <w:start w:val="1"/>
      <w:numFmt w:val="bullet"/>
      <w:lvlText w:val=""/>
      <w:lvlJc w:val="left"/>
      <w:pPr>
        <w:ind w:left="1800" w:hanging="360"/>
      </w:pPr>
      <w:rPr>
        <w:rFonts w:ascii="Wingdings" w:hAnsi="Wingdings" w:hint="default"/>
      </w:rPr>
    </w:lvl>
    <w:lvl w:ilvl="3" w:tplc="BEF68966">
      <w:start w:val="1"/>
      <w:numFmt w:val="bullet"/>
      <w:lvlText w:val=""/>
      <w:lvlJc w:val="left"/>
      <w:pPr>
        <w:ind w:left="2520" w:hanging="360"/>
      </w:pPr>
      <w:rPr>
        <w:rFonts w:ascii="Symbol" w:hAnsi="Symbol" w:hint="default"/>
      </w:rPr>
    </w:lvl>
    <w:lvl w:ilvl="4" w:tplc="87A43554">
      <w:start w:val="1"/>
      <w:numFmt w:val="bullet"/>
      <w:lvlText w:val="o"/>
      <w:lvlJc w:val="left"/>
      <w:pPr>
        <w:ind w:left="3240" w:hanging="360"/>
      </w:pPr>
      <w:rPr>
        <w:rFonts w:ascii="Courier New" w:hAnsi="Courier New" w:cs="Courier New" w:hint="default"/>
      </w:rPr>
    </w:lvl>
    <w:lvl w:ilvl="5" w:tplc="2D8A7EF4">
      <w:start w:val="1"/>
      <w:numFmt w:val="bullet"/>
      <w:lvlText w:val=""/>
      <w:lvlJc w:val="left"/>
      <w:pPr>
        <w:ind w:left="3960" w:hanging="360"/>
      </w:pPr>
      <w:rPr>
        <w:rFonts w:ascii="Wingdings" w:hAnsi="Wingdings" w:hint="default"/>
      </w:rPr>
    </w:lvl>
    <w:lvl w:ilvl="6" w:tplc="BA32BAB2">
      <w:start w:val="1"/>
      <w:numFmt w:val="bullet"/>
      <w:lvlText w:val=""/>
      <w:lvlJc w:val="left"/>
      <w:pPr>
        <w:ind w:left="4680" w:hanging="360"/>
      </w:pPr>
      <w:rPr>
        <w:rFonts w:ascii="Symbol" w:hAnsi="Symbol" w:hint="default"/>
      </w:rPr>
    </w:lvl>
    <w:lvl w:ilvl="7" w:tplc="B07062CC">
      <w:start w:val="1"/>
      <w:numFmt w:val="bullet"/>
      <w:lvlText w:val="o"/>
      <w:lvlJc w:val="left"/>
      <w:pPr>
        <w:ind w:left="5400" w:hanging="360"/>
      </w:pPr>
      <w:rPr>
        <w:rFonts w:ascii="Courier New" w:hAnsi="Courier New" w:cs="Courier New" w:hint="default"/>
      </w:rPr>
    </w:lvl>
    <w:lvl w:ilvl="8" w:tplc="C0400F38">
      <w:start w:val="1"/>
      <w:numFmt w:val="bullet"/>
      <w:lvlText w:val=""/>
      <w:lvlJc w:val="left"/>
      <w:pPr>
        <w:ind w:left="6120" w:hanging="360"/>
      </w:pPr>
      <w:rPr>
        <w:rFonts w:ascii="Wingdings" w:hAnsi="Wingdings" w:hint="default"/>
      </w:rPr>
    </w:lvl>
  </w:abstractNum>
  <w:abstractNum w:abstractNumId="37" w15:restartNumberingAfterBreak="0">
    <w:nsid w:val="64BC558F"/>
    <w:multiLevelType w:val="hybridMultilevel"/>
    <w:tmpl w:val="4E9888DA"/>
    <w:lvl w:ilvl="0" w:tplc="FF04F6EA">
      <w:start w:val="1"/>
      <w:numFmt w:val="bullet"/>
      <w:lvlText w:val="−"/>
      <w:lvlJc w:val="left"/>
      <w:pPr>
        <w:ind w:left="1080" w:hanging="360"/>
      </w:pPr>
      <w:rPr>
        <w:rFonts w:ascii="Calibri Light" w:hAnsi="Calibri Light"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4DF0E46"/>
    <w:multiLevelType w:val="hybridMultilevel"/>
    <w:tmpl w:val="6A362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56825E9"/>
    <w:multiLevelType w:val="hybridMultilevel"/>
    <w:tmpl w:val="26FCF184"/>
    <w:lvl w:ilvl="0" w:tplc="3FAE8AF4">
      <w:numFmt w:val="bullet"/>
      <w:lvlText w:val="•"/>
      <w:lvlJc w:val="left"/>
      <w:pPr>
        <w:ind w:left="360" w:hanging="360"/>
      </w:pPr>
      <w:rPr>
        <w:rFonts w:asciiTheme="minorHAnsi" w:eastAsiaTheme="minorHAnsi" w:hAnsiTheme="minorHAns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717877"/>
    <w:multiLevelType w:val="hybridMultilevel"/>
    <w:tmpl w:val="5A42F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411F91"/>
    <w:multiLevelType w:val="hybridMultilevel"/>
    <w:tmpl w:val="F33E4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CD7064"/>
    <w:multiLevelType w:val="multilevel"/>
    <w:tmpl w:val="163687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44"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45" w15:restartNumberingAfterBreak="0">
    <w:nsid w:val="7472779F"/>
    <w:multiLevelType w:val="hybridMultilevel"/>
    <w:tmpl w:val="AB3C9A94"/>
    <w:lvl w:ilvl="0" w:tplc="4FA27A1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57B357B"/>
    <w:multiLevelType w:val="hybridMultilevel"/>
    <w:tmpl w:val="BC3280C6"/>
    <w:lvl w:ilvl="0" w:tplc="ABECE6E4">
      <w:start w:val="1"/>
      <w:numFmt w:val="decimal"/>
      <w:lvlText w:val="%1)"/>
      <w:lvlJc w:val="left"/>
      <w:pPr>
        <w:tabs>
          <w:tab w:val="num" w:pos="360"/>
        </w:tabs>
        <w:ind w:left="360" w:hanging="360"/>
      </w:pPr>
    </w:lvl>
    <w:lvl w:ilvl="1" w:tplc="73806136" w:tentative="1">
      <w:start w:val="1"/>
      <w:numFmt w:val="decimal"/>
      <w:lvlText w:val="%2)"/>
      <w:lvlJc w:val="left"/>
      <w:pPr>
        <w:tabs>
          <w:tab w:val="num" w:pos="1080"/>
        </w:tabs>
        <w:ind w:left="1080" w:hanging="360"/>
      </w:pPr>
    </w:lvl>
    <w:lvl w:ilvl="2" w:tplc="B082ECB8" w:tentative="1">
      <w:start w:val="1"/>
      <w:numFmt w:val="decimal"/>
      <w:lvlText w:val="%3)"/>
      <w:lvlJc w:val="left"/>
      <w:pPr>
        <w:tabs>
          <w:tab w:val="num" w:pos="1800"/>
        </w:tabs>
        <w:ind w:left="1800" w:hanging="360"/>
      </w:pPr>
    </w:lvl>
    <w:lvl w:ilvl="3" w:tplc="16E6BCE4" w:tentative="1">
      <w:start w:val="1"/>
      <w:numFmt w:val="decimal"/>
      <w:lvlText w:val="%4)"/>
      <w:lvlJc w:val="left"/>
      <w:pPr>
        <w:tabs>
          <w:tab w:val="num" w:pos="2520"/>
        </w:tabs>
        <w:ind w:left="2520" w:hanging="360"/>
      </w:pPr>
    </w:lvl>
    <w:lvl w:ilvl="4" w:tplc="2444BE82" w:tentative="1">
      <w:start w:val="1"/>
      <w:numFmt w:val="decimal"/>
      <w:lvlText w:val="%5)"/>
      <w:lvlJc w:val="left"/>
      <w:pPr>
        <w:tabs>
          <w:tab w:val="num" w:pos="3240"/>
        </w:tabs>
        <w:ind w:left="3240" w:hanging="360"/>
      </w:pPr>
    </w:lvl>
    <w:lvl w:ilvl="5" w:tplc="34DC3D40" w:tentative="1">
      <w:start w:val="1"/>
      <w:numFmt w:val="decimal"/>
      <w:lvlText w:val="%6)"/>
      <w:lvlJc w:val="left"/>
      <w:pPr>
        <w:tabs>
          <w:tab w:val="num" w:pos="3960"/>
        </w:tabs>
        <w:ind w:left="3960" w:hanging="360"/>
      </w:pPr>
    </w:lvl>
    <w:lvl w:ilvl="6" w:tplc="542697B0" w:tentative="1">
      <w:start w:val="1"/>
      <w:numFmt w:val="decimal"/>
      <w:lvlText w:val="%7)"/>
      <w:lvlJc w:val="left"/>
      <w:pPr>
        <w:tabs>
          <w:tab w:val="num" w:pos="4680"/>
        </w:tabs>
        <w:ind w:left="4680" w:hanging="360"/>
      </w:pPr>
    </w:lvl>
    <w:lvl w:ilvl="7" w:tplc="BA2825C8" w:tentative="1">
      <w:start w:val="1"/>
      <w:numFmt w:val="decimal"/>
      <w:lvlText w:val="%8)"/>
      <w:lvlJc w:val="left"/>
      <w:pPr>
        <w:tabs>
          <w:tab w:val="num" w:pos="5400"/>
        </w:tabs>
        <w:ind w:left="5400" w:hanging="360"/>
      </w:pPr>
    </w:lvl>
    <w:lvl w:ilvl="8" w:tplc="B37E5A18" w:tentative="1">
      <w:start w:val="1"/>
      <w:numFmt w:val="decimal"/>
      <w:lvlText w:val="%9)"/>
      <w:lvlJc w:val="left"/>
      <w:pPr>
        <w:tabs>
          <w:tab w:val="num" w:pos="6120"/>
        </w:tabs>
        <w:ind w:left="6120" w:hanging="360"/>
      </w:pPr>
    </w:lvl>
  </w:abstractNum>
  <w:abstractNum w:abstractNumId="47" w15:restartNumberingAfterBreak="0">
    <w:nsid w:val="7D1F6D32"/>
    <w:multiLevelType w:val="hybridMultilevel"/>
    <w:tmpl w:val="280C96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3"/>
  </w:num>
  <w:num w:numId="2">
    <w:abstractNumId w:val="35"/>
  </w:num>
  <w:num w:numId="3">
    <w:abstractNumId w:val="35"/>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19"/>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3"/>
  </w:num>
  <w:num w:numId="6">
    <w:abstractNumId w:val="44"/>
  </w:num>
  <w:num w:numId="7">
    <w:abstractNumId w:val="43"/>
  </w:num>
  <w:num w:numId="8">
    <w:abstractNumId w:val="41"/>
  </w:num>
  <w:num w:numId="9">
    <w:abstractNumId w:val="14"/>
  </w:num>
  <w:num w:numId="10">
    <w:abstractNumId w:val="28"/>
  </w:num>
  <w:num w:numId="11">
    <w:abstractNumId w:val="30"/>
  </w:num>
  <w:num w:numId="12">
    <w:abstractNumId w:val="8"/>
  </w:num>
  <w:num w:numId="13">
    <w:abstractNumId w:val="12"/>
  </w:num>
  <w:num w:numId="14">
    <w:abstractNumId w:val="18"/>
  </w:num>
  <w:num w:numId="15">
    <w:abstractNumId w:val="21"/>
  </w:num>
  <w:num w:numId="16">
    <w:abstractNumId w:val="0"/>
  </w:num>
  <w:num w:numId="17">
    <w:abstractNumId w:val="37"/>
  </w:num>
  <w:num w:numId="18">
    <w:abstractNumId w:val="39"/>
  </w:num>
  <w:num w:numId="19">
    <w:abstractNumId w:val="10"/>
  </w:num>
  <w:num w:numId="20">
    <w:abstractNumId w:val="29"/>
  </w:num>
  <w:num w:numId="21">
    <w:abstractNumId w:val="27"/>
  </w:num>
  <w:num w:numId="22">
    <w:abstractNumId w:val="38"/>
  </w:num>
  <w:num w:numId="23">
    <w:abstractNumId w:val="34"/>
  </w:num>
  <w:num w:numId="24">
    <w:abstractNumId w:val="40"/>
  </w:num>
  <w:num w:numId="25">
    <w:abstractNumId w:val="22"/>
  </w:num>
  <w:num w:numId="26">
    <w:abstractNumId w:val="36"/>
  </w:num>
  <w:num w:numId="27">
    <w:abstractNumId w:val="16"/>
  </w:num>
  <w:num w:numId="28">
    <w:abstractNumId w:val="23"/>
  </w:num>
  <w:num w:numId="29">
    <w:abstractNumId w:val="24"/>
  </w:num>
  <w:num w:numId="30">
    <w:abstractNumId w:val="20"/>
  </w:num>
  <w:num w:numId="31">
    <w:abstractNumId w:val="15"/>
  </w:num>
  <w:num w:numId="32">
    <w:abstractNumId w:val="1"/>
  </w:num>
  <w:num w:numId="33">
    <w:abstractNumId w:val="11"/>
  </w:num>
  <w:num w:numId="34">
    <w:abstractNumId w:val="42"/>
  </w:num>
  <w:num w:numId="35">
    <w:abstractNumId w:val="5"/>
  </w:num>
  <w:num w:numId="36">
    <w:abstractNumId w:val="25"/>
  </w:num>
  <w:num w:numId="37">
    <w:abstractNumId w:val="46"/>
  </w:num>
  <w:num w:numId="38">
    <w:abstractNumId w:val="4"/>
  </w:num>
  <w:num w:numId="39">
    <w:abstractNumId w:val="31"/>
  </w:num>
  <w:num w:numId="40">
    <w:abstractNumId w:val="13"/>
  </w:num>
  <w:num w:numId="41">
    <w:abstractNumId w:val="7"/>
  </w:num>
  <w:num w:numId="42">
    <w:abstractNumId w:val="9"/>
  </w:num>
  <w:num w:numId="43">
    <w:abstractNumId w:val="17"/>
  </w:num>
  <w:num w:numId="44">
    <w:abstractNumId w:val="45"/>
  </w:num>
  <w:num w:numId="45">
    <w:abstractNumId w:val="6"/>
  </w:num>
  <w:num w:numId="46">
    <w:abstractNumId w:val="32"/>
  </w:num>
  <w:num w:numId="47">
    <w:abstractNumId w:val="47"/>
  </w:num>
  <w:num w:numId="48">
    <w:abstractNumId w:val="42"/>
  </w:num>
  <w:num w:numId="49">
    <w:abstractNumId w:val="2"/>
  </w:num>
  <w:num w:numId="50">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131078" w:nlCheck="1" w:checkStyle="1"/>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85"/>
    <w:rsid w:val="00000443"/>
    <w:rsid w:val="00002F73"/>
    <w:rsid w:val="00003067"/>
    <w:rsid w:val="00003FDC"/>
    <w:rsid w:val="00006A6A"/>
    <w:rsid w:val="00007043"/>
    <w:rsid w:val="000073CE"/>
    <w:rsid w:val="00007FFD"/>
    <w:rsid w:val="000105D7"/>
    <w:rsid w:val="00011148"/>
    <w:rsid w:val="00011BA6"/>
    <w:rsid w:val="0001432A"/>
    <w:rsid w:val="00014337"/>
    <w:rsid w:val="000149A1"/>
    <w:rsid w:val="00015CF4"/>
    <w:rsid w:val="00016528"/>
    <w:rsid w:val="00017488"/>
    <w:rsid w:val="00017B20"/>
    <w:rsid w:val="00017E1E"/>
    <w:rsid w:val="0002068D"/>
    <w:rsid w:val="000208A5"/>
    <w:rsid w:val="000209F5"/>
    <w:rsid w:val="0002350D"/>
    <w:rsid w:val="00023566"/>
    <w:rsid w:val="0002362A"/>
    <w:rsid w:val="00023746"/>
    <w:rsid w:val="00023AC4"/>
    <w:rsid w:val="000243A7"/>
    <w:rsid w:val="000248A4"/>
    <w:rsid w:val="000252E2"/>
    <w:rsid w:val="000256EF"/>
    <w:rsid w:val="00026067"/>
    <w:rsid w:val="0002617B"/>
    <w:rsid w:val="00026E79"/>
    <w:rsid w:val="0002780C"/>
    <w:rsid w:val="000304B2"/>
    <w:rsid w:val="000310CD"/>
    <w:rsid w:val="00031428"/>
    <w:rsid w:val="00031B5C"/>
    <w:rsid w:val="00032C71"/>
    <w:rsid w:val="00032EE9"/>
    <w:rsid w:val="0003471B"/>
    <w:rsid w:val="00034D65"/>
    <w:rsid w:val="00034EEB"/>
    <w:rsid w:val="00034FEC"/>
    <w:rsid w:val="0003538C"/>
    <w:rsid w:val="000358BB"/>
    <w:rsid w:val="00036FFD"/>
    <w:rsid w:val="00037426"/>
    <w:rsid w:val="0003758D"/>
    <w:rsid w:val="000405EB"/>
    <w:rsid w:val="0004110B"/>
    <w:rsid w:val="00041AE3"/>
    <w:rsid w:val="00041E81"/>
    <w:rsid w:val="00042558"/>
    <w:rsid w:val="00042E89"/>
    <w:rsid w:val="00043049"/>
    <w:rsid w:val="0004319B"/>
    <w:rsid w:val="00043805"/>
    <w:rsid w:val="00043F2A"/>
    <w:rsid w:val="00044BF9"/>
    <w:rsid w:val="00045232"/>
    <w:rsid w:val="000457D7"/>
    <w:rsid w:val="0004595C"/>
    <w:rsid w:val="00046C17"/>
    <w:rsid w:val="000474EE"/>
    <w:rsid w:val="00047D95"/>
    <w:rsid w:val="000503A6"/>
    <w:rsid w:val="000507A5"/>
    <w:rsid w:val="000511B9"/>
    <w:rsid w:val="000516FF"/>
    <w:rsid w:val="00051B87"/>
    <w:rsid w:val="00051FB8"/>
    <w:rsid w:val="000526AF"/>
    <w:rsid w:val="00052988"/>
    <w:rsid w:val="00052DB8"/>
    <w:rsid w:val="00053875"/>
    <w:rsid w:val="00053CD9"/>
    <w:rsid w:val="00054507"/>
    <w:rsid w:val="00055D52"/>
    <w:rsid w:val="00056467"/>
    <w:rsid w:val="00056662"/>
    <w:rsid w:val="00056671"/>
    <w:rsid w:val="0005690D"/>
    <w:rsid w:val="00056E08"/>
    <w:rsid w:val="000571CD"/>
    <w:rsid w:val="0005732C"/>
    <w:rsid w:val="0005734E"/>
    <w:rsid w:val="00060F96"/>
    <w:rsid w:val="00061554"/>
    <w:rsid w:val="000615C1"/>
    <w:rsid w:val="00063034"/>
    <w:rsid w:val="00064182"/>
    <w:rsid w:val="0006500F"/>
    <w:rsid w:val="000657FE"/>
    <w:rsid w:val="00065AF1"/>
    <w:rsid w:val="00066063"/>
    <w:rsid w:val="000665F4"/>
    <w:rsid w:val="0006683C"/>
    <w:rsid w:val="00066F08"/>
    <w:rsid w:val="000676EE"/>
    <w:rsid w:val="00067FE9"/>
    <w:rsid w:val="0007054F"/>
    <w:rsid w:val="00070D0F"/>
    <w:rsid w:val="000710D0"/>
    <w:rsid w:val="000718F5"/>
    <w:rsid w:val="00073D52"/>
    <w:rsid w:val="000744D0"/>
    <w:rsid w:val="000748E7"/>
    <w:rsid w:val="00074A14"/>
    <w:rsid w:val="00074E7D"/>
    <w:rsid w:val="00075F14"/>
    <w:rsid w:val="00076825"/>
    <w:rsid w:val="000768C0"/>
    <w:rsid w:val="00076AD1"/>
    <w:rsid w:val="00076D3E"/>
    <w:rsid w:val="0007702F"/>
    <w:rsid w:val="000803CA"/>
    <w:rsid w:val="00080442"/>
    <w:rsid w:val="0008069B"/>
    <w:rsid w:val="000807B1"/>
    <w:rsid w:val="0008081E"/>
    <w:rsid w:val="000809DF"/>
    <w:rsid w:val="00081012"/>
    <w:rsid w:val="0008214A"/>
    <w:rsid w:val="000828EB"/>
    <w:rsid w:val="00082EF9"/>
    <w:rsid w:val="00083996"/>
    <w:rsid w:val="00083FD4"/>
    <w:rsid w:val="00085501"/>
    <w:rsid w:val="00085509"/>
    <w:rsid w:val="00090461"/>
    <w:rsid w:val="00091413"/>
    <w:rsid w:val="00091514"/>
    <w:rsid w:val="000919BB"/>
    <w:rsid w:val="00091BCD"/>
    <w:rsid w:val="000923C1"/>
    <w:rsid w:val="0009265A"/>
    <w:rsid w:val="00092B71"/>
    <w:rsid w:val="000935FE"/>
    <w:rsid w:val="0009459F"/>
    <w:rsid w:val="00094BB5"/>
    <w:rsid w:val="00095596"/>
    <w:rsid w:val="00095618"/>
    <w:rsid w:val="00095BF3"/>
    <w:rsid w:val="00095F74"/>
    <w:rsid w:val="00096605"/>
    <w:rsid w:val="00097206"/>
    <w:rsid w:val="00097525"/>
    <w:rsid w:val="000976B7"/>
    <w:rsid w:val="00097775"/>
    <w:rsid w:val="00097EF4"/>
    <w:rsid w:val="000A01A6"/>
    <w:rsid w:val="000A08CA"/>
    <w:rsid w:val="000A090B"/>
    <w:rsid w:val="000A0E0B"/>
    <w:rsid w:val="000A0E4C"/>
    <w:rsid w:val="000A1249"/>
    <w:rsid w:val="000A1E7A"/>
    <w:rsid w:val="000A224A"/>
    <w:rsid w:val="000A2A85"/>
    <w:rsid w:val="000A2AA6"/>
    <w:rsid w:val="000A59A5"/>
    <w:rsid w:val="000A5E7B"/>
    <w:rsid w:val="000B0554"/>
    <w:rsid w:val="000B1BCF"/>
    <w:rsid w:val="000B1D1F"/>
    <w:rsid w:val="000B24DF"/>
    <w:rsid w:val="000B24F5"/>
    <w:rsid w:val="000B2667"/>
    <w:rsid w:val="000B388C"/>
    <w:rsid w:val="000B3CBA"/>
    <w:rsid w:val="000B3E42"/>
    <w:rsid w:val="000B4026"/>
    <w:rsid w:val="000B4275"/>
    <w:rsid w:val="000B427D"/>
    <w:rsid w:val="000B4DB3"/>
    <w:rsid w:val="000B5738"/>
    <w:rsid w:val="000B7228"/>
    <w:rsid w:val="000C024A"/>
    <w:rsid w:val="000C04B7"/>
    <w:rsid w:val="000C0ADB"/>
    <w:rsid w:val="000C0E5A"/>
    <w:rsid w:val="000C18FE"/>
    <w:rsid w:val="000C214D"/>
    <w:rsid w:val="000C2762"/>
    <w:rsid w:val="000C28AB"/>
    <w:rsid w:val="000C2AD0"/>
    <w:rsid w:val="000C2FBC"/>
    <w:rsid w:val="000C30B6"/>
    <w:rsid w:val="000C44F2"/>
    <w:rsid w:val="000C4802"/>
    <w:rsid w:val="000C6D93"/>
    <w:rsid w:val="000C74A9"/>
    <w:rsid w:val="000C7978"/>
    <w:rsid w:val="000D09E0"/>
    <w:rsid w:val="000D0C1E"/>
    <w:rsid w:val="000D10E1"/>
    <w:rsid w:val="000D1E49"/>
    <w:rsid w:val="000D2259"/>
    <w:rsid w:val="000D23FC"/>
    <w:rsid w:val="000D3162"/>
    <w:rsid w:val="000D359C"/>
    <w:rsid w:val="000D3620"/>
    <w:rsid w:val="000D5B43"/>
    <w:rsid w:val="000D6708"/>
    <w:rsid w:val="000D7606"/>
    <w:rsid w:val="000E05A0"/>
    <w:rsid w:val="000E08EC"/>
    <w:rsid w:val="000E0D05"/>
    <w:rsid w:val="000E0E4F"/>
    <w:rsid w:val="000E1233"/>
    <w:rsid w:val="000E1CA6"/>
    <w:rsid w:val="000E2A0B"/>
    <w:rsid w:val="000E356A"/>
    <w:rsid w:val="000E3A01"/>
    <w:rsid w:val="000E3B62"/>
    <w:rsid w:val="000E3C8E"/>
    <w:rsid w:val="000E413C"/>
    <w:rsid w:val="000E4A97"/>
    <w:rsid w:val="000E6871"/>
    <w:rsid w:val="000E699D"/>
    <w:rsid w:val="000E7EEA"/>
    <w:rsid w:val="000F1233"/>
    <w:rsid w:val="000F23B0"/>
    <w:rsid w:val="000F5628"/>
    <w:rsid w:val="000F646E"/>
    <w:rsid w:val="000F6AED"/>
    <w:rsid w:val="000F6EA2"/>
    <w:rsid w:val="000F732E"/>
    <w:rsid w:val="000F775A"/>
    <w:rsid w:val="000F7CD3"/>
    <w:rsid w:val="001007B9"/>
    <w:rsid w:val="001009F2"/>
    <w:rsid w:val="001024D6"/>
    <w:rsid w:val="00102C06"/>
    <w:rsid w:val="00102D86"/>
    <w:rsid w:val="00104490"/>
    <w:rsid w:val="00104AA3"/>
    <w:rsid w:val="00105ECB"/>
    <w:rsid w:val="00106A21"/>
    <w:rsid w:val="00106B5E"/>
    <w:rsid w:val="00107328"/>
    <w:rsid w:val="00111115"/>
    <w:rsid w:val="001117C2"/>
    <w:rsid w:val="0011200A"/>
    <w:rsid w:val="001121FB"/>
    <w:rsid w:val="0011291C"/>
    <w:rsid w:val="00114AB8"/>
    <w:rsid w:val="00114FEF"/>
    <w:rsid w:val="001159B8"/>
    <w:rsid w:val="00115C32"/>
    <w:rsid w:val="00115C5E"/>
    <w:rsid w:val="00117E20"/>
    <w:rsid w:val="00120019"/>
    <w:rsid w:val="00120166"/>
    <w:rsid w:val="001206FA"/>
    <w:rsid w:val="00120819"/>
    <w:rsid w:val="00121132"/>
    <w:rsid w:val="00121A00"/>
    <w:rsid w:val="00122757"/>
    <w:rsid w:val="0012298E"/>
    <w:rsid w:val="00122A7C"/>
    <w:rsid w:val="0012306D"/>
    <w:rsid w:val="001236A6"/>
    <w:rsid w:val="001239FB"/>
    <w:rsid w:val="001254F8"/>
    <w:rsid w:val="00126A7A"/>
    <w:rsid w:val="001270D6"/>
    <w:rsid w:val="00127BB4"/>
    <w:rsid w:val="00127E38"/>
    <w:rsid w:val="001307A2"/>
    <w:rsid w:val="00131121"/>
    <w:rsid w:val="00131315"/>
    <w:rsid w:val="001316D5"/>
    <w:rsid w:val="001317EB"/>
    <w:rsid w:val="00131CB5"/>
    <w:rsid w:val="00132268"/>
    <w:rsid w:val="00133560"/>
    <w:rsid w:val="00133803"/>
    <w:rsid w:val="001346EB"/>
    <w:rsid w:val="00135501"/>
    <w:rsid w:val="0013551D"/>
    <w:rsid w:val="0013590E"/>
    <w:rsid w:val="0013679B"/>
    <w:rsid w:val="00136D79"/>
    <w:rsid w:val="001372B9"/>
    <w:rsid w:val="0013783F"/>
    <w:rsid w:val="00140F25"/>
    <w:rsid w:val="00141573"/>
    <w:rsid w:val="00141CCD"/>
    <w:rsid w:val="001422B4"/>
    <w:rsid w:val="0014290F"/>
    <w:rsid w:val="00145B14"/>
    <w:rsid w:val="00146F8E"/>
    <w:rsid w:val="001472A1"/>
    <w:rsid w:val="00150660"/>
    <w:rsid w:val="001507E4"/>
    <w:rsid w:val="00150BE8"/>
    <w:rsid w:val="00151418"/>
    <w:rsid w:val="001518A9"/>
    <w:rsid w:val="00151F5D"/>
    <w:rsid w:val="00152143"/>
    <w:rsid w:val="001522E9"/>
    <w:rsid w:val="00152300"/>
    <w:rsid w:val="00154353"/>
    <w:rsid w:val="001543D1"/>
    <w:rsid w:val="0015483D"/>
    <w:rsid w:val="001548C4"/>
    <w:rsid w:val="0015537B"/>
    <w:rsid w:val="00155FA4"/>
    <w:rsid w:val="0015644F"/>
    <w:rsid w:val="00156F91"/>
    <w:rsid w:val="001575A0"/>
    <w:rsid w:val="00157AAE"/>
    <w:rsid w:val="0016071F"/>
    <w:rsid w:val="00160AF9"/>
    <w:rsid w:val="00160ECB"/>
    <w:rsid w:val="001615AB"/>
    <w:rsid w:val="0016162F"/>
    <w:rsid w:val="00161A4E"/>
    <w:rsid w:val="001621ED"/>
    <w:rsid w:val="00162250"/>
    <w:rsid w:val="00162FBC"/>
    <w:rsid w:val="00163D93"/>
    <w:rsid w:val="0016491C"/>
    <w:rsid w:val="0016563D"/>
    <w:rsid w:val="00165C3E"/>
    <w:rsid w:val="00167031"/>
    <w:rsid w:val="0017069B"/>
    <w:rsid w:val="00170B03"/>
    <w:rsid w:val="00170E49"/>
    <w:rsid w:val="001727AF"/>
    <w:rsid w:val="00172E82"/>
    <w:rsid w:val="0017395B"/>
    <w:rsid w:val="0017405B"/>
    <w:rsid w:val="00174E8C"/>
    <w:rsid w:val="0017626A"/>
    <w:rsid w:val="001769E6"/>
    <w:rsid w:val="00176E42"/>
    <w:rsid w:val="00176EA5"/>
    <w:rsid w:val="00176F37"/>
    <w:rsid w:val="0017733B"/>
    <w:rsid w:val="00177611"/>
    <w:rsid w:val="0017798C"/>
    <w:rsid w:val="00177BE9"/>
    <w:rsid w:val="0018019C"/>
    <w:rsid w:val="001809C6"/>
    <w:rsid w:val="00180B71"/>
    <w:rsid w:val="001812CA"/>
    <w:rsid w:val="00181370"/>
    <w:rsid w:val="00182099"/>
    <w:rsid w:val="001820AD"/>
    <w:rsid w:val="00183986"/>
    <w:rsid w:val="00183A17"/>
    <w:rsid w:val="00184410"/>
    <w:rsid w:val="0018486D"/>
    <w:rsid w:val="00184ECA"/>
    <w:rsid w:val="001850CB"/>
    <w:rsid w:val="0018561F"/>
    <w:rsid w:val="001858AB"/>
    <w:rsid w:val="00185AD3"/>
    <w:rsid w:val="001863F7"/>
    <w:rsid w:val="00186EF1"/>
    <w:rsid w:val="00186FA2"/>
    <w:rsid w:val="00187D6E"/>
    <w:rsid w:val="00187E32"/>
    <w:rsid w:val="00190624"/>
    <w:rsid w:val="00190EEC"/>
    <w:rsid w:val="001915D0"/>
    <w:rsid w:val="00191727"/>
    <w:rsid w:val="0019355C"/>
    <w:rsid w:val="00193986"/>
    <w:rsid w:val="00193C79"/>
    <w:rsid w:val="00194E09"/>
    <w:rsid w:val="00195BA8"/>
    <w:rsid w:val="00196710"/>
    <w:rsid w:val="001968A6"/>
    <w:rsid w:val="001A02D4"/>
    <w:rsid w:val="001A048E"/>
    <w:rsid w:val="001A05EC"/>
    <w:rsid w:val="001A1105"/>
    <w:rsid w:val="001A1599"/>
    <w:rsid w:val="001A1815"/>
    <w:rsid w:val="001A1DCE"/>
    <w:rsid w:val="001A1E41"/>
    <w:rsid w:val="001A20E5"/>
    <w:rsid w:val="001A2F86"/>
    <w:rsid w:val="001A47FF"/>
    <w:rsid w:val="001A480C"/>
    <w:rsid w:val="001A58AD"/>
    <w:rsid w:val="001A5937"/>
    <w:rsid w:val="001A5ABF"/>
    <w:rsid w:val="001A66AD"/>
    <w:rsid w:val="001A6D48"/>
    <w:rsid w:val="001A75EE"/>
    <w:rsid w:val="001A7DBD"/>
    <w:rsid w:val="001B0144"/>
    <w:rsid w:val="001B0431"/>
    <w:rsid w:val="001B0747"/>
    <w:rsid w:val="001B10ED"/>
    <w:rsid w:val="001B11A5"/>
    <w:rsid w:val="001B1299"/>
    <w:rsid w:val="001B288F"/>
    <w:rsid w:val="001B3282"/>
    <w:rsid w:val="001B4AC8"/>
    <w:rsid w:val="001B5156"/>
    <w:rsid w:val="001B66EF"/>
    <w:rsid w:val="001B68E4"/>
    <w:rsid w:val="001B6A77"/>
    <w:rsid w:val="001B7C11"/>
    <w:rsid w:val="001C1660"/>
    <w:rsid w:val="001C1E64"/>
    <w:rsid w:val="001C34F3"/>
    <w:rsid w:val="001C39E6"/>
    <w:rsid w:val="001C3F5B"/>
    <w:rsid w:val="001C48B5"/>
    <w:rsid w:val="001C4966"/>
    <w:rsid w:val="001C5D6C"/>
    <w:rsid w:val="001C626E"/>
    <w:rsid w:val="001C670B"/>
    <w:rsid w:val="001C6B00"/>
    <w:rsid w:val="001C6D9F"/>
    <w:rsid w:val="001C7089"/>
    <w:rsid w:val="001C797C"/>
    <w:rsid w:val="001C7EC7"/>
    <w:rsid w:val="001D0C32"/>
    <w:rsid w:val="001D11CD"/>
    <w:rsid w:val="001D17E2"/>
    <w:rsid w:val="001D1BAE"/>
    <w:rsid w:val="001D1BDC"/>
    <w:rsid w:val="001D23D4"/>
    <w:rsid w:val="001D283B"/>
    <w:rsid w:val="001D2891"/>
    <w:rsid w:val="001D3CF6"/>
    <w:rsid w:val="001D3FAD"/>
    <w:rsid w:val="001D4774"/>
    <w:rsid w:val="001D4885"/>
    <w:rsid w:val="001D49C1"/>
    <w:rsid w:val="001D4D54"/>
    <w:rsid w:val="001D5876"/>
    <w:rsid w:val="001D6237"/>
    <w:rsid w:val="001E1D46"/>
    <w:rsid w:val="001E2958"/>
    <w:rsid w:val="001E2C8E"/>
    <w:rsid w:val="001E3C7A"/>
    <w:rsid w:val="001E5F0C"/>
    <w:rsid w:val="001E6327"/>
    <w:rsid w:val="001E63AE"/>
    <w:rsid w:val="001E6755"/>
    <w:rsid w:val="001E6D58"/>
    <w:rsid w:val="001E7405"/>
    <w:rsid w:val="001F2917"/>
    <w:rsid w:val="001F330B"/>
    <w:rsid w:val="001F3722"/>
    <w:rsid w:val="001F53B5"/>
    <w:rsid w:val="001F5C87"/>
    <w:rsid w:val="001F65E1"/>
    <w:rsid w:val="001F6648"/>
    <w:rsid w:val="001F738E"/>
    <w:rsid w:val="00200160"/>
    <w:rsid w:val="0020076A"/>
    <w:rsid w:val="00200BBE"/>
    <w:rsid w:val="00200C74"/>
    <w:rsid w:val="00200F15"/>
    <w:rsid w:val="00201B16"/>
    <w:rsid w:val="002024FA"/>
    <w:rsid w:val="00203223"/>
    <w:rsid w:val="002036A5"/>
    <w:rsid w:val="00203785"/>
    <w:rsid w:val="00203B54"/>
    <w:rsid w:val="00204547"/>
    <w:rsid w:val="00204AC9"/>
    <w:rsid w:val="00204F16"/>
    <w:rsid w:val="00205443"/>
    <w:rsid w:val="00205B21"/>
    <w:rsid w:val="0020677B"/>
    <w:rsid w:val="0020679E"/>
    <w:rsid w:val="00206F7A"/>
    <w:rsid w:val="0020741D"/>
    <w:rsid w:val="00207AB2"/>
    <w:rsid w:val="002108FE"/>
    <w:rsid w:val="00210B97"/>
    <w:rsid w:val="00210F62"/>
    <w:rsid w:val="0021159C"/>
    <w:rsid w:val="00211855"/>
    <w:rsid w:val="0021247A"/>
    <w:rsid w:val="0021295F"/>
    <w:rsid w:val="002135F6"/>
    <w:rsid w:val="0021361D"/>
    <w:rsid w:val="00213BF6"/>
    <w:rsid w:val="00214625"/>
    <w:rsid w:val="00214756"/>
    <w:rsid w:val="00214D38"/>
    <w:rsid w:val="00214DDC"/>
    <w:rsid w:val="002150CC"/>
    <w:rsid w:val="0021562F"/>
    <w:rsid w:val="00215A8A"/>
    <w:rsid w:val="00215DD9"/>
    <w:rsid w:val="002165D5"/>
    <w:rsid w:val="0022390F"/>
    <w:rsid w:val="00224AD9"/>
    <w:rsid w:val="00225CB9"/>
    <w:rsid w:val="00226130"/>
    <w:rsid w:val="00226326"/>
    <w:rsid w:val="0022633F"/>
    <w:rsid w:val="00226BA9"/>
    <w:rsid w:val="00226C85"/>
    <w:rsid w:val="00227321"/>
    <w:rsid w:val="00227332"/>
    <w:rsid w:val="00230934"/>
    <w:rsid w:val="00230EE9"/>
    <w:rsid w:val="00231B22"/>
    <w:rsid w:val="00231BF4"/>
    <w:rsid w:val="0023257E"/>
    <w:rsid w:val="0023294E"/>
    <w:rsid w:val="002337AE"/>
    <w:rsid w:val="00234EA9"/>
    <w:rsid w:val="0023538D"/>
    <w:rsid w:val="00235659"/>
    <w:rsid w:val="00235832"/>
    <w:rsid w:val="0024191E"/>
    <w:rsid w:val="002419E4"/>
    <w:rsid w:val="0024227F"/>
    <w:rsid w:val="00242386"/>
    <w:rsid w:val="0024269C"/>
    <w:rsid w:val="00242CB5"/>
    <w:rsid w:val="00243684"/>
    <w:rsid w:val="0024397C"/>
    <w:rsid w:val="00244A50"/>
    <w:rsid w:val="00245781"/>
    <w:rsid w:val="00245F35"/>
    <w:rsid w:val="00246B6E"/>
    <w:rsid w:val="002501D6"/>
    <w:rsid w:val="002515E3"/>
    <w:rsid w:val="0025196C"/>
    <w:rsid w:val="00251F83"/>
    <w:rsid w:val="00252015"/>
    <w:rsid w:val="00252834"/>
    <w:rsid w:val="00252CF7"/>
    <w:rsid w:val="00252E84"/>
    <w:rsid w:val="00252F38"/>
    <w:rsid w:val="002535B2"/>
    <w:rsid w:val="002535D2"/>
    <w:rsid w:val="00255FF1"/>
    <w:rsid w:val="00256BC0"/>
    <w:rsid w:val="00261511"/>
    <w:rsid w:val="0026392D"/>
    <w:rsid w:val="002641C3"/>
    <w:rsid w:val="00264423"/>
    <w:rsid w:val="00264499"/>
    <w:rsid w:val="00264752"/>
    <w:rsid w:val="002647C7"/>
    <w:rsid w:val="00264979"/>
    <w:rsid w:val="00264CE7"/>
    <w:rsid w:val="0026515D"/>
    <w:rsid w:val="002651AB"/>
    <w:rsid w:val="0026568E"/>
    <w:rsid w:val="00265ABF"/>
    <w:rsid w:val="002665EE"/>
    <w:rsid w:val="0026726D"/>
    <w:rsid w:val="00267A5A"/>
    <w:rsid w:val="00267FD9"/>
    <w:rsid w:val="0027028E"/>
    <w:rsid w:val="002705D9"/>
    <w:rsid w:val="002716A9"/>
    <w:rsid w:val="00272F54"/>
    <w:rsid w:val="00273CC0"/>
    <w:rsid w:val="00274505"/>
    <w:rsid w:val="00274905"/>
    <w:rsid w:val="00275012"/>
    <w:rsid w:val="00275A4D"/>
    <w:rsid w:val="0027621D"/>
    <w:rsid w:val="00276222"/>
    <w:rsid w:val="002762F1"/>
    <w:rsid w:val="00276AEF"/>
    <w:rsid w:val="00277670"/>
    <w:rsid w:val="0027769C"/>
    <w:rsid w:val="00277DBD"/>
    <w:rsid w:val="00277DFA"/>
    <w:rsid w:val="00280560"/>
    <w:rsid w:val="0028172B"/>
    <w:rsid w:val="00281DE6"/>
    <w:rsid w:val="0028218B"/>
    <w:rsid w:val="002828B0"/>
    <w:rsid w:val="0028439C"/>
    <w:rsid w:val="00284710"/>
    <w:rsid w:val="00284AAB"/>
    <w:rsid w:val="00284D1A"/>
    <w:rsid w:val="00284E8C"/>
    <w:rsid w:val="002853F2"/>
    <w:rsid w:val="00285D41"/>
    <w:rsid w:val="0028638E"/>
    <w:rsid w:val="002876D1"/>
    <w:rsid w:val="0029085F"/>
    <w:rsid w:val="00290876"/>
    <w:rsid w:val="00290C6B"/>
    <w:rsid w:val="002910C0"/>
    <w:rsid w:val="00291999"/>
    <w:rsid w:val="002923A7"/>
    <w:rsid w:val="002934B0"/>
    <w:rsid w:val="00293844"/>
    <w:rsid w:val="00293CB5"/>
    <w:rsid w:val="0029407A"/>
    <w:rsid w:val="00294D1D"/>
    <w:rsid w:val="00294D35"/>
    <w:rsid w:val="00294D68"/>
    <w:rsid w:val="00295441"/>
    <w:rsid w:val="002955DD"/>
    <w:rsid w:val="0029566A"/>
    <w:rsid w:val="00295848"/>
    <w:rsid w:val="00295EB5"/>
    <w:rsid w:val="002967E7"/>
    <w:rsid w:val="00296A92"/>
    <w:rsid w:val="00296DC7"/>
    <w:rsid w:val="00296F81"/>
    <w:rsid w:val="00296FCC"/>
    <w:rsid w:val="0029729D"/>
    <w:rsid w:val="00297F8F"/>
    <w:rsid w:val="002A0160"/>
    <w:rsid w:val="002A0248"/>
    <w:rsid w:val="002A0289"/>
    <w:rsid w:val="002A0E97"/>
    <w:rsid w:val="002A1A1F"/>
    <w:rsid w:val="002A1C97"/>
    <w:rsid w:val="002A31E3"/>
    <w:rsid w:val="002A330B"/>
    <w:rsid w:val="002A371E"/>
    <w:rsid w:val="002A4E5E"/>
    <w:rsid w:val="002A50C7"/>
    <w:rsid w:val="002A5B3E"/>
    <w:rsid w:val="002A6B41"/>
    <w:rsid w:val="002A71F5"/>
    <w:rsid w:val="002B01DC"/>
    <w:rsid w:val="002B06EC"/>
    <w:rsid w:val="002B0966"/>
    <w:rsid w:val="002B0A99"/>
    <w:rsid w:val="002B1662"/>
    <w:rsid w:val="002B4B0A"/>
    <w:rsid w:val="002B5186"/>
    <w:rsid w:val="002B5E2C"/>
    <w:rsid w:val="002B65E7"/>
    <w:rsid w:val="002B7C0E"/>
    <w:rsid w:val="002B7C3B"/>
    <w:rsid w:val="002C009E"/>
    <w:rsid w:val="002C3DE6"/>
    <w:rsid w:val="002C3ECC"/>
    <w:rsid w:val="002C4718"/>
    <w:rsid w:val="002C5544"/>
    <w:rsid w:val="002C5C91"/>
    <w:rsid w:val="002C5F5B"/>
    <w:rsid w:val="002C777D"/>
    <w:rsid w:val="002D0538"/>
    <w:rsid w:val="002D077E"/>
    <w:rsid w:val="002D0872"/>
    <w:rsid w:val="002D0C4F"/>
    <w:rsid w:val="002D11C2"/>
    <w:rsid w:val="002D2792"/>
    <w:rsid w:val="002D3134"/>
    <w:rsid w:val="002D31A9"/>
    <w:rsid w:val="002D3953"/>
    <w:rsid w:val="002D3D95"/>
    <w:rsid w:val="002D409A"/>
    <w:rsid w:val="002D40B1"/>
    <w:rsid w:val="002D45CD"/>
    <w:rsid w:val="002D58E6"/>
    <w:rsid w:val="002D7086"/>
    <w:rsid w:val="002D75F9"/>
    <w:rsid w:val="002D7D50"/>
    <w:rsid w:val="002E07AC"/>
    <w:rsid w:val="002E0AC0"/>
    <w:rsid w:val="002E0DA9"/>
    <w:rsid w:val="002E1344"/>
    <w:rsid w:val="002E2064"/>
    <w:rsid w:val="002E29F3"/>
    <w:rsid w:val="002E2DD9"/>
    <w:rsid w:val="002E3069"/>
    <w:rsid w:val="002E43D9"/>
    <w:rsid w:val="002E4547"/>
    <w:rsid w:val="002E4795"/>
    <w:rsid w:val="002E570E"/>
    <w:rsid w:val="002E5F9E"/>
    <w:rsid w:val="002E6AA1"/>
    <w:rsid w:val="002E7A20"/>
    <w:rsid w:val="002E7F10"/>
    <w:rsid w:val="002F03B5"/>
    <w:rsid w:val="002F0779"/>
    <w:rsid w:val="002F0AE5"/>
    <w:rsid w:val="002F0E78"/>
    <w:rsid w:val="002F1037"/>
    <w:rsid w:val="002F111A"/>
    <w:rsid w:val="002F2943"/>
    <w:rsid w:val="002F2F9E"/>
    <w:rsid w:val="002F3DC5"/>
    <w:rsid w:val="002F492D"/>
    <w:rsid w:val="002F556E"/>
    <w:rsid w:val="002F57C6"/>
    <w:rsid w:val="002F5811"/>
    <w:rsid w:val="002F695F"/>
    <w:rsid w:val="002F6A69"/>
    <w:rsid w:val="002F7424"/>
    <w:rsid w:val="002F74CA"/>
    <w:rsid w:val="003053D4"/>
    <w:rsid w:val="0030599C"/>
    <w:rsid w:val="00305F41"/>
    <w:rsid w:val="003065A9"/>
    <w:rsid w:val="003065B3"/>
    <w:rsid w:val="0030678C"/>
    <w:rsid w:val="00306BC4"/>
    <w:rsid w:val="00306EC1"/>
    <w:rsid w:val="00307A69"/>
    <w:rsid w:val="00307DFB"/>
    <w:rsid w:val="00310411"/>
    <w:rsid w:val="00310508"/>
    <w:rsid w:val="00310C57"/>
    <w:rsid w:val="00311022"/>
    <w:rsid w:val="003122D7"/>
    <w:rsid w:val="00312399"/>
    <w:rsid w:val="00312E4A"/>
    <w:rsid w:val="00313BA6"/>
    <w:rsid w:val="0031546F"/>
    <w:rsid w:val="00315F18"/>
    <w:rsid w:val="00316106"/>
    <w:rsid w:val="003162B7"/>
    <w:rsid w:val="00316688"/>
    <w:rsid w:val="00316B0D"/>
    <w:rsid w:val="003202E6"/>
    <w:rsid w:val="00320BF2"/>
    <w:rsid w:val="003213DE"/>
    <w:rsid w:val="00321577"/>
    <w:rsid w:val="00322777"/>
    <w:rsid w:val="003228C6"/>
    <w:rsid w:val="0032303D"/>
    <w:rsid w:val="00323F81"/>
    <w:rsid w:val="00324775"/>
    <w:rsid w:val="00324F74"/>
    <w:rsid w:val="003258C2"/>
    <w:rsid w:val="0032618B"/>
    <w:rsid w:val="00326226"/>
    <w:rsid w:val="003264F8"/>
    <w:rsid w:val="00326A1D"/>
    <w:rsid w:val="00327A1E"/>
    <w:rsid w:val="003300DB"/>
    <w:rsid w:val="003307D4"/>
    <w:rsid w:val="0033088D"/>
    <w:rsid w:val="003319BB"/>
    <w:rsid w:val="003321A0"/>
    <w:rsid w:val="00333780"/>
    <w:rsid w:val="00334DB3"/>
    <w:rsid w:val="00335425"/>
    <w:rsid w:val="00335B40"/>
    <w:rsid w:val="00335B4E"/>
    <w:rsid w:val="00335E74"/>
    <w:rsid w:val="00335F8B"/>
    <w:rsid w:val="0033607E"/>
    <w:rsid w:val="00336199"/>
    <w:rsid w:val="003365B1"/>
    <w:rsid w:val="00340229"/>
    <w:rsid w:val="00340A87"/>
    <w:rsid w:val="00340E56"/>
    <w:rsid w:val="00341AC4"/>
    <w:rsid w:val="003420D0"/>
    <w:rsid w:val="00342429"/>
    <w:rsid w:val="00343D35"/>
    <w:rsid w:val="003445E9"/>
    <w:rsid w:val="00344844"/>
    <w:rsid w:val="003465D1"/>
    <w:rsid w:val="003474BB"/>
    <w:rsid w:val="00347A58"/>
    <w:rsid w:val="00347B02"/>
    <w:rsid w:val="003500C6"/>
    <w:rsid w:val="00350F5C"/>
    <w:rsid w:val="00352645"/>
    <w:rsid w:val="00353BB6"/>
    <w:rsid w:val="00354249"/>
    <w:rsid w:val="00354D3F"/>
    <w:rsid w:val="003553D0"/>
    <w:rsid w:val="003554FA"/>
    <w:rsid w:val="003560A1"/>
    <w:rsid w:val="003561A8"/>
    <w:rsid w:val="003579AE"/>
    <w:rsid w:val="003607D4"/>
    <w:rsid w:val="00360AF4"/>
    <w:rsid w:val="00360DAD"/>
    <w:rsid w:val="00361157"/>
    <w:rsid w:val="00361634"/>
    <w:rsid w:val="00361FF3"/>
    <w:rsid w:val="00362A3B"/>
    <w:rsid w:val="00362B97"/>
    <w:rsid w:val="00362D40"/>
    <w:rsid w:val="00362E6B"/>
    <w:rsid w:val="00363AE5"/>
    <w:rsid w:val="003642BA"/>
    <w:rsid w:val="00364CAA"/>
    <w:rsid w:val="003658B4"/>
    <w:rsid w:val="00367260"/>
    <w:rsid w:val="00371186"/>
    <w:rsid w:val="003712B6"/>
    <w:rsid w:val="003715D5"/>
    <w:rsid w:val="0037199B"/>
    <w:rsid w:val="00371B21"/>
    <w:rsid w:val="00372534"/>
    <w:rsid w:val="0037262E"/>
    <w:rsid w:val="00372D16"/>
    <w:rsid w:val="00373D4B"/>
    <w:rsid w:val="00375581"/>
    <w:rsid w:val="003756A3"/>
    <w:rsid w:val="00375CA9"/>
    <w:rsid w:val="00376433"/>
    <w:rsid w:val="003773F5"/>
    <w:rsid w:val="00377E35"/>
    <w:rsid w:val="003806D6"/>
    <w:rsid w:val="00380D45"/>
    <w:rsid w:val="0038157F"/>
    <w:rsid w:val="00382514"/>
    <w:rsid w:val="00382FBA"/>
    <w:rsid w:val="003848EF"/>
    <w:rsid w:val="00385040"/>
    <w:rsid w:val="00385497"/>
    <w:rsid w:val="003859F9"/>
    <w:rsid w:val="00385B65"/>
    <w:rsid w:val="00386A86"/>
    <w:rsid w:val="003907FE"/>
    <w:rsid w:val="00390C7F"/>
    <w:rsid w:val="00390E0E"/>
    <w:rsid w:val="00391929"/>
    <w:rsid w:val="0039368B"/>
    <w:rsid w:val="0039380B"/>
    <w:rsid w:val="00393FBE"/>
    <w:rsid w:val="0039414B"/>
    <w:rsid w:val="0039527B"/>
    <w:rsid w:val="003955C9"/>
    <w:rsid w:val="003969CD"/>
    <w:rsid w:val="00396BB4"/>
    <w:rsid w:val="003A008B"/>
    <w:rsid w:val="003A0E13"/>
    <w:rsid w:val="003A0EA8"/>
    <w:rsid w:val="003A17E8"/>
    <w:rsid w:val="003A3007"/>
    <w:rsid w:val="003A3C0E"/>
    <w:rsid w:val="003A3E57"/>
    <w:rsid w:val="003A4225"/>
    <w:rsid w:val="003A47F7"/>
    <w:rsid w:val="003A49C8"/>
    <w:rsid w:val="003A59D9"/>
    <w:rsid w:val="003A7E73"/>
    <w:rsid w:val="003B0533"/>
    <w:rsid w:val="003B1F95"/>
    <w:rsid w:val="003B2F78"/>
    <w:rsid w:val="003B3737"/>
    <w:rsid w:val="003B38A1"/>
    <w:rsid w:val="003B412F"/>
    <w:rsid w:val="003B4D05"/>
    <w:rsid w:val="003B576B"/>
    <w:rsid w:val="003B60E4"/>
    <w:rsid w:val="003B6191"/>
    <w:rsid w:val="003B6EC3"/>
    <w:rsid w:val="003B7EA9"/>
    <w:rsid w:val="003C0125"/>
    <w:rsid w:val="003C08BB"/>
    <w:rsid w:val="003C30AC"/>
    <w:rsid w:val="003C3A53"/>
    <w:rsid w:val="003C46B4"/>
    <w:rsid w:val="003C4EA7"/>
    <w:rsid w:val="003C55CC"/>
    <w:rsid w:val="003C61C9"/>
    <w:rsid w:val="003C6961"/>
    <w:rsid w:val="003D0CC6"/>
    <w:rsid w:val="003D1981"/>
    <w:rsid w:val="003D204A"/>
    <w:rsid w:val="003D21A3"/>
    <w:rsid w:val="003D350C"/>
    <w:rsid w:val="003D47FE"/>
    <w:rsid w:val="003D61B5"/>
    <w:rsid w:val="003D63D7"/>
    <w:rsid w:val="003D6464"/>
    <w:rsid w:val="003D6DA4"/>
    <w:rsid w:val="003D79A5"/>
    <w:rsid w:val="003D7AA6"/>
    <w:rsid w:val="003D7CCF"/>
    <w:rsid w:val="003E0228"/>
    <w:rsid w:val="003E04B7"/>
    <w:rsid w:val="003E0C92"/>
    <w:rsid w:val="003E0F94"/>
    <w:rsid w:val="003E19BB"/>
    <w:rsid w:val="003E1B19"/>
    <w:rsid w:val="003E3A4F"/>
    <w:rsid w:val="003E51A1"/>
    <w:rsid w:val="003E68DE"/>
    <w:rsid w:val="003E6B8B"/>
    <w:rsid w:val="003E7DD3"/>
    <w:rsid w:val="003F017E"/>
    <w:rsid w:val="003F02A1"/>
    <w:rsid w:val="003F0664"/>
    <w:rsid w:val="003F08AF"/>
    <w:rsid w:val="003F0949"/>
    <w:rsid w:val="003F0E55"/>
    <w:rsid w:val="003F17BC"/>
    <w:rsid w:val="003F19C6"/>
    <w:rsid w:val="003F1A0E"/>
    <w:rsid w:val="003F1A1E"/>
    <w:rsid w:val="003F1C50"/>
    <w:rsid w:val="003F2784"/>
    <w:rsid w:val="003F2BA3"/>
    <w:rsid w:val="003F33A6"/>
    <w:rsid w:val="003F3BE6"/>
    <w:rsid w:val="003F4855"/>
    <w:rsid w:val="003F50C0"/>
    <w:rsid w:val="003F52F3"/>
    <w:rsid w:val="003F5B9A"/>
    <w:rsid w:val="003F709D"/>
    <w:rsid w:val="003F75CB"/>
    <w:rsid w:val="003F75E0"/>
    <w:rsid w:val="003F7C7E"/>
    <w:rsid w:val="003F7E70"/>
    <w:rsid w:val="00400F66"/>
    <w:rsid w:val="00401429"/>
    <w:rsid w:val="004023DF"/>
    <w:rsid w:val="00402435"/>
    <w:rsid w:val="00402883"/>
    <w:rsid w:val="00403BC8"/>
    <w:rsid w:val="00404853"/>
    <w:rsid w:val="00404965"/>
    <w:rsid w:val="004049C4"/>
    <w:rsid w:val="00404CBE"/>
    <w:rsid w:val="00406A72"/>
    <w:rsid w:val="00407392"/>
    <w:rsid w:val="00407C4F"/>
    <w:rsid w:val="0041000A"/>
    <w:rsid w:val="00411AE5"/>
    <w:rsid w:val="00412FCC"/>
    <w:rsid w:val="0041326F"/>
    <w:rsid w:val="004135E0"/>
    <w:rsid w:val="004136AE"/>
    <w:rsid w:val="004144FB"/>
    <w:rsid w:val="004145DF"/>
    <w:rsid w:val="0041502C"/>
    <w:rsid w:val="004153BE"/>
    <w:rsid w:val="00415E7B"/>
    <w:rsid w:val="004160E2"/>
    <w:rsid w:val="00420DF0"/>
    <w:rsid w:val="00420ECA"/>
    <w:rsid w:val="004210AE"/>
    <w:rsid w:val="00423705"/>
    <w:rsid w:val="00423927"/>
    <w:rsid w:val="00423E92"/>
    <w:rsid w:val="004251CD"/>
    <w:rsid w:val="004255A6"/>
    <w:rsid w:val="00427AC3"/>
    <w:rsid w:val="00430B1E"/>
    <w:rsid w:val="00430DA9"/>
    <w:rsid w:val="00431104"/>
    <w:rsid w:val="004313B3"/>
    <w:rsid w:val="004318EE"/>
    <w:rsid w:val="00431940"/>
    <w:rsid w:val="004323FF"/>
    <w:rsid w:val="004326DE"/>
    <w:rsid w:val="00432D92"/>
    <w:rsid w:val="00432E65"/>
    <w:rsid w:val="00433073"/>
    <w:rsid w:val="004334F1"/>
    <w:rsid w:val="00433584"/>
    <w:rsid w:val="00434B9C"/>
    <w:rsid w:val="0043564A"/>
    <w:rsid w:val="0043587C"/>
    <w:rsid w:val="004366AE"/>
    <w:rsid w:val="004378B6"/>
    <w:rsid w:val="00437DCC"/>
    <w:rsid w:val="00440935"/>
    <w:rsid w:val="004409A8"/>
    <w:rsid w:val="0044371A"/>
    <w:rsid w:val="004444BC"/>
    <w:rsid w:val="00444575"/>
    <w:rsid w:val="004449B0"/>
    <w:rsid w:val="004468DA"/>
    <w:rsid w:val="00446DB3"/>
    <w:rsid w:val="00447847"/>
    <w:rsid w:val="004479DA"/>
    <w:rsid w:val="00447F90"/>
    <w:rsid w:val="004500A5"/>
    <w:rsid w:val="0045011F"/>
    <w:rsid w:val="00450FD1"/>
    <w:rsid w:val="004515E6"/>
    <w:rsid w:val="004516E4"/>
    <w:rsid w:val="004523F5"/>
    <w:rsid w:val="004524EA"/>
    <w:rsid w:val="00452D70"/>
    <w:rsid w:val="004531B8"/>
    <w:rsid w:val="00453CAA"/>
    <w:rsid w:val="00453F6F"/>
    <w:rsid w:val="00453F88"/>
    <w:rsid w:val="00454696"/>
    <w:rsid w:val="00454C85"/>
    <w:rsid w:val="00455069"/>
    <w:rsid w:val="0045529B"/>
    <w:rsid w:val="00455C0A"/>
    <w:rsid w:val="00455DAD"/>
    <w:rsid w:val="00455DC4"/>
    <w:rsid w:val="00455FC6"/>
    <w:rsid w:val="0045759A"/>
    <w:rsid w:val="0045784E"/>
    <w:rsid w:val="00457884"/>
    <w:rsid w:val="00457AD3"/>
    <w:rsid w:val="00460580"/>
    <w:rsid w:val="00460D05"/>
    <w:rsid w:val="00460E9C"/>
    <w:rsid w:val="00461081"/>
    <w:rsid w:val="004616FF"/>
    <w:rsid w:val="0046251E"/>
    <w:rsid w:val="0046302E"/>
    <w:rsid w:val="004632E1"/>
    <w:rsid w:val="004646AD"/>
    <w:rsid w:val="004647C2"/>
    <w:rsid w:val="004648A7"/>
    <w:rsid w:val="00466D5F"/>
    <w:rsid w:val="00470100"/>
    <w:rsid w:val="0047134D"/>
    <w:rsid w:val="00471446"/>
    <w:rsid w:val="00472045"/>
    <w:rsid w:val="00472227"/>
    <w:rsid w:val="00472515"/>
    <w:rsid w:val="00472FF0"/>
    <w:rsid w:val="004732FC"/>
    <w:rsid w:val="00473AE5"/>
    <w:rsid w:val="0047404F"/>
    <w:rsid w:val="0047414E"/>
    <w:rsid w:val="0047485E"/>
    <w:rsid w:val="00474873"/>
    <w:rsid w:val="00474A27"/>
    <w:rsid w:val="00474E16"/>
    <w:rsid w:val="00474EA6"/>
    <w:rsid w:val="004759ED"/>
    <w:rsid w:val="00475A94"/>
    <w:rsid w:val="00475F00"/>
    <w:rsid w:val="004761F6"/>
    <w:rsid w:val="004779AC"/>
    <w:rsid w:val="00477D6A"/>
    <w:rsid w:val="00477F94"/>
    <w:rsid w:val="004806D0"/>
    <w:rsid w:val="00481AD2"/>
    <w:rsid w:val="00482384"/>
    <w:rsid w:val="0048282C"/>
    <w:rsid w:val="00482A54"/>
    <w:rsid w:val="00483120"/>
    <w:rsid w:val="004831F2"/>
    <w:rsid w:val="00483CF3"/>
    <w:rsid w:val="004849D9"/>
    <w:rsid w:val="00484CA4"/>
    <w:rsid w:val="004874F6"/>
    <w:rsid w:val="00487854"/>
    <w:rsid w:val="00487BA2"/>
    <w:rsid w:val="004900A3"/>
    <w:rsid w:val="00490396"/>
    <w:rsid w:val="00490596"/>
    <w:rsid w:val="00491328"/>
    <w:rsid w:val="00491C56"/>
    <w:rsid w:val="00492097"/>
    <w:rsid w:val="004938FF"/>
    <w:rsid w:val="00493E00"/>
    <w:rsid w:val="00494137"/>
    <w:rsid w:val="00494DFE"/>
    <w:rsid w:val="004957BB"/>
    <w:rsid w:val="004957C1"/>
    <w:rsid w:val="00496862"/>
    <w:rsid w:val="004973C0"/>
    <w:rsid w:val="00497E8E"/>
    <w:rsid w:val="004A08EA"/>
    <w:rsid w:val="004A10C8"/>
    <w:rsid w:val="004A179E"/>
    <w:rsid w:val="004A1805"/>
    <w:rsid w:val="004A1ACE"/>
    <w:rsid w:val="004A1F7B"/>
    <w:rsid w:val="004A2C0D"/>
    <w:rsid w:val="004A3C92"/>
    <w:rsid w:val="004A40D8"/>
    <w:rsid w:val="004A4775"/>
    <w:rsid w:val="004A4A7C"/>
    <w:rsid w:val="004A4EA4"/>
    <w:rsid w:val="004A547D"/>
    <w:rsid w:val="004A5ECC"/>
    <w:rsid w:val="004A67CD"/>
    <w:rsid w:val="004B0258"/>
    <w:rsid w:val="004B0687"/>
    <w:rsid w:val="004B0946"/>
    <w:rsid w:val="004B23B1"/>
    <w:rsid w:val="004B23BC"/>
    <w:rsid w:val="004B2B8A"/>
    <w:rsid w:val="004B2CB0"/>
    <w:rsid w:val="004B356E"/>
    <w:rsid w:val="004B5381"/>
    <w:rsid w:val="004B551F"/>
    <w:rsid w:val="004B5A51"/>
    <w:rsid w:val="004B5AA5"/>
    <w:rsid w:val="004B618B"/>
    <w:rsid w:val="004B692E"/>
    <w:rsid w:val="004B6C73"/>
    <w:rsid w:val="004B78F1"/>
    <w:rsid w:val="004B7B8B"/>
    <w:rsid w:val="004B7C3B"/>
    <w:rsid w:val="004C0D22"/>
    <w:rsid w:val="004C1586"/>
    <w:rsid w:val="004C159B"/>
    <w:rsid w:val="004C2308"/>
    <w:rsid w:val="004C2641"/>
    <w:rsid w:val="004C2D79"/>
    <w:rsid w:val="004C2D9A"/>
    <w:rsid w:val="004C4481"/>
    <w:rsid w:val="004C4EA4"/>
    <w:rsid w:val="004C56DC"/>
    <w:rsid w:val="004C6518"/>
    <w:rsid w:val="004C6E6D"/>
    <w:rsid w:val="004C6EAF"/>
    <w:rsid w:val="004D0417"/>
    <w:rsid w:val="004D0C44"/>
    <w:rsid w:val="004D1F42"/>
    <w:rsid w:val="004D23E9"/>
    <w:rsid w:val="004D24EB"/>
    <w:rsid w:val="004D28D8"/>
    <w:rsid w:val="004D2CD3"/>
    <w:rsid w:val="004D3DE9"/>
    <w:rsid w:val="004D4913"/>
    <w:rsid w:val="004D4EDA"/>
    <w:rsid w:val="004D510D"/>
    <w:rsid w:val="004D592C"/>
    <w:rsid w:val="004D5B60"/>
    <w:rsid w:val="004D6C45"/>
    <w:rsid w:val="004E05ED"/>
    <w:rsid w:val="004E1522"/>
    <w:rsid w:val="004E270D"/>
    <w:rsid w:val="004E2C72"/>
    <w:rsid w:val="004E2DDB"/>
    <w:rsid w:val="004E2F8C"/>
    <w:rsid w:val="004E363A"/>
    <w:rsid w:val="004E38A2"/>
    <w:rsid w:val="004E3B49"/>
    <w:rsid w:val="004E4970"/>
    <w:rsid w:val="004E5470"/>
    <w:rsid w:val="004E565A"/>
    <w:rsid w:val="004E5A15"/>
    <w:rsid w:val="004E6357"/>
    <w:rsid w:val="004E6B7B"/>
    <w:rsid w:val="004E6CE0"/>
    <w:rsid w:val="004E747B"/>
    <w:rsid w:val="004E74EF"/>
    <w:rsid w:val="004F07B6"/>
    <w:rsid w:val="004F1749"/>
    <w:rsid w:val="004F1A5D"/>
    <w:rsid w:val="004F288A"/>
    <w:rsid w:val="004F43E9"/>
    <w:rsid w:val="004F5162"/>
    <w:rsid w:val="004F556B"/>
    <w:rsid w:val="004F5E93"/>
    <w:rsid w:val="004F6BCE"/>
    <w:rsid w:val="004F7203"/>
    <w:rsid w:val="004F73E8"/>
    <w:rsid w:val="004F7752"/>
    <w:rsid w:val="00500355"/>
    <w:rsid w:val="005004C6"/>
    <w:rsid w:val="00500574"/>
    <w:rsid w:val="00500C15"/>
    <w:rsid w:val="00501CE8"/>
    <w:rsid w:val="00502761"/>
    <w:rsid w:val="00503169"/>
    <w:rsid w:val="005032FD"/>
    <w:rsid w:val="005033BE"/>
    <w:rsid w:val="00503676"/>
    <w:rsid w:val="00503782"/>
    <w:rsid w:val="00503B45"/>
    <w:rsid w:val="00504520"/>
    <w:rsid w:val="00505778"/>
    <w:rsid w:val="00506A5E"/>
    <w:rsid w:val="00506AC1"/>
    <w:rsid w:val="00507726"/>
    <w:rsid w:val="00510707"/>
    <w:rsid w:val="005111ED"/>
    <w:rsid w:val="005113F5"/>
    <w:rsid w:val="00512CEB"/>
    <w:rsid w:val="005134EF"/>
    <w:rsid w:val="00513829"/>
    <w:rsid w:val="00515270"/>
    <w:rsid w:val="005156D9"/>
    <w:rsid w:val="0051575B"/>
    <w:rsid w:val="00516206"/>
    <w:rsid w:val="00517CA5"/>
    <w:rsid w:val="0052041D"/>
    <w:rsid w:val="00520F75"/>
    <w:rsid w:val="005216DE"/>
    <w:rsid w:val="00522795"/>
    <w:rsid w:val="0052285B"/>
    <w:rsid w:val="00523958"/>
    <w:rsid w:val="005246BC"/>
    <w:rsid w:val="00524D46"/>
    <w:rsid w:val="00525B99"/>
    <w:rsid w:val="005269D1"/>
    <w:rsid w:val="00527488"/>
    <w:rsid w:val="00530F01"/>
    <w:rsid w:val="005311BF"/>
    <w:rsid w:val="005311D3"/>
    <w:rsid w:val="00531359"/>
    <w:rsid w:val="005317F4"/>
    <w:rsid w:val="005324C9"/>
    <w:rsid w:val="0053260C"/>
    <w:rsid w:val="00532BD0"/>
    <w:rsid w:val="0053325B"/>
    <w:rsid w:val="005339D0"/>
    <w:rsid w:val="005340FD"/>
    <w:rsid w:val="00534421"/>
    <w:rsid w:val="00534ADE"/>
    <w:rsid w:val="00534C18"/>
    <w:rsid w:val="00534F71"/>
    <w:rsid w:val="0053571C"/>
    <w:rsid w:val="00537727"/>
    <w:rsid w:val="005378DB"/>
    <w:rsid w:val="0053792C"/>
    <w:rsid w:val="00537F03"/>
    <w:rsid w:val="005400C8"/>
    <w:rsid w:val="00540F7B"/>
    <w:rsid w:val="00541D67"/>
    <w:rsid w:val="00541FA0"/>
    <w:rsid w:val="00542421"/>
    <w:rsid w:val="005426BB"/>
    <w:rsid w:val="00543E44"/>
    <w:rsid w:val="00543FDE"/>
    <w:rsid w:val="00545AAF"/>
    <w:rsid w:val="00546B85"/>
    <w:rsid w:val="0054736A"/>
    <w:rsid w:val="00547946"/>
    <w:rsid w:val="00551700"/>
    <w:rsid w:val="005518B0"/>
    <w:rsid w:val="00554CF5"/>
    <w:rsid w:val="005556BD"/>
    <w:rsid w:val="005572C5"/>
    <w:rsid w:val="00557571"/>
    <w:rsid w:val="00557CC0"/>
    <w:rsid w:val="00560322"/>
    <w:rsid w:val="005614EA"/>
    <w:rsid w:val="00561516"/>
    <w:rsid w:val="005620AC"/>
    <w:rsid w:val="00562943"/>
    <w:rsid w:val="00563672"/>
    <w:rsid w:val="0056439C"/>
    <w:rsid w:val="00564BB1"/>
    <w:rsid w:val="0056562C"/>
    <w:rsid w:val="00565C0A"/>
    <w:rsid w:val="00567AC7"/>
    <w:rsid w:val="00570C3F"/>
    <w:rsid w:val="00570DC7"/>
    <w:rsid w:val="005710B6"/>
    <w:rsid w:val="00571723"/>
    <w:rsid w:val="005719CA"/>
    <w:rsid w:val="00571DE4"/>
    <w:rsid w:val="00572D4C"/>
    <w:rsid w:val="00573125"/>
    <w:rsid w:val="0057312E"/>
    <w:rsid w:val="0057357C"/>
    <w:rsid w:val="00573FC7"/>
    <w:rsid w:val="005747B0"/>
    <w:rsid w:val="00574EDF"/>
    <w:rsid w:val="00574F28"/>
    <w:rsid w:val="0057540F"/>
    <w:rsid w:val="00575415"/>
    <w:rsid w:val="00575BE2"/>
    <w:rsid w:val="00575D6E"/>
    <w:rsid w:val="00576015"/>
    <w:rsid w:val="00576A00"/>
    <w:rsid w:val="00577930"/>
    <w:rsid w:val="00577961"/>
    <w:rsid w:val="00577BF8"/>
    <w:rsid w:val="00577E78"/>
    <w:rsid w:val="005806A3"/>
    <w:rsid w:val="00580765"/>
    <w:rsid w:val="00580BF2"/>
    <w:rsid w:val="00581AB4"/>
    <w:rsid w:val="00582CB9"/>
    <w:rsid w:val="00583011"/>
    <w:rsid w:val="005830D5"/>
    <w:rsid w:val="005844D9"/>
    <w:rsid w:val="00584943"/>
    <w:rsid w:val="005849F7"/>
    <w:rsid w:val="00585057"/>
    <w:rsid w:val="00586E47"/>
    <w:rsid w:val="005871A9"/>
    <w:rsid w:val="0058793B"/>
    <w:rsid w:val="00590E4E"/>
    <w:rsid w:val="005910B1"/>
    <w:rsid w:val="00591ADB"/>
    <w:rsid w:val="00592089"/>
    <w:rsid w:val="00592CA6"/>
    <w:rsid w:val="0059393F"/>
    <w:rsid w:val="00593CB8"/>
    <w:rsid w:val="005952A6"/>
    <w:rsid w:val="00595970"/>
    <w:rsid w:val="00595C64"/>
    <w:rsid w:val="00595D33"/>
    <w:rsid w:val="00595D3A"/>
    <w:rsid w:val="00595F41"/>
    <w:rsid w:val="00596954"/>
    <w:rsid w:val="00597765"/>
    <w:rsid w:val="00597B04"/>
    <w:rsid w:val="00597DC1"/>
    <w:rsid w:val="005A07C0"/>
    <w:rsid w:val="005A0A14"/>
    <w:rsid w:val="005A0DE7"/>
    <w:rsid w:val="005A0EB9"/>
    <w:rsid w:val="005A3B3A"/>
    <w:rsid w:val="005A3D69"/>
    <w:rsid w:val="005A409B"/>
    <w:rsid w:val="005A6BDC"/>
    <w:rsid w:val="005B0E10"/>
    <w:rsid w:val="005B0FBE"/>
    <w:rsid w:val="005B1407"/>
    <w:rsid w:val="005B159D"/>
    <w:rsid w:val="005B17C0"/>
    <w:rsid w:val="005B18EB"/>
    <w:rsid w:val="005B1BB6"/>
    <w:rsid w:val="005B1F30"/>
    <w:rsid w:val="005B1F64"/>
    <w:rsid w:val="005B241C"/>
    <w:rsid w:val="005B27D0"/>
    <w:rsid w:val="005B3579"/>
    <w:rsid w:val="005B3E18"/>
    <w:rsid w:val="005B4066"/>
    <w:rsid w:val="005B4539"/>
    <w:rsid w:val="005B4C41"/>
    <w:rsid w:val="005B5BD5"/>
    <w:rsid w:val="005B653D"/>
    <w:rsid w:val="005B7A17"/>
    <w:rsid w:val="005B7FBE"/>
    <w:rsid w:val="005C0D57"/>
    <w:rsid w:val="005C1E90"/>
    <w:rsid w:val="005C273D"/>
    <w:rsid w:val="005C3026"/>
    <w:rsid w:val="005C30DD"/>
    <w:rsid w:val="005C3B94"/>
    <w:rsid w:val="005C3D5C"/>
    <w:rsid w:val="005C4AB4"/>
    <w:rsid w:val="005C4AFF"/>
    <w:rsid w:val="005C4B03"/>
    <w:rsid w:val="005C63BC"/>
    <w:rsid w:val="005C6E9E"/>
    <w:rsid w:val="005C7655"/>
    <w:rsid w:val="005C78CC"/>
    <w:rsid w:val="005C7998"/>
    <w:rsid w:val="005C7BB1"/>
    <w:rsid w:val="005C7C79"/>
    <w:rsid w:val="005D0C42"/>
    <w:rsid w:val="005D13E8"/>
    <w:rsid w:val="005D2D7A"/>
    <w:rsid w:val="005D35AD"/>
    <w:rsid w:val="005D3A2B"/>
    <w:rsid w:val="005D3CB2"/>
    <w:rsid w:val="005D3CED"/>
    <w:rsid w:val="005D42B6"/>
    <w:rsid w:val="005D466D"/>
    <w:rsid w:val="005D57A4"/>
    <w:rsid w:val="005D64BA"/>
    <w:rsid w:val="005D701A"/>
    <w:rsid w:val="005D7C51"/>
    <w:rsid w:val="005E008D"/>
    <w:rsid w:val="005E0B8B"/>
    <w:rsid w:val="005E1274"/>
    <w:rsid w:val="005E1681"/>
    <w:rsid w:val="005E1D63"/>
    <w:rsid w:val="005E29D1"/>
    <w:rsid w:val="005E2C10"/>
    <w:rsid w:val="005E2D68"/>
    <w:rsid w:val="005E4053"/>
    <w:rsid w:val="005E423F"/>
    <w:rsid w:val="005E5191"/>
    <w:rsid w:val="005E6136"/>
    <w:rsid w:val="005E6AF8"/>
    <w:rsid w:val="005E6FF5"/>
    <w:rsid w:val="005E706D"/>
    <w:rsid w:val="005E7138"/>
    <w:rsid w:val="005F1105"/>
    <w:rsid w:val="005F11DD"/>
    <w:rsid w:val="005F22F3"/>
    <w:rsid w:val="005F25DF"/>
    <w:rsid w:val="005F353B"/>
    <w:rsid w:val="005F3D48"/>
    <w:rsid w:val="005F602D"/>
    <w:rsid w:val="005F768F"/>
    <w:rsid w:val="005F79CC"/>
    <w:rsid w:val="005F7A75"/>
    <w:rsid w:val="005F7D27"/>
    <w:rsid w:val="005F7E88"/>
    <w:rsid w:val="005F7F28"/>
    <w:rsid w:val="00601160"/>
    <w:rsid w:val="00601359"/>
    <w:rsid w:val="00602263"/>
    <w:rsid w:val="0060365F"/>
    <w:rsid w:val="00603FC1"/>
    <w:rsid w:val="00604BEC"/>
    <w:rsid w:val="00605316"/>
    <w:rsid w:val="006058FD"/>
    <w:rsid w:val="006063F1"/>
    <w:rsid w:val="00606571"/>
    <w:rsid w:val="00606DF8"/>
    <w:rsid w:val="006108FC"/>
    <w:rsid w:val="00610DF2"/>
    <w:rsid w:val="006118E5"/>
    <w:rsid w:val="00611978"/>
    <w:rsid w:val="00611D3E"/>
    <w:rsid w:val="006120EF"/>
    <w:rsid w:val="00612833"/>
    <w:rsid w:val="00612A9F"/>
    <w:rsid w:val="00612E57"/>
    <w:rsid w:val="006130C6"/>
    <w:rsid w:val="006132D5"/>
    <w:rsid w:val="0061381E"/>
    <w:rsid w:val="00614847"/>
    <w:rsid w:val="006159CC"/>
    <w:rsid w:val="00615BF7"/>
    <w:rsid w:val="00615E67"/>
    <w:rsid w:val="00616CEA"/>
    <w:rsid w:val="00616D31"/>
    <w:rsid w:val="006173D0"/>
    <w:rsid w:val="00617648"/>
    <w:rsid w:val="006201D7"/>
    <w:rsid w:val="00620EA4"/>
    <w:rsid w:val="006213DE"/>
    <w:rsid w:val="00622265"/>
    <w:rsid w:val="0062235D"/>
    <w:rsid w:val="00622FCD"/>
    <w:rsid w:val="00623C47"/>
    <w:rsid w:val="00623DDD"/>
    <w:rsid w:val="00624BE9"/>
    <w:rsid w:val="00625189"/>
    <w:rsid w:val="006255E3"/>
    <w:rsid w:val="006264FC"/>
    <w:rsid w:val="00626CA4"/>
    <w:rsid w:val="006279A1"/>
    <w:rsid w:val="006327E9"/>
    <w:rsid w:val="00632CAE"/>
    <w:rsid w:val="00633458"/>
    <w:rsid w:val="00633654"/>
    <w:rsid w:val="00633E47"/>
    <w:rsid w:val="00635030"/>
    <w:rsid w:val="006352B7"/>
    <w:rsid w:val="006358FF"/>
    <w:rsid w:val="00635E0E"/>
    <w:rsid w:val="00635E6C"/>
    <w:rsid w:val="00636784"/>
    <w:rsid w:val="00636DEA"/>
    <w:rsid w:val="00637998"/>
    <w:rsid w:val="00637BAD"/>
    <w:rsid w:val="006404A5"/>
    <w:rsid w:val="0064063A"/>
    <w:rsid w:val="006407F0"/>
    <w:rsid w:val="0064105B"/>
    <w:rsid w:val="00641887"/>
    <w:rsid w:val="006427AA"/>
    <w:rsid w:val="006429D7"/>
    <w:rsid w:val="00645F5D"/>
    <w:rsid w:val="006465BD"/>
    <w:rsid w:val="00646BEC"/>
    <w:rsid w:val="00647019"/>
    <w:rsid w:val="00647369"/>
    <w:rsid w:val="00647D75"/>
    <w:rsid w:val="00650529"/>
    <w:rsid w:val="00650869"/>
    <w:rsid w:val="00651B29"/>
    <w:rsid w:val="00651D1A"/>
    <w:rsid w:val="00651F89"/>
    <w:rsid w:val="00653970"/>
    <w:rsid w:val="00653E75"/>
    <w:rsid w:val="006540AE"/>
    <w:rsid w:val="00654479"/>
    <w:rsid w:val="006553D2"/>
    <w:rsid w:val="00655572"/>
    <w:rsid w:val="00655B2E"/>
    <w:rsid w:val="006562C2"/>
    <w:rsid w:val="0065634C"/>
    <w:rsid w:val="00657076"/>
    <w:rsid w:val="00657168"/>
    <w:rsid w:val="00657941"/>
    <w:rsid w:val="00657D2D"/>
    <w:rsid w:val="00660896"/>
    <w:rsid w:val="00661B91"/>
    <w:rsid w:val="00661D99"/>
    <w:rsid w:val="0066229A"/>
    <w:rsid w:val="0066312E"/>
    <w:rsid w:val="0066348A"/>
    <w:rsid w:val="006639BA"/>
    <w:rsid w:val="00663EAD"/>
    <w:rsid w:val="00663F85"/>
    <w:rsid w:val="00664043"/>
    <w:rsid w:val="006644C9"/>
    <w:rsid w:val="00664B29"/>
    <w:rsid w:val="00665BE7"/>
    <w:rsid w:val="00666738"/>
    <w:rsid w:val="006670F9"/>
    <w:rsid w:val="006679AE"/>
    <w:rsid w:val="00667DB5"/>
    <w:rsid w:val="00670DD8"/>
    <w:rsid w:val="0067124C"/>
    <w:rsid w:val="006719C9"/>
    <w:rsid w:val="006722E0"/>
    <w:rsid w:val="00673F0B"/>
    <w:rsid w:val="006740C2"/>
    <w:rsid w:val="00675957"/>
    <w:rsid w:val="00675B34"/>
    <w:rsid w:val="00676195"/>
    <w:rsid w:val="00680346"/>
    <w:rsid w:val="0068034D"/>
    <w:rsid w:val="00680690"/>
    <w:rsid w:val="006806B6"/>
    <w:rsid w:val="00681381"/>
    <w:rsid w:val="00681B3F"/>
    <w:rsid w:val="006828BD"/>
    <w:rsid w:val="006838F6"/>
    <w:rsid w:val="0068415A"/>
    <w:rsid w:val="00685602"/>
    <w:rsid w:val="00685BF1"/>
    <w:rsid w:val="00685D33"/>
    <w:rsid w:val="0068654B"/>
    <w:rsid w:val="00686620"/>
    <w:rsid w:val="00690A25"/>
    <w:rsid w:val="00691CF0"/>
    <w:rsid w:val="006923F6"/>
    <w:rsid w:val="00693644"/>
    <w:rsid w:val="0069402F"/>
    <w:rsid w:val="0069411E"/>
    <w:rsid w:val="006946F9"/>
    <w:rsid w:val="0069476A"/>
    <w:rsid w:val="00694949"/>
    <w:rsid w:val="00694B5B"/>
    <w:rsid w:val="00694BDC"/>
    <w:rsid w:val="00694D20"/>
    <w:rsid w:val="00694FA7"/>
    <w:rsid w:val="00696C8C"/>
    <w:rsid w:val="006A05CD"/>
    <w:rsid w:val="006A098C"/>
    <w:rsid w:val="006A100C"/>
    <w:rsid w:val="006A11E7"/>
    <w:rsid w:val="006A131D"/>
    <w:rsid w:val="006A1338"/>
    <w:rsid w:val="006A1E78"/>
    <w:rsid w:val="006A2795"/>
    <w:rsid w:val="006A30EE"/>
    <w:rsid w:val="006A3B39"/>
    <w:rsid w:val="006A4888"/>
    <w:rsid w:val="006A58B4"/>
    <w:rsid w:val="006A58F8"/>
    <w:rsid w:val="006A6B5B"/>
    <w:rsid w:val="006A760A"/>
    <w:rsid w:val="006A7936"/>
    <w:rsid w:val="006B0735"/>
    <w:rsid w:val="006B089B"/>
    <w:rsid w:val="006B1E8E"/>
    <w:rsid w:val="006B1F24"/>
    <w:rsid w:val="006B2F4E"/>
    <w:rsid w:val="006B30F2"/>
    <w:rsid w:val="006B3301"/>
    <w:rsid w:val="006B401B"/>
    <w:rsid w:val="006B4286"/>
    <w:rsid w:val="006B510E"/>
    <w:rsid w:val="006B56FC"/>
    <w:rsid w:val="006B5A35"/>
    <w:rsid w:val="006B6FD7"/>
    <w:rsid w:val="006B73BE"/>
    <w:rsid w:val="006B7799"/>
    <w:rsid w:val="006B7979"/>
    <w:rsid w:val="006C0574"/>
    <w:rsid w:val="006C0869"/>
    <w:rsid w:val="006C087B"/>
    <w:rsid w:val="006C11B0"/>
    <w:rsid w:val="006C133C"/>
    <w:rsid w:val="006C1844"/>
    <w:rsid w:val="006C2ABA"/>
    <w:rsid w:val="006C2DD9"/>
    <w:rsid w:val="006C4414"/>
    <w:rsid w:val="006C5182"/>
    <w:rsid w:val="006C52C9"/>
    <w:rsid w:val="006C58A8"/>
    <w:rsid w:val="006C6755"/>
    <w:rsid w:val="006C6802"/>
    <w:rsid w:val="006C7B63"/>
    <w:rsid w:val="006C7FC3"/>
    <w:rsid w:val="006D0C02"/>
    <w:rsid w:val="006D117B"/>
    <w:rsid w:val="006D1867"/>
    <w:rsid w:val="006D1E23"/>
    <w:rsid w:val="006D2956"/>
    <w:rsid w:val="006D2A23"/>
    <w:rsid w:val="006D5004"/>
    <w:rsid w:val="006D5944"/>
    <w:rsid w:val="006D5E43"/>
    <w:rsid w:val="006D6326"/>
    <w:rsid w:val="006D6CE4"/>
    <w:rsid w:val="006D75A7"/>
    <w:rsid w:val="006D766B"/>
    <w:rsid w:val="006D779F"/>
    <w:rsid w:val="006E04C5"/>
    <w:rsid w:val="006E086B"/>
    <w:rsid w:val="006E1520"/>
    <w:rsid w:val="006E1576"/>
    <w:rsid w:val="006E1B00"/>
    <w:rsid w:val="006E221C"/>
    <w:rsid w:val="006E2655"/>
    <w:rsid w:val="006E350F"/>
    <w:rsid w:val="006E3BC0"/>
    <w:rsid w:val="006E3CA9"/>
    <w:rsid w:val="006E46D0"/>
    <w:rsid w:val="006E4A62"/>
    <w:rsid w:val="006E5525"/>
    <w:rsid w:val="006E57C0"/>
    <w:rsid w:val="006E5E0B"/>
    <w:rsid w:val="006E5ECA"/>
    <w:rsid w:val="006E5F1D"/>
    <w:rsid w:val="006E7183"/>
    <w:rsid w:val="006F1571"/>
    <w:rsid w:val="006F1CD2"/>
    <w:rsid w:val="006F1D0F"/>
    <w:rsid w:val="006F1DB6"/>
    <w:rsid w:val="006F3104"/>
    <w:rsid w:val="006F316F"/>
    <w:rsid w:val="006F37AB"/>
    <w:rsid w:val="006F3C50"/>
    <w:rsid w:val="006F4699"/>
    <w:rsid w:val="006F4948"/>
    <w:rsid w:val="006F4D2B"/>
    <w:rsid w:val="006F56BB"/>
    <w:rsid w:val="006F589B"/>
    <w:rsid w:val="006F5D4C"/>
    <w:rsid w:val="006F7114"/>
    <w:rsid w:val="006F7562"/>
    <w:rsid w:val="00700D31"/>
    <w:rsid w:val="00700F0E"/>
    <w:rsid w:val="0070165C"/>
    <w:rsid w:val="00701951"/>
    <w:rsid w:val="00701C80"/>
    <w:rsid w:val="0070210E"/>
    <w:rsid w:val="00705663"/>
    <w:rsid w:val="0070566B"/>
    <w:rsid w:val="00705703"/>
    <w:rsid w:val="00705939"/>
    <w:rsid w:val="00705F4A"/>
    <w:rsid w:val="00705FD0"/>
    <w:rsid w:val="007077D6"/>
    <w:rsid w:val="00707F17"/>
    <w:rsid w:val="00710823"/>
    <w:rsid w:val="00710C01"/>
    <w:rsid w:val="0071233F"/>
    <w:rsid w:val="00712611"/>
    <w:rsid w:val="00714419"/>
    <w:rsid w:val="00714E79"/>
    <w:rsid w:val="00715800"/>
    <w:rsid w:val="00715B3D"/>
    <w:rsid w:val="007161C3"/>
    <w:rsid w:val="00716A11"/>
    <w:rsid w:val="00716A5F"/>
    <w:rsid w:val="00716BA1"/>
    <w:rsid w:val="00716C0F"/>
    <w:rsid w:val="00717436"/>
    <w:rsid w:val="00717CF3"/>
    <w:rsid w:val="007216C5"/>
    <w:rsid w:val="00721A40"/>
    <w:rsid w:val="007228FD"/>
    <w:rsid w:val="007234C9"/>
    <w:rsid w:val="007237C4"/>
    <w:rsid w:val="007239F8"/>
    <w:rsid w:val="0072458C"/>
    <w:rsid w:val="00724690"/>
    <w:rsid w:val="00724AA0"/>
    <w:rsid w:val="00724D88"/>
    <w:rsid w:val="007252A9"/>
    <w:rsid w:val="007263B0"/>
    <w:rsid w:val="007267B9"/>
    <w:rsid w:val="007272C4"/>
    <w:rsid w:val="00727BF2"/>
    <w:rsid w:val="00727F6F"/>
    <w:rsid w:val="007304FE"/>
    <w:rsid w:val="00730757"/>
    <w:rsid w:val="00731391"/>
    <w:rsid w:val="007314D1"/>
    <w:rsid w:val="00731BA0"/>
    <w:rsid w:val="00731F35"/>
    <w:rsid w:val="00732929"/>
    <w:rsid w:val="00733085"/>
    <w:rsid w:val="00733580"/>
    <w:rsid w:val="00733EA2"/>
    <w:rsid w:val="0073524A"/>
    <w:rsid w:val="0073524B"/>
    <w:rsid w:val="0073655B"/>
    <w:rsid w:val="00736788"/>
    <w:rsid w:val="00736E95"/>
    <w:rsid w:val="00736FB2"/>
    <w:rsid w:val="00737467"/>
    <w:rsid w:val="00740337"/>
    <w:rsid w:val="00740991"/>
    <w:rsid w:val="007409DC"/>
    <w:rsid w:val="007423D5"/>
    <w:rsid w:val="00742865"/>
    <w:rsid w:val="007430D2"/>
    <w:rsid w:val="007444C3"/>
    <w:rsid w:val="00744567"/>
    <w:rsid w:val="00744F2A"/>
    <w:rsid w:val="00747297"/>
    <w:rsid w:val="007478A0"/>
    <w:rsid w:val="0075064D"/>
    <w:rsid w:val="007507BE"/>
    <w:rsid w:val="00751535"/>
    <w:rsid w:val="007527D6"/>
    <w:rsid w:val="00753174"/>
    <w:rsid w:val="007538E9"/>
    <w:rsid w:val="00753B4D"/>
    <w:rsid w:val="00753DC7"/>
    <w:rsid w:val="00753E17"/>
    <w:rsid w:val="007548D9"/>
    <w:rsid w:val="00754949"/>
    <w:rsid w:val="00754CED"/>
    <w:rsid w:val="007558FC"/>
    <w:rsid w:val="00756602"/>
    <w:rsid w:val="00756ADB"/>
    <w:rsid w:val="00757207"/>
    <w:rsid w:val="00757C2E"/>
    <w:rsid w:val="0076052B"/>
    <w:rsid w:val="00760657"/>
    <w:rsid w:val="00760DEA"/>
    <w:rsid w:val="007612DE"/>
    <w:rsid w:val="00761B45"/>
    <w:rsid w:val="00761BAB"/>
    <w:rsid w:val="00762558"/>
    <w:rsid w:val="007653D5"/>
    <w:rsid w:val="007660B9"/>
    <w:rsid w:val="007700CF"/>
    <w:rsid w:val="00770157"/>
    <w:rsid w:val="0077098B"/>
    <w:rsid w:val="0077224D"/>
    <w:rsid w:val="00772AE4"/>
    <w:rsid w:val="00772CDB"/>
    <w:rsid w:val="00773AC7"/>
    <w:rsid w:val="00774509"/>
    <w:rsid w:val="00774C15"/>
    <w:rsid w:val="00774D6E"/>
    <w:rsid w:val="00774EAC"/>
    <w:rsid w:val="00774FC3"/>
    <w:rsid w:val="007756DB"/>
    <w:rsid w:val="007757C5"/>
    <w:rsid w:val="007759B0"/>
    <w:rsid w:val="00775A57"/>
    <w:rsid w:val="007762FA"/>
    <w:rsid w:val="00776EAE"/>
    <w:rsid w:val="0077770B"/>
    <w:rsid w:val="0078025C"/>
    <w:rsid w:val="007805FC"/>
    <w:rsid w:val="00780AC4"/>
    <w:rsid w:val="00780FF4"/>
    <w:rsid w:val="00781119"/>
    <w:rsid w:val="0078172B"/>
    <w:rsid w:val="00781797"/>
    <w:rsid w:val="00783CDC"/>
    <w:rsid w:val="00783EBD"/>
    <w:rsid w:val="00784375"/>
    <w:rsid w:val="007849C5"/>
    <w:rsid w:val="00784E6C"/>
    <w:rsid w:val="00786521"/>
    <w:rsid w:val="007868A5"/>
    <w:rsid w:val="00786FC3"/>
    <w:rsid w:val="00790157"/>
    <w:rsid w:val="00790925"/>
    <w:rsid w:val="007919D5"/>
    <w:rsid w:val="00791F46"/>
    <w:rsid w:val="00792726"/>
    <w:rsid w:val="00792D2F"/>
    <w:rsid w:val="00792F1B"/>
    <w:rsid w:val="00793D37"/>
    <w:rsid w:val="00793DFB"/>
    <w:rsid w:val="00793E8C"/>
    <w:rsid w:val="00793FC4"/>
    <w:rsid w:val="0079467E"/>
    <w:rsid w:val="007947F6"/>
    <w:rsid w:val="007956C4"/>
    <w:rsid w:val="00796E41"/>
    <w:rsid w:val="007A002D"/>
    <w:rsid w:val="007A1584"/>
    <w:rsid w:val="007A27C5"/>
    <w:rsid w:val="007A3199"/>
    <w:rsid w:val="007A33C4"/>
    <w:rsid w:val="007A35C8"/>
    <w:rsid w:val="007A4051"/>
    <w:rsid w:val="007A4461"/>
    <w:rsid w:val="007A4DC5"/>
    <w:rsid w:val="007A50C8"/>
    <w:rsid w:val="007A52E1"/>
    <w:rsid w:val="007A6E6D"/>
    <w:rsid w:val="007B0632"/>
    <w:rsid w:val="007B13DF"/>
    <w:rsid w:val="007B3082"/>
    <w:rsid w:val="007B323B"/>
    <w:rsid w:val="007B478D"/>
    <w:rsid w:val="007B5138"/>
    <w:rsid w:val="007B5949"/>
    <w:rsid w:val="007B620A"/>
    <w:rsid w:val="007B67CE"/>
    <w:rsid w:val="007B6C7E"/>
    <w:rsid w:val="007C00B4"/>
    <w:rsid w:val="007C07DA"/>
    <w:rsid w:val="007C0C54"/>
    <w:rsid w:val="007C1C1A"/>
    <w:rsid w:val="007C1C90"/>
    <w:rsid w:val="007C3BD3"/>
    <w:rsid w:val="007C3F60"/>
    <w:rsid w:val="007C4C31"/>
    <w:rsid w:val="007C4ECF"/>
    <w:rsid w:val="007C5436"/>
    <w:rsid w:val="007C570C"/>
    <w:rsid w:val="007C5FA7"/>
    <w:rsid w:val="007C74E3"/>
    <w:rsid w:val="007D4215"/>
    <w:rsid w:val="007D5956"/>
    <w:rsid w:val="007D6116"/>
    <w:rsid w:val="007D66D7"/>
    <w:rsid w:val="007D680C"/>
    <w:rsid w:val="007D6F85"/>
    <w:rsid w:val="007D74C7"/>
    <w:rsid w:val="007E00C8"/>
    <w:rsid w:val="007E053D"/>
    <w:rsid w:val="007E1BB2"/>
    <w:rsid w:val="007E1D3A"/>
    <w:rsid w:val="007E2696"/>
    <w:rsid w:val="007E305B"/>
    <w:rsid w:val="007E3A4B"/>
    <w:rsid w:val="007E3D18"/>
    <w:rsid w:val="007E4CCB"/>
    <w:rsid w:val="007E5996"/>
    <w:rsid w:val="007E5CB2"/>
    <w:rsid w:val="007E67A8"/>
    <w:rsid w:val="007E6C41"/>
    <w:rsid w:val="007E747B"/>
    <w:rsid w:val="007F0EA0"/>
    <w:rsid w:val="007F184E"/>
    <w:rsid w:val="007F1E0A"/>
    <w:rsid w:val="007F2558"/>
    <w:rsid w:val="007F2E25"/>
    <w:rsid w:val="007F37FD"/>
    <w:rsid w:val="007F5836"/>
    <w:rsid w:val="007F5CB0"/>
    <w:rsid w:val="007F5D33"/>
    <w:rsid w:val="007F7BBE"/>
    <w:rsid w:val="007F7FED"/>
    <w:rsid w:val="00801089"/>
    <w:rsid w:val="0080153B"/>
    <w:rsid w:val="008033CF"/>
    <w:rsid w:val="0080389F"/>
    <w:rsid w:val="0080415F"/>
    <w:rsid w:val="008051C4"/>
    <w:rsid w:val="00805B42"/>
    <w:rsid w:val="008061BC"/>
    <w:rsid w:val="00806393"/>
    <w:rsid w:val="00806DAB"/>
    <w:rsid w:val="00806FD6"/>
    <w:rsid w:val="0080740D"/>
    <w:rsid w:val="00807504"/>
    <w:rsid w:val="00807CCA"/>
    <w:rsid w:val="00807D00"/>
    <w:rsid w:val="008103C9"/>
    <w:rsid w:val="00811EEE"/>
    <w:rsid w:val="00812F6E"/>
    <w:rsid w:val="00813F69"/>
    <w:rsid w:val="00814B4E"/>
    <w:rsid w:val="0081512D"/>
    <w:rsid w:val="00815B46"/>
    <w:rsid w:val="00816BF5"/>
    <w:rsid w:val="00817D62"/>
    <w:rsid w:val="00820483"/>
    <w:rsid w:val="00820E0F"/>
    <w:rsid w:val="008226D4"/>
    <w:rsid w:val="00822EDC"/>
    <w:rsid w:val="008247C2"/>
    <w:rsid w:val="00824BC6"/>
    <w:rsid w:val="00825B23"/>
    <w:rsid w:val="008275B9"/>
    <w:rsid w:val="00827DBE"/>
    <w:rsid w:val="00827E48"/>
    <w:rsid w:val="00830087"/>
    <w:rsid w:val="00830EE4"/>
    <w:rsid w:val="0083261D"/>
    <w:rsid w:val="00832802"/>
    <w:rsid w:val="00832D89"/>
    <w:rsid w:val="00832DF7"/>
    <w:rsid w:val="00833447"/>
    <w:rsid w:val="0083489F"/>
    <w:rsid w:val="00835285"/>
    <w:rsid w:val="008354AB"/>
    <w:rsid w:val="00837148"/>
    <w:rsid w:val="008404B8"/>
    <w:rsid w:val="00840865"/>
    <w:rsid w:val="00840EFE"/>
    <w:rsid w:val="008411C1"/>
    <w:rsid w:val="0084158E"/>
    <w:rsid w:val="00841685"/>
    <w:rsid w:val="00841D41"/>
    <w:rsid w:val="00842020"/>
    <w:rsid w:val="008421C8"/>
    <w:rsid w:val="00842EB1"/>
    <w:rsid w:val="00843525"/>
    <w:rsid w:val="008436AB"/>
    <w:rsid w:val="00843FFD"/>
    <w:rsid w:val="00844169"/>
    <w:rsid w:val="00844739"/>
    <w:rsid w:val="0084486B"/>
    <w:rsid w:val="00844B24"/>
    <w:rsid w:val="00845D63"/>
    <w:rsid w:val="00846003"/>
    <w:rsid w:val="00846052"/>
    <w:rsid w:val="00846349"/>
    <w:rsid w:val="00846675"/>
    <w:rsid w:val="0084717C"/>
    <w:rsid w:val="0084774B"/>
    <w:rsid w:val="008478BC"/>
    <w:rsid w:val="008507CB"/>
    <w:rsid w:val="00850C6F"/>
    <w:rsid w:val="00851DAF"/>
    <w:rsid w:val="008525DA"/>
    <w:rsid w:val="0085343B"/>
    <w:rsid w:val="00853B2B"/>
    <w:rsid w:val="00853EFC"/>
    <w:rsid w:val="00855017"/>
    <w:rsid w:val="00856C04"/>
    <w:rsid w:val="00856E1A"/>
    <w:rsid w:val="008571ED"/>
    <w:rsid w:val="00857F02"/>
    <w:rsid w:val="00857FA5"/>
    <w:rsid w:val="00860BDE"/>
    <w:rsid w:val="00860D81"/>
    <w:rsid w:val="0086151D"/>
    <w:rsid w:val="00861C75"/>
    <w:rsid w:val="0086200B"/>
    <w:rsid w:val="00862383"/>
    <w:rsid w:val="0086296C"/>
    <w:rsid w:val="00862ABC"/>
    <w:rsid w:val="00863558"/>
    <w:rsid w:val="008636E7"/>
    <w:rsid w:val="00863858"/>
    <w:rsid w:val="00863EDE"/>
    <w:rsid w:val="00865F11"/>
    <w:rsid w:val="00866CD6"/>
    <w:rsid w:val="00866EFD"/>
    <w:rsid w:val="00867476"/>
    <w:rsid w:val="008678C1"/>
    <w:rsid w:val="008678E1"/>
    <w:rsid w:val="00867C14"/>
    <w:rsid w:val="008703C9"/>
    <w:rsid w:val="008714BB"/>
    <w:rsid w:val="00872936"/>
    <w:rsid w:val="00872D7D"/>
    <w:rsid w:val="00873130"/>
    <w:rsid w:val="00873DED"/>
    <w:rsid w:val="008746D9"/>
    <w:rsid w:val="0087475B"/>
    <w:rsid w:val="00874C79"/>
    <w:rsid w:val="0087595D"/>
    <w:rsid w:val="00877425"/>
    <w:rsid w:val="008777F4"/>
    <w:rsid w:val="00877E80"/>
    <w:rsid w:val="0088060C"/>
    <w:rsid w:val="00880786"/>
    <w:rsid w:val="008807B8"/>
    <w:rsid w:val="0088146B"/>
    <w:rsid w:val="0088257E"/>
    <w:rsid w:val="008833E3"/>
    <w:rsid w:val="008841C9"/>
    <w:rsid w:val="00884E14"/>
    <w:rsid w:val="00885A28"/>
    <w:rsid w:val="00885DA0"/>
    <w:rsid w:val="008873C2"/>
    <w:rsid w:val="008901A8"/>
    <w:rsid w:val="0089032A"/>
    <w:rsid w:val="00890592"/>
    <w:rsid w:val="0089189C"/>
    <w:rsid w:val="00892420"/>
    <w:rsid w:val="00892956"/>
    <w:rsid w:val="00892EFD"/>
    <w:rsid w:val="00892FA2"/>
    <w:rsid w:val="00894580"/>
    <w:rsid w:val="00894920"/>
    <w:rsid w:val="00896B93"/>
    <w:rsid w:val="0089735E"/>
    <w:rsid w:val="008A0282"/>
    <w:rsid w:val="008A123F"/>
    <w:rsid w:val="008A1256"/>
    <w:rsid w:val="008A2A24"/>
    <w:rsid w:val="008A2C64"/>
    <w:rsid w:val="008A3C15"/>
    <w:rsid w:val="008A3C48"/>
    <w:rsid w:val="008A4317"/>
    <w:rsid w:val="008A4BEF"/>
    <w:rsid w:val="008A4D67"/>
    <w:rsid w:val="008A555F"/>
    <w:rsid w:val="008A59E0"/>
    <w:rsid w:val="008A7D01"/>
    <w:rsid w:val="008B022F"/>
    <w:rsid w:val="008B0AA0"/>
    <w:rsid w:val="008B109A"/>
    <w:rsid w:val="008B1906"/>
    <w:rsid w:val="008B2156"/>
    <w:rsid w:val="008B22BF"/>
    <w:rsid w:val="008B2859"/>
    <w:rsid w:val="008B352C"/>
    <w:rsid w:val="008B493F"/>
    <w:rsid w:val="008B4BF8"/>
    <w:rsid w:val="008B610F"/>
    <w:rsid w:val="008B6290"/>
    <w:rsid w:val="008B6584"/>
    <w:rsid w:val="008B6833"/>
    <w:rsid w:val="008B6CA3"/>
    <w:rsid w:val="008B6D84"/>
    <w:rsid w:val="008B7BE6"/>
    <w:rsid w:val="008C0346"/>
    <w:rsid w:val="008C115E"/>
    <w:rsid w:val="008C12C9"/>
    <w:rsid w:val="008C1F01"/>
    <w:rsid w:val="008C2051"/>
    <w:rsid w:val="008C266F"/>
    <w:rsid w:val="008C43A0"/>
    <w:rsid w:val="008C48C6"/>
    <w:rsid w:val="008C4955"/>
    <w:rsid w:val="008C59AD"/>
    <w:rsid w:val="008C7C13"/>
    <w:rsid w:val="008C7C3D"/>
    <w:rsid w:val="008D0504"/>
    <w:rsid w:val="008D0E19"/>
    <w:rsid w:val="008D0F33"/>
    <w:rsid w:val="008D1256"/>
    <w:rsid w:val="008D20D4"/>
    <w:rsid w:val="008D248F"/>
    <w:rsid w:val="008D275A"/>
    <w:rsid w:val="008D42EA"/>
    <w:rsid w:val="008D4D19"/>
    <w:rsid w:val="008D57E2"/>
    <w:rsid w:val="008D613E"/>
    <w:rsid w:val="008D6C37"/>
    <w:rsid w:val="008D7292"/>
    <w:rsid w:val="008D7449"/>
    <w:rsid w:val="008D755A"/>
    <w:rsid w:val="008D7882"/>
    <w:rsid w:val="008D78B7"/>
    <w:rsid w:val="008E01B6"/>
    <w:rsid w:val="008E04F3"/>
    <w:rsid w:val="008E0519"/>
    <w:rsid w:val="008E0F52"/>
    <w:rsid w:val="008E231C"/>
    <w:rsid w:val="008E2B88"/>
    <w:rsid w:val="008E380B"/>
    <w:rsid w:val="008E3ABA"/>
    <w:rsid w:val="008E3F9F"/>
    <w:rsid w:val="008E4192"/>
    <w:rsid w:val="008E4A25"/>
    <w:rsid w:val="008E517D"/>
    <w:rsid w:val="008E5F04"/>
    <w:rsid w:val="008E6A2B"/>
    <w:rsid w:val="008E6A49"/>
    <w:rsid w:val="008E7972"/>
    <w:rsid w:val="008E79DC"/>
    <w:rsid w:val="008E7D5A"/>
    <w:rsid w:val="008F1248"/>
    <w:rsid w:val="008F1EDB"/>
    <w:rsid w:val="008F2DA4"/>
    <w:rsid w:val="008F45EA"/>
    <w:rsid w:val="008F5373"/>
    <w:rsid w:val="008F5659"/>
    <w:rsid w:val="008F6532"/>
    <w:rsid w:val="008F7041"/>
    <w:rsid w:val="008F73EF"/>
    <w:rsid w:val="009008C6"/>
    <w:rsid w:val="00902BED"/>
    <w:rsid w:val="00902CAC"/>
    <w:rsid w:val="0090334D"/>
    <w:rsid w:val="009036CA"/>
    <w:rsid w:val="00903D39"/>
    <w:rsid w:val="009044E1"/>
    <w:rsid w:val="009057B9"/>
    <w:rsid w:val="00905E6C"/>
    <w:rsid w:val="009064BA"/>
    <w:rsid w:val="0090657D"/>
    <w:rsid w:val="009109FA"/>
    <w:rsid w:val="0091164C"/>
    <w:rsid w:val="00911AFA"/>
    <w:rsid w:val="00913E34"/>
    <w:rsid w:val="00914BD8"/>
    <w:rsid w:val="009155BA"/>
    <w:rsid w:val="009165A1"/>
    <w:rsid w:val="0091671E"/>
    <w:rsid w:val="00917F95"/>
    <w:rsid w:val="0092044D"/>
    <w:rsid w:val="00921CA5"/>
    <w:rsid w:val="00921E2C"/>
    <w:rsid w:val="0092270E"/>
    <w:rsid w:val="00922B4A"/>
    <w:rsid w:val="00923EDF"/>
    <w:rsid w:val="009248AB"/>
    <w:rsid w:val="0092528D"/>
    <w:rsid w:val="00925756"/>
    <w:rsid w:val="00925E83"/>
    <w:rsid w:val="009260CD"/>
    <w:rsid w:val="00927476"/>
    <w:rsid w:val="00927A67"/>
    <w:rsid w:val="00930055"/>
    <w:rsid w:val="009315B0"/>
    <w:rsid w:val="009318CD"/>
    <w:rsid w:val="009321E0"/>
    <w:rsid w:val="009322D4"/>
    <w:rsid w:val="009323C8"/>
    <w:rsid w:val="00933B8C"/>
    <w:rsid w:val="00934024"/>
    <w:rsid w:val="0093609B"/>
    <w:rsid w:val="00937796"/>
    <w:rsid w:val="0094072A"/>
    <w:rsid w:val="00943546"/>
    <w:rsid w:val="00943AE8"/>
    <w:rsid w:val="00943CBF"/>
    <w:rsid w:val="0094440C"/>
    <w:rsid w:val="009457AB"/>
    <w:rsid w:val="00945812"/>
    <w:rsid w:val="00945C36"/>
    <w:rsid w:val="0094688C"/>
    <w:rsid w:val="00950C5D"/>
    <w:rsid w:val="00951A96"/>
    <w:rsid w:val="00952115"/>
    <w:rsid w:val="00952A49"/>
    <w:rsid w:val="009530AC"/>
    <w:rsid w:val="00953425"/>
    <w:rsid w:val="00953EEB"/>
    <w:rsid w:val="009541C3"/>
    <w:rsid w:val="009546F8"/>
    <w:rsid w:val="0095671A"/>
    <w:rsid w:val="0095749F"/>
    <w:rsid w:val="00957517"/>
    <w:rsid w:val="00957726"/>
    <w:rsid w:val="00957C77"/>
    <w:rsid w:val="009602E0"/>
    <w:rsid w:val="009607CB"/>
    <w:rsid w:val="009615B0"/>
    <w:rsid w:val="0096241C"/>
    <w:rsid w:val="009626F0"/>
    <w:rsid w:val="00962FDE"/>
    <w:rsid w:val="00963FB3"/>
    <w:rsid w:val="009642C8"/>
    <w:rsid w:val="00964A54"/>
    <w:rsid w:val="0096628D"/>
    <w:rsid w:val="0096685A"/>
    <w:rsid w:val="00966B75"/>
    <w:rsid w:val="00966E94"/>
    <w:rsid w:val="00967934"/>
    <w:rsid w:val="0097022F"/>
    <w:rsid w:val="00972771"/>
    <w:rsid w:val="009732E2"/>
    <w:rsid w:val="00974ADB"/>
    <w:rsid w:val="0097531B"/>
    <w:rsid w:val="00976597"/>
    <w:rsid w:val="00976F6B"/>
    <w:rsid w:val="0097751D"/>
    <w:rsid w:val="0097798F"/>
    <w:rsid w:val="00980022"/>
    <w:rsid w:val="00980D57"/>
    <w:rsid w:val="00981502"/>
    <w:rsid w:val="00983497"/>
    <w:rsid w:val="009835BA"/>
    <w:rsid w:val="009839BA"/>
    <w:rsid w:val="00984330"/>
    <w:rsid w:val="00984D5D"/>
    <w:rsid w:val="00985133"/>
    <w:rsid w:val="00985174"/>
    <w:rsid w:val="009858F4"/>
    <w:rsid w:val="009864C2"/>
    <w:rsid w:val="00986753"/>
    <w:rsid w:val="0098715E"/>
    <w:rsid w:val="009877F1"/>
    <w:rsid w:val="009877F9"/>
    <w:rsid w:val="0099025B"/>
    <w:rsid w:val="009902E2"/>
    <w:rsid w:val="00990AD5"/>
    <w:rsid w:val="0099178E"/>
    <w:rsid w:val="00991FF1"/>
    <w:rsid w:val="00991FF5"/>
    <w:rsid w:val="00993B67"/>
    <w:rsid w:val="00994263"/>
    <w:rsid w:val="00994521"/>
    <w:rsid w:val="00994A5C"/>
    <w:rsid w:val="00994BF0"/>
    <w:rsid w:val="0099532D"/>
    <w:rsid w:val="009959E0"/>
    <w:rsid w:val="00995DBA"/>
    <w:rsid w:val="00996919"/>
    <w:rsid w:val="00996B7C"/>
    <w:rsid w:val="00996BEA"/>
    <w:rsid w:val="009970A6"/>
    <w:rsid w:val="00997AE6"/>
    <w:rsid w:val="009A00E1"/>
    <w:rsid w:val="009A06EB"/>
    <w:rsid w:val="009A1669"/>
    <w:rsid w:val="009A229A"/>
    <w:rsid w:val="009A23CD"/>
    <w:rsid w:val="009A2BF5"/>
    <w:rsid w:val="009A2E91"/>
    <w:rsid w:val="009A33FB"/>
    <w:rsid w:val="009A3E14"/>
    <w:rsid w:val="009A4475"/>
    <w:rsid w:val="009A49CA"/>
    <w:rsid w:val="009A4A5D"/>
    <w:rsid w:val="009A54A9"/>
    <w:rsid w:val="009A579E"/>
    <w:rsid w:val="009A57FB"/>
    <w:rsid w:val="009A586E"/>
    <w:rsid w:val="009A6045"/>
    <w:rsid w:val="009A628B"/>
    <w:rsid w:val="009A635A"/>
    <w:rsid w:val="009A6A8F"/>
    <w:rsid w:val="009A6AB7"/>
    <w:rsid w:val="009A6D90"/>
    <w:rsid w:val="009A6E66"/>
    <w:rsid w:val="009A7187"/>
    <w:rsid w:val="009A798D"/>
    <w:rsid w:val="009A7EE2"/>
    <w:rsid w:val="009B0525"/>
    <w:rsid w:val="009B0CF1"/>
    <w:rsid w:val="009B1A44"/>
    <w:rsid w:val="009B2BAB"/>
    <w:rsid w:val="009B3911"/>
    <w:rsid w:val="009B3E87"/>
    <w:rsid w:val="009B424F"/>
    <w:rsid w:val="009B4379"/>
    <w:rsid w:val="009B444C"/>
    <w:rsid w:val="009B48C2"/>
    <w:rsid w:val="009B493F"/>
    <w:rsid w:val="009B4AAB"/>
    <w:rsid w:val="009B5036"/>
    <w:rsid w:val="009B7D62"/>
    <w:rsid w:val="009B7E05"/>
    <w:rsid w:val="009C01B0"/>
    <w:rsid w:val="009C0270"/>
    <w:rsid w:val="009C07D5"/>
    <w:rsid w:val="009C0DB6"/>
    <w:rsid w:val="009C0E51"/>
    <w:rsid w:val="009C2D8E"/>
    <w:rsid w:val="009C300C"/>
    <w:rsid w:val="009C39A1"/>
    <w:rsid w:val="009C510B"/>
    <w:rsid w:val="009C5504"/>
    <w:rsid w:val="009C584F"/>
    <w:rsid w:val="009C5F23"/>
    <w:rsid w:val="009C6131"/>
    <w:rsid w:val="009C614B"/>
    <w:rsid w:val="009C62AF"/>
    <w:rsid w:val="009C638C"/>
    <w:rsid w:val="009C6430"/>
    <w:rsid w:val="009C64CA"/>
    <w:rsid w:val="009C6DF6"/>
    <w:rsid w:val="009C6ED0"/>
    <w:rsid w:val="009C7380"/>
    <w:rsid w:val="009C73A8"/>
    <w:rsid w:val="009C7E99"/>
    <w:rsid w:val="009D02CA"/>
    <w:rsid w:val="009D1112"/>
    <w:rsid w:val="009D1783"/>
    <w:rsid w:val="009D1A03"/>
    <w:rsid w:val="009D1CC8"/>
    <w:rsid w:val="009D3995"/>
    <w:rsid w:val="009D43E2"/>
    <w:rsid w:val="009D525F"/>
    <w:rsid w:val="009D542D"/>
    <w:rsid w:val="009D6CCD"/>
    <w:rsid w:val="009D7554"/>
    <w:rsid w:val="009D7DE1"/>
    <w:rsid w:val="009D7F95"/>
    <w:rsid w:val="009E0C5B"/>
    <w:rsid w:val="009E0D83"/>
    <w:rsid w:val="009E2EEB"/>
    <w:rsid w:val="009E34F0"/>
    <w:rsid w:val="009E37D3"/>
    <w:rsid w:val="009E3E9A"/>
    <w:rsid w:val="009E4CD2"/>
    <w:rsid w:val="009E4DEA"/>
    <w:rsid w:val="009E6680"/>
    <w:rsid w:val="009E7381"/>
    <w:rsid w:val="009F0217"/>
    <w:rsid w:val="009F024C"/>
    <w:rsid w:val="009F0915"/>
    <w:rsid w:val="009F11CE"/>
    <w:rsid w:val="009F16EB"/>
    <w:rsid w:val="009F6ACC"/>
    <w:rsid w:val="009F6C55"/>
    <w:rsid w:val="009F6F01"/>
    <w:rsid w:val="009F710F"/>
    <w:rsid w:val="009F7277"/>
    <w:rsid w:val="009F736B"/>
    <w:rsid w:val="009F751D"/>
    <w:rsid w:val="00A006E2"/>
    <w:rsid w:val="00A009DB"/>
    <w:rsid w:val="00A00AC9"/>
    <w:rsid w:val="00A00EF2"/>
    <w:rsid w:val="00A0125C"/>
    <w:rsid w:val="00A019CA"/>
    <w:rsid w:val="00A0426E"/>
    <w:rsid w:val="00A04A93"/>
    <w:rsid w:val="00A056DB"/>
    <w:rsid w:val="00A05B93"/>
    <w:rsid w:val="00A06555"/>
    <w:rsid w:val="00A06972"/>
    <w:rsid w:val="00A069F9"/>
    <w:rsid w:val="00A07942"/>
    <w:rsid w:val="00A11A57"/>
    <w:rsid w:val="00A12DFD"/>
    <w:rsid w:val="00A13244"/>
    <w:rsid w:val="00A1397B"/>
    <w:rsid w:val="00A14C91"/>
    <w:rsid w:val="00A15DDE"/>
    <w:rsid w:val="00A166B6"/>
    <w:rsid w:val="00A167C8"/>
    <w:rsid w:val="00A173EC"/>
    <w:rsid w:val="00A17CA6"/>
    <w:rsid w:val="00A205EF"/>
    <w:rsid w:val="00A20ED4"/>
    <w:rsid w:val="00A21EB1"/>
    <w:rsid w:val="00A221B1"/>
    <w:rsid w:val="00A22690"/>
    <w:rsid w:val="00A22692"/>
    <w:rsid w:val="00A226AB"/>
    <w:rsid w:val="00A228B0"/>
    <w:rsid w:val="00A25A7A"/>
    <w:rsid w:val="00A26990"/>
    <w:rsid w:val="00A26E6A"/>
    <w:rsid w:val="00A26F16"/>
    <w:rsid w:val="00A27A17"/>
    <w:rsid w:val="00A27F28"/>
    <w:rsid w:val="00A3076D"/>
    <w:rsid w:val="00A31718"/>
    <w:rsid w:val="00A31C17"/>
    <w:rsid w:val="00A32714"/>
    <w:rsid w:val="00A3277D"/>
    <w:rsid w:val="00A327AF"/>
    <w:rsid w:val="00A32C53"/>
    <w:rsid w:val="00A332B1"/>
    <w:rsid w:val="00A33415"/>
    <w:rsid w:val="00A33B56"/>
    <w:rsid w:val="00A33FAC"/>
    <w:rsid w:val="00A352F4"/>
    <w:rsid w:val="00A35FCE"/>
    <w:rsid w:val="00A36FB6"/>
    <w:rsid w:val="00A373D2"/>
    <w:rsid w:val="00A37E4F"/>
    <w:rsid w:val="00A40D1B"/>
    <w:rsid w:val="00A40E77"/>
    <w:rsid w:val="00A412BC"/>
    <w:rsid w:val="00A41A3D"/>
    <w:rsid w:val="00A42745"/>
    <w:rsid w:val="00A43055"/>
    <w:rsid w:val="00A433B3"/>
    <w:rsid w:val="00A43476"/>
    <w:rsid w:val="00A4446B"/>
    <w:rsid w:val="00A448F6"/>
    <w:rsid w:val="00A44BF7"/>
    <w:rsid w:val="00A4501C"/>
    <w:rsid w:val="00A459DB"/>
    <w:rsid w:val="00A45BDC"/>
    <w:rsid w:val="00A461B6"/>
    <w:rsid w:val="00A4667B"/>
    <w:rsid w:val="00A467C9"/>
    <w:rsid w:val="00A469D8"/>
    <w:rsid w:val="00A46F70"/>
    <w:rsid w:val="00A47098"/>
    <w:rsid w:val="00A4792C"/>
    <w:rsid w:val="00A47C07"/>
    <w:rsid w:val="00A50B57"/>
    <w:rsid w:val="00A51698"/>
    <w:rsid w:val="00A521B6"/>
    <w:rsid w:val="00A529A8"/>
    <w:rsid w:val="00A5345B"/>
    <w:rsid w:val="00A53549"/>
    <w:rsid w:val="00A53E72"/>
    <w:rsid w:val="00A549A1"/>
    <w:rsid w:val="00A554FE"/>
    <w:rsid w:val="00A55CED"/>
    <w:rsid w:val="00A5656A"/>
    <w:rsid w:val="00A56850"/>
    <w:rsid w:val="00A56B81"/>
    <w:rsid w:val="00A56E35"/>
    <w:rsid w:val="00A579D2"/>
    <w:rsid w:val="00A57F73"/>
    <w:rsid w:val="00A604F2"/>
    <w:rsid w:val="00A612AA"/>
    <w:rsid w:val="00A61711"/>
    <w:rsid w:val="00A61748"/>
    <w:rsid w:val="00A619FF"/>
    <w:rsid w:val="00A61A1F"/>
    <w:rsid w:val="00A61A36"/>
    <w:rsid w:val="00A62F19"/>
    <w:rsid w:val="00A6378A"/>
    <w:rsid w:val="00A63ADA"/>
    <w:rsid w:val="00A640E2"/>
    <w:rsid w:val="00A641A4"/>
    <w:rsid w:val="00A64EAE"/>
    <w:rsid w:val="00A66BDB"/>
    <w:rsid w:val="00A70E9C"/>
    <w:rsid w:val="00A72F33"/>
    <w:rsid w:val="00A73083"/>
    <w:rsid w:val="00A731D6"/>
    <w:rsid w:val="00A74037"/>
    <w:rsid w:val="00A758C6"/>
    <w:rsid w:val="00A75EF8"/>
    <w:rsid w:val="00A76146"/>
    <w:rsid w:val="00A76876"/>
    <w:rsid w:val="00A779C3"/>
    <w:rsid w:val="00A80863"/>
    <w:rsid w:val="00A80F25"/>
    <w:rsid w:val="00A81616"/>
    <w:rsid w:val="00A81EDD"/>
    <w:rsid w:val="00A824D6"/>
    <w:rsid w:val="00A82CB9"/>
    <w:rsid w:val="00A8362A"/>
    <w:rsid w:val="00A8365E"/>
    <w:rsid w:val="00A857D3"/>
    <w:rsid w:val="00A85DB9"/>
    <w:rsid w:val="00A85E2F"/>
    <w:rsid w:val="00A866B1"/>
    <w:rsid w:val="00A867CC"/>
    <w:rsid w:val="00A86D7E"/>
    <w:rsid w:val="00A874E9"/>
    <w:rsid w:val="00A9346A"/>
    <w:rsid w:val="00A9488D"/>
    <w:rsid w:val="00A963D4"/>
    <w:rsid w:val="00A96B85"/>
    <w:rsid w:val="00A96BE3"/>
    <w:rsid w:val="00A97B19"/>
    <w:rsid w:val="00AA0A9F"/>
    <w:rsid w:val="00AA0C15"/>
    <w:rsid w:val="00AA1312"/>
    <w:rsid w:val="00AA1E86"/>
    <w:rsid w:val="00AA210B"/>
    <w:rsid w:val="00AA2DC1"/>
    <w:rsid w:val="00AA528B"/>
    <w:rsid w:val="00AA546B"/>
    <w:rsid w:val="00AA5832"/>
    <w:rsid w:val="00AA5C60"/>
    <w:rsid w:val="00AA5FBD"/>
    <w:rsid w:val="00AA6458"/>
    <w:rsid w:val="00AA678F"/>
    <w:rsid w:val="00AA74EE"/>
    <w:rsid w:val="00AB03CA"/>
    <w:rsid w:val="00AB253D"/>
    <w:rsid w:val="00AB3180"/>
    <w:rsid w:val="00AB350C"/>
    <w:rsid w:val="00AB3C78"/>
    <w:rsid w:val="00AB4A48"/>
    <w:rsid w:val="00AB54F7"/>
    <w:rsid w:val="00AB617F"/>
    <w:rsid w:val="00AB7DBC"/>
    <w:rsid w:val="00AC1AA3"/>
    <w:rsid w:val="00AC1E27"/>
    <w:rsid w:val="00AC234A"/>
    <w:rsid w:val="00AC2467"/>
    <w:rsid w:val="00AC47BF"/>
    <w:rsid w:val="00AC47D2"/>
    <w:rsid w:val="00AC4F00"/>
    <w:rsid w:val="00AC69D4"/>
    <w:rsid w:val="00AC6DDE"/>
    <w:rsid w:val="00AD0D97"/>
    <w:rsid w:val="00AD0F5F"/>
    <w:rsid w:val="00AD21B5"/>
    <w:rsid w:val="00AD2B38"/>
    <w:rsid w:val="00AD2EF2"/>
    <w:rsid w:val="00AD3A98"/>
    <w:rsid w:val="00AD3B47"/>
    <w:rsid w:val="00AD5229"/>
    <w:rsid w:val="00AD5B89"/>
    <w:rsid w:val="00AD5FF6"/>
    <w:rsid w:val="00AD6221"/>
    <w:rsid w:val="00AD67B9"/>
    <w:rsid w:val="00AD75EA"/>
    <w:rsid w:val="00AE069A"/>
    <w:rsid w:val="00AE09AE"/>
    <w:rsid w:val="00AE0BEE"/>
    <w:rsid w:val="00AE0E38"/>
    <w:rsid w:val="00AE11BD"/>
    <w:rsid w:val="00AE15D5"/>
    <w:rsid w:val="00AE248C"/>
    <w:rsid w:val="00AE297B"/>
    <w:rsid w:val="00AE2DB1"/>
    <w:rsid w:val="00AE313D"/>
    <w:rsid w:val="00AE413D"/>
    <w:rsid w:val="00AE4FE0"/>
    <w:rsid w:val="00AE54EB"/>
    <w:rsid w:val="00AE58D5"/>
    <w:rsid w:val="00AE6686"/>
    <w:rsid w:val="00AE67E6"/>
    <w:rsid w:val="00AE79E9"/>
    <w:rsid w:val="00AE7BEE"/>
    <w:rsid w:val="00AF0E99"/>
    <w:rsid w:val="00AF130A"/>
    <w:rsid w:val="00AF20B5"/>
    <w:rsid w:val="00AF21C0"/>
    <w:rsid w:val="00AF229F"/>
    <w:rsid w:val="00AF325F"/>
    <w:rsid w:val="00AF3FB8"/>
    <w:rsid w:val="00AF42E0"/>
    <w:rsid w:val="00AF49E5"/>
    <w:rsid w:val="00AF4D31"/>
    <w:rsid w:val="00AF57C5"/>
    <w:rsid w:val="00AF66EE"/>
    <w:rsid w:val="00AF6CA5"/>
    <w:rsid w:val="00AF79FE"/>
    <w:rsid w:val="00AF7CB7"/>
    <w:rsid w:val="00B0083B"/>
    <w:rsid w:val="00B009F4"/>
    <w:rsid w:val="00B015DA"/>
    <w:rsid w:val="00B01D98"/>
    <w:rsid w:val="00B0334F"/>
    <w:rsid w:val="00B0442F"/>
    <w:rsid w:val="00B05373"/>
    <w:rsid w:val="00B05F02"/>
    <w:rsid w:val="00B06179"/>
    <w:rsid w:val="00B06546"/>
    <w:rsid w:val="00B07367"/>
    <w:rsid w:val="00B07E8B"/>
    <w:rsid w:val="00B1008F"/>
    <w:rsid w:val="00B1167B"/>
    <w:rsid w:val="00B11BB2"/>
    <w:rsid w:val="00B12947"/>
    <w:rsid w:val="00B134D8"/>
    <w:rsid w:val="00B14B26"/>
    <w:rsid w:val="00B14B79"/>
    <w:rsid w:val="00B14ECE"/>
    <w:rsid w:val="00B151E5"/>
    <w:rsid w:val="00B1569C"/>
    <w:rsid w:val="00B172C3"/>
    <w:rsid w:val="00B22580"/>
    <w:rsid w:val="00B22B08"/>
    <w:rsid w:val="00B23435"/>
    <w:rsid w:val="00B235B9"/>
    <w:rsid w:val="00B24B06"/>
    <w:rsid w:val="00B24D0A"/>
    <w:rsid w:val="00B24D19"/>
    <w:rsid w:val="00B2529D"/>
    <w:rsid w:val="00B25745"/>
    <w:rsid w:val="00B2628B"/>
    <w:rsid w:val="00B265DE"/>
    <w:rsid w:val="00B26978"/>
    <w:rsid w:val="00B27208"/>
    <w:rsid w:val="00B2773E"/>
    <w:rsid w:val="00B30614"/>
    <w:rsid w:val="00B30EE8"/>
    <w:rsid w:val="00B3157F"/>
    <w:rsid w:val="00B31674"/>
    <w:rsid w:val="00B3317D"/>
    <w:rsid w:val="00B33BC7"/>
    <w:rsid w:val="00B3406F"/>
    <w:rsid w:val="00B34C9B"/>
    <w:rsid w:val="00B3505A"/>
    <w:rsid w:val="00B35C09"/>
    <w:rsid w:val="00B35F18"/>
    <w:rsid w:val="00B36056"/>
    <w:rsid w:val="00B36583"/>
    <w:rsid w:val="00B36F49"/>
    <w:rsid w:val="00B4061E"/>
    <w:rsid w:val="00B411FB"/>
    <w:rsid w:val="00B41983"/>
    <w:rsid w:val="00B41D64"/>
    <w:rsid w:val="00B41E9E"/>
    <w:rsid w:val="00B43C4B"/>
    <w:rsid w:val="00B449F9"/>
    <w:rsid w:val="00B44FC9"/>
    <w:rsid w:val="00B455C1"/>
    <w:rsid w:val="00B4588D"/>
    <w:rsid w:val="00B459E7"/>
    <w:rsid w:val="00B46306"/>
    <w:rsid w:val="00B46CD5"/>
    <w:rsid w:val="00B47042"/>
    <w:rsid w:val="00B472A0"/>
    <w:rsid w:val="00B477BD"/>
    <w:rsid w:val="00B4786D"/>
    <w:rsid w:val="00B47F43"/>
    <w:rsid w:val="00B51EC6"/>
    <w:rsid w:val="00B53058"/>
    <w:rsid w:val="00B533BB"/>
    <w:rsid w:val="00B539E6"/>
    <w:rsid w:val="00B53CFF"/>
    <w:rsid w:val="00B5485C"/>
    <w:rsid w:val="00B54EF1"/>
    <w:rsid w:val="00B55149"/>
    <w:rsid w:val="00B559FB"/>
    <w:rsid w:val="00B55CEE"/>
    <w:rsid w:val="00B56075"/>
    <w:rsid w:val="00B56C50"/>
    <w:rsid w:val="00B572E7"/>
    <w:rsid w:val="00B575C2"/>
    <w:rsid w:val="00B600AF"/>
    <w:rsid w:val="00B605D9"/>
    <w:rsid w:val="00B6183D"/>
    <w:rsid w:val="00B64779"/>
    <w:rsid w:val="00B648C2"/>
    <w:rsid w:val="00B65387"/>
    <w:rsid w:val="00B6569F"/>
    <w:rsid w:val="00B65F8A"/>
    <w:rsid w:val="00B66238"/>
    <w:rsid w:val="00B66298"/>
    <w:rsid w:val="00B66DC7"/>
    <w:rsid w:val="00B67885"/>
    <w:rsid w:val="00B701ED"/>
    <w:rsid w:val="00B703BC"/>
    <w:rsid w:val="00B70C92"/>
    <w:rsid w:val="00B71E77"/>
    <w:rsid w:val="00B72094"/>
    <w:rsid w:val="00B722CE"/>
    <w:rsid w:val="00B72E89"/>
    <w:rsid w:val="00B73D45"/>
    <w:rsid w:val="00B73E22"/>
    <w:rsid w:val="00B74395"/>
    <w:rsid w:val="00B75542"/>
    <w:rsid w:val="00B75AF0"/>
    <w:rsid w:val="00B76861"/>
    <w:rsid w:val="00B76952"/>
    <w:rsid w:val="00B776A0"/>
    <w:rsid w:val="00B777F8"/>
    <w:rsid w:val="00B77D8D"/>
    <w:rsid w:val="00B804E4"/>
    <w:rsid w:val="00B81CE9"/>
    <w:rsid w:val="00B81DA2"/>
    <w:rsid w:val="00B81E18"/>
    <w:rsid w:val="00B81F72"/>
    <w:rsid w:val="00B82305"/>
    <w:rsid w:val="00B842C0"/>
    <w:rsid w:val="00B855AF"/>
    <w:rsid w:val="00B85BD6"/>
    <w:rsid w:val="00B86022"/>
    <w:rsid w:val="00B862E5"/>
    <w:rsid w:val="00B866C3"/>
    <w:rsid w:val="00B87E45"/>
    <w:rsid w:val="00B901EB"/>
    <w:rsid w:val="00B90FB5"/>
    <w:rsid w:val="00B91D67"/>
    <w:rsid w:val="00B92D43"/>
    <w:rsid w:val="00B939EF"/>
    <w:rsid w:val="00B93F1B"/>
    <w:rsid w:val="00B93FE4"/>
    <w:rsid w:val="00B948E7"/>
    <w:rsid w:val="00B94D79"/>
    <w:rsid w:val="00B94EAF"/>
    <w:rsid w:val="00B950BD"/>
    <w:rsid w:val="00B95533"/>
    <w:rsid w:val="00B97F48"/>
    <w:rsid w:val="00BA0055"/>
    <w:rsid w:val="00BA01A6"/>
    <w:rsid w:val="00BA042E"/>
    <w:rsid w:val="00BA0667"/>
    <w:rsid w:val="00BA0A9B"/>
    <w:rsid w:val="00BA17B1"/>
    <w:rsid w:val="00BA17C1"/>
    <w:rsid w:val="00BA19C3"/>
    <w:rsid w:val="00BA1BD6"/>
    <w:rsid w:val="00BA1DEE"/>
    <w:rsid w:val="00BA30AD"/>
    <w:rsid w:val="00BA448D"/>
    <w:rsid w:val="00BA4B6D"/>
    <w:rsid w:val="00BA4F0F"/>
    <w:rsid w:val="00BA5225"/>
    <w:rsid w:val="00BA6301"/>
    <w:rsid w:val="00BA6356"/>
    <w:rsid w:val="00BA673E"/>
    <w:rsid w:val="00BA6C64"/>
    <w:rsid w:val="00BA789A"/>
    <w:rsid w:val="00BA7E3A"/>
    <w:rsid w:val="00BB012C"/>
    <w:rsid w:val="00BB037E"/>
    <w:rsid w:val="00BB0761"/>
    <w:rsid w:val="00BB0EDA"/>
    <w:rsid w:val="00BB1053"/>
    <w:rsid w:val="00BB15A9"/>
    <w:rsid w:val="00BB1866"/>
    <w:rsid w:val="00BB1FB8"/>
    <w:rsid w:val="00BB1FFF"/>
    <w:rsid w:val="00BB25C3"/>
    <w:rsid w:val="00BB2701"/>
    <w:rsid w:val="00BB2EE5"/>
    <w:rsid w:val="00BB33A7"/>
    <w:rsid w:val="00BB494B"/>
    <w:rsid w:val="00BB51B2"/>
    <w:rsid w:val="00BB5E25"/>
    <w:rsid w:val="00BB6DCB"/>
    <w:rsid w:val="00BB7C57"/>
    <w:rsid w:val="00BC0E1F"/>
    <w:rsid w:val="00BC135C"/>
    <w:rsid w:val="00BC1972"/>
    <w:rsid w:val="00BC1F96"/>
    <w:rsid w:val="00BC24CA"/>
    <w:rsid w:val="00BC291E"/>
    <w:rsid w:val="00BC2F61"/>
    <w:rsid w:val="00BC4F38"/>
    <w:rsid w:val="00BC53FE"/>
    <w:rsid w:val="00BC612B"/>
    <w:rsid w:val="00BD0D3F"/>
    <w:rsid w:val="00BD113A"/>
    <w:rsid w:val="00BD2413"/>
    <w:rsid w:val="00BD2895"/>
    <w:rsid w:val="00BD2D1B"/>
    <w:rsid w:val="00BD2E73"/>
    <w:rsid w:val="00BD3A85"/>
    <w:rsid w:val="00BD3DA8"/>
    <w:rsid w:val="00BD3DB7"/>
    <w:rsid w:val="00BD45D5"/>
    <w:rsid w:val="00BD4A70"/>
    <w:rsid w:val="00BD4A91"/>
    <w:rsid w:val="00BD4D52"/>
    <w:rsid w:val="00BD4EE1"/>
    <w:rsid w:val="00BD51DD"/>
    <w:rsid w:val="00BD6B21"/>
    <w:rsid w:val="00BD72BC"/>
    <w:rsid w:val="00BD7684"/>
    <w:rsid w:val="00BE0194"/>
    <w:rsid w:val="00BE167D"/>
    <w:rsid w:val="00BE2218"/>
    <w:rsid w:val="00BE2A63"/>
    <w:rsid w:val="00BE338B"/>
    <w:rsid w:val="00BE5669"/>
    <w:rsid w:val="00BE6604"/>
    <w:rsid w:val="00BE6816"/>
    <w:rsid w:val="00BE7712"/>
    <w:rsid w:val="00BE7969"/>
    <w:rsid w:val="00BF0537"/>
    <w:rsid w:val="00BF0F2D"/>
    <w:rsid w:val="00BF1484"/>
    <w:rsid w:val="00BF1AA4"/>
    <w:rsid w:val="00BF3BE8"/>
    <w:rsid w:val="00BF3FE9"/>
    <w:rsid w:val="00BF4BC7"/>
    <w:rsid w:val="00BF5F1D"/>
    <w:rsid w:val="00BF6DCF"/>
    <w:rsid w:val="00C00697"/>
    <w:rsid w:val="00C0095A"/>
    <w:rsid w:val="00C0128F"/>
    <w:rsid w:val="00C0162A"/>
    <w:rsid w:val="00C023E0"/>
    <w:rsid w:val="00C02E4B"/>
    <w:rsid w:val="00C02E56"/>
    <w:rsid w:val="00C039F9"/>
    <w:rsid w:val="00C04C87"/>
    <w:rsid w:val="00C04DFF"/>
    <w:rsid w:val="00C05900"/>
    <w:rsid w:val="00C0632E"/>
    <w:rsid w:val="00C06C85"/>
    <w:rsid w:val="00C1020F"/>
    <w:rsid w:val="00C1088C"/>
    <w:rsid w:val="00C1161E"/>
    <w:rsid w:val="00C12699"/>
    <w:rsid w:val="00C1278C"/>
    <w:rsid w:val="00C12EEB"/>
    <w:rsid w:val="00C13D2B"/>
    <w:rsid w:val="00C145B2"/>
    <w:rsid w:val="00C14B07"/>
    <w:rsid w:val="00C15A8D"/>
    <w:rsid w:val="00C15BFB"/>
    <w:rsid w:val="00C1618B"/>
    <w:rsid w:val="00C178F2"/>
    <w:rsid w:val="00C17DF5"/>
    <w:rsid w:val="00C20287"/>
    <w:rsid w:val="00C20D37"/>
    <w:rsid w:val="00C21022"/>
    <w:rsid w:val="00C21200"/>
    <w:rsid w:val="00C2127E"/>
    <w:rsid w:val="00C24341"/>
    <w:rsid w:val="00C26157"/>
    <w:rsid w:val="00C261A9"/>
    <w:rsid w:val="00C26BB6"/>
    <w:rsid w:val="00C276C1"/>
    <w:rsid w:val="00C27A6B"/>
    <w:rsid w:val="00C30951"/>
    <w:rsid w:val="00C30BB0"/>
    <w:rsid w:val="00C328FF"/>
    <w:rsid w:val="00C32AC2"/>
    <w:rsid w:val="00C32DCE"/>
    <w:rsid w:val="00C33330"/>
    <w:rsid w:val="00C33566"/>
    <w:rsid w:val="00C3397E"/>
    <w:rsid w:val="00C34BDC"/>
    <w:rsid w:val="00C35933"/>
    <w:rsid w:val="00C367A4"/>
    <w:rsid w:val="00C37443"/>
    <w:rsid w:val="00C3757F"/>
    <w:rsid w:val="00C3758D"/>
    <w:rsid w:val="00C37942"/>
    <w:rsid w:val="00C37B7A"/>
    <w:rsid w:val="00C41507"/>
    <w:rsid w:val="00C42286"/>
    <w:rsid w:val="00C42AF2"/>
    <w:rsid w:val="00C436E2"/>
    <w:rsid w:val="00C43F35"/>
    <w:rsid w:val="00C44145"/>
    <w:rsid w:val="00C45259"/>
    <w:rsid w:val="00C45916"/>
    <w:rsid w:val="00C45E6B"/>
    <w:rsid w:val="00C45F1B"/>
    <w:rsid w:val="00C45FDA"/>
    <w:rsid w:val="00C4684A"/>
    <w:rsid w:val="00C477CC"/>
    <w:rsid w:val="00C50FBD"/>
    <w:rsid w:val="00C51551"/>
    <w:rsid w:val="00C51C42"/>
    <w:rsid w:val="00C51D1D"/>
    <w:rsid w:val="00C52312"/>
    <w:rsid w:val="00C5285B"/>
    <w:rsid w:val="00C52C97"/>
    <w:rsid w:val="00C52DCF"/>
    <w:rsid w:val="00C52EF8"/>
    <w:rsid w:val="00C53EF9"/>
    <w:rsid w:val="00C55414"/>
    <w:rsid w:val="00C56A0C"/>
    <w:rsid w:val="00C5744C"/>
    <w:rsid w:val="00C60BD5"/>
    <w:rsid w:val="00C60FFF"/>
    <w:rsid w:val="00C61CD5"/>
    <w:rsid w:val="00C62A69"/>
    <w:rsid w:val="00C6550F"/>
    <w:rsid w:val="00C657F8"/>
    <w:rsid w:val="00C66A73"/>
    <w:rsid w:val="00C67230"/>
    <w:rsid w:val="00C67480"/>
    <w:rsid w:val="00C67AA6"/>
    <w:rsid w:val="00C717EF"/>
    <w:rsid w:val="00C7222A"/>
    <w:rsid w:val="00C7560F"/>
    <w:rsid w:val="00C76599"/>
    <w:rsid w:val="00C76745"/>
    <w:rsid w:val="00C76A3D"/>
    <w:rsid w:val="00C76C3A"/>
    <w:rsid w:val="00C7715B"/>
    <w:rsid w:val="00C77259"/>
    <w:rsid w:val="00C775B2"/>
    <w:rsid w:val="00C80597"/>
    <w:rsid w:val="00C806A7"/>
    <w:rsid w:val="00C80AED"/>
    <w:rsid w:val="00C80CAE"/>
    <w:rsid w:val="00C80E76"/>
    <w:rsid w:val="00C81202"/>
    <w:rsid w:val="00C814B6"/>
    <w:rsid w:val="00C816BC"/>
    <w:rsid w:val="00C82753"/>
    <w:rsid w:val="00C8366E"/>
    <w:rsid w:val="00C83869"/>
    <w:rsid w:val="00C8397E"/>
    <w:rsid w:val="00C83BF4"/>
    <w:rsid w:val="00C8612E"/>
    <w:rsid w:val="00C86314"/>
    <w:rsid w:val="00C86F22"/>
    <w:rsid w:val="00C90277"/>
    <w:rsid w:val="00C90899"/>
    <w:rsid w:val="00C90EAA"/>
    <w:rsid w:val="00C9268F"/>
    <w:rsid w:val="00C933C9"/>
    <w:rsid w:val="00C93741"/>
    <w:rsid w:val="00C937E7"/>
    <w:rsid w:val="00C94099"/>
    <w:rsid w:val="00C9437A"/>
    <w:rsid w:val="00C946CA"/>
    <w:rsid w:val="00C94796"/>
    <w:rsid w:val="00C953BF"/>
    <w:rsid w:val="00C95BC7"/>
    <w:rsid w:val="00C95FA9"/>
    <w:rsid w:val="00C9650F"/>
    <w:rsid w:val="00C966DD"/>
    <w:rsid w:val="00C96A93"/>
    <w:rsid w:val="00C96DCA"/>
    <w:rsid w:val="00C9741E"/>
    <w:rsid w:val="00CA33C7"/>
    <w:rsid w:val="00CA3F64"/>
    <w:rsid w:val="00CA44FC"/>
    <w:rsid w:val="00CA7142"/>
    <w:rsid w:val="00CA71B7"/>
    <w:rsid w:val="00CA72B8"/>
    <w:rsid w:val="00CA72FA"/>
    <w:rsid w:val="00CA7A73"/>
    <w:rsid w:val="00CB0618"/>
    <w:rsid w:val="00CB0710"/>
    <w:rsid w:val="00CB1132"/>
    <w:rsid w:val="00CB116E"/>
    <w:rsid w:val="00CB2C58"/>
    <w:rsid w:val="00CB353E"/>
    <w:rsid w:val="00CB387C"/>
    <w:rsid w:val="00CB38A3"/>
    <w:rsid w:val="00CB4B95"/>
    <w:rsid w:val="00CB5346"/>
    <w:rsid w:val="00CB54D4"/>
    <w:rsid w:val="00CB7353"/>
    <w:rsid w:val="00CB7361"/>
    <w:rsid w:val="00CC05EA"/>
    <w:rsid w:val="00CC0874"/>
    <w:rsid w:val="00CC16D4"/>
    <w:rsid w:val="00CC1C3E"/>
    <w:rsid w:val="00CC3081"/>
    <w:rsid w:val="00CC3139"/>
    <w:rsid w:val="00CC3F19"/>
    <w:rsid w:val="00CC422B"/>
    <w:rsid w:val="00CC4406"/>
    <w:rsid w:val="00CC46FC"/>
    <w:rsid w:val="00CC4714"/>
    <w:rsid w:val="00CC4B72"/>
    <w:rsid w:val="00CC50C8"/>
    <w:rsid w:val="00CC6859"/>
    <w:rsid w:val="00CC6E49"/>
    <w:rsid w:val="00CC7295"/>
    <w:rsid w:val="00CC787D"/>
    <w:rsid w:val="00CC7D63"/>
    <w:rsid w:val="00CD066B"/>
    <w:rsid w:val="00CD0856"/>
    <w:rsid w:val="00CD2518"/>
    <w:rsid w:val="00CD337B"/>
    <w:rsid w:val="00CD3AB0"/>
    <w:rsid w:val="00CD3F4A"/>
    <w:rsid w:val="00CD4142"/>
    <w:rsid w:val="00CD5749"/>
    <w:rsid w:val="00CD5982"/>
    <w:rsid w:val="00CD64D1"/>
    <w:rsid w:val="00CD730D"/>
    <w:rsid w:val="00CD7708"/>
    <w:rsid w:val="00CD7C16"/>
    <w:rsid w:val="00CD7E0E"/>
    <w:rsid w:val="00CE1635"/>
    <w:rsid w:val="00CE1A62"/>
    <w:rsid w:val="00CE258C"/>
    <w:rsid w:val="00CE4184"/>
    <w:rsid w:val="00CE4686"/>
    <w:rsid w:val="00CE4910"/>
    <w:rsid w:val="00CE5B79"/>
    <w:rsid w:val="00CE6EE1"/>
    <w:rsid w:val="00CF033E"/>
    <w:rsid w:val="00CF0909"/>
    <w:rsid w:val="00CF0D33"/>
    <w:rsid w:val="00CF198F"/>
    <w:rsid w:val="00CF2FF4"/>
    <w:rsid w:val="00CF40B4"/>
    <w:rsid w:val="00CF4EDA"/>
    <w:rsid w:val="00CF514C"/>
    <w:rsid w:val="00CF7819"/>
    <w:rsid w:val="00CF797E"/>
    <w:rsid w:val="00D00916"/>
    <w:rsid w:val="00D00F64"/>
    <w:rsid w:val="00D019D3"/>
    <w:rsid w:val="00D01D7F"/>
    <w:rsid w:val="00D01DE9"/>
    <w:rsid w:val="00D02370"/>
    <w:rsid w:val="00D024CD"/>
    <w:rsid w:val="00D02E44"/>
    <w:rsid w:val="00D03919"/>
    <w:rsid w:val="00D042C9"/>
    <w:rsid w:val="00D053C7"/>
    <w:rsid w:val="00D05697"/>
    <w:rsid w:val="00D06B29"/>
    <w:rsid w:val="00D06F98"/>
    <w:rsid w:val="00D07345"/>
    <w:rsid w:val="00D073DF"/>
    <w:rsid w:val="00D07EB3"/>
    <w:rsid w:val="00D102B5"/>
    <w:rsid w:val="00D10AA6"/>
    <w:rsid w:val="00D113FB"/>
    <w:rsid w:val="00D124AE"/>
    <w:rsid w:val="00D12720"/>
    <w:rsid w:val="00D12B65"/>
    <w:rsid w:val="00D12CEA"/>
    <w:rsid w:val="00D139F1"/>
    <w:rsid w:val="00D14B44"/>
    <w:rsid w:val="00D15213"/>
    <w:rsid w:val="00D15501"/>
    <w:rsid w:val="00D15D22"/>
    <w:rsid w:val="00D16362"/>
    <w:rsid w:val="00D166C2"/>
    <w:rsid w:val="00D16D0F"/>
    <w:rsid w:val="00D201FE"/>
    <w:rsid w:val="00D203B0"/>
    <w:rsid w:val="00D21C63"/>
    <w:rsid w:val="00D234DA"/>
    <w:rsid w:val="00D23776"/>
    <w:rsid w:val="00D24525"/>
    <w:rsid w:val="00D2598A"/>
    <w:rsid w:val="00D2693C"/>
    <w:rsid w:val="00D269D3"/>
    <w:rsid w:val="00D2755E"/>
    <w:rsid w:val="00D27D0C"/>
    <w:rsid w:val="00D30104"/>
    <w:rsid w:val="00D30234"/>
    <w:rsid w:val="00D30701"/>
    <w:rsid w:val="00D3079B"/>
    <w:rsid w:val="00D30940"/>
    <w:rsid w:val="00D33592"/>
    <w:rsid w:val="00D3445B"/>
    <w:rsid w:val="00D3482C"/>
    <w:rsid w:val="00D35F6F"/>
    <w:rsid w:val="00D367AC"/>
    <w:rsid w:val="00D36F5A"/>
    <w:rsid w:val="00D37007"/>
    <w:rsid w:val="00D3784D"/>
    <w:rsid w:val="00D37AA6"/>
    <w:rsid w:val="00D4099B"/>
    <w:rsid w:val="00D41E62"/>
    <w:rsid w:val="00D426D5"/>
    <w:rsid w:val="00D42709"/>
    <w:rsid w:val="00D4292F"/>
    <w:rsid w:val="00D4326C"/>
    <w:rsid w:val="00D43B61"/>
    <w:rsid w:val="00D43EA7"/>
    <w:rsid w:val="00D43FD0"/>
    <w:rsid w:val="00D45CD9"/>
    <w:rsid w:val="00D4602A"/>
    <w:rsid w:val="00D4643A"/>
    <w:rsid w:val="00D465DC"/>
    <w:rsid w:val="00D46B26"/>
    <w:rsid w:val="00D47C65"/>
    <w:rsid w:val="00D514C2"/>
    <w:rsid w:val="00D52086"/>
    <w:rsid w:val="00D52159"/>
    <w:rsid w:val="00D528E2"/>
    <w:rsid w:val="00D528E3"/>
    <w:rsid w:val="00D52995"/>
    <w:rsid w:val="00D54018"/>
    <w:rsid w:val="00D548F8"/>
    <w:rsid w:val="00D54CE5"/>
    <w:rsid w:val="00D54F1F"/>
    <w:rsid w:val="00D54FEA"/>
    <w:rsid w:val="00D55B68"/>
    <w:rsid w:val="00D56014"/>
    <w:rsid w:val="00D566A0"/>
    <w:rsid w:val="00D5697C"/>
    <w:rsid w:val="00D578B7"/>
    <w:rsid w:val="00D57D8B"/>
    <w:rsid w:val="00D57F0F"/>
    <w:rsid w:val="00D60419"/>
    <w:rsid w:val="00D61146"/>
    <w:rsid w:val="00D611A9"/>
    <w:rsid w:val="00D621F3"/>
    <w:rsid w:val="00D629C0"/>
    <w:rsid w:val="00D63CA5"/>
    <w:rsid w:val="00D64789"/>
    <w:rsid w:val="00D66AA3"/>
    <w:rsid w:val="00D671FD"/>
    <w:rsid w:val="00D71E13"/>
    <w:rsid w:val="00D726AD"/>
    <w:rsid w:val="00D72812"/>
    <w:rsid w:val="00D72E5E"/>
    <w:rsid w:val="00D73663"/>
    <w:rsid w:val="00D75141"/>
    <w:rsid w:val="00D755AB"/>
    <w:rsid w:val="00D7597A"/>
    <w:rsid w:val="00D76363"/>
    <w:rsid w:val="00D76730"/>
    <w:rsid w:val="00D76B03"/>
    <w:rsid w:val="00D76E3F"/>
    <w:rsid w:val="00D802AB"/>
    <w:rsid w:val="00D80A80"/>
    <w:rsid w:val="00D81D9B"/>
    <w:rsid w:val="00D82F67"/>
    <w:rsid w:val="00D835A5"/>
    <w:rsid w:val="00D836C4"/>
    <w:rsid w:val="00D83F5F"/>
    <w:rsid w:val="00D85144"/>
    <w:rsid w:val="00D854BD"/>
    <w:rsid w:val="00D856E2"/>
    <w:rsid w:val="00D858FD"/>
    <w:rsid w:val="00D868BE"/>
    <w:rsid w:val="00D86AA3"/>
    <w:rsid w:val="00D87721"/>
    <w:rsid w:val="00D9012E"/>
    <w:rsid w:val="00D90897"/>
    <w:rsid w:val="00D90AC3"/>
    <w:rsid w:val="00D90AC9"/>
    <w:rsid w:val="00D9272D"/>
    <w:rsid w:val="00D92CC6"/>
    <w:rsid w:val="00D92E3D"/>
    <w:rsid w:val="00D94397"/>
    <w:rsid w:val="00D94B66"/>
    <w:rsid w:val="00D955A3"/>
    <w:rsid w:val="00D95893"/>
    <w:rsid w:val="00D9595D"/>
    <w:rsid w:val="00D95F4D"/>
    <w:rsid w:val="00D96135"/>
    <w:rsid w:val="00D965DE"/>
    <w:rsid w:val="00D96BCE"/>
    <w:rsid w:val="00D97051"/>
    <w:rsid w:val="00D970BF"/>
    <w:rsid w:val="00D97793"/>
    <w:rsid w:val="00DA0297"/>
    <w:rsid w:val="00DA0E51"/>
    <w:rsid w:val="00DA0EC9"/>
    <w:rsid w:val="00DA1CE4"/>
    <w:rsid w:val="00DA1E08"/>
    <w:rsid w:val="00DA20D7"/>
    <w:rsid w:val="00DA3036"/>
    <w:rsid w:val="00DA4561"/>
    <w:rsid w:val="00DA4681"/>
    <w:rsid w:val="00DA5D89"/>
    <w:rsid w:val="00DA60A4"/>
    <w:rsid w:val="00DA60FF"/>
    <w:rsid w:val="00DA6346"/>
    <w:rsid w:val="00DA6CC9"/>
    <w:rsid w:val="00DA735E"/>
    <w:rsid w:val="00DB015B"/>
    <w:rsid w:val="00DB155B"/>
    <w:rsid w:val="00DB2B3C"/>
    <w:rsid w:val="00DB2E4B"/>
    <w:rsid w:val="00DB34DA"/>
    <w:rsid w:val="00DB43C4"/>
    <w:rsid w:val="00DB52FD"/>
    <w:rsid w:val="00DB5688"/>
    <w:rsid w:val="00DB5E67"/>
    <w:rsid w:val="00DB639B"/>
    <w:rsid w:val="00DB6C2D"/>
    <w:rsid w:val="00DB6F16"/>
    <w:rsid w:val="00DB7335"/>
    <w:rsid w:val="00DB74B3"/>
    <w:rsid w:val="00DB776B"/>
    <w:rsid w:val="00DB7AE4"/>
    <w:rsid w:val="00DB7CC2"/>
    <w:rsid w:val="00DC030E"/>
    <w:rsid w:val="00DC08F8"/>
    <w:rsid w:val="00DC1B59"/>
    <w:rsid w:val="00DC2273"/>
    <w:rsid w:val="00DC2514"/>
    <w:rsid w:val="00DC2C7F"/>
    <w:rsid w:val="00DC2CC3"/>
    <w:rsid w:val="00DC2F27"/>
    <w:rsid w:val="00DC3A41"/>
    <w:rsid w:val="00DC3FC9"/>
    <w:rsid w:val="00DC4491"/>
    <w:rsid w:val="00DC4D56"/>
    <w:rsid w:val="00DC4E0B"/>
    <w:rsid w:val="00DC5650"/>
    <w:rsid w:val="00DC59E9"/>
    <w:rsid w:val="00DC5A0A"/>
    <w:rsid w:val="00DC63AF"/>
    <w:rsid w:val="00DC659C"/>
    <w:rsid w:val="00DC78BE"/>
    <w:rsid w:val="00DC7BB7"/>
    <w:rsid w:val="00DC7E03"/>
    <w:rsid w:val="00DD0370"/>
    <w:rsid w:val="00DD090A"/>
    <w:rsid w:val="00DD0EDB"/>
    <w:rsid w:val="00DD1895"/>
    <w:rsid w:val="00DD2203"/>
    <w:rsid w:val="00DD23FD"/>
    <w:rsid w:val="00DD2AF8"/>
    <w:rsid w:val="00DD3637"/>
    <w:rsid w:val="00DD3E37"/>
    <w:rsid w:val="00DD3EBC"/>
    <w:rsid w:val="00DD4172"/>
    <w:rsid w:val="00DD4825"/>
    <w:rsid w:val="00DD6490"/>
    <w:rsid w:val="00DD6B39"/>
    <w:rsid w:val="00DD7B90"/>
    <w:rsid w:val="00DE06F3"/>
    <w:rsid w:val="00DE193D"/>
    <w:rsid w:val="00DE1E40"/>
    <w:rsid w:val="00DE22ED"/>
    <w:rsid w:val="00DE3545"/>
    <w:rsid w:val="00DE36CF"/>
    <w:rsid w:val="00DE38A6"/>
    <w:rsid w:val="00DE42BB"/>
    <w:rsid w:val="00DE45C7"/>
    <w:rsid w:val="00DE6513"/>
    <w:rsid w:val="00DE70D9"/>
    <w:rsid w:val="00DE710F"/>
    <w:rsid w:val="00DE7EED"/>
    <w:rsid w:val="00DF2185"/>
    <w:rsid w:val="00DF2E81"/>
    <w:rsid w:val="00DF370B"/>
    <w:rsid w:val="00DF3907"/>
    <w:rsid w:val="00DF3A9A"/>
    <w:rsid w:val="00DF3D29"/>
    <w:rsid w:val="00DF4E8E"/>
    <w:rsid w:val="00DF5215"/>
    <w:rsid w:val="00DF5FD4"/>
    <w:rsid w:val="00DF6197"/>
    <w:rsid w:val="00DF6C03"/>
    <w:rsid w:val="00DF77AE"/>
    <w:rsid w:val="00DF7D00"/>
    <w:rsid w:val="00E00213"/>
    <w:rsid w:val="00E00C83"/>
    <w:rsid w:val="00E00E62"/>
    <w:rsid w:val="00E00EE4"/>
    <w:rsid w:val="00E01B77"/>
    <w:rsid w:val="00E02E5D"/>
    <w:rsid w:val="00E0400C"/>
    <w:rsid w:val="00E055BE"/>
    <w:rsid w:val="00E06700"/>
    <w:rsid w:val="00E07939"/>
    <w:rsid w:val="00E1236E"/>
    <w:rsid w:val="00E13BBC"/>
    <w:rsid w:val="00E13C2A"/>
    <w:rsid w:val="00E141D6"/>
    <w:rsid w:val="00E14567"/>
    <w:rsid w:val="00E146D4"/>
    <w:rsid w:val="00E146E5"/>
    <w:rsid w:val="00E14B90"/>
    <w:rsid w:val="00E1628E"/>
    <w:rsid w:val="00E162B9"/>
    <w:rsid w:val="00E17172"/>
    <w:rsid w:val="00E2043B"/>
    <w:rsid w:val="00E204E0"/>
    <w:rsid w:val="00E20A5C"/>
    <w:rsid w:val="00E20C58"/>
    <w:rsid w:val="00E20D75"/>
    <w:rsid w:val="00E2171E"/>
    <w:rsid w:val="00E224F0"/>
    <w:rsid w:val="00E227A4"/>
    <w:rsid w:val="00E22AC2"/>
    <w:rsid w:val="00E231B0"/>
    <w:rsid w:val="00E236AA"/>
    <w:rsid w:val="00E23B18"/>
    <w:rsid w:val="00E249C8"/>
    <w:rsid w:val="00E24C0D"/>
    <w:rsid w:val="00E26DB6"/>
    <w:rsid w:val="00E31215"/>
    <w:rsid w:val="00E3153F"/>
    <w:rsid w:val="00E319DA"/>
    <w:rsid w:val="00E33175"/>
    <w:rsid w:val="00E33266"/>
    <w:rsid w:val="00E3556B"/>
    <w:rsid w:val="00E35AF5"/>
    <w:rsid w:val="00E374F5"/>
    <w:rsid w:val="00E401B3"/>
    <w:rsid w:val="00E403E0"/>
    <w:rsid w:val="00E40A11"/>
    <w:rsid w:val="00E41144"/>
    <w:rsid w:val="00E412B9"/>
    <w:rsid w:val="00E45FF2"/>
    <w:rsid w:val="00E47444"/>
    <w:rsid w:val="00E474DE"/>
    <w:rsid w:val="00E50D6C"/>
    <w:rsid w:val="00E52935"/>
    <w:rsid w:val="00E53C8B"/>
    <w:rsid w:val="00E55012"/>
    <w:rsid w:val="00E55291"/>
    <w:rsid w:val="00E55DA3"/>
    <w:rsid w:val="00E56353"/>
    <w:rsid w:val="00E56F41"/>
    <w:rsid w:val="00E575C3"/>
    <w:rsid w:val="00E578B7"/>
    <w:rsid w:val="00E5797F"/>
    <w:rsid w:val="00E57F07"/>
    <w:rsid w:val="00E611C4"/>
    <w:rsid w:val="00E61E8D"/>
    <w:rsid w:val="00E622CB"/>
    <w:rsid w:val="00E62899"/>
    <w:rsid w:val="00E64133"/>
    <w:rsid w:val="00E646A5"/>
    <w:rsid w:val="00E64AE1"/>
    <w:rsid w:val="00E64D06"/>
    <w:rsid w:val="00E6567D"/>
    <w:rsid w:val="00E657F6"/>
    <w:rsid w:val="00E65B47"/>
    <w:rsid w:val="00E668CD"/>
    <w:rsid w:val="00E67145"/>
    <w:rsid w:val="00E671A5"/>
    <w:rsid w:val="00E67DC4"/>
    <w:rsid w:val="00E71C31"/>
    <w:rsid w:val="00E72922"/>
    <w:rsid w:val="00E7329A"/>
    <w:rsid w:val="00E7365F"/>
    <w:rsid w:val="00E73ABA"/>
    <w:rsid w:val="00E741E1"/>
    <w:rsid w:val="00E75460"/>
    <w:rsid w:val="00E75E71"/>
    <w:rsid w:val="00E76451"/>
    <w:rsid w:val="00E76D4E"/>
    <w:rsid w:val="00E771F8"/>
    <w:rsid w:val="00E77532"/>
    <w:rsid w:val="00E7763F"/>
    <w:rsid w:val="00E8016F"/>
    <w:rsid w:val="00E803A4"/>
    <w:rsid w:val="00E8062A"/>
    <w:rsid w:val="00E80766"/>
    <w:rsid w:val="00E80E52"/>
    <w:rsid w:val="00E81479"/>
    <w:rsid w:val="00E816CE"/>
    <w:rsid w:val="00E82130"/>
    <w:rsid w:val="00E82745"/>
    <w:rsid w:val="00E82983"/>
    <w:rsid w:val="00E83626"/>
    <w:rsid w:val="00E83A6F"/>
    <w:rsid w:val="00E83BFA"/>
    <w:rsid w:val="00E84395"/>
    <w:rsid w:val="00E84BD9"/>
    <w:rsid w:val="00E84EF3"/>
    <w:rsid w:val="00E856DE"/>
    <w:rsid w:val="00E85BFB"/>
    <w:rsid w:val="00E8642E"/>
    <w:rsid w:val="00E87AEB"/>
    <w:rsid w:val="00E90FB5"/>
    <w:rsid w:val="00E91D5D"/>
    <w:rsid w:val="00E91D7F"/>
    <w:rsid w:val="00E9242C"/>
    <w:rsid w:val="00E925EB"/>
    <w:rsid w:val="00E92B81"/>
    <w:rsid w:val="00E93326"/>
    <w:rsid w:val="00E93459"/>
    <w:rsid w:val="00E93759"/>
    <w:rsid w:val="00E942A1"/>
    <w:rsid w:val="00E945B4"/>
    <w:rsid w:val="00E94904"/>
    <w:rsid w:val="00E952A5"/>
    <w:rsid w:val="00E96847"/>
    <w:rsid w:val="00E96F91"/>
    <w:rsid w:val="00E97F25"/>
    <w:rsid w:val="00EA0119"/>
    <w:rsid w:val="00EA03CF"/>
    <w:rsid w:val="00EA0688"/>
    <w:rsid w:val="00EA1963"/>
    <w:rsid w:val="00EA20D1"/>
    <w:rsid w:val="00EA2602"/>
    <w:rsid w:val="00EA26D1"/>
    <w:rsid w:val="00EA28DE"/>
    <w:rsid w:val="00EA44D9"/>
    <w:rsid w:val="00EA5477"/>
    <w:rsid w:val="00EA5C66"/>
    <w:rsid w:val="00EA66E8"/>
    <w:rsid w:val="00EA6EF5"/>
    <w:rsid w:val="00EA7B74"/>
    <w:rsid w:val="00EA7FA7"/>
    <w:rsid w:val="00EB2307"/>
    <w:rsid w:val="00EB2A6C"/>
    <w:rsid w:val="00EB2D73"/>
    <w:rsid w:val="00EB3349"/>
    <w:rsid w:val="00EB3D6C"/>
    <w:rsid w:val="00EB479E"/>
    <w:rsid w:val="00EB514F"/>
    <w:rsid w:val="00EB5345"/>
    <w:rsid w:val="00EB66AC"/>
    <w:rsid w:val="00EB7028"/>
    <w:rsid w:val="00EB78CC"/>
    <w:rsid w:val="00EB7DE3"/>
    <w:rsid w:val="00EC0059"/>
    <w:rsid w:val="00EC1D38"/>
    <w:rsid w:val="00EC20B6"/>
    <w:rsid w:val="00EC330F"/>
    <w:rsid w:val="00EC37B0"/>
    <w:rsid w:val="00EC3B7A"/>
    <w:rsid w:val="00EC3D17"/>
    <w:rsid w:val="00EC4D5C"/>
    <w:rsid w:val="00EC50C4"/>
    <w:rsid w:val="00EC550B"/>
    <w:rsid w:val="00EC5CE2"/>
    <w:rsid w:val="00EC6A95"/>
    <w:rsid w:val="00EC6C16"/>
    <w:rsid w:val="00EC6F8A"/>
    <w:rsid w:val="00ED075A"/>
    <w:rsid w:val="00ED0CB2"/>
    <w:rsid w:val="00ED0E59"/>
    <w:rsid w:val="00ED15EC"/>
    <w:rsid w:val="00ED334F"/>
    <w:rsid w:val="00ED3546"/>
    <w:rsid w:val="00ED42C5"/>
    <w:rsid w:val="00ED4DFE"/>
    <w:rsid w:val="00ED575C"/>
    <w:rsid w:val="00ED5CE3"/>
    <w:rsid w:val="00ED6660"/>
    <w:rsid w:val="00ED6D82"/>
    <w:rsid w:val="00ED71CC"/>
    <w:rsid w:val="00ED7274"/>
    <w:rsid w:val="00ED7441"/>
    <w:rsid w:val="00EE017F"/>
    <w:rsid w:val="00EE0A74"/>
    <w:rsid w:val="00EE1172"/>
    <w:rsid w:val="00EE1421"/>
    <w:rsid w:val="00EE1495"/>
    <w:rsid w:val="00EE1676"/>
    <w:rsid w:val="00EE19FA"/>
    <w:rsid w:val="00EE1DD7"/>
    <w:rsid w:val="00EE3C5E"/>
    <w:rsid w:val="00EE584A"/>
    <w:rsid w:val="00EE6151"/>
    <w:rsid w:val="00EE7E20"/>
    <w:rsid w:val="00EF07A8"/>
    <w:rsid w:val="00EF0CDB"/>
    <w:rsid w:val="00EF125F"/>
    <w:rsid w:val="00EF1495"/>
    <w:rsid w:val="00EF3217"/>
    <w:rsid w:val="00EF3F99"/>
    <w:rsid w:val="00EF40BF"/>
    <w:rsid w:val="00EF4860"/>
    <w:rsid w:val="00EF53A5"/>
    <w:rsid w:val="00F001F4"/>
    <w:rsid w:val="00F003CB"/>
    <w:rsid w:val="00F009D3"/>
    <w:rsid w:val="00F00A71"/>
    <w:rsid w:val="00F017E0"/>
    <w:rsid w:val="00F02A0F"/>
    <w:rsid w:val="00F0365D"/>
    <w:rsid w:val="00F039A3"/>
    <w:rsid w:val="00F03B20"/>
    <w:rsid w:val="00F0628A"/>
    <w:rsid w:val="00F065A0"/>
    <w:rsid w:val="00F07498"/>
    <w:rsid w:val="00F07E9C"/>
    <w:rsid w:val="00F10DE5"/>
    <w:rsid w:val="00F11C84"/>
    <w:rsid w:val="00F12227"/>
    <w:rsid w:val="00F12FE4"/>
    <w:rsid w:val="00F13141"/>
    <w:rsid w:val="00F1318C"/>
    <w:rsid w:val="00F1377C"/>
    <w:rsid w:val="00F14242"/>
    <w:rsid w:val="00F14E8C"/>
    <w:rsid w:val="00F15697"/>
    <w:rsid w:val="00F167B3"/>
    <w:rsid w:val="00F16F3A"/>
    <w:rsid w:val="00F20049"/>
    <w:rsid w:val="00F206EB"/>
    <w:rsid w:val="00F210E0"/>
    <w:rsid w:val="00F21B6C"/>
    <w:rsid w:val="00F21C70"/>
    <w:rsid w:val="00F221DB"/>
    <w:rsid w:val="00F22406"/>
    <w:rsid w:val="00F22519"/>
    <w:rsid w:val="00F226BF"/>
    <w:rsid w:val="00F22E14"/>
    <w:rsid w:val="00F231FE"/>
    <w:rsid w:val="00F24300"/>
    <w:rsid w:val="00F24662"/>
    <w:rsid w:val="00F246C1"/>
    <w:rsid w:val="00F248FF"/>
    <w:rsid w:val="00F25548"/>
    <w:rsid w:val="00F257FA"/>
    <w:rsid w:val="00F273E0"/>
    <w:rsid w:val="00F27555"/>
    <w:rsid w:val="00F27A5A"/>
    <w:rsid w:val="00F27CBE"/>
    <w:rsid w:val="00F27E11"/>
    <w:rsid w:val="00F30056"/>
    <w:rsid w:val="00F3017A"/>
    <w:rsid w:val="00F3112C"/>
    <w:rsid w:val="00F31458"/>
    <w:rsid w:val="00F32DFA"/>
    <w:rsid w:val="00F333E5"/>
    <w:rsid w:val="00F34C26"/>
    <w:rsid w:val="00F35017"/>
    <w:rsid w:val="00F354FE"/>
    <w:rsid w:val="00F37CDB"/>
    <w:rsid w:val="00F406E6"/>
    <w:rsid w:val="00F40A56"/>
    <w:rsid w:val="00F4121E"/>
    <w:rsid w:val="00F41408"/>
    <w:rsid w:val="00F417D5"/>
    <w:rsid w:val="00F41E44"/>
    <w:rsid w:val="00F43064"/>
    <w:rsid w:val="00F43789"/>
    <w:rsid w:val="00F43B63"/>
    <w:rsid w:val="00F43E6C"/>
    <w:rsid w:val="00F4421B"/>
    <w:rsid w:val="00F44226"/>
    <w:rsid w:val="00F445DC"/>
    <w:rsid w:val="00F4479D"/>
    <w:rsid w:val="00F44B8E"/>
    <w:rsid w:val="00F45740"/>
    <w:rsid w:val="00F4627C"/>
    <w:rsid w:val="00F46D66"/>
    <w:rsid w:val="00F4704F"/>
    <w:rsid w:val="00F47676"/>
    <w:rsid w:val="00F51D5C"/>
    <w:rsid w:val="00F51E4F"/>
    <w:rsid w:val="00F520B5"/>
    <w:rsid w:val="00F531EF"/>
    <w:rsid w:val="00F53479"/>
    <w:rsid w:val="00F54207"/>
    <w:rsid w:val="00F543C4"/>
    <w:rsid w:val="00F54942"/>
    <w:rsid w:val="00F54B36"/>
    <w:rsid w:val="00F55899"/>
    <w:rsid w:val="00F55C1A"/>
    <w:rsid w:val="00F56D27"/>
    <w:rsid w:val="00F57308"/>
    <w:rsid w:val="00F57DB5"/>
    <w:rsid w:val="00F57EC9"/>
    <w:rsid w:val="00F6005D"/>
    <w:rsid w:val="00F608CD"/>
    <w:rsid w:val="00F609D0"/>
    <w:rsid w:val="00F61874"/>
    <w:rsid w:val="00F61C51"/>
    <w:rsid w:val="00F62767"/>
    <w:rsid w:val="00F631B3"/>
    <w:rsid w:val="00F6397A"/>
    <w:rsid w:val="00F640A8"/>
    <w:rsid w:val="00F64EAD"/>
    <w:rsid w:val="00F6572F"/>
    <w:rsid w:val="00F65B1C"/>
    <w:rsid w:val="00F664F8"/>
    <w:rsid w:val="00F67CEB"/>
    <w:rsid w:val="00F67D06"/>
    <w:rsid w:val="00F67D52"/>
    <w:rsid w:val="00F70017"/>
    <w:rsid w:val="00F72668"/>
    <w:rsid w:val="00F72EC6"/>
    <w:rsid w:val="00F72ECB"/>
    <w:rsid w:val="00F730DF"/>
    <w:rsid w:val="00F7326B"/>
    <w:rsid w:val="00F734A7"/>
    <w:rsid w:val="00F74AE4"/>
    <w:rsid w:val="00F7514F"/>
    <w:rsid w:val="00F7682E"/>
    <w:rsid w:val="00F76BE3"/>
    <w:rsid w:val="00F76C0B"/>
    <w:rsid w:val="00F77219"/>
    <w:rsid w:val="00F77382"/>
    <w:rsid w:val="00F77E92"/>
    <w:rsid w:val="00F81392"/>
    <w:rsid w:val="00F817B4"/>
    <w:rsid w:val="00F81890"/>
    <w:rsid w:val="00F81FB7"/>
    <w:rsid w:val="00F821DF"/>
    <w:rsid w:val="00F825B5"/>
    <w:rsid w:val="00F82A53"/>
    <w:rsid w:val="00F833C4"/>
    <w:rsid w:val="00F8388D"/>
    <w:rsid w:val="00F84452"/>
    <w:rsid w:val="00F84DB9"/>
    <w:rsid w:val="00F853ED"/>
    <w:rsid w:val="00F85877"/>
    <w:rsid w:val="00F859F9"/>
    <w:rsid w:val="00F85C53"/>
    <w:rsid w:val="00F86906"/>
    <w:rsid w:val="00F87462"/>
    <w:rsid w:val="00F87E1C"/>
    <w:rsid w:val="00F87F5E"/>
    <w:rsid w:val="00F90093"/>
    <w:rsid w:val="00F9015C"/>
    <w:rsid w:val="00F9032F"/>
    <w:rsid w:val="00F906BA"/>
    <w:rsid w:val="00F9091F"/>
    <w:rsid w:val="00F90F60"/>
    <w:rsid w:val="00F92A68"/>
    <w:rsid w:val="00F92DF2"/>
    <w:rsid w:val="00F93076"/>
    <w:rsid w:val="00F9344F"/>
    <w:rsid w:val="00F9534A"/>
    <w:rsid w:val="00F9551C"/>
    <w:rsid w:val="00F9636F"/>
    <w:rsid w:val="00F968EB"/>
    <w:rsid w:val="00F96F27"/>
    <w:rsid w:val="00F97BB0"/>
    <w:rsid w:val="00FA03B2"/>
    <w:rsid w:val="00FA0ADE"/>
    <w:rsid w:val="00FA18CB"/>
    <w:rsid w:val="00FA1A0B"/>
    <w:rsid w:val="00FA1E8F"/>
    <w:rsid w:val="00FA2771"/>
    <w:rsid w:val="00FA277C"/>
    <w:rsid w:val="00FA33AA"/>
    <w:rsid w:val="00FA363A"/>
    <w:rsid w:val="00FA3D50"/>
    <w:rsid w:val="00FA4094"/>
    <w:rsid w:val="00FA4E11"/>
    <w:rsid w:val="00FA4F41"/>
    <w:rsid w:val="00FA50DF"/>
    <w:rsid w:val="00FA5215"/>
    <w:rsid w:val="00FA69ED"/>
    <w:rsid w:val="00FA7186"/>
    <w:rsid w:val="00FA736D"/>
    <w:rsid w:val="00FA74A3"/>
    <w:rsid w:val="00FB10AA"/>
    <w:rsid w:val="00FB10D6"/>
    <w:rsid w:val="00FB1BF5"/>
    <w:rsid w:val="00FB2EB9"/>
    <w:rsid w:val="00FB2FC5"/>
    <w:rsid w:val="00FB3399"/>
    <w:rsid w:val="00FB3B56"/>
    <w:rsid w:val="00FB3C96"/>
    <w:rsid w:val="00FB3DC7"/>
    <w:rsid w:val="00FB413D"/>
    <w:rsid w:val="00FB523A"/>
    <w:rsid w:val="00FB75C3"/>
    <w:rsid w:val="00FC083B"/>
    <w:rsid w:val="00FC0E4B"/>
    <w:rsid w:val="00FC1C70"/>
    <w:rsid w:val="00FC42E6"/>
    <w:rsid w:val="00FC445F"/>
    <w:rsid w:val="00FC5310"/>
    <w:rsid w:val="00FC53A7"/>
    <w:rsid w:val="00FC5756"/>
    <w:rsid w:val="00FC6197"/>
    <w:rsid w:val="00FC62D7"/>
    <w:rsid w:val="00FC6EF6"/>
    <w:rsid w:val="00FC7D20"/>
    <w:rsid w:val="00FD04C1"/>
    <w:rsid w:val="00FD06D8"/>
    <w:rsid w:val="00FD07EF"/>
    <w:rsid w:val="00FD2E66"/>
    <w:rsid w:val="00FD3686"/>
    <w:rsid w:val="00FD3B7E"/>
    <w:rsid w:val="00FD3E56"/>
    <w:rsid w:val="00FD433B"/>
    <w:rsid w:val="00FD5282"/>
    <w:rsid w:val="00FD5BCE"/>
    <w:rsid w:val="00FD6A10"/>
    <w:rsid w:val="00FD72B8"/>
    <w:rsid w:val="00FD75FF"/>
    <w:rsid w:val="00FE0130"/>
    <w:rsid w:val="00FE0772"/>
    <w:rsid w:val="00FE09D3"/>
    <w:rsid w:val="00FE0FE5"/>
    <w:rsid w:val="00FE1470"/>
    <w:rsid w:val="00FE1571"/>
    <w:rsid w:val="00FE2495"/>
    <w:rsid w:val="00FE24F4"/>
    <w:rsid w:val="00FE334E"/>
    <w:rsid w:val="00FE3D4F"/>
    <w:rsid w:val="00FE4BDB"/>
    <w:rsid w:val="00FE4E77"/>
    <w:rsid w:val="00FE5771"/>
    <w:rsid w:val="00FE6A0D"/>
    <w:rsid w:val="00FE7253"/>
    <w:rsid w:val="00FE755A"/>
    <w:rsid w:val="00FE7F43"/>
    <w:rsid w:val="00FF17A9"/>
    <w:rsid w:val="00FF19BF"/>
    <w:rsid w:val="00FF1A32"/>
    <w:rsid w:val="00FF1F8B"/>
    <w:rsid w:val="00FF2052"/>
    <w:rsid w:val="00FF2609"/>
    <w:rsid w:val="00FF329A"/>
    <w:rsid w:val="00FF3694"/>
    <w:rsid w:val="00FF3C1F"/>
    <w:rsid w:val="00FF4C3F"/>
    <w:rsid w:val="00FF6000"/>
    <w:rsid w:val="00FF6161"/>
    <w:rsid w:val="00FF6260"/>
    <w:rsid w:val="00FF7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95104"/>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qFormat/>
    <w:rsid w:val="00E06700"/>
  </w:style>
  <w:style w:type="paragraph" w:styleId="Heading1">
    <w:name w:val="heading 1"/>
    <w:basedOn w:val="Normal"/>
    <w:next w:val="BodyText"/>
    <w:link w:val="Heading1Char"/>
    <w:qFormat/>
    <w:rsid w:val="004A4775"/>
    <w:pPr>
      <w:keepNext/>
      <w:keepLines/>
      <w:spacing w:after="460"/>
      <w:outlineLvl w:val="0"/>
    </w:pPr>
    <w:rPr>
      <w:rFonts w:asciiTheme="majorHAnsi" w:hAnsiTheme="majorHAnsi"/>
      <w:b/>
      <w:color w:val="014463" w:themeColor="text2"/>
      <w:sz w:val="60"/>
      <w:szCs w:val="60"/>
    </w:rPr>
  </w:style>
  <w:style w:type="paragraph" w:styleId="Heading2">
    <w:name w:val="heading 2"/>
    <w:basedOn w:val="Normal"/>
    <w:next w:val="BodyText"/>
    <w:link w:val="Heading2Char"/>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qFormat/>
    <w:rsid w:val="00D3445B"/>
    <w:pPr>
      <w:spacing w:before="240"/>
      <w:outlineLvl w:val="3"/>
    </w:pPr>
    <w:rPr>
      <w:rFonts w:asciiTheme="majorHAnsi" w:hAnsiTheme="majorHAnsi"/>
      <w:color w:val="014463" w:themeColor="text2"/>
      <w:sz w:val="28"/>
      <w:szCs w:val="24"/>
    </w:rPr>
  </w:style>
  <w:style w:type="paragraph" w:styleId="Heading5">
    <w:name w:val="heading 5"/>
    <w:basedOn w:val="Normal"/>
    <w:next w:val="Normal"/>
    <w:link w:val="Heading5Char"/>
    <w:qFormat/>
    <w:rsid w:val="002F0779"/>
    <w:pPr>
      <w:keepNext/>
      <w:keepLines/>
      <w:spacing w:before="40" w:after="0"/>
      <w:outlineLvl w:val="4"/>
    </w:pPr>
    <w:rPr>
      <w:rFonts w:asciiTheme="majorHAnsi" w:eastAsiaTheme="majorEastAsia" w:hAnsiTheme="majorHAnsi" w:cstheme="majorBidi"/>
      <w:color w:val="1B232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4A4775"/>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Bullet Cab,CAB - List Bullet,Bullet Point,Bullet point,Bulletr List Paragraph,Content descriptions,FooterText,L,List Bullet 1,List Paragraph1,List Paragraph11,List Paragraph2,List Paragraph21,Listeafsnit1,NFP GP Bulleted List,リスト段落,列"/>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7"/>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262626" w:themeColor="text1" w:themeTint="D9"/>
    </w:rPr>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rsid w:val="00D3445B"/>
    <w:rPr>
      <w:rFonts w:asciiTheme="majorHAnsi" w:hAnsiTheme="majorHAnsi"/>
      <w:color w:val="014463" w:themeColor="text2"/>
      <w:sz w:val="28"/>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rsid w:val="003A7E73"/>
    <w:pPr>
      <w:spacing w:after="0" w:line="240" w:lineRule="auto"/>
    </w:pPr>
  </w:style>
  <w:style w:type="character" w:customStyle="1" w:styleId="FootnoteTextChar">
    <w:name w:val="Footnote Text Char"/>
    <w:basedOn w:val="DefaultParagraphFont"/>
    <w:link w:val="FootnoteText"/>
    <w:uiPriority w:val="99"/>
    <w:rsid w:val="003A7E73"/>
  </w:style>
  <w:style w:type="character" w:styleId="FootnoteReference">
    <w:name w:val="footnote reference"/>
    <w:basedOn w:val="DefaultParagraphFont"/>
    <w:uiPriority w:val="99"/>
    <w:rsid w:val="003A7E73"/>
    <w:rPr>
      <w:vertAlign w:val="superscript"/>
    </w:rPr>
  </w:style>
  <w:style w:type="paragraph" w:styleId="Title">
    <w:name w:val="Title"/>
    <w:basedOn w:val="Heading1"/>
    <w:next w:val="Normal"/>
    <w:link w:val="TitleChar"/>
    <w:qFormat/>
    <w:rsid w:val="00FE09D3"/>
    <w:pPr>
      <w:spacing w:after="120"/>
    </w:pPr>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D3445B"/>
    <w:pPr>
      <w:spacing w:before="120" w:after="360"/>
    </w:pPr>
    <w:rPr>
      <w:i/>
    </w:rPr>
  </w:style>
  <w:style w:type="character" w:customStyle="1" w:styleId="SubtitleChar">
    <w:name w:val="Subtitle Char"/>
    <w:basedOn w:val="DefaultParagraphFont"/>
    <w:link w:val="Subtitle"/>
    <w:uiPriority w:val="1"/>
    <w:rsid w:val="00D3445B"/>
    <w:rPr>
      <w:rFonts w:asciiTheme="majorHAnsi" w:hAnsiTheme="majorHAnsi"/>
      <w:i/>
      <w:color w:val="014463" w:themeColor="text2"/>
      <w:sz w:val="24"/>
      <w:szCs w:val="24"/>
    </w:rPr>
  </w:style>
  <w:style w:type="character" w:styleId="Hyperlink">
    <w:name w:val="Hyperlink"/>
    <w:basedOn w:val="DefaultParagraphFont"/>
    <w:uiPriority w:val="99"/>
    <w:unhideWhenUsed/>
    <w:qFormat/>
    <w:rsid w:val="00561516"/>
    <w:rPr>
      <w:color w:val="015F8B" w:themeColor="hyperlink"/>
      <w:u w:val="single"/>
    </w:rPr>
  </w:style>
  <w:style w:type="paragraph" w:customStyle="1" w:styleId="TableText">
    <w:name w:val="TableText"/>
    <w:basedOn w:val="Normal"/>
    <w:qFormat/>
    <w:rsid w:val="00663F85"/>
    <w:pPr>
      <w:spacing w:before="120" w:line="240" w:lineRule="auto"/>
    </w:pPr>
    <w:rPr>
      <w:rFonts w:ascii="Century Gothic" w:eastAsiaTheme="majorEastAsia" w:hAnsi="Century Gothic" w:cs="Arial"/>
      <w:bCs/>
      <w:color w:val="auto"/>
    </w:rPr>
  </w:style>
  <w:style w:type="character" w:styleId="CommentReference">
    <w:name w:val="annotation reference"/>
    <w:basedOn w:val="DefaultParagraphFont"/>
    <w:uiPriority w:val="99"/>
    <w:semiHidden/>
    <w:unhideWhenUsed/>
    <w:rsid w:val="00663F85"/>
    <w:rPr>
      <w:sz w:val="16"/>
      <w:szCs w:val="16"/>
    </w:rPr>
  </w:style>
  <w:style w:type="paragraph" w:styleId="CommentText">
    <w:name w:val="annotation text"/>
    <w:basedOn w:val="Normal"/>
    <w:link w:val="CommentTextChar"/>
    <w:uiPriority w:val="99"/>
    <w:unhideWhenUsed/>
    <w:rsid w:val="00663F85"/>
    <w:pPr>
      <w:spacing w:line="240" w:lineRule="auto"/>
    </w:pPr>
  </w:style>
  <w:style w:type="character" w:customStyle="1" w:styleId="CommentTextChar">
    <w:name w:val="Comment Text Char"/>
    <w:basedOn w:val="DefaultParagraphFont"/>
    <w:link w:val="CommentText"/>
    <w:uiPriority w:val="99"/>
    <w:rsid w:val="00663F85"/>
  </w:style>
  <w:style w:type="character" w:customStyle="1" w:styleId="ListParagraphChar">
    <w:name w:val="List Paragraph Char"/>
    <w:aliases w:val="List Bullet Cab Char,CAB - List Bullet Char,Bullet Point Char,Bullet point Char,Bulletr List Paragraph Char,Content descriptions Char,FooterText Char,L Char,List Bullet 1 Char,List Paragraph1 Char,List Paragraph11 Char,リスト段落 Char"/>
    <w:basedOn w:val="DefaultParagraphFont"/>
    <w:link w:val="ListParagraph"/>
    <w:uiPriority w:val="34"/>
    <w:qFormat/>
    <w:rsid w:val="00663F85"/>
  </w:style>
  <w:style w:type="paragraph" w:customStyle="1" w:styleId="CABNETParagraph">
    <w:name w:val="CABNET Paragraph."/>
    <w:basedOn w:val="Normal"/>
    <w:link w:val="CABNETParagraphChar"/>
    <w:uiPriority w:val="98"/>
    <w:qFormat/>
    <w:rsid w:val="00097206"/>
    <w:pPr>
      <w:spacing w:before="120" w:line="240" w:lineRule="auto"/>
    </w:pPr>
    <w:rPr>
      <w:rFonts w:ascii="Arial" w:hAnsi="Arial" w:cstheme="minorHAnsi"/>
      <w:color w:val="auto"/>
      <w:sz w:val="22"/>
      <w:szCs w:val="22"/>
    </w:rPr>
  </w:style>
  <w:style w:type="character" w:customStyle="1" w:styleId="CABNETParagraphChar">
    <w:name w:val="CABNET Paragraph. Char"/>
    <w:basedOn w:val="DefaultParagraphFont"/>
    <w:link w:val="CABNETParagraph"/>
    <w:uiPriority w:val="98"/>
    <w:rsid w:val="00097206"/>
    <w:rPr>
      <w:rFonts w:ascii="Arial" w:hAnsi="Arial" w:cstheme="minorHAnsi"/>
      <w:color w:val="auto"/>
      <w:sz w:val="22"/>
      <w:szCs w:val="22"/>
    </w:rPr>
  </w:style>
  <w:style w:type="paragraph" w:customStyle="1" w:styleId="Default">
    <w:name w:val="Default"/>
    <w:rsid w:val="003065B3"/>
    <w:pPr>
      <w:autoSpaceDE w:val="0"/>
      <w:autoSpaceDN w:val="0"/>
      <w:adjustRightInd w:val="0"/>
      <w:spacing w:after="80" w:line="240" w:lineRule="auto"/>
    </w:pPr>
    <w:rPr>
      <w:rFonts w:ascii="Calibri" w:eastAsia="Times New Roman" w:hAnsi="Calibri" w:cs="Calibri"/>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D33592"/>
    <w:rPr>
      <w:b/>
      <w:bCs/>
    </w:rPr>
  </w:style>
  <w:style w:type="character" w:customStyle="1" w:styleId="CommentSubjectChar">
    <w:name w:val="Comment Subject Char"/>
    <w:basedOn w:val="CommentTextChar"/>
    <w:link w:val="CommentSubject"/>
    <w:uiPriority w:val="99"/>
    <w:semiHidden/>
    <w:rsid w:val="00D33592"/>
    <w:rPr>
      <w:b/>
      <w:bCs/>
    </w:rPr>
  </w:style>
  <w:style w:type="paragraph" w:customStyle="1" w:styleId="CABParagraph">
    <w:name w:val="CAB Paragraph"/>
    <w:basedOn w:val="BodyText"/>
    <w:link w:val="CABParagraphChar"/>
    <w:uiPriority w:val="98"/>
    <w:qFormat/>
    <w:rsid w:val="000243A7"/>
    <w:pPr>
      <w:spacing w:before="120" w:after="0" w:line="240" w:lineRule="auto"/>
    </w:pPr>
    <w:rPr>
      <w:rFonts w:ascii="Arial" w:hAnsi="Arial"/>
      <w:color w:val="auto"/>
      <w:sz w:val="22"/>
      <w:szCs w:val="22"/>
    </w:rPr>
  </w:style>
  <w:style w:type="character" w:customStyle="1" w:styleId="CABParagraphChar">
    <w:name w:val="CAB Paragraph Char"/>
    <w:basedOn w:val="DefaultParagraphFont"/>
    <w:link w:val="CABParagraph"/>
    <w:uiPriority w:val="98"/>
    <w:rsid w:val="000243A7"/>
    <w:rPr>
      <w:rFonts w:ascii="Arial" w:hAnsi="Arial"/>
      <w:color w:val="auto"/>
      <w:sz w:val="22"/>
      <w:szCs w:val="22"/>
    </w:rPr>
  </w:style>
  <w:style w:type="paragraph" w:customStyle="1" w:styleId="SectionTitleCab">
    <w:name w:val="Section Title Cab"/>
    <w:basedOn w:val="Title"/>
    <w:link w:val="SectionTitleCabChar"/>
    <w:uiPriority w:val="17"/>
    <w:semiHidden/>
    <w:qFormat/>
    <w:rsid w:val="000243A7"/>
    <w:pPr>
      <w:keepNext w:val="0"/>
      <w:keepLines w:val="0"/>
      <w:tabs>
        <w:tab w:val="center" w:pos="1313"/>
      </w:tabs>
      <w:spacing w:before="240" w:after="60" w:line="240" w:lineRule="auto"/>
      <w:outlineLvl w:val="9"/>
    </w:pPr>
    <w:rPr>
      <w:rFonts w:ascii="Arial" w:hAnsi="Arial"/>
      <w:color w:val="003865"/>
      <w:sz w:val="40"/>
      <w:szCs w:val="20"/>
    </w:rPr>
  </w:style>
  <w:style w:type="character" w:customStyle="1" w:styleId="SectionTitleCabChar">
    <w:name w:val="Section Title Cab Char"/>
    <w:basedOn w:val="DefaultParagraphFont"/>
    <w:link w:val="SectionTitleCab"/>
    <w:uiPriority w:val="17"/>
    <w:semiHidden/>
    <w:rsid w:val="000243A7"/>
    <w:rPr>
      <w:rFonts w:ascii="Arial" w:hAnsi="Arial"/>
      <w:b/>
      <w:color w:val="003865"/>
      <w:sz w:val="40"/>
    </w:rPr>
  </w:style>
  <w:style w:type="paragraph" w:customStyle="1" w:styleId="Spacer">
    <w:name w:val="Spacer"/>
    <w:uiPriority w:val="98"/>
    <w:semiHidden/>
    <w:rsid w:val="000E1233"/>
    <w:pPr>
      <w:spacing w:after="0" w:line="240" w:lineRule="auto"/>
    </w:pPr>
    <w:rPr>
      <w:rFonts w:ascii="Arial" w:hAnsi="Arial"/>
      <w:color w:val="auto"/>
      <w:sz w:val="4"/>
      <w:szCs w:val="4"/>
    </w:rPr>
  </w:style>
  <w:style w:type="paragraph" w:customStyle="1" w:styleId="CABHeading2">
    <w:name w:val="CAB Heading 2."/>
    <w:basedOn w:val="Normal"/>
    <w:link w:val="CABHeading2Char"/>
    <w:uiPriority w:val="98"/>
    <w:qFormat/>
    <w:rsid w:val="000E1233"/>
    <w:pPr>
      <w:keepNext/>
      <w:keepLines/>
      <w:tabs>
        <w:tab w:val="left" w:pos="567"/>
      </w:tabs>
      <w:spacing w:before="200" w:after="0" w:line="240" w:lineRule="auto"/>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0E1233"/>
    <w:rPr>
      <w:rFonts w:ascii="Arial" w:eastAsiaTheme="majorEastAsia" w:hAnsi="Arial" w:cstheme="majorBidi"/>
      <w:b/>
      <w:bCs/>
      <w:color w:val="003865"/>
      <w:sz w:val="24"/>
      <w:szCs w:val="28"/>
    </w:rPr>
  </w:style>
  <w:style w:type="paragraph" w:styleId="NormalWeb">
    <w:name w:val="Normal (Web)"/>
    <w:basedOn w:val="Normal"/>
    <w:uiPriority w:val="99"/>
    <w:unhideWhenUsed/>
    <w:rsid w:val="00064182"/>
    <w:pPr>
      <w:spacing w:before="100" w:beforeAutospacing="1" w:after="100" w:afterAutospacing="1" w:line="240" w:lineRule="auto"/>
    </w:pPr>
    <w:rPr>
      <w:rFonts w:ascii="Times New Roman" w:hAnsi="Times New Roman" w:cs="Times New Roman"/>
      <w:color w:val="auto"/>
      <w:sz w:val="24"/>
      <w:szCs w:val="24"/>
      <w:lang w:eastAsia="en-AU"/>
    </w:rPr>
  </w:style>
  <w:style w:type="character" w:customStyle="1" w:styleId="TableHeadingRowChar">
    <w:name w:val="Table Heading Row Char"/>
    <w:basedOn w:val="DefaultParagraphFont"/>
    <w:link w:val="TableHeadingRow"/>
    <w:locked/>
    <w:rsid w:val="00B72094"/>
    <w:rPr>
      <w:rFonts w:ascii="Calibri" w:hAnsi="Calibri" w:cs="Calibri"/>
      <w:b/>
      <w:bCs/>
      <w:sz w:val="24"/>
      <w:szCs w:val="24"/>
    </w:rPr>
  </w:style>
  <w:style w:type="paragraph" w:customStyle="1" w:styleId="TableHeadingRow">
    <w:name w:val="Table Heading Row"/>
    <w:basedOn w:val="Normal"/>
    <w:link w:val="TableHeadingRowChar"/>
    <w:rsid w:val="00B72094"/>
    <w:pPr>
      <w:spacing w:before="40" w:after="40" w:line="240" w:lineRule="auto"/>
    </w:pPr>
    <w:rPr>
      <w:rFonts w:ascii="Calibri" w:hAnsi="Calibri" w:cs="Calibri"/>
      <w:b/>
      <w:bCs/>
      <w:sz w:val="24"/>
      <w:szCs w:val="24"/>
    </w:rPr>
  </w:style>
  <w:style w:type="character" w:styleId="FollowedHyperlink">
    <w:name w:val="FollowedHyperlink"/>
    <w:basedOn w:val="DefaultParagraphFont"/>
    <w:uiPriority w:val="99"/>
    <w:semiHidden/>
    <w:unhideWhenUsed/>
    <w:rsid w:val="00CB5346"/>
    <w:rPr>
      <w:color w:val="015F8B" w:themeColor="followedHyperlink"/>
      <w:u w:val="single"/>
    </w:rPr>
  </w:style>
  <w:style w:type="paragraph" w:styleId="Revision">
    <w:name w:val="Revision"/>
    <w:hidden/>
    <w:uiPriority w:val="99"/>
    <w:semiHidden/>
    <w:rsid w:val="00EC330F"/>
    <w:pPr>
      <w:spacing w:after="0" w:line="240" w:lineRule="auto"/>
    </w:pPr>
  </w:style>
  <w:style w:type="paragraph" w:styleId="TOCHeading">
    <w:name w:val="TOC Heading"/>
    <w:basedOn w:val="Heading1"/>
    <w:next w:val="Normal"/>
    <w:uiPriority w:val="39"/>
    <w:unhideWhenUsed/>
    <w:qFormat/>
    <w:rsid w:val="00D61146"/>
    <w:pPr>
      <w:spacing w:before="240" w:after="0" w:line="259" w:lineRule="auto"/>
      <w:outlineLvl w:val="9"/>
    </w:pPr>
    <w:rPr>
      <w:rFonts w:eastAsiaTheme="majorEastAsia" w:cstheme="majorBidi"/>
      <w:b w:val="0"/>
      <w:color w:val="1B232C" w:themeColor="accent1" w:themeShade="BF"/>
      <w:sz w:val="32"/>
      <w:szCs w:val="32"/>
      <w:lang w:val="en-US"/>
    </w:rPr>
  </w:style>
  <w:style w:type="paragraph" w:styleId="TOC1">
    <w:name w:val="toc 1"/>
    <w:basedOn w:val="Normal"/>
    <w:next w:val="Normal"/>
    <w:autoRedefine/>
    <w:uiPriority w:val="39"/>
    <w:unhideWhenUsed/>
    <w:rsid w:val="00542421"/>
    <w:pPr>
      <w:tabs>
        <w:tab w:val="right" w:leader="dot" w:pos="10194"/>
      </w:tabs>
      <w:spacing w:after="100"/>
    </w:pPr>
  </w:style>
  <w:style w:type="paragraph" w:styleId="TOC3">
    <w:name w:val="toc 3"/>
    <w:basedOn w:val="Normal"/>
    <w:next w:val="Normal"/>
    <w:autoRedefine/>
    <w:uiPriority w:val="39"/>
    <w:unhideWhenUsed/>
    <w:rsid w:val="00D61146"/>
    <w:pPr>
      <w:spacing w:after="100"/>
      <w:ind w:left="400"/>
    </w:pPr>
  </w:style>
  <w:style w:type="paragraph" w:styleId="TOC2">
    <w:name w:val="toc 2"/>
    <w:basedOn w:val="Normal"/>
    <w:next w:val="Normal"/>
    <w:autoRedefine/>
    <w:uiPriority w:val="39"/>
    <w:unhideWhenUsed/>
    <w:rsid w:val="00D61146"/>
    <w:pPr>
      <w:spacing w:after="100"/>
      <w:ind w:left="200"/>
    </w:pPr>
  </w:style>
  <w:style w:type="paragraph" w:customStyle="1" w:styleId="body">
    <w:name w:val="body"/>
    <w:basedOn w:val="Normal"/>
    <w:uiPriority w:val="99"/>
    <w:rsid w:val="00095F74"/>
    <w:pPr>
      <w:widowControl w:val="0"/>
      <w:suppressAutoHyphens/>
      <w:autoSpaceDE w:val="0"/>
      <w:autoSpaceDN w:val="0"/>
      <w:adjustRightInd w:val="0"/>
      <w:spacing w:after="113" w:line="230" w:lineRule="atLeast"/>
    </w:pPr>
    <w:rPr>
      <w:rFonts w:ascii="TimesNewRomanPSMT" w:eastAsia="Times New Roman" w:hAnsi="TimesNewRomanPSMT" w:cs="TimesNewRomanPSMT"/>
      <w:color w:val="000000"/>
      <w:sz w:val="19"/>
      <w:szCs w:val="19"/>
      <w:lang w:val="en-GB"/>
    </w:rPr>
  </w:style>
  <w:style w:type="character" w:styleId="Strong">
    <w:name w:val="Strong"/>
    <w:basedOn w:val="DefaultParagraphFont"/>
    <w:uiPriority w:val="22"/>
    <w:qFormat/>
    <w:rsid w:val="00FA03B2"/>
    <w:rPr>
      <w:b/>
      <w:bCs/>
    </w:rPr>
  </w:style>
  <w:style w:type="paragraph" w:customStyle="1" w:styleId="TOCLevel2">
    <w:name w:val="TOCLevel2"/>
    <w:basedOn w:val="Normal"/>
    <w:link w:val="TOCLevel2Char"/>
    <w:uiPriority w:val="98"/>
    <w:qFormat/>
    <w:rsid w:val="00612E57"/>
    <w:pPr>
      <w:keepNext/>
      <w:keepLines/>
      <w:tabs>
        <w:tab w:val="left" w:pos="567"/>
      </w:tabs>
      <w:spacing w:before="240" w:after="20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DefaultParagraphFont"/>
    <w:link w:val="TOCLevel2"/>
    <w:uiPriority w:val="98"/>
    <w:rsid w:val="00612E57"/>
    <w:rPr>
      <w:rFonts w:ascii="Arial" w:eastAsiaTheme="majorEastAsia" w:hAnsi="Arial" w:cstheme="majorBidi"/>
      <w:b/>
      <w:bCs/>
      <w:color w:val="003865"/>
      <w:sz w:val="24"/>
      <w:szCs w:val="28"/>
    </w:rPr>
  </w:style>
  <w:style w:type="paragraph" w:styleId="ListBullet">
    <w:name w:val="List Bullet"/>
    <w:basedOn w:val="Normal"/>
    <w:uiPriority w:val="99"/>
    <w:semiHidden/>
    <w:unhideWhenUsed/>
    <w:rsid w:val="0003758D"/>
    <w:pPr>
      <w:numPr>
        <w:numId w:val="12"/>
      </w:numPr>
      <w:spacing w:before="60" w:after="60" w:line="240" w:lineRule="auto"/>
    </w:pPr>
    <w:rPr>
      <w:rFonts w:ascii="Arial" w:hAnsi="Arial" w:cs="Arial"/>
      <w:color w:val="000000"/>
      <w:sz w:val="21"/>
      <w:szCs w:val="21"/>
    </w:rPr>
  </w:style>
  <w:style w:type="paragraph" w:customStyle="1" w:styleId="paragraph">
    <w:name w:val="paragraph"/>
    <w:basedOn w:val="Normal"/>
    <w:rsid w:val="0003758D"/>
    <w:pPr>
      <w:spacing w:before="100" w:beforeAutospacing="1" w:after="100" w:afterAutospacing="1" w:line="240" w:lineRule="auto"/>
    </w:pPr>
    <w:rPr>
      <w:rFonts w:ascii="Times New Roman" w:hAnsi="Times New Roman" w:cs="Times New Roman"/>
      <w:color w:val="auto"/>
      <w:sz w:val="24"/>
      <w:szCs w:val="24"/>
      <w:lang w:eastAsia="en-AU"/>
    </w:rPr>
  </w:style>
  <w:style w:type="character" w:customStyle="1" w:styleId="normaltextrun">
    <w:name w:val="normaltextrun"/>
    <w:basedOn w:val="DefaultParagraphFont"/>
    <w:rsid w:val="0003758D"/>
  </w:style>
  <w:style w:type="character" w:customStyle="1" w:styleId="eop">
    <w:name w:val="eop"/>
    <w:basedOn w:val="DefaultParagraphFont"/>
    <w:rsid w:val="0003758D"/>
  </w:style>
  <w:style w:type="paragraph" w:customStyle="1" w:styleId="Paragraphtext">
    <w:name w:val="Paragraph text"/>
    <w:basedOn w:val="Normal"/>
    <w:uiPriority w:val="99"/>
    <w:rsid w:val="0003758D"/>
    <w:pPr>
      <w:spacing w:before="120" w:after="60" w:line="240" w:lineRule="auto"/>
    </w:pPr>
    <w:rPr>
      <w:rFonts w:ascii="Arial" w:hAnsi="Arial" w:cs="Arial"/>
      <w:color w:val="000000"/>
      <w:sz w:val="21"/>
      <w:szCs w:val="21"/>
    </w:rPr>
  </w:style>
  <w:style w:type="character" w:customStyle="1" w:styleId="sr-only">
    <w:name w:val="sr-only"/>
    <w:basedOn w:val="DefaultParagraphFont"/>
    <w:rsid w:val="0004319B"/>
  </w:style>
  <w:style w:type="character" w:styleId="HTMLCite">
    <w:name w:val="HTML Cite"/>
    <w:basedOn w:val="DefaultParagraphFont"/>
    <w:uiPriority w:val="99"/>
    <w:semiHidden/>
    <w:unhideWhenUsed/>
    <w:rsid w:val="008571ED"/>
    <w:rPr>
      <w:i/>
      <w:iCs/>
    </w:rPr>
  </w:style>
  <w:style w:type="paragraph" w:customStyle="1" w:styleId="null">
    <w:name w:val="null"/>
    <w:basedOn w:val="Normal"/>
    <w:rsid w:val="0086200B"/>
    <w:pPr>
      <w:spacing w:before="100" w:beforeAutospacing="1" w:after="100" w:afterAutospacing="1" w:line="240" w:lineRule="auto"/>
    </w:pPr>
    <w:rPr>
      <w:rFonts w:ascii="Times New Roman" w:hAnsi="Times New Roman" w:cs="Times New Roman"/>
      <w:color w:val="auto"/>
      <w:sz w:val="24"/>
      <w:szCs w:val="24"/>
      <w:lang w:eastAsia="en-AU"/>
    </w:rPr>
  </w:style>
  <w:style w:type="character" w:customStyle="1" w:styleId="null1">
    <w:name w:val="null1"/>
    <w:basedOn w:val="DefaultParagraphFont"/>
    <w:rsid w:val="0086200B"/>
  </w:style>
  <w:style w:type="table" w:customStyle="1" w:styleId="TableGrid1">
    <w:name w:val="Table Grid1"/>
    <w:basedOn w:val="TableNormal"/>
    <w:next w:val="TableGrid"/>
    <w:uiPriority w:val="59"/>
    <w:rsid w:val="00BA3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841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DefaultParagraphFont"/>
    <w:uiPriority w:val="99"/>
    <w:semiHidden/>
    <w:unhideWhenUsed/>
    <w:rsid w:val="0068415A"/>
    <w:rPr>
      <w:color w:val="605E5C"/>
      <w:shd w:val="clear" w:color="auto" w:fill="E1DFDD"/>
    </w:rPr>
  </w:style>
  <w:style w:type="character" w:customStyle="1" w:styleId="Heading5Char">
    <w:name w:val="Heading 5 Char"/>
    <w:basedOn w:val="DefaultParagraphFont"/>
    <w:link w:val="Heading5"/>
    <w:rsid w:val="002F0779"/>
    <w:rPr>
      <w:rFonts w:asciiTheme="majorHAnsi" w:eastAsiaTheme="majorEastAsia" w:hAnsiTheme="majorHAnsi" w:cstheme="majorBidi"/>
      <w:color w:val="1B232C" w:themeColor="accent1" w:themeShade="BF"/>
    </w:rPr>
  </w:style>
  <w:style w:type="paragraph" w:styleId="EndnoteText">
    <w:name w:val="endnote text"/>
    <w:basedOn w:val="Normal"/>
    <w:link w:val="EndnoteTextChar"/>
    <w:uiPriority w:val="99"/>
    <w:semiHidden/>
    <w:unhideWhenUsed/>
    <w:rsid w:val="001A048E"/>
    <w:pPr>
      <w:spacing w:after="0" w:line="240" w:lineRule="auto"/>
    </w:pPr>
  </w:style>
  <w:style w:type="character" w:customStyle="1" w:styleId="EndnoteTextChar">
    <w:name w:val="Endnote Text Char"/>
    <w:basedOn w:val="DefaultParagraphFont"/>
    <w:link w:val="EndnoteText"/>
    <w:uiPriority w:val="99"/>
    <w:semiHidden/>
    <w:rsid w:val="001A048E"/>
  </w:style>
  <w:style w:type="character" w:styleId="EndnoteReference">
    <w:name w:val="endnote reference"/>
    <w:basedOn w:val="DefaultParagraphFont"/>
    <w:uiPriority w:val="99"/>
    <w:semiHidden/>
    <w:unhideWhenUsed/>
    <w:rsid w:val="001A048E"/>
    <w:rPr>
      <w:vertAlign w:val="superscript"/>
    </w:rPr>
  </w:style>
  <w:style w:type="paragraph" w:customStyle="1" w:styleId="au-display-sm">
    <w:name w:val="au-display-sm"/>
    <w:basedOn w:val="Normal"/>
    <w:rsid w:val="000A5E7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styleId="GridTable3-Accent1">
    <w:name w:val="Grid Table 3 Accent 1"/>
    <w:basedOn w:val="TableNormal"/>
    <w:uiPriority w:val="48"/>
    <w:rsid w:val="002F492D"/>
    <w:pPr>
      <w:spacing w:after="0" w:line="240" w:lineRule="auto"/>
    </w:pPr>
    <w:rPr>
      <w:rFonts w:ascii="Times New Roman" w:hAnsi="Times New Roman" w:cs="Times New Roman"/>
      <w:color w:val="auto"/>
      <w:sz w:val="24"/>
      <w:szCs w:val="24"/>
    </w:rPr>
    <w:tblPr>
      <w:tblStyleRowBandSize w:val="1"/>
      <w:tblStyleColBandSize w:val="1"/>
      <w:tblBorders>
        <w:top w:val="single" w:sz="4" w:space="0" w:color="66829F" w:themeColor="accent1" w:themeTint="99"/>
        <w:left w:val="single" w:sz="4" w:space="0" w:color="66829F" w:themeColor="accent1" w:themeTint="99"/>
        <w:bottom w:val="single" w:sz="4" w:space="0" w:color="66829F" w:themeColor="accent1" w:themeTint="99"/>
        <w:right w:val="single" w:sz="4" w:space="0" w:color="66829F" w:themeColor="accent1" w:themeTint="99"/>
        <w:insideH w:val="single" w:sz="4" w:space="0" w:color="66829F" w:themeColor="accent1" w:themeTint="99"/>
        <w:insideV w:val="single" w:sz="4" w:space="0" w:color="66829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D5DF" w:themeFill="accent1" w:themeFillTint="33"/>
      </w:tcPr>
    </w:tblStylePr>
    <w:tblStylePr w:type="band1Horz">
      <w:tblPr/>
      <w:tcPr>
        <w:shd w:val="clear" w:color="auto" w:fill="CCD5DF" w:themeFill="accent1" w:themeFillTint="33"/>
      </w:tcPr>
    </w:tblStylePr>
    <w:tblStylePr w:type="neCell">
      <w:tblPr/>
      <w:tcPr>
        <w:tcBorders>
          <w:bottom w:val="single" w:sz="4" w:space="0" w:color="66829F" w:themeColor="accent1" w:themeTint="99"/>
        </w:tcBorders>
      </w:tcPr>
    </w:tblStylePr>
    <w:tblStylePr w:type="nwCell">
      <w:tblPr/>
      <w:tcPr>
        <w:tcBorders>
          <w:bottom w:val="single" w:sz="4" w:space="0" w:color="66829F" w:themeColor="accent1" w:themeTint="99"/>
        </w:tcBorders>
      </w:tcPr>
    </w:tblStylePr>
    <w:tblStylePr w:type="seCell">
      <w:tblPr/>
      <w:tcPr>
        <w:tcBorders>
          <w:top w:val="single" w:sz="4" w:space="0" w:color="66829F" w:themeColor="accent1" w:themeTint="99"/>
        </w:tcBorders>
      </w:tcPr>
    </w:tblStylePr>
    <w:tblStylePr w:type="swCell">
      <w:tblPr/>
      <w:tcPr>
        <w:tcBorders>
          <w:top w:val="single" w:sz="4" w:space="0" w:color="66829F" w:themeColor="accent1" w:themeTint="99"/>
        </w:tcBorders>
      </w:tcPr>
    </w:tblStylePr>
  </w:style>
  <w:style w:type="paragraph" w:customStyle="1" w:styleId="BodyIndent2">
    <w:name w:val="Body Indent 2"/>
    <w:basedOn w:val="Normal"/>
    <w:qFormat/>
    <w:rsid w:val="007E00C8"/>
    <w:pPr>
      <w:spacing w:before="240" w:after="0" w:line="240" w:lineRule="auto"/>
      <w:ind w:left="1701"/>
    </w:pPr>
    <w:rPr>
      <w:rFonts w:ascii="Arial" w:eastAsia="Times New Roman" w:hAnsi="Arial" w:cs="Arial"/>
      <w:color w:val="auto"/>
      <w:lang w:eastAsia="en-AU"/>
    </w:rPr>
  </w:style>
  <w:style w:type="table" w:customStyle="1" w:styleId="GridTable3-Accent11">
    <w:name w:val="Grid Table 3 - Accent 11"/>
    <w:basedOn w:val="TableNormal"/>
    <w:next w:val="GridTable3-Accent1"/>
    <w:uiPriority w:val="48"/>
    <w:rsid w:val="00E72922"/>
    <w:pPr>
      <w:spacing w:after="0" w:line="240" w:lineRule="auto"/>
    </w:pPr>
    <w:rPr>
      <w:rFonts w:ascii="Times New Roman" w:hAnsi="Times New Roman" w:cs="Times New Roman"/>
      <w:color w:val="auto"/>
      <w:sz w:val="24"/>
      <w:szCs w:val="24"/>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paragraph" w:customStyle="1" w:styleId="BulletedList-Level1">
    <w:name w:val="Bulleted List - Level 1"/>
    <w:basedOn w:val="ListParagraph"/>
    <w:uiPriority w:val="1"/>
    <w:qFormat/>
    <w:rsid w:val="00487BA2"/>
    <w:pPr>
      <w:numPr>
        <w:numId w:val="31"/>
      </w:numPr>
      <w:spacing w:after="160"/>
    </w:pPr>
    <w:rPr>
      <w:rFonts w:eastAsiaTheme="minorEastAsia"/>
      <w:color w:val="auto"/>
      <w:sz w:val="22"/>
      <w:szCs w:val="21"/>
    </w:rPr>
  </w:style>
  <w:style w:type="paragraph" w:customStyle="1" w:styleId="Numpara1">
    <w:name w:val="Numpara1"/>
    <w:basedOn w:val="Normal"/>
    <w:qFormat/>
    <w:rsid w:val="004B692E"/>
    <w:pPr>
      <w:numPr>
        <w:numId w:val="32"/>
      </w:numPr>
      <w:spacing w:before="240" w:after="0" w:line="240" w:lineRule="auto"/>
    </w:pPr>
    <w:rPr>
      <w:rFonts w:ascii="Arial" w:eastAsia="Times New Roman" w:hAnsi="Arial" w:cs="Arial"/>
      <w:color w:val="auto"/>
      <w:szCs w:val="22"/>
      <w:lang w:eastAsia="en-AU"/>
    </w:rPr>
  </w:style>
  <w:style w:type="paragraph" w:customStyle="1" w:styleId="Numpara2">
    <w:name w:val="Numpara2"/>
    <w:basedOn w:val="Normal"/>
    <w:qFormat/>
    <w:rsid w:val="004B692E"/>
    <w:pPr>
      <w:numPr>
        <w:ilvl w:val="1"/>
        <w:numId w:val="32"/>
      </w:numPr>
      <w:spacing w:before="240" w:after="0" w:line="240" w:lineRule="auto"/>
    </w:pPr>
    <w:rPr>
      <w:rFonts w:ascii="Arial" w:eastAsia="Times New Roman" w:hAnsi="Arial" w:cs="Arial"/>
      <w:color w:val="auto"/>
      <w:szCs w:val="22"/>
      <w:lang w:eastAsia="en-AU"/>
    </w:rPr>
  </w:style>
  <w:style w:type="paragraph" w:customStyle="1" w:styleId="Numpara3">
    <w:name w:val="Numpara3"/>
    <w:basedOn w:val="Normal"/>
    <w:qFormat/>
    <w:rsid w:val="004B692E"/>
    <w:pPr>
      <w:numPr>
        <w:ilvl w:val="2"/>
        <w:numId w:val="32"/>
      </w:numPr>
      <w:spacing w:before="240" w:after="0" w:line="240" w:lineRule="auto"/>
    </w:pPr>
    <w:rPr>
      <w:rFonts w:ascii="Arial" w:eastAsia="Times New Roman" w:hAnsi="Arial" w:cs="Arial"/>
      <w:color w:val="auto"/>
      <w:szCs w:val="22"/>
      <w:lang w:eastAsia="en-AU"/>
    </w:rPr>
  </w:style>
  <w:style w:type="paragraph" w:customStyle="1" w:styleId="Numpara4">
    <w:name w:val="Numpara4"/>
    <w:basedOn w:val="Normal"/>
    <w:qFormat/>
    <w:rsid w:val="004B692E"/>
    <w:pPr>
      <w:numPr>
        <w:ilvl w:val="3"/>
        <w:numId w:val="32"/>
      </w:numPr>
      <w:spacing w:before="240" w:after="0" w:line="240" w:lineRule="auto"/>
    </w:pPr>
    <w:rPr>
      <w:rFonts w:ascii="Arial" w:eastAsia="Times New Roman" w:hAnsi="Arial" w:cs="Arial"/>
      <w:color w:val="auto"/>
      <w:szCs w:val="22"/>
      <w:lang w:eastAsia="en-AU"/>
    </w:rPr>
  </w:style>
  <w:style w:type="character" w:styleId="Emphasis">
    <w:name w:val="Emphasis"/>
    <w:basedOn w:val="DefaultParagraphFont"/>
    <w:uiPriority w:val="20"/>
    <w:qFormat/>
    <w:rsid w:val="00D275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931">
      <w:bodyDiv w:val="1"/>
      <w:marLeft w:val="0"/>
      <w:marRight w:val="0"/>
      <w:marTop w:val="0"/>
      <w:marBottom w:val="0"/>
      <w:divBdr>
        <w:top w:val="none" w:sz="0" w:space="0" w:color="auto"/>
        <w:left w:val="none" w:sz="0" w:space="0" w:color="auto"/>
        <w:bottom w:val="none" w:sz="0" w:space="0" w:color="auto"/>
        <w:right w:val="none" w:sz="0" w:space="0" w:color="auto"/>
      </w:divBdr>
    </w:div>
    <w:div w:id="12148477">
      <w:bodyDiv w:val="1"/>
      <w:marLeft w:val="0"/>
      <w:marRight w:val="0"/>
      <w:marTop w:val="0"/>
      <w:marBottom w:val="0"/>
      <w:divBdr>
        <w:top w:val="none" w:sz="0" w:space="0" w:color="auto"/>
        <w:left w:val="none" w:sz="0" w:space="0" w:color="auto"/>
        <w:bottom w:val="none" w:sz="0" w:space="0" w:color="auto"/>
        <w:right w:val="none" w:sz="0" w:space="0" w:color="auto"/>
      </w:divBdr>
    </w:div>
    <w:div w:id="17389773">
      <w:bodyDiv w:val="1"/>
      <w:marLeft w:val="0"/>
      <w:marRight w:val="0"/>
      <w:marTop w:val="0"/>
      <w:marBottom w:val="0"/>
      <w:divBdr>
        <w:top w:val="none" w:sz="0" w:space="0" w:color="auto"/>
        <w:left w:val="none" w:sz="0" w:space="0" w:color="auto"/>
        <w:bottom w:val="none" w:sz="0" w:space="0" w:color="auto"/>
        <w:right w:val="none" w:sz="0" w:space="0" w:color="auto"/>
      </w:divBdr>
    </w:div>
    <w:div w:id="41633967">
      <w:bodyDiv w:val="1"/>
      <w:marLeft w:val="0"/>
      <w:marRight w:val="0"/>
      <w:marTop w:val="0"/>
      <w:marBottom w:val="0"/>
      <w:divBdr>
        <w:top w:val="none" w:sz="0" w:space="0" w:color="auto"/>
        <w:left w:val="none" w:sz="0" w:space="0" w:color="auto"/>
        <w:bottom w:val="none" w:sz="0" w:space="0" w:color="auto"/>
        <w:right w:val="none" w:sz="0" w:space="0" w:color="auto"/>
      </w:divBdr>
    </w:div>
    <w:div w:id="109327860">
      <w:bodyDiv w:val="1"/>
      <w:marLeft w:val="0"/>
      <w:marRight w:val="0"/>
      <w:marTop w:val="0"/>
      <w:marBottom w:val="0"/>
      <w:divBdr>
        <w:top w:val="none" w:sz="0" w:space="0" w:color="auto"/>
        <w:left w:val="none" w:sz="0" w:space="0" w:color="auto"/>
        <w:bottom w:val="none" w:sz="0" w:space="0" w:color="auto"/>
        <w:right w:val="none" w:sz="0" w:space="0" w:color="auto"/>
      </w:divBdr>
    </w:div>
    <w:div w:id="110563081">
      <w:bodyDiv w:val="1"/>
      <w:marLeft w:val="0"/>
      <w:marRight w:val="0"/>
      <w:marTop w:val="0"/>
      <w:marBottom w:val="0"/>
      <w:divBdr>
        <w:top w:val="none" w:sz="0" w:space="0" w:color="auto"/>
        <w:left w:val="none" w:sz="0" w:space="0" w:color="auto"/>
        <w:bottom w:val="none" w:sz="0" w:space="0" w:color="auto"/>
        <w:right w:val="none" w:sz="0" w:space="0" w:color="auto"/>
      </w:divBdr>
    </w:div>
    <w:div w:id="159468277">
      <w:bodyDiv w:val="1"/>
      <w:marLeft w:val="0"/>
      <w:marRight w:val="0"/>
      <w:marTop w:val="0"/>
      <w:marBottom w:val="0"/>
      <w:divBdr>
        <w:top w:val="none" w:sz="0" w:space="0" w:color="auto"/>
        <w:left w:val="none" w:sz="0" w:space="0" w:color="auto"/>
        <w:bottom w:val="none" w:sz="0" w:space="0" w:color="auto"/>
        <w:right w:val="none" w:sz="0" w:space="0" w:color="auto"/>
      </w:divBdr>
    </w:div>
    <w:div w:id="188568614">
      <w:bodyDiv w:val="1"/>
      <w:marLeft w:val="0"/>
      <w:marRight w:val="0"/>
      <w:marTop w:val="0"/>
      <w:marBottom w:val="0"/>
      <w:divBdr>
        <w:top w:val="none" w:sz="0" w:space="0" w:color="auto"/>
        <w:left w:val="none" w:sz="0" w:space="0" w:color="auto"/>
        <w:bottom w:val="none" w:sz="0" w:space="0" w:color="auto"/>
        <w:right w:val="none" w:sz="0" w:space="0" w:color="auto"/>
      </w:divBdr>
    </w:div>
    <w:div w:id="234166769">
      <w:bodyDiv w:val="1"/>
      <w:marLeft w:val="0"/>
      <w:marRight w:val="0"/>
      <w:marTop w:val="0"/>
      <w:marBottom w:val="0"/>
      <w:divBdr>
        <w:top w:val="none" w:sz="0" w:space="0" w:color="auto"/>
        <w:left w:val="none" w:sz="0" w:space="0" w:color="auto"/>
        <w:bottom w:val="none" w:sz="0" w:space="0" w:color="auto"/>
        <w:right w:val="none" w:sz="0" w:space="0" w:color="auto"/>
      </w:divBdr>
    </w:div>
    <w:div w:id="262962201">
      <w:bodyDiv w:val="1"/>
      <w:marLeft w:val="0"/>
      <w:marRight w:val="0"/>
      <w:marTop w:val="0"/>
      <w:marBottom w:val="0"/>
      <w:divBdr>
        <w:top w:val="none" w:sz="0" w:space="0" w:color="auto"/>
        <w:left w:val="none" w:sz="0" w:space="0" w:color="auto"/>
        <w:bottom w:val="none" w:sz="0" w:space="0" w:color="auto"/>
        <w:right w:val="none" w:sz="0" w:space="0" w:color="auto"/>
      </w:divBdr>
    </w:div>
    <w:div w:id="270474651">
      <w:bodyDiv w:val="1"/>
      <w:marLeft w:val="0"/>
      <w:marRight w:val="0"/>
      <w:marTop w:val="0"/>
      <w:marBottom w:val="0"/>
      <w:divBdr>
        <w:top w:val="none" w:sz="0" w:space="0" w:color="auto"/>
        <w:left w:val="none" w:sz="0" w:space="0" w:color="auto"/>
        <w:bottom w:val="none" w:sz="0" w:space="0" w:color="auto"/>
        <w:right w:val="none" w:sz="0" w:space="0" w:color="auto"/>
      </w:divBdr>
    </w:div>
    <w:div w:id="273098412">
      <w:bodyDiv w:val="1"/>
      <w:marLeft w:val="0"/>
      <w:marRight w:val="0"/>
      <w:marTop w:val="0"/>
      <w:marBottom w:val="0"/>
      <w:divBdr>
        <w:top w:val="none" w:sz="0" w:space="0" w:color="auto"/>
        <w:left w:val="none" w:sz="0" w:space="0" w:color="auto"/>
        <w:bottom w:val="none" w:sz="0" w:space="0" w:color="auto"/>
        <w:right w:val="none" w:sz="0" w:space="0" w:color="auto"/>
      </w:divBdr>
    </w:div>
    <w:div w:id="297957371">
      <w:bodyDiv w:val="1"/>
      <w:marLeft w:val="0"/>
      <w:marRight w:val="0"/>
      <w:marTop w:val="0"/>
      <w:marBottom w:val="0"/>
      <w:divBdr>
        <w:top w:val="none" w:sz="0" w:space="0" w:color="auto"/>
        <w:left w:val="none" w:sz="0" w:space="0" w:color="auto"/>
        <w:bottom w:val="none" w:sz="0" w:space="0" w:color="auto"/>
        <w:right w:val="none" w:sz="0" w:space="0" w:color="auto"/>
      </w:divBdr>
    </w:div>
    <w:div w:id="302776861">
      <w:bodyDiv w:val="1"/>
      <w:marLeft w:val="0"/>
      <w:marRight w:val="0"/>
      <w:marTop w:val="0"/>
      <w:marBottom w:val="0"/>
      <w:divBdr>
        <w:top w:val="none" w:sz="0" w:space="0" w:color="auto"/>
        <w:left w:val="none" w:sz="0" w:space="0" w:color="auto"/>
        <w:bottom w:val="none" w:sz="0" w:space="0" w:color="auto"/>
        <w:right w:val="none" w:sz="0" w:space="0" w:color="auto"/>
      </w:divBdr>
    </w:div>
    <w:div w:id="307438003">
      <w:bodyDiv w:val="1"/>
      <w:marLeft w:val="0"/>
      <w:marRight w:val="0"/>
      <w:marTop w:val="0"/>
      <w:marBottom w:val="0"/>
      <w:divBdr>
        <w:top w:val="none" w:sz="0" w:space="0" w:color="auto"/>
        <w:left w:val="none" w:sz="0" w:space="0" w:color="auto"/>
        <w:bottom w:val="none" w:sz="0" w:space="0" w:color="auto"/>
        <w:right w:val="none" w:sz="0" w:space="0" w:color="auto"/>
      </w:divBdr>
    </w:div>
    <w:div w:id="310213778">
      <w:bodyDiv w:val="1"/>
      <w:marLeft w:val="0"/>
      <w:marRight w:val="0"/>
      <w:marTop w:val="0"/>
      <w:marBottom w:val="0"/>
      <w:divBdr>
        <w:top w:val="none" w:sz="0" w:space="0" w:color="auto"/>
        <w:left w:val="none" w:sz="0" w:space="0" w:color="auto"/>
        <w:bottom w:val="none" w:sz="0" w:space="0" w:color="auto"/>
        <w:right w:val="none" w:sz="0" w:space="0" w:color="auto"/>
      </w:divBdr>
    </w:div>
    <w:div w:id="318534801">
      <w:bodyDiv w:val="1"/>
      <w:marLeft w:val="0"/>
      <w:marRight w:val="0"/>
      <w:marTop w:val="0"/>
      <w:marBottom w:val="0"/>
      <w:divBdr>
        <w:top w:val="none" w:sz="0" w:space="0" w:color="auto"/>
        <w:left w:val="none" w:sz="0" w:space="0" w:color="auto"/>
        <w:bottom w:val="none" w:sz="0" w:space="0" w:color="auto"/>
        <w:right w:val="none" w:sz="0" w:space="0" w:color="auto"/>
      </w:divBdr>
    </w:div>
    <w:div w:id="319698314">
      <w:bodyDiv w:val="1"/>
      <w:marLeft w:val="0"/>
      <w:marRight w:val="0"/>
      <w:marTop w:val="0"/>
      <w:marBottom w:val="0"/>
      <w:divBdr>
        <w:top w:val="none" w:sz="0" w:space="0" w:color="auto"/>
        <w:left w:val="none" w:sz="0" w:space="0" w:color="auto"/>
        <w:bottom w:val="none" w:sz="0" w:space="0" w:color="auto"/>
        <w:right w:val="none" w:sz="0" w:space="0" w:color="auto"/>
      </w:divBdr>
    </w:div>
    <w:div w:id="322970203">
      <w:bodyDiv w:val="1"/>
      <w:marLeft w:val="0"/>
      <w:marRight w:val="0"/>
      <w:marTop w:val="0"/>
      <w:marBottom w:val="0"/>
      <w:divBdr>
        <w:top w:val="none" w:sz="0" w:space="0" w:color="auto"/>
        <w:left w:val="none" w:sz="0" w:space="0" w:color="auto"/>
        <w:bottom w:val="none" w:sz="0" w:space="0" w:color="auto"/>
        <w:right w:val="none" w:sz="0" w:space="0" w:color="auto"/>
      </w:divBdr>
    </w:div>
    <w:div w:id="327485792">
      <w:bodyDiv w:val="1"/>
      <w:marLeft w:val="0"/>
      <w:marRight w:val="0"/>
      <w:marTop w:val="0"/>
      <w:marBottom w:val="0"/>
      <w:divBdr>
        <w:top w:val="none" w:sz="0" w:space="0" w:color="auto"/>
        <w:left w:val="none" w:sz="0" w:space="0" w:color="auto"/>
        <w:bottom w:val="none" w:sz="0" w:space="0" w:color="auto"/>
        <w:right w:val="none" w:sz="0" w:space="0" w:color="auto"/>
      </w:divBdr>
    </w:div>
    <w:div w:id="333844811">
      <w:bodyDiv w:val="1"/>
      <w:marLeft w:val="0"/>
      <w:marRight w:val="0"/>
      <w:marTop w:val="0"/>
      <w:marBottom w:val="0"/>
      <w:divBdr>
        <w:top w:val="none" w:sz="0" w:space="0" w:color="auto"/>
        <w:left w:val="none" w:sz="0" w:space="0" w:color="auto"/>
        <w:bottom w:val="none" w:sz="0" w:space="0" w:color="auto"/>
        <w:right w:val="none" w:sz="0" w:space="0" w:color="auto"/>
      </w:divBdr>
    </w:div>
    <w:div w:id="334840966">
      <w:bodyDiv w:val="1"/>
      <w:marLeft w:val="0"/>
      <w:marRight w:val="0"/>
      <w:marTop w:val="0"/>
      <w:marBottom w:val="0"/>
      <w:divBdr>
        <w:top w:val="none" w:sz="0" w:space="0" w:color="auto"/>
        <w:left w:val="none" w:sz="0" w:space="0" w:color="auto"/>
        <w:bottom w:val="none" w:sz="0" w:space="0" w:color="auto"/>
        <w:right w:val="none" w:sz="0" w:space="0" w:color="auto"/>
      </w:divBdr>
    </w:div>
    <w:div w:id="364213215">
      <w:bodyDiv w:val="1"/>
      <w:marLeft w:val="0"/>
      <w:marRight w:val="0"/>
      <w:marTop w:val="0"/>
      <w:marBottom w:val="0"/>
      <w:divBdr>
        <w:top w:val="none" w:sz="0" w:space="0" w:color="auto"/>
        <w:left w:val="none" w:sz="0" w:space="0" w:color="auto"/>
        <w:bottom w:val="none" w:sz="0" w:space="0" w:color="auto"/>
        <w:right w:val="none" w:sz="0" w:space="0" w:color="auto"/>
      </w:divBdr>
    </w:div>
    <w:div w:id="376315716">
      <w:bodyDiv w:val="1"/>
      <w:marLeft w:val="0"/>
      <w:marRight w:val="0"/>
      <w:marTop w:val="0"/>
      <w:marBottom w:val="0"/>
      <w:divBdr>
        <w:top w:val="none" w:sz="0" w:space="0" w:color="auto"/>
        <w:left w:val="none" w:sz="0" w:space="0" w:color="auto"/>
        <w:bottom w:val="none" w:sz="0" w:space="0" w:color="auto"/>
        <w:right w:val="none" w:sz="0" w:space="0" w:color="auto"/>
      </w:divBdr>
    </w:div>
    <w:div w:id="376508920">
      <w:bodyDiv w:val="1"/>
      <w:marLeft w:val="0"/>
      <w:marRight w:val="0"/>
      <w:marTop w:val="0"/>
      <w:marBottom w:val="0"/>
      <w:divBdr>
        <w:top w:val="none" w:sz="0" w:space="0" w:color="auto"/>
        <w:left w:val="none" w:sz="0" w:space="0" w:color="auto"/>
        <w:bottom w:val="none" w:sz="0" w:space="0" w:color="auto"/>
        <w:right w:val="none" w:sz="0" w:space="0" w:color="auto"/>
      </w:divBdr>
    </w:div>
    <w:div w:id="387412209">
      <w:bodyDiv w:val="1"/>
      <w:marLeft w:val="0"/>
      <w:marRight w:val="0"/>
      <w:marTop w:val="0"/>
      <w:marBottom w:val="0"/>
      <w:divBdr>
        <w:top w:val="none" w:sz="0" w:space="0" w:color="auto"/>
        <w:left w:val="none" w:sz="0" w:space="0" w:color="auto"/>
        <w:bottom w:val="none" w:sz="0" w:space="0" w:color="auto"/>
        <w:right w:val="none" w:sz="0" w:space="0" w:color="auto"/>
      </w:divBdr>
      <w:divsChild>
        <w:div w:id="1229265258">
          <w:marLeft w:val="0"/>
          <w:marRight w:val="0"/>
          <w:marTop w:val="240"/>
          <w:marBottom w:val="240"/>
          <w:divBdr>
            <w:top w:val="none" w:sz="0" w:space="0" w:color="auto"/>
            <w:left w:val="none" w:sz="0" w:space="0" w:color="auto"/>
            <w:bottom w:val="none" w:sz="0" w:space="0" w:color="auto"/>
            <w:right w:val="none" w:sz="0" w:space="0" w:color="auto"/>
          </w:divBdr>
          <w:divsChild>
            <w:div w:id="105276111">
              <w:marLeft w:val="0"/>
              <w:marRight w:val="0"/>
              <w:marTop w:val="0"/>
              <w:marBottom w:val="0"/>
              <w:divBdr>
                <w:top w:val="none" w:sz="0" w:space="0" w:color="auto"/>
                <w:left w:val="none" w:sz="0" w:space="0" w:color="auto"/>
                <w:bottom w:val="none" w:sz="0" w:space="0" w:color="auto"/>
                <w:right w:val="none" w:sz="0" w:space="0" w:color="auto"/>
              </w:divBdr>
            </w:div>
          </w:divsChild>
        </w:div>
        <w:div w:id="1281690118">
          <w:marLeft w:val="0"/>
          <w:marRight w:val="0"/>
          <w:marTop w:val="240"/>
          <w:marBottom w:val="240"/>
          <w:divBdr>
            <w:top w:val="none" w:sz="0" w:space="0" w:color="auto"/>
            <w:left w:val="none" w:sz="0" w:space="0" w:color="auto"/>
            <w:bottom w:val="none" w:sz="0" w:space="0" w:color="auto"/>
            <w:right w:val="none" w:sz="0" w:space="0" w:color="auto"/>
          </w:divBdr>
          <w:divsChild>
            <w:div w:id="1581717181">
              <w:marLeft w:val="0"/>
              <w:marRight w:val="0"/>
              <w:marTop w:val="0"/>
              <w:marBottom w:val="0"/>
              <w:divBdr>
                <w:top w:val="none" w:sz="0" w:space="0" w:color="auto"/>
                <w:left w:val="none" w:sz="0" w:space="0" w:color="auto"/>
                <w:bottom w:val="none" w:sz="0" w:space="0" w:color="auto"/>
                <w:right w:val="none" w:sz="0" w:space="0" w:color="auto"/>
              </w:divBdr>
            </w:div>
          </w:divsChild>
        </w:div>
        <w:div w:id="1431971249">
          <w:marLeft w:val="0"/>
          <w:marRight w:val="0"/>
          <w:marTop w:val="240"/>
          <w:marBottom w:val="240"/>
          <w:divBdr>
            <w:top w:val="none" w:sz="0" w:space="0" w:color="auto"/>
            <w:left w:val="none" w:sz="0" w:space="0" w:color="auto"/>
            <w:bottom w:val="none" w:sz="0" w:space="0" w:color="auto"/>
            <w:right w:val="none" w:sz="0" w:space="0" w:color="auto"/>
          </w:divBdr>
          <w:divsChild>
            <w:div w:id="65422046">
              <w:marLeft w:val="0"/>
              <w:marRight w:val="0"/>
              <w:marTop w:val="0"/>
              <w:marBottom w:val="0"/>
              <w:divBdr>
                <w:top w:val="none" w:sz="0" w:space="0" w:color="auto"/>
                <w:left w:val="none" w:sz="0" w:space="0" w:color="auto"/>
                <w:bottom w:val="none" w:sz="0" w:space="0" w:color="auto"/>
                <w:right w:val="none" w:sz="0" w:space="0" w:color="auto"/>
              </w:divBdr>
            </w:div>
          </w:divsChild>
        </w:div>
        <w:div w:id="2095468185">
          <w:marLeft w:val="0"/>
          <w:marRight w:val="0"/>
          <w:marTop w:val="240"/>
          <w:marBottom w:val="240"/>
          <w:divBdr>
            <w:top w:val="none" w:sz="0" w:space="0" w:color="auto"/>
            <w:left w:val="none" w:sz="0" w:space="0" w:color="auto"/>
            <w:bottom w:val="none" w:sz="0" w:space="0" w:color="auto"/>
            <w:right w:val="none" w:sz="0" w:space="0" w:color="auto"/>
          </w:divBdr>
          <w:divsChild>
            <w:div w:id="19311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942">
      <w:bodyDiv w:val="1"/>
      <w:marLeft w:val="0"/>
      <w:marRight w:val="0"/>
      <w:marTop w:val="0"/>
      <w:marBottom w:val="0"/>
      <w:divBdr>
        <w:top w:val="none" w:sz="0" w:space="0" w:color="auto"/>
        <w:left w:val="none" w:sz="0" w:space="0" w:color="auto"/>
        <w:bottom w:val="none" w:sz="0" w:space="0" w:color="auto"/>
        <w:right w:val="none" w:sz="0" w:space="0" w:color="auto"/>
      </w:divBdr>
      <w:divsChild>
        <w:div w:id="460268485">
          <w:marLeft w:val="547"/>
          <w:marRight w:val="0"/>
          <w:marTop w:val="0"/>
          <w:marBottom w:val="0"/>
          <w:divBdr>
            <w:top w:val="none" w:sz="0" w:space="0" w:color="auto"/>
            <w:left w:val="none" w:sz="0" w:space="0" w:color="auto"/>
            <w:bottom w:val="none" w:sz="0" w:space="0" w:color="auto"/>
            <w:right w:val="none" w:sz="0" w:space="0" w:color="auto"/>
          </w:divBdr>
        </w:div>
        <w:div w:id="2003578311">
          <w:marLeft w:val="547"/>
          <w:marRight w:val="0"/>
          <w:marTop w:val="0"/>
          <w:marBottom w:val="0"/>
          <w:divBdr>
            <w:top w:val="none" w:sz="0" w:space="0" w:color="auto"/>
            <w:left w:val="none" w:sz="0" w:space="0" w:color="auto"/>
            <w:bottom w:val="none" w:sz="0" w:space="0" w:color="auto"/>
            <w:right w:val="none" w:sz="0" w:space="0" w:color="auto"/>
          </w:divBdr>
        </w:div>
      </w:divsChild>
    </w:div>
    <w:div w:id="476193002">
      <w:bodyDiv w:val="1"/>
      <w:marLeft w:val="0"/>
      <w:marRight w:val="0"/>
      <w:marTop w:val="0"/>
      <w:marBottom w:val="0"/>
      <w:divBdr>
        <w:top w:val="none" w:sz="0" w:space="0" w:color="auto"/>
        <w:left w:val="none" w:sz="0" w:space="0" w:color="auto"/>
        <w:bottom w:val="none" w:sz="0" w:space="0" w:color="auto"/>
        <w:right w:val="none" w:sz="0" w:space="0" w:color="auto"/>
      </w:divBdr>
    </w:div>
    <w:div w:id="476343520">
      <w:bodyDiv w:val="1"/>
      <w:marLeft w:val="0"/>
      <w:marRight w:val="0"/>
      <w:marTop w:val="0"/>
      <w:marBottom w:val="0"/>
      <w:divBdr>
        <w:top w:val="none" w:sz="0" w:space="0" w:color="auto"/>
        <w:left w:val="none" w:sz="0" w:space="0" w:color="auto"/>
        <w:bottom w:val="none" w:sz="0" w:space="0" w:color="auto"/>
        <w:right w:val="none" w:sz="0" w:space="0" w:color="auto"/>
      </w:divBdr>
    </w:div>
    <w:div w:id="513418187">
      <w:bodyDiv w:val="1"/>
      <w:marLeft w:val="0"/>
      <w:marRight w:val="0"/>
      <w:marTop w:val="0"/>
      <w:marBottom w:val="0"/>
      <w:divBdr>
        <w:top w:val="none" w:sz="0" w:space="0" w:color="auto"/>
        <w:left w:val="none" w:sz="0" w:space="0" w:color="auto"/>
        <w:bottom w:val="none" w:sz="0" w:space="0" w:color="auto"/>
        <w:right w:val="none" w:sz="0" w:space="0" w:color="auto"/>
      </w:divBdr>
    </w:div>
    <w:div w:id="532619129">
      <w:bodyDiv w:val="1"/>
      <w:marLeft w:val="0"/>
      <w:marRight w:val="0"/>
      <w:marTop w:val="0"/>
      <w:marBottom w:val="0"/>
      <w:divBdr>
        <w:top w:val="none" w:sz="0" w:space="0" w:color="auto"/>
        <w:left w:val="none" w:sz="0" w:space="0" w:color="auto"/>
        <w:bottom w:val="none" w:sz="0" w:space="0" w:color="auto"/>
        <w:right w:val="none" w:sz="0" w:space="0" w:color="auto"/>
      </w:divBdr>
    </w:div>
    <w:div w:id="553925831">
      <w:bodyDiv w:val="1"/>
      <w:marLeft w:val="0"/>
      <w:marRight w:val="0"/>
      <w:marTop w:val="0"/>
      <w:marBottom w:val="0"/>
      <w:divBdr>
        <w:top w:val="none" w:sz="0" w:space="0" w:color="auto"/>
        <w:left w:val="none" w:sz="0" w:space="0" w:color="auto"/>
        <w:bottom w:val="none" w:sz="0" w:space="0" w:color="auto"/>
        <w:right w:val="none" w:sz="0" w:space="0" w:color="auto"/>
      </w:divBdr>
    </w:div>
    <w:div w:id="557396118">
      <w:bodyDiv w:val="1"/>
      <w:marLeft w:val="0"/>
      <w:marRight w:val="0"/>
      <w:marTop w:val="0"/>
      <w:marBottom w:val="0"/>
      <w:divBdr>
        <w:top w:val="none" w:sz="0" w:space="0" w:color="auto"/>
        <w:left w:val="none" w:sz="0" w:space="0" w:color="auto"/>
        <w:bottom w:val="none" w:sz="0" w:space="0" w:color="auto"/>
        <w:right w:val="none" w:sz="0" w:space="0" w:color="auto"/>
      </w:divBdr>
    </w:div>
    <w:div w:id="566916061">
      <w:bodyDiv w:val="1"/>
      <w:marLeft w:val="0"/>
      <w:marRight w:val="0"/>
      <w:marTop w:val="0"/>
      <w:marBottom w:val="0"/>
      <w:divBdr>
        <w:top w:val="none" w:sz="0" w:space="0" w:color="auto"/>
        <w:left w:val="none" w:sz="0" w:space="0" w:color="auto"/>
        <w:bottom w:val="none" w:sz="0" w:space="0" w:color="auto"/>
        <w:right w:val="none" w:sz="0" w:space="0" w:color="auto"/>
      </w:divBdr>
    </w:div>
    <w:div w:id="599802173">
      <w:bodyDiv w:val="1"/>
      <w:marLeft w:val="0"/>
      <w:marRight w:val="0"/>
      <w:marTop w:val="0"/>
      <w:marBottom w:val="0"/>
      <w:divBdr>
        <w:top w:val="none" w:sz="0" w:space="0" w:color="auto"/>
        <w:left w:val="none" w:sz="0" w:space="0" w:color="auto"/>
        <w:bottom w:val="none" w:sz="0" w:space="0" w:color="auto"/>
        <w:right w:val="none" w:sz="0" w:space="0" w:color="auto"/>
      </w:divBdr>
      <w:divsChild>
        <w:div w:id="1247887110">
          <w:marLeft w:val="547"/>
          <w:marRight w:val="0"/>
          <w:marTop w:val="0"/>
          <w:marBottom w:val="0"/>
          <w:divBdr>
            <w:top w:val="none" w:sz="0" w:space="0" w:color="auto"/>
            <w:left w:val="none" w:sz="0" w:space="0" w:color="auto"/>
            <w:bottom w:val="none" w:sz="0" w:space="0" w:color="auto"/>
            <w:right w:val="none" w:sz="0" w:space="0" w:color="auto"/>
          </w:divBdr>
        </w:div>
        <w:div w:id="175073206">
          <w:marLeft w:val="547"/>
          <w:marRight w:val="0"/>
          <w:marTop w:val="0"/>
          <w:marBottom w:val="0"/>
          <w:divBdr>
            <w:top w:val="none" w:sz="0" w:space="0" w:color="auto"/>
            <w:left w:val="none" w:sz="0" w:space="0" w:color="auto"/>
            <w:bottom w:val="none" w:sz="0" w:space="0" w:color="auto"/>
            <w:right w:val="none" w:sz="0" w:space="0" w:color="auto"/>
          </w:divBdr>
        </w:div>
      </w:divsChild>
    </w:div>
    <w:div w:id="616374081">
      <w:bodyDiv w:val="1"/>
      <w:marLeft w:val="0"/>
      <w:marRight w:val="0"/>
      <w:marTop w:val="0"/>
      <w:marBottom w:val="0"/>
      <w:divBdr>
        <w:top w:val="none" w:sz="0" w:space="0" w:color="auto"/>
        <w:left w:val="none" w:sz="0" w:space="0" w:color="auto"/>
        <w:bottom w:val="none" w:sz="0" w:space="0" w:color="auto"/>
        <w:right w:val="none" w:sz="0" w:space="0" w:color="auto"/>
      </w:divBdr>
    </w:div>
    <w:div w:id="634919732">
      <w:bodyDiv w:val="1"/>
      <w:marLeft w:val="0"/>
      <w:marRight w:val="0"/>
      <w:marTop w:val="0"/>
      <w:marBottom w:val="0"/>
      <w:divBdr>
        <w:top w:val="none" w:sz="0" w:space="0" w:color="auto"/>
        <w:left w:val="none" w:sz="0" w:space="0" w:color="auto"/>
        <w:bottom w:val="none" w:sz="0" w:space="0" w:color="auto"/>
        <w:right w:val="none" w:sz="0" w:space="0" w:color="auto"/>
      </w:divBdr>
    </w:div>
    <w:div w:id="635111891">
      <w:bodyDiv w:val="1"/>
      <w:marLeft w:val="0"/>
      <w:marRight w:val="0"/>
      <w:marTop w:val="0"/>
      <w:marBottom w:val="0"/>
      <w:divBdr>
        <w:top w:val="none" w:sz="0" w:space="0" w:color="auto"/>
        <w:left w:val="none" w:sz="0" w:space="0" w:color="auto"/>
        <w:bottom w:val="none" w:sz="0" w:space="0" w:color="auto"/>
        <w:right w:val="none" w:sz="0" w:space="0" w:color="auto"/>
      </w:divBdr>
    </w:div>
    <w:div w:id="643268548">
      <w:bodyDiv w:val="1"/>
      <w:marLeft w:val="0"/>
      <w:marRight w:val="0"/>
      <w:marTop w:val="0"/>
      <w:marBottom w:val="0"/>
      <w:divBdr>
        <w:top w:val="none" w:sz="0" w:space="0" w:color="auto"/>
        <w:left w:val="none" w:sz="0" w:space="0" w:color="auto"/>
        <w:bottom w:val="none" w:sz="0" w:space="0" w:color="auto"/>
        <w:right w:val="none" w:sz="0" w:space="0" w:color="auto"/>
      </w:divBdr>
    </w:div>
    <w:div w:id="669065411">
      <w:bodyDiv w:val="1"/>
      <w:marLeft w:val="0"/>
      <w:marRight w:val="0"/>
      <w:marTop w:val="0"/>
      <w:marBottom w:val="0"/>
      <w:divBdr>
        <w:top w:val="none" w:sz="0" w:space="0" w:color="auto"/>
        <w:left w:val="none" w:sz="0" w:space="0" w:color="auto"/>
        <w:bottom w:val="none" w:sz="0" w:space="0" w:color="auto"/>
        <w:right w:val="none" w:sz="0" w:space="0" w:color="auto"/>
      </w:divBdr>
    </w:div>
    <w:div w:id="692001077">
      <w:bodyDiv w:val="1"/>
      <w:marLeft w:val="0"/>
      <w:marRight w:val="0"/>
      <w:marTop w:val="0"/>
      <w:marBottom w:val="0"/>
      <w:divBdr>
        <w:top w:val="none" w:sz="0" w:space="0" w:color="auto"/>
        <w:left w:val="none" w:sz="0" w:space="0" w:color="auto"/>
        <w:bottom w:val="none" w:sz="0" w:space="0" w:color="auto"/>
        <w:right w:val="none" w:sz="0" w:space="0" w:color="auto"/>
      </w:divBdr>
    </w:div>
    <w:div w:id="692925008">
      <w:bodyDiv w:val="1"/>
      <w:marLeft w:val="0"/>
      <w:marRight w:val="0"/>
      <w:marTop w:val="0"/>
      <w:marBottom w:val="0"/>
      <w:divBdr>
        <w:top w:val="none" w:sz="0" w:space="0" w:color="auto"/>
        <w:left w:val="none" w:sz="0" w:space="0" w:color="auto"/>
        <w:bottom w:val="none" w:sz="0" w:space="0" w:color="auto"/>
        <w:right w:val="none" w:sz="0" w:space="0" w:color="auto"/>
      </w:divBdr>
    </w:div>
    <w:div w:id="698898498">
      <w:bodyDiv w:val="1"/>
      <w:marLeft w:val="0"/>
      <w:marRight w:val="0"/>
      <w:marTop w:val="0"/>
      <w:marBottom w:val="0"/>
      <w:divBdr>
        <w:top w:val="none" w:sz="0" w:space="0" w:color="auto"/>
        <w:left w:val="none" w:sz="0" w:space="0" w:color="auto"/>
        <w:bottom w:val="none" w:sz="0" w:space="0" w:color="auto"/>
        <w:right w:val="none" w:sz="0" w:space="0" w:color="auto"/>
      </w:divBdr>
    </w:div>
    <w:div w:id="717509218">
      <w:bodyDiv w:val="1"/>
      <w:marLeft w:val="0"/>
      <w:marRight w:val="0"/>
      <w:marTop w:val="0"/>
      <w:marBottom w:val="0"/>
      <w:divBdr>
        <w:top w:val="none" w:sz="0" w:space="0" w:color="auto"/>
        <w:left w:val="none" w:sz="0" w:space="0" w:color="auto"/>
        <w:bottom w:val="none" w:sz="0" w:space="0" w:color="auto"/>
        <w:right w:val="none" w:sz="0" w:space="0" w:color="auto"/>
      </w:divBdr>
    </w:div>
    <w:div w:id="721905191">
      <w:bodyDiv w:val="1"/>
      <w:marLeft w:val="0"/>
      <w:marRight w:val="0"/>
      <w:marTop w:val="0"/>
      <w:marBottom w:val="0"/>
      <w:divBdr>
        <w:top w:val="none" w:sz="0" w:space="0" w:color="auto"/>
        <w:left w:val="none" w:sz="0" w:space="0" w:color="auto"/>
        <w:bottom w:val="none" w:sz="0" w:space="0" w:color="auto"/>
        <w:right w:val="none" w:sz="0" w:space="0" w:color="auto"/>
      </w:divBdr>
    </w:div>
    <w:div w:id="725492099">
      <w:bodyDiv w:val="1"/>
      <w:marLeft w:val="0"/>
      <w:marRight w:val="0"/>
      <w:marTop w:val="0"/>
      <w:marBottom w:val="0"/>
      <w:divBdr>
        <w:top w:val="none" w:sz="0" w:space="0" w:color="auto"/>
        <w:left w:val="none" w:sz="0" w:space="0" w:color="auto"/>
        <w:bottom w:val="none" w:sz="0" w:space="0" w:color="auto"/>
        <w:right w:val="none" w:sz="0" w:space="0" w:color="auto"/>
      </w:divBdr>
    </w:div>
    <w:div w:id="738744727">
      <w:bodyDiv w:val="1"/>
      <w:marLeft w:val="0"/>
      <w:marRight w:val="0"/>
      <w:marTop w:val="0"/>
      <w:marBottom w:val="0"/>
      <w:divBdr>
        <w:top w:val="none" w:sz="0" w:space="0" w:color="auto"/>
        <w:left w:val="none" w:sz="0" w:space="0" w:color="auto"/>
        <w:bottom w:val="none" w:sz="0" w:space="0" w:color="auto"/>
        <w:right w:val="none" w:sz="0" w:space="0" w:color="auto"/>
      </w:divBdr>
    </w:div>
    <w:div w:id="747264523">
      <w:bodyDiv w:val="1"/>
      <w:marLeft w:val="0"/>
      <w:marRight w:val="0"/>
      <w:marTop w:val="0"/>
      <w:marBottom w:val="0"/>
      <w:divBdr>
        <w:top w:val="none" w:sz="0" w:space="0" w:color="auto"/>
        <w:left w:val="none" w:sz="0" w:space="0" w:color="auto"/>
        <w:bottom w:val="none" w:sz="0" w:space="0" w:color="auto"/>
        <w:right w:val="none" w:sz="0" w:space="0" w:color="auto"/>
      </w:divBdr>
    </w:div>
    <w:div w:id="762531821">
      <w:bodyDiv w:val="1"/>
      <w:marLeft w:val="0"/>
      <w:marRight w:val="0"/>
      <w:marTop w:val="0"/>
      <w:marBottom w:val="0"/>
      <w:divBdr>
        <w:top w:val="none" w:sz="0" w:space="0" w:color="auto"/>
        <w:left w:val="none" w:sz="0" w:space="0" w:color="auto"/>
        <w:bottom w:val="none" w:sz="0" w:space="0" w:color="auto"/>
        <w:right w:val="none" w:sz="0" w:space="0" w:color="auto"/>
      </w:divBdr>
    </w:div>
    <w:div w:id="769280260">
      <w:bodyDiv w:val="1"/>
      <w:marLeft w:val="0"/>
      <w:marRight w:val="0"/>
      <w:marTop w:val="0"/>
      <w:marBottom w:val="0"/>
      <w:divBdr>
        <w:top w:val="none" w:sz="0" w:space="0" w:color="auto"/>
        <w:left w:val="none" w:sz="0" w:space="0" w:color="auto"/>
        <w:bottom w:val="none" w:sz="0" w:space="0" w:color="auto"/>
        <w:right w:val="none" w:sz="0" w:space="0" w:color="auto"/>
      </w:divBdr>
    </w:div>
    <w:div w:id="787774974">
      <w:bodyDiv w:val="1"/>
      <w:marLeft w:val="0"/>
      <w:marRight w:val="0"/>
      <w:marTop w:val="0"/>
      <w:marBottom w:val="0"/>
      <w:divBdr>
        <w:top w:val="none" w:sz="0" w:space="0" w:color="auto"/>
        <w:left w:val="none" w:sz="0" w:space="0" w:color="auto"/>
        <w:bottom w:val="none" w:sz="0" w:space="0" w:color="auto"/>
        <w:right w:val="none" w:sz="0" w:space="0" w:color="auto"/>
      </w:divBdr>
    </w:div>
    <w:div w:id="797796225">
      <w:bodyDiv w:val="1"/>
      <w:marLeft w:val="0"/>
      <w:marRight w:val="0"/>
      <w:marTop w:val="0"/>
      <w:marBottom w:val="0"/>
      <w:divBdr>
        <w:top w:val="none" w:sz="0" w:space="0" w:color="auto"/>
        <w:left w:val="none" w:sz="0" w:space="0" w:color="auto"/>
        <w:bottom w:val="none" w:sz="0" w:space="0" w:color="auto"/>
        <w:right w:val="none" w:sz="0" w:space="0" w:color="auto"/>
      </w:divBdr>
    </w:div>
    <w:div w:id="817965662">
      <w:bodyDiv w:val="1"/>
      <w:marLeft w:val="0"/>
      <w:marRight w:val="0"/>
      <w:marTop w:val="0"/>
      <w:marBottom w:val="0"/>
      <w:divBdr>
        <w:top w:val="none" w:sz="0" w:space="0" w:color="auto"/>
        <w:left w:val="none" w:sz="0" w:space="0" w:color="auto"/>
        <w:bottom w:val="none" w:sz="0" w:space="0" w:color="auto"/>
        <w:right w:val="none" w:sz="0" w:space="0" w:color="auto"/>
      </w:divBdr>
    </w:div>
    <w:div w:id="830170822">
      <w:bodyDiv w:val="1"/>
      <w:marLeft w:val="0"/>
      <w:marRight w:val="0"/>
      <w:marTop w:val="0"/>
      <w:marBottom w:val="0"/>
      <w:divBdr>
        <w:top w:val="none" w:sz="0" w:space="0" w:color="auto"/>
        <w:left w:val="none" w:sz="0" w:space="0" w:color="auto"/>
        <w:bottom w:val="none" w:sz="0" w:space="0" w:color="auto"/>
        <w:right w:val="none" w:sz="0" w:space="0" w:color="auto"/>
      </w:divBdr>
    </w:div>
    <w:div w:id="832111473">
      <w:bodyDiv w:val="1"/>
      <w:marLeft w:val="0"/>
      <w:marRight w:val="0"/>
      <w:marTop w:val="0"/>
      <w:marBottom w:val="0"/>
      <w:divBdr>
        <w:top w:val="none" w:sz="0" w:space="0" w:color="auto"/>
        <w:left w:val="none" w:sz="0" w:space="0" w:color="auto"/>
        <w:bottom w:val="none" w:sz="0" w:space="0" w:color="auto"/>
        <w:right w:val="none" w:sz="0" w:space="0" w:color="auto"/>
      </w:divBdr>
    </w:div>
    <w:div w:id="834303135">
      <w:bodyDiv w:val="1"/>
      <w:marLeft w:val="0"/>
      <w:marRight w:val="0"/>
      <w:marTop w:val="0"/>
      <w:marBottom w:val="0"/>
      <w:divBdr>
        <w:top w:val="none" w:sz="0" w:space="0" w:color="auto"/>
        <w:left w:val="none" w:sz="0" w:space="0" w:color="auto"/>
        <w:bottom w:val="none" w:sz="0" w:space="0" w:color="auto"/>
        <w:right w:val="none" w:sz="0" w:space="0" w:color="auto"/>
      </w:divBdr>
    </w:div>
    <w:div w:id="835418627">
      <w:bodyDiv w:val="1"/>
      <w:marLeft w:val="0"/>
      <w:marRight w:val="0"/>
      <w:marTop w:val="0"/>
      <w:marBottom w:val="0"/>
      <w:divBdr>
        <w:top w:val="none" w:sz="0" w:space="0" w:color="auto"/>
        <w:left w:val="none" w:sz="0" w:space="0" w:color="auto"/>
        <w:bottom w:val="none" w:sz="0" w:space="0" w:color="auto"/>
        <w:right w:val="none" w:sz="0" w:space="0" w:color="auto"/>
      </w:divBdr>
    </w:div>
    <w:div w:id="845287991">
      <w:bodyDiv w:val="1"/>
      <w:marLeft w:val="0"/>
      <w:marRight w:val="0"/>
      <w:marTop w:val="0"/>
      <w:marBottom w:val="0"/>
      <w:divBdr>
        <w:top w:val="none" w:sz="0" w:space="0" w:color="auto"/>
        <w:left w:val="none" w:sz="0" w:space="0" w:color="auto"/>
        <w:bottom w:val="none" w:sz="0" w:space="0" w:color="auto"/>
        <w:right w:val="none" w:sz="0" w:space="0" w:color="auto"/>
      </w:divBdr>
    </w:div>
    <w:div w:id="866063683">
      <w:bodyDiv w:val="1"/>
      <w:marLeft w:val="0"/>
      <w:marRight w:val="0"/>
      <w:marTop w:val="0"/>
      <w:marBottom w:val="0"/>
      <w:divBdr>
        <w:top w:val="none" w:sz="0" w:space="0" w:color="auto"/>
        <w:left w:val="none" w:sz="0" w:space="0" w:color="auto"/>
        <w:bottom w:val="none" w:sz="0" w:space="0" w:color="auto"/>
        <w:right w:val="none" w:sz="0" w:space="0" w:color="auto"/>
      </w:divBdr>
    </w:div>
    <w:div w:id="877666542">
      <w:bodyDiv w:val="1"/>
      <w:marLeft w:val="0"/>
      <w:marRight w:val="0"/>
      <w:marTop w:val="0"/>
      <w:marBottom w:val="0"/>
      <w:divBdr>
        <w:top w:val="none" w:sz="0" w:space="0" w:color="auto"/>
        <w:left w:val="none" w:sz="0" w:space="0" w:color="auto"/>
        <w:bottom w:val="none" w:sz="0" w:space="0" w:color="auto"/>
        <w:right w:val="none" w:sz="0" w:space="0" w:color="auto"/>
      </w:divBdr>
    </w:div>
    <w:div w:id="881556701">
      <w:bodyDiv w:val="1"/>
      <w:marLeft w:val="0"/>
      <w:marRight w:val="0"/>
      <w:marTop w:val="0"/>
      <w:marBottom w:val="0"/>
      <w:divBdr>
        <w:top w:val="none" w:sz="0" w:space="0" w:color="auto"/>
        <w:left w:val="none" w:sz="0" w:space="0" w:color="auto"/>
        <w:bottom w:val="none" w:sz="0" w:space="0" w:color="auto"/>
        <w:right w:val="none" w:sz="0" w:space="0" w:color="auto"/>
      </w:divBdr>
    </w:div>
    <w:div w:id="891384442">
      <w:bodyDiv w:val="1"/>
      <w:marLeft w:val="0"/>
      <w:marRight w:val="0"/>
      <w:marTop w:val="0"/>
      <w:marBottom w:val="0"/>
      <w:divBdr>
        <w:top w:val="none" w:sz="0" w:space="0" w:color="auto"/>
        <w:left w:val="none" w:sz="0" w:space="0" w:color="auto"/>
        <w:bottom w:val="none" w:sz="0" w:space="0" w:color="auto"/>
        <w:right w:val="none" w:sz="0" w:space="0" w:color="auto"/>
      </w:divBdr>
    </w:div>
    <w:div w:id="892354931">
      <w:bodyDiv w:val="1"/>
      <w:marLeft w:val="0"/>
      <w:marRight w:val="0"/>
      <w:marTop w:val="0"/>
      <w:marBottom w:val="0"/>
      <w:divBdr>
        <w:top w:val="none" w:sz="0" w:space="0" w:color="auto"/>
        <w:left w:val="none" w:sz="0" w:space="0" w:color="auto"/>
        <w:bottom w:val="none" w:sz="0" w:space="0" w:color="auto"/>
        <w:right w:val="none" w:sz="0" w:space="0" w:color="auto"/>
      </w:divBdr>
    </w:div>
    <w:div w:id="892931598">
      <w:bodyDiv w:val="1"/>
      <w:marLeft w:val="0"/>
      <w:marRight w:val="0"/>
      <w:marTop w:val="0"/>
      <w:marBottom w:val="0"/>
      <w:divBdr>
        <w:top w:val="none" w:sz="0" w:space="0" w:color="auto"/>
        <w:left w:val="none" w:sz="0" w:space="0" w:color="auto"/>
        <w:bottom w:val="none" w:sz="0" w:space="0" w:color="auto"/>
        <w:right w:val="none" w:sz="0" w:space="0" w:color="auto"/>
      </w:divBdr>
    </w:div>
    <w:div w:id="933628644">
      <w:bodyDiv w:val="1"/>
      <w:marLeft w:val="0"/>
      <w:marRight w:val="0"/>
      <w:marTop w:val="0"/>
      <w:marBottom w:val="0"/>
      <w:divBdr>
        <w:top w:val="none" w:sz="0" w:space="0" w:color="auto"/>
        <w:left w:val="none" w:sz="0" w:space="0" w:color="auto"/>
        <w:bottom w:val="none" w:sz="0" w:space="0" w:color="auto"/>
        <w:right w:val="none" w:sz="0" w:space="0" w:color="auto"/>
      </w:divBdr>
    </w:div>
    <w:div w:id="939753155">
      <w:bodyDiv w:val="1"/>
      <w:marLeft w:val="0"/>
      <w:marRight w:val="0"/>
      <w:marTop w:val="0"/>
      <w:marBottom w:val="0"/>
      <w:divBdr>
        <w:top w:val="none" w:sz="0" w:space="0" w:color="auto"/>
        <w:left w:val="none" w:sz="0" w:space="0" w:color="auto"/>
        <w:bottom w:val="none" w:sz="0" w:space="0" w:color="auto"/>
        <w:right w:val="none" w:sz="0" w:space="0" w:color="auto"/>
      </w:divBdr>
    </w:div>
    <w:div w:id="971254777">
      <w:bodyDiv w:val="1"/>
      <w:marLeft w:val="0"/>
      <w:marRight w:val="0"/>
      <w:marTop w:val="0"/>
      <w:marBottom w:val="0"/>
      <w:divBdr>
        <w:top w:val="none" w:sz="0" w:space="0" w:color="auto"/>
        <w:left w:val="none" w:sz="0" w:space="0" w:color="auto"/>
        <w:bottom w:val="none" w:sz="0" w:space="0" w:color="auto"/>
        <w:right w:val="none" w:sz="0" w:space="0" w:color="auto"/>
      </w:divBdr>
    </w:div>
    <w:div w:id="995187567">
      <w:bodyDiv w:val="1"/>
      <w:marLeft w:val="0"/>
      <w:marRight w:val="0"/>
      <w:marTop w:val="0"/>
      <w:marBottom w:val="0"/>
      <w:divBdr>
        <w:top w:val="none" w:sz="0" w:space="0" w:color="auto"/>
        <w:left w:val="none" w:sz="0" w:space="0" w:color="auto"/>
        <w:bottom w:val="none" w:sz="0" w:space="0" w:color="auto"/>
        <w:right w:val="none" w:sz="0" w:space="0" w:color="auto"/>
      </w:divBdr>
    </w:div>
    <w:div w:id="995449781">
      <w:bodyDiv w:val="1"/>
      <w:marLeft w:val="0"/>
      <w:marRight w:val="0"/>
      <w:marTop w:val="0"/>
      <w:marBottom w:val="0"/>
      <w:divBdr>
        <w:top w:val="none" w:sz="0" w:space="0" w:color="auto"/>
        <w:left w:val="none" w:sz="0" w:space="0" w:color="auto"/>
        <w:bottom w:val="none" w:sz="0" w:space="0" w:color="auto"/>
        <w:right w:val="none" w:sz="0" w:space="0" w:color="auto"/>
      </w:divBdr>
    </w:div>
    <w:div w:id="998730857">
      <w:bodyDiv w:val="1"/>
      <w:marLeft w:val="0"/>
      <w:marRight w:val="0"/>
      <w:marTop w:val="0"/>
      <w:marBottom w:val="0"/>
      <w:divBdr>
        <w:top w:val="none" w:sz="0" w:space="0" w:color="auto"/>
        <w:left w:val="none" w:sz="0" w:space="0" w:color="auto"/>
        <w:bottom w:val="none" w:sz="0" w:space="0" w:color="auto"/>
        <w:right w:val="none" w:sz="0" w:space="0" w:color="auto"/>
      </w:divBdr>
    </w:div>
    <w:div w:id="1017776183">
      <w:bodyDiv w:val="1"/>
      <w:marLeft w:val="0"/>
      <w:marRight w:val="0"/>
      <w:marTop w:val="0"/>
      <w:marBottom w:val="0"/>
      <w:divBdr>
        <w:top w:val="none" w:sz="0" w:space="0" w:color="auto"/>
        <w:left w:val="none" w:sz="0" w:space="0" w:color="auto"/>
        <w:bottom w:val="none" w:sz="0" w:space="0" w:color="auto"/>
        <w:right w:val="none" w:sz="0" w:space="0" w:color="auto"/>
      </w:divBdr>
    </w:div>
    <w:div w:id="1019157088">
      <w:bodyDiv w:val="1"/>
      <w:marLeft w:val="0"/>
      <w:marRight w:val="0"/>
      <w:marTop w:val="0"/>
      <w:marBottom w:val="0"/>
      <w:divBdr>
        <w:top w:val="none" w:sz="0" w:space="0" w:color="auto"/>
        <w:left w:val="none" w:sz="0" w:space="0" w:color="auto"/>
        <w:bottom w:val="none" w:sz="0" w:space="0" w:color="auto"/>
        <w:right w:val="none" w:sz="0" w:space="0" w:color="auto"/>
      </w:divBdr>
    </w:div>
    <w:div w:id="1022319627">
      <w:bodyDiv w:val="1"/>
      <w:marLeft w:val="0"/>
      <w:marRight w:val="0"/>
      <w:marTop w:val="0"/>
      <w:marBottom w:val="0"/>
      <w:divBdr>
        <w:top w:val="none" w:sz="0" w:space="0" w:color="auto"/>
        <w:left w:val="none" w:sz="0" w:space="0" w:color="auto"/>
        <w:bottom w:val="none" w:sz="0" w:space="0" w:color="auto"/>
        <w:right w:val="none" w:sz="0" w:space="0" w:color="auto"/>
      </w:divBdr>
    </w:div>
    <w:div w:id="1041973836">
      <w:bodyDiv w:val="1"/>
      <w:marLeft w:val="0"/>
      <w:marRight w:val="0"/>
      <w:marTop w:val="0"/>
      <w:marBottom w:val="0"/>
      <w:divBdr>
        <w:top w:val="none" w:sz="0" w:space="0" w:color="auto"/>
        <w:left w:val="none" w:sz="0" w:space="0" w:color="auto"/>
        <w:bottom w:val="none" w:sz="0" w:space="0" w:color="auto"/>
        <w:right w:val="none" w:sz="0" w:space="0" w:color="auto"/>
      </w:divBdr>
    </w:div>
    <w:div w:id="1045980555">
      <w:bodyDiv w:val="1"/>
      <w:marLeft w:val="0"/>
      <w:marRight w:val="0"/>
      <w:marTop w:val="0"/>
      <w:marBottom w:val="0"/>
      <w:divBdr>
        <w:top w:val="none" w:sz="0" w:space="0" w:color="auto"/>
        <w:left w:val="none" w:sz="0" w:space="0" w:color="auto"/>
        <w:bottom w:val="none" w:sz="0" w:space="0" w:color="auto"/>
        <w:right w:val="none" w:sz="0" w:space="0" w:color="auto"/>
      </w:divBdr>
    </w:div>
    <w:div w:id="1062219007">
      <w:bodyDiv w:val="1"/>
      <w:marLeft w:val="0"/>
      <w:marRight w:val="0"/>
      <w:marTop w:val="0"/>
      <w:marBottom w:val="0"/>
      <w:divBdr>
        <w:top w:val="none" w:sz="0" w:space="0" w:color="auto"/>
        <w:left w:val="none" w:sz="0" w:space="0" w:color="auto"/>
        <w:bottom w:val="none" w:sz="0" w:space="0" w:color="auto"/>
        <w:right w:val="none" w:sz="0" w:space="0" w:color="auto"/>
      </w:divBdr>
    </w:div>
    <w:div w:id="1070732044">
      <w:bodyDiv w:val="1"/>
      <w:marLeft w:val="0"/>
      <w:marRight w:val="0"/>
      <w:marTop w:val="0"/>
      <w:marBottom w:val="0"/>
      <w:divBdr>
        <w:top w:val="none" w:sz="0" w:space="0" w:color="auto"/>
        <w:left w:val="none" w:sz="0" w:space="0" w:color="auto"/>
        <w:bottom w:val="none" w:sz="0" w:space="0" w:color="auto"/>
        <w:right w:val="none" w:sz="0" w:space="0" w:color="auto"/>
      </w:divBdr>
    </w:div>
    <w:div w:id="1093360129">
      <w:bodyDiv w:val="1"/>
      <w:marLeft w:val="0"/>
      <w:marRight w:val="0"/>
      <w:marTop w:val="0"/>
      <w:marBottom w:val="0"/>
      <w:divBdr>
        <w:top w:val="none" w:sz="0" w:space="0" w:color="auto"/>
        <w:left w:val="none" w:sz="0" w:space="0" w:color="auto"/>
        <w:bottom w:val="none" w:sz="0" w:space="0" w:color="auto"/>
        <w:right w:val="none" w:sz="0" w:space="0" w:color="auto"/>
      </w:divBdr>
    </w:div>
    <w:div w:id="1094859363">
      <w:bodyDiv w:val="1"/>
      <w:marLeft w:val="0"/>
      <w:marRight w:val="0"/>
      <w:marTop w:val="0"/>
      <w:marBottom w:val="0"/>
      <w:divBdr>
        <w:top w:val="none" w:sz="0" w:space="0" w:color="auto"/>
        <w:left w:val="none" w:sz="0" w:space="0" w:color="auto"/>
        <w:bottom w:val="none" w:sz="0" w:space="0" w:color="auto"/>
        <w:right w:val="none" w:sz="0" w:space="0" w:color="auto"/>
      </w:divBdr>
    </w:div>
    <w:div w:id="1122186777">
      <w:bodyDiv w:val="1"/>
      <w:marLeft w:val="0"/>
      <w:marRight w:val="0"/>
      <w:marTop w:val="0"/>
      <w:marBottom w:val="0"/>
      <w:divBdr>
        <w:top w:val="none" w:sz="0" w:space="0" w:color="auto"/>
        <w:left w:val="none" w:sz="0" w:space="0" w:color="auto"/>
        <w:bottom w:val="none" w:sz="0" w:space="0" w:color="auto"/>
        <w:right w:val="none" w:sz="0" w:space="0" w:color="auto"/>
      </w:divBdr>
    </w:div>
    <w:div w:id="1129130532">
      <w:bodyDiv w:val="1"/>
      <w:marLeft w:val="0"/>
      <w:marRight w:val="0"/>
      <w:marTop w:val="0"/>
      <w:marBottom w:val="0"/>
      <w:divBdr>
        <w:top w:val="none" w:sz="0" w:space="0" w:color="auto"/>
        <w:left w:val="none" w:sz="0" w:space="0" w:color="auto"/>
        <w:bottom w:val="none" w:sz="0" w:space="0" w:color="auto"/>
        <w:right w:val="none" w:sz="0" w:space="0" w:color="auto"/>
      </w:divBdr>
      <w:divsChild>
        <w:div w:id="91048146">
          <w:marLeft w:val="446"/>
          <w:marRight w:val="0"/>
          <w:marTop w:val="0"/>
          <w:marBottom w:val="0"/>
          <w:divBdr>
            <w:top w:val="none" w:sz="0" w:space="0" w:color="auto"/>
            <w:left w:val="none" w:sz="0" w:space="0" w:color="auto"/>
            <w:bottom w:val="none" w:sz="0" w:space="0" w:color="auto"/>
            <w:right w:val="none" w:sz="0" w:space="0" w:color="auto"/>
          </w:divBdr>
        </w:div>
        <w:div w:id="632909477">
          <w:marLeft w:val="446"/>
          <w:marRight w:val="0"/>
          <w:marTop w:val="0"/>
          <w:marBottom w:val="0"/>
          <w:divBdr>
            <w:top w:val="none" w:sz="0" w:space="0" w:color="auto"/>
            <w:left w:val="none" w:sz="0" w:space="0" w:color="auto"/>
            <w:bottom w:val="none" w:sz="0" w:space="0" w:color="auto"/>
            <w:right w:val="none" w:sz="0" w:space="0" w:color="auto"/>
          </w:divBdr>
        </w:div>
        <w:div w:id="1532376572">
          <w:marLeft w:val="446"/>
          <w:marRight w:val="0"/>
          <w:marTop w:val="0"/>
          <w:marBottom w:val="0"/>
          <w:divBdr>
            <w:top w:val="none" w:sz="0" w:space="0" w:color="auto"/>
            <w:left w:val="none" w:sz="0" w:space="0" w:color="auto"/>
            <w:bottom w:val="none" w:sz="0" w:space="0" w:color="auto"/>
            <w:right w:val="none" w:sz="0" w:space="0" w:color="auto"/>
          </w:divBdr>
        </w:div>
      </w:divsChild>
    </w:div>
    <w:div w:id="1135295028">
      <w:bodyDiv w:val="1"/>
      <w:marLeft w:val="0"/>
      <w:marRight w:val="0"/>
      <w:marTop w:val="0"/>
      <w:marBottom w:val="0"/>
      <w:divBdr>
        <w:top w:val="none" w:sz="0" w:space="0" w:color="auto"/>
        <w:left w:val="none" w:sz="0" w:space="0" w:color="auto"/>
        <w:bottom w:val="none" w:sz="0" w:space="0" w:color="auto"/>
        <w:right w:val="none" w:sz="0" w:space="0" w:color="auto"/>
      </w:divBdr>
    </w:div>
    <w:div w:id="1148278026">
      <w:bodyDiv w:val="1"/>
      <w:marLeft w:val="0"/>
      <w:marRight w:val="0"/>
      <w:marTop w:val="0"/>
      <w:marBottom w:val="0"/>
      <w:divBdr>
        <w:top w:val="none" w:sz="0" w:space="0" w:color="auto"/>
        <w:left w:val="none" w:sz="0" w:space="0" w:color="auto"/>
        <w:bottom w:val="none" w:sz="0" w:space="0" w:color="auto"/>
        <w:right w:val="none" w:sz="0" w:space="0" w:color="auto"/>
      </w:divBdr>
    </w:div>
    <w:div w:id="1152864600">
      <w:bodyDiv w:val="1"/>
      <w:marLeft w:val="0"/>
      <w:marRight w:val="0"/>
      <w:marTop w:val="0"/>
      <w:marBottom w:val="0"/>
      <w:divBdr>
        <w:top w:val="none" w:sz="0" w:space="0" w:color="auto"/>
        <w:left w:val="none" w:sz="0" w:space="0" w:color="auto"/>
        <w:bottom w:val="none" w:sz="0" w:space="0" w:color="auto"/>
        <w:right w:val="none" w:sz="0" w:space="0" w:color="auto"/>
      </w:divBdr>
    </w:div>
    <w:div w:id="1158303146">
      <w:bodyDiv w:val="1"/>
      <w:marLeft w:val="0"/>
      <w:marRight w:val="0"/>
      <w:marTop w:val="0"/>
      <w:marBottom w:val="0"/>
      <w:divBdr>
        <w:top w:val="none" w:sz="0" w:space="0" w:color="auto"/>
        <w:left w:val="none" w:sz="0" w:space="0" w:color="auto"/>
        <w:bottom w:val="none" w:sz="0" w:space="0" w:color="auto"/>
        <w:right w:val="none" w:sz="0" w:space="0" w:color="auto"/>
      </w:divBdr>
    </w:div>
    <w:div w:id="1160123082">
      <w:bodyDiv w:val="1"/>
      <w:marLeft w:val="0"/>
      <w:marRight w:val="0"/>
      <w:marTop w:val="0"/>
      <w:marBottom w:val="0"/>
      <w:divBdr>
        <w:top w:val="none" w:sz="0" w:space="0" w:color="auto"/>
        <w:left w:val="none" w:sz="0" w:space="0" w:color="auto"/>
        <w:bottom w:val="none" w:sz="0" w:space="0" w:color="auto"/>
        <w:right w:val="none" w:sz="0" w:space="0" w:color="auto"/>
      </w:divBdr>
    </w:div>
    <w:div w:id="1165442051">
      <w:bodyDiv w:val="1"/>
      <w:marLeft w:val="0"/>
      <w:marRight w:val="0"/>
      <w:marTop w:val="0"/>
      <w:marBottom w:val="0"/>
      <w:divBdr>
        <w:top w:val="none" w:sz="0" w:space="0" w:color="auto"/>
        <w:left w:val="none" w:sz="0" w:space="0" w:color="auto"/>
        <w:bottom w:val="none" w:sz="0" w:space="0" w:color="auto"/>
        <w:right w:val="none" w:sz="0" w:space="0" w:color="auto"/>
      </w:divBdr>
    </w:div>
    <w:div w:id="1172574157">
      <w:bodyDiv w:val="1"/>
      <w:marLeft w:val="0"/>
      <w:marRight w:val="0"/>
      <w:marTop w:val="0"/>
      <w:marBottom w:val="0"/>
      <w:divBdr>
        <w:top w:val="none" w:sz="0" w:space="0" w:color="auto"/>
        <w:left w:val="none" w:sz="0" w:space="0" w:color="auto"/>
        <w:bottom w:val="none" w:sz="0" w:space="0" w:color="auto"/>
        <w:right w:val="none" w:sz="0" w:space="0" w:color="auto"/>
      </w:divBdr>
    </w:div>
    <w:div w:id="1177500868">
      <w:bodyDiv w:val="1"/>
      <w:marLeft w:val="0"/>
      <w:marRight w:val="0"/>
      <w:marTop w:val="0"/>
      <w:marBottom w:val="0"/>
      <w:divBdr>
        <w:top w:val="none" w:sz="0" w:space="0" w:color="auto"/>
        <w:left w:val="none" w:sz="0" w:space="0" w:color="auto"/>
        <w:bottom w:val="none" w:sz="0" w:space="0" w:color="auto"/>
        <w:right w:val="none" w:sz="0" w:space="0" w:color="auto"/>
      </w:divBdr>
    </w:div>
    <w:div w:id="1215314642">
      <w:bodyDiv w:val="1"/>
      <w:marLeft w:val="0"/>
      <w:marRight w:val="0"/>
      <w:marTop w:val="0"/>
      <w:marBottom w:val="0"/>
      <w:divBdr>
        <w:top w:val="none" w:sz="0" w:space="0" w:color="auto"/>
        <w:left w:val="none" w:sz="0" w:space="0" w:color="auto"/>
        <w:bottom w:val="none" w:sz="0" w:space="0" w:color="auto"/>
        <w:right w:val="none" w:sz="0" w:space="0" w:color="auto"/>
      </w:divBdr>
    </w:div>
    <w:div w:id="1219586572">
      <w:bodyDiv w:val="1"/>
      <w:marLeft w:val="0"/>
      <w:marRight w:val="0"/>
      <w:marTop w:val="0"/>
      <w:marBottom w:val="0"/>
      <w:divBdr>
        <w:top w:val="none" w:sz="0" w:space="0" w:color="auto"/>
        <w:left w:val="none" w:sz="0" w:space="0" w:color="auto"/>
        <w:bottom w:val="none" w:sz="0" w:space="0" w:color="auto"/>
        <w:right w:val="none" w:sz="0" w:space="0" w:color="auto"/>
      </w:divBdr>
    </w:div>
    <w:div w:id="1246963685">
      <w:bodyDiv w:val="1"/>
      <w:marLeft w:val="0"/>
      <w:marRight w:val="0"/>
      <w:marTop w:val="0"/>
      <w:marBottom w:val="0"/>
      <w:divBdr>
        <w:top w:val="none" w:sz="0" w:space="0" w:color="auto"/>
        <w:left w:val="none" w:sz="0" w:space="0" w:color="auto"/>
        <w:bottom w:val="none" w:sz="0" w:space="0" w:color="auto"/>
        <w:right w:val="none" w:sz="0" w:space="0" w:color="auto"/>
      </w:divBdr>
    </w:div>
    <w:div w:id="1289358851">
      <w:bodyDiv w:val="1"/>
      <w:marLeft w:val="0"/>
      <w:marRight w:val="0"/>
      <w:marTop w:val="0"/>
      <w:marBottom w:val="0"/>
      <w:divBdr>
        <w:top w:val="none" w:sz="0" w:space="0" w:color="auto"/>
        <w:left w:val="none" w:sz="0" w:space="0" w:color="auto"/>
        <w:bottom w:val="none" w:sz="0" w:space="0" w:color="auto"/>
        <w:right w:val="none" w:sz="0" w:space="0" w:color="auto"/>
      </w:divBdr>
    </w:div>
    <w:div w:id="1298223131">
      <w:bodyDiv w:val="1"/>
      <w:marLeft w:val="0"/>
      <w:marRight w:val="0"/>
      <w:marTop w:val="0"/>
      <w:marBottom w:val="0"/>
      <w:divBdr>
        <w:top w:val="none" w:sz="0" w:space="0" w:color="auto"/>
        <w:left w:val="none" w:sz="0" w:space="0" w:color="auto"/>
        <w:bottom w:val="none" w:sz="0" w:space="0" w:color="auto"/>
        <w:right w:val="none" w:sz="0" w:space="0" w:color="auto"/>
      </w:divBdr>
    </w:div>
    <w:div w:id="1302537516">
      <w:bodyDiv w:val="1"/>
      <w:marLeft w:val="0"/>
      <w:marRight w:val="0"/>
      <w:marTop w:val="0"/>
      <w:marBottom w:val="0"/>
      <w:divBdr>
        <w:top w:val="none" w:sz="0" w:space="0" w:color="auto"/>
        <w:left w:val="none" w:sz="0" w:space="0" w:color="auto"/>
        <w:bottom w:val="none" w:sz="0" w:space="0" w:color="auto"/>
        <w:right w:val="none" w:sz="0" w:space="0" w:color="auto"/>
      </w:divBdr>
    </w:div>
    <w:div w:id="1315916985">
      <w:bodyDiv w:val="1"/>
      <w:marLeft w:val="0"/>
      <w:marRight w:val="0"/>
      <w:marTop w:val="0"/>
      <w:marBottom w:val="0"/>
      <w:divBdr>
        <w:top w:val="none" w:sz="0" w:space="0" w:color="auto"/>
        <w:left w:val="none" w:sz="0" w:space="0" w:color="auto"/>
        <w:bottom w:val="none" w:sz="0" w:space="0" w:color="auto"/>
        <w:right w:val="none" w:sz="0" w:space="0" w:color="auto"/>
      </w:divBdr>
    </w:div>
    <w:div w:id="1322537628">
      <w:bodyDiv w:val="1"/>
      <w:marLeft w:val="0"/>
      <w:marRight w:val="0"/>
      <w:marTop w:val="0"/>
      <w:marBottom w:val="0"/>
      <w:divBdr>
        <w:top w:val="none" w:sz="0" w:space="0" w:color="auto"/>
        <w:left w:val="none" w:sz="0" w:space="0" w:color="auto"/>
        <w:bottom w:val="none" w:sz="0" w:space="0" w:color="auto"/>
        <w:right w:val="none" w:sz="0" w:space="0" w:color="auto"/>
      </w:divBdr>
    </w:div>
    <w:div w:id="1344089511">
      <w:bodyDiv w:val="1"/>
      <w:marLeft w:val="0"/>
      <w:marRight w:val="0"/>
      <w:marTop w:val="0"/>
      <w:marBottom w:val="0"/>
      <w:divBdr>
        <w:top w:val="none" w:sz="0" w:space="0" w:color="auto"/>
        <w:left w:val="none" w:sz="0" w:space="0" w:color="auto"/>
        <w:bottom w:val="none" w:sz="0" w:space="0" w:color="auto"/>
        <w:right w:val="none" w:sz="0" w:space="0" w:color="auto"/>
      </w:divBdr>
    </w:div>
    <w:div w:id="1344551581">
      <w:bodyDiv w:val="1"/>
      <w:marLeft w:val="0"/>
      <w:marRight w:val="0"/>
      <w:marTop w:val="0"/>
      <w:marBottom w:val="0"/>
      <w:divBdr>
        <w:top w:val="none" w:sz="0" w:space="0" w:color="auto"/>
        <w:left w:val="none" w:sz="0" w:space="0" w:color="auto"/>
        <w:bottom w:val="none" w:sz="0" w:space="0" w:color="auto"/>
        <w:right w:val="none" w:sz="0" w:space="0" w:color="auto"/>
      </w:divBdr>
    </w:div>
    <w:div w:id="1350376767">
      <w:bodyDiv w:val="1"/>
      <w:marLeft w:val="0"/>
      <w:marRight w:val="0"/>
      <w:marTop w:val="0"/>
      <w:marBottom w:val="0"/>
      <w:divBdr>
        <w:top w:val="none" w:sz="0" w:space="0" w:color="auto"/>
        <w:left w:val="none" w:sz="0" w:space="0" w:color="auto"/>
        <w:bottom w:val="none" w:sz="0" w:space="0" w:color="auto"/>
        <w:right w:val="none" w:sz="0" w:space="0" w:color="auto"/>
      </w:divBdr>
    </w:div>
    <w:div w:id="1352995160">
      <w:bodyDiv w:val="1"/>
      <w:marLeft w:val="0"/>
      <w:marRight w:val="0"/>
      <w:marTop w:val="0"/>
      <w:marBottom w:val="0"/>
      <w:divBdr>
        <w:top w:val="none" w:sz="0" w:space="0" w:color="auto"/>
        <w:left w:val="none" w:sz="0" w:space="0" w:color="auto"/>
        <w:bottom w:val="none" w:sz="0" w:space="0" w:color="auto"/>
        <w:right w:val="none" w:sz="0" w:space="0" w:color="auto"/>
      </w:divBdr>
    </w:div>
    <w:div w:id="1356035899">
      <w:bodyDiv w:val="1"/>
      <w:marLeft w:val="0"/>
      <w:marRight w:val="0"/>
      <w:marTop w:val="0"/>
      <w:marBottom w:val="0"/>
      <w:divBdr>
        <w:top w:val="none" w:sz="0" w:space="0" w:color="auto"/>
        <w:left w:val="none" w:sz="0" w:space="0" w:color="auto"/>
        <w:bottom w:val="none" w:sz="0" w:space="0" w:color="auto"/>
        <w:right w:val="none" w:sz="0" w:space="0" w:color="auto"/>
      </w:divBdr>
    </w:div>
    <w:div w:id="1357803768">
      <w:bodyDiv w:val="1"/>
      <w:marLeft w:val="0"/>
      <w:marRight w:val="0"/>
      <w:marTop w:val="0"/>
      <w:marBottom w:val="0"/>
      <w:divBdr>
        <w:top w:val="none" w:sz="0" w:space="0" w:color="auto"/>
        <w:left w:val="none" w:sz="0" w:space="0" w:color="auto"/>
        <w:bottom w:val="none" w:sz="0" w:space="0" w:color="auto"/>
        <w:right w:val="none" w:sz="0" w:space="0" w:color="auto"/>
      </w:divBdr>
    </w:div>
    <w:div w:id="1358118634">
      <w:bodyDiv w:val="1"/>
      <w:marLeft w:val="0"/>
      <w:marRight w:val="0"/>
      <w:marTop w:val="0"/>
      <w:marBottom w:val="0"/>
      <w:divBdr>
        <w:top w:val="none" w:sz="0" w:space="0" w:color="auto"/>
        <w:left w:val="none" w:sz="0" w:space="0" w:color="auto"/>
        <w:bottom w:val="none" w:sz="0" w:space="0" w:color="auto"/>
        <w:right w:val="none" w:sz="0" w:space="0" w:color="auto"/>
      </w:divBdr>
    </w:div>
    <w:div w:id="1388457975">
      <w:bodyDiv w:val="1"/>
      <w:marLeft w:val="0"/>
      <w:marRight w:val="0"/>
      <w:marTop w:val="0"/>
      <w:marBottom w:val="0"/>
      <w:divBdr>
        <w:top w:val="none" w:sz="0" w:space="0" w:color="auto"/>
        <w:left w:val="none" w:sz="0" w:space="0" w:color="auto"/>
        <w:bottom w:val="none" w:sz="0" w:space="0" w:color="auto"/>
        <w:right w:val="none" w:sz="0" w:space="0" w:color="auto"/>
      </w:divBdr>
    </w:div>
    <w:div w:id="1418402821">
      <w:bodyDiv w:val="1"/>
      <w:marLeft w:val="0"/>
      <w:marRight w:val="0"/>
      <w:marTop w:val="0"/>
      <w:marBottom w:val="0"/>
      <w:divBdr>
        <w:top w:val="none" w:sz="0" w:space="0" w:color="auto"/>
        <w:left w:val="none" w:sz="0" w:space="0" w:color="auto"/>
        <w:bottom w:val="none" w:sz="0" w:space="0" w:color="auto"/>
        <w:right w:val="none" w:sz="0" w:space="0" w:color="auto"/>
      </w:divBdr>
    </w:div>
    <w:div w:id="1431464972">
      <w:bodyDiv w:val="1"/>
      <w:marLeft w:val="0"/>
      <w:marRight w:val="0"/>
      <w:marTop w:val="0"/>
      <w:marBottom w:val="0"/>
      <w:divBdr>
        <w:top w:val="none" w:sz="0" w:space="0" w:color="auto"/>
        <w:left w:val="none" w:sz="0" w:space="0" w:color="auto"/>
        <w:bottom w:val="none" w:sz="0" w:space="0" w:color="auto"/>
        <w:right w:val="none" w:sz="0" w:space="0" w:color="auto"/>
      </w:divBdr>
    </w:div>
    <w:div w:id="1450934243">
      <w:bodyDiv w:val="1"/>
      <w:marLeft w:val="0"/>
      <w:marRight w:val="0"/>
      <w:marTop w:val="0"/>
      <w:marBottom w:val="0"/>
      <w:divBdr>
        <w:top w:val="none" w:sz="0" w:space="0" w:color="auto"/>
        <w:left w:val="none" w:sz="0" w:space="0" w:color="auto"/>
        <w:bottom w:val="none" w:sz="0" w:space="0" w:color="auto"/>
        <w:right w:val="none" w:sz="0" w:space="0" w:color="auto"/>
      </w:divBdr>
    </w:div>
    <w:div w:id="1499347119">
      <w:bodyDiv w:val="1"/>
      <w:marLeft w:val="0"/>
      <w:marRight w:val="0"/>
      <w:marTop w:val="0"/>
      <w:marBottom w:val="0"/>
      <w:divBdr>
        <w:top w:val="none" w:sz="0" w:space="0" w:color="auto"/>
        <w:left w:val="none" w:sz="0" w:space="0" w:color="auto"/>
        <w:bottom w:val="none" w:sz="0" w:space="0" w:color="auto"/>
        <w:right w:val="none" w:sz="0" w:space="0" w:color="auto"/>
      </w:divBdr>
    </w:div>
    <w:div w:id="1511680312">
      <w:bodyDiv w:val="1"/>
      <w:marLeft w:val="0"/>
      <w:marRight w:val="0"/>
      <w:marTop w:val="0"/>
      <w:marBottom w:val="0"/>
      <w:divBdr>
        <w:top w:val="none" w:sz="0" w:space="0" w:color="auto"/>
        <w:left w:val="none" w:sz="0" w:space="0" w:color="auto"/>
        <w:bottom w:val="none" w:sz="0" w:space="0" w:color="auto"/>
        <w:right w:val="none" w:sz="0" w:space="0" w:color="auto"/>
      </w:divBdr>
    </w:div>
    <w:div w:id="1514686779">
      <w:bodyDiv w:val="1"/>
      <w:marLeft w:val="0"/>
      <w:marRight w:val="0"/>
      <w:marTop w:val="0"/>
      <w:marBottom w:val="0"/>
      <w:divBdr>
        <w:top w:val="none" w:sz="0" w:space="0" w:color="auto"/>
        <w:left w:val="none" w:sz="0" w:space="0" w:color="auto"/>
        <w:bottom w:val="none" w:sz="0" w:space="0" w:color="auto"/>
        <w:right w:val="none" w:sz="0" w:space="0" w:color="auto"/>
      </w:divBdr>
    </w:div>
    <w:div w:id="1548563927">
      <w:bodyDiv w:val="1"/>
      <w:marLeft w:val="0"/>
      <w:marRight w:val="0"/>
      <w:marTop w:val="0"/>
      <w:marBottom w:val="0"/>
      <w:divBdr>
        <w:top w:val="none" w:sz="0" w:space="0" w:color="auto"/>
        <w:left w:val="none" w:sz="0" w:space="0" w:color="auto"/>
        <w:bottom w:val="none" w:sz="0" w:space="0" w:color="auto"/>
        <w:right w:val="none" w:sz="0" w:space="0" w:color="auto"/>
      </w:divBdr>
    </w:div>
    <w:div w:id="1549103306">
      <w:bodyDiv w:val="1"/>
      <w:marLeft w:val="0"/>
      <w:marRight w:val="0"/>
      <w:marTop w:val="0"/>
      <w:marBottom w:val="0"/>
      <w:divBdr>
        <w:top w:val="none" w:sz="0" w:space="0" w:color="auto"/>
        <w:left w:val="none" w:sz="0" w:space="0" w:color="auto"/>
        <w:bottom w:val="none" w:sz="0" w:space="0" w:color="auto"/>
        <w:right w:val="none" w:sz="0" w:space="0" w:color="auto"/>
      </w:divBdr>
    </w:div>
    <w:div w:id="1618831877">
      <w:bodyDiv w:val="1"/>
      <w:marLeft w:val="0"/>
      <w:marRight w:val="0"/>
      <w:marTop w:val="0"/>
      <w:marBottom w:val="0"/>
      <w:divBdr>
        <w:top w:val="none" w:sz="0" w:space="0" w:color="auto"/>
        <w:left w:val="none" w:sz="0" w:space="0" w:color="auto"/>
        <w:bottom w:val="none" w:sz="0" w:space="0" w:color="auto"/>
        <w:right w:val="none" w:sz="0" w:space="0" w:color="auto"/>
      </w:divBdr>
    </w:div>
    <w:div w:id="1632134469">
      <w:bodyDiv w:val="1"/>
      <w:marLeft w:val="0"/>
      <w:marRight w:val="0"/>
      <w:marTop w:val="0"/>
      <w:marBottom w:val="0"/>
      <w:divBdr>
        <w:top w:val="none" w:sz="0" w:space="0" w:color="auto"/>
        <w:left w:val="none" w:sz="0" w:space="0" w:color="auto"/>
        <w:bottom w:val="none" w:sz="0" w:space="0" w:color="auto"/>
        <w:right w:val="none" w:sz="0" w:space="0" w:color="auto"/>
      </w:divBdr>
    </w:div>
    <w:div w:id="1639608760">
      <w:bodyDiv w:val="1"/>
      <w:marLeft w:val="0"/>
      <w:marRight w:val="0"/>
      <w:marTop w:val="0"/>
      <w:marBottom w:val="0"/>
      <w:divBdr>
        <w:top w:val="none" w:sz="0" w:space="0" w:color="auto"/>
        <w:left w:val="none" w:sz="0" w:space="0" w:color="auto"/>
        <w:bottom w:val="none" w:sz="0" w:space="0" w:color="auto"/>
        <w:right w:val="none" w:sz="0" w:space="0" w:color="auto"/>
      </w:divBdr>
    </w:div>
    <w:div w:id="1654292186">
      <w:bodyDiv w:val="1"/>
      <w:marLeft w:val="0"/>
      <w:marRight w:val="0"/>
      <w:marTop w:val="0"/>
      <w:marBottom w:val="0"/>
      <w:divBdr>
        <w:top w:val="none" w:sz="0" w:space="0" w:color="auto"/>
        <w:left w:val="none" w:sz="0" w:space="0" w:color="auto"/>
        <w:bottom w:val="none" w:sz="0" w:space="0" w:color="auto"/>
        <w:right w:val="none" w:sz="0" w:space="0" w:color="auto"/>
      </w:divBdr>
    </w:div>
    <w:div w:id="1699235847">
      <w:bodyDiv w:val="1"/>
      <w:marLeft w:val="0"/>
      <w:marRight w:val="0"/>
      <w:marTop w:val="0"/>
      <w:marBottom w:val="0"/>
      <w:divBdr>
        <w:top w:val="none" w:sz="0" w:space="0" w:color="auto"/>
        <w:left w:val="none" w:sz="0" w:space="0" w:color="auto"/>
        <w:bottom w:val="none" w:sz="0" w:space="0" w:color="auto"/>
        <w:right w:val="none" w:sz="0" w:space="0" w:color="auto"/>
      </w:divBdr>
    </w:div>
    <w:div w:id="1705911028">
      <w:bodyDiv w:val="1"/>
      <w:marLeft w:val="0"/>
      <w:marRight w:val="0"/>
      <w:marTop w:val="0"/>
      <w:marBottom w:val="0"/>
      <w:divBdr>
        <w:top w:val="none" w:sz="0" w:space="0" w:color="auto"/>
        <w:left w:val="none" w:sz="0" w:space="0" w:color="auto"/>
        <w:bottom w:val="none" w:sz="0" w:space="0" w:color="auto"/>
        <w:right w:val="none" w:sz="0" w:space="0" w:color="auto"/>
      </w:divBdr>
    </w:div>
    <w:div w:id="1707095345">
      <w:bodyDiv w:val="1"/>
      <w:marLeft w:val="0"/>
      <w:marRight w:val="0"/>
      <w:marTop w:val="0"/>
      <w:marBottom w:val="0"/>
      <w:divBdr>
        <w:top w:val="none" w:sz="0" w:space="0" w:color="auto"/>
        <w:left w:val="none" w:sz="0" w:space="0" w:color="auto"/>
        <w:bottom w:val="none" w:sz="0" w:space="0" w:color="auto"/>
        <w:right w:val="none" w:sz="0" w:space="0" w:color="auto"/>
      </w:divBdr>
    </w:div>
    <w:div w:id="1719010811">
      <w:bodyDiv w:val="1"/>
      <w:marLeft w:val="0"/>
      <w:marRight w:val="0"/>
      <w:marTop w:val="0"/>
      <w:marBottom w:val="0"/>
      <w:divBdr>
        <w:top w:val="none" w:sz="0" w:space="0" w:color="auto"/>
        <w:left w:val="none" w:sz="0" w:space="0" w:color="auto"/>
        <w:bottom w:val="none" w:sz="0" w:space="0" w:color="auto"/>
        <w:right w:val="none" w:sz="0" w:space="0" w:color="auto"/>
      </w:divBdr>
    </w:div>
    <w:div w:id="1722747478">
      <w:bodyDiv w:val="1"/>
      <w:marLeft w:val="0"/>
      <w:marRight w:val="0"/>
      <w:marTop w:val="0"/>
      <w:marBottom w:val="0"/>
      <w:divBdr>
        <w:top w:val="none" w:sz="0" w:space="0" w:color="auto"/>
        <w:left w:val="none" w:sz="0" w:space="0" w:color="auto"/>
        <w:bottom w:val="none" w:sz="0" w:space="0" w:color="auto"/>
        <w:right w:val="none" w:sz="0" w:space="0" w:color="auto"/>
      </w:divBdr>
    </w:div>
    <w:div w:id="1734624599">
      <w:bodyDiv w:val="1"/>
      <w:marLeft w:val="0"/>
      <w:marRight w:val="0"/>
      <w:marTop w:val="0"/>
      <w:marBottom w:val="0"/>
      <w:divBdr>
        <w:top w:val="none" w:sz="0" w:space="0" w:color="auto"/>
        <w:left w:val="none" w:sz="0" w:space="0" w:color="auto"/>
        <w:bottom w:val="none" w:sz="0" w:space="0" w:color="auto"/>
        <w:right w:val="none" w:sz="0" w:space="0" w:color="auto"/>
      </w:divBdr>
    </w:div>
    <w:div w:id="1757245130">
      <w:bodyDiv w:val="1"/>
      <w:marLeft w:val="0"/>
      <w:marRight w:val="0"/>
      <w:marTop w:val="0"/>
      <w:marBottom w:val="0"/>
      <w:divBdr>
        <w:top w:val="none" w:sz="0" w:space="0" w:color="auto"/>
        <w:left w:val="none" w:sz="0" w:space="0" w:color="auto"/>
        <w:bottom w:val="none" w:sz="0" w:space="0" w:color="auto"/>
        <w:right w:val="none" w:sz="0" w:space="0" w:color="auto"/>
      </w:divBdr>
    </w:div>
    <w:div w:id="1763645957">
      <w:bodyDiv w:val="1"/>
      <w:marLeft w:val="0"/>
      <w:marRight w:val="0"/>
      <w:marTop w:val="0"/>
      <w:marBottom w:val="0"/>
      <w:divBdr>
        <w:top w:val="none" w:sz="0" w:space="0" w:color="auto"/>
        <w:left w:val="none" w:sz="0" w:space="0" w:color="auto"/>
        <w:bottom w:val="none" w:sz="0" w:space="0" w:color="auto"/>
        <w:right w:val="none" w:sz="0" w:space="0" w:color="auto"/>
      </w:divBdr>
    </w:div>
    <w:div w:id="1776510711">
      <w:bodyDiv w:val="1"/>
      <w:marLeft w:val="0"/>
      <w:marRight w:val="0"/>
      <w:marTop w:val="0"/>
      <w:marBottom w:val="0"/>
      <w:divBdr>
        <w:top w:val="none" w:sz="0" w:space="0" w:color="auto"/>
        <w:left w:val="none" w:sz="0" w:space="0" w:color="auto"/>
        <w:bottom w:val="none" w:sz="0" w:space="0" w:color="auto"/>
        <w:right w:val="none" w:sz="0" w:space="0" w:color="auto"/>
      </w:divBdr>
    </w:div>
    <w:div w:id="1791515198">
      <w:bodyDiv w:val="1"/>
      <w:marLeft w:val="0"/>
      <w:marRight w:val="0"/>
      <w:marTop w:val="0"/>
      <w:marBottom w:val="0"/>
      <w:divBdr>
        <w:top w:val="none" w:sz="0" w:space="0" w:color="auto"/>
        <w:left w:val="none" w:sz="0" w:space="0" w:color="auto"/>
        <w:bottom w:val="none" w:sz="0" w:space="0" w:color="auto"/>
        <w:right w:val="none" w:sz="0" w:space="0" w:color="auto"/>
      </w:divBdr>
    </w:div>
    <w:div w:id="1847284690">
      <w:bodyDiv w:val="1"/>
      <w:marLeft w:val="0"/>
      <w:marRight w:val="0"/>
      <w:marTop w:val="0"/>
      <w:marBottom w:val="0"/>
      <w:divBdr>
        <w:top w:val="none" w:sz="0" w:space="0" w:color="auto"/>
        <w:left w:val="none" w:sz="0" w:space="0" w:color="auto"/>
        <w:bottom w:val="none" w:sz="0" w:space="0" w:color="auto"/>
        <w:right w:val="none" w:sz="0" w:space="0" w:color="auto"/>
      </w:divBdr>
    </w:div>
    <w:div w:id="1859657441">
      <w:bodyDiv w:val="1"/>
      <w:marLeft w:val="0"/>
      <w:marRight w:val="0"/>
      <w:marTop w:val="0"/>
      <w:marBottom w:val="0"/>
      <w:divBdr>
        <w:top w:val="none" w:sz="0" w:space="0" w:color="auto"/>
        <w:left w:val="none" w:sz="0" w:space="0" w:color="auto"/>
        <w:bottom w:val="none" w:sz="0" w:space="0" w:color="auto"/>
        <w:right w:val="none" w:sz="0" w:space="0" w:color="auto"/>
      </w:divBdr>
    </w:div>
    <w:div w:id="1865628686">
      <w:bodyDiv w:val="1"/>
      <w:marLeft w:val="0"/>
      <w:marRight w:val="0"/>
      <w:marTop w:val="0"/>
      <w:marBottom w:val="0"/>
      <w:divBdr>
        <w:top w:val="none" w:sz="0" w:space="0" w:color="auto"/>
        <w:left w:val="none" w:sz="0" w:space="0" w:color="auto"/>
        <w:bottom w:val="none" w:sz="0" w:space="0" w:color="auto"/>
        <w:right w:val="none" w:sz="0" w:space="0" w:color="auto"/>
      </w:divBdr>
    </w:div>
    <w:div w:id="1871380530">
      <w:bodyDiv w:val="1"/>
      <w:marLeft w:val="0"/>
      <w:marRight w:val="0"/>
      <w:marTop w:val="0"/>
      <w:marBottom w:val="0"/>
      <w:divBdr>
        <w:top w:val="none" w:sz="0" w:space="0" w:color="auto"/>
        <w:left w:val="none" w:sz="0" w:space="0" w:color="auto"/>
        <w:bottom w:val="none" w:sz="0" w:space="0" w:color="auto"/>
        <w:right w:val="none" w:sz="0" w:space="0" w:color="auto"/>
      </w:divBdr>
    </w:div>
    <w:div w:id="1874616222">
      <w:bodyDiv w:val="1"/>
      <w:marLeft w:val="0"/>
      <w:marRight w:val="0"/>
      <w:marTop w:val="0"/>
      <w:marBottom w:val="0"/>
      <w:divBdr>
        <w:top w:val="none" w:sz="0" w:space="0" w:color="auto"/>
        <w:left w:val="none" w:sz="0" w:space="0" w:color="auto"/>
        <w:bottom w:val="none" w:sz="0" w:space="0" w:color="auto"/>
        <w:right w:val="none" w:sz="0" w:space="0" w:color="auto"/>
      </w:divBdr>
    </w:div>
    <w:div w:id="1884635621">
      <w:bodyDiv w:val="1"/>
      <w:marLeft w:val="0"/>
      <w:marRight w:val="0"/>
      <w:marTop w:val="0"/>
      <w:marBottom w:val="0"/>
      <w:divBdr>
        <w:top w:val="none" w:sz="0" w:space="0" w:color="auto"/>
        <w:left w:val="none" w:sz="0" w:space="0" w:color="auto"/>
        <w:bottom w:val="none" w:sz="0" w:space="0" w:color="auto"/>
        <w:right w:val="none" w:sz="0" w:space="0" w:color="auto"/>
      </w:divBdr>
    </w:div>
    <w:div w:id="1902672333">
      <w:bodyDiv w:val="1"/>
      <w:marLeft w:val="0"/>
      <w:marRight w:val="0"/>
      <w:marTop w:val="0"/>
      <w:marBottom w:val="0"/>
      <w:divBdr>
        <w:top w:val="none" w:sz="0" w:space="0" w:color="auto"/>
        <w:left w:val="none" w:sz="0" w:space="0" w:color="auto"/>
        <w:bottom w:val="none" w:sz="0" w:space="0" w:color="auto"/>
        <w:right w:val="none" w:sz="0" w:space="0" w:color="auto"/>
      </w:divBdr>
    </w:div>
    <w:div w:id="1905485550">
      <w:bodyDiv w:val="1"/>
      <w:marLeft w:val="0"/>
      <w:marRight w:val="0"/>
      <w:marTop w:val="0"/>
      <w:marBottom w:val="0"/>
      <w:divBdr>
        <w:top w:val="none" w:sz="0" w:space="0" w:color="auto"/>
        <w:left w:val="none" w:sz="0" w:space="0" w:color="auto"/>
        <w:bottom w:val="none" w:sz="0" w:space="0" w:color="auto"/>
        <w:right w:val="none" w:sz="0" w:space="0" w:color="auto"/>
      </w:divBdr>
    </w:div>
    <w:div w:id="1948535930">
      <w:bodyDiv w:val="1"/>
      <w:marLeft w:val="0"/>
      <w:marRight w:val="0"/>
      <w:marTop w:val="0"/>
      <w:marBottom w:val="0"/>
      <w:divBdr>
        <w:top w:val="none" w:sz="0" w:space="0" w:color="auto"/>
        <w:left w:val="none" w:sz="0" w:space="0" w:color="auto"/>
        <w:bottom w:val="none" w:sz="0" w:space="0" w:color="auto"/>
        <w:right w:val="none" w:sz="0" w:space="0" w:color="auto"/>
      </w:divBdr>
    </w:div>
    <w:div w:id="1952975608">
      <w:bodyDiv w:val="1"/>
      <w:marLeft w:val="0"/>
      <w:marRight w:val="0"/>
      <w:marTop w:val="0"/>
      <w:marBottom w:val="0"/>
      <w:divBdr>
        <w:top w:val="none" w:sz="0" w:space="0" w:color="auto"/>
        <w:left w:val="none" w:sz="0" w:space="0" w:color="auto"/>
        <w:bottom w:val="none" w:sz="0" w:space="0" w:color="auto"/>
        <w:right w:val="none" w:sz="0" w:space="0" w:color="auto"/>
      </w:divBdr>
    </w:div>
    <w:div w:id="1953777088">
      <w:bodyDiv w:val="1"/>
      <w:marLeft w:val="0"/>
      <w:marRight w:val="0"/>
      <w:marTop w:val="0"/>
      <w:marBottom w:val="0"/>
      <w:divBdr>
        <w:top w:val="none" w:sz="0" w:space="0" w:color="auto"/>
        <w:left w:val="none" w:sz="0" w:space="0" w:color="auto"/>
        <w:bottom w:val="none" w:sz="0" w:space="0" w:color="auto"/>
        <w:right w:val="none" w:sz="0" w:space="0" w:color="auto"/>
      </w:divBdr>
    </w:div>
    <w:div w:id="1978799480">
      <w:bodyDiv w:val="1"/>
      <w:marLeft w:val="0"/>
      <w:marRight w:val="0"/>
      <w:marTop w:val="0"/>
      <w:marBottom w:val="0"/>
      <w:divBdr>
        <w:top w:val="none" w:sz="0" w:space="0" w:color="auto"/>
        <w:left w:val="none" w:sz="0" w:space="0" w:color="auto"/>
        <w:bottom w:val="none" w:sz="0" w:space="0" w:color="auto"/>
        <w:right w:val="none" w:sz="0" w:space="0" w:color="auto"/>
      </w:divBdr>
    </w:div>
    <w:div w:id="1980843289">
      <w:bodyDiv w:val="1"/>
      <w:marLeft w:val="0"/>
      <w:marRight w:val="0"/>
      <w:marTop w:val="0"/>
      <w:marBottom w:val="0"/>
      <w:divBdr>
        <w:top w:val="none" w:sz="0" w:space="0" w:color="auto"/>
        <w:left w:val="none" w:sz="0" w:space="0" w:color="auto"/>
        <w:bottom w:val="none" w:sz="0" w:space="0" w:color="auto"/>
        <w:right w:val="none" w:sz="0" w:space="0" w:color="auto"/>
      </w:divBdr>
    </w:div>
    <w:div w:id="1981887562">
      <w:bodyDiv w:val="1"/>
      <w:marLeft w:val="0"/>
      <w:marRight w:val="0"/>
      <w:marTop w:val="0"/>
      <w:marBottom w:val="0"/>
      <w:divBdr>
        <w:top w:val="none" w:sz="0" w:space="0" w:color="auto"/>
        <w:left w:val="none" w:sz="0" w:space="0" w:color="auto"/>
        <w:bottom w:val="none" w:sz="0" w:space="0" w:color="auto"/>
        <w:right w:val="none" w:sz="0" w:space="0" w:color="auto"/>
      </w:divBdr>
    </w:div>
    <w:div w:id="1985741519">
      <w:bodyDiv w:val="1"/>
      <w:marLeft w:val="0"/>
      <w:marRight w:val="0"/>
      <w:marTop w:val="0"/>
      <w:marBottom w:val="0"/>
      <w:divBdr>
        <w:top w:val="none" w:sz="0" w:space="0" w:color="auto"/>
        <w:left w:val="none" w:sz="0" w:space="0" w:color="auto"/>
        <w:bottom w:val="none" w:sz="0" w:space="0" w:color="auto"/>
        <w:right w:val="none" w:sz="0" w:space="0" w:color="auto"/>
      </w:divBdr>
    </w:div>
    <w:div w:id="1992825773">
      <w:bodyDiv w:val="1"/>
      <w:marLeft w:val="0"/>
      <w:marRight w:val="0"/>
      <w:marTop w:val="0"/>
      <w:marBottom w:val="0"/>
      <w:divBdr>
        <w:top w:val="none" w:sz="0" w:space="0" w:color="auto"/>
        <w:left w:val="none" w:sz="0" w:space="0" w:color="auto"/>
        <w:bottom w:val="none" w:sz="0" w:space="0" w:color="auto"/>
        <w:right w:val="none" w:sz="0" w:space="0" w:color="auto"/>
      </w:divBdr>
    </w:div>
    <w:div w:id="2010979661">
      <w:bodyDiv w:val="1"/>
      <w:marLeft w:val="0"/>
      <w:marRight w:val="0"/>
      <w:marTop w:val="0"/>
      <w:marBottom w:val="0"/>
      <w:divBdr>
        <w:top w:val="none" w:sz="0" w:space="0" w:color="auto"/>
        <w:left w:val="none" w:sz="0" w:space="0" w:color="auto"/>
        <w:bottom w:val="none" w:sz="0" w:space="0" w:color="auto"/>
        <w:right w:val="none" w:sz="0" w:space="0" w:color="auto"/>
      </w:divBdr>
    </w:div>
    <w:div w:id="2022466923">
      <w:bodyDiv w:val="1"/>
      <w:marLeft w:val="0"/>
      <w:marRight w:val="0"/>
      <w:marTop w:val="0"/>
      <w:marBottom w:val="0"/>
      <w:divBdr>
        <w:top w:val="none" w:sz="0" w:space="0" w:color="auto"/>
        <w:left w:val="none" w:sz="0" w:space="0" w:color="auto"/>
        <w:bottom w:val="none" w:sz="0" w:space="0" w:color="auto"/>
        <w:right w:val="none" w:sz="0" w:space="0" w:color="auto"/>
      </w:divBdr>
    </w:div>
    <w:div w:id="2030986366">
      <w:bodyDiv w:val="1"/>
      <w:marLeft w:val="0"/>
      <w:marRight w:val="0"/>
      <w:marTop w:val="0"/>
      <w:marBottom w:val="0"/>
      <w:divBdr>
        <w:top w:val="none" w:sz="0" w:space="0" w:color="auto"/>
        <w:left w:val="none" w:sz="0" w:space="0" w:color="auto"/>
        <w:bottom w:val="none" w:sz="0" w:space="0" w:color="auto"/>
        <w:right w:val="none" w:sz="0" w:space="0" w:color="auto"/>
      </w:divBdr>
    </w:div>
    <w:div w:id="2038844712">
      <w:bodyDiv w:val="1"/>
      <w:marLeft w:val="0"/>
      <w:marRight w:val="0"/>
      <w:marTop w:val="0"/>
      <w:marBottom w:val="0"/>
      <w:divBdr>
        <w:top w:val="none" w:sz="0" w:space="0" w:color="auto"/>
        <w:left w:val="none" w:sz="0" w:space="0" w:color="auto"/>
        <w:bottom w:val="none" w:sz="0" w:space="0" w:color="auto"/>
        <w:right w:val="none" w:sz="0" w:space="0" w:color="auto"/>
      </w:divBdr>
    </w:div>
    <w:div w:id="2046447516">
      <w:bodyDiv w:val="1"/>
      <w:marLeft w:val="0"/>
      <w:marRight w:val="0"/>
      <w:marTop w:val="0"/>
      <w:marBottom w:val="0"/>
      <w:divBdr>
        <w:top w:val="none" w:sz="0" w:space="0" w:color="auto"/>
        <w:left w:val="none" w:sz="0" w:space="0" w:color="auto"/>
        <w:bottom w:val="none" w:sz="0" w:space="0" w:color="auto"/>
        <w:right w:val="none" w:sz="0" w:space="0" w:color="auto"/>
      </w:divBdr>
    </w:div>
    <w:div w:id="2077195945">
      <w:bodyDiv w:val="1"/>
      <w:marLeft w:val="0"/>
      <w:marRight w:val="0"/>
      <w:marTop w:val="0"/>
      <w:marBottom w:val="0"/>
      <w:divBdr>
        <w:top w:val="none" w:sz="0" w:space="0" w:color="auto"/>
        <w:left w:val="none" w:sz="0" w:space="0" w:color="auto"/>
        <w:bottom w:val="none" w:sz="0" w:space="0" w:color="auto"/>
        <w:right w:val="none" w:sz="0" w:space="0" w:color="auto"/>
      </w:divBdr>
    </w:div>
    <w:div w:id="2086682518">
      <w:bodyDiv w:val="1"/>
      <w:marLeft w:val="0"/>
      <w:marRight w:val="0"/>
      <w:marTop w:val="0"/>
      <w:marBottom w:val="0"/>
      <w:divBdr>
        <w:top w:val="none" w:sz="0" w:space="0" w:color="auto"/>
        <w:left w:val="none" w:sz="0" w:space="0" w:color="auto"/>
        <w:bottom w:val="none" w:sz="0" w:space="0" w:color="auto"/>
        <w:right w:val="none" w:sz="0" w:space="0" w:color="auto"/>
      </w:divBdr>
    </w:div>
    <w:div w:id="2089887525">
      <w:bodyDiv w:val="1"/>
      <w:marLeft w:val="0"/>
      <w:marRight w:val="0"/>
      <w:marTop w:val="0"/>
      <w:marBottom w:val="0"/>
      <w:divBdr>
        <w:top w:val="none" w:sz="0" w:space="0" w:color="auto"/>
        <w:left w:val="none" w:sz="0" w:space="0" w:color="auto"/>
        <w:bottom w:val="none" w:sz="0" w:space="0" w:color="auto"/>
        <w:right w:val="none" w:sz="0" w:space="0" w:color="auto"/>
      </w:divBdr>
    </w:div>
    <w:div w:id="2094468661">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 w:id="2121563614">
      <w:bodyDiv w:val="1"/>
      <w:marLeft w:val="0"/>
      <w:marRight w:val="0"/>
      <w:marTop w:val="0"/>
      <w:marBottom w:val="0"/>
      <w:divBdr>
        <w:top w:val="none" w:sz="0" w:space="0" w:color="auto"/>
        <w:left w:val="none" w:sz="0" w:space="0" w:color="auto"/>
        <w:bottom w:val="none" w:sz="0" w:space="0" w:color="auto"/>
        <w:right w:val="none" w:sz="0" w:space="0" w:color="auto"/>
      </w:divBdr>
    </w:div>
    <w:div w:id="21438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review-pharmacy-remuneration-regulation"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health.gov.au/node/24485" TargetMode="External"/><Relationship Id="rId3" Type="http://schemas.openxmlformats.org/officeDocument/2006/relationships/settings" Target="settings.xml"/><Relationship Id="rId21" Type="http://schemas.openxmlformats.org/officeDocument/2006/relationships/hyperlink" Target="https://www.health.gov.au/node/24168" TargetMode="External"/><Relationship Id="rId34" Type="http://schemas.openxmlformats.org/officeDocument/2006/relationships/header" Target="header6.xml"/><Relationship Id="rId7" Type="http://schemas.openxmlformats.org/officeDocument/2006/relationships/hyperlink" Target="https://www.tga.gov.au/overview-supplying-therapeutic-goods-australia" TargetMode="External"/><Relationship Id="rId12" Type="http://schemas.openxmlformats.org/officeDocument/2006/relationships/hyperlink" Target="https://www.dss.gov.au/benefits-payments/concession-and-health-cards/commonwealth-seniors-health-card" TargetMode="External"/><Relationship Id="rId17" Type="http://schemas.openxmlformats.org/officeDocument/2006/relationships/header" Target="header3.xml"/><Relationship Id="rId25" Type="http://schemas.openxmlformats.org/officeDocument/2006/relationships/hyperlink" Target="https://www.health.gov.au/node/24483"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health.gov.au/node/24108" TargetMode="External"/><Relationship Id="rId29" Type="http://schemas.openxmlformats.org/officeDocument/2006/relationships/hyperlink" Target="https://www.health.gov.au/resources/collections/pharmacy-programs-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gov.au/about-the-department/benefits-payments/concession-and-health-cards/health-care-card" TargetMode="External"/><Relationship Id="rId24" Type="http://schemas.openxmlformats.org/officeDocument/2006/relationships/hyperlink" Target="https://www.health.gov.au/node/24480"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health.gov.au/node/24471" TargetMode="External"/><Relationship Id="rId28" Type="http://schemas.openxmlformats.org/officeDocument/2006/relationships/hyperlink" Target="http://www.health.gov.au/resources/collections/pharmacy-programs-data" TargetMode="External"/><Relationship Id="rId36" Type="http://schemas.openxmlformats.org/officeDocument/2006/relationships/theme" Target="theme/theme1.xml"/><Relationship Id="rId10" Type="http://schemas.openxmlformats.org/officeDocument/2006/relationships/hyperlink" Target="https://www.dss.gov.au/about-the-department/benefits-payments/concession-and-health-cards/pensioner-concession-card" TargetMode="External"/><Relationship Id="rId19" Type="http://schemas.openxmlformats.org/officeDocument/2006/relationships/header" Target="header4.xml"/><Relationship Id="rId31" Type="http://schemas.openxmlformats.org/officeDocument/2006/relationships/hyperlink" Target="https://www.health.gov.au/resources/collections/pharmacy-programs-data" TargetMode="External"/><Relationship Id="rId4" Type="http://schemas.openxmlformats.org/officeDocument/2006/relationships/webSettings" Target="webSettings.xml"/><Relationship Id="rId9" Type="http://schemas.openxmlformats.org/officeDocument/2006/relationships/hyperlink" Target="http://www.pbs.gov.au/info/healthpro/explanatory-notes/front/fee" TargetMode="External"/><Relationship Id="rId14" Type="http://schemas.openxmlformats.org/officeDocument/2006/relationships/header" Target="header2.xml"/><Relationship Id="rId22" Type="http://schemas.openxmlformats.org/officeDocument/2006/relationships/hyperlink" Target="https://www.health.gov.au/node/24458" TargetMode="External"/><Relationship Id="rId27" Type="http://schemas.openxmlformats.org/officeDocument/2006/relationships/image" Target="media/image2.PNG"/><Relationship Id="rId30" Type="http://schemas.openxmlformats.org/officeDocument/2006/relationships/hyperlink" Target="http://www.findapharmacy.com/pbs-pricing"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pharmacy-location-rules-applicants-handbook" TargetMode="External"/><Relationship Id="rId13" Type="http://schemas.openxmlformats.org/officeDocument/2006/relationships/hyperlink" Target="https://www.aihw.gov.au/getmedia/43932a96-a27e-4e64-bf2a-a00ba539ddbe/plf95-c06.pdf.aspx" TargetMode="External"/><Relationship Id="rId18" Type="http://schemas.openxmlformats.org/officeDocument/2006/relationships/hyperlink" Target="https://web.archive.org.au/awa/20220816160934mp_/https://www1.health.gov.au/internet/main/publishing.nsf/Content/review-pharmacy-remuneration-regulation-submissions-cnt-10/$file/483-2016-29-09-consumers-health-forum-of-australia-submission.pdf" TargetMode="External"/><Relationship Id="rId26" Type="http://schemas.openxmlformats.org/officeDocument/2006/relationships/hyperlink" Target="https://www.oia.pmc.gov.au/sites/default/files/posts/2023/01/Post-Implementation%20Review%20of%20the%207CPA.pdf" TargetMode="External"/><Relationship Id="rId3" Type="http://schemas.openxmlformats.org/officeDocument/2006/relationships/hyperlink" Target="https://doi.org/10.1186/s40545-023-00571-y" TargetMode="External"/><Relationship Id="rId21" Type="http://schemas.openxmlformats.org/officeDocument/2006/relationships/hyperlink" Target="https://www.servicesaustralia.gov.au/pharmaceutical-benefits-scheme" TargetMode="External"/><Relationship Id="rId7" Type="http://schemas.openxmlformats.org/officeDocument/2006/relationships/hyperlink" Target="https://www.psa.org.au/about/about-psa/" TargetMode="External"/><Relationship Id="rId12" Type="http://schemas.openxmlformats.org/officeDocument/2006/relationships/hyperlink" Target="https://www.aihw.gov.au/reports/medicines/medicines-in-the-health-system" TargetMode="External"/><Relationship Id="rId17" Type="http://schemas.openxmlformats.org/officeDocument/2006/relationships/hyperlink" Target="https://www.injurymatters.org.au/programs/know-injury/know/poisoning/" TargetMode="External"/><Relationship Id="rId25" Type="http://schemas.openxmlformats.org/officeDocument/2006/relationships/hyperlink" Target="https://www.apo.org.au/sites/default/files/resource-files/2018-05/apo-nid143826_1.pdf" TargetMode="External"/><Relationship Id="rId2" Type="http://schemas.openxmlformats.org/officeDocument/2006/relationships/hyperlink" Target="https://www.health.gov.au/ministers/the-hon-mark-butler-mp/media/negotiations-for-an-eighth-community-pharmacy-agreement?language=en" TargetMode="External"/><Relationship Id="rId16" Type="http://schemas.openxmlformats.org/officeDocument/2006/relationships/hyperlink" Target="https://www.mdpi.com/2313-576X/8/3/66" TargetMode="External"/><Relationship Id="rId20" Type="http://schemas.openxmlformats.org/officeDocument/2006/relationships/hyperlink" Target="https://www.pbs.gov.au/info/healthpro/explanatory-notes/front/fee" TargetMode="External"/><Relationship Id="rId1" Type="http://schemas.openxmlformats.org/officeDocument/2006/relationships/hyperlink" Target="https://www.guild.org.au/about-us" TargetMode="External"/><Relationship Id="rId6" Type="http://schemas.openxmlformats.org/officeDocument/2006/relationships/hyperlink" Target="https://www.aph.gov.au/Parliamentary_Business/Bills_Legislation/Bills_Search_Results/Result?bId=r5988" TargetMode="External"/><Relationship Id="rId11" Type="http://schemas.openxmlformats.org/officeDocument/2006/relationships/hyperlink" Target="https://www.pbs.gov.au/info/general/pbs-access-sustainability-package" TargetMode="External"/><Relationship Id="rId24" Type="http://schemas.openxmlformats.org/officeDocument/2006/relationships/hyperlink" Target="https://www.health.gov.au/ministers/the-hon-mark-butler-mp/media/negotiations-for-an-eighth-community-pharmacy-agreement?language=en" TargetMode="External"/><Relationship Id="rId5" Type="http://schemas.openxmlformats.org/officeDocument/2006/relationships/hyperlink" Target="http://www.anao.gov.au/work/performance-audit/administration-fifth-community-pharmacy-agreement" TargetMode="External"/><Relationship Id="rId15" Type="http://schemas.openxmlformats.org/officeDocument/2006/relationships/hyperlink" Target="http://www.aihw.gov.au/reports/injury/accidental-poisoning" TargetMode="External"/><Relationship Id="rId23" Type="http://schemas.openxmlformats.org/officeDocument/2006/relationships/hyperlink" Target="https://www.findapharmacy.com.au/pbs-pricing" TargetMode="External"/><Relationship Id="rId10" Type="http://schemas.openxmlformats.org/officeDocument/2006/relationships/hyperlink" Target="https://web.archive.org.au/awa/20190420015956mp_/http:/www.health.gov.au/internet/main/publishing.nsf/content/7E5846EB2D7BA299CA257F5C007C0E21/$File/Pharmacy-Review-Aus-Gov-Response-3-May-2018.pdf" TargetMode="External"/><Relationship Id="rId19" Type="http://schemas.openxmlformats.org/officeDocument/2006/relationships/hyperlink" Target="https://oia.pmc.gov.au/published-impact-analyses-and-reports/lowering-costs-medicines-through-changes-maximum-dispensing" TargetMode="External"/><Relationship Id="rId4" Type="http://schemas.openxmlformats.org/officeDocument/2006/relationships/hyperlink" Target="http://www.pbs.gov.au/info/general/pbs-access-sustainability-package" TargetMode="External"/><Relationship Id="rId9" Type="http://schemas.openxmlformats.org/officeDocument/2006/relationships/hyperlink" Target="https://web.archive.org.au/awa/20190420020047mp_/http:/www.health.gov.au/internet/main/publishing.nsf/content/7E5846EB2D7BA299CA257F5C007C0E21/$File/review-of-pharmacy-remuneration-and-regulation-final-report.pdf" TargetMode="External"/><Relationship Id="rId14" Type="http://schemas.openxmlformats.org/officeDocument/2006/relationships/hyperlink" Target="http://ruralhealth.org.au/sites/default/files/documents/nrha-policy-document/policy-development/nrha-medicines-discussion-paper-january-2014.pdf" TargetMode="External"/><Relationship Id="rId22" Type="http://schemas.openxmlformats.org/officeDocument/2006/relationships/hyperlink" Target="https://www.healthdirect.gov.au/pharmaceutical-benefits-scheme-pbs" TargetMode="External"/><Relationship Id="rId27" Type="http://schemas.openxmlformats.org/officeDocument/2006/relationships/hyperlink" Target="https://www.finance.gov.au/government/setting-commonwealth-entity/governance-complia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95</Pages>
  <Words>34180</Words>
  <Characters>194831</Characters>
  <Application>Microsoft Office Word</Application>
  <DocSecurity>0</DocSecurity>
  <Lines>1623</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2024-06-11T04:47:00Z</dcterms:created>
  <dcterms:modified xsi:type="dcterms:W3CDTF">2024-06-11T04:47:00Z</dcterms:modified>
</cp:coreProperties>
</file>