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EE8F" w14:textId="77777777" w:rsidR="008B7457" w:rsidRPr="00C63E98" w:rsidRDefault="008B7457" w:rsidP="008B7457">
      <w:pPr>
        <w:pStyle w:val="NoSpacing"/>
        <w:rPr>
          <w:rFonts w:ascii="Times New Roman" w:hAnsi="Times New Roman" w:cs="Times New Roman"/>
          <w:sz w:val="24"/>
          <w:szCs w:val="24"/>
        </w:rPr>
      </w:pPr>
      <w:bookmarkStart w:id="0" w:name="_GoBack"/>
      <w:bookmarkEnd w:id="0"/>
      <w:r w:rsidRPr="00C63E98">
        <w:rPr>
          <w:rFonts w:ascii="Times New Roman" w:hAnsi="Times New Roman" w:cs="Times New Roman"/>
          <w:sz w:val="24"/>
          <w:szCs w:val="24"/>
        </w:rPr>
        <w:t>Mr Daniel Craig</w:t>
      </w:r>
    </w:p>
    <w:p w14:paraId="5C97AF07" w14:textId="77777777" w:rsidR="008B7457" w:rsidRPr="00C63E98" w:rsidRDefault="008B7457" w:rsidP="008B7457">
      <w:pPr>
        <w:pStyle w:val="NoSpacing"/>
        <w:rPr>
          <w:rFonts w:ascii="Times New Roman" w:hAnsi="Times New Roman" w:cs="Times New Roman"/>
          <w:sz w:val="24"/>
          <w:szCs w:val="24"/>
        </w:rPr>
      </w:pPr>
      <w:r w:rsidRPr="00C63E98">
        <w:rPr>
          <w:rFonts w:ascii="Times New Roman" w:hAnsi="Times New Roman" w:cs="Times New Roman"/>
          <w:sz w:val="24"/>
          <w:szCs w:val="24"/>
        </w:rPr>
        <w:t>A/g Executive Director</w:t>
      </w:r>
    </w:p>
    <w:p w14:paraId="42227988" w14:textId="77777777" w:rsidR="008B7457" w:rsidRPr="00C63E98" w:rsidRDefault="008B7457" w:rsidP="008B7457">
      <w:pPr>
        <w:pStyle w:val="NoSpacing"/>
        <w:rPr>
          <w:rFonts w:ascii="Times New Roman" w:hAnsi="Times New Roman" w:cs="Times New Roman"/>
          <w:sz w:val="24"/>
          <w:szCs w:val="24"/>
        </w:rPr>
      </w:pPr>
      <w:r w:rsidRPr="00C63E98">
        <w:rPr>
          <w:rFonts w:ascii="Times New Roman" w:hAnsi="Times New Roman" w:cs="Times New Roman"/>
          <w:sz w:val="24"/>
          <w:szCs w:val="24"/>
        </w:rPr>
        <w:t>Office of Impact Analysis</w:t>
      </w:r>
    </w:p>
    <w:p w14:paraId="3F9D3604" w14:textId="77777777" w:rsidR="008B7457" w:rsidRPr="00C63E98" w:rsidRDefault="008B7457" w:rsidP="008B7457">
      <w:pPr>
        <w:pStyle w:val="NoSpacing"/>
        <w:rPr>
          <w:rFonts w:ascii="Times New Roman" w:hAnsi="Times New Roman" w:cs="Times New Roman"/>
          <w:sz w:val="24"/>
          <w:szCs w:val="24"/>
        </w:rPr>
      </w:pPr>
      <w:r w:rsidRPr="00C63E98">
        <w:rPr>
          <w:rFonts w:ascii="Times New Roman" w:hAnsi="Times New Roman" w:cs="Times New Roman"/>
          <w:sz w:val="24"/>
          <w:szCs w:val="24"/>
        </w:rPr>
        <w:t>Department of the Prime Minister and Cabinet</w:t>
      </w:r>
    </w:p>
    <w:p w14:paraId="0D2E089B" w14:textId="77777777" w:rsidR="008B7457" w:rsidRPr="000E6D0B" w:rsidRDefault="008B7457" w:rsidP="008B7457">
      <w:pPr>
        <w:pStyle w:val="NoSpacing"/>
        <w:rPr>
          <w:rFonts w:ascii="Times New Roman" w:hAnsi="Times New Roman" w:cs="Times New Roman"/>
          <w:sz w:val="24"/>
          <w:szCs w:val="24"/>
        </w:rPr>
      </w:pPr>
      <w:r w:rsidRPr="000E6D0B">
        <w:rPr>
          <w:rFonts w:ascii="Times New Roman" w:hAnsi="Times New Roman" w:cs="Times New Roman"/>
          <w:sz w:val="24"/>
          <w:szCs w:val="24"/>
        </w:rPr>
        <w:t>1 National Circuit</w:t>
      </w:r>
    </w:p>
    <w:p w14:paraId="3A0CCAEC" w14:textId="77777777" w:rsidR="008B7457" w:rsidRPr="00C63E98" w:rsidRDefault="008B7457" w:rsidP="008B7457">
      <w:pPr>
        <w:pStyle w:val="NoSpacing"/>
        <w:rPr>
          <w:rFonts w:ascii="Times New Roman" w:hAnsi="Times New Roman" w:cs="Times New Roman"/>
          <w:sz w:val="24"/>
          <w:szCs w:val="24"/>
        </w:rPr>
      </w:pPr>
      <w:r>
        <w:rPr>
          <w:rFonts w:ascii="Times New Roman" w:hAnsi="Times New Roman" w:cs="Times New Roman"/>
          <w:sz w:val="24"/>
          <w:szCs w:val="24"/>
        </w:rPr>
        <w:t xml:space="preserve">BARTON ACT </w:t>
      </w:r>
      <w:r w:rsidRPr="000E6D0B">
        <w:rPr>
          <w:rFonts w:ascii="Times New Roman" w:hAnsi="Times New Roman" w:cs="Times New Roman"/>
          <w:sz w:val="24"/>
          <w:szCs w:val="24"/>
        </w:rPr>
        <w:t>2600</w:t>
      </w:r>
    </w:p>
    <w:p w14:paraId="17D18472" w14:textId="77777777" w:rsidR="008B7457" w:rsidRPr="00C63E98" w:rsidRDefault="008B7457" w:rsidP="008B7457">
      <w:pPr>
        <w:spacing w:before="160" w:after="240"/>
        <w:rPr>
          <w:szCs w:val="24"/>
        </w:rPr>
      </w:pPr>
      <w:r w:rsidRPr="00C63E98">
        <w:rPr>
          <w:szCs w:val="24"/>
        </w:rPr>
        <w:t xml:space="preserve">Email: </w:t>
      </w:r>
      <w:r>
        <w:rPr>
          <w:szCs w:val="24"/>
        </w:rPr>
        <w:t>H</w:t>
      </w:r>
      <w:r w:rsidRPr="00C63E98">
        <w:rPr>
          <w:szCs w:val="24"/>
        </w:rPr>
        <w:t>elpdesk-OIA@pmc.gov.au</w:t>
      </w:r>
    </w:p>
    <w:p w14:paraId="5BD2D28B" w14:textId="77777777" w:rsidR="008B7457" w:rsidRDefault="008B7457" w:rsidP="008B7457">
      <w:pPr>
        <w:spacing w:before="240" w:after="240"/>
      </w:pPr>
      <w:r w:rsidRPr="00C63E98">
        <w:rPr>
          <w:szCs w:val="24"/>
        </w:rPr>
        <w:t>Dear Mr Craig</w:t>
      </w:r>
    </w:p>
    <w:p w14:paraId="41E40320" w14:textId="25CD516B" w:rsidR="008B7457" w:rsidRPr="004D6A26" w:rsidRDefault="008B7457" w:rsidP="008B7457">
      <w:pPr>
        <w:pStyle w:val="Heading1"/>
        <w:spacing w:before="240" w:after="0" w:line="300" w:lineRule="exact"/>
        <w:rPr>
          <w:sz w:val="24"/>
          <w:szCs w:val="24"/>
        </w:rPr>
      </w:pPr>
      <w:r>
        <w:rPr>
          <w:sz w:val="24"/>
          <w:szCs w:val="24"/>
        </w:rPr>
        <w:t xml:space="preserve">Certification as Impact Analysis Equivalent </w:t>
      </w:r>
      <w:r w:rsidR="0038036B">
        <w:rPr>
          <w:sz w:val="24"/>
          <w:szCs w:val="24"/>
        </w:rPr>
        <w:t>– ACCC Home Loan Inquiry Final Report 2020 and Retail Deposit Inquiry Final Report 2023</w:t>
      </w:r>
    </w:p>
    <w:p w14:paraId="6358BA4A" w14:textId="7697336A" w:rsidR="008B7457" w:rsidRDefault="008B7457" w:rsidP="008B7457">
      <w:pPr>
        <w:pStyle w:val="BodyText"/>
        <w:jc w:val="left"/>
      </w:pPr>
      <w:r>
        <w:t>I am writing to certify that the</w:t>
      </w:r>
      <w:r w:rsidR="00BA5BE9">
        <w:t xml:space="preserve"> reports</w:t>
      </w:r>
      <w:r w:rsidR="00513318">
        <w:t xml:space="preserve"> (</w:t>
      </w:r>
      <w:r w:rsidR="00362364">
        <w:t>A</w:t>
      </w:r>
      <w:r w:rsidR="00513318">
        <w:t xml:space="preserve">ttachments </w:t>
      </w:r>
      <w:r w:rsidR="00BA5BE9">
        <w:t>A</w:t>
      </w:r>
      <w:r w:rsidR="00513318">
        <w:t xml:space="preserve"> and </w:t>
      </w:r>
      <w:r w:rsidR="00BA5BE9">
        <w:t>B</w:t>
      </w:r>
      <w:r w:rsidR="00513318">
        <w:t>)</w:t>
      </w:r>
      <w:r w:rsidR="0038036B">
        <w:t xml:space="preserve"> have</w:t>
      </w:r>
      <w:r>
        <w:t xml:space="preserve"> undertaken a process and analysis equivalent to an Impact Analysis (IA). </w:t>
      </w:r>
    </w:p>
    <w:p w14:paraId="1D363EE3" w14:textId="3020F739" w:rsidR="008B7457" w:rsidRPr="00C81321" w:rsidRDefault="008B7457" w:rsidP="00C81321">
      <w:pPr>
        <w:pStyle w:val="BodyText"/>
        <w:jc w:val="left"/>
        <w:rPr>
          <w:strike/>
          <w:color w:val="FF0000"/>
        </w:rPr>
      </w:pPr>
      <w:r>
        <w:t>I certify that</w:t>
      </w:r>
      <w:r w:rsidR="0038036B">
        <w:t xml:space="preserve"> these reports </w:t>
      </w:r>
      <w:r w:rsidRPr="00511F18">
        <w:t xml:space="preserve">adequately </w:t>
      </w:r>
      <w:r w:rsidR="00AC09B2" w:rsidRPr="00511F18">
        <w:t>address</w:t>
      </w:r>
      <w:r>
        <w:rPr>
          <w:color w:val="FF0000"/>
        </w:rPr>
        <w:t xml:space="preserve"> </w:t>
      </w:r>
      <w:r>
        <w:t>all seven IA questions and is submitted to the Office of Impact Analysis for the purposes of informing a</w:t>
      </w:r>
      <w:r w:rsidR="0038036B">
        <w:t xml:space="preserve"> major decision point in the proposal’s development.</w:t>
      </w:r>
    </w:p>
    <w:p w14:paraId="048F0802" w14:textId="4209843E" w:rsidR="00807864" w:rsidRPr="00037D60" w:rsidRDefault="00FF8EF0" w:rsidP="0043635B">
      <w:pPr>
        <w:pStyle w:val="BodyText"/>
        <w:jc w:val="left"/>
      </w:pPr>
      <w:r w:rsidRPr="0043635B">
        <w:t>The scope of the Impact Analysis Equivalent covers the scope of the policy proposal</w:t>
      </w:r>
      <w:r w:rsidRPr="005431F0">
        <w:t xml:space="preserve"> </w:t>
      </w:r>
      <w:r w:rsidRPr="0043635B">
        <w:t xml:space="preserve">with the exception of </w:t>
      </w:r>
      <w:r w:rsidRPr="005431F0">
        <w:t xml:space="preserve">Question 7. </w:t>
      </w:r>
      <w:r w:rsidRPr="0043635B">
        <w:t>To address th</w:t>
      </w:r>
      <w:r w:rsidR="00342FBA" w:rsidRPr="0043635B">
        <w:t>is</w:t>
      </w:r>
      <w:r w:rsidRPr="0043635B">
        <w:t xml:space="preserve"> gap in the analysis I also certify </w:t>
      </w:r>
      <w:r w:rsidR="00A317A3" w:rsidRPr="0043635B">
        <w:t>that a separate internally developed</w:t>
      </w:r>
      <w:r w:rsidRPr="0043635B">
        <w:t xml:space="preserve"> evaluation plan</w:t>
      </w:r>
      <w:r w:rsidR="00BA5BE9">
        <w:t xml:space="preserve"> (Attachment C)</w:t>
      </w:r>
      <w:r w:rsidR="00B966FB" w:rsidRPr="0043635B">
        <w:t xml:space="preserve"> meets the requirements of this question. The plan has </w:t>
      </w:r>
      <w:r w:rsidR="00B966FB" w:rsidRPr="00037D60">
        <w:t>been developed</w:t>
      </w:r>
      <w:r w:rsidR="00A317A3" w:rsidRPr="00037D60">
        <w:t xml:space="preserve"> </w:t>
      </w:r>
      <w:r w:rsidRPr="00037D60">
        <w:t xml:space="preserve">with </w:t>
      </w:r>
      <w:r w:rsidR="00102A52" w:rsidRPr="00037D60">
        <w:t xml:space="preserve">the </w:t>
      </w:r>
      <w:r w:rsidRPr="00037D60">
        <w:t xml:space="preserve">support </w:t>
      </w:r>
      <w:r w:rsidR="00102A52" w:rsidRPr="00037D60">
        <w:t xml:space="preserve">of the </w:t>
      </w:r>
      <w:r w:rsidR="0043635B" w:rsidRPr="00E3743C">
        <w:t>Australian Centre for Evaluation (ACE)</w:t>
      </w:r>
      <w:r w:rsidRPr="00037D60">
        <w:t xml:space="preserve">. </w:t>
      </w:r>
    </w:p>
    <w:p w14:paraId="58FBB392" w14:textId="77777777" w:rsidR="00A65815" w:rsidRPr="00037D60" w:rsidRDefault="00A65815" w:rsidP="00A65815">
      <w:pPr>
        <w:pStyle w:val="BodyText"/>
        <w:spacing w:before="0" w:line="240" w:lineRule="auto"/>
        <w:jc w:val="left"/>
        <w:rPr>
          <w:color w:val="FF0000"/>
        </w:rPr>
      </w:pPr>
    </w:p>
    <w:p w14:paraId="7B6E2217" w14:textId="77777777" w:rsidR="001B1E5C" w:rsidRPr="00037D60" w:rsidRDefault="001B1E5C" w:rsidP="001B1E5C">
      <w:pPr>
        <w:pStyle w:val="Heading2"/>
      </w:pPr>
      <w:r w:rsidRPr="00037D60">
        <w:t>Regulatory burden estimate table</w:t>
      </w:r>
    </w:p>
    <w:tbl>
      <w:tblPr>
        <w:tblStyle w:val="LightGrid-Accent2"/>
        <w:tblW w:w="935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Caption w:val="Regulatory burden and cost offset estimate table"/>
        <w:tblDescription w:val="Template for the Regulatory burden and cost offset estimate table"/>
      </w:tblPr>
      <w:tblGrid>
        <w:gridCol w:w="1871"/>
        <w:gridCol w:w="1871"/>
        <w:gridCol w:w="1871"/>
        <w:gridCol w:w="1871"/>
        <w:gridCol w:w="1872"/>
      </w:tblGrid>
      <w:tr w:rsidR="009706E6" w:rsidRPr="00037D60" w14:paraId="7A99787A" w14:textId="77777777" w:rsidTr="0FD3EA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6" w:type="dxa"/>
            <w:gridSpan w:val="5"/>
            <w:shd w:val="clear" w:color="auto" w:fill="0F243E" w:themeFill="text2" w:themeFillShade="80"/>
            <w:noWrap/>
          </w:tcPr>
          <w:p w14:paraId="578A9596" w14:textId="63D440FA" w:rsidR="009706E6" w:rsidRPr="00037D60" w:rsidRDefault="009706E6">
            <w:pPr>
              <w:spacing w:before="120" w:after="120"/>
              <w:rPr>
                <w:rFonts w:ascii="Arial" w:hAnsi="Arial" w:cs="Arial"/>
                <w:sz w:val="20"/>
              </w:rPr>
            </w:pPr>
            <w:r w:rsidRPr="00037D60">
              <w:rPr>
                <w:rFonts w:ascii="Arial" w:hAnsi="Arial" w:cs="Arial"/>
                <w:sz w:val="20"/>
              </w:rPr>
              <w:t xml:space="preserve">Average </w:t>
            </w:r>
            <w:r w:rsidR="00037D60" w:rsidRPr="00037D60">
              <w:rPr>
                <w:rFonts w:ascii="Arial" w:hAnsi="Arial" w:cs="Arial"/>
                <w:sz w:val="20"/>
              </w:rPr>
              <w:t xml:space="preserve">10 year </w:t>
            </w:r>
            <w:r w:rsidRPr="00037D60">
              <w:rPr>
                <w:rFonts w:ascii="Arial" w:hAnsi="Arial" w:cs="Arial"/>
                <w:sz w:val="20"/>
              </w:rPr>
              <w:t>annual</w:t>
            </w:r>
            <w:r w:rsidR="00037D60" w:rsidRPr="00037D60">
              <w:rPr>
                <w:rFonts w:ascii="Arial" w:hAnsi="Arial" w:cs="Arial"/>
                <w:sz w:val="20"/>
              </w:rPr>
              <w:t>ised</w:t>
            </w:r>
            <w:r w:rsidRPr="00037D60">
              <w:rPr>
                <w:rFonts w:ascii="Arial" w:hAnsi="Arial" w:cs="Arial"/>
                <w:sz w:val="20"/>
              </w:rPr>
              <w:t xml:space="preserve"> regulatory costs (from business as usual)</w:t>
            </w:r>
          </w:p>
        </w:tc>
      </w:tr>
      <w:tr w:rsidR="009706E6" w:rsidRPr="00037D60" w14:paraId="3A01643D" w14:textId="77777777" w:rsidTr="0FD3EA1B">
        <w:trPr>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6CAFCA1E" w14:textId="77777777" w:rsidR="009706E6" w:rsidRPr="00037D60" w:rsidRDefault="009706E6">
            <w:pPr>
              <w:pStyle w:val="TableText"/>
              <w:rPr>
                <w:b w:val="0"/>
              </w:rPr>
            </w:pPr>
            <w:r w:rsidRPr="00037D60">
              <w:rPr>
                <w:b w:val="0"/>
              </w:rPr>
              <w:t>Change in costs ($ million)</w:t>
            </w:r>
          </w:p>
        </w:tc>
        <w:tc>
          <w:tcPr>
            <w:tcW w:w="1871" w:type="dxa"/>
            <w:noWrap/>
          </w:tcPr>
          <w:p w14:paraId="2EE9CD05" w14:textId="77777777" w:rsidR="009706E6" w:rsidRPr="00037D60" w:rsidRDefault="009706E6">
            <w:pPr>
              <w:pStyle w:val="TableText"/>
              <w:cnfStyle w:val="000000000000" w:firstRow="0" w:lastRow="0" w:firstColumn="0" w:lastColumn="0" w:oddVBand="0" w:evenVBand="0" w:oddHBand="0" w:evenHBand="0" w:firstRowFirstColumn="0" w:firstRowLastColumn="0" w:lastRowFirstColumn="0" w:lastRowLastColumn="0"/>
            </w:pPr>
            <w:r w:rsidRPr="00037D60">
              <w:t>Business</w:t>
            </w:r>
          </w:p>
        </w:tc>
        <w:tc>
          <w:tcPr>
            <w:tcW w:w="1871" w:type="dxa"/>
            <w:noWrap/>
          </w:tcPr>
          <w:p w14:paraId="5A6B16DA" w14:textId="77777777" w:rsidR="009706E6" w:rsidRPr="00037D60" w:rsidRDefault="009706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37D60">
              <w:rPr>
                <w:rFonts w:ascii="Arial" w:hAnsi="Arial" w:cs="Arial"/>
                <w:sz w:val="20"/>
              </w:rPr>
              <w:t>Community organisations</w:t>
            </w:r>
          </w:p>
        </w:tc>
        <w:tc>
          <w:tcPr>
            <w:tcW w:w="1871" w:type="dxa"/>
            <w:noWrap/>
          </w:tcPr>
          <w:p w14:paraId="59588176" w14:textId="77777777" w:rsidR="009706E6" w:rsidRPr="00037D60" w:rsidRDefault="009706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37D60">
              <w:rPr>
                <w:rFonts w:ascii="Arial" w:hAnsi="Arial" w:cs="Arial"/>
                <w:sz w:val="20"/>
              </w:rPr>
              <w:t>Individuals</w:t>
            </w:r>
          </w:p>
        </w:tc>
        <w:tc>
          <w:tcPr>
            <w:tcW w:w="1872" w:type="dxa"/>
            <w:noWrap/>
          </w:tcPr>
          <w:p w14:paraId="336B64A9" w14:textId="77777777" w:rsidR="009706E6" w:rsidRPr="00037D60" w:rsidRDefault="009706E6">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037D60">
              <w:rPr>
                <w:rFonts w:ascii="Arial" w:hAnsi="Arial" w:cs="Arial"/>
                <w:sz w:val="20"/>
              </w:rPr>
              <w:t>Total change in costs</w:t>
            </w:r>
          </w:p>
        </w:tc>
      </w:tr>
      <w:tr w:rsidR="009706E6" w:rsidRPr="00037D60" w14:paraId="72C6EB67" w14:textId="77777777" w:rsidTr="0FD3EA1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1" w:type="dxa"/>
            <w:noWrap/>
          </w:tcPr>
          <w:p w14:paraId="626F3E84" w14:textId="77777777" w:rsidR="009706E6" w:rsidRPr="00037D60" w:rsidRDefault="009706E6">
            <w:pPr>
              <w:spacing w:before="120" w:after="120"/>
              <w:rPr>
                <w:rFonts w:ascii="Arial" w:hAnsi="Arial" w:cs="Arial"/>
                <w:b w:val="0"/>
                <w:sz w:val="20"/>
              </w:rPr>
            </w:pPr>
            <w:r w:rsidRPr="00037D60">
              <w:rPr>
                <w:rFonts w:ascii="Arial" w:hAnsi="Arial" w:cs="Arial"/>
                <w:b w:val="0"/>
                <w:sz w:val="20"/>
              </w:rPr>
              <w:t>Total, by sector</w:t>
            </w:r>
          </w:p>
        </w:tc>
        <w:tc>
          <w:tcPr>
            <w:tcW w:w="1871" w:type="dxa"/>
            <w:noWrap/>
          </w:tcPr>
          <w:p w14:paraId="60BE3D4B" w14:textId="0A4EB474" w:rsidR="009706E6" w:rsidRPr="005431F0" w:rsidRDefault="009706E6" w:rsidP="0FD3EA1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FD3EA1B">
              <w:rPr>
                <w:rFonts w:ascii="Arial" w:hAnsi="Arial" w:cs="Arial"/>
                <w:sz w:val="20"/>
              </w:rPr>
              <w:t>$</w:t>
            </w:r>
            <w:r w:rsidR="00965451" w:rsidRPr="0FD3EA1B">
              <w:rPr>
                <w:rFonts w:ascii="Arial" w:hAnsi="Arial" w:cs="Arial"/>
                <w:sz w:val="20"/>
              </w:rPr>
              <w:t>19</w:t>
            </w:r>
            <w:r w:rsidR="00F27BD2" w:rsidRPr="0FD3EA1B">
              <w:rPr>
                <w:rFonts w:ascii="Arial" w:hAnsi="Arial" w:cs="Arial"/>
                <w:sz w:val="20"/>
              </w:rPr>
              <w:t>.</w:t>
            </w:r>
            <w:r w:rsidR="0C6A4ABB" w:rsidRPr="0FD3EA1B">
              <w:rPr>
                <w:rFonts w:ascii="Arial" w:hAnsi="Arial" w:cs="Arial"/>
                <w:sz w:val="20"/>
              </w:rPr>
              <w:t>7</w:t>
            </w:r>
          </w:p>
        </w:tc>
        <w:tc>
          <w:tcPr>
            <w:tcW w:w="1871" w:type="dxa"/>
            <w:noWrap/>
          </w:tcPr>
          <w:p w14:paraId="7D42634C" w14:textId="50D3B0C0" w:rsidR="009706E6" w:rsidRPr="005431F0" w:rsidRDefault="009706E6" w:rsidP="15372DD2">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5431F0">
              <w:rPr>
                <w:rFonts w:ascii="Arial" w:hAnsi="Arial" w:cs="Arial"/>
                <w:sz w:val="20"/>
              </w:rPr>
              <w:t>$</w:t>
            </w:r>
            <w:r w:rsidR="0D974283" w:rsidRPr="005431F0">
              <w:rPr>
                <w:rFonts w:ascii="Arial" w:hAnsi="Arial" w:cs="Arial"/>
                <w:sz w:val="20"/>
              </w:rPr>
              <w:t>0</w:t>
            </w:r>
          </w:p>
        </w:tc>
        <w:tc>
          <w:tcPr>
            <w:tcW w:w="1871" w:type="dxa"/>
            <w:noWrap/>
          </w:tcPr>
          <w:p w14:paraId="76E860E1" w14:textId="3EEC4BF9" w:rsidR="009706E6" w:rsidRPr="005431F0" w:rsidRDefault="009706E6" w:rsidP="15372DD2">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05431F0">
              <w:rPr>
                <w:rFonts w:ascii="Arial" w:hAnsi="Arial" w:cs="Arial"/>
                <w:sz w:val="20"/>
              </w:rPr>
              <w:t>$</w:t>
            </w:r>
            <w:r w:rsidR="0C1EF668" w:rsidRPr="005431F0">
              <w:rPr>
                <w:rFonts w:ascii="Arial" w:hAnsi="Arial" w:cs="Arial"/>
                <w:sz w:val="20"/>
              </w:rPr>
              <w:t>0</w:t>
            </w:r>
          </w:p>
        </w:tc>
        <w:tc>
          <w:tcPr>
            <w:tcW w:w="1872" w:type="dxa"/>
            <w:noWrap/>
          </w:tcPr>
          <w:p w14:paraId="4BD984C2" w14:textId="34DF2403" w:rsidR="009706E6" w:rsidRPr="005431F0" w:rsidRDefault="009706E6" w:rsidP="0FD3EA1B">
            <w:p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sz w:val="20"/>
              </w:rPr>
            </w:pPr>
            <w:r w:rsidRPr="0FD3EA1B">
              <w:rPr>
                <w:rFonts w:ascii="Arial" w:hAnsi="Arial" w:cs="Arial"/>
                <w:sz w:val="20"/>
              </w:rPr>
              <w:t>$</w:t>
            </w:r>
            <w:r w:rsidR="00965451" w:rsidRPr="0FD3EA1B">
              <w:rPr>
                <w:rFonts w:ascii="Arial" w:hAnsi="Arial" w:cs="Arial"/>
                <w:sz w:val="20"/>
              </w:rPr>
              <w:t>19</w:t>
            </w:r>
            <w:r w:rsidR="00F27BD2" w:rsidRPr="0FD3EA1B">
              <w:rPr>
                <w:rFonts w:ascii="Arial" w:hAnsi="Arial" w:cs="Arial"/>
                <w:sz w:val="20"/>
              </w:rPr>
              <w:t>.</w:t>
            </w:r>
            <w:r w:rsidR="331DA359" w:rsidRPr="0FD3EA1B">
              <w:rPr>
                <w:rFonts w:ascii="Arial" w:hAnsi="Arial" w:cs="Arial"/>
                <w:sz w:val="20"/>
              </w:rPr>
              <w:t>7</w:t>
            </w:r>
          </w:p>
        </w:tc>
      </w:tr>
    </w:tbl>
    <w:p w14:paraId="79BAB170" w14:textId="77777777" w:rsidR="00535899" w:rsidRDefault="00B5658B" w:rsidP="00D03BBA">
      <w:pPr>
        <w:pStyle w:val="BodyText"/>
        <w:spacing w:before="120" w:after="120"/>
        <w:jc w:val="left"/>
        <w:rPr>
          <w:szCs w:val="24"/>
        </w:rPr>
      </w:pPr>
      <w:r w:rsidRPr="00037D60">
        <w:rPr>
          <w:szCs w:val="24"/>
        </w:rPr>
        <w:t xml:space="preserve">Accordingly, I am satisfied that the </w:t>
      </w:r>
      <w:r w:rsidR="0041390D" w:rsidRPr="00037D60">
        <w:rPr>
          <w:szCs w:val="24"/>
        </w:rPr>
        <w:t xml:space="preserve">attached </w:t>
      </w:r>
      <w:r w:rsidR="006A0129" w:rsidRPr="00037D60">
        <w:rPr>
          <w:szCs w:val="24"/>
        </w:rPr>
        <w:t>report</w:t>
      </w:r>
      <w:r w:rsidRPr="00037D60">
        <w:rPr>
          <w:szCs w:val="24"/>
        </w:rPr>
        <w:t xml:space="preserve"> </w:t>
      </w:r>
      <w:r w:rsidR="00AF2175" w:rsidRPr="00037D60">
        <w:rPr>
          <w:szCs w:val="24"/>
        </w:rPr>
        <w:t xml:space="preserve">is </w:t>
      </w:r>
      <w:r w:rsidR="00E2259E" w:rsidRPr="00037D60">
        <w:rPr>
          <w:szCs w:val="24"/>
        </w:rPr>
        <w:t>consistent with</w:t>
      </w:r>
      <w:r w:rsidR="006C1716" w:rsidRPr="00037D60">
        <w:rPr>
          <w:szCs w:val="24"/>
        </w:rPr>
        <w:t xml:space="preserve"> the </w:t>
      </w:r>
      <w:r w:rsidR="00D03BBA" w:rsidRPr="00037D60">
        <w:rPr>
          <w:i/>
          <w:szCs w:val="24"/>
        </w:rPr>
        <w:t>Australian Government Guide to Policy Impact Analysis</w:t>
      </w:r>
      <w:r w:rsidR="00D03BBA" w:rsidRPr="00037D60">
        <w:rPr>
          <w:szCs w:val="24"/>
        </w:rPr>
        <w:t>.</w:t>
      </w:r>
    </w:p>
    <w:p w14:paraId="551B5E5E" w14:textId="77777777" w:rsidR="008C4768" w:rsidRDefault="008C4768" w:rsidP="008C4768">
      <w:pPr>
        <w:pStyle w:val="Header"/>
      </w:pPr>
      <w:r>
        <w:t>Yours sincerely</w:t>
      </w:r>
    </w:p>
    <w:p w14:paraId="16002A4C" w14:textId="77777777" w:rsidR="008C4768" w:rsidRDefault="008C4768" w:rsidP="008C4768">
      <w:pPr>
        <w:pStyle w:val="Header"/>
      </w:pPr>
    </w:p>
    <w:p w14:paraId="2D7579C7" w14:textId="77777777" w:rsidR="00677683" w:rsidRDefault="00677683" w:rsidP="008C4768">
      <w:pPr>
        <w:pStyle w:val="Header"/>
      </w:pPr>
    </w:p>
    <w:p w14:paraId="1F635989" w14:textId="1B2547F1" w:rsidR="008C4768" w:rsidRDefault="00513318" w:rsidP="008C4768">
      <w:r w:rsidRPr="00AC09B2">
        <w:t>Brenton Philip</w:t>
      </w:r>
    </w:p>
    <w:p w14:paraId="0045B821" w14:textId="70CB3537" w:rsidR="00513318" w:rsidRDefault="00513318" w:rsidP="008C4768">
      <w:r>
        <w:t>Deputy Secretary</w:t>
      </w:r>
    </w:p>
    <w:p w14:paraId="3EC578BD" w14:textId="7E48844A" w:rsidR="00513318" w:rsidRDefault="00513318" w:rsidP="008C4768">
      <w:r>
        <w:t>Markets Group</w:t>
      </w:r>
    </w:p>
    <w:p w14:paraId="416EB1E3" w14:textId="6552C0E5" w:rsidR="008C4768" w:rsidRDefault="00513318" w:rsidP="008C4768">
      <w:r>
        <w:t>Treasury</w:t>
      </w:r>
    </w:p>
    <w:p w14:paraId="6F965708" w14:textId="0F13CBA9" w:rsidR="00362364" w:rsidRDefault="00BA5BE9" w:rsidP="008C4768">
      <w:r>
        <w:rPr>
          <w:highlight w:val="yellow"/>
        </w:rPr>
        <w:t>1</w:t>
      </w:r>
      <w:r w:rsidR="006D3F9D">
        <w:rPr>
          <w:highlight w:val="yellow"/>
        </w:rPr>
        <w:t>5</w:t>
      </w:r>
      <w:r w:rsidR="00513318" w:rsidRPr="00484076">
        <w:rPr>
          <w:highlight w:val="yellow"/>
        </w:rPr>
        <w:t xml:space="preserve"> </w:t>
      </w:r>
      <w:r w:rsidR="00484076" w:rsidRPr="00484076">
        <w:rPr>
          <w:highlight w:val="yellow"/>
        </w:rPr>
        <w:t>April</w:t>
      </w:r>
      <w:r w:rsidR="00513318" w:rsidRPr="00484076">
        <w:rPr>
          <w:highlight w:val="yellow"/>
        </w:rPr>
        <w:t xml:space="preserve"> 2024</w:t>
      </w:r>
    </w:p>
    <w:p w14:paraId="22D3BA85" w14:textId="77777777" w:rsidR="00D458C4" w:rsidRDefault="00D458C4" w:rsidP="00362364">
      <w:pPr>
        <w:pStyle w:val="NoSpacing"/>
        <w:rPr>
          <w:rFonts w:ascii="Times New Roman" w:hAnsi="Times New Roman" w:cs="Times New Roman"/>
          <w:sz w:val="24"/>
          <w:szCs w:val="24"/>
          <w:u w:val="single"/>
        </w:rPr>
        <w:sectPr w:rsidR="00D458C4" w:rsidSect="00D458C4">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9" w:footer="709" w:gutter="0"/>
          <w:cols w:space="708"/>
          <w:docGrid w:linePitch="360"/>
        </w:sectPr>
      </w:pPr>
    </w:p>
    <w:p w14:paraId="073D175F" w14:textId="02CA71A7" w:rsidR="00BA5BE9" w:rsidRPr="00BA5BE9" w:rsidRDefault="00362364" w:rsidP="00BA5BE9">
      <w:pPr>
        <w:pStyle w:val="NoSpacing"/>
        <w:rPr>
          <w:rFonts w:ascii="Times New Roman" w:hAnsi="Times New Roman" w:cs="Times New Roman"/>
          <w:sz w:val="24"/>
          <w:szCs w:val="24"/>
          <w:u w:val="single"/>
        </w:rPr>
      </w:pPr>
      <w:r w:rsidRPr="00BA5BE9">
        <w:rPr>
          <w:rFonts w:ascii="Times New Roman" w:hAnsi="Times New Roman" w:cs="Times New Roman"/>
          <w:sz w:val="24"/>
          <w:szCs w:val="24"/>
          <w:u w:val="single"/>
        </w:rPr>
        <w:lastRenderedPageBreak/>
        <w:t>Attachment</w:t>
      </w:r>
      <w:r w:rsidR="00BA5BE9" w:rsidRPr="00BA5BE9">
        <w:rPr>
          <w:rFonts w:ascii="Times New Roman" w:hAnsi="Times New Roman" w:cs="Times New Roman"/>
          <w:sz w:val="24"/>
          <w:szCs w:val="24"/>
          <w:u w:val="single"/>
        </w:rPr>
        <w:t xml:space="preserve"> C:</w:t>
      </w:r>
      <w:r w:rsidRPr="00BA5BE9">
        <w:rPr>
          <w:rFonts w:ascii="Times New Roman" w:hAnsi="Times New Roman" w:cs="Times New Roman"/>
          <w:sz w:val="24"/>
          <w:szCs w:val="24"/>
          <w:u w:val="single"/>
        </w:rPr>
        <w:t xml:space="preserve"> </w:t>
      </w:r>
      <w:r w:rsidR="00BA5BE9" w:rsidRPr="00BA5BE9">
        <w:rPr>
          <w:rFonts w:ascii="Times New Roman" w:hAnsi="Times New Roman"/>
          <w:sz w:val="24"/>
          <w:szCs w:val="24"/>
          <w:u w:val="single"/>
        </w:rPr>
        <w:t>Additional Analysis required – ACCC home loan and retail deposit inquiries IAE – Treasury Response</w:t>
      </w:r>
    </w:p>
    <w:p w14:paraId="5ED1EFC9" w14:textId="77777777" w:rsidR="00BA5BE9" w:rsidRPr="00BA5BE9" w:rsidRDefault="00BA5BE9" w:rsidP="00BA5BE9">
      <w:pPr>
        <w:pStyle w:val="NoSpacing"/>
        <w:rPr>
          <w:rFonts w:ascii="Calibri" w:eastAsia="Calibri" w:hAnsi="Calibri" w:cs="Calibri"/>
          <w:sz w:val="24"/>
          <w:szCs w:val="24"/>
        </w:rPr>
      </w:pPr>
    </w:p>
    <w:p w14:paraId="7B417CFA" w14:textId="6C049C2A" w:rsidR="00BA5BE9" w:rsidRPr="00BA5BE9" w:rsidRDefault="00BA5BE9" w:rsidP="00BA5BE9">
      <w:pPr>
        <w:pStyle w:val="NoSpacing"/>
        <w:spacing w:after="240"/>
        <w:rPr>
          <w:rFonts w:ascii="Calibri" w:eastAsia="Calibri" w:hAnsi="Calibri" w:cs="Calibri"/>
          <w:b/>
          <w:bCs/>
          <w:sz w:val="24"/>
          <w:szCs w:val="24"/>
        </w:rPr>
      </w:pPr>
      <w:r w:rsidRPr="00BA5BE9">
        <w:rPr>
          <w:rFonts w:ascii="Calibri" w:eastAsia="Calibri" w:hAnsi="Calibri" w:cs="Calibri"/>
          <w:noProof/>
          <w:sz w:val="24"/>
          <w:szCs w:val="24"/>
          <w:lang w:eastAsia="en-AU"/>
        </w:rPr>
        <mc:AlternateContent>
          <mc:Choice Requires="wps">
            <w:drawing>
              <wp:anchor distT="0" distB="0" distL="114300" distR="114300" simplePos="0" relativeHeight="251659264" behindDoc="0" locked="0" layoutInCell="1" allowOverlap="1" wp14:anchorId="6CDDB03D" wp14:editId="768CDF92">
                <wp:simplePos x="0" y="0"/>
                <wp:positionH relativeFrom="margin">
                  <wp:align>right</wp:align>
                </wp:positionH>
                <wp:positionV relativeFrom="paragraph">
                  <wp:posOffset>36830</wp:posOffset>
                </wp:positionV>
                <wp:extent cx="8841179" cy="1138687"/>
                <wp:effectExtent l="0" t="0" r="17145" b="23495"/>
                <wp:wrapNone/>
                <wp:docPr id="2" name="Rectangle 2"/>
                <wp:cNvGraphicFramePr/>
                <a:graphic xmlns:a="http://schemas.openxmlformats.org/drawingml/2006/main">
                  <a:graphicData uri="http://schemas.microsoft.com/office/word/2010/wordprocessingShape">
                    <wps:wsp>
                      <wps:cNvSpPr/>
                      <wps:spPr>
                        <a:xfrm>
                          <a:off x="0" y="0"/>
                          <a:ext cx="8841179" cy="1138687"/>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46611D" w14:textId="77777777" w:rsidR="00BA5BE9" w:rsidRPr="00BA5BE9" w:rsidRDefault="00BA5BE9" w:rsidP="00BA5BE9">
                            <w:pPr>
                              <w:pStyle w:val="NoSpacing"/>
                              <w:spacing w:after="240"/>
                              <w:rPr>
                                <w:rFonts w:eastAsia="Calibri" w:cstheme="minorHAnsi"/>
                                <w:b/>
                                <w:bCs/>
                                <w:color w:val="000000" w:themeColor="text1"/>
                                <w:sz w:val="24"/>
                                <w:szCs w:val="24"/>
                              </w:rPr>
                            </w:pPr>
                            <w:r w:rsidRPr="00BA5BE9">
                              <w:rPr>
                                <w:rFonts w:eastAsia="Calibri" w:cstheme="minorHAnsi"/>
                                <w:b/>
                                <w:bCs/>
                                <w:color w:val="000000" w:themeColor="text1"/>
                                <w:sz w:val="24"/>
                                <w:szCs w:val="24"/>
                              </w:rPr>
                              <w:t xml:space="preserve">7. Evaluation – How you will evaluate your chosen option against the success metrics? </w:t>
                            </w:r>
                          </w:p>
                          <w:p w14:paraId="31085167" w14:textId="77777777" w:rsidR="00BA5BE9" w:rsidRPr="00BA5BE9" w:rsidRDefault="00BA5BE9" w:rsidP="00BA5BE9">
                            <w:pPr>
                              <w:pStyle w:val="Bullet"/>
                              <w:numPr>
                                <w:ilvl w:val="0"/>
                                <w:numId w:val="18"/>
                              </w:numPr>
                              <w:spacing w:after="160" w:line="259" w:lineRule="auto"/>
                              <w:rPr>
                                <w:rFonts w:asciiTheme="minorHAnsi" w:hAnsiTheme="minorHAnsi" w:cstheme="minorHAnsi"/>
                                <w:color w:val="000000" w:themeColor="text1"/>
                              </w:rPr>
                            </w:pPr>
                            <w:r w:rsidRPr="00BA5BE9">
                              <w:rPr>
                                <w:rFonts w:asciiTheme="minorHAnsi" w:hAnsiTheme="minorHAnsi" w:cstheme="minorHAnsi"/>
                                <w:color w:val="000000" w:themeColor="text1"/>
                              </w:rPr>
                              <w:t>A completed evaluation plan that describes how the performance of your policy will be monitored and evaluated against the objectives and success metrics set out at question 2, during and after implementation, is required. We recommend consulting with the Australian Centre for Evaluation (ACE) in developing this plan.</w:t>
                            </w:r>
                          </w:p>
                          <w:p w14:paraId="2727BB47" w14:textId="77777777" w:rsidR="00BA5BE9" w:rsidRPr="00BA5BE9" w:rsidRDefault="00BA5BE9" w:rsidP="00BA5BE9">
                            <w:pPr>
                              <w:jc w:val="center"/>
                              <w:rPr>
                                <w:rFonts w:asciiTheme="minorHAnsi" w:hAnsiTheme="minorHAnsi" w:cstheme="minorHAnsi"/>
                                <w:color w:val="000000" w:themeColor="text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DDB03D" id="Rectangle 2" o:spid="_x0000_s1026" style="position:absolute;margin-left:644.95pt;margin-top:2.9pt;width:696.15pt;height:89.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bnKjwIAANoFAAAOAAAAZHJzL2Uyb0RvYy54bWy0VFFP2zAQfp+0/2D5fSTpCpSKFFUgpkkM&#10;EDDx7Dp2E8nxebbbpPv1O9tpCgztYdpenDvf3Xd3X3x3ftG3imyFdQ3okhZHOSVCc6gavS7p96fr&#10;TzNKnGe6Ygq0KOlOOHqx+PjhvDNzMYEaVCUsQRDt5p0pae29mWeZ47VomTsCIzQaJdiWeVTtOqss&#10;6xC9Vdkkz0+yDmxlLHDhHN5eJSNdRHwpBfd3UjrhiSop1ubjaeO5Cme2OGfztWWmbvhQBvuLKlrW&#10;aEw6Ql0xz8jGNr9BtQ234ED6Iw5tBlI2XMQesJsif9PNY82MiL0gOc6MNLl/B8tvt4/m3iINnXFz&#10;h2Loope2DV+sj/SRrN1Ilug94Xg5m02L4vSMEo62ovg8O5mdBjqzQ7ixzn8R0JIglNTi34gkse2N&#10;88l17xKyOVBNdd0oFZXwAsSlsmTL8N+t1kUMVZv2G1Tpbnac5/EPYsr4YIJ7LOAVktL/DRwTB/Ts&#10;wF2U/E6JkFPpByFJUyFbk1j9WGVqgHEutE+NuZpVIl2Htt7vKwIGZIksjdgDwGvC9tiJ5sE/hIo4&#10;FWNw/qfCUvAYETOD9mNw22iw7wEo7GrInPz3JCVqAku+X/XoEsQVVLt7Syyk8XSGXzf4Ym6Y8/fM&#10;4jzi5OKO8Xd4SAVdSWGQKKnB/nzvPvjjmKCVkg7nu6Tux4ZZQYn6qnGAzorpNCyEqEyPTyeo2JeW&#10;1UuL3rSXgM+wwG1meBSDv1d7UVpon3EVLUNWNDHNMXdJubd75dKnvYPLjIvlMrrhEjDM3+hHwwN4&#10;IDhMxFP/zKwZxsbjxN3Cfhew+ZvpSb4hUsNy40E2cbQOvA7U4wKJszEsu7ChXurR67CSF78AAAD/&#10;/wMAUEsDBBQABgAIAAAAIQA/BFi83gAAAAcBAAAPAAAAZHJzL2Rvd25yZXYueG1sTI9BT8JAEIXv&#10;Jv6HzZhwky002Fq7JUZDwo0AVa9Ld2wr3dmmu0D59w4nvc3Le3nvm3w52k6ccfCtIwWzaQQCqXKm&#10;pVpBuV89piB80GR05wgVXNHDsri/y3Vm3IW2eN6FWnAJ+UwraELoMyl91aDVfup6JPa+3WB1YDnU&#10;0gz6wuW2k/MoepJWt8QLje7xrcHquDtZBftkW36lx/d4k3za9idZf6RRuVJq8jC+voAIOIa/MNzw&#10;GR0KZjq4ExkvOgX8SFCwYPybGT/PYxAHvtLFDGSRy//8xS8AAAD//wMAUEsBAi0AFAAGAAgAAAAh&#10;ALaDOJL+AAAA4QEAABMAAAAAAAAAAAAAAAAAAAAAAFtDb250ZW50X1R5cGVzXS54bWxQSwECLQAU&#10;AAYACAAAACEAOP0h/9YAAACUAQAACwAAAAAAAAAAAAAAAAAvAQAAX3JlbHMvLnJlbHNQSwECLQAU&#10;AAYACAAAACEAzaG5yo8CAADaBQAADgAAAAAAAAAAAAAAAAAuAgAAZHJzL2Uyb0RvYy54bWxQSwEC&#10;LQAUAAYACAAAACEAPwRYvN4AAAAHAQAADwAAAAAAAAAAAAAAAADpBAAAZHJzL2Rvd25yZXYueG1s&#10;UEsFBgAAAAAEAAQA8wAAAPQFAAAAAA==&#10;" fillcolor="#d8d8d8 [2732]" strokecolor="#d8d8d8 [2732]" strokeweight="2pt">
                <v:textbox>
                  <w:txbxContent>
                    <w:p w14:paraId="1246611D" w14:textId="77777777" w:rsidR="00BA5BE9" w:rsidRPr="00BA5BE9" w:rsidRDefault="00BA5BE9" w:rsidP="00BA5BE9">
                      <w:pPr>
                        <w:pStyle w:val="NoSpacing"/>
                        <w:spacing w:after="240"/>
                        <w:rPr>
                          <w:rFonts w:eastAsia="Calibri" w:cstheme="minorHAnsi"/>
                          <w:b/>
                          <w:bCs/>
                          <w:color w:val="000000" w:themeColor="text1"/>
                          <w:sz w:val="24"/>
                          <w:szCs w:val="24"/>
                        </w:rPr>
                      </w:pPr>
                      <w:r w:rsidRPr="00BA5BE9">
                        <w:rPr>
                          <w:rFonts w:eastAsia="Calibri" w:cstheme="minorHAnsi"/>
                          <w:b/>
                          <w:bCs/>
                          <w:color w:val="000000" w:themeColor="text1"/>
                          <w:sz w:val="24"/>
                          <w:szCs w:val="24"/>
                        </w:rPr>
                        <w:t xml:space="preserve">7. Evaluation – How you will evaluate your chosen option against the success metrics? </w:t>
                      </w:r>
                    </w:p>
                    <w:p w14:paraId="31085167" w14:textId="77777777" w:rsidR="00BA5BE9" w:rsidRPr="00BA5BE9" w:rsidRDefault="00BA5BE9" w:rsidP="00BA5BE9">
                      <w:pPr>
                        <w:pStyle w:val="Bullet"/>
                        <w:numPr>
                          <w:ilvl w:val="0"/>
                          <w:numId w:val="18"/>
                        </w:numPr>
                        <w:spacing w:after="160" w:line="259" w:lineRule="auto"/>
                        <w:rPr>
                          <w:rFonts w:asciiTheme="minorHAnsi" w:hAnsiTheme="minorHAnsi" w:cstheme="minorHAnsi"/>
                          <w:color w:val="000000" w:themeColor="text1"/>
                        </w:rPr>
                      </w:pPr>
                      <w:r w:rsidRPr="00BA5BE9">
                        <w:rPr>
                          <w:rFonts w:asciiTheme="minorHAnsi" w:hAnsiTheme="minorHAnsi" w:cstheme="minorHAnsi"/>
                          <w:color w:val="000000" w:themeColor="text1"/>
                        </w:rPr>
                        <w:t>A completed evaluation plan that describes how the performance of your policy will be monitored and evaluated against the objectives and success metrics set out at question 2, during and after implementation, is required. We recommend consulting with the Australian Centre for Evaluation (ACE) in developing this plan.</w:t>
                      </w:r>
                    </w:p>
                    <w:p w14:paraId="2727BB47" w14:textId="77777777" w:rsidR="00BA5BE9" w:rsidRPr="00BA5BE9" w:rsidRDefault="00BA5BE9" w:rsidP="00BA5BE9">
                      <w:pPr>
                        <w:jc w:val="center"/>
                        <w:rPr>
                          <w:rFonts w:asciiTheme="minorHAnsi" w:hAnsiTheme="minorHAnsi" w:cstheme="minorHAnsi"/>
                          <w:color w:val="000000" w:themeColor="text1"/>
                          <w:szCs w:val="24"/>
                        </w:rPr>
                      </w:pPr>
                    </w:p>
                  </w:txbxContent>
                </v:textbox>
                <w10:wrap anchorx="margin"/>
              </v:rect>
            </w:pict>
          </mc:Fallback>
        </mc:AlternateContent>
      </w:r>
      <w:proofErr w:type="spellStart"/>
      <w:r w:rsidRPr="00BA5BE9">
        <w:rPr>
          <w:rFonts w:ascii="Calibri" w:eastAsia="Calibri" w:hAnsi="Calibri" w:cs="Calibri"/>
          <w:b/>
          <w:bCs/>
          <w:sz w:val="24"/>
          <w:szCs w:val="24"/>
        </w:rPr>
        <w:t>Evalu</w:t>
      </w:r>
      <w:proofErr w:type="spellEnd"/>
    </w:p>
    <w:p w14:paraId="68A2E079" w14:textId="77777777" w:rsidR="00BA5BE9" w:rsidRPr="00BA5BE9" w:rsidRDefault="00BA5BE9" w:rsidP="00BA5BE9">
      <w:pPr>
        <w:pStyle w:val="NoSpacing"/>
        <w:spacing w:after="240"/>
        <w:rPr>
          <w:rFonts w:ascii="Calibri" w:eastAsia="Calibri" w:hAnsi="Calibri" w:cs="Calibri"/>
          <w:b/>
          <w:bCs/>
          <w:sz w:val="24"/>
          <w:szCs w:val="24"/>
        </w:rPr>
      </w:pPr>
    </w:p>
    <w:p w14:paraId="17D07D30" w14:textId="77777777" w:rsidR="00BA5BE9" w:rsidRPr="00BA5BE9" w:rsidRDefault="00BA5BE9" w:rsidP="00BA5BE9">
      <w:pPr>
        <w:pStyle w:val="NoSpacing"/>
        <w:spacing w:after="240"/>
        <w:rPr>
          <w:rFonts w:ascii="Calibri" w:eastAsia="Calibri" w:hAnsi="Calibri" w:cs="Calibri"/>
          <w:b/>
          <w:bCs/>
          <w:sz w:val="24"/>
          <w:szCs w:val="24"/>
        </w:rPr>
      </w:pPr>
    </w:p>
    <w:p w14:paraId="09F30A50" w14:textId="77777777" w:rsidR="00BA5BE9" w:rsidRPr="00BA5BE9" w:rsidRDefault="00BA5BE9" w:rsidP="00BA5BE9">
      <w:pPr>
        <w:pStyle w:val="NoSpacing"/>
        <w:spacing w:after="240"/>
        <w:rPr>
          <w:sz w:val="24"/>
          <w:szCs w:val="24"/>
        </w:rPr>
      </w:pPr>
    </w:p>
    <w:p w14:paraId="1A648ECA" w14:textId="77777777" w:rsidR="00BA5BE9" w:rsidRPr="00BA5BE9" w:rsidRDefault="00BA5BE9" w:rsidP="00BA5BE9">
      <w:pPr>
        <w:pStyle w:val="Bullet"/>
        <w:numPr>
          <w:ilvl w:val="0"/>
          <w:numId w:val="0"/>
        </w:numPr>
        <w:spacing w:before="240"/>
        <w:rPr>
          <w:rFonts w:asciiTheme="minorHAnsi" w:hAnsiTheme="minorHAnsi" w:cstheme="minorHAnsi"/>
          <w:b/>
          <w:bCs/>
        </w:rPr>
      </w:pPr>
      <w:r w:rsidRPr="00BA5BE9">
        <w:rPr>
          <w:rFonts w:asciiTheme="minorHAnsi" w:hAnsiTheme="minorHAnsi" w:cstheme="minorHAnsi"/>
          <w:b/>
          <w:bCs/>
          <w:i/>
          <w:iCs/>
        </w:rPr>
        <w:t>Treasury response:</w:t>
      </w:r>
    </w:p>
    <w:p w14:paraId="1EC69A8D" w14:textId="77777777" w:rsidR="00BA5BE9" w:rsidRPr="00BA5BE9" w:rsidRDefault="00BA5BE9" w:rsidP="00BA5BE9">
      <w:pPr>
        <w:spacing w:after="240"/>
        <w:rPr>
          <w:rFonts w:asciiTheme="minorHAnsi" w:hAnsiTheme="minorHAnsi" w:cstheme="minorHAnsi"/>
          <w:szCs w:val="24"/>
        </w:rPr>
      </w:pPr>
      <w:r w:rsidRPr="00BA5BE9">
        <w:rPr>
          <w:rFonts w:asciiTheme="minorHAnsi" w:hAnsiTheme="minorHAnsi" w:cstheme="minorHAnsi"/>
          <w:szCs w:val="24"/>
        </w:rPr>
        <w:t>We have developed the following Evaluation Plan following conversations with the Australian Centre for Evaluation (ACE). The EP set out below describes the performance monitoring process and definition of success for the NPP.</w:t>
      </w:r>
    </w:p>
    <w:p w14:paraId="4423CB6B" w14:textId="77777777" w:rsidR="00BA5BE9" w:rsidRPr="00BA5BE9" w:rsidRDefault="00BA5BE9" w:rsidP="00BA5BE9">
      <w:pPr>
        <w:rPr>
          <w:rFonts w:asciiTheme="minorHAnsi" w:hAnsiTheme="minorHAnsi" w:cstheme="minorHAnsi"/>
          <w:b/>
          <w:bCs/>
          <w:szCs w:val="24"/>
        </w:rPr>
      </w:pPr>
      <w:r w:rsidRPr="00BA5BE9">
        <w:rPr>
          <w:rFonts w:asciiTheme="minorHAnsi" w:hAnsiTheme="minorHAnsi" w:cstheme="minorHAnsi"/>
          <w:b/>
          <w:bCs/>
          <w:szCs w:val="24"/>
        </w:rPr>
        <w:t>Evaluation Plan</w:t>
      </w:r>
    </w:p>
    <w:p w14:paraId="2C3FAA8E" w14:textId="77777777" w:rsidR="00BA5BE9" w:rsidRPr="00BA5BE9" w:rsidRDefault="00BA5BE9" w:rsidP="00BA5BE9">
      <w:pPr>
        <w:pStyle w:val="Bullet"/>
        <w:numPr>
          <w:ilvl w:val="0"/>
          <w:numId w:val="18"/>
        </w:numPr>
        <w:spacing w:after="160" w:line="259" w:lineRule="auto"/>
        <w:rPr>
          <w:rFonts w:asciiTheme="minorHAnsi" w:hAnsiTheme="minorHAnsi" w:cstheme="minorHAnsi"/>
        </w:rPr>
      </w:pPr>
      <w:r w:rsidRPr="00BA5BE9">
        <w:rPr>
          <w:rFonts w:asciiTheme="minorHAnsi" w:hAnsiTheme="minorHAnsi" w:cstheme="minorHAnsi"/>
          <w:b/>
          <w:bCs/>
        </w:rPr>
        <w:t>Evaluation Process:</w:t>
      </w:r>
      <w:r w:rsidRPr="00BA5BE9">
        <w:rPr>
          <w:rFonts w:asciiTheme="minorHAnsi" w:hAnsiTheme="minorHAnsi" w:cstheme="minorHAnsi"/>
        </w:rPr>
        <w:t xml:space="preserve"> The measures include tasking the ACCC to monitor competition in the retail deposit and mortgage sectors for a period of three years. This will inherently include monitoring the effects of the other measures in this package.  ACCC will report to Government as part of this monitoring process. Treasury does not propose conducting its own formal evaluation of the measures after a set period of time has passed. Instead, Treasury will include ongoing evaluations of these measures as part of its current practice of ongoing monitoring of consumer and competition outcomes in relation to financial and credit products. Monitoring at regular intervals will allow for an opportunity to reassess their effectiveness and make adjustments, if necessary. The Financial System Division (FSD) will conduct ongoing monitoring of consumer and competition outcomes in these markets with the assistance of ASIC, ACCC and APRA. </w:t>
      </w:r>
    </w:p>
    <w:p w14:paraId="217EC588" w14:textId="77777777" w:rsidR="00BA5BE9" w:rsidRPr="00BA5BE9" w:rsidRDefault="00BA5BE9" w:rsidP="00BA5BE9">
      <w:pPr>
        <w:pStyle w:val="Bullet"/>
        <w:numPr>
          <w:ilvl w:val="0"/>
          <w:numId w:val="18"/>
        </w:numPr>
        <w:spacing w:after="160" w:line="259" w:lineRule="auto"/>
        <w:rPr>
          <w:rFonts w:asciiTheme="minorHAnsi" w:hAnsiTheme="minorHAnsi" w:cstheme="minorHAnsi"/>
        </w:rPr>
      </w:pPr>
      <w:r w:rsidRPr="00BA5BE9">
        <w:rPr>
          <w:rFonts w:asciiTheme="minorHAnsi" w:hAnsiTheme="minorHAnsi" w:cstheme="minorHAnsi"/>
          <w:b/>
          <w:bCs/>
        </w:rPr>
        <w:t>Outcomes</w:t>
      </w:r>
      <w:r w:rsidRPr="00BA5BE9">
        <w:rPr>
          <w:rFonts w:asciiTheme="minorHAnsi" w:hAnsiTheme="minorHAnsi" w:cstheme="minorHAnsi"/>
        </w:rPr>
        <w:t xml:space="preserve">: We hope to see an increase in the outcomes of banking competition specifically in the form of increased switching of home loan providers and an increase in the rate of bonus rate achievements for customers on applicable savings accounts, as outlined in Question 1 of the letter. We also hope to see limited negative impacts from the measures, including limited increases in regulatory costs and misuse of any nudges for inappropriate marketing. This includes in relation to the regulatory burden estimates on banks, which we have developed as part of this NPP. We will consult with the banks on this further as the measures are implemented. </w:t>
      </w:r>
    </w:p>
    <w:p w14:paraId="176CB1E0" w14:textId="77777777" w:rsidR="00BA5BE9" w:rsidRPr="00BA5BE9" w:rsidRDefault="00BA5BE9" w:rsidP="00BA5BE9">
      <w:pPr>
        <w:pStyle w:val="Bullet"/>
        <w:numPr>
          <w:ilvl w:val="0"/>
          <w:numId w:val="18"/>
        </w:numPr>
        <w:spacing w:after="160" w:line="259" w:lineRule="auto"/>
        <w:rPr>
          <w:rFonts w:asciiTheme="minorHAnsi" w:hAnsiTheme="minorHAnsi" w:cstheme="minorHAnsi"/>
        </w:rPr>
      </w:pPr>
      <w:r w:rsidRPr="00BA5BE9">
        <w:rPr>
          <w:rFonts w:asciiTheme="minorHAnsi" w:hAnsiTheme="minorHAnsi" w:cstheme="minorHAnsi"/>
          <w:b/>
          <w:bCs/>
        </w:rPr>
        <w:t>Data and Causal Change considerations:</w:t>
      </w:r>
      <w:r w:rsidRPr="00BA5BE9">
        <w:rPr>
          <w:rFonts w:asciiTheme="minorHAnsi" w:hAnsiTheme="minorHAnsi" w:cstheme="minorHAnsi"/>
        </w:rPr>
        <w:t xml:space="preserve"> Measures of effectiveness include but are not limited to the portion of homeowners and deposit holders that are switching, rates at which consumers renegotiate terms of products with existing providers, savings accruing to </w:t>
      </w:r>
      <w:r w:rsidRPr="00BA5BE9">
        <w:rPr>
          <w:rFonts w:asciiTheme="minorHAnsi" w:hAnsiTheme="minorHAnsi" w:cstheme="minorHAnsi"/>
        </w:rPr>
        <w:lastRenderedPageBreak/>
        <w:t>consumers from switching/renegotiation, numbers of customers who are disengaged/maintaining use of higher cost products over time, and the rates of bonus interest rate achievements for customers with applicable accounts. This connects directly to the outcomes as set out above, as indicators of banking competition and consumer outcomes. In relation to causal change, the NPP is expected to lead the improvement in the function of the market by:</w:t>
      </w:r>
    </w:p>
    <w:p w14:paraId="3FF08C15" w14:textId="77777777" w:rsidR="00BA5BE9" w:rsidRPr="00BA5BE9" w:rsidRDefault="00BA5BE9" w:rsidP="00BA5BE9">
      <w:pPr>
        <w:pStyle w:val="Bullet"/>
        <w:numPr>
          <w:ilvl w:val="3"/>
          <w:numId w:val="18"/>
        </w:numPr>
        <w:spacing w:after="160" w:line="259" w:lineRule="auto"/>
        <w:rPr>
          <w:rFonts w:asciiTheme="minorHAnsi" w:hAnsiTheme="minorHAnsi" w:cstheme="minorHAnsi"/>
        </w:rPr>
      </w:pPr>
      <w:r w:rsidRPr="00BA5BE9">
        <w:rPr>
          <w:rFonts w:asciiTheme="minorHAnsi" w:hAnsiTheme="minorHAnsi" w:cstheme="minorHAnsi"/>
        </w:rPr>
        <w:t>improving customer information to make better choices in relation to products;</w:t>
      </w:r>
    </w:p>
    <w:p w14:paraId="0A3AD3D4" w14:textId="77777777" w:rsidR="00BA5BE9" w:rsidRPr="00BA5BE9" w:rsidRDefault="00BA5BE9" w:rsidP="00BA5BE9">
      <w:pPr>
        <w:pStyle w:val="Bullet"/>
        <w:numPr>
          <w:ilvl w:val="3"/>
          <w:numId w:val="18"/>
        </w:numPr>
        <w:spacing w:after="160" w:line="259" w:lineRule="auto"/>
        <w:rPr>
          <w:rFonts w:asciiTheme="minorHAnsi" w:hAnsiTheme="minorHAnsi" w:cstheme="minorHAnsi"/>
        </w:rPr>
      </w:pPr>
      <w:r w:rsidRPr="00BA5BE9">
        <w:rPr>
          <w:rFonts w:asciiTheme="minorHAnsi" w:hAnsiTheme="minorHAnsi" w:cstheme="minorHAnsi"/>
        </w:rPr>
        <w:t>overcoming customer inertia by prompting them to take action for their own benefit in certain circumstances;</w:t>
      </w:r>
    </w:p>
    <w:p w14:paraId="0DDD2976" w14:textId="77777777" w:rsidR="00BA5BE9" w:rsidRPr="00BA5BE9" w:rsidRDefault="00BA5BE9" w:rsidP="00BA5BE9">
      <w:pPr>
        <w:pStyle w:val="Bullet"/>
        <w:numPr>
          <w:ilvl w:val="3"/>
          <w:numId w:val="18"/>
        </w:numPr>
        <w:spacing w:after="160" w:line="259" w:lineRule="auto"/>
        <w:rPr>
          <w:rFonts w:asciiTheme="minorHAnsi" w:hAnsiTheme="minorHAnsi" w:cstheme="minorHAnsi"/>
        </w:rPr>
      </w:pPr>
      <w:r w:rsidRPr="00BA5BE9">
        <w:rPr>
          <w:rFonts w:asciiTheme="minorHAnsi" w:hAnsiTheme="minorHAnsi" w:cstheme="minorHAnsi"/>
        </w:rPr>
        <w:t>removing obstacles to switching, thereby enabling switching or incentivising existing providers to offer better value for money to avoid switching by their customers;</w:t>
      </w:r>
    </w:p>
    <w:p w14:paraId="788C453E" w14:textId="77777777" w:rsidR="00BA5BE9" w:rsidRPr="00BA5BE9" w:rsidRDefault="00BA5BE9" w:rsidP="00BA5BE9">
      <w:pPr>
        <w:pStyle w:val="Bullet"/>
        <w:numPr>
          <w:ilvl w:val="3"/>
          <w:numId w:val="18"/>
        </w:numPr>
        <w:spacing w:after="160" w:line="259" w:lineRule="auto"/>
        <w:rPr>
          <w:rFonts w:asciiTheme="minorHAnsi" w:hAnsiTheme="minorHAnsi" w:cstheme="minorHAnsi"/>
        </w:rPr>
      </w:pPr>
      <w:r w:rsidRPr="00BA5BE9">
        <w:rPr>
          <w:rFonts w:asciiTheme="minorHAnsi" w:hAnsiTheme="minorHAnsi" w:cstheme="minorHAnsi"/>
        </w:rPr>
        <w:t xml:space="preserve">by providing evidence of the ongoing state of the market, to inform future enforcement and policy activity; and </w:t>
      </w:r>
    </w:p>
    <w:p w14:paraId="38495043" w14:textId="77777777" w:rsidR="00BA5BE9" w:rsidRPr="00BA5BE9" w:rsidRDefault="00BA5BE9" w:rsidP="00BA5BE9">
      <w:pPr>
        <w:pStyle w:val="Bullet"/>
        <w:numPr>
          <w:ilvl w:val="3"/>
          <w:numId w:val="18"/>
        </w:numPr>
        <w:spacing w:after="160" w:line="259" w:lineRule="auto"/>
        <w:rPr>
          <w:rFonts w:asciiTheme="minorHAnsi" w:hAnsiTheme="minorHAnsi" w:cstheme="minorHAnsi"/>
        </w:rPr>
      </w:pPr>
      <w:r w:rsidRPr="00BA5BE9">
        <w:rPr>
          <w:rFonts w:asciiTheme="minorHAnsi" w:hAnsiTheme="minorHAnsi" w:cstheme="minorHAnsi"/>
        </w:rPr>
        <w:t>by encouraging banks to act to improve consumer outcomes in anticipation of possible further legislative reforms, in response to government committing to ongoing monitoring and signalling consideration of further reforms if outcomes don’t improve.</w:t>
      </w:r>
    </w:p>
    <w:p w14:paraId="6F98F42D" w14:textId="77777777" w:rsidR="00BA5BE9" w:rsidRPr="00BA5BE9" w:rsidRDefault="00BA5BE9" w:rsidP="00BA5BE9">
      <w:pPr>
        <w:pStyle w:val="Bullet"/>
        <w:numPr>
          <w:ilvl w:val="0"/>
          <w:numId w:val="18"/>
        </w:numPr>
        <w:spacing w:after="160" w:line="259" w:lineRule="auto"/>
        <w:rPr>
          <w:rFonts w:asciiTheme="minorHAnsi" w:hAnsiTheme="minorHAnsi" w:cstheme="minorHAnsi"/>
        </w:rPr>
      </w:pPr>
      <w:r w:rsidRPr="00BA5BE9">
        <w:rPr>
          <w:rFonts w:asciiTheme="minorHAnsi" w:hAnsiTheme="minorHAnsi" w:cstheme="minorHAnsi"/>
          <w:b/>
          <w:bCs/>
        </w:rPr>
        <w:t>Definition of success</w:t>
      </w:r>
      <w:r w:rsidRPr="00BA5BE9">
        <w:rPr>
          <w:rFonts w:asciiTheme="minorHAnsi" w:hAnsiTheme="minorHAnsi" w:cstheme="minorHAnsi"/>
        </w:rPr>
        <w:t xml:space="preserve">: Success looks like a better functioning home loan and retail deposit market to when the ACCC inquiries were run in 2021 and 2023 respectively. This includes an improvement of at least 10% on the benchmarks established as part of that inquiry process, as well as improvement from the benchmarks established as part of the first month of monitoring activities, expected to commence in late 2024. It is also expected such progress should be sustained over on a permanent basis. Any major changes to the market from other factors, such as a housing downturn or significant changes in interest rates, will also be considered as part of this assessment. </w:t>
      </w:r>
    </w:p>
    <w:p w14:paraId="2E350971" w14:textId="77777777" w:rsidR="00362364" w:rsidRPr="00BA5BE9" w:rsidRDefault="00362364" w:rsidP="008C4768">
      <w:pPr>
        <w:rPr>
          <w:rFonts w:asciiTheme="minorHAnsi" w:hAnsiTheme="minorHAnsi" w:cstheme="minorHAnsi"/>
          <w:szCs w:val="24"/>
        </w:rPr>
      </w:pPr>
    </w:p>
    <w:sectPr w:rsidR="00362364" w:rsidRPr="00BA5BE9" w:rsidSect="00D458C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9DDE0" w14:textId="77777777" w:rsidR="00BC5C86" w:rsidRDefault="00BC5C86" w:rsidP="003774C3">
      <w:pPr>
        <w:spacing w:line="240" w:lineRule="auto"/>
      </w:pPr>
      <w:r>
        <w:separator/>
      </w:r>
    </w:p>
  </w:endnote>
  <w:endnote w:type="continuationSeparator" w:id="0">
    <w:p w14:paraId="58304B30" w14:textId="77777777" w:rsidR="00BC5C86" w:rsidRDefault="00BC5C86" w:rsidP="003774C3">
      <w:pPr>
        <w:spacing w:line="240" w:lineRule="auto"/>
      </w:pPr>
      <w:r>
        <w:continuationSeparator/>
      </w:r>
    </w:p>
  </w:endnote>
  <w:endnote w:type="continuationNotice" w:id="1">
    <w:p w14:paraId="4864B3C5" w14:textId="77777777" w:rsidR="00BC5C86" w:rsidRDefault="00BC5C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9C3AB" w14:textId="77777777" w:rsidR="0001102B" w:rsidRDefault="00011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64D3E" w14:textId="260406D4" w:rsidR="003774C3" w:rsidRDefault="00B1140B" w:rsidP="674101D7">
    <w:pPr>
      <w:pStyle w:val="Header"/>
      <w:jc w:val="center"/>
      <w:rPr>
        <w:rFonts w:ascii="Arial" w:eastAsia="Arial" w:hAnsi="Arial" w:cs="Arial"/>
        <w:b/>
        <w:bCs/>
        <w:color w:val="FF0000"/>
      </w:rPr>
    </w:pPr>
    <w:r>
      <w:rPr>
        <w:rFonts w:ascii="Arial" w:eastAsia="Arial" w:hAnsi="Arial" w:cs="Arial"/>
        <w:b/>
        <w:bCs/>
        <w:color w:val="FF0000"/>
      </w:rPr>
      <w:t>PROTECTED//CABINET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F869" w14:textId="77777777" w:rsidR="0001102B" w:rsidRDefault="00011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4233D" w14:textId="77777777" w:rsidR="00BC5C86" w:rsidRDefault="00BC5C86" w:rsidP="003774C3">
      <w:pPr>
        <w:spacing w:line="240" w:lineRule="auto"/>
      </w:pPr>
      <w:r>
        <w:separator/>
      </w:r>
    </w:p>
  </w:footnote>
  <w:footnote w:type="continuationSeparator" w:id="0">
    <w:p w14:paraId="70EBB6FE" w14:textId="77777777" w:rsidR="00BC5C86" w:rsidRDefault="00BC5C86" w:rsidP="003774C3">
      <w:pPr>
        <w:spacing w:line="240" w:lineRule="auto"/>
      </w:pPr>
      <w:r>
        <w:continuationSeparator/>
      </w:r>
    </w:p>
  </w:footnote>
  <w:footnote w:type="continuationNotice" w:id="1">
    <w:p w14:paraId="097BD012" w14:textId="77777777" w:rsidR="00BC5C86" w:rsidRDefault="00BC5C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1E509" w14:textId="77777777" w:rsidR="0001102B" w:rsidRDefault="000110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B98C8" w14:textId="28F8CEB5" w:rsidR="003774C3" w:rsidRDefault="00B1140B" w:rsidP="674101D7">
    <w:pPr>
      <w:pStyle w:val="Header"/>
      <w:jc w:val="center"/>
      <w:rPr>
        <w:rFonts w:ascii="Arial" w:eastAsia="Arial" w:hAnsi="Arial" w:cs="Arial"/>
        <w:b/>
        <w:bCs/>
        <w:color w:val="FF0000"/>
      </w:rPr>
    </w:pPr>
    <w:r>
      <w:rPr>
        <w:rFonts w:ascii="Arial" w:eastAsia="Arial" w:hAnsi="Arial" w:cs="Arial"/>
        <w:b/>
        <w:bCs/>
        <w:color w:val="FF0000"/>
      </w:rPr>
      <w:t>PROTECTED//CABINET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5EFC6" w14:textId="77777777" w:rsidR="0001102B" w:rsidRDefault="00011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0D8A"/>
    <w:multiLevelType w:val="hybridMultilevel"/>
    <w:tmpl w:val="400EC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292BA9"/>
    <w:multiLevelType w:val="hybridMultilevel"/>
    <w:tmpl w:val="9F6440D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3F47E25"/>
    <w:multiLevelType w:val="hybridMultilevel"/>
    <w:tmpl w:val="29C4B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4652C"/>
    <w:multiLevelType w:val="hybridMultilevel"/>
    <w:tmpl w:val="2BF2674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31C16351"/>
    <w:multiLevelType w:val="hybridMultilevel"/>
    <w:tmpl w:val="BBBEF714"/>
    <w:lvl w:ilvl="0" w:tplc="0C090003">
      <w:start w:val="1"/>
      <w:numFmt w:val="bullet"/>
      <w:lvlText w:val="o"/>
      <w:lvlJc w:val="left"/>
      <w:pPr>
        <w:ind w:left="1023" w:hanging="360"/>
      </w:pPr>
      <w:rPr>
        <w:rFonts w:ascii="Courier New" w:hAnsi="Courier New" w:cs="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5" w15:restartNumberingAfterBreak="0">
    <w:nsid w:val="3D8B2DCC"/>
    <w:multiLevelType w:val="hybridMultilevel"/>
    <w:tmpl w:val="3C445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974ADC"/>
    <w:multiLevelType w:val="multilevel"/>
    <w:tmpl w:val="555ACBB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03C01E7"/>
    <w:multiLevelType w:val="hybridMultilevel"/>
    <w:tmpl w:val="76C843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05E1211"/>
    <w:multiLevelType w:val="hybridMultilevel"/>
    <w:tmpl w:val="A51A7C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54B0D79"/>
    <w:multiLevelType w:val="hybridMultilevel"/>
    <w:tmpl w:val="BD446396"/>
    <w:lvl w:ilvl="0" w:tplc="895AA34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E942F0"/>
    <w:multiLevelType w:val="hybridMultilevel"/>
    <w:tmpl w:val="B1D82C78"/>
    <w:lvl w:ilvl="0" w:tplc="F7287072">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5D1D649C"/>
    <w:multiLevelType w:val="hybridMultilevel"/>
    <w:tmpl w:val="18189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31A092A"/>
    <w:multiLevelType w:val="hybridMultilevel"/>
    <w:tmpl w:val="A6720B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7A3C2A45"/>
    <w:multiLevelType w:val="multilevel"/>
    <w:tmpl w:val="7FF0977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13587C"/>
    <w:multiLevelType w:val="hybridMultilevel"/>
    <w:tmpl w:val="731A25C6"/>
    <w:lvl w:ilvl="0" w:tplc="0C090003">
      <w:start w:val="1"/>
      <w:numFmt w:val="bullet"/>
      <w:lvlText w:val="o"/>
      <w:lvlJc w:val="left"/>
      <w:pPr>
        <w:ind w:left="1023" w:hanging="360"/>
      </w:pPr>
      <w:rPr>
        <w:rFonts w:ascii="Courier New" w:hAnsi="Courier New" w:cs="Courier New" w:hint="default"/>
      </w:rPr>
    </w:lvl>
    <w:lvl w:ilvl="1" w:tplc="0C090003" w:tentative="1">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15" w15:restartNumberingAfterBreak="0">
    <w:nsid w:val="7F6D47E0"/>
    <w:multiLevelType w:val="hybridMultilevel"/>
    <w:tmpl w:val="5AE802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5"/>
  </w:num>
  <w:num w:numId="9">
    <w:abstractNumId w:val="12"/>
  </w:num>
  <w:num w:numId="10">
    <w:abstractNumId w:val="11"/>
  </w:num>
  <w:num w:numId="11">
    <w:abstractNumId w:val="7"/>
  </w:num>
  <w:num w:numId="12">
    <w:abstractNumId w:val="6"/>
  </w:num>
  <w:num w:numId="13">
    <w:abstractNumId w:val="9"/>
  </w:num>
  <w:num w:numId="14">
    <w:abstractNumId w:val="6"/>
  </w:num>
  <w:num w:numId="15">
    <w:abstractNumId w:val="10"/>
  </w:num>
  <w:num w:numId="16">
    <w:abstractNumId w:val="14"/>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53"/>
    <w:rsid w:val="00002694"/>
    <w:rsid w:val="000032A5"/>
    <w:rsid w:val="0000552F"/>
    <w:rsid w:val="0001102B"/>
    <w:rsid w:val="00016095"/>
    <w:rsid w:val="00026140"/>
    <w:rsid w:val="00027356"/>
    <w:rsid w:val="00037D60"/>
    <w:rsid w:val="000512BC"/>
    <w:rsid w:val="00057758"/>
    <w:rsid w:val="00061E31"/>
    <w:rsid w:val="00063A2C"/>
    <w:rsid w:val="000734E1"/>
    <w:rsid w:val="00087416"/>
    <w:rsid w:val="00090250"/>
    <w:rsid w:val="000954BF"/>
    <w:rsid w:val="000A7ABA"/>
    <w:rsid w:val="000B1E36"/>
    <w:rsid w:val="000C4A18"/>
    <w:rsid w:val="000C4EC6"/>
    <w:rsid w:val="000D47CF"/>
    <w:rsid w:val="000D6C7B"/>
    <w:rsid w:val="000E63AC"/>
    <w:rsid w:val="000F08AF"/>
    <w:rsid w:val="000F2E9D"/>
    <w:rsid w:val="000F3037"/>
    <w:rsid w:val="0010087E"/>
    <w:rsid w:val="00101B59"/>
    <w:rsid w:val="00102A52"/>
    <w:rsid w:val="00102AD5"/>
    <w:rsid w:val="00112A59"/>
    <w:rsid w:val="001132F9"/>
    <w:rsid w:val="001346D7"/>
    <w:rsid w:val="0013550C"/>
    <w:rsid w:val="0014267A"/>
    <w:rsid w:val="0015323A"/>
    <w:rsid w:val="00153B36"/>
    <w:rsid w:val="00154206"/>
    <w:rsid w:val="00162C56"/>
    <w:rsid w:val="00167AA6"/>
    <w:rsid w:val="001719A8"/>
    <w:rsid w:val="00186722"/>
    <w:rsid w:val="001874B4"/>
    <w:rsid w:val="00193E9B"/>
    <w:rsid w:val="001B1E5C"/>
    <w:rsid w:val="001B289F"/>
    <w:rsid w:val="001B5349"/>
    <w:rsid w:val="001C2E28"/>
    <w:rsid w:val="001C3F92"/>
    <w:rsid w:val="001D2FC5"/>
    <w:rsid w:val="001D3DDD"/>
    <w:rsid w:val="001E0543"/>
    <w:rsid w:val="001E0936"/>
    <w:rsid w:val="001F07F9"/>
    <w:rsid w:val="0020737B"/>
    <w:rsid w:val="00214106"/>
    <w:rsid w:val="00227012"/>
    <w:rsid w:val="00227BD1"/>
    <w:rsid w:val="00231AC8"/>
    <w:rsid w:val="00243D5F"/>
    <w:rsid w:val="00267E33"/>
    <w:rsid w:val="002718A8"/>
    <w:rsid w:val="00284E41"/>
    <w:rsid w:val="00286145"/>
    <w:rsid w:val="00286828"/>
    <w:rsid w:val="00295480"/>
    <w:rsid w:val="002A206C"/>
    <w:rsid w:val="002A6035"/>
    <w:rsid w:val="002B1A2E"/>
    <w:rsid w:val="002C431D"/>
    <w:rsid w:val="002C7A2B"/>
    <w:rsid w:val="002D207B"/>
    <w:rsid w:val="002D3224"/>
    <w:rsid w:val="002E05C5"/>
    <w:rsid w:val="003000E8"/>
    <w:rsid w:val="00316A9F"/>
    <w:rsid w:val="00322667"/>
    <w:rsid w:val="0034038F"/>
    <w:rsid w:val="00342FBA"/>
    <w:rsid w:val="00345875"/>
    <w:rsid w:val="00357997"/>
    <w:rsid w:val="0036014E"/>
    <w:rsid w:val="00362364"/>
    <w:rsid w:val="003774C3"/>
    <w:rsid w:val="0038036B"/>
    <w:rsid w:val="00381EE0"/>
    <w:rsid w:val="00384245"/>
    <w:rsid w:val="0038706C"/>
    <w:rsid w:val="003A6AA7"/>
    <w:rsid w:val="003B27C6"/>
    <w:rsid w:val="003B39CC"/>
    <w:rsid w:val="003B7CE2"/>
    <w:rsid w:val="003C3093"/>
    <w:rsid w:val="003D5500"/>
    <w:rsid w:val="003D6006"/>
    <w:rsid w:val="003E2DFE"/>
    <w:rsid w:val="003F1107"/>
    <w:rsid w:val="003F504D"/>
    <w:rsid w:val="00412C46"/>
    <w:rsid w:val="0041390D"/>
    <w:rsid w:val="00423367"/>
    <w:rsid w:val="00424DBB"/>
    <w:rsid w:val="004259DF"/>
    <w:rsid w:val="00426B10"/>
    <w:rsid w:val="0043635B"/>
    <w:rsid w:val="00443271"/>
    <w:rsid w:val="00454099"/>
    <w:rsid w:val="004560A1"/>
    <w:rsid w:val="0047563D"/>
    <w:rsid w:val="0048366E"/>
    <w:rsid w:val="00484076"/>
    <w:rsid w:val="004A690C"/>
    <w:rsid w:val="004B6E91"/>
    <w:rsid w:val="004C32D2"/>
    <w:rsid w:val="004C7C19"/>
    <w:rsid w:val="004D6A26"/>
    <w:rsid w:val="004E2324"/>
    <w:rsid w:val="00502053"/>
    <w:rsid w:val="00504916"/>
    <w:rsid w:val="00511BE1"/>
    <w:rsid w:val="00511F18"/>
    <w:rsid w:val="00513318"/>
    <w:rsid w:val="0051342C"/>
    <w:rsid w:val="00516E34"/>
    <w:rsid w:val="00535899"/>
    <w:rsid w:val="00541D1C"/>
    <w:rsid w:val="005431F0"/>
    <w:rsid w:val="00543D11"/>
    <w:rsid w:val="005460F8"/>
    <w:rsid w:val="005468C3"/>
    <w:rsid w:val="00547F2C"/>
    <w:rsid w:val="00553CCA"/>
    <w:rsid w:val="00560FA5"/>
    <w:rsid w:val="00570A3B"/>
    <w:rsid w:val="0057318C"/>
    <w:rsid w:val="005751F0"/>
    <w:rsid w:val="00592726"/>
    <w:rsid w:val="00593D21"/>
    <w:rsid w:val="005A6A8F"/>
    <w:rsid w:val="005B108B"/>
    <w:rsid w:val="005B6B55"/>
    <w:rsid w:val="005D3A0D"/>
    <w:rsid w:val="005D5E43"/>
    <w:rsid w:val="005E3C0B"/>
    <w:rsid w:val="005E7B71"/>
    <w:rsid w:val="005F144A"/>
    <w:rsid w:val="005F589C"/>
    <w:rsid w:val="005F78B3"/>
    <w:rsid w:val="006029B5"/>
    <w:rsid w:val="00604987"/>
    <w:rsid w:val="0061725A"/>
    <w:rsid w:val="00622A85"/>
    <w:rsid w:val="006240A7"/>
    <w:rsid w:val="00637989"/>
    <w:rsid w:val="00640A86"/>
    <w:rsid w:val="00645E4A"/>
    <w:rsid w:val="0064683C"/>
    <w:rsid w:val="006676AF"/>
    <w:rsid w:val="0067234E"/>
    <w:rsid w:val="00674C85"/>
    <w:rsid w:val="00677134"/>
    <w:rsid w:val="00677683"/>
    <w:rsid w:val="00680AE5"/>
    <w:rsid w:val="00680B57"/>
    <w:rsid w:val="00692B2A"/>
    <w:rsid w:val="006A0129"/>
    <w:rsid w:val="006A7531"/>
    <w:rsid w:val="006C1716"/>
    <w:rsid w:val="006D3F9D"/>
    <w:rsid w:val="006D6DD6"/>
    <w:rsid w:val="006E1B31"/>
    <w:rsid w:val="006E2CDE"/>
    <w:rsid w:val="006E362C"/>
    <w:rsid w:val="006F5FA2"/>
    <w:rsid w:val="00703E67"/>
    <w:rsid w:val="00705855"/>
    <w:rsid w:val="00707DD8"/>
    <w:rsid w:val="00711957"/>
    <w:rsid w:val="007224EB"/>
    <w:rsid w:val="0072719F"/>
    <w:rsid w:val="00731EA6"/>
    <w:rsid w:val="0073656E"/>
    <w:rsid w:val="0076750A"/>
    <w:rsid w:val="00770E95"/>
    <w:rsid w:val="00783090"/>
    <w:rsid w:val="00783C1C"/>
    <w:rsid w:val="00797A18"/>
    <w:rsid w:val="007B4ACC"/>
    <w:rsid w:val="007C5C72"/>
    <w:rsid w:val="007F1D5A"/>
    <w:rsid w:val="007F1F01"/>
    <w:rsid w:val="007F33EB"/>
    <w:rsid w:val="0080071B"/>
    <w:rsid w:val="00807864"/>
    <w:rsid w:val="008123F5"/>
    <w:rsid w:val="00814802"/>
    <w:rsid w:val="00822D05"/>
    <w:rsid w:val="00830E27"/>
    <w:rsid w:val="00836343"/>
    <w:rsid w:val="0084719A"/>
    <w:rsid w:val="00856720"/>
    <w:rsid w:val="00870D7E"/>
    <w:rsid w:val="00873BFD"/>
    <w:rsid w:val="008767CB"/>
    <w:rsid w:val="00887152"/>
    <w:rsid w:val="00896A23"/>
    <w:rsid w:val="008A438D"/>
    <w:rsid w:val="008B4A99"/>
    <w:rsid w:val="008B7457"/>
    <w:rsid w:val="008C4768"/>
    <w:rsid w:val="008D36C3"/>
    <w:rsid w:val="008D4630"/>
    <w:rsid w:val="008E6A0C"/>
    <w:rsid w:val="008F1BC6"/>
    <w:rsid w:val="009138ED"/>
    <w:rsid w:val="009367D6"/>
    <w:rsid w:val="00942C4B"/>
    <w:rsid w:val="00951F7A"/>
    <w:rsid w:val="00953D1A"/>
    <w:rsid w:val="00956321"/>
    <w:rsid w:val="00965451"/>
    <w:rsid w:val="009706E6"/>
    <w:rsid w:val="00972454"/>
    <w:rsid w:val="009735F1"/>
    <w:rsid w:val="0098695D"/>
    <w:rsid w:val="009A18F3"/>
    <w:rsid w:val="009A5297"/>
    <w:rsid w:val="009D324F"/>
    <w:rsid w:val="00A203F7"/>
    <w:rsid w:val="00A30099"/>
    <w:rsid w:val="00A317A3"/>
    <w:rsid w:val="00A323E5"/>
    <w:rsid w:val="00A32F9F"/>
    <w:rsid w:val="00A34266"/>
    <w:rsid w:val="00A462CD"/>
    <w:rsid w:val="00A556F2"/>
    <w:rsid w:val="00A619C7"/>
    <w:rsid w:val="00A65815"/>
    <w:rsid w:val="00A72E42"/>
    <w:rsid w:val="00A8121F"/>
    <w:rsid w:val="00AA1A85"/>
    <w:rsid w:val="00AA2F0C"/>
    <w:rsid w:val="00AA70FA"/>
    <w:rsid w:val="00AB1530"/>
    <w:rsid w:val="00AB3F40"/>
    <w:rsid w:val="00AC09B2"/>
    <w:rsid w:val="00AC70C5"/>
    <w:rsid w:val="00AC7122"/>
    <w:rsid w:val="00AD63AC"/>
    <w:rsid w:val="00AE5488"/>
    <w:rsid w:val="00AF2175"/>
    <w:rsid w:val="00AF76FE"/>
    <w:rsid w:val="00B1140B"/>
    <w:rsid w:val="00B17109"/>
    <w:rsid w:val="00B1789A"/>
    <w:rsid w:val="00B244B5"/>
    <w:rsid w:val="00B33398"/>
    <w:rsid w:val="00B339CC"/>
    <w:rsid w:val="00B35D90"/>
    <w:rsid w:val="00B51C4A"/>
    <w:rsid w:val="00B56144"/>
    <w:rsid w:val="00B5658B"/>
    <w:rsid w:val="00B61639"/>
    <w:rsid w:val="00B7641B"/>
    <w:rsid w:val="00B858F9"/>
    <w:rsid w:val="00B915FF"/>
    <w:rsid w:val="00B966FB"/>
    <w:rsid w:val="00BA2CFC"/>
    <w:rsid w:val="00BA5BE9"/>
    <w:rsid w:val="00BC5C86"/>
    <w:rsid w:val="00BC7E99"/>
    <w:rsid w:val="00BF59EF"/>
    <w:rsid w:val="00C03796"/>
    <w:rsid w:val="00C14C59"/>
    <w:rsid w:val="00C25D1A"/>
    <w:rsid w:val="00C3328D"/>
    <w:rsid w:val="00C4096F"/>
    <w:rsid w:val="00C6614F"/>
    <w:rsid w:val="00C727D7"/>
    <w:rsid w:val="00C81321"/>
    <w:rsid w:val="00C8267A"/>
    <w:rsid w:val="00C83B5A"/>
    <w:rsid w:val="00C8520C"/>
    <w:rsid w:val="00C852CF"/>
    <w:rsid w:val="00C931CB"/>
    <w:rsid w:val="00C96486"/>
    <w:rsid w:val="00C9693A"/>
    <w:rsid w:val="00CA1ABB"/>
    <w:rsid w:val="00CA34CD"/>
    <w:rsid w:val="00CB05A3"/>
    <w:rsid w:val="00CC1E38"/>
    <w:rsid w:val="00CE060F"/>
    <w:rsid w:val="00D03BBA"/>
    <w:rsid w:val="00D10FEA"/>
    <w:rsid w:val="00D11ADE"/>
    <w:rsid w:val="00D20C6E"/>
    <w:rsid w:val="00D24F47"/>
    <w:rsid w:val="00D258F2"/>
    <w:rsid w:val="00D30741"/>
    <w:rsid w:val="00D3555F"/>
    <w:rsid w:val="00D458C4"/>
    <w:rsid w:val="00D5140B"/>
    <w:rsid w:val="00D57BB4"/>
    <w:rsid w:val="00D6125A"/>
    <w:rsid w:val="00D72585"/>
    <w:rsid w:val="00D825A5"/>
    <w:rsid w:val="00D84DE2"/>
    <w:rsid w:val="00DA4448"/>
    <w:rsid w:val="00DB69B6"/>
    <w:rsid w:val="00E017C9"/>
    <w:rsid w:val="00E01B03"/>
    <w:rsid w:val="00E04A43"/>
    <w:rsid w:val="00E12E5A"/>
    <w:rsid w:val="00E2259E"/>
    <w:rsid w:val="00E245F9"/>
    <w:rsid w:val="00E24E8F"/>
    <w:rsid w:val="00E3743C"/>
    <w:rsid w:val="00E4182A"/>
    <w:rsid w:val="00E44FA9"/>
    <w:rsid w:val="00E50690"/>
    <w:rsid w:val="00E5554F"/>
    <w:rsid w:val="00E62DCF"/>
    <w:rsid w:val="00E82390"/>
    <w:rsid w:val="00E9438F"/>
    <w:rsid w:val="00EA4572"/>
    <w:rsid w:val="00ED2150"/>
    <w:rsid w:val="00ED5975"/>
    <w:rsid w:val="00ED7854"/>
    <w:rsid w:val="00F01098"/>
    <w:rsid w:val="00F013D6"/>
    <w:rsid w:val="00F14B90"/>
    <w:rsid w:val="00F21256"/>
    <w:rsid w:val="00F27BD2"/>
    <w:rsid w:val="00F3668B"/>
    <w:rsid w:val="00F407BE"/>
    <w:rsid w:val="00F40A6E"/>
    <w:rsid w:val="00F57596"/>
    <w:rsid w:val="00F621EA"/>
    <w:rsid w:val="00F63A79"/>
    <w:rsid w:val="00F67352"/>
    <w:rsid w:val="00F753B3"/>
    <w:rsid w:val="00F92215"/>
    <w:rsid w:val="00FC0FDB"/>
    <w:rsid w:val="00FD7A34"/>
    <w:rsid w:val="00FE0856"/>
    <w:rsid w:val="00FE21A1"/>
    <w:rsid w:val="00FF4DE1"/>
    <w:rsid w:val="00FF8EF0"/>
    <w:rsid w:val="0B2190EE"/>
    <w:rsid w:val="0C1EF668"/>
    <w:rsid w:val="0C6A4ABB"/>
    <w:rsid w:val="0D974283"/>
    <w:rsid w:val="0FD3EA1B"/>
    <w:rsid w:val="119C5079"/>
    <w:rsid w:val="15372DD2"/>
    <w:rsid w:val="1AB18D0A"/>
    <w:rsid w:val="1FF65407"/>
    <w:rsid w:val="26902B98"/>
    <w:rsid w:val="27F94481"/>
    <w:rsid w:val="282BFBF9"/>
    <w:rsid w:val="331DA359"/>
    <w:rsid w:val="3E744ED0"/>
    <w:rsid w:val="42C39C9F"/>
    <w:rsid w:val="4C01A807"/>
    <w:rsid w:val="4DB14047"/>
    <w:rsid w:val="5798B7E6"/>
    <w:rsid w:val="5E5BCC9B"/>
    <w:rsid w:val="607E7364"/>
    <w:rsid w:val="6294A942"/>
    <w:rsid w:val="674101D7"/>
    <w:rsid w:val="6CC46DEE"/>
    <w:rsid w:val="70A6894E"/>
    <w:rsid w:val="7725661A"/>
    <w:rsid w:val="7A7FF91F"/>
    <w:rsid w:val="7F095A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8D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768"/>
    <w:pPr>
      <w:spacing w:after="0" w:line="240" w:lineRule="atLeast"/>
    </w:pPr>
    <w:rPr>
      <w:rFonts w:ascii="Times New Roman" w:hAnsi="Times New Roman" w:cs="Times New Roman"/>
      <w:sz w:val="24"/>
      <w:szCs w:val="20"/>
    </w:rPr>
  </w:style>
  <w:style w:type="paragraph" w:styleId="Heading1">
    <w:name w:val="heading 1"/>
    <w:basedOn w:val="Normal"/>
    <w:next w:val="Normal"/>
    <w:link w:val="Heading1Char"/>
    <w:uiPriority w:val="9"/>
    <w:qFormat/>
    <w:rsid w:val="008C4768"/>
    <w:pPr>
      <w:keepNext/>
      <w:spacing w:before="60" w:after="360"/>
      <w:outlineLvl w:val="0"/>
    </w:pPr>
    <w:rPr>
      <w:rFonts w:ascii="Arial" w:hAnsi="Arial"/>
      <w:b/>
      <w:kern w:val="28"/>
      <w:sz w:val="28"/>
    </w:rPr>
  </w:style>
  <w:style w:type="paragraph" w:styleId="Heading2">
    <w:name w:val="heading 2"/>
    <w:basedOn w:val="Normal"/>
    <w:next w:val="Normal"/>
    <w:link w:val="Heading2Char"/>
    <w:uiPriority w:val="9"/>
    <w:unhideWhenUsed/>
    <w:qFormat/>
    <w:rsid w:val="001B1E5C"/>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4768"/>
    <w:rPr>
      <w:rFonts w:ascii="Arial" w:hAnsi="Arial" w:cs="Times New Roman"/>
      <w:b/>
      <w:kern w:val="28"/>
      <w:sz w:val="20"/>
      <w:szCs w:val="20"/>
    </w:rPr>
  </w:style>
  <w:style w:type="paragraph" w:styleId="Header">
    <w:name w:val="header"/>
    <w:basedOn w:val="Normal"/>
    <w:link w:val="HeaderChar"/>
    <w:uiPriority w:val="99"/>
    <w:rsid w:val="008C4768"/>
    <w:pPr>
      <w:tabs>
        <w:tab w:val="center" w:pos="4153"/>
        <w:tab w:val="right" w:pos="8306"/>
      </w:tabs>
      <w:spacing w:after="240"/>
    </w:pPr>
  </w:style>
  <w:style w:type="character" w:customStyle="1" w:styleId="HeaderChar">
    <w:name w:val="Header Char"/>
    <w:basedOn w:val="DefaultParagraphFont"/>
    <w:link w:val="Header"/>
    <w:uiPriority w:val="99"/>
    <w:locked/>
    <w:rsid w:val="008C4768"/>
    <w:rPr>
      <w:rFonts w:ascii="Times New Roman" w:hAnsi="Times New Roman" w:cs="Times New Roman"/>
      <w:sz w:val="20"/>
      <w:szCs w:val="20"/>
    </w:rPr>
  </w:style>
  <w:style w:type="paragraph" w:styleId="BodyText">
    <w:name w:val="Body Text"/>
    <w:basedOn w:val="Normal"/>
    <w:link w:val="BodyTextChar"/>
    <w:uiPriority w:val="99"/>
    <w:rsid w:val="008C4768"/>
    <w:pPr>
      <w:spacing w:before="240" w:line="300" w:lineRule="exact"/>
      <w:jc w:val="both"/>
    </w:pPr>
    <w:rPr>
      <w:lang w:eastAsia="en-AU"/>
    </w:rPr>
  </w:style>
  <w:style w:type="character" w:customStyle="1" w:styleId="BodyTextChar">
    <w:name w:val="Body Text Char"/>
    <w:basedOn w:val="DefaultParagraphFont"/>
    <w:link w:val="BodyText"/>
    <w:uiPriority w:val="99"/>
    <w:locked/>
    <w:rsid w:val="008C4768"/>
    <w:rPr>
      <w:rFonts w:ascii="Times New Roman" w:hAnsi="Times New Roman" w:cs="Times New Roman"/>
      <w:sz w:val="20"/>
      <w:szCs w:val="20"/>
      <w:lang w:eastAsia="en-AU"/>
    </w:rPr>
  </w:style>
  <w:style w:type="table" w:styleId="LightGrid-Accent2">
    <w:name w:val="Light Grid Accent 2"/>
    <w:basedOn w:val="TableNormal"/>
    <w:uiPriority w:val="62"/>
    <w:rsid w:val="009706E6"/>
    <w:pPr>
      <w:spacing w:after="0" w:line="240" w:lineRule="auto"/>
    </w:pPr>
    <w:rPr>
      <w:rFonts w:eastAsiaTheme="minorEastAsia" w:cstheme="minorBidi"/>
      <w:sz w:val="24"/>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9706E6"/>
    <w:pPr>
      <w:spacing w:before="120" w:after="120" w:line="240" w:lineRule="auto"/>
    </w:pPr>
    <w:rPr>
      <w:rFonts w:ascii="Arial" w:eastAsiaTheme="majorEastAsia" w:hAnsi="Arial" w:cs="Arial"/>
      <w:bCs/>
      <w:sz w:val="20"/>
    </w:rPr>
  </w:style>
  <w:style w:type="paragraph" w:customStyle="1" w:styleId="TableName">
    <w:name w:val="TableName"/>
    <w:basedOn w:val="Normal"/>
    <w:qFormat/>
    <w:rsid w:val="009706E6"/>
    <w:pPr>
      <w:keepNext/>
      <w:spacing w:after="120" w:line="240" w:lineRule="auto"/>
    </w:pPr>
    <w:rPr>
      <w:rFonts w:ascii="Arial" w:eastAsiaTheme="minorEastAsia" w:hAnsi="Arial" w:cs="Arial"/>
      <w:sz w:val="22"/>
      <w:szCs w:val="22"/>
    </w:rPr>
  </w:style>
  <w:style w:type="character" w:styleId="CommentReference">
    <w:name w:val="annotation reference"/>
    <w:basedOn w:val="DefaultParagraphFont"/>
    <w:uiPriority w:val="99"/>
    <w:semiHidden/>
    <w:unhideWhenUsed/>
    <w:rsid w:val="00A203F7"/>
    <w:rPr>
      <w:sz w:val="16"/>
      <w:szCs w:val="16"/>
    </w:rPr>
  </w:style>
  <w:style w:type="paragraph" w:styleId="CommentText">
    <w:name w:val="annotation text"/>
    <w:basedOn w:val="Normal"/>
    <w:link w:val="CommentTextChar"/>
    <w:uiPriority w:val="99"/>
    <w:unhideWhenUsed/>
    <w:rsid w:val="00A203F7"/>
    <w:pPr>
      <w:spacing w:line="240" w:lineRule="auto"/>
    </w:pPr>
    <w:rPr>
      <w:sz w:val="20"/>
    </w:rPr>
  </w:style>
  <w:style w:type="character" w:customStyle="1" w:styleId="CommentTextChar">
    <w:name w:val="Comment Text Char"/>
    <w:basedOn w:val="DefaultParagraphFont"/>
    <w:link w:val="CommentText"/>
    <w:uiPriority w:val="99"/>
    <w:rsid w:val="00A203F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03F7"/>
    <w:rPr>
      <w:b/>
      <w:bCs/>
    </w:rPr>
  </w:style>
  <w:style w:type="character" w:customStyle="1" w:styleId="CommentSubjectChar">
    <w:name w:val="Comment Subject Char"/>
    <w:basedOn w:val="CommentTextChar"/>
    <w:link w:val="CommentSubject"/>
    <w:uiPriority w:val="99"/>
    <w:semiHidden/>
    <w:rsid w:val="00A203F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203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3F7"/>
    <w:rPr>
      <w:rFonts w:ascii="Segoe UI" w:hAnsi="Segoe UI" w:cs="Segoe UI"/>
      <w:sz w:val="18"/>
      <w:szCs w:val="18"/>
    </w:rPr>
  </w:style>
  <w:style w:type="paragraph" w:styleId="Footer">
    <w:name w:val="footer"/>
    <w:basedOn w:val="Normal"/>
    <w:link w:val="FooterChar"/>
    <w:uiPriority w:val="99"/>
    <w:unhideWhenUsed/>
    <w:rsid w:val="003774C3"/>
    <w:pPr>
      <w:tabs>
        <w:tab w:val="center" w:pos="4513"/>
        <w:tab w:val="right" w:pos="9026"/>
      </w:tabs>
      <w:spacing w:line="240" w:lineRule="auto"/>
    </w:pPr>
  </w:style>
  <w:style w:type="character" w:customStyle="1" w:styleId="FooterChar">
    <w:name w:val="Footer Char"/>
    <w:basedOn w:val="DefaultParagraphFont"/>
    <w:link w:val="Footer"/>
    <w:uiPriority w:val="99"/>
    <w:rsid w:val="003774C3"/>
    <w:rPr>
      <w:rFonts w:ascii="Times New Roman" w:hAnsi="Times New Roman" w:cs="Times New Roman"/>
      <w:sz w:val="24"/>
      <w:szCs w:val="20"/>
    </w:rPr>
  </w:style>
  <w:style w:type="table" w:styleId="GridTable4-Accent1">
    <w:name w:val="Grid Table 4 Accent 1"/>
    <w:basedOn w:val="TableNormal"/>
    <w:uiPriority w:val="49"/>
    <w:rsid w:val="001B1E5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uiPriority w:val="9"/>
    <w:rsid w:val="001B1E5C"/>
    <w:rPr>
      <w:rFonts w:asciiTheme="majorHAnsi" w:eastAsiaTheme="majorEastAsia" w:hAnsiTheme="majorHAnsi" w:cstheme="majorBidi"/>
      <w:b/>
      <w:color w:val="000000" w:themeColor="text1"/>
      <w:sz w:val="26"/>
      <w:szCs w:val="26"/>
    </w:rPr>
  </w:style>
  <w:style w:type="table" w:styleId="GridTable4-Accent5">
    <w:name w:val="Grid Table 4 Accent 5"/>
    <w:basedOn w:val="TableNormal"/>
    <w:uiPriority w:val="49"/>
    <w:rsid w:val="001B1E5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NoSpacing">
    <w:name w:val="No Spacing"/>
    <w:link w:val="NoSpacingChar"/>
    <w:uiPriority w:val="1"/>
    <w:unhideWhenUsed/>
    <w:qFormat/>
    <w:rsid w:val="008B7457"/>
    <w:pPr>
      <w:spacing w:after="0" w:line="240" w:lineRule="auto"/>
    </w:pPr>
    <w:rPr>
      <w:rFonts w:eastAsiaTheme="minorEastAsia" w:cstheme="minorBidi"/>
      <w:sz w:val="21"/>
      <w:szCs w:val="21"/>
    </w:rPr>
  </w:style>
  <w:style w:type="character" w:styleId="Hyperlink">
    <w:name w:val="Hyperlink"/>
    <w:basedOn w:val="DefaultParagraphFont"/>
    <w:uiPriority w:val="99"/>
    <w:semiHidden/>
    <w:unhideWhenUsed/>
    <w:rsid w:val="00362364"/>
    <w:rPr>
      <w:color w:val="0563C1"/>
      <w:u w:val="single"/>
    </w:rPr>
  </w:style>
  <w:style w:type="paragraph" w:styleId="ListParagraph">
    <w:name w:val="List Paragraph"/>
    <w:basedOn w:val="Normal"/>
    <w:link w:val="ListParagraphChar"/>
    <w:uiPriority w:val="34"/>
    <w:qFormat/>
    <w:rsid w:val="00362364"/>
    <w:pPr>
      <w:spacing w:line="240" w:lineRule="auto"/>
      <w:ind w:left="720"/>
    </w:pPr>
    <w:rPr>
      <w:rFonts w:ascii="Calibri" w:eastAsiaTheme="minorHAnsi" w:hAnsi="Calibri" w:cs="Calibri"/>
      <w:sz w:val="22"/>
      <w:szCs w:val="22"/>
    </w:rPr>
  </w:style>
  <w:style w:type="paragraph" w:customStyle="1" w:styleId="Bullet">
    <w:name w:val="Bullet"/>
    <w:basedOn w:val="Normal"/>
    <w:link w:val="BulletChar"/>
    <w:rsid w:val="004C32D2"/>
    <w:pPr>
      <w:numPr>
        <w:numId w:val="12"/>
      </w:numPr>
    </w:pPr>
    <w:rPr>
      <w:rFonts w:eastAsiaTheme="minorHAnsi"/>
      <w:szCs w:val="24"/>
    </w:rPr>
  </w:style>
  <w:style w:type="character" w:customStyle="1" w:styleId="ListParagraphChar">
    <w:name w:val="List Paragraph Char"/>
    <w:basedOn w:val="DefaultParagraphFont"/>
    <w:link w:val="ListParagraph"/>
    <w:uiPriority w:val="34"/>
    <w:rsid w:val="004C32D2"/>
    <w:rPr>
      <w:rFonts w:ascii="Calibri" w:eastAsiaTheme="minorHAnsi" w:hAnsi="Calibri" w:cs="Calibri"/>
    </w:rPr>
  </w:style>
  <w:style w:type="character" w:customStyle="1" w:styleId="BulletChar">
    <w:name w:val="Bullet Char"/>
    <w:basedOn w:val="ListParagraphChar"/>
    <w:link w:val="Bullet"/>
    <w:rsid w:val="004C32D2"/>
    <w:rPr>
      <w:rFonts w:ascii="Times New Roman" w:eastAsiaTheme="minorHAnsi" w:hAnsi="Times New Roman" w:cs="Times New Roman"/>
      <w:sz w:val="24"/>
      <w:szCs w:val="24"/>
    </w:rPr>
  </w:style>
  <w:style w:type="paragraph" w:customStyle="1" w:styleId="Dash">
    <w:name w:val="Dash"/>
    <w:basedOn w:val="Normal"/>
    <w:link w:val="DashChar"/>
    <w:rsid w:val="004C32D2"/>
    <w:pPr>
      <w:numPr>
        <w:ilvl w:val="1"/>
        <w:numId w:val="12"/>
      </w:numPr>
    </w:pPr>
    <w:rPr>
      <w:rFonts w:eastAsiaTheme="minorHAnsi"/>
      <w:szCs w:val="24"/>
    </w:rPr>
  </w:style>
  <w:style w:type="character" w:customStyle="1" w:styleId="DashChar">
    <w:name w:val="Dash Char"/>
    <w:basedOn w:val="ListParagraphChar"/>
    <w:link w:val="Dash"/>
    <w:rsid w:val="004C32D2"/>
    <w:rPr>
      <w:rFonts w:ascii="Times New Roman" w:eastAsiaTheme="minorHAnsi" w:hAnsi="Times New Roman" w:cs="Times New Roman"/>
      <w:sz w:val="24"/>
      <w:szCs w:val="24"/>
    </w:rPr>
  </w:style>
  <w:style w:type="paragraph" w:customStyle="1" w:styleId="DoubleDot">
    <w:name w:val="Double Dot"/>
    <w:basedOn w:val="Normal"/>
    <w:link w:val="DoubleDotChar"/>
    <w:rsid w:val="004C32D2"/>
    <w:pPr>
      <w:numPr>
        <w:ilvl w:val="2"/>
        <w:numId w:val="12"/>
      </w:numPr>
    </w:pPr>
    <w:rPr>
      <w:rFonts w:eastAsiaTheme="minorHAnsi"/>
      <w:szCs w:val="24"/>
    </w:rPr>
  </w:style>
  <w:style w:type="character" w:customStyle="1" w:styleId="DoubleDotChar">
    <w:name w:val="Double Dot Char"/>
    <w:basedOn w:val="ListParagraphChar"/>
    <w:link w:val="DoubleDot"/>
    <w:rsid w:val="004C32D2"/>
    <w:rPr>
      <w:rFonts w:ascii="Times New Roman" w:eastAsiaTheme="minorHAnsi" w:hAnsi="Times New Roman" w:cs="Times New Roman"/>
      <w:sz w:val="24"/>
      <w:szCs w:val="24"/>
    </w:rPr>
  </w:style>
  <w:style w:type="paragraph" w:styleId="Revision">
    <w:name w:val="Revision"/>
    <w:hidden/>
    <w:uiPriority w:val="99"/>
    <w:semiHidden/>
    <w:rsid w:val="00A317A3"/>
    <w:pPr>
      <w:spacing w:after="0" w:line="240" w:lineRule="auto"/>
    </w:pPr>
    <w:rPr>
      <w:rFonts w:ascii="Times New Roman" w:hAnsi="Times New Roman" w:cs="Times New Roman"/>
      <w:sz w:val="24"/>
      <w:szCs w:val="20"/>
    </w:rPr>
  </w:style>
  <w:style w:type="character" w:customStyle="1" w:styleId="NoSpacingChar">
    <w:name w:val="No Spacing Char"/>
    <w:basedOn w:val="DefaultParagraphFont"/>
    <w:link w:val="NoSpacing"/>
    <w:uiPriority w:val="1"/>
    <w:rsid w:val="00BA5BE9"/>
    <w:rPr>
      <w:rFonts w:eastAsiaTheme="minorEastAsia"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5783">
      <w:bodyDiv w:val="1"/>
      <w:marLeft w:val="0"/>
      <w:marRight w:val="0"/>
      <w:marTop w:val="0"/>
      <w:marBottom w:val="0"/>
      <w:divBdr>
        <w:top w:val="none" w:sz="0" w:space="0" w:color="auto"/>
        <w:left w:val="none" w:sz="0" w:space="0" w:color="auto"/>
        <w:bottom w:val="none" w:sz="0" w:space="0" w:color="auto"/>
        <w:right w:val="none" w:sz="0" w:space="0" w:color="auto"/>
      </w:divBdr>
    </w:div>
    <w:div w:id="536310064">
      <w:bodyDiv w:val="1"/>
      <w:marLeft w:val="0"/>
      <w:marRight w:val="0"/>
      <w:marTop w:val="0"/>
      <w:marBottom w:val="0"/>
      <w:divBdr>
        <w:top w:val="none" w:sz="0" w:space="0" w:color="auto"/>
        <w:left w:val="none" w:sz="0" w:space="0" w:color="auto"/>
        <w:bottom w:val="none" w:sz="0" w:space="0" w:color="auto"/>
        <w:right w:val="none" w:sz="0" w:space="0" w:color="auto"/>
      </w:divBdr>
    </w:div>
    <w:div w:id="1220046412">
      <w:bodyDiv w:val="1"/>
      <w:marLeft w:val="0"/>
      <w:marRight w:val="0"/>
      <w:marTop w:val="0"/>
      <w:marBottom w:val="0"/>
      <w:divBdr>
        <w:top w:val="none" w:sz="0" w:space="0" w:color="auto"/>
        <w:left w:val="none" w:sz="0" w:space="0" w:color="auto"/>
        <w:bottom w:val="none" w:sz="0" w:space="0" w:color="auto"/>
        <w:right w:val="none" w:sz="0" w:space="0" w:color="auto"/>
      </w:divBdr>
    </w:div>
    <w:div w:id="160225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2024-06-24T03:52:00Z</dcterms:created>
  <dcterms:modified xsi:type="dcterms:W3CDTF">2024-06-24T03:52:00Z</dcterms:modified>
</cp:coreProperties>
</file>