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ED386" w14:textId="691263B6" w:rsidR="00353D6C" w:rsidRPr="00F22821" w:rsidRDefault="00353D6C" w:rsidP="0076291F">
      <w:pPr>
        <w:pStyle w:val="Heading2"/>
      </w:pPr>
      <w:bookmarkStart w:id="0" w:name="_GoBack"/>
      <w:bookmarkEnd w:id="0"/>
      <w:r w:rsidRPr="00F22821">
        <w:rPr>
          <w:rStyle w:val="Heading2Char"/>
          <w:b/>
        </w:rPr>
        <w:t>Addendum</w:t>
      </w:r>
      <w:r w:rsidRPr="00F22821">
        <w:t xml:space="preserve"> 1: Optional $1 Discount</w:t>
      </w:r>
    </w:p>
    <w:p w14:paraId="4E9ED387" w14:textId="0AA15E32" w:rsidR="00353D6C" w:rsidRPr="00F22821" w:rsidRDefault="0076291F" w:rsidP="0076291F">
      <w:pPr>
        <w:pStyle w:val="Heading4"/>
        <w:rPr>
          <w:b/>
        </w:rPr>
      </w:pPr>
      <w:r w:rsidRPr="00F22821">
        <w:rPr>
          <w:b/>
        </w:rPr>
        <w:t>Introduction</w:t>
      </w:r>
    </w:p>
    <w:p w14:paraId="2D6220D8" w14:textId="5A267311" w:rsidR="001E45E4" w:rsidRPr="00F22821" w:rsidRDefault="001E45E4" w:rsidP="00251CA3">
      <w:pPr>
        <w:pStyle w:val="BodyText"/>
        <w:rPr>
          <w:sz w:val="24"/>
          <w:szCs w:val="24"/>
        </w:rPr>
      </w:pPr>
      <w:r w:rsidRPr="00F22821">
        <w:rPr>
          <w:sz w:val="24"/>
          <w:szCs w:val="24"/>
        </w:rPr>
        <w:t>On 13 March 2024</w:t>
      </w:r>
      <w:r w:rsidR="001631BD" w:rsidRPr="00F22821">
        <w:rPr>
          <w:sz w:val="24"/>
          <w:szCs w:val="24"/>
        </w:rPr>
        <w:t>,</w:t>
      </w:r>
      <w:r w:rsidRPr="00F22821">
        <w:rPr>
          <w:sz w:val="24"/>
          <w:szCs w:val="24"/>
        </w:rPr>
        <w:t xml:space="preserve"> </w:t>
      </w:r>
      <w:r w:rsidR="00611346" w:rsidRPr="00F22821">
        <w:rPr>
          <w:sz w:val="24"/>
          <w:szCs w:val="24"/>
        </w:rPr>
        <w:t>the Department of Health and Aged Care (Department) and the Pharmacy Guild of Australia (Guild) signed a Heads of Agreement for the Eighth Community Pharmacy Agreement (8CPA</w:t>
      </w:r>
      <w:r w:rsidRPr="00F22821">
        <w:rPr>
          <w:sz w:val="24"/>
          <w:szCs w:val="24"/>
        </w:rPr>
        <w:t xml:space="preserve">). The Heads of Agreement reflected an intended additional investment of up to $3 billion </w:t>
      </w:r>
      <w:r w:rsidR="00A835C3" w:rsidRPr="00F22821">
        <w:rPr>
          <w:sz w:val="24"/>
          <w:szCs w:val="24"/>
        </w:rPr>
        <w:t>for</w:t>
      </w:r>
      <w:r w:rsidRPr="00F22821">
        <w:rPr>
          <w:sz w:val="24"/>
          <w:szCs w:val="24"/>
        </w:rPr>
        <w:t xml:space="preserve"> community pharmacy and cheap</w:t>
      </w:r>
      <w:r w:rsidR="001631BD" w:rsidRPr="00F22821">
        <w:rPr>
          <w:sz w:val="24"/>
          <w:szCs w:val="24"/>
        </w:rPr>
        <w:t>er medicines. F</w:t>
      </w:r>
      <w:r w:rsidRPr="00F22821">
        <w:rPr>
          <w:sz w:val="24"/>
          <w:szCs w:val="24"/>
        </w:rPr>
        <w:t xml:space="preserve">ull details of the measures </w:t>
      </w:r>
      <w:r w:rsidR="00611346" w:rsidRPr="00F22821">
        <w:rPr>
          <w:sz w:val="24"/>
          <w:szCs w:val="24"/>
        </w:rPr>
        <w:t xml:space="preserve">delivered </w:t>
      </w:r>
      <w:r w:rsidR="00020B38" w:rsidRPr="00F22821">
        <w:rPr>
          <w:sz w:val="24"/>
          <w:szCs w:val="24"/>
        </w:rPr>
        <w:t xml:space="preserve">by this additional investment </w:t>
      </w:r>
      <w:r w:rsidR="004C4A1C" w:rsidRPr="00F22821">
        <w:rPr>
          <w:sz w:val="24"/>
          <w:szCs w:val="24"/>
        </w:rPr>
        <w:t xml:space="preserve">were </w:t>
      </w:r>
      <w:r w:rsidR="00020B38" w:rsidRPr="00F22821">
        <w:rPr>
          <w:sz w:val="24"/>
          <w:szCs w:val="24"/>
        </w:rPr>
        <w:t xml:space="preserve">to be </w:t>
      </w:r>
      <w:r w:rsidRPr="00F22821">
        <w:rPr>
          <w:sz w:val="24"/>
          <w:szCs w:val="24"/>
        </w:rPr>
        <w:t xml:space="preserve">finalised by </w:t>
      </w:r>
      <w:r w:rsidR="00020B38" w:rsidRPr="00F22821">
        <w:rPr>
          <w:sz w:val="24"/>
          <w:szCs w:val="24"/>
        </w:rPr>
        <w:t xml:space="preserve">further </w:t>
      </w:r>
      <w:r w:rsidR="00A835C3" w:rsidRPr="00F22821">
        <w:rPr>
          <w:sz w:val="24"/>
          <w:szCs w:val="24"/>
        </w:rPr>
        <w:t xml:space="preserve">negotiations </w:t>
      </w:r>
      <w:r w:rsidR="00020B38" w:rsidRPr="00F22821">
        <w:rPr>
          <w:sz w:val="24"/>
          <w:szCs w:val="24"/>
        </w:rPr>
        <w:t xml:space="preserve">between </w:t>
      </w:r>
      <w:r w:rsidRPr="00F22821">
        <w:rPr>
          <w:sz w:val="24"/>
          <w:szCs w:val="24"/>
        </w:rPr>
        <w:t>th</w:t>
      </w:r>
      <w:r w:rsidR="001631BD" w:rsidRPr="00F22821">
        <w:rPr>
          <w:sz w:val="24"/>
          <w:szCs w:val="24"/>
        </w:rPr>
        <w:t>e parties.</w:t>
      </w:r>
    </w:p>
    <w:p w14:paraId="4E4718CE" w14:textId="6C51DCA2" w:rsidR="0076291F" w:rsidRPr="00F22821" w:rsidRDefault="00250984" w:rsidP="0076291F">
      <w:pPr>
        <w:pStyle w:val="BodyText"/>
        <w:rPr>
          <w:sz w:val="24"/>
          <w:szCs w:val="24"/>
        </w:rPr>
      </w:pPr>
      <w:r w:rsidRPr="00F22821">
        <w:rPr>
          <w:sz w:val="24"/>
          <w:szCs w:val="24"/>
        </w:rPr>
        <w:t xml:space="preserve">This addendum to the </w:t>
      </w:r>
      <w:r w:rsidR="003B703E" w:rsidRPr="00F22821">
        <w:rPr>
          <w:sz w:val="24"/>
          <w:szCs w:val="24"/>
        </w:rPr>
        <w:t xml:space="preserve">2024 </w:t>
      </w:r>
      <w:r w:rsidR="00414E2B" w:rsidRPr="00F22821">
        <w:rPr>
          <w:sz w:val="24"/>
          <w:szCs w:val="24"/>
        </w:rPr>
        <w:t xml:space="preserve">Negotiation of a New </w:t>
      </w:r>
      <w:r w:rsidR="003B703E" w:rsidRPr="00F22821">
        <w:rPr>
          <w:sz w:val="24"/>
          <w:szCs w:val="24"/>
        </w:rPr>
        <w:t>Community Pharmacy Agreement</w:t>
      </w:r>
      <w:r w:rsidR="005A50A0" w:rsidRPr="00F22821">
        <w:rPr>
          <w:sz w:val="24"/>
          <w:szCs w:val="24"/>
        </w:rPr>
        <w:t xml:space="preserve"> (8CPA)</w:t>
      </w:r>
      <w:r w:rsidR="003B703E" w:rsidRPr="00F22821">
        <w:rPr>
          <w:sz w:val="24"/>
          <w:szCs w:val="24"/>
        </w:rPr>
        <w:t xml:space="preserve"> Impact Analysis (8CPA IA), </w:t>
      </w:r>
      <w:r w:rsidRPr="00F22821">
        <w:rPr>
          <w:sz w:val="24"/>
          <w:szCs w:val="24"/>
        </w:rPr>
        <w:t>provides information on the additional investment announced by the Australian Government on 14 March 2024.</w:t>
      </w:r>
      <w:r w:rsidRPr="00F22821">
        <w:rPr>
          <w:rStyle w:val="FootnoteReference"/>
          <w:sz w:val="24"/>
          <w:szCs w:val="24"/>
        </w:rPr>
        <w:footnoteReference w:id="2"/>
      </w:r>
      <w:r w:rsidRPr="00F22821">
        <w:rPr>
          <w:sz w:val="24"/>
          <w:szCs w:val="24"/>
        </w:rPr>
        <w:t xml:space="preserve"> T</w:t>
      </w:r>
      <w:r w:rsidR="001E45E4" w:rsidRPr="00F22821">
        <w:rPr>
          <w:sz w:val="24"/>
          <w:szCs w:val="24"/>
        </w:rPr>
        <w:t xml:space="preserve">wo key policy proposals </w:t>
      </w:r>
      <w:r w:rsidR="001631BD" w:rsidRPr="00F22821">
        <w:rPr>
          <w:sz w:val="24"/>
          <w:szCs w:val="24"/>
        </w:rPr>
        <w:t>warrant separate consideration through addenda to the</w:t>
      </w:r>
      <w:r w:rsidR="00764889" w:rsidRPr="00F22821">
        <w:rPr>
          <w:sz w:val="24"/>
          <w:szCs w:val="24"/>
        </w:rPr>
        <w:t xml:space="preserve"> </w:t>
      </w:r>
      <w:r w:rsidR="005A50A0" w:rsidRPr="00F22821">
        <w:rPr>
          <w:sz w:val="24"/>
          <w:szCs w:val="24"/>
        </w:rPr>
        <w:t>8</w:t>
      </w:r>
      <w:r w:rsidR="00764889" w:rsidRPr="00F22821">
        <w:rPr>
          <w:sz w:val="24"/>
          <w:szCs w:val="24"/>
        </w:rPr>
        <w:t>CPA IA</w:t>
      </w:r>
      <w:r w:rsidR="001631BD" w:rsidRPr="00F22821">
        <w:rPr>
          <w:sz w:val="24"/>
          <w:szCs w:val="24"/>
        </w:rPr>
        <w:t>; the future of the optional</w:t>
      </w:r>
      <w:r w:rsidR="001E45E4" w:rsidRPr="00F22821">
        <w:rPr>
          <w:sz w:val="24"/>
          <w:szCs w:val="24"/>
        </w:rPr>
        <w:t xml:space="preserve"> $1 discount</w:t>
      </w:r>
      <w:r w:rsidR="001631BD" w:rsidRPr="00F22821">
        <w:rPr>
          <w:sz w:val="24"/>
          <w:szCs w:val="24"/>
        </w:rPr>
        <w:t xml:space="preserve"> policy</w:t>
      </w:r>
      <w:r w:rsidR="001E45E4" w:rsidRPr="00F22821">
        <w:rPr>
          <w:sz w:val="24"/>
          <w:szCs w:val="24"/>
        </w:rPr>
        <w:t xml:space="preserve">, and the provision of additional </w:t>
      </w:r>
      <w:r w:rsidR="001631BD" w:rsidRPr="00F22821">
        <w:rPr>
          <w:sz w:val="24"/>
          <w:szCs w:val="24"/>
        </w:rPr>
        <w:t>dispensing</w:t>
      </w:r>
      <w:r w:rsidR="001E45E4" w:rsidRPr="00F22821">
        <w:rPr>
          <w:sz w:val="24"/>
          <w:szCs w:val="24"/>
        </w:rPr>
        <w:t xml:space="preserve"> </w:t>
      </w:r>
      <w:r w:rsidR="00F932C7" w:rsidRPr="00F22821">
        <w:rPr>
          <w:sz w:val="24"/>
          <w:szCs w:val="24"/>
        </w:rPr>
        <w:t>revenue</w:t>
      </w:r>
      <w:r w:rsidR="001631BD" w:rsidRPr="00F22821">
        <w:rPr>
          <w:sz w:val="24"/>
          <w:szCs w:val="24"/>
        </w:rPr>
        <w:t>.</w:t>
      </w:r>
      <w:r w:rsidR="00102A6E" w:rsidRPr="00F22821">
        <w:rPr>
          <w:sz w:val="24"/>
          <w:szCs w:val="24"/>
        </w:rPr>
        <w:t xml:space="preserve"> This addendum looks at the first.</w:t>
      </w:r>
    </w:p>
    <w:p w14:paraId="3CEFD7F4" w14:textId="2E5C226C" w:rsidR="00250984" w:rsidRPr="00F22821" w:rsidRDefault="00250984" w:rsidP="00033824">
      <w:pPr>
        <w:pStyle w:val="Heading4"/>
        <w:rPr>
          <w:b/>
        </w:rPr>
      </w:pPr>
      <w:r w:rsidRPr="00F22821">
        <w:rPr>
          <w:b/>
        </w:rPr>
        <w:t>Background</w:t>
      </w:r>
    </w:p>
    <w:p w14:paraId="6C6949FE" w14:textId="75F74749" w:rsidR="00FE0AFC" w:rsidRPr="00F22821" w:rsidRDefault="00250984" w:rsidP="00FE0AFC">
      <w:pPr>
        <w:pStyle w:val="BodyText"/>
        <w:rPr>
          <w:rFonts w:cstheme="minorHAnsi"/>
          <w:sz w:val="24"/>
          <w:szCs w:val="24"/>
        </w:rPr>
      </w:pPr>
      <w:r w:rsidRPr="00F22821">
        <w:rPr>
          <w:rFonts w:cstheme="minorHAnsi"/>
          <w:sz w:val="24"/>
          <w:szCs w:val="24"/>
        </w:rPr>
        <w:t>The optional $1 discount on PBS patient co-payments was introduced in 2016 to drive value for consumers and provide immediate benefits to patients by reducing out-of-pocket costs for their PBS medicines.</w:t>
      </w:r>
      <w:r w:rsidR="00FE0AFC" w:rsidRPr="00F22821">
        <w:rPr>
          <w:rFonts w:cstheme="minorHAnsi"/>
          <w:color w:val="222222"/>
          <w:sz w:val="24"/>
          <w:szCs w:val="24"/>
        </w:rPr>
        <w:t xml:space="preserve"> Pharmacists and dispensing medical practitioners</w:t>
      </w:r>
      <w:r w:rsidR="00086A15" w:rsidRPr="00F22821">
        <w:rPr>
          <w:rFonts w:cstheme="minorHAnsi"/>
          <w:color w:val="222222"/>
          <w:sz w:val="24"/>
          <w:szCs w:val="24"/>
        </w:rPr>
        <w:t xml:space="preserve"> can currently</w:t>
      </w:r>
      <w:r w:rsidR="00086A15" w:rsidRPr="00F22821">
        <w:rPr>
          <w:rFonts w:cstheme="minorHAnsi"/>
          <w:sz w:val="24"/>
          <w:szCs w:val="24"/>
        </w:rPr>
        <w:t xml:space="preserve">, at their discretion, offer patients a discount of up to $1 </w:t>
      </w:r>
      <w:r w:rsidR="00FE0AFC" w:rsidRPr="00F22821">
        <w:rPr>
          <w:rFonts w:cstheme="minorHAnsi"/>
          <w:sz w:val="24"/>
          <w:szCs w:val="24"/>
        </w:rPr>
        <w:t xml:space="preserve">on both general and concessional co-payments for each PBS medicine </w:t>
      </w:r>
      <w:r w:rsidR="00AA2317" w:rsidRPr="00F22821">
        <w:rPr>
          <w:rFonts w:cstheme="minorHAnsi"/>
          <w:sz w:val="24"/>
          <w:szCs w:val="24"/>
        </w:rPr>
        <w:t>they supply</w:t>
      </w:r>
      <w:r w:rsidR="00FE0AFC" w:rsidRPr="00F22821">
        <w:rPr>
          <w:rFonts w:cstheme="minorHAnsi"/>
          <w:sz w:val="24"/>
          <w:szCs w:val="24"/>
        </w:rPr>
        <w:t xml:space="preserve">, when the medicine’s Commonwealth price is equal to or higher than the co-payment amount. </w:t>
      </w:r>
      <w:r w:rsidR="00FE0AFC" w:rsidRPr="00F22821">
        <w:rPr>
          <w:rFonts w:cstheme="minorHAnsi"/>
          <w:color w:val="222222"/>
          <w:sz w:val="24"/>
          <w:szCs w:val="24"/>
          <w:shd w:val="clear" w:color="auto" w:fill="FFFFFF"/>
        </w:rPr>
        <w:t xml:space="preserve">The option to discount the co-payment amount does not apply for </w:t>
      </w:r>
      <w:r w:rsidR="00AA2317" w:rsidRPr="00F22821">
        <w:rPr>
          <w:rFonts w:cstheme="minorHAnsi"/>
          <w:color w:val="222222"/>
          <w:sz w:val="24"/>
          <w:szCs w:val="24"/>
          <w:shd w:val="clear" w:color="auto" w:fill="FFFFFF"/>
        </w:rPr>
        <w:t>prescriptions that</w:t>
      </w:r>
      <w:r w:rsidR="00FE0AFC" w:rsidRPr="00F22821">
        <w:rPr>
          <w:rFonts w:cstheme="minorHAnsi"/>
          <w:color w:val="222222"/>
          <w:sz w:val="24"/>
          <w:szCs w:val="24"/>
          <w:shd w:val="clear" w:color="auto" w:fill="FFFFFF"/>
        </w:rPr>
        <w:t xml:space="preserve"> are an early supply of a specified medicine.</w:t>
      </w:r>
    </w:p>
    <w:p w14:paraId="1E4873FC" w14:textId="51B4071C" w:rsidR="00FE0AFC" w:rsidRPr="00F22821" w:rsidRDefault="00FE0AFC" w:rsidP="00FE0AFC">
      <w:pPr>
        <w:pStyle w:val="BodyText"/>
        <w:rPr>
          <w:rFonts w:cstheme="minorHAnsi"/>
          <w:sz w:val="24"/>
          <w:szCs w:val="24"/>
        </w:rPr>
      </w:pPr>
      <w:r w:rsidRPr="00F22821">
        <w:rPr>
          <w:rFonts w:cstheme="minorHAnsi"/>
          <w:sz w:val="24"/>
          <w:szCs w:val="24"/>
        </w:rPr>
        <w:t xml:space="preserve">The discount is not mandatory, it is </w:t>
      </w:r>
      <w:r w:rsidR="00AA2317" w:rsidRPr="00F22821">
        <w:rPr>
          <w:rFonts w:cstheme="minorHAnsi"/>
          <w:sz w:val="24"/>
          <w:szCs w:val="24"/>
        </w:rPr>
        <w:t xml:space="preserve">at </w:t>
      </w:r>
      <w:r w:rsidRPr="00F22821">
        <w:rPr>
          <w:rFonts w:cstheme="minorHAnsi"/>
          <w:sz w:val="24"/>
          <w:szCs w:val="24"/>
        </w:rPr>
        <w:t>the pharmacist or medical practitioner</w:t>
      </w:r>
      <w:r w:rsidR="00AA2317" w:rsidRPr="00F22821">
        <w:rPr>
          <w:rFonts w:cstheme="minorHAnsi"/>
          <w:sz w:val="24"/>
          <w:szCs w:val="24"/>
        </w:rPr>
        <w:t>’s discretion</w:t>
      </w:r>
      <w:r w:rsidRPr="00F22821">
        <w:rPr>
          <w:rFonts w:cstheme="minorHAnsi"/>
          <w:sz w:val="24"/>
          <w:szCs w:val="24"/>
        </w:rPr>
        <w:t xml:space="preserve"> whether they would like to </w:t>
      </w:r>
      <w:r w:rsidR="00AA2317" w:rsidRPr="00F22821">
        <w:rPr>
          <w:rFonts w:cstheme="minorHAnsi"/>
          <w:sz w:val="24"/>
          <w:szCs w:val="24"/>
        </w:rPr>
        <w:t xml:space="preserve">provide </w:t>
      </w:r>
      <w:r w:rsidRPr="00F22821">
        <w:rPr>
          <w:rFonts w:cstheme="minorHAnsi"/>
          <w:sz w:val="24"/>
          <w:szCs w:val="24"/>
        </w:rPr>
        <w:t xml:space="preserve">a discount, and </w:t>
      </w:r>
      <w:r w:rsidRPr="00F22821">
        <w:rPr>
          <w:rFonts w:cstheme="minorHAnsi"/>
          <w:color w:val="222222"/>
          <w:sz w:val="24"/>
          <w:szCs w:val="24"/>
        </w:rPr>
        <w:t xml:space="preserve">absorb </w:t>
      </w:r>
      <w:r w:rsidR="00AA2317" w:rsidRPr="00F22821">
        <w:rPr>
          <w:rFonts w:cstheme="minorHAnsi"/>
          <w:color w:val="222222"/>
          <w:sz w:val="24"/>
          <w:szCs w:val="24"/>
        </w:rPr>
        <w:t xml:space="preserve">its </w:t>
      </w:r>
      <w:r w:rsidRPr="00F22821">
        <w:rPr>
          <w:rFonts w:cstheme="minorHAnsi"/>
          <w:color w:val="222222"/>
          <w:sz w:val="24"/>
          <w:szCs w:val="24"/>
        </w:rPr>
        <w:t>cost</w:t>
      </w:r>
      <w:r w:rsidRPr="00F22821">
        <w:rPr>
          <w:rFonts w:cstheme="minorHAnsi"/>
          <w:sz w:val="24"/>
          <w:szCs w:val="24"/>
        </w:rPr>
        <w:t xml:space="preserve">. The discretionary nature of the discount provides for pricing difference and competition between pharmacies on </w:t>
      </w:r>
      <w:r w:rsidR="00AA2317" w:rsidRPr="00F22821">
        <w:rPr>
          <w:rFonts w:cstheme="minorHAnsi"/>
          <w:sz w:val="24"/>
          <w:szCs w:val="24"/>
        </w:rPr>
        <w:t xml:space="preserve">medicines </w:t>
      </w:r>
      <w:r w:rsidRPr="00F22821">
        <w:rPr>
          <w:rFonts w:cstheme="minorHAnsi"/>
          <w:sz w:val="24"/>
          <w:szCs w:val="24"/>
        </w:rPr>
        <w:t>priced above the relevant co-payment amount.</w:t>
      </w:r>
    </w:p>
    <w:p w14:paraId="31AB8041" w14:textId="77777777" w:rsidR="00ED56DC" w:rsidRPr="00F22821" w:rsidRDefault="00D2126D" w:rsidP="00250984">
      <w:pPr>
        <w:pStyle w:val="BodyText"/>
        <w:rPr>
          <w:rFonts w:cstheme="minorHAnsi"/>
          <w:sz w:val="24"/>
          <w:szCs w:val="24"/>
        </w:rPr>
      </w:pPr>
      <w:r w:rsidRPr="00F22821">
        <w:rPr>
          <w:rFonts w:cstheme="minorHAnsi"/>
          <w:sz w:val="24"/>
          <w:szCs w:val="24"/>
        </w:rPr>
        <w:t xml:space="preserve">The sector’s response to the policy was mixed from introduction, with some stakeholders concerned about its impacts on community pharmacies, and its reliance upon market competition producing potentially inequitable results for patients living in rural and regional settings with minimal competition. Other stakeholders praised the policy’s introduction, noting its ability to offer cheaper medicines to Australian patients with minimal impacts upon the taxpayer. </w:t>
      </w:r>
    </w:p>
    <w:p w14:paraId="28F141A8" w14:textId="4678385A" w:rsidR="00C30E61" w:rsidRPr="00F22821" w:rsidRDefault="00E675DF" w:rsidP="00250984">
      <w:pPr>
        <w:pStyle w:val="BodyText"/>
        <w:rPr>
          <w:rFonts w:cstheme="minorHAnsi"/>
          <w:sz w:val="24"/>
          <w:szCs w:val="24"/>
        </w:rPr>
      </w:pPr>
      <w:r>
        <w:rPr>
          <w:rFonts w:cstheme="minorHAnsi"/>
          <w:sz w:val="24"/>
          <w:szCs w:val="24"/>
        </w:rPr>
        <w:t xml:space="preserve">As outlined in Table 1, </w:t>
      </w:r>
      <w:r w:rsidR="00421FF5" w:rsidRPr="00F22821" w:rsidDel="00EA5629">
        <w:rPr>
          <w:rFonts w:cstheme="minorHAnsi"/>
          <w:sz w:val="24"/>
          <w:szCs w:val="24"/>
        </w:rPr>
        <w:t>PBS uptake statistics</w:t>
      </w:r>
      <w:r w:rsidR="00421FF5" w:rsidRPr="00F22821">
        <w:rPr>
          <w:rFonts w:cstheme="minorHAnsi"/>
          <w:sz w:val="24"/>
          <w:szCs w:val="24"/>
          <w:vertAlign w:val="superscript"/>
        </w:rPr>
        <w:footnoteReference w:id="3"/>
      </w:r>
      <w:r w:rsidR="00421FF5" w:rsidRPr="00F22821">
        <w:rPr>
          <w:rFonts w:cstheme="minorHAnsi"/>
          <w:sz w:val="24"/>
          <w:szCs w:val="24"/>
        </w:rPr>
        <w:t xml:space="preserve"> </w:t>
      </w:r>
      <w:r w:rsidR="00421FF5" w:rsidRPr="00F22821" w:rsidDel="00EA5629">
        <w:rPr>
          <w:rFonts w:cstheme="minorHAnsi"/>
          <w:sz w:val="24"/>
          <w:szCs w:val="24"/>
        </w:rPr>
        <w:t xml:space="preserve">indicate that </w:t>
      </w:r>
      <w:r w:rsidR="00C30E61" w:rsidRPr="00F22821">
        <w:rPr>
          <w:rFonts w:cstheme="minorHAnsi"/>
          <w:sz w:val="24"/>
          <w:szCs w:val="24"/>
        </w:rPr>
        <w:t>in 202</w:t>
      </w:r>
      <w:r w:rsidR="00FD1536" w:rsidRPr="00F22821">
        <w:rPr>
          <w:rFonts w:cstheme="minorHAnsi"/>
          <w:sz w:val="24"/>
          <w:szCs w:val="24"/>
        </w:rPr>
        <w:t>2-</w:t>
      </w:r>
      <w:r w:rsidR="00C30E61" w:rsidRPr="00F22821">
        <w:rPr>
          <w:rFonts w:cstheme="minorHAnsi"/>
          <w:sz w:val="24"/>
          <w:szCs w:val="24"/>
        </w:rPr>
        <w:t>23</w:t>
      </w:r>
      <w:r w:rsidR="00DB5EEA" w:rsidRPr="00F22821">
        <w:rPr>
          <w:rFonts w:cstheme="minorHAnsi"/>
          <w:sz w:val="24"/>
          <w:szCs w:val="24"/>
        </w:rPr>
        <w:t>,</w:t>
      </w:r>
      <w:r w:rsidR="00C30E61" w:rsidRPr="00F22821">
        <w:rPr>
          <w:rFonts w:cstheme="minorHAnsi"/>
          <w:sz w:val="24"/>
          <w:szCs w:val="24"/>
        </w:rPr>
        <w:t xml:space="preserve"> 21% of prescriptions were discounted</w:t>
      </w:r>
      <w:r w:rsidR="00A56801">
        <w:rPr>
          <w:rFonts w:cstheme="minorHAnsi"/>
          <w:sz w:val="24"/>
          <w:szCs w:val="24"/>
        </w:rPr>
        <w:t xml:space="preserve"> with c</w:t>
      </w:r>
      <w:r w:rsidR="00AA2317" w:rsidRPr="00F22821">
        <w:rPr>
          <w:rFonts w:cstheme="minorHAnsi"/>
          <w:sz w:val="24"/>
          <w:szCs w:val="24"/>
        </w:rPr>
        <w:t>oncessional patients receiv</w:t>
      </w:r>
      <w:r w:rsidR="00A56801">
        <w:rPr>
          <w:rFonts w:cstheme="minorHAnsi"/>
          <w:sz w:val="24"/>
          <w:szCs w:val="24"/>
        </w:rPr>
        <w:t>ing</w:t>
      </w:r>
      <w:r w:rsidR="00AA2317" w:rsidRPr="00F22821">
        <w:rPr>
          <w:rFonts w:cstheme="minorHAnsi"/>
          <w:sz w:val="24"/>
          <w:szCs w:val="24"/>
        </w:rPr>
        <w:t xml:space="preserve"> the </w:t>
      </w:r>
      <w:r w:rsidR="00DB5EEA" w:rsidRPr="00F22821">
        <w:rPr>
          <w:rFonts w:cstheme="minorHAnsi"/>
          <w:sz w:val="24"/>
          <w:szCs w:val="24"/>
        </w:rPr>
        <w:t xml:space="preserve">largest </w:t>
      </w:r>
      <w:r w:rsidR="00AA2317" w:rsidRPr="00F22821">
        <w:rPr>
          <w:rFonts w:cstheme="minorHAnsi"/>
          <w:sz w:val="24"/>
          <w:szCs w:val="24"/>
        </w:rPr>
        <w:t>volume of discounted</w:t>
      </w:r>
      <w:r w:rsidR="00257AEF">
        <w:rPr>
          <w:rFonts w:cstheme="minorHAnsi"/>
          <w:sz w:val="24"/>
          <w:szCs w:val="24"/>
        </w:rPr>
        <w:t xml:space="preserve"> prescriptions</w:t>
      </w:r>
      <w:r w:rsidR="00DB5EEA" w:rsidRPr="00F22821">
        <w:rPr>
          <w:rFonts w:cstheme="minorHAnsi"/>
          <w:sz w:val="24"/>
          <w:szCs w:val="24"/>
        </w:rPr>
        <w:t>.</w:t>
      </w:r>
    </w:p>
    <w:p w14:paraId="5C2412A7" w14:textId="6EEC73CC" w:rsidR="00814422" w:rsidRPr="00F22821" w:rsidRDefault="00814422">
      <w:pPr>
        <w:spacing w:after="160" w:line="259" w:lineRule="auto"/>
        <w:rPr>
          <w:rFonts w:cstheme="minorHAnsi"/>
          <w:sz w:val="24"/>
          <w:szCs w:val="24"/>
        </w:rPr>
      </w:pPr>
      <w:r w:rsidRPr="00F22821">
        <w:rPr>
          <w:rFonts w:cstheme="minorHAnsi"/>
          <w:sz w:val="24"/>
          <w:szCs w:val="24"/>
        </w:rPr>
        <w:br w:type="page"/>
      </w:r>
    </w:p>
    <w:p w14:paraId="199C0C98" w14:textId="1A32FD00" w:rsidR="00C30E61" w:rsidRPr="00F22821" w:rsidRDefault="00C30E61" w:rsidP="00814422">
      <w:pPr>
        <w:pStyle w:val="Caption"/>
        <w:rPr>
          <w:rFonts w:ascii="Century Gothic" w:hAnsi="Century Gothic"/>
        </w:rPr>
      </w:pPr>
      <w:r w:rsidRPr="00F22821">
        <w:rPr>
          <w:rFonts w:ascii="Century Gothic" w:hAnsi="Century Gothic"/>
        </w:rPr>
        <w:lastRenderedPageBreak/>
        <w:t>Table 1</w:t>
      </w:r>
      <w:r w:rsidR="00FD1536" w:rsidRPr="00F22821">
        <w:rPr>
          <w:rFonts w:ascii="Century Gothic" w:hAnsi="Century Gothic"/>
        </w:rPr>
        <w:t>:</w:t>
      </w:r>
      <w:r w:rsidRPr="00F22821">
        <w:rPr>
          <w:rFonts w:ascii="Century Gothic" w:hAnsi="Century Gothic"/>
        </w:rPr>
        <w:t xml:space="preserve"> Discounted PBS/RPBS prescriptions dispensed by Community Pharmacies in 2022-23</w:t>
      </w:r>
      <w:r w:rsidR="00FD1536" w:rsidRPr="00F22821">
        <w:rPr>
          <w:rFonts w:ascii="Century Gothic" w:hAnsi="Century Gothic"/>
        </w:rPr>
        <w:t>*</w:t>
      </w:r>
    </w:p>
    <w:tbl>
      <w:tblPr>
        <w:tblW w:w="5000" w:type="pct"/>
        <w:tblLook w:val="04A0" w:firstRow="1" w:lastRow="0" w:firstColumn="1" w:lastColumn="0" w:noHBand="0" w:noVBand="1"/>
      </w:tblPr>
      <w:tblGrid>
        <w:gridCol w:w="1694"/>
        <w:gridCol w:w="1573"/>
        <w:gridCol w:w="688"/>
        <w:gridCol w:w="1461"/>
        <w:gridCol w:w="666"/>
        <w:gridCol w:w="1562"/>
        <w:gridCol w:w="683"/>
        <w:gridCol w:w="1436"/>
        <w:gridCol w:w="666"/>
      </w:tblGrid>
      <w:tr w:rsidR="00FD1536" w:rsidRPr="00F22821" w14:paraId="61F704CA" w14:textId="77777777" w:rsidTr="00257AEF">
        <w:trPr>
          <w:trHeight w:val="290"/>
        </w:trPr>
        <w:tc>
          <w:tcPr>
            <w:tcW w:w="816" w:type="pct"/>
            <w:tcBorders>
              <w:bottom w:val="single" w:sz="2" w:space="0" w:color="auto"/>
              <w:right w:val="single" w:sz="2" w:space="0" w:color="auto"/>
            </w:tcBorders>
            <w:shd w:val="clear" w:color="000000" w:fill="auto"/>
            <w:noWrap/>
            <w:vAlign w:val="bottom"/>
            <w:hideMark/>
          </w:tcPr>
          <w:p w14:paraId="60BB9760" w14:textId="77777777" w:rsidR="00FD1536" w:rsidRPr="00F22821" w:rsidRDefault="00FD1536" w:rsidP="00814422">
            <w:pPr>
              <w:spacing w:line="240" w:lineRule="auto"/>
              <w:rPr>
                <w:rFonts w:eastAsia="Times New Roman" w:cstheme="minorHAnsi"/>
                <w:b/>
                <w:bCs/>
                <w:color w:val="000000"/>
                <w:lang w:eastAsia="en-AU"/>
              </w:rPr>
            </w:pPr>
            <w:r w:rsidRPr="00F22821">
              <w:rPr>
                <w:rFonts w:eastAsia="Times New Roman" w:cstheme="minorHAnsi"/>
                <w:b/>
                <w:bCs/>
                <w:color w:val="000000"/>
                <w:lang w:eastAsia="en-AU"/>
              </w:rPr>
              <w:t> </w:t>
            </w:r>
          </w:p>
        </w:tc>
        <w:tc>
          <w:tcPr>
            <w:tcW w:w="1091" w:type="pct"/>
            <w:gridSpan w:val="2"/>
            <w:tcBorders>
              <w:top w:val="single" w:sz="2" w:space="0" w:color="auto"/>
              <w:left w:val="single" w:sz="2" w:space="0" w:color="auto"/>
              <w:bottom w:val="single" w:sz="2" w:space="0" w:color="auto"/>
              <w:right w:val="single" w:sz="2" w:space="0" w:color="auto"/>
            </w:tcBorders>
            <w:shd w:val="clear" w:color="000000" w:fill="DAEEF3"/>
            <w:vAlign w:val="center"/>
            <w:hideMark/>
          </w:tcPr>
          <w:p w14:paraId="17AB3AC9" w14:textId="77777777" w:rsidR="00FD1536" w:rsidRPr="00F22821" w:rsidRDefault="00FD1536" w:rsidP="00257AEF">
            <w:pPr>
              <w:spacing w:after="0" w:line="240" w:lineRule="auto"/>
              <w:jc w:val="center"/>
              <w:rPr>
                <w:rFonts w:eastAsia="Times New Roman" w:cstheme="minorHAnsi"/>
                <w:b/>
                <w:bCs/>
                <w:color w:val="000000"/>
                <w:lang w:eastAsia="en-AU"/>
              </w:rPr>
            </w:pPr>
            <w:r w:rsidRPr="00F22821">
              <w:rPr>
                <w:rFonts w:eastAsia="Times New Roman" w:cstheme="minorHAnsi"/>
                <w:b/>
                <w:bCs/>
                <w:color w:val="000000"/>
                <w:lang w:eastAsia="en-AU"/>
              </w:rPr>
              <w:t>Concessional</w:t>
            </w:r>
          </w:p>
        </w:tc>
        <w:tc>
          <w:tcPr>
            <w:tcW w:w="1014" w:type="pct"/>
            <w:gridSpan w:val="2"/>
            <w:tcBorders>
              <w:top w:val="single" w:sz="2" w:space="0" w:color="auto"/>
              <w:left w:val="single" w:sz="2" w:space="0" w:color="auto"/>
              <w:bottom w:val="single" w:sz="2" w:space="0" w:color="auto"/>
              <w:right w:val="single" w:sz="2" w:space="0" w:color="auto"/>
            </w:tcBorders>
            <w:shd w:val="clear" w:color="000000" w:fill="DAEEF3"/>
            <w:vAlign w:val="center"/>
            <w:hideMark/>
          </w:tcPr>
          <w:p w14:paraId="1EFADCA1" w14:textId="77777777" w:rsidR="00FD1536" w:rsidRPr="00F22821" w:rsidRDefault="00FD1536" w:rsidP="00257AEF">
            <w:pPr>
              <w:spacing w:after="0" w:line="240" w:lineRule="auto"/>
              <w:jc w:val="center"/>
              <w:rPr>
                <w:rFonts w:eastAsia="Times New Roman" w:cstheme="minorHAnsi"/>
                <w:b/>
                <w:bCs/>
                <w:color w:val="000000"/>
                <w:lang w:eastAsia="en-AU"/>
              </w:rPr>
            </w:pPr>
            <w:r w:rsidRPr="00F22821">
              <w:rPr>
                <w:rFonts w:eastAsia="Times New Roman" w:cstheme="minorHAnsi"/>
                <w:b/>
                <w:bCs/>
                <w:color w:val="000000"/>
                <w:lang w:eastAsia="en-AU"/>
              </w:rPr>
              <w:t>General</w:t>
            </w:r>
          </w:p>
        </w:tc>
        <w:tc>
          <w:tcPr>
            <w:tcW w:w="1082" w:type="pct"/>
            <w:gridSpan w:val="2"/>
            <w:tcBorders>
              <w:top w:val="single" w:sz="2" w:space="0" w:color="auto"/>
              <w:left w:val="single" w:sz="2" w:space="0" w:color="auto"/>
              <w:bottom w:val="single" w:sz="2" w:space="0" w:color="auto"/>
              <w:right w:val="single" w:sz="2" w:space="0" w:color="auto"/>
            </w:tcBorders>
            <w:shd w:val="clear" w:color="000000" w:fill="DAEEF3"/>
            <w:vAlign w:val="center"/>
            <w:hideMark/>
          </w:tcPr>
          <w:p w14:paraId="18EEDB64" w14:textId="77777777" w:rsidR="00FD1536" w:rsidRPr="00F22821" w:rsidRDefault="00FD1536" w:rsidP="00257AEF">
            <w:pPr>
              <w:spacing w:after="0" w:line="240" w:lineRule="auto"/>
              <w:jc w:val="center"/>
              <w:rPr>
                <w:rFonts w:eastAsia="Times New Roman" w:cstheme="minorHAnsi"/>
                <w:b/>
                <w:bCs/>
                <w:color w:val="000000"/>
                <w:lang w:eastAsia="en-AU"/>
              </w:rPr>
            </w:pPr>
            <w:r w:rsidRPr="00F22821">
              <w:rPr>
                <w:rFonts w:eastAsia="Times New Roman" w:cstheme="minorHAnsi"/>
                <w:b/>
                <w:bCs/>
                <w:color w:val="000000"/>
                <w:lang w:eastAsia="en-AU"/>
              </w:rPr>
              <w:t>RPBS</w:t>
            </w:r>
          </w:p>
        </w:tc>
        <w:tc>
          <w:tcPr>
            <w:tcW w:w="997" w:type="pct"/>
            <w:gridSpan w:val="2"/>
            <w:tcBorders>
              <w:top w:val="single" w:sz="2" w:space="0" w:color="auto"/>
              <w:left w:val="single" w:sz="2" w:space="0" w:color="auto"/>
              <w:bottom w:val="single" w:sz="2" w:space="0" w:color="auto"/>
              <w:right w:val="single" w:sz="2" w:space="0" w:color="auto"/>
            </w:tcBorders>
            <w:shd w:val="clear" w:color="000000" w:fill="DAEEF3"/>
            <w:vAlign w:val="center"/>
            <w:hideMark/>
          </w:tcPr>
          <w:p w14:paraId="1E634912" w14:textId="77777777" w:rsidR="00FD1536" w:rsidRPr="00F22821" w:rsidRDefault="00FD1536" w:rsidP="00257AEF">
            <w:pPr>
              <w:spacing w:after="0" w:line="240" w:lineRule="auto"/>
              <w:jc w:val="center"/>
              <w:rPr>
                <w:rFonts w:eastAsia="Times New Roman" w:cstheme="minorHAnsi"/>
                <w:b/>
                <w:bCs/>
                <w:color w:val="000000"/>
                <w:lang w:eastAsia="en-AU"/>
              </w:rPr>
            </w:pPr>
            <w:r w:rsidRPr="00F22821">
              <w:rPr>
                <w:rFonts w:eastAsia="Times New Roman" w:cstheme="minorHAnsi"/>
                <w:b/>
                <w:bCs/>
                <w:color w:val="000000"/>
                <w:lang w:eastAsia="en-AU"/>
              </w:rPr>
              <w:t>Total</w:t>
            </w:r>
          </w:p>
        </w:tc>
      </w:tr>
      <w:tr w:rsidR="00FD1536" w:rsidRPr="00F22821" w14:paraId="4E5CF8E7" w14:textId="77777777" w:rsidTr="00257AEF">
        <w:trPr>
          <w:trHeight w:val="290"/>
        </w:trPr>
        <w:tc>
          <w:tcPr>
            <w:tcW w:w="816" w:type="pct"/>
            <w:tcBorders>
              <w:top w:val="single" w:sz="2" w:space="0" w:color="auto"/>
              <w:left w:val="single" w:sz="2" w:space="0" w:color="auto"/>
              <w:bottom w:val="single" w:sz="2" w:space="0" w:color="auto"/>
              <w:right w:val="single" w:sz="2" w:space="0" w:color="auto"/>
            </w:tcBorders>
            <w:shd w:val="clear" w:color="000000" w:fill="DAEEF3"/>
            <w:noWrap/>
            <w:vAlign w:val="center"/>
            <w:hideMark/>
          </w:tcPr>
          <w:p w14:paraId="5C7F9DA3" w14:textId="77777777" w:rsidR="00FD1536" w:rsidRPr="00F22821" w:rsidRDefault="00FD1536" w:rsidP="00257AEF">
            <w:pPr>
              <w:spacing w:after="0" w:line="240" w:lineRule="auto"/>
              <w:rPr>
                <w:rFonts w:eastAsia="Times New Roman" w:cstheme="minorHAnsi"/>
                <w:color w:val="000000"/>
                <w:lang w:eastAsia="en-AU"/>
              </w:rPr>
            </w:pPr>
            <w:r w:rsidRPr="00F22821">
              <w:rPr>
                <w:rFonts w:eastAsia="Times New Roman" w:cstheme="minorHAnsi"/>
                <w:color w:val="000000"/>
                <w:lang w:eastAsia="en-AU"/>
              </w:rPr>
              <w:t>Prescription Type</w:t>
            </w:r>
          </w:p>
        </w:tc>
        <w:tc>
          <w:tcPr>
            <w:tcW w:w="758" w:type="pct"/>
            <w:tcBorders>
              <w:top w:val="single" w:sz="2" w:space="0" w:color="auto"/>
              <w:left w:val="single" w:sz="2" w:space="0" w:color="auto"/>
              <w:bottom w:val="single" w:sz="2" w:space="0" w:color="auto"/>
              <w:right w:val="single" w:sz="2" w:space="0" w:color="auto"/>
            </w:tcBorders>
            <w:shd w:val="clear" w:color="000000" w:fill="DAEEF3"/>
            <w:noWrap/>
            <w:vAlign w:val="center"/>
            <w:hideMark/>
          </w:tcPr>
          <w:p w14:paraId="26CF5168" w14:textId="77777777" w:rsidR="00FD1536" w:rsidRPr="00F22821" w:rsidRDefault="00FD1536" w:rsidP="00257AEF">
            <w:pPr>
              <w:spacing w:after="0" w:line="240" w:lineRule="auto"/>
              <w:jc w:val="center"/>
              <w:rPr>
                <w:rFonts w:eastAsia="Times New Roman" w:cstheme="minorHAnsi"/>
                <w:color w:val="000000"/>
                <w:lang w:eastAsia="en-AU"/>
              </w:rPr>
            </w:pPr>
            <w:r w:rsidRPr="00F22821">
              <w:rPr>
                <w:rFonts w:eastAsia="Times New Roman" w:cstheme="minorHAnsi"/>
                <w:color w:val="000000"/>
                <w:lang w:eastAsia="en-AU"/>
              </w:rPr>
              <w:t>Prescriptions</w:t>
            </w:r>
          </w:p>
        </w:tc>
        <w:tc>
          <w:tcPr>
            <w:tcW w:w="333" w:type="pct"/>
            <w:tcBorders>
              <w:top w:val="single" w:sz="2" w:space="0" w:color="auto"/>
              <w:left w:val="single" w:sz="2" w:space="0" w:color="auto"/>
              <w:bottom w:val="single" w:sz="2" w:space="0" w:color="auto"/>
              <w:right w:val="single" w:sz="2" w:space="0" w:color="auto"/>
            </w:tcBorders>
            <w:shd w:val="clear" w:color="000000" w:fill="DAEEF3"/>
            <w:noWrap/>
            <w:vAlign w:val="center"/>
            <w:hideMark/>
          </w:tcPr>
          <w:p w14:paraId="7A72B86D" w14:textId="77777777" w:rsidR="00FD1536" w:rsidRPr="00F22821" w:rsidRDefault="00FD1536" w:rsidP="00257AEF">
            <w:pPr>
              <w:spacing w:after="0" w:line="240" w:lineRule="auto"/>
              <w:jc w:val="center"/>
              <w:rPr>
                <w:rFonts w:eastAsia="Times New Roman" w:cstheme="minorHAnsi"/>
                <w:color w:val="000000"/>
                <w:lang w:eastAsia="en-AU"/>
              </w:rPr>
            </w:pPr>
            <w:r w:rsidRPr="00F22821">
              <w:rPr>
                <w:rFonts w:eastAsia="Times New Roman" w:cstheme="minorHAnsi"/>
                <w:color w:val="000000"/>
                <w:lang w:eastAsia="en-AU"/>
              </w:rPr>
              <w:t>%</w:t>
            </w:r>
          </w:p>
        </w:tc>
        <w:tc>
          <w:tcPr>
            <w:tcW w:w="704" w:type="pct"/>
            <w:tcBorders>
              <w:top w:val="single" w:sz="2" w:space="0" w:color="auto"/>
              <w:left w:val="single" w:sz="2" w:space="0" w:color="auto"/>
              <w:bottom w:val="single" w:sz="2" w:space="0" w:color="auto"/>
              <w:right w:val="single" w:sz="2" w:space="0" w:color="auto"/>
            </w:tcBorders>
            <w:shd w:val="clear" w:color="000000" w:fill="DAEEF3"/>
            <w:noWrap/>
            <w:vAlign w:val="center"/>
            <w:hideMark/>
          </w:tcPr>
          <w:p w14:paraId="1E1A2FE6" w14:textId="77777777" w:rsidR="00FD1536" w:rsidRPr="00F22821" w:rsidRDefault="00FD1536" w:rsidP="00257AEF">
            <w:pPr>
              <w:spacing w:after="0" w:line="240" w:lineRule="auto"/>
              <w:jc w:val="center"/>
              <w:rPr>
                <w:rFonts w:eastAsia="Times New Roman" w:cstheme="minorHAnsi"/>
                <w:color w:val="000000"/>
                <w:lang w:eastAsia="en-AU"/>
              </w:rPr>
            </w:pPr>
            <w:r w:rsidRPr="00F22821">
              <w:rPr>
                <w:rFonts w:eastAsia="Times New Roman" w:cstheme="minorHAnsi"/>
                <w:color w:val="000000"/>
                <w:lang w:eastAsia="en-AU"/>
              </w:rPr>
              <w:t>Prescriptions</w:t>
            </w:r>
          </w:p>
        </w:tc>
        <w:tc>
          <w:tcPr>
            <w:tcW w:w="310" w:type="pct"/>
            <w:tcBorders>
              <w:top w:val="single" w:sz="2" w:space="0" w:color="auto"/>
              <w:left w:val="single" w:sz="2" w:space="0" w:color="auto"/>
              <w:bottom w:val="single" w:sz="2" w:space="0" w:color="auto"/>
              <w:right w:val="single" w:sz="2" w:space="0" w:color="auto"/>
            </w:tcBorders>
            <w:shd w:val="clear" w:color="000000" w:fill="DAEEF3"/>
            <w:noWrap/>
            <w:vAlign w:val="center"/>
            <w:hideMark/>
          </w:tcPr>
          <w:p w14:paraId="6DAC5F99" w14:textId="77777777" w:rsidR="00FD1536" w:rsidRPr="00F22821" w:rsidRDefault="00FD1536" w:rsidP="00257AEF">
            <w:pPr>
              <w:spacing w:after="0" w:line="240" w:lineRule="auto"/>
              <w:jc w:val="center"/>
              <w:rPr>
                <w:rFonts w:eastAsia="Times New Roman" w:cstheme="minorHAnsi"/>
                <w:color w:val="000000"/>
                <w:lang w:eastAsia="en-AU"/>
              </w:rPr>
            </w:pPr>
            <w:r w:rsidRPr="00F22821">
              <w:rPr>
                <w:rFonts w:eastAsia="Times New Roman" w:cstheme="minorHAnsi"/>
                <w:color w:val="000000"/>
                <w:lang w:eastAsia="en-AU"/>
              </w:rPr>
              <w:t>%</w:t>
            </w:r>
          </w:p>
        </w:tc>
        <w:tc>
          <w:tcPr>
            <w:tcW w:w="752" w:type="pct"/>
            <w:tcBorders>
              <w:top w:val="single" w:sz="2" w:space="0" w:color="auto"/>
              <w:left w:val="single" w:sz="2" w:space="0" w:color="auto"/>
              <w:bottom w:val="single" w:sz="2" w:space="0" w:color="auto"/>
              <w:right w:val="single" w:sz="2" w:space="0" w:color="auto"/>
            </w:tcBorders>
            <w:shd w:val="clear" w:color="000000" w:fill="DAEEF3"/>
            <w:noWrap/>
            <w:vAlign w:val="center"/>
            <w:hideMark/>
          </w:tcPr>
          <w:p w14:paraId="08DC50A5" w14:textId="77777777" w:rsidR="00FD1536" w:rsidRPr="00F22821" w:rsidRDefault="00FD1536" w:rsidP="00257AEF">
            <w:pPr>
              <w:spacing w:after="0" w:line="240" w:lineRule="auto"/>
              <w:jc w:val="center"/>
              <w:rPr>
                <w:rFonts w:eastAsia="Times New Roman" w:cstheme="minorHAnsi"/>
                <w:color w:val="000000"/>
                <w:lang w:eastAsia="en-AU"/>
              </w:rPr>
            </w:pPr>
            <w:r w:rsidRPr="00F22821">
              <w:rPr>
                <w:rFonts w:eastAsia="Times New Roman" w:cstheme="minorHAnsi"/>
                <w:color w:val="000000"/>
                <w:lang w:eastAsia="en-AU"/>
              </w:rPr>
              <w:t>Prescriptions</w:t>
            </w:r>
          </w:p>
        </w:tc>
        <w:tc>
          <w:tcPr>
            <w:tcW w:w="331" w:type="pct"/>
            <w:tcBorders>
              <w:top w:val="single" w:sz="2" w:space="0" w:color="auto"/>
              <w:left w:val="single" w:sz="2" w:space="0" w:color="auto"/>
              <w:bottom w:val="single" w:sz="2" w:space="0" w:color="auto"/>
              <w:right w:val="single" w:sz="2" w:space="0" w:color="auto"/>
            </w:tcBorders>
            <w:shd w:val="clear" w:color="000000" w:fill="DAEEF3"/>
            <w:noWrap/>
            <w:vAlign w:val="center"/>
            <w:hideMark/>
          </w:tcPr>
          <w:p w14:paraId="070E7853" w14:textId="77777777" w:rsidR="00FD1536" w:rsidRPr="00F22821" w:rsidRDefault="00FD1536" w:rsidP="00257AEF">
            <w:pPr>
              <w:spacing w:after="0" w:line="240" w:lineRule="auto"/>
              <w:jc w:val="center"/>
              <w:rPr>
                <w:rFonts w:eastAsia="Times New Roman" w:cstheme="minorHAnsi"/>
                <w:color w:val="000000"/>
                <w:lang w:eastAsia="en-AU"/>
              </w:rPr>
            </w:pPr>
            <w:r w:rsidRPr="00F22821">
              <w:rPr>
                <w:rFonts w:eastAsia="Times New Roman" w:cstheme="minorHAnsi"/>
                <w:color w:val="000000"/>
                <w:lang w:eastAsia="en-AU"/>
              </w:rPr>
              <w:t>%</w:t>
            </w:r>
          </w:p>
        </w:tc>
        <w:tc>
          <w:tcPr>
            <w:tcW w:w="692" w:type="pct"/>
            <w:tcBorders>
              <w:top w:val="single" w:sz="2" w:space="0" w:color="auto"/>
              <w:left w:val="single" w:sz="2" w:space="0" w:color="auto"/>
              <w:bottom w:val="single" w:sz="2" w:space="0" w:color="auto"/>
              <w:right w:val="single" w:sz="2" w:space="0" w:color="auto"/>
            </w:tcBorders>
            <w:shd w:val="clear" w:color="000000" w:fill="DAEEF3"/>
            <w:noWrap/>
            <w:vAlign w:val="center"/>
            <w:hideMark/>
          </w:tcPr>
          <w:p w14:paraId="512ACC56" w14:textId="77777777" w:rsidR="00FD1536" w:rsidRPr="00F22821" w:rsidRDefault="00FD1536" w:rsidP="00257AEF">
            <w:pPr>
              <w:spacing w:after="0" w:line="240" w:lineRule="auto"/>
              <w:jc w:val="center"/>
              <w:rPr>
                <w:rFonts w:eastAsia="Times New Roman" w:cstheme="minorHAnsi"/>
                <w:color w:val="000000"/>
                <w:lang w:eastAsia="en-AU"/>
              </w:rPr>
            </w:pPr>
            <w:r w:rsidRPr="00F22821">
              <w:rPr>
                <w:rFonts w:eastAsia="Times New Roman" w:cstheme="minorHAnsi"/>
                <w:color w:val="000000"/>
                <w:lang w:eastAsia="en-AU"/>
              </w:rPr>
              <w:t>Prescriptions</w:t>
            </w:r>
          </w:p>
        </w:tc>
        <w:tc>
          <w:tcPr>
            <w:tcW w:w="305" w:type="pct"/>
            <w:tcBorders>
              <w:top w:val="single" w:sz="2" w:space="0" w:color="auto"/>
              <w:left w:val="single" w:sz="2" w:space="0" w:color="auto"/>
              <w:bottom w:val="single" w:sz="2" w:space="0" w:color="auto"/>
              <w:right w:val="single" w:sz="2" w:space="0" w:color="auto"/>
            </w:tcBorders>
            <w:shd w:val="clear" w:color="000000" w:fill="DAEEF3"/>
            <w:noWrap/>
            <w:vAlign w:val="center"/>
            <w:hideMark/>
          </w:tcPr>
          <w:p w14:paraId="71EDE451" w14:textId="77777777" w:rsidR="00FD1536" w:rsidRPr="00F22821" w:rsidRDefault="00FD1536" w:rsidP="00257AEF">
            <w:pPr>
              <w:spacing w:after="0" w:line="240" w:lineRule="auto"/>
              <w:jc w:val="center"/>
              <w:rPr>
                <w:rFonts w:eastAsia="Times New Roman" w:cstheme="minorHAnsi"/>
                <w:color w:val="000000"/>
                <w:lang w:eastAsia="en-AU"/>
              </w:rPr>
            </w:pPr>
            <w:r w:rsidRPr="00F22821">
              <w:rPr>
                <w:rFonts w:eastAsia="Times New Roman" w:cstheme="minorHAnsi"/>
                <w:color w:val="000000"/>
                <w:lang w:eastAsia="en-AU"/>
              </w:rPr>
              <w:t>%</w:t>
            </w:r>
          </w:p>
        </w:tc>
      </w:tr>
      <w:tr w:rsidR="00FD1536" w:rsidRPr="00F22821" w14:paraId="671A01DD" w14:textId="77777777" w:rsidTr="00257AEF">
        <w:trPr>
          <w:trHeight w:val="290"/>
        </w:trPr>
        <w:tc>
          <w:tcPr>
            <w:tcW w:w="816" w:type="pct"/>
            <w:tcBorders>
              <w:top w:val="single" w:sz="2" w:space="0" w:color="auto"/>
              <w:left w:val="single" w:sz="2" w:space="0" w:color="auto"/>
              <w:bottom w:val="single" w:sz="2" w:space="0" w:color="auto"/>
              <w:right w:val="single" w:sz="2" w:space="0" w:color="auto"/>
            </w:tcBorders>
            <w:shd w:val="clear" w:color="000000" w:fill="DAEEF3"/>
            <w:noWrap/>
            <w:vAlign w:val="center"/>
            <w:hideMark/>
          </w:tcPr>
          <w:p w14:paraId="5FC58AF6" w14:textId="77777777" w:rsidR="00FD1536" w:rsidRPr="00F22821" w:rsidRDefault="00FD1536" w:rsidP="00257AEF">
            <w:pPr>
              <w:spacing w:after="0" w:line="240" w:lineRule="auto"/>
              <w:rPr>
                <w:rFonts w:eastAsia="Times New Roman" w:cstheme="minorHAnsi"/>
                <w:color w:val="000000"/>
                <w:lang w:eastAsia="en-AU"/>
              </w:rPr>
            </w:pPr>
            <w:r w:rsidRPr="00F22821">
              <w:rPr>
                <w:rFonts w:eastAsia="Times New Roman" w:cstheme="minorHAnsi"/>
                <w:color w:val="000000"/>
                <w:lang w:eastAsia="en-AU"/>
              </w:rPr>
              <w:t>Discounted</w:t>
            </w:r>
          </w:p>
        </w:tc>
        <w:tc>
          <w:tcPr>
            <w:tcW w:w="758"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870DF6D" w14:textId="77777777" w:rsidR="00FD1536" w:rsidRPr="00F22821" w:rsidRDefault="00FD1536"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 xml:space="preserve">40,815,928 </w:t>
            </w:r>
          </w:p>
        </w:tc>
        <w:tc>
          <w:tcPr>
            <w:tcW w:w="333"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D382D31" w14:textId="77777777" w:rsidR="00FD1536" w:rsidRPr="00F22821" w:rsidRDefault="00FD1536"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21%</w:t>
            </w:r>
          </w:p>
        </w:tc>
        <w:tc>
          <w:tcPr>
            <w:tcW w:w="70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F2A8D69" w14:textId="77777777" w:rsidR="00FD1536" w:rsidRPr="00F22821" w:rsidRDefault="00FD1536"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 xml:space="preserve">6,715,570 </w:t>
            </w:r>
          </w:p>
        </w:tc>
        <w:tc>
          <w:tcPr>
            <w:tcW w:w="31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E7FE277" w14:textId="77777777" w:rsidR="00FD1536" w:rsidRPr="00F22821" w:rsidRDefault="00FD1536"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29%</w:t>
            </w:r>
          </w:p>
        </w:tc>
        <w:tc>
          <w:tcPr>
            <w:tcW w:w="75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B1FC997" w14:textId="77777777" w:rsidR="00FD1536" w:rsidRPr="00F22821" w:rsidRDefault="00FD1536"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 xml:space="preserve">910,935 </w:t>
            </w:r>
          </w:p>
        </w:tc>
        <w:tc>
          <w:tcPr>
            <w:tcW w:w="33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D85A84F" w14:textId="77777777" w:rsidR="00FD1536" w:rsidRPr="00F22821" w:rsidRDefault="00FD1536"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13%</w:t>
            </w:r>
          </w:p>
        </w:tc>
        <w:tc>
          <w:tcPr>
            <w:tcW w:w="69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B969B51" w14:textId="77777777" w:rsidR="00FD1536" w:rsidRPr="00F22821" w:rsidRDefault="00FD1536"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 xml:space="preserve">48,442,433 </w:t>
            </w:r>
          </w:p>
        </w:tc>
        <w:tc>
          <w:tcPr>
            <w:tcW w:w="305"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BD14A3E" w14:textId="77777777" w:rsidR="00FD1536" w:rsidRPr="00F22821" w:rsidRDefault="00FD1536"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21%</w:t>
            </w:r>
          </w:p>
        </w:tc>
      </w:tr>
      <w:tr w:rsidR="00FD1536" w:rsidRPr="00F22821" w14:paraId="25DF686E" w14:textId="77777777" w:rsidTr="00257AEF">
        <w:trPr>
          <w:trHeight w:val="290"/>
        </w:trPr>
        <w:tc>
          <w:tcPr>
            <w:tcW w:w="816" w:type="pct"/>
            <w:tcBorders>
              <w:top w:val="single" w:sz="2" w:space="0" w:color="auto"/>
              <w:left w:val="single" w:sz="2" w:space="0" w:color="auto"/>
              <w:bottom w:val="single" w:sz="2" w:space="0" w:color="auto"/>
              <w:right w:val="single" w:sz="2" w:space="0" w:color="auto"/>
            </w:tcBorders>
            <w:shd w:val="clear" w:color="000000" w:fill="DAEEF3"/>
            <w:noWrap/>
            <w:vAlign w:val="center"/>
            <w:hideMark/>
          </w:tcPr>
          <w:p w14:paraId="6BC67737" w14:textId="77777777" w:rsidR="00FD1536" w:rsidRPr="00F22821" w:rsidRDefault="00FD1536" w:rsidP="00257AEF">
            <w:pPr>
              <w:spacing w:after="0" w:line="240" w:lineRule="auto"/>
              <w:rPr>
                <w:rFonts w:eastAsia="Times New Roman" w:cstheme="minorHAnsi"/>
                <w:color w:val="000000"/>
                <w:lang w:eastAsia="en-AU"/>
              </w:rPr>
            </w:pPr>
            <w:r w:rsidRPr="00F22821">
              <w:rPr>
                <w:rFonts w:eastAsia="Times New Roman" w:cstheme="minorHAnsi"/>
                <w:color w:val="000000"/>
                <w:lang w:eastAsia="en-AU"/>
              </w:rPr>
              <w:t>Non-Discounted</w:t>
            </w:r>
          </w:p>
        </w:tc>
        <w:tc>
          <w:tcPr>
            <w:tcW w:w="758"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7D86374" w14:textId="77777777" w:rsidR="00FD1536" w:rsidRPr="00F22821" w:rsidRDefault="00FD1536"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 xml:space="preserve">155,401,252 </w:t>
            </w:r>
          </w:p>
        </w:tc>
        <w:tc>
          <w:tcPr>
            <w:tcW w:w="333"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36C3754" w14:textId="77777777" w:rsidR="00FD1536" w:rsidRPr="00F22821" w:rsidRDefault="00FD1536"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79%</w:t>
            </w:r>
          </w:p>
        </w:tc>
        <w:tc>
          <w:tcPr>
            <w:tcW w:w="70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993515A" w14:textId="77777777" w:rsidR="00FD1536" w:rsidRPr="00F22821" w:rsidRDefault="00FD1536"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 xml:space="preserve">16,165,667 </w:t>
            </w:r>
          </w:p>
        </w:tc>
        <w:tc>
          <w:tcPr>
            <w:tcW w:w="31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3A4E09B" w14:textId="77777777" w:rsidR="00FD1536" w:rsidRPr="00F22821" w:rsidRDefault="00FD1536"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71%</w:t>
            </w:r>
          </w:p>
        </w:tc>
        <w:tc>
          <w:tcPr>
            <w:tcW w:w="75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7497E43" w14:textId="77777777" w:rsidR="00FD1536" w:rsidRPr="00F22821" w:rsidRDefault="00FD1536"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 xml:space="preserve">6,055,431 </w:t>
            </w:r>
          </w:p>
        </w:tc>
        <w:tc>
          <w:tcPr>
            <w:tcW w:w="33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97DB604" w14:textId="77777777" w:rsidR="00FD1536" w:rsidRPr="00F22821" w:rsidRDefault="00FD1536"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87%</w:t>
            </w:r>
          </w:p>
        </w:tc>
        <w:tc>
          <w:tcPr>
            <w:tcW w:w="69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6BCA406" w14:textId="77777777" w:rsidR="00FD1536" w:rsidRPr="00F22821" w:rsidRDefault="00FD1536"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 xml:space="preserve">177,622,350 </w:t>
            </w:r>
          </w:p>
        </w:tc>
        <w:tc>
          <w:tcPr>
            <w:tcW w:w="305"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DED5B96" w14:textId="77777777" w:rsidR="00FD1536" w:rsidRPr="00F22821" w:rsidRDefault="00FD1536"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79%</w:t>
            </w:r>
          </w:p>
        </w:tc>
      </w:tr>
      <w:tr w:rsidR="00FD1536" w:rsidRPr="00F22821" w14:paraId="17A85C1F" w14:textId="77777777" w:rsidTr="00257AEF">
        <w:trPr>
          <w:trHeight w:val="300"/>
        </w:trPr>
        <w:tc>
          <w:tcPr>
            <w:tcW w:w="816" w:type="pct"/>
            <w:tcBorders>
              <w:top w:val="single" w:sz="2" w:space="0" w:color="auto"/>
              <w:left w:val="single" w:sz="2" w:space="0" w:color="auto"/>
              <w:bottom w:val="single" w:sz="2" w:space="0" w:color="auto"/>
              <w:right w:val="single" w:sz="2" w:space="0" w:color="auto"/>
            </w:tcBorders>
            <w:shd w:val="clear" w:color="000000" w:fill="DAEEF3"/>
            <w:noWrap/>
            <w:vAlign w:val="center"/>
            <w:hideMark/>
          </w:tcPr>
          <w:p w14:paraId="06B5FCC3" w14:textId="77777777" w:rsidR="00FD1536" w:rsidRPr="00F22821" w:rsidRDefault="00FD1536" w:rsidP="00257AEF">
            <w:pPr>
              <w:spacing w:after="0" w:line="240" w:lineRule="auto"/>
              <w:rPr>
                <w:rFonts w:eastAsia="Times New Roman" w:cstheme="minorHAnsi"/>
                <w:b/>
                <w:bCs/>
                <w:color w:val="000000"/>
                <w:lang w:eastAsia="en-AU"/>
              </w:rPr>
            </w:pPr>
            <w:r w:rsidRPr="00F22821">
              <w:rPr>
                <w:rFonts w:eastAsia="Times New Roman" w:cstheme="minorHAnsi"/>
                <w:b/>
                <w:bCs/>
                <w:color w:val="000000"/>
                <w:lang w:eastAsia="en-AU"/>
              </w:rPr>
              <w:t>Total</w:t>
            </w:r>
          </w:p>
        </w:tc>
        <w:tc>
          <w:tcPr>
            <w:tcW w:w="758"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EAE6C2E" w14:textId="77777777" w:rsidR="00FD1536" w:rsidRPr="00F22821" w:rsidRDefault="00FD1536" w:rsidP="00257AEF">
            <w:pPr>
              <w:spacing w:after="0" w:line="240" w:lineRule="auto"/>
              <w:jc w:val="right"/>
              <w:rPr>
                <w:rFonts w:eastAsia="Times New Roman" w:cstheme="minorHAnsi"/>
                <w:b/>
                <w:bCs/>
                <w:color w:val="000000"/>
                <w:lang w:eastAsia="en-AU"/>
              </w:rPr>
            </w:pPr>
            <w:r w:rsidRPr="00F22821">
              <w:rPr>
                <w:rFonts w:eastAsia="Times New Roman" w:cstheme="minorHAnsi"/>
                <w:b/>
                <w:bCs/>
                <w:color w:val="000000"/>
                <w:lang w:eastAsia="en-AU"/>
              </w:rPr>
              <w:t xml:space="preserve">196,217,180 </w:t>
            </w:r>
          </w:p>
        </w:tc>
        <w:tc>
          <w:tcPr>
            <w:tcW w:w="333"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478E20C" w14:textId="77777777" w:rsidR="00FD1536" w:rsidRPr="00F22821" w:rsidRDefault="00FD1536" w:rsidP="00257AEF">
            <w:pPr>
              <w:spacing w:after="0" w:line="240" w:lineRule="auto"/>
              <w:jc w:val="right"/>
              <w:rPr>
                <w:rFonts w:eastAsia="Times New Roman" w:cstheme="minorHAnsi"/>
                <w:b/>
                <w:bCs/>
                <w:color w:val="000000"/>
                <w:lang w:eastAsia="en-AU"/>
              </w:rPr>
            </w:pPr>
            <w:r w:rsidRPr="00F22821">
              <w:rPr>
                <w:rFonts w:eastAsia="Times New Roman" w:cstheme="minorHAnsi"/>
                <w:b/>
                <w:bCs/>
                <w:color w:val="000000"/>
                <w:lang w:eastAsia="en-AU"/>
              </w:rPr>
              <w:t>100%</w:t>
            </w:r>
          </w:p>
        </w:tc>
        <w:tc>
          <w:tcPr>
            <w:tcW w:w="70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C84CF2F" w14:textId="77777777" w:rsidR="00FD1536" w:rsidRPr="00F22821" w:rsidRDefault="00FD1536" w:rsidP="00257AEF">
            <w:pPr>
              <w:spacing w:after="0" w:line="240" w:lineRule="auto"/>
              <w:jc w:val="right"/>
              <w:rPr>
                <w:rFonts w:eastAsia="Times New Roman" w:cstheme="minorHAnsi"/>
                <w:b/>
                <w:bCs/>
                <w:color w:val="000000"/>
                <w:lang w:eastAsia="en-AU"/>
              </w:rPr>
            </w:pPr>
            <w:r w:rsidRPr="00F22821">
              <w:rPr>
                <w:rFonts w:eastAsia="Times New Roman" w:cstheme="minorHAnsi"/>
                <w:b/>
                <w:bCs/>
                <w:color w:val="000000"/>
                <w:lang w:eastAsia="en-AU"/>
              </w:rPr>
              <w:t xml:space="preserve">22,881,237 </w:t>
            </w:r>
          </w:p>
        </w:tc>
        <w:tc>
          <w:tcPr>
            <w:tcW w:w="31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E0D1C55" w14:textId="77777777" w:rsidR="00FD1536" w:rsidRPr="00F22821" w:rsidRDefault="00FD1536" w:rsidP="00257AEF">
            <w:pPr>
              <w:spacing w:after="0" w:line="240" w:lineRule="auto"/>
              <w:jc w:val="right"/>
              <w:rPr>
                <w:rFonts w:eastAsia="Times New Roman" w:cstheme="minorHAnsi"/>
                <w:b/>
                <w:bCs/>
                <w:color w:val="000000"/>
                <w:lang w:eastAsia="en-AU"/>
              </w:rPr>
            </w:pPr>
            <w:r w:rsidRPr="00F22821">
              <w:rPr>
                <w:rFonts w:eastAsia="Times New Roman" w:cstheme="minorHAnsi"/>
                <w:b/>
                <w:bCs/>
                <w:color w:val="000000"/>
                <w:lang w:eastAsia="en-AU"/>
              </w:rPr>
              <w:t>100%</w:t>
            </w:r>
          </w:p>
        </w:tc>
        <w:tc>
          <w:tcPr>
            <w:tcW w:w="75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804D60C" w14:textId="77777777" w:rsidR="00FD1536" w:rsidRPr="00F22821" w:rsidRDefault="00FD1536" w:rsidP="00257AEF">
            <w:pPr>
              <w:spacing w:after="0" w:line="240" w:lineRule="auto"/>
              <w:jc w:val="right"/>
              <w:rPr>
                <w:rFonts w:eastAsia="Times New Roman" w:cstheme="minorHAnsi"/>
                <w:b/>
                <w:bCs/>
                <w:color w:val="000000"/>
                <w:lang w:eastAsia="en-AU"/>
              </w:rPr>
            </w:pPr>
            <w:r w:rsidRPr="00F22821">
              <w:rPr>
                <w:rFonts w:eastAsia="Times New Roman" w:cstheme="minorHAnsi"/>
                <w:b/>
                <w:bCs/>
                <w:color w:val="000000"/>
                <w:lang w:eastAsia="en-AU"/>
              </w:rPr>
              <w:t xml:space="preserve">6,966,366 </w:t>
            </w:r>
          </w:p>
        </w:tc>
        <w:tc>
          <w:tcPr>
            <w:tcW w:w="33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C947D27" w14:textId="77777777" w:rsidR="00FD1536" w:rsidRPr="00F22821" w:rsidRDefault="00FD1536" w:rsidP="00257AEF">
            <w:pPr>
              <w:spacing w:after="0" w:line="240" w:lineRule="auto"/>
              <w:jc w:val="right"/>
              <w:rPr>
                <w:rFonts w:eastAsia="Times New Roman" w:cstheme="minorHAnsi"/>
                <w:b/>
                <w:bCs/>
                <w:color w:val="000000"/>
                <w:lang w:eastAsia="en-AU"/>
              </w:rPr>
            </w:pPr>
            <w:r w:rsidRPr="00F22821">
              <w:rPr>
                <w:rFonts w:eastAsia="Times New Roman" w:cstheme="minorHAnsi"/>
                <w:b/>
                <w:bCs/>
                <w:color w:val="000000"/>
                <w:lang w:eastAsia="en-AU"/>
              </w:rPr>
              <w:t>100%</w:t>
            </w:r>
          </w:p>
        </w:tc>
        <w:tc>
          <w:tcPr>
            <w:tcW w:w="69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791FF23" w14:textId="77777777" w:rsidR="00FD1536" w:rsidRPr="00F22821" w:rsidRDefault="00FD1536" w:rsidP="00257AEF">
            <w:pPr>
              <w:spacing w:after="0" w:line="240" w:lineRule="auto"/>
              <w:jc w:val="right"/>
              <w:rPr>
                <w:rFonts w:eastAsia="Times New Roman" w:cstheme="minorHAnsi"/>
                <w:b/>
                <w:bCs/>
                <w:color w:val="000000"/>
                <w:lang w:eastAsia="en-AU"/>
              </w:rPr>
            </w:pPr>
            <w:r w:rsidRPr="00F22821">
              <w:rPr>
                <w:rFonts w:eastAsia="Times New Roman" w:cstheme="minorHAnsi"/>
                <w:b/>
                <w:bCs/>
                <w:color w:val="000000"/>
                <w:lang w:eastAsia="en-AU"/>
              </w:rPr>
              <w:t xml:space="preserve">226,064,783 </w:t>
            </w:r>
          </w:p>
        </w:tc>
        <w:tc>
          <w:tcPr>
            <w:tcW w:w="305"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6F59D83" w14:textId="77777777" w:rsidR="00FD1536" w:rsidRPr="00F22821" w:rsidRDefault="00FD1536" w:rsidP="00257AEF">
            <w:pPr>
              <w:spacing w:after="0" w:line="240" w:lineRule="auto"/>
              <w:jc w:val="right"/>
              <w:rPr>
                <w:rFonts w:eastAsia="Times New Roman" w:cstheme="minorHAnsi"/>
                <w:b/>
                <w:bCs/>
                <w:color w:val="000000"/>
                <w:lang w:eastAsia="en-AU"/>
              </w:rPr>
            </w:pPr>
            <w:r w:rsidRPr="00F22821">
              <w:rPr>
                <w:rFonts w:eastAsia="Times New Roman" w:cstheme="minorHAnsi"/>
                <w:b/>
                <w:bCs/>
                <w:color w:val="000000"/>
                <w:lang w:eastAsia="en-AU"/>
              </w:rPr>
              <w:t>100%</w:t>
            </w:r>
          </w:p>
        </w:tc>
      </w:tr>
    </w:tbl>
    <w:p w14:paraId="129BD114" w14:textId="62D902BC" w:rsidR="00C30E61" w:rsidRPr="00F22821" w:rsidRDefault="00FD1536" w:rsidP="00814E37">
      <w:pPr>
        <w:pStyle w:val="BodyText"/>
        <w:rPr>
          <w:rFonts w:cstheme="minorHAnsi"/>
        </w:rPr>
      </w:pPr>
      <w:r w:rsidRPr="00F22821">
        <w:rPr>
          <w:rFonts w:cstheme="minorHAnsi"/>
        </w:rPr>
        <w:t>*</w:t>
      </w:r>
      <w:r w:rsidR="00C30E61" w:rsidRPr="00F22821">
        <w:rPr>
          <w:rFonts w:cstheme="minorHAnsi"/>
        </w:rPr>
        <w:t>Section 85 and Section 100, excluding Doctors’ Bag and under co-payment prescriptions.</w:t>
      </w:r>
      <w:r w:rsidR="00E675DF" w:rsidRPr="00E675DF">
        <w:rPr>
          <w:rFonts w:cstheme="minorHAnsi"/>
          <w:i/>
        </w:rPr>
        <w:t xml:space="preserve"> </w:t>
      </w:r>
      <w:hyperlink r:id="rId7" w:history="1">
        <w:r w:rsidR="00E675DF" w:rsidRPr="003F5014">
          <w:rPr>
            <w:rStyle w:val="Hyperlink"/>
            <w:rFonts w:cstheme="minorHAnsi"/>
            <w:i/>
          </w:rPr>
          <w:t>www.pbs.gov.au/info/statistics/expenditure-prescriptions/pbs-expenditure-and-prescriptions</w:t>
        </w:r>
      </w:hyperlink>
      <w:r w:rsidR="00E675DF">
        <w:rPr>
          <w:rFonts w:cstheme="minorHAnsi"/>
          <w:i/>
        </w:rPr>
        <w:t xml:space="preserve"> 2022-23</w:t>
      </w:r>
      <w:r w:rsidR="00E675DF">
        <w:rPr>
          <w:rFonts w:cstheme="minorHAnsi"/>
        </w:rPr>
        <w:t xml:space="preserve">.  </w:t>
      </w:r>
    </w:p>
    <w:p w14:paraId="2B93C645" w14:textId="77777777" w:rsidR="00814422" w:rsidRPr="00F22821" w:rsidRDefault="00814422" w:rsidP="00250984">
      <w:pPr>
        <w:pStyle w:val="BodyText"/>
        <w:rPr>
          <w:rFonts w:cstheme="minorHAnsi"/>
          <w:sz w:val="24"/>
          <w:szCs w:val="24"/>
        </w:rPr>
      </w:pPr>
    </w:p>
    <w:p w14:paraId="75893863" w14:textId="0F6C1FF7" w:rsidR="00250984" w:rsidRPr="00F22821" w:rsidRDefault="00814422" w:rsidP="00250984">
      <w:pPr>
        <w:pStyle w:val="BodyText"/>
        <w:rPr>
          <w:rFonts w:cstheme="minorHAnsi"/>
          <w:sz w:val="24"/>
          <w:szCs w:val="24"/>
        </w:rPr>
      </w:pPr>
      <w:r w:rsidRPr="00F22821">
        <w:rPr>
          <w:rFonts w:cstheme="minorHAnsi"/>
          <w:sz w:val="24"/>
          <w:szCs w:val="24"/>
        </w:rPr>
        <w:t>Table 2</w:t>
      </w:r>
      <w:r w:rsidR="00421FF5" w:rsidRPr="00F22821">
        <w:rPr>
          <w:rFonts w:cstheme="minorHAnsi"/>
          <w:sz w:val="24"/>
          <w:szCs w:val="24"/>
        </w:rPr>
        <w:t xml:space="preserve"> provides an overview of the application of the discount since 20</w:t>
      </w:r>
      <w:r w:rsidR="00A56801">
        <w:rPr>
          <w:rFonts w:cstheme="minorHAnsi"/>
          <w:sz w:val="24"/>
          <w:szCs w:val="24"/>
        </w:rPr>
        <w:t xml:space="preserve">19-20 and shows that the </w:t>
      </w:r>
      <w:r w:rsidR="00A56801" w:rsidRPr="00257AEF">
        <w:rPr>
          <w:rFonts w:cstheme="minorHAnsi"/>
          <w:sz w:val="24"/>
          <w:szCs w:val="24"/>
        </w:rPr>
        <w:t xml:space="preserve">percentage of </w:t>
      </w:r>
      <w:r w:rsidR="00257AEF">
        <w:rPr>
          <w:rFonts w:cstheme="minorHAnsi"/>
          <w:sz w:val="24"/>
          <w:szCs w:val="24"/>
        </w:rPr>
        <w:t>prescriptions</w:t>
      </w:r>
      <w:r w:rsidR="00257AEF" w:rsidRPr="00257AEF">
        <w:rPr>
          <w:rFonts w:cstheme="minorHAnsi"/>
          <w:sz w:val="24"/>
          <w:szCs w:val="24"/>
        </w:rPr>
        <w:t xml:space="preserve"> </w:t>
      </w:r>
      <w:r w:rsidR="00A56801" w:rsidRPr="00257AEF">
        <w:rPr>
          <w:rFonts w:cstheme="minorHAnsi"/>
          <w:sz w:val="24"/>
          <w:szCs w:val="24"/>
        </w:rPr>
        <w:t>to which the optional $1 discount is applied has been slowly declining.</w:t>
      </w:r>
    </w:p>
    <w:p w14:paraId="2E237907" w14:textId="77777777" w:rsidR="00814422" w:rsidRPr="00F22821" w:rsidRDefault="00814422" w:rsidP="00250984">
      <w:pPr>
        <w:pStyle w:val="BodyText"/>
        <w:rPr>
          <w:rFonts w:cstheme="minorHAnsi"/>
          <w:sz w:val="24"/>
          <w:szCs w:val="24"/>
        </w:rPr>
      </w:pPr>
    </w:p>
    <w:p w14:paraId="38E7356B" w14:textId="2CEE27FF" w:rsidR="00ED56DC" w:rsidRPr="00F22821" w:rsidRDefault="00ED56DC" w:rsidP="00814422">
      <w:pPr>
        <w:pStyle w:val="Caption"/>
        <w:rPr>
          <w:rFonts w:ascii="Century Gothic" w:hAnsi="Century Gothic"/>
        </w:rPr>
      </w:pPr>
      <w:r w:rsidRPr="00F22821">
        <w:rPr>
          <w:rFonts w:ascii="Century Gothic" w:hAnsi="Century Gothic"/>
        </w:rPr>
        <w:t xml:space="preserve">Table </w:t>
      </w:r>
      <w:r w:rsidR="00FD1536" w:rsidRPr="00F22821">
        <w:rPr>
          <w:rFonts w:ascii="Century Gothic" w:hAnsi="Century Gothic"/>
        </w:rPr>
        <w:t>2</w:t>
      </w:r>
      <w:r w:rsidRPr="00F22821">
        <w:rPr>
          <w:rFonts w:ascii="Century Gothic" w:hAnsi="Century Gothic"/>
        </w:rPr>
        <w:t>: Summary of $1 Discount script volumes</w:t>
      </w:r>
      <w:r w:rsidR="00F5700C">
        <w:rPr>
          <w:rFonts w:ascii="Century Gothic" w:hAnsi="Century Gothic"/>
        </w:rPr>
        <w:t>*</w:t>
      </w:r>
    </w:p>
    <w:tbl>
      <w:tblPr>
        <w:tblW w:w="5000" w:type="pct"/>
        <w:tblCellMar>
          <w:left w:w="0" w:type="dxa"/>
          <w:right w:w="0" w:type="dxa"/>
        </w:tblCellMar>
        <w:tblLook w:val="0600" w:firstRow="0" w:lastRow="0" w:firstColumn="0" w:lastColumn="0" w:noHBand="1" w:noVBand="1"/>
      </w:tblPr>
      <w:tblGrid>
        <w:gridCol w:w="1678"/>
        <w:gridCol w:w="2911"/>
        <w:gridCol w:w="3022"/>
        <w:gridCol w:w="2801"/>
      </w:tblGrid>
      <w:tr w:rsidR="00F5700C" w:rsidRPr="00F22821" w14:paraId="2EEBF1D6" w14:textId="77777777" w:rsidTr="00257AEF">
        <w:trPr>
          <w:trHeight w:val="564"/>
        </w:trPr>
        <w:tc>
          <w:tcPr>
            <w:tcW w:w="806" w:type="pct"/>
            <w:tcBorders>
              <w:top w:val="single" w:sz="8" w:space="0" w:color="FFFFFF"/>
              <w:left w:val="single" w:sz="8" w:space="0" w:color="FFFFFF"/>
              <w:bottom w:val="single" w:sz="8" w:space="0" w:color="FFFFFF"/>
              <w:right w:val="single" w:sz="8" w:space="0" w:color="FFFFFF"/>
            </w:tcBorders>
            <w:shd w:val="clear" w:color="auto" w:fill="B4C7E7"/>
            <w:tcMar>
              <w:top w:w="15" w:type="dxa"/>
              <w:left w:w="15" w:type="dxa"/>
              <w:bottom w:w="0" w:type="dxa"/>
              <w:right w:w="15" w:type="dxa"/>
            </w:tcMar>
            <w:vAlign w:val="bottom"/>
            <w:hideMark/>
          </w:tcPr>
          <w:p w14:paraId="18F92DFA" w14:textId="6D6BD10B" w:rsidR="00F5700C" w:rsidRPr="00F22821" w:rsidRDefault="00F5700C" w:rsidP="00814422">
            <w:pPr>
              <w:pStyle w:val="BodyText"/>
              <w:jc w:val="center"/>
              <w:rPr>
                <w:rFonts w:cstheme="minorHAnsi"/>
              </w:rPr>
            </w:pPr>
            <w:r>
              <w:rPr>
                <w:rFonts w:cstheme="minorHAnsi"/>
                <w:b/>
                <w:bCs/>
              </w:rPr>
              <w:t>Y</w:t>
            </w:r>
            <w:r w:rsidRPr="00F22821">
              <w:rPr>
                <w:rFonts w:cstheme="minorHAnsi"/>
                <w:b/>
                <w:bCs/>
              </w:rPr>
              <w:t>ear</w:t>
            </w:r>
          </w:p>
        </w:tc>
        <w:tc>
          <w:tcPr>
            <w:tcW w:w="1398" w:type="pct"/>
            <w:tcBorders>
              <w:top w:val="single" w:sz="8" w:space="0" w:color="FFFFFF"/>
              <w:left w:val="single" w:sz="8" w:space="0" w:color="FFFFFF"/>
              <w:bottom w:val="single" w:sz="8" w:space="0" w:color="FFFFFF"/>
              <w:right w:val="single" w:sz="8" w:space="0" w:color="FFFFFF"/>
            </w:tcBorders>
            <w:shd w:val="clear" w:color="auto" w:fill="B4C7E7"/>
            <w:tcMar>
              <w:top w:w="15" w:type="dxa"/>
              <w:left w:w="15" w:type="dxa"/>
              <w:bottom w:w="0" w:type="dxa"/>
              <w:right w:w="15" w:type="dxa"/>
            </w:tcMar>
            <w:vAlign w:val="bottom"/>
            <w:hideMark/>
          </w:tcPr>
          <w:p w14:paraId="2A659D13" w14:textId="0CA5ECCC" w:rsidR="00F5700C" w:rsidRPr="00F22821" w:rsidRDefault="00F5700C" w:rsidP="00257AEF">
            <w:pPr>
              <w:pStyle w:val="BodyText"/>
              <w:jc w:val="center"/>
              <w:rPr>
                <w:rFonts w:cstheme="minorHAnsi"/>
              </w:rPr>
            </w:pPr>
            <w:r>
              <w:rPr>
                <w:rFonts w:cstheme="minorHAnsi"/>
                <w:b/>
                <w:bCs/>
              </w:rPr>
              <w:t>Total</w:t>
            </w:r>
            <w:r w:rsidRPr="00F22821">
              <w:rPr>
                <w:rFonts w:cstheme="minorHAnsi"/>
                <w:b/>
                <w:bCs/>
              </w:rPr>
              <w:t xml:space="preserve"> Discounted </w:t>
            </w:r>
            <w:r w:rsidR="00257AEF" w:rsidRPr="00257AEF">
              <w:rPr>
                <w:rFonts w:cstheme="minorHAnsi"/>
                <w:b/>
                <w:bCs/>
              </w:rPr>
              <w:t>prescriptions</w:t>
            </w:r>
          </w:p>
        </w:tc>
        <w:tc>
          <w:tcPr>
            <w:tcW w:w="1451" w:type="pct"/>
            <w:tcBorders>
              <w:top w:val="single" w:sz="8" w:space="0" w:color="FFFFFF"/>
              <w:left w:val="single" w:sz="8" w:space="0" w:color="FFFFFF"/>
              <w:bottom w:val="single" w:sz="8" w:space="0" w:color="FFFFFF"/>
              <w:right w:val="single" w:sz="8" w:space="0" w:color="FFFFFF"/>
            </w:tcBorders>
            <w:shd w:val="clear" w:color="auto" w:fill="B4C7E7"/>
            <w:tcMar>
              <w:top w:w="15" w:type="dxa"/>
              <w:left w:w="15" w:type="dxa"/>
              <w:bottom w:w="0" w:type="dxa"/>
              <w:right w:w="15" w:type="dxa"/>
            </w:tcMar>
            <w:vAlign w:val="bottom"/>
            <w:hideMark/>
          </w:tcPr>
          <w:p w14:paraId="17479FCC" w14:textId="343C5C42" w:rsidR="00F5700C" w:rsidRPr="00F22821" w:rsidRDefault="00F5700C" w:rsidP="00257AEF">
            <w:pPr>
              <w:pStyle w:val="BodyText"/>
              <w:jc w:val="center"/>
              <w:rPr>
                <w:rFonts w:cstheme="minorHAnsi"/>
              </w:rPr>
            </w:pPr>
            <w:r>
              <w:rPr>
                <w:rFonts w:cstheme="minorHAnsi"/>
                <w:b/>
                <w:bCs/>
              </w:rPr>
              <w:t>T</w:t>
            </w:r>
            <w:r w:rsidRPr="00F22821">
              <w:rPr>
                <w:rFonts w:cstheme="minorHAnsi"/>
                <w:b/>
                <w:bCs/>
              </w:rPr>
              <w:t xml:space="preserve">otal </w:t>
            </w:r>
            <w:r w:rsidR="00257AEF" w:rsidRPr="00257AEF">
              <w:rPr>
                <w:rFonts w:cstheme="minorHAnsi"/>
                <w:b/>
                <w:bCs/>
              </w:rPr>
              <w:t>prescriptions</w:t>
            </w:r>
            <w:r w:rsidR="00257AEF" w:rsidRPr="00F22821">
              <w:rPr>
                <w:rFonts w:cstheme="minorHAnsi"/>
                <w:b/>
                <w:bCs/>
              </w:rPr>
              <w:t xml:space="preserve"> </w:t>
            </w:r>
          </w:p>
        </w:tc>
        <w:tc>
          <w:tcPr>
            <w:tcW w:w="1345" w:type="pct"/>
            <w:tcBorders>
              <w:top w:val="single" w:sz="8" w:space="0" w:color="FFFFFF"/>
              <w:left w:val="single" w:sz="8" w:space="0" w:color="FFFFFF"/>
              <w:bottom w:val="single" w:sz="8" w:space="0" w:color="FFFFFF"/>
              <w:right w:val="single" w:sz="8" w:space="0" w:color="FFFFFF"/>
            </w:tcBorders>
            <w:shd w:val="clear" w:color="auto" w:fill="B4C7E7"/>
            <w:tcMar>
              <w:top w:w="15" w:type="dxa"/>
              <w:left w:w="15" w:type="dxa"/>
              <w:bottom w:w="0" w:type="dxa"/>
              <w:right w:w="15" w:type="dxa"/>
            </w:tcMar>
            <w:vAlign w:val="bottom"/>
            <w:hideMark/>
          </w:tcPr>
          <w:p w14:paraId="31CA09EF" w14:textId="33CABA8B" w:rsidR="00F5700C" w:rsidRPr="00F22821" w:rsidRDefault="00F5700C" w:rsidP="00814422">
            <w:pPr>
              <w:pStyle w:val="BodyText"/>
              <w:jc w:val="center"/>
              <w:rPr>
                <w:rFonts w:cstheme="minorHAnsi"/>
              </w:rPr>
            </w:pPr>
            <w:r w:rsidRPr="00F22821">
              <w:rPr>
                <w:rFonts w:cstheme="minorHAnsi"/>
                <w:b/>
                <w:bCs/>
              </w:rPr>
              <w:t>% Discounted scripts</w:t>
            </w:r>
          </w:p>
        </w:tc>
      </w:tr>
      <w:tr w:rsidR="00F5700C" w:rsidRPr="00F22821" w14:paraId="54EE219E" w14:textId="77777777" w:rsidTr="00257AEF">
        <w:trPr>
          <w:trHeight w:val="530"/>
        </w:trPr>
        <w:tc>
          <w:tcPr>
            <w:tcW w:w="806" w:type="pc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CA97AAE" w14:textId="3B6C0D37" w:rsidR="00F5700C" w:rsidRPr="00F22821" w:rsidRDefault="00F5700C" w:rsidP="00814422">
            <w:pPr>
              <w:pStyle w:val="BodyText"/>
              <w:jc w:val="center"/>
              <w:rPr>
                <w:rFonts w:cstheme="minorHAnsi"/>
              </w:rPr>
            </w:pPr>
            <w:r w:rsidRPr="00F22821">
              <w:rPr>
                <w:rFonts w:cstheme="minorHAnsi"/>
                <w:color w:val="000000" w:themeColor="dark1"/>
                <w:kern w:val="24"/>
              </w:rPr>
              <w:t>20</w:t>
            </w:r>
            <w:r>
              <w:rPr>
                <w:rFonts w:cstheme="minorHAnsi"/>
                <w:color w:val="000000" w:themeColor="dark1"/>
                <w:kern w:val="24"/>
              </w:rPr>
              <w:t>19-</w:t>
            </w:r>
            <w:r w:rsidRPr="00F22821">
              <w:rPr>
                <w:rFonts w:cstheme="minorHAnsi"/>
                <w:color w:val="000000" w:themeColor="dark1"/>
                <w:kern w:val="24"/>
              </w:rPr>
              <w:t>20</w:t>
            </w:r>
          </w:p>
        </w:tc>
        <w:tc>
          <w:tcPr>
            <w:tcW w:w="1398" w:type="pc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tcPr>
          <w:p w14:paraId="7CD43A2D" w14:textId="0AAC29D2" w:rsidR="00F5700C" w:rsidRPr="00F22821" w:rsidRDefault="00F5700C" w:rsidP="00814422">
            <w:pPr>
              <w:pStyle w:val="BodyText"/>
              <w:jc w:val="center"/>
              <w:rPr>
                <w:rFonts w:cstheme="minorHAnsi"/>
              </w:rPr>
            </w:pPr>
            <w:r>
              <w:rPr>
                <w:rFonts w:cstheme="minorHAnsi"/>
              </w:rPr>
              <w:t>56,202,391</w:t>
            </w:r>
          </w:p>
        </w:tc>
        <w:tc>
          <w:tcPr>
            <w:tcW w:w="1451" w:type="pc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tcPr>
          <w:p w14:paraId="74C8CFCC" w14:textId="09CD089A" w:rsidR="00F5700C" w:rsidRPr="00F22821" w:rsidRDefault="00F5700C" w:rsidP="00814422">
            <w:pPr>
              <w:pStyle w:val="BodyText"/>
              <w:jc w:val="center"/>
              <w:rPr>
                <w:rFonts w:cstheme="minorHAnsi"/>
              </w:rPr>
            </w:pPr>
            <w:r>
              <w:t>212,552,533</w:t>
            </w:r>
          </w:p>
        </w:tc>
        <w:tc>
          <w:tcPr>
            <w:tcW w:w="1345" w:type="pc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tcPr>
          <w:p w14:paraId="56D8C443" w14:textId="19CFAEF9" w:rsidR="00F5700C" w:rsidRPr="00F22821" w:rsidRDefault="00F5700C" w:rsidP="00814422">
            <w:pPr>
              <w:pStyle w:val="BodyText"/>
              <w:jc w:val="center"/>
              <w:rPr>
                <w:rFonts w:cstheme="minorHAnsi"/>
              </w:rPr>
            </w:pPr>
            <w:r>
              <w:rPr>
                <w:rFonts w:cstheme="minorHAnsi"/>
              </w:rPr>
              <w:t>26</w:t>
            </w:r>
            <w:r w:rsidRPr="00F22821">
              <w:rPr>
                <w:rFonts w:cstheme="minorHAnsi"/>
              </w:rPr>
              <w:t>%</w:t>
            </w:r>
          </w:p>
        </w:tc>
      </w:tr>
      <w:tr w:rsidR="00F5700C" w:rsidRPr="00F22821" w14:paraId="17230DCE" w14:textId="77777777" w:rsidTr="00257AEF">
        <w:trPr>
          <w:trHeight w:val="530"/>
        </w:trPr>
        <w:tc>
          <w:tcPr>
            <w:tcW w:w="806" w:type="pc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tcPr>
          <w:p w14:paraId="4E8C9E16" w14:textId="5C5BE697" w:rsidR="00F5700C" w:rsidRPr="00F22821" w:rsidRDefault="00F5700C" w:rsidP="00814422">
            <w:pPr>
              <w:pStyle w:val="BodyText"/>
              <w:jc w:val="center"/>
              <w:rPr>
                <w:rFonts w:cstheme="minorHAnsi"/>
              </w:rPr>
            </w:pPr>
            <w:r w:rsidRPr="00F22821">
              <w:rPr>
                <w:rFonts w:cstheme="minorHAnsi"/>
                <w:color w:val="000000" w:themeColor="dark1"/>
                <w:kern w:val="24"/>
              </w:rPr>
              <w:t>20</w:t>
            </w:r>
            <w:r>
              <w:rPr>
                <w:rFonts w:cstheme="minorHAnsi"/>
                <w:color w:val="000000" w:themeColor="dark1"/>
                <w:kern w:val="24"/>
              </w:rPr>
              <w:t>20-</w:t>
            </w:r>
            <w:r w:rsidRPr="00F22821">
              <w:rPr>
                <w:rFonts w:cstheme="minorHAnsi"/>
                <w:color w:val="000000" w:themeColor="dark1"/>
                <w:kern w:val="24"/>
              </w:rPr>
              <w:t>21</w:t>
            </w:r>
          </w:p>
        </w:tc>
        <w:tc>
          <w:tcPr>
            <w:tcW w:w="1398" w:type="pc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tcPr>
          <w:p w14:paraId="03999D38" w14:textId="4F7854AE" w:rsidR="00F5700C" w:rsidRPr="00F22821" w:rsidRDefault="00F5700C" w:rsidP="00814422">
            <w:pPr>
              <w:pStyle w:val="BodyText"/>
              <w:jc w:val="center"/>
              <w:rPr>
                <w:rFonts w:cstheme="minorHAnsi"/>
              </w:rPr>
            </w:pPr>
            <w:r>
              <w:t>54,761,220</w:t>
            </w:r>
          </w:p>
        </w:tc>
        <w:tc>
          <w:tcPr>
            <w:tcW w:w="1451" w:type="pc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tcPr>
          <w:p w14:paraId="37311E0C" w14:textId="56558953" w:rsidR="00F5700C" w:rsidRPr="00F22821" w:rsidRDefault="00F5700C">
            <w:pPr>
              <w:pStyle w:val="BodyText"/>
              <w:jc w:val="center"/>
              <w:rPr>
                <w:rFonts w:cstheme="minorHAnsi"/>
              </w:rPr>
            </w:pPr>
            <w:r>
              <w:t>217,130,548</w:t>
            </w:r>
          </w:p>
        </w:tc>
        <w:tc>
          <w:tcPr>
            <w:tcW w:w="1345" w:type="pc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tcPr>
          <w:p w14:paraId="725A8EBE" w14:textId="2A82277F" w:rsidR="00F5700C" w:rsidRPr="00F22821" w:rsidRDefault="00F5700C" w:rsidP="00814422">
            <w:pPr>
              <w:pStyle w:val="BodyText"/>
              <w:jc w:val="center"/>
              <w:rPr>
                <w:rFonts w:cstheme="minorHAnsi"/>
              </w:rPr>
            </w:pPr>
            <w:r>
              <w:rPr>
                <w:rFonts w:cstheme="minorHAnsi"/>
              </w:rPr>
              <w:t>25</w:t>
            </w:r>
            <w:r w:rsidRPr="00F22821">
              <w:rPr>
                <w:rFonts w:cstheme="minorHAnsi"/>
              </w:rPr>
              <w:t>%</w:t>
            </w:r>
          </w:p>
        </w:tc>
      </w:tr>
      <w:tr w:rsidR="00F5700C" w:rsidRPr="00F22821" w14:paraId="3BD4AE7A" w14:textId="77777777" w:rsidTr="00257AEF">
        <w:trPr>
          <w:trHeight w:val="530"/>
        </w:trPr>
        <w:tc>
          <w:tcPr>
            <w:tcW w:w="806" w:type="pc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tcPr>
          <w:p w14:paraId="36D55833" w14:textId="0894CBCE" w:rsidR="00F5700C" w:rsidRPr="00F22821" w:rsidRDefault="00F5700C" w:rsidP="00814422">
            <w:pPr>
              <w:pStyle w:val="BodyText"/>
              <w:jc w:val="center"/>
              <w:rPr>
                <w:rFonts w:cstheme="minorHAnsi"/>
                <w:color w:val="000000" w:themeColor="dark1"/>
                <w:kern w:val="24"/>
              </w:rPr>
            </w:pPr>
            <w:r w:rsidRPr="00F22821">
              <w:rPr>
                <w:rFonts w:cstheme="minorHAnsi"/>
                <w:color w:val="000000" w:themeColor="dark1"/>
                <w:kern w:val="24"/>
              </w:rPr>
              <w:t>20</w:t>
            </w:r>
            <w:r>
              <w:rPr>
                <w:rFonts w:cstheme="minorHAnsi"/>
                <w:color w:val="000000" w:themeColor="dark1"/>
                <w:kern w:val="24"/>
              </w:rPr>
              <w:t>21-</w:t>
            </w:r>
            <w:r w:rsidRPr="00F22821">
              <w:rPr>
                <w:rFonts w:cstheme="minorHAnsi"/>
                <w:color w:val="000000" w:themeColor="dark1"/>
                <w:kern w:val="24"/>
              </w:rPr>
              <w:t>22</w:t>
            </w:r>
          </w:p>
        </w:tc>
        <w:tc>
          <w:tcPr>
            <w:tcW w:w="1398" w:type="pc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tcPr>
          <w:p w14:paraId="31A5777E" w14:textId="5E31EDA7" w:rsidR="00F5700C" w:rsidRPr="00F22821" w:rsidRDefault="00F5700C" w:rsidP="00814422">
            <w:pPr>
              <w:pStyle w:val="BodyText"/>
              <w:jc w:val="center"/>
              <w:rPr>
                <w:rFonts w:cstheme="minorHAnsi"/>
                <w:color w:val="000000"/>
                <w:kern w:val="24"/>
              </w:rPr>
            </w:pPr>
            <w:r>
              <w:t>53,663,407</w:t>
            </w:r>
          </w:p>
        </w:tc>
        <w:tc>
          <w:tcPr>
            <w:tcW w:w="1451" w:type="pc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tcPr>
          <w:p w14:paraId="33E5E3E2" w14:textId="3C771A8D" w:rsidR="00F5700C" w:rsidRPr="00F22821" w:rsidRDefault="00F5700C" w:rsidP="00814422">
            <w:pPr>
              <w:pStyle w:val="BodyText"/>
              <w:jc w:val="center"/>
              <w:rPr>
                <w:rFonts w:cstheme="minorHAnsi"/>
                <w:color w:val="000000"/>
                <w:kern w:val="24"/>
              </w:rPr>
            </w:pPr>
            <w:r>
              <w:t>218,236,308</w:t>
            </w:r>
          </w:p>
        </w:tc>
        <w:tc>
          <w:tcPr>
            <w:tcW w:w="1345" w:type="pc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tcPr>
          <w:p w14:paraId="1564170B" w14:textId="404268DE" w:rsidR="00F5700C" w:rsidRPr="00F22821" w:rsidRDefault="00F5700C" w:rsidP="00814422">
            <w:pPr>
              <w:pStyle w:val="BodyText"/>
              <w:jc w:val="center"/>
              <w:rPr>
                <w:rFonts w:cstheme="minorHAnsi"/>
                <w:color w:val="000000"/>
                <w:kern w:val="24"/>
              </w:rPr>
            </w:pPr>
            <w:r>
              <w:rPr>
                <w:rFonts w:cstheme="minorHAnsi"/>
                <w:color w:val="000000"/>
                <w:kern w:val="24"/>
              </w:rPr>
              <w:t>25</w:t>
            </w:r>
            <w:r w:rsidRPr="00F22821">
              <w:rPr>
                <w:rFonts w:cstheme="minorHAnsi"/>
                <w:color w:val="000000"/>
                <w:kern w:val="24"/>
              </w:rPr>
              <w:t>%</w:t>
            </w:r>
          </w:p>
        </w:tc>
      </w:tr>
      <w:tr w:rsidR="00F5700C" w:rsidRPr="00F22821" w14:paraId="3918FC82" w14:textId="77777777" w:rsidTr="00257AEF">
        <w:trPr>
          <w:trHeight w:val="530"/>
        </w:trPr>
        <w:tc>
          <w:tcPr>
            <w:tcW w:w="806" w:type="pc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tcPr>
          <w:p w14:paraId="693661F9" w14:textId="1C8F2582" w:rsidR="00F5700C" w:rsidRPr="00F22821" w:rsidRDefault="00F5700C" w:rsidP="00814422">
            <w:pPr>
              <w:pStyle w:val="BodyText"/>
              <w:jc w:val="center"/>
              <w:rPr>
                <w:rFonts w:cstheme="minorHAnsi"/>
              </w:rPr>
            </w:pPr>
            <w:r w:rsidRPr="00F22821">
              <w:rPr>
                <w:rFonts w:cstheme="minorHAnsi"/>
                <w:color w:val="000000" w:themeColor="dark1"/>
                <w:kern w:val="24"/>
              </w:rPr>
              <w:t>20</w:t>
            </w:r>
            <w:r>
              <w:rPr>
                <w:rFonts w:cstheme="minorHAnsi"/>
                <w:color w:val="000000" w:themeColor="dark1"/>
                <w:kern w:val="24"/>
              </w:rPr>
              <w:t>22-</w:t>
            </w:r>
            <w:r w:rsidRPr="00F22821">
              <w:rPr>
                <w:rFonts w:cstheme="minorHAnsi"/>
                <w:color w:val="000000" w:themeColor="dark1"/>
                <w:kern w:val="24"/>
              </w:rPr>
              <w:t>23</w:t>
            </w:r>
          </w:p>
        </w:tc>
        <w:tc>
          <w:tcPr>
            <w:tcW w:w="1398" w:type="pc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tcPr>
          <w:p w14:paraId="66597D9F" w14:textId="4EBDD7BA" w:rsidR="00F5700C" w:rsidRPr="00F22821" w:rsidRDefault="00F5700C" w:rsidP="00814422">
            <w:pPr>
              <w:pStyle w:val="BodyText"/>
              <w:jc w:val="center"/>
              <w:rPr>
                <w:rFonts w:cstheme="minorHAnsi"/>
              </w:rPr>
            </w:pPr>
            <w:r>
              <w:t>48,442,433</w:t>
            </w:r>
          </w:p>
        </w:tc>
        <w:tc>
          <w:tcPr>
            <w:tcW w:w="1451" w:type="pc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tcPr>
          <w:p w14:paraId="123539BF" w14:textId="6409D48F" w:rsidR="00F5700C" w:rsidRPr="00F22821" w:rsidRDefault="00F5700C" w:rsidP="00814422">
            <w:pPr>
              <w:pStyle w:val="BodyText"/>
              <w:jc w:val="center"/>
              <w:rPr>
                <w:rFonts w:cstheme="minorHAnsi"/>
              </w:rPr>
            </w:pPr>
            <w:r>
              <w:t>226,064,783</w:t>
            </w:r>
          </w:p>
        </w:tc>
        <w:tc>
          <w:tcPr>
            <w:tcW w:w="1345" w:type="pc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tcPr>
          <w:p w14:paraId="1EF506F7" w14:textId="682C518E" w:rsidR="00F5700C" w:rsidRPr="00F22821" w:rsidRDefault="00A56801" w:rsidP="00814422">
            <w:pPr>
              <w:pStyle w:val="BodyText"/>
              <w:jc w:val="center"/>
              <w:rPr>
                <w:rFonts w:cstheme="minorHAnsi"/>
              </w:rPr>
            </w:pPr>
            <w:r>
              <w:rPr>
                <w:rFonts w:cstheme="minorHAnsi"/>
              </w:rPr>
              <w:t>21</w:t>
            </w:r>
            <w:r w:rsidR="00F5700C" w:rsidRPr="00F22821">
              <w:rPr>
                <w:rFonts w:cstheme="minorHAnsi"/>
              </w:rPr>
              <w:t>%</w:t>
            </w:r>
          </w:p>
        </w:tc>
      </w:tr>
    </w:tbl>
    <w:p w14:paraId="503AEA75" w14:textId="7D740A0E" w:rsidR="00ED56DC" w:rsidRPr="00F22821" w:rsidRDefault="00ED56DC" w:rsidP="00ED56DC">
      <w:pPr>
        <w:rPr>
          <w:rFonts w:cstheme="minorHAnsi"/>
          <w:color w:val="auto"/>
        </w:rPr>
      </w:pPr>
      <w:r w:rsidRPr="00F22821">
        <w:rPr>
          <w:rFonts w:cstheme="minorHAnsi"/>
        </w:rPr>
        <w:t>*</w:t>
      </w:r>
      <w:r w:rsidR="00A56801" w:rsidRPr="00257AEF">
        <w:rPr>
          <w:rFonts w:cstheme="minorHAnsi"/>
          <w:i/>
        </w:rPr>
        <w:t xml:space="preserve">All data has been sourced from the relevant reports available from </w:t>
      </w:r>
      <w:hyperlink r:id="rId8" w:history="1">
        <w:r w:rsidR="00A56801" w:rsidRPr="00257AEF">
          <w:rPr>
            <w:rStyle w:val="Hyperlink"/>
            <w:rFonts w:cstheme="minorHAnsi"/>
            <w:i/>
          </w:rPr>
          <w:t>www.pbs.gov.au/info/statistics/expenditure-prescriptions/pbs-expenditure-and-prescriptions</w:t>
        </w:r>
      </w:hyperlink>
      <w:r w:rsidR="00A56801">
        <w:rPr>
          <w:rFonts w:cstheme="minorHAnsi"/>
        </w:rPr>
        <w:t xml:space="preserve">.  </w:t>
      </w:r>
    </w:p>
    <w:p w14:paraId="6D0D662B" w14:textId="77777777" w:rsidR="00814422" w:rsidRPr="00F22821" w:rsidRDefault="00814422" w:rsidP="003351A5">
      <w:pPr>
        <w:pStyle w:val="BodyText"/>
        <w:rPr>
          <w:rFonts w:cstheme="minorHAnsi"/>
          <w:sz w:val="24"/>
          <w:szCs w:val="24"/>
        </w:rPr>
      </w:pPr>
    </w:p>
    <w:p w14:paraId="01C4DD7E" w14:textId="5F2A18FC" w:rsidR="00FE0AFC" w:rsidRPr="00F22821" w:rsidRDefault="00FE0AFC" w:rsidP="003351A5">
      <w:pPr>
        <w:pStyle w:val="BodyText"/>
        <w:rPr>
          <w:rFonts w:cstheme="minorHAnsi"/>
          <w:sz w:val="24"/>
          <w:szCs w:val="24"/>
        </w:rPr>
      </w:pPr>
      <w:r w:rsidRPr="00F22821">
        <w:rPr>
          <w:rFonts w:cstheme="minorHAnsi"/>
          <w:sz w:val="24"/>
          <w:szCs w:val="24"/>
        </w:rPr>
        <w:t xml:space="preserve">The $1 discount was introduced to enhance competition between pharmacies. However, </w:t>
      </w:r>
      <w:r w:rsidR="00EF56F4" w:rsidRPr="00F22821">
        <w:rPr>
          <w:rFonts w:cstheme="minorHAnsi"/>
          <w:sz w:val="24"/>
          <w:szCs w:val="24"/>
        </w:rPr>
        <w:t xml:space="preserve">some stakeholders have argued that it </w:t>
      </w:r>
      <w:r w:rsidRPr="00F22821">
        <w:rPr>
          <w:rFonts w:cstheme="minorHAnsi"/>
          <w:sz w:val="24"/>
          <w:szCs w:val="24"/>
        </w:rPr>
        <w:t xml:space="preserve">has not led to equitable outcomes for people, as it is more likely to be applied to some patients (those that hold a concession card) and in urban areas. </w:t>
      </w:r>
    </w:p>
    <w:p w14:paraId="6D6FBF5D" w14:textId="6ED05643" w:rsidR="00836D35" w:rsidRPr="00F22821" w:rsidRDefault="00836D35" w:rsidP="003351A5">
      <w:pPr>
        <w:pStyle w:val="BodyText"/>
        <w:rPr>
          <w:rFonts w:cstheme="minorHAnsi"/>
          <w:sz w:val="24"/>
          <w:szCs w:val="24"/>
        </w:rPr>
      </w:pPr>
      <w:r w:rsidRPr="00F22821">
        <w:rPr>
          <w:rFonts w:cstheme="minorHAnsi"/>
          <w:sz w:val="24"/>
          <w:szCs w:val="24"/>
        </w:rPr>
        <w:t xml:space="preserve">Australian households are under pressure from rising cost-of-living pressures, including higher prices on essential goods and services such as medicines and healthcare. These costs disproportionately </w:t>
      </w:r>
      <w:r w:rsidR="00332CC2" w:rsidRPr="00F22821">
        <w:rPr>
          <w:rFonts w:cstheme="minorHAnsi"/>
          <w:sz w:val="24"/>
          <w:szCs w:val="24"/>
        </w:rPr>
        <w:t>affect</w:t>
      </w:r>
      <w:r w:rsidRPr="00F22821">
        <w:rPr>
          <w:rFonts w:cstheme="minorHAnsi"/>
          <w:sz w:val="24"/>
          <w:szCs w:val="24"/>
        </w:rPr>
        <w:t xml:space="preserve"> vulnerable Australians, forcing some to </w:t>
      </w:r>
      <w:r w:rsidR="00332CC2" w:rsidRPr="00F22821">
        <w:rPr>
          <w:rFonts w:cstheme="minorHAnsi"/>
          <w:sz w:val="24"/>
          <w:szCs w:val="24"/>
        </w:rPr>
        <w:t>delay or forego necessary treatment because they cannot afford it</w:t>
      </w:r>
      <w:r w:rsidR="00814422" w:rsidRPr="00F22821">
        <w:rPr>
          <w:rFonts w:cstheme="minorHAnsi"/>
          <w:sz w:val="24"/>
          <w:szCs w:val="24"/>
        </w:rPr>
        <w:t>.</w:t>
      </w:r>
      <w:r w:rsidR="00332CC2" w:rsidRPr="00F22821" w:rsidDel="00332CC2">
        <w:rPr>
          <w:rFonts w:cstheme="minorHAnsi"/>
          <w:sz w:val="24"/>
          <w:szCs w:val="24"/>
        </w:rPr>
        <w:t xml:space="preserve"> </w:t>
      </w:r>
    </w:p>
    <w:p w14:paraId="7BBCEED1" w14:textId="22B90134" w:rsidR="00257AEF" w:rsidRDefault="00250984" w:rsidP="003351A5">
      <w:pPr>
        <w:pStyle w:val="BodyText"/>
        <w:rPr>
          <w:rFonts w:cstheme="minorHAnsi"/>
          <w:sz w:val="24"/>
          <w:szCs w:val="24"/>
        </w:rPr>
      </w:pPr>
      <w:r w:rsidRPr="00F22821">
        <w:rPr>
          <w:rFonts w:cstheme="minorHAnsi"/>
          <w:sz w:val="24"/>
          <w:szCs w:val="24"/>
        </w:rPr>
        <w:t xml:space="preserve">From 1 January 2023, the PBS general patient co-payment amount was lowered from $42.50 to $30.00 per script. Subsequently on 1 January </w:t>
      </w:r>
      <w:r w:rsidR="00332CC2" w:rsidRPr="00F22821">
        <w:rPr>
          <w:rFonts w:cstheme="minorHAnsi"/>
          <w:sz w:val="24"/>
          <w:szCs w:val="24"/>
        </w:rPr>
        <w:t>2024,</w:t>
      </w:r>
      <w:r w:rsidRPr="00F22821">
        <w:rPr>
          <w:rFonts w:cstheme="minorHAnsi"/>
          <w:sz w:val="24"/>
          <w:szCs w:val="24"/>
        </w:rPr>
        <w:t xml:space="preserve"> the PBS general patient co-payment amount increased from $30.00 to $31.60 per script in line with the Consumer Price Index. The estimated patient savings for </w:t>
      </w:r>
      <w:r w:rsidR="00332CC2" w:rsidRPr="00F22821">
        <w:rPr>
          <w:rFonts w:cstheme="minorHAnsi"/>
          <w:sz w:val="24"/>
          <w:szCs w:val="24"/>
        </w:rPr>
        <w:t xml:space="preserve">the first quarter of </w:t>
      </w:r>
      <w:r w:rsidRPr="00F22821">
        <w:rPr>
          <w:rFonts w:cstheme="minorHAnsi"/>
          <w:sz w:val="24"/>
          <w:szCs w:val="24"/>
        </w:rPr>
        <w:t>2024</w:t>
      </w:r>
      <w:r w:rsidR="00332CC2" w:rsidRPr="00F22821">
        <w:rPr>
          <w:rFonts w:cstheme="minorHAnsi"/>
          <w:sz w:val="24"/>
          <w:szCs w:val="24"/>
        </w:rPr>
        <w:t xml:space="preserve"> that resulted from the co-payment reduction</w:t>
      </w:r>
      <w:r w:rsidRPr="00F22821">
        <w:rPr>
          <w:rFonts w:cstheme="minorHAnsi"/>
          <w:sz w:val="24"/>
          <w:szCs w:val="24"/>
        </w:rPr>
        <w:t xml:space="preserve"> are approximately $78.6 million.</w:t>
      </w:r>
      <w:r w:rsidR="00421FF5" w:rsidRPr="00F22821">
        <w:rPr>
          <w:rFonts w:cstheme="minorHAnsi"/>
          <w:sz w:val="24"/>
          <w:szCs w:val="24"/>
        </w:rPr>
        <w:t xml:space="preserve"> </w:t>
      </w:r>
      <w:r w:rsidR="00836D35" w:rsidRPr="00F22821">
        <w:rPr>
          <w:rFonts w:cstheme="minorHAnsi"/>
          <w:sz w:val="24"/>
          <w:szCs w:val="24"/>
        </w:rPr>
        <w:t>The reassessment of the optional $1 discount should be understood in the context of the Government’</w:t>
      </w:r>
      <w:r w:rsidR="002B076E" w:rsidRPr="00F22821">
        <w:rPr>
          <w:rFonts w:cstheme="minorHAnsi"/>
          <w:sz w:val="24"/>
          <w:szCs w:val="24"/>
        </w:rPr>
        <w:t>s ongoing commitment to deliver c</w:t>
      </w:r>
      <w:r w:rsidR="00836D35" w:rsidRPr="00F22821">
        <w:rPr>
          <w:rFonts w:cstheme="minorHAnsi"/>
          <w:sz w:val="24"/>
          <w:szCs w:val="24"/>
        </w:rPr>
        <w:t xml:space="preserve">heaper </w:t>
      </w:r>
      <w:r w:rsidR="002B076E" w:rsidRPr="00F22821">
        <w:rPr>
          <w:rFonts w:cstheme="minorHAnsi"/>
          <w:sz w:val="24"/>
          <w:szCs w:val="24"/>
        </w:rPr>
        <w:t>medicines for all Australians.</w:t>
      </w:r>
    </w:p>
    <w:p w14:paraId="2E6FDCF1" w14:textId="77777777" w:rsidR="00257AEF" w:rsidRDefault="00257AEF">
      <w:pPr>
        <w:spacing w:after="160" w:line="259" w:lineRule="auto"/>
        <w:rPr>
          <w:rFonts w:cstheme="minorHAnsi"/>
          <w:sz w:val="24"/>
          <w:szCs w:val="24"/>
        </w:rPr>
      </w:pPr>
      <w:r>
        <w:rPr>
          <w:rFonts w:cstheme="minorHAnsi"/>
          <w:sz w:val="24"/>
          <w:szCs w:val="24"/>
        </w:rPr>
        <w:br w:type="page"/>
      </w:r>
    </w:p>
    <w:p w14:paraId="11AB10FB" w14:textId="6CE3AED1" w:rsidR="00033824" w:rsidRPr="00F22821" w:rsidRDefault="00033824" w:rsidP="003351A5">
      <w:pPr>
        <w:pStyle w:val="Heading4"/>
        <w:rPr>
          <w:b/>
        </w:rPr>
      </w:pPr>
      <w:r w:rsidRPr="00F22821">
        <w:rPr>
          <w:b/>
        </w:rPr>
        <w:lastRenderedPageBreak/>
        <w:t>Policy options</w:t>
      </w:r>
    </w:p>
    <w:p w14:paraId="6AB72D78" w14:textId="54BB201B" w:rsidR="00033824" w:rsidRPr="00F22821" w:rsidRDefault="00033824" w:rsidP="003351A5">
      <w:pPr>
        <w:pStyle w:val="BodyIndent2"/>
        <w:spacing w:before="0" w:after="120" w:line="264" w:lineRule="auto"/>
        <w:ind w:left="0"/>
        <w:rPr>
          <w:rFonts w:asciiTheme="minorHAnsi" w:hAnsiTheme="minorHAnsi" w:cstheme="minorHAnsi"/>
          <w:sz w:val="24"/>
          <w:szCs w:val="24"/>
        </w:rPr>
      </w:pPr>
      <w:r w:rsidRPr="00F22821">
        <w:rPr>
          <w:rFonts w:asciiTheme="minorHAnsi" w:hAnsiTheme="minorHAnsi" w:cstheme="minorHAnsi"/>
          <w:sz w:val="24"/>
          <w:szCs w:val="24"/>
        </w:rPr>
        <w:t>The options</w:t>
      </w:r>
      <w:r w:rsidR="00F932C7" w:rsidRPr="00F22821">
        <w:rPr>
          <w:rFonts w:asciiTheme="minorHAnsi" w:hAnsiTheme="minorHAnsi" w:cstheme="minorHAnsi"/>
          <w:sz w:val="24"/>
          <w:szCs w:val="24"/>
        </w:rPr>
        <w:t xml:space="preserve"> considered f</w:t>
      </w:r>
      <w:r w:rsidR="00922B70" w:rsidRPr="00F22821">
        <w:rPr>
          <w:rFonts w:asciiTheme="minorHAnsi" w:hAnsiTheme="minorHAnsi" w:cstheme="minorHAnsi"/>
          <w:sz w:val="24"/>
          <w:szCs w:val="24"/>
        </w:rPr>
        <w:t>or the optional $1 discount are</w:t>
      </w:r>
      <w:r w:rsidR="00814422" w:rsidRPr="00F22821">
        <w:rPr>
          <w:rFonts w:asciiTheme="minorHAnsi" w:hAnsiTheme="minorHAnsi" w:cstheme="minorHAnsi"/>
          <w:sz w:val="24"/>
          <w:szCs w:val="24"/>
        </w:rPr>
        <w:t>:</w:t>
      </w:r>
    </w:p>
    <w:p w14:paraId="10584EF4" w14:textId="2ACCE252" w:rsidR="00033824" w:rsidRPr="00F22821" w:rsidRDefault="00033824" w:rsidP="003351A5">
      <w:pPr>
        <w:pStyle w:val="BodyText"/>
        <w:ind w:left="2160" w:hanging="1440"/>
        <w:rPr>
          <w:rFonts w:cstheme="minorHAnsi"/>
          <w:sz w:val="24"/>
          <w:szCs w:val="24"/>
        </w:rPr>
      </w:pPr>
      <w:r w:rsidRPr="00F22821">
        <w:rPr>
          <w:rFonts w:cstheme="minorHAnsi"/>
          <w:sz w:val="24"/>
          <w:szCs w:val="24"/>
        </w:rPr>
        <w:t xml:space="preserve">Option 1: </w:t>
      </w:r>
      <w:r w:rsidRPr="00F22821">
        <w:rPr>
          <w:rFonts w:cstheme="minorHAnsi"/>
          <w:sz w:val="24"/>
          <w:szCs w:val="24"/>
        </w:rPr>
        <w:tab/>
      </w:r>
      <w:r w:rsidR="00191FEC" w:rsidRPr="00F22821">
        <w:rPr>
          <w:rFonts w:cstheme="minorHAnsi"/>
          <w:sz w:val="24"/>
          <w:szCs w:val="24"/>
        </w:rPr>
        <w:t>M</w:t>
      </w:r>
      <w:r w:rsidRPr="00F22821">
        <w:rPr>
          <w:rFonts w:cstheme="minorHAnsi"/>
          <w:sz w:val="24"/>
          <w:szCs w:val="24"/>
        </w:rPr>
        <w:t xml:space="preserve">aintain the </w:t>
      </w:r>
      <w:r w:rsidR="00F932C7" w:rsidRPr="00F22821">
        <w:rPr>
          <w:rFonts w:cstheme="minorHAnsi"/>
          <w:sz w:val="24"/>
          <w:szCs w:val="24"/>
        </w:rPr>
        <w:t xml:space="preserve">current policy settings for the </w:t>
      </w:r>
      <w:r w:rsidRPr="00F22821">
        <w:rPr>
          <w:rFonts w:cstheme="minorHAnsi"/>
          <w:sz w:val="24"/>
          <w:szCs w:val="24"/>
        </w:rPr>
        <w:t>optional $1 discount</w:t>
      </w:r>
      <w:r w:rsidR="00F932C7" w:rsidRPr="00F22821">
        <w:rPr>
          <w:rFonts w:cstheme="minorHAnsi"/>
          <w:sz w:val="24"/>
          <w:szCs w:val="24"/>
        </w:rPr>
        <w:t xml:space="preserve"> (</w:t>
      </w:r>
      <w:r w:rsidR="00F932C7" w:rsidRPr="00257AEF">
        <w:rPr>
          <w:rFonts w:cstheme="minorHAnsi"/>
          <w:i/>
          <w:sz w:val="24"/>
          <w:szCs w:val="24"/>
        </w:rPr>
        <w:t>status quo</w:t>
      </w:r>
      <w:r w:rsidR="00F932C7" w:rsidRPr="00F22821">
        <w:rPr>
          <w:rFonts w:cstheme="minorHAnsi"/>
          <w:sz w:val="24"/>
          <w:szCs w:val="24"/>
        </w:rPr>
        <w:t>)</w:t>
      </w:r>
    </w:p>
    <w:p w14:paraId="26D9B1DF" w14:textId="59266349" w:rsidR="00033824" w:rsidRPr="00F22821" w:rsidRDefault="00033824" w:rsidP="003351A5">
      <w:pPr>
        <w:pStyle w:val="BodyText"/>
        <w:rPr>
          <w:rFonts w:cstheme="minorHAnsi"/>
          <w:sz w:val="24"/>
          <w:szCs w:val="24"/>
        </w:rPr>
      </w:pPr>
      <w:r w:rsidRPr="00F22821">
        <w:rPr>
          <w:rFonts w:cstheme="minorHAnsi"/>
          <w:sz w:val="24"/>
          <w:szCs w:val="24"/>
        </w:rPr>
        <w:tab/>
        <w:t>Option 2:</w:t>
      </w:r>
      <w:r w:rsidRPr="00F22821">
        <w:rPr>
          <w:rFonts w:cstheme="minorHAnsi"/>
          <w:sz w:val="24"/>
          <w:szCs w:val="24"/>
        </w:rPr>
        <w:tab/>
        <w:t xml:space="preserve">Immediate removal of the optional $1 discount </w:t>
      </w:r>
    </w:p>
    <w:p w14:paraId="10B0C5C4" w14:textId="07BECDB6" w:rsidR="00BF61BE" w:rsidRPr="00F22821" w:rsidRDefault="00033824" w:rsidP="003351A5">
      <w:pPr>
        <w:pStyle w:val="BodyText"/>
        <w:ind w:left="2160" w:hanging="1440"/>
        <w:rPr>
          <w:rFonts w:cstheme="minorHAnsi"/>
          <w:sz w:val="24"/>
          <w:szCs w:val="24"/>
        </w:rPr>
      </w:pPr>
      <w:r w:rsidRPr="00F22821">
        <w:rPr>
          <w:rFonts w:cstheme="minorHAnsi"/>
          <w:sz w:val="24"/>
          <w:szCs w:val="24"/>
        </w:rPr>
        <w:t>Option 3:</w:t>
      </w:r>
      <w:r w:rsidRPr="00F22821">
        <w:rPr>
          <w:rFonts w:cstheme="minorHAnsi"/>
          <w:sz w:val="24"/>
          <w:szCs w:val="24"/>
        </w:rPr>
        <w:tab/>
      </w:r>
      <w:r w:rsidR="00191FEC" w:rsidRPr="00F22821">
        <w:rPr>
          <w:rFonts w:cstheme="minorHAnsi"/>
          <w:sz w:val="24"/>
          <w:szCs w:val="24"/>
        </w:rPr>
        <w:t>A gradual phase-</w:t>
      </w:r>
      <w:r w:rsidR="00F932C7" w:rsidRPr="00F22821">
        <w:rPr>
          <w:rFonts w:cstheme="minorHAnsi"/>
          <w:sz w:val="24"/>
          <w:szCs w:val="24"/>
        </w:rPr>
        <w:t xml:space="preserve">out </w:t>
      </w:r>
      <w:r w:rsidRPr="00F22821">
        <w:rPr>
          <w:rFonts w:cstheme="minorHAnsi"/>
          <w:sz w:val="24"/>
          <w:szCs w:val="24"/>
        </w:rPr>
        <w:t>of the optional $1 discount</w:t>
      </w:r>
      <w:r w:rsidR="003D06CE" w:rsidRPr="00F22821">
        <w:rPr>
          <w:rFonts w:cstheme="minorHAnsi"/>
          <w:sz w:val="24"/>
          <w:szCs w:val="24"/>
        </w:rPr>
        <w:t xml:space="preserve"> while freezing indexation of the co</w:t>
      </w:r>
      <w:r w:rsidR="003D4B64">
        <w:rPr>
          <w:rFonts w:cstheme="minorHAnsi"/>
          <w:sz w:val="24"/>
          <w:szCs w:val="24"/>
        </w:rPr>
        <w:t>-</w:t>
      </w:r>
      <w:r w:rsidR="003D06CE" w:rsidRPr="00F22821">
        <w:rPr>
          <w:rFonts w:cstheme="minorHAnsi"/>
          <w:sz w:val="24"/>
          <w:szCs w:val="24"/>
        </w:rPr>
        <w:t>pa</w:t>
      </w:r>
      <w:r w:rsidR="003C5469" w:rsidRPr="00F22821">
        <w:rPr>
          <w:rFonts w:cstheme="minorHAnsi"/>
          <w:sz w:val="24"/>
          <w:szCs w:val="24"/>
        </w:rPr>
        <w:t>yment a</w:t>
      </w:r>
      <w:r w:rsidR="003D06CE" w:rsidRPr="00F22821">
        <w:rPr>
          <w:rFonts w:cstheme="minorHAnsi"/>
          <w:sz w:val="24"/>
          <w:szCs w:val="24"/>
        </w:rPr>
        <w:t>mounts</w:t>
      </w:r>
    </w:p>
    <w:p w14:paraId="03E67409" w14:textId="77777777" w:rsidR="00814422" w:rsidRPr="00F22821" w:rsidRDefault="00814422" w:rsidP="003351A5">
      <w:pPr>
        <w:pStyle w:val="BodyText"/>
        <w:ind w:left="2160" w:hanging="1440"/>
        <w:rPr>
          <w:rFonts w:cstheme="minorHAnsi"/>
          <w:sz w:val="24"/>
          <w:szCs w:val="24"/>
        </w:rPr>
      </w:pPr>
    </w:p>
    <w:p w14:paraId="7E355819" w14:textId="5CF5200C" w:rsidR="00EA5629" w:rsidRPr="00F22821" w:rsidRDefault="00EA5629" w:rsidP="003351A5">
      <w:pPr>
        <w:pStyle w:val="Heading6"/>
        <w:spacing w:before="0" w:after="120"/>
        <w:rPr>
          <w:rFonts w:asciiTheme="minorHAnsi" w:hAnsiTheme="minorHAnsi" w:cstheme="minorHAnsi"/>
          <w:sz w:val="24"/>
          <w:szCs w:val="24"/>
        </w:rPr>
      </w:pPr>
      <w:r w:rsidRPr="00F22821">
        <w:rPr>
          <w:rFonts w:asciiTheme="minorHAnsi" w:hAnsiTheme="minorHAnsi" w:cstheme="minorHAnsi"/>
          <w:sz w:val="24"/>
          <w:szCs w:val="24"/>
        </w:rPr>
        <w:t>Option 1: maintain the current policy settings for the optional $1 discount (status quo)</w:t>
      </w:r>
    </w:p>
    <w:p w14:paraId="4B5EA2E5" w14:textId="77777777" w:rsidR="00814422" w:rsidRPr="00F22821" w:rsidRDefault="00250984" w:rsidP="003351A5">
      <w:pPr>
        <w:pStyle w:val="BodyText"/>
        <w:rPr>
          <w:rFonts w:cstheme="minorHAnsi"/>
          <w:sz w:val="24"/>
          <w:szCs w:val="24"/>
        </w:rPr>
      </w:pPr>
      <w:r w:rsidRPr="00F22821">
        <w:rPr>
          <w:rFonts w:cstheme="minorHAnsi"/>
          <w:sz w:val="24"/>
          <w:szCs w:val="24"/>
        </w:rPr>
        <w:t>F</w:t>
      </w:r>
      <w:r w:rsidR="005F1FA6" w:rsidRPr="00F22821">
        <w:rPr>
          <w:rFonts w:cstheme="minorHAnsi"/>
          <w:sz w:val="24"/>
          <w:szCs w:val="24"/>
        </w:rPr>
        <w:t xml:space="preserve">rom </w:t>
      </w:r>
      <w:r w:rsidRPr="00F22821">
        <w:rPr>
          <w:rFonts w:cstheme="minorHAnsi"/>
          <w:sz w:val="24"/>
          <w:szCs w:val="24"/>
        </w:rPr>
        <w:t xml:space="preserve">1 </w:t>
      </w:r>
      <w:r w:rsidR="005F1FA6" w:rsidRPr="00F22821">
        <w:rPr>
          <w:rFonts w:cstheme="minorHAnsi"/>
          <w:sz w:val="24"/>
          <w:szCs w:val="24"/>
        </w:rPr>
        <w:t>January</w:t>
      </w:r>
      <w:r w:rsidR="005F1FA6" w:rsidRPr="00F22821" w:rsidDel="00EA5629">
        <w:rPr>
          <w:rFonts w:cstheme="minorHAnsi"/>
          <w:sz w:val="24"/>
          <w:szCs w:val="24"/>
        </w:rPr>
        <w:t xml:space="preserve"> 2024, th</w:t>
      </w:r>
      <w:r w:rsidR="004C4A1C" w:rsidRPr="00F22821">
        <w:rPr>
          <w:rFonts w:cstheme="minorHAnsi"/>
          <w:sz w:val="24"/>
          <w:szCs w:val="24"/>
        </w:rPr>
        <w:t>e $1 discount</w:t>
      </w:r>
      <w:r w:rsidR="005F1FA6" w:rsidRPr="00F22821" w:rsidDel="00EA5629">
        <w:rPr>
          <w:rFonts w:cstheme="minorHAnsi"/>
          <w:sz w:val="24"/>
          <w:szCs w:val="24"/>
        </w:rPr>
        <w:t xml:space="preserve"> policy </w:t>
      </w:r>
      <w:r w:rsidR="00332CC2" w:rsidRPr="00F22821">
        <w:rPr>
          <w:rFonts w:cstheme="minorHAnsi"/>
          <w:sz w:val="24"/>
          <w:szCs w:val="24"/>
        </w:rPr>
        <w:t xml:space="preserve">results in </w:t>
      </w:r>
      <w:r w:rsidR="00EA03DB" w:rsidRPr="00F22821">
        <w:rPr>
          <w:rFonts w:cstheme="minorHAnsi"/>
          <w:sz w:val="24"/>
          <w:szCs w:val="24"/>
        </w:rPr>
        <w:t xml:space="preserve">a reduction of the general co-payment </w:t>
      </w:r>
      <w:r w:rsidR="00332CC2" w:rsidRPr="00F22821">
        <w:rPr>
          <w:rFonts w:cstheme="minorHAnsi"/>
          <w:sz w:val="24"/>
          <w:szCs w:val="24"/>
        </w:rPr>
        <w:t xml:space="preserve">from </w:t>
      </w:r>
      <w:r w:rsidR="00EA03DB" w:rsidRPr="00F22821">
        <w:rPr>
          <w:rFonts w:cstheme="minorHAnsi"/>
          <w:sz w:val="24"/>
          <w:szCs w:val="24"/>
        </w:rPr>
        <w:t>$31.60 to a minimum of</w:t>
      </w:r>
      <w:r w:rsidR="00EA03DB" w:rsidRPr="00F22821" w:rsidDel="00EA5629">
        <w:rPr>
          <w:rFonts w:cstheme="minorHAnsi"/>
          <w:sz w:val="24"/>
          <w:szCs w:val="24"/>
        </w:rPr>
        <w:t xml:space="preserve"> $30.60</w:t>
      </w:r>
      <w:r w:rsidR="00EA03DB" w:rsidRPr="00F22821">
        <w:rPr>
          <w:rFonts w:cstheme="minorHAnsi"/>
          <w:sz w:val="24"/>
          <w:szCs w:val="24"/>
        </w:rPr>
        <w:t xml:space="preserve">, or </w:t>
      </w:r>
      <w:r w:rsidR="005F1FA6" w:rsidRPr="00F22821">
        <w:rPr>
          <w:rFonts w:cstheme="minorHAnsi"/>
          <w:sz w:val="24"/>
          <w:szCs w:val="24"/>
        </w:rPr>
        <w:t xml:space="preserve">the reduction of the $7.70 </w:t>
      </w:r>
      <w:r w:rsidR="005F1FA6" w:rsidRPr="00F22821" w:rsidDel="00EA5629">
        <w:rPr>
          <w:rFonts w:cstheme="minorHAnsi"/>
          <w:sz w:val="24"/>
          <w:szCs w:val="24"/>
        </w:rPr>
        <w:t xml:space="preserve">concessional co-payment </w:t>
      </w:r>
      <w:r w:rsidR="005F1FA6" w:rsidRPr="00F22821">
        <w:rPr>
          <w:rFonts w:cstheme="minorHAnsi"/>
          <w:sz w:val="24"/>
          <w:szCs w:val="24"/>
        </w:rPr>
        <w:t xml:space="preserve">to a minimum of </w:t>
      </w:r>
      <w:r w:rsidR="005F1FA6" w:rsidRPr="00F22821" w:rsidDel="00EA5629">
        <w:rPr>
          <w:rFonts w:cstheme="minorHAnsi"/>
          <w:sz w:val="24"/>
          <w:szCs w:val="24"/>
        </w:rPr>
        <w:t>$6.70. The</w:t>
      </w:r>
      <w:r w:rsidR="00EA03DB" w:rsidRPr="00F22821">
        <w:rPr>
          <w:rFonts w:cstheme="minorHAnsi"/>
          <w:sz w:val="24"/>
          <w:szCs w:val="24"/>
        </w:rPr>
        <w:t xml:space="preserve"> $1 Discount</w:t>
      </w:r>
      <w:r w:rsidR="005F1FA6" w:rsidRPr="00F22821" w:rsidDel="00EA5629">
        <w:rPr>
          <w:rFonts w:cstheme="minorHAnsi"/>
          <w:sz w:val="24"/>
          <w:szCs w:val="24"/>
        </w:rPr>
        <w:t xml:space="preserve"> policy nominally supports competition </w:t>
      </w:r>
      <w:r w:rsidR="00EA03DB" w:rsidRPr="00F22821">
        <w:rPr>
          <w:rFonts w:cstheme="minorHAnsi"/>
          <w:sz w:val="24"/>
          <w:szCs w:val="24"/>
        </w:rPr>
        <w:t>and</w:t>
      </w:r>
      <w:r w:rsidR="005F1FA6" w:rsidRPr="00F22821" w:rsidDel="00EA5629">
        <w:rPr>
          <w:rFonts w:cstheme="minorHAnsi"/>
          <w:sz w:val="24"/>
          <w:szCs w:val="24"/>
        </w:rPr>
        <w:t xml:space="preserve"> </w:t>
      </w:r>
      <w:r w:rsidR="00EA03DB" w:rsidRPr="00F22821">
        <w:rPr>
          <w:rFonts w:cstheme="minorHAnsi"/>
          <w:sz w:val="24"/>
          <w:szCs w:val="24"/>
        </w:rPr>
        <w:t xml:space="preserve">provides </w:t>
      </w:r>
      <w:r w:rsidR="005F1FA6" w:rsidRPr="00F22821" w:rsidDel="00EA5629">
        <w:rPr>
          <w:rFonts w:cstheme="minorHAnsi"/>
          <w:sz w:val="24"/>
          <w:szCs w:val="24"/>
        </w:rPr>
        <w:t xml:space="preserve">price discounts directly to consumers. </w:t>
      </w:r>
    </w:p>
    <w:p w14:paraId="6BDB8703" w14:textId="37261775" w:rsidR="00BF221B" w:rsidRPr="00F22821" w:rsidRDefault="00BF221B" w:rsidP="003351A5">
      <w:pPr>
        <w:pStyle w:val="BodyText"/>
        <w:rPr>
          <w:rFonts w:cstheme="minorHAnsi"/>
          <w:sz w:val="24"/>
          <w:szCs w:val="24"/>
        </w:rPr>
      </w:pPr>
      <w:r w:rsidRPr="00F22821">
        <w:rPr>
          <w:rFonts w:cstheme="minorHAnsi"/>
          <w:sz w:val="24"/>
          <w:szCs w:val="24"/>
        </w:rPr>
        <w:t>More than 95% of discounted prescriptions are discounted by the full allowable amount of $</w:t>
      </w:r>
      <w:r w:rsidR="00332CC2" w:rsidRPr="00F22821">
        <w:rPr>
          <w:rFonts w:cstheme="minorHAnsi"/>
          <w:sz w:val="24"/>
          <w:szCs w:val="24"/>
        </w:rPr>
        <w:t>1;</w:t>
      </w:r>
      <w:r w:rsidRPr="00F22821">
        <w:rPr>
          <w:rFonts w:cstheme="minorHAnsi"/>
          <w:sz w:val="24"/>
          <w:szCs w:val="24"/>
        </w:rPr>
        <w:t xml:space="preserve"> </w:t>
      </w:r>
      <w:r w:rsidR="00332CC2" w:rsidRPr="00F22821">
        <w:rPr>
          <w:rFonts w:cstheme="minorHAnsi"/>
          <w:sz w:val="24"/>
          <w:szCs w:val="24"/>
        </w:rPr>
        <w:t>however,</w:t>
      </w:r>
      <w:r w:rsidRPr="00F22821">
        <w:rPr>
          <w:rFonts w:cstheme="minorHAnsi"/>
          <w:sz w:val="24"/>
          <w:szCs w:val="24"/>
        </w:rPr>
        <w:t xml:space="preserve"> p</w:t>
      </w:r>
      <w:r w:rsidR="00DB5EEA" w:rsidRPr="00F22821">
        <w:rPr>
          <w:rFonts w:cstheme="minorHAnsi"/>
          <w:sz w:val="24"/>
          <w:szCs w:val="24"/>
        </w:rPr>
        <w:t xml:space="preserve">harmacies may choose to apply part thereof. </w:t>
      </w:r>
      <w:r w:rsidRPr="00F22821">
        <w:rPr>
          <w:rFonts w:cstheme="minorHAnsi"/>
          <w:sz w:val="24"/>
          <w:szCs w:val="24"/>
        </w:rPr>
        <w:t>An overview of the discount ranges applied in the 2022-23 financial year</w:t>
      </w:r>
      <w:r w:rsidRPr="00F22821">
        <w:footnoteReference w:id="4"/>
      </w:r>
      <w:r w:rsidRPr="00F22821">
        <w:rPr>
          <w:rFonts w:cstheme="minorHAnsi"/>
          <w:sz w:val="24"/>
          <w:szCs w:val="24"/>
        </w:rPr>
        <w:t xml:space="preserve"> is provided in Table 3.</w:t>
      </w:r>
    </w:p>
    <w:p w14:paraId="44984172" w14:textId="77777777" w:rsidR="00814422" w:rsidRPr="00F22821" w:rsidRDefault="00814422" w:rsidP="003351A5">
      <w:pPr>
        <w:pStyle w:val="BodyText"/>
        <w:rPr>
          <w:rFonts w:cstheme="minorHAnsi"/>
          <w:sz w:val="24"/>
          <w:szCs w:val="24"/>
        </w:rPr>
      </w:pPr>
    </w:p>
    <w:p w14:paraId="066AC1B9" w14:textId="4A55866D" w:rsidR="00BF221B" w:rsidRPr="00F22821" w:rsidRDefault="00BF221B" w:rsidP="00814422">
      <w:pPr>
        <w:pStyle w:val="Caption"/>
        <w:rPr>
          <w:rFonts w:ascii="Century Gothic" w:hAnsi="Century Gothic"/>
        </w:rPr>
      </w:pPr>
      <w:r w:rsidRPr="00F22821">
        <w:rPr>
          <w:rFonts w:ascii="Century Gothic" w:hAnsi="Century Gothic"/>
        </w:rPr>
        <w:t>Table</w:t>
      </w:r>
      <w:r w:rsidR="001A4EA9" w:rsidRPr="00F22821">
        <w:rPr>
          <w:rFonts w:ascii="Century Gothic" w:hAnsi="Century Gothic"/>
        </w:rPr>
        <w:t xml:space="preserve"> 3:</w:t>
      </w:r>
      <w:r w:rsidRPr="00F22821">
        <w:rPr>
          <w:rFonts w:ascii="Century Gothic" w:hAnsi="Century Gothic"/>
        </w:rPr>
        <w:t xml:space="preserve"> PBS/RPBS prescriptions by Discount Range dispensed by Community Pharmacies in 2022-23*</w:t>
      </w:r>
    </w:p>
    <w:tbl>
      <w:tblPr>
        <w:tblW w:w="5000" w:type="pct"/>
        <w:tblBorders>
          <w:top w:val="single" w:sz="2" w:space="0" w:color="auto"/>
          <w:left w:val="single" w:sz="2" w:space="0" w:color="auto"/>
          <w:bottom w:val="single" w:sz="8" w:space="0" w:color="auto"/>
          <w:right w:val="single" w:sz="2" w:space="0" w:color="auto"/>
          <w:insideH w:val="single" w:sz="2" w:space="0" w:color="auto"/>
          <w:insideV w:val="single" w:sz="4" w:space="0" w:color="auto"/>
        </w:tblBorders>
        <w:tblLook w:val="04A0" w:firstRow="1" w:lastRow="0" w:firstColumn="1" w:lastColumn="0" w:noHBand="0" w:noVBand="1"/>
      </w:tblPr>
      <w:tblGrid>
        <w:gridCol w:w="1605"/>
        <w:gridCol w:w="1345"/>
        <w:gridCol w:w="861"/>
        <w:gridCol w:w="1345"/>
        <w:gridCol w:w="861"/>
        <w:gridCol w:w="1345"/>
        <w:gridCol w:w="861"/>
        <w:gridCol w:w="1346"/>
        <w:gridCol w:w="860"/>
      </w:tblGrid>
      <w:tr w:rsidR="00BF221B" w:rsidRPr="00F22821" w14:paraId="29416EDB" w14:textId="77777777" w:rsidTr="00257AEF">
        <w:trPr>
          <w:trHeight w:val="290"/>
        </w:trPr>
        <w:tc>
          <w:tcPr>
            <w:tcW w:w="753" w:type="pct"/>
            <w:tcBorders>
              <w:top w:val="nil"/>
              <w:left w:val="nil"/>
              <w:bottom w:val="single" w:sz="2" w:space="0" w:color="auto"/>
            </w:tcBorders>
            <w:shd w:val="clear" w:color="000000" w:fill="auto"/>
            <w:noWrap/>
            <w:vAlign w:val="center"/>
            <w:hideMark/>
          </w:tcPr>
          <w:p w14:paraId="476BF240" w14:textId="77777777" w:rsidR="00BF221B" w:rsidRPr="00F22821" w:rsidRDefault="00BF221B" w:rsidP="001B727B">
            <w:pPr>
              <w:spacing w:after="0" w:line="240" w:lineRule="auto"/>
              <w:rPr>
                <w:rFonts w:eastAsia="Times New Roman" w:cstheme="minorHAnsi"/>
                <w:b/>
                <w:bCs/>
                <w:color w:val="000000"/>
                <w:sz w:val="22"/>
                <w:szCs w:val="22"/>
                <w:lang w:eastAsia="en-AU"/>
              </w:rPr>
            </w:pPr>
            <w:r w:rsidRPr="00F22821">
              <w:rPr>
                <w:rFonts w:eastAsia="Times New Roman" w:cstheme="minorHAnsi"/>
                <w:b/>
                <w:bCs/>
                <w:color w:val="000000"/>
                <w:sz w:val="22"/>
                <w:szCs w:val="22"/>
                <w:lang w:eastAsia="en-AU"/>
              </w:rPr>
              <w:t> </w:t>
            </w:r>
          </w:p>
        </w:tc>
        <w:tc>
          <w:tcPr>
            <w:tcW w:w="1062" w:type="pct"/>
            <w:gridSpan w:val="2"/>
            <w:shd w:val="clear" w:color="000000" w:fill="DAEEF3"/>
            <w:vAlign w:val="center"/>
            <w:hideMark/>
          </w:tcPr>
          <w:p w14:paraId="13394E94" w14:textId="77777777" w:rsidR="00BF221B" w:rsidRPr="00F22821" w:rsidRDefault="00BF221B" w:rsidP="00257AEF">
            <w:pPr>
              <w:spacing w:after="0" w:line="240" w:lineRule="auto"/>
              <w:jc w:val="center"/>
              <w:rPr>
                <w:rFonts w:eastAsia="Times New Roman" w:cstheme="minorHAnsi"/>
                <w:b/>
                <w:bCs/>
                <w:color w:val="000000"/>
                <w:lang w:eastAsia="en-AU"/>
              </w:rPr>
            </w:pPr>
            <w:r w:rsidRPr="00F22821">
              <w:rPr>
                <w:rFonts w:eastAsia="Times New Roman" w:cstheme="minorHAnsi"/>
                <w:b/>
                <w:bCs/>
                <w:color w:val="000000"/>
                <w:lang w:eastAsia="en-AU"/>
              </w:rPr>
              <w:t>Concessional</w:t>
            </w:r>
          </w:p>
        </w:tc>
        <w:tc>
          <w:tcPr>
            <w:tcW w:w="1062" w:type="pct"/>
            <w:gridSpan w:val="2"/>
            <w:shd w:val="clear" w:color="000000" w:fill="DAEEF3"/>
            <w:vAlign w:val="center"/>
            <w:hideMark/>
          </w:tcPr>
          <w:p w14:paraId="188848A1" w14:textId="77777777" w:rsidR="00BF221B" w:rsidRPr="00F22821" w:rsidRDefault="00BF221B" w:rsidP="00257AEF">
            <w:pPr>
              <w:spacing w:after="0" w:line="240" w:lineRule="auto"/>
              <w:jc w:val="center"/>
              <w:rPr>
                <w:rFonts w:eastAsia="Times New Roman" w:cstheme="minorHAnsi"/>
                <w:b/>
                <w:bCs/>
                <w:color w:val="000000"/>
                <w:lang w:eastAsia="en-AU"/>
              </w:rPr>
            </w:pPr>
            <w:r w:rsidRPr="00F22821">
              <w:rPr>
                <w:rFonts w:eastAsia="Times New Roman" w:cstheme="minorHAnsi"/>
                <w:b/>
                <w:bCs/>
                <w:color w:val="000000"/>
                <w:lang w:eastAsia="en-AU"/>
              </w:rPr>
              <w:t>General</w:t>
            </w:r>
          </w:p>
        </w:tc>
        <w:tc>
          <w:tcPr>
            <w:tcW w:w="1062" w:type="pct"/>
            <w:gridSpan w:val="2"/>
            <w:shd w:val="clear" w:color="000000" w:fill="DAEEF3"/>
            <w:vAlign w:val="center"/>
            <w:hideMark/>
          </w:tcPr>
          <w:p w14:paraId="3F56F931" w14:textId="77777777" w:rsidR="00BF221B" w:rsidRPr="00F22821" w:rsidRDefault="00BF221B" w:rsidP="00257AEF">
            <w:pPr>
              <w:spacing w:after="0" w:line="240" w:lineRule="auto"/>
              <w:jc w:val="center"/>
              <w:rPr>
                <w:rFonts w:eastAsia="Times New Roman" w:cstheme="minorHAnsi"/>
                <w:b/>
                <w:bCs/>
                <w:color w:val="000000"/>
                <w:lang w:eastAsia="en-AU"/>
              </w:rPr>
            </w:pPr>
            <w:r w:rsidRPr="00F22821">
              <w:rPr>
                <w:rFonts w:eastAsia="Times New Roman" w:cstheme="minorHAnsi"/>
                <w:b/>
                <w:bCs/>
                <w:color w:val="000000"/>
                <w:lang w:eastAsia="en-AU"/>
              </w:rPr>
              <w:t>RPBS</w:t>
            </w:r>
          </w:p>
        </w:tc>
        <w:tc>
          <w:tcPr>
            <w:tcW w:w="1062" w:type="pct"/>
            <w:gridSpan w:val="2"/>
            <w:shd w:val="clear" w:color="000000" w:fill="DAEEF3"/>
            <w:vAlign w:val="center"/>
            <w:hideMark/>
          </w:tcPr>
          <w:p w14:paraId="06A2A931" w14:textId="77777777" w:rsidR="00BF221B" w:rsidRPr="00F22821" w:rsidRDefault="00BF221B" w:rsidP="00257AEF">
            <w:pPr>
              <w:spacing w:after="0" w:line="240" w:lineRule="auto"/>
              <w:jc w:val="center"/>
              <w:rPr>
                <w:rFonts w:eastAsia="Times New Roman" w:cstheme="minorHAnsi"/>
                <w:b/>
                <w:bCs/>
                <w:color w:val="000000"/>
                <w:lang w:eastAsia="en-AU"/>
              </w:rPr>
            </w:pPr>
            <w:r w:rsidRPr="00F22821">
              <w:rPr>
                <w:rFonts w:eastAsia="Times New Roman" w:cstheme="minorHAnsi"/>
                <w:b/>
                <w:bCs/>
                <w:color w:val="000000"/>
                <w:lang w:eastAsia="en-AU"/>
              </w:rPr>
              <w:t>Total</w:t>
            </w:r>
          </w:p>
        </w:tc>
      </w:tr>
      <w:tr w:rsidR="00BF221B" w:rsidRPr="00F22821" w14:paraId="484A0CDB" w14:textId="77777777" w:rsidTr="00257AEF">
        <w:trPr>
          <w:trHeight w:val="290"/>
        </w:trPr>
        <w:tc>
          <w:tcPr>
            <w:tcW w:w="753" w:type="pct"/>
            <w:tcBorders>
              <w:top w:val="single" w:sz="2" w:space="0" w:color="auto"/>
            </w:tcBorders>
            <w:shd w:val="clear" w:color="000000" w:fill="DAEEF3"/>
            <w:noWrap/>
            <w:vAlign w:val="center"/>
            <w:hideMark/>
          </w:tcPr>
          <w:p w14:paraId="4E4687EC" w14:textId="77777777" w:rsidR="00BF221B" w:rsidRPr="00F22821" w:rsidRDefault="00BF221B" w:rsidP="001B727B">
            <w:pPr>
              <w:spacing w:after="0" w:line="240" w:lineRule="auto"/>
              <w:rPr>
                <w:rFonts w:eastAsia="Times New Roman" w:cstheme="minorHAnsi"/>
                <w:color w:val="000000"/>
                <w:sz w:val="22"/>
                <w:szCs w:val="22"/>
                <w:lang w:eastAsia="en-AU"/>
              </w:rPr>
            </w:pPr>
            <w:r w:rsidRPr="00F22821">
              <w:rPr>
                <w:rFonts w:eastAsia="Times New Roman" w:cstheme="minorHAnsi"/>
                <w:color w:val="000000"/>
                <w:sz w:val="22"/>
                <w:szCs w:val="22"/>
                <w:lang w:eastAsia="en-AU"/>
              </w:rPr>
              <w:t>Discount Range</w:t>
            </w:r>
          </w:p>
        </w:tc>
        <w:tc>
          <w:tcPr>
            <w:tcW w:w="647" w:type="pct"/>
            <w:shd w:val="clear" w:color="000000" w:fill="DAEEF3"/>
            <w:noWrap/>
            <w:vAlign w:val="center"/>
            <w:hideMark/>
          </w:tcPr>
          <w:p w14:paraId="02D943B4" w14:textId="77777777" w:rsidR="00BF221B" w:rsidRPr="00F22821" w:rsidRDefault="00BF221B" w:rsidP="00257AEF">
            <w:pPr>
              <w:spacing w:after="0" w:line="240" w:lineRule="auto"/>
              <w:jc w:val="center"/>
              <w:rPr>
                <w:rFonts w:eastAsia="Times New Roman" w:cstheme="minorHAnsi"/>
                <w:color w:val="000000"/>
                <w:lang w:eastAsia="en-AU"/>
              </w:rPr>
            </w:pPr>
            <w:r w:rsidRPr="00F22821">
              <w:rPr>
                <w:rFonts w:eastAsia="Times New Roman" w:cstheme="minorHAnsi"/>
                <w:color w:val="000000"/>
                <w:lang w:eastAsia="en-AU"/>
              </w:rPr>
              <w:t>Prescriptions</w:t>
            </w:r>
          </w:p>
        </w:tc>
        <w:tc>
          <w:tcPr>
            <w:tcW w:w="415" w:type="pct"/>
            <w:shd w:val="clear" w:color="000000" w:fill="DAEEF3"/>
            <w:noWrap/>
            <w:vAlign w:val="center"/>
            <w:hideMark/>
          </w:tcPr>
          <w:p w14:paraId="6406F122" w14:textId="77777777" w:rsidR="00BF221B" w:rsidRPr="00F22821" w:rsidRDefault="00BF221B" w:rsidP="00257AEF">
            <w:pPr>
              <w:spacing w:after="0" w:line="240" w:lineRule="auto"/>
              <w:jc w:val="center"/>
              <w:rPr>
                <w:rFonts w:eastAsia="Times New Roman" w:cstheme="minorHAnsi"/>
                <w:color w:val="000000"/>
                <w:lang w:eastAsia="en-AU"/>
              </w:rPr>
            </w:pPr>
            <w:r w:rsidRPr="00F22821">
              <w:rPr>
                <w:rFonts w:eastAsia="Times New Roman" w:cstheme="minorHAnsi"/>
                <w:color w:val="000000"/>
                <w:lang w:eastAsia="en-AU"/>
              </w:rPr>
              <w:t>%</w:t>
            </w:r>
          </w:p>
        </w:tc>
        <w:tc>
          <w:tcPr>
            <w:tcW w:w="647" w:type="pct"/>
            <w:shd w:val="clear" w:color="000000" w:fill="DAEEF3"/>
            <w:noWrap/>
            <w:vAlign w:val="center"/>
            <w:hideMark/>
          </w:tcPr>
          <w:p w14:paraId="795D8DA7" w14:textId="77777777" w:rsidR="00BF221B" w:rsidRPr="00F22821" w:rsidRDefault="00BF221B" w:rsidP="00257AEF">
            <w:pPr>
              <w:spacing w:after="0" w:line="240" w:lineRule="auto"/>
              <w:jc w:val="center"/>
              <w:rPr>
                <w:rFonts w:eastAsia="Times New Roman" w:cstheme="minorHAnsi"/>
                <w:color w:val="000000"/>
                <w:lang w:eastAsia="en-AU"/>
              </w:rPr>
            </w:pPr>
            <w:r w:rsidRPr="00F22821">
              <w:rPr>
                <w:rFonts w:eastAsia="Times New Roman" w:cstheme="minorHAnsi"/>
                <w:color w:val="000000"/>
                <w:lang w:eastAsia="en-AU"/>
              </w:rPr>
              <w:t>Prescriptions</w:t>
            </w:r>
          </w:p>
        </w:tc>
        <w:tc>
          <w:tcPr>
            <w:tcW w:w="415" w:type="pct"/>
            <w:shd w:val="clear" w:color="000000" w:fill="DAEEF3"/>
            <w:noWrap/>
            <w:vAlign w:val="center"/>
            <w:hideMark/>
          </w:tcPr>
          <w:p w14:paraId="15102A85" w14:textId="77777777" w:rsidR="00BF221B" w:rsidRPr="00F22821" w:rsidRDefault="00BF221B" w:rsidP="00257AEF">
            <w:pPr>
              <w:spacing w:after="0" w:line="240" w:lineRule="auto"/>
              <w:jc w:val="center"/>
              <w:rPr>
                <w:rFonts w:eastAsia="Times New Roman" w:cstheme="minorHAnsi"/>
                <w:color w:val="000000"/>
                <w:lang w:eastAsia="en-AU"/>
              </w:rPr>
            </w:pPr>
            <w:r w:rsidRPr="00F22821">
              <w:rPr>
                <w:rFonts w:eastAsia="Times New Roman" w:cstheme="minorHAnsi"/>
                <w:color w:val="000000"/>
                <w:lang w:eastAsia="en-AU"/>
              </w:rPr>
              <w:t>%</w:t>
            </w:r>
          </w:p>
        </w:tc>
        <w:tc>
          <w:tcPr>
            <w:tcW w:w="647" w:type="pct"/>
            <w:shd w:val="clear" w:color="000000" w:fill="DAEEF3"/>
            <w:noWrap/>
            <w:vAlign w:val="center"/>
            <w:hideMark/>
          </w:tcPr>
          <w:p w14:paraId="283BE4B1" w14:textId="77777777" w:rsidR="00BF221B" w:rsidRPr="00F22821" w:rsidRDefault="00BF221B" w:rsidP="00257AEF">
            <w:pPr>
              <w:spacing w:after="0" w:line="240" w:lineRule="auto"/>
              <w:jc w:val="center"/>
              <w:rPr>
                <w:rFonts w:eastAsia="Times New Roman" w:cstheme="minorHAnsi"/>
                <w:color w:val="000000"/>
                <w:lang w:eastAsia="en-AU"/>
              </w:rPr>
            </w:pPr>
            <w:r w:rsidRPr="00F22821">
              <w:rPr>
                <w:rFonts w:eastAsia="Times New Roman" w:cstheme="minorHAnsi"/>
                <w:color w:val="000000"/>
                <w:lang w:eastAsia="en-AU"/>
              </w:rPr>
              <w:t>Prescriptions</w:t>
            </w:r>
          </w:p>
        </w:tc>
        <w:tc>
          <w:tcPr>
            <w:tcW w:w="415" w:type="pct"/>
            <w:shd w:val="clear" w:color="000000" w:fill="DAEEF3"/>
            <w:noWrap/>
            <w:vAlign w:val="center"/>
            <w:hideMark/>
          </w:tcPr>
          <w:p w14:paraId="1CC132DE" w14:textId="77777777" w:rsidR="00BF221B" w:rsidRPr="00F22821" w:rsidRDefault="00BF221B" w:rsidP="00257AEF">
            <w:pPr>
              <w:spacing w:after="0" w:line="240" w:lineRule="auto"/>
              <w:jc w:val="center"/>
              <w:rPr>
                <w:rFonts w:eastAsia="Times New Roman" w:cstheme="minorHAnsi"/>
                <w:color w:val="000000"/>
                <w:lang w:eastAsia="en-AU"/>
              </w:rPr>
            </w:pPr>
            <w:r w:rsidRPr="00F22821">
              <w:rPr>
                <w:rFonts w:eastAsia="Times New Roman" w:cstheme="minorHAnsi"/>
                <w:color w:val="000000"/>
                <w:lang w:eastAsia="en-AU"/>
              </w:rPr>
              <w:t>%</w:t>
            </w:r>
          </w:p>
        </w:tc>
        <w:tc>
          <w:tcPr>
            <w:tcW w:w="647" w:type="pct"/>
            <w:shd w:val="clear" w:color="000000" w:fill="DAEEF3"/>
            <w:noWrap/>
            <w:vAlign w:val="center"/>
            <w:hideMark/>
          </w:tcPr>
          <w:p w14:paraId="3AC93CF3" w14:textId="77777777" w:rsidR="00BF221B" w:rsidRPr="00F22821" w:rsidRDefault="00BF221B" w:rsidP="00257AEF">
            <w:pPr>
              <w:spacing w:after="0" w:line="240" w:lineRule="auto"/>
              <w:jc w:val="center"/>
              <w:rPr>
                <w:rFonts w:eastAsia="Times New Roman" w:cstheme="minorHAnsi"/>
                <w:color w:val="000000"/>
                <w:lang w:eastAsia="en-AU"/>
              </w:rPr>
            </w:pPr>
            <w:r w:rsidRPr="00F22821">
              <w:rPr>
                <w:rFonts w:eastAsia="Times New Roman" w:cstheme="minorHAnsi"/>
                <w:color w:val="000000"/>
                <w:lang w:eastAsia="en-AU"/>
              </w:rPr>
              <w:t>Prescriptions</w:t>
            </w:r>
          </w:p>
        </w:tc>
        <w:tc>
          <w:tcPr>
            <w:tcW w:w="415" w:type="pct"/>
            <w:shd w:val="clear" w:color="000000" w:fill="DAEEF3"/>
            <w:noWrap/>
            <w:vAlign w:val="center"/>
            <w:hideMark/>
          </w:tcPr>
          <w:p w14:paraId="553408FF" w14:textId="77777777" w:rsidR="00BF221B" w:rsidRPr="00F22821" w:rsidRDefault="00BF221B" w:rsidP="00257AEF">
            <w:pPr>
              <w:spacing w:after="0" w:line="240" w:lineRule="auto"/>
              <w:jc w:val="center"/>
              <w:rPr>
                <w:rFonts w:eastAsia="Times New Roman" w:cstheme="minorHAnsi"/>
                <w:color w:val="000000"/>
                <w:lang w:eastAsia="en-AU"/>
              </w:rPr>
            </w:pPr>
            <w:r w:rsidRPr="00F22821">
              <w:rPr>
                <w:rFonts w:eastAsia="Times New Roman" w:cstheme="minorHAnsi"/>
                <w:color w:val="000000"/>
                <w:lang w:eastAsia="en-AU"/>
              </w:rPr>
              <w:t>%</w:t>
            </w:r>
          </w:p>
        </w:tc>
      </w:tr>
      <w:tr w:rsidR="00BF221B" w:rsidRPr="00F22821" w14:paraId="1ED4948C" w14:textId="77777777" w:rsidTr="00257AEF">
        <w:trPr>
          <w:trHeight w:val="290"/>
        </w:trPr>
        <w:tc>
          <w:tcPr>
            <w:tcW w:w="753" w:type="pct"/>
            <w:shd w:val="clear" w:color="000000" w:fill="DAEEF3"/>
            <w:noWrap/>
            <w:vAlign w:val="center"/>
            <w:hideMark/>
          </w:tcPr>
          <w:p w14:paraId="5BDC0ED0" w14:textId="77777777" w:rsidR="00BF221B" w:rsidRPr="00F22821" w:rsidRDefault="00BF221B" w:rsidP="001B727B">
            <w:pPr>
              <w:spacing w:after="0" w:line="240" w:lineRule="auto"/>
              <w:rPr>
                <w:rFonts w:eastAsia="Times New Roman" w:cstheme="minorHAnsi"/>
                <w:color w:val="000000"/>
                <w:sz w:val="22"/>
                <w:szCs w:val="22"/>
                <w:lang w:eastAsia="en-AU"/>
              </w:rPr>
            </w:pPr>
            <w:r w:rsidRPr="00F22821">
              <w:rPr>
                <w:rFonts w:eastAsia="Times New Roman" w:cstheme="minorHAnsi"/>
                <w:color w:val="000000"/>
                <w:sz w:val="22"/>
                <w:szCs w:val="22"/>
                <w:lang w:eastAsia="en-AU"/>
              </w:rPr>
              <w:t>$1.00</w:t>
            </w:r>
          </w:p>
        </w:tc>
        <w:tc>
          <w:tcPr>
            <w:tcW w:w="647" w:type="pct"/>
            <w:shd w:val="clear" w:color="auto" w:fill="auto"/>
            <w:noWrap/>
            <w:vAlign w:val="center"/>
            <w:hideMark/>
          </w:tcPr>
          <w:p w14:paraId="243138ED"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39,801,050</w:t>
            </w:r>
          </w:p>
        </w:tc>
        <w:tc>
          <w:tcPr>
            <w:tcW w:w="415" w:type="pct"/>
            <w:shd w:val="clear" w:color="auto" w:fill="auto"/>
            <w:noWrap/>
            <w:vAlign w:val="center"/>
            <w:hideMark/>
          </w:tcPr>
          <w:p w14:paraId="0F619D24"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97.5%</w:t>
            </w:r>
          </w:p>
        </w:tc>
        <w:tc>
          <w:tcPr>
            <w:tcW w:w="647" w:type="pct"/>
            <w:shd w:val="clear" w:color="auto" w:fill="auto"/>
            <w:noWrap/>
            <w:vAlign w:val="center"/>
            <w:hideMark/>
          </w:tcPr>
          <w:p w14:paraId="2ED614AB"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6,568,623</w:t>
            </w:r>
          </w:p>
        </w:tc>
        <w:tc>
          <w:tcPr>
            <w:tcW w:w="415" w:type="pct"/>
            <w:shd w:val="clear" w:color="auto" w:fill="auto"/>
            <w:noWrap/>
            <w:vAlign w:val="center"/>
            <w:hideMark/>
          </w:tcPr>
          <w:p w14:paraId="65E3AC80"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97.8%</w:t>
            </w:r>
          </w:p>
        </w:tc>
        <w:tc>
          <w:tcPr>
            <w:tcW w:w="647" w:type="pct"/>
            <w:shd w:val="clear" w:color="auto" w:fill="auto"/>
            <w:noWrap/>
            <w:vAlign w:val="center"/>
            <w:hideMark/>
          </w:tcPr>
          <w:p w14:paraId="6A5D962B"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885,662</w:t>
            </w:r>
          </w:p>
        </w:tc>
        <w:tc>
          <w:tcPr>
            <w:tcW w:w="415" w:type="pct"/>
            <w:shd w:val="clear" w:color="auto" w:fill="auto"/>
            <w:noWrap/>
            <w:vAlign w:val="center"/>
            <w:hideMark/>
          </w:tcPr>
          <w:p w14:paraId="2356F080"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97.2%</w:t>
            </w:r>
          </w:p>
        </w:tc>
        <w:tc>
          <w:tcPr>
            <w:tcW w:w="647" w:type="pct"/>
            <w:shd w:val="clear" w:color="auto" w:fill="auto"/>
            <w:noWrap/>
            <w:vAlign w:val="center"/>
            <w:hideMark/>
          </w:tcPr>
          <w:p w14:paraId="59552229"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47,255,335</w:t>
            </w:r>
          </w:p>
        </w:tc>
        <w:tc>
          <w:tcPr>
            <w:tcW w:w="415" w:type="pct"/>
            <w:shd w:val="clear" w:color="auto" w:fill="auto"/>
            <w:noWrap/>
            <w:vAlign w:val="center"/>
            <w:hideMark/>
          </w:tcPr>
          <w:p w14:paraId="320C598F"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97.5%</w:t>
            </w:r>
          </w:p>
        </w:tc>
      </w:tr>
      <w:tr w:rsidR="00BF221B" w:rsidRPr="00F22821" w14:paraId="551ACCAA" w14:textId="77777777" w:rsidTr="00257AEF">
        <w:trPr>
          <w:trHeight w:val="290"/>
        </w:trPr>
        <w:tc>
          <w:tcPr>
            <w:tcW w:w="753" w:type="pct"/>
            <w:shd w:val="clear" w:color="000000" w:fill="DAEEF3"/>
            <w:noWrap/>
            <w:vAlign w:val="center"/>
            <w:hideMark/>
          </w:tcPr>
          <w:p w14:paraId="5C539147" w14:textId="77777777" w:rsidR="00BF221B" w:rsidRPr="00F22821" w:rsidRDefault="00BF221B" w:rsidP="001B727B">
            <w:pPr>
              <w:spacing w:after="0" w:line="240" w:lineRule="auto"/>
              <w:rPr>
                <w:rFonts w:eastAsia="Times New Roman" w:cstheme="minorHAnsi"/>
                <w:color w:val="000000"/>
                <w:sz w:val="22"/>
                <w:szCs w:val="22"/>
                <w:lang w:eastAsia="en-AU"/>
              </w:rPr>
            </w:pPr>
            <w:r w:rsidRPr="00F22821">
              <w:rPr>
                <w:rFonts w:eastAsia="Times New Roman" w:cstheme="minorHAnsi"/>
                <w:color w:val="000000"/>
                <w:sz w:val="22"/>
                <w:szCs w:val="22"/>
                <w:lang w:eastAsia="en-AU"/>
              </w:rPr>
              <w:t>0.50 - &lt; $1.00</w:t>
            </w:r>
          </w:p>
        </w:tc>
        <w:tc>
          <w:tcPr>
            <w:tcW w:w="647" w:type="pct"/>
            <w:shd w:val="clear" w:color="auto" w:fill="auto"/>
            <w:noWrap/>
            <w:vAlign w:val="center"/>
            <w:hideMark/>
          </w:tcPr>
          <w:p w14:paraId="0CF94982"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634,568</w:t>
            </w:r>
          </w:p>
        </w:tc>
        <w:tc>
          <w:tcPr>
            <w:tcW w:w="415" w:type="pct"/>
            <w:shd w:val="clear" w:color="auto" w:fill="auto"/>
            <w:noWrap/>
            <w:vAlign w:val="center"/>
            <w:hideMark/>
          </w:tcPr>
          <w:p w14:paraId="5285A53E"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1.6%</w:t>
            </w:r>
          </w:p>
        </w:tc>
        <w:tc>
          <w:tcPr>
            <w:tcW w:w="647" w:type="pct"/>
            <w:shd w:val="clear" w:color="auto" w:fill="auto"/>
            <w:noWrap/>
            <w:vAlign w:val="center"/>
            <w:hideMark/>
          </w:tcPr>
          <w:p w14:paraId="6C210B05"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73,554</w:t>
            </w:r>
          </w:p>
        </w:tc>
        <w:tc>
          <w:tcPr>
            <w:tcW w:w="415" w:type="pct"/>
            <w:shd w:val="clear" w:color="auto" w:fill="auto"/>
            <w:noWrap/>
            <w:vAlign w:val="center"/>
            <w:hideMark/>
          </w:tcPr>
          <w:p w14:paraId="4AB0B44E"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1.1%</w:t>
            </w:r>
          </w:p>
        </w:tc>
        <w:tc>
          <w:tcPr>
            <w:tcW w:w="647" w:type="pct"/>
            <w:shd w:val="clear" w:color="auto" w:fill="auto"/>
            <w:noWrap/>
            <w:vAlign w:val="center"/>
            <w:hideMark/>
          </w:tcPr>
          <w:p w14:paraId="7801E6FB"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15,130</w:t>
            </w:r>
          </w:p>
        </w:tc>
        <w:tc>
          <w:tcPr>
            <w:tcW w:w="415" w:type="pct"/>
            <w:shd w:val="clear" w:color="auto" w:fill="auto"/>
            <w:noWrap/>
            <w:vAlign w:val="center"/>
            <w:hideMark/>
          </w:tcPr>
          <w:p w14:paraId="7C07126E"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1.7%</w:t>
            </w:r>
          </w:p>
        </w:tc>
        <w:tc>
          <w:tcPr>
            <w:tcW w:w="647" w:type="pct"/>
            <w:shd w:val="clear" w:color="auto" w:fill="auto"/>
            <w:noWrap/>
            <w:vAlign w:val="center"/>
            <w:hideMark/>
          </w:tcPr>
          <w:p w14:paraId="365B11DA"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723,252</w:t>
            </w:r>
          </w:p>
        </w:tc>
        <w:tc>
          <w:tcPr>
            <w:tcW w:w="415" w:type="pct"/>
            <w:shd w:val="clear" w:color="auto" w:fill="auto"/>
            <w:noWrap/>
            <w:vAlign w:val="center"/>
            <w:hideMark/>
          </w:tcPr>
          <w:p w14:paraId="5EC8B6D4"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1.5%</w:t>
            </w:r>
          </w:p>
        </w:tc>
      </w:tr>
      <w:tr w:rsidR="00BF221B" w:rsidRPr="00F22821" w14:paraId="607375BB" w14:textId="77777777" w:rsidTr="00257AEF">
        <w:trPr>
          <w:trHeight w:val="290"/>
        </w:trPr>
        <w:tc>
          <w:tcPr>
            <w:tcW w:w="753" w:type="pct"/>
            <w:shd w:val="clear" w:color="000000" w:fill="DAEEF3"/>
            <w:noWrap/>
            <w:vAlign w:val="center"/>
            <w:hideMark/>
          </w:tcPr>
          <w:p w14:paraId="002A73F2" w14:textId="77777777" w:rsidR="00BF221B" w:rsidRPr="00F22821" w:rsidRDefault="00BF221B" w:rsidP="001B727B">
            <w:pPr>
              <w:spacing w:after="0" w:line="240" w:lineRule="auto"/>
              <w:rPr>
                <w:rFonts w:eastAsia="Times New Roman" w:cstheme="minorHAnsi"/>
                <w:color w:val="000000"/>
                <w:sz w:val="22"/>
                <w:szCs w:val="22"/>
                <w:lang w:eastAsia="en-AU"/>
              </w:rPr>
            </w:pPr>
            <w:r w:rsidRPr="00F22821">
              <w:rPr>
                <w:rFonts w:eastAsia="Times New Roman" w:cstheme="minorHAnsi"/>
                <w:color w:val="000000"/>
                <w:sz w:val="22"/>
                <w:szCs w:val="22"/>
                <w:lang w:eastAsia="en-AU"/>
              </w:rPr>
              <w:t>&lt; 50c</w:t>
            </w:r>
          </w:p>
        </w:tc>
        <w:tc>
          <w:tcPr>
            <w:tcW w:w="647" w:type="pct"/>
            <w:shd w:val="clear" w:color="auto" w:fill="auto"/>
            <w:noWrap/>
            <w:vAlign w:val="center"/>
            <w:hideMark/>
          </w:tcPr>
          <w:p w14:paraId="77AECAC0"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171,791</w:t>
            </w:r>
          </w:p>
        </w:tc>
        <w:tc>
          <w:tcPr>
            <w:tcW w:w="415" w:type="pct"/>
            <w:shd w:val="clear" w:color="auto" w:fill="auto"/>
            <w:noWrap/>
            <w:vAlign w:val="center"/>
            <w:hideMark/>
          </w:tcPr>
          <w:p w14:paraId="07A51EAB"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0.4%</w:t>
            </w:r>
          </w:p>
        </w:tc>
        <w:tc>
          <w:tcPr>
            <w:tcW w:w="647" w:type="pct"/>
            <w:shd w:val="clear" w:color="auto" w:fill="auto"/>
            <w:noWrap/>
            <w:vAlign w:val="center"/>
            <w:hideMark/>
          </w:tcPr>
          <w:p w14:paraId="64962BCF"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44,217</w:t>
            </w:r>
          </w:p>
        </w:tc>
        <w:tc>
          <w:tcPr>
            <w:tcW w:w="415" w:type="pct"/>
            <w:shd w:val="clear" w:color="auto" w:fill="auto"/>
            <w:noWrap/>
            <w:vAlign w:val="center"/>
            <w:hideMark/>
          </w:tcPr>
          <w:p w14:paraId="701B8C0C"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0.7%</w:t>
            </w:r>
          </w:p>
        </w:tc>
        <w:tc>
          <w:tcPr>
            <w:tcW w:w="647" w:type="pct"/>
            <w:shd w:val="clear" w:color="auto" w:fill="auto"/>
            <w:noWrap/>
            <w:vAlign w:val="center"/>
            <w:hideMark/>
          </w:tcPr>
          <w:p w14:paraId="6BD89F1E"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5,193</w:t>
            </w:r>
          </w:p>
        </w:tc>
        <w:tc>
          <w:tcPr>
            <w:tcW w:w="415" w:type="pct"/>
            <w:shd w:val="clear" w:color="auto" w:fill="auto"/>
            <w:noWrap/>
            <w:vAlign w:val="center"/>
            <w:hideMark/>
          </w:tcPr>
          <w:p w14:paraId="705D3E5A"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0.6%</w:t>
            </w:r>
          </w:p>
        </w:tc>
        <w:tc>
          <w:tcPr>
            <w:tcW w:w="647" w:type="pct"/>
            <w:shd w:val="clear" w:color="auto" w:fill="auto"/>
            <w:noWrap/>
            <w:vAlign w:val="center"/>
            <w:hideMark/>
          </w:tcPr>
          <w:p w14:paraId="442DF7A9"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221,201</w:t>
            </w:r>
          </w:p>
        </w:tc>
        <w:tc>
          <w:tcPr>
            <w:tcW w:w="415" w:type="pct"/>
            <w:shd w:val="clear" w:color="auto" w:fill="auto"/>
            <w:noWrap/>
            <w:vAlign w:val="center"/>
            <w:hideMark/>
          </w:tcPr>
          <w:p w14:paraId="3282D6B4"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0.5%</w:t>
            </w:r>
          </w:p>
        </w:tc>
      </w:tr>
      <w:tr w:rsidR="00BF221B" w:rsidRPr="00F22821" w14:paraId="5E5B5C7C" w14:textId="77777777" w:rsidTr="00257AEF">
        <w:trPr>
          <w:trHeight w:val="290"/>
        </w:trPr>
        <w:tc>
          <w:tcPr>
            <w:tcW w:w="753" w:type="pct"/>
            <w:shd w:val="clear" w:color="000000" w:fill="DAEEF3"/>
            <w:noWrap/>
            <w:vAlign w:val="center"/>
            <w:hideMark/>
          </w:tcPr>
          <w:p w14:paraId="48786591" w14:textId="77777777" w:rsidR="00BF221B" w:rsidRPr="00F22821" w:rsidRDefault="00BF221B" w:rsidP="001B727B">
            <w:pPr>
              <w:spacing w:after="0" w:line="240" w:lineRule="auto"/>
              <w:rPr>
                <w:rFonts w:eastAsia="Times New Roman" w:cstheme="minorHAnsi"/>
                <w:color w:val="000000"/>
                <w:sz w:val="22"/>
                <w:szCs w:val="22"/>
                <w:lang w:eastAsia="en-AU"/>
              </w:rPr>
            </w:pPr>
            <w:r w:rsidRPr="00F22821">
              <w:rPr>
                <w:rFonts w:eastAsia="Times New Roman" w:cstheme="minorHAnsi"/>
                <w:color w:val="000000"/>
                <w:sz w:val="22"/>
                <w:szCs w:val="22"/>
                <w:lang w:eastAsia="en-AU"/>
              </w:rPr>
              <w:t>Other</w:t>
            </w:r>
          </w:p>
        </w:tc>
        <w:tc>
          <w:tcPr>
            <w:tcW w:w="647" w:type="pct"/>
            <w:shd w:val="clear" w:color="auto" w:fill="auto"/>
            <w:noWrap/>
            <w:vAlign w:val="center"/>
            <w:hideMark/>
          </w:tcPr>
          <w:p w14:paraId="4DDD5553"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208,519</w:t>
            </w:r>
          </w:p>
        </w:tc>
        <w:tc>
          <w:tcPr>
            <w:tcW w:w="415" w:type="pct"/>
            <w:shd w:val="clear" w:color="auto" w:fill="auto"/>
            <w:noWrap/>
            <w:vAlign w:val="center"/>
            <w:hideMark/>
          </w:tcPr>
          <w:p w14:paraId="3F1F2F56"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0.5%</w:t>
            </w:r>
          </w:p>
        </w:tc>
        <w:tc>
          <w:tcPr>
            <w:tcW w:w="647" w:type="pct"/>
            <w:shd w:val="clear" w:color="auto" w:fill="auto"/>
            <w:noWrap/>
            <w:vAlign w:val="center"/>
            <w:hideMark/>
          </w:tcPr>
          <w:p w14:paraId="2A67DC72"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29,176</w:t>
            </w:r>
          </w:p>
        </w:tc>
        <w:tc>
          <w:tcPr>
            <w:tcW w:w="415" w:type="pct"/>
            <w:shd w:val="clear" w:color="auto" w:fill="auto"/>
            <w:noWrap/>
            <w:vAlign w:val="center"/>
            <w:hideMark/>
          </w:tcPr>
          <w:p w14:paraId="6D80D1F6"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0.4%</w:t>
            </w:r>
          </w:p>
        </w:tc>
        <w:tc>
          <w:tcPr>
            <w:tcW w:w="647" w:type="pct"/>
            <w:shd w:val="clear" w:color="auto" w:fill="auto"/>
            <w:noWrap/>
            <w:vAlign w:val="center"/>
            <w:hideMark/>
          </w:tcPr>
          <w:p w14:paraId="0203AE53"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4,950</w:t>
            </w:r>
          </w:p>
        </w:tc>
        <w:tc>
          <w:tcPr>
            <w:tcW w:w="415" w:type="pct"/>
            <w:shd w:val="clear" w:color="auto" w:fill="auto"/>
            <w:noWrap/>
            <w:vAlign w:val="center"/>
            <w:hideMark/>
          </w:tcPr>
          <w:p w14:paraId="6243659D"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0.5%</w:t>
            </w:r>
          </w:p>
        </w:tc>
        <w:tc>
          <w:tcPr>
            <w:tcW w:w="647" w:type="pct"/>
            <w:shd w:val="clear" w:color="auto" w:fill="auto"/>
            <w:noWrap/>
            <w:vAlign w:val="center"/>
            <w:hideMark/>
          </w:tcPr>
          <w:p w14:paraId="4E9E3278"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242,645</w:t>
            </w:r>
          </w:p>
        </w:tc>
        <w:tc>
          <w:tcPr>
            <w:tcW w:w="415" w:type="pct"/>
            <w:shd w:val="clear" w:color="auto" w:fill="auto"/>
            <w:noWrap/>
            <w:vAlign w:val="center"/>
            <w:hideMark/>
          </w:tcPr>
          <w:p w14:paraId="26030ECC" w14:textId="77777777" w:rsidR="00BF221B" w:rsidRPr="00F22821" w:rsidRDefault="00BF221B" w:rsidP="00257AEF">
            <w:pPr>
              <w:spacing w:after="0" w:line="240" w:lineRule="auto"/>
              <w:jc w:val="right"/>
              <w:rPr>
                <w:rFonts w:eastAsia="Times New Roman" w:cstheme="minorHAnsi"/>
                <w:color w:val="000000"/>
                <w:lang w:eastAsia="en-AU"/>
              </w:rPr>
            </w:pPr>
            <w:r w:rsidRPr="00F22821">
              <w:rPr>
                <w:rFonts w:eastAsia="Times New Roman" w:cstheme="minorHAnsi"/>
                <w:color w:val="000000"/>
                <w:lang w:eastAsia="en-AU"/>
              </w:rPr>
              <w:t>0.5%</w:t>
            </w:r>
          </w:p>
        </w:tc>
      </w:tr>
      <w:tr w:rsidR="00BF221B" w:rsidRPr="00F22821" w14:paraId="0E9E2F10" w14:textId="77777777" w:rsidTr="00257AEF">
        <w:trPr>
          <w:trHeight w:val="300"/>
        </w:trPr>
        <w:tc>
          <w:tcPr>
            <w:tcW w:w="753" w:type="pct"/>
            <w:shd w:val="clear" w:color="000000" w:fill="DAEEF3"/>
            <w:noWrap/>
            <w:vAlign w:val="center"/>
            <w:hideMark/>
          </w:tcPr>
          <w:p w14:paraId="71F7D99C" w14:textId="77777777" w:rsidR="00BF221B" w:rsidRPr="00F22821" w:rsidRDefault="00BF221B" w:rsidP="001B727B">
            <w:pPr>
              <w:spacing w:after="0" w:line="240" w:lineRule="auto"/>
              <w:rPr>
                <w:rFonts w:eastAsia="Times New Roman" w:cstheme="minorHAnsi"/>
                <w:b/>
                <w:bCs/>
                <w:color w:val="000000"/>
                <w:sz w:val="22"/>
                <w:szCs w:val="22"/>
                <w:lang w:eastAsia="en-AU"/>
              </w:rPr>
            </w:pPr>
            <w:r w:rsidRPr="00F22821">
              <w:rPr>
                <w:rFonts w:eastAsia="Times New Roman" w:cstheme="minorHAnsi"/>
                <w:b/>
                <w:bCs/>
                <w:color w:val="000000"/>
                <w:sz w:val="22"/>
                <w:szCs w:val="22"/>
                <w:lang w:eastAsia="en-AU"/>
              </w:rPr>
              <w:t>Total</w:t>
            </w:r>
          </w:p>
        </w:tc>
        <w:tc>
          <w:tcPr>
            <w:tcW w:w="647" w:type="pct"/>
            <w:shd w:val="clear" w:color="auto" w:fill="auto"/>
            <w:noWrap/>
            <w:vAlign w:val="center"/>
            <w:hideMark/>
          </w:tcPr>
          <w:p w14:paraId="4C642A56" w14:textId="77777777" w:rsidR="00BF221B" w:rsidRPr="00F22821" w:rsidRDefault="00BF221B" w:rsidP="00257AEF">
            <w:pPr>
              <w:spacing w:after="0" w:line="240" w:lineRule="auto"/>
              <w:jc w:val="right"/>
              <w:rPr>
                <w:rFonts w:eastAsia="Times New Roman" w:cstheme="minorHAnsi"/>
                <w:b/>
                <w:bCs/>
                <w:color w:val="000000"/>
                <w:lang w:eastAsia="en-AU"/>
              </w:rPr>
            </w:pPr>
            <w:r w:rsidRPr="00F22821">
              <w:rPr>
                <w:rFonts w:eastAsia="Times New Roman" w:cstheme="minorHAnsi"/>
                <w:b/>
                <w:bCs/>
                <w:color w:val="000000"/>
                <w:lang w:eastAsia="en-AU"/>
              </w:rPr>
              <w:t>40,815,928</w:t>
            </w:r>
          </w:p>
        </w:tc>
        <w:tc>
          <w:tcPr>
            <w:tcW w:w="415" w:type="pct"/>
            <w:shd w:val="clear" w:color="auto" w:fill="auto"/>
            <w:noWrap/>
            <w:vAlign w:val="center"/>
            <w:hideMark/>
          </w:tcPr>
          <w:p w14:paraId="39B8F80A" w14:textId="77777777" w:rsidR="00BF221B" w:rsidRPr="00F22821" w:rsidRDefault="00BF221B" w:rsidP="00257AEF">
            <w:pPr>
              <w:spacing w:after="0" w:line="240" w:lineRule="auto"/>
              <w:jc w:val="right"/>
              <w:rPr>
                <w:rFonts w:eastAsia="Times New Roman" w:cstheme="minorHAnsi"/>
                <w:b/>
                <w:bCs/>
                <w:color w:val="000000"/>
                <w:lang w:eastAsia="en-AU"/>
              </w:rPr>
            </w:pPr>
            <w:r w:rsidRPr="00F22821">
              <w:rPr>
                <w:rFonts w:eastAsia="Times New Roman" w:cstheme="minorHAnsi"/>
                <w:b/>
                <w:bCs/>
                <w:color w:val="000000"/>
                <w:lang w:eastAsia="en-AU"/>
              </w:rPr>
              <w:t>100.0%</w:t>
            </w:r>
          </w:p>
        </w:tc>
        <w:tc>
          <w:tcPr>
            <w:tcW w:w="647" w:type="pct"/>
            <w:shd w:val="clear" w:color="auto" w:fill="auto"/>
            <w:noWrap/>
            <w:vAlign w:val="center"/>
            <w:hideMark/>
          </w:tcPr>
          <w:p w14:paraId="08106676" w14:textId="77777777" w:rsidR="00BF221B" w:rsidRPr="00F22821" w:rsidRDefault="00BF221B" w:rsidP="00257AEF">
            <w:pPr>
              <w:spacing w:after="0" w:line="240" w:lineRule="auto"/>
              <w:jc w:val="right"/>
              <w:rPr>
                <w:rFonts w:eastAsia="Times New Roman" w:cstheme="minorHAnsi"/>
                <w:b/>
                <w:bCs/>
                <w:color w:val="000000"/>
                <w:lang w:eastAsia="en-AU"/>
              </w:rPr>
            </w:pPr>
            <w:r w:rsidRPr="00F22821">
              <w:rPr>
                <w:rFonts w:eastAsia="Times New Roman" w:cstheme="minorHAnsi"/>
                <w:b/>
                <w:bCs/>
                <w:color w:val="000000"/>
                <w:lang w:eastAsia="en-AU"/>
              </w:rPr>
              <w:t>6,715,570</w:t>
            </w:r>
          </w:p>
        </w:tc>
        <w:tc>
          <w:tcPr>
            <w:tcW w:w="415" w:type="pct"/>
            <w:shd w:val="clear" w:color="auto" w:fill="auto"/>
            <w:noWrap/>
            <w:vAlign w:val="center"/>
            <w:hideMark/>
          </w:tcPr>
          <w:p w14:paraId="783773A3" w14:textId="77777777" w:rsidR="00BF221B" w:rsidRPr="00F22821" w:rsidRDefault="00BF221B" w:rsidP="00257AEF">
            <w:pPr>
              <w:spacing w:after="0" w:line="240" w:lineRule="auto"/>
              <w:jc w:val="right"/>
              <w:rPr>
                <w:rFonts w:eastAsia="Times New Roman" w:cstheme="minorHAnsi"/>
                <w:b/>
                <w:bCs/>
                <w:color w:val="000000"/>
                <w:lang w:eastAsia="en-AU"/>
              </w:rPr>
            </w:pPr>
            <w:r w:rsidRPr="00F22821">
              <w:rPr>
                <w:rFonts w:eastAsia="Times New Roman" w:cstheme="minorHAnsi"/>
                <w:b/>
                <w:bCs/>
                <w:color w:val="000000"/>
                <w:lang w:eastAsia="en-AU"/>
              </w:rPr>
              <w:t>100.0%</w:t>
            </w:r>
          </w:p>
        </w:tc>
        <w:tc>
          <w:tcPr>
            <w:tcW w:w="647" w:type="pct"/>
            <w:shd w:val="clear" w:color="auto" w:fill="auto"/>
            <w:noWrap/>
            <w:vAlign w:val="center"/>
            <w:hideMark/>
          </w:tcPr>
          <w:p w14:paraId="025C2BF4" w14:textId="77777777" w:rsidR="00BF221B" w:rsidRPr="00F22821" w:rsidRDefault="00BF221B" w:rsidP="00257AEF">
            <w:pPr>
              <w:spacing w:after="0" w:line="240" w:lineRule="auto"/>
              <w:jc w:val="right"/>
              <w:rPr>
                <w:rFonts w:eastAsia="Times New Roman" w:cstheme="minorHAnsi"/>
                <w:b/>
                <w:bCs/>
                <w:color w:val="000000"/>
                <w:lang w:eastAsia="en-AU"/>
              </w:rPr>
            </w:pPr>
            <w:r w:rsidRPr="00F22821">
              <w:rPr>
                <w:rFonts w:eastAsia="Times New Roman" w:cstheme="minorHAnsi"/>
                <w:b/>
                <w:bCs/>
                <w:color w:val="000000"/>
                <w:lang w:eastAsia="en-AU"/>
              </w:rPr>
              <w:t>910,935</w:t>
            </w:r>
          </w:p>
        </w:tc>
        <w:tc>
          <w:tcPr>
            <w:tcW w:w="415" w:type="pct"/>
            <w:shd w:val="clear" w:color="auto" w:fill="auto"/>
            <w:noWrap/>
            <w:vAlign w:val="center"/>
            <w:hideMark/>
          </w:tcPr>
          <w:p w14:paraId="250EED4F" w14:textId="77777777" w:rsidR="00BF221B" w:rsidRPr="00F22821" w:rsidRDefault="00BF221B" w:rsidP="00257AEF">
            <w:pPr>
              <w:spacing w:after="0" w:line="240" w:lineRule="auto"/>
              <w:jc w:val="right"/>
              <w:rPr>
                <w:rFonts w:eastAsia="Times New Roman" w:cstheme="minorHAnsi"/>
                <w:b/>
                <w:bCs/>
                <w:color w:val="000000"/>
                <w:lang w:eastAsia="en-AU"/>
              </w:rPr>
            </w:pPr>
            <w:r w:rsidRPr="00F22821">
              <w:rPr>
                <w:rFonts w:eastAsia="Times New Roman" w:cstheme="minorHAnsi"/>
                <w:b/>
                <w:bCs/>
                <w:color w:val="000000"/>
                <w:lang w:eastAsia="en-AU"/>
              </w:rPr>
              <w:t>100.0%</w:t>
            </w:r>
          </w:p>
        </w:tc>
        <w:tc>
          <w:tcPr>
            <w:tcW w:w="647" w:type="pct"/>
            <w:shd w:val="clear" w:color="auto" w:fill="auto"/>
            <w:noWrap/>
            <w:vAlign w:val="center"/>
            <w:hideMark/>
          </w:tcPr>
          <w:p w14:paraId="48B2B5FC" w14:textId="77777777" w:rsidR="00BF221B" w:rsidRPr="00F22821" w:rsidRDefault="00BF221B" w:rsidP="00257AEF">
            <w:pPr>
              <w:spacing w:after="0" w:line="240" w:lineRule="auto"/>
              <w:jc w:val="right"/>
              <w:rPr>
                <w:rFonts w:eastAsia="Times New Roman" w:cstheme="minorHAnsi"/>
                <w:b/>
                <w:bCs/>
                <w:color w:val="000000"/>
                <w:lang w:eastAsia="en-AU"/>
              </w:rPr>
            </w:pPr>
            <w:r w:rsidRPr="00F22821">
              <w:rPr>
                <w:rFonts w:eastAsia="Times New Roman" w:cstheme="minorHAnsi"/>
                <w:b/>
                <w:bCs/>
                <w:color w:val="000000"/>
                <w:lang w:eastAsia="en-AU"/>
              </w:rPr>
              <w:t>48,442,433</w:t>
            </w:r>
          </w:p>
        </w:tc>
        <w:tc>
          <w:tcPr>
            <w:tcW w:w="415" w:type="pct"/>
            <w:shd w:val="clear" w:color="auto" w:fill="auto"/>
            <w:noWrap/>
            <w:vAlign w:val="center"/>
            <w:hideMark/>
          </w:tcPr>
          <w:p w14:paraId="0AFC5D91" w14:textId="77777777" w:rsidR="00BF221B" w:rsidRPr="00F22821" w:rsidRDefault="00BF221B" w:rsidP="00257AEF">
            <w:pPr>
              <w:spacing w:after="0" w:line="240" w:lineRule="auto"/>
              <w:jc w:val="right"/>
              <w:rPr>
                <w:rFonts w:eastAsia="Times New Roman" w:cstheme="minorHAnsi"/>
                <w:b/>
                <w:bCs/>
                <w:color w:val="000000"/>
                <w:lang w:eastAsia="en-AU"/>
              </w:rPr>
            </w:pPr>
            <w:r w:rsidRPr="00F22821">
              <w:rPr>
                <w:rFonts w:eastAsia="Times New Roman" w:cstheme="minorHAnsi"/>
                <w:b/>
                <w:bCs/>
                <w:color w:val="000000"/>
                <w:lang w:eastAsia="en-AU"/>
              </w:rPr>
              <w:t>100.0%</w:t>
            </w:r>
          </w:p>
        </w:tc>
      </w:tr>
    </w:tbl>
    <w:p w14:paraId="55F6F52A" w14:textId="09E5DAF9" w:rsidR="0054359A" w:rsidRPr="00F22821" w:rsidRDefault="00BF221B" w:rsidP="003351A5">
      <w:pPr>
        <w:pStyle w:val="BodyText"/>
        <w:rPr>
          <w:rFonts w:cstheme="minorHAnsi"/>
          <w:color w:val="auto"/>
        </w:rPr>
      </w:pPr>
      <w:r w:rsidRPr="00F22821">
        <w:rPr>
          <w:rFonts w:cstheme="minorHAnsi"/>
        </w:rPr>
        <w:t>* Section 85 and Section 100, excluding Drs Bag and under co-payment prescriptions</w:t>
      </w:r>
      <w:r w:rsidR="00E675DF">
        <w:rPr>
          <w:rFonts w:cstheme="minorHAnsi"/>
        </w:rPr>
        <w:t>.</w:t>
      </w:r>
      <w:r w:rsidR="00E675DF" w:rsidRPr="00E675DF">
        <w:rPr>
          <w:rFonts w:cstheme="minorHAnsi"/>
          <w:i/>
        </w:rPr>
        <w:t xml:space="preserve"> </w:t>
      </w:r>
      <w:hyperlink r:id="rId9" w:history="1">
        <w:r w:rsidR="00E675DF" w:rsidRPr="003F5014">
          <w:rPr>
            <w:rStyle w:val="Hyperlink"/>
            <w:rFonts w:cstheme="minorHAnsi"/>
            <w:i/>
          </w:rPr>
          <w:t>www.pbs.gov.au/info/statistics/expenditure-prescriptions/pbs-expenditure-and-prescriptions</w:t>
        </w:r>
      </w:hyperlink>
      <w:r w:rsidR="00E675DF">
        <w:rPr>
          <w:rFonts w:cstheme="minorHAnsi"/>
          <w:i/>
        </w:rPr>
        <w:t xml:space="preserve"> 2022-23</w:t>
      </w:r>
      <w:r w:rsidR="00E675DF">
        <w:rPr>
          <w:rFonts w:cstheme="minorHAnsi"/>
        </w:rPr>
        <w:t xml:space="preserve">.  </w:t>
      </w:r>
    </w:p>
    <w:p w14:paraId="62912B90" w14:textId="77777777" w:rsidR="00814422" w:rsidRPr="00F22821" w:rsidRDefault="00814422" w:rsidP="003351A5">
      <w:pPr>
        <w:pStyle w:val="BodyText"/>
        <w:rPr>
          <w:rFonts w:cstheme="minorHAnsi"/>
          <w:sz w:val="24"/>
          <w:szCs w:val="24"/>
        </w:rPr>
      </w:pPr>
    </w:p>
    <w:p w14:paraId="0D685847" w14:textId="6AE575F9" w:rsidR="00CD3E0E" w:rsidRDefault="000A1517" w:rsidP="003351A5">
      <w:pPr>
        <w:pStyle w:val="BodyText"/>
        <w:rPr>
          <w:rFonts w:cstheme="minorHAnsi"/>
          <w:sz w:val="24"/>
          <w:szCs w:val="24"/>
        </w:rPr>
      </w:pPr>
      <w:r w:rsidRPr="00F22821">
        <w:rPr>
          <w:rFonts w:cstheme="minorHAnsi"/>
          <w:sz w:val="24"/>
          <w:szCs w:val="24"/>
        </w:rPr>
        <w:t xml:space="preserve">Financial analysis undertaken as part of the independent 2017 </w:t>
      </w:r>
      <w:r w:rsidRPr="00F22821">
        <w:rPr>
          <w:rFonts w:cstheme="minorHAnsi"/>
          <w:i/>
          <w:sz w:val="24"/>
          <w:szCs w:val="24"/>
        </w:rPr>
        <w:t xml:space="preserve">Review of Pharmacy Remuneration and Regulation </w:t>
      </w:r>
      <w:r w:rsidRPr="00F22821">
        <w:rPr>
          <w:rFonts w:cstheme="minorHAnsi"/>
          <w:sz w:val="24"/>
          <w:szCs w:val="24"/>
        </w:rPr>
        <w:t xml:space="preserve">(“The King Review”), found that consumers who hold a </w:t>
      </w:r>
      <w:r w:rsidR="00F92028" w:rsidRPr="00F22821">
        <w:rPr>
          <w:rFonts w:cstheme="minorHAnsi"/>
          <w:sz w:val="24"/>
          <w:szCs w:val="24"/>
        </w:rPr>
        <w:t>current concession, pension or V</w:t>
      </w:r>
      <w:r w:rsidRPr="00F22821">
        <w:rPr>
          <w:rFonts w:cstheme="minorHAnsi"/>
          <w:sz w:val="24"/>
          <w:szCs w:val="24"/>
        </w:rPr>
        <w:t xml:space="preserve">eteran’s healthcare card </w:t>
      </w:r>
      <w:r w:rsidR="00332CC2" w:rsidRPr="00F22821">
        <w:rPr>
          <w:rFonts w:cstheme="minorHAnsi"/>
          <w:sz w:val="24"/>
          <w:szCs w:val="24"/>
        </w:rPr>
        <w:t xml:space="preserve">(and hence a considered as concessional patients) </w:t>
      </w:r>
      <w:r w:rsidRPr="00F22821">
        <w:rPr>
          <w:rFonts w:cstheme="minorHAnsi"/>
          <w:sz w:val="24"/>
          <w:szCs w:val="24"/>
        </w:rPr>
        <w:t>are most likely to benefit from the optional $1 discount. In addition</w:t>
      </w:r>
      <w:r w:rsidR="00420D26" w:rsidRPr="00F22821">
        <w:rPr>
          <w:rFonts w:cstheme="minorHAnsi"/>
          <w:sz w:val="24"/>
          <w:szCs w:val="24"/>
        </w:rPr>
        <w:t>,</w:t>
      </w:r>
      <w:r w:rsidRPr="00F22821">
        <w:rPr>
          <w:rFonts w:cstheme="minorHAnsi"/>
          <w:sz w:val="24"/>
          <w:szCs w:val="24"/>
        </w:rPr>
        <w:t xml:space="preserve"> the review found that the discount was substantially more likely to be offered in urban locations than either rural or remote settings, due to the greater influence for market competition in urban locales</w:t>
      </w:r>
      <w:r w:rsidR="00282DBA" w:rsidRPr="00F22821">
        <w:rPr>
          <w:rFonts w:cstheme="minorHAnsi"/>
          <w:sz w:val="24"/>
          <w:szCs w:val="24"/>
        </w:rPr>
        <w:t>.</w:t>
      </w:r>
      <w:r w:rsidR="00282DBA" w:rsidRPr="00F22821">
        <w:rPr>
          <w:rStyle w:val="FootnoteReference"/>
          <w:rFonts w:cstheme="minorHAnsi"/>
          <w:sz w:val="24"/>
          <w:szCs w:val="24"/>
        </w:rPr>
        <w:footnoteReference w:id="5"/>
      </w:r>
      <w:r w:rsidR="00282DBA" w:rsidRPr="00F22821">
        <w:rPr>
          <w:rFonts w:cstheme="minorHAnsi"/>
          <w:sz w:val="24"/>
          <w:szCs w:val="24"/>
        </w:rPr>
        <w:t xml:space="preserve"> </w:t>
      </w:r>
      <w:r w:rsidRPr="00F22821">
        <w:rPr>
          <w:rFonts w:cstheme="minorHAnsi"/>
          <w:sz w:val="24"/>
          <w:szCs w:val="24"/>
        </w:rPr>
        <w:t xml:space="preserve">The review reported that the policy had, in effect, inequitable </w:t>
      </w:r>
      <w:r w:rsidR="00250984" w:rsidRPr="00F22821">
        <w:rPr>
          <w:rFonts w:cstheme="minorHAnsi"/>
          <w:sz w:val="24"/>
          <w:szCs w:val="24"/>
        </w:rPr>
        <w:t>access</w:t>
      </w:r>
      <w:r w:rsidR="00E97286" w:rsidRPr="00F22821">
        <w:rPr>
          <w:rFonts w:cstheme="minorHAnsi"/>
          <w:sz w:val="24"/>
          <w:szCs w:val="24"/>
        </w:rPr>
        <w:t xml:space="preserve"> </w:t>
      </w:r>
      <w:r w:rsidRPr="00F22821">
        <w:rPr>
          <w:rFonts w:cstheme="minorHAnsi"/>
          <w:sz w:val="24"/>
          <w:szCs w:val="24"/>
        </w:rPr>
        <w:t>outcomes</w:t>
      </w:r>
      <w:r w:rsidR="00282DBA" w:rsidRPr="00F22821">
        <w:rPr>
          <w:rFonts w:cstheme="minorHAnsi"/>
          <w:sz w:val="24"/>
          <w:szCs w:val="24"/>
        </w:rPr>
        <w:t xml:space="preserve"> for consumers</w:t>
      </w:r>
      <w:r w:rsidR="00020B38" w:rsidRPr="00F22821">
        <w:rPr>
          <w:rFonts w:cstheme="minorHAnsi"/>
          <w:sz w:val="24"/>
          <w:szCs w:val="24"/>
        </w:rPr>
        <w:t xml:space="preserve">. </w:t>
      </w:r>
      <w:r w:rsidR="00F37265" w:rsidRPr="00F22821">
        <w:rPr>
          <w:rFonts w:cstheme="minorHAnsi"/>
          <w:sz w:val="24"/>
          <w:szCs w:val="24"/>
        </w:rPr>
        <w:t>Its 2016 financial analysis found, for example, that Concessional patients in Pharmacy Access/Remoteness Index of Australia (</w:t>
      </w:r>
      <w:proofErr w:type="spellStart"/>
      <w:r w:rsidR="00F37265" w:rsidRPr="00F22821">
        <w:rPr>
          <w:rFonts w:cstheme="minorHAnsi"/>
          <w:sz w:val="24"/>
          <w:szCs w:val="24"/>
        </w:rPr>
        <w:t>PhARIA</w:t>
      </w:r>
      <w:proofErr w:type="spellEnd"/>
      <w:r w:rsidR="00F37265" w:rsidRPr="00F22821">
        <w:rPr>
          <w:rFonts w:cstheme="minorHAnsi"/>
          <w:sz w:val="24"/>
          <w:szCs w:val="24"/>
        </w:rPr>
        <w:t xml:space="preserve">) 1 areas were 15% more likely to be dispensed a PBS script with a $1 discount as compared to an identical concessional payment in a </w:t>
      </w:r>
      <w:proofErr w:type="spellStart"/>
      <w:r w:rsidR="00F37265" w:rsidRPr="00F22821">
        <w:rPr>
          <w:rFonts w:cstheme="minorHAnsi"/>
          <w:sz w:val="24"/>
          <w:szCs w:val="24"/>
        </w:rPr>
        <w:t>PhARIA</w:t>
      </w:r>
      <w:proofErr w:type="spellEnd"/>
      <w:r w:rsidR="00F37265" w:rsidRPr="00F22821">
        <w:rPr>
          <w:rFonts w:cstheme="minorHAnsi"/>
          <w:sz w:val="24"/>
          <w:szCs w:val="24"/>
        </w:rPr>
        <w:t xml:space="preserve"> 5 area.</w:t>
      </w:r>
      <w:r w:rsidR="008273DD" w:rsidRPr="00F22821">
        <w:rPr>
          <w:rStyle w:val="FootnoteReference"/>
          <w:rFonts w:cstheme="minorHAnsi"/>
          <w:sz w:val="24"/>
          <w:szCs w:val="24"/>
        </w:rPr>
        <w:footnoteReference w:id="6"/>
      </w:r>
      <w:r w:rsidR="00F37265" w:rsidRPr="00F22821">
        <w:rPr>
          <w:rFonts w:cstheme="minorHAnsi"/>
          <w:sz w:val="24"/>
          <w:szCs w:val="24"/>
        </w:rPr>
        <w:t xml:space="preserve"> </w:t>
      </w:r>
    </w:p>
    <w:p w14:paraId="235EB940" w14:textId="77777777" w:rsidR="00ED654E" w:rsidRPr="00F22821" w:rsidRDefault="00ED654E" w:rsidP="00ED654E">
      <w:pPr>
        <w:pStyle w:val="BodyText"/>
        <w:rPr>
          <w:rFonts w:cstheme="minorHAnsi"/>
          <w:sz w:val="24"/>
          <w:szCs w:val="24"/>
        </w:rPr>
      </w:pPr>
      <w:r>
        <w:rPr>
          <w:rFonts w:cstheme="minorHAnsi"/>
          <w:sz w:val="24"/>
          <w:szCs w:val="24"/>
        </w:rPr>
        <w:t xml:space="preserve">In light of the issues identified, the King Review recommended that the optional $1 discount be abolished </w:t>
      </w:r>
      <w:r w:rsidRPr="00B8724E">
        <w:rPr>
          <w:rFonts w:cstheme="minorHAnsi"/>
          <w:sz w:val="24"/>
          <w:szCs w:val="24"/>
        </w:rPr>
        <w:t>(Recommendation 2-2)</w:t>
      </w:r>
      <w:r>
        <w:rPr>
          <w:rFonts w:cstheme="minorHAnsi"/>
          <w:sz w:val="24"/>
          <w:szCs w:val="24"/>
        </w:rPr>
        <w:t>.</w:t>
      </w:r>
      <w:r w:rsidRPr="003918D7">
        <w:rPr>
          <w:vertAlign w:val="superscript"/>
        </w:rPr>
        <w:footnoteReference w:id="7"/>
      </w:r>
    </w:p>
    <w:p w14:paraId="3A125249" w14:textId="77777777" w:rsidR="00814422" w:rsidRPr="00F22821" w:rsidRDefault="00814422" w:rsidP="003351A5">
      <w:pPr>
        <w:pStyle w:val="BodyText"/>
        <w:rPr>
          <w:rFonts w:cstheme="minorHAnsi"/>
          <w:sz w:val="24"/>
          <w:szCs w:val="24"/>
        </w:rPr>
      </w:pPr>
    </w:p>
    <w:p w14:paraId="717ECDAF" w14:textId="4CAB8A5D" w:rsidR="00EA5629" w:rsidRPr="00F22821" w:rsidRDefault="00EA5629" w:rsidP="003351A5">
      <w:pPr>
        <w:pStyle w:val="Heading6"/>
        <w:spacing w:before="0" w:after="120"/>
        <w:rPr>
          <w:rFonts w:asciiTheme="minorHAnsi" w:hAnsiTheme="minorHAnsi" w:cstheme="minorHAnsi"/>
          <w:sz w:val="24"/>
          <w:szCs w:val="24"/>
        </w:rPr>
      </w:pPr>
      <w:r w:rsidRPr="00F22821">
        <w:rPr>
          <w:rFonts w:asciiTheme="minorHAnsi" w:hAnsiTheme="minorHAnsi" w:cstheme="minorHAnsi"/>
          <w:sz w:val="24"/>
          <w:szCs w:val="24"/>
        </w:rPr>
        <w:lastRenderedPageBreak/>
        <w:t>Option 2: Immediate</w:t>
      </w:r>
      <w:r w:rsidR="000A1517" w:rsidRPr="00F22821">
        <w:rPr>
          <w:rFonts w:asciiTheme="minorHAnsi" w:hAnsiTheme="minorHAnsi" w:cstheme="minorHAnsi"/>
          <w:sz w:val="24"/>
          <w:szCs w:val="24"/>
        </w:rPr>
        <w:t xml:space="preserve"> removal of the optional $1 discount</w:t>
      </w:r>
    </w:p>
    <w:p w14:paraId="28A5AAE9" w14:textId="5B25E6BB" w:rsidR="00EA5629" w:rsidRPr="00F22821" w:rsidRDefault="004C4A1C" w:rsidP="003351A5">
      <w:pPr>
        <w:pStyle w:val="BodyText"/>
        <w:rPr>
          <w:rFonts w:cstheme="minorHAnsi"/>
          <w:sz w:val="24"/>
          <w:szCs w:val="24"/>
        </w:rPr>
      </w:pPr>
      <w:r w:rsidRPr="00F22821">
        <w:rPr>
          <w:rFonts w:cstheme="minorHAnsi"/>
          <w:sz w:val="24"/>
          <w:szCs w:val="24"/>
        </w:rPr>
        <w:t>Option 2 would see an</w:t>
      </w:r>
      <w:r w:rsidR="00282DBA" w:rsidRPr="00F22821">
        <w:rPr>
          <w:rFonts w:cstheme="minorHAnsi"/>
          <w:sz w:val="24"/>
          <w:szCs w:val="24"/>
        </w:rPr>
        <w:t xml:space="preserve"> immediate removal of the legislated ability to provide the optional $1 d</w:t>
      </w:r>
      <w:r w:rsidR="00EA5629" w:rsidRPr="00F22821">
        <w:rPr>
          <w:rFonts w:cstheme="minorHAnsi"/>
          <w:sz w:val="24"/>
          <w:szCs w:val="24"/>
        </w:rPr>
        <w:t>iscou</w:t>
      </w:r>
      <w:r w:rsidR="00282DBA" w:rsidRPr="00F22821">
        <w:rPr>
          <w:rFonts w:cstheme="minorHAnsi"/>
          <w:sz w:val="24"/>
          <w:szCs w:val="24"/>
        </w:rPr>
        <w:t>nt</w:t>
      </w:r>
      <w:r w:rsidR="00567E9F" w:rsidRPr="00F22821">
        <w:rPr>
          <w:rFonts w:cstheme="minorHAnsi"/>
          <w:sz w:val="24"/>
          <w:szCs w:val="24"/>
        </w:rPr>
        <w:t xml:space="preserve"> following the passage of enabling legislation</w:t>
      </w:r>
      <w:r w:rsidRPr="00F22821">
        <w:rPr>
          <w:rFonts w:cstheme="minorHAnsi"/>
          <w:sz w:val="24"/>
          <w:szCs w:val="24"/>
        </w:rPr>
        <w:t xml:space="preserve">. This option </w:t>
      </w:r>
      <w:r w:rsidR="00282DBA" w:rsidRPr="00F22821">
        <w:rPr>
          <w:rFonts w:cstheme="minorHAnsi"/>
          <w:sz w:val="24"/>
          <w:szCs w:val="24"/>
        </w:rPr>
        <w:t>c</w:t>
      </w:r>
      <w:r w:rsidR="00EA5629" w:rsidRPr="00F22821">
        <w:rPr>
          <w:rFonts w:cstheme="minorHAnsi"/>
          <w:sz w:val="24"/>
          <w:szCs w:val="24"/>
        </w:rPr>
        <w:t xml:space="preserve">ould provide </w:t>
      </w:r>
      <w:r w:rsidR="00282DBA" w:rsidRPr="00F22821">
        <w:rPr>
          <w:rFonts w:cstheme="minorHAnsi"/>
          <w:sz w:val="24"/>
          <w:szCs w:val="24"/>
        </w:rPr>
        <w:t xml:space="preserve">a level of equity to consumers and </w:t>
      </w:r>
      <w:r w:rsidR="00EA5629" w:rsidRPr="00F22821">
        <w:rPr>
          <w:rFonts w:cstheme="minorHAnsi"/>
          <w:sz w:val="24"/>
          <w:szCs w:val="24"/>
        </w:rPr>
        <w:t xml:space="preserve">certainty to pharmacists and patients on the </w:t>
      </w:r>
      <w:r w:rsidR="00D853F2" w:rsidRPr="00F22821">
        <w:rPr>
          <w:rFonts w:cstheme="minorHAnsi"/>
          <w:sz w:val="24"/>
          <w:szCs w:val="24"/>
        </w:rPr>
        <w:t>potential discount of medicine</w:t>
      </w:r>
      <w:r w:rsidRPr="00F22821">
        <w:rPr>
          <w:rFonts w:cstheme="minorHAnsi"/>
          <w:sz w:val="24"/>
          <w:szCs w:val="24"/>
        </w:rPr>
        <w:t>s</w:t>
      </w:r>
      <w:r w:rsidR="00567E9F" w:rsidRPr="00F22821">
        <w:rPr>
          <w:rFonts w:cstheme="minorHAnsi"/>
          <w:sz w:val="24"/>
          <w:szCs w:val="24"/>
        </w:rPr>
        <w:t xml:space="preserve"> in that no one would be able to access a discount</w:t>
      </w:r>
      <w:r w:rsidR="00D853F2" w:rsidRPr="00F22821">
        <w:rPr>
          <w:rFonts w:cstheme="minorHAnsi"/>
          <w:sz w:val="24"/>
          <w:szCs w:val="24"/>
        </w:rPr>
        <w:t xml:space="preserve">. </w:t>
      </w:r>
      <w:r w:rsidR="00567E9F" w:rsidRPr="00F22821">
        <w:rPr>
          <w:rFonts w:cstheme="minorHAnsi"/>
          <w:sz w:val="24"/>
          <w:szCs w:val="24"/>
        </w:rPr>
        <w:t>V</w:t>
      </w:r>
      <w:r w:rsidR="00EA5629" w:rsidRPr="00F22821">
        <w:rPr>
          <w:rFonts w:cstheme="minorHAnsi"/>
          <w:sz w:val="24"/>
          <w:szCs w:val="24"/>
        </w:rPr>
        <w:t>ariation</w:t>
      </w:r>
      <w:r w:rsidR="00D2224E" w:rsidRPr="00F22821">
        <w:rPr>
          <w:rFonts w:cstheme="minorHAnsi"/>
          <w:sz w:val="24"/>
          <w:szCs w:val="24"/>
        </w:rPr>
        <w:t>s</w:t>
      </w:r>
      <w:r w:rsidR="00EA5629" w:rsidRPr="00F22821">
        <w:rPr>
          <w:rFonts w:cstheme="minorHAnsi"/>
          <w:sz w:val="24"/>
          <w:szCs w:val="24"/>
        </w:rPr>
        <w:t xml:space="preserve"> </w:t>
      </w:r>
      <w:r w:rsidR="00282DBA" w:rsidRPr="00F22821">
        <w:rPr>
          <w:rFonts w:cstheme="minorHAnsi"/>
          <w:sz w:val="24"/>
          <w:szCs w:val="24"/>
        </w:rPr>
        <w:t>in pharmacy dispensing prices would continue to be possible</w:t>
      </w:r>
      <w:r w:rsidR="00D853F2" w:rsidRPr="00F22821">
        <w:rPr>
          <w:rFonts w:cstheme="minorHAnsi"/>
          <w:sz w:val="24"/>
          <w:szCs w:val="24"/>
        </w:rPr>
        <w:t xml:space="preserve"> for pharmaceutical benefits priced below the relevant maximum co-payment amount </w:t>
      </w:r>
      <w:r w:rsidR="00567E9F" w:rsidRPr="00F22821">
        <w:rPr>
          <w:rFonts w:cstheme="minorHAnsi"/>
          <w:sz w:val="24"/>
          <w:szCs w:val="24"/>
        </w:rPr>
        <w:t xml:space="preserve">however </w:t>
      </w:r>
      <w:r w:rsidRPr="00F22821">
        <w:rPr>
          <w:rFonts w:cstheme="minorHAnsi"/>
          <w:sz w:val="24"/>
          <w:szCs w:val="24"/>
        </w:rPr>
        <w:t xml:space="preserve">including </w:t>
      </w:r>
      <w:r w:rsidR="00D853F2" w:rsidRPr="00F22821">
        <w:rPr>
          <w:rFonts w:cstheme="minorHAnsi"/>
          <w:sz w:val="24"/>
          <w:szCs w:val="24"/>
        </w:rPr>
        <w:t>due to the application of allowable additional fees at the pharmacy discretion</w:t>
      </w:r>
      <w:r w:rsidR="00EA5629" w:rsidRPr="00F22821">
        <w:rPr>
          <w:rFonts w:cstheme="minorHAnsi"/>
          <w:sz w:val="24"/>
          <w:szCs w:val="24"/>
        </w:rPr>
        <w:t xml:space="preserve">. </w:t>
      </w:r>
    </w:p>
    <w:p w14:paraId="455A2021" w14:textId="147BD41B" w:rsidR="00EA5629" w:rsidRDefault="00D853F2" w:rsidP="003351A5">
      <w:pPr>
        <w:pStyle w:val="BodyText"/>
        <w:rPr>
          <w:rFonts w:cstheme="minorHAnsi"/>
          <w:sz w:val="24"/>
          <w:szCs w:val="24"/>
        </w:rPr>
      </w:pPr>
      <w:r w:rsidRPr="00F22821">
        <w:rPr>
          <w:rFonts w:cstheme="minorHAnsi"/>
          <w:sz w:val="24"/>
          <w:szCs w:val="24"/>
        </w:rPr>
        <w:t xml:space="preserve">This option would </w:t>
      </w:r>
      <w:r w:rsidR="0030774C" w:rsidRPr="00F22821">
        <w:rPr>
          <w:rFonts w:cstheme="minorHAnsi"/>
          <w:sz w:val="24"/>
          <w:szCs w:val="24"/>
        </w:rPr>
        <w:t>influence</w:t>
      </w:r>
      <w:r w:rsidRPr="00F22821">
        <w:rPr>
          <w:rFonts w:cstheme="minorHAnsi"/>
          <w:sz w:val="24"/>
          <w:szCs w:val="24"/>
        </w:rPr>
        <w:t xml:space="preserve"> consumer affordability of prescriptions, particularly for concession</w:t>
      </w:r>
      <w:r w:rsidR="0030774C" w:rsidRPr="00F22821">
        <w:rPr>
          <w:rFonts w:cstheme="minorHAnsi"/>
          <w:sz w:val="24"/>
          <w:szCs w:val="24"/>
        </w:rPr>
        <w:t>al</w:t>
      </w:r>
      <w:r w:rsidRPr="00F22821">
        <w:rPr>
          <w:rFonts w:cstheme="minorHAnsi"/>
          <w:sz w:val="24"/>
          <w:szCs w:val="24"/>
        </w:rPr>
        <w:t xml:space="preserve"> </w:t>
      </w:r>
      <w:r w:rsidR="0030774C" w:rsidRPr="00F22821">
        <w:rPr>
          <w:rFonts w:cstheme="minorHAnsi"/>
          <w:sz w:val="24"/>
          <w:szCs w:val="24"/>
        </w:rPr>
        <w:t>patients</w:t>
      </w:r>
      <w:r w:rsidR="00EA03DB" w:rsidRPr="00F22821">
        <w:rPr>
          <w:rFonts w:cstheme="minorHAnsi"/>
          <w:sz w:val="24"/>
          <w:szCs w:val="24"/>
        </w:rPr>
        <w:t>. It</w:t>
      </w:r>
      <w:r w:rsidRPr="00F22821">
        <w:rPr>
          <w:rFonts w:cstheme="minorHAnsi"/>
          <w:sz w:val="24"/>
          <w:szCs w:val="24"/>
        </w:rPr>
        <w:t xml:space="preserve"> would increase patient costs in relation to </w:t>
      </w:r>
      <w:r w:rsidR="00EA03DB" w:rsidRPr="00F22821">
        <w:rPr>
          <w:rFonts w:cstheme="minorHAnsi"/>
          <w:sz w:val="24"/>
          <w:szCs w:val="24"/>
        </w:rPr>
        <w:t xml:space="preserve">the </w:t>
      </w:r>
      <w:r w:rsidRPr="00F22821">
        <w:rPr>
          <w:rFonts w:cstheme="minorHAnsi"/>
          <w:sz w:val="24"/>
          <w:szCs w:val="24"/>
        </w:rPr>
        <w:t xml:space="preserve">30% of eligible </w:t>
      </w:r>
      <w:r w:rsidR="0030774C" w:rsidRPr="00F22821">
        <w:rPr>
          <w:rFonts w:cstheme="minorHAnsi"/>
          <w:sz w:val="24"/>
          <w:szCs w:val="24"/>
        </w:rPr>
        <w:t>prescriptions that</w:t>
      </w:r>
      <w:r w:rsidR="004C4A1C" w:rsidRPr="00F22821">
        <w:rPr>
          <w:rFonts w:cstheme="minorHAnsi"/>
          <w:sz w:val="24"/>
          <w:szCs w:val="24"/>
        </w:rPr>
        <w:t xml:space="preserve"> are currently having the $1 </w:t>
      </w:r>
      <w:r w:rsidR="000E1D58" w:rsidRPr="00F22821">
        <w:rPr>
          <w:rFonts w:cstheme="minorHAnsi"/>
          <w:sz w:val="24"/>
          <w:szCs w:val="24"/>
        </w:rPr>
        <w:t>discount</w:t>
      </w:r>
      <w:r w:rsidR="00D77324" w:rsidRPr="00F22821">
        <w:rPr>
          <w:rFonts w:cstheme="minorHAnsi"/>
          <w:sz w:val="24"/>
          <w:szCs w:val="24"/>
        </w:rPr>
        <w:t xml:space="preserve"> </w:t>
      </w:r>
      <w:r w:rsidR="004C4A1C" w:rsidRPr="00F22821">
        <w:rPr>
          <w:rFonts w:cstheme="minorHAnsi"/>
          <w:sz w:val="24"/>
          <w:szCs w:val="24"/>
        </w:rPr>
        <w:t>applie</w:t>
      </w:r>
      <w:r w:rsidR="00D77324" w:rsidRPr="00F22821">
        <w:rPr>
          <w:rFonts w:cstheme="minorHAnsi"/>
          <w:sz w:val="24"/>
          <w:szCs w:val="24"/>
        </w:rPr>
        <w:t>d</w:t>
      </w:r>
      <w:r w:rsidRPr="00F22821">
        <w:rPr>
          <w:rFonts w:cstheme="minorHAnsi"/>
          <w:sz w:val="24"/>
          <w:szCs w:val="24"/>
        </w:rPr>
        <w:t xml:space="preserve">. </w:t>
      </w:r>
      <w:r w:rsidR="00EA5629" w:rsidRPr="00F22821">
        <w:rPr>
          <w:rFonts w:cstheme="minorHAnsi"/>
          <w:sz w:val="24"/>
          <w:szCs w:val="24"/>
        </w:rPr>
        <w:t xml:space="preserve">Some </w:t>
      </w:r>
      <w:r w:rsidRPr="00F22821">
        <w:rPr>
          <w:rFonts w:cstheme="minorHAnsi"/>
          <w:sz w:val="24"/>
          <w:szCs w:val="24"/>
        </w:rPr>
        <w:t xml:space="preserve">pharmacy sector </w:t>
      </w:r>
      <w:r w:rsidR="00EA5629" w:rsidRPr="00F22821">
        <w:rPr>
          <w:rFonts w:cstheme="minorHAnsi"/>
          <w:sz w:val="24"/>
          <w:szCs w:val="24"/>
        </w:rPr>
        <w:t xml:space="preserve">stakeholders have expressed a need for increased competition in the pharmacy sector, and </w:t>
      </w:r>
      <w:r w:rsidR="00020B38" w:rsidRPr="00F22821">
        <w:rPr>
          <w:rFonts w:cstheme="minorHAnsi"/>
          <w:sz w:val="24"/>
          <w:szCs w:val="24"/>
        </w:rPr>
        <w:t xml:space="preserve">built a business </w:t>
      </w:r>
      <w:r w:rsidR="0030774C" w:rsidRPr="00F22821">
        <w:rPr>
          <w:rFonts w:cstheme="minorHAnsi"/>
          <w:sz w:val="24"/>
          <w:szCs w:val="24"/>
        </w:rPr>
        <w:t>model that</w:t>
      </w:r>
      <w:r w:rsidR="00020B38" w:rsidRPr="00F22821">
        <w:rPr>
          <w:rFonts w:cstheme="minorHAnsi"/>
          <w:sz w:val="24"/>
          <w:szCs w:val="24"/>
        </w:rPr>
        <w:t xml:space="preserve"> provides discounting as a point of difference. </w:t>
      </w:r>
    </w:p>
    <w:p w14:paraId="6D84DF61" w14:textId="77777777" w:rsidR="00257AEF" w:rsidRPr="00F22821" w:rsidRDefault="00257AEF" w:rsidP="003351A5">
      <w:pPr>
        <w:pStyle w:val="BodyText"/>
        <w:rPr>
          <w:rFonts w:cstheme="minorHAnsi"/>
          <w:sz w:val="24"/>
          <w:szCs w:val="24"/>
        </w:rPr>
      </w:pPr>
    </w:p>
    <w:p w14:paraId="2D8F5E91" w14:textId="64600829" w:rsidR="00EA5629" w:rsidRPr="00F22821" w:rsidRDefault="00EA5629" w:rsidP="003351A5">
      <w:pPr>
        <w:pStyle w:val="Heading6"/>
        <w:spacing w:before="0" w:after="120"/>
        <w:rPr>
          <w:rFonts w:asciiTheme="minorHAnsi" w:hAnsiTheme="minorHAnsi" w:cstheme="minorHAnsi"/>
          <w:sz w:val="24"/>
          <w:szCs w:val="24"/>
        </w:rPr>
      </w:pPr>
      <w:r w:rsidRPr="00F22821">
        <w:rPr>
          <w:rFonts w:asciiTheme="minorHAnsi" w:hAnsiTheme="minorHAnsi" w:cstheme="minorHAnsi"/>
          <w:sz w:val="24"/>
          <w:szCs w:val="24"/>
        </w:rPr>
        <w:t xml:space="preserve">Option 3: </w:t>
      </w:r>
      <w:r w:rsidR="003C5469" w:rsidRPr="00F22821">
        <w:rPr>
          <w:rFonts w:asciiTheme="minorHAnsi" w:hAnsiTheme="minorHAnsi" w:cstheme="minorHAnsi"/>
          <w:sz w:val="24"/>
          <w:szCs w:val="24"/>
        </w:rPr>
        <w:t>A gradual phase out of the optional $1 discount while freezing indexation of the co-payment amounts</w:t>
      </w:r>
    </w:p>
    <w:p w14:paraId="1B7497B3" w14:textId="65133FB3" w:rsidR="00B907A7" w:rsidRPr="00F22821" w:rsidRDefault="00BE38DA" w:rsidP="003351A5">
      <w:pPr>
        <w:pStyle w:val="BodyText"/>
        <w:rPr>
          <w:rFonts w:cstheme="minorHAnsi"/>
          <w:sz w:val="24"/>
          <w:szCs w:val="24"/>
        </w:rPr>
      </w:pPr>
      <w:r w:rsidRPr="00F22821">
        <w:rPr>
          <w:rFonts w:cstheme="minorHAnsi"/>
          <w:sz w:val="24"/>
          <w:szCs w:val="24"/>
        </w:rPr>
        <w:t>Option 3 would see a temporary pause applied to the indexation on both general and concessional co-payments while the</w:t>
      </w:r>
      <w:r w:rsidR="004A72E9" w:rsidRPr="00F22821">
        <w:rPr>
          <w:rFonts w:cstheme="minorHAnsi"/>
          <w:sz w:val="24"/>
          <w:szCs w:val="24"/>
        </w:rPr>
        <w:t xml:space="preserve"> optional</w:t>
      </w:r>
      <w:r w:rsidRPr="00F22821">
        <w:rPr>
          <w:rFonts w:cstheme="minorHAnsi"/>
          <w:sz w:val="24"/>
          <w:szCs w:val="24"/>
        </w:rPr>
        <w:t xml:space="preserve"> $1 discount was gradually reduced. This would eventually give all patients access to the benefits of what was the </w:t>
      </w:r>
      <w:r w:rsidR="004A72E9" w:rsidRPr="00F22821">
        <w:rPr>
          <w:rFonts w:cstheme="minorHAnsi"/>
          <w:sz w:val="24"/>
          <w:szCs w:val="24"/>
        </w:rPr>
        <w:t xml:space="preserve">optional </w:t>
      </w:r>
      <w:r w:rsidRPr="00F22821">
        <w:rPr>
          <w:rFonts w:cstheme="minorHAnsi"/>
          <w:sz w:val="24"/>
          <w:szCs w:val="24"/>
        </w:rPr>
        <w:t xml:space="preserve">$1 discount. </w:t>
      </w:r>
      <w:r w:rsidR="00A44FF6" w:rsidRPr="00F22821">
        <w:rPr>
          <w:rFonts w:cstheme="minorHAnsi"/>
          <w:sz w:val="24"/>
          <w:szCs w:val="24"/>
        </w:rPr>
        <w:t xml:space="preserve">The gradual </w:t>
      </w:r>
      <w:r w:rsidR="00EA5629" w:rsidRPr="00F22821">
        <w:rPr>
          <w:rFonts w:cstheme="minorHAnsi"/>
          <w:sz w:val="24"/>
          <w:szCs w:val="24"/>
        </w:rPr>
        <w:t xml:space="preserve">removal of the discount </w:t>
      </w:r>
      <w:r w:rsidR="001522F4" w:rsidRPr="00F22821">
        <w:rPr>
          <w:rFonts w:cstheme="minorHAnsi"/>
          <w:sz w:val="24"/>
          <w:szCs w:val="24"/>
        </w:rPr>
        <w:t xml:space="preserve">would </w:t>
      </w:r>
      <w:r w:rsidR="00A44FF6" w:rsidRPr="00F22821">
        <w:rPr>
          <w:rFonts w:cstheme="minorHAnsi"/>
          <w:sz w:val="24"/>
          <w:szCs w:val="24"/>
        </w:rPr>
        <w:t>also</w:t>
      </w:r>
      <w:r w:rsidR="00EA5629" w:rsidRPr="00F22821">
        <w:rPr>
          <w:rFonts w:cstheme="minorHAnsi"/>
          <w:sz w:val="24"/>
          <w:szCs w:val="24"/>
        </w:rPr>
        <w:t xml:space="preserve"> ensure pharmacies</w:t>
      </w:r>
      <w:r w:rsidR="00A44FF6" w:rsidRPr="00F22821">
        <w:rPr>
          <w:rFonts w:cstheme="minorHAnsi"/>
          <w:sz w:val="24"/>
          <w:szCs w:val="24"/>
        </w:rPr>
        <w:t xml:space="preserve"> currently applying the discount</w:t>
      </w:r>
      <w:r w:rsidR="00EA5629" w:rsidRPr="00F22821">
        <w:rPr>
          <w:rFonts w:cstheme="minorHAnsi"/>
          <w:sz w:val="24"/>
          <w:szCs w:val="24"/>
        </w:rPr>
        <w:t xml:space="preserve"> have an opportunity to</w:t>
      </w:r>
      <w:r w:rsidR="00A44FF6" w:rsidRPr="00F22821">
        <w:rPr>
          <w:rFonts w:cstheme="minorHAnsi"/>
          <w:sz w:val="24"/>
          <w:szCs w:val="24"/>
        </w:rPr>
        <w:t xml:space="preserve"> transition to the new policy settings while continuing to be able to apply </w:t>
      </w:r>
      <w:r w:rsidR="00EA03DB" w:rsidRPr="00F22821">
        <w:rPr>
          <w:rFonts w:cstheme="minorHAnsi"/>
          <w:sz w:val="24"/>
          <w:szCs w:val="24"/>
        </w:rPr>
        <w:t>some</w:t>
      </w:r>
      <w:r w:rsidR="00A44FF6" w:rsidRPr="00F22821">
        <w:rPr>
          <w:rFonts w:cstheme="minorHAnsi"/>
          <w:sz w:val="24"/>
          <w:szCs w:val="24"/>
        </w:rPr>
        <w:t xml:space="preserve"> discount in line</w:t>
      </w:r>
      <w:r w:rsidR="00EA5629" w:rsidRPr="00F22821">
        <w:rPr>
          <w:rFonts w:cstheme="minorHAnsi"/>
          <w:sz w:val="24"/>
          <w:szCs w:val="24"/>
        </w:rPr>
        <w:t xml:space="preserve"> with the amount spec</w:t>
      </w:r>
      <w:r w:rsidR="00F92028" w:rsidRPr="00F22821">
        <w:rPr>
          <w:rFonts w:cstheme="minorHAnsi"/>
          <w:sz w:val="24"/>
          <w:szCs w:val="24"/>
        </w:rPr>
        <w:t>ified for reduction each year.</w:t>
      </w:r>
      <w:r w:rsidR="006A175B" w:rsidRPr="00F22821">
        <w:rPr>
          <w:rFonts w:cstheme="minorHAnsi"/>
          <w:sz w:val="24"/>
          <w:szCs w:val="24"/>
        </w:rPr>
        <w:t xml:space="preserve"> The estimated financial impacts of this option to Government </w:t>
      </w:r>
      <w:r w:rsidR="00BA483D" w:rsidRPr="00F22821">
        <w:rPr>
          <w:rFonts w:cstheme="minorHAnsi"/>
          <w:sz w:val="24"/>
          <w:szCs w:val="24"/>
        </w:rPr>
        <w:t>are outlined in Table 4 bel</w:t>
      </w:r>
      <w:r w:rsidR="006A175B" w:rsidRPr="00F22821">
        <w:rPr>
          <w:rFonts w:cstheme="minorHAnsi"/>
          <w:sz w:val="24"/>
          <w:szCs w:val="24"/>
        </w:rPr>
        <w:t>ow.</w:t>
      </w:r>
      <w:r w:rsidR="00F92028" w:rsidRPr="00F22821">
        <w:rPr>
          <w:rFonts w:cstheme="minorHAnsi"/>
          <w:sz w:val="24"/>
          <w:szCs w:val="24"/>
        </w:rPr>
        <w:t xml:space="preserve"> </w:t>
      </w:r>
    </w:p>
    <w:p w14:paraId="2E7F9A48" w14:textId="77777777" w:rsidR="00814422" w:rsidRPr="00F22821" w:rsidRDefault="00814422" w:rsidP="003351A5">
      <w:pPr>
        <w:pStyle w:val="BodyText"/>
        <w:rPr>
          <w:rFonts w:cstheme="minorHAnsi"/>
          <w:sz w:val="24"/>
          <w:szCs w:val="24"/>
        </w:rPr>
      </w:pPr>
    </w:p>
    <w:p w14:paraId="0E285BA6" w14:textId="67B2A628" w:rsidR="00BA483D" w:rsidRPr="00F22821" w:rsidRDefault="003B703E" w:rsidP="00814422">
      <w:pPr>
        <w:pStyle w:val="Caption"/>
        <w:rPr>
          <w:rFonts w:ascii="Century Gothic" w:hAnsi="Century Gothic"/>
        </w:rPr>
      </w:pPr>
      <w:r w:rsidRPr="00F22821">
        <w:rPr>
          <w:rFonts w:ascii="Century Gothic" w:hAnsi="Century Gothic"/>
        </w:rPr>
        <w:t>Table 4: Estimated financial impact of Option 3</w:t>
      </w:r>
    </w:p>
    <w:tbl>
      <w:tblPr>
        <w:tblW w:w="5000" w:type="pct"/>
        <w:tblCellMar>
          <w:left w:w="0" w:type="dxa"/>
          <w:right w:w="0" w:type="dxa"/>
        </w:tblCellMar>
        <w:tblLook w:val="0600" w:firstRow="0" w:lastRow="0" w:firstColumn="0" w:lastColumn="0" w:noHBand="1" w:noVBand="1"/>
      </w:tblPr>
      <w:tblGrid>
        <w:gridCol w:w="2783"/>
        <w:gridCol w:w="1271"/>
        <w:gridCol w:w="1272"/>
        <w:gridCol w:w="1272"/>
        <w:gridCol w:w="1270"/>
        <w:gridCol w:w="1272"/>
        <w:gridCol w:w="1272"/>
      </w:tblGrid>
      <w:tr w:rsidR="00DC4F17" w:rsidRPr="00F22821" w14:paraId="07A86A04" w14:textId="77777777" w:rsidTr="00DC4F17">
        <w:trPr>
          <w:trHeight w:val="763"/>
        </w:trPr>
        <w:tc>
          <w:tcPr>
            <w:tcW w:w="1336" w:type="pct"/>
            <w:tcBorders>
              <w:top w:val="single" w:sz="8" w:space="0" w:color="FFFFFF"/>
              <w:left w:val="single" w:sz="8" w:space="0" w:color="FFFFFF"/>
              <w:bottom w:val="single" w:sz="8" w:space="0" w:color="FFFFFF"/>
              <w:right w:val="single" w:sz="8" w:space="0" w:color="FFFFFF"/>
            </w:tcBorders>
            <w:shd w:val="clear" w:color="auto" w:fill="B4C7E7"/>
            <w:tcMar>
              <w:top w:w="15" w:type="dxa"/>
              <w:left w:w="57" w:type="dxa"/>
              <w:bottom w:w="0" w:type="dxa"/>
              <w:right w:w="57" w:type="dxa"/>
            </w:tcMar>
            <w:vAlign w:val="center"/>
            <w:hideMark/>
          </w:tcPr>
          <w:p w14:paraId="61ED71B0" w14:textId="10462AB7" w:rsidR="00BA483D" w:rsidRPr="00F22821" w:rsidRDefault="00DC4F17" w:rsidP="00DC4F17">
            <w:pPr>
              <w:pStyle w:val="BodyText"/>
              <w:spacing w:after="0" w:line="240" w:lineRule="auto"/>
              <w:rPr>
                <w:rFonts w:cstheme="minorHAnsi"/>
                <w:sz w:val="24"/>
                <w:szCs w:val="24"/>
              </w:rPr>
            </w:pPr>
            <w:r>
              <w:rPr>
                <w:rFonts w:cstheme="minorHAnsi"/>
                <w:b/>
                <w:bCs/>
                <w:sz w:val="24"/>
                <w:szCs w:val="24"/>
              </w:rPr>
              <w:t>Estimated C</w:t>
            </w:r>
            <w:r w:rsidRPr="00F22821">
              <w:rPr>
                <w:rFonts w:cstheme="minorHAnsi"/>
                <w:b/>
                <w:bCs/>
                <w:sz w:val="24"/>
                <w:szCs w:val="24"/>
              </w:rPr>
              <w:t xml:space="preserve">ost </w:t>
            </w:r>
            <w:r w:rsidR="00BA483D" w:rsidRPr="00F22821">
              <w:rPr>
                <w:rFonts w:cstheme="minorHAnsi"/>
                <w:b/>
                <w:bCs/>
                <w:sz w:val="24"/>
                <w:szCs w:val="24"/>
              </w:rPr>
              <w:t>($millions)</w:t>
            </w:r>
            <w:r>
              <w:rPr>
                <w:rFonts w:cstheme="minorHAnsi"/>
                <w:b/>
                <w:bCs/>
                <w:sz w:val="24"/>
                <w:szCs w:val="24"/>
              </w:rPr>
              <w:t>*</w:t>
            </w:r>
          </w:p>
        </w:tc>
        <w:tc>
          <w:tcPr>
            <w:tcW w:w="610" w:type="pct"/>
            <w:tcBorders>
              <w:top w:val="single" w:sz="8" w:space="0" w:color="FFFFFF"/>
              <w:left w:val="single" w:sz="8" w:space="0" w:color="FFFFFF"/>
              <w:bottom w:val="single" w:sz="8" w:space="0" w:color="FFFFFF"/>
              <w:right w:val="single" w:sz="8" w:space="0" w:color="FFFFFF"/>
            </w:tcBorders>
            <w:shd w:val="clear" w:color="auto" w:fill="B4C7E7"/>
            <w:tcMar>
              <w:top w:w="15" w:type="dxa"/>
              <w:left w:w="57" w:type="dxa"/>
              <w:bottom w:w="0" w:type="dxa"/>
              <w:right w:w="57" w:type="dxa"/>
            </w:tcMar>
            <w:vAlign w:val="center"/>
            <w:hideMark/>
          </w:tcPr>
          <w:p w14:paraId="6D2F5E87" w14:textId="77777777" w:rsidR="00BA483D" w:rsidRPr="00F22821" w:rsidRDefault="00BA483D" w:rsidP="00814422">
            <w:pPr>
              <w:pStyle w:val="BodyText"/>
              <w:spacing w:after="0" w:line="240" w:lineRule="auto"/>
              <w:jc w:val="center"/>
              <w:rPr>
                <w:rFonts w:cstheme="minorHAnsi"/>
                <w:sz w:val="24"/>
                <w:szCs w:val="24"/>
              </w:rPr>
            </w:pPr>
            <w:r w:rsidRPr="00F22821">
              <w:rPr>
                <w:rFonts w:cstheme="minorHAnsi"/>
                <w:b/>
                <w:bCs/>
                <w:sz w:val="24"/>
                <w:szCs w:val="24"/>
              </w:rPr>
              <w:t>2024-25</w:t>
            </w:r>
          </w:p>
        </w:tc>
        <w:tc>
          <w:tcPr>
            <w:tcW w:w="611" w:type="pct"/>
            <w:tcBorders>
              <w:top w:val="single" w:sz="8" w:space="0" w:color="FFFFFF"/>
              <w:left w:val="single" w:sz="8" w:space="0" w:color="FFFFFF"/>
              <w:bottom w:val="single" w:sz="8" w:space="0" w:color="FFFFFF"/>
              <w:right w:val="single" w:sz="8" w:space="0" w:color="FFFFFF"/>
            </w:tcBorders>
            <w:shd w:val="clear" w:color="auto" w:fill="B4C7E7"/>
            <w:tcMar>
              <w:top w:w="15" w:type="dxa"/>
              <w:left w:w="57" w:type="dxa"/>
              <w:bottom w:w="0" w:type="dxa"/>
              <w:right w:w="57" w:type="dxa"/>
            </w:tcMar>
            <w:vAlign w:val="center"/>
            <w:hideMark/>
          </w:tcPr>
          <w:p w14:paraId="4D4A48F8" w14:textId="77777777" w:rsidR="00BA483D" w:rsidRPr="00F22821" w:rsidRDefault="00BA483D" w:rsidP="00814422">
            <w:pPr>
              <w:pStyle w:val="BodyText"/>
              <w:spacing w:after="0" w:line="240" w:lineRule="auto"/>
              <w:jc w:val="center"/>
              <w:rPr>
                <w:rFonts w:cstheme="minorHAnsi"/>
                <w:sz w:val="24"/>
                <w:szCs w:val="24"/>
              </w:rPr>
            </w:pPr>
            <w:r w:rsidRPr="00F22821">
              <w:rPr>
                <w:rFonts w:cstheme="minorHAnsi"/>
                <w:b/>
                <w:bCs/>
                <w:sz w:val="24"/>
                <w:szCs w:val="24"/>
              </w:rPr>
              <w:t>2025-26</w:t>
            </w:r>
          </w:p>
        </w:tc>
        <w:tc>
          <w:tcPr>
            <w:tcW w:w="611" w:type="pct"/>
            <w:tcBorders>
              <w:top w:val="single" w:sz="8" w:space="0" w:color="FFFFFF"/>
              <w:left w:val="single" w:sz="8" w:space="0" w:color="FFFFFF"/>
              <w:bottom w:val="single" w:sz="8" w:space="0" w:color="FFFFFF"/>
              <w:right w:val="single" w:sz="8" w:space="0" w:color="FFFFFF"/>
            </w:tcBorders>
            <w:shd w:val="clear" w:color="auto" w:fill="B4C7E7"/>
            <w:tcMar>
              <w:top w:w="15" w:type="dxa"/>
              <w:left w:w="57" w:type="dxa"/>
              <w:bottom w:w="0" w:type="dxa"/>
              <w:right w:w="57" w:type="dxa"/>
            </w:tcMar>
            <w:vAlign w:val="center"/>
            <w:hideMark/>
          </w:tcPr>
          <w:p w14:paraId="35DE2989" w14:textId="77777777" w:rsidR="00BA483D" w:rsidRPr="00F22821" w:rsidRDefault="00BA483D" w:rsidP="00814422">
            <w:pPr>
              <w:pStyle w:val="BodyText"/>
              <w:spacing w:after="0" w:line="240" w:lineRule="auto"/>
              <w:jc w:val="center"/>
              <w:rPr>
                <w:rFonts w:cstheme="minorHAnsi"/>
                <w:sz w:val="24"/>
                <w:szCs w:val="24"/>
              </w:rPr>
            </w:pPr>
            <w:r w:rsidRPr="00F22821">
              <w:rPr>
                <w:rFonts w:cstheme="minorHAnsi"/>
                <w:b/>
                <w:bCs/>
                <w:sz w:val="24"/>
                <w:szCs w:val="24"/>
              </w:rPr>
              <w:t>2026-27</w:t>
            </w:r>
          </w:p>
        </w:tc>
        <w:tc>
          <w:tcPr>
            <w:tcW w:w="610" w:type="pct"/>
            <w:tcBorders>
              <w:top w:val="single" w:sz="8" w:space="0" w:color="FFFFFF"/>
              <w:left w:val="single" w:sz="8" w:space="0" w:color="FFFFFF"/>
              <w:bottom w:val="single" w:sz="8" w:space="0" w:color="FFFFFF"/>
              <w:right w:val="single" w:sz="8" w:space="0" w:color="FFFFFF"/>
            </w:tcBorders>
            <w:shd w:val="clear" w:color="auto" w:fill="B4C7E7"/>
            <w:tcMar>
              <w:top w:w="15" w:type="dxa"/>
              <w:left w:w="57" w:type="dxa"/>
              <w:bottom w:w="0" w:type="dxa"/>
              <w:right w:w="57" w:type="dxa"/>
            </w:tcMar>
            <w:vAlign w:val="center"/>
            <w:hideMark/>
          </w:tcPr>
          <w:p w14:paraId="26EC45A3" w14:textId="77777777" w:rsidR="00BA483D" w:rsidRPr="00F22821" w:rsidRDefault="00BA483D" w:rsidP="00814422">
            <w:pPr>
              <w:pStyle w:val="BodyText"/>
              <w:spacing w:after="0" w:line="240" w:lineRule="auto"/>
              <w:jc w:val="center"/>
              <w:rPr>
                <w:rFonts w:cstheme="minorHAnsi"/>
                <w:sz w:val="24"/>
                <w:szCs w:val="24"/>
              </w:rPr>
            </w:pPr>
            <w:r w:rsidRPr="00F22821">
              <w:rPr>
                <w:rFonts w:cstheme="minorHAnsi"/>
                <w:b/>
                <w:bCs/>
                <w:sz w:val="24"/>
                <w:szCs w:val="24"/>
              </w:rPr>
              <w:t>2027-28</w:t>
            </w:r>
          </w:p>
        </w:tc>
        <w:tc>
          <w:tcPr>
            <w:tcW w:w="611" w:type="pct"/>
            <w:tcBorders>
              <w:top w:val="single" w:sz="8" w:space="0" w:color="FFFFFF"/>
              <w:left w:val="single" w:sz="8" w:space="0" w:color="FFFFFF"/>
              <w:bottom w:val="single" w:sz="8" w:space="0" w:color="FFFFFF"/>
              <w:right w:val="single" w:sz="8" w:space="0" w:color="FFFFFF"/>
            </w:tcBorders>
            <w:shd w:val="clear" w:color="auto" w:fill="B4C7E7"/>
            <w:tcMar>
              <w:top w:w="15" w:type="dxa"/>
              <w:left w:w="57" w:type="dxa"/>
              <w:bottom w:w="0" w:type="dxa"/>
              <w:right w:w="57" w:type="dxa"/>
            </w:tcMar>
            <w:vAlign w:val="center"/>
            <w:hideMark/>
          </w:tcPr>
          <w:p w14:paraId="51384206" w14:textId="77777777" w:rsidR="00BA483D" w:rsidRPr="00F22821" w:rsidRDefault="00BA483D" w:rsidP="00814422">
            <w:pPr>
              <w:pStyle w:val="BodyText"/>
              <w:spacing w:after="0" w:line="240" w:lineRule="auto"/>
              <w:jc w:val="center"/>
              <w:rPr>
                <w:rFonts w:cstheme="minorHAnsi"/>
                <w:sz w:val="24"/>
                <w:szCs w:val="24"/>
              </w:rPr>
            </w:pPr>
            <w:r w:rsidRPr="00F22821">
              <w:rPr>
                <w:rFonts w:cstheme="minorHAnsi"/>
                <w:b/>
                <w:bCs/>
                <w:sz w:val="24"/>
                <w:szCs w:val="24"/>
              </w:rPr>
              <w:t>2028-29</w:t>
            </w:r>
          </w:p>
        </w:tc>
        <w:tc>
          <w:tcPr>
            <w:tcW w:w="611" w:type="pct"/>
            <w:tcBorders>
              <w:top w:val="single" w:sz="8" w:space="0" w:color="FFFFFF"/>
              <w:left w:val="single" w:sz="8" w:space="0" w:color="FFFFFF"/>
              <w:bottom w:val="single" w:sz="8" w:space="0" w:color="FFFFFF"/>
              <w:right w:val="single" w:sz="8" w:space="0" w:color="FFFFFF"/>
            </w:tcBorders>
            <w:shd w:val="clear" w:color="auto" w:fill="B4C7E7"/>
            <w:tcMar>
              <w:top w:w="15" w:type="dxa"/>
              <w:left w:w="57" w:type="dxa"/>
              <w:bottom w:w="0" w:type="dxa"/>
              <w:right w:w="57" w:type="dxa"/>
            </w:tcMar>
            <w:vAlign w:val="center"/>
            <w:hideMark/>
          </w:tcPr>
          <w:p w14:paraId="7649C8C7" w14:textId="77777777" w:rsidR="00BA483D" w:rsidRPr="00F22821" w:rsidRDefault="00BA483D" w:rsidP="00814422">
            <w:pPr>
              <w:pStyle w:val="BodyText"/>
              <w:spacing w:after="0" w:line="240" w:lineRule="auto"/>
              <w:jc w:val="center"/>
              <w:rPr>
                <w:rFonts w:cstheme="minorHAnsi"/>
                <w:sz w:val="24"/>
                <w:szCs w:val="24"/>
              </w:rPr>
            </w:pPr>
            <w:r w:rsidRPr="00F22821">
              <w:rPr>
                <w:rFonts w:cstheme="minorHAnsi"/>
                <w:b/>
                <w:bCs/>
                <w:sz w:val="24"/>
                <w:szCs w:val="24"/>
              </w:rPr>
              <w:t>5-year Total</w:t>
            </w:r>
          </w:p>
        </w:tc>
      </w:tr>
      <w:tr w:rsidR="00DC4F17" w:rsidRPr="00F22821" w14:paraId="65121A5A" w14:textId="77777777" w:rsidTr="00DC4F17">
        <w:trPr>
          <w:trHeight w:val="692"/>
        </w:trPr>
        <w:tc>
          <w:tcPr>
            <w:tcW w:w="1336" w:type="pct"/>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vAlign w:val="center"/>
            <w:hideMark/>
          </w:tcPr>
          <w:p w14:paraId="7EE32389" w14:textId="59CDAAC6" w:rsidR="00BA483D" w:rsidRPr="00F22821" w:rsidRDefault="00DC4F17" w:rsidP="00DC4F17">
            <w:pPr>
              <w:pStyle w:val="BodyText"/>
              <w:spacing w:after="0" w:line="240" w:lineRule="auto"/>
              <w:rPr>
                <w:rFonts w:cstheme="minorHAnsi"/>
                <w:sz w:val="24"/>
                <w:szCs w:val="24"/>
              </w:rPr>
            </w:pPr>
            <w:r>
              <w:rPr>
                <w:rFonts w:cstheme="minorHAnsi"/>
                <w:b/>
                <w:bCs/>
                <w:sz w:val="24"/>
                <w:szCs w:val="24"/>
              </w:rPr>
              <w:t>PBS</w:t>
            </w:r>
          </w:p>
        </w:tc>
        <w:tc>
          <w:tcPr>
            <w:tcW w:w="610" w:type="pct"/>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vAlign w:val="center"/>
          </w:tcPr>
          <w:p w14:paraId="6AD73E4C" w14:textId="4B9D3C19" w:rsidR="00BA483D" w:rsidRPr="00DC4F17" w:rsidRDefault="00DC4F17" w:rsidP="00814422">
            <w:pPr>
              <w:pStyle w:val="BodyText"/>
              <w:spacing w:after="0" w:line="240" w:lineRule="auto"/>
              <w:jc w:val="right"/>
              <w:rPr>
                <w:rFonts w:cstheme="minorHAnsi"/>
                <w:sz w:val="24"/>
                <w:szCs w:val="24"/>
              </w:rPr>
            </w:pPr>
            <w:r>
              <w:rPr>
                <w:rFonts w:cstheme="minorHAnsi"/>
                <w:bCs/>
                <w:sz w:val="24"/>
                <w:szCs w:val="24"/>
              </w:rPr>
              <w:t>$24.2</w:t>
            </w:r>
          </w:p>
        </w:tc>
        <w:tc>
          <w:tcPr>
            <w:tcW w:w="611" w:type="pct"/>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vAlign w:val="center"/>
          </w:tcPr>
          <w:p w14:paraId="5E7DC971" w14:textId="6A1776AD" w:rsidR="00BA483D" w:rsidRPr="00DC4F17" w:rsidRDefault="00DC4F17" w:rsidP="00814422">
            <w:pPr>
              <w:pStyle w:val="BodyText"/>
              <w:spacing w:after="0" w:line="240" w:lineRule="auto"/>
              <w:jc w:val="right"/>
              <w:rPr>
                <w:rFonts w:cstheme="minorHAnsi"/>
                <w:sz w:val="24"/>
                <w:szCs w:val="24"/>
              </w:rPr>
            </w:pPr>
            <w:r>
              <w:rPr>
                <w:rFonts w:cstheme="minorHAnsi"/>
                <w:bCs/>
                <w:sz w:val="24"/>
                <w:szCs w:val="24"/>
              </w:rPr>
              <w:t>$62.3</w:t>
            </w:r>
          </w:p>
        </w:tc>
        <w:tc>
          <w:tcPr>
            <w:tcW w:w="611" w:type="pct"/>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vAlign w:val="center"/>
          </w:tcPr>
          <w:p w14:paraId="1AA5DA2E" w14:textId="2130C4C2" w:rsidR="00BA483D" w:rsidRPr="00DC4F17" w:rsidRDefault="00DC4F17" w:rsidP="00814422">
            <w:pPr>
              <w:pStyle w:val="BodyText"/>
              <w:spacing w:after="0" w:line="240" w:lineRule="auto"/>
              <w:jc w:val="right"/>
              <w:rPr>
                <w:rFonts w:cstheme="minorHAnsi"/>
                <w:sz w:val="24"/>
                <w:szCs w:val="24"/>
              </w:rPr>
            </w:pPr>
            <w:r>
              <w:rPr>
                <w:rFonts w:cstheme="minorHAnsi"/>
                <w:bCs/>
                <w:sz w:val="24"/>
                <w:szCs w:val="24"/>
              </w:rPr>
              <w:t>$98.3</w:t>
            </w:r>
          </w:p>
        </w:tc>
        <w:tc>
          <w:tcPr>
            <w:tcW w:w="610" w:type="pct"/>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vAlign w:val="center"/>
          </w:tcPr>
          <w:p w14:paraId="67AFE04A" w14:textId="66F90E41" w:rsidR="00BA483D" w:rsidRPr="00DC4F17" w:rsidRDefault="00DC4F17" w:rsidP="00814422">
            <w:pPr>
              <w:pStyle w:val="BodyText"/>
              <w:spacing w:after="0" w:line="240" w:lineRule="auto"/>
              <w:jc w:val="right"/>
              <w:rPr>
                <w:rFonts w:cstheme="minorHAnsi"/>
                <w:sz w:val="24"/>
                <w:szCs w:val="24"/>
              </w:rPr>
            </w:pPr>
            <w:r>
              <w:rPr>
                <w:rFonts w:cstheme="minorHAnsi"/>
                <w:bCs/>
                <w:sz w:val="24"/>
                <w:szCs w:val="24"/>
              </w:rPr>
              <w:t>$128.2</w:t>
            </w:r>
          </w:p>
        </w:tc>
        <w:tc>
          <w:tcPr>
            <w:tcW w:w="611" w:type="pct"/>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vAlign w:val="center"/>
          </w:tcPr>
          <w:p w14:paraId="613C5EF5" w14:textId="7BA4D443" w:rsidR="00BA483D" w:rsidRPr="00DC4F17" w:rsidRDefault="00DC4F17" w:rsidP="00814422">
            <w:pPr>
              <w:pStyle w:val="BodyText"/>
              <w:spacing w:after="0" w:line="240" w:lineRule="auto"/>
              <w:jc w:val="right"/>
              <w:rPr>
                <w:rFonts w:cstheme="minorHAnsi"/>
                <w:sz w:val="24"/>
                <w:szCs w:val="24"/>
              </w:rPr>
            </w:pPr>
            <w:r>
              <w:rPr>
                <w:rFonts w:cstheme="minorHAnsi"/>
                <w:bCs/>
                <w:sz w:val="24"/>
                <w:szCs w:val="24"/>
              </w:rPr>
              <w:t>$163.7</w:t>
            </w:r>
          </w:p>
        </w:tc>
        <w:tc>
          <w:tcPr>
            <w:tcW w:w="611" w:type="pct"/>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vAlign w:val="center"/>
            <w:hideMark/>
          </w:tcPr>
          <w:p w14:paraId="6413C24E" w14:textId="4E35A451" w:rsidR="00BA483D" w:rsidRPr="00DC4F17" w:rsidRDefault="00DC4F17" w:rsidP="00814422">
            <w:pPr>
              <w:pStyle w:val="BodyText"/>
              <w:spacing w:after="0" w:line="240" w:lineRule="auto"/>
              <w:jc w:val="right"/>
              <w:rPr>
                <w:rFonts w:cstheme="minorHAnsi"/>
                <w:b/>
                <w:sz w:val="24"/>
                <w:szCs w:val="24"/>
              </w:rPr>
            </w:pPr>
            <w:r>
              <w:rPr>
                <w:rFonts w:cstheme="minorHAnsi"/>
                <w:b/>
                <w:bCs/>
                <w:sz w:val="24"/>
                <w:szCs w:val="24"/>
              </w:rPr>
              <w:t>$476.8</w:t>
            </w:r>
          </w:p>
        </w:tc>
      </w:tr>
      <w:tr w:rsidR="00DC4F17" w:rsidRPr="00F22821" w14:paraId="0982B09B" w14:textId="77777777" w:rsidTr="00DC4F17">
        <w:trPr>
          <w:trHeight w:val="692"/>
        </w:trPr>
        <w:tc>
          <w:tcPr>
            <w:tcW w:w="1336" w:type="pct"/>
            <w:tcBorders>
              <w:top w:val="single" w:sz="8" w:space="0" w:color="FFFFFF"/>
              <w:left w:val="single" w:sz="8" w:space="0" w:color="FFFFFF"/>
              <w:bottom w:val="single" w:sz="8" w:space="0" w:color="FFFFFF"/>
              <w:right w:val="single" w:sz="8" w:space="0" w:color="FFFFFF"/>
            </w:tcBorders>
            <w:shd w:val="clear" w:color="auto" w:fill="BDD7EE"/>
            <w:tcMar>
              <w:top w:w="15" w:type="dxa"/>
              <w:left w:w="57" w:type="dxa"/>
              <w:bottom w:w="0" w:type="dxa"/>
              <w:right w:w="57" w:type="dxa"/>
            </w:tcMar>
            <w:vAlign w:val="center"/>
            <w:hideMark/>
          </w:tcPr>
          <w:p w14:paraId="04C2A0C1" w14:textId="421D60A5" w:rsidR="00BA483D" w:rsidRPr="00F22821" w:rsidRDefault="00DC4F17" w:rsidP="00814422">
            <w:pPr>
              <w:pStyle w:val="BodyText"/>
              <w:spacing w:after="0" w:line="240" w:lineRule="auto"/>
              <w:rPr>
                <w:rFonts w:cstheme="minorHAnsi"/>
                <w:sz w:val="24"/>
                <w:szCs w:val="24"/>
              </w:rPr>
            </w:pPr>
            <w:r>
              <w:rPr>
                <w:rFonts w:cstheme="minorHAnsi"/>
                <w:b/>
                <w:bCs/>
                <w:sz w:val="24"/>
                <w:szCs w:val="24"/>
              </w:rPr>
              <w:t>RPBS</w:t>
            </w:r>
          </w:p>
        </w:tc>
        <w:tc>
          <w:tcPr>
            <w:tcW w:w="610" w:type="pct"/>
            <w:tcBorders>
              <w:top w:val="single" w:sz="8" w:space="0" w:color="FFFFFF"/>
              <w:left w:val="single" w:sz="8" w:space="0" w:color="FFFFFF"/>
              <w:bottom w:val="single" w:sz="8" w:space="0" w:color="FFFFFF"/>
              <w:right w:val="single" w:sz="8" w:space="0" w:color="FFFFFF"/>
            </w:tcBorders>
            <w:shd w:val="clear" w:color="auto" w:fill="BDD7EE"/>
            <w:tcMar>
              <w:top w:w="15" w:type="dxa"/>
              <w:left w:w="57" w:type="dxa"/>
              <w:bottom w:w="0" w:type="dxa"/>
              <w:right w:w="57" w:type="dxa"/>
            </w:tcMar>
            <w:vAlign w:val="center"/>
          </w:tcPr>
          <w:p w14:paraId="399DB8FF" w14:textId="7AED87F8" w:rsidR="00BA483D" w:rsidRPr="00DC4F17" w:rsidRDefault="00DC4F17" w:rsidP="00814422">
            <w:pPr>
              <w:pStyle w:val="BodyText"/>
              <w:spacing w:after="0" w:line="240" w:lineRule="auto"/>
              <w:jc w:val="right"/>
              <w:rPr>
                <w:rFonts w:cstheme="minorHAnsi"/>
                <w:sz w:val="24"/>
                <w:szCs w:val="24"/>
              </w:rPr>
            </w:pPr>
            <w:r>
              <w:rPr>
                <w:rFonts w:cstheme="minorHAnsi"/>
                <w:sz w:val="24"/>
                <w:szCs w:val="24"/>
              </w:rPr>
              <w:t>$0.</w:t>
            </w:r>
            <w:r w:rsidR="009C4AFB">
              <w:rPr>
                <w:rFonts w:cstheme="minorHAnsi"/>
                <w:sz w:val="24"/>
                <w:szCs w:val="24"/>
              </w:rPr>
              <w:t>5</w:t>
            </w:r>
          </w:p>
        </w:tc>
        <w:tc>
          <w:tcPr>
            <w:tcW w:w="611" w:type="pct"/>
            <w:tcBorders>
              <w:top w:val="single" w:sz="8" w:space="0" w:color="FFFFFF"/>
              <w:left w:val="single" w:sz="8" w:space="0" w:color="FFFFFF"/>
              <w:bottom w:val="single" w:sz="8" w:space="0" w:color="FFFFFF"/>
              <w:right w:val="single" w:sz="8" w:space="0" w:color="FFFFFF"/>
            </w:tcBorders>
            <w:shd w:val="clear" w:color="auto" w:fill="BDD7EE"/>
            <w:tcMar>
              <w:top w:w="15" w:type="dxa"/>
              <w:left w:w="57" w:type="dxa"/>
              <w:bottom w:w="0" w:type="dxa"/>
              <w:right w:w="57" w:type="dxa"/>
            </w:tcMar>
            <w:vAlign w:val="center"/>
          </w:tcPr>
          <w:p w14:paraId="72CEE0E8" w14:textId="05863F6A" w:rsidR="00BA483D" w:rsidRPr="00DC4F17" w:rsidRDefault="00DC4F17" w:rsidP="00814422">
            <w:pPr>
              <w:pStyle w:val="BodyText"/>
              <w:spacing w:after="0" w:line="240" w:lineRule="auto"/>
              <w:jc w:val="right"/>
              <w:rPr>
                <w:rFonts w:cstheme="minorHAnsi"/>
                <w:sz w:val="24"/>
                <w:szCs w:val="24"/>
              </w:rPr>
            </w:pPr>
            <w:r>
              <w:rPr>
                <w:rFonts w:cstheme="minorHAnsi"/>
                <w:sz w:val="24"/>
                <w:szCs w:val="24"/>
              </w:rPr>
              <w:t>$1.1</w:t>
            </w:r>
          </w:p>
        </w:tc>
        <w:tc>
          <w:tcPr>
            <w:tcW w:w="611" w:type="pct"/>
            <w:tcBorders>
              <w:top w:val="single" w:sz="8" w:space="0" w:color="FFFFFF"/>
              <w:left w:val="single" w:sz="8" w:space="0" w:color="FFFFFF"/>
              <w:bottom w:val="single" w:sz="8" w:space="0" w:color="FFFFFF"/>
              <w:right w:val="single" w:sz="8" w:space="0" w:color="FFFFFF"/>
            </w:tcBorders>
            <w:shd w:val="clear" w:color="auto" w:fill="BDD7EE"/>
            <w:tcMar>
              <w:top w:w="15" w:type="dxa"/>
              <w:left w:w="57" w:type="dxa"/>
              <w:bottom w:w="0" w:type="dxa"/>
              <w:right w:w="57" w:type="dxa"/>
            </w:tcMar>
            <w:vAlign w:val="center"/>
          </w:tcPr>
          <w:p w14:paraId="05970F0F" w14:textId="0A3B84FA" w:rsidR="00BA483D" w:rsidRPr="00DC4F17" w:rsidRDefault="00DC4F17" w:rsidP="00814422">
            <w:pPr>
              <w:pStyle w:val="BodyText"/>
              <w:spacing w:after="0" w:line="240" w:lineRule="auto"/>
              <w:jc w:val="right"/>
              <w:rPr>
                <w:rFonts w:cstheme="minorHAnsi"/>
                <w:sz w:val="24"/>
                <w:szCs w:val="24"/>
              </w:rPr>
            </w:pPr>
            <w:r>
              <w:rPr>
                <w:rFonts w:cstheme="minorHAnsi"/>
                <w:sz w:val="24"/>
                <w:szCs w:val="24"/>
              </w:rPr>
              <w:t>$1.9</w:t>
            </w:r>
          </w:p>
        </w:tc>
        <w:tc>
          <w:tcPr>
            <w:tcW w:w="610" w:type="pct"/>
            <w:tcBorders>
              <w:top w:val="single" w:sz="8" w:space="0" w:color="FFFFFF"/>
              <w:left w:val="single" w:sz="8" w:space="0" w:color="FFFFFF"/>
              <w:bottom w:val="single" w:sz="8" w:space="0" w:color="FFFFFF"/>
              <w:right w:val="single" w:sz="8" w:space="0" w:color="FFFFFF"/>
            </w:tcBorders>
            <w:shd w:val="clear" w:color="auto" w:fill="BDD7EE"/>
            <w:tcMar>
              <w:top w:w="15" w:type="dxa"/>
              <w:left w:w="57" w:type="dxa"/>
              <w:bottom w:w="0" w:type="dxa"/>
              <w:right w:w="57" w:type="dxa"/>
            </w:tcMar>
            <w:vAlign w:val="center"/>
          </w:tcPr>
          <w:p w14:paraId="0F295FC9" w14:textId="28691887" w:rsidR="00BA483D" w:rsidRPr="00DC4F17" w:rsidRDefault="00DC4F17" w:rsidP="00814422">
            <w:pPr>
              <w:pStyle w:val="BodyText"/>
              <w:spacing w:after="0" w:line="240" w:lineRule="auto"/>
              <w:jc w:val="right"/>
              <w:rPr>
                <w:rFonts w:cstheme="minorHAnsi"/>
                <w:sz w:val="24"/>
                <w:szCs w:val="24"/>
              </w:rPr>
            </w:pPr>
            <w:r>
              <w:rPr>
                <w:rFonts w:cstheme="minorHAnsi"/>
                <w:sz w:val="24"/>
                <w:szCs w:val="24"/>
              </w:rPr>
              <w:t>$2.</w:t>
            </w:r>
            <w:r w:rsidR="009C4AFB">
              <w:rPr>
                <w:rFonts w:cstheme="minorHAnsi"/>
                <w:sz w:val="24"/>
                <w:szCs w:val="24"/>
              </w:rPr>
              <w:t>5</w:t>
            </w:r>
          </w:p>
        </w:tc>
        <w:tc>
          <w:tcPr>
            <w:tcW w:w="611" w:type="pct"/>
            <w:tcBorders>
              <w:top w:val="single" w:sz="8" w:space="0" w:color="FFFFFF"/>
              <w:left w:val="single" w:sz="8" w:space="0" w:color="FFFFFF"/>
              <w:bottom w:val="single" w:sz="8" w:space="0" w:color="FFFFFF"/>
              <w:right w:val="single" w:sz="8" w:space="0" w:color="FFFFFF"/>
            </w:tcBorders>
            <w:shd w:val="clear" w:color="auto" w:fill="BDD7EE"/>
            <w:tcMar>
              <w:top w:w="15" w:type="dxa"/>
              <w:left w:w="57" w:type="dxa"/>
              <w:bottom w:w="0" w:type="dxa"/>
              <w:right w:w="57" w:type="dxa"/>
            </w:tcMar>
            <w:vAlign w:val="center"/>
          </w:tcPr>
          <w:p w14:paraId="414C5160" w14:textId="62DEC53D" w:rsidR="00BA483D" w:rsidRPr="00DC4F17" w:rsidRDefault="00DC4F17" w:rsidP="00814422">
            <w:pPr>
              <w:pStyle w:val="BodyText"/>
              <w:spacing w:after="0" w:line="240" w:lineRule="auto"/>
              <w:jc w:val="right"/>
              <w:rPr>
                <w:rFonts w:cstheme="minorHAnsi"/>
                <w:sz w:val="24"/>
                <w:szCs w:val="24"/>
              </w:rPr>
            </w:pPr>
            <w:r>
              <w:rPr>
                <w:rFonts w:cstheme="minorHAnsi"/>
                <w:sz w:val="24"/>
                <w:szCs w:val="24"/>
              </w:rPr>
              <w:t>$3.1</w:t>
            </w:r>
          </w:p>
        </w:tc>
        <w:tc>
          <w:tcPr>
            <w:tcW w:w="611" w:type="pct"/>
            <w:tcBorders>
              <w:top w:val="single" w:sz="8" w:space="0" w:color="FFFFFF"/>
              <w:left w:val="single" w:sz="8" w:space="0" w:color="FFFFFF"/>
              <w:bottom w:val="single" w:sz="8" w:space="0" w:color="FFFFFF"/>
              <w:right w:val="single" w:sz="8" w:space="0" w:color="FFFFFF"/>
            </w:tcBorders>
            <w:shd w:val="clear" w:color="auto" w:fill="BDD7EE"/>
            <w:tcMar>
              <w:top w:w="15" w:type="dxa"/>
              <w:left w:w="57" w:type="dxa"/>
              <w:bottom w:w="0" w:type="dxa"/>
              <w:right w:w="57" w:type="dxa"/>
            </w:tcMar>
            <w:vAlign w:val="center"/>
          </w:tcPr>
          <w:p w14:paraId="27DAA1EC" w14:textId="174198F8" w:rsidR="00BA483D" w:rsidRPr="00DC4F17" w:rsidRDefault="00DC4F17" w:rsidP="00814422">
            <w:pPr>
              <w:pStyle w:val="BodyText"/>
              <w:spacing w:after="0" w:line="240" w:lineRule="auto"/>
              <w:jc w:val="right"/>
              <w:rPr>
                <w:rFonts w:cstheme="minorHAnsi"/>
                <w:b/>
                <w:sz w:val="24"/>
                <w:szCs w:val="24"/>
              </w:rPr>
            </w:pPr>
            <w:r>
              <w:rPr>
                <w:rFonts w:cstheme="minorHAnsi"/>
                <w:b/>
                <w:sz w:val="24"/>
                <w:szCs w:val="24"/>
              </w:rPr>
              <w:t>$9.1</w:t>
            </w:r>
          </w:p>
        </w:tc>
      </w:tr>
      <w:tr w:rsidR="00DC4F17" w:rsidRPr="00F22821" w14:paraId="7425B943" w14:textId="77777777" w:rsidTr="00DC4F17">
        <w:trPr>
          <w:trHeight w:val="692"/>
        </w:trPr>
        <w:tc>
          <w:tcPr>
            <w:tcW w:w="1336" w:type="pct"/>
            <w:tcBorders>
              <w:top w:val="single" w:sz="8" w:space="0" w:color="FFFFFF"/>
              <w:left w:val="single" w:sz="8" w:space="0" w:color="FFFFFF"/>
              <w:bottom w:val="single" w:sz="8" w:space="0" w:color="FFFFFF"/>
              <w:right w:val="single" w:sz="8" w:space="0" w:color="FFFFFF"/>
            </w:tcBorders>
            <w:shd w:val="clear" w:color="auto" w:fill="BDD7EE"/>
            <w:tcMar>
              <w:top w:w="15" w:type="dxa"/>
              <w:left w:w="57" w:type="dxa"/>
              <w:bottom w:w="0" w:type="dxa"/>
              <w:right w:w="57" w:type="dxa"/>
            </w:tcMar>
            <w:vAlign w:val="center"/>
          </w:tcPr>
          <w:p w14:paraId="4D86AB20" w14:textId="2D11E08F" w:rsidR="00D10122" w:rsidRPr="00F22821" w:rsidRDefault="00D10122" w:rsidP="00814422">
            <w:pPr>
              <w:pStyle w:val="BodyText"/>
              <w:spacing w:after="0" w:line="240" w:lineRule="auto"/>
              <w:rPr>
                <w:rFonts w:cstheme="minorHAnsi"/>
                <w:b/>
                <w:bCs/>
                <w:sz w:val="24"/>
                <w:szCs w:val="24"/>
              </w:rPr>
            </w:pPr>
            <w:r w:rsidRPr="00F22821">
              <w:rPr>
                <w:rFonts w:cstheme="minorHAnsi"/>
                <w:b/>
                <w:bCs/>
                <w:sz w:val="24"/>
                <w:szCs w:val="24"/>
              </w:rPr>
              <w:t>Total</w:t>
            </w:r>
          </w:p>
        </w:tc>
        <w:tc>
          <w:tcPr>
            <w:tcW w:w="610" w:type="pct"/>
            <w:tcBorders>
              <w:top w:val="single" w:sz="8" w:space="0" w:color="FFFFFF"/>
              <w:left w:val="single" w:sz="8" w:space="0" w:color="FFFFFF"/>
              <w:bottom w:val="single" w:sz="8" w:space="0" w:color="FFFFFF"/>
              <w:right w:val="single" w:sz="8" w:space="0" w:color="FFFFFF"/>
            </w:tcBorders>
            <w:shd w:val="clear" w:color="auto" w:fill="BDD7EE"/>
            <w:tcMar>
              <w:top w:w="15" w:type="dxa"/>
              <w:left w:w="57" w:type="dxa"/>
              <w:bottom w:w="0" w:type="dxa"/>
              <w:right w:w="57" w:type="dxa"/>
            </w:tcMar>
            <w:vAlign w:val="center"/>
          </w:tcPr>
          <w:p w14:paraId="425FC7D6" w14:textId="4A961379" w:rsidR="00D10122" w:rsidRPr="00F22821" w:rsidRDefault="00DC4F17" w:rsidP="00814422">
            <w:pPr>
              <w:pStyle w:val="BodyText"/>
              <w:spacing w:after="0" w:line="240" w:lineRule="auto"/>
              <w:jc w:val="right"/>
              <w:rPr>
                <w:rFonts w:cstheme="minorHAnsi"/>
                <w:b/>
                <w:bCs/>
                <w:sz w:val="24"/>
                <w:szCs w:val="24"/>
              </w:rPr>
            </w:pPr>
            <w:r>
              <w:rPr>
                <w:rFonts w:cstheme="minorHAnsi"/>
                <w:b/>
                <w:bCs/>
                <w:sz w:val="24"/>
                <w:szCs w:val="24"/>
              </w:rPr>
              <w:t>$24.</w:t>
            </w:r>
            <w:r w:rsidR="009C4AFB">
              <w:rPr>
                <w:rFonts w:cstheme="minorHAnsi"/>
                <w:b/>
                <w:bCs/>
                <w:sz w:val="24"/>
                <w:szCs w:val="24"/>
              </w:rPr>
              <w:t>7</w:t>
            </w:r>
          </w:p>
        </w:tc>
        <w:tc>
          <w:tcPr>
            <w:tcW w:w="611" w:type="pct"/>
            <w:tcBorders>
              <w:top w:val="single" w:sz="8" w:space="0" w:color="FFFFFF"/>
              <w:left w:val="single" w:sz="8" w:space="0" w:color="FFFFFF"/>
              <w:bottom w:val="single" w:sz="8" w:space="0" w:color="FFFFFF"/>
              <w:right w:val="single" w:sz="8" w:space="0" w:color="FFFFFF"/>
            </w:tcBorders>
            <w:shd w:val="clear" w:color="auto" w:fill="BDD7EE"/>
            <w:tcMar>
              <w:top w:w="15" w:type="dxa"/>
              <w:left w:w="57" w:type="dxa"/>
              <w:bottom w:w="0" w:type="dxa"/>
              <w:right w:w="57" w:type="dxa"/>
            </w:tcMar>
            <w:vAlign w:val="center"/>
          </w:tcPr>
          <w:p w14:paraId="6F823514" w14:textId="7A75D754" w:rsidR="00D10122" w:rsidRPr="00F22821" w:rsidRDefault="00DC4F17" w:rsidP="00814422">
            <w:pPr>
              <w:pStyle w:val="BodyText"/>
              <w:spacing w:after="0" w:line="240" w:lineRule="auto"/>
              <w:jc w:val="right"/>
              <w:rPr>
                <w:rFonts w:cstheme="minorHAnsi"/>
                <w:b/>
                <w:bCs/>
                <w:sz w:val="24"/>
                <w:szCs w:val="24"/>
              </w:rPr>
            </w:pPr>
            <w:r>
              <w:rPr>
                <w:rFonts w:cstheme="minorHAnsi"/>
                <w:b/>
                <w:bCs/>
                <w:sz w:val="24"/>
                <w:szCs w:val="24"/>
              </w:rPr>
              <w:t>$63.</w:t>
            </w:r>
            <w:r w:rsidR="009C4AFB">
              <w:rPr>
                <w:rFonts w:cstheme="minorHAnsi"/>
                <w:b/>
                <w:bCs/>
                <w:sz w:val="24"/>
                <w:szCs w:val="24"/>
              </w:rPr>
              <w:t>5</w:t>
            </w:r>
          </w:p>
        </w:tc>
        <w:tc>
          <w:tcPr>
            <w:tcW w:w="611" w:type="pct"/>
            <w:tcBorders>
              <w:top w:val="single" w:sz="8" w:space="0" w:color="FFFFFF"/>
              <w:left w:val="single" w:sz="8" w:space="0" w:color="FFFFFF"/>
              <w:bottom w:val="single" w:sz="8" w:space="0" w:color="FFFFFF"/>
              <w:right w:val="single" w:sz="8" w:space="0" w:color="FFFFFF"/>
            </w:tcBorders>
            <w:shd w:val="clear" w:color="auto" w:fill="BDD7EE"/>
            <w:tcMar>
              <w:top w:w="15" w:type="dxa"/>
              <w:left w:w="57" w:type="dxa"/>
              <w:bottom w:w="0" w:type="dxa"/>
              <w:right w:w="57" w:type="dxa"/>
            </w:tcMar>
            <w:vAlign w:val="center"/>
          </w:tcPr>
          <w:p w14:paraId="713B4662" w14:textId="15D2B192" w:rsidR="00D10122" w:rsidRPr="00F22821" w:rsidRDefault="00DC4F17" w:rsidP="00814422">
            <w:pPr>
              <w:pStyle w:val="BodyText"/>
              <w:spacing w:after="0" w:line="240" w:lineRule="auto"/>
              <w:jc w:val="right"/>
              <w:rPr>
                <w:rFonts w:cstheme="minorHAnsi"/>
                <w:b/>
                <w:bCs/>
                <w:sz w:val="24"/>
                <w:szCs w:val="24"/>
              </w:rPr>
            </w:pPr>
            <w:r>
              <w:rPr>
                <w:rFonts w:cstheme="minorHAnsi"/>
                <w:b/>
                <w:bCs/>
                <w:sz w:val="24"/>
                <w:szCs w:val="24"/>
              </w:rPr>
              <w:t>$100.2</w:t>
            </w:r>
          </w:p>
        </w:tc>
        <w:tc>
          <w:tcPr>
            <w:tcW w:w="610" w:type="pct"/>
            <w:tcBorders>
              <w:top w:val="single" w:sz="8" w:space="0" w:color="FFFFFF"/>
              <w:left w:val="single" w:sz="8" w:space="0" w:color="FFFFFF"/>
              <w:bottom w:val="single" w:sz="8" w:space="0" w:color="FFFFFF"/>
              <w:right w:val="single" w:sz="8" w:space="0" w:color="FFFFFF"/>
            </w:tcBorders>
            <w:shd w:val="clear" w:color="auto" w:fill="BDD7EE"/>
            <w:tcMar>
              <w:top w:w="15" w:type="dxa"/>
              <w:left w:w="57" w:type="dxa"/>
              <w:bottom w:w="0" w:type="dxa"/>
              <w:right w:w="57" w:type="dxa"/>
            </w:tcMar>
            <w:vAlign w:val="center"/>
          </w:tcPr>
          <w:p w14:paraId="0A082334" w14:textId="4EF2F1D9" w:rsidR="00D10122" w:rsidRPr="00F22821" w:rsidRDefault="00DC4F17" w:rsidP="00814422">
            <w:pPr>
              <w:pStyle w:val="BodyText"/>
              <w:spacing w:after="0" w:line="240" w:lineRule="auto"/>
              <w:jc w:val="right"/>
              <w:rPr>
                <w:rFonts w:cstheme="minorHAnsi"/>
                <w:b/>
                <w:bCs/>
                <w:sz w:val="24"/>
                <w:szCs w:val="24"/>
              </w:rPr>
            </w:pPr>
            <w:r>
              <w:rPr>
                <w:rFonts w:cstheme="minorHAnsi"/>
                <w:b/>
                <w:bCs/>
                <w:sz w:val="24"/>
                <w:szCs w:val="24"/>
              </w:rPr>
              <w:t>$130.</w:t>
            </w:r>
            <w:r w:rsidR="009C4AFB">
              <w:rPr>
                <w:rFonts w:cstheme="minorHAnsi"/>
                <w:b/>
                <w:bCs/>
                <w:sz w:val="24"/>
                <w:szCs w:val="24"/>
              </w:rPr>
              <w:t>7</w:t>
            </w:r>
          </w:p>
        </w:tc>
        <w:tc>
          <w:tcPr>
            <w:tcW w:w="611" w:type="pct"/>
            <w:tcBorders>
              <w:top w:val="single" w:sz="8" w:space="0" w:color="FFFFFF"/>
              <w:left w:val="single" w:sz="8" w:space="0" w:color="FFFFFF"/>
              <w:bottom w:val="single" w:sz="8" w:space="0" w:color="FFFFFF"/>
              <w:right w:val="single" w:sz="8" w:space="0" w:color="FFFFFF"/>
            </w:tcBorders>
            <w:shd w:val="clear" w:color="auto" w:fill="BDD7EE"/>
            <w:tcMar>
              <w:top w:w="15" w:type="dxa"/>
              <w:left w:w="57" w:type="dxa"/>
              <w:bottom w:w="0" w:type="dxa"/>
              <w:right w:w="57" w:type="dxa"/>
            </w:tcMar>
            <w:vAlign w:val="center"/>
          </w:tcPr>
          <w:p w14:paraId="753B3045" w14:textId="5934FA6E" w:rsidR="00D10122" w:rsidRPr="00F22821" w:rsidRDefault="00DC4F17" w:rsidP="00814422">
            <w:pPr>
              <w:pStyle w:val="BodyText"/>
              <w:spacing w:after="0" w:line="240" w:lineRule="auto"/>
              <w:jc w:val="right"/>
              <w:rPr>
                <w:rFonts w:cstheme="minorHAnsi"/>
                <w:b/>
                <w:bCs/>
                <w:sz w:val="24"/>
                <w:szCs w:val="24"/>
              </w:rPr>
            </w:pPr>
            <w:r>
              <w:rPr>
                <w:rFonts w:cstheme="minorHAnsi"/>
                <w:b/>
                <w:bCs/>
                <w:sz w:val="24"/>
                <w:szCs w:val="24"/>
              </w:rPr>
              <w:t>$166.9</w:t>
            </w:r>
          </w:p>
        </w:tc>
        <w:tc>
          <w:tcPr>
            <w:tcW w:w="611" w:type="pct"/>
            <w:tcBorders>
              <w:top w:val="single" w:sz="8" w:space="0" w:color="FFFFFF"/>
              <w:left w:val="single" w:sz="8" w:space="0" w:color="FFFFFF"/>
              <w:bottom w:val="single" w:sz="8" w:space="0" w:color="FFFFFF"/>
              <w:right w:val="single" w:sz="8" w:space="0" w:color="FFFFFF"/>
            </w:tcBorders>
            <w:shd w:val="clear" w:color="auto" w:fill="BDD7EE"/>
            <w:tcMar>
              <w:top w:w="15" w:type="dxa"/>
              <w:left w:w="57" w:type="dxa"/>
              <w:bottom w:w="0" w:type="dxa"/>
              <w:right w:w="57" w:type="dxa"/>
            </w:tcMar>
            <w:vAlign w:val="center"/>
          </w:tcPr>
          <w:p w14:paraId="7AB7B19C" w14:textId="60783DAD" w:rsidR="00D10122" w:rsidRPr="00F22821" w:rsidRDefault="001B5246" w:rsidP="00814422">
            <w:pPr>
              <w:pStyle w:val="BodyText"/>
              <w:spacing w:after="0" w:line="240" w:lineRule="auto"/>
              <w:jc w:val="right"/>
              <w:rPr>
                <w:rFonts w:cstheme="minorHAnsi"/>
                <w:b/>
                <w:bCs/>
                <w:sz w:val="24"/>
                <w:szCs w:val="24"/>
              </w:rPr>
            </w:pPr>
            <w:r>
              <w:rPr>
                <w:rFonts w:cstheme="minorHAnsi"/>
                <w:b/>
                <w:bCs/>
                <w:sz w:val="24"/>
                <w:szCs w:val="24"/>
              </w:rPr>
              <w:t>$485.9</w:t>
            </w:r>
          </w:p>
        </w:tc>
      </w:tr>
    </w:tbl>
    <w:p w14:paraId="7A4C7670" w14:textId="3EF98415" w:rsidR="00020B38" w:rsidRPr="00257AEF" w:rsidRDefault="00DC4F17" w:rsidP="00257AEF">
      <w:pPr>
        <w:pStyle w:val="BodyText"/>
        <w:spacing w:after="0" w:line="240" w:lineRule="auto"/>
        <w:rPr>
          <w:rFonts w:cstheme="minorHAnsi"/>
          <w:i/>
          <w:szCs w:val="24"/>
        </w:rPr>
      </w:pPr>
      <w:r w:rsidRPr="00257AEF">
        <w:rPr>
          <w:rFonts w:cstheme="minorHAnsi"/>
          <w:i/>
          <w:szCs w:val="24"/>
        </w:rPr>
        <w:t>* Figures are on an accrual basis</w:t>
      </w:r>
    </w:p>
    <w:p w14:paraId="054D024F" w14:textId="0A1A6B75" w:rsidR="00DC4F17" w:rsidRPr="00257AEF" w:rsidRDefault="00DC4F17" w:rsidP="00257AEF">
      <w:pPr>
        <w:pStyle w:val="BodyText"/>
        <w:spacing w:after="0" w:line="240" w:lineRule="auto"/>
        <w:rPr>
          <w:rFonts w:cstheme="minorHAnsi"/>
          <w:i/>
          <w:szCs w:val="24"/>
        </w:rPr>
      </w:pPr>
      <w:r w:rsidRPr="00257AEF">
        <w:rPr>
          <w:rFonts w:cstheme="minorHAnsi"/>
          <w:i/>
          <w:szCs w:val="24"/>
        </w:rPr>
        <w:t>** Estimated implementation costs: $</w:t>
      </w:r>
      <w:r w:rsidR="001B5246" w:rsidRPr="00257AEF">
        <w:rPr>
          <w:rFonts w:cstheme="minorHAnsi"/>
          <w:i/>
          <w:szCs w:val="24"/>
        </w:rPr>
        <w:t>1.050 (million)</w:t>
      </w:r>
    </w:p>
    <w:p w14:paraId="185E46F3" w14:textId="4C2C6683" w:rsidR="00033824" w:rsidRPr="00F22821" w:rsidRDefault="00EA5629" w:rsidP="00764889">
      <w:pPr>
        <w:pStyle w:val="Heading4"/>
        <w:rPr>
          <w:b/>
        </w:rPr>
      </w:pPr>
      <w:r w:rsidRPr="00F22821">
        <w:rPr>
          <w:b/>
        </w:rPr>
        <w:t xml:space="preserve">Net benefits of each option </w:t>
      </w:r>
    </w:p>
    <w:p w14:paraId="18648835" w14:textId="1D22869A" w:rsidR="003B703E" w:rsidRPr="00F22821" w:rsidRDefault="00336845" w:rsidP="003351A5">
      <w:pPr>
        <w:pStyle w:val="BodyText"/>
        <w:rPr>
          <w:rFonts w:cstheme="minorHAnsi"/>
          <w:sz w:val="24"/>
          <w:szCs w:val="24"/>
        </w:rPr>
      </w:pPr>
      <w:bookmarkStart w:id="1" w:name="_Detailed_policy_options"/>
      <w:bookmarkEnd w:id="1"/>
      <w:r w:rsidRPr="00F22821">
        <w:rPr>
          <w:rFonts w:cstheme="minorHAnsi"/>
          <w:sz w:val="24"/>
          <w:szCs w:val="24"/>
        </w:rPr>
        <w:t xml:space="preserve">In line with the approach taken in the </w:t>
      </w:r>
      <w:r w:rsidR="003B703E" w:rsidRPr="00F22821">
        <w:rPr>
          <w:rFonts w:cstheme="minorHAnsi"/>
          <w:sz w:val="24"/>
          <w:szCs w:val="24"/>
        </w:rPr>
        <w:t>8CPA IA</w:t>
      </w:r>
      <w:r w:rsidR="0030774C" w:rsidRPr="00F22821">
        <w:rPr>
          <w:rFonts w:cstheme="minorHAnsi"/>
          <w:sz w:val="24"/>
          <w:szCs w:val="24"/>
        </w:rPr>
        <w:t>,</w:t>
      </w:r>
      <w:r w:rsidRPr="00F22821">
        <w:rPr>
          <w:rFonts w:cstheme="minorHAnsi"/>
          <w:sz w:val="24"/>
          <w:szCs w:val="24"/>
        </w:rPr>
        <w:t xml:space="preserve"> this addendum has endeavoured to interrogate how policy will work towards achieving the pillars of National Medicines Policy (NMP). </w:t>
      </w:r>
    </w:p>
    <w:p w14:paraId="58F78F1C" w14:textId="1BCB02CC" w:rsidR="00567E9F" w:rsidRPr="00F22821" w:rsidRDefault="00336845" w:rsidP="003351A5">
      <w:pPr>
        <w:pStyle w:val="BodyText"/>
        <w:rPr>
          <w:rFonts w:cstheme="minorHAnsi"/>
          <w:sz w:val="24"/>
          <w:szCs w:val="24"/>
        </w:rPr>
      </w:pPr>
      <w:r w:rsidRPr="00F22821">
        <w:rPr>
          <w:rFonts w:cstheme="minorHAnsi"/>
          <w:sz w:val="24"/>
          <w:szCs w:val="24"/>
        </w:rPr>
        <w:t>This</w:t>
      </w:r>
      <w:r w:rsidR="00703C7A" w:rsidRPr="00F22821">
        <w:rPr>
          <w:rFonts w:cstheme="minorHAnsi"/>
          <w:sz w:val="24"/>
          <w:szCs w:val="24"/>
        </w:rPr>
        <w:t xml:space="preserve"> policy primarily </w:t>
      </w:r>
      <w:r w:rsidR="0030774C" w:rsidRPr="00F22821">
        <w:rPr>
          <w:rFonts w:cstheme="minorHAnsi"/>
          <w:sz w:val="24"/>
          <w:szCs w:val="24"/>
        </w:rPr>
        <w:t>affects</w:t>
      </w:r>
      <w:r w:rsidR="00703C7A" w:rsidRPr="00F22821">
        <w:rPr>
          <w:rFonts w:cstheme="minorHAnsi"/>
          <w:sz w:val="24"/>
          <w:szCs w:val="24"/>
        </w:rPr>
        <w:t xml:space="preserve"> the equity, sustainability and access for consumers and business </w:t>
      </w:r>
      <w:r w:rsidR="003B703E" w:rsidRPr="00F22821">
        <w:rPr>
          <w:rFonts w:cstheme="minorHAnsi"/>
          <w:sz w:val="24"/>
          <w:szCs w:val="24"/>
        </w:rPr>
        <w:t xml:space="preserve">and analysis has therefore been focussed on these objectives. </w:t>
      </w:r>
      <w:r w:rsidR="0030774C" w:rsidRPr="00F22821">
        <w:rPr>
          <w:rFonts w:cstheme="minorHAnsi"/>
          <w:sz w:val="24"/>
          <w:szCs w:val="24"/>
        </w:rPr>
        <w:t>Table</w:t>
      </w:r>
      <w:r w:rsidR="001B727B">
        <w:rPr>
          <w:rFonts w:cstheme="minorHAnsi"/>
          <w:sz w:val="24"/>
          <w:szCs w:val="24"/>
        </w:rPr>
        <w:t xml:space="preserve"> </w:t>
      </w:r>
      <w:r w:rsidR="0030774C" w:rsidRPr="00F22821">
        <w:rPr>
          <w:rFonts w:cstheme="minorHAnsi"/>
          <w:sz w:val="24"/>
          <w:szCs w:val="24"/>
        </w:rPr>
        <w:t xml:space="preserve">5 below provides an </w:t>
      </w:r>
      <w:r w:rsidR="003B703E" w:rsidRPr="00F22821">
        <w:rPr>
          <w:rFonts w:cstheme="minorHAnsi"/>
          <w:sz w:val="24"/>
          <w:szCs w:val="24"/>
        </w:rPr>
        <w:t>overview of the net benefits of each of the options considered</w:t>
      </w:r>
      <w:r w:rsidR="0030774C" w:rsidRPr="00F22821">
        <w:rPr>
          <w:rFonts w:cstheme="minorHAnsi"/>
          <w:sz w:val="24"/>
          <w:szCs w:val="24"/>
        </w:rPr>
        <w:t xml:space="preserve">. </w:t>
      </w:r>
      <w:r w:rsidR="003B703E" w:rsidRPr="00F22821">
        <w:rPr>
          <w:rFonts w:cstheme="minorHAnsi"/>
          <w:sz w:val="24"/>
          <w:szCs w:val="24"/>
        </w:rPr>
        <w:t xml:space="preserve">Key assumptions made in developing the analysis is that existing discounting </w:t>
      </w:r>
      <w:r w:rsidR="008B1D58" w:rsidRPr="00F22821">
        <w:rPr>
          <w:rFonts w:cstheme="minorHAnsi"/>
          <w:sz w:val="24"/>
          <w:szCs w:val="24"/>
        </w:rPr>
        <w:t>pharmacies will continue to provide the discount as it reduces</w:t>
      </w:r>
      <w:r w:rsidR="003B703E" w:rsidRPr="00F22821">
        <w:rPr>
          <w:rFonts w:cstheme="minorHAnsi"/>
          <w:sz w:val="24"/>
          <w:szCs w:val="24"/>
        </w:rPr>
        <w:t xml:space="preserve"> and that the discount does have</w:t>
      </w:r>
      <w:r w:rsidR="006C37DF" w:rsidRPr="00F22821">
        <w:rPr>
          <w:rFonts w:cstheme="minorHAnsi"/>
          <w:sz w:val="24"/>
          <w:szCs w:val="24"/>
        </w:rPr>
        <w:t xml:space="preserve"> at least some impact on consumer choice of preferred pharmacy.</w:t>
      </w:r>
    </w:p>
    <w:p w14:paraId="187EDD94" w14:textId="7809B9DF" w:rsidR="001B727B" w:rsidRDefault="001B727B">
      <w:pPr>
        <w:spacing w:after="160" w:line="259" w:lineRule="auto"/>
        <w:rPr>
          <w:rFonts w:ascii="Century Gothic" w:hAnsi="Century Gothic"/>
          <w:b/>
          <w:iCs/>
          <w:color w:val="44546A" w:themeColor="text2"/>
          <w:szCs w:val="18"/>
        </w:rPr>
      </w:pPr>
      <w:r>
        <w:rPr>
          <w:rFonts w:ascii="Century Gothic" w:hAnsi="Century Gothic"/>
        </w:rPr>
        <w:br w:type="page"/>
      </w:r>
    </w:p>
    <w:p w14:paraId="609A2608" w14:textId="563709C6" w:rsidR="00B907A7" w:rsidRPr="00F22821" w:rsidRDefault="00F92028" w:rsidP="00814422">
      <w:pPr>
        <w:pStyle w:val="Caption"/>
        <w:rPr>
          <w:rFonts w:ascii="Century Gothic" w:hAnsi="Century Gothic"/>
        </w:rPr>
      </w:pPr>
      <w:r w:rsidRPr="00F22821">
        <w:rPr>
          <w:rFonts w:ascii="Century Gothic" w:hAnsi="Century Gothic"/>
        </w:rPr>
        <w:lastRenderedPageBreak/>
        <w:t xml:space="preserve">Table </w:t>
      </w:r>
      <w:r w:rsidR="00CF63A9" w:rsidRPr="00F22821">
        <w:rPr>
          <w:rFonts w:ascii="Century Gothic" w:hAnsi="Century Gothic"/>
        </w:rPr>
        <w:t>5</w:t>
      </w:r>
      <w:r w:rsidR="00B907A7" w:rsidRPr="00F22821">
        <w:rPr>
          <w:rFonts w:ascii="Century Gothic" w:hAnsi="Century Gothic"/>
        </w:rPr>
        <w:t xml:space="preserve">: overview of net </w:t>
      </w:r>
      <w:r w:rsidR="00765D54" w:rsidRPr="00F22821">
        <w:rPr>
          <w:rFonts w:ascii="Century Gothic" w:hAnsi="Century Gothic"/>
        </w:rPr>
        <w:t>benefits</w:t>
      </w:r>
      <w:r w:rsidRPr="00F22821">
        <w:rPr>
          <w:rFonts w:ascii="Century Gothic" w:hAnsi="Century Gothic"/>
        </w:rPr>
        <w:t xml:space="preserve"> for each of the three policy options</w:t>
      </w:r>
    </w:p>
    <w:tbl>
      <w:tblPr>
        <w:tblW w:w="5000" w:type="pct"/>
        <w:tblCellMar>
          <w:left w:w="0" w:type="dxa"/>
          <w:right w:w="0" w:type="dxa"/>
        </w:tblCellMar>
        <w:tblLook w:val="0420" w:firstRow="1" w:lastRow="0" w:firstColumn="0" w:lastColumn="0" w:noHBand="0" w:noVBand="1"/>
      </w:tblPr>
      <w:tblGrid>
        <w:gridCol w:w="2426"/>
        <w:gridCol w:w="2675"/>
        <w:gridCol w:w="2723"/>
        <w:gridCol w:w="2600"/>
      </w:tblGrid>
      <w:tr w:rsidR="00B467BE" w:rsidRPr="00F22821" w14:paraId="7AF83F43" w14:textId="77777777" w:rsidTr="00814422">
        <w:trPr>
          <w:trHeight w:val="369"/>
        </w:trPr>
        <w:tc>
          <w:tcPr>
            <w:tcW w:w="1164" w:type="pct"/>
            <w:tcBorders>
              <w:top w:val="single" w:sz="3" w:space="0" w:color="FFFFFF"/>
              <w:left w:val="single" w:sz="3" w:space="0" w:color="FFFFFF"/>
              <w:bottom w:val="single" w:sz="3" w:space="0" w:color="FFFFFF"/>
              <w:right w:val="single" w:sz="3" w:space="0" w:color="FFFFFF"/>
            </w:tcBorders>
            <w:shd w:val="clear" w:color="auto" w:fill="D2DEEF"/>
            <w:tcMar>
              <w:top w:w="11" w:type="dxa"/>
              <w:left w:w="23" w:type="dxa"/>
              <w:bottom w:w="11" w:type="dxa"/>
              <w:right w:w="23" w:type="dxa"/>
            </w:tcMar>
            <w:vAlign w:val="center"/>
          </w:tcPr>
          <w:p w14:paraId="040F9F98" w14:textId="132F367B" w:rsidR="00B467BE" w:rsidRPr="00F22821" w:rsidRDefault="00B467BE" w:rsidP="00814422">
            <w:pPr>
              <w:spacing w:after="0" w:line="240" w:lineRule="auto"/>
              <w:jc w:val="center"/>
              <w:rPr>
                <w:rFonts w:cstheme="minorHAnsi"/>
                <w:b/>
                <w:color w:val="0D0D0D" w:themeColor="text1" w:themeTint="F2"/>
              </w:rPr>
            </w:pPr>
            <w:r w:rsidRPr="00F22821">
              <w:rPr>
                <w:rFonts w:cstheme="minorHAnsi"/>
                <w:b/>
                <w:color w:val="0D0D0D" w:themeColor="text1" w:themeTint="F2"/>
              </w:rPr>
              <w:t>Objective</w:t>
            </w:r>
          </w:p>
        </w:tc>
        <w:tc>
          <w:tcPr>
            <w:tcW w:w="1283" w:type="pct"/>
            <w:tcBorders>
              <w:top w:val="single" w:sz="3" w:space="0" w:color="FFFFFF"/>
              <w:left w:val="single" w:sz="3" w:space="0" w:color="FFFFFF"/>
              <w:bottom w:val="single" w:sz="3" w:space="0" w:color="FFFFFF"/>
              <w:right w:val="single" w:sz="3" w:space="0" w:color="FFFFFF"/>
            </w:tcBorders>
            <w:shd w:val="clear" w:color="auto" w:fill="D2DEEF"/>
            <w:tcMar>
              <w:top w:w="11" w:type="dxa"/>
              <w:left w:w="23" w:type="dxa"/>
              <w:bottom w:w="11" w:type="dxa"/>
              <w:right w:w="23" w:type="dxa"/>
            </w:tcMar>
            <w:vAlign w:val="center"/>
          </w:tcPr>
          <w:p w14:paraId="666A3D65" w14:textId="0637B72A" w:rsidR="00B467BE" w:rsidRPr="00F22821" w:rsidRDefault="00B467BE" w:rsidP="00814422">
            <w:pPr>
              <w:spacing w:after="0" w:line="240" w:lineRule="auto"/>
              <w:jc w:val="center"/>
              <w:rPr>
                <w:rFonts w:cstheme="minorHAnsi"/>
                <w:b/>
                <w:color w:val="0D0D0D" w:themeColor="text1" w:themeTint="F2"/>
              </w:rPr>
            </w:pPr>
            <w:r w:rsidRPr="00F22821">
              <w:rPr>
                <w:rFonts w:cstheme="minorHAnsi"/>
                <w:b/>
                <w:color w:val="0D0D0D" w:themeColor="text1" w:themeTint="F2"/>
              </w:rPr>
              <w:t>Option 1</w:t>
            </w:r>
          </w:p>
        </w:tc>
        <w:tc>
          <w:tcPr>
            <w:tcW w:w="1306" w:type="pct"/>
            <w:tcBorders>
              <w:top w:val="single" w:sz="3" w:space="0" w:color="FFFFFF"/>
              <w:left w:val="single" w:sz="3" w:space="0" w:color="FFFFFF"/>
              <w:bottom w:val="single" w:sz="3" w:space="0" w:color="FFFFFF"/>
              <w:right w:val="single" w:sz="3" w:space="0" w:color="FFFFFF"/>
            </w:tcBorders>
            <w:shd w:val="clear" w:color="auto" w:fill="D2DEEF"/>
            <w:tcMar>
              <w:top w:w="11" w:type="dxa"/>
              <w:left w:w="23" w:type="dxa"/>
              <w:bottom w:w="11" w:type="dxa"/>
              <w:right w:w="23" w:type="dxa"/>
            </w:tcMar>
            <w:vAlign w:val="center"/>
          </w:tcPr>
          <w:p w14:paraId="14C227DB" w14:textId="6037C670" w:rsidR="00B467BE" w:rsidRPr="00F22821" w:rsidRDefault="00B467BE" w:rsidP="00814422">
            <w:pPr>
              <w:spacing w:after="0" w:line="240" w:lineRule="auto"/>
              <w:jc w:val="center"/>
              <w:rPr>
                <w:rFonts w:cstheme="minorHAnsi"/>
                <w:b/>
                <w:color w:val="0D0D0D" w:themeColor="text1" w:themeTint="F2"/>
              </w:rPr>
            </w:pPr>
            <w:r w:rsidRPr="00F22821">
              <w:rPr>
                <w:rFonts w:cstheme="minorHAnsi"/>
                <w:b/>
                <w:color w:val="0D0D0D" w:themeColor="text1" w:themeTint="F2"/>
              </w:rPr>
              <w:t>Option 2</w:t>
            </w:r>
          </w:p>
        </w:tc>
        <w:tc>
          <w:tcPr>
            <w:tcW w:w="1247" w:type="pct"/>
            <w:tcBorders>
              <w:top w:val="single" w:sz="3" w:space="0" w:color="FFFFFF"/>
              <w:left w:val="single" w:sz="3" w:space="0" w:color="FFFFFF"/>
              <w:bottom w:val="single" w:sz="3" w:space="0" w:color="FFFFFF"/>
              <w:right w:val="single" w:sz="3" w:space="0" w:color="FFFFFF"/>
            </w:tcBorders>
            <w:shd w:val="clear" w:color="auto" w:fill="D2DEEF"/>
            <w:tcMar>
              <w:top w:w="11" w:type="dxa"/>
              <w:left w:w="23" w:type="dxa"/>
              <w:bottom w:w="11" w:type="dxa"/>
              <w:right w:w="23" w:type="dxa"/>
            </w:tcMar>
            <w:vAlign w:val="center"/>
          </w:tcPr>
          <w:p w14:paraId="777FC011" w14:textId="44980356" w:rsidR="00B467BE" w:rsidRPr="00F22821" w:rsidRDefault="00B467BE" w:rsidP="00814422">
            <w:pPr>
              <w:spacing w:after="0" w:line="240" w:lineRule="auto"/>
              <w:jc w:val="center"/>
              <w:rPr>
                <w:rFonts w:cstheme="minorHAnsi"/>
                <w:b/>
                <w:color w:val="0D0D0D" w:themeColor="text1" w:themeTint="F2"/>
              </w:rPr>
            </w:pPr>
            <w:r w:rsidRPr="00F22821">
              <w:rPr>
                <w:rFonts w:cstheme="minorHAnsi"/>
                <w:b/>
                <w:color w:val="0D0D0D" w:themeColor="text1" w:themeTint="F2"/>
              </w:rPr>
              <w:t>Option 3</w:t>
            </w:r>
          </w:p>
        </w:tc>
      </w:tr>
      <w:tr w:rsidR="00B467BE" w:rsidRPr="00F22821" w14:paraId="701190F4" w14:textId="77777777" w:rsidTr="00814422">
        <w:trPr>
          <w:trHeight w:val="369"/>
        </w:trPr>
        <w:tc>
          <w:tcPr>
            <w:tcW w:w="1164" w:type="pct"/>
            <w:tcBorders>
              <w:top w:val="single" w:sz="3" w:space="0" w:color="FFFFFF"/>
              <w:left w:val="single" w:sz="3" w:space="0" w:color="FFFFFF"/>
              <w:bottom w:val="single" w:sz="3" w:space="0" w:color="FFFFFF"/>
              <w:right w:val="single" w:sz="3" w:space="0" w:color="FFFFFF"/>
            </w:tcBorders>
            <w:shd w:val="clear" w:color="auto" w:fill="D2DEEF"/>
            <w:tcMar>
              <w:top w:w="11" w:type="dxa"/>
              <w:left w:w="57" w:type="dxa"/>
              <w:bottom w:w="11" w:type="dxa"/>
              <w:right w:w="57" w:type="dxa"/>
            </w:tcMar>
            <w:hideMark/>
          </w:tcPr>
          <w:p w14:paraId="7BC18A26" w14:textId="2AF273AE" w:rsidR="00B467BE" w:rsidRPr="00F22821" w:rsidRDefault="00B467BE" w:rsidP="00B907A7">
            <w:pPr>
              <w:rPr>
                <w:rFonts w:cstheme="minorHAnsi"/>
                <w:b/>
                <w:color w:val="0D0D0D" w:themeColor="text1" w:themeTint="F2"/>
              </w:rPr>
            </w:pPr>
            <w:r w:rsidRPr="00F22821">
              <w:rPr>
                <w:rFonts w:cstheme="minorHAnsi"/>
                <w:b/>
                <w:color w:val="0D0D0D" w:themeColor="text1" w:themeTint="F2"/>
              </w:rPr>
              <w:t xml:space="preserve">Equity, sustainability and </w:t>
            </w:r>
            <w:r w:rsidR="00EA03DB" w:rsidRPr="00F22821">
              <w:rPr>
                <w:rFonts w:cstheme="minorHAnsi"/>
                <w:b/>
                <w:color w:val="0D0D0D" w:themeColor="text1" w:themeTint="F2"/>
              </w:rPr>
              <w:t>a</w:t>
            </w:r>
            <w:r w:rsidRPr="00F22821">
              <w:rPr>
                <w:rFonts w:cstheme="minorHAnsi"/>
                <w:b/>
                <w:color w:val="0D0D0D" w:themeColor="text1" w:themeTint="F2"/>
              </w:rPr>
              <w:t xml:space="preserve">ccess for Consumers </w:t>
            </w:r>
          </w:p>
          <w:p w14:paraId="4ADDD0DC" w14:textId="52235564" w:rsidR="00B467BE" w:rsidRPr="00F22821" w:rsidRDefault="00B467BE" w:rsidP="00B907A7">
            <w:pPr>
              <w:rPr>
                <w:rFonts w:cstheme="minorHAnsi"/>
                <w:color w:val="0D0D0D" w:themeColor="text1" w:themeTint="F2"/>
              </w:rPr>
            </w:pPr>
            <w:r w:rsidRPr="00F22821">
              <w:rPr>
                <w:rFonts w:cstheme="minorHAnsi"/>
                <w:color w:val="0D0D0D" w:themeColor="text1" w:themeTint="F2"/>
              </w:rPr>
              <w:t>Consumers can access</w:t>
            </w:r>
            <w:r w:rsidR="00EA03DB" w:rsidRPr="00F22821">
              <w:rPr>
                <w:rFonts w:cstheme="minorHAnsi"/>
                <w:color w:val="0D0D0D" w:themeColor="text1" w:themeTint="F2"/>
              </w:rPr>
              <w:t xml:space="preserve"> affordable</w:t>
            </w:r>
            <w:r w:rsidRPr="00F22821">
              <w:rPr>
                <w:rFonts w:cstheme="minorHAnsi"/>
                <w:color w:val="0D0D0D" w:themeColor="text1" w:themeTint="F2"/>
              </w:rPr>
              <w:t xml:space="preserve"> PBS medicines in a timely manner irrespective of their geographical location.</w:t>
            </w:r>
          </w:p>
        </w:tc>
        <w:tc>
          <w:tcPr>
            <w:tcW w:w="1283" w:type="pct"/>
            <w:tcBorders>
              <w:top w:val="single" w:sz="3" w:space="0" w:color="FFFFFF"/>
              <w:left w:val="single" w:sz="3" w:space="0" w:color="FFFFFF"/>
              <w:bottom w:val="single" w:sz="3" w:space="0" w:color="FFFFFF"/>
              <w:right w:val="single" w:sz="3" w:space="0" w:color="FFFFFF"/>
            </w:tcBorders>
            <w:shd w:val="clear" w:color="auto" w:fill="D2DEEF"/>
            <w:tcMar>
              <w:top w:w="11" w:type="dxa"/>
              <w:left w:w="57" w:type="dxa"/>
              <w:bottom w:w="11" w:type="dxa"/>
              <w:right w:w="57" w:type="dxa"/>
            </w:tcMar>
            <w:hideMark/>
          </w:tcPr>
          <w:p w14:paraId="0378FCE9" w14:textId="0CABF226" w:rsidR="00B467BE" w:rsidRPr="00F22821" w:rsidRDefault="006C37DF" w:rsidP="00B467BE">
            <w:pPr>
              <w:rPr>
                <w:rFonts w:cstheme="minorHAnsi"/>
                <w:color w:val="0D0D0D" w:themeColor="text1" w:themeTint="F2"/>
              </w:rPr>
            </w:pPr>
            <w:r w:rsidRPr="00F22821">
              <w:rPr>
                <w:rFonts w:cstheme="minorHAnsi"/>
                <w:color w:val="0D0D0D" w:themeColor="text1" w:themeTint="F2"/>
              </w:rPr>
              <w:t>T</w:t>
            </w:r>
            <w:r w:rsidR="00B467BE" w:rsidRPr="00F22821">
              <w:rPr>
                <w:rFonts w:cstheme="minorHAnsi"/>
                <w:color w:val="0D0D0D" w:themeColor="text1" w:themeTint="F2"/>
              </w:rPr>
              <w:t xml:space="preserve">he optional $1 discount is </w:t>
            </w:r>
            <w:r w:rsidR="003351A5" w:rsidRPr="00F22821">
              <w:rPr>
                <w:rFonts w:cstheme="minorHAnsi"/>
                <w:color w:val="0D0D0D" w:themeColor="text1" w:themeTint="F2"/>
              </w:rPr>
              <w:t>currently</w:t>
            </w:r>
            <w:r w:rsidR="00B467BE" w:rsidRPr="00F22821">
              <w:rPr>
                <w:rFonts w:cstheme="minorHAnsi"/>
                <w:color w:val="0D0D0D" w:themeColor="text1" w:themeTint="F2"/>
              </w:rPr>
              <w:t xml:space="preserve"> more likely to be offered in urban locations than either rural or remote settings.</w:t>
            </w:r>
          </w:p>
        </w:tc>
        <w:tc>
          <w:tcPr>
            <w:tcW w:w="1306" w:type="pct"/>
            <w:tcBorders>
              <w:top w:val="single" w:sz="3" w:space="0" w:color="FFFFFF"/>
              <w:left w:val="single" w:sz="3" w:space="0" w:color="FFFFFF"/>
              <w:bottom w:val="single" w:sz="3" w:space="0" w:color="FFFFFF"/>
              <w:right w:val="single" w:sz="3" w:space="0" w:color="FFFFFF"/>
            </w:tcBorders>
            <w:shd w:val="clear" w:color="auto" w:fill="D2DEEF"/>
            <w:tcMar>
              <w:top w:w="11" w:type="dxa"/>
              <w:left w:w="57" w:type="dxa"/>
              <w:bottom w:w="11" w:type="dxa"/>
              <w:right w:w="57" w:type="dxa"/>
            </w:tcMar>
            <w:hideMark/>
          </w:tcPr>
          <w:p w14:paraId="32850285" w14:textId="6FF1EED0" w:rsidR="00194D97" w:rsidRPr="00F22821" w:rsidRDefault="006C37DF" w:rsidP="00194D97">
            <w:pPr>
              <w:rPr>
                <w:rFonts w:cstheme="minorHAnsi"/>
                <w:color w:val="0D0D0D" w:themeColor="text1" w:themeTint="F2"/>
              </w:rPr>
            </w:pPr>
            <w:r w:rsidRPr="00F22821">
              <w:rPr>
                <w:rFonts w:cstheme="minorHAnsi"/>
                <w:color w:val="0D0D0D" w:themeColor="text1" w:themeTint="F2"/>
              </w:rPr>
              <w:t>P</w:t>
            </w:r>
            <w:r w:rsidR="00194D97" w:rsidRPr="00F22821">
              <w:rPr>
                <w:rFonts w:cstheme="minorHAnsi"/>
                <w:color w:val="0D0D0D" w:themeColor="text1" w:themeTint="F2"/>
              </w:rPr>
              <w:t xml:space="preserve">otential price </w:t>
            </w:r>
            <w:r w:rsidR="00020B38" w:rsidRPr="00F22821">
              <w:rPr>
                <w:rFonts w:cstheme="minorHAnsi"/>
                <w:color w:val="0D0D0D" w:themeColor="text1" w:themeTint="F2"/>
              </w:rPr>
              <w:t xml:space="preserve">differentiation </w:t>
            </w:r>
            <w:r w:rsidR="00194D97" w:rsidRPr="00F22821">
              <w:rPr>
                <w:rFonts w:cstheme="minorHAnsi"/>
                <w:color w:val="0D0D0D" w:themeColor="text1" w:themeTint="F2"/>
              </w:rPr>
              <w:t xml:space="preserve">between pharmacies and </w:t>
            </w:r>
            <w:r w:rsidR="003A3E18" w:rsidRPr="00F22821">
              <w:rPr>
                <w:rFonts w:cstheme="minorHAnsi"/>
                <w:color w:val="0D0D0D" w:themeColor="text1" w:themeTint="F2"/>
              </w:rPr>
              <w:t>across geographical locations</w:t>
            </w:r>
            <w:r w:rsidRPr="00F22821">
              <w:rPr>
                <w:rFonts w:cstheme="minorHAnsi"/>
                <w:color w:val="0D0D0D" w:themeColor="text1" w:themeTint="F2"/>
              </w:rPr>
              <w:t xml:space="preserve"> would reduce</w:t>
            </w:r>
            <w:r w:rsidR="003A3E18" w:rsidRPr="00F22821">
              <w:rPr>
                <w:rFonts w:cstheme="minorHAnsi"/>
                <w:color w:val="0D0D0D" w:themeColor="text1" w:themeTint="F2"/>
              </w:rPr>
              <w:t>.</w:t>
            </w:r>
          </w:p>
          <w:p w14:paraId="1DE42D0A" w14:textId="789FA7E1" w:rsidR="00B467BE" w:rsidRPr="00F22821" w:rsidRDefault="003A3E18" w:rsidP="0030774C">
            <w:pPr>
              <w:rPr>
                <w:rFonts w:cstheme="minorHAnsi"/>
                <w:color w:val="0D0D0D" w:themeColor="text1" w:themeTint="F2"/>
              </w:rPr>
            </w:pPr>
            <w:r w:rsidRPr="00F22821">
              <w:rPr>
                <w:rFonts w:cstheme="minorHAnsi"/>
                <w:color w:val="0D0D0D" w:themeColor="text1" w:themeTint="F2"/>
              </w:rPr>
              <w:t xml:space="preserve">However, </w:t>
            </w:r>
            <w:r w:rsidR="00194D97" w:rsidRPr="00F22821">
              <w:rPr>
                <w:rFonts w:cstheme="minorHAnsi"/>
                <w:color w:val="0D0D0D" w:themeColor="text1" w:themeTint="F2"/>
              </w:rPr>
              <w:t>would</w:t>
            </w:r>
            <w:r w:rsidR="00B467BE" w:rsidRPr="00F22821">
              <w:rPr>
                <w:rFonts w:cstheme="minorHAnsi"/>
                <w:color w:val="0D0D0D" w:themeColor="text1" w:themeTint="F2"/>
              </w:rPr>
              <w:t xml:space="preserve"> increase the cost of approximately 30%</w:t>
            </w:r>
            <w:r w:rsidRPr="00F22821">
              <w:rPr>
                <w:rFonts w:cstheme="minorHAnsi"/>
                <w:color w:val="0D0D0D" w:themeColor="text1" w:themeTint="F2"/>
              </w:rPr>
              <w:t xml:space="preserve"> </w:t>
            </w:r>
            <w:r w:rsidR="00020B38" w:rsidRPr="00F22821">
              <w:rPr>
                <w:rFonts w:cstheme="minorHAnsi"/>
                <w:color w:val="0D0D0D" w:themeColor="text1" w:themeTint="F2"/>
              </w:rPr>
              <w:t xml:space="preserve">of </w:t>
            </w:r>
            <w:r w:rsidRPr="00F22821">
              <w:rPr>
                <w:rFonts w:cstheme="minorHAnsi"/>
                <w:color w:val="0D0D0D" w:themeColor="text1" w:themeTint="F2"/>
              </w:rPr>
              <w:t xml:space="preserve">eligible prescription </w:t>
            </w:r>
            <w:r w:rsidR="00B467BE" w:rsidRPr="00F22821">
              <w:rPr>
                <w:rFonts w:cstheme="minorHAnsi"/>
                <w:color w:val="0D0D0D" w:themeColor="text1" w:themeTint="F2"/>
              </w:rPr>
              <w:t>with a greater impact on concession</w:t>
            </w:r>
            <w:r w:rsidR="0030774C" w:rsidRPr="00F22821">
              <w:rPr>
                <w:rFonts w:cstheme="minorHAnsi"/>
                <w:color w:val="0D0D0D" w:themeColor="text1" w:themeTint="F2"/>
              </w:rPr>
              <w:t>al patients</w:t>
            </w:r>
            <w:r w:rsidR="004E6E60" w:rsidRPr="00F22821">
              <w:rPr>
                <w:rFonts w:cstheme="minorHAnsi"/>
                <w:color w:val="0D0D0D" w:themeColor="text1" w:themeTint="F2"/>
              </w:rPr>
              <w:t>.</w:t>
            </w:r>
            <w:r w:rsidR="00B467BE" w:rsidRPr="00F22821">
              <w:rPr>
                <w:rFonts w:cstheme="minorHAnsi"/>
                <w:color w:val="0D0D0D" w:themeColor="text1" w:themeTint="F2"/>
              </w:rPr>
              <w:t xml:space="preserve"> </w:t>
            </w:r>
          </w:p>
        </w:tc>
        <w:tc>
          <w:tcPr>
            <w:tcW w:w="1247" w:type="pct"/>
            <w:tcBorders>
              <w:top w:val="single" w:sz="3" w:space="0" w:color="FFFFFF"/>
              <w:left w:val="single" w:sz="3" w:space="0" w:color="FFFFFF"/>
              <w:bottom w:val="single" w:sz="3" w:space="0" w:color="FFFFFF"/>
              <w:right w:val="single" w:sz="3" w:space="0" w:color="FFFFFF"/>
            </w:tcBorders>
            <w:shd w:val="clear" w:color="auto" w:fill="D2DEEF"/>
            <w:tcMar>
              <w:top w:w="11" w:type="dxa"/>
              <w:left w:w="57" w:type="dxa"/>
              <w:bottom w:w="11" w:type="dxa"/>
              <w:right w:w="57" w:type="dxa"/>
            </w:tcMar>
            <w:hideMark/>
          </w:tcPr>
          <w:p w14:paraId="1D88AB95" w14:textId="3686BD42" w:rsidR="00194D97" w:rsidRPr="00F22821" w:rsidRDefault="006C37DF" w:rsidP="00194D97">
            <w:pPr>
              <w:rPr>
                <w:rFonts w:cstheme="minorHAnsi"/>
                <w:color w:val="0D0D0D" w:themeColor="text1" w:themeTint="F2"/>
              </w:rPr>
            </w:pPr>
            <w:r w:rsidRPr="00F22821">
              <w:rPr>
                <w:rFonts w:cstheme="minorHAnsi"/>
                <w:color w:val="0D0D0D" w:themeColor="text1" w:themeTint="F2"/>
              </w:rPr>
              <w:t>P</w:t>
            </w:r>
            <w:r w:rsidR="00194D97" w:rsidRPr="00F22821">
              <w:rPr>
                <w:rFonts w:cstheme="minorHAnsi"/>
                <w:color w:val="0D0D0D" w:themeColor="text1" w:themeTint="F2"/>
              </w:rPr>
              <w:t xml:space="preserve">otential price </w:t>
            </w:r>
            <w:r w:rsidR="00020B38" w:rsidRPr="00F22821">
              <w:rPr>
                <w:rFonts w:cstheme="minorHAnsi"/>
                <w:color w:val="0D0D0D" w:themeColor="text1" w:themeTint="F2"/>
              </w:rPr>
              <w:t xml:space="preserve">differentiation </w:t>
            </w:r>
            <w:r w:rsidR="00194D97" w:rsidRPr="00F22821">
              <w:rPr>
                <w:rFonts w:cstheme="minorHAnsi"/>
                <w:color w:val="0D0D0D" w:themeColor="text1" w:themeTint="F2"/>
              </w:rPr>
              <w:t>between pharmacies and across geographical locations</w:t>
            </w:r>
            <w:r w:rsidRPr="00F22821">
              <w:rPr>
                <w:rFonts w:cstheme="minorHAnsi"/>
                <w:color w:val="0D0D0D" w:themeColor="text1" w:themeTint="F2"/>
              </w:rPr>
              <w:t xml:space="preserve"> would reduce</w:t>
            </w:r>
            <w:r w:rsidR="00EA03DB" w:rsidRPr="00F22821">
              <w:rPr>
                <w:rFonts w:cstheme="minorHAnsi"/>
                <w:color w:val="0D0D0D" w:themeColor="text1" w:themeTint="F2"/>
              </w:rPr>
              <w:t>.</w:t>
            </w:r>
          </w:p>
          <w:p w14:paraId="0BC718DD" w14:textId="18151C92" w:rsidR="004E6E60" w:rsidRPr="00F22821" w:rsidRDefault="0030774C" w:rsidP="0030774C">
            <w:pPr>
              <w:rPr>
                <w:rFonts w:cstheme="minorHAnsi"/>
                <w:color w:val="0D0D0D" w:themeColor="text1" w:themeTint="F2"/>
              </w:rPr>
            </w:pPr>
            <w:r w:rsidRPr="00F22821">
              <w:rPr>
                <w:rFonts w:cstheme="minorHAnsi"/>
                <w:color w:val="0D0D0D" w:themeColor="text1" w:themeTint="F2"/>
              </w:rPr>
              <w:t xml:space="preserve">This would </w:t>
            </w:r>
            <w:r w:rsidR="004E6E60" w:rsidRPr="00F22821">
              <w:rPr>
                <w:rFonts w:cstheme="minorHAnsi"/>
                <w:color w:val="0D0D0D" w:themeColor="text1" w:themeTint="F2"/>
              </w:rPr>
              <w:t>ensure that all patients benefit through the</w:t>
            </w:r>
            <w:r w:rsidR="00EA03DB" w:rsidRPr="00F22821">
              <w:rPr>
                <w:rFonts w:cstheme="minorHAnsi"/>
                <w:color w:val="0D0D0D" w:themeColor="text1" w:themeTint="F2"/>
              </w:rPr>
              <w:t xml:space="preserve"> temporary</w:t>
            </w:r>
            <w:r w:rsidR="004E6E60" w:rsidRPr="00F22821">
              <w:rPr>
                <w:rFonts w:cstheme="minorHAnsi"/>
                <w:color w:val="0D0D0D" w:themeColor="text1" w:themeTint="F2"/>
              </w:rPr>
              <w:t xml:space="preserve"> </w:t>
            </w:r>
            <w:r w:rsidR="00194D97" w:rsidRPr="00F22821">
              <w:rPr>
                <w:rFonts w:cstheme="minorHAnsi"/>
                <w:color w:val="0D0D0D" w:themeColor="text1" w:themeTint="F2"/>
              </w:rPr>
              <w:t>freezing</w:t>
            </w:r>
            <w:r w:rsidR="004E6E60" w:rsidRPr="00F22821">
              <w:rPr>
                <w:rFonts w:cstheme="minorHAnsi"/>
                <w:color w:val="0D0D0D" w:themeColor="text1" w:themeTint="F2"/>
              </w:rPr>
              <w:t xml:space="preserve"> of co-payment </w:t>
            </w:r>
            <w:r w:rsidR="00194D97" w:rsidRPr="00F22821">
              <w:rPr>
                <w:rFonts w:cstheme="minorHAnsi"/>
                <w:color w:val="0D0D0D" w:themeColor="text1" w:themeTint="F2"/>
              </w:rPr>
              <w:t>amounts</w:t>
            </w:r>
            <w:r w:rsidRPr="00F22821">
              <w:rPr>
                <w:rFonts w:cstheme="minorHAnsi"/>
                <w:color w:val="0D0D0D" w:themeColor="text1" w:themeTint="F2"/>
              </w:rPr>
              <w:t xml:space="preserve">. </w:t>
            </w:r>
          </w:p>
        </w:tc>
      </w:tr>
      <w:tr w:rsidR="00B467BE" w:rsidRPr="00F22821" w14:paraId="15A15303" w14:textId="77777777" w:rsidTr="00814422">
        <w:tc>
          <w:tcPr>
            <w:tcW w:w="1164" w:type="pct"/>
            <w:tcBorders>
              <w:top w:val="single" w:sz="3" w:space="0" w:color="FFFFFF"/>
              <w:left w:val="single" w:sz="3" w:space="0" w:color="FFFFFF"/>
              <w:bottom w:val="single" w:sz="3" w:space="0" w:color="FFFFFF"/>
              <w:right w:val="single" w:sz="3" w:space="0" w:color="FFFFFF"/>
            </w:tcBorders>
            <w:shd w:val="clear" w:color="auto" w:fill="EAEFF7"/>
            <w:tcMar>
              <w:top w:w="11" w:type="dxa"/>
              <w:left w:w="57" w:type="dxa"/>
              <w:bottom w:w="11" w:type="dxa"/>
              <w:right w:w="57" w:type="dxa"/>
            </w:tcMar>
            <w:hideMark/>
          </w:tcPr>
          <w:p w14:paraId="6CF2C318" w14:textId="2318F238" w:rsidR="00B467BE" w:rsidRPr="00F22821" w:rsidRDefault="00B467BE" w:rsidP="00B907A7">
            <w:pPr>
              <w:rPr>
                <w:rFonts w:cstheme="minorHAnsi"/>
                <w:b/>
                <w:color w:val="0D0D0D" w:themeColor="text1" w:themeTint="F2"/>
              </w:rPr>
            </w:pPr>
            <w:r w:rsidRPr="00F22821">
              <w:rPr>
                <w:rFonts w:cstheme="minorHAnsi"/>
                <w:b/>
                <w:color w:val="0D0D0D" w:themeColor="text1" w:themeTint="F2"/>
              </w:rPr>
              <w:t xml:space="preserve">Equity, sustainability and </w:t>
            </w:r>
            <w:r w:rsidR="00EA03DB" w:rsidRPr="00F22821">
              <w:rPr>
                <w:rFonts w:cstheme="minorHAnsi"/>
                <w:b/>
                <w:color w:val="0D0D0D" w:themeColor="text1" w:themeTint="F2"/>
              </w:rPr>
              <w:t>a</w:t>
            </w:r>
            <w:r w:rsidRPr="00F22821">
              <w:rPr>
                <w:rFonts w:cstheme="minorHAnsi"/>
                <w:b/>
                <w:color w:val="0D0D0D" w:themeColor="text1" w:themeTint="F2"/>
              </w:rPr>
              <w:t>ccess for Businesses</w:t>
            </w:r>
          </w:p>
          <w:p w14:paraId="383363A2" w14:textId="77777777" w:rsidR="00B467BE" w:rsidRPr="00F22821" w:rsidRDefault="00B467BE" w:rsidP="00B907A7">
            <w:pPr>
              <w:rPr>
                <w:rFonts w:cstheme="minorHAnsi"/>
                <w:color w:val="0D0D0D" w:themeColor="text1" w:themeTint="F2"/>
              </w:rPr>
            </w:pPr>
            <w:r w:rsidRPr="00F22821">
              <w:rPr>
                <w:rFonts w:cstheme="minorHAnsi"/>
                <w:color w:val="0D0D0D" w:themeColor="text1" w:themeTint="F2"/>
              </w:rPr>
              <w:t>Provides for timely supply of PBS medicines irrespective of geographical location and supports pharmacy viability, particularly in rural and remote areas.</w:t>
            </w:r>
          </w:p>
        </w:tc>
        <w:tc>
          <w:tcPr>
            <w:tcW w:w="1283" w:type="pct"/>
            <w:tcBorders>
              <w:top w:val="single" w:sz="3" w:space="0" w:color="FFFFFF"/>
              <w:left w:val="single" w:sz="3" w:space="0" w:color="FFFFFF"/>
              <w:bottom w:val="single" w:sz="3" w:space="0" w:color="FFFFFF"/>
              <w:right w:val="single" w:sz="3" w:space="0" w:color="FFFFFF"/>
            </w:tcBorders>
            <w:shd w:val="clear" w:color="auto" w:fill="EAEFF7"/>
            <w:tcMar>
              <w:top w:w="11" w:type="dxa"/>
              <w:left w:w="57" w:type="dxa"/>
              <w:bottom w:w="11" w:type="dxa"/>
              <w:right w:w="57" w:type="dxa"/>
            </w:tcMar>
            <w:hideMark/>
          </w:tcPr>
          <w:p w14:paraId="3F85D3D9" w14:textId="44D1EDE8" w:rsidR="00B467BE" w:rsidRPr="00F22821" w:rsidRDefault="0030774C" w:rsidP="00257AEF">
            <w:pPr>
              <w:rPr>
                <w:rFonts w:cstheme="minorHAnsi"/>
                <w:color w:val="0D0D0D" w:themeColor="text1" w:themeTint="F2"/>
              </w:rPr>
            </w:pPr>
            <w:r w:rsidRPr="00F22821">
              <w:rPr>
                <w:rFonts w:cstheme="minorHAnsi"/>
                <w:color w:val="0D0D0D" w:themeColor="text1" w:themeTint="F2"/>
              </w:rPr>
              <w:t xml:space="preserve">This provides </w:t>
            </w:r>
            <w:r w:rsidR="006C37DF" w:rsidRPr="00F22821">
              <w:rPr>
                <w:rFonts w:cstheme="minorHAnsi"/>
                <w:color w:val="0D0D0D" w:themeColor="text1" w:themeTint="F2"/>
              </w:rPr>
              <w:t>for market competition</w:t>
            </w:r>
            <w:r w:rsidR="00361DFC" w:rsidRPr="00F22821">
              <w:rPr>
                <w:rFonts w:cstheme="minorHAnsi"/>
                <w:color w:val="0D0D0D" w:themeColor="text1" w:themeTint="F2"/>
              </w:rPr>
              <w:t>,</w:t>
            </w:r>
            <w:r w:rsidR="00B467BE" w:rsidRPr="00F22821">
              <w:rPr>
                <w:rFonts w:cstheme="minorHAnsi"/>
                <w:color w:val="0D0D0D" w:themeColor="text1" w:themeTint="F2"/>
              </w:rPr>
              <w:t xml:space="preserve"> particularly in urban areas</w:t>
            </w:r>
            <w:r w:rsidR="002019D2" w:rsidRPr="00F22821">
              <w:rPr>
                <w:rFonts w:cstheme="minorHAnsi"/>
                <w:color w:val="0D0D0D" w:themeColor="text1" w:themeTint="F2"/>
              </w:rPr>
              <w:t xml:space="preserve">, with 32.1% of </w:t>
            </w:r>
            <w:r w:rsidR="006C37DF" w:rsidRPr="00F22821">
              <w:rPr>
                <w:rFonts w:cstheme="minorHAnsi"/>
                <w:color w:val="0D0D0D" w:themeColor="text1" w:themeTint="F2"/>
              </w:rPr>
              <w:t>eligible</w:t>
            </w:r>
            <w:r w:rsidR="00257AEF">
              <w:rPr>
                <w:rFonts w:cstheme="minorHAnsi"/>
                <w:color w:val="0D0D0D" w:themeColor="text1" w:themeTint="F2"/>
              </w:rPr>
              <w:t xml:space="preserve"> </w:t>
            </w:r>
            <w:r w:rsidR="00257AEF" w:rsidRPr="00257AEF">
              <w:rPr>
                <w:rFonts w:cstheme="minorHAnsi"/>
                <w:color w:val="0D0D0D" w:themeColor="text1" w:themeTint="F2"/>
              </w:rPr>
              <w:t>prescriptions</w:t>
            </w:r>
            <w:r w:rsidR="00257AEF">
              <w:rPr>
                <w:rFonts w:cstheme="minorHAnsi"/>
                <w:color w:val="0D0D0D" w:themeColor="text1" w:themeTint="F2"/>
              </w:rPr>
              <w:t xml:space="preserve"> </w:t>
            </w:r>
            <w:r w:rsidR="002019D2" w:rsidRPr="00F22821">
              <w:rPr>
                <w:rFonts w:cstheme="minorHAnsi"/>
                <w:color w:val="0D0D0D" w:themeColor="text1" w:themeTint="F2"/>
              </w:rPr>
              <w:t>discounted</w:t>
            </w:r>
            <w:r w:rsidR="00B348D6" w:rsidRPr="00F22821">
              <w:rPr>
                <w:rFonts w:cstheme="minorHAnsi"/>
                <w:color w:val="0D0D0D" w:themeColor="text1" w:themeTint="F2"/>
              </w:rPr>
              <w:t xml:space="preserve"> across 2020-2023</w:t>
            </w:r>
            <w:r w:rsidR="006C37DF" w:rsidRPr="00F22821">
              <w:rPr>
                <w:rFonts w:cstheme="minorHAnsi"/>
                <w:color w:val="0D0D0D" w:themeColor="text1" w:themeTint="F2"/>
              </w:rPr>
              <w:t>.</w:t>
            </w:r>
            <w:r w:rsidR="002019D2" w:rsidRPr="00F22821">
              <w:rPr>
                <w:rFonts w:cstheme="minorHAnsi"/>
                <w:color w:val="0D0D0D" w:themeColor="text1" w:themeTint="F2"/>
              </w:rPr>
              <w:t xml:space="preserve"> </w:t>
            </w:r>
          </w:p>
        </w:tc>
        <w:tc>
          <w:tcPr>
            <w:tcW w:w="1306" w:type="pct"/>
            <w:tcBorders>
              <w:top w:val="single" w:sz="3" w:space="0" w:color="FFFFFF"/>
              <w:left w:val="single" w:sz="3" w:space="0" w:color="FFFFFF"/>
              <w:bottom w:val="single" w:sz="3" w:space="0" w:color="FFFFFF"/>
              <w:right w:val="single" w:sz="3" w:space="0" w:color="FFFFFF"/>
            </w:tcBorders>
            <w:shd w:val="clear" w:color="auto" w:fill="EAEFF7"/>
            <w:tcMar>
              <w:top w:w="11" w:type="dxa"/>
              <w:left w:w="57" w:type="dxa"/>
              <w:bottom w:w="11" w:type="dxa"/>
              <w:right w:w="57" w:type="dxa"/>
            </w:tcMar>
            <w:hideMark/>
          </w:tcPr>
          <w:p w14:paraId="7CBC2887" w14:textId="5C96F88A" w:rsidR="004E6E60" w:rsidRPr="00F22821" w:rsidRDefault="0030774C" w:rsidP="0030774C">
            <w:pPr>
              <w:rPr>
                <w:rFonts w:cstheme="minorHAnsi"/>
                <w:color w:val="0D0D0D" w:themeColor="text1" w:themeTint="F2"/>
              </w:rPr>
            </w:pPr>
            <w:r w:rsidRPr="00F22821">
              <w:rPr>
                <w:rFonts w:cstheme="minorHAnsi"/>
                <w:color w:val="0D0D0D" w:themeColor="text1" w:themeTint="F2"/>
              </w:rPr>
              <w:t xml:space="preserve">This would </w:t>
            </w:r>
            <w:r w:rsidR="006C37DF" w:rsidRPr="00F22821">
              <w:rPr>
                <w:rFonts w:cstheme="minorHAnsi"/>
                <w:color w:val="0D0D0D" w:themeColor="text1" w:themeTint="F2"/>
              </w:rPr>
              <w:t>reduce market competition.</w:t>
            </w:r>
          </w:p>
        </w:tc>
        <w:tc>
          <w:tcPr>
            <w:tcW w:w="1247" w:type="pct"/>
            <w:tcBorders>
              <w:top w:val="single" w:sz="3" w:space="0" w:color="FFFFFF"/>
              <w:left w:val="single" w:sz="3" w:space="0" w:color="FFFFFF"/>
              <w:bottom w:val="single" w:sz="3" w:space="0" w:color="FFFFFF"/>
              <w:right w:val="single" w:sz="3" w:space="0" w:color="FFFFFF"/>
            </w:tcBorders>
            <w:shd w:val="clear" w:color="auto" w:fill="EAEFF7"/>
            <w:tcMar>
              <w:top w:w="11" w:type="dxa"/>
              <w:left w:w="57" w:type="dxa"/>
              <w:bottom w:w="11" w:type="dxa"/>
              <w:right w:w="57" w:type="dxa"/>
            </w:tcMar>
            <w:hideMark/>
          </w:tcPr>
          <w:p w14:paraId="3C94056F" w14:textId="26C9A0A6" w:rsidR="004E6E60" w:rsidRPr="00F22821" w:rsidRDefault="0030774C" w:rsidP="0030774C">
            <w:pPr>
              <w:rPr>
                <w:rFonts w:cstheme="minorHAnsi"/>
                <w:color w:val="0D0D0D" w:themeColor="text1" w:themeTint="F2"/>
              </w:rPr>
            </w:pPr>
            <w:r w:rsidRPr="00F22821">
              <w:rPr>
                <w:rFonts w:cstheme="minorHAnsi"/>
                <w:color w:val="0D0D0D" w:themeColor="text1" w:themeTint="F2"/>
              </w:rPr>
              <w:t xml:space="preserve">This would </w:t>
            </w:r>
            <w:r w:rsidR="004E6E60" w:rsidRPr="00F22821">
              <w:rPr>
                <w:rFonts w:cstheme="minorHAnsi"/>
                <w:color w:val="0D0D0D" w:themeColor="text1" w:themeTint="F2"/>
              </w:rPr>
              <w:t xml:space="preserve">provide pharmacies with the option to continue discounting to the amount specified for reduction each year </w:t>
            </w:r>
            <w:r w:rsidR="00194D97" w:rsidRPr="00F22821">
              <w:rPr>
                <w:rFonts w:cstheme="minorHAnsi"/>
                <w:color w:val="0D0D0D" w:themeColor="text1" w:themeTint="F2"/>
              </w:rPr>
              <w:t>as they transition to the new policy settings</w:t>
            </w:r>
            <w:r w:rsidR="004E6E60" w:rsidRPr="00F22821">
              <w:rPr>
                <w:rFonts w:cstheme="minorHAnsi"/>
                <w:color w:val="0D0D0D" w:themeColor="text1" w:themeTint="F2"/>
              </w:rPr>
              <w:t>.</w:t>
            </w:r>
          </w:p>
        </w:tc>
      </w:tr>
    </w:tbl>
    <w:p w14:paraId="3DE5377B" w14:textId="77777777" w:rsidR="00524ACA" w:rsidRPr="00F22821" w:rsidRDefault="00524ACA" w:rsidP="00524ACA">
      <w:pPr>
        <w:pStyle w:val="BodyText"/>
        <w:rPr>
          <w:rFonts w:cstheme="minorHAnsi"/>
          <w:sz w:val="24"/>
          <w:szCs w:val="24"/>
        </w:rPr>
      </w:pPr>
    </w:p>
    <w:p w14:paraId="2712CCF1" w14:textId="73D14231" w:rsidR="00EA5629" w:rsidRPr="00F22821" w:rsidRDefault="00EA5629" w:rsidP="003351A5">
      <w:pPr>
        <w:pStyle w:val="Heading4"/>
        <w:rPr>
          <w:rFonts w:asciiTheme="minorHAnsi" w:hAnsiTheme="minorHAnsi" w:cstheme="minorHAnsi"/>
          <w:b/>
        </w:rPr>
      </w:pPr>
      <w:r w:rsidRPr="00F22821">
        <w:rPr>
          <w:rFonts w:asciiTheme="minorHAnsi" w:hAnsiTheme="minorHAnsi" w:cstheme="minorHAnsi"/>
          <w:b/>
        </w:rPr>
        <w:t>Consultation</w:t>
      </w:r>
    </w:p>
    <w:p w14:paraId="4200307D" w14:textId="2395B907" w:rsidR="00765D54" w:rsidRPr="00F22821" w:rsidRDefault="0030774C" w:rsidP="003351A5">
      <w:pPr>
        <w:pStyle w:val="BodyText"/>
        <w:rPr>
          <w:rFonts w:cstheme="minorHAnsi"/>
          <w:sz w:val="24"/>
          <w:szCs w:val="24"/>
        </w:rPr>
      </w:pPr>
      <w:r w:rsidRPr="00F22821">
        <w:rPr>
          <w:rFonts w:cstheme="minorHAnsi"/>
          <w:sz w:val="24"/>
          <w:szCs w:val="24"/>
        </w:rPr>
        <w:t>Some key stakeholders (primarily the Guild and the Pharmaceutical Society of Australia (PSA)) have not supported the optional $1 discount policy</w:t>
      </w:r>
      <w:r w:rsidR="00765D54" w:rsidRPr="00F22821">
        <w:rPr>
          <w:rFonts w:cstheme="minorHAnsi"/>
          <w:sz w:val="24"/>
          <w:szCs w:val="24"/>
        </w:rPr>
        <w:t xml:space="preserve"> since its incep</w:t>
      </w:r>
      <w:r w:rsidR="00D2224E" w:rsidRPr="00F22821">
        <w:rPr>
          <w:rFonts w:cstheme="minorHAnsi"/>
          <w:sz w:val="24"/>
          <w:szCs w:val="24"/>
        </w:rPr>
        <w:t xml:space="preserve">tion. The main reason </w:t>
      </w:r>
      <w:r w:rsidR="00765D54" w:rsidRPr="00F22821">
        <w:rPr>
          <w:rFonts w:cstheme="minorHAnsi"/>
          <w:sz w:val="24"/>
          <w:szCs w:val="24"/>
        </w:rPr>
        <w:t>is the view that</w:t>
      </w:r>
      <w:r w:rsidR="00D2224E" w:rsidRPr="00F22821">
        <w:rPr>
          <w:rFonts w:cstheme="minorHAnsi"/>
          <w:sz w:val="24"/>
          <w:szCs w:val="24"/>
        </w:rPr>
        <w:t xml:space="preserve"> the policy </w:t>
      </w:r>
      <w:r w:rsidR="00765D54" w:rsidRPr="00F22821">
        <w:rPr>
          <w:rFonts w:cstheme="minorHAnsi"/>
          <w:sz w:val="24"/>
          <w:szCs w:val="24"/>
        </w:rPr>
        <w:t xml:space="preserve">does not provide an appropriate level of competition for pharmacies, </w:t>
      </w:r>
      <w:r w:rsidRPr="00F22821">
        <w:rPr>
          <w:rFonts w:cstheme="minorHAnsi"/>
          <w:sz w:val="24"/>
          <w:szCs w:val="24"/>
        </w:rPr>
        <w:t>is</w:t>
      </w:r>
      <w:r w:rsidR="00765D54" w:rsidRPr="00F22821">
        <w:rPr>
          <w:rFonts w:cstheme="minorHAnsi"/>
          <w:sz w:val="24"/>
          <w:szCs w:val="24"/>
        </w:rPr>
        <w:t xml:space="preserve"> offered in an inequitable way, and therefore does not promote cheaper medicines for</w:t>
      </w:r>
      <w:r w:rsidR="00EA03DB" w:rsidRPr="00F22821">
        <w:rPr>
          <w:rFonts w:cstheme="minorHAnsi"/>
          <w:sz w:val="24"/>
          <w:szCs w:val="24"/>
        </w:rPr>
        <w:t xml:space="preserve"> all</w:t>
      </w:r>
      <w:r w:rsidR="00765D54" w:rsidRPr="00F22821">
        <w:rPr>
          <w:rFonts w:cstheme="minorHAnsi"/>
          <w:sz w:val="24"/>
          <w:szCs w:val="24"/>
        </w:rPr>
        <w:t xml:space="preserve"> patients. However, other stakeholders, such as Chemist Warehouse, have modelled their marketing strategy on providing the discount to all patients, which provides options for cheaper medicines consistently</w:t>
      </w:r>
      <w:r w:rsidR="00EA03DB" w:rsidRPr="00F22821">
        <w:rPr>
          <w:rFonts w:cstheme="minorHAnsi"/>
          <w:sz w:val="24"/>
          <w:szCs w:val="24"/>
        </w:rPr>
        <w:t xml:space="preserve"> to their</w:t>
      </w:r>
      <w:r w:rsidR="00765D54" w:rsidRPr="00F22821">
        <w:rPr>
          <w:rFonts w:cstheme="minorHAnsi"/>
          <w:sz w:val="24"/>
          <w:szCs w:val="24"/>
        </w:rPr>
        <w:t xml:space="preserve"> patients.</w:t>
      </w:r>
    </w:p>
    <w:p w14:paraId="64234862" w14:textId="44A0A5E3" w:rsidR="00EA5629" w:rsidRPr="00F22821" w:rsidRDefault="00EA5629" w:rsidP="003351A5">
      <w:pPr>
        <w:pStyle w:val="BodyText"/>
        <w:rPr>
          <w:rFonts w:cstheme="minorHAnsi"/>
          <w:sz w:val="24"/>
          <w:szCs w:val="24"/>
        </w:rPr>
      </w:pPr>
      <w:r w:rsidRPr="00F22821">
        <w:rPr>
          <w:rFonts w:cstheme="minorHAnsi"/>
          <w:sz w:val="24"/>
          <w:szCs w:val="24"/>
        </w:rPr>
        <w:t xml:space="preserve">The discount is legislated under Part VII of the </w:t>
      </w:r>
      <w:r w:rsidRPr="00F22821">
        <w:rPr>
          <w:rFonts w:cstheme="minorHAnsi"/>
          <w:i/>
          <w:sz w:val="24"/>
          <w:szCs w:val="24"/>
        </w:rPr>
        <w:t>National Health Act</w:t>
      </w:r>
      <w:r w:rsidR="001522F4" w:rsidRPr="00F22821">
        <w:rPr>
          <w:rFonts w:cstheme="minorHAnsi"/>
          <w:i/>
          <w:sz w:val="24"/>
          <w:szCs w:val="24"/>
        </w:rPr>
        <w:t xml:space="preserve"> 1953</w:t>
      </w:r>
      <w:r w:rsidRPr="00F22821">
        <w:rPr>
          <w:rFonts w:cstheme="minorHAnsi"/>
          <w:sz w:val="24"/>
          <w:szCs w:val="24"/>
        </w:rPr>
        <w:t xml:space="preserve">. As such, the discount does not require the agreement of signatories to any </w:t>
      </w:r>
      <w:r w:rsidR="001522F4" w:rsidRPr="00F22821">
        <w:rPr>
          <w:rFonts w:cstheme="minorHAnsi"/>
          <w:sz w:val="24"/>
          <w:szCs w:val="24"/>
        </w:rPr>
        <w:t>CPA</w:t>
      </w:r>
      <w:r w:rsidRPr="00F22821">
        <w:rPr>
          <w:rFonts w:cstheme="minorHAnsi"/>
          <w:sz w:val="24"/>
          <w:szCs w:val="24"/>
        </w:rPr>
        <w:t>, and does not feature in the current 7CPA. However, the Guild has consistently</w:t>
      </w:r>
      <w:r w:rsidR="00194D97" w:rsidRPr="00F22821">
        <w:rPr>
          <w:rFonts w:cstheme="minorHAnsi"/>
          <w:sz w:val="24"/>
          <w:szCs w:val="24"/>
        </w:rPr>
        <w:t xml:space="preserve"> </w:t>
      </w:r>
      <w:r w:rsidR="0030774C" w:rsidRPr="00F22821">
        <w:rPr>
          <w:rFonts w:cstheme="minorHAnsi"/>
          <w:sz w:val="24"/>
          <w:szCs w:val="24"/>
        </w:rPr>
        <w:t xml:space="preserve">expressed </w:t>
      </w:r>
      <w:r w:rsidR="00194D97" w:rsidRPr="00F22821">
        <w:rPr>
          <w:rFonts w:cstheme="minorHAnsi"/>
          <w:sz w:val="24"/>
          <w:szCs w:val="24"/>
        </w:rPr>
        <w:t xml:space="preserve">its view </w:t>
      </w:r>
      <w:r w:rsidR="00B907A7" w:rsidRPr="00F22821">
        <w:rPr>
          <w:rFonts w:cstheme="minorHAnsi"/>
          <w:sz w:val="24"/>
          <w:szCs w:val="24"/>
        </w:rPr>
        <w:t xml:space="preserve">since its introduction </w:t>
      </w:r>
      <w:r w:rsidR="003A3E18" w:rsidRPr="00F22821">
        <w:rPr>
          <w:rFonts w:cstheme="minorHAnsi"/>
          <w:sz w:val="24"/>
          <w:szCs w:val="24"/>
        </w:rPr>
        <w:t>that the</w:t>
      </w:r>
      <w:r w:rsidR="00D2224E" w:rsidRPr="00F22821">
        <w:rPr>
          <w:rFonts w:cstheme="minorHAnsi"/>
          <w:sz w:val="24"/>
          <w:szCs w:val="24"/>
        </w:rPr>
        <w:t xml:space="preserve"> optional</w:t>
      </w:r>
      <w:r w:rsidRPr="00F22821">
        <w:rPr>
          <w:rFonts w:cstheme="minorHAnsi"/>
          <w:sz w:val="24"/>
          <w:szCs w:val="24"/>
        </w:rPr>
        <w:t xml:space="preserve"> $1 discount</w:t>
      </w:r>
      <w:r w:rsidR="00194D97" w:rsidRPr="00F22821">
        <w:rPr>
          <w:rFonts w:cstheme="minorHAnsi"/>
          <w:sz w:val="24"/>
          <w:szCs w:val="24"/>
        </w:rPr>
        <w:t xml:space="preserve"> should be abolished</w:t>
      </w:r>
      <w:r w:rsidRPr="00F22821">
        <w:rPr>
          <w:rFonts w:cstheme="minorHAnsi"/>
          <w:sz w:val="24"/>
          <w:szCs w:val="24"/>
        </w:rPr>
        <w:t xml:space="preserve"> </w:t>
      </w:r>
      <w:r w:rsidR="005A3E15" w:rsidRPr="00F22821">
        <w:rPr>
          <w:rFonts w:cstheme="minorHAnsi"/>
          <w:sz w:val="24"/>
          <w:szCs w:val="24"/>
        </w:rPr>
        <w:t>or</w:t>
      </w:r>
      <w:r w:rsidR="005A3E15" w:rsidRPr="00F22821">
        <w:rPr>
          <w:rStyle w:val="CommentReference"/>
          <w:rFonts w:cstheme="minorHAnsi"/>
          <w:sz w:val="24"/>
          <w:szCs w:val="24"/>
        </w:rPr>
        <w:t xml:space="preserve"> be</w:t>
      </w:r>
      <w:r w:rsidR="00194D97" w:rsidRPr="00F22821">
        <w:rPr>
          <w:rFonts w:cstheme="minorHAnsi"/>
          <w:sz w:val="24"/>
          <w:szCs w:val="24"/>
        </w:rPr>
        <w:t xml:space="preserve"> Government subsidised and</w:t>
      </w:r>
      <w:r w:rsidRPr="00F22821">
        <w:rPr>
          <w:rFonts w:cstheme="minorHAnsi"/>
          <w:sz w:val="24"/>
          <w:szCs w:val="24"/>
        </w:rPr>
        <w:t xml:space="preserve"> appl</w:t>
      </w:r>
      <w:r w:rsidR="00194D97" w:rsidRPr="00F22821">
        <w:rPr>
          <w:rFonts w:cstheme="minorHAnsi"/>
          <w:sz w:val="24"/>
          <w:szCs w:val="24"/>
        </w:rPr>
        <w:t>ied</w:t>
      </w:r>
      <w:r w:rsidRPr="00F22821">
        <w:rPr>
          <w:rFonts w:cstheme="minorHAnsi"/>
          <w:sz w:val="24"/>
          <w:szCs w:val="24"/>
        </w:rPr>
        <w:t xml:space="preserve"> across all </w:t>
      </w:r>
      <w:r w:rsidR="00257AEF">
        <w:rPr>
          <w:rFonts w:cstheme="minorHAnsi"/>
          <w:sz w:val="24"/>
          <w:szCs w:val="24"/>
        </w:rPr>
        <w:t>prescriptions</w:t>
      </w:r>
      <w:r w:rsidR="00257AEF" w:rsidRPr="00F22821">
        <w:rPr>
          <w:rFonts w:cstheme="minorHAnsi"/>
          <w:sz w:val="24"/>
          <w:szCs w:val="24"/>
        </w:rPr>
        <w:t xml:space="preserve"> </w:t>
      </w:r>
      <w:r w:rsidRPr="00F22821">
        <w:rPr>
          <w:rFonts w:cstheme="minorHAnsi"/>
          <w:sz w:val="24"/>
          <w:szCs w:val="24"/>
        </w:rPr>
        <w:t xml:space="preserve">to ensure it is equitably distributed. </w:t>
      </w:r>
    </w:p>
    <w:p w14:paraId="389CD0D6" w14:textId="666F02F4" w:rsidR="00EA5629" w:rsidRDefault="003918D7" w:rsidP="003351A5">
      <w:pPr>
        <w:pStyle w:val="BodyText"/>
        <w:rPr>
          <w:rFonts w:cstheme="minorHAnsi"/>
          <w:sz w:val="24"/>
          <w:szCs w:val="24"/>
        </w:rPr>
      </w:pPr>
      <w:r>
        <w:rPr>
          <w:rFonts w:cstheme="minorHAnsi"/>
          <w:sz w:val="24"/>
          <w:szCs w:val="24"/>
        </w:rPr>
        <w:t>The King review agreed that h</w:t>
      </w:r>
      <w:r w:rsidRPr="00F859F6">
        <w:rPr>
          <w:rFonts w:cstheme="minorHAnsi"/>
          <w:sz w:val="24"/>
          <w:szCs w:val="24"/>
        </w:rPr>
        <w:t>aving varying levels of competition in community pharmacy in different parts of Australia creates issues of equity for consumers</w:t>
      </w:r>
      <w:r>
        <w:rPr>
          <w:rFonts w:cstheme="minorHAnsi"/>
          <w:sz w:val="24"/>
          <w:szCs w:val="24"/>
        </w:rPr>
        <w:t xml:space="preserve"> and recommended that the $1 discount be abolished</w:t>
      </w:r>
      <w:r w:rsidRPr="00F859F6">
        <w:rPr>
          <w:rFonts w:cstheme="minorHAnsi"/>
          <w:sz w:val="24"/>
          <w:szCs w:val="24"/>
        </w:rPr>
        <w:t>.</w:t>
      </w:r>
      <w:r>
        <w:rPr>
          <w:rFonts w:cstheme="minorHAnsi"/>
          <w:sz w:val="24"/>
          <w:szCs w:val="24"/>
        </w:rPr>
        <w:t xml:space="preserve"> Conversely both</w:t>
      </w:r>
      <w:r w:rsidRPr="003918D7">
        <w:rPr>
          <w:rFonts w:cstheme="minorHAnsi"/>
          <w:sz w:val="24"/>
          <w:szCs w:val="24"/>
        </w:rPr>
        <w:t xml:space="preserve"> </w:t>
      </w:r>
      <w:r w:rsidRPr="00F22821">
        <w:rPr>
          <w:rFonts w:cstheme="minorHAnsi"/>
          <w:sz w:val="24"/>
          <w:szCs w:val="24"/>
        </w:rPr>
        <w:t>the Australian Medical Association (AMA) and Chemist Warehouse have proposed expansion of the discount</w:t>
      </w:r>
      <w:r w:rsidRPr="00F22821" w:rsidDel="003918D7">
        <w:rPr>
          <w:rFonts w:cstheme="minorHAnsi"/>
          <w:sz w:val="24"/>
          <w:szCs w:val="24"/>
        </w:rPr>
        <w:t xml:space="preserve"> </w:t>
      </w:r>
      <w:r>
        <w:rPr>
          <w:rFonts w:cstheme="minorHAnsi"/>
          <w:sz w:val="24"/>
          <w:szCs w:val="24"/>
        </w:rPr>
        <w:t>to create more competition and lower costs for patients</w:t>
      </w:r>
      <w:r w:rsidR="00EA5629" w:rsidRPr="00F22821">
        <w:rPr>
          <w:rFonts w:cstheme="minorHAnsi"/>
          <w:sz w:val="24"/>
          <w:szCs w:val="24"/>
        </w:rPr>
        <w:t xml:space="preserve">. </w:t>
      </w:r>
    </w:p>
    <w:p w14:paraId="00DAE345" w14:textId="77777777" w:rsidR="00257AEF" w:rsidRPr="00F22821" w:rsidRDefault="00257AEF" w:rsidP="003351A5">
      <w:pPr>
        <w:pStyle w:val="BodyText"/>
        <w:rPr>
          <w:rFonts w:cstheme="minorHAnsi"/>
          <w:sz w:val="24"/>
          <w:szCs w:val="24"/>
        </w:rPr>
      </w:pPr>
    </w:p>
    <w:p w14:paraId="2C721661" w14:textId="77777777" w:rsidR="003351A5" w:rsidRPr="00F22821" w:rsidRDefault="00A44FF6" w:rsidP="00814422">
      <w:pPr>
        <w:pStyle w:val="Heading4"/>
        <w:rPr>
          <w:rFonts w:asciiTheme="minorHAnsi" w:hAnsiTheme="minorHAnsi" w:cstheme="minorHAnsi"/>
          <w:b/>
        </w:rPr>
      </w:pPr>
      <w:r w:rsidRPr="00F22821">
        <w:rPr>
          <w:rFonts w:asciiTheme="minorHAnsi" w:hAnsiTheme="minorHAnsi" w:cstheme="minorHAnsi"/>
          <w:b/>
        </w:rPr>
        <w:t>Preferred</w:t>
      </w:r>
      <w:r w:rsidR="00EA5629" w:rsidRPr="00F22821">
        <w:rPr>
          <w:rFonts w:asciiTheme="minorHAnsi" w:hAnsiTheme="minorHAnsi" w:cstheme="minorHAnsi"/>
          <w:b/>
        </w:rPr>
        <w:t xml:space="preserve"> option</w:t>
      </w:r>
    </w:p>
    <w:p w14:paraId="5B7A150A" w14:textId="0CEB006F" w:rsidR="00361DFC" w:rsidRPr="00F22821" w:rsidRDefault="00361DFC" w:rsidP="003351A5">
      <w:pPr>
        <w:pStyle w:val="Heading4"/>
        <w:spacing w:before="0"/>
        <w:rPr>
          <w:rFonts w:asciiTheme="minorHAnsi" w:hAnsiTheme="minorHAnsi" w:cstheme="minorHAnsi"/>
          <w:color w:val="262626" w:themeColor="text1" w:themeTint="D9"/>
          <w:sz w:val="24"/>
        </w:rPr>
      </w:pPr>
      <w:r w:rsidRPr="00F22821">
        <w:rPr>
          <w:rFonts w:asciiTheme="minorHAnsi" w:hAnsiTheme="minorHAnsi" w:cstheme="minorHAnsi"/>
          <w:color w:val="262626" w:themeColor="text1" w:themeTint="D9"/>
          <w:sz w:val="24"/>
        </w:rPr>
        <w:t xml:space="preserve">Based on the analysis of three options, </w:t>
      </w:r>
      <w:r w:rsidR="00342915" w:rsidRPr="00F22821">
        <w:rPr>
          <w:rFonts w:asciiTheme="minorHAnsi" w:hAnsiTheme="minorHAnsi" w:cstheme="minorHAnsi"/>
          <w:color w:val="262626" w:themeColor="text1" w:themeTint="D9"/>
          <w:sz w:val="24"/>
        </w:rPr>
        <w:t xml:space="preserve">the option that provides the most benefit to patients, and community pharmacies is </w:t>
      </w:r>
      <w:r w:rsidR="00191FEC" w:rsidRPr="00F22821">
        <w:rPr>
          <w:rFonts w:asciiTheme="minorHAnsi" w:hAnsiTheme="minorHAnsi" w:cstheme="minorHAnsi"/>
          <w:color w:val="262626" w:themeColor="text1" w:themeTint="D9"/>
          <w:sz w:val="24"/>
        </w:rPr>
        <w:t>Option 3; a</w:t>
      </w:r>
      <w:r w:rsidRPr="00F22821">
        <w:rPr>
          <w:rFonts w:asciiTheme="minorHAnsi" w:hAnsiTheme="minorHAnsi" w:cstheme="minorHAnsi"/>
          <w:color w:val="262626" w:themeColor="text1" w:themeTint="D9"/>
          <w:sz w:val="24"/>
        </w:rPr>
        <w:t xml:space="preserve"> gradual phase out of the optional $1 discount while freezing indexation of the co-payment amounts. </w:t>
      </w:r>
    </w:p>
    <w:p w14:paraId="69D544FF" w14:textId="4F7C3D93" w:rsidR="00AB28D4" w:rsidRPr="00F22821" w:rsidRDefault="00361DFC" w:rsidP="003351A5">
      <w:pPr>
        <w:pStyle w:val="BodyText"/>
        <w:rPr>
          <w:rFonts w:cstheme="minorHAnsi"/>
          <w:sz w:val="24"/>
          <w:szCs w:val="24"/>
        </w:rPr>
      </w:pPr>
      <w:r w:rsidRPr="00F22821">
        <w:rPr>
          <w:rFonts w:cstheme="minorHAnsi"/>
          <w:sz w:val="24"/>
          <w:szCs w:val="24"/>
        </w:rPr>
        <w:t xml:space="preserve">This option </w:t>
      </w:r>
      <w:r w:rsidR="001A1ABF" w:rsidRPr="00F22821">
        <w:rPr>
          <w:rFonts w:cstheme="minorHAnsi"/>
          <w:sz w:val="24"/>
          <w:szCs w:val="24"/>
        </w:rPr>
        <w:t xml:space="preserve">protects the pharmacy sector from </w:t>
      </w:r>
      <w:r w:rsidRPr="00F22821">
        <w:rPr>
          <w:rFonts w:cstheme="minorHAnsi"/>
          <w:sz w:val="24"/>
          <w:szCs w:val="24"/>
        </w:rPr>
        <w:t xml:space="preserve">financial stress </w:t>
      </w:r>
      <w:r w:rsidR="001A1ABF" w:rsidRPr="00F22821">
        <w:rPr>
          <w:rFonts w:cstheme="minorHAnsi"/>
          <w:sz w:val="24"/>
          <w:szCs w:val="24"/>
        </w:rPr>
        <w:t xml:space="preserve">and provides certainty </w:t>
      </w:r>
      <w:r w:rsidR="00814422" w:rsidRPr="00F22821">
        <w:rPr>
          <w:rFonts w:cstheme="minorHAnsi"/>
          <w:sz w:val="24"/>
          <w:szCs w:val="24"/>
        </w:rPr>
        <w:t>to consumers on the allowable discount and potential</w:t>
      </w:r>
      <w:r w:rsidRPr="00F22821">
        <w:rPr>
          <w:rFonts w:cstheme="minorHAnsi"/>
          <w:sz w:val="24"/>
          <w:szCs w:val="24"/>
        </w:rPr>
        <w:t xml:space="preserve"> prescription costs during th</w:t>
      </w:r>
      <w:r w:rsidR="0080525D" w:rsidRPr="00F22821">
        <w:rPr>
          <w:rFonts w:cstheme="minorHAnsi"/>
          <w:sz w:val="24"/>
          <w:szCs w:val="24"/>
        </w:rPr>
        <w:t xml:space="preserve">e </w:t>
      </w:r>
      <w:r w:rsidR="005A3E15" w:rsidRPr="00F22821">
        <w:rPr>
          <w:rFonts w:cstheme="minorHAnsi"/>
          <w:sz w:val="24"/>
          <w:szCs w:val="24"/>
        </w:rPr>
        <w:t xml:space="preserve">estimated </w:t>
      </w:r>
      <w:r w:rsidR="0080525D" w:rsidRPr="00F22821">
        <w:rPr>
          <w:rFonts w:cstheme="minorHAnsi"/>
          <w:sz w:val="24"/>
          <w:szCs w:val="24"/>
        </w:rPr>
        <w:t>five-year transition period</w:t>
      </w:r>
      <w:r w:rsidRPr="00F22821">
        <w:rPr>
          <w:rFonts w:cstheme="minorHAnsi"/>
          <w:sz w:val="24"/>
          <w:szCs w:val="24"/>
        </w:rPr>
        <w:t xml:space="preserve">. This is </w:t>
      </w:r>
      <w:r w:rsidRPr="00F22821">
        <w:rPr>
          <w:rFonts w:cstheme="minorHAnsi"/>
          <w:sz w:val="24"/>
          <w:szCs w:val="24"/>
        </w:rPr>
        <w:lastRenderedPageBreak/>
        <w:t xml:space="preserve">contrary to </w:t>
      </w:r>
      <w:r w:rsidR="00AB28D4" w:rsidRPr="00F22821">
        <w:rPr>
          <w:rFonts w:cstheme="minorHAnsi"/>
          <w:sz w:val="24"/>
          <w:szCs w:val="24"/>
        </w:rPr>
        <w:t xml:space="preserve">Option 2, which is </w:t>
      </w:r>
      <w:r w:rsidRPr="00F22821">
        <w:rPr>
          <w:rFonts w:cstheme="minorHAnsi"/>
          <w:sz w:val="24"/>
          <w:szCs w:val="24"/>
        </w:rPr>
        <w:t xml:space="preserve">likely to increase costs to consumers in both subsidised and </w:t>
      </w:r>
      <w:r w:rsidR="00AB28D4" w:rsidRPr="00F22821">
        <w:rPr>
          <w:rFonts w:cstheme="minorHAnsi"/>
          <w:sz w:val="24"/>
          <w:szCs w:val="24"/>
        </w:rPr>
        <w:t xml:space="preserve">unsubsidised prescription costs, as </w:t>
      </w:r>
      <w:r w:rsidR="001A1ABF" w:rsidRPr="00F22821">
        <w:rPr>
          <w:rFonts w:cstheme="minorHAnsi"/>
          <w:sz w:val="24"/>
          <w:szCs w:val="24"/>
        </w:rPr>
        <w:t>the discount would cease without any compensatory reduction in the co-payments</w:t>
      </w:r>
      <w:r w:rsidR="00AB28D4" w:rsidRPr="00F22821">
        <w:rPr>
          <w:rFonts w:cstheme="minorHAnsi"/>
          <w:sz w:val="24"/>
          <w:szCs w:val="24"/>
        </w:rPr>
        <w:t xml:space="preserve">. </w:t>
      </w:r>
      <w:r w:rsidR="00342915" w:rsidRPr="00F22821">
        <w:rPr>
          <w:rFonts w:cstheme="minorHAnsi"/>
          <w:sz w:val="24"/>
          <w:szCs w:val="24"/>
        </w:rPr>
        <w:t>Option 3 a</w:t>
      </w:r>
      <w:r w:rsidR="00AB28D4" w:rsidRPr="00F22821">
        <w:rPr>
          <w:rFonts w:cstheme="minorHAnsi"/>
          <w:sz w:val="24"/>
          <w:szCs w:val="24"/>
        </w:rPr>
        <w:t xml:space="preserve">lso responds to the requests from many </w:t>
      </w:r>
      <w:r w:rsidR="00191FEC" w:rsidRPr="00F22821">
        <w:rPr>
          <w:rFonts w:cstheme="minorHAnsi"/>
          <w:sz w:val="24"/>
          <w:szCs w:val="24"/>
        </w:rPr>
        <w:t>stakeholders</w:t>
      </w:r>
      <w:r w:rsidR="00AB28D4" w:rsidRPr="00F22821">
        <w:rPr>
          <w:rFonts w:cstheme="minorHAnsi"/>
          <w:sz w:val="24"/>
          <w:szCs w:val="24"/>
        </w:rPr>
        <w:t xml:space="preserve"> for its complete removal, as well as the request from contrary stakeholders who </w:t>
      </w:r>
      <w:r w:rsidR="00EA03DB" w:rsidRPr="00F22821">
        <w:rPr>
          <w:rFonts w:cstheme="minorHAnsi"/>
          <w:sz w:val="24"/>
          <w:szCs w:val="24"/>
        </w:rPr>
        <w:t>also</w:t>
      </w:r>
      <w:r w:rsidR="00AB28D4" w:rsidRPr="00F22821">
        <w:rPr>
          <w:rFonts w:cstheme="minorHAnsi"/>
          <w:sz w:val="24"/>
          <w:szCs w:val="24"/>
        </w:rPr>
        <w:t xml:space="preserve"> note the current policy (Option 1) is not sufficient </w:t>
      </w:r>
      <w:r w:rsidR="00EA03DB" w:rsidRPr="00F22821">
        <w:rPr>
          <w:rFonts w:cstheme="minorHAnsi"/>
          <w:sz w:val="24"/>
          <w:szCs w:val="24"/>
        </w:rPr>
        <w:t xml:space="preserve">to </w:t>
      </w:r>
      <w:r w:rsidR="001A1ABF" w:rsidRPr="00F22821">
        <w:rPr>
          <w:rFonts w:cstheme="minorHAnsi"/>
          <w:sz w:val="24"/>
          <w:szCs w:val="24"/>
        </w:rPr>
        <w:t xml:space="preserve">drive </w:t>
      </w:r>
      <w:r w:rsidR="00EA03DB" w:rsidRPr="00F22821">
        <w:rPr>
          <w:rFonts w:cstheme="minorHAnsi"/>
          <w:sz w:val="24"/>
          <w:szCs w:val="24"/>
        </w:rPr>
        <w:t xml:space="preserve">real </w:t>
      </w:r>
      <w:r w:rsidR="00AB28D4" w:rsidRPr="00F22821">
        <w:rPr>
          <w:rFonts w:cstheme="minorHAnsi"/>
          <w:sz w:val="24"/>
          <w:szCs w:val="24"/>
        </w:rPr>
        <w:t xml:space="preserve">competition. </w:t>
      </w:r>
      <w:r w:rsidR="00A2063D" w:rsidRPr="00F22821">
        <w:rPr>
          <w:rFonts w:cstheme="minorHAnsi"/>
          <w:sz w:val="24"/>
          <w:szCs w:val="24"/>
        </w:rPr>
        <w:t>Further, Option 3 addresses the</w:t>
      </w:r>
      <w:r w:rsidR="00EF56F4" w:rsidRPr="00F22821">
        <w:rPr>
          <w:rFonts w:cstheme="minorHAnsi"/>
          <w:sz w:val="24"/>
          <w:szCs w:val="24"/>
        </w:rPr>
        <w:t xml:space="preserve"> perceived </w:t>
      </w:r>
      <w:r w:rsidR="00A2063D" w:rsidRPr="00F22821">
        <w:rPr>
          <w:rFonts w:cstheme="minorHAnsi"/>
          <w:sz w:val="24"/>
          <w:szCs w:val="24"/>
        </w:rPr>
        <w:t>inequities in the availability of optional medicine discounting introduced by Option 1</w:t>
      </w:r>
      <w:r w:rsidR="001A1ABF" w:rsidRPr="00F22821">
        <w:rPr>
          <w:rFonts w:cstheme="minorHAnsi"/>
          <w:sz w:val="24"/>
          <w:szCs w:val="24"/>
        </w:rPr>
        <w:t xml:space="preserve">. This </w:t>
      </w:r>
      <w:r w:rsidR="00A2063D" w:rsidRPr="00F22821">
        <w:rPr>
          <w:rFonts w:cstheme="minorHAnsi"/>
          <w:sz w:val="24"/>
          <w:szCs w:val="24"/>
        </w:rPr>
        <w:t xml:space="preserve">ensures all Australians have access to cheaper medicines. </w:t>
      </w:r>
    </w:p>
    <w:p w14:paraId="5BBDFD33" w14:textId="73CEAE8C" w:rsidR="00020B38" w:rsidRPr="00F22821" w:rsidRDefault="00020B38" w:rsidP="003351A5">
      <w:pPr>
        <w:pStyle w:val="BodyText"/>
        <w:rPr>
          <w:rFonts w:cstheme="minorHAnsi"/>
          <w:sz w:val="24"/>
          <w:szCs w:val="24"/>
        </w:rPr>
      </w:pPr>
      <w:r w:rsidRPr="00F22821">
        <w:rPr>
          <w:rFonts w:cstheme="minorHAnsi"/>
          <w:sz w:val="24"/>
          <w:szCs w:val="24"/>
        </w:rPr>
        <w:t xml:space="preserve">To implement Option 3, legislative changes to the </w:t>
      </w:r>
      <w:r w:rsidRPr="00F22821">
        <w:rPr>
          <w:rFonts w:cstheme="minorHAnsi"/>
          <w:i/>
          <w:sz w:val="24"/>
          <w:szCs w:val="24"/>
        </w:rPr>
        <w:t>National Health Act 1953</w:t>
      </w:r>
      <w:r w:rsidRPr="00F22821">
        <w:rPr>
          <w:rFonts w:cstheme="minorHAnsi"/>
          <w:sz w:val="24"/>
          <w:szCs w:val="24"/>
        </w:rPr>
        <w:t>, would be required to both reduce the $1 dollar discount until it</w:t>
      </w:r>
      <w:r w:rsidR="001A1ABF" w:rsidRPr="00F22821">
        <w:rPr>
          <w:rFonts w:cstheme="minorHAnsi"/>
          <w:sz w:val="24"/>
          <w:szCs w:val="24"/>
        </w:rPr>
        <w:t>s abolition</w:t>
      </w:r>
      <w:r w:rsidRPr="00F22821">
        <w:rPr>
          <w:rFonts w:cstheme="minorHAnsi"/>
          <w:sz w:val="24"/>
          <w:szCs w:val="24"/>
        </w:rPr>
        <w:t xml:space="preserve"> and</w:t>
      </w:r>
      <w:r w:rsidR="00EA03DB" w:rsidRPr="00F22821">
        <w:rPr>
          <w:rFonts w:cstheme="minorHAnsi"/>
          <w:sz w:val="24"/>
          <w:szCs w:val="24"/>
        </w:rPr>
        <w:t xml:space="preserve"> temporarily</w:t>
      </w:r>
      <w:r w:rsidRPr="00F22821">
        <w:rPr>
          <w:rFonts w:cstheme="minorHAnsi"/>
          <w:sz w:val="24"/>
          <w:szCs w:val="24"/>
        </w:rPr>
        <w:t xml:space="preserve"> freeze the relevant co-payment amounts. These changes would be proposed</w:t>
      </w:r>
      <w:r w:rsidR="00EA03DB" w:rsidRPr="00F22821">
        <w:rPr>
          <w:rFonts w:cstheme="minorHAnsi"/>
          <w:sz w:val="24"/>
          <w:szCs w:val="24"/>
        </w:rPr>
        <w:t xml:space="preserve"> and, provided </w:t>
      </w:r>
      <w:r w:rsidR="002A5DEA" w:rsidRPr="00F22821">
        <w:rPr>
          <w:rFonts w:cstheme="minorHAnsi"/>
          <w:sz w:val="24"/>
          <w:szCs w:val="24"/>
        </w:rPr>
        <w:t xml:space="preserve">Government </w:t>
      </w:r>
      <w:r w:rsidR="00EA03DB" w:rsidRPr="00F22821">
        <w:rPr>
          <w:rFonts w:cstheme="minorHAnsi"/>
          <w:sz w:val="24"/>
          <w:szCs w:val="24"/>
        </w:rPr>
        <w:t>passes supporting legislation,</w:t>
      </w:r>
      <w:r w:rsidRPr="00F22821">
        <w:rPr>
          <w:rFonts w:cstheme="minorHAnsi"/>
          <w:sz w:val="24"/>
          <w:szCs w:val="24"/>
        </w:rPr>
        <w:t xml:space="preserve"> implemented as soon as possible after the signing of the 8CPA.</w:t>
      </w:r>
    </w:p>
    <w:p w14:paraId="19F8D276" w14:textId="684D6FEF" w:rsidR="00020B38" w:rsidRDefault="00020B38" w:rsidP="003351A5">
      <w:pPr>
        <w:pStyle w:val="BodyText"/>
        <w:rPr>
          <w:rFonts w:cstheme="minorHAnsi"/>
          <w:sz w:val="24"/>
          <w:szCs w:val="24"/>
        </w:rPr>
      </w:pPr>
      <w:r w:rsidRPr="00F22821">
        <w:rPr>
          <w:rFonts w:cstheme="minorHAnsi"/>
          <w:sz w:val="24"/>
          <w:szCs w:val="24"/>
        </w:rPr>
        <w:t xml:space="preserve">As a part of the 8CPA communication </w:t>
      </w:r>
      <w:r w:rsidR="001522F4" w:rsidRPr="00F22821">
        <w:rPr>
          <w:rFonts w:cstheme="minorHAnsi"/>
          <w:sz w:val="24"/>
          <w:szCs w:val="24"/>
        </w:rPr>
        <w:t>activities</w:t>
      </w:r>
      <w:r w:rsidRPr="00F22821">
        <w:rPr>
          <w:rFonts w:cstheme="minorHAnsi"/>
          <w:sz w:val="24"/>
          <w:szCs w:val="24"/>
        </w:rPr>
        <w:t xml:space="preserve">, the Department would </w:t>
      </w:r>
      <w:r w:rsidR="001522F4" w:rsidRPr="00F22821">
        <w:rPr>
          <w:rFonts w:cstheme="minorHAnsi"/>
          <w:sz w:val="24"/>
          <w:szCs w:val="24"/>
        </w:rPr>
        <w:t>communicate these changes</w:t>
      </w:r>
      <w:r w:rsidRPr="00F22821">
        <w:rPr>
          <w:rFonts w:cstheme="minorHAnsi"/>
          <w:sz w:val="24"/>
          <w:szCs w:val="24"/>
        </w:rPr>
        <w:t xml:space="preserve"> to community pharmacies and consumers. Additional communications would be required annually as the discount amount was phased out. These communications would likely be consolidated with the communication of the</w:t>
      </w:r>
      <w:r w:rsidR="00EA03DB" w:rsidRPr="00F22821">
        <w:rPr>
          <w:rFonts w:cstheme="minorHAnsi"/>
          <w:sz w:val="24"/>
          <w:szCs w:val="24"/>
        </w:rPr>
        <w:t xml:space="preserve"> annual</w:t>
      </w:r>
      <w:r w:rsidRPr="00F22821">
        <w:rPr>
          <w:rFonts w:cstheme="minorHAnsi"/>
          <w:sz w:val="24"/>
          <w:szCs w:val="24"/>
        </w:rPr>
        <w:t xml:space="preserve"> indexation of other pharmacy fees.</w:t>
      </w:r>
    </w:p>
    <w:p w14:paraId="7DCC018F" w14:textId="77777777" w:rsidR="00257AEF" w:rsidRPr="00F22821" w:rsidRDefault="00257AEF" w:rsidP="003351A5">
      <w:pPr>
        <w:pStyle w:val="BodyText"/>
        <w:rPr>
          <w:rFonts w:cstheme="minorHAnsi"/>
          <w:sz w:val="24"/>
          <w:szCs w:val="24"/>
        </w:rPr>
      </w:pPr>
    </w:p>
    <w:p w14:paraId="3CB375DE" w14:textId="77777777" w:rsidR="00764889" w:rsidRPr="00F22821" w:rsidRDefault="00EA5629" w:rsidP="00814422">
      <w:pPr>
        <w:pStyle w:val="Heading4"/>
        <w:rPr>
          <w:rFonts w:asciiTheme="minorHAnsi" w:hAnsiTheme="minorHAnsi" w:cstheme="minorHAnsi"/>
          <w:b/>
        </w:rPr>
      </w:pPr>
      <w:r w:rsidRPr="00F22821">
        <w:rPr>
          <w:rFonts w:asciiTheme="minorHAnsi" w:hAnsiTheme="minorHAnsi" w:cstheme="minorHAnsi"/>
          <w:b/>
        </w:rPr>
        <w:t>Evaluation</w:t>
      </w:r>
      <w:r w:rsidR="00AB28D4" w:rsidRPr="00F22821">
        <w:rPr>
          <w:rFonts w:asciiTheme="minorHAnsi" w:hAnsiTheme="minorHAnsi" w:cstheme="minorHAnsi"/>
          <w:b/>
        </w:rPr>
        <w:t xml:space="preserve"> of preferred option</w:t>
      </w:r>
    </w:p>
    <w:p w14:paraId="13D8BD44" w14:textId="56B3CC94" w:rsidR="00EF56F4" w:rsidRPr="00F22821" w:rsidRDefault="00ED56DC" w:rsidP="003351A5">
      <w:pPr>
        <w:rPr>
          <w:rFonts w:cstheme="minorHAnsi"/>
          <w:color w:val="0D0D0D" w:themeColor="text1" w:themeTint="F2"/>
          <w:sz w:val="24"/>
          <w:szCs w:val="24"/>
        </w:rPr>
      </w:pPr>
      <w:r w:rsidRPr="00F22821">
        <w:rPr>
          <w:rFonts w:cstheme="minorHAnsi"/>
          <w:color w:val="0D0D0D" w:themeColor="text1" w:themeTint="F2"/>
          <w:sz w:val="24"/>
          <w:szCs w:val="24"/>
        </w:rPr>
        <w:t xml:space="preserve">As noted above this policy primarily impacts the equity, sustainability and access for consumers and business. Consistent with the evaluation process outlined in the </w:t>
      </w:r>
      <w:r w:rsidR="005A50A0" w:rsidRPr="00F22821">
        <w:rPr>
          <w:rFonts w:cstheme="minorHAnsi"/>
          <w:color w:val="0D0D0D" w:themeColor="text1" w:themeTint="F2"/>
          <w:sz w:val="24"/>
          <w:szCs w:val="24"/>
        </w:rPr>
        <w:t>8</w:t>
      </w:r>
      <w:r w:rsidR="00414E2B" w:rsidRPr="00F22821">
        <w:rPr>
          <w:sz w:val="24"/>
          <w:szCs w:val="24"/>
        </w:rPr>
        <w:t>CPA IA</w:t>
      </w:r>
      <w:r w:rsidR="00414E2B" w:rsidRPr="00F22821" w:rsidDel="00414E2B">
        <w:rPr>
          <w:rFonts w:cstheme="minorHAnsi"/>
          <w:color w:val="0D0D0D" w:themeColor="text1" w:themeTint="F2"/>
          <w:sz w:val="24"/>
          <w:szCs w:val="24"/>
        </w:rPr>
        <w:t xml:space="preserve"> </w:t>
      </w:r>
      <w:r w:rsidRPr="00F22821">
        <w:rPr>
          <w:rFonts w:cstheme="minorHAnsi"/>
          <w:color w:val="0D0D0D" w:themeColor="text1" w:themeTint="F2"/>
          <w:sz w:val="24"/>
          <w:szCs w:val="24"/>
        </w:rPr>
        <w:t xml:space="preserve">success against these objectives will continue to be monitored and evaluated through analysis of PBS dispensing data. </w:t>
      </w:r>
    </w:p>
    <w:p w14:paraId="49D58D57" w14:textId="02589397" w:rsidR="00A835C3" w:rsidRPr="00F22821" w:rsidRDefault="00ED56DC" w:rsidP="003351A5">
      <w:pPr>
        <w:rPr>
          <w:rFonts w:cstheme="minorHAnsi"/>
          <w:color w:val="0D0D0D" w:themeColor="text1" w:themeTint="F2"/>
          <w:sz w:val="24"/>
          <w:szCs w:val="24"/>
        </w:rPr>
      </w:pPr>
      <w:r w:rsidRPr="00F22821">
        <w:rPr>
          <w:rFonts w:cstheme="minorHAnsi"/>
          <w:color w:val="auto"/>
          <w:sz w:val="24"/>
          <w:szCs w:val="24"/>
        </w:rPr>
        <w:t>To evaluate affordable access for the community, the total growth in PBS Government expense for the supply of medicines for future financial years will be monitored. T</w:t>
      </w:r>
      <w:r w:rsidRPr="00F22821">
        <w:rPr>
          <w:rFonts w:cstheme="minorHAnsi"/>
          <w:color w:val="0D0D0D" w:themeColor="text1" w:themeTint="F2"/>
          <w:sz w:val="24"/>
          <w:szCs w:val="24"/>
        </w:rPr>
        <w:t xml:space="preserve">he total cost to patients for medicines priced below the level of the patient co-payment (i.e. patient contributions through under co-payment prescriptions) and dispensing remuneration data will also continue to be monitored. </w:t>
      </w:r>
      <w:r w:rsidR="00AB28D4" w:rsidRPr="00F22821">
        <w:rPr>
          <w:rFonts w:cstheme="minorHAnsi"/>
          <w:sz w:val="24"/>
          <w:szCs w:val="24"/>
        </w:rPr>
        <w:t xml:space="preserve">Uptake of the </w:t>
      </w:r>
      <w:r w:rsidR="00EA03DB" w:rsidRPr="00F22821">
        <w:rPr>
          <w:rFonts w:cstheme="minorHAnsi"/>
          <w:sz w:val="24"/>
          <w:szCs w:val="24"/>
        </w:rPr>
        <w:t xml:space="preserve">remaining discount </w:t>
      </w:r>
      <w:r w:rsidR="00020B38" w:rsidRPr="00F22821">
        <w:rPr>
          <w:rFonts w:cstheme="minorHAnsi"/>
          <w:sz w:val="24"/>
          <w:szCs w:val="24"/>
        </w:rPr>
        <w:t xml:space="preserve">and consumer costs </w:t>
      </w:r>
      <w:r w:rsidR="00AB28D4" w:rsidRPr="00F22821">
        <w:rPr>
          <w:rFonts w:cstheme="minorHAnsi"/>
          <w:sz w:val="24"/>
          <w:szCs w:val="24"/>
        </w:rPr>
        <w:t xml:space="preserve">will </w:t>
      </w:r>
      <w:r w:rsidR="00020B38" w:rsidRPr="00F22821">
        <w:rPr>
          <w:rFonts w:cstheme="minorHAnsi"/>
          <w:sz w:val="24"/>
          <w:szCs w:val="24"/>
        </w:rPr>
        <w:t xml:space="preserve">continue to </w:t>
      </w:r>
      <w:r w:rsidR="00AB28D4" w:rsidRPr="00F22821">
        <w:rPr>
          <w:rFonts w:cstheme="minorHAnsi"/>
          <w:sz w:val="24"/>
          <w:szCs w:val="24"/>
        </w:rPr>
        <w:t>be monitored</w:t>
      </w:r>
      <w:r w:rsidR="00EA03DB" w:rsidRPr="00F22821">
        <w:rPr>
          <w:rFonts w:cstheme="minorHAnsi"/>
          <w:sz w:val="24"/>
          <w:szCs w:val="24"/>
        </w:rPr>
        <w:t xml:space="preserve"> alongside the savings provided to patients through the co-payment freeze</w:t>
      </w:r>
      <w:r w:rsidR="00AB28D4" w:rsidRPr="00F22821">
        <w:rPr>
          <w:rFonts w:cstheme="minorHAnsi"/>
          <w:sz w:val="24"/>
          <w:szCs w:val="24"/>
        </w:rPr>
        <w:t xml:space="preserve"> to </w:t>
      </w:r>
      <w:r w:rsidR="001522F4" w:rsidRPr="00F22821">
        <w:rPr>
          <w:rFonts w:cstheme="minorHAnsi"/>
          <w:sz w:val="24"/>
          <w:szCs w:val="24"/>
        </w:rPr>
        <w:t>assess the extent to which</w:t>
      </w:r>
      <w:r w:rsidR="00EA03DB" w:rsidRPr="00F22821">
        <w:rPr>
          <w:rFonts w:cstheme="minorHAnsi"/>
          <w:sz w:val="24"/>
          <w:szCs w:val="24"/>
        </w:rPr>
        <w:t xml:space="preserve"> this policy achieves the intended policy outcomes and overall results in additional savings for patients over the life of the 8CPA.</w:t>
      </w:r>
      <w:r w:rsidR="009D6AFA" w:rsidRPr="00F22821">
        <w:br w:type="page"/>
      </w:r>
    </w:p>
    <w:p w14:paraId="0A8A8D6F" w14:textId="6848BF08" w:rsidR="002336F4" w:rsidRPr="00F22821" w:rsidRDefault="002336F4" w:rsidP="00B37347">
      <w:pPr>
        <w:pStyle w:val="Heading2"/>
      </w:pPr>
      <w:r w:rsidRPr="00F22821">
        <w:lastRenderedPageBreak/>
        <w:t xml:space="preserve">Addendum 2: Provision of additional dispensing revenue </w:t>
      </w:r>
    </w:p>
    <w:p w14:paraId="3EB7B6D8" w14:textId="77777777" w:rsidR="009247E0" w:rsidRPr="00F22821" w:rsidRDefault="009247E0" w:rsidP="009247E0">
      <w:pPr>
        <w:pStyle w:val="BodyText"/>
        <w:rPr>
          <w:sz w:val="24"/>
          <w:szCs w:val="24"/>
        </w:rPr>
      </w:pPr>
      <w:r w:rsidRPr="00F22821">
        <w:rPr>
          <w:sz w:val="24"/>
          <w:szCs w:val="24"/>
        </w:rPr>
        <w:t>On 13 March 2024, the Department of Health and Aged Care (Department) and the Pharmacy Guild of Australia (Guild) signed a Heads of Agreement for the Eighth Community Pharmacy Agreement (8CPA). The Heads of Agreement reflected an intended additional investment of up to $3 billion for community pharmacy and cheaper medicines. Full details of the measures delivered by this additional investment were to be finalised by further negotiations between the parties.</w:t>
      </w:r>
    </w:p>
    <w:p w14:paraId="40877FB9" w14:textId="15F964A9" w:rsidR="00102A6E" w:rsidRPr="00F22821" w:rsidRDefault="00764889" w:rsidP="003351A5">
      <w:pPr>
        <w:pStyle w:val="BodyText"/>
        <w:rPr>
          <w:rFonts w:cstheme="minorHAnsi"/>
          <w:sz w:val="24"/>
          <w:szCs w:val="24"/>
        </w:rPr>
      </w:pPr>
      <w:r w:rsidRPr="00F22821">
        <w:rPr>
          <w:sz w:val="24"/>
          <w:szCs w:val="24"/>
        </w:rPr>
        <w:t>This addendum to the 2024 Negotiation of a New Community Pharmacy Agreement Impact Analysis (</w:t>
      </w:r>
      <w:r w:rsidR="005A50A0" w:rsidRPr="00F22821">
        <w:rPr>
          <w:sz w:val="24"/>
          <w:szCs w:val="24"/>
        </w:rPr>
        <w:t>8</w:t>
      </w:r>
      <w:r w:rsidRPr="00F22821">
        <w:rPr>
          <w:sz w:val="24"/>
          <w:szCs w:val="24"/>
        </w:rPr>
        <w:t xml:space="preserve">CPA IA), </w:t>
      </w:r>
      <w:r w:rsidR="00030E85" w:rsidRPr="00F22821">
        <w:rPr>
          <w:rFonts w:cstheme="minorHAnsi"/>
          <w:sz w:val="24"/>
          <w:szCs w:val="24"/>
        </w:rPr>
        <w:t>provides information on the additional investment announced by the Australian Government on 14 March 2024.</w:t>
      </w:r>
      <w:r w:rsidR="00030E85" w:rsidRPr="00F22821">
        <w:rPr>
          <w:rStyle w:val="FootnoteReference"/>
          <w:rFonts w:cstheme="minorHAnsi"/>
          <w:sz w:val="24"/>
          <w:szCs w:val="24"/>
        </w:rPr>
        <w:footnoteReference w:id="8"/>
      </w:r>
      <w:r w:rsidR="00030E85" w:rsidRPr="00F22821">
        <w:rPr>
          <w:rFonts w:cstheme="minorHAnsi"/>
          <w:sz w:val="24"/>
          <w:szCs w:val="24"/>
        </w:rPr>
        <w:t xml:space="preserve"> Two key policy proposals warrant separate consideration through addenda to the Impact Analysis (IA); the future of the optional $1 discount policy, and the provision of additional dispensing revenue. </w:t>
      </w:r>
      <w:r w:rsidR="00102A6E" w:rsidRPr="00F22821">
        <w:rPr>
          <w:rFonts w:cstheme="minorHAnsi"/>
          <w:sz w:val="24"/>
          <w:szCs w:val="24"/>
        </w:rPr>
        <w:t>This addendum looks at the second.</w:t>
      </w:r>
    </w:p>
    <w:p w14:paraId="13E5D962" w14:textId="77777777" w:rsidR="00524ACA" w:rsidRPr="00F22821" w:rsidRDefault="00524ACA" w:rsidP="003351A5">
      <w:pPr>
        <w:pStyle w:val="BodyText"/>
        <w:rPr>
          <w:rFonts w:cstheme="minorHAnsi"/>
          <w:sz w:val="24"/>
          <w:szCs w:val="24"/>
        </w:rPr>
      </w:pPr>
    </w:p>
    <w:p w14:paraId="253111F7" w14:textId="189C3477" w:rsidR="00941EF9" w:rsidRPr="00F22821" w:rsidRDefault="00941EF9" w:rsidP="003351A5">
      <w:pPr>
        <w:pStyle w:val="Heading4"/>
        <w:spacing w:before="0"/>
        <w:rPr>
          <w:rFonts w:asciiTheme="minorHAnsi" w:hAnsiTheme="minorHAnsi" w:cstheme="minorHAnsi"/>
          <w:b/>
          <w:szCs w:val="28"/>
        </w:rPr>
      </w:pPr>
      <w:r w:rsidRPr="00F22821">
        <w:rPr>
          <w:rFonts w:asciiTheme="minorHAnsi" w:hAnsiTheme="minorHAnsi" w:cstheme="minorHAnsi"/>
          <w:b/>
          <w:szCs w:val="28"/>
        </w:rPr>
        <w:t>Background</w:t>
      </w:r>
    </w:p>
    <w:p w14:paraId="42AC073E" w14:textId="3C9D3202" w:rsidR="00941EF9" w:rsidRPr="00F22821" w:rsidRDefault="00941EF9" w:rsidP="003351A5">
      <w:pPr>
        <w:pStyle w:val="BodyText"/>
        <w:rPr>
          <w:rFonts w:cstheme="minorHAnsi"/>
          <w:sz w:val="24"/>
          <w:szCs w:val="24"/>
        </w:rPr>
      </w:pPr>
      <w:r w:rsidRPr="00F22821">
        <w:rPr>
          <w:rFonts w:cstheme="minorHAnsi"/>
          <w:sz w:val="24"/>
          <w:szCs w:val="24"/>
        </w:rPr>
        <w:t>Significant reinvestments into pharmacy programs were made alongside the introduction of the 60</w:t>
      </w:r>
      <w:r w:rsidR="009247E0" w:rsidRPr="00F22821">
        <w:rPr>
          <w:rFonts w:cstheme="minorHAnsi"/>
          <w:sz w:val="24"/>
          <w:szCs w:val="24"/>
        </w:rPr>
        <w:t xml:space="preserve">-day </w:t>
      </w:r>
      <w:r w:rsidRPr="00F22821">
        <w:rPr>
          <w:rFonts w:cstheme="minorHAnsi"/>
          <w:sz w:val="24"/>
          <w:szCs w:val="24"/>
        </w:rPr>
        <w:t xml:space="preserve">dispensing </w:t>
      </w:r>
      <w:r w:rsidR="009247E0" w:rsidRPr="00F22821">
        <w:rPr>
          <w:rFonts w:cstheme="minorHAnsi"/>
          <w:sz w:val="24"/>
          <w:szCs w:val="24"/>
        </w:rPr>
        <w:t xml:space="preserve">(60DD) </w:t>
      </w:r>
      <w:r w:rsidRPr="00F22821">
        <w:rPr>
          <w:rFonts w:cstheme="minorHAnsi"/>
          <w:sz w:val="24"/>
          <w:szCs w:val="24"/>
        </w:rPr>
        <w:t xml:space="preserve">policy as discussed in detail into the 8CPA IA. Despite this </w:t>
      </w:r>
      <w:r w:rsidR="009247E0" w:rsidRPr="00F22821">
        <w:rPr>
          <w:rFonts w:cstheme="minorHAnsi"/>
          <w:sz w:val="24"/>
          <w:szCs w:val="24"/>
        </w:rPr>
        <w:t>investment,</w:t>
      </w:r>
      <w:r w:rsidRPr="00F22821">
        <w:rPr>
          <w:rFonts w:cstheme="minorHAnsi"/>
          <w:sz w:val="24"/>
          <w:szCs w:val="24"/>
        </w:rPr>
        <w:t xml:space="preserve"> some pharmacy stakeholders have argued that </w:t>
      </w:r>
      <w:r w:rsidR="009247E0" w:rsidRPr="00F22821">
        <w:rPr>
          <w:rFonts w:cstheme="minorHAnsi"/>
          <w:sz w:val="24"/>
          <w:szCs w:val="24"/>
        </w:rPr>
        <w:t xml:space="preserve">the </w:t>
      </w:r>
      <w:r w:rsidRPr="00F22821">
        <w:rPr>
          <w:rFonts w:cstheme="minorHAnsi"/>
          <w:sz w:val="24"/>
          <w:szCs w:val="24"/>
        </w:rPr>
        <w:t>community pharmacy model requires additional investment, with guaranteed growth in real terms to remain viable in the post</w:t>
      </w:r>
      <w:r w:rsidR="009247E0" w:rsidRPr="00F22821">
        <w:rPr>
          <w:rFonts w:cstheme="minorHAnsi"/>
          <w:sz w:val="24"/>
          <w:szCs w:val="24"/>
        </w:rPr>
        <w:t xml:space="preserve"> </w:t>
      </w:r>
      <w:r w:rsidRPr="00F22821">
        <w:rPr>
          <w:rFonts w:cstheme="minorHAnsi"/>
          <w:sz w:val="24"/>
          <w:szCs w:val="24"/>
        </w:rPr>
        <w:t>60</w:t>
      </w:r>
      <w:r w:rsidR="009247E0" w:rsidRPr="00F22821">
        <w:rPr>
          <w:rFonts w:cstheme="minorHAnsi"/>
          <w:sz w:val="24"/>
          <w:szCs w:val="24"/>
        </w:rPr>
        <w:t xml:space="preserve">DD </w:t>
      </w:r>
      <w:r w:rsidRPr="00F22821">
        <w:rPr>
          <w:rFonts w:cstheme="minorHAnsi"/>
          <w:sz w:val="24"/>
          <w:szCs w:val="24"/>
        </w:rPr>
        <w:t xml:space="preserve">environment. </w:t>
      </w:r>
    </w:p>
    <w:p w14:paraId="759454E9" w14:textId="77777777" w:rsidR="00524ACA" w:rsidRPr="00F22821" w:rsidRDefault="00524ACA" w:rsidP="003351A5">
      <w:pPr>
        <w:pStyle w:val="BodyText"/>
        <w:rPr>
          <w:rFonts w:cstheme="minorHAnsi"/>
          <w:sz w:val="24"/>
          <w:szCs w:val="24"/>
        </w:rPr>
      </w:pPr>
    </w:p>
    <w:p w14:paraId="1C5F151E" w14:textId="3520C8EF" w:rsidR="002336F4" w:rsidRPr="00F22821" w:rsidRDefault="002336F4" w:rsidP="00814422">
      <w:pPr>
        <w:pStyle w:val="Heading4"/>
        <w:spacing w:before="0"/>
        <w:rPr>
          <w:rFonts w:asciiTheme="minorHAnsi" w:hAnsiTheme="minorHAnsi" w:cstheme="minorHAnsi"/>
          <w:b/>
          <w:szCs w:val="28"/>
        </w:rPr>
      </w:pPr>
      <w:r w:rsidRPr="00F22821">
        <w:rPr>
          <w:rFonts w:asciiTheme="minorHAnsi" w:hAnsiTheme="minorHAnsi" w:cstheme="minorHAnsi"/>
          <w:b/>
          <w:szCs w:val="28"/>
        </w:rPr>
        <w:t>Policy Options</w:t>
      </w:r>
    </w:p>
    <w:p w14:paraId="06B9E2DF" w14:textId="087713CB" w:rsidR="002336F4" w:rsidRPr="00F22821" w:rsidRDefault="002336F4" w:rsidP="00524ACA">
      <w:pPr>
        <w:pStyle w:val="BodyText"/>
        <w:rPr>
          <w:rFonts w:cstheme="minorHAnsi"/>
          <w:sz w:val="24"/>
          <w:szCs w:val="24"/>
        </w:rPr>
      </w:pPr>
      <w:r w:rsidRPr="00F22821">
        <w:rPr>
          <w:rFonts w:cstheme="minorHAnsi"/>
          <w:sz w:val="24"/>
          <w:szCs w:val="24"/>
        </w:rPr>
        <w:t>The options considered for the provision of additional dispensing revenue payments are:</w:t>
      </w:r>
    </w:p>
    <w:p w14:paraId="546406F5" w14:textId="6E636C85" w:rsidR="00152CA7" w:rsidRPr="00F22821" w:rsidRDefault="002336F4" w:rsidP="002336F4">
      <w:pPr>
        <w:pStyle w:val="BodyText"/>
        <w:ind w:left="2160" w:hanging="1440"/>
        <w:rPr>
          <w:sz w:val="24"/>
          <w:szCs w:val="24"/>
        </w:rPr>
      </w:pPr>
      <w:r w:rsidRPr="00F22821">
        <w:rPr>
          <w:sz w:val="24"/>
          <w:szCs w:val="24"/>
        </w:rPr>
        <w:t xml:space="preserve">Option 1: </w:t>
      </w:r>
      <w:r w:rsidRPr="00F22821">
        <w:rPr>
          <w:sz w:val="24"/>
          <w:szCs w:val="24"/>
        </w:rPr>
        <w:tab/>
      </w:r>
      <w:r w:rsidR="00EF56F4" w:rsidRPr="00F22821">
        <w:rPr>
          <w:sz w:val="24"/>
          <w:szCs w:val="24"/>
        </w:rPr>
        <w:t>Continuation of the 7CPA until 30 June 2025 and no new Community Pharmacy Agreement following its expiry (Status Quo)</w:t>
      </w:r>
    </w:p>
    <w:p w14:paraId="244128D4" w14:textId="2ABA6424" w:rsidR="002336F4" w:rsidRPr="00F22821" w:rsidRDefault="00152CA7" w:rsidP="002336F4">
      <w:pPr>
        <w:pStyle w:val="BodyText"/>
        <w:ind w:left="2160" w:hanging="1440"/>
        <w:rPr>
          <w:sz w:val="24"/>
          <w:szCs w:val="24"/>
        </w:rPr>
      </w:pPr>
      <w:r w:rsidRPr="00F22821">
        <w:rPr>
          <w:sz w:val="24"/>
          <w:szCs w:val="24"/>
        </w:rPr>
        <w:t xml:space="preserve">Option 2: </w:t>
      </w:r>
      <w:r w:rsidRPr="00F22821">
        <w:rPr>
          <w:sz w:val="24"/>
          <w:szCs w:val="24"/>
        </w:rPr>
        <w:tab/>
      </w:r>
      <w:r w:rsidR="00020B38" w:rsidRPr="00F22821">
        <w:rPr>
          <w:sz w:val="24"/>
          <w:szCs w:val="24"/>
        </w:rPr>
        <w:t xml:space="preserve">Provide </w:t>
      </w:r>
      <w:r w:rsidR="002336F4" w:rsidRPr="00F22821">
        <w:rPr>
          <w:sz w:val="24"/>
          <w:szCs w:val="24"/>
        </w:rPr>
        <w:t xml:space="preserve">additional </w:t>
      </w:r>
      <w:r w:rsidR="00020B38" w:rsidRPr="00F22821">
        <w:rPr>
          <w:sz w:val="24"/>
          <w:szCs w:val="24"/>
        </w:rPr>
        <w:t xml:space="preserve">dispensing revenue through the Commonwealth price </w:t>
      </w:r>
    </w:p>
    <w:p w14:paraId="21F02606" w14:textId="0D7D1A44" w:rsidR="004C4A1C" w:rsidRPr="00F22821" w:rsidRDefault="002336F4" w:rsidP="002336F4">
      <w:pPr>
        <w:pStyle w:val="BodyText"/>
        <w:ind w:left="2160" w:hanging="1440"/>
        <w:rPr>
          <w:sz w:val="24"/>
          <w:szCs w:val="24"/>
        </w:rPr>
      </w:pPr>
      <w:r w:rsidRPr="00F22821">
        <w:rPr>
          <w:sz w:val="24"/>
          <w:szCs w:val="24"/>
        </w:rPr>
        <w:t xml:space="preserve">Option </w:t>
      </w:r>
      <w:r w:rsidR="00A32955" w:rsidRPr="00F22821">
        <w:rPr>
          <w:sz w:val="24"/>
          <w:szCs w:val="24"/>
        </w:rPr>
        <w:t>3</w:t>
      </w:r>
      <w:r w:rsidRPr="00F22821">
        <w:rPr>
          <w:sz w:val="24"/>
          <w:szCs w:val="24"/>
        </w:rPr>
        <w:t>:</w:t>
      </w:r>
      <w:r w:rsidRPr="00F22821">
        <w:rPr>
          <w:sz w:val="24"/>
          <w:szCs w:val="24"/>
        </w:rPr>
        <w:tab/>
        <w:t xml:space="preserve">Create a new legislated </w:t>
      </w:r>
      <w:r w:rsidR="004A72E9" w:rsidRPr="00F22821">
        <w:rPr>
          <w:sz w:val="24"/>
          <w:szCs w:val="24"/>
        </w:rPr>
        <w:t xml:space="preserve">payment </w:t>
      </w:r>
      <w:r w:rsidRPr="00F22821">
        <w:rPr>
          <w:sz w:val="24"/>
          <w:szCs w:val="24"/>
        </w:rPr>
        <w:t xml:space="preserve">mechanism to provide additional </w:t>
      </w:r>
      <w:r w:rsidR="004A72E9" w:rsidRPr="00F22821">
        <w:rPr>
          <w:sz w:val="24"/>
          <w:szCs w:val="24"/>
        </w:rPr>
        <w:t>dispensing revenue</w:t>
      </w:r>
      <w:r w:rsidRPr="00F22821">
        <w:rPr>
          <w:sz w:val="24"/>
          <w:szCs w:val="24"/>
        </w:rPr>
        <w:t>.</w:t>
      </w:r>
    </w:p>
    <w:p w14:paraId="50F74201" w14:textId="77777777" w:rsidR="004C4A1C" w:rsidRPr="00F22821" w:rsidRDefault="004C4A1C" w:rsidP="002336F4">
      <w:pPr>
        <w:pStyle w:val="BodyText"/>
        <w:ind w:left="2160" w:hanging="1440"/>
        <w:rPr>
          <w:sz w:val="24"/>
          <w:szCs w:val="24"/>
        </w:rPr>
      </w:pPr>
    </w:p>
    <w:p w14:paraId="235C6B20" w14:textId="27668404" w:rsidR="00EF56F4" w:rsidRPr="00F22821" w:rsidRDefault="00EF56F4" w:rsidP="003351A5">
      <w:pPr>
        <w:pStyle w:val="Heading3"/>
        <w:spacing w:before="0" w:after="120" w:line="264" w:lineRule="auto"/>
        <w:ind w:left="1701" w:hanging="1701"/>
        <w:jc w:val="both"/>
        <w:rPr>
          <w:rFonts w:asciiTheme="minorHAnsi" w:hAnsiTheme="minorHAnsi" w:cstheme="minorHAnsi"/>
          <w:color w:val="1F4D78" w:themeColor="accent1" w:themeShade="7F"/>
          <w:sz w:val="24"/>
          <w:szCs w:val="24"/>
        </w:rPr>
      </w:pPr>
      <w:bookmarkStart w:id="2" w:name="_Toc160100755"/>
      <w:r w:rsidRPr="00F22821">
        <w:rPr>
          <w:rFonts w:asciiTheme="minorHAnsi" w:hAnsiTheme="minorHAnsi" w:cstheme="minorHAnsi"/>
          <w:color w:val="1F4D78" w:themeColor="accent1" w:themeShade="7F"/>
          <w:sz w:val="24"/>
          <w:szCs w:val="24"/>
        </w:rPr>
        <w:t>Option 1: Continuation of the 7CPA until 30 June 2025 (</w:t>
      </w:r>
      <w:r w:rsidRPr="00257AEF">
        <w:rPr>
          <w:rFonts w:asciiTheme="minorHAnsi" w:hAnsiTheme="minorHAnsi" w:cstheme="minorHAnsi"/>
          <w:i/>
          <w:color w:val="1F4D78" w:themeColor="accent1" w:themeShade="7F"/>
          <w:sz w:val="24"/>
          <w:szCs w:val="24"/>
        </w:rPr>
        <w:t>Status Quo</w:t>
      </w:r>
      <w:r w:rsidRPr="00F22821">
        <w:rPr>
          <w:rFonts w:asciiTheme="minorHAnsi" w:hAnsiTheme="minorHAnsi" w:cstheme="minorHAnsi"/>
          <w:color w:val="1F4D78" w:themeColor="accent1" w:themeShade="7F"/>
          <w:sz w:val="24"/>
          <w:szCs w:val="24"/>
        </w:rPr>
        <w:t>)</w:t>
      </w:r>
      <w:bookmarkEnd w:id="2"/>
    </w:p>
    <w:p w14:paraId="22E36499" w14:textId="4A47C2C6" w:rsidR="00941EF9" w:rsidRPr="00F22821" w:rsidRDefault="00941EF9" w:rsidP="003351A5">
      <w:pPr>
        <w:pStyle w:val="BodyText"/>
        <w:rPr>
          <w:rFonts w:cstheme="minorHAnsi"/>
          <w:sz w:val="24"/>
          <w:szCs w:val="24"/>
        </w:rPr>
      </w:pPr>
      <w:r w:rsidRPr="00F22821">
        <w:rPr>
          <w:rFonts w:cstheme="minorHAnsi"/>
          <w:sz w:val="24"/>
          <w:szCs w:val="24"/>
        </w:rPr>
        <w:t>This option was explored in detail in the 8CPA IA and is ther</w:t>
      </w:r>
      <w:r w:rsidR="00CF63A9" w:rsidRPr="00F22821">
        <w:rPr>
          <w:rFonts w:cstheme="minorHAnsi"/>
          <w:sz w:val="24"/>
          <w:szCs w:val="24"/>
        </w:rPr>
        <w:t>e</w:t>
      </w:r>
      <w:r w:rsidRPr="00F22821">
        <w:rPr>
          <w:rFonts w:cstheme="minorHAnsi"/>
          <w:sz w:val="24"/>
          <w:szCs w:val="24"/>
        </w:rPr>
        <w:t>fore not re-analysed here.</w:t>
      </w:r>
    </w:p>
    <w:p w14:paraId="70EBC59A" w14:textId="77777777" w:rsidR="00CF63A9" w:rsidRPr="00F22821" w:rsidRDefault="00CF63A9" w:rsidP="003351A5">
      <w:pPr>
        <w:pStyle w:val="BodyText"/>
        <w:rPr>
          <w:rFonts w:cstheme="minorHAnsi"/>
          <w:sz w:val="24"/>
          <w:szCs w:val="24"/>
        </w:rPr>
      </w:pPr>
    </w:p>
    <w:p w14:paraId="0284BCE0" w14:textId="7EE48822" w:rsidR="002336F4" w:rsidRPr="00F22821" w:rsidRDefault="002336F4" w:rsidP="003351A5">
      <w:pPr>
        <w:pStyle w:val="Heading6"/>
        <w:spacing w:before="0" w:after="120"/>
        <w:rPr>
          <w:rFonts w:asciiTheme="minorHAnsi" w:hAnsiTheme="minorHAnsi" w:cstheme="minorHAnsi"/>
          <w:sz w:val="24"/>
          <w:szCs w:val="24"/>
        </w:rPr>
      </w:pPr>
      <w:r w:rsidRPr="00F22821">
        <w:rPr>
          <w:rFonts w:asciiTheme="minorHAnsi" w:hAnsiTheme="minorHAnsi" w:cstheme="minorHAnsi"/>
          <w:sz w:val="24"/>
          <w:szCs w:val="24"/>
        </w:rPr>
        <w:t xml:space="preserve">Option </w:t>
      </w:r>
      <w:r w:rsidR="00CF63A9" w:rsidRPr="00F22821">
        <w:rPr>
          <w:rFonts w:asciiTheme="minorHAnsi" w:hAnsiTheme="minorHAnsi" w:cstheme="minorHAnsi"/>
          <w:sz w:val="24"/>
          <w:szCs w:val="24"/>
        </w:rPr>
        <w:t>2</w:t>
      </w:r>
      <w:r w:rsidRPr="00F22821">
        <w:rPr>
          <w:rFonts w:asciiTheme="minorHAnsi" w:hAnsiTheme="minorHAnsi" w:cstheme="minorHAnsi"/>
          <w:sz w:val="24"/>
          <w:szCs w:val="24"/>
        </w:rPr>
        <w:t>:</w:t>
      </w:r>
      <w:r w:rsidR="00152CA7" w:rsidRPr="00F22821">
        <w:rPr>
          <w:rFonts w:asciiTheme="minorHAnsi" w:hAnsiTheme="minorHAnsi" w:cstheme="minorHAnsi"/>
          <w:sz w:val="24"/>
          <w:szCs w:val="24"/>
        </w:rPr>
        <w:t xml:space="preserve"> Provide additional dispensing revenue through the Commonwealth price</w:t>
      </w:r>
      <w:r w:rsidRPr="00F22821">
        <w:rPr>
          <w:rFonts w:asciiTheme="minorHAnsi" w:hAnsiTheme="minorHAnsi" w:cstheme="minorHAnsi"/>
          <w:sz w:val="24"/>
          <w:szCs w:val="24"/>
        </w:rPr>
        <w:t xml:space="preserve"> </w:t>
      </w:r>
    </w:p>
    <w:p w14:paraId="3089B478" w14:textId="080EFB49" w:rsidR="002336F4" w:rsidRPr="00F22821" w:rsidRDefault="004C4A1C" w:rsidP="003351A5">
      <w:pPr>
        <w:pStyle w:val="BodyText"/>
        <w:rPr>
          <w:rFonts w:cstheme="minorHAnsi"/>
          <w:sz w:val="24"/>
          <w:szCs w:val="24"/>
        </w:rPr>
      </w:pPr>
      <w:r w:rsidRPr="00F22821">
        <w:rPr>
          <w:rFonts w:cstheme="minorHAnsi"/>
          <w:sz w:val="24"/>
          <w:szCs w:val="24"/>
        </w:rPr>
        <w:t>As discussed in earlier parts of th</w:t>
      </w:r>
      <w:r w:rsidR="001522F4" w:rsidRPr="00F22821">
        <w:rPr>
          <w:rFonts w:cstheme="minorHAnsi"/>
          <w:sz w:val="24"/>
          <w:szCs w:val="24"/>
        </w:rPr>
        <w:t>e 8CPA IA</w:t>
      </w:r>
      <w:r w:rsidR="00E97286" w:rsidRPr="00F22821">
        <w:rPr>
          <w:rFonts w:cstheme="minorHAnsi"/>
          <w:sz w:val="24"/>
          <w:szCs w:val="24"/>
        </w:rPr>
        <w:t>,</w:t>
      </w:r>
      <w:r w:rsidRPr="00F22821">
        <w:rPr>
          <w:rFonts w:cstheme="minorHAnsi"/>
          <w:sz w:val="24"/>
          <w:szCs w:val="24"/>
        </w:rPr>
        <w:t xml:space="preserve"> </w:t>
      </w:r>
      <w:r w:rsidR="009247E0" w:rsidRPr="00F22821">
        <w:rPr>
          <w:rFonts w:cstheme="minorHAnsi"/>
          <w:sz w:val="24"/>
          <w:szCs w:val="24"/>
        </w:rPr>
        <w:t xml:space="preserve">the Commonwealth price currently provides </w:t>
      </w:r>
      <w:r w:rsidRPr="00F22821">
        <w:rPr>
          <w:rFonts w:cstheme="minorHAnsi"/>
          <w:sz w:val="24"/>
          <w:szCs w:val="24"/>
        </w:rPr>
        <w:t>di</w:t>
      </w:r>
      <w:r w:rsidR="00020B38" w:rsidRPr="00F22821">
        <w:rPr>
          <w:rFonts w:cstheme="minorHAnsi"/>
          <w:sz w:val="24"/>
          <w:szCs w:val="24"/>
        </w:rPr>
        <w:t>spensing revenue</w:t>
      </w:r>
      <w:r w:rsidR="00474F9D" w:rsidRPr="00F22821">
        <w:rPr>
          <w:rFonts w:cstheme="minorHAnsi"/>
          <w:sz w:val="24"/>
          <w:szCs w:val="24"/>
        </w:rPr>
        <w:t xml:space="preserve">. </w:t>
      </w:r>
      <w:r w:rsidR="00020B38" w:rsidRPr="00F22821">
        <w:rPr>
          <w:rFonts w:cstheme="minorHAnsi"/>
          <w:sz w:val="24"/>
          <w:szCs w:val="24"/>
        </w:rPr>
        <w:t>This option would see the individual components o</w:t>
      </w:r>
      <w:r w:rsidRPr="00F22821">
        <w:rPr>
          <w:rFonts w:cstheme="minorHAnsi"/>
          <w:sz w:val="24"/>
          <w:szCs w:val="24"/>
        </w:rPr>
        <w:t xml:space="preserve">f </w:t>
      </w:r>
      <w:r w:rsidR="00020B38" w:rsidRPr="00F22821">
        <w:rPr>
          <w:rFonts w:cstheme="minorHAnsi"/>
          <w:sz w:val="24"/>
          <w:szCs w:val="24"/>
        </w:rPr>
        <w:t xml:space="preserve">the Commonwealth price including the </w:t>
      </w:r>
      <w:r w:rsidR="00474F9D" w:rsidRPr="00F22821">
        <w:rPr>
          <w:rFonts w:cstheme="minorHAnsi"/>
          <w:sz w:val="24"/>
          <w:szCs w:val="24"/>
        </w:rPr>
        <w:t>Administration, Handling and Infrastructure (AHI) fee</w:t>
      </w:r>
      <w:r w:rsidR="00020B38" w:rsidRPr="00F22821">
        <w:rPr>
          <w:rFonts w:cstheme="minorHAnsi"/>
          <w:sz w:val="24"/>
          <w:szCs w:val="24"/>
        </w:rPr>
        <w:t xml:space="preserve"> and</w:t>
      </w:r>
      <w:r w:rsidR="00474F9D" w:rsidRPr="00F22821">
        <w:rPr>
          <w:rFonts w:cstheme="minorHAnsi"/>
          <w:sz w:val="24"/>
          <w:szCs w:val="24"/>
        </w:rPr>
        <w:t xml:space="preserve"> dispensing fee, </w:t>
      </w:r>
      <w:r w:rsidR="00020B38" w:rsidRPr="00F22821">
        <w:rPr>
          <w:rFonts w:cstheme="minorHAnsi"/>
          <w:sz w:val="24"/>
          <w:szCs w:val="24"/>
        </w:rPr>
        <w:t xml:space="preserve">increase considerably. This option would provide a level of comfort to pharmacy owners and be administratively simple </w:t>
      </w:r>
      <w:r w:rsidR="009247E0" w:rsidRPr="00F22821">
        <w:rPr>
          <w:rFonts w:cstheme="minorHAnsi"/>
          <w:sz w:val="24"/>
          <w:szCs w:val="24"/>
        </w:rPr>
        <w:t xml:space="preserve">to implement </w:t>
      </w:r>
      <w:r w:rsidR="00020B38" w:rsidRPr="00F22821">
        <w:rPr>
          <w:rFonts w:cstheme="minorHAnsi"/>
          <w:sz w:val="24"/>
          <w:szCs w:val="24"/>
        </w:rPr>
        <w:t>as it aligns with the current arrangements</w:t>
      </w:r>
      <w:r w:rsidRPr="00F22821">
        <w:rPr>
          <w:rFonts w:cstheme="minorHAnsi"/>
          <w:sz w:val="24"/>
          <w:szCs w:val="24"/>
        </w:rPr>
        <w:t xml:space="preserve">, </w:t>
      </w:r>
      <w:r w:rsidR="00020B38" w:rsidRPr="00F22821">
        <w:rPr>
          <w:rFonts w:cstheme="minorHAnsi"/>
          <w:sz w:val="24"/>
          <w:szCs w:val="24"/>
        </w:rPr>
        <w:t xml:space="preserve">however </w:t>
      </w:r>
      <w:r w:rsidRPr="00F22821">
        <w:rPr>
          <w:rFonts w:cstheme="minorHAnsi"/>
          <w:sz w:val="24"/>
          <w:szCs w:val="24"/>
        </w:rPr>
        <w:t xml:space="preserve">it would also </w:t>
      </w:r>
      <w:r w:rsidR="00020B38" w:rsidRPr="00F22821">
        <w:rPr>
          <w:rFonts w:cstheme="minorHAnsi"/>
          <w:sz w:val="24"/>
          <w:szCs w:val="24"/>
        </w:rPr>
        <w:t>result in additional co</w:t>
      </w:r>
      <w:r w:rsidRPr="00F22821">
        <w:rPr>
          <w:rFonts w:cstheme="minorHAnsi"/>
          <w:sz w:val="24"/>
          <w:szCs w:val="24"/>
        </w:rPr>
        <w:t>s</w:t>
      </w:r>
      <w:r w:rsidR="00020B38" w:rsidRPr="00F22821">
        <w:rPr>
          <w:rFonts w:cstheme="minorHAnsi"/>
          <w:sz w:val="24"/>
          <w:szCs w:val="24"/>
        </w:rPr>
        <w:t>ts to patients</w:t>
      </w:r>
      <w:r w:rsidRPr="00F22821">
        <w:rPr>
          <w:rFonts w:cstheme="minorHAnsi"/>
          <w:sz w:val="24"/>
          <w:szCs w:val="24"/>
        </w:rPr>
        <w:t>,</w:t>
      </w:r>
      <w:r w:rsidR="00020B38" w:rsidRPr="00F22821">
        <w:rPr>
          <w:rFonts w:cstheme="minorHAnsi"/>
          <w:sz w:val="24"/>
          <w:szCs w:val="24"/>
        </w:rPr>
        <w:t xml:space="preserve"> through the application of these higher fees to unsubsidised</w:t>
      </w:r>
      <w:r w:rsidR="00257AEF">
        <w:rPr>
          <w:rFonts w:cstheme="minorHAnsi"/>
          <w:sz w:val="24"/>
          <w:szCs w:val="24"/>
        </w:rPr>
        <w:t xml:space="preserve"> prescriptions</w:t>
      </w:r>
      <w:r w:rsidR="00020B38" w:rsidRPr="00F22821">
        <w:rPr>
          <w:rFonts w:cstheme="minorHAnsi"/>
          <w:sz w:val="24"/>
          <w:szCs w:val="24"/>
        </w:rPr>
        <w:t>.</w:t>
      </w:r>
    </w:p>
    <w:p w14:paraId="5A840653" w14:textId="77777777" w:rsidR="00524ACA" w:rsidRPr="00F22821" w:rsidRDefault="00524ACA" w:rsidP="003351A5">
      <w:pPr>
        <w:pStyle w:val="BodyText"/>
        <w:rPr>
          <w:rFonts w:cstheme="minorHAnsi"/>
          <w:sz w:val="24"/>
          <w:szCs w:val="24"/>
        </w:rPr>
      </w:pPr>
    </w:p>
    <w:p w14:paraId="2DDD322B" w14:textId="080E7E17" w:rsidR="002336F4" w:rsidRPr="00F22821" w:rsidRDefault="002336F4" w:rsidP="003351A5">
      <w:pPr>
        <w:pStyle w:val="Heading6"/>
        <w:spacing w:before="0" w:after="120"/>
        <w:rPr>
          <w:rFonts w:asciiTheme="minorHAnsi" w:hAnsiTheme="minorHAnsi" w:cstheme="minorHAnsi"/>
          <w:sz w:val="24"/>
          <w:szCs w:val="24"/>
        </w:rPr>
      </w:pPr>
      <w:r w:rsidRPr="00F22821">
        <w:rPr>
          <w:rFonts w:asciiTheme="minorHAnsi" w:hAnsiTheme="minorHAnsi" w:cstheme="minorHAnsi"/>
          <w:sz w:val="24"/>
          <w:szCs w:val="24"/>
        </w:rPr>
        <w:t xml:space="preserve">Option </w:t>
      </w:r>
      <w:r w:rsidR="00CF63A9" w:rsidRPr="00F22821">
        <w:rPr>
          <w:rFonts w:asciiTheme="minorHAnsi" w:hAnsiTheme="minorHAnsi" w:cstheme="minorHAnsi"/>
          <w:sz w:val="24"/>
          <w:szCs w:val="24"/>
        </w:rPr>
        <w:t>3</w:t>
      </w:r>
      <w:r w:rsidRPr="00F22821">
        <w:rPr>
          <w:rFonts w:asciiTheme="minorHAnsi" w:hAnsiTheme="minorHAnsi" w:cstheme="minorHAnsi"/>
          <w:sz w:val="24"/>
          <w:szCs w:val="24"/>
        </w:rPr>
        <w:t xml:space="preserve">: </w:t>
      </w:r>
      <w:r w:rsidR="009247E0" w:rsidRPr="00F22821">
        <w:rPr>
          <w:rFonts w:asciiTheme="minorHAnsi" w:hAnsiTheme="minorHAnsi" w:cstheme="minorHAnsi"/>
          <w:sz w:val="24"/>
          <w:szCs w:val="24"/>
        </w:rPr>
        <w:t xml:space="preserve">Create </w:t>
      </w:r>
      <w:r w:rsidRPr="00F22821">
        <w:rPr>
          <w:rFonts w:asciiTheme="minorHAnsi" w:hAnsiTheme="minorHAnsi" w:cstheme="minorHAnsi"/>
          <w:sz w:val="24"/>
          <w:szCs w:val="24"/>
        </w:rPr>
        <w:t xml:space="preserve">a new legislated mechanism to provide additional payments </w:t>
      </w:r>
    </w:p>
    <w:p w14:paraId="14697894" w14:textId="1EF8DC32" w:rsidR="00020B38" w:rsidRPr="00F22821" w:rsidRDefault="004C4A1C" w:rsidP="003351A5">
      <w:pPr>
        <w:pStyle w:val="BodyText"/>
        <w:rPr>
          <w:rFonts w:cstheme="minorHAnsi"/>
          <w:sz w:val="24"/>
          <w:szCs w:val="24"/>
        </w:rPr>
      </w:pPr>
      <w:r w:rsidRPr="00F22821">
        <w:rPr>
          <w:rFonts w:cstheme="minorHAnsi"/>
          <w:sz w:val="24"/>
          <w:szCs w:val="24"/>
        </w:rPr>
        <w:t xml:space="preserve">Option </w:t>
      </w:r>
      <w:r w:rsidR="009247E0" w:rsidRPr="00F22821">
        <w:rPr>
          <w:rFonts w:cstheme="minorHAnsi"/>
          <w:sz w:val="24"/>
          <w:szCs w:val="24"/>
        </w:rPr>
        <w:t xml:space="preserve">3 </w:t>
      </w:r>
      <w:r w:rsidRPr="00F22821">
        <w:rPr>
          <w:rFonts w:cstheme="minorHAnsi"/>
          <w:sz w:val="24"/>
          <w:szCs w:val="24"/>
        </w:rPr>
        <w:t xml:space="preserve">would see the development of a new </w:t>
      </w:r>
      <w:r w:rsidR="009247E0" w:rsidRPr="00F22821">
        <w:rPr>
          <w:rFonts w:cstheme="minorHAnsi"/>
          <w:sz w:val="24"/>
          <w:szCs w:val="24"/>
        </w:rPr>
        <w:t xml:space="preserve">legislated </w:t>
      </w:r>
      <w:r w:rsidR="0081525B" w:rsidRPr="00F22821">
        <w:rPr>
          <w:rFonts w:cstheme="minorHAnsi"/>
          <w:sz w:val="24"/>
          <w:szCs w:val="24"/>
        </w:rPr>
        <w:t>payment</w:t>
      </w:r>
      <w:r w:rsidR="00020B38" w:rsidRPr="00F22821">
        <w:rPr>
          <w:rFonts w:cstheme="minorHAnsi"/>
          <w:sz w:val="24"/>
          <w:szCs w:val="24"/>
        </w:rPr>
        <w:t xml:space="preserve"> </w:t>
      </w:r>
      <w:r w:rsidR="0081525B" w:rsidRPr="00F22821">
        <w:rPr>
          <w:rFonts w:cstheme="minorHAnsi"/>
          <w:sz w:val="24"/>
          <w:szCs w:val="24"/>
        </w:rPr>
        <w:t xml:space="preserve">mechanism to deliver additional </w:t>
      </w:r>
      <w:r w:rsidRPr="00F22821">
        <w:rPr>
          <w:rFonts w:cstheme="minorHAnsi"/>
          <w:sz w:val="24"/>
          <w:szCs w:val="24"/>
        </w:rPr>
        <w:t>revenue</w:t>
      </w:r>
      <w:r w:rsidR="0081525B" w:rsidRPr="00F22821">
        <w:rPr>
          <w:rFonts w:cstheme="minorHAnsi"/>
          <w:sz w:val="24"/>
          <w:szCs w:val="24"/>
        </w:rPr>
        <w:t xml:space="preserve"> to community pharmacy</w:t>
      </w:r>
      <w:r w:rsidRPr="00F22821">
        <w:rPr>
          <w:rFonts w:cstheme="minorHAnsi"/>
          <w:sz w:val="24"/>
          <w:szCs w:val="24"/>
        </w:rPr>
        <w:t xml:space="preserve"> outside of the Commonwealth price</w:t>
      </w:r>
      <w:r w:rsidR="0081525B" w:rsidRPr="00F22821">
        <w:rPr>
          <w:rFonts w:cstheme="minorHAnsi"/>
          <w:sz w:val="24"/>
          <w:szCs w:val="24"/>
        </w:rPr>
        <w:t xml:space="preserve">. This option </w:t>
      </w:r>
      <w:r w:rsidRPr="00F22821">
        <w:rPr>
          <w:rFonts w:cstheme="minorHAnsi"/>
          <w:sz w:val="24"/>
          <w:szCs w:val="24"/>
        </w:rPr>
        <w:t>would provide</w:t>
      </w:r>
      <w:r w:rsidR="00020B38" w:rsidRPr="00F22821">
        <w:rPr>
          <w:rFonts w:cstheme="minorHAnsi"/>
          <w:sz w:val="24"/>
          <w:szCs w:val="24"/>
        </w:rPr>
        <w:t xml:space="preserve"> additional flexibility in the types of </w:t>
      </w:r>
      <w:r w:rsidR="00257AEF">
        <w:rPr>
          <w:rFonts w:cstheme="minorHAnsi"/>
          <w:sz w:val="24"/>
          <w:szCs w:val="24"/>
        </w:rPr>
        <w:t>supplies</w:t>
      </w:r>
      <w:r w:rsidR="00353855" w:rsidRPr="00F22821">
        <w:rPr>
          <w:rFonts w:cstheme="minorHAnsi"/>
          <w:sz w:val="24"/>
          <w:szCs w:val="24"/>
        </w:rPr>
        <w:t xml:space="preserve"> to which a</w:t>
      </w:r>
      <w:r w:rsidRPr="00F22821">
        <w:rPr>
          <w:rFonts w:cstheme="minorHAnsi"/>
          <w:sz w:val="24"/>
          <w:szCs w:val="24"/>
        </w:rPr>
        <w:t xml:space="preserve"> payment could be</w:t>
      </w:r>
      <w:r w:rsidR="00020B38" w:rsidRPr="00F22821">
        <w:rPr>
          <w:rFonts w:cstheme="minorHAnsi"/>
          <w:sz w:val="24"/>
          <w:szCs w:val="24"/>
        </w:rPr>
        <w:t xml:space="preserve"> applied</w:t>
      </w:r>
      <w:r w:rsidRPr="00F22821">
        <w:rPr>
          <w:rFonts w:cstheme="minorHAnsi"/>
          <w:sz w:val="24"/>
          <w:szCs w:val="24"/>
        </w:rPr>
        <w:t xml:space="preserve">. </w:t>
      </w:r>
      <w:r w:rsidR="009247E0" w:rsidRPr="00F22821">
        <w:rPr>
          <w:rFonts w:cstheme="minorHAnsi"/>
          <w:sz w:val="24"/>
          <w:szCs w:val="24"/>
        </w:rPr>
        <w:t xml:space="preserve">For example, additional </w:t>
      </w:r>
      <w:r w:rsidRPr="00F22821">
        <w:rPr>
          <w:rFonts w:cstheme="minorHAnsi"/>
          <w:sz w:val="24"/>
          <w:szCs w:val="24"/>
        </w:rPr>
        <w:t>payments could be made specifically in relation to m</w:t>
      </w:r>
      <w:r w:rsidR="00020B38" w:rsidRPr="00F22821">
        <w:rPr>
          <w:rFonts w:cstheme="minorHAnsi"/>
          <w:sz w:val="24"/>
          <w:szCs w:val="24"/>
        </w:rPr>
        <w:t xml:space="preserve">edicines dispensed with an increased maximum quantity. </w:t>
      </w:r>
      <w:r w:rsidR="009247E0" w:rsidRPr="00F22821">
        <w:rPr>
          <w:rFonts w:cstheme="minorHAnsi"/>
          <w:sz w:val="24"/>
          <w:szCs w:val="24"/>
        </w:rPr>
        <w:t>This option</w:t>
      </w:r>
      <w:r w:rsidR="00E97286" w:rsidRPr="00F22821">
        <w:rPr>
          <w:rFonts w:cstheme="minorHAnsi"/>
          <w:sz w:val="24"/>
          <w:szCs w:val="24"/>
        </w:rPr>
        <w:t>,</w:t>
      </w:r>
      <w:r w:rsidR="00020B38" w:rsidRPr="00F22821">
        <w:rPr>
          <w:rFonts w:cstheme="minorHAnsi"/>
          <w:sz w:val="24"/>
          <w:szCs w:val="24"/>
        </w:rPr>
        <w:t xml:space="preserve"> while administratively more burdensome for Government</w:t>
      </w:r>
      <w:r w:rsidR="00E97286" w:rsidRPr="00F22821">
        <w:rPr>
          <w:rFonts w:cstheme="minorHAnsi"/>
          <w:sz w:val="24"/>
          <w:szCs w:val="24"/>
        </w:rPr>
        <w:t>,</w:t>
      </w:r>
      <w:r w:rsidR="00020B38" w:rsidRPr="00F22821">
        <w:rPr>
          <w:rFonts w:cstheme="minorHAnsi"/>
          <w:sz w:val="24"/>
          <w:szCs w:val="24"/>
        </w:rPr>
        <w:t xml:space="preserve"> </w:t>
      </w:r>
      <w:r w:rsidRPr="00F22821">
        <w:rPr>
          <w:rFonts w:cstheme="minorHAnsi"/>
          <w:sz w:val="24"/>
          <w:szCs w:val="24"/>
        </w:rPr>
        <w:t>would also ensure</w:t>
      </w:r>
      <w:r w:rsidR="00020B38" w:rsidRPr="00F22821">
        <w:rPr>
          <w:rFonts w:cstheme="minorHAnsi"/>
          <w:sz w:val="24"/>
          <w:szCs w:val="24"/>
        </w:rPr>
        <w:t xml:space="preserve"> that the payment</w:t>
      </w:r>
      <w:r w:rsidRPr="00F22821">
        <w:rPr>
          <w:rFonts w:cstheme="minorHAnsi"/>
          <w:sz w:val="24"/>
          <w:szCs w:val="24"/>
        </w:rPr>
        <w:t>s could</w:t>
      </w:r>
      <w:r w:rsidR="00020B38" w:rsidRPr="00F22821">
        <w:rPr>
          <w:rFonts w:cstheme="minorHAnsi"/>
          <w:sz w:val="24"/>
          <w:szCs w:val="24"/>
        </w:rPr>
        <w:t xml:space="preserve"> be delivered in a way that does not impact patient costs.</w:t>
      </w:r>
    </w:p>
    <w:p w14:paraId="1D78F43B" w14:textId="79F4B5D8" w:rsidR="005F6AD7" w:rsidRPr="00F22821" w:rsidRDefault="00D90EB3" w:rsidP="00764889">
      <w:pPr>
        <w:pStyle w:val="BodyText"/>
        <w:rPr>
          <w:rFonts w:cstheme="minorHAnsi"/>
          <w:sz w:val="24"/>
          <w:szCs w:val="24"/>
        </w:rPr>
      </w:pPr>
      <w:r w:rsidRPr="00F22821">
        <w:rPr>
          <w:rFonts w:cstheme="minorHAnsi"/>
          <w:sz w:val="24"/>
          <w:szCs w:val="24"/>
        </w:rPr>
        <w:t xml:space="preserve">The cost of this measure is forecast to be $2.111 billion over the term of an 8CPA. </w:t>
      </w:r>
      <w:r w:rsidR="00DF5334" w:rsidRPr="00F22821">
        <w:rPr>
          <w:rFonts w:cstheme="minorHAnsi"/>
          <w:sz w:val="24"/>
          <w:szCs w:val="24"/>
        </w:rPr>
        <w:t>To allow for ready comparison of the options presented these costs have been included in Option 3 of the comparative dispensing remuneration funding table (Table 14) and subsequent discussion</w:t>
      </w:r>
      <w:r w:rsidR="00C713EE" w:rsidRPr="00F22821">
        <w:rPr>
          <w:rFonts w:cstheme="minorHAnsi"/>
          <w:sz w:val="24"/>
          <w:szCs w:val="24"/>
        </w:rPr>
        <w:t xml:space="preserve"> of the </w:t>
      </w:r>
      <w:r w:rsidR="00524ACA" w:rsidRPr="00F22821">
        <w:rPr>
          <w:rFonts w:cstheme="minorHAnsi"/>
          <w:sz w:val="24"/>
          <w:szCs w:val="24"/>
        </w:rPr>
        <w:t>8</w:t>
      </w:r>
      <w:r w:rsidR="00DF5334" w:rsidRPr="00F22821">
        <w:rPr>
          <w:rFonts w:cstheme="minorHAnsi"/>
          <w:sz w:val="24"/>
          <w:szCs w:val="24"/>
        </w:rPr>
        <w:t xml:space="preserve">CPA IA. </w:t>
      </w:r>
      <w:r w:rsidRPr="00F22821">
        <w:rPr>
          <w:rFonts w:cstheme="minorHAnsi"/>
          <w:sz w:val="24"/>
          <w:szCs w:val="24"/>
        </w:rPr>
        <w:t xml:space="preserve">Actual costs </w:t>
      </w:r>
      <w:r w:rsidR="00B86621" w:rsidRPr="00F22821">
        <w:rPr>
          <w:rFonts w:cstheme="minorHAnsi"/>
          <w:sz w:val="24"/>
          <w:szCs w:val="24"/>
        </w:rPr>
        <w:t xml:space="preserve">of the additional payment </w:t>
      </w:r>
      <w:r w:rsidRPr="00F22821">
        <w:rPr>
          <w:rFonts w:cstheme="minorHAnsi"/>
          <w:sz w:val="24"/>
          <w:szCs w:val="24"/>
        </w:rPr>
        <w:t>would be tracked and measured</w:t>
      </w:r>
      <w:r w:rsidR="00B86621" w:rsidRPr="00F22821">
        <w:rPr>
          <w:rFonts w:cstheme="minorHAnsi"/>
          <w:sz w:val="24"/>
          <w:szCs w:val="24"/>
        </w:rPr>
        <w:t xml:space="preserve"> separately</w:t>
      </w:r>
      <w:r w:rsidRPr="00F22821">
        <w:rPr>
          <w:rFonts w:cstheme="minorHAnsi"/>
          <w:sz w:val="24"/>
          <w:szCs w:val="24"/>
        </w:rPr>
        <w:t xml:space="preserve">, </w:t>
      </w:r>
      <w:r w:rsidR="00086A15" w:rsidRPr="00F22821">
        <w:rPr>
          <w:rFonts w:cstheme="minorHAnsi"/>
          <w:sz w:val="24"/>
          <w:szCs w:val="24"/>
        </w:rPr>
        <w:t xml:space="preserve">and any necessary adjustment </w:t>
      </w:r>
      <w:r w:rsidRPr="00F22821">
        <w:rPr>
          <w:rFonts w:cstheme="minorHAnsi"/>
          <w:sz w:val="24"/>
          <w:szCs w:val="24"/>
        </w:rPr>
        <w:t xml:space="preserve">made </w:t>
      </w:r>
      <w:r w:rsidR="0057743A" w:rsidRPr="00F22821">
        <w:rPr>
          <w:rFonts w:cstheme="minorHAnsi"/>
          <w:sz w:val="24"/>
          <w:szCs w:val="24"/>
        </w:rPr>
        <w:t xml:space="preserve">on a six monthly basis </w:t>
      </w:r>
      <w:r w:rsidRPr="00F22821">
        <w:rPr>
          <w:rFonts w:cstheme="minorHAnsi"/>
          <w:sz w:val="24"/>
          <w:szCs w:val="24"/>
        </w:rPr>
        <w:t xml:space="preserve">to ensure that the total additional funding </w:t>
      </w:r>
      <w:r w:rsidR="00524ACA" w:rsidRPr="00F22821">
        <w:rPr>
          <w:rFonts w:cstheme="minorHAnsi"/>
          <w:sz w:val="24"/>
          <w:szCs w:val="24"/>
        </w:rPr>
        <w:t>provided does not exceed the $3 </w:t>
      </w:r>
      <w:r w:rsidRPr="00F22821">
        <w:rPr>
          <w:rFonts w:cstheme="minorHAnsi"/>
          <w:sz w:val="24"/>
          <w:szCs w:val="24"/>
        </w:rPr>
        <w:t>billion envelope</w:t>
      </w:r>
      <w:r w:rsidR="00DF5334" w:rsidRPr="00F22821">
        <w:rPr>
          <w:rFonts w:cstheme="minorHAnsi"/>
          <w:sz w:val="24"/>
          <w:szCs w:val="24"/>
        </w:rPr>
        <w:t xml:space="preserve">. </w:t>
      </w:r>
    </w:p>
    <w:p w14:paraId="1BD1FEB6" w14:textId="77777777" w:rsidR="00764889" w:rsidRPr="00F22821" w:rsidRDefault="00764889" w:rsidP="00764889">
      <w:pPr>
        <w:pStyle w:val="BodyText"/>
        <w:rPr>
          <w:rFonts w:cstheme="minorHAnsi"/>
          <w:sz w:val="24"/>
          <w:szCs w:val="24"/>
        </w:rPr>
      </w:pPr>
    </w:p>
    <w:p w14:paraId="18F9CDEA" w14:textId="6EF5815E" w:rsidR="002336F4" w:rsidRPr="00F22821" w:rsidRDefault="002336F4" w:rsidP="003351A5">
      <w:pPr>
        <w:pStyle w:val="Heading4"/>
        <w:spacing w:before="0"/>
        <w:rPr>
          <w:rFonts w:asciiTheme="minorHAnsi" w:hAnsiTheme="minorHAnsi" w:cstheme="minorHAnsi"/>
          <w:b/>
          <w:szCs w:val="28"/>
        </w:rPr>
      </w:pPr>
      <w:r w:rsidRPr="00F22821">
        <w:rPr>
          <w:rFonts w:asciiTheme="minorHAnsi" w:hAnsiTheme="minorHAnsi" w:cstheme="minorHAnsi"/>
          <w:b/>
          <w:szCs w:val="28"/>
        </w:rPr>
        <w:t xml:space="preserve">Net benefits of each option </w:t>
      </w:r>
    </w:p>
    <w:p w14:paraId="0FDE864E" w14:textId="5947789E" w:rsidR="003856C8" w:rsidRPr="00F22821" w:rsidRDefault="003856C8" w:rsidP="003351A5">
      <w:pPr>
        <w:pStyle w:val="BodyText"/>
        <w:rPr>
          <w:rFonts w:cstheme="minorHAnsi"/>
          <w:sz w:val="24"/>
          <w:szCs w:val="24"/>
        </w:rPr>
      </w:pPr>
      <w:r w:rsidRPr="00F22821">
        <w:rPr>
          <w:rFonts w:cstheme="minorHAnsi"/>
          <w:sz w:val="24"/>
          <w:szCs w:val="24"/>
        </w:rPr>
        <w:t>In line with the approach taken in the 8CPA IA</w:t>
      </w:r>
      <w:r w:rsidR="009247E0" w:rsidRPr="00F22821">
        <w:rPr>
          <w:rFonts w:cstheme="minorHAnsi"/>
          <w:sz w:val="24"/>
          <w:szCs w:val="24"/>
        </w:rPr>
        <w:t>,</w:t>
      </w:r>
      <w:r w:rsidRPr="00F22821">
        <w:rPr>
          <w:rFonts w:cstheme="minorHAnsi"/>
          <w:sz w:val="24"/>
          <w:szCs w:val="24"/>
        </w:rPr>
        <w:t xml:space="preserve"> this addendum has endeavoured to interrogate how policy will work towards achieving the pillars of National Medicines Policy (NMP). </w:t>
      </w:r>
    </w:p>
    <w:p w14:paraId="425D3C82" w14:textId="7F606B05" w:rsidR="002336F4" w:rsidRPr="00F22821" w:rsidRDefault="003856C8" w:rsidP="003351A5">
      <w:pPr>
        <w:pStyle w:val="BodyText"/>
        <w:rPr>
          <w:rFonts w:cstheme="minorHAnsi"/>
          <w:sz w:val="24"/>
          <w:szCs w:val="24"/>
        </w:rPr>
      </w:pPr>
      <w:r w:rsidRPr="00F22821">
        <w:rPr>
          <w:rFonts w:cstheme="minorHAnsi"/>
          <w:sz w:val="24"/>
          <w:szCs w:val="24"/>
        </w:rPr>
        <w:t xml:space="preserve">This policy primarily </w:t>
      </w:r>
      <w:r w:rsidR="009247E0" w:rsidRPr="00F22821">
        <w:rPr>
          <w:rFonts w:cstheme="minorHAnsi"/>
          <w:sz w:val="24"/>
          <w:szCs w:val="24"/>
        </w:rPr>
        <w:t>affects</w:t>
      </w:r>
      <w:r w:rsidRPr="00F22821">
        <w:rPr>
          <w:rFonts w:cstheme="minorHAnsi"/>
          <w:sz w:val="24"/>
          <w:szCs w:val="24"/>
        </w:rPr>
        <w:t xml:space="preserve"> the equity, sustainability and access for consumers and business and analysis has therefore been focussed on these objectives. </w:t>
      </w:r>
      <w:r w:rsidR="009247E0" w:rsidRPr="00F22821">
        <w:rPr>
          <w:rFonts w:cstheme="minorHAnsi"/>
          <w:sz w:val="24"/>
          <w:szCs w:val="24"/>
        </w:rPr>
        <w:t xml:space="preserve">Table 6 provides an </w:t>
      </w:r>
      <w:r w:rsidRPr="00F22821">
        <w:rPr>
          <w:rFonts w:cstheme="minorHAnsi"/>
          <w:sz w:val="24"/>
          <w:szCs w:val="24"/>
        </w:rPr>
        <w:t xml:space="preserve">overview of the net benefits of each of the options considered. </w:t>
      </w:r>
    </w:p>
    <w:p w14:paraId="0DE73167" w14:textId="6C6806C2" w:rsidR="002336F4" w:rsidRPr="00F22821" w:rsidRDefault="004A72E9" w:rsidP="00814422">
      <w:pPr>
        <w:pStyle w:val="Caption"/>
        <w:rPr>
          <w:rFonts w:ascii="Century Gothic" w:hAnsi="Century Gothic"/>
        </w:rPr>
      </w:pPr>
      <w:r w:rsidRPr="00F22821">
        <w:rPr>
          <w:rFonts w:ascii="Century Gothic" w:hAnsi="Century Gothic"/>
        </w:rPr>
        <w:t>Table 1</w:t>
      </w:r>
      <w:r w:rsidR="002336F4" w:rsidRPr="00F22821">
        <w:rPr>
          <w:rFonts w:ascii="Century Gothic" w:hAnsi="Century Gothic"/>
        </w:rPr>
        <w:t>: overview of net benefits for each of the two policy options</w:t>
      </w:r>
    </w:p>
    <w:tbl>
      <w:tblPr>
        <w:tblW w:w="4894" w:type="pct"/>
        <w:tblCellMar>
          <w:left w:w="0" w:type="dxa"/>
          <w:right w:w="0" w:type="dxa"/>
        </w:tblCellMar>
        <w:tblLook w:val="0420" w:firstRow="1" w:lastRow="0" w:firstColumn="0" w:lastColumn="0" w:noHBand="0" w:noVBand="1"/>
      </w:tblPr>
      <w:tblGrid>
        <w:gridCol w:w="3401"/>
        <w:gridCol w:w="3402"/>
        <w:gridCol w:w="3400"/>
      </w:tblGrid>
      <w:tr w:rsidR="002336F4" w:rsidRPr="00F22821" w14:paraId="5FEE6AE3" w14:textId="77777777" w:rsidTr="00814422">
        <w:trPr>
          <w:trHeight w:val="369"/>
        </w:trPr>
        <w:tc>
          <w:tcPr>
            <w:tcW w:w="1667" w:type="pct"/>
            <w:tcBorders>
              <w:top w:val="single" w:sz="3" w:space="0" w:color="FFFFFF"/>
              <w:left w:val="single" w:sz="3" w:space="0" w:color="FFFFFF"/>
              <w:bottom w:val="single" w:sz="3" w:space="0" w:color="FFFFFF"/>
              <w:right w:val="single" w:sz="3" w:space="0" w:color="FFFFFF"/>
            </w:tcBorders>
            <w:shd w:val="clear" w:color="auto" w:fill="D2DEEF"/>
            <w:tcMar>
              <w:top w:w="11" w:type="dxa"/>
              <w:left w:w="23" w:type="dxa"/>
              <w:bottom w:w="11" w:type="dxa"/>
              <w:right w:w="23" w:type="dxa"/>
            </w:tcMar>
            <w:vAlign w:val="center"/>
          </w:tcPr>
          <w:p w14:paraId="795EFEA7" w14:textId="77777777" w:rsidR="002336F4" w:rsidRPr="00F22821" w:rsidRDefault="002336F4" w:rsidP="00814422">
            <w:pPr>
              <w:spacing w:after="0" w:line="240" w:lineRule="auto"/>
              <w:jc w:val="center"/>
              <w:rPr>
                <w:rFonts w:cstheme="minorHAnsi"/>
                <w:b/>
                <w:color w:val="0D0D0D" w:themeColor="text1" w:themeTint="F2"/>
              </w:rPr>
            </w:pPr>
            <w:r w:rsidRPr="00F22821">
              <w:rPr>
                <w:rFonts w:cstheme="minorHAnsi"/>
                <w:b/>
                <w:color w:val="0D0D0D" w:themeColor="text1" w:themeTint="F2"/>
              </w:rPr>
              <w:t>Objective</w:t>
            </w:r>
          </w:p>
        </w:tc>
        <w:tc>
          <w:tcPr>
            <w:tcW w:w="1667" w:type="pct"/>
            <w:tcBorders>
              <w:top w:val="single" w:sz="3" w:space="0" w:color="FFFFFF"/>
              <w:left w:val="single" w:sz="3" w:space="0" w:color="FFFFFF"/>
              <w:bottom w:val="single" w:sz="3" w:space="0" w:color="FFFFFF"/>
              <w:right w:val="single" w:sz="3" w:space="0" w:color="FFFFFF"/>
            </w:tcBorders>
            <w:shd w:val="clear" w:color="auto" w:fill="D2DEEF"/>
            <w:tcMar>
              <w:top w:w="11" w:type="dxa"/>
              <w:left w:w="23" w:type="dxa"/>
              <w:bottom w:w="11" w:type="dxa"/>
              <w:right w:w="23" w:type="dxa"/>
            </w:tcMar>
            <w:vAlign w:val="center"/>
          </w:tcPr>
          <w:p w14:paraId="4C5C3C63" w14:textId="7B3C4824" w:rsidR="002336F4" w:rsidRPr="00F22821" w:rsidRDefault="002336F4" w:rsidP="00814422">
            <w:pPr>
              <w:spacing w:after="0" w:line="240" w:lineRule="auto"/>
              <w:jc w:val="center"/>
              <w:rPr>
                <w:rFonts w:cstheme="minorHAnsi"/>
                <w:b/>
                <w:color w:val="0D0D0D" w:themeColor="text1" w:themeTint="F2"/>
              </w:rPr>
            </w:pPr>
            <w:r w:rsidRPr="00F22821">
              <w:rPr>
                <w:rFonts w:cstheme="minorHAnsi"/>
                <w:b/>
                <w:color w:val="0D0D0D" w:themeColor="text1" w:themeTint="F2"/>
              </w:rPr>
              <w:t xml:space="preserve">Option </w:t>
            </w:r>
            <w:r w:rsidR="00CF63A9" w:rsidRPr="00F22821">
              <w:rPr>
                <w:rFonts w:cstheme="minorHAnsi"/>
                <w:b/>
                <w:color w:val="0D0D0D" w:themeColor="text1" w:themeTint="F2"/>
              </w:rPr>
              <w:t>2</w:t>
            </w:r>
          </w:p>
        </w:tc>
        <w:tc>
          <w:tcPr>
            <w:tcW w:w="1667" w:type="pct"/>
            <w:tcBorders>
              <w:top w:val="single" w:sz="3" w:space="0" w:color="FFFFFF"/>
              <w:left w:val="single" w:sz="3" w:space="0" w:color="FFFFFF"/>
              <w:bottom w:val="single" w:sz="3" w:space="0" w:color="FFFFFF"/>
              <w:right w:val="single" w:sz="3" w:space="0" w:color="FFFFFF"/>
            </w:tcBorders>
            <w:shd w:val="clear" w:color="auto" w:fill="D2DEEF"/>
            <w:tcMar>
              <w:top w:w="11" w:type="dxa"/>
              <w:left w:w="23" w:type="dxa"/>
              <w:bottom w:w="11" w:type="dxa"/>
              <w:right w:w="23" w:type="dxa"/>
            </w:tcMar>
            <w:vAlign w:val="center"/>
          </w:tcPr>
          <w:p w14:paraId="09857537" w14:textId="52A888A2" w:rsidR="002336F4" w:rsidRPr="00F22821" w:rsidRDefault="002336F4" w:rsidP="00814422">
            <w:pPr>
              <w:spacing w:after="0" w:line="240" w:lineRule="auto"/>
              <w:jc w:val="center"/>
              <w:rPr>
                <w:rFonts w:cstheme="minorHAnsi"/>
                <w:b/>
                <w:color w:val="0D0D0D" w:themeColor="text1" w:themeTint="F2"/>
              </w:rPr>
            </w:pPr>
            <w:r w:rsidRPr="00F22821">
              <w:rPr>
                <w:rFonts w:cstheme="minorHAnsi"/>
                <w:b/>
                <w:color w:val="0D0D0D" w:themeColor="text1" w:themeTint="F2"/>
              </w:rPr>
              <w:t xml:space="preserve">Option </w:t>
            </w:r>
            <w:r w:rsidR="00CF63A9" w:rsidRPr="00F22821">
              <w:rPr>
                <w:rFonts w:cstheme="minorHAnsi"/>
                <w:b/>
                <w:color w:val="0D0D0D" w:themeColor="text1" w:themeTint="F2"/>
              </w:rPr>
              <w:t>3</w:t>
            </w:r>
          </w:p>
        </w:tc>
      </w:tr>
      <w:tr w:rsidR="002336F4" w:rsidRPr="00F22821" w14:paraId="395771C5" w14:textId="77777777" w:rsidTr="00814422">
        <w:trPr>
          <w:trHeight w:val="369"/>
        </w:trPr>
        <w:tc>
          <w:tcPr>
            <w:tcW w:w="1667" w:type="pct"/>
            <w:tcBorders>
              <w:top w:val="single" w:sz="3" w:space="0" w:color="FFFFFF"/>
              <w:left w:val="single" w:sz="3" w:space="0" w:color="FFFFFF"/>
              <w:bottom w:val="single" w:sz="3" w:space="0" w:color="FFFFFF"/>
              <w:right w:val="single" w:sz="3" w:space="0" w:color="FFFFFF"/>
            </w:tcBorders>
            <w:shd w:val="clear" w:color="auto" w:fill="D2DEEF"/>
            <w:tcMar>
              <w:top w:w="11" w:type="dxa"/>
              <w:left w:w="57" w:type="dxa"/>
              <w:bottom w:w="11" w:type="dxa"/>
              <w:right w:w="57" w:type="dxa"/>
            </w:tcMar>
            <w:hideMark/>
          </w:tcPr>
          <w:p w14:paraId="5887713D" w14:textId="7CF44C47" w:rsidR="002336F4" w:rsidRPr="00F22821" w:rsidRDefault="002336F4" w:rsidP="00BF0601">
            <w:pPr>
              <w:rPr>
                <w:rFonts w:cstheme="minorHAnsi"/>
                <w:b/>
                <w:color w:val="0D0D0D" w:themeColor="text1" w:themeTint="F2"/>
              </w:rPr>
            </w:pPr>
            <w:r w:rsidRPr="00F22821">
              <w:rPr>
                <w:rFonts w:cstheme="minorHAnsi"/>
                <w:b/>
                <w:color w:val="0D0D0D" w:themeColor="text1" w:themeTint="F2"/>
              </w:rPr>
              <w:t xml:space="preserve">Equity, sustainability and </w:t>
            </w:r>
            <w:r w:rsidR="00020B38" w:rsidRPr="00F22821">
              <w:rPr>
                <w:rFonts w:cstheme="minorHAnsi"/>
                <w:b/>
                <w:color w:val="0D0D0D" w:themeColor="text1" w:themeTint="F2"/>
              </w:rPr>
              <w:t>a</w:t>
            </w:r>
            <w:r w:rsidRPr="00F22821">
              <w:rPr>
                <w:rFonts w:cstheme="minorHAnsi"/>
                <w:b/>
                <w:color w:val="0D0D0D" w:themeColor="text1" w:themeTint="F2"/>
              </w:rPr>
              <w:t xml:space="preserve">ccess for Consumers </w:t>
            </w:r>
          </w:p>
          <w:p w14:paraId="5F1004C7" w14:textId="77777777" w:rsidR="002336F4" w:rsidRPr="00F22821" w:rsidRDefault="002336F4" w:rsidP="00BF0601">
            <w:pPr>
              <w:rPr>
                <w:rFonts w:cstheme="minorHAnsi"/>
                <w:color w:val="0D0D0D" w:themeColor="text1" w:themeTint="F2"/>
              </w:rPr>
            </w:pPr>
          </w:p>
        </w:tc>
        <w:tc>
          <w:tcPr>
            <w:tcW w:w="1667" w:type="pct"/>
            <w:tcBorders>
              <w:top w:val="single" w:sz="3" w:space="0" w:color="FFFFFF"/>
              <w:left w:val="single" w:sz="3" w:space="0" w:color="FFFFFF"/>
              <w:bottom w:val="single" w:sz="3" w:space="0" w:color="FFFFFF"/>
              <w:right w:val="single" w:sz="3" w:space="0" w:color="FFFFFF"/>
            </w:tcBorders>
            <w:shd w:val="clear" w:color="auto" w:fill="D2DEEF"/>
            <w:tcMar>
              <w:top w:w="11" w:type="dxa"/>
              <w:left w:w="57" w:type="dxa"/>
              <w:bottom w:w="11" w:type="dxa"/>
              <w:right w:w="57" w:type="dxa"/>
            </w:tcMar>
          </w:tcPr>
          <w:p w14:paraId="04943B69" w14:textId="77F443D4" w:rsidR="002336F4" w:rsidRPr="00F22821" w:rsidRDefault="005A3E15" w:rsidP="009769AF">
            <w:pPr>
              <w:rPr>
                <w:rFonts w:cstheme="minorHAnsi"/>
                <w:color w:val="0D0D0D" w:themeColor="text1" w:themeTint="F2"/>
              </w:rPr>
            </w:pPr>
            <w:r w:rsidRPr="00F22821">
              <w:rPr>
                <w:rFonts w:cstheme="minorHAnsi"/>
                <w:sz w:val="22"/>
                <w:szCs w:val="22"/>
              </w:rPr>
              <w:t>Increasing the Commonwealth price</w:t>
            </w:r>
            <w:r w:rsidR="00030E85" w:rsidRPr="00F22821">
              <w:rPr>
                <w:rFonts w:cstheme="minorHAnsi"/>
                <w:sz w:val="22"/>
                <w:szCs w:val="22"/>
              </w:rPr>
              <w:t xml:space="preserve"> would </w:t>
            </w:r>
            <w:r w:rsidR="00E53808" w:rsidRPr="00F22821">
              <w:rPr>
                <w:rFonts w:cstheme="minorHAnsi"/>
                <w:sz w:val="22"/>
                <w:szCs w:val="22"/>
              </w:rPr>
              <w:t>rais</w:t>
            </w:r>
            <w:r w:rsidR="00030E85" w:rsidRPr="00F22821">
              <w:rPr>
                <w:rFonts w:cstheme="minorHAnsi"/>
                <w:sz w:val="22"/>
                <w:szCs w:val="22"/>
              </w:rPr>
              <w:t>e</w:t>
            </w:r>
            <w:r w:rsidR="00E53808" w:rsidRPr="00F22821">
              <w:rPr>
                <w:rFonts w:cstheme="minorHAnsi"/>
                <w:sz w:val="22"/>
                <w:szCs w:val="22"/>
              </w:rPr>
              <w:t xml:space="preserve"> </w:t>
            </w:r>
            <w:r w:rsidR="00030E85" w:rsidRPr="00F22821">
              <w:rPr>
                <w:rFonts w:cstheme="minorHAnsi"/>
                <w:sz w:val="22"/>
                <w:szCs w:val="22"/>
              </w:rPr>
              <w:t xml:space="preserve">the </w:t>
            </w:r>
            <w:r w:rsidR="00E53808" w:rsidRPr="00F22821">
              <w:rPr>
                <w:rFonts w:cstheme="minorHAnsi"/>
                <w:sz w:val="22"/>
                <w:szCs w:val="22"/>
              </w:rPr>
              <w:t>prices for patients</w:t>
            </w:r>
            <w:r w:rsidR="00030E85" w:rsidRPr="00F22821">
              <w:rPr>
                <w:rFonts w:cstheme="minorHAnsi"/>
                <w:sz w:val="22"/>
                <w:szCs w:val="22"/>
              </w:rPr>
              <w:t xml:space="preserve"> </w:t>
            </w:r>
            <w:r w:rsidR="009769AF" w:rsidRPr="00F22821">
              <w:rPr>
                <w:rFonts w:cstheme="minorHAnsi"/>
                <w:sz w:val="22"/>
                <w:szCs w:val="22"/>
              </w:rPr>
              <w:t>accessing medicines</w:t>
            </w:r>
            <w:r w:rsidR="00030E85" w:rsidRPr="00F22821">
              <w:rPr>
                <w:rFonts w:cstheme="minorHAnsi"/>
                <w:sz w:val="22"/>
                <w:szCs w:val="22"/>
              </w:rPr>
              <w:t xml:space="preserve"> under the relevant co-payment amount.</w:t>
            </w:r>
            <w:r w:rsidR="003856C8" w:rsidRPr="00F22821">
              <w:rPr>
                <w:rFonts w:cstheme="minorHAnsi"/>
                <w:sz w:val="22"/>
                <w:szCs w:val="22"/>
              </w:rPr>
              <w:t xml:space="preserve"> </w:t>
            </w:r>
            <w:r w:rsidR="00030E85" w:rsidRPr="00F22821">
              <w:rPr>
                <w:rFonts w:cstheme="minorHAnsi"/>
                <w:sz w:val="22"/>
                <w:szCs w:val="22"/>
              </w:rPr>
              <w:t>T</w:t>
            </w:r>
            <w:r w:rsidR="00E53808" w:rsidRPr="00F22821">
              <w:rPr>
                <w:rFonts w:cstheme="minorHAnsi"/>
                <w:sz w:val="22"/>
                <w:szCs w:val="22"/>
              </w:rPr>
              <w:t>h</w:t>
            </w:r>
            <w:r w:rsidR="00030E85" w:rsidRPr="00F22821">
              <w:rPr>
                <w:rFonts w:cstheme="minorHAnsi"/>
                <w:sz w:val="22"/>
                <w:szCs w:val="22"/>
              </w:rPr>
              <w:t>is option therefor</w:t>
            </w:r>
            <w:r w:rsidR="00E53808" w:rsidRPr="00F22821">
              <w:rPr>
                <w:rFonts w:cstheme="minorHAnsi"/>
                <w:sz w:val="22"/>
                <w:szCs w:val="22"/>
              </w:rPr>
              <w:t xml:space="preserve"> </w:t>
            </w:r>
            <w:r w:rsidR="0081525B" w:rsidRPr="00F22821">
              <w:rPr>
                <w:rFonts w:cstheme="minorHAnsi"/>
                <w:sz w:val="22"/>
                <w:szCs w:val="22"/>
              </w:rPr>
              <w:t xml:space="preserve">does not align with </w:t>
            </w:r>
            <w:r w:rsidR="009769AF" w:rsidRPr="00F22821">
              <w:rPr>
                <w:rFonts w:cstheme="minorHAnsi"/>
                <w:sz w:val="22"/>
                <w:szCs w:val="22"/>
              </w:rPr>
              <w:t xml:space="preserve">the pillars of the </w:t>
            </w:r>
            <w:r w:rsidR="0081525B" w:rsidRPr="00F22821">
              <w:rPr>
                <w:rFonts w:cstheme="minorHAnsi"/>
                <w:sz w:val="22"/>
                <w:szCs w:val="22"/>
              </w:rPr>
              <w:t xml:space="preserve">NMP </w:t>
            </w:r>
            <w:r w:rsidR="009769AF" w:rsidRPr="00F22821">
              <w:rPr>
                <w:rFonts w:cstheme="minorHAnsi"/>
                <w:sz w:val="22"/>
                <w:szCs w:val="22"/>
              </w:rPr>
              <w:t>in relation to</w:t>
            </w:r>
            <w:r w:rsidR="0081525B" w:rsidRPr="00F22821">
              <w:rPr>
                <w:rFonts w:cstheme="minorHAnsi"/>
                <w:sz w:val="22"/>
                <w:szCs w:val="22"/>
              </w:rPr>
              <w:t xml:space="preserve"> affordability. </w:t>
            </w:r>
          </w:p>
        </w:tc>
        <w:tc>
          <w:tcPr>
            <w:tcW w:w="1667" w:type="pct"/>
            <w:tcBorders>
              <w:top w:val="single" w:sz="3" w:space="0" w:color="FFFFFF"/>
              <w:left w:val="single" w:sz="3" w:space="0" w:color="FFFFFF"/>
              <w:bottom w:val="single" w:sz="3" w:space="0" w:color="FFFFFF"/>
              <w:right w:val="single" w:sz="3" w:space="0" w:color="FFFFFF"/>
            </w:tcBorders>
            <w:shd w:val="clear" w:color="auto" w:fill="D2DEEF"/>
            <w:tcMar>
              <w:top w:w="11" w:type="dxa"/>
              <w:left w:w="57" w:type="dxa"/>
              <w:bottom w:w="11" w:type="dxa"/>
              <w:right w:w="57" w:type="dxa"/>
            </w:tcMar>
          </w:tcPr>
          <w:p w14:paraId="45B7DAF3" w14:textId="53F6FBBF" w:rsidR="002336F4" w:rsidRPr="00F22821" w:rsidRDefault="0081525B" w:rsidP="00020B38">
            <w:pPr>
              <w:rPr>
                <w:rFonts w:cstheme="minorHAnsi"/>
                <w:color w:val="0D0D0D" w:themeColor="text1" w:themeTint="F2"/>
              </w:rPr>
            </w:pPr>
            <w:r w:rsidRPr="00F22821">
              <w:rPr>
                <w:rFonts w:cstheme="minorHAnsi"/>
                <w:sz w:val="22"/>
                <w:szCs w:val="22"/>
              </w:rPr>
              <w:t>This option</w:t>
            </w:r>
            <w:r w:rsidR="00020B38" w:rsidRPr="00F22821">
              <w:rPr>
                <w:rFonts w:cstheme="minorHAnsi"/>
                <w:sz w:val="22"/>
                <w:szCs w:val="22"/>
              </w:rPr>
              <w:t xml:space="preserve"> ensures that patients would not pay more </w:t>
            </w:r>
            <w:r w:rsidR="009247E0" w:rsidRPr="00F22821">
              <w:rPr>
                <w:rFonts w:cstheme="minorHAnsi"/>
                <w:sz w:val="22"/>
                <w:szCs w:val="22"/>
              </w:rPr>
              <w:t>because</w:t>
            </w:r>
            <w:r w:rsidR="00020B38" w:rsidRPr="00F22821">
              <w:rPr>
                <w:rFonts w:cstheme="minorHAnsi"/>
                <w:sz w:val="22"/>
                <w:szCs w:val="22"/>
              </w:rPr>
              <w:t xml:space="preserve"> of the increased dispensing revenue provided to the pharmacy sector</w:t>
            </w:r>
            <w:r w:rsidR="0030774C" w:rsidRPr="00F22821">
              <w:rPr>
                <w:rFonts w:cstheme="minorHAnsi"/>
                <w:sz w:val="22"/>
                <w:szCs w:val="22"/>
              </w:rPr>
              <w:t xml:space="preserve">. </w:t>
            </w:r>
          </w:p>
        </w:tc>
      </w:tr>
      <w:tr w:rsidR="002336F4" w:rsidRPr="00F22821" w14:paraId="2D4B2E35" w14:textId="77777777" w:rsidTr="00814422">
        <w:tc>
          <w:tcPr>
            <w:tcW w:w="1667" w:type="pct"/>
            <w:tcBorders>
              <w:top w:val="single" w:sz="3" w:space="0" w:color="FFFFFF"/>
              <w:left w:val="single" w:sz="3" w:space="0" w:color="FFFFFF"/>
              <w:bottom w:val="single" w:sz="3" w:space="0" w:color="FFFFFF"/>
              <w:right w:val="single" w:sz="3" w:space="0" w:color="FFFFFF"/>
            </w:tcBorders>
            <w:shd w:val="clear" w:color="auto" w:fill="EAEFF7"/>
            <w:tcMar>
              <w:top w:w="11" w:type="dxa"/>
              <w:left w:w="57" w:type="dxa"/>
              <w:bottom w:w="11" w:type="dxa"/>
              <w:right w:w="57" w:type="dxa"/>
            </w:tcMar>
            <w:hideMark/>
          </w:tcPr>
          <w:p w14:paraId="6AB47612" w14:textId="5ADAE7CD" w:rsidR="002336F4" w:rsidRPr="00F22821" w:rsidRDefault="002336F4" w:rsidP="00BF0601">
            <w:pPr>
              <w:rPr>
                <w:rFonts w:cstheme="minorHAnsi"/>
                <w:b/>
                <w:color w:val="0D0D0D" w:themeColor="text1" w:themeTint="F2"/>
              </w:rPr>
            </w:pPr>
            <w:r w:rsidRPr="00F22821">
              <w:rPr>
                <w:rFonts w:cstheme="minorHAnsi"/>
                <w:b/>
                <w:color w:val="0D0D0D" w:themeColor="text1" w:themeTint="F2"/>
              </w:rPr>
              <w:t xml:space="preserve">Equity, sustainability and </w:t>
            </w:r>
            <w:r w:rsidR="004C4A1C" w:rsidRPr="00F22821">
              <w:rPr>
                <w:rFonts w:cstheme="minorHAnsi"/>
                <w:b/>
                <w:color w:val="0D0D0D" w:themeColor="text1" w:themeTint="F2"/>
              </w:rPr>
              <w:t>a</w:t>
            </w:r>
            <w:r w:rsidRPr="00F22821">
              <w:rPr>
                <w:rFonts w:cstheme="minorHAnsi"/>
                <w:b/>
                <w:color w:val="0D0D0D" w:themeColor="text1" w:themeTint="F2"/>
              </w:rPr>
              <w:t>ccess for Businesses</w:t>
            </w:r>
          </w:p>
          <w:p w14:paraId="282272C6" w14:textId="77777777" w:rsidR="002336F4" w:rsidRPr="00F22821" w:rsidRDefault="002336F4" w:rsidP="00BF0601">
            <w:pPr>
              <w:rPr>
                <w:rFonts w:cstheme="minorHAnsi"/>
                <w:color w:val="0D0D0D" w:themeColor="text1" w:themeTint="F2"/>
              </w:rPr>
            </w:pPr>
          </w:p>
        </w:tc>
        <w:tc>
          <w:tcPr>
            <w:tcW w:w="1667" w:type="pct"/>
            <w:tcBorders>
              <w:top w:val="single" w:sz="3" w:space="0" w:color="FFFFFF"/>
              <w:left w:val="single" w:sz="3" w:space="0" w:color="FFFFFF"/>
              <w:bottom w:val="single" w:sz="3" w:space="0" w:color="FFFFFF"/>
              <w:right w:val="single" w:sz="3" w:space="0" w:color="FFFFFF"/>
            </w:tcBorders>
            <w:shd w:val="clear" w:color="auto" w:fill="EAEFF7"/>
            <w:tcMar>
              <w:top w:w="11" w:type="dxa"/>
              <w:left w:w="57" w:type="dxa"/>
              <w:bottom w:w="11" w:type="dxa"/>
              <w:right w:w="57" w:type="dxa"/>
            </w:tcMar>
          </w:tcPr>
          <w:p w14:paraId="4C99CE6D" w14:textId="4710C2F7" w:rsidR="002336F4" w:rsidRPr="00F22821" w:rsidRDefault="00020B38" w:rsidP="003856C8">
            <w:pPr>
              <w:rPr>
                <w:rFonts w:cstheme="minorHAnsi"/>
                <w:color w:val="0D0D0D" w:themeColor="text1" w:themeTint="F2"/>
              </w:rPr>
            </w:pPr>
            <w:r w:rsidRPr="00F22821">
              <w:rPr>
                <w:rFonts w:cstheme="minorHAnsi"/>
                <w:sz w:val="22"/>
                <w:szCs w:val="22"/>
              </w:rPr>
              <w:t>Provides significant additional investment directly into the pharmacy sector through existing mechanisms</w:t>
            </w:r>
            <w:r w:rsidR="003856C8" w:rsidRPr="00F22821">
              <w:rPr>
                <w:rFonts w:cstheme="minorHAnsi"/>
                <w:sz w:val="22"/>
                <w:szCs w:val="22"/>
              </w:rPr>
              <w:t>.</w:t>
            </w:r>
            <w:r w:rsidR="00F566E5" w:rsidRPr="00F22821">
              <w:rPr>
                <w:rFonts w:cstheme="minorHAnsi"/>
                <w:sz w:val="22"/>
                <w:szCs w:val="22"/>
              </w:rPr>
              <w:t xml:space="preserve"> </w:t>
            </w:r>
          </w:p>
        </w:tc>
        <w:tc>
          <w:tcPr>
            <w:tcW w:w="1667" w:type="pct"/>
            <w:tcBorders>
              <w:top w:val="single" w:sz="3" w:space="0" w:color="FFFFFF"/>
              <w:left w:val="single" w:sz="3" w:space="0" w:color="FFFFFF"/>
              <w:bottom w:val="single" w:sz="3" w:space="0" w:color="FFFFFF"/>
              <w:right w:val="single" w:sz="3" w:space="0" w:color="FFFFFF"/>
            </w:tcBorders>
            <w:shd w:val="clear" w:color="auto" w:fill="EAEFF7"/>
            <w:tcMar>
              <w:top w:w="11" w:type="dxa"/>
              <w:left w:w="57" w:type="dxa"/>
              <w:bottom w:w="11" w:type="dxa"/>
              <w:right w:w="57" w:type="dxa"/>
            </w:tcMar>
          </w:tcPr>
          <w:p w14:paraId="439103CA" w14:textId="4524AF6B" w:rsidR="002336F4" w:rsidRPr="00F22821" w:rsidRDefault="00020B38" w:rsidP="003856C8">
            <w:pPr>
              <w:rPr>
                <w:rFonts w:cstheme="minorHAnsi"/>
                <w:color w:val="0D0D0D" w:themeColor="text1" w:themeTint="F2"/>
              </w:rPr>
            </w:pPr>
            <w:r w:rsidRPr="00F22821">
              <w:rPr>
                <w:rFonts w:cstheme="minorHAnsi"/>
                <w:sz w:val="22"/>
                <w:szCs w:val="22"/>
              </w:rPr>
              <w:t xml:space="preserve">Provides significant additional investment directly into the pharmacy sector through new </w:t>
            </w:r>
            <w:r w:rsidR="009247E0" w:rsidRPr="00F22821">
              <w:rPr>
                <w:rFonts w:cstheme="minorHAnsi"/>
                <w:sz w:val="22"/>
                <w:szCs w:val="22"/>
              </w:rPr>
              <w:t>mechanisms that can be applied to specific items such as medicines</w:t>
            </w:r>
            <w:r w:rsidRPr="00F22821">
              <w:rPr>
                <w:rFonts w:cstheme="minorHAnsi"/>
                <w:sz w:val="22"/>
                <w:szCs w:val="22"/>
              </w:rPr>
              <w:t xml:space="preserve"> dispensed with an increased maximum quantity. </w:t>
            </w:r>
          </w:p>
        </w:tc>
      </w:tr>
    </w:tbl>
    <w:p w14:paraId="6D37A8F8" w14:textId="77777777" w:rsidR="00524ACA" w:rsidRPr="00F22821" w:rsidRDefault="00524ACA" w:rsidP="00524ACA">
      <w:pPr>
        <w:pStyle w:val="BodyText"/>
        <w:rPr>
          <w:rFonts w:cstheme="minorHAnsi"/>
          <w:sz w:val="24"/>
          <w:szCs w:val="24"/>
        </w:rPr>
      </w:pPr>
    </w:p>
    <w:p w14:paraId="38386838" w14:textId="4000793B" w:rsidR="002336F4" w:rsidRPr="00F22821" w:rsidRDefault="002336F4" w:rsidP="003351A5">
      <w:pPr>
        <w:pStyle w:val="Heading4"/>
        <w:spacing w:before="0"/>
        <w:rPr>
          <w:rFonts w:asciiTheme="minorHAnsi" w:hAnsiTheme="minorHAnsi" w:cstheme="minorHAnsi"/>
          <w:b/>
          <w:szCs w:val="28"/>
        </w:rPr>
      </w:pPr>
      <w:r w:rsidRPr="00F22821">
        <w:rPr>
          <w:rFonts w:asciiTheme="minorHAnsi" w:hAnsiTheme="minorHAnsi" w:cstheme="minorHAnsi"/>
          <w:b/>
          <w:szCs w:val="28"/>
        </w:rPr>
        <w:t>Consultation</w:t>
      </w:r>
    </w:p>
    <w:p w14:paraId="1A44A038" w14:textId="6FBDE832" w:rsidR="00E0789A" w:rsidRPr="00F22821" w:rsidRDefault="00376532" w:rsidP="003351A5">
      <w:pPr>
        <w:pStyle w:val="BodyText"/>
        <w:rPr>
          <w:rFonts w:cstheme="minorHAnsi"/>
          <w:sz w:val="24"/>
          <w:szCs w:val="24"/>
        </w:rPr>
      </w:pPr>
      <w:r w:rsidRPr="00F22821">
        <w:rPr>
          <w:rFonts w:cstheme="minorHAnsi"/>
          <w:sz w:val="24"/>
          <w:szCs w:val="24"/>
        </w:rPr>
        <w:t>Since the beginning of 8CPA negotiations, the Government</w:t>
      </w:r>
      <w:r w:rsidR="00F4102E" w:rsidRPr="00F22821">
        <w:rPr>
          <w:rFonts w:cstheme="minorHAnsi"/>
          <w:sz w:val="24"/>
          <w:szCs w:val="24"/>
        </w:rPr>
        <w:t>’s</w:t>
      </w:r>
      <w:r w:rsidRPr="00F22821">
        <w:rPr>
          <w:rFonts w:cstheme="minorHAnsi"/>
          <w:sz w:val="24"/>
          <w:szCs w:val="24"/>
        </w:rPr>
        <w:t xml:space="preserve"> reinvestment </w:t>
      </w:r>
      <w:r w:rsidR="00F4102E" w:rsidRPr="00F22821">
        <w:rPr>
          <w:rFonts w:cstheme="minorHAnsi"/>
          <w:sz w:val="24"/>
          <w:szCs w:val="24"/>
        </w:rPr>
        <w:t>to</w:t>
      </w:r>
      <w:r w:rsidRPr="00F22821">
        <w:rPr>
          <w:rFonts w:cstheme="minorHAnsi"/>
          <w:sz w:val="24"/>
          <w:szCs w:val="24"/>
        </w:rPr>
        <w:t xml:space="preserve"> pharmacy programs</w:t>
      </w:r>
      <w:r w:rsidR="00F4102E" w:rsidRPr="00F22821">
        <w:rPr>
          <w:rFonts w:cstheme="minorHAnsi"/>
          <w:sz w:val="24"/>
          <w:szCs w:val="24"/>
        </w:rPr>
        <w:t xml:space="preserve"> from the savings of the </w:t>
      </w:r>
      <w:r w:rsidR="00020B38" w:rsidRPr="00F22821">
        <w:rPr>
          <w:rFonts w:cstheme="minorHAnsi"/>
          <w:sz w:val="24"/>
          <w:szCs w:val="24"/>
        </w:rPr>
        <w:t>60DD</w:t>
      </w:r>
      <w:r w:rsidR="00F4102E" w:rsidRPr="00F22821">
        <w:rPr>
          <w:rFonts w:cstheme="minorHAnsi"/>
          <w:sz w:val="24"/>
          <w:szCs w:val="24"/>
        </w:rPr>
        <w:t xml:space="preserve"> policy </w:t>
      </w:r>
      <w:r w:rsidRPr="00F22821">
        <w:rPr>
          <w:rFonts w:cstheme="minorHAnsi"/>
          <w:sz w:val="24"/>
          <w:szCs w:val="24"/>
        </w:rPr>
        <w:t xml:space="preserve">has been </w:t>
      </w:r>
      <w:r w:rsidR="001522F4" w:rsidRPr="00F22821">
        <w:rPr>
          <w:rFonts w:cstheme="minorHAnsi"/>
          <w:sz w:val="24"/>
          <w:szCs w:val="24"/>
        </w:rPr>
        <w:t xml:space="preserve">claimed </w:t>
      </w:r>
      <w:r w:rsidRPr="00F22821">
        <w:rPr>
          <w:rFonts w:cstheme="minorHAnsi"/>
          <w:sz w:val="24"/>
          <w:szCs w:val="24"/>
        </w:rPr>
        <w:t xml:space="preserve">by stakeholders </w:t>
      </w:r>
      <w:r w:rsidR="001522F4" w:rsidRPr="00F22821">
        <w:rPr>
          <w:rFonts w:cstheme="minorHAnsi"/>
          <w:sz w:val="24"/>
          <w:szCs w:val="24"/>
        </w:rPr>
        <w:t xml:space="preserve">to be </w:t>
      </w:r>
      <w:r w:rsidRPr="00F22821">
        <w:rPr>
          <w:rFonts w:cstheme="minorHAnsi"/>
          <w:sz w:val="24"/>
          <w:szCs w:val="24"/>
        </w:rPr>
        <w:t>inadequate</w:t>
      </w:r>
      <w:r w:rsidR="001522F4" w:rsidRPr="00F22821">
        <w:rPr>
          <w:rFonts w:cstheme="minorHAnsi"/>
          <w:sz w:val="24"/>
          <w:szCs w:val="24"/>
        </w:rPr>
        <w:t xml:space="preserve"> in light of the policy’s potential implications </w:t>
      </w:r>
      <w:r w:rsidR="00FD18CB" w:rsidRPr="00F22821">
        <w:rPr>
          <w:rFonts w:cstheme="minorHAnsi"/>
          <w:sz w:val="24"/>
          <w:szCs w:val="24"/>
        </w:rPr>
        <w:t>to the</w:t>
      </w:r>
      <w:r w:rsidR="001522F4" w:rsidRPr="00F22821">
        <w:rPr>
          <w:rFonts w:cstheme="minorHAnsi"/>
          <w:sz w:val="24"/>
          <w:szCs w:val="24"/>
        </w:rPr>
        <w:t xml:space="preserve"> community pharmacy business model</w:t>
      </w:r>
      <w:r w:rsidRPr="00F22821">
        <w:rPr>
          <w:rFonts w:cstheme="minorHAnsi"/>
          <w:sz w:val="24"/>
          <w:szCs w:val="24"/>
        </w:rPr>
        <w:t xml:space="preserve">. </w:t>
      </w:r>
    </w:p>
    <w:p w14:paraId="25B18479" w14:textId="24212541" w:rsidR="004C4A1C" w:rsidRPr="00F22821" w:rsidRDefault="00E0789A" w:rsidP="003351A5">
      <w:pPr>
        <w:pStyle w:val="BodyText"/>
        <w:rPr>
          <w:rFonts w:cstheme="minorHAnsi"/>
          <w:sz w:val="24"/>
          <w:szCs w:val="24"/>
        </w:rPr>
      </w:pPr>
      <w:r w:rsidRPr="00F22821">
        <w:rPr>
          <w:rFonts w:cstheme="minorHAnsi"/>
          <w:sz w:val="24"/>
          <w:szCs w:val="24"/>
        </w:rPr>
        <w:lastRenderedPageBreak/>
        <w:t xml:space="preserve">The </w:t>
      </w:r>
      <w:r w:rsidR="007C0408" w:rsidRPr="00F22821">
        <w:rPr>
          <w:rFonts w:cstheme="minorHAnsi"/>
          <w:sz w:val="24"/>
          <w:szCs w:val="24"/>
        </w:rPr>
        <w:t xml:space="preserve">Guild’s </w:t>
      </w:r>
      <w:r w:rsidRPr="004A4AC8">
        <w:rPr>
          <w:rFonts w:cstheme="minorHAnsi"/>
          <w:sz w:val="24"/>
          <w:szCs w:val="24"/>
        </w:rPr>
        <w:t>commission</w:t>
      </w:r>
      <w:r w:rsidR="009247E0" w:rsidRPr="004A4AC8">
        <w:rPr>
          <w:rFonts w:cstheme="minorHAnsi"/>
          <w:sz w:val="24"/>
          <w:szCs w:val="24"/>
        </w:rPr>
        <w:t>ing</w:t>
      </w:r>
      <w:r w:rsidRPr="004A4AC8">
        <w:rPr>
          <w:rFonts w:cstheme="minorHAnsi"/>
          <w:sz w:val="24"/>
          <w:szCs w:val="24"/>
        </w:rPr>
        <w:t xml:space="preserve"> and publication of </w:t>
      </w:r>
      <w:r w:rsidR="009C4AFB" w:rsidRPr="004A4AC8">
        <w:rPr>
          <w:sz w:val="24"/>
          <w:szCs w:val="24"/>
        </w:rPr>
        <w:t>‘60-day dispensing: an analysis of likely impacts and key policy issues</w:t>
      </w:r>
      <w:r w:rsidRPr="004A4AC8">
        <w:rPr>
          <w:rFonts w:cstheme="minorHAnsi"/>
          <w:sz w:val="24"/>
          <w:szCs w:val="24"/>
        </w:rPr>
        <w:t>’ (</w:t>
      </w:r>
      <w:r w:rsidR="002A1DEA" w:rsidRPr="004A4AC8">
        <w:rPr>
          <w:rFonts w:cstheme="minorHAnsi"/>
          <w:sz w:val="24"/>
          <w:szCs w:val="24"/>
        </w:rPr>
        <w:t>‘</w:t>
      </w:r>
      <w:r w:rsidR="00A914D1" w:rsidRPr="004A4AC8">
        <w:rPr>
          <w:rFonts w:cstheme="minorHAnsi"/>
          <w:sz w:val="24"/>
          <w:szCs w:val="24"/>
        </w:rPr>
        <w:t xml:space="preserve">the </w:t>
      </w:r>
      <w:proofErr w:type="spellStart"/>
      <w:r w:rsidRPr="004A4AC8">
        <w:rPr>
          <w:rFonts w:cstheme="minorHAnsi"/>
          <w:sz w:val="24"/>
          <w:szCs w:val="24"/>
        </w:rPr>
        <w:t>Ergas</w:t>
      </w:r>
      <w:proofErr w:type="spellEnd"/>
      <w:r w:rsidRPr="004A4AC8">
        <w:rPr>
          <w:rFonts w:cstheme="minorHAnsi"/>
          <w:sz w:val="24"/>
          <w:szCs w:val="24"/>
        </w:rPr>
        <w:t xml:space="preserve"> report</w:t>
      </w:r>
      <w:r w:rsidR="002A1DEA" w:rsidRPr="004A4AC8">
        <w:rPr>
          <w:rFonts w:cstheme="minorHAnsi"/>
          <w:sz w:val="24"/>
          <w:szCs w:val="24"/>
        </w:rPr>
        <w:t>’</w:t>
      </w:r>
      <w:r w:rsidRPr="004A4AC8">
        <w:rPr>
          <w:rFonts w:cstheme="minorHAnsi"/>
          <w:sz w:val="24"/>
          <w:szCs w:val="24"/>
        </w:rPr>
        <w:t>)</w:t>
      </w:r>
      <w:r w:rsidR="009C4AFB" w:rsidRPr="004A4AC8">
        <w:rPr>
          <w:rStyle w:val="FootnoteReference"/>
          <w:rFonts w:cstheme="minorHAnsi"/>
          <w:sz w:val="24"/>
          <w:szCs w:val="24"/>
        </w:rPr>
        <w:footnoteReference w:id="9"/>
      </w:r>
      <w:r w:rsidRPr="004A4AC8">
        <w:rPr>
          <w:rFonts w:cstheme="minorHAnsi"/>
          <w:sz w:val="24"/>
          <w:szCs w:val="24"/>
        </w:rPr>
        <w:t xml:space="preserve"> in 15 June 2023</w:t>
      </w:r>
      <w:r w:rsidR="009247E0" w:rsidRPr="004A4AC8">
        <w:rPr>
          <w:rFonts w:cstheme="minorHAnsi"/>
          <w:sz w:val="24"/>
          <w:szCs w:val="24"/>
        </w:rPr>
        <w:t>, distilled these concerns</w:t>
      </w:r>
      <w:r w:rsidRPr="004A4AC8">
        <w:rPr>
          <w:rFonts w:cstheme="minorHAnsi"/>
          <w:sz w:val="24"/>
          <w:szCs w:val="24"/>
        </w:rPr>
        <w:t xml:space="preserve">. The report estimated that 60DD would result in closure of at least 200 community pharmacies, and a loss of 4,938 FTE jobs, with </w:t>
      </w:r>
      <w:r w:rsidR="00244063" w:rsidRPr="004A4AC8">
        <w:rPr>
          <w:rFonts w:cstheme="minorHAnsi"/>
          <w:sz w:val="24"/>
          <w:szCs w:val="24"/>
        </w:rPr>
        <w:t xml:space="preserve">major impacts </w:t>
      </w:r>
      <w:r w:rsidR="003741C9" w:rsidRPr="004A4AC8">
        <w:rPr>
          <w:rFonts w:cstheme="minorHAnsi"/>
          <w:sz w:val="24"/>
          <w:szCs w:val="24"/>
        </w:rPr>
        <w:t xml:space="preserve">predicted </w:t>
      </w:r>
      <w:r w:rsidRPr="004A4AC8">
        <w:rPr>
          <w:rFonts w:cstheme="minorHAnsi"/>
          <w:sz w:val="24"/>
          <w:szCs w:val="24"/>
        </w:rPr>
        <w:t>to</w:t>
      </w:r>
      <w:r w:rsidR="003741C9" w:rsidRPr="004A4AC8">
        <w:rPr>
          <w:rFonts w:cstheme="minorHAnsi"/>
          <w:sz w:val="24"/>
          <w:szCs w:val="24"/>
        </w:rPr>
        <w:t xml:space="preserve"> </w:t>
      </w:r>
      <w:r w:rsidR="009769AF" w:rsidRPr="004A4AC8">
        <w:rPr>
          <w:rFonts w:cstheme="minorHAnsi"/>
          <w:sz w:val="24"/>
          <w:szCs w:val="24"/>
        </w:rPr>
        <w:t>occur</w:t>
      </w:r>
      <w:r w:rsidR="00030E85" w:rsidRPr="004A4AC8">
        <w:rPr>
          <w:rFonts w:cstheme="minorHAnsi"/>
          <w:sz w:val="24"/>
          <w:szCs w:val="24"/>
        </w:rPr>
        <w:t xml:space="preserve"> </w:t>
      </w:r>
      <w:r w:rsidRPr="004A4AC8">
        <w:rPr>
          <w:rFonts w:cstheme="minorHAnsi"/>
          <w:sz w:val="24"/>
          <w:szCs w:val="24"/>
        </w:rPr>
        <w:t>within the first two years</w:t>
      </w:r>
      <w:r w:rsidR="003741C9" w:rsidRPr="004A4AC8">
        <w:rPr>
          <w:rFonts w:cstheme="minorHAnsi"/>
          <w:sz w:val="24"/>
          <w:szCs w:val="24"/>
        </w:rPr>
        <w:t xml:space="preserve"> of</w:t>
      </w:r>
      <w:r w:rsidR="003741C9" w:rsidRPr="00F22821">
        <w:rPr>
          <w:rFonts w:cstheme="minorHAnsi"/>
          <w:sz w:val="24"/>
          <w:szCs w:val="24"/>
        </w:rPr>
        <w:t xml:space="preserve"> the policy</w:t>
      </w:r>
      <w:r w:rsidR="009769AF" w:rsidRPr="00F22821">
        <w:rPr>
          <w:rFonts w:cstheme="minorHAnsi"/>
          <w:sz w:val="24"/>
          <w:szCs w:val="24"/>
        </w:rPr>
        <w:t xml:space="preserve"> implementation</w:t>
      </w:r>
      <w:r w:rsidRPr="00F22821">
        <w:rPr>
          <w:rFonts w:cstheme="minorHAnsi"/>
          <w:sz w:val="24"/>
          <w:szCs w:val="24"/>
        </w:rPr>
        <w:t xml:space="preserve">. </w:t>
      </w:r>
      <w:r w:rsidR="009247E0" w:rsidRPr="00F22821">
        <w:rPr>
          <w:rFonts w:cstheme="minorHAnsi"/>
          <w:sz w:val="24"/>
          <w:szCs w:val="24"/>
        </w:rPr>
        <w:t xml:space="preserve">To date, these </w:t>
      </w:r>
      <w:r w:rsidR="004C4A1C" w:rsidRPr="00F22821">
        <w:rPr>
          <w:rFonts w:cstheme="minorHAnsi"/>
          <w:sz w:val="24"/>
          <w:szCs w:val="24"/>
        </w:rPr>
        <w:t>impacts</w:t>
      </w:r>
      <w:r w:rsidRPr="00F22821">
        <w:rPr>
          <w:rFonts w:cstheme="minorHAnsi"/>
          <w:sz w:val="24"/>
          <w:szCs w:val="24"/>
        </w:rPr>
        <w:t xml:space="preserve"> have not </w:t>
      </w:r>
      <w:r w:rsidR="009247E0" w:rsidRPr="00F22821">
        <w:rPr>
          <w:rFonts w:cstheme="minorHAnsi"/>
          <w:sz w:val="24"/>
          <w:szCs w:val="24"/>
        </w:rPr>
        <w:t>occurred</w:t>
      </w:r>
      <w:r w:rsidRPr="00F22821">
        <w:rPr>
          <w:rFonts w:cstheme="minorHAnsi"/>
          <w:sz w:val="24"/>
          <w:szCs w:val="24"/>
        </w:rPr>
        <w:t>,</w:t>
      </w:r>
      <w:r w:rsidR="001F69E0" w:rsidRPr="00F22821">
        <w:rPr>
          <w:rFonts w:cstheme="minorHAnsi"/>
          <w:sz w:val="24"/>
          <w:szCs w:val="24"/>
        </w:rPr>
        <w:t xml:space="preserve"> with the Government receiving 87 new pharmacy registrations </w:t>
      </w:r>
      <w:r w:rsidR="005E2E04" w:rsidRPr="00F22821">
        <w:rPr>
          <w:rFonts w:cstheme="minorHAnsi"/>
          <w:sz w:val="24"/>
          <w:szCs w:val="24"/>
        </w:rPr>
        <w:t>between May 2023 and January 2024</w:t>
      </w:r>
      <w:r w:rsidR="001F69E0" w:rsidRPr="00F22821">
        <w:rPr>
          <w:rFonts w:cstheme="minorHAnsi"/>
          <w:sz w:val="24"/>
          <w:szCs w:val="24"/>
        </w:rPr>
        <w:t xml:space="preserve">, a 50% </w:t>
      </w:r>
      <w:r w:rsidR="007A278C" w:rsidRPr="00F22821">
        <w:rPr>
          <w:rFonts w:cstheme="minorHAnsi"/>
          <w:sz w:val="24"/>
          <w:szCs w:val="24"/>
        </w:rPr>
        <w:t>increase above</w:t>
      </w:r>
      <w:r w:rsidR="006F19AA" w:rsidRPr="00F22821">
        <w:rPr>
          <w:rFonts w:cstheme="minorHAnsi"/>
          <w:sz w:val="24"/>
          <w:szCs w:val="24"/>
        </w:rPr>
        <w:t xml:space="preserve"> </w:t>
      </w:r>
      <w:r w:rsidR="001F69E0" w:rsidRPr="00F22821">
        <w:rPr>
          <w:rFonts w:cstheme="minorHAnsi"/>
          <w:sz w:val="24"/>
          <w:szCs w:val="24"/>
        </w:rPr>
        <w:t>the same period</w:t>
      </w:r>
      <w:r w:rsidR="007A278C" w:rsidRPr="00F22821">
        <w:rPr>
          <w:rFonts w:cstheme="minorHAnsi"/>
          <w:sz w:val="24"/>
          <w:szCs w:val="24"/>
        </w:rPr>
        <w:t xml:space="preserve"> in</w:t>
      </w:r>
      <w:r w:rsidR="001F69E0" w:rsidRPr="00F22821">
        <w:rPr>
          <w:rFonts w:cstheme="minorHAnsi"/>
          <w:sz w:val="24"/>
          <w:szCs w:val="24"/>
        </w:rPr>
        <w:t xml:space="preserve"> the previous year. </w:t>
      </w:r>
      <w:r w:rsidR="009247E0" w:rsidRPr="00F22821">
        <w:rPr>
          <w:rFonts w:cstheme="minorHAnsi"/>
          <w:sz w:val="24"/>
          <w:szCs w:val="24"/>
        </w:rPr>
        <w:t>However,</w:t>
      </w:r>
      <w:r w:rsidRPr="00F22821">
        <w:rPr>
          <w:rFonts w:cstheme="minorHAnsi"/>
          <w:sz w:val="24"/>
          <w:szCs w:val="24"/>
        </w:rPr>
        <w:t xml:space="preserve"> the risk of financial strain on already </w:t>
      </w:r>
      <w:r w:rsidR="009247E0" w:rsidRPr="00F22821">
        <w:rPr>
          <w:rFonts w:cstheme="minorHAnsi"/>
          <w:sz w:val="24"/>
          <w:szCs w:val="24"/>
        </w:rPr>
        <w:t xml:space="preserve">unviable </w:t>
      </w:r>
      <w:r w:rsidRPr="00F22821">
        <w:rPr>
          <w:rFonts w:cstheme="minorHAnsi"/>
          <w:sz w:val="24"/>
          <w:szCs w:val="24"/>
        </w:rPr>
        <w:t>pharmacies</w:t>
      </w:r>
      <w:r w:rsidR="00020B38" w:rsidRPr="00F22821">
        <w:rPr>
          <w:rFonts w:cstheme="minorHAnsi"/>
          <w:sz w:val="24"/>
          <w:szCs w:val="24"/>
        </w:rPr>
        <w:t xml:space="preserve"> has continued to be </w:t>
      </w:r>
      <w:r w:rsidR="00244063" w:rsidRPr="00F22821">
        <w:rPr>
          <w:rFonts w:cstheme="minorHAnsi"/>
          <w:sz w:val="24"/>
          <w:szCs w:val="24"/>
        </w:rPr>
        <w:t xml:space="preserve">claimed </w:t>
      </w:r>
      <w:r w:rsidR="00020B38" w:rsidRPr="00F22821">
        <w:rPr>
          <w:rFonts w:cstheme="minorHAnsi"/>
          <w:sz w:val="24"/>
          <w:szCs w:val="24"/>
        </w:rPr>
        <w:t xml:space="preserve">as a real concern. </w:t>
      </w:r>
      <w:r w:rsidRPr="00F22821">
        <w:rPr>
          <w:rFonts w:cstheme="minorHAnsi"/>
          <w:sz w:val="24"/>
          <w:szCs w:val="24"/>
        </w:rPr>
        <w:t>While the I</w:t>
      </w:r>
      <w:r w:rsidR="00C713EE" w:rsidRPr="00F22821">
        <w:rPr>
          <w:rFonts w:cstheme="minorHAnsi"/>
          <w:sz w:val="24"/>
          <w:szCs w:val="24"/>
        </w:rPr>
        <w:t xml:space="preserve">mpact </w:t>
      </w:r>
      <w:r w:rsidRPr="00F22821">
        <w:rPr>
          <w:rFonts w:cstheme="minorHAnsi"/>
          <w:sz w:val="24"/>
          <w:szCs w:val="24"/>
        </w:rPr>
        <w:t>A</w:t>
      </w:r>
      <w:r w:rsidR="00C713EE" w:rsidRPr="00F22821">
        <w:rPr>
          <w:rFonts w:cstheme="minorHAnsi"/>
          <w:sz w:val="24"/>
          <w:szCs w:val="24"/>
        </w:rPr>
        <w:t>nalysis</w:t>
      </w:r>
      <w:r w:rsidRPr="00F22821">
        <w:rPr>
          <w:rFonts w:cstheme="minorHAnsi"/>
          <w:sz w:val="24"/>
          <w:szCs w:val="24"/>
        </w:rPr>
        <w:t xml:space="preserve"> for 60DD indicated that the policy would have an impa</w:t>
      </w:r>
      <w:r w:rsidR="00F4102E" w:rsidRPr="00F22821">
        <w:rPr>
          <w:rFonts w:cstheme="minorHAnsi"/>
          <w:sz w:val="24"/>
          <w:szCs w:val="24"/>
        </w:rPr>
        <w:t>ct on community pharmacies,</w:t>
      </w:r>
      <w:r w:rsidRPr="00F22821">
        <w:rPr>
          <w:rFonts w:cstheme="minorHAnsi"/>
          <w:sz w:val="24"/>
          <w:szCs w:val="24"/>
        </w:rPr>
        <w:t xml:space="preserve"> the transition to more service-focused formats would allow </w:t>
      </w:r>
      <w:r w:rsidR="009247E0" w:rsidRPr="00F22821">
        <w:rPr>
          <w:rFonts w:cstheme="minorHAnsi"/>
          <w:sz w:val="24"/>
          <w:szCs w:val="24"/>
        </w:rPr>
        <w:t xml:space="preserve">progress </w:t>
      </w:r>
      <w:r w:rsidRPr="00F22821">
        <w:rPr>
          <w:rFonts w:cstheme="minorHAnsi"/>
          <w:sz w:val="24"/>
          <w:szCs w:val="24"/>
        </w:rPr>
        <w:t xml:space="preserve">towards </w:t>
      </w:r>
      <w:r w:rsidR="00F4102E" w:rsidRPr="00F22821">
        <w:rPr>
          <w:rFonts w:cstheme="minorHAnsi"/>
          <w:sz w:val="24"/>
          <w:szCs w:val="24"/>
        </w:rPr>
        <w:t xml:space="preserve">a more </w:t>
      </w:r>
      <w:r w:rsidRPr="00F22821">
        <w:rPr>
          <w:rFonts w:cstheme="minorHAnsi"/>
          <w:sz w:val="24"/>
          <w:szCs w:val="24"/>
        </w:rPr>
        <w:t xml:space="preserve">stable and flexible </w:t>
      </w:r>
      <w:r w:rsidR="00F4102E" w:rsidRPr="00F22821">
        <w:rPr>
          <w:rFonts w:cstheme="minorHAnsi"/>
          <w:sz w:val="24"/>
          <w:szCs w:val="24"/>
        </w:rPr>
        <w:t xml:space="preserve">business model </w:t>
      </w:r>
      <w:r w:rsidRPr="00F22821">
        <w:rPr>
          <w:rFonts w:cstheme="minorHAnsi"/>
          <w:sz w:val="24"/>
          <w:szCs w:val="24"/>
        </w:rPr>
        <w:t>that would better meet the health need</w:t>
      </w:r>
      <w:r w:rsidR="00F4102E" w:rsidRPr="00F22821">
        <w:rPr>
          <w:rFonts w:cstheme="minorHAnsi"/>
          <w:sz w:val="24"/>
          <w:szCs w:val="24"/>
        </w:rPr>
        <w:t xml:space="preserve">s of Australia’s </w:t>
      </w:r>
      <w:r w:rsidRPr="00F22821">
        <w:rPr>
          <w:rFonts w:cstheme="minorHAnsi"/>
          <w:sz w:val="24"/>
          <w:szCs w:val="24"/>
        </w:rPr>
        <w:t xml:space="preserve">growing and ageing population. </w:t>
      </w:r>
      <w:r w:rsidR="004C4A1C" w:rsidRPr="00F22821">
        <w:rPr>
          <w:rFonts w:cstheme="minorHAnsi"/>
          <w:sz w:val="24"/>
          <w:szCs w:val="24"/>
        </w:rPr>
        <w:t>The Government therefore committed additional investment into pharmacy services at the time the 60DD policy was introduced.</w:t>
      </w:r>
    </w:p>
    <w:p w14:paraId="06FAAD59" w14:textId="03CC98D5" w:rsidR="00044606" w:rsidRPr="00F22821" w:rsidRDefault="00263C65" w:rsidP="003351A5">
      <w:pPr>
        <w:autoSpaceDE w:val="0"/>
        <w:autoSpaceDN w:val="0"/>
        <w:adjustRightInd w:val="0"/>
        <w:rPr>
          <w:rFonts w:cstheme="minorHAnsi"/>
          <w:color w:val="auto"/>
          <w:sz w:val="24"/>
          <w:szCs w:val="24"/>
        </w:rPr>
      </w:pPr>
      <w:r w:rsidRPr="00F22821">
        <w:rPr>
          <w:rFonts w:cstheme="minorHAnsi"/>
          <w:color w:val="auto"/>
          <w:sz w:val="24"/>
          <w:szCs w:val="24"/>
        </w:rPr>
        <w:t>In the</w:t>
      </w:r>
      <w:r w:rsidR="009247E0" w:rsidRPr="00F22821">
        <w:rPr>
          <w:rFonts w:cstheme="minorHAnsi"/>
          <w:color w:val="auto"/>
          <w:sz w:val="24"/>
          <w:szCs w:val="24"/>
        </w:rPr>
        <w:t xml:space="preserve"> </w:t>
      </w:r>
      <w:r w:rsidRPr="00F22821">
        <w:rPr>
          <w:rFonts w:cstheme="minorHAnsi"/>
          <w:color w:val="auto"/>
          <w:sz w:val="24"/>
          <w:szCs w:val="24"/>
        </w:rPr>
        <w:t>2024-25 Budget</w:t>
      </w:r>
      <w:r w:rsidR="009247E0" w:rsidRPr="00F22821">
        <w:rPr>
          <w:rFonts w:cstheme="minorHAnsi"/>
          <w:color w:val="auto"/>
          <w:sz w:val="24"/>
          <w:szCs w:val="24"/>
        </w:rPr>
        <w:t>,</w:t>
      </w:r>
      <w:r w:rsidRPr="00F22821">
        <w:rPr>
          <w:rFonts w:cstheme="minorHAnsi"/>
          <w:color w:val="auto"/>
          <w:sz w:val="24"/>
          <w:szCs w:val="24"/>
        </w:rPr>
        <w:t xml:space="preserve"> the Government committed to providing a further total financial envelope of up to $3.0 billion in investment in community pharmacy. </w:t>
      </w:r>
    </w:p>
    <w:p w14:paraId="53F27DC0" w14:textId="3BF11A94" w:rsidR="002336F4" w:rsidRPr="00F22821" w:rsidRDefault="00B4567C" w:rsidP="003351A5">
      <w:pPr>
        <w:pStyle w:val="BodyText"/>
        <w:rPr>
          <w:rFonts w:cstheme="minorHAnsi"/>
          <w:sz w:val="24"/>
          <w:szCs w:val="24"/>
        </w:rPr>
      </w:pPr>
      <w:r w:rsidRPr="00F22821">
        <w:rPr>
          <w:rFonts w:cstheme="minorHAnsi"/>
          <w:sz w:val="24"/>
          <w:szCs w:val="24"/>
        </w:rPr>
        <w:t>The Government’s position has</w:t>
      </w:r>
      <w:r w:rsidR="00376532" w:rsidRPr="00F22821">
        <w:rPr>
          <w:rFonts w:cstheme="minorHAnsi"/>
          <w:sz w:val="24"/>
          <w:szCs w:val="24"/>
        </w:rPr>
        <w:t xml:space="preserve"> been</w:t>
      </w:r>
      <w:r w:rsidR="00353855" w:rsidRPr="00F22821">
        <w:rPr>
          <w:rFonts w:cstheme="minorHAnsi"/>
          <w:sz w:val="24"/>
          <w:szCs w:val="24"/>
        </w:rPr>
        <w:t xml:space="preserve"> </w:t>
      </w:r>
      <w:r w:rsidR="004C4A1C" w:rsidRPr="00F22821">
        <w:rPr>
          <w:rFonts w:cstheme="minorHAnsi"/>
          <w:sz w:val="24"/>
          <w:szCs w:val="24"/>
        </w:rPr>
        <w:t xml:space="preserve">that </w:t>
      </w:r>
      <w:r w:rsidR="00376532" w:rsidRPr="00F22821">
        <w:rPr>
          <w:rFonts w:cstheme="minorHAnsi"/>
          <w:sz w:val="24"/>
          <w:szCs w:val="24"/>
        </w:rPr>
        <w:t xml:space="preserve">any additional funding </w:t>
      </w:r>
      <w:r w:rsidR="004C4A1C" w:rsidRPr="00F22821">
        <w:rPr>
          <w:rFonts w:cstheme="minorHAnsi"/>
          <w:sz w:val="24"/>
          <w:szCs w:val="24"/>
        </w:rPr>
        <w:t>should</w:t>
      </w:r>
      <w:r w:rsidR="00376532" w:rsidRPr="00F22821">
        <w:rPr>
          <w:rFonts w:cstheme="minorHAnsi"/>
          <w:sz w:val="24"/>
          <w:szCs w:val="24"/>
        </w:rPr>
        <w:t xml:space="preserve"> not increase</w:t>
      </w:r>
      <w:r w:rsidRPr="00F22821">
        <w:rPr>
          <w:rFonts w:cstheme="minorHAnsi"/>
          <w:sz w:val="24"/>
          <w:szCs w:val="24"/>
        </w:rPr>
        <w:t xml:space="preserve"> the</w:t>
      </w:r>
      <w:r w:rsidR="00376532" w:rsidRPr="00F22821">
        <w:rPr>
          <w:rFonts w:cstheme="minorHAnsi"/>
          <w:sz w:val="24"/>
          <w:szCs w:val="24"/>
        </w:rPr>
        <w:t xml:space="preserve"> </w:t>
      </w:r>
      <w:r w:rsidR="009247E0" w:rsidRPr="00F22821">
        <w:rPr>
          <w:rFonts w:cstheme="minorHAnsi"/>
          <w:sz w:val="24"/>
          <w:szCs w:val="24"/>
        </w:rPr>
        <w:t xml:space="preserve">cost of medicines </w:t>
      </w:r>
      <w:r w:rsidR="00376532" w:rsidRPr="00F22821">
        <w:rPr>
          <w:rFonts w:cstheme="minorHAnsi"/>
          <w:sz w:val="24"/>
          <w:szCs w:val="24"/>
        </w:rPr>
        <w:t xml:space="preserve">to patients. As such, the Department’s 8CPA Negotiation Team and the Guild have worked to consider alternative payment mechanisms. </w:t>
      </w:r>
    </w:p>
    <w:p w14:paraId="2B956407" w14:textId="77777777" w:rsidR="00524ACA" w:rsidRPr="00F22821" w:rsidRDefault="00524ACA" w:rsidP="003351A5">
      <w:pPr>
        <w:pStyle w:val="BodyText"/>
        <w:rPr>
          <w:rFonts w:cstheme="minorHAnsi"/>
          <w:sz w:val="24"/>
          <w:szCs w:val="24"/>
        </w:rPr>
      </w:pPr>
    </w:p>
    <w:p w14:paraId="18CF0CCA" w14:textId="77777777" w:rsidR="002336F4" w:rsidRPr="00F22821" w:rsidRDefault="002336F4" w:rsidP="003351A5">
      <w:pPr>
        <w:pStyle w:val="Heading4"/>
        <w:spacing w:before="0"/>
        <w:rPr>
          <w:rFonts w:asciiTheme="minorHAnsi" w:hAnsiTheme="minorHAnsi" w:cstheme="minorHAnsi"/>
          <w:b/>
          <w:szCs w:val="28"/>
        </w:rPr>
      </w:pPr>
      <w:r w:rsidRPr="00F22821">
        <w:rPr>
          <w:rFonts w:asciiTheme="minorHAnsi" w:hAnsiTheme="minorHAnsi" w:cstheme="minorHAnsi"/>
          <w:b/>
          <w:szCs w:val="28"/>
        </w:rPr>
        <w:t>Preferred option</w:t>
      </w:r>
    </w:p>
    <w:p w14:paraId="31E80580" w14:textId="0A3C5B07" w:rsidR="00020B38" w:rsidRPr="00F22821" w:rsidRDefault="002336F4" w:rsidP="003351A5">
      <w:pPr>
        <w:pStyle w:val="BodyText"/>
        <w:rPr>
          <w:rFonts w:cstheme="minorHAnsi"/>
          <w:sz w:val="24"/>
          <w:szCs w:val="24"/>
        </w:rPr>
      </w:pPr>
      <w:r w:rsidRPr="00F22821">
        <w:rPr>
          <w:rFonts w:cstheme="minorHAnsi"/>
          <w:sz w:val="24"/>
          <w:szCs w:val="24"/>
        </w:rPr>
        <w:t>Based</w:t>
      </w:r>
      <w:r w:rsidR="00D35CBF" w:rsidRPr="00F22821">
        <w:rPr>
          <w:rFonts w:cstheme="minorHAnsi"/>
          <w:sz w:val="24"/>
          <w:szCs w:val="24"/>
        </w:rPr>
        <w:t xml:space="preserve"> on the net benefits comparison</w:t>
      </w:r>
      <w:r w:rsidR="004C4A1C" w:rsidRPr="00F22821">
        <w:rPr>
          <w:rFonts w:cstheme="minorHAnsi"/>
          <w:sz w:val="24"/>
          <w:szCs w:val="24"/>
        </w:rPr>
        <w:t xml:space="preserve"> and negotiations</w:t>
      </w:r>
      <w:r w:rsidR="00D35CBF" w:rsidRPr="00F22821">
        <w:rPr>
          <w:rFonts w:cstheme="minorHAnsi"/>
          <w:sz w:val="24"/>
          <w:szCs w:val="24"/>
        </w:rPr>
        <w:t xml:space="preserve">, Option </w:t>
      </w:r>
      <w:r w:rsidR="009247E0" w:rsidRPr="00F22821">
        <w:rPr>
          <w:rFonts w:cstheme="minorHAnsi"/>
          <w:sz w:val="24"/>
          <w:szCs w:val="24"/>
        </w:rPr>
        <w:t xml:space="preserve">3 </w:t>
      </w:r>
      <w:r w:rsidR="00D35CBF" w:rsidRPr="00F22821">
        <w:rPr>
          <w:rFonts w:cstheme="minorHAnsi"/>
          <w:sz w:val="24"/>
          <w:szCs w:val="24"/>
        </w:rPr>
        <w:t xml:space="preserve">is the most likely to provide a timely outcome for the 8CPA, </w:t>
      </w:r>
      <w:r w:rsidR="004C4A1C" w:rsidRPr="00F22821">
        <w:rPr>
          <w:rFonts w:cstheme="minorHAnsi"/>
          <w:sz w:val="24"/>
          <w:szCs w:val="24"/>
        </w:rPr>
        <w:t xml:space="preserve">continue to support the Government’s commitment to cheaper medicines, </w:t>
      </w:r>
      <w:r w:rsidR="00D35CBF" w:rsidRPr="00F22821">
        <w:rPr>
          <w:rFonts w:cstheme="minorHAnsi"/>
          <w:sz w:val="24"/>
          <w:szCs w:val="24"/>
        </w:rPr>
        <w:t xml:space="preserve">and provide </w:t>
      </w:r>
      <w:r w:rsidR="004C4A1C" w:rsidRPr="00F22821">
        <w:rPr>
          <w:rFonts w:cstheme="minorHAnsi"/>
          <w:sz w:val="24"/>
          <w:szCs w:val="24"/>
        </w:rPr>
        <w:t xml:space="preserve">additional revenue for investment into </w:t>
      </w:r>
      <w:r w:rsidR="00D35CBF" w:rsidRPr="00F22821">
        <w:rPr>
          <w:rFonts w:cstheme="minorHAnsi"/>
          <w:sz w:val="24"/>
          <w:szCs w:val="24"/>
        </w:rPr>
        <w:t xml:space="preserve">community pharmacy. </w:t>
      </w:r>
      <w:r w:rsidR="00AC34F2" w:rsidRPr="00F22821">
        <w:rPr>
          <w:rFonts w:cstheme="minorHAnsi"/>
          <w:sz w:val="24"/>
          <w:szCs w:val="24"/>
        </w:rPr>
        <w:t>Due</w:t>
      </w:r>
      <w:r w:rsidR="00D35CBF" w:rsidRPr="00F22821">
        <w:rPr>
          <w:rFonts w:cstheme="minorHAnsi"/>
          <w:sz w:val="24"/>
          <w:szCs w:val="24"/>
        </w:rPr>
        <w:t xml:space="preserve"> to the unique nature of the 60DD policy, the provision of a variable </w:t>
      </w:r>
      <w:r w:rsidR="004C4A1C" w:rsidRPr="00F22821">
        <w:rPr>
          <w:rFonts w:cstheme="minorHAnsi"/>
          <w:sz w:val="24"/>
          <w:szCs w:val="24"/>
        </w:rPr>
        <w:t xml:space="preserve">additional payment </w:t>
      </w:r>
      <w:r w:rsidR="00D35CBF" w:rsidRPr="00F22821">
        <w:rPr>
          <w:rFonts w:cstheme="minorHAnsi"/>
          <w:sz w:val="24"/>
          <w:szCs w:val="24"/>
        </w:rPr>
        <w:t xml:space="preserve">for this aspect would </w:t>
      </w:r>
      <w:r w:rsidR="004C4A1C" w:rsidRPr="00F22821">
        <w:rPr>
          <w:rFonts w:cstheme="minorHAnsi"/>
          <w:sz w:val="24"/>
          <w:szCs w:val="24"/>
        </w:rPr>
        <w:t>provide additional business certainty across the sector</w:t>
      </w:r>
      <w:r w:rsidR="00D35CBF" w:rsidRPr="00F22821">
        <w:rPr>
          <w:rFonts w:cstheme="minorHAnsi"/>
          <w:sz w:val="24"/>
          <w:szCs w:val="24"/>
        </w:rPr>
        <w:t xml:space="preserve">. </w:t>
      </w:r>
      <w:r w:rsidR="00020B38" w:rsidRPr="00F22821">
        <w:rPr>
          <w:rFonts w:cstheme="minorHAnsi"/>
          <w:sz w:val="24"/>
          <w:szCs w:val="24"/>
        </w:rPr>
        <w:t>The additional dispensing revenue will help to su</w:t>
      </w:r>
      <w:r w:rsidR="00E838B6" w:rsidRPr="00F22821">
        <w:rPr>
          <w:rFonts w:cstheme="minorHAnsi"/>
          <w:sz w:val="24"/>
          <w:szCs w:val="24"/>
        </w:rPr>
        <w:t>p</w:t>
      </w:r>
      <w:r w:rsidR="00020B38" w:rsidRPr="00F22821">
        <w:rPr>
          <w:rFonts w:cstheme="minorHAnsi"/>
          <w:sz w:val="24"/>
          <w:szCs w:val="24"/>
        </w:rPr>
        <w:t xml:space="preserve">port pharmacies </w:t>
      </w:r>
      <w:r w:rsidR="00520EC3" w:rsidRPr="00F22821">
        <w:rPr>
          <w:rFonts w:cstheme="minorHAnsi"/>
          <w:sz w:val="24"/>
          <w:szCs w:val="24"/>
        </w:rPr>
        <w:t>to continue</w:t>
      </w:r>
      <w:r w:rsidR="00020B38" w:rsidRPr="00F22821">
        <w:rPr>
          <w:rFonts w:cstheme="minorHAnsi"/>
          <w:sz w:val="24"/>
          <w:szCs w:val="24"/>
        </w:rPr>
        <w:t xml:space="preserve"> to grow in real terms despite the </w:t>
      </w:r>
      <w:r w:rsidR="00520EC3" w:rsidRPr="00F22821">
        <w:rPr>
          <w:rFonts w:cstheme="minorHAnsi"/>
          <w:sz w:val="24"/>
          <w:szCs w:val="24"/>
        </w:rPr>
        <w:t>anticipated</w:t>
      </w:r>
      <w:r w:rsidR="00020B38" w:rsidRPr="00F22821">
        <w:rPr>
          <w:rFonts w:cstheme="minorHAnsi"/>
          <w:sz w:val="24"/>
          <w:szCs w:val="24"/>
        </w:rPr>
        <w:t xml:space="preserve"> reduction in dispensing volumes</w:t>
      </w:r>
      <w:r w:rsidR="00353855" w:rsidRPr="00F22821">
        <w:rPr>
          <w:rFonts w:cstheme="minorHAnsi"/>
          <w:sz w:val="24"/>
          <w:szCs w:val="24"/>
        </w:rPr>
        <w:t xml:space="preserve"> (see Figure 1 below)</w:t>
      </w:r>
      <w:r w:rsidR="00020B38" w:rsidRPr="00F22821">
        <w:rPr>
          <w:rFonts w:cstheme="minorHAnsi"/>
          <w:sz w:val="24"/>
          <w:szCs w:val="24"/>
        </w:rPr>
        <w:t>.</w:t>
      </w:r>
    </w:p>
    <w:p w14:paraId="10F8DF12" w14:textId="1C6849D9" w:rsidR="00020B38" w:rsidRPr="00F22821" w:rsidRDefault="00020B38" w:rsidP="00814422">
      <w:pPr>
        <w:pStyle w:val="Caption"/>
        <w:rPr>
          <w:rFonts w:ascii="Century Gothic" w:hAnsi="Century Gothic"/>
        </w:rPr>
      </w:pPr>
      <w:r w:rsidRPr="00F22821">
        <w:rPr>
          <w:rFonts w:ascii="Century Gothic" w:hAnsi="Century Gothic"/>
        </w:rPr>
        <w:t>Figure 1: The total 8CPA broken down into Baseline funding and $3 billion of additional investment</w:t>
      </w:r>
    </w:p>
    <w:p w14:paraId="2CA5442D" w14:textId="34B2BECE" w:rsidR="00020B38" w:rsidRPr="00F22821" w:rsidRDefault="00020B38" w:rsidP="001E5BB4">
      <w:pPr>
        <w:pStyle w:val="BodyText"/>
        <w:rPr>
          <w:sz w:val="22"/>
          <w:szCs w:val="22"/>
        </w:rPr>
      </w:pPr>
      <w:r w:rsidRPr="007423F0">
        <w:rPr>
          <w:noProof/>
          <w:sz w:val="22"/>
          <w:szCs w:val="22"/>
          <w:lang w:eastAsia="en-AU"/>
        </w:rPr>
        <w:drawing>
          <wp:inline distT="0" distB="0" distL="0" distR="0" wp14:anchorId="484EA20D" wp14:editId="577435FB">
            <wp:extent cx="6624320" cy="2788285"/>
            <wp:effectExtent l="0" t="0" r="50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stretch>
                      <a:fillRect/>
                    </a:stretch>
                  </pic:blipFill>
                  <pic:spPr>
                    <a:xfrm>
                      <a:off x="0" y="0"/>
                      <a:ext cx="6624320" cy="2788285"/>
                    </a:xfrm>
                    <a:prstGeom prst="rect">
                      <a:avLst/>
                    </a:prstGeom>
                  </pic:spPr>
                </pic:pic>
              </a:graphicData>
            </a:graphic>
          </wp:inline>
        </w:drawing>
      </w:r>
    </w:p>
    <w:p w14:paraId="3A83BF8D" w14:textId="44873F2F" w:rsidR="004C4A1C" w:rsidRPr="00DC4F17" w:rsidRDefault="00020B38" w:rsidP="0081525B">
      <w:pPr>
        <w:pStyle w:val="BodyText"/>
        <w:rPr>
          <w:rFonts w:cstheme="minorHAnsi"/>
          <w:sz w:val="22"/>
          <w:szCs w:val="22"/>
        </w:rPr>
      </w:pPr>
      <w:r w:rsidRPr="00F22821">
        <w:rPr>
          <w:sz w:val="22"/>
          <w:szCs w:val="22"/>
        </w:rPr>
        <w:t>*</w:t>
      </w:r>
      <w:r w:rsidR="004C4A1C" w:rsidRPr="00F22821">
        <w:rPr>
          <w:sz w:val="22"/>
          <w:szCs w:val="22"/>
        </w:rPr>
        <w:t>Data</w:t>
      </w:r>
      <w:r w:rsidR="00BF0601" w:rsidRPr="00DC4F17">
        <w:rPr>
          <w:sz w:val="22"/>
          <w:szCs w:val="22"/>
        </w:rPr>
        <w:t xml:space="preserve"> points adjusted for CPI, to give a ‘real terms’ comparison across time</w:t>
      </w:r>
      <w:r w:rsidRPr="00DC4F17">
        <w:rPr>
          <w:sz w:val="22"/>
          <w:szCs w:val="22"/>
        </w:rPr>
        <w:t xml:space="preserve"> (</w:t>
      </w:r>
      <w:r w:rsidR="00BF0601" w:rsidRPr="00DC4F17">
        <w:rPr>
          <w:sz w:val="22"/>
          <w:szCs w:val="22"/>
        </w:rPr>
        <w:t>2022-23 financial year is the reference point</w:t>
      </w:r>
      <w:r w:rsidRPr="00DC4F17">
        <w:rPr>
          <w:sz w:val="22"/>
          <w:szCs w:val="22"/>
        </w:rPr>
        <w:t>)</w:t>
      </w:r>
      <w:r w:rsidR="00BF0601" w:rsidRPr="00DC4F17">
        <w:rPr>
          <w:sz w:val="22"/>
          <w:szCs w:val="22"/>
        </w:rPr>
        <w:t xml:space="preserve"> </w:t>
      </w:r>
    </w:p>
    <w:p w14:paraId="14FD4110" w14:textId="487CC893" w:rsidR="008118D0" w:rsidRPr="00F22821" w:rsidRDefault="00AC34F2" w:rsidP="00AC34F2">
      <w:pPr>
        <w:pStyle w:val="BodyText"/>
        <w:rPr>
          <w:rFonts w:cstheme="minorHAnsi"/>
          <w:sz w:val="24"/>
          <w:szCs w:val="24"/>
        </w:rPr>
      </w:pPr>
      <w:r w:rsidRPr="00F22821">
        <w:rPr>
          <w:rFonts w:cstheme="minorHAnsi"/>
          <w:sz w:val="24"/>
          <w:szCs w:val="24"/>
        </w:rPr>
        <w:lastRenderedPageBreak/>
        <w:t xml:space="preserve">To implement this option, the Department and the Guild would need to reach agreement on a </w:t>
      </w:r>
      <w:r w:rsidR="002015E4" w:rsidRPr="00F22821">
        <w:rPr>
          <w:rFonts w:cstheme="minorHAnsi"/>
          <w:sz w:val="24"/>
          <w:szCs w:val="24"/>
        </w:rPr>
        <w:t xml:space="preserve">new section </w:t>
      </w:r>
      <w:r w:rsidRPr="00F22821">
        <w:rPr>
          <w:rFonts w:cstheme="minorHAnsi"/>
          <w:sz w:val="24"/>
          <w:szCs w:val="24"/>
        </w:rPr>
        <w:t xml:space="preserve">for insertion </w:t>
      </w:r>
      <w:r w:rsidR="002015E4" w:rsidRPr="00F22821">
        <w:rPr>
          <w:rFonts w:cstheme="minorHAnsi"/>
          <w:sz w:val="24"/>
          <w:szCs w:val="24"/>
        </w:rPr>
        <w:t xml:space="preserve">in Part VII of the </w:t>
      </w:r>
      <w:r w:rsidR="002015E4" w:rsidRPr="00F22821">
        <w:rPr>
          <w:rFonts w:cstheme="minorHAnsi"/>
          <w:i/>
          <w:iCs/>
          <w:sz w:val="24"/>
          <w:szCs w:val="24"/>
        </w:rPr>
        <w:t>National Health Act 1953</w:t>
      </w:r>
      <w:r w:rsidR="002015E4" w:rsidRPr="00F22821">
        <w:rPr>
          <w:rFonts w:cstheme="minorHAnsi"/>
          <w:sz w:val="24"/>
          <w:szCs w:val="24"/>
        </w:rPr>
        <w:t xml:space="preserve"> providing for an additional payment (outside the Commonwealth price)</w:t>
      </w:r>
      <w:r w:rsidRPr="00F22821">
        <w:rPr>
          <w:rFonts w:cstheme="minorHAnsi"/>
          <w:sz w:val="24"/>
          <w:szCs w:val="24"/>
        </w:rPr>
        <w:t xml:space="preserve">. After the signing of the 8CPA, the required Bill would be introduced to Parliament, noting if the Bill does not </w:t>
      </w:r>
      <w:r w:rsidR="0030467E" w:rsidRPr="00F22821">
        <w:rPr>
          <w:rFonts w:cstheme="minorHAnsi"/>
          <w:sz w:val="24"/>
          <w:szCs w:val="24"/>
        </w:rPr>
        <w:t>pass,</w:t>
      </w:r>
      <w:r w:rsidR="00263C65" w:rsidRPr="00F22821">
        <w:rPr>
          <w:rFonts w:cstheme="minorHAnsi"/>
          <w:sz w:val="24"/>
          <w:szCs w:val="24"/>
        </w:rPr>
        <w:t xml:space="preserve"> further consultation would be undertaken with the Guild to consider potential alternate arrangements</w:t>
      </w:r>
      <w:r w:rsidRPr="00F22821">
        <w:rPr>
          <w:rFonts w:cstheme="minorHAnsi"/>
          <w:sz w:val="24"/>
          <w:szCs w:val="24"/>
        </w:rPr>
        <w:t xml:space="preserve">. </w:t>
      </w:r>
    </w:p>
    <w:p w14:paraId="5CD7CBBC" w14:textId="65A5E80D" w:rsidR="0081525B" w:rsidRPr="00F22821" w:rsidRDefault="00AC34F2" w:rsidP="002336F4">
      <w:pPr>
        <w:pStyle w:val="BodyText"/>
        <w:rPr>
          <w:rFonts w:cstheme="minorHAnsi"/>
          <w:sz w:val="24"/>
          <w:szCs w:val="24"/>
        </w:rPr>
      </w:pPr>
      <w:r w:rsidRPr="00F22821">
        <w:rPr>
          <w:rFonts w:cstheme="minorHAnsi"/>
          <w:sz w:val="24"/>
          <w:szCs w:val="24"/>
        </w:rPr>
        <w:t xml:space="preserve">Consultations with Services Australia have indicated </w:t>
      </w:r>
      <w:r w:rsidR="0030467E" w:rsidRPr="00F22821">
        <w:rPr>
          <w:rFonts w:cstheme="minorHAnsi"/>
          <w:sz w:val="24"/>
          <w:szCs w:val="24"/>
        </w:rPr>
        <w:t xml:space="preserve">the need </w:t>
      </w:r>
      <w:r w:rsidRPr="00F22821">
        <w:rPr>
          <w:rFonts w:cstheme="minorHAnsi"/>
          <w:sz w:val="24"/>
          <w:szCs w:val="24"/>
        </w:rPr>
        <w:t>for temporary manual payments to be made while automated payment is established.</w:t>
      </w:r>
    </w:p>
    <w:p w14:paraId="1B665611" w14:textId="77777777" w:rsidR="00524ACA" w:rsidRPr="00F22821" w:rsidRDefault="00524ACA" w:rsidP="002336F4">
      <w:pPr>
        <w:pStyle w:val="BodyText"/>
        <w:rPr>
          <w:rFonts w:cstheme="minorHAnsi"/>
          <w:sz w:val="24"/>
          <w:szCs w:val="24"/>
        </w:rPr>
      </w:pPr>
    </w:p>
    <w:p w14:paraId="486FD78F" w14:textId="77777777" w:rsidR="00764889" w:rsidRPr="00F22821" w:rsidRDefault="002336F4" w:rsidP="00814422">
      <w:pPr>
        <w:pStyle w:val="Heading4"/>
        <w:spacing w:before="0"/>
        <w:rPr>
          <w:rFonts w:asciiTheme="minorHAnsi" w:hAnsiTheme="minorHAnsi" w:cstheme="minorHAnsi"/>
          <w:b/>
          <w:szCs w:val="28"/>
        </w:rPr>
      </w:pPr>
      <w:r w:rsidRPr="00F22821">
        <w:rPr>
          <w:rFonts w:asciiTheme="minorHAnsi" w:hAnsiTheme="minorHAnsi" w:cstheme="minorHAnsi"/>
          <w:b/>
          <w:szCs w:val="28"/>
        </w:rPr>
        <w:t>Evaluation of preferred option</w:t>
      </w:r>
    </w:p>
    <w:p w14:paraId="6E676E5A" w14:textId="269EDAEB" w:rsidR="00263C65" w:rsidRPr="00F22821" w:rsidRDefault="007B77E9" w:rsidP="002336F4">
      <w:pPr>
        <w:pStyle w:val="BodyText"/>
        <w:rPr>
          <w:rFonts w:cstheme="minorHAnsi"/>
          <w:color w:val="0D0D0D" w:themeColor="text1" w:themeTint="F2"/>
          <w:sz w:val="24"/>
          <w:szCs w:val="24"/>
        </w:rPr>
      </w:pPr>
      <w:r w:rsidRPr="00F22821">
        <w:rPr>
          <w:rFonts w:cstheme="minorHAnsi"/>
          <w:color w:val="0D0D0D" w:themeColor="text1" w:themeTint="F2"/>
          <w:sz w:val="24"/>
          <w:szCs w:val="24"/>
        </w:rPr>
        <w:t>As noted above this policy primarily impacts the equity, sustainability and access for consumers and business. Consistent with the evaluation process outlined in the</w:t>
      </w:r>
      <w:r w:rsidR="00263C65" w:rsidRPr="00F22821">
        <w:rPr>
          <w:rFonts w:cstheme="minorHAnsi"/>
          <w:color w:val="0D0D0D" w:themeColor="text1" w:themeTint="F2"/>
          <w:sz w:val="24"/>
          <w:szCs w:val="24"/>
        </w:rPr>
        <w:t xml:space="preserve"> 8CPA </w:t>
      </w:r>
      <w:r w:rsidRPr="00F22821">
        <w:rPr>
          <w:rFonts w:cstheme="minorHAnsi"/>
          <w:color w:val="0D0D0D" w:themeColor="text1" w:themeTint="F2"/>
          <w:sz w:val="24"/>
          <w:szCs w:val="24"/>
        </w:rPr>
        <w:t xml:space="preserve">IA success against these objectives will continue to be monitored and evaluated through analysis of PBS dispensing data. </w:t>
      </w:r>
    </w:p>
    <w:p w14:paraId="24C9F050" w14:textId="3FAF0F4A" w:rsidR="002336F4" w:rsidRPr="00F22821" w:rsidRDefault="007B77E9" w:rsidP="002336F4">
      <w:pPr>
        <w:pStyle w:val="BodyText"/>
        <w:rPr>
          <w:rFonts w:cstheme="minorHAnsi"/>
          <w:sz w:val="24"/>
          <w:szCs w:val="24"/>
        </w:rPr>
      </w:pPr>
      <w:r w:rsidRPr="00F22821">
        <w:rPr>
          <w:rFonts w:cstheme="minorHAnsi"/>
          <w:sz w:val="24"/>
          <w:szCs w:val="24"/>
        </w:rPr>
        <w:t xml:space="preserve">This </w:t>
      </w:r>
      <w:r w:rsidR="00301919" w:rsidRPr="00F22821">
        <w:rPr>
          <w:rFonts w:cstheme="minorHAnsi"/>
          <w:sz w:val="24"/>
          <w:szCs w:val="24"/>
        </w:rPr>
        <w:t xml:space="preserve">will include continued </w:t>
      </w:r>
      <w:r w:rsidRPr="00F22821">
        <w:rPr>
          <w:rFonts w:cstheme="minorHAnsi"/>
          <w:sz w:val="24"/>
          <w:szCs w:val="24"/>
        </w:rPr>
        <w:t xml:space="preserve">monitoring </w:t>
      </w:r>
      <w:r w:rsidR="00301919" w:rsidRPr="00F22821">
        <w:rPr>
          <w:rFonts w:cstheme="minorHAnsi"/>
          <w:sz w:val="24"/>
          <w:szCs w:val="24"/>
        </w:rPr>
        <w:t xml:space="preserve">of </w:t>
      </w:r>
      <w:r w:rsidRPr="00F22821">
        <w:rPr>
          <w:rFonts w:cstheme="minorHAnsi"/>
          <w:sz w:val="24"/>
          <w:szCs w:val="24"/>
        </w:rPr>
        <w:t xml:space="preserve">the volume </w:t>
      </w:r>
      <w:r w:rsidR="00301919" w:rsidRPr="00F22821">
        <w:rPr>
          <w:rFonts w:cstheme="minorHAnsi"/>
          <w:sz w:val="24"/>
          <w:szCs w:val="24"/>
        </w:rPr>
        <w:t>and</w:t>
      </w:r>
      <w:r w:rsidR="00AC34F2" w:rsidRPr="00F22821">
        <w:rPr>
          <w:rFonts w:cstheme="minorHAnsi"/>
          <w:sz w:val="24"/>
          <w:szCs w:val="24"/>
        </w:rPr>
        <w:t xml:space="preserve"> uptake of 6</w:t>
      </w:r>
      <w:r w:rsidRPr="00F22821">
        <w:rPr>
          <w:rFonts w:cstheme="minorHAnsi"/>
          <w:sz w:val="24"/>
          <w:szCs w:val="24"/>
        </w:rPr>
        <w:t xml:space="preserve">0 day </w:t>
      </w:r>
      <w:r w:rsidR="00301919" w:rsidRPr="00F22821">
        <w:rPr>
          <w:rFonts w:cstheme="minorHAnsi"/>
          <w:sz w:val="24"/>
          <w:szCs w:val="24"/>
        </w:rPr>
        <w:t xml:space="preserve">dispensing </w:t>
      </w:r>
      <w:r w:rsidR="00257AEF">
        <w:rPr>
          <w:rFonts w:cstheme="minorHAnsi"/>
          <w:sz w:val="24"/>
          <w:szCs w:val="24"/>
        </w:rPr>
        <w:t>prescriptions</w:t>
      </w:r>
      <w:r w:rsidR="00353855" w:rsidRPr="00F22821">
        <w:rPr>
          <w:rFonts w:cstheme="minorHAnsi"/>
          <w:sz w:val="24"/>
          <w:szCs w:val="24"/>
        </w:rPr>
        <w:t>,</w:t>
      </w:r>
      <w:r w:rsidR="00AC34F2" w:rsidRPr="00F22821">
        <w:rPr>
          <w:rFonts w:cstheme="minorHAnsi"/>
          <w:sz w:val="24"/>
          <w:szCs w:val="24"/>
        </w:rPr>
        <w:t xml:space="preserve"> </w:t>
      </w:r>
      <w:r w:rsidR="004A4AC8">
        <w:rPr>
          <w:rFonts w:cstheme="minorHAnsi"/>
          <w:sz w:val="24"/>
          <w:szCs w:val="24"/>
        </w:rPr>
        <w:t>and patient costs</w:t>
      </w:r>
      <w:r w:rsidR="00020B38" w:rsidRPr="00F22821">
        <w:rPr>
          <w:rFonts w:cstheme="minorHAnsi"/>
          <w:sz w:val="24"/>
          <w:szCs w:val="24"/>
        </w:rPr>
        <w:t xml:space="preserve">. </w:t>
      </w:r>
      <w:r w:rsidR="004A4AC8">
        <w:rPr>
          <w:rFonts w:cstheme="minorHAnsi"/>
          <w:sz w:val="24"/>
          <w:szCs w:val="24"/>
        </w:rPr>
        <w:t xml:space="preserve">Monitoring will occur </w:t>
      </w:r>
      <w:r w:rsidR="00AC34F2" w:rsidRPr="00F22821">
        <w:rPr>
          <w:rFonts w:cstheme="minorHAnsi"/>
          <w:sz w:val="24"/>
          <w:szCs w:val="24"/>
        </w:rPr>
        <w:t>through existing mechanisms</w:t>
      </w:r>
      <w:r w:rsidR="00020B38" w:rsidRPr="00F22821">
        <w:rPr>
          <w:rFonts w:cstheme="minorHAnsi"/>
          <w:sz w:val="24"/>
          <w:szCs w:val="24"/>
        </w:rPr>
        <w:t xml:space="preserve"> for reviewing PBS statistics including through the volume of 60DD </w:t>
      </w:r>
      <w:r w:rsidR="00257AEF">
        <w:rPr>
          <w:rFonts w:cstheme="minorHAnsi"/>
          <w:sz w:val="24"/>
          <w:szCs w:val="24"/>
        </w:rPr>
        <w:t xml:space="preserve">prescriptions </w:t>
      </w:r>
      <w:r w:rsidR="00020B38" w:rsidRPr="00F22821">
        <w:rPr>
          <w:rFonts w:cstheme="minorHAnsi"/>
          <w:sz w:val="24"/>
          <w:szCs w:val="24"/>
        </w:rPr>
        <w:t>dispensed and the savings delivered to patients.</w:t>
      </w:r>
    </w:p>
    <w:sectPr w:rsidR="002336F4" w:rsidRPr="00F22821" w:rsidSect="0081525B">
      <w:headerReference w:type="even" r:id="rId11"/>
      <w:headerReference w:type="default" r:id="rId12"/>
      <w:footerReference w:type="even" r:id="rId13"/>
      <w:footerReference w:type="default" r:id="rId14"/>
      <w:headerReference w:type="first" r:id="rId15"/>
      <w:footerReference w:type="first" r:id="rId16"/>
      <w:pgSz w:w="11906" w:h="16838"/>
      <w:pgMar w:top="737" w:right="737" w:bottom="709" w:left="737" w:header="567" w:footer="5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BFB77" w16cex:dateUtc="2024-04-06T05:48:00Z"/>
  <w16cex:commentExtensible w16cex:durableId="29BA8D36" w16cex:dateUtc="2024-04-05T03:46:00Z"/>
  <w16cex:commentExtensible w16cex:durableId="29BA8DAB" w16cex:dateUtc="2024-04-05T03:48:00Z"/>
  <w16cex:commentExtensible w16cex:durableId="29BA8F1F" w16cex:dateUtc="2024-04-05T03:54:00Z"/>
  <w16cex:commentExtensible w16cex:durableId="29BA9111" w16cex:dateUtc="2024-04-05T04:02:00Z"/>
  <w16cex:commentExtensible w16cex:durableId="29BA917D" w16cex:dateUtc="2024-04-05T04:04:00Z"/>
  <w16cex:commentExtensible w16cex:durableId="29BA9190" w16cex:dateUtc="2024-04-05T04:04:00Z"/>
  <w16cex:commentExtensible w16cex:durableId="29BA920F" w16cex:dateUtc="2024-04-05T04:06:00Z"/>
  <w16cex:commentExtensible w16cex:durableId="29BA926A" w16cex:dateUtc="2024-04-05T04:08:00Z"/>
  <w16cex:commentExtensible w16cex:durableId="29BBFE45" w16cex:dateUtc="2024-04-06T06:00:00Z"/>
  <w16cex:commentExtensible w16cex:durableId="29BBFE68" w16cex:dateUtc="2024-04-06T06:01:00Z"/>
  <w16cex:commentExtensible w16cex:durableId="29BA92AF" w16cex:dateUtc="2024-04-05T04:09:00Z"/>
  <w16cex:commentExtensible w16cex:durableId="29BAA707" w16cex:dateUtc="2024-04-05T0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17FA3A" w16cid:durableId="29BBFB77"/>
  <w16cid:commentId w16cid:paraId="397451B4" w16cid:durableId="29BA8D36"/>
  <w16cid:commentId w16cid:paraId="63BEBC2F" w16cid:durableId="29BA8DAB"/>
  <w16cid:commentId w16cid:paraId="4BA09BF4" w16cid:durableId="29BA8F1F"/>
  <w16cid:commentId w16cid:paraId="27DCD68E" w16cid:durableId="29BA9111"/>
  <w16cid:commentId w16cid:paraId="602E5C5B" w16cid:durableId="29BA917D"/>
  <w16cid:commentId w16cid:paraId="4820E8C2" w16cid:durableId="29BA9190"/>
  <w16cid:commentId w16cid:paraId="61528A5F" w16cid:durableId="29BA920F"/>
  <w16cid:commentId w16cid:paraId="330AEB64" w16cid:durableId="29BA926A"/>
  <w16cid:commentId w16cid:paraId="73FE4FE0" w16cid:durableId="29BBFE45"/>
  <w16cid:commentId w16cid:paraId="471B2A69" w16cid:durableId="29BBFE68"/>
  <w16cid:commentId w16cid:paraId="2432068F" w16cid:durableId="29BA92AF"/>
  <w16cid:commentId w16cid:paraId="018DFA95" w16cid:durableId="29BAA7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4DA43" w14:textId="77777777" w:rsidR="003F5BDB" w:rsidRDefault="003F5BDB">
      <w:pPr>
        <w:spacing w:after="0" w:line="240" w:lineRule="auto"/>
      </w:pPr>
      <w:r>
        <w:separator/>
      </w:r>
    </w:p>
  </w:endnote>
  <w:endnote w:type="continuationSeparator" w:id="0">
    <w:p w14:paraId="1090D09E" w14:textId="77777777" w:rsidR="003F5BDB" w:rsidRDefault="003F5BDB">
      <w:pPr>
        <w:spacing w:after="0" w:line="240" w:lineRule="auto"/>
      </w:pPr>
      <w:r>
        <w:continuationSeparator/>
      </w:r>
    </w:p>
  </w:endnote>
  <w:endnote w:type="continuationNotice" w:id="1">
    <w:p w14:paraId="7BDF70E7" w14:textId="77777777" w:rsidR="003F5BDB" w:rsidRDefault="003F5B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BFACA" w14:textId="77777777" w:rsidR="000E089C" w:rsidRDefault="000E0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71908" w14:textId="77777777" w:rsidR="000E089C" w:rsidRDefault="000E0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8317" w14:textId="77777777" w:rsidR="000E089C" w:rsidRDefault="000E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06ABE" w14:textId="77777777" w:rsidR="003F5BDB" w:rsidRDefault="003F5BDB">
      <w:pPr>
        <w:spacing w:after="0" w:line="240" w:lineRule="auto"/>
      </w:pPr>
      <w:r>
        <w:separator/>
      </w:r>
    </w:p>
  </w:footnote>
  <w:footnote w:type="continuationSeparator" w:id="0">
    <w:p w14:paraId="1DA9D0BA" w14:textId="77777777" w:rsidR="003F5BDB" w:rsidRDefault="003F5BDB">
      <w:pPr>
        <w:spacing w:after="0" w:line="240" w:lineRule="auto"/>
      </w:pPr>
      <w:r>
        <w:continuationSeparator/>
      </w:r>
    </w:p>
  </w:footnote>
  <w:footnote w:type="continuationNotice" w:id="1">
    <w:p w14:paraId="593FE0FC" w14:textId="77777777" w:rsidR="003F5BDB" w:rsidRDefault="003F5BDB">
      <w:pPr>
        <w:spacing w:after="0" w:line="240" w:lineRule="auto"/>
      </w:pPr>
    </w:p>
  </w:footnote>
  <w:footnote w:id="2">
    <w:p w14:paraId="3935AB36" w14:textId="23AF79ED" w:rsidR="00814422" w:rsidRDefault="00814422">
      <w:pPr>
        <w:pStyle w:val="FootnoteText"/>
      </w:pPr>
      <w:r>
        <w:rPr>
          <w:rStyle w:val="FootnoteReference"/>
        </w:rPr>
        <w:footnoteRef/>
      </w:r>
      <w:r>
        <w:t xml:space="preserve"> </w:t>
      </w:r>
      <w:r w:rsidRPr="00250984">
        <w:t>www.health.gov.au/ministers/the-hon-mark-butler-mp/media/securing-cheaper-medicines-and-improved-patient-outcomes-through-8th-community-pharmacy-agreement?language=en</w:t>
      </w:r>
    </w:p>
  </w:footnote>
  <w:footnote w:id="3">
    <w:p w14:paraId="536709A2" w14:textId="77777777" w:rsidR="00814422" w:rsidRDefault="00814422" w:rsidP="00421FF5">
      <w:pPr>
        <w:pStyle w:val="FootnoteText"/>
      </w:pPr>
      <w:r>
        <w:rPr>
          <w:rStyle w:val="FootnoteReference"/>
        </w:rPr>
        <w:footnoteRef/>
      </w:r>
      <w:r>
        <w:t xml:space="preserve"> </w:t>
      </w:r>
      <w:r w:rsidRPr="00020B38">
        <w:t>www.pbs.gov.au/statistics/expenditure-prescriptions/2022-2023/PBS-Expenditure-prescriptions-report-2022-23.pdf</w:t>
      </w:r>
    </w:p>
  </w:footnote>
  <w:footnote w:id="4">
    <w:p w14:paraId="679CA11A" w14:textId="4BC3D2CA" w:rsidR="00814422" w:rsidRDefault="00814422">
      <w:pPr>
        <w:pStyle w:val="FootnoteText"/>
      </w:pPr>
      <w:r>
        <w:rPr>
          <w:rStyle w:val="FootnoteReference"/>
        </w:rPr>
        <w:footnoteRef/>
      </w:r>
      <w:r>
        <w:t xml:space="preserve"> </w:t>
      </w:r>
      <w:r w:rsidRPr="00020B38">
        <w:t>www.pbs.gov.au/statistics/expenditure-prescriptions/2022-2023/PBS-Expenditure-prescriptions-report-2022-23.pdf</w:t>
      </w:r>
    </w:p>
  </w:footnote>
  <w:footnote w:id="5">
    <w:p w14:paraId="34C3B101" w14:textId="77777777" w:rsidR="00814422" w:rsidRDefault="00814422" w:rsidP="00282DBA">
      <w:pPr>
        <w:pStyle w:val="FootnoteText"/>
      </w:pPr>
      <w:r>
        <w:rPr>
          <w:rStyle w:val="FootnoteReference"/>
        </w:rPr>
        <w:footnoteRef/>
      </w:r>
      <w:r>
        <w:t xml:space="preserve"> Final Report, Independent Review of Pharmacy Remuneration and Regulation, page 36.</w:t>
      </w:r>
    </w:p>
  </w:footnote>
  <w:footnote w:id="6">
    <w:p w14:paraId="0704C1E1" w14:textId="687219BC" w:rsidR="00814422" w:rsidRDefault="00814422">
      <w:pPr>
        <w:pStyle w:val="FootnoteText"/>
      </w:pPr>
      <w:r>
        <w:rPr>
          <w:rStyle w:val="FootnoteReference"/>
        </w:rPr>
        <w:footnoteRef/>
      </w:r>
      <w:r>
        <w:t xml:space="preserve"> Interim Report, Independent Review of Pharmacy Remuneration and Regulation, page 32.</w:t>
      </w:r>
    </w:p>
  </w:footnote>
  <w:footnote w:id="7">
    <w:p w14:paraId="03F5875F" w14:textId="77777777" w:rsidR="00ED654E" w:rsidRDefault="00ED654E" w:rsidP="00ED654E">
      <w:pPr>
        <w:pStyle w:val="FootnoteText"/>
      </w:pPr>
      <w:r>
        <w:rPr>
          <w:rStyle w:val="FootnoteReference"/>
        </w:rPr>
        <w:footnoteRef/>
      </w:r>
      <w:r>
        <w:t xml:space="preserve"> Final Report, Independent Review of Pharmacy Remuneration and Regulation, page 36.</w:t>
      </w:r>
    </w:p>
  </w:footnote>
  <w:footnote w:id="8">
    <w:p w14:paraId="65D178EE" w14:textId="77777777" w:rsidR="00814422" w:rsidRDefault="00814422" w:rsidP="00030E85">
      <w:pPr>
        <w:pStyle w:val="FootnoteText"/>
      </w:pPr>
      <w:r>
        <w:rPr>
          <w:rStyle w:val="FootnoteReference"/>
        </w:rPr>
        <w:footnoteRef/>
      </w:r>
      <w:r>
        <w:t xml:space="preserve"> </w:t>
      </w:r>
      <w:r w:rsidRPr="00250984">
        <w:t>www.health.gov.au/ministers/the-hon-mark-butler-mp/media/securing-cheaper-medicines-and-improved-patient-outcomes-through-8th-community-pharmacy-agreement?language=en</w:t>
      </w:r>
    </w:p>
  </w:footnote>
  <w:footnote w:id="9">
    <w:p w14:paraId="701BD0C2" w14:textId="2EC983F0" w:rsidR="009C4AFB" w:rsidRDefault="009C4AFB">
      <w:pPr>
        <w:pStyle w:val="FootnoteText"/>
      </w:pPr>
      <w:r>
        <w:rPr>
          <w:rStyle w:val="FootnoteReference"/>
        </w:rPr>
        <w:footnoteRef/>
      </w:r>
      <w:r>
        <w:t xml:space="preserve"> </w:t>
      </w:r>
      <w:hyperlink r:id="rId1" w:history="1">
        <w:r w:rsidRPr="00CB25D2">
          <w:rPr>
            <w:rStyle w:val="Hyperlink"/>
          </w:rPr>
          <w:t>www.guild.org.au/__data/assets/pdf_file/0011/132410/ergas-review.pdf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B09D" w14:textId="77777777" w:rsidR="000E089C" w:rsidRDefault="000E0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754F" w14:textId="77777777" w:rsidR="000E089C" w:rsidRDefault="000E0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F912F" w14:textId="77777777" w:rsidR="000E089C" w:rsidRDefault="000E0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55B"/>
    <w:multiLevelType w:val="hybridMultilevel"/>
    <w:tmpl w:val="9A1CCE32"/>
    <w:lvl w:ilvl="0" w:tplc="E81897FA">
      <w:start w:val="1"/>
      <w:numFmt w:val="bullet"/>
      <w:lvlText w:val="•"/>
      <w:lvlJc w:val="left"/>
      <w:pPr>
        <w:tabs>
          <w:tab w:val="num" w:pos="720"/>
        </w:tabs>
        <w:ind w:left="720" w:hanging="360"/>
      </w:pPr>
      <w:rPr>
        <w:rFonts w:ascii="Arial" w:hAnsi="Arial" w:hint="default"/>
      </w:rPr>
    </w:lvl>
    <w:lvl w:ilvl="1" w:tplc="B824EFBE">
      <w:start w:val="302"/>
      <w:numFmt w:val="bullet"/>
      <w:lvlText w:val="•"/>
      <w:lvlJc w:val="left"/>
      <w:pPr>
        <w:tabs>
          <w:tab w:val="num" w:pos="1440"/>
        </w:tabs>
        <w:ind w:left="1440" w:hanging="360"/>
      </w:pPr>
      <w:rPr>
        <w:rFonts w:ascii="Arial" w:hAnsi="Arial" w:hint="default"/>
      </w:rPr>
    </w:lvl>
    <w:lvl w:ilvl="2" w:tplc="05E46BCC" w:tentative="1">
      <w:start w:val="1"/>
      <w:numFmt w:val="bullet"/>
      <w:lvlText w:val="•"/>
      <w:lvlJc w:val="left"/>
      <w:pPr>
        <w:tabs>
          <w:tab w:val="num" w:pos="2160"/>
        </w:tabs>
        <w:ind w:left="2160" w:hanging="360"/>
      </w:pPr>
      <w:rPr>
        <w:rFonts w:ascii="Arial" w:hAnsi="Arial" w:hint="default"/>
      </w:rPr>
    </w:lvl>
    <w:lvl w:ilvl="3" w:tplc="014E4E16" w:tentative="1">
      <w:start w:val="1"/>
      <w:numFmt w:val="bullet"/>
      <w:lvlText w:val="•"/>
      <w:lvlJc w:val="left"/>
      <w:pPr>
        <w:tabs>
          <w:tab w:val="num" w:pos="2880"/>
        </w:tabs>
        <w:ind w:left="2880" w:hanging="360"/>
      </w:pPr>
      <w:rPr>
        <w:rFonts w:ascii="Arial" w:hAnsi="Arial" w:hint="default"/>
      </w:rPr>
    </w:lvl>
    <w:lvl w:ilvl="4" w:tplc="1DEA140C" w:tentative="1">
      <w:start w:val="1"/>
      <w:numFmt w:val="bullet"/>
      <w:lvlText w:val="•"/>
      <w:lvlJc w:val="left"/>
      <w:pPr>
        <w:tabs>
          <w:tab w:val="num" w:pos="3600"/>
        </w:tabs>
        <w:ind w:left="3600" w:hanging="360"/>
      </w:pPr>
      <w:rPr>
        <w:rFonts w:ascii="Arial" w:hAnsi="Arial" w:hint="default"/>
      </w:rPr>
    </w:lvl>
    <w:lvl w:ilvl="5" w:tplc="65DC328C" w:tentative="1">
      <w:start w:val="1"/>
      <w:numFmt w:val="bullet"/>
      <w:lvlText w:val="•"/>
      <w:lvlJc w:val="left"/>
      <w:pPr>
        <w:tabs>
          <w:tab w:val="num" w:pos="4320"/>
        </w:tabs>
        <w:ind w:left="4320" w:hanging="360"/>
      </w:pPr>
      <w:rPr>
        <w:rFonts w:ascii="Arial" w:hAnsi="Arial" w:hint="default"/>
      </w:rPr>
    </w:lvl>
    <w:lvl w:ilvl="6" w:tplc="6FC4459E" w:tentative="1">
      <w:start w:val="1"/>
      <w:numFmt w:val="bullet"/>
      <w:lvlText w:val="•"/>
      <w:lvlJc w:val="left"/>
      <w:pPr>
        <w:tabs>
          <w:tab w:val="num" w:pos="5040"/>
        </w:tabs>
        <w:ind w:left="5040" w:hanging="360"/>
      </w:pPr>
      <w:rPr>
        <w:rFonts w:ascii="Arial" w:hAnsi="Arial" w:hint="default"/>
      </w:rPr>
    </w:lvl>
    <w:lvl w:ilvl="7" w:tplc="2E168240" w:tentative="1">
      <w:start w:val="1"/>
      <w:numFmt w:val="bullet"/>
      <w:lvlText w:val="•"/>
      <w:lvlJc w:val="left"/>
      <w:pPr>
        <w:tabs>
          <w:tab w:val="num" w:pos="5760"/>
        </w:tabs>
        <w:ind w:left="5760" w:hanging="360"/>
      </w:pPr>
      <w:rPr>
        <w:rFonts w:ascii="Arial" w:hAnsi="Arial" w:hint="default"/>
      </w:rPr>
    </w:lvl>
    <w:lvl w:ilvl="8" w:tplc="54B078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4812DF"/>
    <w:multiLevelType w:val="hybridMultilevel"/>
    <w:tmpl w:val="3B4E7ECC"/>
    <w:lvl w:ilvl="0" w:tplc="D6AE627A">
      <w:start w:val="1"/>
      <w:numFmt w:val="bullet"/>
      <w:lvlText w:val=""/>
      <w:lvlJc w:val="left"/>
      <w:pPr>
        <w:tabs>
          <w:tab w:val="num" w:pos="720"/>
        </w:tabs>
        <w:ind w:left="720" w:hanging="360"/>
      </w:pPr>
      <w:rPr>
        <w:rFonts w:ascii="Wingdings" w:hAnsi="Wingdings" w:hint="default"/>
      </w:rPr>
    </w:lvl>
    <w:lvl w:ilvl="1" w:tplc="6390F3E6">
      <w:start w:val="1"/>
      <w:numFmt w:val="bullet"/>
      <w:lvlText w:val=""/>
      <w:lvlJc w:val="left"/>
      <w:pPr>
        <w:tabs>
          <w:tab w:val="num" w:pos="1440"/>
        </w:tabs>
        <w:ind w:left="1440" w:hanging="360"/>
      </w:pPr>
      <w:rPr>
        <w:rFonts w:ascii="Wingdings" w:hAnsi="Wingdings" w:hint="default"/>
      </w:rPr>
    </w:lvl>
    <w:lvl w:ilvl="2" w:tplc="5C8A9E6A" w:tentative="1">
      <w:start w:val="1"/>
      <w:numFmt w:val="bullet"/>
      <w:lvlText w:val=""/>
      <w:lvlJc w:val="left"/>
      <w:pPr>
        <w:tabs>
          <w:tab w:val="num" w:pos="2160"/>
        </w:tabs>
        <w:ind w:left="2160" w:hanging="360"/>
      </w:pPr>
      <w:rPr>
        <w:rFonts w:ascii="Wingdings" w:hAnsi="Wingdings" w:hint="default"/>
      </w:rPr>
    </w:lvl>
    <w:lvl w:ilvl="3" w:tplc="F51A9C0E" w:tentative="1">
      <w:start w:val="1"/>
      <w:numFmt w:val="bullet"/>
      <w:lvlText w:val=""/>
      <w:lvlJc w:val="left"/>
      <w:pPr>
        <w:tabs>
          <w:tab w:val="num" w:pos="2880"/>
        </w:tabs>
        <w:ind w:left="2880" w:hanging="360"/>
      </w:pPr>
      <w:rPr>
        <w:rFonts w:ascii="Wingdings" w:hAnsi="Wingdings" w:hint="default"/>
      </w:rPr>
    </w:lvl>
    <w:lvl w:ilvl="4" w:tplc="43F4449C" w:tentative="1">
      <w:start w:val="1"/>
      <w:numFmt w:val="bullet"/>
      <w:lvlText w:val=""/>
      <w:lvlJc w:val="left"/>
      <w:pPr>
        <w:tabs>
          <w:tab w:val="num" w:pos="3600"/>
        </w:tabs>
        <w:ind w:left="3600" w:hanging="360"/>
      </w:pPr>
      <w:rPr>
        <w:rFonts w:ascii="Wingdings" w:hAnsi="Wingdings" w:hint="default"/>
      </w:rPr>
    </w:lvl>
    <w:lvl w:ilvl="5" w:tplc="8988A92C" w:tentative="1">
      <w:start w:val="1"/>
      <w:numFmt w:val="bullet"/>
      <w:lvlText w:val=""/>
      <w:lvlJc w:val="left"/>
      <w:pPr>
        <w:tabs>
          <w:tab w:val="num" w:pos="4320"/>
        </w:tabs>
        <w:ind w:left="4320" w:hanging="360"/>
      </w:pPr>
      <w:rPr>
        <w:rFonts w:ascii="Wingdings" w:hAnsi="Wingdings" w:hint="default"/>
      </w:rPr>
    </w:lvl>
    <w:lvl w:ilvl="6" w:tplc="6A28E15A" w:tentative="1">
      <w:start w:val="1"/>
      <w:numFmt w:val="bullet"/>
      <w:lvlText w:val=""/>
      <w:lvlJc w:val="left"/>
      <w:pPr>
        <w:tabs>
          <w:tab w:val="num" w:pos="5040"/>
        </w:tabs>
        <w:ind w:left="5040" w:hanging="360"/>
      </w:pPr>
      <w:rPr>
        <w:rFonts w:ascii="Wingdings" w:hAnsi="Wingdings" w:hint="default"/>
      </w:rPr>
    </w:lvl>
    <w:lvl w:ilvl="7" w:tplc="EB5E0882" w:tentative="1">
      <w:start w:val="1"/>
      <w:numFmt w:val="bullet"/>
      <w:lvlText w:val=""/>
      <w:lvlJc w:val="left"/>
      <w:pPr>
        <w:tabs>
          <w:tab w:val="num" w:pos="5760"/>
        </w:tabs>
        <w:ind w:left="5760" w:hanging="360"/>
      </w:pPr>
      <w:rPr>
        <w:rFonts w:ascii="Wingdings" w:hAnsi="Wingdings" w:hint="default"/>
      </w:rPr>
    </w:lvl>
    <w:lvl w:ilvl="8" w:tplc="CED2CD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96345C"/>
    <w:multiLevelType w:val="hybridMultilevel"/>
    <w:tmpl w:val="D00632B6"/>
    <w:lvl w:ilvl="0" w:tplc="F50A4798">
      <w:start w:val="1"/>
      <w:numFmt w:val="bullet"/>
      <w:lvlText w:val="•"/>
      <w:lvlJc w:val="left"/>
      <w:pPr>
        <w:tabs>
          <w:tab w:val="num" w:pos="720"/>
        </w:tabs>
        <w:ind w:left="720" w:hanging="360"/>
      </w:pPr>
      <w:rPr>
        <w:rFonts w:ascii="Arial" w:hAnsi="Arial" w:hint="default"/>
      </w:rPr>
    </w:lvl>
    <w:lvl w:ilvl="1" w:tplc="FB22CF24">
      <w:start w:val="302"/>
      <w:numFmt w:val="bullet"/>
      <w:lvlText w:val="•"/>
      <w:lvlJc w:val="left"/>
      <w:pPr>
        <w:tabs>
          <w:tab w:val="num" w:pos="1440"/>
        </w:tabs>
        <w:ind w:left="1440" w:hanging="360"/>
      </w:pPr>
      <w:rPr>
        <w:rFonts w:ascii="Arial" w:hAnsi="Arial" w:hint="default"/>
      </w:rPr>
    </w:lvl>
    <w:lvl w:ilvl="2" w:tplc="39B64930" w:tentative="1">
      <w:start w:val="1"/>
      <w:numFmt w:val="bullet"/>
      <w:lvlText w:val="•"/>
      <w:lvlJc w:val="left"/>
      <w:pPr>
        <w:tabs>
          <w:tab w:val="num" w:pos="2160"/>
        </w:tabs>
        <w:ind w:left="2160" w:hanging="360"/>
      </w:pPr>
      <w:rPr>
        <w:rFonts w:ascii="Arial" w:hAnsi="Arial" w:hint="default"/>
      </w:rPr>
    </w:lvl>
    <w:lvl w:ilvl="3" w:tplc="10E81C2A" w:tentative="1">
      <w:start w:val="1"/>
      <w:numFmt w:val="bullet"/>
      <w:lvlText w:val="•"/>
      <w:lvlJc w:val="left"/>
      <w:pPr>
        <w:tabs>
          <w:tab w:val="num" w:pos="2880"/>
        </w:tabs>
        <w:ind w:left="2880" w:hanging="360"/>
      </w:pPr>
      <w:rPr>
        <w:rFonts w:ascii="Arial" w:hAnsi="Arial" w:hint="default"/>
      </w:rPr>
    </w:lvl>
    <w:lvl w:ilvl="4" w:tplc="FB36F122" w:tentative="1">
      <w:start w:val="1"/>
      <w:numFmt w:val="bullet"/>
      <w:lvlText w:val="•"/>
      <w:lvlJc w:val="left"/>
      <w:pPr>
        <w:tabs>
          <w:tab w:val="num" w:pos="3600"/>
        </w:tabs>
        <w:ind w:left="3600" w:hanging="360"/>
      </w:pPr>
      <w:rPr>
        <w:rFonts w:ascii="Arial" w:hAnsi="Arial" w:hint="default"/>
      </w:rPr>
    </w:lvl>
    <w:lvl w:ilvl="5" w:tplc="2462499C" w:tentative="1">
      <w:start w:val="1"/>
      <w:numFmt w:val="bullet"/>
      <w:lvlText w:val="•"/>
      <w:lvlJc w:val="left"/>
      <w:pPr>
        <w:tabs>
          <w:tab w:val="num" w:pos="4320"/>
        </w:tabs>
        <w:ind w:left="4320" w:hanging="360"/>
      </w:pPr>
      <w:rPr>
        <w:rFonts w:ascii="Arial" w:hAnsi="Arial" w:hint="default"/>
      </w:rPr>
    </w:lvl>
    <w:lvl w:ilvl="6" w:tplc="4D96D0E2" w:tentative="1">
      <w:start w:val="1"/>
      <w:numFmt w:val="bullet"/>
      <w:lvlText w:val="•"/>
      <w:lvlJc w:val="left"/>
      <w:pPr>
        <w:tabs>
          <w:tab w:val="num" w:pos="5040"/>
        </w:tabs>
        <w:ind w:left="5040" w:hanging="360"/>
      </w:pPr>
      <w:rPr>
        <w:rFonts w:ascii="Arial" w:hAnsi="Arial" w:hint="default"/>
      </w:rPr>
    </w:lvl>
    <w:lvl w:ilvl="7" w:tplc="E9D89AAC" w:tentative="1">
      <w:start w:val="1"/>
      <w:numFmt w:val="bullet"/>
      <w:lvlText w:val="•"/>
      <w:lvlJc w:val="left"/>
      <w:pPr>
        <w:tabs>
          <w:tab w:val="num" w:pos="5760"/>
        </w:tabs>
        <w:ind w:left="5760" w:hanging="360"/>
      </w:pPr>
      <w:rPr>
        <w:rFonts w:ascii="Arial" w:hAnsi="Arial" w:hint="default"/>
      </w:rPr>
    </w:lvl>
    <w:lvl w:ilvl="8" w:tplc="2A8482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565847"/>
    <w:multiLevelType w:val="hybridMultilevel"/>
    <w:tmpl w:val="E35E4976"/>
    <w:lvl w:ilvl="0" w:tplc="A76EC528">
      <w:start w:val="1"/>
      <w:numFmt w:val="bullet"/>
      <w:lvlText w:val=""/>
      <w:lvlJc w:val="left"/>
      <w:pPr>
        <w:tabs>
          <w:tab w:val="num" w:pos="720"/>
        </w:tabs>
        <w:ind w:left="720" w:hanging="360"/>
      </w:pPr>
      <w:rPr>
        <w:rFonts w:ascii="Wingdings" w:hAnsi="Wingdings" w:hint="default"/>
      </w:rPr>
    </w:lvl>
    <w:lvl w:ilvl="1" w:tplc="2E6E78D8">
      <w:start w:val="1"/>
      <w:numFmt w:val="bullet"/>
      <w:lvlText w:val=""/>
      <w:lvlJc w:val="left"/>
      <w:pPr>
        <w:tabs>
          <w:tab w:val="num" w:pos="1440"/>
        </w:tabs>
        <w:ind w:left="1440" w:hanging="360"/>
      </w:pPr>
      <w:rPr>
        <w:rFonts w:ascii="Wingdings" w:hAnsi="Wingdings" w:hint="default"/>
      </w:rPr>
    </w:lvl>
    <w:lvl w:ilvl="2" w:tplc="78109B9A" w:tentative="1">
      <w:start w:val="1"/>
      <w:numFmt w:val="bullet"/>
      <w:lvlText w:val=""/>
      <w:lvlJc w:val="left"/>
      <w:pPr>
        <w:tabs>
          <w:tab w:val="num" w:pos="2160"/>
        </w:tabs>
        <w:ind w:left="2160" w:hanging="360"/>
      </w:pPr>
      <w:rPr>
        <w:rFonts w:ascii="Wingdings" w:hAnsi="Wingdings" w:hint="default"/>
      </w:rPr>
    </w:lvl>
    <w:lvl w:ilvl="3" w:tplc="E4CE3F26" w:tentative="1">
      <w:start w:val="1"/>
      <w:numFmt w:val="bullet"/>
      <w:lvlText w:val=""/>
      <w:lvlJc w:val="left"/>
      <w:pPr>
        <w:tabs>
          <w:tab w:val="num" w:pos="2880"/>
        </w:tabs>
        <w:ind w:left="2880" w:hanging="360"/>
      </w:pPr>
      <w:rPr>
        <w:rFonts w:ascii="Wingdings" w:hAnsi="Wingdings" w:hint="default"/>
      </w:rPr>
    </w:lvl>
    <w:lvl w:ilvl="4" w:tplc="ED2EC262" w:tentative="1">
      <w:start w:val="1"/>
      <w:numFmt w:val="bullet"/>
      <w:lvlText w:val=""/>
      <w:lvlJc w:val="left"/>
      <w:pPr>
        <w:tabs>
          <w:tab w:val="num" w:pos="3600"/>
        </w:tabs>
        <w:ind w:left="3600" w:hanging="360"/>
      </w:pPr>
      <w:rPr>
        <w:rFonts w:ascii="Wingdings" w:hAnsi="Wingdings" w:hint="default"/>
      </w:rPr>
    </w:lvl>
    <w:lvl w:ilvl="5" w:tplc="A9AA7F30" w:tentative="1">
      <w:start w:val="1"/>
      <w:numFmt w:val="bullet"/>
      <w:lvlText w:val=""/>
      <w:lvlJc w:val="left"/>
      <w:pPr>
        <w:tabs>
          <w:tab w:val="num" w:pos="4320"/>
        </w:tabs>
        <w:ind w:left="4320" w:hanging="360"/>
      </w:pPr>
      <w:rPr>
        <w:rFonts w:ascii="Wingdings" w:hAnsi="Wingdings" w:hint="default"/>
      </w:rPr>
    </w:lvl>
    <w:lvl w:ilvl="6" w:tplc="E860470E" w:tentative="1">
      <w:start w:val="1"/>
      <w:numFmt w:val="bullet"/>
      <w:lvlText w:val=""/>
      <w:lvlJc w:val="left"/>
      <w:pPr>
        <w:tabs>
          <w:tab w:val="num" w:pos="5040"/>
        </w:tabs>
        <w:ind w:left="5040" w:hanging="360"/>
      </w:pPr>
      <w:rPr>
        <w:rFonts w:ascii="Wingdings" w:hAnsi="Wingdings" w:hint="default"/>
      </w:rPr>
    </w:lvl>
    <w:lvl w:ilvl="7" w:tplc="71649948" w:tentative="1">
      <w:start w:val="1"/>
      <w:numFmt w:val="bullet"/>
      <w:lvlText w:val=""/>
      <w:lvlJc w:val="left"/>
      <w:pPr>
        <w:tabs>
          <w:tab w:val="num" w:pos="5760"/>
        </w:tabs>
        <w:ind w:left="5760" w:hanging="360"/>
      </w:pPr>
      <w:rPr>
        <w:rFonts w:ascii="Wingdings" w:hAnsi="Wingdings" w:hint="default"/>
      </w:rPr>
    </w:lvl>
    <w:lvl w:ilvl="8" w:tplc="0AC6A46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8043E6"/>
    <w:multiLevelType w:val="hybridMultilevel"/>
    <w:tmpl w:val="2C96DA96"/>
    <w:lvl w:ilvl="0" w:tplc="944E1A4A">
      <w:start w:val="1"/>
      <w:numFmt w:val="bullet"/>
      <w:lvlText w:val=""/>
      <w:lvlJc w:val="left"/>
      <w:pPr>
        <w:ind w:left="360" w:hanging="360"/>
      </w:pPr>
      <w:rPr>
        <w:rFonts w:ascii="Symbol" w:hAnsi="Symbol" w:hint="default"/>
      </w:rPr>
    </w:lvl>
    <w:lvl w:ilvl="1" w:tplc="D3641DD2">
      <w:start w:val="1"/>
      <w:numFmt w:val="bullet"/>
      <w:lvlText w:val="o"/>
      <w:lvlJc w:val="left"/>
      <w:pPr>
        <w:ind w:left="1080" w:hanging="360"/>
      </w:pPr>
      <w:rPr>
        <w:rFonts w:ascii="Courier New" w:hAnsi="Courier New" w:cs="Courier New" w:hint="default"/>
      </w:rPr>
    </w:lvl>
    <w:lvl w:ilvl="2" w:tplc="560A5842">
      <w:start w:val="1"/>
      <w:numFmt w:val="bullet"/>
      <w:lvlText w:val=""/>
      <w:lvlJc w:val="left"/>
      <w:pPr>
        <w:ind w:left="1800" w:hanging="360"/>
      </w:pPr>
      <w:rPr>
        <w:rFonts w:ascii="Wingdings" w:hAnsi="Wingdings" w:hint="default"/>
      </w:rPr>
    </w:lvl>
    <w:lvl w:ilvl="3" w:tplc="43B4B5A6">
      <w:start w:val="1"/>
      <w:numFmt w:val="bullet"/>
      <w:lvlText w:val=""/>
      <w:lvlJc w:val="left"/>
      <w:pPr>
        <w:ind w:left="2520" w:hanging="360"/>
      </w:pPr>
      <w:rPr>
        <w:rFonts w:ascii="Symbol" w:hAnsi="Symbol" w:hint="default"/>
      </w:rPr>
    </w:lvl>
    <w:lvl w:ilvl="4" w:tplc="2FFE93DA">
      <w:start w:val="1"/>
      <w:numFmt w:val="bullet"/>
      <w:lvlText w:val="o"/>
      <w:lvlJc w:val="left"/>
      <w:pPr>
        <w:ind w:left="3240" w:hanging="360"/>
      </w:pPr>
      <w:rPr>
        <w:rFonts w:ascii="Courier New" w:hAnsi="Courier New" w:cs="Courier New" w:hint="default"/>
      </w:rPr>
    </w:lvl>
    <w:lvl w:ilvl="5" w:tplc="9D9002F6">
      <w:start w:val="1"/>
      <w:numFmt w:val="bullet"/>
      <w:lvlText w:val=""/>
      <w:lvlJc w:val="left"/>
      <w:pPr>
        <w:ind w:left="3960" w:hanging="360"/>
      </w:pPr>
      <w:rPr>
        <w:rFonts w:ascii="Wingdings" w:hAnsi="Wingdings" w:hint="default"/>
      </w:rPr>
    </w:lvl>
    <w:lvl w:ilvl="6" w:tplc="FFBC915E">
      <w:start w:val="1"/>
      <w:numFmt w:val="bullet"/>
      <w:lvlText w:val=""/>
      <w:lvlJc w:val="left"/>
      <w:pPr>
        <w:ind w:left="4680" w:hanging="360"/>
      </w:pPr>
      <w:rPr>
        <w:rFonts w:ascii="Symbol" w:hAnsi="Symbol" w:hint="default"/>
      </w:rPr>
    </w:lvl>
    <w:lvl w:ilvl="7" w:tplc="357E9BB0">
      <w:start w:val="1"/>
      <w:numFmt w:val="bullet"/>
      <w:lvlText w:val="o"/>
      <w:lvlJc w:val="left"/>
      <w:pPr>
        <w:ind w:left="5400" w:hanging="360"/>
      </w:pPr>
      <w:rPr>
        <w:rFonts w:ascii="Courier New" w:hAnsi="Courier New" w:cs="Courier New" w:hint="default"/>
      </w:rPr>
    </w:lvl>
    <w:lvl w:ilvl="8" w:tplc="1B808434">
      <w:start w:val="1"/>
      <w:numFmt w:val="bullet"/>
      <w:lvlText w:val=""/>
      <w:lvlJc w:val="left"/>
      <w:pPr>
        <w:ind w:left="6120" w:hanging="360"/>
      </w:pPr>
      <w:rPr>
        <w:rFonts w:ascii="Wingdings" w:hAnsi="Wingdings" w:hint="default"/>
      </w:rPr>
    </w:lvl>
  </w:abstractNum>
  <w:abstractNum w:abstractNumId="5" w15:restartNumberingAfterBreak="0">
    <w:nsid w:val="656825E9"/>
    <w:multiLevelType w:val="hybridMultilevel"/>
    <w:tmpl w:val="26FCF184"/>
    <w:lvl w:ilvl="0" w:tplc="3FAE8AF4">
      <w:numFmt w:val="bullet"/>
      <w:lvlText w:val="•"/>
      <w:lvlJc w:val="left"/>
      <w:pPr>
        <w:ind w:left="360" w:hanging="360"/>
      </w:pPr>
      <w:rPr>
        <w:rFonts w:asciiTheme="minorHAnsi" w:eastAsiaTheme="minorHAnsi" w:hAnsiTheme="minorHAns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5692F9D"/>
    <w:multiLevelType w:val="hybridMultilevel"/>
    <w:tmpl w:val="84BCACCA"/>
    <w:lvl w:ilvl="0" w:tplc="41409B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DD3C1A"/>
    <w:multiLevelType w:val="hybridMultilevel"/>
    <w:tmpl w:val="87E6F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1"/>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6C"/>
    <w:rsid w:val="00001025"/>
    <w:rsid w:val="000144E2"/>
    <w:rsid w:val="00020B36"/>
    <w:rsid w:val="00020B38"/>
    <w:rsid w:val="000269A2"/>
    <w:rsid w:val="0002744D"/>
    <w:rsid w:val="00030E85"/>
    <w:rsid w:val="00033824"/>
    <w:rsid w:val="00037972"/>
    <w:rsid w:val="00044606"/>
    <w:rsid w:val="000645FB"/>
    <w:rsid w:val="000774F8"/>
    <w:rsid w:val="00080697"/>
    <w:rsid w:val="00086A15"/>
    <w:rsid w:val="00090965"/>
    <w:rsid w:val="00090AB2"/>
    <w:rsid w:val="0009264A"/>
    <w:rsid w:val="000A1517"/>
    <w:rsid w:val="000A7750"/>
    <w:rsid w:val="000B6111"/>
    <w:rsid w:val="000B7879"/>
    <w:rsid w:val="000C6B7A"/>
    <w:rsid w:val="000E089C"/>
    <w:rsid w:val="000E1C50"/>
    <w:rsid w:val="000E1C8B"/>
    <w:rsid w:val="000E1D58"/>
    <w:rsid w:val="000E4873"/>
    <w:rsid w:val="000F1431"/>
    <w:rsid w:val="000F4BCE"/>
    <w:rsid w:val="000F5C65"/>
    <w:rsid w:val="000F7DA7"/>
    <w:rsid w:val="00102A6E"/>
    <w:rsid w:val="001034F5"/>
    <w:rsid w:val="0010646F"/>
    <w:rsid w:val="001074CD"/>
    <w:rsid w:val="00113DFF"/>
    <w:rsid w:val="00117093"/>
    <w:rsid w:val="00122F19"/>
    <w:rsid w:val="00133C96"/>
    <w:rsid w:val="00136E55"/>
    <w:rsid w:val="001522F4"/>
    <w:rsid w:val="00152CA7"/>
    <w:rsid w:val="00153C95"/>
    <w:rsid w:val="001631BD"/>
    <w:rsid w:val="00164424"/>
    <w:rsid w:val="00166E19"/>
    <w:rsid w:val="0018044C"/>
    <w:rsid w:val="00191FEC"/>
    <w:rsid w:val="00194D97"/>
    <w:rsid w:val="001A1ABF"/>
    <w:rsid w:val="001A4EA9"/>
    <w:rsid w:val="001A79B1"/>
    <w:rsid w:val="001B5246"/>
    <w:rsid w:val="001B727B"/>
    <w:rsid w:val="001B7D1F"/>
    <w:rsid w:val="001B7E27"/>
    <w:rsid w:val="001D324D"/>
    <w:rsid w:val="001D3DF1"/>
    <w:rsid w:val="001E2260"/>
    <w:rsid w:val="001E45E4"/>
    <w:rsid w:val="001E5BB4"/>
    <w:rsid w:val="001F36ED"/>
    <w:rsid w:val="001F4F63"/>
    <w:rsid w:val="001F69E0"/>
    <w:rsid w:val="002015E4"/>
    <w:rsid w:val="002019D2"/>
    <w:rsid w:val="002112DD"/>
    <w:rsid w:val="002133EB"/>
    <w:rsid w:val="00233407"/>
    <w:rsid w:val="002336F4"/>
    <w:rsid w:val="002365FE"/>
    <w:rsid w:val="0024314F"/>
    <w:rsid w:val="00244063"/>
    <w:rsid w:val="0024640F"/>
    <w:rsid w:val="00250984"/>
    <w:rsid w:val="00251CA3"/>
    <w:rsid w:val="00257AEF"/>
    <w:rsid w:val="002615B7"/>
    <w:rsid w:val="002626D5"/>
    <w:rsid w:val="00263C65"/>
    <w:rsid w:val="00277B26"/>
    <w:rsid w:val="00280050"/>
    <w:rsid w:val="00280F0E"/>
    <w:rsid w:val="00282DBA"/>
    <w:rsid w:val="00286972"/>
    <w:rsid w:val="00286D94"/>
    <w:rsid w:val="00287B37"/>
    <w:rsid w:val="002A1DEA"/>
    <w:rsid w:val="002A4F09"/>
    <w:rsid w:val="002A5DEA"/>
    <w:rsid w:val="002B076E"/>
    <w:rsid w:val="002D0A06"/>
    <w:rsid w:val="002D3013"/>
    <w:rsid w:val="002D5981"/>
    <w:rsid w:val="002D74E4"/>
    <w:rsid w:val="002D775C"/>
    <w:rsid w:val="002F4D3E"/>
    <w:rsid w:val="00301919"/>
    <w:rsid w:val="0030467E"/>
    <w:rsid w:val="0030497B"/>
    <w:rsid w:val="00305058"/>
    <w:rsid w:val="00305744"/>
    <w:rsid w:val="0030774C"/>
    <w:rsid w:val="00320002"/>
    <w:rsid w:val="00332CC2"/>
    <w:rsid w:val="003351A5"/>
    <w:rsid w:val="00336845"/>
    <w:rsid w:val="00336F86"/>
    <w:rsid w:val="00342915"/>
    <w:rsid w:val="00345163"/>
    <w:rsid w:val="00353491"/>
    <w:rsid w:val="00353855"/>
    <w:rsid w:val="00353D6C"/>
    <w:rsid w:val="00355178"/>
    <w:rsid w:val="003577C0"/>
    <w:rsid w:val="00361DFC"/>
    <w:rsid w:val="00364ADF"/>
    <w:rsid w:val="00364B8B"/>
    <w:rsid w:val="0037037F"/>
    <w:rsid w:val="003741C9"/>
    <w:rsid w:val="00376532"/>
    <w:rsid w:val="0038527B"/>
    <w:rsid w:val="003856C8"/>
    <w:rsid w:val="003918D7"/>
    <w:rsid w:val="00397C8C"/>
    <w:rsid w:val="003A3E18"/>
    <w:rsid w:val="003A7CF4"/>
    <w:rsid w:val="003B703E"/>
    <w:rsid w:val="003C064B"/>
    <w:rsid w:val="003C3E5F"/>
    <w:rsid w:val="003C5469"/>
    <w:rsid w:val="003D06CE"/>
    <w:rsid w:val="003D4B64"/>
    <w:rsid w:val="003E14AC"/>
    <w:rsid w:val="003F5BDB"/>
    <w:rsid w:val="00414E2B"/>
    <w:rsid w:val="00420D26"/>
    <w:rsid w:val="00421FF5"/>
    <w:rsid w:val="0043029C"/>
    <w:rsid w:val="00445DD2"/>
    <w:rsid w:val="00451F58"/>
    <w:rsid w:val="00457B5D"/>
    <w:rsid w:val="004627A9"/>
    <w:rsid w:val="004655B6"/>
    <w:rsid w:val="00467BAF"/>
    <w:rsid w:val="00472958"/>
    <w:rsid w:val="00473F8F"/>
    <w:rsid w:val="00474F9D"/>
    <w:rsid w:val="004A4AC8"/>
    <w:rsid w:val="004A72E9"/>
    <w:rsid w:val="004A79BE"/>
    <w:rsid w:val="004B0108"/>
    <w:rsid w:val="004B1983"/>
    <w:rsid w:val="004C4A1C"/>
    <w:rsid w:val="004D05F2"/>
    <w:rsid w:val="004D0BE3"/>
    <w:rsid w:val="004D169F"/>
    <w:rsid w:val="004E6E60"/>
    <w:rsid w:val="004E7C6E"/>
    <w:rsid w:val="004F4FD2"/>
    <w:rsid w:val="00502274"/>
    <w:rsid w:val="00505D17"/>
    <w:rsid w:val="00520EC3"/>
    <w:rsid w:val="00524ACA"/>
    <w:rsid w:val="00534D5C"/>
    <w:rsid w:val="00537DCB"/>
    <w:rsid w:val="0054359A"/>
    <w:rsid w:val="00552A32"/>
    <w:rsid w:val="00554E57"/>
    <w:rsid w:val="005624B5"/>
    <w:rsid w:val="0056512C"/>
    <w:rsid w:val="00567E9F"/>
    <w:rsid w:val="005701F1"/>
    <w:rsid w:val="00570BD5"/>
    <w:rsid w:val="005731DD"/>
    <w:rsid w:val="0057743A"/>
    <w:rsid w:val="00587359"/>
    <w:rsid w:val="0059141B"/>
    <w:rsid w:val="00597DB9"/>
    <w:rsid w:val="005A1EB4"/>
    <w:rsid w:val="005A2882"/>
    <w:rsid w:val="005A3E15"/>
    <w:rsid w:val="005A50A0"/>
    <w:rsid w:val="005B4728"/>
    <w:rsid w:val="005B4973"/>
    <w:rsid w:val="005B64C0"/>
    <w:rsid w:val="005C0C23"/>
    <w:rsid w:val="005C5C78"/>
    <w:rsid w:val="005D52B5"/>
    <w:rsid w:val="005E2E04"/>
    <w:rsid w:val="005F1FA6"/>
    <w:rsid w:val="005F48D0"/>
    <w:rsid w:val="005F558E"/>
    <w:rsid w:val="005F6AD7"/>
    <w:rsid w:val="00610972"/>
    <w:rsid w:val="00611346"/>
    <w:rsid w:val="00613D70"/>
    <w:rsid w:val="0062074F"/>
    <w:rsid w:val="00622512"/>
    <w:rsid w:val="006374BE"/>
    <w:rsid w:val="00644126"/>
    <w:rsid w:val="00644F73"/>
    <w:rsid w:val="00653D54"/>
    <w:rsid w:val="00661251"/>
    <w:rsid w:val="00663658"/>
    <w:rsid w:val="00670C29"/>
    <w:rsid w:val="00671B5A"/>
    <w:rsid w:val="00673172"/>
    <w:rsid w:val="006810D2"/>
    <w:rsid w:val="00682608"/>
    <w:rsid w:val="006862D8"/>
    <w:rsid w:val="00687429"/>
    <w:rsid w:val="00697CC3"/>
    <w:rsid w:val="006A175B"/>
    <w:rsid w:val="006C37DF"/>
    <w:rsid w:val="006C4C2F"/>
    <w:rsid w:val="006C5C89"/>
    <w:rsid w:val="006E1444"/>
    <w:rsid w:val="006F19AA"/>
    <w:rsid w:val="006F19C5"/>
    <w:rsid w:val="00700987"/>
    <w:rsid w:val="00703C7A"/>
    <w:rsid w:val="0072606A"/>
    <w:rsid w:val="00727D28"/>
    <w:rsid w:val="007323FD"/>
    <w:rsid w:val="007423F0"/>
    <w:rsid w:val="00751EC2"/>
    <w:rsid w:val="0076291F"/>
    <w:rsid w:val="00764889"/>
    <w:rsid w:val="00765D54"/>
    <w:rsid w:val="00765D72"/>
    <w:rsid w:val="007806C9"/>
    <w:rsid w:val="007938AE"/>
    <w:rsid w:val="007938D6"/>
    <w:rsid w:val="00793D6D"/>
    <w:rsid w:val="007A1AC7"/>
    <w:rsid w:val="007A278C"/>
    <w:rsid w:val="007A4008"/>
    <w:rsid w:val="007A636F"/>
    <w:rsid w:val="007B77E9"/>
    <w:rsid w:val="007C0408"/>
    <w:rsid w:val="007C1332"/>
    <w:rsid w:val="007D4C61"/>
    <w:rsid w:val="007D4E2D"/>
    <w:rsid w:val="007D5547"/>
    <w:rsid w:val="007D77F4"/>
    <w:rsid w:val="007F1EF5"/>
    <w:rsid w:val="007F4A17"/>
    <w:rsid w:val="0080525D"/>
    <w:rsid w:val="0080655C"/>
    <w:rsid w:val="008118D0"/>
    <w:rsid w:val="00814422"/>
    <w:rsid w:val="00814E37"/>
    <w:rsid w:val="0081525B"/>
    <w:rsid w:val="008273DD"/>
    <w:rsid w:val="00834A75"/>
    <w:rsid w:val="00836D35"/>
    <w:rsid w:val="0084012A"/>
    <w:rsid w:val="008448F6"/>
    <w:rsid w:val="00853873"/>
    <w:rsid w:val="008547DB"/>
    <w:rsid w:val="00856ACE"/>
    <w:rsid w:val="00895EDC"/>
    <w:rsid w:val="008A3073"/>
    <w:rsid w:val="008A6A93"/>
    <w:rsid w:val="008B0910"/>
    <w:rsid w:val="008B1D58"/>
    <w:rsid w:val="008B261D"/>
    <w:rsid w:val="008B490B"/>
    <w:rsid w:val="008B7230"/>
    <w:rsid w:val="008C0CAE"/>
    <w:rsid w:val="008C4F1B"/>
    <w:rsid w:val="008D5FC6"/>
    <w:rsid w:val="008E3355"/>
    <w:rsid w:val="00906B25"/>
    <w:rsid w:val="009126FB"/>
    <w:rsid w:val="00916269"/>
    <w:rsid w:val="00922B70"/>
    <w:rsid w:val="009247E0"/>
    <w:rsid w:val="00927B7B"/>
    <w:rsid w:val="00941EF9"/>
    <w:rsid w:val="00942E03"/>
    <w:rsid w:val="00944D94"/>
    <w:rsid w:val="00950130"/>
    <w:rsid w:val="00961443"/>
    <w:rsid w:val="009701EC"/>
    <w:rsid w:val="009711EE"/>
    <w:rsid w:val="009769AF"/>
    <w:rsid w:val="009770A9"/>
    <w:rsid w:val="00977771"/>
    <w:rsid w:val="009833D6"/>
    <w:rsid w:val="00992211"/>
    <w:rsid w:val="009A2058"/>
    <w:rsid w:val="009A4DF6"/>
    <w:rsid w:val="009C2610"/>
    <w:rsid w:val="009C4AFB"/>
    <w:rsid w:val="009D5169"/>
    <w:rsid w:val="009D6AFA"/>
    <w:rsid w:val="009E2686"/>
    <w:rsid w:val="009E3701"/>
    <w:rsid w:val="009E3AC3"/>
    <w:rsid w:val="009E42B8"/>
    <w:rsid w:val="009E48DF"/>
    <w:rsid w:val="009E77D0"/>
    <w:rsid w:val="009F39B6"/>
    <w:rsid w:val="009F46C1"/>
    <w:rsid w:val="009F5CC8"/>
    <w:rsid w:val="00A00201"/>
    <w:rsid w:val="00A10EEB"/>
    <w:rsid w:val="00A17AE7"/>
    <w:rsid w:val="00A2063D"/>
    <w:rsid w:val="00A23E85"/>
    <w:rsid w:val="00A32955"/>
    <w:rsid w:val="00A37416"/>
    <w:rsid w:val="00A414AA"/>
    <w:rsid w:val="00A438D7"/>
    <w:rsid w:val="00A44FF6"/>
    <w:rsid w:val="00A56801"/>
    <w:rsid w:val="00A57E73"/>
    <w:rsid w:val="00A668BF"/>
    <w:rsid w:val="00A66B19"/>
    <w:rsid w:val="00A73FCB"/>
    <w:rsid w:val="00A817D6"/>
    <w:rsid w:val="00A835C3"/>
    <w:rsid w:val="00A87823"/>
    <w:rsid w:val="00A914D1"/>
    <w:rsid w:val="00A96C5E"/>
    <w:rsid w:val="00AA1426"/>
    <w:rsid w:val="00AA2317"/>
    <w:rsid w:val="00AA6C52"/>
    <w:rsid w:val="00AB0546"/>
    <w:rsid w:val="00AB0B0F"/>
    <w:rsid w:val="00AB28D4"/>
    <w:rsid w:val="00AB2EB1"/>
    <w:rsid w:val="00AB43E2"/>
    <w:rsid w:val="00AC34F2"/>
    <w:rsid w:val="00AD4214"/>
    <w:rsid w:val="00AD7EE1"/>
    <w:rsid w:val="00AE507F"/>
    <w:rsid w:val="00B057AE"/>
    <w:rsid w:val="00B059A8"/>
    <w:rsid w:val="00B119BE"/>
    <w:rsid w:val="00B220BA"/>
    <w:rsid w:val="00B348D6"/>
    <w:rsid w:val="00B37347"/>
    <w:rsid w:val="00B42EBE"/>
    <w:rsid w:val="00B44685"/>
    <w:rsid w:val="00B44782"/>
    <w:rsid w:val="00B45212"/>
    <w:rsid w:val="00B4567C"/>
    <w:rsid w:val="00B467BE"/>
    <w:rsid w:val="00B52F14"/>
    <w:rsid w:val="00B60CBF"/>
    <w:rsid w:val="00B64633"/>
    <w:rsid w:val="00B64EA6"/>
    <w:rsid w:val="00B65A9D"/>
    <w:rsid w:val="00B7251D"/>
    <w:rsid w:val="00B76C80"/>
    <w:rsid w:val="00B86621"/>
    <w:rsid w:val="00B907A7"/>
    <w:rsid w:val="00B94786"/>
    <w:rsid w:val="00B97416"/>
    <w:rsid w:val="00BA3F2D"/>
    <w:rsid w:val="00BA4403"/>
    <w:rsid w:val="00BA483D"/>
    <w:rsid w:val="00BB0BBB"/>
    <w:rsid w:val="00BB5009"/>
    <w:rsid w:val="00BC4E1A"/>
    <w:rsid w:val="00BD0E3B"/>
    <w:rsid w:val="00BD3529"/>
    <w:rsid w:val="00BD52B5"/>
    <w:rsid w:val="00BE149A"/>
    <w:rsid w:val="00BE38DA"/>
    <w:rsid w:val="00BF0601"/>
    <w:rsid w:val="00BF221B"/>
    <w:rsid w:val="00BF38CF"/>
    <w:rsid w:val="00BF61BE"/>
    <w:rsid w:val="00C00DF7"/>
    <w:rsid w:val="00C04CB5"/>
    <w:rsid w:val="00C11874"/>
    <w:rsid w:val="00C12237"/>
    <w:rsid w:val="00C16A1C"/>
    <w:rsid w:val="00C268BD"/>
    <w:rsid w:val="00C269D9"/>
    <w:rsid w:val="00C307C3"/>
    <w:rsid w:val="00C30E61"/>
    <w:rsid w:val="00C345BE"/>
    <w:rsid w:val="00C36DF8"/>
    <w:rsid w:val="00C522DC"/>
    <w:rsid w:val="00C523EC"/>
    <w:rsid w:val="00C62964"/>
    <w:rsid w:val="00C713EE"/>
    <w:rsid w:val="00C7213B"/>
    <w:rsid w:val="00C77A6C"/>
    <w:rsid w:val="00C80E1B"/>
    <w:rsid w:val="00C82A68"/>
    <w:rsid w:val="00C96254"/>
    <w:rsid w:val="00C96E28"/>
    <w:rsid w:val="00CA318F"/>
    <w:rsid w:val="00CC524B"/>
    <w:rsid w:val="00CC535F"/>
    <w:rsid w:val="00CD3E0E"/>
    <w:rsid w:val="00CE1512"/>
    <w:rsid w:val="00CE22A1"/>
    <w:rsid w:val="00CE2F67"/>
    <w:rsid w:val="00CE64F6"/>
    <w:rsid w:val="00CF63A9"/>
    <w:rsid w:val="00D0279B"/>
    <w:rsid w:val="00D10122"/>
    <w:rsid w:val="00D2126D"/>
    <w:rsid w:val="00D2224E"/>
    <w:rsid w:val="00D306FB"/>
    <w:rsid w:val="00D3418F"/>
    <w:rsid w:val="00D35CBF"/>
    <w:rsid w:val="00D45CB5"/>
    <w:rsid w:val="00D6628E"/>
    <w:rsid w:val="00D66D0D"/>
    <w:rsid w:val="00D77324"/>
    <w:rsid w:val="00D80D67"/>
    <w:rsid w:val="00D81970"/>
    <w:rsid w:val="00D83A5C"/>
    <w:rsid w:val="00D853F2"/>
    <w:rsid w:val="00D90EB3"/>
    <w:rsid w:val="00D9588D"/>
    <w:rsid w:val="00DB0358"/>
    <w:rsid w:val="00DB25DD"/>
    <w:rsid w:val="00DB3037"/>
    <w:rsid w:val="00DB5EEA"/>
    <w:rsid w:val="00DC4F17"/>
    <w:rsid w:val="00DC5018"/>
    <w:rsid w:val="00DC5D77"/>
    <w:rsid w:val="00DD1C2E"/>
    <w:rsid w:val="00DD30C7"/>
    <w:rsid w:val="00DD6921"/>
    <w:rsid w:val="00DE0598"/>
    <w:rsid w:val="00DF5334"/>
    <w:rsid w:val="00DF5F92"/>
    <w:rsid w:val="00E0789A"/>
    <w:rsid w:val="00E221C0"/>
    <w:rsid w:val="00E23255"/>
    <w:rsid w:val="00E24F46"/>
    <w:rsid w:val="00E505D7"/>
    <w:rsid w:val="00E53808"/>
    <w:rsid w:val="00E53BD7"/>
    <w:rsid w:val="00E54089"/>
    <w:rsid w:val="00E62743"/>
    <w:rsid w:val="00E635DE"/>
    <w:rsid w:val="00E675DF"/>
    <w:rsid w:val="00E67C86"/>
    <w:rsid w:val="00E71881"/>
    <w:rsid w:val="00E73352"/>
    <w:rsid w:val="00E838B6"/>
    <w:rsid w:val="00E8479A"/>
    <w:rsid w:val="00E86FFF"/>
    <w:rsid w:val="00E93734"/>
    <w:rsid w:val="00E97286"/>
    <w:rsid w:val="00EA03DB"/>
    <w:rsid w:val="00EA5629"/>
    <w:rsid w:val="00EB2EBA"/>
    <w:rsid w:val="00ED032F"/>
    <w:rsid w:val="00ED56DC"/>
    <w:rsid w:val="00ED654E"/>
    <w:rsid w:val="00EE521B"/>
    <w:rsid w:val="00EE68F8"/>
    <w:rsid w:val="00EF308D"/>
    <w:rsid w:val="00EF56F4"/>
    <w:rsid w:val="00F13F58"/>
    <w:rsid w:val="00F14D6C"/>
    <w:rsid w:val="00F22821"/>
    <w:rsid w:val="00F37265"/>
    <w:rsid w:val="00F4102E"/>
    <w:rsid w:val="00F4445A"/>
    <w:rsid w:val="00F5304C"/>
    <w:rsid w:val="00F5553D"/>
    <w:rsid w:val="00F566E5"/>
    <w:rsid w:val="00F56E70"/>
    <w:rsid w:val="00F5700C"/>
    <w:rsid w:val="00F66A8F"/>
    <w:rsid w:val="00F7088C"/>
    <w:rsid w:val="00F81A66"/>
    <w:rsid w:val="00F83662"/>
    <w:rsid w:val="00F86F11"/>
    <w:rsid w:val="00F92028"/>
    <w:rsid w:val="00F932C7"/>
    <w:rsid w:val="00FA06C5"/>
    <w:rsid w:val="00FB235B"/>
    <w:rsid w:val="00FB610F"/>
    <w:rsid w:val="00FC1644"/>
    <w:rsid w:val="00FC4239"/>
    <w:rsid w:val="00FC71EC"/>
    <w:rsid w:val="00FD1536"/>
    <w:rsid w:val="00FD18CB"/>
    <w:rsid w:val="00FD2FC8"/>
    <w:rsid w:val="00FE0AFC"/>
    <w:rsid w:val="00FE11E2"/>
    <w:rsid w:val="00FE5663"/>
    <w:rsid w:val="00FF00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ED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353D6C"/>
    <w:pPr>
      <w:spacing w:after="120" w:line="264" w:lineRule="auto"/>
    </w:pPr>
    <w:rPr>
      <w:rFonts w:asciiTheme="minorHAnsi" w:hAnsiTheme="minorHAnsi" w:cstheme="minorBidi"/>
      <w:color w:val="262626" w:themeColor="text1" w:themeTint="D9"/>
      <w:sz w:val="20"/>
      <w:szCs w:val="20"/>
    </w:rPr>
  </w:style>
  <w:style w:type="paragraph" w:styleId="Heading1">
    <w:name w:val="heading 1"/>
    <w:basedOn w:val="Normal"/>
    <w:next w:val="BodyText"/>
    <w:link w:val="Heading1Char"/>
    <w:qFormat/>
    <w:rsid w:val="00353D6C"/>
    <w:pPr>
      <w:keepNext/>
      <w:keepLines/>
      <w:spacing w:after="460"/>
      <w:outlineLvl w:val="0"/>
    </w:pPr>
    <w:rPr>
      <w:rFonts w:asciiTheme="majorHAnsi" w:hAnsiTheme="majorHAnsi"/>
      <w:b/>
      <w:color w:val="44546A" w:themeColor="text2"/>
      <w:sz w:val="60"/>
      <w:szCs w:val="60"/>
    </w:rPr>
  </w:style>
  <w:style w:type="paragraph" w:styleId="Heading2">
    <w:name w:val="heading 2"/>
    <w:basedOn w:val="Normal"/>
    <w:next w:val="BodyText"/>
    <w:link w:val="Heading2Char"/>
    <w:unhideWhenUsed/>
    <w:qFormat/>
    <w:rsid w:val="00353D6C"/>
    <w:pPr>
      <w:keepNext/>
      <w:keepLines/>
      <w:spacing w:before="480" w:after="240"/>
      <w:outlineLvl w:val="1"/>
    </w:pPr>
    <w:rPr>
      <w:rFonts w:asciiTheme="majorHAnsi" w:eastAsiaTheme="majorEastAsia" w:hAnsiTheme="majorHAnsi" w:cstheme="majorBidi"/>
      <w:b/>
      <w:color w:val="44546A" w:themeColor="text2"/>
      <w:sz w:val="40"/>
      <w:szCs w:val="40"/>
    </w:rPr>
  </w:style>
  <w:style w:type="paragraph" w:styleId="Heading3">
    <w:name w:val="heading 3"/>
    <w:basedOn w:val="Normal"/>
    <w:next w:val="BodyText"/>
    <w:link w:val="Heading3Char"/>
    <w:uiPriority w:val="9"/>
    <w:unhideWhenUsed/>
    <w:qFormat/>
    <w:rsid w:val="00353D6C"/>
    <w:pPr>
      <w:keepNext/>
      <w:keepLines/>
      <w:spacing w:before="240" w:after="160" w:line="240" w:lineRule="auto"/>
      <w:outlineLvl w:val="2"/>
    </w:pPr>
    <w:rPr>
      <w:rFonts w:asciiTheme="majorHAnsi" w:eastAsiaTheme="majorEastAsia" w:hAnsiTheme="majorHAnsi" w:cstheme="majorBidi"/>
      <w:color w:val="44546A" w:themeColor="text2"/>
      <w:sz w:val="30"/>
      <w:szCs w:val="30"/>
    </w:rPr>
  </w:style>
  <w:style w:type="paragraph" w:styleId="Heading4">
    <w:name w:val="heading 4"/>
    <w:basedOn w:val="BodyText"/>
    <w:next w:val="BodyText"/>
    <w:link w:val="Heading4Char"/>
    <w:qFormat/>
    <w:rsid w:val="00353D6C"/>
    <w:pPr>
      <w:spacing w:before="240"/>
      <w:outlineLvl w:val="3"/>
    </w:pPr>
    <w:rPr>
      <w:rFonts w:asciiTheme="majorHAnsi" w:hAnsiTheme="majorHAnsi"/>
      <w:color w:val="44546A" w:themeColor="text2"/>
      <w:sz w:val="28"/>
      <w:szCs w:val="24"/>
    </w:rPr>
  </w:style>
  <w:style w:type="paragraph" w:styleId="Heading5">
    <w:name w:val="heading 5"/>
    <w:basedOn w:val="Normal"/>
    <w:next w:val="Normal"/>
    <w:link w:val="Heading5Char"/>
    <w:uiPriority w:val="9"/>
    <w:unhideWhenUsed/>
    <w:qFormat/>
    <w:rsid w:val="0003382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0338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D6C"/>
    <w:rPr>
      <w:rFonts w:asciiTheme="majorHAnsi" w:hAnsiTheme="majorHAnsi" w:cstheme="minorBidi"/>
      <w:b/>
      <w:color w:val="44546A" w:themeColor="text2"/>
      <w:sz w:val="60"/>
      <w:szCs w:val="60"/>
    </w:rPr>
  </w:style>
  <w:style w:type="character" w:customStyle="1" w:styleId="Heading2Char">
    <w:name w:val="Heading 2 Char"/>
    <w:basedOn w:val="DefaultParagraphFont"/>
    <w:link w:val="Heading2"/>
    <w:rsid w:val="00353D6C"/>
    <w:rPr>
      <w:rFonts w:asciiTheme="majorHAnsi" w:eastAsiaTheme="majorEastAsia" w:hAnsiTheme="majorHAnsi" w:cstheme="majorBidi"/>
      <w:b/>
      <w:color w:val="44546A" w:themeColor="text2"/>
      <w:sz w:val="40"/>
      <w:szCs w:val="40"/>
    </w:rPr>
  </w:style>
  <w:style w:type="character" w:customStyle="1" w:styleId="Heading3Char">
    <w:name w:val="Heading 3 Char"/>
    <w:basedOn w:val="DefaultParagraphFont"/>
    <w:link w:val="Heading3"/>
    <w:uiPriority w:val="9"/>
    <w:rsid w:val="00353D6C"/>
    <w:rPr>
      <w:rFonts w:asciiTheme="majorHAnsi" w:eastAsiaTheme="majorEastAsia" w:hAnsiTheme="majorHAnsi" w:cstheme="majorBidi"/>
      <w:color w:val="44546A" w:themeColor="text2"/>
      <w:sz w:val="30"/>
      <w:szCs w:val="30"/>
    </w:rPr>
  </w:style>
  <w:style w:type="character" w:customStyle="1" w:styleId="Heading4Char">
    <w:name w:val="Heading 4 Char"/>
    <w:basedOn w:val="DefaultParagraphFont"/>
    <w:link w:val="Heading4"/>
    <w:rsid w:val="00353D6C"/>
    <w:rPr>
      <w:rFonts w:asciiTheme="majorHAnsi" w:hAnsiTheme="majorHAnsi" w:cstheme="minorBidi"/>
      <w:color w:val="44546A" w:themeColor="text2"/>
      <w:sz w:val="28"/>
    </w:rPr>
  </w:style>
  <w:style w:type="paragraph" w:styleId="Header">
    <w:name w:val="header"/>
    <w:basedOn w:val="Normal"/>
    <w:link w:val="HeaderChar"/>
    <w:uiPriority w:val="99"/>
    <w:rsid w:val="00353D6C"/>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rsid w:val="00353D6C"/>
    <w:rPr>
      <w:rFonts w:asciiTheme="majorHAnsi" w:hAnsiTheme="majorHAnsi" w:cstheme="minorBidi"/>
      <w:b/>
      <w:color w:val="FFFFFF" w:themeColor="background1"/>
      <w:sz w:val="20"/>
      <w:szCs w:val="18"/>
    </w:rPr>
  </w:style>
  <w:style w:type="paragraph" w:styleId="BodyText">
    <w:name w:val="Body Text"/>
    <w:basedOn w:val="Normal"/>
    <w:link w:val="BodyTextChar"/>
    <w:qFormat/>
    <w:rsid w:val="00353D6C"/>
  </w:style>
  <w:style w:type="character" w:customStyle="1" w:styleId="BodyTextChar">
    <w:name w:val="Body Text Char"/>
    <w:basedOn w:val="DefaultParagraphFont"/>
    <w:link w:val="BodyText"/>
    <w:rsid w:val="00353D6C"/>
    <w:rPr>
      <w:rFonts w:asciiTheme="minorHAnsi" w:hAnsiTheme="minorHAnsi" w:cstheme="minorBidi"/>
      <w:color w:val="262626" w:themeColor="text1" w:themeTint="D9"/>
      <w:sz w:val="20"/>
      <w:szCs w:val="20"/>
    </w:rPr>
  </w:style>
  <w:style w:type="paragraph" w:customStyle="1" w:styleId="BodyIndent2">
    <w:name w:val="Body Indent 2"/>
    <w:basedOn w:val="Normal"/>
    <w:qFormat/>
    <w:rsid w:val="00353D6C"/>
    <w:pPr>
      <w:spacing w:before="240" w:after="0" w:line="240" w:lineRule="auto"/>
      <w:ind w:left="1701"/>
    </w:pPr>
    <w:rPr>
      <w:rFonts w:ascii="Arial" w:eastAsia="Times New Roman" w:hAnsi="Arial" w:cs="Arial"/>
      <w:color w:val="auto"/>
      <w:lang w:eastAsia="en-AU"/>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列"/>
    <w:basedOn w:val="Normal"/>
    <w:link w:val="ListParagraphChar"/>
    <w:uiPriority w:val="34"/>
    <w:qFormat/>
    <w:rsid w:val="00C77A6C"/>
    <w:pPr>
      <w:ind w:left="720"/>
      <w:contextualSpacing/>
    </w:p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uiPriority w:val="34"/>
    <w:qFormat/>
    <w:rsid w:val="00C77A6C"/>
    <w:rPr>
      <w:rFonts w:asciiTheme="minorHAnsi" w:hAnsiTheme="minorHAnsi" w:cstheme="minorBidi"/>
      <w:color w:val="262626" w:themeColor="text1" w:themeTint="D9"/>
      <w:sz w:val="20"/>
      <w:szCs w:val="20"/>
    </w:rPr>
  </w:style>
  <w:style w:type="paragraph" w:styleId="Caption">
    <w:name w:val="caption"/>
    <w:basedOn w:val="Normal"/>
    <w:next w:val="Normal"/>
    <w:uiPriority w:val="35"/>
    <w:unhideWhenUsed/>
    <w:qFormat/>
    <w:rsid w:val="007C1332"/>
    <w:pPr>
      <w:keepNext/>
      <w:tabs>
        <w:tab w:val="left" w:pos="851"/>
        <w:tab w:val="left" w:pos="1017"/>
      </w:tabs>
      <w:spacing w:before="120"/>
      <w:ind w:left="851" w:hanging="851"/>
    </w:pPr>
    <w:rPr>
      <w:rFonts w:asciiTheme="majorHAnsi" w:hAnsiTheme="majorHAnsi"/>
      <w:b/>
      <w:iCs/>
      <w:color w:val="44546A" w:themeColor="text2"/>
      <w:szCs w:val="18"/>
    </w:rPr>
  </w:style>
  <w:style w:type="paragraph" w:styleId="FootnoteText">
    <w:name w:val="footnote text"/>
    <w:basedOn w:val="Normal"/>
    <w:link w:val="FootnoteTextChar"/>
    <w:uiPriority w:val="99"/>
    <w:semiHidden/>
    <w:unhideWhenUsed/>
    <w:rsid w:val="00BB5009"/>
    <w:pPr>
      <w:spacing w:after="0" w:line="240" w:lineRule="auto"/>
    </w:pPr>
  </w:style>
  <w:style w:type="character" w:customStyle="1" w:styleId="FootnoteTextChar">
    <w:name w:val="Footnote Text Char"/>
    <w:basedOn w:val="DefaultParagraphFont"/>
    <w:link w:val="FootnoteText"/>
    <w:uiPriority w:val="99"/>
    <w:semiHidden/>
    <w:rsid w:val="00BB5009"/>
    <w:rPr>
      <w:rFonts w:asciiTheme="minorHAnsi" w:hAnsiTheme="minorHAnsi" w:cstheme="minorBidi"/>
      <w:color w:val="262626" w:themeColor="text1" w:themeTint="D9"/>
      <w:sz w:val="20"/>
      <w:szCs w:val="20"/>
    </w:rPr>
  </w:style>
  <w:style w:type="character" w:styleId="FootnoteReference">
    <w:name w:val="footnote reference"/>
    <w:basedOn w:val="DefaultParagraphFont"/>
    <w:uiPriority w:val="99"/>
    <w:semiHidden/>
    <w:unhideWhenUsed/>
    <w:rsid w:val="00BB5009"/>
    <w:rPr>
      <w:vertAlign w:val="superscript"/>
    </w:rPr>
  </w:style>
  <w:style w:type="character" w:styleId="Hyperlink">
    <w:name w:val="Hyperlink"/>
    <w:basedOn w:val="DefaultParagraphFont"/>
    <w:uiPriority w:val="99"/>
    <w:unhideWhenUsed/>
    <w:rsid w:val="00BB5009"/>
    <w:rPr>
      <w:color w:val="0563C1" w:themeColor="hyperlink"/>
      <w:u w:val="single"/>
    </w:rPr>
  </w:style>
  <w:style w:type="character" w:customStyle="1" w:styleId="UnresolvedMention">
    <w:name w:val="Unresolved Mention"/>
    <w:basedOn w:val="DefaultParagraphFont"/>
    <w:uiPriority w:val="99"/>
    <w:semiHidden/>
    <w:unhideWhenUsed/>
    <w:rsid w:val="00BB5009"/>
    <w:rPr>
      <w:color w:val="605E5C"/>
      <w:shd w:val="clear" w:color="auto" w:fill="E1DFDD"/>
    </w:rPr>
  </w:style>
  <w:style w:type="paragraph" w:styleId="Footer">
    <w:name w:val="footer"/>
    <w:basedOn w:val="Normal"/>
    <w:link w:val="FooterChar"/>
    <w:uiPriority w:val="99"/>
    <w:unhideWhenUsed/>
    <w:rsid w:val="007A4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008"/>
    <w:rPr>
      <w:rFonts w:asciiTheme="minorHAnsi" w:hAnsiTheme="minorHAnsi" w:cstheme="minorBidi"/>
      <w:color w:val="262626" w:themeColor="text1" w:themeTint="D9"/>
      <w:sz w:val="20"/>
      <w:szCs w:val="20"/>
    </w:rPr>
  </w:style>
  <w:style w:type="character" w:styleId="CommentReference">
    <w:name w:val="annotation reference"/>
    <w:basedOn w:val="DefaultParagraphFont"/>
    <w:uiPriority w:val="99"/>
    <w:semiHidden/>
    <w:unhideWhenUsed/>
    <w:rsid w:val="00D9588D"/>
    <w:rPr>
      <w:sz w:val="16"/>
      <w:szCs w:val="16"/>
    </w:rPr>
  </w:style>
  <w:style w:type="paragraph" w:styleId="CommentText">
    <w:name w:val="annotation text"/>
    <w:basedOn w:val="Normal"/>
    <w:link w:val="CommentTextChar"/>
    <w:uiPriority w:val="99"/>
    <w:unhideWhenUsed/>
    <w:rsid w:val="00D9588D"/>
    <w:pPr>
      <w:spacing w:line="240" w:lineRule="auto"/>
    </w:pPr>
  </w:style>
  <w:style w:type="character" w:customStyle="1" w:styleId="CommentTextChar">
    <w:name w:val="Comment Text Char"/>
    <w:basedOn w:val="DefaultParagraphFont"/>
    <w:link w:val="CommentText"/>
    <w:uiPriority w:val="99"/>
    <w:rsid w:val="00D9588D"/>
    <w:rPr>
      <w:rFonts w:asciiTheme="minorHAnsi" w:hAnsiTheme="minorHAnsi" w:cstheme="minorBidi"/>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D9588D"/>
    <w:rPr>
      <w:b/>
      <w:bCs/>
    </w:rPr>
  </w:style>
  <w:style w:type="character" w:customStyle="1" w:styleId="CommentSubjectChar">
    <w:name w:val="Comment Subject Char"/>
    <w:basedOn w:val="CommentTextChar"/>
    <w:link w:val="CommentSubject"/>
    <w:uiPriority w:val="99"/>
    <w:semiHidden/>
    <w:rsid w:val="00D9588D"/>
    <w:rPr>
      <w:rFonts w:asciiTheme="minorHAnsi" w:hAnsiTheme="minorHAnsi" w:cstheme="minorBidi"/>
      <w:b/>
      <w:bCs/>
      <w:color w:val="262626" w:themeColor="text1" w:themeTint="D9"/>
      <w:sz w:val="20"/>
      <w:szCs w:val="20"/>
    </w:rPr>
  </w:style>
  <w:style w:type="paragraph" w:styleId="BalloonText">
    <w:name w:val="Balloon Text"/>
    <w:basedOn w:val="Normal"/>
    <w:link w:val="BalloonTextChar"/>
    <w:uiPriority w:val="99"/>
    <w:semiHidden/>
    <w:unhideWhenUsed/>
    <w:rsid w:val="00B44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782"/>
    <w:rPr>
      <w:rFonts w:ascii="Segoe UI" w:hAnsi="Segoe UI" w:cs="Segoe UI"/>
      <w:color w:val="262626" w:themeColor="text1" w:themeTint="D9"/>
      <w:sz w:val="18"/>
      <w:szCs w:val="18"/>
    </w:rPr>
  </w:style>
  <w:style w:type="character" w:customStyle="1" w:styleId="Heading5Char">
    <w:name w:val="Heading 5 Char"/>
    <w:basedOn w:val="DefaultParagraphFont"/>
    <w:link w:val="Heading5"/>
    <w:uiPriority w:val="9"/>
    <w:rsid w:val="00033824"/>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rsid w:val="00033824"/>
    <w:rPr>
      <w:rFonts w:asciiTheme="majorHAnsi" w:eastAsiaTheme="majorEastAsia" w:hAnsiTheme="majorHAnsi" w:cstheme="majorBidi"/>
      <w:color w:val="1F4D78" w:themeColor="accent1" w:themeShade="7F"/>
      <w:sz w:val="20"/>
      <w:szCs w:val="20"/>
    </w:rPr>
  </w:style>
  <w:style w:type="paragraph" w:styleId="NormalWeb">
    <w:name w:val="Normal (Web)"/>
    <w:basedOn w:val="Normal"/>
    <w:uiPriority w:val="99"/>
    <w:unhideWhenUsed/>
    <w:rsid w:val="0066365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765D54"/>
    <w:pPr>
      <w:spacing w:after="0" w:line="240" w:lineRule="auto"/>
    </w:pPr>
    <w:rPr>
      <w:rFonts w:asciiTheme="minorHAnsi" w:hAnsiTheme="minorHAnsi" w:cstheme="minorBidi"/>
      <w:color w:val="262626" w:themeColor="text1" w:themeTint="D9"/>
      <w:sz w:val="20"/>
      <w:szCs w:val="20"/>
    </w:rPr>
  </w:style>
  <w:style w:type="character" w:styleId="FollowedHyperlink">
    <w:name w:val="FollowedHyperlink"/>
    <w:basedOn w:val="DefaultParagraphFont"/>
    <w:uiPriority w:val="99"/>
    <w:semiHidden/>
    <w:unhideWhenUsed/>
    <w:rsid w:val="00020B38"/>
    <w:rPr>
      <w:color w:val="954F72" w:themeColor="followedHyperlink"/>
      <w:u w:val="single"/>
    </w:rPr>
  </w:style>
  <w:style w:type="table" w:styleId="TableGrid">
    <w:name w:val="Table Grid"/>
    <w:basedOn w:val="TableNormal"/>
    <w:uiPriority w:val="39"/>
    <w:rsid w:val="00FD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0218">
      <w:bodyDiv w:val="1"/>
      <w:marLeft w:val="0"/>
      <w:marRight w:val="0"/>
      <w:marTop w:val="0"/>
      <w:marBottom w:val="0"/>
      <w:divBdr>
        <w:top w:val="none" w:sz="0" w:space="0" w:color="auto"/>
        <w:left w:val="none" w:sz="0" w:space="0" w:color="auto"/>
        <w:bottom w:val="none" w:sz="0" w:space="0" w:color="auto"/>
        <w:right w:val="none" w:sz="0" w:space="0" w:color="auto"/>
      </w:divBdr>
    </w:div>
    <w:div w:id="246153895">
      <w:bodyDiv w:val="1"/>
      <w:marLeft w:val="0"/>
      <w:marRight w:val="0"/>
      <w:marTop w:val="0"/>
      <w:marBottom w:val="0"/>
      <w:divBdr>
        <w:top w:val="none" w:sz="0" w:space="0" w:color="auto"/>
        <w:left w:val="none" w:sz="0" w:space="0" w:color="auto"/>
        <w:bottom w:val="none" w:sz="0" w:space="0" w:color="auto"/>
        <w:right w:val="none" w:sz="0" w:space="0" w:color="auto"/>
      </w:divBdr>
    </w:div>
    <w:div w:id="567106701">
      <w:bodyDiv w:val="1"/>
      <w:marLeft w:val="0"/>
      <w:marRight w:val="0"/>
      <w:marTop w:val="0"/>
      <w:marBottom w:val="0"/>
      <w:divBdr>
        <w:top w:val="none" w:sz="0" w:space="0" w:color="auto"/>
        <w:left w:val="none" w:sz="0" w:space="0" w:color="auto"/>
        <w:bottom w:val="none" w:sz="0" w:space="0" w:color="auto"/>
        <w:right w:val="none" w:sz="0" w:space="0" w:color="auto"/>
      </w:divBdr>
    </w:div>
    <w:div w:id="591619887">
      <w:bodyDiv w:val="1"/>
      <w:marLeft w:val="0"/>
      <w:marRight w:val="0"/>
      <w:marTop w:val="0"/>
      <w:marBottom w:val="0"/>
      <w:divBdr>
        <w:top w:val="none" w:sz="0" w:space="0" w:color="auto"/>
        <w:left w:val="none" w:sz="0" w:space="0" w:color="auto"/>
        <w:bottom w:val="none" w:sz="0" w:space="0" w:color="auto"/>
        <w:right w:val="none" w:sz="0" w:space="0" w:color="auto"/>
      </w:divBdr>
      <w:divsChild>
        <w:div w:id="1936329762">
          <w:marLeft w:val="446"/>
          <w:marRight w:val="0"/>
          <w:marTop w:val="0"/>
          <w:marBottom w:val="0"/>
          <w:divBdr>
            <w:top w:val="none" w:sz="0" w:space="0" w:color="auto"/>
            <w:left w:val="none" w:sz="0" w:space="0" w:color="auto"/>
            <w:bottom w:val="none" w:sz="0" w:space="0" w:color="auto"/>
            <w:right w:val="none" w:sz="0" w:space="0" w:color="auto"/>
          </w:divBdr>
        </w:div>
        <w:div w:id="1957520905">
          <w:marLeft w:val="1166"/>
          <w:marRight w:val="0"/>
          <w:marTop w:val="0"/>
          <w:marBottom w:val="0"/>
          <w:divBdr>
            <w:top w:val="none" w:sz="0" w:space="0" w:color="auto"/>
            <w:left w:val="none" w:sz="0" w:space="0" w:color="auto"/>
            <w:bottom w:val="none" w:sz="0" w:space="0" w:color="auto"/>
            <w:right w:val="none" w:sz="0" w:space="0" w:color="auto"/>
          </w:divBdr>
        </w:div>
        <w:div w:id="412623439">
          <w:marLeft w:val="1166"/>
          <w:marRight w:val="0"/>
          <w:marTop w:val="0"/>
          <w:marBottom w:val="0"/>
          <w:divBdr>
            <w:top w:val="none" w:sz="0" w:space="0" w:color="auto"/>
            <w:left w:val="none" w:sz="0" w:space="0" w:color="auto"/>
            <w:bottom w:val="none" w:sz="0" w:space="0" w:color="auto"/>
            <w:right w:val="none" w:sz="0" w:space="0" w:color="auto"/>
          </w:divBdr>
        </w:div>
        <w:div w:id="1972516849">
          <w:marLeft w:val="446"/>
          <w:marRight w:val="0"/>
          <w:marTop w:val="0"/>
          <w:marBottom w:val="0"/>
          <w:divBdr>
            <w:top w:val="none" w:sz="0" w:space="0" w:color="auto"/>
            <w:left w:val="none" w:sz="0" w:space="0" w:color="auto"/>
            <w:bottom w:val="none" w:sz="0" w:space="0" w:color="auto"/>
            <w:right w:val="none" w:sz="0" w:space="0" w:color="auto"/>
          </w:divBdr>
        </w:div>
        <w:div w:id="1790781527">
          <w:marLeft w:val="1166"/>
          <w:marRight w:val="0"/>
          <w:marTop w:val="0"/>
          <w:marBottom w:val="0"/>
          <w:divBdr>
            <w:top w:val="none" w:sz="0" w:space="0" w:color="auto"/>
            <w:left w:val="none" w:sz="0" w:space="0" w:color="auto"/>
            <w:bottom w:val="none" w:sz="0" w:space="0" w:color="auto"/>
            <w:right w:val="none" w:sz="0" w:space="0" w:color="auto"/>
          </w:divBdr>
        </w:div>
      </w:divsChild>
    </w:div>
    <w:div w:id="665476024">
      <w:bodyDiv w:val="1"/>
      <w:marLeft w:val="0"/>
      <w:marRight w:val="0"/>
      <w:marTop w:val="0"/>
      <w:marBottom w:val="0"/>
      <w:divBdr>
        <w:top w:val="none" w:sz="0" w:space="0" w:color="auto"/>
        <w:left w:val="none" w:sz="0" w:space="0" w:color="auto"/>
        <w:bottom w:val="none" w:sz="0" w:space="0" w:color="auto"/>
        <w:right w:val="none" w:sz="0" w:space="0" w:color="auto"/>
      </w:divBdr>
    </w:div>
    <w:div w:id="727732233">
      <w:bodyDiv w:val="1"/>
      <w:marLeft w:val="0"/>
      <w:marRight w:val="0"/>
      <w:marTop w:val="0"/>
      <w:marBottom w:val="0"/>
      <w:divBdr>
        <w:top w:val="none" w:sz="0" w:space="0" w:color="auto"/>
        <w:left w:val="none" w:sz="0" w:space="0" w:color="auto"/>
        <w:bottom w:val="none" w:sz="0" w:space="0" w:color="auto"/>
        <w:right w:val="none" w:sz="0" w:space="0" w:color="auto"/>
      </w:divBdr>
      <w:divsChild>
        <w:div w:id="106434640">
          <w:marLeft w:val="1080"/>
          <w:marRight w:val="0"/>
          <w:marTop w:val="100"/>
          <w:marBottom w:val="0"/>
          <w:divBdr>
            <w:top w:val="none" w:sz="0" w:space="0" w:color="auto"/>
            <w:left w:val="none" w:sz="0" w:space="0" w:color="auto"/>
            <w:bottom w:val="none" w:sz="0" w:space="0" w:color="auto"/>
            <w:right w:val="none" w:sz="0" w:space="0" w:color="auto"/>
          </w:divBdr>
        </w:div>
        <w:div w:id="993685421">
          <w:marLeft w:val="1080"/>
          <w:marRight w:val="0"/>
          <w:marTop w:val="100"/>
          <w:marBottom w:val="0"/>
          <w:divBdr>
            <w:top w:val="none" w:sz="0" w:space="0" w:color="auto"/>
            <w:left w:val="none" w:sz="0" w:space="0" w:color="auto"/>
            <w:bottom w:val="none" w:sz="0" w:space="0" w:color="auto"/>
            <w:right w:val="none" w:sz="0" w:space="0" w:color="auto"/>
          </w:divBdr>
        </w:div>
        <w:div w:id="2122020314">
          <w:marLeft w:val="1080"/>
          <w:marRight w:val="0"/>
          <w:marTop w:val="100"/>
          <w:marBottom w:val="0"/>
          <w:divBdr>
            <w:top w:val="none" w:sz="0" w:space="0" w:color="auto"/>
            <w:left w:val="none" w:sz="0" w:space="0" w:color="auto"/>
            <w:bottom w:val="none" w:sz="0" w:space="0" w:color="auto"/>
            <w:right w:val="none" w:sz="0" w:space="0" w:color="auto"/>
          </w:divBdr>
        </w:div>
        <w:div w:id="110907337">
          <w:marLeft w:val="1080"/>
          <w:marRight w:val="0"/>
          <w:marTop w:val="100"/>
          <w:marBottom w:val="0"/>
          <w:divBdr>
            <w:top w:val="none" w:sz="0" w:space="0" w:color="auto"/>
            <w:left w:val="none" w:sz="0" w:space="0" w:color="auto"/>
            <w:bottom w:val="none" w:sz="0" w:space="0" w:color="auto"/>
            <w:right w:val="none" w:sz="0" w:space="0" w:color="auto"/>
          </w:divBdr>
        </w:div>
        <w:div w:id="355666888">
          <w:marLeft w:val="1080"/>
          <w:marRight w:val="0"/>
          <w:marTop w:val="100"/>
          <w:marBottom w:val="0"/>
          <w:divBdr>
            <w:top w:val="none" w:sz="0" w:space="0" w:color="auto"/>
            <w:left w:val="none" w:sz="0" w:space="0" w:color="auto"/>
            <w:bottom w:val="none" w:sz="0" w:space="0" w:color="auto"/>
            <w:right w:val="none" w:sz="0" w:space="0" w:color="auto"/>
          </w:divBdr>
        </w:div>
        <w:div w:id="648754585">
          <w:marLeft w:val="1080"/>
          <w:marRight w:val="0"/>
          <w:marTop w:val="100"/>
          <w:marBottom w:val="0"/>
          <w:divBdr>
            <w:top w:val="none" w:sz="0" w:space="0" w:color="auto"/>
            <w:left w:val="none" w:sz="0" w:space="0" w:color="auto"/>
            <w:bottom w:val="none" w:sz="0" w:space="0" w:color="auto"/>
            <w:right w:val="none" w:sz="0" w:space="0" w:color="auto"/>
          </w:divBdr>
        </w:div>
        <w:div w:id="1466391790">
          <w:marLeft w:val="1080"/>
          <w:marRight w:val="0"/>
          <w:marTop w:val="100"/>
          <w:marBottom w:val="0"/>
          <w:divBdr>
            <w:top w:val="none" w:sz="0" w:space="0" w:color="auto"/>
            <w:left w:val="none" w:sz="0" w:space="0" w:color="auto"/>
            <w:bottom w:val="none" w:sz="0" w:space="0" w:color="auto"/>
            <w:right w:val="none" w:sz="0" w:space="0" w:color="auto"/>
          </w:divBdr>
        </w:div>
      </w:divsChild>
    </w:div>
    <w:div w:id="805397725">
      <w:bodyDiv w:val="1"/>
      <w:marLeft w:val="0"/>
      <w:marRight w:val="0"/>
      <w:marTop w:val="0"/>
      <w:marBottom w:val="0"/>
      <w:divBdr>
        <w:top w:val="none" w:sz="0" w:space="0" w:color="auto"/>
        <w:left w:val="none" w:sz="0" w:space="0" w:color="auto"/>
        <w:bottom w:val="none" w:sz="0" w:space="0" w:color="auto"/>
        <w:right w:val="none" w:sz="0" w:space="0" w:color="auto"/>
      </w:divBdr>
    </w:div>
    <w:div w:id="837695877">
      <w:bodyDiv w:val="1"/>
      <w:marLeft w:val="0"/>
      <w:marRight w:val="0"/>
      <w:marTop w:val="0"/>
      <w:marBottom w:val="0"/>
      <w:divBdr>
        <w:top w:val="none" w:sz="0" w:space="0" w:color="auto"/>
        <w:left w:val="none" w:sz="0" w:space="0" w:color="auto"/>
        <w:bottom w:val="none" w:sz="0" w:space="0" w:color="auto"/>
        <w:right w:val="none" w:sz="0" w:space="0" w:color="auto"/>
      </w:divBdr>
      <w:divsChild>
        <w:div w:id="1887716584">
          <w:marLeft w:val="446"/>
          <w:marRight w:val="0"/>
          <w:marTop w:val="0"/>
          <w:marBottom w:val="0"/>
          <w:divBdr>
            <w:top w:val="none" w:sz="0" w:space="0" w:color="auto"/>
            <w:left w:val="none" w:sz="0" w:space="0" w:color="auto"/>
            <w:bottom w:val="none" w:sz="0" w:space="0" w:color="auto"/>
            <w:right w:val="none" w:sz="0" w:space="0" w:color="auto"/>
          </w:divBdr>
        </w:div>
        <w:div w:id="1503468287">
          <w:marLeft w:val="1166"/>
          <w:marRight w:val="0"/>
          <w:marTop w:val="0"/>
          <w:marBottom w:val="0"/>
          <w:divBdr>
            <w:top w:val="none" w:sz="0" w:space="0" w:color="auto"/>
            <w:left w:val="none" w:sz="0" w:space="0" w:color="auto"/>
            <w:bottom w:val="none" w:sz="0" w:space="0" w:color="auto"/>
            <w:right w:val="none" w:sz="0" w:space="0" w:color="auto"/>
          </w:divBdr>
        </w:div>
        <w:div w:id="850264402">
          <w:marLeft w:val="1166"/>
          <w:marRight w:val="0"/>
          <w:marTop w:val="0"/>
          <w:marBottom w:val="0"/>
          <w:divBdr>
            <w:top w:val="none" w:sz="0" w:space="0" w:color="auto"/>
            <w:left w:val="none" w:sz="0" w:space="0" w:color="auto"/>
            <w:bottom w:val="none" w:sz="0" w:space="0" w:color="auto"/>
            <w:right w:val="none" w:sz="0" w:space="0" w:color="auto"/>
          </w:divBdr>
        </w:div>
      </w:divsChild>
    </w:div>
    <w:div w:id="1333798525">
      <w:bodyDiv w:val="1"/>
      <w:marLeft w:val="0"/>
      <w:marRight w:val="0"/>
      <w:marTop w:val="0"/>
      <w:marBottom w:val="0"/>
      <w:divBdr>
        <w:top w:val="none" w:sz="0" w:space="0" w:color="auto"/>
        <w:left w:val="none" w:sz="0" w:space="0" w:color="auto"/>
        <w:bottom w:val="none" w:sz="0" w:space="0" w:color="auto"/>
        <w:right w:val="none" w:sz="0" w:space="0" w:color="auto"/>
      </w:divBdr>
    </w:div>
    <w:div w:id="1507132016">
      <w:bodyDiv w:val="1"/>
      <w:marLeft w:val="0"/>
      <w:marRight w:val="0"/>
      <w:marTop w:val="0"/>
      <w:marBottom w:val="0"/>
      <w:divBdr>
        <w:top w:val="none" w:sz="0" w:space="0" w:color="auto"/>
        <w:left w:val="none" w:sz="0" w:space="0" w:color="auto"/>
        <w:bottom w:val="none" w:sz="0" w:space="0" w:color="auto"/>
        <w:right w:val="none" w:sz="0" w:space="0" w:color="auto"/>
      </w:divBdr>
    </w:div>
    <w:div w:id="1572036051">
      <w:bodyDiv w:val="1"/>
      <w:marLeft w:val="0"/>
      <w:marRight w:val="0"/>
      <w:marTop w:val="0"/>
      <w:marBottom w:val="0"/>
      <w:divBdr>
        <w:top w:val="none" w:sz="0" w:space="0" w:color="auto"/>
        <w:left w:val="none" w:sz="0" w:space="0" w:color="auto"/>
        <w:bottom w:val="none" w:sz="0" w:space="0" w:color="auto"/>
        <w:right w:val="none" w:sz="0" w:space="0" w:color="auto"/>
      </w:divBdr>
    </w:div>
    <w:div w:id="1635716087">
      <w:bodyDiv w:val="1"/>
      <w:marLeft w:val="0"/>
      <w:marRight w:val="0"/>
      <w:marTop w:val="0"/>
      <w:marBottom w:val="0"/>
      <w:divBdr>
        <w:top w:val="none" w:sz="0" w:space="0" w:color="auto"/>
        <w:left w:val="none" w:sz="0" w:space="0" w:color="auto"/>
        <w:bottom w:val="none" w:sz="0" w:space="0" w:color="auto"/>
        <w:right w:val="none" w:sz="0" w:space="0" w:color="auto"/>
      </w:divBdr>
    </w:div>
    <w:div w:id="1690402409">
      <w:bodyDiv w:val="1"/>
      <w:marLeft w:val="0"/>
      <w:marRight w:val="0"/>
      <w:marTop w:val="0"/>
      <w:marBottom w:val="0"/>
      <w:divBdr>
        <w:top w:val="none" w:sz="0" w:space="0" w:color="auto"/>
        <w:left w:val="none" w:sz="0" w:space="0" w:color="auto"/>
        <w:bottom w:val="none" w:sz="0" w:space="0" w:color="auto"/>
        <w:right w:val="none" w:sz="0" w:space="0" w:color="auto"/>
      </w:divBdr>
      <w:divsChild>
        <w:div w:id="1443381866">
          <w:marLeft w:val="1080"/>
          <w:marRight w:val="0"/>
          <w:marTop w:val="100"/>
          <w:marBottom w:val="0"/>
          <w:divBdr>
            <w:top w:val="none" w:sz="0" w:space="0" w:color="auto"/>
            <w:left w:val="none" w:sz="0" w:space="0" w:color="auto"/>
            <w:bottom w:val="none" w:sz="0" w:space="0" w:color="auto"/>
            <w:right w:val="none" w:sz="0" w:space="0" w:color="auto"/>
          </w:divBdr>
        </w:div>
        <w:div w:id="571164549">
          <w:marLeft w:val="1080"/>
          <w:marRight w:val="0"/>
          <w:marTop w:val="100"/>
          <w:marBottom w:val="0"/>
          <w:divBdr>
            <w:top w:val="none" w:sz="0" w:space="0" w:color="auto"/>
            <w:left w:val="none" w:sz="0" w:space="0" w:color="auto"/>
            <w:bottom w:val="none" w:sz="0" w:space="0" w:color="auto"/>
            <w:right w:val="none" w:sz="0" w:space="0" w:color="auto"/>
          </w:divBdr>
        </w:div>
      </w:divsChild>
    </w:div>
    <w:div w:id="1717896633">
      <w:bodyDiv w:val="1"/>
      <w:marLeft w:val="0"/>
      <w:marRight w:val="0"/>
      <w:marTop w:val="0"/>
      <w:marBottom w:val="0"/>
      <w:divBdr>
        <w:top w:val="none" w:sz="0" w:space="0" w:color="auto"/>
        <w:left w:val="none" w:sz="0" w:space="0" w:color="auto"/>
        <w:bottom w:val="none" w:sz="0" w:space="0" w:color="auto"/>
        <w:right w:val="none" w:sz="0" w:space="0" w:color="auto"/>
      </w:divBdr>
    </w:div>
    <w:div w:id="1746877441">
      <w:bodyDiv w:val="1"/>
      <w:marLeft w:val="0"/>
      <w:marRight w:val="0"/>
      <w:marTop w:val="0"/>
      <w:marBottom w:val="0"/>
      <w:divBdr>
        <w:top w:val="none" w:sz="0" w:space="0" w:color="auto"/>
        <w:left w:val="none" w:sz="0" w:space="0" w:color="auto"/>
        <w:bottom w:val="none" w:sz="0" w:space="0" w:color="auto"/>
        <w:right w:val="none" w:sz="0" w:space="0" w:color="auto"/>
      </w:divBdr>
    </w:div>
    <w:div w:id="1752503894">
      <w:bodyDiv w:val="1"/>
      <w:marLeft w:val="0"/>
      <w:marRight w:val="0"/>
      <w:marTop w:val="0"/>
      <w:marBottom w:val="0"/>
      <w:divBdr>
        <w:top w:val="none" w:sz="0" w:space="0" w:color="auto"/>
        <w:left w:val="none" w:sz="0" w:space="0" w:color="auto"/>
        <w:bottom w:val="none" w:sz="0" w:space="0" w:color="auto"/>
        <w:right w:val="none" w:sz="0" w:space="0" w:color="auto"/>
      </w:divBdr>
      <w:divsChild>
        <w:div w:id="1893272656">
          <w:marLeft w:val="1080"/>
          <w:marRight w:val="0"/>
          <w:marTop w:val="100"/>
          <w:marBottom w:val="0"/>
          <w:divBdr>
            <w:top w:val="none" w:sz="0" w:space="0" w:color="auto"/>
            <w:left w:val="none" w:sz="0" w:space="0" w:color="auto"/>
            <w:bottom w:val="none" w:sz="0" w:space="0" w:color="auto"/>
            <w:right w:val="none" w:sz="0" w:space="0" w:color="auto"/>
          </w:divBdr>
        </w:div>
      </w:divsChild>
    </w:div>
    <w:div w:id="1815222352">
      <w:bodyDiv w:val="1"/>
      <w:marLeft w:val="0"/>
      <w:marRight w:val="0"/>
      <w:marTop w:val="0"/>
      <w:marBottom w:val="0"/>
      <w:divBdr>
        <w:top w:val="none" w:sz="0" w:space="0" w:color="auto"/>
        <w:left w:val="none" w:sz="0" w:space="0" w:color="auto"/>
        <w:bottom w:val="none" w:sz="0" w:space="0" w:color="auto"/>
        <w:right w:val="none" w:sz="0" w:space="0" w:color="auto"/>
      </w:divBdr>
    </w:div>
    <w:div w:id="1823157689">
      <w:bodyDiv w:val="1"/>
      <w:marLeft w:val="0"/>
      <w:marRight w:val="0"/>
      <w:marTop w:val="0"/>
      <w:marBottom w:val="0"/>
      <w:divBdr>
        <w:top w:val="none" w:sz="0" w:space="0" w:color="auto"/>
        <w:left w:val="none" w:sz="0" w:space="0" w:color="auto"/>
        <w:bottom w:val="none" w:sz="0" w:space="0" w:color="auto"/>
        <w:right w:val="none" w:sz="0" w:space="0" w:color="auto"/>
      </w:divBdr>
      <w:divsChild>
        <w:div w:id="822966397">
          <w:marLeft w:val="1080"/>
          <w:marRight w:val="0"/>
          <w:marTop w:val="100"/>
          <w:marBottom w:val="0"/>
          <w:divBdr>
            <w:top w:val="none" w:sz="0" w:space="0" w:color="auto"/>
            <w:left w:val="none" w:sz="0" w:space="0" w:color="auto"/>
            <w:bottom w:val="none" w:sz="0" w:space="0" w:color="auto"/>
            <w:right w:val="none" w:sz="0" w:space="0" w:color="auto"/>
          </w:divBdr>
        </w:div>
      </w:divsChild>
    </w:div>
    <w:div w:id="1929918512">
      <w:bodyDiv w:val="1"/>
      <w:marLeft w:val="0"/>
      <w:marRight w:val="0"/>
      <w:marTop w:val="0"/>
      <w:marBottom w:val="0"/>
      <w:divBdr>
        <w:top w:val="none" w:sz="0" w:space="0" w:color="auto"/>
        <w:left w:val="none" w:sz="0" w:space="0" w:color="auto"/>
        <w:bottom w:val="none" w:sz="0" w:space="0" w:color="auto"/>
        <w:right w:val="none" w:sz="0" w:space="0" w:color="auto"/>
      </w:divBdr>
    </w:div>
    <w:div w:id="1999116802">
      <w:bodyDiv w:val="1"/>
      <w:marLeft w:val="0"/>
      <w:marRight w:val="0"/>
      <w:marTop w:val="0"/>
      <w:marBottom w:val="0"/>
      <w:divBdr>
        <w:top w:val="none" w:sz="0" w:space="0" w:color="auto"/>
        <w:left w:val="none" w:sz="0" w:space="0" w:color="auto"/>
        <w:bottom w:val="none" w:sz="0" w:space="0" w:color="auto"/>
        <w:right w:val="none" w:sz="0" w:space="0" w:color="auto"/>
      </w:divBdr>
    </w:div>
    <w:div w:id="2118713489">
      <w:bodyDiv w:val="1"/>
      <w:marLeft w:val="0"/>
      <w:marRight w:val="0"/>
      <w:marTop w:val="0"/>
      <w:marBottom w:val="0"/>
      <w:divBdr>
        <w:top w:val="none" w:sz="0" w:space="0" w:color="auto"/>
        <w:left w:val="none" w:sz="0" w:space="0" w:color="auto"/>
        <w:bottom w:val="none" w:sz="0" w:space="0" w:color="auto"/>
        <w:right w:val="none" w:sz="0" w:space="0" w:color="auto"/>
      </w:divBdr>
    </w:div>
    <w:div w:id="21386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statistics/expenditure-prescriptions/pbs-expenditure-and-prescrip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www.pbs.gov.au/info/statistics/expenditure-prescriptions/pbs-expenditure-and-prescription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pbs.gov.au/info/statistics/expenditure-prescriptions/pbs-expenditure-and-prescription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guild.org.au/__data/assets/pdf_file/0011/132410/ergas-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3811</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2024-06-25T02:02:00Z</dcterms:created>
  <dcterms:modified xsi:type="dcterms:W3CDTF">2024-06-25T02:02:00Z</dcterms:modified>
</cp:coreProperties>
</file>